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33E59" w14:textId="168FC834" w:rsidR="00BC3810" w:rsidRPr="00722358" w:rsidRDefault="00026F4A" w:rsidP="00166979">
      <w:pPr>
        <w:rPr>
          <w:rFonts w:asciiTheme="minorHAnsi" w:hAnsiTheme="minorHAnsi" w:cstheme="minorHAnsi"/>
        </w:rPr>
      </w:pPr>
      <w:r w:rsidRPr="00722358">
        <w:rPr>
          <w:rFonts w:asciiTheme="minorHAnsi" w:hAnsiTheme="minorHAnsi" w:cstheme="minorHAnsi"/>
        </w:rPr>
        <w:t xml:space="preserve">         </w:t>
      </w:r>
      <w:r w:rsidR="0068332F">
        <w:rPr>
          <w:rFonts w:asciiTheme="minorHAnsi" w:hAnsiTheme="minorHAnsi" w:cstheme="minorHAnsi"/>
        </w:rPr>
        <w:t xml:space="preserve">  </w:t>
      </w:r>
      <w:r w:rsidRPr="00722358">
        <w:rPr>
          <w:rFonts w:asciiTheme="minorHAnsi" w:hAnsiTheme="minorHAnsi" w:cstheme="minorHAnsi"/>
        </w:rPr>
        <w:t xml:space="preserve">  </w:t>
      </w:r>
      <w:r w:rsidR="00BC3810" w:rsidRPr="00722358">
        <w:rPr>
          <w:rFonts w:ascii="Arial" w:hAnsi="Arial" w:cs="Arial"/>
          <w:noProof/>
        </w:rPr>
        <w:t xml:space="preserve">            </w:t>
      </w:r>
      <w:r w:rsidR="00F300CD" w:rsidRPr="00722358">
        <w:rPr>
          <w:rFonts w:ascii="Arial" w:hAnsi="Arial" w:cs="Arial"/>
          <w:noProof/>
          <w:lang w:eastAsia="hr-HR"/>
        </w:rPr>
        <w:drawing>
          <wp:inline distT="0" distB="0" distL="0" distR="0" wp14:anchorId="7614460F" wp14:editId="02D09D8C">
            <wp:extent cx="446504" cy="569678"/>
            <wp:effectExtent l="0" t="0" r="0" b="0"/>
            <wp:docPr id="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47490" cy="570936"/>
                    </a:xfrm>
                    <a:prstGeom prst="rect">
                      <a:avLst/>
                    </a:prstGeom>
                    <a:noFill/>
                    <a:ln w="9525">
                      <a:noFill/>
                      <a:miter lim="800000"/>
                      <a:headEnd/>
                      <a:tailEnd/>
                    </a:ln>
                  </pic:spPr>
                </pic:pic>
              </a:graphicData>
            </a:graphic>
          </wp:inline>
        </w:drawing>
      </w:r>
    </w:p>
    <w:p w14:paraId="1E3BB3C7" w14:textId="5EB8B2DB" w:rsidR="00BC3810" w:rsidRPr="00722358" w:rsidRDefault="00BC3810" w:rsidP="00F300CD">
      <w:pPr>
        <w:pStyle w:val="Bezproreda"/>
        <w:ind w:left="708" w:hanging="708"/>
        <w:rPr>
          <w:rFonts w:ascii="Times New Roman" w:hAnsi="Times New Roman"/>
          <w:b/>
          <w:noProof/>
        </w:rPr>
      </w:pPr>
      <w:r w:rsidRPr="00722358">
        <w:rPr>
          <w:rFonts w:ascii="Times New Roman" w:hAnsi="Times New Roman"/>
          <w:b/>
          <w:noProof/>
        </w:rPr>
        <w:t xml:space="preserve"> </w:t>
      </w:r>
      <w:r w:rsidR="00F300CD">
        <w:rPr>
          <w:rFonts w:ascii="Times New Roman" w:hAnsi="Times New Roman"/>
          <w:b/>
          <w:noProof/>
        </w:rPr>
        <w:t xml:space="preserve">     </w:t>
      </w:r>
      <w:r w:rsidRPr="00722358">
        <w:rPr>
          <w:rFonts w:ascii="Times New Roman" w:hAnsi="Times New Roman"/>
          <w:b/>
          <w:noProof/>
        </w:rPr>
        <w:t>REPUBLIKA HRVATSKA</w:t>
      </w:r>
    </w:p>
    <w:p w14:paraId="736C8BCB" w14:textId="07A7FECF" w:rsidR="00BC3810" w:rsidRPr="00722358" w:rsidRDefault="00F300CD" w:rsidP="00F300CD">
      <w:pPr>
        <w:pStyle w:val="Bezproreda"/>
        <w:ind w:hanging="708"/>
        <w:rPr>
          <w:rFonts w:ascii="Times New Roman" w:hAnsi="Times New Roman"/>
          <w:b/>
          <w:noProof/>
        </w:rPr>
      </w:pPr>
      <w:r>
        <w:rPr>
          <w:rFonts w:ascii="Times New Roman" w:hAnsi="Times New Roman"/>
          <w:b/>
          <w:noProof/>
        </w:rPr>
        <w:t xml:space="preserve">            </w:t>
      </w:r>
      <w:r w:rsidR="00BC3810" w:rsidRPr="00722358">
        <w:rPr>
          <w:rFonts w:ascii="Times New Roman" w:hAnsi="Times New Roman"/>
          <w:b/>
          <w:noProof/>
        </w:rPr>
        <w:t>BJELOVARSKO-BILOGORSKA ŽUPANIJA</w:t>
      </w:r>
    </w:p>
    <w:p w14:paraId="263BD4EC" w14:textId="2C24EA06" w:rsidR="00BC3810" w:rsidRPr="00722358" w:rsidRDefault="00BC3810" w:rsidP="00F300CD">
      <w:pPr>
        <w:pStyle w:val="Bezproreda"/>
        <w:ind w:left="708" w:hanging="708"/>
        <w:rPr>
          <w:rFonts w:ascii="Times New Roman" w:hAnsi="Times New Roman"/>
          <w:b/>
          <w:noProof/>
        </w:rPr>
      </w:pPr>
      <w:r w:rsidRPr="00722358">
        <w:rPr>
          <w:rFonts w:ascii="Times New Roman" w:hAnsi="Times New Roman"/>
          <w:b/>
          <w:noProof/>
        </w:rPr>
        <w:t xml:space="preserve">    </w:t>
      </w:r>
      <w:r w:rsidR="00F300CD">
        <w:rPr>
          <w:rFonts w:ascii="Times New Roman" w:hAnsi="Times New Roman"/>
          <w:b/>
          <w:noProof/>
        </w:rPr>
        <w:t xml:space="preserve">   </w:t>
      </w:r>
      <w:r w:rsidRPr="00722358">
        <w:rPr>
          <w:rFonts w:ascii="Times New Roman" w:hAnsi="Times New Roman"/>
          <w:b/>
          <w:noProof/>
        </w:rPr>
        <w:t xml:space="preserve"> GRAD  GAREŠNICA</w:t>
      </w:r>
    </w:p>
    <w:p w14:paraId="6064240B" w14:textId="76280F91" w:rsidR="00BC3810" w:rsidRPr="00722358" w:rsidRDefault="00BC3810" w:rsidP="00F300CD">
      <w:pPr>
        <w:pStyle w:val="Bezproreda"/>
        <w:ind w:left="708" w:hanging="708"/>
        <w:rPr>
          <w:rFonts w:ascii="Times New Roman" w:hAnsi="Times New Roman"/>
          <w:b/>
          <w:noProof/>
        </w:rPr>
      </w:pPr>
      <w:r w:rsidRPr="00722358">
        <w:rPr>
          <w:rFonts w:ascii="Times New Roman" w:hAnsi="Times New Roman"/>
          <w:b/>
          <w:noProof/>
        </w:rPr>
        <w:t xml:space="preserve">         </w:t>
      </w:r>
      <w:r w:rsidR="00F300CD">
        <w:rPr>
          <w:rFonts w:ascii="Times New Roman" w:hAnsi="Times New Roman"/>
          <w:b/>
          <w:noProof/>
        </w:rPr>
        <w:t xml:space="preserve">  </w:t>
      </w:r>
      <w:r w:rsidRPr="00722358">
        <w:rPr>
          <w:rFonts w:ascii="Times New Roman" w:hAnsi="Times New Roman"/>
          <w:b/>
          <w:noProof/>
        </w:rPr>
        <w:t>Gradsko vijeće</w:t>
      </w:r>
    </w:p>
    <w:p w14:paraId="7CC7B0AE" w14:textId="77777777" w:rsidR="000A621A" w:rsidRPr="00722358" w:rsidRDefault="000A621A" w:rsidP="00F300CD">
      <w:pPr>
        <w:pStyle w:val="Bezproreda"/>
        <w:ind w:left="708" w:hanging="708"/>
        <w:rPr>
          <w:rFonts w:ascii="Times New Roman" w:hAnsi="Times New Roman"/>
          <w:b/>
          <w:noProof/>
        </w:rPr>
      </w:pPr>
    </w:p>
    <w:p w14:paraId="13D1F8A0" w14:textId="6D955ABD" w:rsidR="00BC3810" w:rsidRPr="00722358" w:rsidRDefault="0082283F" w:rsidP="00BC3810">
      <w:pPr>
        <w:pStyle w:val="Bezproreda"/>
        <w:rPr>
          <w:rFonts w:ascii="Times New Roman" w:hAnsi="Times New Roman"/>
        </w:rPr>
      </w:pPr>
      <w:r w:rsidRPr="00722358">
        <w:rPr>
          <w:rFonts w:ascii="Times New Roman" w:hAnsi="Times New Roman"/>
        </w:rPr>
        <w:t>KLASA</w:t>
      </w:r>
      <w:r w:rsidR="00F300CD">
        <w:rPr>
          <w:rFonts w:ascii="Times New Roman" w:hAnsi="Times New Roman"/>
        </w:rPr>
        <w:t>:400-06/25-01/2</w:t>
      </w:r>
    </w:p>
    <w:p w14:paraId="793BDDE0" w14:textId="568C8FE3" w:rsidR="00BC3810" w:rsidRPr="00722358" w:rsidRDefault="0082283F" w:rsidP="00BC3810">
      <w:pPr>
        <w:pStyle w:val="Bezproreda"/>
        <w:rPr>
          <w:rFonts w:ascii="Times New Roman" w:hAnsi="Times New Roman"/>
        </w:rPr>
      </w:pPr>
      <w:r w:rsidRPr="00722358">
        <w:rPr>
          <w:rFonts w:ascii="Times New Roman" w:hAnsi="Times New Roman"/>
        </w:rPr>
        <w:t>URBROJ:</w:t>
      </w:r>
      <w:r w:rsidR="00F300CD">
        <w:rPr>
          <w:rFonts w:ascii="Times New Roman" w:hAnsi="Times New Roman"/>
        </w:rPr>
        <w:t>2103-4-01-25-1</w:t>
      </w:r>
    </w:p>
    <w:p w14:paraId="08BBCCB8" w14:textId="21FD2FEA" w:rsidR="00BC3810" w:rsidRPr="00722358" w:rsidRDefault="00BC3810" w:rsidP="00BC3810">
      <w:pPr>
        <w:pStyle w:val="Bezproreda"/>
        <w:rPr>
          <w:rFonts w:ascii="Times New Roman" w:hAnsi="Times New Roman"/>
        </w:rPr>
      </w:pPr>
      <w:r w:rsidRPr="00722358">
        <w:rPr>
          <w:rFonts w:ascii="Times New Roman" w:hAnsi="Times New Roman"/>
        </w:rPr>
        <w:t>Ga</w:t>
      </w:r>
      <w:r w:rsidR="0082283F" w:rsidRPr="00722358">
        <w:rPr>
          <w:rFonts w:ascii="Times New Roman" w:hAnsi="Times New Roman"/>
        </w:rPr>
        <w:t xml:space="preserve">rešnica, </w:t>
      </w:r>
      <w:r w:rsidR="00F300CD">
        <w:rPr>
          <w:rFonts w:ascii="Times New Roman" w:hAnsi="Times New Roman"/>
        </w:rPr>
        <w:t xml:space="preserve">18. lipnja 2025. godine </w:t>
      </w:r>
    </w:p>
    <w:p w14:paraId="2941A90C" w14:textId="0F1C8104" w:rsidR="00BC3810" w:rsidRPr="00722358" w:rsidRDefault="00BC3810" w:rsidP="00BC3810">
      <w:pPr>
        <w:pStyle w:val="Bezproreda"/>
        <w:rPr>
          <w:rFonts w:ascii="Times New Roman" w:hAnsi="Times New Roman"/>
        </w:rPr>
      </w:pPr>
    </w:p>
    <w:p w14:paraId="0F804AAC" w14:textId="04F2A66F" w:rsidR="00BC3810" w:rsidRDefault="00170157" w:rsidP="0068332F">
      <w:pPr>
        <w:pStyle w:val="Bezproreda"/>
        <w:jc w:val="both"/>
        <w:rPr>
          <w:rFonts w:ascii="Times New Roman" w:hAnsi="Times New Roman"/>
        </w:rPr>
      </w:pPr>
      <w:r w:rsidRPr="00722358">
        <w:rPr>
          <w:rFonts w:ascii="Times New Roman" w:hAnsi="Times New Roman"/>
          <w:lang w:eastAsia="en-US"/>
        </w:rPr>
        <w:t xml:space="preserve">Temeljem članka 89. Zakona o proračunu (NN 144/21), Pravilnika o polugodišnjem i godišnjem </w:t>
      </w:r>
      <w:r w:rsidR="00573D9D">
        <w:rPr>
          <w:rFonts w:ascii="Times New Roman" w:hAnsi="Times New Roman"/>
          <w:lang w:eastAsia="en-US"/>
        </w:rPr>
        <w:t>izvještaju o izvršenju proračuna  i financijskog plana</w:t>
      </w:r>
      <w:r w:rsidRPr="00722358">
        <w:rPr>
          <w:rFonts w:ascii="Times New Roman" w:hAnsi="Times New Roman"/>
          <w:lang w:eastAsia="en-US"/>
        </w:rPr>
        <w:t xml:space="preserve">  (NN </w:t>
      </w:r>
      <w:r w:rsidR="00FE7313" w:rsidRPr="00722358">
        <w:rPr>
          <w:rFonts w:ascii="Times New Roman" w:hAnsi="Times New Roman"/>
          <w:lang w:eastAsia="en-US"/>
        </w:rPr>
        <w:t>85/2023</w:t>
      </w:r>
      <w:r w:rsidRPr="00722358">
        <w:rPr>
          <w:rFonts w:ascii="Times New Roman" w:hAnsi="Times New Roman"/>
          <w:lang w:eastAsia="en-US"/>
        </w:rPr>
        <w:t xml:space="preserve">) i </w:t>
      </w:r>
      <w:r w:rsidRPr="00722358">
        <w:rPr>
          <w:rFonts w:ascii="Times New Roman" w:hAnsi="Times New Roman"/>
        </w:rPr>
        <w:t>članka 35. točke 5. Statuta Grada Garešnica (Službeni glasnik Grada Garešnica</w:t>
      </w:r>
      <w:r w:rsidR="0068332F">
        <w:rPr>
          <w:rFonts w:ascii="Times New Roman" w:hAnsi="Times New Roman"/>
        </w:rPr>
        <w:t>,</w:t>
      </w:r>
      <w:r w:rsidRPr="00722358">
        <w:rPr>
          <w:rFonts w:ascii="Times New Roman" w:hAnsi="Times New Roman"/>
        </w:rPr>
        <w:t xml:space="preserve"> broj</w:t>
      </w:r>
      <w:r w:rsidR="0068332F">
        <w:rPr>
          <w:rFonts w:ascii="Times New Roman" w:hAnsi="Times New Roman"/>
        </w:rPr>
        <w:t>:</w:t>
      </w:r>
      <w:r w:rsidRPr="00722358">
        <w:rPr>
          <w:rFonts w:ascii="Times New Roman" w:hAnsi="Times New Roman"/>
        </w:rPr>
        <w:t xml:space="preserve"> 2/21</w:t>
      </w:r>
      <w:r w:rsidR="00166979">
        <w:rPr>
          <w:rFonts w:ascii="Times New Roman" w:hAnsi="Times New Roman"/>
        </w:rPr>
        <w:t xml:space="preserve"> i 3/25</w:t>
      </w:r>
      <w:r w:rsidRPr="00722358">
        <w:rPr>
          <w:rFonts w:ascii="Times New Roman" w:hAnsi="Times New Roman"/>
        </w:rPr>
        <w:t xml:space="preserve">) Gradsko vijeće Grada Garešnica, na svojoj </w:t>
      </w:r>
      <w:r w:rsidR="00F300CD">
        <w:rPr>
          <w:rFonts w:ascii="Times New Roman" w:hAnsi="Times New Roman"/>
        </w:rPr>
        <w:t>2.</w:t>
      </w:r>
      <w:r w:rsidRPr="00722358">
        <w:rPr>
          <w:rFonts w:ascii="Times New Roman" w:hAnsi="Times New Roman"/>
        </w:rPr>
        <w:t xml:space="preserve"> sjednici održanoj </w:t>
      </w:r>
      <w:r w:rsidR="00FA69A1">
        <w:rPr>
          <w:rFonts w:ascii="Times New Roman" w:hAnsi="Times New Roman"/>
        </w:rPr>
        <w:t>dana</w:t>
      </w:r>
      <w:r w:rsidR="00166979">
        <w:rPr>
          <w:rFonts w:ascii="Times New Roman" w:hAnsi="Times New Roman"/>
        </w:rPr>
        <w:t xml:space="preserve"> </w:t>
      </w:r>
      <w:r w:rsidR="00F300CD">
        <w:rPr>
          <w:rFonts w:ascii="Times New Roman" w:hAnsi="Times New Roman"/>
        </w:rPr>
        <w:t xml:space="preserve">18. lipnja </w:t>
      </w:r>
      <w:r w:rsidR="00166979">
        <w:rPr>
          <w:rFonts w:ascii="Times New Roman" w:hAnsi="Times New Roman"/>
        </w:rPr>
        <w:t>2025</w:t>
      </w:r>
      <w:r w:rsidRPr="00722358">
        <w:rPr>
          <w:rFonts w:ascii="Times New Roman" w:hAnsi="Times New Roman"/>
        </w:rPr>
        <w:t>. godine, donijelo je</w:t>
      </w:r>
    </w:p>
    <w:p w14:paraId="20FA80AB" w14:textId="77777777" w:rsidR="0068332F" w:rsidRDefault="0068332F" w:rsidP="0068332F">
      <w:pPr>
        <w:pStyle w:val="Bezproreda"/>
        <w:jc w:val="both"/>
        <w:rPr>
          <w:rFonts w:ascii="Times New Roman" w:hAnsi="Times New Roman"/>
          <w:lang w:eastAsia="en-US"/>
        </w:rPr>
      </w:pPr>
    </w:p>
    <w:p w14:paraId="0B0A1800" w14:textId="77777777" w:rsidR="007523DF" w:rsidRDefault="007523DF" w:rsidP="0068332F">
      <w:pPr>
        <w:pStyle w:val="Bezproreda"/>
        <w:jc w:val="both"/>
        <w:rPr>
          <w:rFonts w:ascii="Times New Roman" w:hAnsi="Times New Roman"/>
          <w:lang w:eastAsia="en-US"/>
        </w:rPr>
      </w:pPr>
    </w:p>
    <w:p w14:paraId="3E9F2FEF" w14:textId="77777777" w:rsidR="007523DF" w:rsidRPr="00722358" w:rsidRDefault="007523DF" w:rsidP="0068332F">
      <w:pPr>
        <w:pStyle w:val="Bezproreda"/>
        <w:jc w:val="both"/>
        <w:rPr>
          <w:rFonts w:ascii="Times New Roman" w:hAnsi="Times New Roman"/>
          <w:lang w:eastAsia="en-US"/>
        </w:rPr>
      </w:pPr>
    </w:p>
    <w:p w14:paraId="47BD5511" w14:textId="3CCB759D" w:rsidR="00BC3810" w:rsidRPr="00722358" w:rsidRDefault="00573D9D" w:rsidP="00BC3810">
      <w:pPr>
        <w:jc w:val="center"/>
        <w:rPr>
          <w:rFonts w:ascii="Times New Roman" w:hAnsi="Times New Roman" w:cs="Times New Roman"/>
          <w:b/>
          <w:sz w:val="24"/>
          <w:szCs w:val="24"/>
        </w:rPr>
      </w:pPr>
      <w:r>
        <w:rPr>
          <w:rFonts w:ascii="Times New Roman" w:hAnsi="Times New Roman" w:cs="Times New Roman"/>
          <w:b/>
          <w:sz w:val="24"/>
          <w:szCs w:val="24"/>
        </w:rPr>
        <w:t xml:space="preserve">Godišnji </w:t>
      </w:r>
      <w:r w:rsidR="00AF0BE9" w:rsidRPr="00722358">
        <w:rPr>
          <w:rFonts w:ascii="Times New Roman" w:hAnsi="Times New Roman" w:cs="Times New Roman"/>
          <w:b/>
          <w:sz w:val="24"/>
          <w:szCs w:val="24"/>
        </w:rPr>
        <w:t xml:space="preserve"> </w:t>
      </w:r>
      <w:r>
        <w:rPr>
          <w:rFonts w:ascii="Times New Roman" w:hAnsi="Times New Roman" w:cs="Times New Roman"/>
          <w:b/>
          <w:sz w:val="24"/>
          <w:szCs w:val="24"/>
        </w:rPr>
        <w:t>izvještaj</w:t>
      </w:r>
      <w:r w:rsidR="00AF0BE9" w:rsidRPr="00722358">
        <w:rPr>
          <w:rFonts w:ascii="Times New Roman" w:hAnsi="Times New Roman" w:cs="Times New Roman"/>
          <w:b/>
          <w:sz w:val="24"/>
          <w:szCs w:val="24"/>
        </w:rPr>
        <w:t xml:space="preserve"> o izvršenju</w:t>
      </w:r>
      <w:r w:rsidR="00BC3810" w:rsidRPr="00722358">
        <w:rPr>
          <w:rFonts w:ascii="Times New Roman" w:hAnsi="Times New Roman" w:cs="Times New Roman"/>
          <w:b/>
          <w:sz w:val="24"/>
          <w:szCs w:val="24"/>
        </w:rPr>
        <w:t xml:space="preserve"> Proračuna</w:t>
      </w:r>
    </w:p>
    <w:p w14:paraId="457549F0" w14:textId="2D7C4843" w:rsidR="00BC3810" w:rsidRPr="00722358" w:rsidRDefault="00BC3810" w:rsidP="00BC3810">
      <w:pPr>
        <w:jc w:val="center"/>
        <w:rPr>
          <w:rFonts w:ascii="Times New Roman" w:hAnsi="Times New Roman" w:cs="Times New Roman"/>
          <w:b/>
          <w:sz w:val="24"/>
          <w:szCs w:val="24"/>
        </w:rPr>
      </w:pPr>
      <w:r w:rsidRPr="00722358">
        <w:rPr>
          <w:rFonts w:ascii="Times New Roman" w:hAnsi="Times New Roman" w:cs="Times New Roman"/>
          <w:b/>
          <w:sz w:val="24"/>
          <w:szCs w:val="24"/>
        </w:rPr>
        <w:t xml:space="preserve">Grada </w:t>
      </w:r>
      <w:r w:rsidR="00AA1476" w:rsidRPr="00722358">
        <w:rPr>
          <w:rFonts w:ascii="Times New Roman" w:hAnsi="Times New Roman" w:cs="Times New Roman"/>
          <w:b/>
          <w:sz w:val="24"/>
          <w:szCs w:val="24"/>
        </w:rPr>
        <w:t>Garešnica za 20</w:t>
      </w:r>
      <w:r w:rsidR="00FD7207" w:rsidRPr="00722358">
        <w:rPr>
          <w:rFonts w:ascii="Times New Roman" w:hAnsi="Times New Roman" w:cs="Times New Roman"/>
          <w:b/>
          <w:sz w:val="24"/>
          <w:szCs w:val="24"/>
        </w:rPr>
        <w:t>2</w:t>
      </w:r>
      <w:r w:rsidR="00166979">
        <w:rPr>
          <w:rFonts w:ascii="Times New Roman" w:hAnsi="Times New Roman" w:cs="Times New Roman"/>
          <w:b/>
          <w:sz w:val="24"/>
          <w:szCs w:val="24"/>
        </w:rPr>
        <w:t>4</w:t>
      </w:r>
      <w:r w:rsidRPr="00722358">
        <w:rPr>
          <w:rFonts w:ascii="Times New Roman" w:hAnsi="Times New Roman" w:cs="Times New Roman"/>
          <w:b/>
          <w:sz w:val="24"/>
          <w:szCs w:val="24"/>
        </w:rPr>
        <w:t>. godinu</w:t>
      </w:r>
    </w:p>
    <w:p w14:paraId="510D64C0" w14:textId="77777777" w:rsidR="00252EB7" w:rsidRPr="00722358" w:rsidRDefault="00252EB7" w:rsidP="00FE7313">
      <w:pPr>
        <w:rPr>
          <w:rFonts w:ascii="Times New Roman" w:hAnsi="Times New Roman" w:cs="Times New Roman"/>
          <w:b/>
        </w:rPr>
      </w:pPr>
    </w:p>
    <w:p w14:paraId="09DEF697" w14:textId="77777777" w:rsidR="00BC3810" w:rsidRPr="00722358" w:rsidRDefault="00BC3810" w:rsidP="00BC3810">
      <w:pPr>
        <w:jc w:val="center"/>
        <w:rPr>
          <w:rFonts w:ascii="Times New Roman" w:hAnsi="Times New Roman" w:cs="Times New Roman"/>
          <w:b/>
        </w:rPr>
      </w:pPr>
      <w:r w:rsidRPr="00722358">
        <w:rPr>
          <w:rFonts w:ascii="Times New Roman" w:hAnsi="Times New Roman" w:cs="Times New Roman"/>
          <w:b/>
        </w:rPr>
        <w:t>Članak 1.</w:t>
      </w:r>
    </w:p>
    <w:p w14:paraId="49A6B45B" w14:textId="075AF980" w:rsidR="00BC3810" w:rsidRPr="00722358" w:rsidRDefault="00573D9D" w:rsidP="00BC3810">
      <w:pPr>
        <w:jc w:val="both"/>
        <w:rPr>
          <w:rFonts w:ascii="Times New Roman" w:hAnsi="Times New Roman" w:cs="Times New Roman"/>
        </w:rPr>
      </w:pPr>
      <w:r>
        <w:rPr>
          <w:rFonts w:ascii="Times New Roman" w:hAnsi="Times New Roman" w:cs="Times New Roman"/>
        </w:rPr>
        <w:t>Godišnji izvještaj</w:t>
      </w:r>
      <w:r w:rsidR="00252EB7" w:rsidRPr="00722358">
        <w:rPr>
          <w:rFonts w:ascii="Times New Roman" w:hAnsi="Times New Roman" w:cs="Times New Roman"/>
        </w:rPr>
        <w:t xml:space="preserve"> o izvršenju P</w:t>
      </w:r>
      <w:r w:rsidR="00AA1476" w:rsidRPr="00722358">
        <w:rPr>
          <w:rFonts w:ascii="Times New Roman" w:hAnsi="Times New Roman" w:cs="Times New Roman"/>
        </w:rPr>
        <w:t>roračuna Grada Garešnica za 20</w:t>
      </w:r>
      <w:r w:rsidR="00FD7207" w:rsidRPr="00722358">
        <w:rPr>
          <w:rFonts w:ascii="Times New Roman" w:hAnsi="Times New Roman" w:cs="Times New Roman"/>
        </w:rPr>
        <w:t>2</w:t>
      </w:r>
      <w:r w:rsidR="00166979">
        <w:rPr>
          <w:rFonts w:ascii="Times New Roman" w:hAnsi="Times New Roman" w:cs="Times New Roman"/>
        </w:rPr>
        <w:t>4</w:t>
      </w:r>
      <w:r w:rsidR="00BC3810" w:rsidRPr="00722358">
        <w:rPr>
          <w:rFonts w:ascii="Times New Roman" w:hAnsi="Times New Roman" w:cs="Times New Roman"/>
        </w:rPr>
        <w:t>. godinu sadrži:</w:t>
      </w:r>
    </w:p>
    <w:p w14:paraId="1B61D510" w14:textId="265BA720" w:rsidR="00BC3810" w:rsidRPr="00722358" w:rsidRDefault="00BC3810" w:rsidP="006C274F">
      <w:pPr>
        <w:pStyle w:val="Bezproreda"/>
        <w:numPr>
          <w:ilvl w:val="0"/>
          <w:numId w:val="1"/>
        </w:numPr>
        <w:ind w:left="426" w:hanging="426"/>
        <w:jc w:val="both"/>
        <w:rPr>
          <w:rFonts w:ascii="Times New Roman" w:hAnsi="Times New Roman"/>
        </w:rPr>
      </w:pPr>
      <w:r w:rsidRPr="00722358">
        <w:rPr>
          <w:rFonts w:ascii="Times New Roman" w:hAnsi="Times New Roman"/>
        </w:rPr>
        <w:t xml:space="preserve">Opći dio </w:t>
      </w:r>
      <w:r w:rsidR="0099274F" w:rsidRPr="00722358">
        <w:rPr>
          <w:rFonts w:ascii="Times New Roman" w:hAnsi="Times New Roman"/>
        </w:rPr>
        <w:t>izvršenja p</w:t>
      </w:r>
      <w:r w:rsidRPr="00722358">
        <w:rPr>
          <w:rFonts w:ascii="Times New Roman" w:hAnsi="Times New Roman"/>
        </w:rPr>
        <w:t xml:space="preserve">roračuna koji čini </w:t>
      </w:r>
      <w:r w:rsidR="00FE7313" w:rsidRPr="00722358">
        <w:rPr>
          <w:rFonts w:ascii="Times New Roman" w:hAnsi="Times New Roman"/>
        </w:rPr>
        <w:t xml:space="preserve">sažetak Računa prihoda i rashoda i Računa financiranja, </w:t>
      </w:r>
      <w:r w:rsidRPr="00722358">
        <w:rPr>
          <w:rFonts w:ascii="Times New Roman" w:hAnsi="Times New Roman"/>
        </w:rPr>
        <w:t>Račun prihoda i rashoda</w:t>
      </w:r>
      <w:r w:rsidR="0007513B" w:rsidRPr="00722358">
        <w:rPr>
          <w:rFonts w:ascii="Times New Roman" w:hAnsi="Times New Roman"/>
        </w:rPr>
        <w:t xml:space="preserve"> prema ekonomskoj klasifikaciji, izvorima financiranja i rashodi</w:t>
      </w:r>
      <w:r w:rsidR="0099274F" w:rsidRPr="00722358">
        <w:rPr>
          <w:rFonts w:ascii="Times New Roman" w:hAnsi="Times New Roman"/>
        </w:rPr>
        <w:t>ma</w:t>
      </w:r>
      <w:r w:rsidR="0007513B" w:rsidRPr="00722358">
        <w:rPr>
          <w:rFonts w:ascii="Times New Roman" w:hAnsi="Times New Roman"/>
        </w:rPr>
        <w:t xml:space="preserve"> prema funkcijskoj klasifikaciji</w:t>
      </w:r>
      <w:r w:rsidRPr="00722358">
        <w:rPr>
          <w:rFonts w:ascii="Times New Roman" w:hAnsi="Times New Roman"/>
        </w:rPr>
        <w:t xml:space="preserve"> i Račun financiranja </w:t>
      </w:r>
      <w:r w:rsidR="0007513B" w:rsidRPr="00722358">
        <w:rPr>
          <w:rFonts w:ascii="Times New Roman" w:hAnsi="Times New Roman"/>
        </w:rPr>
        <w:t>prema ekonomskoj klasifikaciji  i izvorima financiranja</w:t>
      </w:r>
      <w:r w:rsidR="00133B72" w:rsidRPr="00722358">
        <w:rPr>
          <w:rFonts w:ascii="Times New Roman" w:hAnsi="Times New Roman"/>
        </w:rPr>
        <w:t>.</w:t>
      </w:r>
    </w:p>
    <w:p w14:paraId="13377DAA" w14:textId="676FF106" w:rsidR="00BC3810" w:rsidRPr="00722358" w:rsidRDefault="00BC3810" w:rsidP="006C274F">
      <w:pPr>
        <w:pStyle w:val="Bezproreda"/>
        <w:numPr>
          <w:ilvl w:val="0"/>
          <w:numId w:val="1"/>
        </w:numPr>
        <w:ind w:left="426" w:hanging="426"/>
        <w:jc w:val="both"/>
        <w:rPr>
          <w:rFonts w:ascii="Times New Roman" w:hAnsi="Times New Roman"/>
        </w:rPr>
      </w:pPr>
      <w:r w:rsidRPr="00722358">
        <w:rPr>
          <w:rFonts w:ascii="Times New Roman" w:hAnsi="Times New Roman"/>
        </w:rPr>
        <w:t>Poseb</w:t>
      </w:r>
      <w:r w:rsidR="00573D9D">
        <w:rPr>
          <w:rFonts w:ascii="Times New Roman" w:hAnsi="Times New Roman"/>
        </w:rPr>
        <w:t>ni</w:t>
      </w:r>
      <w:r w:rsidRPr="00722358">
        <w:rPr>
          <w:rFonts w:ascii="Times New Roman" w:hAnsi="Times New Roman"/>
        </w:rPr>
        <w:t xml:space="preserve"> dio</w:t>
      </w:r>
      <w:r w:rsidR="0099274F" w:rsidRPr="00722358">
        <w:rPr>
          <w:rFonts w:ascii="Times New Roman" w:hAnsi="Times New Roman"/>
        </w:rPr>
        <w:t xml:space="preserve"> sadrži izvršenje</w:t>
      </w:r>
      <w:r w:rsidR="0020530E" w:rsidRPr="00722358">
        <w:rPr>
          <w:rFonts w:ascii="Times New Roman" w:hAnsi="Times New Roman"/>
        </w:rPr>
        <w:t xml:space="preserve"> rashoda </w:t>
      </w:r>
      <w:r w:rsidR="00FE7313" w:rsidRPr="00722358">
        <w:rPr>
          <w:rFonts w:ascii="Times New Roman" w:hAnsi="Times New Roman"/>
        </w:rPr>
        <w:t>i</w:t>
      </w:r>
      <w:r w:rsidR="0020530E" w:rsidRPr="00722358">
        <w:rPr>
          <w:rFonts w:ascii="Times New Roman" w:hAnsi="Times New Roman"/>
        </w:rPr>
        <w:t xml:space="preserve"> izdataka proračuna iskazanih po or</w:t>
      </w:r>
      <w:r w:rsidRPr="00722358">
        <w:rPr>
          <w:rFonts w:ascii="Times New Roman" w:hAnsi="Times New Roman"/>
        </w:rPr>
        <w:t>ganizacijsko</w:t>
      </w:r>
      <w:r w:rsidR="000C3236" w:rsidRPr="00722358">
        <w:rPr>
          <w:rFonts w:ascii="Times New Roman" w:hAnsi="Times New Roman"/>
        </w:rPr>
        <w:t>j</w:t>
      </w:r>
      <w:r w:rsidR="0099274F" w:rsidRPr="00722358">
        <w:rPr>
          <w:rFonts w:ascii="Times New Roman" w:hAnsi="Times New Roman"/>
        </w:rPr>
        <w:t xml:space="preserve"> </w:t>
      </w:r>
      <w:r w:rsidR="00FE7313" w:rsidRPr="00722358">
        <w:rPr>
          <w:rFonts w:ascii="Times New Roman" w:hAnsi="Times New Roman"/>
        </w:rPr>
        <w:t>i programskoj klasifikaciji.</w:t>
      </w:r>
      <w:r w:rsidR="00133B72" w:rsidRPr="00722358">
        <w:rPr>
          <w:rFonts w:ascii="Times New Roman" w:hAnsi="Times New Roman"/>
        </w:rPr>
        <w:t xml:space="preserve"> Izvještaj po programskoj klasifikaciji sadrži prikaz rashoda i izdataka proračuna iskazanih po organizacijskoj klasifikaciji, izvorima financiranja i ekonomskoj klasifikaciji, raspoređenih u programe koji se sastoje od aktivnosti i projekata. </w:t>
      </w:r>
      <w:r w:rsidR="0020530E" w:rsidRPr="00722358">
        <w:rPr>
          <w:rFonts w:ascii="Times New Roman" w:hAnsi="Times New Roman"/>
        </w:rPr>
        <w:t xml:space="preserve"> </w:t>
      </w:r>
    </w:p>
    <w:p w14:paraId="07CF262D" w14:textId="3B8C0CE1" w:rsidR="00BC3810" w:rsidRPr="00722358" w:rsidRDefault="00BC3810" w:rsidP="006C274F">
      <w:pPr>
        <w:pStyle w:val="Bezproreda"/>
        <w:numPr>
          <w:ilvl w:val="0"/>
          <w:numId w:val="1"/>
        </w:numPr>
        <w:ind w:left="426" w:hanging="426"/>
        <w:jc w:val="both"/>
        <w:rPr>
          <w:rFonts w:ascii="Times New Roman" w:hAnsi="Times New Roman"/>
        </w:rPr>
      </w:pPr>
      <w:r w:rsidRPr="00722358">
        <w:rPr>
          <w:rFonts w:ascii="Times New Roman" w:hAnsi="Times New Roman"/>
        </w:rPr>
        <w:t xml:space="preserve">Obrazloženje </w:t>
      </w:r>
      <w:r w:rsidR="00AE5F08" w:rsidRPr="00722358">
        <w:rPr>
          <w:rFonts w:ascii="Times New Roman" w:hAnsi="Times New Roman"/>
        </w:rPr>
        <w:t>općeg dijela izvještaja o izvršenju proračuna,</w:t>
      </w:r>
    </w:p>
    <w:p w14:paraId="5E1207E9" w14:textId="50BB2738" w:rsidR="00BA16A2" w:rsidRPr="00722358" w:rsidRDefault="00BA16A2" w:rsidP="006C274F">
      <w:pPr>
        <w:pStyle w:val="Bezproreda"/>
        <w:numPr>
          <w:ilvl w:val="0"/>
          <w:numId w:val="1"/>
        </w:numPr>
        <w:ind w:left="426" w:hanging="426"/>
        <w:jc w:val="both"/>
        <w:rPr>
          <w:rFonts w:ascii="Times New Roman" w:hAnsi="Times New Roman"/>
        </w:rPr>
      </w:pPr>
      <w:r w:rsidRPr="00722358">
        <w:rPr>
          <w:rFonts w:ascii="Times New Roman" w:hAnsi="Times New Roman"/>
        </w:rPr>
        <w:t>Obrazloženje</w:t>
      </w:r>
      <w:r w:rsidR="00AE5F08" w:rsidRPr="00722358">
        <w:rPr>
          <w:rFonts w:ascii="Times New Roman" w:hAnsi="Times New Roman"/>
        </w:rPr>
        <w:t xml:space="preserve"> izvršenja</w:t>
      </w:r>
      <w:r w:rsidRPr="00722358">
        <w:rPr>
          <w:rFonts w:ascii="Times New Roman" w:hAnsi="Times New Roman"/>
        </w:rPr>
        <w:t xml:space="preserve"> posebnog dijela proračuna,</w:t>
      </w:r>
    </w:p>
    <w:p w14:paraId="2472A11D" w14:textId="77777777" w:rsidR="009151D8" w:rsidRPr="00722358" w:rsidRDefault="009151D8" w:rsidP="009151D8">
      <w:pPr>
        <w:pStyle w:val="Bezproreda"/>
        <w:numPr>
          <w:ilvl w:val="0"/>
          <w:numId w:val="1"/>
        </w:numPr>
        <w:ind w:left="426" w:hanging="426"/>
        <w:jc w:val="both"/>
        <w:rPr>
          <w:rFonts w:ascii="Times New Roman" w:hAnsi="Times New Roman"/>
        </w:rPr>
      </w:pPr>
      <w:r w:rsidRPr="00722358">
        <w:rPr>
          <w:rFonts w:ascii="Times New Roman" w:hAnsi="Times New Roman"/>
        </w:rPr>
        <w:t>Izvještaj o korištenju proračunske zalihe,</w:t>
      </w:r>
    </w:p>
    <w:p w14:paraId="5C9B8EB4" w14:textId="77777777" w:rsidR="009151D8" w:rsidRPr="00722358" w:rsidRDefault="009151D8" w:rsidP="009151D8">
      <w:pPr>
        <w:pStyle w:val="Bezproreda"/>
        <w:numPr>
          <w:ilvl w:val="0"/>
          <w:numId w:val="1"/>
        </w:numPr>
        <w:ind w:left="426" w:hanging="426"/>
        <w:jc w:val="both"/>
        <w:rPr>
          <w:rFonts w:ascii="Times New Roman" w:hAnsi="Times New Roman"/>
        </w:rPr>
      </w:pPr>
      <w:r w:rsidRPr="00722358">
        <w:rPr>
          <w:rFonts w:ascii="Times New Roman" w:hAnsi="Times New Roman"/>
        </w:rPr>
        <w:t>Izvještaj o zaduživanju na domaćem i stranom tržištu novca i kapitala,</w:t>
      </w:r>
    </w:p>
    <w:p w14:paraId="56BE7FEF" w14:textId="77777777" w:rsidR="009151D8" w:rsidRDefault="009151D8" w:rsidP="009151D8">
      <w:pPr>
        <w:pStyle w:val="Bezproreda"/>
        <w:numPr>
          <w:ilvl w:val="0"/>
          <w:numId w:val="1"/>
        </w:numPr>
        <w:ind w:left="426" w:hanging="426"/>
        <w:jc w:val="both"/>
        <w:rPr>
          <w:rFonts w:ascii="Times New Roman" w:hAnsi="Times New Roman"/>
        </w:rPr>
      </w:pPr>
      <w:r w:rsidRPr="00722358">
        <w:rPr>
          <w:rFonts w:ascii="Times New Roman" w:hAnsi="Times New Roman"/>
        </w:rPr>
        <w:t>Izvještaj o danim jamstvima i plaćanjima po protestiranim jamstvima</w:t>
      </w:r>
    </w:p>
    <w:p w14:paraId="34621012" w14:textId="39ECDEB3" w:rsidR="009151D8" w:rsidRDefault="009151D8" w:rsidP="009151D8">
      <w:pPr>
        <w:pStyle w:val="Bezproreda"/>
        <w:numPr>
          <w:ilvl w:val="0"/>
          <w:numId w:val="1"/>
        </w:numPr>
        <w:ind w:left="426" w:hanging="426"/>
        <w:jc w:val="both"/>
        <w:rPr>
          <w:rFonts w:ascii="Times New Roman" w:hAnsi="Times New Roman"/>
        </w:rPr>
      </w:pPr>
      <w:r>
        <w:rPr>
          <w:rFonts w:ascii="Times New Roman" w:hAnsi="Times New Roman"/>
        </w:rPr>
        <w:t>Izvještaj o korištenju sredstava fondova Europske unije,</w:t>
      </w:r>
    </w:p>
    <w:p w14:paraId="572595A8" w14:textId="45677F87" w:rsidR="009151D8" w:rsidRDefault="009151D8" w:rsidP="009151D8">
      <w:pPr>
        <w:pStyle w:val="Bezproreda"/>
        <w:numPr>
          <w:ilvl w:val="0"/>
          <w:numId w:val="1"/>
        </w:numPr>
        <w:ind w:left="426" w:hanging="426"/>
        <w:jc w:val="both"/>
        <w:rPr>
          <w:rFonts w:ascii="Times New Roman" w:hAnsi="Times New Roman"/>
        </w:rPr>
      </w:pPr>
      <w:r>
        <w:rPr>
          <w:rFonts w:ascii="Times New Roman" w:hAnsi="Times New Roman"/>
        </w:rPr>
        <w:t>Izvještaj o danim zajmovima i potraživanjima po danim zajmovima i</w:t>
      </w:r>
    </w:p>
    <w:p w14:paraId="0983B002" w14:textId="77622426" w:rsidR="009151D8" w:rsidRPr="00722358" w:rsidRDefault="009151D8" w:rsidP="009151D8">
      <w:pPr>
        <w:pStyle w:val="Bezproreda"/>
        <w:numPr>
          <w:ilvl w:val="0"/>
          <w:numId w:val="1"/>
        </w:numPr>
        <w:ind w:left="426" w:hanging="426"/>
        <w:jc w:val="both"/>
        <w:rPr>
          <w:rFonts w:ascii="Times New Roman" w:hAnsi="Times New Roman"/>
        </w:rPr>
      </w:pPr>
      <w:r>
        <w:rPr>
          <w:rFonts w:ascii="Times New Roman" w:hAnsi="Times New Roman"/>
        </w:rPr>
        <w:t>Izvještaj o stanju potraživanja i dospjelih obveza te o stanju potencijalnih obveza po osnovi sudskih sporova.</w:t>
      </w:r>
    </w:p>
    <w:p w14:paraId="4884169E" w14:textId="77777777" w:rsidR="00252EB7" w:rsidRDefault="00252EB7" w:rsidP="00BC3810">
      <w:pPr>
        <w:pStyle w:val="Bezproreda"/>
        <w:rPr>
          <w:rFonts w:ascii="Times New Roman" w:hAnsi="Times New Roman"/>
        </w:rPr>
      </w:pPr>
    </w:p>
    <w:p w14:paraId="748B8DC6" w14:textId="77777777" w:rsidR="007523DF" w:rsidRPr="00722358" w:rsidRDefault="007523DF" w:rsidP="00BC3810">
      <w:pPr>
        <w:pStyle w:val="Bezproreda"/>
        <w:rPr>
          <w:rFonts w:ascii="Times New Roman" w:hAnsi="Times New Roman"/>
        </w:rPr>
      </w:pPr>
    </w:p>
    <w:p w14:paraId="0E649640" w14:textId="77777777" w:rsidR="00BC3810" w:rsidRPr="00722358" w:rsidRDefault="00BC3810" w:rsidP="00BC3810">
      <w:pPr>
        <w:jc w:val="center"/>
        <w:rPr>
          <w:rFonts w:ascii="Times New Roman" w:hAnsi="Times New Roman" w:cs="Times New Roman"/>
          <w:b/>
        </w:rPr>
      </w:pPr>
      <w:r w:rsidRPr="00722358">
        <w:rPr>
          <w:rFonts w:ascii="Times New Roman" w:hAnsi="Times New Roman" w:cs="Times New Roman"/>
          <w:b/>
        </w:rPr>
        <w:t>Članak 2.</w:t>
      </w:r>
    </w:p>
    <w:p w14:paraId="43E4C97A" w14:textId="67D72D58" w:rsidR="00BC3810" w:rsidRPr="00722358" w:rsidRDefault="00BC3810" w:rsidP="00BC3810">
      <w:pPr>
        <w:jc w:val="both"/>
        <w:rPr>
          <w:rFonts w:ascii="Times New Roman" w:hAnsi="Times New Roman" w:cs="Times New Roman"/>
        </w:rPr>
      </w:pPr>
      <w:r w:rsidRPr="00722358">
        <w:rPr>
          <w:rFonts w:ascii="Times New Roman" w:hAnsi="Times New Roman" w:cs="Times New Roman"/>
        </w:rPr>
        <w:t xml:space="preserve">Donosi se </w:t>
      </w:r>
      <w:r w:rsidR="009151D8">
        <w:rPr>
          <w:rFonts w:ascii="Times New Roman" w:hAnsi="Times New Roman" w:cs="Times New Roman"/>
        </w:rPr>
        <w:t>God</w:t>
      </w:r>
      <w:r w:rsidR="000C24A8" w:rsidRPr="00722358">
        <w:rPr>
          <w:rFonts w:ascii="Times New Roman" w:hAnsi="Times New Roman" w:cs="Times New Roman"/>
        </w:rPr>
        <w:t>išn</w:t>
      </w:r>
      <w:r w:rsidR="009151D8">
        <w:rPr>
          <w:rFonts w:ascii="Times New Roman" w:hAnsi="Times New Roman" w:cs="Times New Roman"/>
        </w:rPr>
        <w:t>ji izvještaj</w:t>
      </w:r>
      <w:r w:rsidR="00AF0BE9" w:rsidRPr="00722358">
        <w:rPr>
          <w:rFonts w:ascii="Times New Roman" w:hAnsi="Times New Roman" w:cs="Times New Roman"/>
        </w:rPr>
        <w:t xml:space="preserve"> o izvršenju p</w:t>
      </w:r>
      <w:r w:rsidR="00AA1476" w:rsidRPr="00722358">
        <w:rPr>
          <w:rFonts w:ascii="Times New Roman" w:hAnsi="Times New Roman" w:cs="Times New Roman"/>
        </w:rPr>
        <w:t>roračuna Grada Garešnica za 20</w:t>
      </w:r>
      <w:r w:rsidR="00017DAF" w:rsidRPr="00722358">
        <w:rPr>
          <w:rFonts w:ascii="Times New Roman" w:hAnsi="Times New Roman" w:cs="Times New Roman"/>
        </w:rPr>
        <w:t>2</w:t>
      </w:r>
      <w:r w:rsidR="00166979">
        <w:rPr>
          <w:rFonts w:ascii="Times New Roman" w:hAnsi="Times New Roman" w:cs="Times New Roman"/>
        </w:rPr>
        <w:t>4</w:t>
      </w:r>
      <w:r w:rsidRPr="00722358">
        <w:rPr>
          <w:rFonts w:ascii="Times New Roman" w:hAnsi="Times New Roman" w:cs="Times New Roman"/>
        </w:rPr>
        <w:t>. godinu kako slijedi:</w:t>
      </w:r>
    </w:p>
    <w:p w14:paraId="402D9BD2" w14:textId="77777777" w:rsidR="00BC3810" w:rsidRPr="00722358" w:rsidRDefault="00BC3810" w:rsidP="00BC3810">
      <w:pPr>
        <w:jc w:val="both"/>
        <w:rPr>
          <w:rFonts w:asciiTheme="minorHAnsi" w:hAnsiTheme="minorHAnsi" w:cstheme="minorHAnsi"/>
        </w:rPr>
        <w:sectPr w:rsidR="00BC3810" w:rsidRPr="00722358" w:rsidSect="0068332F">
          <w:headerReference w:type="default" r:id="rId9"/>
          <w:pgSz w:w="11906" w:h="16838"/>
          <w:pgMar w:top="0" w:right="1417" w:bottom="1417" w:left="1417" w:header="708" w:footer="708" w:gutter="0"/>
          <w:pgNumType w:start="1"/>
          <w:cols w:space="708"/>
          <w:docGrid w:linePitch="360"/>
        </w:sectPr>
      </w:pPr>
    </w:p>
    <w:p w14:paraId="30BF9943" w14:textId="77777777" w:rsidR="00B21CC2" w:rsidRPr="00722358" w:rsidRDefault="00B21CC2" w:rsidP="00D6529A">
      <w:pPr>
        <w:spacing w:after="0" w:line="240" w:lineRule="auto"/>
        <w:rPr>
          <w:rFonts w:asciiTheme="minorHAnsi" w:hAnsiTheme="minorHAnsi" w:cs="Times New Roman"/>
          <w:b/>
          <w:bCs/>
          <w:color w:val="000000"/>
          <w:sz w:val="24"/>
          <w:szCs w:val="24"/>
          <w:lang w:eastAsia="hr-HR"/>
        </w:rPr>
      </w:pPr>
    </w:p>
    <w:p w14:paraId="41676E3D" w14:textId="77777777" w:rsidR="00C753C7" w:rsidRPr="00722358" w:rsidRDefault="00C753C7" w:rsidP="008D0378">
      <w:pPr>
        <w:spacing w:after="0" w:line="240" w:lineRule="auto"/>
        <w:jc w:val="center"/>
        <w:rPr>
          <w:rFonts w:asciiTheme="minorHAnsi" w:hAnsiTheme="minorHAnsi" w:cs="Times New Roman"/>
          <w:b/>
          <w:bCs/>
          <w:color w:val="000000"/>
          <w:sz w:val="24"/>
          <w:szCs w:val="24"/>
          <w:lang w:eastAsia="hr-HR"/>
        </w:rPr>
      </w:pPr>
    </w:p>
    <w:p w14:paraId="37FCFE44" w14:textId="77777777" w:rsidR="008D0378" w:rsidRPr="00722358" w:rsidRDefault="008D0378" w:rsidP="003734CB">
      <w:pPr>
        <w:pStyle w:val="Odlomakpopisa"/>
        <w:numPr>
          <w:ilvl w:val="0"/>
          <w:numId w:val="2"/>
        </w:numPr>
        <w:jc w:val="center"/>
        <w:rPr>
          <w:b/>
          <w:bCs/>
          <w:color w:val="000000"/>
        </w:rPr>
      </w:pPr>
      <w:r w:rsidRPr="00722358">
        <w:rPr>
          <w:b/>
          <w:bCs/>
          <w:color w:val="000000"/>
        </w:rPr>
        <w:t>Izvještaj o izvršenju općeg dijela proračuna</w:t>
      </w:r>
    </w:p>
    <w:p w14:paraId="7FB343F3" w14:textId="7E88C260" w:rsidR="00F0344A" w:rsidRPr="00722358" w:rsidRDefault="00F0344A" w:rsidP="00F0344A">
      <w:pPr>
        <w:jc w:val="center"/>
        <w:rPr>
          <w:rFonts w:asciiTheme="minorHAnsi" w:hAnsiTheme="minorHAnsi"/>
          <w:b/>
          <w:bCs/>
          <w:color w:val="000000"/>
        </w:rPr>
      </w:pPr>
    </w:p>
    <w:p w14:paraId="318C4572" w14:textId="77777777" w:rsidR="000B2435" w:rsidRPr="00722358" w:rsidRDefault="000B2435" w:rsidP="00F0344A">
      <w:pPr>
        <w:jc w:val="center"/>
        <w:rPr>
          <w:rFonts w:asciiTheme="minorHAnsi" w:hAnsiTheme="minorHAnsi"/>
          <w:b/>
          <w:bCs/>
          <w:color w:val="000000"/>
        </w:rPr>
      </w:pPr>
    </w:p>
    <w:p w14:paraId="46194D9D" w14:textId="4620AC44" w:rsidR="005710B7" w:rsidRPr="00722358" w:rsidRDefault="005710B7" w:rsidP="003734CB">
      <w:pPr>
        <w:pStyle w:val="Odlomakpopisa"/>
        <w:numPr>
          <w:ilvl w:val="1"/>
          <w:numId w:val="2"/>
        </w:numPr>
        <w:jc w:val="center"/>
        <w:rPr>
          <w:b/>
          <w:bCs/>
          <w:color w:val="000000"/>
        </w:rPr>
      </w:pPr>
      <w:r w:rsidRPr="00722358">
        <w:rPr>
          <w:b/>
          <w:bCs/>
          <w:color w:val="000000"/>
        </w:rPr>
        <w:t>Sažetak Računa prihoda i rashoda i Računa financiranja</w:t>
      </w:r>
    </w:p>
    <w:p w14:paraId="26254443" w14:textId="77777777" w:rsidR="000B2435" w:rsidRDefault="000B2435" w:rsidP="000B2435">
      <w:pPr>
        <w:pStyle w:val="Odlomakpopisa"/>
        <w:rPr>
          <w:rFonts w:asciiTheme="minorHAnsi" w:hAnsiTheme="minorHAnsi"/>
          <w:b/>
          <w:bCs/>
          <w:color w:val="000000"/>
        </w:rPr>
      </w:pPr>
    </w:p>
    <w:p w14:paraId="4C9FB49E" w14:textId="77777777" w:rsidR="00DF3C01" w:rsidRPr="00583CB4" w:rsidRDefault="00DF3C01" w:rsidP="00583CB4">
      <w:pPr>
        <w:rPr>
          <w:rFonts w:asciiTheme="minorHAnsi" w:hAnsiTheme="minorHAnsi"/>
          <w:b/>
          <w:bCs/>
          <w:color w:val="000000"/>
        </w:rPr>
      </w:pPr>
    </w:p>
    <w:p w14:paraId="48F15B5D" w14:textId="77777777" w:rsidR="00DF3C01" w:rsidRDefault="00DF3C01" w:rsidP="000B2435">
      <w:pPr>
        <w:pStyle w:val="Odlomakpopisa"/>
        <w:rPr>
          <w:rFonts w:asciiTheme="minorHAnsi" w:hAnsiTheme="minorHAnsi"/>
          <w:b/>
          <w:bCs/>
          <w:color w:val="000000"/>
        </w:rPr>
      </w:pPr>
    </w:p>
    <w:tbl>
      <w:tblPr>
        <w:tblW w:w="14517" w:type="dxa"/>
        <w:tblLook w:val="04A0" w:firstRow="1" w:lastRow="0" w:firstColumn="1" w:lastColumn="0" w:noHBand="0" w:noVBand="1"/>
      </w:tblPr>
      <w:tblGrid>
        <w:gridCol w:w="6237"/>
        <w:gridCol w:w="1760"/>
        <w:gridCol w:w="2140"/>
        <w:gridCol w:w="1780"/>
        <w:gridCol w:w="1360"/>
        <w:gridCol w:w="1240"/>
      </w:tblGrid>
      <w:tr w:rsidR="00583CB4" w:rsidRPr="00583CB4" w14:paraId="14C814C9" w14:textId="77777777" w:rsidTr="00583CB4">
        <w:trPr>
          <w:trHeight w:val="255"/>
        </w:trPr>
        <w:tc>
          <w:tcPr>
            <w:tcW w:w="6237" w:type="dxa"/>
            <w:tcBorders>
              <w:top w:val="nil"/>
              <w:left w:val="nil"/>
              <w:bottom w:val="nil"/>
              <w:right w:val="nil"/>
            </w:tcBorders>
            <w:shd w:val="clear" w:color="000000" w:fill="C0C0C0"/>
            <w:noWrap/>
            <w:vAlign w:val="bottom"/>
            <w:hideMark/>
          </w:tcPr>
          <w:p w14:paraId="557AB7FF" w14:textId="77777777" w:rsidR="00583CB4" w:rsidRPr="00583CB4" w:rsidRDefault="00583CB4" w:rsidP="00583CB4">
            <w:pPr>
              <w:spacing w:after="0" w:line="240" w:lineRule="auto"/>
              <w:jc w:val="center"/>
              <w:rPr>
                <w:rFonts w:ascii="Arial" w:hAnsi="Arial" w:cs="Arial"/>
                <w:b/>
                <w:bCs/>
                <w:sz w:val="18"/>
                <w:szCs w:val="18"/>
                <w:lang w:eastAsia="hr-HR"/>
              </w:rPr>
            </w:pPr>
            <w:r w:rsidRPr="00583CB4">
              <w:rPr>
                <w:rFonts w:ascii="Arial" w:hAnsi="Arial" w:cs="Arial"/>
                <w:b/>
                <w:bCs/>
                <w:sz w:val="18"/>
                <w:szCs w:val="18"/>
                <w:lang w:eastAsia="hr-HR"/>
              </w:rPr>
              <w:t>Račun / opis</w:t>
            </w:r>
          </w:p>
        </w:tc>
        <w:tc>
          <w:tcPr>
            <w:tcW w:w="1760" w:type="dxa"/>
            <w:tcBorders>
              <w:top w:val="nil"/>
              <w:left w:val="nil"/>
              <w:bottom w:val="nil"/>
              <w:right w:val="nil"/>
            </w:tcBorders>
            <w:shd w:val="clear" w:color="000000" w:fill="C0C0C0"/>
            <w:noWrap/>
            <w:vAlign w:val="bottom"/>
            <w:hideMark/>
          </w:tcPr>
          <w:p w14:paraId="5FF1A121" w14:textId="77777777" w:rsidR="00583CB4" w:rsidRPr="00583CB4" w:rsidRDefault="00583CB4" w:rsidP="00583CB4">
            <w:pPr>
              <w:spacing w:after="0" w:line="240" w:lineRule="auto"/>
              <w:jc w:val="center"/>
              <w:rPr>
                <w:rFonts w:ascii="Arial" w:hAnsi="Arial" w:cs="Arial"/>
                <w:b/>
                <w:bCs/>
                <w:sz w:val="18"/>
                <w:szCs w:val="18"/>
                <w:lang w:eastAsia="hr-HR"/>
              </w:rPr>
            </w:pPr>
            <w:r w:rsidRPr="00583CB4">
              <w:rPr>
                <w:rFonts w:ascii="Arial" w:hAnsi="Arial" w:cs="Arial"/>
                <w:b/>
                <w:bCs/>
                <w:sz w:val="18"/>
                <w:szCs w:val="18"/>
                <w:lang w:eastAsia="hr-HR"/>
              </w:rPr>
              <w:t>Izvršenje 2023.</w:t>
            </w:r>
          </w:p>
        </w:tc>
        <w:tc>
          <w:tcPr>
            <w:tcW w:w="2140" w:type="dxa"/>
            <w:tcBorders>
              <w:top w:val="nil"/>
              <w:left w:val="nil"/>
              <w:bottom w:val="nil"/>
              <w:right w:val="nil"/>
            </w:tcBorders>
            <w:shd w:val="clear" w:color="000000" w:fill="C0C0C0"/>
            <w:noWrap/>
            <w:vAlign w:val="bottom"/>
            <w:hideMark/>
          </w:tcPr>
          <w:p w14:paraId="53BF539E" w14:textId="77777777" w:rsidR="00583CB4" w:rsidRPr="00583CB4" w:rsidRDefault="00583CB4" w:rsidP="00583CB4">
            <w:pPr>
              <w:spacing w:after="0" w:line="240" w:lineRule="auto"/>
              <w:jc w:val="center"/>
              <w:rPr>
                <w:rFonts w:ascii="Arial" w:hAnsi="Arial" w:cs="Arial"/>
                <w:b/>
                <w:bCs/>
                <w:sz w:val="18"/>
                <w:szCs w:val="18"/>
                <w:lang w:eastAsia="hr-HR"/>
              </w:rPr>
            </w:pPr>
            <w:r w:rsidRPr="00583CB4">
              <w:rPr>
                <w:rFonts w:ascii="Arial" w:hAnsi="Arial" w:cs="Arial"/>
                <w:b/>
                <w:bCs/>
                <w:sz w:val="18"/>
                <w:szCs w:val="18"/>
                <w:lang w:eastAsia="hr-HR"/>
              </w:rPr>
              <w:t>Rebalans 2024.</w:t>
            </w:r>
          </w:p>
        </w:tc>
        <w:tc>
          <w:tcPr>
            <w:tcW w:w="1780" w:type="dxa"/>
            <w:tcBorders>
              <w:top w:val="nil"/>
              <w:left w:val="nil"/>
              <w:bottom w:val="nil"/>
              <w:right w:val="nil"/>
            </w:tcBorders>
            <w:shd w:val="clear" w:color="000000" w:fill="C0C0C0"/>
            <w:noWrap/>
            <w:vAlign w:val="bottom"/>
            <w:hideMark/>
          </w:tcPr>
          <w:p w14:paraId="6DF7AC10" w14:textId="77777777" w:rsidR="00583CB4" w:rsidRPr="00583CB4" w:rsidRDefault="00583CB4" w:rsidP="00583CB4">
            <w:pPr>
              <w:spacing w:after="0" w:line="240" w:lineRule="auto"/>
              <w:jc w:val="center"/>
              <w:rPr>
                <w:rFonts w:ascii="Arial" w:hAnsi="Arial" w:cs="Arial"/>
                <w:b/>
                <w:bCs/>
                <w:sz w:val="18"/>
                <w:szCs w:val="18"/>
                <w:lang w:eastAsia="hr-HR"/>
              </w:rPr>
            </w:pPr>
            <w:r w:rsidRPr="00583CB4">
              <w:rPr>
                <w:rFonts w:ascii="Arial" w:hAnsi="Arial" w:cs="Arial"/>
                <w:b/>
                <w:bCs/>
                <w:sz w:val="18"/>
                <w:szCs w:val="18"/>
                <w:lang w:eastAsia="hr-HR"/>
              </w:rPr>
              <w:t>Izvršenje 2024.</w:t>
            </w:r>
          </w:p>
        </w:tc>
        <w:tc>
          <w:tcPr>
            <w:tcW w:w="1360" w:type="dxa"/>
            <w:tcBorders>
              <w:top w:val="nil"/>
              <w:left w:val="nil"/>
              <w:bottom w:val="nil"/>
              <w:right w:val="nil"/>
            </w:tcBorders>
            <w:shd w:val="clear" w:color="000000" w:fill="C0C0C0"/>
            <w:noWrap/>
            <w:vAlign w:val="bottom"/>
            <w:hideMark/>
          </w:tcPr>
          <w:p w14:paraId="5190CF95" w14:textId="77777777" w:rsidR="00583CB4" w:rsidRPr="00583CB4" w:rsidRDefault="00583CB4" w:rsidP="00583CB4">
            <w:pPr>
              <w:spacing w:after="0" w:line="240" w:lineRule="auto"/>
              <w:jc w:val="center"/>
              <w:rPr>
                <w:rFonts w:ascii="Arial" w:hAnsi="Arial" w:cs="Arial"/>
                <w:b/>
                <w:bCs/>
                <w:sz w:val="18"/>
                <w:szCs w:val="18"/>
                <w:lang w:eastAsia="hr-HR"/>
              </w:rPr>
            </w:pPr>
            <w:r w:rsidRPr="00583CB4">
              <w:rPr>
                <w:rFonts w:ascii="Arial" w:hAnsi="Arial" w:cs="Arial"/>
                <w:b/>
                <w:bCs/>
                <w:sz w:val="18"/>
                <w:szCs w:val="18"/>
                <w:lang w:eastAsia="hr-HR"/>
              </w:rPr>
              <w:t>Indeks  3/1</w:t>
            </w:r>
          </w:p>
        </w:tc>
        <w:tc>
          <w:tcPr>
            <w:tcW w:w="1240" w:type="dxa"/>
            <w:tcBorders>
              <w:top w:val="nil"/>
              <w:left w:val="nil"/>
              <w:bottom w:val="nil"/>
              <w:right w:val="nil"/>
            </w:tcBorders>
            <w:shd w:val="clear" w:color="000000" w:fill="C0C0C0"/>
            <w:noWrap/>
            <w:vAlign w:val="bottom"/>
            <w:hideMark/>
          </w:tcPr>
          <w:p w14:paraId="3B786504" w14:textId="77777777" w:rsidR="00583CB4" w:rsidRPr="00583CB4" w:rsidRDefault="00583CB4" w:rsidP="00583CB4">
            <w:pPr>
              <w:spacing w:after="0" w:line="240" w:lineRule="auto"/>
              <w:jc w:val="center"/>
              <w:rPr>
                <w:rFonts w:ascii="Arial" w:hAnsi="Arial" w:cs="Arial"/>
                <w:b/>
                <w:bCs/>
                <w:sz w:val="18"/>
                <w:szCs w:val="18"/>
                <w:lang w:eastAsia="hr-HR"/>
              </w:rPr>
            </w:pPr>
            <w:r w:rsidRPr="00583CB4">
              <w:rPr>
                <w:rFonts w:ascii="Arial" w:hAnsi="Arial" w:cs="Arial"/>
                <w:b/>
                <w:bCs/>
                <w:sz w:val="18"/>
                <w:szCs w:val="18"/>
                <w:lang w:eastAsia="hr-HR"/>
              </w:rPr>
              <w:t>Indeks  3/2</w:t>
            </w:r>
          </w:p>
        </w:tc>
      </w:tr>
      <w:tr w:rsidR="00583CB4" w:rsidRPr="00583CB4" w14:paraId="48645959" w14:textId="77777777" w:rsidTr="00583CB4">
        <w:trPr>
          <w:trHeight w:val="255"/>
        </w:trPr>
        <w:tc>
          <w:tcPr>
            <w:tcW w:w="6237" w:type="dxa"/>
            <w:tcBorders>
              <w:top w:val="nil"/>
              <w:left w:val="nil"/>
              <w:bottom w:val="nil"/>
              <w:right w:val="nil"/>
            </w:tcBorders>
            <w:shd w:val="clear" w:color="auto" w:fill="17365D" w:themeFill="text2" w:themeFillShade="BF"/>
            <w:noWrap/>
            <w:vAlign w:val="bottom"/>
            <w:hideMark/>
          </w:tcPr>
          <w:p w14:paraId="5AD21DB0" w14:textId="77777777" w:rsidR="00583CB4" w:rsidRPr="00583CB4" w:rsidRDefault="00583CB4" w:rsidP="00583CB4">
            <w:pPr>
              <w:spacing w:after="0" w:line="240" w:lineRule="auto"/>
              <w:rPr>
                <w:rFonts w:ascii="Arial" w:hAnsi="Arial" w:cs="Arial"/>
                <w:b/>
                <w:bCs/>
                <w:color w:val="FFFFFF"/>
                <w:sz w:val="18"/>
                <w:szCs w:val="18"/>
                <w:lang w:eastAsia="hr-HR"/>
              </w:rPr>
            </w:pPr>
            <w:r w:rsidRPr="00583CB4">
              <w:rPr>
                <w:rFonts w:ascii="Arial" w:hAnsi="Arial" w:cs="Arial"/>
                <w:b/>
                <w:bCs/>
                <w:color w:val="FFFFFF"/>
                <w:sz w:val="18"/>
                <w:szCs w:val="18"/>
                <w:lang w:eastAsia="hr-HR"/>
              </w:rPr>
              <w:t>A. RAČUN PRIHODA I RASHODA</w:t>
            </w:r>
          </w:p>
        </w:tc>
        <w:tc>
          <w:tcPr>
            <w:tcW w:w="1760" w:type="dxa"/>
            <w:tcBorders>
              <w:top w:val="nil"/>
              <w:left w:val="nil"/>
              <w:bottom w:val="nil"/>
              <w:right w:val="nil"/>
            </w:tcBorders>
            <w:shd w:val="clear" w:color="auto" w:fill="17365D" w:themeFill="text2" w:themeFillShade="BF"/>
            <w:noWrap/>
            <w:vAlign w:val="bottom"/>
            <w:hideMark/>
          </w:tcPr>
          <w:p w14:paraId="49C9CB65" w14:textId="77777777" w:rsidR="00583CB4" w:rsidRPr="00583CB4" w:rsidRDefault="00583CB4" w:rsidP="00583CB4">
            <w:pPr>
              <w:spacing w:after="0" w:line="240" w:lineRule="auto"/>
              <w:jc w:val="center"/>
              <w:rPr>
                <w:rFonts w:ascii="Arial" w:hAnsi="Arial" w:cs="Arial"/>
                <w:b/>
                <w:bCs/>
                <w:color w:val="FFFFFF"/>
                <w:sz w:val="18"/>
                <w:szCs w:val="18"/>
                <w:lang w:eastAsia="hr-HR"/>
              </w:rPr>
            </w:pPr>
            <w:r w:rsidRPr="00583CB4">
              <w:rPr>
                <w:rFonts w:ascii="Arial" w:hAnsi="Arial" w:cs="Arial"/>
                <w:b/>
                <w:bCs/>
                <w:color w:val="FFFFFF"/>
                <w:sz w:val="18"/>
                <w:szCs w:val="18"/>
                <w:lang w:eastAsia="hr-HR"/>
              </w:rPr>
              <w:t>1</w:t>
            </w:r>
          </w:p>
        </w:tc>
        <w:tc>
          <w:tcPr>
            <w:tcW w:w="2140" w:type="dxa"/>
            <w:tcBorders>
              <w:top w:val="nil"/>
              <w:left w:val="nil"/>
              <w:bottom w:val="nil"/>
              <w:right w:val="nil"/>
            </w:tcBorders>
            <w:shd w:val="clear" w:color="auto" w:fill="17365D" w:themeFill="text2" w:themeFillShade="BF"/>
            <w:noWrap/>
            <w:vAlign w:val="bottom"/>
            <w:hideMark/>
          </w:tcPr>
          <w:p w14:paraId="5D8CAF17" w14:textId="77777777" w:rsidR="00583CB4" w:rsidRPr="00583CB4" w:rsidRDefault="00583CB4" w:rsidP="00583CB4">
            <w:pPr>
              <w:spacing w:after="0" w:line="240" w:lineRule="auto"/>
              <w:jc w:val="center"/>
              <w:rPr>
                <w:rFonts w:ascii="Arial" w:hAnsi="Arial" w:cs="Arial"/>
                <w:b/>
                <w:bCs/>
                <w:color w:val="FFFFFF"/>
                <w:sz w:val="18"/>
                <w:szCs w:val="18"/>
                <w:lang w:eastAsia="hr-HR"/>
              </w:rPr>
            </w:pPr>
            <w:r w:rsidRPr="00583CB4">
              <w:rPr>
                <w:rFonts w:ascii="Arial" w:hAnsi="Arial" w:cs="Arial"/>
                <w:b/>
                <w:bCs/>
                <w:color w:val="FFFFFF"/>
                <w:sz w:val="18"/>
                <w:szCs w:val="18"/>
                <w:lang w:eastAsia="hr-HR"/>
              </w:rPr>
              <w:t>2</w:t>
            </w:r>
          </w:p>
        </w:tc>
        <w:tc>
          <w:tcPr>
            <w:tcW w:w="1780" w:type="dxa"/>
            <w:tcBorders>
              <w:top w:val="nil"/>
              <w:left w:val="nil"/>
              <w:bottom w:val="nil"/>
              <w:right w:val="nil"/>
            </w:tcBorders>
            <w:shd w:val="clear" w:color="auto" w:fill="17365D" w:themeFill="text2" w:themeFillShade="BF"/>
            <w:noWrap/>
            <w:vAlign w:val="bottom"/>
            <w:hideMark/>
          </w:tcPr>
          <w:p w14:paraId="7925F78B" w14:textId="77777777" w:rsidR="00583CB4" w:rsidRPr="00583CB4" w:rsidRDefault="00583CB4" w:rsidP="00583CB4">
            <w:pPr>
              <w:spacing w:after="0" w:line="240" w:lineRule="auto"/>
              <w:jc w:val="center"/>
              <w:rPr>
                <w:rFonts w:ascii="Arial" w:hAnsi="Arial" w:cs="Arial"/>
                <w:b/>
                <w:bCs/>
                <w:color w:val="FFFFFF"/>
                <w:sz w:val="18"/>
                <w:szCs w:val="18"/>
                <w:lang w:eastAsia="hr-HR"/>
              </w:rPr>
            </w:pPr>
            <w:r w:rsidRPr="00583CB4">
              <w:rPr>
                <w:rFonts w:ascii="Arial" w:hAnsi="Arial" w:cs="Arial"/>
                <w:b/>
                <w:bCs/>
                <w:color w:val="FFFFFF"/>
                <w:sz w:val="18"/>
                <w:szCs w:val="18"/>
                <w:lang w:eastAsia="hr-HR"/>
              </w:rPr>
              <w:t>3</w:t>
            </w:r>
          </w:p>
        </w:tc>
        <w:tc>
          <w:tcPr>
            <w:tcW w:w="1360" w:type="dxa"/>
            <w:tcBorders>
              <w:top w:val="nil"/>
              <w:left w:val="nil"/>
              <w:bottom w:val="nil"/>
              <w:right w:val="nil"/>
            </w:tcBorders>
            <w:shd w:val="clear" w:color="auto" w:fill="17365D" w:themeFill="text2" w:themeFillShade="BF"/>
            <w:noWrap/>
            <w:vAlign w:val="bottom"/>
            <w:hideMark/>
          </w:tcPr>
          <w:p w14:paraId="409688CE" w14:textId="77777777" w:rsidR="00583CB4" w:rsidRPr="00583CB4" w:rsidRDefault="00583CB4" w:rsidP="00583CB4">
            <w:pPr>
              <w:spacing w:after="0" w:line="240" w:lineRule="auto"/>
              <w:jc w:val="center"/>
              <w:rPr>
                <w:rFonts w:ascii="Arial" w:hAnsi="Arial" w:cs="Arial"/>
                <w:b/>
                <w:bCs/>
                <w:color w:val="FFFFFF"/>
                <w:sz w:val="18"/>
                <w:szCs w:val="18"/>
                <w:lang w:eastAsia="hr-HR"/>
              </w:rPr>
            </w:pPr>
            <w:r w:rsidRPr="00583CB4">
              <w:rPr>
                <w:rFonts w:ascii="Arial" w:hAnsi="Arial" w:cs="Arial"/>
                <w:b/>
                <w:bCs/>
                <w:color w:val="FFFFFF"/>
                <w:sz w:val="18"/>
                <w:szCs w:val="18"/>
                <w:lang w:eastAsia="hr-HR"/>
              </w:rPr>
              <w:t>4</w:t>
            </w:r>
          </w:p>
        </w:tc>
        <w:tc>
          <w:tcPr>
            <w:tcW w:w="1240" w:type="dxa"/>
            <w:tcBorders>
              <w:top w:val="nil"/>
              <w:left w:val="nil"/>
              <w:bottom w:val="nil"/>
              <w:right w:val="nil"/>
            </w:tcBorders>
            <w:shd w:val="clear" w:color="auto" w:fill="17365D" w:themeFill="text2" w:themeFillShade="BF"/>
            <w:noWrap/>
            <w:vAlign w:val="bottom"/>
            <w:hideMark/>
          </w:tcPr>
          <w:p w14:paraId="6A0B23AB" w14:textId="77777777" w:rsidR="00583CB4" w:rsidRPr="00583CB4" w:rsidRDefault="00583CB4" w:rsidP="00583CB4">
            <w:pPr>
              <w:spacing w:after="0" w:line="240" w:lineRule="auto"/>
              <w:jc w:val="center"/>
              <w:rPr>
                <w:rFonts w:ascii="Arial" w:hAnsi="Arial" w:cs="Arial"/>
                <w:b/>
                <w:bCs/>
                <w:color w:val="FFFFFF"/>
                <w:sz w:val="18"/>
                <w:szCs w:val="18"/>
                <w:lang w:eastAsia="hr-HR"/>
              </w:rPr>
            </w:pPr>
            <w:r w:rsidRPr="00583CB4">
              <w:rPr>
                <w:rFonts w:ascii="Arial" w:hAnsi="Arial" w:cs="Arial"/>
                <w:b/>
                <w:bCs/>
                <w:color w:val="FFFFFF"/>
                <w:sz w:val="18"/>
                <w:szCs w:val="18"/>
                <w:lang w:eastAsia="hr-HR"/>
              </w:rPr>
              <w:t>5</w:t>
            </w:r>
          </w:p>
        </w:tc>
      </w:tr>
      <w:tr w:rsidR="00583CB4" w:rsidRPr="00583CB4" w14:paraId="20453124" w14:textId="77777777" w:rsidTr="00583CB4">
        <w:trPr>
          <w:trHeight w:val="255"/>
        </w:trPr>
        <w:tc>
          <w:tcPr>
            <w:tcW w:w="6237" w:type="dxa"/>
            <w:tcBorders>
              <w:top w:val="nil"/>
              <w:left w:val="nil"/>
              <w:bottom w:val="nil"/>
              <w:right w:val="nil"/>
            </w:tcBorders>
            <w:shd w:val="clear" w:color="auto" w:fill="auto"/>
            <w:noWrap/>
            <w:vAlign w:val="bottom"/>
            <w:hideMark/>
          </w:tcPr>
          <w:p w14:paraId="4CC47955"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6 Prihodi poslovanja</w:t>
            </w:r>
          </w:p>
        </w:tc>
        <w:tc>
          <w:tcPr>
            <w:tcW w:w="1760" w:type="dxa"/>
            <w:tcBorders>
              <w:top w:val="nil"/>
              <w:left w:val="nil"/>
              <w:bottom w:val="nil"/>
              <w:right w:val="nil"/>
            </w:tcBorders>
            <w:shd w:val="clear" w:color="auto" w:fill="auto"/>
            <w:noWrap/>
            <w:vAlign w:val="bottom"/>
            <w:hideMark/>
          </w:tcPr>
          <w:p w14:paraId="286F8F17"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9.407.382,18</w:t>
            </w:r>
          </w:p>
        </w:tc>
        <w:tc>
          <w:tcPr>
            <w:tcW w:w="2140" w:type="dxa"/>
            <w:tcBorders>
              <w:top w:val="nil"/>
              <w:left w:val="nil"/>
              <w:bottom w:val="nil"/>
              <w:right w:val="nil"/>
            </w:tcBorders>
            <w:shd w:val="clear" w:color="auto" w:fill="auto"/>
            <w:noWrap/>
            <w:vAlign w:val="bottom"/>
            <w:hideMark/>
          </w:tcPr>
          <w:p w14:paraId="5AD13DB2"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12.078.801,23</w:t>
            </w:r>
          </w:p>
        </w:tc>
        <w:tc>
          <w:tcPr>
            <w:tcW w:w="1780" w:type="dxa"/>
            <w:tcBorders>
              <w:top w:val="nil"/>
              <w:left w:val="nil"/>
              <w:bottom w:val="nil"/>
              <w:right w:val="nil"/>
            </w:tcBorders>
            <w:shd w:val="clear" w:color="auto" w:fill="auto"/>
            <w:noWrap/>
            <w:vAlign w:val="bottom"/>
            <w:hideMark/>
          </w:tcPr>
          <w:p w14:paraId="2838B56D" w14:textId="48899BDE"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11.2</w:t>
            </w:r>
            <w:r w:rsidR="00D14272">
              <w:rPr>
                <w:rFonts w:ascii="Arial" w:hAnsi="Arial" w:cs="Arial"/>
                <w:sz w:val="18"/>
                <w:szCs w:val="18"/>
                <w:lang w:eastAsia="hr-HR"/>
              </w:rPr>
              <w:t>12.770,17</w:t>
            </w:r>
          </w:p>
        </w:tc>
        <w:tc>
          <w:tcPr>
            <w:tcW w:w="1360" w:type="dxa"/>
            <w:tcBorders>
              <w:top w:val="nil"/>
              <w:left w:val="nil"/>
              <w:bottom w:val="nil"/>
              <w:right w:val="nil"/>
            </w:tcBorders>
            <w:shd w:val="clear" w:color="auto" w:fill="auto"/>
            <w:noWrap/>
            <w:vAlign w:val="bottom"/>
            <w:hideMark/>
          </w:tcPr>
          <w:p w14:paraId="2294CF52" w14:textId="630D27F8"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119,1</w:t>
            </w:r>
            <w:r w:rsidR="00D14272">
              <w:rPr>
                <w:rFonts w:ascii="Arial" w:hAnsi="Arial" w:cs="Arial"/>
                <w:sz w:val="18"/>
                <w:szCs w:val="18"/>
                <w:lang w:eastAsia="hr-HR"/>
              </w:rPr>
              <w:t>9</w:t>
            </w:r>
            <w:r w:rsidRPr="00583CB4">
              <w:rPr>
                <w:rFonts w:ascii="Arial" w:hAnsi="Arial" w:cs="Arial"/>
                <w:sz w:val="18"/>
                <w:szCs w:val="18"/>
                <w:lang w:eastAsia="hr-HR"/>
              </w:rPr>
              <w:t>%</w:t>
            </w:r>
          </w:p>
        </w:tc>
        <w:tc>
          <w:tcPr>
            <w:tcW w:w="1240" w:type="dxa"/>
            <w:tcBorders>
              <w:top w:val="nil"/>
              <w:left w:val="nil"/>
              <w:bottom w:val="nil"/>
              <w:right w:val="nil"/>
            </w:tcBorders>
            <w:shd w:val="clear" w:color="auto" w:fill="auto"/>
            <w:noWrap/>
            <w:vAlign w:val="bottom"/>
            <w:hideMark/>
          </w:tcPr>
          <w:p w14:paraId="41E24386" w14:textId="6B5A982A"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92,</w:t>
            </w:r>
            <w:r w:rsidR="00D14272">
              <w:rPr>
                <w:rFonts w:ascii="Arial" w:hAnsi="Arial" w:cs="Arial"/>
                <w:sz w:val="18"/>
                <w:szCs w:val="18"/>
                <w:lang w:eastAsia="hr-HR"/>
              </w:rPr>
              <w:t>83</w:t>
            </w:r>
            <w:r w:rsidRPr="00583CB4">
              <w:rPr>
                <w:rFonts w:ascii="Arial" w:hAnsi="Arial" w:cs="Arial"/>
                <w:sz w:val="18"/>
                <w:szCs w:val="18"/>
                <w:lang w:eastAsia="hr-HR"/>
              </w:rPr>
              <w:t>%</w:t>
            </w:r>
          </w:p>
        </w:tc>
      </w:tr>
      <w:tr w:rsidR="00583CB4" w:rsidRPr="00583CB4" w14:paraId="2EEB313C" w14:textId="77777777" w:rsidTr="00583CB4">
        <w:trPr>
          <w:trHeight w:val="255"/>
        </w:trPr>
        <w:tc>
          <w:tcPr>
            <w:tcW w:w="6237" w:type="dxa"/>
            <w:tcBorders>
              <w:top w:val="nil"/>
              <w:left w:val="nil"/>
              <w:bottom w:val="nil"/>
              <w:right w:val="nil"/>
            </w:tcBorders>
            <w:shd w:val="clear" w:color="auto" w:fill="auto"/>
            <w:noWrap/>
            <w:vAlign w:val="bottom"/>
            <w:hideMark/>
          </w:tcPr>
          <w:p w14:paraId="197AF42B"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7 Prihodi od prodaje nefinancijske imovine                                                            </w:t>
            </w:r>
          </w:p>
        </w:tc>
        <w:tc>
          <w:tcPr>
            <w:tcW w:w="1760" w:type="dxa"/>
            <w:tcBorders>
              <w:top w:val="nil"/>
              <w:left w:val="nil"/>
              <w:bottom w:val="nil"/>
              <w:right w:val="nil"/>
            </w:tcBorders>
            <w:shd w:val="clear" w:color="auto" w:fill="auto"/>
            <w:noWrap/>
            <w:vAlign w:val="bottom"/>
            <w:hideMark/>
          </w:tcPr>
          <w:p w14:paraId="1CF5D10B"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70.140,27</w:t>
            </w:r>
          </w:p>
        </w:tc>
        <w:tc>
          <w:tcPr>
            <w:tcW w:w="2140" w:type="dxa"/>
            <w:tcBorders>
              <w:top w:val="nil"/>
              <w:left w:val="nil"/>
              <w:bottom w:val="nil"/>
              <w:right w:val="nil"/>
            </w:tcBorders>
            <w:shd w:val="clear" w:color="auto" w:fill="auto"/>
            <w:noWrap/>
            <w:vAlign w:val="bottom"/>
            <w:hideMark/>
          </w:tcPr>
          <w:p w14:paraId="1D61480C"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231.250,00</w:t>
            </w:r>
          </w:p>
        </w:tc>
        <w:tc>
          <w:tcPr>
            <w:tcW w:w="1780" w:type="dxa"/>
            <w:tcBorders>
              <w:top w:val="nil"/>
              <w:left w:val="nil"/>
              <w:bottom w:val="nil"/>
              <w:right w:val="nil"/>
            </w:tcBorders>
            <w:shd w:val="clear" w:color="auto" w:fill="auto"/>
            <w:noWrap/>
            <w:vAlign w:val="bottom"/>
            <w:hideMark/>
          </w:tcPr>
          <w:p w14:paraId="3815BEEA"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224.698,81</w:t>
            </w:r>
          </w:p>
        </w:tc>
        <w:tc>
          <w:tcPr>
            <w:tcW w:w="1360" w:type="dxa"/>
            <w:tcBorders>
              <w:top w:val="nil"/>
              <w:left w:val="nil"/>
              <w:bottom w:val="nil"/>
              <w:right w:val="nil"/>
            </w:tcBorders>
            <w:shd w:val="clear" w:color="auto" w:fill="auto"/>
            <w:noWrap/>
            <w:vAlign w:val="bottom"/>
            <w:hideMark/>
          </w:tcPr>
          <w:p w14:paraId="3549E695"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320,36%</w:t>
            </w:r>
          </w:p>
        </w:tc>
        <w:tc>
          <w:tcPr>
            <w:tcW w:w="1240" w:type="dxa"/>
            <w:tcBorders>
              <w:top w:val="nil"/>
              <w:left w:val="nil"/>
              <w:bottom w:val="nil"/>
              <w:right w:val="nil"/>
            </w:tcBorders>
            <w:shd w:val="clear" w:color="auto" w:fill="auto"/>
            <w:noWrap/>
            <w:vAlign w:val="bottom"/>
            <w:hideMark/>
          </w:tcPr>
          <w:p w14:paraId="6F1FB838"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97,17%</w:t>
            </w:r>
          </w:p>
        </w:tc>
      </w:tr>
      <w:tr w:rsidR="00583CB4" w:rsidRPr="00583CB4" w14:paraId="36AC5981" w14:textId="77777777" w:rsidTr="00583CB4">
        <w:trPr>
          <w:trHeight w:val="255"/>
        </w:trPr>
        <w:tc>
          <w:tcPr>
            <w:tcW w:w="6237" w:type="dxa"/>
            <w:tcBorders>
              <w:top w:val="nil"/>
              <w:left w:val="nil"/>
              <w:bottom w:val="nil"/>
              <w:right w:val="nil"/>
            </w:tcBorders>
            <w:shd w:val="clear" w:color="000000" w:fill="D9D9D9"/>
            <w:noWrap/>
            <w:vAlign w:val="bottom"/>
            <w:hideMark/>
          </w:tcPr>
          <w:p w14:paraId="0FCC8C10" w14:textId="77777777" w:rsidR="00583CB4" w:rsidRPr="00583CB4" w:rsidRDefault="00583CB4" w:rsidP="00583CB4">
            <w:pPr>
              <w:spacing w:after="0" w:line="240" w:lineRule="auto"/>
              <w:rPr>
                <w:rFonts w:ascii="Arial" w:hAnsi="Arial" w:cs="Arial"/>
                <w:b/>
                <w:bCs/>
                <w:sz w:val="18"/>
                <w:szCs w:val="18"/>
                <w:lang w:eastAsia="hr-HR"/>
              </w:rPr>
            </w:pPr>
            <w:r w:rsidRPr="00583CB4">
              <w:rPr>
                <w:rFonts w:ascii="Arial" w:hAnsi="Arial" w:cs="Arial"/>
                <w:b/>
                <w:bCs/>
                <w:sz w:val="18"/>
                <w:szCs w:val="18"/>
                <w:lang w:eastAsia="hr-HR"/>
              </w:rPr>
              <w:t xml:space="preserve"> UKUPNI PRIHODI</w:t>
            </w:r>
          </w:p>
        </w:tc>
        <w:tc>
          <w:tcPr>
            <w:tcW w:w="1760" w:type="dxa"/>
            <w:tcBorders>
              <w:top w:val="nil"/>
              <w:left w:val="nil"/>
              <w:bottom w:val="nil"/>
              <w:right w:val="nil"/>
            </w:tcBorders>
            <w:shd w:val="clear" w:color="000000" w:fill="D9D9D9"/>
            <w:noWrap/>
            <w:vAlign w:val="bottom"/>
            <w:hideMark/>
          </w:tcPr>
          <w:p w14:paraId="3525FD4E"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9.477.522,45</w:t>
            </w:r>
          </w:p>
        </w:tc>
        <w:tc>
          <w:tcPr>
            <w:tcW w:w="2140" w:type="dxa"/>
            <w:tcBorders>
              <w:top w:val="nil"/>
              <w:left w:val="nil"/>
              <w:bottom w:val="nil"/>
              <w:right w:val="nil"/>
            </w:tcBorders>
            <w:shd w:val="clear" w:color="000000" w:fill="D9D9D9"/>
            <w:noWrap/>
            <w:vAlign w:val="bottom"/>
            <w:hideMark/>
          </w:tcPr>
          <w:p w14:paraId="0D737BB8"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12.310.051,23</w:t>
            </w:r>
          </w:p>
        </w:tc>
        <w:tc>
          <w:tcPr>
            <w:tcW w:w="1780" w:type="dxa"/>
            <w:tcBorders>
              <w:top w:val="nil"/>
              <w:left w:val="nil"/>
              <w:bottom w:val="nil"/>
              <w:right w:val="nil"/>
            </w:tcBorders>
            <w:shd w:val="clear" w:color="000000" w:fill="D9D9D9"/>
            <w:noWrap/>
            <w:vAlign w:val="bottom"/>
            <w:hideMark/>
          </w:tcPr>
          <w:p w14:paraId="225E0847" w14:textId="1E940E42"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11.4</w:t>
            </w:r>
            <w:r w:rsidR="00D14272">
              <w:rPr>
                <w:rFonts w:ascii="Arial" w:hAnsi="Arial" w:cs="Arial"/>
                <w:b/>
                <w:bCs/>
                <w:sz w:val="18"/>
                <w:szCs w:val="18"/>
                <w:lang w:eastAsia="hr-HR"/>
              </w:rPr>
              <w:t>37</w:t>
            </w:r>
            <w:r w:rsidR="00085243">
              <w:rPr>
                <w:rFonts w:ascii="Arial" w:hAnsi="Arial" w:cs="Arial"/>
                <w:b/>
                <w:bCs/>
                <w:sz w:val="18"/>
                <w:szCs w:val="18"/>
                <w:lang w:eastAsia="hr-HR"/>
              </w:rPr>
              <w:t>.</w:t>
            </w:r>
            <w:r w:rsidR="00D14272">
              <w:rPr>
                <w:rFonts w:ascii="Arial" w:hAnsi="Arial" w:cs="Arial"/>
                <w:b/>
                <w:bCs/>
                <w:sz w:val="18"/>
                <w:szCs w:val="18"/>
                <w:lang w:eastAsia="hr-HR"/>
              </w:rPr>
              <w:t>468,98</w:t>
            </w:r>
          </w:p>
        </w:tc>
        <w:tc>
          <w:tcPr>
            <w:tcW w:w="1360" w:type="dxa"/>
            <w:tcBorders>
              <w:top w:val="nil"/>
              <w:left w:val="nil"/>
              <w:bottom w:val="nil"/>
              <w:right w:val="nil"/>
            </w:tcBorders>
            <w:shd w:val="clear" w:color="000000" w:fill="D9D9D9"/>
            <w:noWrap/>
            <w:vAlign w:val="bottom"/>
            <w:hideMark/>
          </w:tcPr>
          <w:p w14:paraId="0C705BBF" w14:textId="584FFC4C"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120,</w:t>
            </w:r>
            <w:r w:rsidR="00D14272">
              <w:rPr>
                <w:rFonts w:ascii="Arial" w:hAnsi="Arial" w:cs="Arial"/>
                <w:b/>
                <w:bCs/>
                <w:sz w:val="18"/>
                <w:szCs w:val="18"/>
                <w:lang w:eastAsia="hr-HR"/>
              </w:rPr>
              <w:t>68</w:t>
            </w:r>
            <w:r w:rsidRPr="00583CB4">
              <w:rPr>
                <w:rFonts w:ascii="Arial" w:hAnsi="Arial" w:cs="Arial"/>
                <w:b/>
                <w:bCs/>
                <w:sz w:val="18"/>
                <w:szCs w:val="18"/>
                <w:lang w:eastAsia="hr-HR"/>
              </w:rPr>
              <w:t>%</w:t>
            </w:r>
          </w:p>
        </w:tc>
        <w:tc>
          <w:tcPr>
            <w:tcW w:w="1240" w:type="dxa"/>
            <w:tcBorders>
              <w:top w:val="nil"/>
              <w:left w:val="nil"/>
              <w:bottom w:val="nil"/>
              <w:right w:val="nil"/>
            </w:tcBorders>
            <w:shd w:val="clear" w:color="000000" w:fill="D9D9D9"/>
            <w:noWrap/>
            <w:vAlign w:val="bottom"/>
            <w:hideMark/>
          </w:tcPr>
          <w:p w14:paraId="4D7C5A98" w14:textId="2C26A789"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92,</w:t>
            </w:r>
            <w:r w:rsidR="00D14272">
              <w:rPr>
                <w:rFonts w:ascii="Arial" w:hAnsi="Arial" w:cs="Arial"/>
                <w:b/>
                <w:bCs/>
                <w:sz w:val="18"/>
                <w:szCs w:val="18"/>
                <w:lang w:eastAsia="hr-HR"/>
              </w:rPr>
              <w:t>91</w:t>
            </w:r>
            <w:r w:rsidRPr="00583CB4">
              <w:rPr>
                <w:rFonts w:ascii="Arial" w:hAnsi="Arial" w:cs="Arial"/>
                <w:b/>
                <w:bCs/>
                <w:sz w:val="18"/>
                <w:szCs w:val="18"/>
                <w:lang w:eastAsia="hr-HR"/>
              </w:rPr>
              <w:t>%</w:t>
            </w:r>
          </w:p>
        </w:tc>
      </w:tr>
      <w:tr w:rsidR="00583CB4" w:rsidRPr="00583CB4" w14:paraId="2978B606" w14:textId="77777777" w:rsidTr="00583CB4">
        <w:trPr>
          <w:trHeight w:val="255"/>
        </w:trPr>
        <w:tc>
          <w:tcPr>
            <w:tcW w:w="6237" w:type="dxa"/>
            <w:tcBorders>
              <w:top w:val="nil"/>
              <w:left w:val="nil"/>
              <w:bottom w:val="nil"/>
              <w:right w:val="nil"/>
            </w:tcBorders>
            <w:shd w:val="clear" w:color="auto" w:fill="auto"/>
            <w:noWrap/>
            <w:vAlign w:val="bottom"/>
            <w:hideMark/>
          </w:tcPr>
          <w:p w14:paraId="0CF26D01"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3 Rashodi poslovanja</w:t>
            </w:r>
          </w:p>
        </w:tc>
        <w:tc>
          <w:tcPr>
            <w:tcW w:w="1760" w:type="dxa"/>
            <w:tcBorders>
              <w:top w:val="nil"/>
              <w:left w:val="nil"/>
              <w:bottom w:val="nil"/>
              <w:right w:val="nil"/>
            </w:tcBorders>
            <w:shd w:val="clear" w:color="auto" w:fill="auto"/>
            <w:noWrap/>
            <w:vAlign w:val="bottom"/>
            <w:hideMark/>
          </w:tcPr>
          <w:p w14:paraId="4B4C693F"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8.072.801,79</w:t>
            </w:r>
          </w:p>
        </w:tc>
        <w:tc>
          <w:tcPr>
            <w:tcW w:w="2140" w:type="dxa"/>
            <w:tcBorders>
              <w:top w:val="nil"/>
              <w:left w:val="nil"/>
              <w:bottom w:val="nil"/>
              <w:right w:val="nil"/>
            </w:tcBorders>
            <w:shd w:val="clear" w:color="auto" w:fill="auto"/>
            <w:noWrap/>
            <w:vAlign w:val="bottom"/>
            <w:hideMark/>
          </w:tcPr>
          <w:p w14:paraId="4D6E8455"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10.975.022,24</w:t>
            </w:r>
          </w:p>
        </w:tc>
        <w:tc>
          <w:tcPr>
            <w:tcW w:w="1780" w:type="dxa"/>
            <w:tcBorders>
              <w:top w:val="nil"/>
              <w:left w:val="nil"/>
              <w:bottom w:val="nil"/>
              <w:right w:val="nil"/>
            </w:tcBorders>
            <w:shd w:val="clear" w:color="auto" w:fill="auto"/>
            <w:noWrap/>
            <w:vAlign w:val="bottom"/>
            <w:hideMark/>
          </w:tcPr>
          <w:p w14:paraId="23D780AE" w14:textId="09AAB462"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10.1</w:t>
            </w:r>
            <w:r w:rsidR="00D14272">
              <w:rPr>
                <w:rFonts w:ascii="Arial" w:hAnsi="Arial" w:cs="Arial"/>
                <w:sz w:val="18"/>
                <w:szCs w:val="18"/>
                <w:lang w:eastAsia="hr-HR"/>
              </w:rPr>
              <w:t>73.904,62</w:t>
            </w:r>
          </w:p>
        </w:tc>
        <w:tc>
          <w:tcPr>
            <w:tcW w:w="1360" w:type="dxa"/>
            <w:tcBorders>
              <w:top w:val="nil"/>
              <w:left w:val="nil"/>
              <w:bottom w:val="nil"/>
              <w:right w:val="nil"/>
            </w:tcBorders>
            <w:shd w:val="clear" w:color="auto" w:fill="auto"/>
            <w:noWrap/>
            <w:vAlign w:val="bottom"/>
            <w:hideMark/>
          </w:tcPr>
          <w:p w14:paraId="1D7057D9" w14:textId="0BE343EB"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12</w:t>
            </w:r>
            <w:r w:rsidR="00D14272">
              <w:rPr>
                <w:rFonts w:ascii="Arial" w:hAnsi="Arial" w:cs="Arial"/>
                <w:sz w:val="18"/>
                <w:szCs w:val="18"/>
                <w:lang w:eastAsia="hr-HR"/>
              </w:rPr>
              <w:t>6,03</w:t>
            </w:r>
            <w:r w:rsidRPr="00583CB4">
              <w:rPr>
                <w:rFonts w:ascii="Arial" w:hAnsi="Arial" w:cs="Arial"/>
                <w:sz w:val="18"/>
                <w:szCs w:val="18"/>
                <w:lang w:eastAsia="hr-HR"/>
              </w:rPr>
              <w:t>%</w:t>
            </w:r>
          </w:p>
        </w:tc>
        <w:tc>
          <w:tcPr>
            <w:tcW w:w="1240" w:type="dxa"/>
            <w:tcBorders>
              <w:top w:val="nil"/>
              <w:left w:val="nil"/>
              <w:bottom w:val="nil"/>
              <w:right w:val="nil"/>
            </w:tcBorders>
            <w:shd w:val="clear" w:color="auto" w:fill="auto"/>
            <w:noWrap/>
            <w:vAlign w:val="bottom"/>
            <w:hideMark/>
          </w:tcPr>
          <w:p w14:paraId="79E6E1FE" w14:textId="7402603B"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92,</w:t>
            </w:r>
            <w:r w:rsidR="00D14272">
              <w:rPr>
                <w:rFonts w:ascii="Arial" w:hAnsi="Arial" w:cs="Arial"/>
                <w:sz w:val="18"/>
                <w:szCs w:val="18"/>
                <w:lang w:eastAsia="hr-HR"/>
              </w:rPr>
              <w:t>70</w:t>
            </w:r>
            <w:r w:rsidRPr="00583CB4">
              <w:rPr>
                <w:rFonts w:ascii="Arial" w:hAnsi="Arial" w:cs="Arial"/>
                <w:sz w:val="18"/>
                <w:szCs w:val="18"/>
                <w:lang w:eastAsia="hr-HR"/>
              </w:rPr>
              <w:t>%</w:t>
            </w:r>
          </w:p>
        </w:tc>
      </w:tr>
      <w:tr w:rsidR="00583CB4" w:rsidRPr="00583CB4" w14:paraId="70D37BE2" w14:textId="77777777" w:rsidTr="00583CB4">
        <w:trPr>
          <w:trHeight w:val="255"/>
        </w:trPr>
        <w:tc>
          <w:tcPr>
            <w:tcW w:w="6237" w:type="dxa"/>
            <w:tcBorders>
              <w:top w:val="nil"/>
              <w:left w:val="nil"/>
              <w:bottom w:val="nil"/>
              <w:right w:val="nil"/>
            </w:tcBorders>
            <w:shd w:val="clear" w:color="auto" w:fill="auto"/>
            <w:noWrap/>
            <w:vAlign w:val="bottom"/>
            <w:hideMark/>
          </w:tcPr>
          <w:p w14:paraId="16EBDBA0"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4 Rashodi za nabavu nefinancijske imovine                                                             </w:t>
            </w:r>
          </w:p>
        </w:tc>
        <w:tc>
          <w:tcPr>
            <w:tcW w:w="1760" w:type="dxa"/>
            <w:tcBorders>
              <w:top w:val="nil"/>
              <w:left w:val="nil"/>
              <w:bottom w:val="nil"/>
              <w:right w:val="nil"/>
            </w:tcBorders>
            <w:shd w:val="clear" w:color="auto" w:fill="auto"/>
            <w:noWrap/>
            <w:vAlign w:val="bottom"/>
            <w:hideMark/>
          </w:tcPr>
          <w:p w14:paraId="71553BA0"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709.300,42</w:t>
            </w:r>
          </w:p>
        </w:tc>
        <w:tc>
          <w:tcPr>
            <w:tcW w:w="2140" w:type="dxa"/>
            <w:tcBorders>
              <w:top w:val="nil"/>
              <w:left w:val="nil"/>
              <w:bottom w:val="nil"/>
              <w:right w:val="nil"/>
            </w:tcBorders>
            <w:shd w:val="clear" w:color="auto" w:fill="auto"/>
            <w:noWrap/>
            <w:vAlign w:val="bottom"/>
            <w:hideMark/>
          </w:tcPr>
          <w:p w14:paraId="6DDD534C"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2.928.845,28</w:t>
            </w:r>
          </w:p>
        </w:tc>
        <w:tc>
          <w:tcPr>
            <w:tcW w:w="1780" w:type="dxa"/>
            <w:tcBorders>
              <w:top w:val="nil"/>
              <w:left w:val="nil"/>
              <w:bottom w:val="nil"/>
              <w:right w:val="nil"/>
            </w:tcBorders>
            <w:shd w:val="clear" w:color="auto" w:fill="auto"/>
            <w:noWrap/>
            <w:vAlign w:val="bottom"/>
            <w:hideMark/>
          </w:tcPr>
          <w:p w14:paraId="5ED17348" w14:textId="4BDA37A2"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2.61</w:t>
            </w:r>
            <w:r w:rsidR="00D14272">
              <w:rPr>
                <w:rFonts w:ascii="Arial" w:hAnsi="Arial" w:cs="Arial"/>
                <w:sz w:val="18"/>
                <w:szCs w:val="18"/>
                <w:lang w:eastAsia="hr-HR"/>
              </w:rPr>
              <w:t>9.073,32</w:t>
            </w:r>
          </w:p>
        </w:tc>
        <w:tc>
          <w:tcPr>
            <w:tcW w:w="1360" w:type="dxa"/>
            <w:tcBorders>
              <w:top w:val="nil"/>
              <w:left w:val="nil"/>
              <w:bottom w:val="nil"/>
              <w:right w:val="nil"/>
            </w:tcBorders>
            <w:shd w:val="clear" w:color="auto" w:fill="auto"/>
            <w:noWrap/>
            <w:vAlign w:val="bottom"/>
            <w:hideMark/>
          </w:tcPr>
          <w:p w14:paraId="244087EB" w14:textId="388FAFA9"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369,</w:t>
            </w:r>
            <w:r w:rsidR="00D14272">
              <w:rPr>
                <w:rFonts w:ascii="Arial" w:hAnsi="Arial" w:cs="Arial"/>
                <w:sz w:val="18"/>
                <w:szCs w:val="18"/>
                <w:lang w:eastAsia="hr-HR"/>
              </w:rPr>
              <w:t>25</w:t>
            </w:r>
            <w:r w:rsidRPr="00583CB4">
              <w:rPr>
                <w:rFonts w:ascii="Arial" w:hAnsi="Arial" w:cs="Arial"/>
                <w:sz w:val="18"/>
                <w:szCs w:val="18"/>
                <w:lang w:eastAsia="hr-HR"/>
              </w:rPr>
              <w:t>%</w:t>
            </w:r>
          </w:p>
        </w:tc>
        <w:tc>
          <w:tcPr>
            <w:tcW w:w="1240" w:type="dxa"/>
            <w:tcBorders>
              <w:top w:val="nil"/>
              <w:left w:val="nil"/>
              <w:bottom w:val="nil"/>
              <w:right w:val="nil"/>
            </w:tcBorders>
            <w:shd w:val="clear" w:color="auto" w:fill="auto"/>
            <w:noWrap/>
            <w:vAlign w:val="bottom"/>
            <w:hideMark/>
          </w:tcPr>
          <w:p w14:paraId="5AAB1863" w14:textId="7F8A736C"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89,</w:t>
            </w:r>
            <w:r w:rsidR="00D14272">
              <w:rPr>
                <w:rFonts w:ascii="Arial" w:hAnsi="Arial" w:cs="Arial"/>
                <w:sz w:val="18"/>
                <w:szCs w:val="18"/>
                <w:lang w:eastAsia="hr-HR"/>
              </w:rPr>
              <w:t>42</w:t>
            </w:r>
            <w:r w:rsidRPr="00583CB4">
              <w:rPr>
                <w:rFonts w:ascii="Arial" w:hAnsi="Arial" w:cs="Arial"/>
                <w:sz w:val="18"/>
                <w:szCs w:val="18"/>
                <w:lang w:eastAsia="hr-HR"/>
              </w:rPr>
              <w:t>%</w:t>
            </w:r>
          </w:p>
        </w:tc>
      </w:tr>
      <w:tr w:rsidR="00583CB4" w:rsidRPr="00583CB4" w14:paraId="6926A7E0" w14:textId="77777777" w:rsidTr="00583CB4">
        <w:trPr>
          <w:trHeight w:val="255"/>
        </w:trPr>
        <w:tc>
          <w:tcPr>
            <w:tcW w:w="6237" w:type="dxa"/>
            <w:tcBorders>
              <w:top w:val="nil"/>
              <w:left w:val="nil"/>
              <w:bottom w:val="nil"/>
              <w:right w:val="nil"/>
            </w:tcBorders>
            <w:shd w:val="clear" w:color="000000" w:fill="D9D9D9"/>
            <w:noWrap/>
            <w:vAlign w:val="bottom"/>
            <w:hideMark/>
          </w:tcPr>
          <w:p w14:paraId="7C4478D8" w14:textId="77777777" w:rsidR="00583CB4" w:rsidRPr="00583CB4" w:rsidRDefault="00583CB4" w:rsidP="00583CB4">
            <w:pPr>
              <w:spacing w:after="0" w:line="240" w:lineRule="auto"/>
              <w:rPr>
                <w:rFonts w:ascii="Arial" w:hAnsi="Arial" w:cs="Arial"/>
                <w:b/>
                <w:bCs/>
                <w:sz w:val="18"/>
                <w:szCs w:val="18"/>
                <w:lang w:eastAsia="hr-HR"/>
              </w:rPr>
            </w:pPr>
            <w:r w:rsidRPr="00583CB4">
              <w:rPr>
                <w:rFonts w:ascii="Arial" w:hAnsi="Arial" w:cs="Arial"/>
                <w:b/>
                <w:bCs/>
                <w:sz w:val="18"/>
                <w:szCs w:val="18"/>
                <w:lang w:eastAsia="hr-HR"/>
              </w:rPr>
              <w:t xml:space="preserve"> UKUPNI RASHODI</w:t>
            </w:r>
          </w:p>
        </w:tc>
        <w:tc>
          <w:tcPr>
            <w:tcW w:w="1760" w:type="dxa"/>
            <w:tcBorders>
              <w:top w:val="nil"/>
              <w:left w:val="nil"/>
              <w:bottom w:val="nil"/>
              <w:right w:val="nil"/>
            </w:tcBorders>
            <w:shd w:val="clear" w:color="000000" w:fill="D9D9D9"/>
            <w:noWrap/>
            <w:vAlign w:val="bottom"/>
            <w:hideMark/>
          </w:tcPr>
          <w:p w14:paraId="69DCFE76"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8.782.102,21</w:t>
            </w:r>
          </w:p>
        </w:tc>
        <w:tc>
          <w:tcPr>
            <w:tcW w:w="2140" w:type="dxa"/>
            <w:tcBorders>
              <w:top w:val="nil"/>
              <w:left w:val="nil"/>
              <w:bottom w:val="nil"/>
              <w:right w:val="nil"/>
            </w:tcBorders>
            <w:shd w:val="clear" w:color="000000" w:fill="D9D9D9"/>
            <w:noWrap/>
            <w:vAlign w:val="bottom"/>
            <w:hideMark/>
          </w:tcPr>
          <w:p w14:paraId="5E1AE8C8"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13.903.867,52</w:t>
            </w:r>
          </w:p>
        </w:tc>
        <w:tc>
          <w:tcPr>
            <w:tcW w:w="1780" w:type="dxa"/>
            <w:tcBorders>
              <w:top w:val="nil"/>
              <w:left w:val="nil"/>
              <w:bottom w:val="nil"/>
              <w:right w:val="nil"/>
            </w:tcBorders>
            <w:shd w:val="clear" w:color="000000" w:fill="D9D9D9"/>
            <w:noWrap/>
            <w:vAlign w:val="bottom"/>
            <w:hideMark/>
          </w:tcPr>
          <w:p w14:paraId="49611A6C" w14:textId="3BB884C6"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12.7</w:t>
            </w:r>
            <w:r w:rsidR="00D14272">
              <w:rPr>
                <w:rFonts w:ascii="Arial" w:hAnsi="Arial" w:cs="Arial"/>
                <w:b/>
                <w:bCs/>
                <w:sz w:val="18"/>
                <w:szCs w:val="18"/>
                <w:lang w:eastAsia="hr-HR"/>
              </w:rPr>
              <w:t>92.977,94</w:t>
            </w:r>
          </w:p>
        </w:tc>
        <w:tc>
          <w:tcPr>
            <w:tcW w:w="1360" w:type="dxa"/>
            <w:tcBorders>
              <w:top w:val="nil"/>
              <w:left w:val="nil"/>
              <w:bottom w:val="nil"/>
              <w:right w:val="nil"/>
            </w:tcBorders>
            <w:shd w:val="clear" w:color="000000" w:fill="D9D9D9"/>
            <w:noWrap/>
            <w:vAlign w:val="bottom"/>
            <w:hideMark/>
          </w:tcPr>
          <w:p w14:paraId="2D3F6BF0" w14:textId="02548314"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145,</w:t>
            </w:r>
            <w:r w:rsidR="00D14272">
              <w:rPr>
                <w:rFonts w:ascii="Arial" w:hAnsi="Arial" w:cs="Arial"/>
                <w:b/>
                <w:bCs/>
                <w:sz w:val="18"/>
                <w:szCs w:val="18"/>
                <w:lang w:eastAsia="hr-HR"/>
              </w:rPr>
              <w:t>67</w:t>
            </w:r>
            <w:r w:rsidRPr="00583CB4">
              <w:rPr>
                <w:rFonts w:ascii="Arial" w:hAnsi="Arial" w:cs="Arial"/>
                <w:b/>
                <w:bCs/>
                <w:sz w:val="18"/>
                <w:szCs w:val="18"/>
                <w:lang w:eastAsia="hr-HR"/>
              </w:rPr>
              <w:t>%</w:t>
            </w:r>
          </w:p>
        </w:tc>
        <w:tc>
          <w:tcPr>
            <w:tcW w:w="1240" w:type="dxa"/>
            <w:tcBorders>
              <w:top w:val="nil"/>
              <w:left w:val="nil"/>
              <w:bottom w:val="nil"/>
              <w:right w:val="nil"/>
            </w:tcBorders>
            <w:shd w:val="clear" w:color="000000" w:fill="D9D9D9"/>
            <w:noWrap/>
            <w:vAlign w:val="bottom"/>
            <w:hideMark/>
          </w:tcPr>
          <w:p w14:paraId="751CB3B2" w14:textId="55080668"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91,</w:t>
            </w:r>
            <w:r w:rsidR="00D14272">
              <w:rPr>
                <w:rFonts w:ascii="Arial" w:hAnsi="Arial" w:cs="Arial"/>
                <w:b/>
                <w:bCs/>
                <w:sz w:val="18"/>
                <w:szCs w:val="18"/>
                <w:lang w:eastAsia="hr-HR"/>
              </w:rPr>
              <w:t>01</w:t>
            </w:r>
            <w:r w:rsidRPr="00583CB4">
              <w:rPr>
                <w:rFonts w:ascii="Arial" w:hAnsi="Arial" w:cs="Arial"/>
                <w:b/>
                <w:bCs/>
                <w:sz w:val="18"/>
                <w:szCs w:val="18"/>
                <w:lang w:eastAsia="hr-HR"/>
              </w:rPr>
              <w:t>%</w:t>
            </w:r>
          </w:p>
        </w:tc>
      </w:tr>
      <w:tr w:rsidR="00583CB4" w:rsidRPr="00583CB4" w14:paraId="79E71D12" w14:textId="77777777" w:rsidTr="00583CB4">
        <w:trPr>
          <w:trHeight w:val="255"/>
        </w:trPr>
        <w:tc>
          <w:tcPr>
            <w:tcW w:w="6237" w:type="dxa"/>
            <w:tcBorders>
              <w:top w:val="nil"/>
              <w:left w:val="nil"/>
              <w:bottom w:val="nil"/>
              <w:right w:val="nil"/>
            </w:tcBorders>
            <w:shd w:val="clear" w:color="auto" w:fill="auto"/>
            <w:noWrap/>
            <w:vAlign w:val="bottom"/>
            <w:hideMark/>
          </w:tcPr>
          <w:p w14:paraId="0B033217"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 VIŠAK / MANJAK</w:t>
            </w:r>
          </w:p>
        </w:tc>
        <w:tc>
          <w:tcPr>
            <w:tcW w:w="1760" w:type="dxa"/>
            <w:tcBorders>
              <w:top w:val="nil"/>
              <w:left w:val="nil"/>
              <w:bottom w:val="nil"/>
              <w:right w:val="nil"/>
            </w:tcBorders>
            <w:shd w:val="clear" w:color="auto" w:fill="auto"/>
            <w:noWrap/>
            <w:vAlign w:val="bottom"/>
            <w:hideMark/>
          </w:tcPr>
          <w:p w14:paraId="14A55D8C"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695.420,24</w:t>
            </w:r>
          </w:p>
        </w:tc>
        <w:tc>
          <w:tcPr>
            <w:tcW w:w="2140" w:type="dxa"/>
            <w:tcBorders>
              <w:top w:val="nil"/>
              <w:left w:val="nil"/>
              <w:bottom w:val="nil"/>
              <w:right w:val="nil"/>
            </w:tcBorders>
            <w:shd w:val="clear" w:color="auto" w:fill="auto"/>
            <w:noWrap/>
            <w:vAlign w:val="bottom"/>
            <w:hideMark/>
          </w:tcPr>
          <w:p w14:paraId="27027863"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-1.593.816,29</w:t>
            </w:r>
          </w:p>
        </w:tc>
        <w:tc>
          <w:tcPr>
            <w:tcW w:w="1780" w:type="dxa"/>
            <w:tcBorders>
              <w:top w:val="nil"/>
              <w:left w:val="nil"/>
              <w:bottom w:val="nil"/>
              <w:right w:val="nil"/>
            </w:tcBorders>
            <w:shd w:val="clear" w:color="auto" w:fill="auto"/>
            <w:noWrap/>
            <w:vAlign w:val="bottom"/>
            <w:hideMark/>
          </w:tcPr>
          <w:p w14:paraId="24D12E1B"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-1.355.508,96</w:t>
            </w:r>
          </w:p>
        </w:tc>
        <w:tc>
          <w:tcPr>
            <w:tcW w:w="1360" w:type="dxa"/>
            <w:tcBorders>
              <w:top w:val="nil"/>
              <w:left w:val="nil"/>
              <w:bottom w:val="nil"/>
              <w:right w:val="nil"/>
            </w:tcBorders>
            <w:shd w:val="clear" w:color="auto" w:fill="auto"/>
            <w:noWrap/>
            <w:vAlign w:val="bottom"/>
            <w:hideMark/>
          </w:tcPr>
          <w:p w14:paraId="07E287DF"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-194,92%</w:t>
            </w:r>
          </w:p>
        </w:tc>
        <w:tc>
          <w:tcPr>
            <w:tcW w:w="1240" w:type="dxa"/>
            <w:tcBorders>
              <w:top w:val="nil"/>
              <w:left w:val="nil"/>
              <w:bottom w:val="nil"/>
              <w:right w:val="nil"/>
            </w:tcBorders>
            <w:shd w:val="clear" w:color="auto" w:fill="auto"/>
            <w:noWrap/>
            <w:vAlign w:val="bottom"/>
            <w:hideMark/>
          </w:tcPr>
          <w:p w14:paraId="1883231F"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85,05%</w:t>
            </w:r>
          </w:p>
        </w:tc>
      </w:tr>
      <w:tr w:rsidR="00583CB4" w:rsidRPr="00583CB4" w14:paraId="7C26074B" w14:textId="77777777" w:rsidTr="00583CB4">
        <w:trPr>
          <w:trHeight w:val="255"/>
        </w:trPr>
        <w:tc>
          <w:tcPr>
            <w:tcW w:w="6237" w:type="dxa"/>
            <w:tcBorders>
              <w:top w:val="nil"/>
              <w:left w:val="nil"/>
              <w:bottom w:val="nil"/>
              <w:right w:val="nil"/>
            </w:tcBorders>
            <w:shd w:val="clear" w:color="000000" w:fill="203764"/>
            <w:noWrap/>
            <w:vAlign w:val="bottom"/>
            <w:hideMark/>
          </w:tcPr>
          <w:p w14:paraId="32534050" w14:textId="77777777" w:rsidR="00583CB4" w:rsidRPr="00583CB4" w:rsidRDefault="00583CB4" w:rsidP="00583CB4">
            <w:pPr>
              <w:spacing w:after="0" w:line="240" w:lineRule="auto"/>
              <w:rPr>
                <w:rFonts w:ascii="Arial" w:hAnsi="Arial" w:cs="Arial"/>
                <w:color w:val="FFFFFF"/>
                <w:sz w:val="18"/>
                <w:szCs w:val="18"/>
                <w:lang w:eastAsia="hr-HR"/>
              </w:rPr>
            </w:pPr>
            <w:r w:rsidRPr="00583CB4">
              <w:rPr>
                <w:rFonts w:ascii="Arial" w:hAnsi="Arial" w:cs="Arial"/>
                <w:color w:val="FFFFFF"/>
                <w:sz w:val="18"/>
                <w:szCs w:val="18"/>
                <w:lang w:eastAsia="hr-HR"/>
              </w:rPr>
              <w:t>B. RAČUN ZADUŽIVANJA / FINANCIRANJA</w:t>
            </w:r>
          </w:p>
        </w:tc>
        <w:tc>
          <w:tcPr>
            <w:tcW w:w="1760" w:type="dxa"/>
            <w:tcBorders>
              <w:top w:val="nil"/>
              <w:left w:val="nil"/>
              <w:bottom w:val="nil"/>
              <w:right w:val="nil"/>
            </w:tcBorders>
            <w:shd w:val="clear" w:color="000000" w:fill="203764"/>
            <w:noWrap/>
            <w:vAlign w:val="bottom"/>
            <w:hideMark/>
          </w:tcPr>
          <w:p w14:paraId="3ED711CF" w14:textId="77777777" w:rsidR="00583CB4" w:rsidRPr="00583CB4" w:rsidRDefault="00583CB4" w:rsidP="00583CB4">
            <w:pPr>
              <w:spacing w:after="0" w:line="240" w:lineRule="auto"/>
              <w:rPr>
                <w:rFonts w:ascii="Arial" w:hAnsi="Arial" w:cs="Arial"/>
                <w:color w:val="FFFFFF"/>
                <w:sz w:val="18"/>
                <w:szCs w:val="18"/>
                <w:lang w:eastAsia="hr-HR"/>
              </w:rPr>
            </w:pPr>
            <w:r w:rsidRPr="00583CB4">
              <w:rPr>
                <w:rFonts w:ascii="Arial" w:hAnsi="Arial" w:cs="Arial"/>
                <w:color w:val="FFFFFF"/>
                <w:sz w:val="18"/>
                <w:szCs w:val="18"/>
                <w:lang w:eastAsia="hr-HR"/>
              </w:rPr>
              <w:t> </w:t>
            </w:r>
          </w:p>
        </w:tc>
        <w:tc>
          <w:tcPr>
            <w:tcW w:w="2140" w:type="dxa"/>
            <w:tcBorders>
              <w:top w:val="nil"/>
              <w:left w:val="nil"/>
              <w:bottom w:val="nil"/>
              <w:right w:val="nil"/>
            </w:tcBorders>
            <w:shd w:val="clear" w:color="000000" w:fill="203764"/>
            <w:noWrap/>
            <w:vAlign w:val="bottom"/>
            <w:hideMark/>
          </w:tcPr>
          <w:p w14:paraId="5BD2F662" w14:textId="77777777" w:rsidR="00583CB4" w:rsidRPr="00583CB4" w:rsidRDefault="00583CB4" w:rsidP="00583CB4">
            <w:pPr>
              <w:spacing w:after="0" w:line="240" w:lineRule="auto"/>
              <w:rPr>
                <w:rFonts w:ascii="Arial" w:hAnsi="Arial" w:cs="Arial"/>
                <w:color w:val="FFFFFF"/>
                <w:sz w:val="18"/>
                <w:szCs w:val="18"/>
                <w:lang w:eastAsia="hr-HR"/>
              </w:rPr>
            </w:pPr>
            <w:r w:rsidRPr="00583CB4">
              <w:rPr>
                <w:rFonts w:ascii="Arial" w:hAnsi="Arial" w:cs="Arial"/>
                <w:color w:val="FFFFFF"/>
                <w:sz w:val="18"/>
                <w:szCs w:val="18"/>
                <w:lang w:eastAsia="hr-HR"/>
              </w:rPr>
              <w:t> </w:t>
            </w:r>
          </w:p>
        </w:tc>
        <w:tc>
          <w:tcPr>
            <w:tcW w:w="1780" w:type="dxa"/>
            <w:tcBorders>
              <w:top w:val="nil"/>
              <w:left w:val="nil"/>
              <w:bottom w:val="nil"/>
              <w:right w:val="nil"/>
            </w:tcBorders>
            <w:shd w:val="clear" w:color="000000" w:fill="203764"/>
            <w:noWrap/>
            <w:vAlign w:val="bottom"/>
            <w:hideMark/>
          </w:tcPr>
          <w:p w14:paraId="4742F2AE" w14:textId="77777777" w:rsidR="00583CB4" w:rsidRPr="00583CB4" w:rsidRDefault="00583CB4" w:rsidP="00583CB4">
            <w:pPr>
              <w:spacing w:after="0" w:line="240" w:lineRule="auto"/>
              <w:rPr>
                <w:rFonts w:ascii="Arial" w:hAnsi="Arial" w:cs="Arial"/>
                <w:color w:val="FFFFFF"/>
                <w:sz w:val="18"/>
                <w:szCs w:val="18"/>
                <w:lang w:eastAsia="hr-HR"/>
              </w:rPr>
            </w:pPr>
            <w:r w:rsidRPr="00583CB4">
              <w:rPr>
                <w:rFonts w:ascii="Arial" w:hAnsi="Arial" w:cs="Arial"/>
                <w:color w:val="FFFFFF"/>
                <w:sz w:val="18"/>
                <w:szCs w:val="18"/>
                <w:lang w:eastAsia="hr-HR"/>
              </w:rPr>
              <w:t> </w:t>
            </w:r>
          </w:p>
        </w:tc>
        <w:tc>
          <w:tcPr>
            <w:tcW w:w="1360" w:type="dxa"/>
            <w:tcBorders>
              <w:top w:val="nil"/>
              <w:left w:val="nil"/>
              <w:bottom w:val="nil"/>
              <w:right w:val="nil"/>
            </w:tcBorders>
            <w:shd w:val="clear" w:color="000000" w:fill="203764"/>
            <w:noWrap/>
            <w:vAlign w:val="bottom"/>
            <w:hideMark/>
          </w:tcPr>
          <w:p w14:paraId="6E64D852" w14:textId="77777777" w:rsidR="00583CB4" w:rsidRPr="00583CB4" w:rsidRDefault="00583CB4" w:rsidP="00583CB4">
            <w:pPr>
              <w:spacing w:after="0" w:line="240" w:lineRule="auto"/>
              <w:rPr>
                <w:rFonts w:ascii="Arial" w:hAnsi="Arial" w:cs="Arial"/>
                <w:color w:val="FFFFFF"/>
                <w:sz w:val="18"/>
                <w:szCs w:val="18"/>
                <w:lang w:eastAsia="hr-HR"/>
              </w:rPr>
            </w:pPr>
            <w:r w:rsidRPr="00583CB4">
              <w:rPr>
                <w:rFonts w:ascii="Arial" w:hAnsi="Arial" w:cs="Arial"/>
                <w:color w:val="FFFFFF"/>
                <w:sz w:val="18"/>
                <w:szCs w:val="18"/>
                <w:lang w:eastAsia="hr-HR"/>
              </w:rPr>
              <w:t> </w:t>
            </w:r>
          </w:p>
        </w:tc>
        <w:tc>
          <w:tcPr>
            <w:tcW w:w="1240" w:type="dxa"/>
            <w:tcBorders>
              <w:top w:val="nil"/>
              <w:left w:val="nil"/>
              <w:bottom w:val="nil"/>
              <w:right w:val="nil"/>
            </w:tcBorders>
            <w:shd w:val="clear" w:color="000000" w:fill="203764"/>
            <w:noWrap/>
            <w:vAlign w:val="bottom"/>
            <w:hideMark/>
          </w:tcPr>
          <w:p w14:paraId="2DCBBD33" w14:textId="77777777" w:rsidR="00583CB4" w:rsidRPr="00583CB4" w:rsidRDefault="00583CB4" w:rsidP="00583CB4">
            <w:pPr>
              <w:spacing w:after="0" w:line="240" w:lineRule="auto"/>
              <w:rPr>
                <w:rFonts w:ascii="Arial" w:hAnsi="Arial" w:cs="Arial"/>
                <w:color w:val="FFFFFF"/>
                <w:sz w:val="18"/>
                <w:szCs w:val="18"/>
                <w:lang w:eastAsia="hr-HR"/>
              </w:rPr>
            </w:pPr>
            <w:r w:rsidRPr="00583CB4">
              <w:rPr>
                <w:rFonts w:ascii="Arial" w:hAnsi="Arial" w:cs="Arial"/>
                <w:color w:val="FFFFFF"/>
                <w:sz w:val="18"/>
                <w:szCs w:val="18"/>
                <w:lang w:eastAsia="hr-HR"/>
              </w:rPr>
              <w:t> </w:t>
            </w:r>
          </w:p>
        </w:tc>
      </w:tr>
      <w:tr w:rsidR="00583CB4" w:rsidRPr="00583CB4" w14:paraId="1ECED4EB" w14:textId="77777777" w:rsidTr="00583CB4">
        <w:trPr>
          <w:trHeight w:val="255"/>
        </w:trPr>
        <w:tc>
          <w:tcPr>
            <w:tcW w:w="6237" w:type="dxa"/>
            <w:tcBorders>
              <w:top w:val="nil"/>
              <w:left w:val="nil"/>
              <w:bottom w:val="nil"/>
              <w:right w:val="nil"/>
            </w:tcBorders>
            <w:shd w:val="clear" w:color="auto" w:fill="auto"/>
            <w:noWrap/>
            <w:vAlign w:val="bottom"/>
            <w:hideMark/>
          </w:tcPr>
          <w:p w14:paraId="59F2CA2C"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8 Primici od financijske imovine i zaduživanja                                                        </w:t>
            </w:r>
          </w:p>
        </w:tc>
        <w:tc>
          <w:tcPr>
            <w:tcW w:w="1760" w:type="dxa"/>
            <w:tcBorders>
              <w:top w:val="nil"/>
              <w:left w:val="nil"/>
              <w:bottom w:val="nil"/>
              <w:right w:val="nil"/>
            </w:tcBorders>
            <w:shd w:val="clear" w:color="auto" w:fill="auto"/>
            <w:noWrap/>
            <w:vAlign w:val="bottom"/>
            <w:hideMark/>
          </w:tcPr>
          <w:p w14:paraId="5242D2A0"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0,00</w:t>
            </w:r>
          </w:p>
        </w:tc>
        <w:tc>
          <w:tcPr>
            <w:tcW w:w="2140" w:type="dxa"/>
            <w:tcBorders>
              <w:top w:val="nil"/>
              <w:left w:val="nil"/>
              <w:bottom w:val="nil"/>
              <w:right w:val="nil"/>
            </w:tcBorders>
            <w:shd w:val="clear" w:color="auto" w:fill="auto"/>
            <w:noWrap/>
            <w:vAlign w:val="bottom"/>
            <w:hideMark/>
          </w:tcPr>
          <w:p w14:paraId="68971964"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732.831,00</w:t>
            </w:r>
          </w:p>
        </w:tc>
        <w:tc>
          <w:tcPr>
            <w:tcW w:w="1780" w:type="dxa"/>
            <w:tcBorders>
              <w:top w:val="nil"/>
              <w:left w:val="nil"/>
              <w:bottom w:val="nil"/>
              <w:right w:val="nil"/>
            </w:tcBorders>
            <w:shd w:val="clear" w:color="auto" w:fill="auto"/>
            <w:noWrap/>
            <w:vAlign w:val="bottom"/>
            <w:hideMark/>
          </w:tcPr>
          <w:p w14:paraId="07B6064C"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627.143,50</w:t>
            </w:r>
          </w:p>
        </w:tc>
        <w:tc>
          <w:tcPr>
            <w:tcW w:w="1360" w:type="dxa"/>
            <w:tcBorders>
              <w:top w:val="nil"/>
              <w:left w:val="nil"/>
              <w:bottom w:val="nil"/>
              <w:right w:val="nil"/>
            </w:tcBorders>
            <w:shd w:val="clear" w:color="auto" w:fill="auto"/>
            <w:noWrap/>
            <w:vAlign w:val="bottom"/>
            <w:hideMark/>
          </w:tcPr>
          <w:p w14:paraId="6D1C3379"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0,00%</w:t>
            </w:r>
          </w:p>
        </w:tc>
        <w:tc>
          <w:tcPr>
            <w:tcW w:w="1240" w:type="dxa"/>
            <w:tcBorders>
              <w:top w:val="nil"/>
              <w:left w:val="nil"/>
              <w:bottom w:val="nil"/>
              <w:right w:val="nil"/>
            </w:tcBorders>
            <w:shd w:val="clear" w:color="auto" w:fill="auto"/>
            <w:noWrap/>
            <w:vAlign w:val="bottom"/>
            <w:hideMark/>
          </w:tcPr>
          <w:p w14:paraId="6DEFAD0E"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85,58%</w:t>
            </w:r>
          </w:p>
        </w:tc>
      </w:tr>
      <w:tr w:rsidR="00583CB4" w:rsidRPr="00583CB4" w14:paraId="55048883" w14:textId="77777777" w:rsidTr="00583CB4">
        <w:trPr>
          <w:trHeight w:val="255"/>
        </w:trPr>
        <w:tc>
          <w:tcPr>
            <w:tcW w:w="6237" w:type="dxa"/>
            <w:tcBorders>
              <w:top w:val="nil"/>
              <w:left w:val="nil"/>
              <w:bottom w:val="nil"/>
              <w:right w:val="nil"/>
            </w:tcBorders>
            <w:shd w:val="clear" w:color="auto" w:fill="auto"/>
            <w:noWrap/>
            <w:vAlign w:val="bottom"/>
            <w:hideMark/>
          </w:tcPr>
          <w:p w14:paraId="7FCB0552"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5 Izdaci za financijsku imovinu i otplate zajmova                                                     </w:t>
            </w:r>
          </w:p>
        </w:tc>
        <w:tc>
          <w:tcPr>
            <w:tcW w:w="1760" w:type="dxa"/>
            <w:tcBorders>
              <w:top w:val="nil"/>
              <w:left w:val="nil"/>
              <w:bottom w:val="nil"/>
              <w:right w:val="nil"/>
            </w:tcBorders>
            <w:shd w:val="clear" w:color="auto" w:fill="auto"/>
            <w:noWrap/>
            <w:vAlign w:val="bottom"/>
            <w:hideMark/>
          </w:tcPr>
          <w:p w14:paraId="2A9825B5"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9.054,93</w:t>
            </w:r>
          </w:p>
        </w:tc>
        <w:tc>
          <w:tcPr>
            <w:tcW w:w="2140" w:type="dxa"/>
            <w:tcBorders>
              <w:top w:val="nil"/>
              <w:left w:val="nil"/>
              <w:bottom w:val="nil"/>
              <w:right w:val="nil"/>
            </w:tcBorders>
            <w:shd w:val="clear" w:color="auto" w:fill="auto"/>
            <w:noWrap/>
            <w:vAlign w:val="bottom"/>
            <w:hideMark/>
          </w:tcPr>
          <w:p w14:paraId="29EB619A"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20.000,00</w:t>
            </w:r>
          </w:p>
        </w:tc>
        <w:tc>
          <w:tcPr>
            <w:tcW w:w="1780" w:type="dxa"/>
            <w:tcBorders>
              <w:top w:val="nil"/>
              <w:left w:val="nil"/>
              <w:bottom w:val="nil"/>
              <w:right w:val="nil"/>
            </w:tcBorders>
            <w:shd w:val="clear" w:color="auto" w:fill="auto"/>
            <w:noWrap/>
            <w:vAlign w:val="bottom"/>
            <w:hideMark/>
          </w:tcPr>
          <w:p w14:paraId="460C2A69"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20.000,00</w:t>
            </w:r>
          </w:p>
        </w:tc>
        <w:tc>
          <w:tcPr>
            <w:tcW w:w="1360" w:type="dxa"/>
            <w:tcBorders>
              <w:top w:val="nil"/>
              <w:left w:val="nil"/>
              <w:bottom w:val="nil"/>
              <w:right w:val="nil"/>
            </w:tcBorders>
            <w:shd w:val="clear" w:color="auto" w:fill="auto"/>
            <w:noWrap/>
            <w:vAlign w:val="bottom"/>
            <w:hideMark/>
          </w:tcPr>
          <w:p w14:paraId="5BC3D356"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220,87%</w:t>
            </w:r>
          </w:p>
        </w:tc>
        <w:tc>
          <w:tcPr>
            <w:tcW w:w="1240" w:type="dxa"/>
            <w:tcBorders>
              <w:top w:val="nil"/>
              <w:left w:val="nil"/>
              <w:bottom w:val="nil"/>
              <w:right w:val="nil"/>
            </w:tcBorders>
            <w:shd w:val="clear" w:color="auto" w:fill="auto"/>
            <w:noWrap/>
            <w:vAlign w:val="bottom"/>
            <w:hideMark/>
          </w:tcPr>
          <w:p w14:paraId="028F783E"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100,00%</w:t>
            </w:r>
          </w:p>
        </w:tc>
      </w:tr>
      <w:tr w:rsidR="00583CB4" w:rsidRPr="00583CB4" w14:paraId="49372186" w14:textId="77777777" w:rsidTr="00583CB4">
        <w:trPr>
          <w:trHeight w:val="255"/>
        </w:trPr>
        <w:tc>
          <w:tcPr>
            <w:tcW w:w="6237" w:type="dxa"/>
            <w:tcBorders>
              <w:top w:val="nil"/>
              <w:left w:val="nil"/>
              <w:bottom w:val="nil"/>
              <w:right w:val="nil"/>
            </w:tcBorders>
            <w:shd w:val="clear" w:color="000000" w:fill="D9D9D9"/>
            <w:noWrap/>
            <w:vAlign w:val="bottom"/>
            <w:hideMark/>
          </w:tcPr>
          <w:p w14:paraId="29F5E6F4" w14:textId="77777777" w:rsidR="00583CB4" w:rsidRPr="00583CB4" w:rsidRDefault="00583CB4" w:rsidP="00583CB4">
            <w:pPr>
              <w:spacing w:after="0" w:line="240" w:lineRule="auto"/>
              <w:rPr>
                <w:rFonts w:ascii="Arial" w:hAnsi="Arial" w:cs="Arial"/>
                <w:b/>
                <w:bCs/>
                <w:sz w:val="18"/>
                <w:szCs w:val="18"/>
                <w:lang w:eastAsia="hr-HR"/>
              </w:rPr>
            </w:pPr>
            <w:r w:rsidRPr="00583CB4">
              <w:rPr>
                <w:rFonts w:ascii="Arial" w:hAnsi="Arial" w:cs="Arial"/>
                <w:b/>
                <w:bCs/>
                <w:sz w:val="18"/>
                <w:szCs w:val="18"/>
                <w:lang w:eastAsia="hr-HR"/>
              </w:rPr>
              <w:t xml:space="preserve"> NETO ZADUŽIVANJE</w:t>
            </w:r>
          </w:p>
        </w:tc>
        <w:tc>
          <w:tcPr>
            <w:tcW w:w="1760" w:type="dxa"/>
            <w:tcBorders>
              <w:top w:val="nil"/>
              <w:left w:val="nil"/>
              <w:bottom w:val="nil"/>
              <w:right w:val="nil"/>
            </w:tcBorders>
            <w:shd w:val="clear" w:color="000000" w:fill="D9D9D9"/>
            <w:noWrap/>
            <w:vAlign w:val="bottom"/>
            <w:hideMark/>
          </w:tcPr>
          <w:p w14:paraId="59A9F58E"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-9.054,93</w:t>
            </w:r>
          </w:p>
        </w:tc>
        <w:tc>
          <w:tcPr>
            <w:tcW w:w="2140" w:type="dxa"/>
            <w:tcBorders>
              <w:top w:val="nil"/>
              <w:left w:val="nil"/>
              <w:bottom w:val="nil"/>
              <w:right w:val="nil"/>
            </w:tcBorders>
            <w:shd w:val="clear" w:color="000000" w:fill="D9D9D9"/>
            <w:noWrap/>
            <w:vAlign w:val="bottom"/>
            <w:hideMark/>
          </w:tcPr>
          <w:p w14:paraId="683E3D66"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712.831,00</w:t>
            </w:r>
          </w:p>
        </w:tc>
        <w:tc>
          <w:tcPr>
            <w:tcW w:w="1780" w:type="dxa"/>
            <w:tcBorders>
              <w:top w:val="nil"/>
              <w:left w:val="nil"/>
              <w:bottom w:val="nil"/>
              <w:right w:val="nil"/>
            </w:tcBorders>
            <w:shd w:val="clear" w:color="000000" w:fill="D9D9D9"/>
            <w:noWrap/>
            <w:vAlign w:val="bottom"/>
            <w:hideMark/>
          </w:tcPr>
          <w:p w14:paraId="36C652B7"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607.143,50</w:t>
            </w:r>
          </w:p>
        </w:tc>
        <w:tc>
          <w:tcPr>
            <w:tcW w:w="1360" w:type="dxa"/>
            <w:tcBorders>
              <w:top w:val="nil"/>
              <w:left w:val="nil"/>
              <w:bottom w:val="nil"/>
              <w:right w:val="nil"/>
            </w:tcBorders>
            <w:shd w:val="clear" w:color="000000" w:fill="D9D9D9"/>
            <w:noWrap/>
            <w:vAlign w:val="bottom"/>
            <w:hideMark/>
          </w:tcPr>
          <w:p w14:paraId="715FF618"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-6705,12%</w:t>
            </w:r>
          </w:p>
        </w:tc>
        <w:tc>
          <w:tcPr>
            <w:tcW w:w="1240" w:type="dxa"/>
            <w:tcBorders>
              <w:top w:val="nil"/>
              <w:left w:val="nil"/>
              <w:bottom w:val="nil"/>
              <w:right w:val="nil"/>
            </w:tcBorders>
            <w:shd w:val="clear" w:color="000000" w:fill="D9D9D9"/>
            <w:noWrap/>
            <w:vAlign w:val="bottom"/>
            <w:hideMark/>
          </w:tcPr>
          <w:p w14:paraId="0970D8BB"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85,17%</w:t>
            </w:r>
          </w:p>
        </w:tc>
      </w:tr>
      <w:tr w:rsidR="00583CB4" w:rsidRPr="00583CB4" w14:paraId="403B6E65" w14:textId="77777777" w:rsidTr="00583CB4">
        <w:trPr>
          <w:trHeight w:val="255"/>
        </w:trPr>
        <w:tc>
          <w:tcPr>
            <w:tcW w:w="6237" w:type="dxa"/>
            <w:tcBorders>
              <w:top w:val="nil"/>
              <w:left w:val="nil"/>
              <w:bottom w:val="nil"/>
              <w:right w:val="nil"/>
            </w:tcBorders>
            <w:shd w:val="clear" w:color="auto" w:fill="auto"/>
            <w:noWrap/>
            <w:vAlign w:val="bottom"/>
            <w:hideMark/>
          </w:tcPr>
          <w:p w14:paraId="630DF63B"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 UKUPNI DONOS VIŠKA / MANJKA IZ PRETHODNE(IH) GODINA</w:t>
            </w:r>
          </w:p>
        </w:tc>
        <w:tc>
          <w:tcPr>
            <w:tcW w:w="1760" w:type="dxa"/>
            <w:tcBorders>
              <w:top w:val="nil"/>
              <w:left w:val="nil"/>
              <w:bottom w:val="nil"/>
              <w:right w:val="nil"/>
            </w:tcBorders>
            <w:shd w:val="clear" w:color="auto" w:fill="auto"/>
            <w:noWrap/>
            <w:vAlign w:val="bottom"/>
            <w:hideMark/>
          </w:tcPr>
          <w:p w14:paraId="29AC2C7F"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0,00</w:t>
            </w:r>
          </w:p>
        </w:tc>
        <w:tc>
          <w:tcPr>
            <w:tcW w:w="2140" w:type="dxa"/>
            <w:tcBorders>
              <w:top w:val="nil"/>
              <w:left w:val="nil"/>
              <w:bottom w:val="nil"/>
              <w:right w:val="nil"/>
            </w:tcBorders>
            <w:shd w:val="clear" w:color="auto" w:fill="auto"/>
            <w:noWrap/>
            <w:vAlign w:val="bottom"/>
            <w:hideMark/>
          </w:tcPr>
          <w:p w14:paraId="4D33CFAA"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0,00</w:t>
            </w:r>
          </w:p>
        </w:tc>
        <w:tc>
          <w:tcPr>
            <w:tcW w:w="1780" w:type="dxa"/>
            <w:tcBorders>
              <w:top w:val="nil"/>
              <w:left w:val="nil"/>
              <w:bottom w:val="nil"/>
              <w:right w:val="nil"/>
            </w:tcBorders>
            <w:shd w:val="clear" w:color="auto" w:fill="auto"/>
            <w:noWrap/>
            <w:vAlign w:val="bottom"/>
            <w:hideMark/>
          </w:tcPr>
          <w:p w14:paraId="57B28A31"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0,00</w:t>
            </w:r>
          </w:p>
        </w:tc>
        <w:tc>
          <w:tcPr>
            <w:tcW w:w="1360" w:type="dxa"/>
            <w:tcBorders>
              <w:top w:val="nil"/>
              <w:left w:val="nil"/>
              <w:bottom w:val="nil"/>
              <w:right w:val="nil"/>
            </w:tcBorders>
            <w:shd w:val="clear" w:color="auto" w:fill="auto"/>
            <w:noWrap/>
            <w:vAlign w:val="bottom"/>
            <w:hideMark/>
          </w:tcPr>
          <w:p w14:paraId="776C670B" w14:textId="77777777" w:rsidR="00583CB4" w:rsidRPr="00583CB4" w:rsidRDefault="00583CB4" w:rsidP="00583CB4">
            <w:pPr>
              <w:spacing w:after="0" w:line="240" w:lineRule="auto"/>
              <w:jc w:val="right"/>
              <w:rPr>
                <w:rFonts w:ascii="Arial" w:hAnsi="Arial" w:cs="Arial"/>
                <w:sz w:val="18"/>
                <w:szCs w:val="18"/>
                <w:lang w:eastAsia="hr-HR"/>
              </w:rPr>
            </w:pPr>
          </w:p>
        </w:tc>
        <w:tc>
          <w:tcPr>
            <w:tcW w:w="1240" w:type="dxa"/>
            <w:tcBorders>
              <w:top w:val="nil"/>
              <w:left w:val="nil"/>
              <w:bottom w:val="nil"/>
              <w:right w:val="nil"/>
            </w:tcBorders>
            <w:shd w:val="clear" w:color="auto" w:fill="auto"/>
            <w:noWrap/>
            <w:vAlign w:val="bottom"/>
            <w:hideMark/>
          </w:tcPr>
          <w:p w14:paraId="14BA0AC2" w14:textId="77777777" w:rsidR="00583CB4" w:rsidRPr="00583CB4" w:rsidRDefault="00583CB4" w:rsidP="00583CB4">
            <w:pPr>
              <w:spacing w:after="0" w:line="240" w:lineRule="auto"/>
              <w:jc w:val="right"/>
              <w:rPr>
                <w:rFonts w:ascii="Times New Roman" w:hAnsi="Times New Roman" w:cs="Times New Roman"/>
                <w:sz w:val="18"/>
                <w:szCs w:val="18"/>
                <w:lang w:eastAsia="hr-HR"/>
              </w:rPr>
            </w:pPr>
          </w:p>
        </w:tc>
      </w:tr>
      <w:tr w:rsidR="00583CB4" w:rsidRPr="00583CB4" w14:paraId="3FC0B837" w14:textId="77777777" w:rsidTr="00583CB4">
        <w:trPr>
          <w:trHeight w:val="255"/>
        </w:trPr>
        <w:tc>
          <w:tcPr>
            <w:tcW w:w="6237" w:type="dxa"/>
            <w:tcBorders>
              <w:top w:val="nil"/>
              <w:left w:val="nil"/>
              <w:bottom w:val="nil"/>
              <w:right w:val="nil"/>
            </w:tcBorders>
            <w:shd w:val="clear" w:color="auto" w:fill="auto"/>
            <w:noWrap/>
            <w:vAlign w:val="bottom"/>
            <w:hideMark/>
          </w:tcPr>
          <w:p w14:paraId="43070231"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 VIŠAK / MANJAK IZ PRETHODNE(IH) GODINE KOJI ĆE SE POKRITI / RASPOREDITI</w:t>
            </w:r>
          </w:p>
        </w:tc>
        <w:tc>
          <w:tcPr>
            <w:tcW w:w="1760" w:type="dxa"/>
            <w:tcBorders>
              <w:top w:val="nil"/>
              <w:left w:val="nil"/>
              <w:bottom w:val="nil"/>
              <w:right w:val="nil"/>
            </w:tcBorders>
            <w:shd w:val="clear" w:color="auto" w:fill="auto"/>
            <w:noWrap/>
            <w:vAlign w:val="bottom"/>
            <w:hideMark/>
          </w:tcPr>
          <w:p w14:paraId="7EEBE20C"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0,00</w:t>
            </w:r>
          </w:p>
        </w:tc>
        <w:tc>
          <w:tcPr>
            <w:tcW w:w="2140" w:type="dxa"/>
            <w:tcBorders>
              <w:top w:val="nil"/>
              <w:left w:val="nil"/>
              <w:bottom w:val="nil"/>
              <w:right w:val="nil"/>
            </w:tcBorders>
            <w:shd w:val="clear" w:color="auto" w:fill="auto"/>
            <w:noWrap/>
            <w:vAlign w:val="bottom"/>
            <w:hideMark/>
          </w:tcPr>
          <w:p w14:paraId="3A4BD4CE"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880.985,29</w:t>
            </w:r>
          </w:p>
        </w:tc>
        <w:tc>
          <w:tcPr>
            <w:tcW w:w="1780" w:type="dxa"/>
            <w:tcBorders>
              <w:top w:val="nil"/>
              <w:left w:val="nil"/>
              <w:bottom w:val="nil"/>
              <w:right w:val="nil"/>
            </w:tcBorders>
            <w:shd w:val="clear" w:color="auto" w:fill="auto"/>
            <w:noWrap/>
            <w:vAlign w:val="bottom"/>
            <w:hideMark/>
          </w:tcPr>
          <w:p w14:paraId="0A2FB2CA"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0,00</w:t>
            </w:r>
          </w:p>
        </w:tc>
        <w:tc>
          <w:tcPr>
            <w:tcW w:w="1360" w:type="dxa"/>
            <w:tcBorders>
              <w:top w:val="nil"/>
              <w:left w:val="nil"/>
              <w:bottom w:val="nil"/>
              <w:right w:val="nil"/>
            </w:tcBorders>
            <w:shd w:val="clear" w:color="auto" w:fill="auto"/>
            <w:noWrap/>
            <w:vAlign w:val="bottom"/>
            <w:hideMark/>
          </w:tcPr>
          <w:p w14:paraId="62EA9B97"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0,00%</w:t>
            </w:r>
          </w:p>
        </w:tc>
        <w:tc>
          <w:tcPr>
            <w:tcW w:w="1240" w:type="dxa"/>
            <w:tcBorders>
              <w:top w:val="nil"/>
              <w:left w:val="nil"/>
              <w:bottom w:val="nil"/>
              <w:right w:val="nil"/>
            </w:tcBorders>
            <w:shd w:val="clear" w:color="auto" w:fill="auto"/>
            <w:noWrap/>
            <w:vAlign w:val="bottom"/>
            <w:hideMark/>
          </w:tcPr>
          <w:p w14:paraId="5D5FD023"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0,00%</w:t>
            </w:r>
          </w:p>
        </w:tc>
      </w:tr>
      <w:tr w:rsidR="00583CB4" w:rsidRPr="00583CB4" w14:paraId="558DFFFB" w14:textId="77777777" w:rsidTr="00583CB4">
        <w:trPr>
          <w:trHeight w:val="475"/>
        </w:trPr>
        <w:tc>
          <w:tcPr>
            <w:tcW w:w="6237" w:type="dxa"/>
            <w:tcBorders>
              <w:top w:val="nil"/>
              <w:left w:val="nil"/>
              <w:bottom w:val="nil"/>
              <w:right w:val="nil"/>
            </w:tcBorders>
            <w:shd w:val="clear" w:color="000000" w:fill="203764"/>
            <w:vAlign w:val="bottom"/>
            <w:hideMark/>
          </w:tcPr>
          <w:p w14:paraId="5F67E63A" w14:textId="77777777" w:rsidR="00583CB4" w:rsidRPr="00583CB4" w:rsidRDefault="00583CB4" w:rsidP="00583CB4">
            <w:pPr>
              <w:spacing w:after="0" w:line="240" w:lineRule="auto"/>
              <w:rPr>
                <w:rFonts w:ascii="Arial" w:hAnsi="Arial" w:cs="Arial"/>
                <w:b/>
                <w:bCs/>
                <w:color w:val="FFFFFF"/>
                <w:sz w:val="18"/>
                <w:szCs w:val="18"/>
                <w:lang w:eastAsia="hr-HR"/>
              </w:rPr>
            </w:pPr>
            <w:r w:rsidRPr="00583CB4">
              <w:rPr>
                <w:rFonts w:ascii="Arial" w:hAnsi="Arial" w:cs="Arial"/>
                <w:b/>
                <w:bCs/>
                <w:color w:val="FFFFFF"/>
                <w:sz w:val="18"/>
                <w:szCs w:val="18"/>
                <w:lang w:eastAsia="hr-HR"/>
              </w:rPr>
              <w:t>VIŠAK / MANJAK + NETO ZADUŽIVANJE / FINANCIRANJE + KORIŠTENO U PRETHODNIM GODINAMA</w:t>
            </w:r>
          </w:p>
        </w:tc>
        <w:tc>
          <w:tcPr>
            <w:tcW w:w="1760" w:type="dxa"/>
            <w:tcBorders>
              <w:top w:val="nil"/>
              <w:left w:val="nil"/>
              <w:bottom w:val="nil"/>
              <w:right w:val="nil"/>
            </w:tcBorders>
            <w:shd w:val="clear" w:color="000000" w:fill="203764"/>
            <w:noWrap/>
            <w:vAlign w:val="bottom"/>
            <w:hideMark/>
          </w:tcPr>
          <w:p w14:paraId="2FF82D84" w14:textId="77777777" w:rsidR="00583CB4" w:rsidRPr="00583CB4" w:rsidRDefault="00583CB4" w:rsidP="00583CB4">
            <w:pPr>
              <w:spacing w:after="0" w:line="240" w:lineRule="auto"/>
              <w:rPr>
                <w:rFonts w:ascii="Arial" w:hAnsi="Arial" w:cs="Arial"/>
                <w:b/>
                <w:bCs/>
                <w:color w:val="FFFFFF"/>
                <w:sz w:val="18"/>
                <w:szCs w:val="18"/>
                <w:lang w:eastAsia="hr-HR"/>
              </w:rPr>
            </w:pPr>
            <w:r w:rsidRPr="00583CB4">
              <w:rPr>
                <w:rFonts w:ascii="Arial" w:hAnsi="Arial" w:cs="Arial"/>
                <w:b/>
                <w:bCs/>
                <w:color w:val="FFFFFF"/>
                <w:sz w:val="18"/>
                <w:szCs w:val="18"/>
                <w:lang w:eastAsia="hr-HR"/>
              </w:rPr>
              <w:t> </w:t>
            </w:r>
          </w:p>
        </w:tc>
        <w:tc>
          <w:tcPr>
            <w:tcW w:w="2140" w:type="dxa"/>
            <w:tcBorders>
              <w:top w:val="nil"/>
              <w:left w:val="nil"/>
              <w:bottom w:val="nil"/>
              <w:right w:val="nil"/>
            </w:tcBorders>
            <w:shd w:val="clear" w:color="000000" w:fill="203764"/>
            <w:noWrap/>
            <w:vAlign w:val="bottom"/>
            <w:hideMark/>
          </w:tcPr>
          <w:p w14:paraId="5EF6F0C0" w14:textId="77777777" w:rsidR="00583CB4" w:rsidRPr="00583CB4" w:rsidRDefault="00583CB4" w:rsidP="00583CB4">
            <w:pPr>
              <w:spacing w:after="0" w:line="240" w:lineRule="auto"/>
              <w:rPr>
                <w:rFonts w:ascii="Arial" w:hAnsi="Arial" w:cs="Arial"/>
                <w:b/>
                <w:bCs/>
                <w:color w:val="FFFFFF"/>
                <w:sz w:val="18"/>
                <w:szCs w:val="18"/>
                <w:lang w:eastAsia="hr-HR"/>
              </w:rPr>
            </w:pPr>
            <w:r w:rsidRPr="00583CB4">
              <w:rPr>
                <w:rFonts w:ascii="Arial" w:hAnsi="Arial" w:cs="Arial"/>
                <w:b/>
                <w:bCs/>
                <w:color w:val="FFFFFF"/>
                <w:sz w:val="18"/>
                <w:szCs w:val="18"/>
                <w:lang w:eastAsia="hr-HR"/>
              </w:rPr>
              <w:t> </w:t>
            </w:r>
          </w:p>
        </w:tc>
        <w:tc>
          <w:tcPr>
            <w:tcW w:w="1780" w:type="dxa"/>
            <w:tcBorders>
              <w:top w:val="nil"/>
              <w:left w:val="nil"/>
              <w:bottom w:val="nil"/>
              <w:right w:val="nil"/>
            </w:tcBorders>
            <w:shd w:val="clear" w:color="000000" w:fill="203764"/>
            <w:noWrap/>
            <w:vAlign w:val="bottom"/>
            <w:hideMark/>
          </w:tcPr>
          <w:p w14:paraId="427EE0BF" w14:textId="77777777" w:rsidR="00583CB4" w:rsidRPr="00583CB4" w:rsidRDefault="00583CB4" w:rsidP="00583CB4">
            <w:pPr>
              <w:spacing w:after="0" w:line="240" w:lineRule="auto"/>
              <w:rPr>
                <w:rFonts w:ascii="Arial" w:hAnsi="Arial" w:cs="Arial"/>
                <w:b/>
                <w:bCs/>
                <w:color w:val="FFFFFF"/>
                <w:sz w:val="18"/>
                <w:szCs w:val="18"/>
                <w:lang w:eastAsia="hr-HR"/>
              </w:rPr>
            </w:pPr>
            <w:r w:rsidRPr="00583CB4">
              <w:rPr>
                <w:rFonts w:ascii="Arial" w:hAnsi="Arial" w:cs="Arial"/>
                <w:b/>
                <w:bCs/>
                <w:color w:val="FFFFFF"/>
                <w:sz w:val="18"/>
                <w:szCs w:val="18"/>
                <w:lang w:eastAsia="hr-HR"/>
              </w:rPr>
              <w:t> </w:t>
            </w:r>
          </w:p>
        </w:tc>
        <w:tc>
          <w:tcPr>
            <w:tcW w:w="1360" w:type="dxa"/>
            <w:tcBorders>
              <w:top w:val="nil"/>
              <w:left w:val="nil"/>
              <w:bottom w:val="nil"/>
              <w:right w:val="nil"/>
            </w:tcBorders>
            <w:shd w:val="clear" w:color="000000" w:fill="203764"/>
            <w:noWrap/>
            <w:vAlign w:val="bottom"/>
            <w:hideMark/>
          </w:tcPr>
          <w:p w14:paraId="1880E7EA" w14:textId="77777777" w:rsidR="00583CB4" w:rsidRPr="00583CB4" w:rsidRDefault="00583CB4" w:rsidP="00583CB4">
            <w:pPr>
              <w:spacing w:after="0" w:line="240" w:lineRule="auto"/>
              <w:rPr>
                <w:rFonts w:ascii="Arial" w:hAnsi="Arial" w:cs="Arial"/>
                <w:b/>
                <w:bCs/>
                <w:color w:val="FFFFFF"/>
                <w:sz w:val="18"/>
                <w:szCs w:val="18"/>
                <w:lang w:eastAsia="hr-HR"/>
              </w:rPr>
            </w:pPr>
            <w:r w:rsidRPr="00583CB4">
              <w:rPr>
                <w:rFonts w:ascii="Arial" w:hAnsi="Arial" w:cs="Arial"/>
                <w:b/>
                <w:bCs/>
                <w:color w:val="FFFFFF"/>
                <w:sz w:val="18"/>
                <w:szCs w:val="18"/>
                <w:lang w:eastAsia="hr-HR"/>
              </w:rPr>
              <w:t> </w:t>
            </w:r>
          </w:p>
        </w:tc>
        <w:tc>
          <w:tcPr>
            <w:tcW w:w="1240" w:type="dxa"/>
            <w:tcBorders>
              <w:top w:val="nil"/>
              <w:left w:val="nil"/>
              <w:bottom w:val="nil"/>
              <w:right w:val="nil"/>
            </w:tcBorders>
            <w:shd w:val="clear" w:color="000000" w:fill="203764"/>
            <w:noWrap/>
            <w:vAlign w:val="bottom"/>
            <w:hideMark/>
          </w:tcPr>
          <w:p w14:paraId="244DBE65" w14:textId="77777777" w:rsidR="00583CB4" w:rsidRPr="00583CB4" w:rsidRDefault="00583CB4" w:rsidP="00583CB4">
            <w:pPr>
              <w:spacing w:after="0" w:line="240" w:lineRule="auto"/>
              <w:rPr>
                <w:rFonts w:ascii="Arial" w:hAnsi="Arial" w:cs="Arial"/>
                <w:b/>
                <w:bCs/>
                <w:color w:val="FFFFFF"/>
                <w:sz w:val="18"/>
                <w:szCs w:val="18"/>
                <w:lang w:eastAsia="hr-HR"/>
              </w:rPr>
            </w:pPr>
            <w:r w:rsidRPr="00583CB4">
              <w:rPr>
                <w:rFonts w:ascii="Arial" w:hAnsi="Arial" w:cs="Arial"/>
                <w:b/>
                <w:bCs/>
                <w:color w:val="FFFFFF"/>
                <w:sz w:val="18"/>
                <w:szCs w:val="18"/>
                <w:lang w:eastAsia="hr-HR"/>
              </w:rPr>
              <w:t> </w:t>
            </w:r>
          </w:p>
        </w:tc>
      </w:tr>
      <w:tr w:rsidR="00583CB4" w:rsidRPr="00583CB4" w14:paraId="338FCD11" w14:textId="77777777" w:rsidTr="00583CB4">
        <w:trPr>
          <w:trHeight w:val="255"/>
        </w:trPr>
        <w:tc>
          <w:tcPr>
            <w:tcW w:w="6237" w:type="dxa"/>
            <w:tcBorders>
              <w:top w:val="nil"/>
              <w:left w:val="nil"/>
              <w:bottom w:val="nil"/>
              <w:right w:val="nil"/>
            </w:tcBorders>
            <w:shd w:val="clear" w:color="auto" w:fill="auto"/>
            <w:noWrap/>
            <w:vAlign w:val="bottom"/>
            <w:hideMark/>
          </w:tcPr>
          <w:p w14:paraId="43A2317A"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 REZULTAT GODINE</w:t>
            </w:r>
          </w:p>
        </w:tc>
        <w:tc>
          <w:tcPr>
            <w:tcW w:w="1760" w:type="dxa"/>
            <w:tcBorders>
              <w:top w:val="nil"/>
              <w:left w:val="nil"/>
              <w:bottom w:val="nil"/>
              <w:right w:val="nil"/>
            </w:tcBorders>
            <w:shd w:val="clear" w:color="auto" w:fill="auto"/>
            <w:noWrap/>
            <w:vAlign w:val="bottom"/>
            <w:hideMark/>
          </w:tcPr>
          <w:p w14:paraId="4050E15F"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686.365,31</w:t>
            </w:r>
          </w:p>
        </w:tc>
        <w:tc>
          <w:tcPr>
            <w:tcW w:w="2140" w:type="dxa"/>
            <w:tcBorders>
              <w:top w:val="nil"/>
              <w:left w:val="nil"/>
              <w:bottom w:val="nil"/>
              <w:right w:val="nil"/>
            </w:tcBorders>
            <w:shd w:val="clear" w:color="auto" w:fill="auto"/>
            <w:noWrap/>
            <w:vAlign w:val="bottom"/>
            <w:hideMark/>
          </w:tcPr>
          <w:p w14:paraId="79E2E15C"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0,00</w:t>
            </w:r>
          </w:p>
        </w:tc>
        <w:tc>
          <w:tcPr>
            <w:tcW w:w="1780" w:type="dxa"/>
            <w:tcBorders>
              <w:top w:val="nil"/>
              <w:left w:val="nil"/>
              <w:bottom w:val="nil"/>
              <w:right w:val="nil"/>
            </w:tcBorders>
            <w:shd w:val="clear" w:color="auto" w:fill="auto"/>
            <w:noWrap/>
            <w:vAlign w:val="bottom"/>
            <w:hideMark/>
          </w:tcPr>
          <w:p w14:paraId="0FEC7D30"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-748.365,46</w:t>
            </w:r>
          </w:p>
        </w:tc>
        <w:tc>
          <w:tcPr>
            <w:tcW w:w="1360" w:type="dxa"/>
            <w:tcBorders>
              <w:top w:val="nil"/>
              <w:left w:val="nil"/>
              <w:bottom w:val="nil"/>
              <w:right w:val="nil"/>
            </w:tcBorders>
            <w:shd w:val="clear" w:color="auto" w:fill="auto"/>
            <w:noWrap/>
            <w:vAlign w:val="bottom"/>
            <w:hideMark/>
          </w:tcPr>
          <w:p w14:paraId="7E8B4A2A"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-109,03%</w:t>
            </w:r>
          </w:p>
        </w:tc>
        <w:tc>
          <w:tcPr>
            <w:tcW w:w="1240" w:type="dxa"/>
            <w:tcBorders>
              <w:top w:val="nil"/>
              <w:left w:val="nil"/>
              <w:bottom w:val="nil"/>
              <w:right w:val="nil"/>
            </w:tcBorders>
            <w:shd w:val="clear" w:color="auto" w:fill="auto"/>
            <w:noWrap/>
            <w:vAlign w:val="bottom"/>
            <w:hideMark/>
          </w:tcPr>
          <w:p w14:paraId="40A92225"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0,00%</w:t>
            </w:r>
          </w:p>
        </w:tc>
      </w:tr>
    </w:tbl>
    <w:p w14:paraId="6E4CA5A4" w14:textId="77777777" w:rsidR="004E0B8D" w:rsidRPr="00722358" w:rsidRDefault="004E0B8D" w:rsidP="004D3FA8">
      <w:pPr>
        <w:spacing w:after="0" w:line="240" w:lineRule="auto"/>
        <w:rPr>
          <w:rFonts w:asciiTheme="minorHAnsi" w:hAnsiTheme="minorHAnsi"/>
          <w:b/>
          <w:bCs/>
          <w:color w:val="000000"/>
        </w:rPr>
      </w:pPr>
    </w:p>
    <w:p w14:paraId="52B96B68" w14:textId="77777777" w:rsidR="004E0B8D" w:rsidRDefault="004E0B8D" w:rsidP="004D3FA8">
      <w:pPr>
        <w:spacing w:after="0" w:line="240" w:lineRule="auto"/>
        <w:rPr>
          <w:rFonts w:asciiTheme="minorHAnsi" w:hAnsiTheme="minorHAnsi"/>
          <w:b/>
          <w:bCs/>
          <w:color w:val="000000"/>
        </w:rPr>
      </w:pPr>
    </w:p>
    <w:p w14:paraId="4E3DF77F" w14:textId="77777777" w:rsidR="00583CB4" w:rsidRDefault="00583CB4" w:rsidP="004D3FA8">
      <w:pPr>
        <w:spacing w:after="0" w:line="240" w:lineRule="auto"/>
        <w:rPr>
          <w:rFonts w:asciiTheme="minorHAnsi" w:hAnsiTheme="minorHAnsi"/>
          <w:b/>
          <w:bCs/>
          <w:color w:val="000000"/>
        </w:rPr>
      </w:pPr>
    </w:p>
    <w:p w14:paraId="559A3405" w14:textId="77777777" w:rsidR="007523DF" w:rsidRDefault="007523DF" w:rsidP="004D3FA8">
      <w:pPr>
        <w:spacing w:after="0" w:line="240" w:lineRule="auto"/>
        <w:rPr>
          <w:rFonts w:asciiTheme="minorHAnsi" w:hAnsiTheme="minorHAnsi"/>
          <w:b/>
          <w:bCs/>
          <w:color w:val="000000"/>
        </w:rPr>
      </w:pPr>
    </w:p>
    <w:p w14:paraId="50CA2A9B" w14:textId="77777777" w:rsidR="007523DF" w:rsidRPr="00722358" w:rsidRDefault="007523DF" w:rsidP="004D3FA8">
      <w:pPr>
        <w:spacing w:after="0" w:line="240" w:lineRule="auto"/>
        <w:rPr>
          <w:rFonts w:asciiTheme="minorHAnsi" w:hAnsiTheme="minorHAnsi"/>
          <w:b/>
          <w:bCs/>
          <w:color w:val="000000"/>
        </w:rPr>
      </w:pPr>
    </w:p>
    <w:p w14:paraId="0C1BB9F8" w14:textId="77777777" w:rsidR="004D3FA8" w:rsidRPr="00722358" w:rsidRDefault="004D3FA8" w:rsidP="004D3FA8">
      <w:pPr>
        <w:spacing w:after="0" w:line="240" w:lineRule="auto"/>
        <w:rPr>
          <w:rFonts w:asciiTheme="minorHAnsi" w:hAnsiTheme="minorHAnsi" w:cstheme="minorHAnsi"/>
          <w:color w:val="000000"/>
          <w:lang w:eastAsia="hr-HR"/>
        </w:rPr>
      </w:pPr>
    </w:p>
    <w:p w14:paraId="56A981E8" w14:textId="4313C6E4" w:rsidR="00C753C7" w:rsidRPr="00722358" w:rsidRDefault="004D3FA8" w:rsidP="003734CB">
      <w:pPr>
        <w:pStyle w:val="Odlomakpopisa"/>
        <w:numPr>
          <w:ilvl w:val="1"/>
          <w:numId w:val="2"/>
        </w:numPr>
        <w:jc w:val="center"/>
        <w:rPr>
          <w:b/>
          <w:color w:val="000000"/>
        </w:rPr>
      </w:pPr>
      <w:r w:rsidRPr="00722358">
        <w:rPr>
          <w:b/>
          <w:color w:val="000000"/>
        </w:rPr>
        <w:lastRenderedPageBreak/>
        <w:t>Račun prihoda i rashoda</w:t>
      </w:r>
    </w:p>
    <w:p w14:paraId="319136CD" w14:textId="77777777" w:rsidR="00C0252E" w:rsidRPr="00722358" w:rsidRDefault="00C0252E" w:rsidP="00BC3810">
      <w:pPr>
        <w:spacing w:after="0" w:line="240" w:lineRule="auto"/>
        <w:rPr>
          <w:rFonts w:ascii="Times New Roman" w:hAnsi="Times New Roman" w:cs="Times New Roman"/>
          <w:color w:val="000000"/>
          <w:lang w:eastAsia="hr-HR"/>
        </w:rPr>
      </w:pPr>
    </w:p>
    <w:p w14:paraId="2338070B" w14:textId="7D8A8E4D" w:rsidR="00D53FB4" w:rsidRPr="00D53FB4" w:rsidRDefault="005A758B" w:rsidP="003734CB">
      <w:pPr>
        <w:pStyle w:val="Odlomakpopisa"/>
        <w:numPr>
          <w:ilvl w:val="2"/>
          <w:numId w:val="2"/>
        </w:numPr>
        <w:jc w:val="center"/>
        <w:rPr>
          <w:b/>
          <w:color w:val="000000"/>
        </w:rPr>
      </w:pPr>
      <w:r w:rsidRPr="00722358">
        <w:rPr>
          <w:b/>
          <w:color w:val="000000"/>
        </w:rPr>
        <w:t>Prihodi i rashodi prema ekonomskoj klasifikaciji</w:t>
      </w:r>
    </w:p>
    <w:p w14:paraId="46A2ABF6" w14:textId="77777777" w:rsidR="00583CB4" w:rsidRPr="00722358" w:rsidRDefault="00583CB4" w:rsidP="00DF3C01">
      <w:pPr>
        <w:pStyle w:val="Odlomakpopisa"/>
        <w:ind w:left="1080"/>
        <w:rPr>
          <w:b/>
          <w:color w:val="000000"/>
        </w:rPr>
      </w:pPr>
    </w:p>
    <w:tbl>
      <w:tblPr>
        <w:tblW w:w="14791" w:type="dxa"/>
        <w:tblLook w:val="04A0" w:firstRow="1" w:lastRow="0" w:firstColumn="1" w:lastColumn="0" w:noHBand="0" w:noVBand="1"/>
      </w:tblPr>
      <w:tblGrid>
        <w:gridCol w:w="7655"/>
        <w:gridCol w:w="1384"/>
        <w:gridCol w:w="1740"/>
        <w:gridCol w:w="1412"/>
        <w:gridCol w:w="1320"/>
        <w:gridCol w:w="1280"/>
      </w:tblGrid>
      <w:tr w:rsidR="00583CB4" w:rsidRPr="00D53FB4" w14:paraId="27065D11" w14:textId="77777777" w:rsidTr="00D53FB4">
        <w:trPr>
          <w:trHeight w:val="255"/>
        </w:trPr>
        <w:tc>
          <w:tcPr>
            <w:tcW w:w="7655" w:type="dxa"/>
            <w:tcBorders>
              <w:top w:val="nil"/>
              <w:left w:val="nil"/>
              <w:bottom w:val="nil"/>
              <w:right w:val="nil"/>
            </w:tcBorders>
            <w:shd w:val="clear" w:color="000000" w:fill="C0C0C0"/>
            <w:noWrap/>
            <w:vAlign w:val="bottom"/>
            <w:hideMark/>
          </w:tcPr>
          <w:p w14:paraId="60E56077" w14:textId="77777777" w:rsidR="00583CB4" w:rsidRPr="00583CB4" w:rsidRDefault="00583CB4" w:rsidP="00583CB4">
            <w:pPr>
              <w:spacing w:after="0" w:line="240" w:lineRule="auto"/>
              <w:jc w:val="center"/>
              <w:rPr>
                <w:rFonts w:ascii="Arial" w:hAnsi="Arial" w:cs="Arial"/>
                <w:b/>
                <w:bCs/>
                <w:sz w:val="18"/>
                <w:szCs w:val="18"/>
                <w:lang w:eastAsia="hr-HR"/>
              </w:rPr>
            </w:pPr>
            <w:r w:rsidRPr="00583CB4">
              <w:rPr>
                <w:rFonts w:ascii="Arial" w:hAnsi="Arial" w:cs="Arial"/>
                <w:b/>
                <w:bCs/>
                <w:sz w:val="18"/>
                <w:szCs w:val="18"/>
                <w:lang w:eastAsia="hr-HR"/>
              </w:rPr>
              <w:t>Račun / opis</w:t>
            </w:r>
          </w:p>
        </w:tc>
        <w:tc>
          <w:tcPr>
            <w:tcW w:w="1384" w:type="dxa"/>
            <w:tcBorders>
              <w:top w:val="nil"/>
              <w:left w:val="nil"/>
              <w:bottom w:val="nil"/>
              <w:right w:val="nil"/>
            </w:tcBorders>
            <w:shd w:val="clear" w:color="000000" w:fill="C0C0C0"/>
            <w:noWrap/>
            <w:vAlign w:val="bottom"/>
            <w:hideMark/>
          </w:tcPr>
          <w:p w14:paraId="5AB2A2C6" w14:textId="77777777" w:rsidR="00583CB4" w:rsidRPr="00583CB4" w:rsidRDefault="00583CB4" w:rsidP="00583CB4">
            <w:pPr>
              <w:spacing w:after="0" w:line="240" w:lineRule="auto"/>
              <w:jc w:val="center"/>
              <w:rPr>
                <w:rFonts w:ascii="Arial" w:hAnsi="Arial" w:cs="Arial"/>
                <w:b/>
                <w:bCs/>
                <w:sz w:val="18"/>
                <w:szCs w:val="18"/>
                <w:lang w:eastAsia="hr-HR"/>
              </w:rPr>
            </w:pPr>
            <w:r w:rsidRPr="00583CB4">
              <w:rPr>
                <w:rFonts w:ascii="Arial" w:hAnsi="Arial" w:cs="Arial"/>
                <w:b/>
                <w:bCs/>
                <w:sz w:val="18"/>
                <w:szCs w:val="18"/>
                <w:lang w:eastAsia="hr-HR"/>
              </w:rPr>
              <w:t>Izvršenje 2023.</w:t>
            </w:r>
          </w:p>
        </w:tc>
        <w:tc>
          <w:tcPr>
            <w:tcW w:w="1740" w:type="dxa"/>
            <w:tcBorders>
              <w:top w:val="nil"/>
              <w:left w:val="nil"/>
              <w:bottom w:val="nil"/>
              <w:right w:val="nil"/>
            </w:tcBorders>
            <w:shd w:val="clear" w:color="000000" w:fill="C0C0C0"/>
            <w:noWrap/>
            <w:vAlign w:val="bottom"/>
            <w:hideMark/>
          </w:tcPr>
          <w:p w14:paraId="121B7534" w14:textId="77777777" w:rsidR="00583CB4" w:rsidRPr="00583CB4" w:rsidRDefault="00583CB4" w:rsidP="00583CB4">
            <w:pPr>
              <w:spacing w:after="0" w:line="240" w:lineRule="auto"/>
              <w:jc w:val="center"/>
              <w:rPr>
                <w:rFonts w:ascii="Arial" w:hAnsi="Arial" w:cs="Arial"/>
                <w:b/>
                <w:bCs/>
                <w:sz w:val="18"/>
                <w:szCs w:val="18"/>
                <w:lang w:eastAsia="hr-HR"/>
              </w:rPr>
            </w:pPr>
            <w:r w:rsidRPr="00583CB4">
              <w:rPr>
                <w:rFonts w:ascii="Arial" w:hAnsi="Arial" w:cs="Arial"/>
                <w:b/>
                <w:bCs/>
                <w:sz w:val="18"/>
                <w:szCs w:val="18"/>
                <w:lang w:eastAsia="hr-HR"/>
              </w:rPr>
              <w:t>Rebalans 2024.</w:t>
            </w:r>
          </w:p>
        </w:tc>
        <w:tc>
          <w:tcPr>
            <w:tcW w:w="1412" w:type="dxa"/>
            <w:tcBorders>
              <w:top w:val="nil"/>
              <w:left w:val="nil"/>
              <w:bottom w:val="nil"/>
              <w:right w:val="nil"/>
            </w:tcBorders>
            <w:shd w:val="clear" w:color="000000" w:fill="C0C0C0"/>
            <w:noWrap/>
            <w:vAlign w:val="bottom"/>
            <w:hideMark/>
          </w:tcPr>
          <w:p w14:paraId="426BF540" w14:textId="77777777" w:rsidR="00583CB4" w:rsidRPr="00583CB4" w:rsidRDefault="00583CB4" w:rsidP="00583CB4">
            <w:pPr>
              <w:spacing w:after="0" w:line="240" w:lineRule="auto"/>
              <w:jc w:val="center"/>
              <w:rPr>
                <w:rFonts w:ascii="Arial" w:hAnsi="Arial" w:cs="Arial"/>
                <w:b/>
                <w:bCs/>
                <w:sz w:val="18"/>
                <w:szCs w:val="18"/>
                <w:lang w:eastAsia="hr-HR"/>
              </w:rPr>
            </w:pPr>
            <w:r w:rsidRPr="00583CB4">
              <w:rPr>
                <w:rFonts w:ascii="Arial" w:hAnsi="Arial" w:cs="Arial"/>
                <w:b/>
                <w:bCs/>
                <w:sz w:val="18"/>
                <w:szCs w:val="18"/>
                <w:lang w:eastAsia="hr-HR"/>
              </w:rPr>
              <w:t>Izvršenje 2024.</w:t>
            </w:r>
          </w:p>
        </w:tc>
        <w:tc>
          <w:tcPr>
            <w:tcW w:w="1320" w:type="dxa"/>
            <w:tcBorders>
              <w:top w:val="nil"/>
              <w:left w:val="nil"/>
              <w:bottom w:val="nil"/>
              <w:right w:val="nil"/>
            </w:tcBorders>
            <w:shd w:val="clear" w:color="000000" w:fill="C0C0C0"/>
            <w:noWrap/>
            <w:vAlign w:val="bottom"/>
            <w:hideMark/>
          </w:tcPr>
          <w:p w14:paraId="42AC7C48" w14:textId="77777777" w:rsidR="00583CB4" w:rsidRPr="00583CB4" w:rsidRDefault="00583CB4" w:rsidP="00583CB4">
            <w:pPr>
              <w:spacing w:after="0" w:line="240" w:lineRule="auto"/>
              <w:jc w:val="center"/>
              <w:rPr>
                <w:rFonts w:ascii="Arial" w:hAnsi="Arial" w:cs="Arial"/>
                <w:b/>
                <w:bCs/>
                <w:sz w:val="18"/>
                <w:szCs w:val="18"/>
                <w:lang w:eastAsia="hr-HR"/>
              </w:rPr>
            </w:pPr>
            <w:r w:rsidRPr="00583CB4">
              <w:rPr>
                <w:rFonts w:ascii="Arial" w:hAnsi="Arial" w:cs="Arial"/>
                <w:b/>
                <w:bCs/>
                <w:sz w:val="18"/>
                <w:szCs w:val="18"/>
                <w:lang w:eastAsia="hr-HR"/>
              </w:rPr>
              <w:t>Indeks  3/1</w:t>
            </w:r>
          </w:p>
        </w:tc>
        <w:tc>
          <w:tcPr>
            <w:tcW w:w="1280" w:type="dxa"/>
            <w:tcBorders>
              <w:top w:val="nil"/>
              <w:left w:val="nil"/>
              <w:bottom w:val="nil"/>
              <w:right w:val="nil"/>
            </w:tcBorders>
            <w:shd w:val="clear" w:color="000000" w:fill="C0C0C0"/>
            <w:noWrap/>
            <w:vAlign w:val="bottom"/>
            <w:hideMark/>
          </w:tcPr>
          <w:p w14:paraId="6E289C70" w14:textId="77777777" w:rsidR="00583CB4" w:rsidRPr="00583CB4" w:rsidRDefault="00583CB4" w:rsidP="00583CB4">
            <w:pPr>
              <w:spacing w:after="0" w:line="240" w:lineRule="auto"/>
              <w:jc w:val="center"/>
              <w:rPr>
                <w:rFonts w:ascii="Arial" w:hAnsi="Arial" w:cs="Arial"/>
                <w:b/>
                <w:bCs/>
                <w:sz w:val="18"/>
                <w:szCs w:val="18"/>
                <w:lang w:eastAsia="hr-HR"/>
              </w:rPr>
            </w:pPr>
            <w:r w:rsidRPr="00583CB4">
              <w:rPr>
                <w:rFonts w:ascii="Arial" w:hAnsi="Arial" w:cs="Arial"/>
                <w:b/>
                <w:bCs/>
                <w:sz w:val="18"/>
                <w:szCs w:val="18"/>
                <w:lang w:eastAsia="hr-HR"/>
              </w:rPr>
              <w:t>Indeks  3/2</w:t>
            </w:r>
          </w:p>
        </w:tc>
      </w:tr>
      <w:tr w:rsidR="00D53FB4" w:rsidRPr="00583CB4" w14:paraId="45E4DB37" w14:textId="77777777" w:rsidTr="00D53FB4">
        <w:trPr>
          <w:trHeight w:val="255"/>
        </w:trPr>
        <w:tc>
          <w:tcPr>
            <w:tcW w:w="7655" w:type="dxa"/>
            <w:tcBorders>
              <w:top w:val="nil"/>
              <w:left w:val="nil"/>
              <w:bottom w:val="nil"/>
              <w:right w:val="nil"/>
            </w:tcBorders>
            <w:shd w:val="clear" w:color="000000" w:fill="203764"/>
            <w:noWrap/>
            <w:vAlign w:val="bottom"/>
            <w:hideMark/>
          </w:tcPr>
          <w:p w14:paraId="3A2D09B4" w14:textId="77777777" w:rsidR="00583CB4" w:rsidRPr="00583CB4" w:rsidRDefault="00583CB4" w:rsidP="00583CB4">
            <w:pPr>
              <w:spacing w:after="0" w:line="240" w:lineRule="auto"/>
              <w:rPr>
                <w:rFonts w:ascii="Arial" w:hAnsi="Arial" w:cs="Arial"/>
                <w:b/>
                <w:bCs/>
                <w:color w:val="FFFFFF"/>
                <w:sz w:val="18"/>
                <w:szCs w:val="18"/>
                <w:lang w:eastAsia="hr-HR"/>
              </w:rPr>
            </w:pPr>
            <w:r w:rsidRPr="00583CB4">
              <w:rPr>
                <w:rFonts w:ascii="Arial" w:hAnsi="Arial" w:cs="Arial"/>
                <w:b/>
                <w:bCs/>
                <w:color w:val="FFFFFF"/>
                <w:sz w:val="18"/>
                <w:szCs w:val="18"/>
                <w:lang w:eastAsia="hr-HR"/>
              </w:rPr>
              <w:t>A. RAČUN PRIHODA I RASHODA</w:t>
            </w:r>
          </w:p>
        </w:tc>
        <w:tc>
          <w:tcPr>
            <w:tcW w:w="1384" w:type="dxa"/>
            <w:tcBorders>
              <w:top w:val="nil"/>
              <w:left w:val="nil"/>
              <w:bottom w:val="nil"/>
              <w:right w:val="nil"/>
            </w:tcBorders>
            <w:shd w:val="clear" w:color="000000" w:fill="203764"/>
            <w:noWrap/>
            <w:vAlign w:val="bottom"/>
            <w:hideMark/>
          </w:tcPr>
          <w:p w14:paraId="6CD9FE87" w14:textId="77777777" w:rsidR="00583CB4" w:rsidRPr="00583CB4" w:rsidRDefault="00583CB4" w:rsidP="00583CB4">
            <w:pPr>
              <w:spacing w:after="0" w:line="240" w:lineRule="auto"/>
              <w:jc w:val="center"/>
              <w:rPr>
                <w:rFonts w:ascii="Arial" w:hAnsi="Arial" w:cs="Arial"/>
                <w:b/>
                <w:bCs/>
                <w:color w:val="FFFFFF"/>
                <w:sz w:val="18"/>
                <w:szCs w:val="18"/>
                <w:lang w:eastAsia="hr-HR"/>
              </w:rPr>
            </w:pPr>
            <w:r w:rsidRPr="00583CB4">
              <w:rPr>
                <w:rFonts w:ascii="Arial" w:hAnsi="Arial" w:cs="Arial"/>
                <w:b/>
                <w:bCs/>
                <w:color w:val="FFFFFF"/>
                <w:sz w:val="18"/>
                <w:szCs w:val="18"/>
                <w:lang w:eastAsia="hr-HR"/>
              </w:rPr>
              <w:t>1</w:t>
            </w:r>
          </w:p>
        </w:tc>
        <w:tc>
          <w:tcPr>
            <w:tcW w:w="1740" w:type="dxa"/>
            <w:tcBorders>
              <w:top w:val="nil"/>
              <w:left w:val="nil"/>
              <w:bottom w:val="nil"/>
              <w:right w:val="nil"/>
            </w:tcBorders>
            <w:shd w:val="clear" w:color="000000" w:fill="203764"/>
            <w:noWrap/>
            <w:vAlign w:val="bottom"/>
            <w:hideMark/>
          </w:tcPr>
          <w:p w14:paraId="02066D78" w14:textId="77777777" w:rsidR="00583CB4" w:rsidRPr="00583CB4" w:rsidRDefault="00583CB4" w:rsidP="00583CB4">
            <w:pPr>
              <w:spacing w:after="0" w:line="240" w:lineRule="auto"/>
              <w:jc w:val="center"/>
              <w:rPr>
                <w:rFonts w:ascii="Arial" w:hAnsi="Arial" w:cs="Arial"/>
                <w:b/>
                <w:bCs/>
                <w:color w:val="FFFFFF"/>
                <w:sz w:val="18"/>
                <w:szCs w:val="18"/>
                <w:lang w:eastAsia="hr-HR"/>
              </w:rPr>
            </w:pPr>
            <w:r w:rsidRPr="00583CB4">
              <w:rPr>
                <w:rFonts w:ascii="Arial" w:hAnsi="Arial" w:cs="Arial"/>
                <w:b/>
                <w:bCs/>
                <w:color w:val="FFFFFF"/>
                <w:sz w:val="18"/>
                <w:szCs w:val="18"/>
                <w:lang w:eastAsia="hr-HR"/>
              </w:rPr>
              <w:t>2</w:t>
            </w:r>
          </w:p>
        </w:tc>
        <w:tc>
          <w:tcPr>
            <w:tcW w:w="1412" w:type="dxa"/>
            <w:tcBorders>
              <w:top w:val="nil"/>
              <w:left w:val="nil"/>
              <w:bottom w:val="nil"/>
              <w:right w:val="nil"/>
            </w:tcBorders>
            <w:shd w:val="clear" w:color="000000" w:fill="203764"/>
            <w:noWrap/>
            <w:vAlign w:val="bottom"/>
            <w:hideMark/>
          </w:tcPr>
          <w:p w14:paraId="4BA241C6" w14:textId="77777777" w:rsidR="00583CB4" w:rsidRPr="00583CB4" w:rsidRDefault="00583CB4" w:rsidP="00583CB4">
            <w:pPr>
              <w:spacing w:after="0" w:line="240" w:lineRule="auto"/>
              <w:jc w:val="center"/>
              <w:rPr>
                <w:rFonts w:ascii="Arial" w:hAnsi="Arial" w:cs="Arial"/>
                <w:b/>
                <w:bCs/>
                <w:color w:val="FFFFFF"/>
                <w:sz w:val="18"/>
                <w:szCs w:val="18"/>
                <w:lang w:eastAsia="hr-HR"/>
              </w:rPr>
            </w:pPr>
            <w:r w:rsidRPr="00583CB4">
              <w:rPr>
                <w:rFonts w:ascii="Arial" w:hAnsi="Arial" w:cs="Arial"/>
                <w:b/>
                <w:bCs/>
                <w:color w:val="FFFFFF"/>
                <w:sz w:val="18"/>
                <w:szCs w:val="18"/>
                <w:lang w:eastAsia="hr-HR"/>
              </w:rPr>
              <w:t>3</w:t>
            </w:r>
          </w:p>
        </w:tc>
        <w:tc>
          <w:tcPr>
            <w:tcW w:w="1320" w:type="dxa"/>
            <w:tcBorders>
              <w:top w:val="nil"/>
              <w:left w:val="nil"/>
              <w:bottom w:val="nil"/>
              <w:right w:val="nil"/>
            </w:tcBorders>
            <w:shd w:val="clear" w:color="000000" w:fill="203764"/>
            <w:noWrap/>
            <w:vAlign w:val="bottom"/>
            <w:hideMark/>
          </w:tcPr>
          <w:p w14:paraId="2AC23714" w14:textId="77777777" w:rsidR="00583CB4" w:rsidRPr="00583CB4" w:rsidRDefault="00583CB4" w:rsidP="00583CB4">
            <w:pPr>
              <w:spacing w:after="0" w:line="240" w:lineRule="auto"/>
              <w:jc w:val="center"/>
              <w:rPr>
                <w:rFonts w:ascii="Arial" w:hAnsi="Arial" w:cs="Arial"/>
                <w:b/>
                <w:bCs/>
                <w:color w:val="FFFFFF"/>
                <w:sz w:val="18"/>
                <w:szCs w:val="18"/>
                <w:lang w:eastAsia="hr-HR"/>
              </w:rPr>
            </w:pPr>
            <w:r w:rsidRPr="00583CB4">
              <w:rPr>
                <w:rFonts w:ascii="Arial" w:hAnsi="Arial" w:cs="Arial"/>
                <w:b/>
                <w:bCs/>
                <w:color w:val="FFFFFF"/>
                <w:sz w:val="18"/>
                <w:szCs w:val="18"/>
                <w:lang w:eastAsia="hr-HR"/>
              </w:rPr>
              <w:t>4</w:t>
            </w:r>
          </w:p>
        </w:tc>
        <w:tc>
          <w:tcPr>
            <w:tcW w:w="1280" w:type="dxa"/>
            <w:tcBorders>
              <w:top w:val="nil"/>
              <w:left w:val="nil"/>
              <w:bottom w:val="nil"/>
              <w:right w:val="nil"/>
            </w:tcBorders>
            <w:shd w:val="clear" w:color="000000" w:fill="203764"/>
            <w:noWrap/>
            <w:vAlign w:val="bottom"/>
            <w:hideMark/>
          </w:tcPr>
          <w:p w14:paraId="77C7C531" w14:textId="77777777" w:rsidR="00583CB4" w:rsidRPr="00583CB4" w:rsidRDefault="00583CB4" w:rsidP="00583CB4">
            <w:pPr>
              <w:spacing w:after="0" w:line="240" w:lineRule="auto"/>
              <w:jc w:val="center"/>
              <w:rPr>
                <w:rFonts w:ascii="Arial" w:hAnsi="Arial" w:cs="Arial"/>
                <w:b/>
                <w:bCs/>
                <w:color w:val="FFFFFF"/>
                <w:sz w:val="18"/>
                <w:szCs w:val="18"/>
                <w:lang w:eastAsia="hr-HR"/>
              </w:rPr>
            </w:pPr>
            <w:r w:rsidRPr="00583CB4">
              <w:rPr>
                <w:rFonts w:ascii="Arial" w:hAnsi="Arial" w:cs="Arial"/>
                <w:b/>
                <w:bCs/>
                <w:color w:val="FFFFFF"/>
                <w:sz w:val="18"/>
                <w:szCs w:val="18"/>
                <w:lang w:eastAsia="hr-HR"/>
              </w:rPr>
              <w:t>5</w:t>
            </w:r>
          </w:p>
        </w:tc>
      </w:tr>
      <w:tr w:rsidR="00D53FB4" w:rsidRPr="00583CB4" w14:paraId="7830BE87" w14:textId="77777777" w:rsidTr="00D53FB4">
        <w:trPr>
          <w:trHeight w:val="255"/>
        </w:trPr>
        <w:tc>
          <w:tcPr>
            <w:tcW w:w="7655" w:type="dxa"/>
            <w:tcBorders>
              <w:top w:val="nil"/>
              <w:left w:val="nil"/>
              <w:bottom w:val="nil"/>
              <w:right w:val="nil"/>
            </w:tcBorders>
            <w:shd w:val="clear" w:color="000000" w:fill="D9D9D9"/>
            <w:noWrap/>
            <w:vAlign w:val="bottom"/>
            <w:hideMark/>
          </w:tcPr>
          <w:p w14:paraId="77BAB4E7" w14:textId="77777777" w:rsidR="00583CB4" w:rsidRPr="00583CB4" w:rsidRDefault="00583CB4" w:rsidP="00583CB4">
            <w:pPr>
              <w:spacing w:after="0" w:line="240" w:lineRule="auto"/>
              <w:rPr>
                <w:rFonts w:ascii="Arial" w:hAnsi="Arial" w:cs="Arial"/>
                <w:b/>
                <w:bCs/>
                <w:sz w:val="18"/>
                <w:szCs w:val="18"/>
                <w:lang w:eastAsia="hr-HR"/>
              </w:rPr>
            </w:pPr>
            <w:r w:rsidRPr="00583CB4">
              <w:rPr>
                <w:rFonts w:ascii="Arial" w:hAnsi="Arial" w:cs="Arial"/>
                <w:b/>
                <w:bCs/>
                <w:sz w:val="18"/>
                <w:szCs w:val="18"/>
                <w:lang w:eastAsia="hr-HR"/>
              </w:rPr>
              <w:t>6 Prihodi poslovanja</w:t>
            </w:r>
          </w:p>
        </w:tc>
        <w:tc>
          <w:tcPr>
            <w:tcW w:w="1384" w:type="dxa"/>
            <w:tcBorders>
              <w:top w:val="nil"/>
              <w:left w:val="nil"/>
              <w:bottom w:val="nil"/>
              <w:right w:val="nil"/>
            </w:tcBorders>
            <w:shd w:val="clear" w:color="000000" w:fill="D9D9D9"/>
            <w:noWrap/>
            <w:vAlign w:val="bottom"/>
            <w:hideMark/>
          </w:tcPr>
          <w:p w14:paraId="50BAFFA6"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9.407.382,18</w:t>
            </w:r>
          </w:p>
        </w:tc>
        <w:tc>
          <w:tcPr>
            <w:tcW w:w="1740" w:type="dxa"/>
            <w:tcBorders>
              <w:top w:val="nil"/>
              <w:left w:val="nil"/>
              <w:bottom w:val="nil"/>
              <w:right w:val="nil"/>
            </w:tcBorders>
            <w:shd w:val="clear" w:color="000000" w:fill="D9D9D9"/>
            <w:noWrap/>
            <w:vAlign w:val="bottom"/>
            <w:hideMark/>
          </w:tcPr>
          <w:p w14:paraId="30EE555A"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12.078.801,23</w:t>
            </w:r>
          </w:p>
        </w:tc>
        <w:tc>
          <w:tcPr>
            <w:tcW w:w="1412" w:type="dxa"/>
            <w:tcBorders>
              <w:top w:val="nil"/>
              <w:left w:val="nil"/>
              <w:bottom w:val="nil"/>
              <w:right w:val="nil"/>
            </w:tcBorders>
            <w:shd w:val="clear" w:color="000000" w:fill="D9D9D9"/>
            <w:noWrap/>
            <w:vAlign w:val="bottom"/>
            <w:hideMark/>
          </w:tcPr>
          <w:p w14:paraId="424D3390" w14:textId="026866F8"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11.2</w:t>
            </w:r>
            <w:r w:rsidR="00D14272">
              <w:rPr>
                <w:rFonts w:ascii="Arial" w:hAnsi="Arial" w:cs="Arial"/>
                <w:b/>
                <w:bCs/>
                <w:sz w:val="18"/>
                <w:szCs w:val="18"/>
                <w:lang w:eastAsia="hr-HR"/>
              </w:rPr>
              <w:t>12.770,17</w:t>
            </w:r>
          </w:p>
        </w:tc>
        <w:tc>
          <w:tcPr>
            <w:tcW w:w="1320" w:type="dxa"/>
            <w:tcBorders>
              <w:top w:val="nil"/>
              <w:left w:val="nil"/>
              <w:bottom w:val="nil"/>
              <w:right w:val="nil"/>
            </w:tcBorders>
            <w:shd w:val="clear" w:color="000000" w:fill="D9D9D9"/>
            <w:noWrap/>
            <w:vAlign w:val="bottom"/>
            <w:hideMark/>
          </w:tcPr>
          <w:p w14:paraId="26BFFB4C" w14:textId="72B34476"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119,1</w:t>
            </w:r>
            <w:r w:rsidR="00D14272">
              <w:rPr>
                <w:rFonts w:ascii="Arial" w:hAnsi="Arial" w:cs="Arial"/>
                <w:b/>
                <w:bCs/>
                <w:sz w:val="18"/>
                <w:szCs w:val="18"/>
                <w:lang w:eastAsia="hr-HR"/>
              </w:rPr>
              <w:t>9</w:t>
            </w:r>
            <w:r w:rsidRPr="00583CB4">
              <w:rPr>
                <w:rFonts w:ascii="Arial" w:hAnsi="Arial" w:cs="Arial"/>
                <w:b/>
                <w:bCs/>
                <w:sz w:val="18"/>
                <w:szCs w:val="18"/>
                <w:lang w:eastAsia="hr-HR"/>
              </w:rPr>
              <w:t>%</w:t>
            </w:r>
          </w:p>
        </w:tc>
        <w:tc>
          <w:tcPr>
            <w:tcW w:w="1280" w:type="dxa"/>
            <w:tcBorders>
              <w:top w:val="nil"/>
              <w:left w:val="nil"/>
              <w:bottom w:val="nil"/>
              <w:right w:val="nil"/>
            </w:tcBorders>
            <w:shd w:val="clear" w:color="000000" w:fill="D9D9D9"/>
            <w:noWrap/>
            <w:vAlign w:val="bottom"/>
            <w:hideMark/>
          </w:tcPr>
          <w:p w14:paraId="2E18603D" w14:textId="4269F5E0"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92,</w:t>
            </w:r>
            <w:r w:rsidR="00D14272">
              <w:rPr>
                <w:rFonts w:ascii="Arial" w:hAnsi="Arial" w:cs="Arial"/>
                <w:b/>
                <w:bCs/>
                <w:sz w:val="18"/>
                <w:szCs w:val="18"/>
                <w:lang w:eastAsia="hr-HR"/>
              </w:rPr>
              <w:t>83</w:t>
            </w:r>
            <w:r w:rsidRPr="00583CB4">
              <w:rPr>
                <w:rFonts w:ascii="Arial" w:hAnsi="Arial" w:cs="Arial"/>
                <w:b/>
                <w:bCs/>
                <w:sz w:val="18"/>
                <w:szCs w:val="18"/>
                <w:lang w:eastAsia="hr-HR"/>
              </w:rPr>
              <w:t>%</w:t>
            </w:r>
          </w:p>
        </w:tc>
      </w:tr>
      <w:tr w:rsidR="00583CB4" w:rsidRPr="00583CB4" w14:paraId="1FB7DEA2" w14:textId="77777777" w:rsidTr="00D53FB4">
        <w:trPr>
          <w:trHeight w:val="255"/>
        </w:trPr>
        <w:tc>
          <w:tcPr>
            <w:tcW w:w="7655" w:type="dxa"/>
            <w:tcBorders>
              <w:top w:val="nil"/>
              <w:left w:val="nil"/>
              <w:bottom w:val="nil"/>
              <w:right w:val="nil"/>
            </w:tcBorders>
            <w:shd w:val="clear" w:color="auto" w:fill="auto"/>
            <w:noWrap/>
            <w:vAlign w:val="bottom"/>
            <w:hideMark/>
          </w:tcPr>
          <w:p w14:paraId="010A2DFE" w14:textId="77777777" w:rsidR="00583CB4" w:rsidRPr="00583CB4" w:rsidRDefault="00583CB4" w:rsidP="00583CB4">
            <w:pPr>
              <w:spacing w:after="0" w:line="240" w:lineRule="auto"/>
              <w:rPr>
                <w:rFonts w:ascii="Arial" w:hAnsi="Arial" w:cs="Arial"/>
                <w:b/>
                <w:bCs/>
                <w:sz w:val="18"/>
                <w:szCs w:val="18"/>
                <w:lang w:eastAsia="hr-HR"/>
              </w:rPr>
            </w:pPr>
            <w:r w:rsidRPr="00583CB4">
              <w:rPr>
                <w:rFonts w:ascii="Arial" w:hAnsi="Arial" w:cs="Arial"/>
                <w:b/>
                <w:bCs/>
                <w:sz w:val="18"/>
                <w:szCs w:val="18"/>
                <w:lang w:eastAsia="hr-HR"/>
              </w:rPr>
              <w:t>61 Prihodi od poreza</w:t>
            </w:r>
          </w:p>
        </w:tc>
        <w:tc>
          <w:tcPr>
            <w:tcW w:w="1384" w:type="dxa"/>
            <w:tcBorders>
              <w:top w:val="nil"/>
              <w:left w:val="nil"/>
              <w:bottom w:val="nil"/>
              <w:right w:val="nil"/>
            </w:tcBorders>
            <w:shd w:val="clear" w:color="auto" w:fill="auto"/>
            <w:noWrap/>
            <w:vAlign w:val="bottom"/>
            <w:hideMark/>
          </w:tcPr>
          <w:p w14:paraId="7E9320F1"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2.346.937,13</w:t>
            </w:r>
          </w:p>
        </w:tc>
        <w:tc>
          <w:tcPr>
            <w:tcW w:w="1740" w:type="dxa"/>
            <w:tcBorders>
              <w:top w:val="nil"/>
              <w:left w:val="nil"/>
              <w:bottom w:val="nil"/>
              <w:right w:val="nil"/>
            </w:tcBorders>
            <w:shd w:val="clear" w:color="auto" w:fill="auto"/>
            <w:noWrap/>
            <w:vAlign w:val="bottom"/>
            <w:hideMark/>
          </w:tcPr>
          <w:p w14:paraId="6D63BC2E"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2.680.800,00</w:t>
            </w:r>
          </w:p>
        </w:tc>
        <w:tc>
          <w:tcPr>
            <w:tcW w:w="1412" w:type="dxa"/>
            <w:tcBorders>
              <w:top w:val="nil"/>
              <w:left w:val="nil"/>
              <w:bottom w:val="nil"/>
              <w:right w:val="nil"/>
            </w:tcBorders>
            <w:shd w:val="clear" w:color="auto" w:fill="auto"/>
            <w:noWrap/>
            <w:vAlign w:val="bottom"/>
            <w:hideMark/>
          </w:tcPr>
          <w:p w14:paraId="2637150B"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2.680.252,80</w:t>
            </w:r>
          </w:p>
        </w:tc>
        <w:tc>
          <w:tcPr>
            <w:tcW w:w="1320" w:type="dxa"/>
            <w:tcBorders>
              <w:top w:val="nil"/>
              <w:left w:val="nil"/>
              <w:bottom w:val="nil"/>
              <w:right w:val="nil"/>
            </w:tcBorders>
            <w:shd w:val="clear" w:color="auto" w:fill="auto"/>
            <w:noWrap/>
            <w:vAlign w:val="bottom"/>
            <w:hideMark/>
          </w:tcPr>
          <w:p w14:paraId="2A2F02DE"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114,20%</w:t>
            </w:r>
          </w:p>
        </w:tc>
        <w:tc>
          <w:tcPr>
            <w:tcW w:w="1280" w:type="dxa"/>
            <w:tcBorders>
              <w:top w:val="nil"/>
              <w:left w:val="nil"/>
              <w:bottom w:val="nil"/>
              <w:right w:val="nil"/>
            </w:tcBorders>
            <w:shd w:val="clear" w:color="auto" w:fill="auto"/>
            <w:noWrap/>
            <w:vAlign w:val="bottom"/>
            <w:hideMark/>
          </w:tcPr>
          <w:p w14:paraId="688DB724"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99,98%</w:t>
            </w:r>
          </w:p>
        </w:tc>
      </w:tr>
      <w:tr w:rsidR="00583CB4" w:rsidRPr="00583CB4" w14:paraId="7183C65F" w14:textId="77777777" w:rsidTr="00D53FB4">
        <w:trPr>
          <w:trHeight w:val="255"/>
        </w:trPr>
        <w:tc>
          <w:tcPr>
            <w:tcW w:w="7655" w:type="dxa"/>
            <w:tcBorders>
              <w:top w:val="nil"/>
              <w:left w:val="nil"/>
              <w:bottom w:val="nil"/>
              <w:right w:val="nil"/>
            </w:tcBorders>
            <w:shd w:val="clear" w:color="auto" w:fill="auto"/>
            <w:noWrap/>
            <w:vAlign w:val="bottom"/>
            <w:hideMark/>
          </w:tcPr>
          <w:p w14:paraId="6BE4BEAC"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611 Porez i prirez na dohodak</w:t>
            </w:r>
          </w:p>
        </w:tc>
        <w:tc>
          <w:tcPr>
            <w:tcW w:w="1384" w:type="dxa"/>
            <w:tcBorders>
              <w:top w:val="nil"/>
              <w:left w:val="nil"/>
              <w:bottom w:val="nil"/>
              <w:right w:val="nil"/>
            </w:tcBorders>
            <w:shd w:val="clear" w:color="auto" w:fill="auto"/>
            <w:noWrap/>
            <w:vAlign w:val="bottom"/>
            <w:hideMark/>
          </w:tcPr>
          <w:p w14:paraId="4173B3D0"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2.218.814,18</w:t>
            </w:r>
          </w:p>
        </w:tc>
        <w:tc>
          <w:tcPr>
            <w:tcW w:w="1740" w:type="dxa"/>
            <w:tcBorders>
              <w:top w:val="nil"/>
              <w:left w:val="nil"/>
              <w:bottom w:val="nil"/>
              <w:right w:val="nil"/>
            </w:tcBorders>
            <w:shd w:val="clear" w:color="auto" w:fill="auto"/>
            <w:noWrap/>
            <w:vAlign w:val="bottom"/>
            <w:hideMark/>
          </w:tcPr>
          <w:p w14:paraId="0EC5F8A0"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5BDFBF3B"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2.543.404,94</w:t>
            </w:r>
          </w:p>
        </w:tc>
        <w:tc>
          <w:tcPr>
            <w:tcW w:w="1320" w:type="dxa"/>
            <w:tcBorders>
              <w:top w:val="nil"/>
              <w:left w:val="nil"/>
              <w:bottom w:val="nil"/>
              <w:right w:val="nil"/>
            </w:tcBorders>
            <w:shd w:val="clear" w:color="auto" w:fill="auto"/>
            <w:noWrap/>
            <w:vAlign w:val="bottom"/>
            <w:hideMark/>
          </w:tcPr>
          <w:p w14:paraId="31B8219C"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114,63%</w:t>
            </w:r>
          </w:p>
        </w:tc>
        <w:tc>
          <w:tcPr>
            <w:tcW w:w="1280" w:type="dxa"/>
            <w:tcBorders>
              <w:top w:val="nil"/>
              <w:left w:val="nil"/>
              <w:bottom w:val="nil"/>
              <w:right w:val="nil"/>
            </w:tcBorders>
            <w:shd w:val="clear" w:color="auto" w:fill="auto"/>
            <w:noWrap/>
            <w:vAlign w:val="bottom"/>
            <w:hideMark/>
          </w:tcPr>
          <w:p w14:paraId="7FEE3C14"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1CDAFA8B" w14:textId="77777777" w:rsidTr="00D53FB4">
        <w:trPr>
          <w:trHeight w:val="255"/>
        </w:trPr>
        <w:tc>
          <w:tcPr>
            <w:tcW w:w="7655" w:type="dxa"/>
            <w:tcBorders>
              <w:top w:val="nil"/>
              <w:left w:val="nil"/>
              <w:bottom w:val="nil"/>
              <w:right w:val="nil"/>
            </w:tcBorders>
            <w:shd w:val="clear" w:color="auto" w:fill="auto"/>
            <w:noWrap/>
            <w:vAlign w:val="bottom"/>
            <w:hideMark/>
          </w:tcPr>
          <w:p w14:paraId="675E1522"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6111 Porez i prirez na dohodak od nesamostalnog rada                                                     </w:t>
            </w:r>
          </w:p>
        </w:tc>
        <w:tc>
          <w:tcPr>
            <w:tcW w:w="1384" w:type="dxa"/>
            <w:tcBorders>
              <w:top w:val="nil"/>
              <w:left w:val="nil"/>
              <w:bottom w:val="nil"/>
              <w:right w:val="nil"/>
            </w:tcBorders>
            <w:shd w:val="clear" w:color="auto" w:fill="auto"/>
            <w:noWrap/>
            <w:vAlign w:val="bottom"/>
            <w:hideMark/>
          </w:tcPr>
          <w:p w14:paraId="1F5DA57A"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1.767.417,44</w:t>
            </w:r>
          </w:p>
        </w:tc>
        <w:tc>
          <w:tcPr>
            <w:tcW w:w="1740" w:type="dxa"/>
            <w:tcBorders>
              <w:top w:val="nil"/>
              <w:left w:val="nil"/>
              <w:bottom w:val="nil"/>
              <w:right w:val="nil"/>
            </w:tcBorders>
            <w:shd w:val="clear" w:color="auto" w:fill="auto"/>
            <w:noWrap/>
            <w:vAlign w:val="bottom"/>
            <w:hideMark/>
          </w:tcPr>
          <w:p w14:paraId="66A1F0EA"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6DA438AA"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2.327.480,71</w:t>
            </w:r>
          </w:p>
        </w:tc>
        <w:tc>
          <w:tcPr>
            <w:tcW w:w="1320" w:type="dxa"/>
            <w:tcBorders>
              <w:top w:val="nil"/>
              <w:left w:val="nil"/>
              <w:bottom w:val="nil"/>
              <w:right w:val="nil"/>
            </w:tcBorders>
            <w:shd w:val="clear" w:color="auto" w:fill="auto"/>
            <w:noWrap/>
            <w:vAlign w:val="bottom"/>
            <w:hideMark/>
          </w:tcPr>
          <w:p w14:paraId="501ED508"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131,69%</w:t>
            </w:r>
          </w:p>
        </w:tc>
        <w:tc>
          <w:tcPr>
            <w:tcW w:w="1280" w:type="dxa"/>
            <w:tcBorders>
              <w:top w:val="nil"/>
              <w:left w:val="nil"/>
              <w:bottom w:val="nil"/>
              <w:right w:val="nil"/>
            </w:tcBorders>
            <w:shd w:val="clear" w:color="auto" w:fill="auto"/>
            <w:noWrap/>
            <w:vAlign w:val="bottom"/>
            <w:hideMark/>
          </w:tcPr>
          <w:p w14:paraId="49DF76BD"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78A77D10" w14:textId="77777777" w:rsidTr="00D53FB4">
        <w:trPr>
          <w:trHeight w:val="255"/>
        </w:trPr>
        <w:tc>
          <w:tcPr>
            <w:tcW w:w="7655" w:type="dxa"/>
            <w:tcBorders>
              <w:top w:val="nil"/>
              <w:left w:val="nil"/>
              <w:bottom w:val="nil"/>
              <w:right w:val="nil"/>
            </w:tcBorders>
            <w:shd w:val="clear" w:color="auto" w:fill="auto"/>
            <w:noWrap/>
            <w:vAlign w:val="bottom"/>
            <w:hideMark/>
          </w:tcPr>
          <w:p w14:paraId="17CA5DB9"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6112 Porez i prirez na dohodak od samostalnih djelatnosti                                                </w:t>
            </w:r>
          </w:p>
        </w:tc>
        <w:tc>
          <w:tcPr>
            <w:tcW w:w="1384" w:type="dxa"/>
            <w:tcBorders>
              <w:top w:val="nil"/>
              <w:left w:val="nil"/>
              <w:bottom w:val="nil"/>
              <w:right w:val="nil"/>
            </w:tcBorders>
            <w:shd w:val="clear" w:color="auto" w:fill="auto"/>
            <w:noWrap/>
            <w:vAlign w:val="bottom"/>
            <w:hideMark/>
          </w:tcPr>
          <w:p w14:paraId="497A30AA"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323.365,54</w:t>
            </w:r>
          </w:p>
        </w:tc>
        <w:tc>
          <w:tcPr>
            <w:tcW w:w="1740" w:type="dxa"/>
            <w:tcBorders>
              <w:top w:val="nil"/>
              <w:left w:val="nil"/>
              <w:bottom w:val="nil"/>
              <w:right w:val="nil"/>
            </w:tcBorders>
            <w:shd w:val="clear" w:color="auto" w:fill="auto"/>
            <w:noWrap/>
            <w:vAlign w:val="bottom"/>
            <w:hideMark/>
          </w:tcPr>
          <w:p w14:paraId="6FA9B4E9"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5C8E2F9A"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283.987,60</w:t>
            </w:r>
          </w:p>
        </w:tc>
        <w:tc>
          <w:tcPr>
            <w:tcW w:w="1320" w:type="dxa"/>
            <w:tcBorders>
              <w:top w:val="nil"/>
              <w:left w:val="nil"/>
              <w:bottom w:val="nil"/>
              <w:right w:val="nil"/>
            </w:tcBorders>
            <w:shd w:val="clear" w:color="auto" w:fill="auto"/>
            <w:noWrap/>
            <w:vAlign w:val="bottom"/>
            <w:hideMark/>
          </w:tcPr>
          <w:p w14:paraId="55C50295"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87,82%</w:t>
            </w:r>
          </w:p>
        </w:tc>
        <w:tc>
          <w:tcPr>
            <w:tcW w:w="1280" w:type="dxa"/>
            <w:tcBorders>
              <w:top w:val="nil"/>
              <w:left w:val="nil"/>
              <w:bottom w:val="nil"/>
              <w:right w:val="nil"/>
            </w:tcBorders>
            <w:shd w:val="clear" w:color="auto" w:fill="auto"/>
            <w:noWrap/>
            <w:vAlign w:val="bottom"/>
            <w:hideMark/>
          </w:tcPr>
          <w:p w14:paraId="0200ED97"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5FCDB96A" w14:textId="77777777" w:rsidTr="00D53FB4">
        <w:trPr>
          <w:trHeight w:val="255"/>
        </w:trPr>
        <w:tc>
          <w:tcPr>
            <w:tcW w:w="7655" w:type="dxa"/>
            <w:tcBorders>
              <w:top w:val="nil"/>
              <w:left w:val="nil"/>
              <w:bottom w:val="nil"/>
              <w:right w:val="nil"/>
            </w:tcBorders>
            <w:shd w:val="clear" w:color="auto" w:fill="auto"/>
            <w:noWrap/>
            <w:vAlign w:val="bottom"/>
            <w:hideMark/>
          </w:tcPr>
          <w:p w14:paraId="4C75CC65"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6113 Porez i prirez na dohodak od imovine i imovinskih prava                                             </w:t>
            </w:r>
          </w:p>
        </w:tc>
        <w:tc>
          <w:tcPr>
            <w:tcW w:w="1384" w:type="dxa"/>
            <w:tcBorders>
              <w:top w:val="nil"/>
              <w:left w:val="nil"/>
              <w:bottom w:val="nil"/>
              <w:right w:val="nil"/>
            </w:tcBorders>
            <w:shd w:val="clear" w:color="auto" w:fill="auto"/>
            <w:noWrap/>
            <w:vAlign w:val="bottom"/>
            <w:hideMark/>
          </w:tcPr>
          <w:p w14:paraId="5E2F19BA"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72.024,16</w:t>
            </w:r>
          </w:p>
        </w:tc>
        <w:tc>
          <w:tcPr>
            <w:tcW w:w="1740" w:type="dxa"/>
            <w:tcBorders>
              <w:top w:val="nil"/>
              <w:left w:val="nil"/>
              <w:bottom w:val="nil"/>
              <w:right w:val="nil"/>
            </w:tcBorders>
            <w:shd w:val="clear" w:color="auto" w:fill="auto"/>
            <w:noWrap/>
            <w:vAlign w:val="bottom"/>
            <w:hideMark/>
          </w:tcPr>
          <w:p w14:paraId="4FFAE902"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67C9D5E7"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113.552,89</w:t>
            </w:r>
          </w:p>
        </w:tc>
        <w:tc>
          <w:tcPr>
            <w:tcW w:w="1320" w:type="dxa"/>
            <w:tcBorders>
              <w:top w:val="nil"/>
              <w:left w:val="nil"/>
              <w:bottom w:val="nil"/>
              <w:right w:val="nil"/>
            </w:tcBorders>
            <w:shd w:val="clear" w:color="auto" w:fill="auto"/>
            <w:noWrap/>
            <w:vAlign w:val="bottom"/>
            <w:hideMark/>
          </w:tcPr>
          <w:p w14:paraId="451FF980"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157,66%</w:t>
            </w:r>
          </w:p>
        </w:tc>
        <w:tc>
          <w:tcPr>
            <w:tcW w:w="1280" w:type="dxa"/>
            <w:tcBorders>
              <w:top w:val="nil"/>
              <w:left w:val="nil"/>
              <w:bottom w:val="nil"/>
              <w:right w:val="nil"/>
            </w:tcBorders>
            <w:shd w:val="clear" w:color="auto" w:fill="auto"/>
            <w:noWrap/>
            <w:vAlign w:val="bottom"/>
            <w:hideMark/>
          </w:tcPr>
          <w:p w14:paraId="76B383A1"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24D39635" w14:textId="77777777" w:rsidTr="00D53FB4">
        <w:trPr>
          <w:trHeight w:val="255"/>
        </w:trPr>
        <w:tc>
          <w:tcPr>
            <w:tcW w:w="7655" w:type="dxa"/>
            <w:tcBorders>
              <w:top w:val="nil"/>
              <w:left w:val="nil"/>
              <w:bottom w:val="nil"/>
              <w:right w:val="nil"/>
            </w:tcBorders>
            <w:shd w:val="clear" w:color="auto" w:fill="auto"/>
            <w:noWrap/>
            <w:vAlign w:val="bottom"/>
            <w:hideMark/>
          </w:tcPr>
          <w:p w14:paraId="724EF025"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6114 Porez i prirez na dohodak od kapitala                                                               </w:t>
            </w:r>
          </w:p>
        </w:tc>
        <w:tc>
          <w:tcPr>
            <w:tcW w:w="1384" w:type="dxa"/>
            <w:tcBorders>
              <w:top w:val="nil"/>
              <w:left w:val="nil"/>
              <w:bottom w:val="nil"/>
              <w:right w:val="nil"/>
            </w:tcBorders>
            <w:shd w:val="clear" w:color="auto" w:fill="auto"/>
            <w:noWrap/>
            <w:vAlign w:val="bottom"/>
            <w:hideMark/>
          </w:tcPr>
          <w:p w14:paraId="595FB712"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176.456,53</w:t>
            </w:r>
          </w:p>
        </w:tc>
        <w:tc>
          <w:tcPr>
            <w:tcW w:w="1740" w:type="dxa"/>
            <w:tcBorders>
              <w:top w:val="nil"/>
              <w:left w:val="nil"/>
              <w:bottom w:val="nil"/>
              <w:right w:val="nil"/>
            </w:tcBorders>
            <w:shd w:val="clear" w:color="auto" w:fill="auto"/>
            <w:noWrap/>
            <w:vAlign w:val="bottom"/>
            <w:hideMark/>
          </w:tcPr>
          <w:p w14:paraId="47FF22A7"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21E136D6"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99.810,14</w:t>
            </w:r>
          </w:p>
        </w:tc>
        <w:tc>
          <w:tcPr>
            <w:tcW w:w="1320" w:type="dxa"/>
            <w:tcBorders>
              <w:top w:val="nil"/>
              <w:left w:val="nil"/>
              <w:bottom w:val="nil"/>
              <w:right w:val="nil"/>
            </w:tcBorders>
            <w:shd w:val="clear" w:color="auto" w:fill="auto"/>
            <w:noWrap/>
            <w:vAlign w:val="bottom"/>
            <w:hideMark/>
          </w:tcPr>
          <w:p w14:paraId="5801853C"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56,56%</w:t>
            </w:r>
          </w:p>
        </w:tc>
        <w:tc>
          <w:tcPr>
            <w:tcW w:w="1280" w:type="dxa"/>
            <w:tcBorders>
              <w:top w:val="nil"/>
              <w:left w:val="nil"/>
              <w:bottom w:val="nil"/>
              <w:right w:val="nil"/>
            </w:tcBorders>
            <w:shd w:val="clear" w:color="auto" w:fill="auto"/>
            <w:noWrap/>
            <w:vAlign w:val="bottom"/>
            <w:hideMark/>
          </w:tcPr>
          <w:p w14:paraId="4D61324D"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36E9A6DB" w14:textId="77777777" w:rsidTr="00D53FB4">
        <w:trPr>
          <w:trHeight w:val="255"/>
        </w:trPr>
        <w:tc>
          <w:tcPr>
            <w:tcW w:w="7655" w:type="dxa"/>
            <w:tcBorders>
              <w:top w:val="nil"/>
              <w:left w:val="nil"/>
              <w:bottom w:val="nil"/>
              <w:right w:val="nil"/>
            </w:tcBorders>
            <w:shd w:val="clear" w:color="auto" w:fill="auto"/>
            <w:noWrap/>
            <w:vAlign w:val="bottom"/>
            <w:hideMark/>
          </w:tcPr>
          <w:p w14:paraId="643627BF"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6115 Porez i prirez na dohodak po godišnjoj prijavi</w:t>
            </w:r>
          </w:p>
        </w:tc>
        <w:tc>
          <w:tcPr>
            <w:tcW w:w="1384" w:type="dxa"/>
            <w:tcBorders>
              <w:top w:val="nil"/>
              <w:left w:val="nil"/>
              <w:bottom w:val="nil"/>
              <w:right w:val="nil"/>
            </w:tcBorders>
            <w:shd w:val="clear" w:color="auto" w:fill="auto"/>
            <w:noWrap/>
            <w:vAlign w:val="bottom"/>
            <w:hideMark/>
          </w:tcPr>
          <w:p w14:paraId="0C9FC8F2"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139.799,43</w:t>
            </w:r>
          </w:p>
        </w:tc>
        <w:tc>
          <w:tcPr>
            <w:tcW w:w="1740" w:type="dxa"/>
            <w:tcBorders>
              <w:top w:val="nil"/>
              <w:left w:val="nil"/>
              <w:bottom w:val="nil"/>
              <w:right w:val="nil"/>
            </w:tcBorders>
            <w:shd w:val="clear" w:color="auto" w:fill="auto"/>
            <w:noWrap/>
            <w:vAlign w:val="bottom"/>
            <w:hideMark/>
          </w:tcPr>
          <w:p w14:paraId="68EC975F"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5777FED6"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130.926,23</w:t>
            </w:r>
          </w:p>
        </w:tc>
        <w:tc>
          <w:tcPr>
            <w:tcW w:w="1320" w:type="dxa"/>
            <w:tcBorders>
              <w:top w:val="nil"/>
              <w:left w:val="nil"/>
              <w:bottom w:val="nil"/>
              <w:right w:val="nil"/>
            </w:tcBorders>
            <w:shd w:val="clear" w:color="auto" w:fill="auto"/>
            <w:noWrap/>
            <w:vAlign w:val="bottom"/>
            <w:hideMark/>
          </w:tcPr>
          <w:p w14:paraId="31784417"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93,65%</w:t>
            </w:r>
          </w:p>
        </w:tc>
        <w:tc>
          <w:tcPr>
            <w:tcW w:w="1280" w:type="dxa"/>
            <w:tcBorders>
              <w:top w:val="nil"/>
              <w:left w:val="nil"/>
              <w:bottom w:val="nil"/>
              <w:right w:val="nil"/>
            </w:tcBorders>
            <w:shd w:val="clear" w:color="auto" w:fill="auto"/>
            <w:noWrap/>
            <w:vAlign w:val="bottom"/>
            <w:hideMark/>
          </w:tcPr>
          <w:p w14:paraId="6DD8F2DB"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4A784BDB" w14:textId="77777777" w:rsidTr="00D53FB4">
        <w:trPr>
          <w:trHeight w:val="255"/>
        </w:trPr>
        <w:tc>
          <w:tcPr>
            <w:tcW w:w="7655" w:type="dxa"/>
            <w:tcBorders>
              <w:top w:val="nil"/>
              <w:left w:val="nil"/>
              <w:bottom w:val="nil"/>
              <w:right w:val="nil"/>
            </w:tcBorders>
            <w:shd w:val="clear" w:color="auto" w:fill="auto"/>
            <w:noWrap/>
            <w:vAlign w:val="bottom"/>
            <w:hideMark/>
          </w:tcPr>
          <w:p w14:paraId="3CB2FD98"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6116 Porez i prirez na dohodak utvrđen u postupku nadzora za prethodne godine                            </w:t>
            </w:r>
          </w:p>
        </w:tc>
        <w:tc>
          <w:tcPr>
            <w:tcW w:w="1384" w:type="dxa"/>
            <w:tcBorders>
              <w:top w:val="nil"/>
              <w:left w:val="nil"/>
              <w:bottom w:val="nil"/>
              <w:right w:val="nil"/>
            </w:tcBorders>
            <w:shd w:val="clear" w:color="auto" w:fill="auto"/>
            <w:noWrap/>
            <w:vAlign w:val="bottom"/>
            <w:hideMark/>
          </w:tcPr>
          <w:p w14:paraId="39B7887C"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32.996,64</w:t>
            </w:r>
          </w:p>
        </w:tc>
        <w:tc>
          <w:tcPr>
            <w:tcW w:w="1740" w:type="dxa"/>
            <w:tcBorders>
              <w:top w:val="nil"/>
              <w:left w:val="nil"/>
              <w:bottom w:val="nil"/>
              <w:right w:val="nil"/>
            </w:tcBorders>
            <w:shd w:val="clear" w:color="auto" w:fill="auto"/>
            <w:noWrap/>
            <w:vAlign w:val="bottom"/>
            <w:hideMark/>
          </w:tcPr>
          <w:p w14:paraId="50FBD5D6"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684755F2"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8.700,89</w:t>
            </w:r>
          </w:p>
        </w:tc>
        <w:tc>
          <w:tcPr>
            <w:tcW w:w="1320" w:type="dxa"/>
            <w:tcBorders>
              <w:top w:val="nil"/>
              <w:left w:val="nil"/>
              <w:bottom w:val="nil"/>
              <w:right w:val="nil"/>
            </w:tcBorders>
            <w:shd w:val="clear" w:color="auto" w:fill="auto"/>
            <w:noWrap/>
            <w:vAlign w:val="bottom"/>
            <w:hideMark/>
          </w:tcPr>
          <w:p w14:paraId="13B911A3"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26,37%</w:t>
            </w:r>
          </w:p>
        </w:tc>
        <w:tc>
          <w:tcPr>
            <w:tcW w:w="1280" w:type="dxa"/>
            <w:tcBorders>
              <w:top w:val="nil"/>
              <w:left w:val="nil"/>
              <w:bottom w:val="nil"/>
              <w:right w:val="nil"/>
            </w:tcBorders>
            <w:shd w:val="clear" w:color="auto" w:fill="auto"/>
            <w:noWrap/>
            <w:vAlign w:val="bottom"/>
            <w:hideMark/>
          </w:tcPr>
          <w:p w14:paraId="3DE66332"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75B6391F" w14:textId="77777777" w:rsidTr="00D53FB4">
        <w:trPr>
          <w:trHeight w:val="255"/>
        </w:trPr>
        <w:tc>
          <w:tcPr>
            <w:tcW w:w="7655" w:type="dxa"/>
            <w:tcBorders>
              <w:top w:val="nil"/>
              <w:left w:val="nil"/>
              <w:bottom w:val="nil"/>
              <w:right w:val="nil"/>
            </w:tcBorders>
            <w:shd w:val="clear" w:color="auto" w:fill="auto"/>
            <w:noWrap/>
            <w:vAlign w:val="bottom"/>
            <w:hideMark/>
          </w:tcPr>
          <w:p w14:paraId="0402F079"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6117 Povrat poreza i prireza na dohodak po godišnjoj prijavi</w:t>
            </w:r>
          </w:p>
        </w:tc>
        <w:tc>
          <w:tcPr>
            <w:tcW w:w="1384" w:type="dxa"/>
            <w:tcBorders>
              <w:top w:val="nil"/>
              <w:left w:val="nil"/>
              <w:bottom w:val="nil"/>
              <w:right w:val="nil"/>
            </w:tcBorders>
            <w:shd w:val="clear" w:color="auto" w:fill="auto"/>
            <w:noWrap/>
            <w:vAlign w:val="bottom"/>
            <w:hideMark/>
          </w:tcPr>
          <w:p w14:paraId="7FCFF23F"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-293.245,56</w:t>
            </w:r>
          </w:p>
        </w:tc>
        <w:tc>
          <w:tcPr>
            <w:tcW w:w="1740" w:type="dxa"/>
            <w:tcBorders>
              <w:top w:val="nil"/>
              <w:left w:val="nil"/>
              <w:bottom w:val="nil"/>
              <w:right w:val="nil"/>
            </w:tcBorders>
            <w:shd w:val="clear" w:color="auto" w:fill="auto"/>
            <w:noWrap/>
            <w:vAlign w:val="bottom"/>
            <w:hideMark/>
          </w:tcPr>
          <w:p w14:paraId="678D661A"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3692E02B"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-421.053,52</w:t>
            </w:r>
          </w:p>
        </w:tc>
        <w:tc>
          <w:tcPr>
            <w:tcW w:w="1320" w:type="dxa"/>
            <w:tcBorders>
              <w:top w:val="nil"/>
              <w:left w:val="nil"/>
              <w:bottom w:val="nil"/>
              <w:right w:val="nil"/>
            </w:tcBorders>
            <w:shd w:val="clear" w:color="auto" w:fill="auto"/>
            <w:noWrap/>
            <w:vAlign w:val="bottom"/>
            <w:hideMark/>
          </w:tcPr>
          <w:p w14:paraId="3BAE9A9A"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143,58%</w:t>
            </w:r>
          </w:p>
        </w:tc>
        <w:tc>
          <w:tcPr>
            <w:tcW w:w="1280" w:type="dxa"/>
            <w:tcBorders>
              <w:top w:val="nil"/>
              <w:left w:val="nil"/>
              <w:bottom w:val="nil"/>
              <w:right w:val="nil"/>
            </w:tcBorders>
            <w:shd w:val="clear" w:color="auto" w:fill="auto"/>
            <w:noWrap/>
            <w:vAlign w:val="bottom"/>
            <w:hideMark/>
          </w:tcPr>
          <w:p w14:paraId="346DDCA3"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08FFA93C" w14:textId="77777777" w:rsidTr="00D53FB4">
        <w:trPr>
          <w:trHeight w:val="255"/>
        </w:trPr>
        <w:tc>
          <w:tcPr>
            <w:tcW w:w="7655" w:type="dxa"/>
            <w:tcBorders>
              <w:top w:val="nil"/>
              <w:left w:val="nil"/>
              <w:bottom w:val="nil"/>
              <w:right w:val="nil"/>
            </w:tcBorders>
            <w:shd w:val="clear" w:color="auto" w:fill="auto"/>
            <w:noWrap/>
            <w:vAlign w:val="bottom"/>
            <w:hideMark/>
          </w:tcPr>
          <w:p w14:paraId="6ABA4748"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613 Porezi na imovinu                                                                                   </w:t>
            </w:r>
          </w:p>
        </w:tc>
        <w:tc>
          <w:tcPr>
            <w:tcW w:w="1384" w:type="dxa"/>
            <w:tcBorders>
              <w:top w:val="nil"/>
              <w:left w:val="nil"/>
              <w:bottom w:val="nil"/>
              <w:right w:val="nil"/>
            </w:tcBorders>
            <w:shd w:val="clear" w:color="auto" w:fill="auto"/>
            <w:noWrap/>
            <w:vAlign w:val="bottom"/>
            <w:hideMark/>
          </w:tcPr>
          <w:p w14:paraId="074D7A17"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106.000,26</w:t>
            </w:r>
          </w:p>
        </w:tc>
        <w:tc>
          <w:tcPr>
            <w:tcW w:w="1740" w:type="dxa"/>
            <w:tcBorders>
              <w:top w:val="nil"/>
              <w:left w:val="nil"/>
              <w:bottom w:val="nil"/>
              <w:right w:val="nil"/>
            </w:tcBorders>
            <w:shd w:val="clear" w:color="auto" w:fill="auto"/>
            <w:noWrap/>
            <w:vAlign w:val="bottom"/>
            <w:hideMark/>
          </w:tcPr>
          <w:p w14:paraId="42516B2B"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48892DE8"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122.934,56</w:t>
            </w:r>
          </w:p>
        </w:tc>
        <w:tc>
          <w:tcPr>
            <w:tcW w:w="1320" w:type="dxa"/>
            <w:tcBorders>
              <w:top w:val="nil"/>
              <w:left w:val="nil"/>
              <w:bottom w:val="nil"/>
              <w:right w:val="nil"/>
            </w:tcBorders>
            <w:shd w:val="clear" w:color="auto" w:fill="auto"/>
            <w:noWrap/>
            <w:vAlign w:val="bottom"/>
            <w:hideMark/>
          </w:tcPr>
          <w:p w14:paraId="51B2FC97"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115,98%</w:t>
            </w:r>
          </w:p>
        </w:tc>
        <w:tc>
          <w:tcPr>
            <w:tcW w:w="1280" w:type="dxa"/>
            <w:tcBorders>
              <w:top w:val="nil"/>
              <w:left w:val="nil"/>
              <w:bottom w:val="nil"/>
              <w:right w:val="nil"/>
            </w:tcBorders>
            <w:shd w:val="clear" w:color="auto" w:fill="auto"/>
            <w:noWrap/>
            <w:vAlign w:val="bottom"/>
            <w:hideMark/>
          </w:tcPr>
          <w:p w14:paraId="5A91087E"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6B7DB584" w14:textId="77777777" w:rsidTr="00D53FB4">
        <w:trPr>
          <w:trHeight w:val="255"/>
        </w:trPr>
        <w:tc>
          <w:tcPr>
            <w:tcW w:w="7655" w:type="dxa"/>
            <w:tcBorders>
              <w:top w:val="nil"/>
              <w:left w:val="nil"/>
              <w:bottom w:val="nil"/>
              <w:right w:val="nil"/>
            </w:tcBorders>
            <w:shd w:val="clear" w:color="auto" w:fill="auto"/>
            <w:noWrap/>
            <w:vAlign w:val="bottom"/>
            <w:hideMark/>
          </w:tcPr>
          <w:p w14:paraId="530C2602"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6131 Stalni porezi na nepokretnu imovinu (zemlju, zgrade, kuće i ostalo)                                 </w:t>
            </w:r>
          </w:p>
        </w:tc>
        <w:tc>
          <w:tcPr>
            <w:tcW w:w="1384" w:type="dxa"/>
            <w:tcBorders>
              <w:top w:val="nil"/>
              <w:left w:val="nil"/>
              <w:bottom w:val="nil"/>
              <w:right w:val="nil"/>
            </w:tcBorders>
            <w:shd w:val="clear" w:color="auto" w:fill="auto"/>
            <w:noWrap/>
            <w:vAlign w:val="bottom"/>
            <w:hideMark/>
          </w:tcPr>
          <w:p w14:paraId="141AF1F2"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137,60</w:t>
            </w:r>
          </w:p>
        </w:tc>
        <w:tc>
          <w:tcPr>
            <w:tcW w:w="1740" w:type="dxa"/>
            <w:tcBorders>
              <w:top w:val="nil"/>
              <w:left w:val="nil"/>
              <w:bottom w:val="nil"/>
              <w:right w:val="nil"/>
            </w:tcBorders>
            <w:shd w:val="clear" w:color="auto" w:fill="auto"/>
            <w:noWrap/>
            <w:vAlign w:val="bottom"/>
            <w:hideMark/>
          </w:tcPr>
          <w:p w14:paraId="68C094DF"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3F1C258C"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375,78</w:t>
            </w:r>
          </w:p>
        </w:tc>
        <w:tc>
          <w:tcPr>
            <w:tcW w:w="1320" w:type="dxa"/>
            <w:tcBorders>
              <w:top w:val="nil"/>
              <w:left w:val="nil"/>
              <w:bottom w:val="nil"/>
              <w:right w:val="nil"/>
            </w:tcBorders>
            <w:shd w:val="clear" w:color="auto" w:fill="auto"/>
            <w:noWrap/>
            <w:vAlign w:val="bottom"/>
            <w:hideMark/>
          </w:tcPr>
          <w:p w14:paraId="35D95356"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273,10%</w:t>
            </w:r>
          </w:p>
        </w:tc>
        <w:tc>
          <w:tcPr>
            <w:tcW w:w="1280" w:type="dxa"/>
            <w:tcBorders>
              <w:top w:val="nil"/>
              <w:left w:val="nil"/>
              <w:bottom w:val="nil"/>
              <w:right w:val="nil"/>
            </w:tcBorders>
            <w:shd w:val="clear" w:color="auto" w:fill="auto"/>
            <w:noWrap/>
            <w:vAlign w:val="bottom"/>
            <w:hideMark/>
          </w:tcPr>
          <w:p w14:paraId="6D5EDE29"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5E6EEDD5" w14:textId="77777777" w:rsidTr="00D53FB4">
        <w:trPr>
          <w:trHeight w:val="255"/>
        </w:trPr>
        <w:tc>
          <w:tcPr>
            <w:tcW w:w="7655" w:type="dxa"/>
            <w:tcBorders>
              <w:top w:val="nil"/>
              <w:left w:val="nil"/>
              <w:bottom w:val="nil"/>
              <w:right w:val="nil"/>
            </w:tcBorders>
            <w:shd w:val="clear" w:color="auto" w:fill="auto"/>
            <w:noWrap/>
            <w:vAlign w:val="bottom"/>
            <w:hideMark/>
          </w:tcPr>
          <w:p w14:paraId="50A97513"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6134 Povremeni porezi na imovinu                                                                         </w:t>
            </w:r>
          </w:p>
        </w:tc>
        <w:tc>
          <w:tcPr>
            <w:tcW w:w="1384" w:type="dxa"/>
            <w:tcBorders>
              <w:top w:val="nil"/>
              <w:left w:val="nil"/>
              <w:bottom w:val="nil"/>
              <w:right w:val="nil"/>
            </w:tcBorders>
            <w:shd w:val="clear" w:color="auto" w:fill="auto"/>
            <w:noWrap/>
            <w:vAlign w:val="bottom"/>
            <w:hideMark/>
          </w:tcPr>
          <w:p w14:paraId="0FFD37F1"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105.862,66</w:t>
            </w:r>
          </w:p>
        </w:tc>
        <w:tc>
          <w:tcPr>
            <w:tcW w:w="1740" w:type="dxa"/>
            <w:tcBorders>
              <w:top w:val="nil"/>
              <w:left w:val="nil"/>
              <w:bottom w:val="nil"/>
              <w:right w:val="nil"/>
            </w:tcBorders>
            <w:shd w:val="clear" w:color="auto" w:fill="auto"/>
            <w:noWrap/>
            <w:vAlign w:val="bottom"/>
            <w:hideMark/>
          </w:tcPr>
          <w:p w14:paraId="0057CA75"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42FE9CEE"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122.558,78</w:t>
            </w:r>
          </w:p>
        </w:tc>
        <w:tc>
          <w:tcPr>
            <w:tcW w:w="1320" w:type="dxa"/>
            <w:tcBorders>
              <w:top w:val="nil"/>
              <w:left w:val="nil"/>
              <w:bottom w:val="nil"/>
              <w:right w:val="nil"/>
            </w:tcBorders>
            <w:shd w:val="clear" w:color="auto" w:fill="auto"/>
            <w:noWrap/>
            <w:vAlign w:val="bottom"/>
            <w:hideMark/>
          </w:tcPr>
          <w:p w14:paraId="3CD739AB"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115,77%</w:t>
            </w:r>
          </w:p>
        </w:tc>
        <w:tc>
          <w:tcPr>
            <w:tcW w:w="1280" w:type="dxa"/>
            <w:tcBorders>
              <w:top w:val="nil"/>
              <w:left w:val="nil"/>
              <w:bottom w:val="nil"/>
              <w:right w:val="nil"/>
            </w:tcBorders>
            <w:shd w:val="clear" w:color="auto" w:fill="auto"/>
            <w:noWrap/>
            <w:vAlign w:val="bottom"/>
            <w:hideMark/>
          </w:tcPr>
          <w:p w14:paraId="27CC29DE"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537F8CFA" w14:textId="77777777" w:rsidTr="00D53FB4">
        <w:trPr>
          <w:trHeight w:val="255"/>
        </w:trPr>
        <w:tc>
          <w:tcPr>
            <w:tcW w:w="7655" w:type="dxa"/>
            <w:tcBorders>
              <w:top w:val="nil"/>
              <w:left w:val="nil"/>
              <w:bottom w:val="nil"/>
              <w:right w:val="nil"/>
            </w:tcBorders>
            <w:shd w:val="clear" w:color="auto" w:fill="auto"/>
            <w:noWrap/>
            <w:vAlign w:val="bottom"/>
            <w:hideMark/>
          </w:tcPr>
          <w:p w14:paraId="60A6E975"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614 Porezi na robu i usluge                                                                             </w:t>
            </w:r>
          </w:p>
        </w:tc>
        <w:tc>
          <w:tcPr>
            <w:tcW w:w="1384" w:type="dxa"/>
            <w:tcBorders>
              <w:top w:val="nil"/>
              <w:left w:val="nil"/>
              <w:bottom w:val="nil"/>
              <w:right w:val="nil"/>
            </w:tcBorders>
            <w:shd w:val="clear" w:color="auto" w:fill="auto"/>
            <w:noWrap/>
            <w:vAlign w:val="bottom"/>
            <w:hideMark/>
          </w:tcPr>
          <w:p w14:paraId="7E57089D"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22.122,69</w:t>
            </w:r>
          </w:p>
        </w:tc>
        <w:tc>
          <w:tcPr>
            <w:tcW w:w="1740" w:type="dxa"/>
            <w:tcBorders>
              <w:top w:val="nil"/>
              <w:left w:val="nil"/>
              <w:bottom w:val="nil"/>
              <w:right w:val="nil"/>
            </w:tcBorders>
            <w:shd w:val="clear" w:color="auto" w:fill="auto"/>
            <w:noWrap/>
            <w:vAlign w:val="bottom"/>
            <w:hideMark/>
          </w:tcPr>
          <w:p w14:paraId="6BF26A71"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4DEA512F"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13.913,30</w:t>
            </w:r>
          </w:p>
        </w:tc>
        <w:tc>
          <w:tcPr>
            <w:tcW w:w="1320" w:type="dxa"/>
            <w:tcBorders>
              <w:top w:val="nil"/>
              <w:left w:val="nil"/>
              <w:bottom w:val="nil"/>
              <w:right w:val="nil"/>
            </w:tcBorders>
            <w:shd w:val="clear" w:color="auto" w:fill="auto"/>
            <w:noWrap/>
            <w:vAlign w:val="bottom"/>
            <w:hideMark/>
          </w:tcPr>
          <w:p w14:paraId="313953B6"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62,89%</w:t>
            </w:r>
          </w:p>
        </w:tc>
        <w:tc>
          <w:tcPr>
            <w:tcW w:w="1280" w:type="dxa"/>
            <w:tcBorders>
              <w:top w:val="nil"/>
              <w:left w:val="nil"/>
              <w:bottom w:val="nil"/>
              <w:right w:val="nil"/>
            </w:tcBorders>
            <w:shd w:val="clear" w:color="auto" w:fill="auto"/>
            <w:noWrap/>
            <w:vAlign w:val="bottom"/>
            <w:hideMark/>
          </w:tcPr>
          <w:p w14:paraId="7F4D4C93"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25FC2F80" w14:textId="77777777" w:rsidTr="00D53FB4">
        <w:trPr>
          <w:trHeight w:val="255"/>
        </w:trPr>
        <w:tc>
          <w:tcPr>
            <w:tcW w:w="7655" w:type="dxa"/>
            <w:tcBorders>
              <w:top w:val="nil"/>
              <w:left w:val="nil"/>
              <w:bottom w:val="nil"/>
              <w:right w:val="nil"/>
            </w:tcBorders>
            <w:shd w:val="clear" w:color="auto" w:fill="auto"/>
            <w:noWrap/>
            <w:vAlign w:val="bottom"/>
            <w:hideMark/>
          </w:tcPr>
          <w:p w14:paraId="5F502A1C"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6142 Porez na promet                                                                                     </w:t>
            </w:r>
          </w:p>
        </w:tc>
        <w:tc>
          <w:tcPr>
            <w:tcW w:w="1384" w:type="dxa"/>
            <w:tcBorders>
              <w:top w:val="nil"/>
              <w:left w:val="nil"/>
              <w:bottom w:val="nil"/>
              <w:right w:val="nil"/>
            </w:tcBorders>
            <w:shd w:val="clear" w:color="auto" w:fill="auto"/>
            <w:noWrap/>
            <w:vAlign w:val="bottom"/>
            <w:hideMark/>
          </w:tcPr>
          <w:p w14:paraId="216C6577"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21.708,80</w:t>
            </w:r>
          </w:p>
        </w:tc>
        <w:tc>
          <w:tcPr>
            <w:tcW w:w="1740" w:type="dxa"/>
            <w:tcBorders>
              <w:top w:val="nil"/>
              <w:left w:val="nil"/>
              <w:bottom w:val="nil"/>
              <w:right w:val="nil"/>
            </w:tcBorders>
            <w:shd w:val="clear" w:color="auto" w:fill="auto"/>
            <w:noWrap/>
            <w:vAlign w:val="bottom"/>
            <w:hideMark/>
          </w:tcPr>
          <w:p w14:paraId="567D5248"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20CA7C02"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13.913,30</w:t>
            </w:r>
          </w:p>
        </w:tc>
        <w:tc>
          <w:tcPr>
            <w:tcW w:w="1320" w:type="dxa"/>
            <w:tcBorders>
              <w:top w:val="nil"/>
              <w:left w:val="nil"/>
              <w:bottom w:val="nil"/>
              <w:right w:val="nil"/>
            </w:tcBorders>
            <w:shd w:val="clear" w:color="auto" w:fill="auto"/>
            <w:noWrap/>
            <w:vAlign w:val="bottom"/>
            <w:hideMark/>
          </w:tcPr>
          <w:p w14:paraId="13042921"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64,09%</w:t>
            </w:r>
          </w:p>
        </w:tc>
        <w:tc>
          <w:tcPr>
            <w:tcW w:w="1280" w:type="dxa"/>
            <w:tcBorders>
              <w:top w:val="nil"/>
              <w:left w:val="nil"/>
              <w:bottom w:val="nil"/>
              <w:right w:val="nil"/>
            </w:tcBorders>
            <w:shd w:val="clear" w:color="auto" w:fill="auto"/>
            <w:noWrap/>
            <w:vAlign w:val="bottom"/>
            <w:hideMark/>
          </w:tcPr>
          <w:p w14:paraId="21AA86A5"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30FD7993" w14:textId="77777777" w:rsidTr="00D53FB4">
        <w:trPr>
          <w:trHeight w:val="255"/>
        </w:trPr>
        <w:tc>
          <w:tcPr>
            <w:tcW w:w="7655" w:type="dxa"/>
            <w:tcBorders>
              <w:top w:val="nil"/>
              <w:left w:val="nil"/>
              <w:bottom w:val="nil"/>
              <w:right w:val="nil"/>
            </w:tcBorders>
            <w:shd w:val="clear" w:color="auto" w:fill="auto"/>
            <w:noWrap/>
            <w:vAlign w:val="bottom"/>
            <w:hideMark/>
          </w:tcPr>
          <w:p w14:paraId="56B706E2"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6145 Porezi na korištenje dobara ili izvođenje aktivnosti                                                </w:t>
            </w:r>
          </w:p>
        </w:tc>
        <w:tc>
          <w:tcPr>
            <w:tcW w:w="1384" w:type="dxa"/>
            <w:tcBorders>
              <w:top w:val="nil"/>
              <w:left w:val="nil"/>
              <w:bottom w:val="nil"/>
              <w:right w:val="nil"/>
            </w:tcBorders>
            <w:shd w:val="clear" w:color="auto" w:fill="auto"/>
            <w:noWrap/>
            <w:vAlign w:val="bottom"/>
            <w:hideMark/>
          </w:tcPr>
          <w:p w14:paraId="468FED95"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413,89</w:t>
            </w:r>
          </w:p>
        </w:tc>
        <w:tc>
          <w:tcPr>
            <w:tcW w:w="1740" w:type="dxa"/>
            <w:tcBorders>
              <w:top w:val="nil"/>
              <w:left w:val="nil"/>
              <w:bottom w:val="nil"/>
              <w:right w:val="nil"/>
            </w:tcBorders>
            <w:shd w:val="clear" w:color="auto" w:fill="auto"/>
            <w:noWrap/>
            <w:vAlign w:val="bottom"/>
            <w:hideMark/>
          </w:tcPr>
          <w:p w14:paraId="1A9A5309"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2D7034F2" w14:textId="77777777" w:rsidR="00583CB4" w:rsidRPr="00583CB4" w:rsidRDefault="00583CB4" w:rsidP="00583CB4">
            <w:pPr>
              <w:spacing w:after="0" w:line="240" w:lineRule="auto"/>
              <w:jc w:val="right"/>
              <w:rPr>
                <w:rFonts w:ascii="Times New Roman" w:hAnsi="Times New Roman" w:cs="Times New Roman"/>
                <w:sz w:val="18"/>
                <w:szCs w:val="18"/>
                <w:lang w:eastAsia="hr-HR"/>
              </w:rPr>
            </w:pPr>
          </w:p>
        </w:tc>
        <w:tc>
          <w:tcPr>
            <w:tcW w:w="1320" w:type="dxa"/>
            <w:tcBorders>
              <w:top w:val="nil"/>
              <w:left w:val="nil"/>
              <w:bottom w:val="nil"/>
              <w:right w:val="nil"/>
            </w:tcBorders>
            <w:shd w:val="clear" w:color="auto" w:fill="auto"/>
            <w:noWrap/>
            <w:vAlign w:val="bottom"/>
            <w:hideMark/>
          </w:tcPr>
          <w:p w14:paraId="44ABF5FD"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0,00%</w:t>
            </w:r>
          </w:p>
        </w:tc>
        <w:tc>
          <w:tcPr>
            <w:tcW w:w="1280" w:type="dxa"/>
            <w:tcBorders>
              <w:top w:val="nil"/>
              <w:left w:val="nil"/>
              <w:bottom w:val="nil"/>
              <w:right w:val="nil"/>
            </w:tcBorders>
            <w:shd w:val="clear" w:color="auto" w:fill="auto"/>
            <w:noWrap/>
            <w:vAlign w:val="bottom"/>
            <w:hideMark/>
          </w:tcPr>
          <w:p w14:paraId="1408CF18"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36646147" w14:textId="77777777" w:rsidTr="00D53FB4">
        <w:trPr>
          <w:trHeight w:val="255"/>
        </w:trPr>
        <w:tc>
          <w:tcPr>
            <w:tcW w:w="7655" w:type="dxa"/>
            <w:tcBorders>
              <w:top w:val="nil"/>
              <w:left w:val="nil"/>
              <w:bottom w:val="nil"/>
              <w:right w:val="nil"/>
            </w:tcBorders>
            <w:shd w:val="clear" w:color="auto" w:fill="auto"/>
            <w:noWrap/>
            <w:vAlign w:val="bottom"/>
            <w:hideMark/>
          </w:tcPr>
          <w:p w14:paraId="072DDC8A" w14:textId="77777777" w:rsidR="00583CB4" w:rsidRPr="00583CB4" w:rsidRDefault="00583CB4" w:rsidP="00583CB4">
            <w:pPr>
              <w:spacing w:after="0" w:line="240" w:lineRule="auto"/>
              <w:rPr>
                <w:rFonts w:ascii="Arial" w:hAnsi="Arial" w:cs="Arial"/>
                <w:b/>
                <w:bCs/>
                <w:sz w:val="18"/>
                <w:szCs w:val="18"/>
                <w:lang w:eastAsia="hr-HR"/>
              </w:rPr>
            </w:pPr>
            <w:r w:rsidRPr="00583CB4">
              <w:rPr>
                <w:rFonts w:ascii="Arial" w:hAnsi="Arial" w:cs="Arial"/>
                <w:b/>
                <w:bCs/>
                <w:sz w:val="18"/>
                <w:szCs w:val="18"/>
                <w:lang w:eastAsia="hr-HR"/>
              </w:rPr>
              <w:t>63 Pomoći iz inozemstva (darovnice) i od subjekata unutar općeg proračuna</w:t>
            </w:r>
          </w:p>
        </w:tc>
        <w:tc>
          <w:tcPr>
            <w:tcW w:w="1384" w:type="dxa"/>
            <w:tcBorders>
              <w:top w:val="nil"/>
              <w:left w:val="nil"/>
              <w:bottom w:val="nil"/>
              <w:right w:val="nil"/>
            </w:tcBorders>
            <w:shd w:val="clear" w:color="auto" w:fill="auto"/>
            <w:noWrap/>
            <w:vAlign w:val="bottom"/>
            <w:hideMark/>
          </w:tcPr>
          <w:p w14:paraId="05724F56"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5.835.550,31</w:t>
            </w:r>
          </w:p>
        </w:tc>
        <w:tc>
          <w:tcPr>
            <w:tcW w:w="1740" w:type="dxa"/>
            <w:tcBorders>
              <w:top w:val="nil"/>
              <w:left w:val="nil"/>
              <w:bottom w:val="nil"/>
              <w:right w:val="nil"/>
            </w:tcBorders>
            <w:shd w:val="clear" w:color="auto" w:fill="auto"/>
            <w:noWrap/>
            <w:vAlign w:val="bottom"/>
            <w:hideMark/>
          </w:tcPr>
          <w:p w14:paraId="0D5A485F"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8.091.354,22</w:t>
            </w:r>
          </w:p>
        </w:tc>
        <w:tc>
          <w:tcPr>
            <w:tcW w:w="1412" w:type="dxa"/>
            <w:tcBorders>
              <w:top w:val="nil"/>
              <w:left w:val="nil"/>
              <w:bottom w:val="nil"/>
              <w:right w:val="nil"/>
            </w:tcBorders>
            <w:shd w:val="clear" w:color="auto" w:fill="auto"/>
            <w:noWrap/>
            <w:vAlign w:val="bottom"/>
            <w:hideMark/>
          </w:tcPr>
          <w:p w14:paraId="5B972BD8" w14:textId="0FAD7FD5"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7.</w:t>
            </w:r>
            <w:r w:rsidR="00D14272">
              <w:rPr>
                <w:rFonts w:ascii="Arial" w:hAnsi="Arial" w:cs="Arial"/>
                <w:b/>
                <w:bCs/>
                <w:sz w:val="18"/>
                <w:szCs w:val="18"/>
                <w:lang w:eastAsia="hr-HR"/>
              </w:rPr>
              <w:t>244.905,09</w:t>
            </w:r>
          </w:p>
        </w:tc>
        <w:tc>
          <w:tcPr>
            <w:tcW w:w="1320" w:type="dxa"/>
            <w:tcBorders>
              <w:top w:val="nil"/>
              <w:left w:val="nil"/>
              <w:bottom w:val="nil"/>
              <w:right w:val="nil"/>
            </w:tcBorders>
            <w:shd w:val="clear" w:color="auto" w:fill="auto"/>
            <w:noWrap/>
            <w:vAlign w:val="bottom"/>
            <w:hideMark/>
          </w:tcPr>
          <w:p w14:paraId="5179D44F" w14:textId="30203A01"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124,</w:t>
            </w:r>
            <w:r w:rsidR="00D14272">
              <w:rPr>
                <w:rFonts w:ascii="Arial" w:hAnsi="Arial" w:cs="Arial"/>
                <w:b/>
                <w:bCs/>
                <w:sz w:val="18"/>
                <w:szCs w:val="18"/>
                <w:lang w:eastAsia="hr-HR"/>
              </w:rPr>
              <w:t>15</w:t>
            </w:r>
            <w:r w:rsidRPr="00583CB4">
              <w:rPr>
                <w:rFonts w:ascii="Arial" w:hAnsi="Arial" w:cs="Arial"/>
                <w:b/>
                <w:bCs/>
                <w:sz w:val="18"/>
                <w:szCs w:val="18"/>
                <w:lang w:eastAsia="hr-HR"/>
              </w:rPr>
              <w:t>%</w:t>
            </w:r>
          </w:p>
        </w:tc>
        <w:tc>
          <w:tcPr>
            <w:tcW w:w="1280" w:type="dxa"/>
            <w:tcBorders>
              <w:top w:val="nil"/>
              <w:left w:val="nil"/>
              <w:bottom w:val="nil"/>
              <w:right w:val="nil"/>
            </w:tcBorders>
            <w:shd w:val="clear" w:color="auto" w:fill="auto"/>
            <w:noWrap/>
            <w:vAlign w:val="bottom"/>
            <w:hideMark/>
          </w:tcPr>
          <w:p w14:paraId="49D2C88B" w14:textId="51DB7A99"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89,</w:t>
            </w:r>
            <w:r w:rsidR="00D14272">
              <w:rPr>
                <w:rFonts w:ascii="Arial" w:hAnsi="Arial" w:cs="Arial"/>
                <w:b/>
                <w:bCs/>
                <w:sz w:val="18"/>
                <w:szCs w:val="18"/>
                <w:lang w:eastAsia="hr-HR"/>
              </w:rPr>
              <w:t>54</w:t>
            </w:r>
            <w:r w:rsidRPr="00583CB4">
              <w:rPr>
                <w:rFonts w:ascii="Arial" w:hAnsi="Arial" w:cs="Arial"/>
                <w:b/>
                <w:bCs/>
                <w:sz w:val="18"/>
                <w:szCs w:val="18"/>
                <w:lang w:eastAsia="hr-HR"/>
              </w:rPr>
              <w:t>%</w:t>
            </w:r>
          </w:p>
        </w:tc>
      </w:tr>
      <w:tr w:rsidR="00583CB4" w:rsidRPr="00583CB4" w14:paraId="06C06B3D" w14:textId="77777777" w:rsidTr="00D53FB4">
        <w:trPr>
          <w:trHeight w:val="255"/>
        </w:trPr>
        <w:tc>
          <w:tcPr>
            <w:tcW w:w="7655" w:type="dxa"/>
            <w:tcBorders>
              <w:top w:val="nil"/>
              <w:left w:val="nil"/>
              <w:bottom w:val="nil"/>
              <w:right w:val="nil"/>
            </w:tcBorders>
            <w:shd w:val="clear" w:color="auto" w:fill="auto"/>
            <w:noWrap/>
            <w:vAlign w:val="bottom"/>
            <w:hideMark/>
          </w:tcPr>
          <w:p w14:paraId="43F4A008"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633 Pomoći iz proračuna</w:t>
            </w:r>
          </w:p>
        </w:tc>
        <w:tc>
          <w:tcPr>
            <w:tcW w:w="1384" w:type="dxa"/>
            <w:tcBorders>
              <w:top w:val="nil"/>
              <w:left w:val="nil"/>
              <w:bottom w:val="nil"/>
              <w:right w:val="nil"/>
            </w:tcBorders>
            <w:shd w:val="clear" w:color="auto" w:fill="auto"/>
            <w:noWrap/>
            <w:vAlign w:val="bottom"/>
            <w:hideMark/>
          </w:tcPr>
          <w:p w14:paraId="1AAC3870"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2.073.816,35</w:t>
            </w:r>
          </w:p>
        </w:tc>
        <w:tc>
          <w:tcPr>
            <w:tcW w:w="1740" w:type="dxa"/>
            <w:tcBorders>
              <w:top w:val="nil"/>
              <w:left w:val="nil"/>
              <w:bottom w:val="nil"/>
              <w:right w:val="nil"/>
            </w:tcBorders>
            <w:shd w:val="clear" w:color="auto" w:fill="auto"/>
            <w:noWrap/>
            <w:vAlign w:val="bottom"/>
            <w:hideMark/>
          </w:tcPr>
          <w:p w14:paraId="5BFDD8E2"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347638C8"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2.484.439,70</w:t>
            </w:r>
          </w:p>
        </w:tc>
        <w:tc>
          <w:tcPr>
            <w:tcW w:w="1320" w:type="dxa"/>
            <w:tcBorders>
              <w:top w:val="nil"/>
              <w:left w:val="nil"/>
              <w:bottom w:val="nil"/>
              <w:right w:val="nil"/>
            </w:tcBorders>
            <w:shd w:val="clear" w:color="auto" w:fill="auto"/>
            <w:noWrap/>
            <w:vAlign w:val="bottom"/>
            <w:hideMark/>
          </w:tcPr>
          <w:p w14:paraId="366D32F7"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119,80%</w:t>
            </w:r>
          </w:p>
        </w:tc>
        <w:tc>
          <w:tcPr>
            <w:tcW w:w="1280" w:type="dxa"/>
            <w:tcBorders>
              <w:top w:val="nil"/>
              <w:left w:val="nil"/>
              <w:bottom w:val="nil"/>
              <w:right w:val="nil"/>
            </w:tcBorders>
            <w:shd w:val="clear" w:color="auto" w:fill="auto"/>
            <w:noWrap/>
            <w:vAlign w:val="bottom"/>
            <w:hideMark/>
          </w:tcPr>
          <w:p w14:paraId="1648ED33"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63D436B4" w14:textId="77777777" w:rsidTr="00D53FB4">
        <w:trPr>
          <w:trHeight w:val="255"/>
        </w:trPr>
        <w:tc>
          <w:tcPr>
            <w:tcW w:w="7655" w:type="dxa"/>
            <w:tcBorders>
              <w:top w:val="nil"/>
              <w:left w:val="nil"/>
              <w:bottom w:val="nil"/>
              <w:right w:val="nil"/>
            </w:tcBorders>
            <w:shd w:val="clear" w:color="auto" w:fill="auto"/>
            <w:noWrap/>
            <w:vAlign w:val="bottom"/>
            <w:hideMark/>
          </w:tcPr>
          <w:p w14:paraId="1EDEAEFF"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6331 Tekuće pomoći iz proračuna</w:t>
            </w:r>
          </w:p>
        </w:tc>
        <w:tc>
          <w:tcPr>
            <w:tcW w:w="1384" w:type="dxa"/>
            <w:tcBorders>
              <w:top w:val="nil"/>
              <w:left w:val="nil"/>
              <w:bottom w:val="nil"/>
              <w:right w:val="nil"/>
            </w:tcBorders>
            <w:shd w:val="clear" w:color="auto" w:fill="auto"/>
            <w:noWrap/>
            <w:vAlign w:val="bottom"/>
            <w:hideMark/>
          </w:tcPr>
          <w:p w14:paraId="5FEC2A14"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1.935.886,78</w:t>
            </w:r>
          </w:p>
        </w:tc>
        <w:tc>
          <w:tcPr>
            <w:tcW w:w="1740" w:type="dxa"/>
            <w:tcBorders>
              <w:top w:val="nil"/>
              <w:left w:val="nil"/>
              <w:bottom w:val="nil"/>
              <w:right w:val="nil"/>
            </w:tcBorders>
            <w:shd w:val="clear" w:color="auto" w:fill="auto"/>
            <w:noWrap/>
            <w:vAlign w:val="bottom"/>
            <w:hideMark/>
          </w:tcPr>
          <w:p w14:paraId="02171903"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4B27301A"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2.273.791,97</w:t>
            </w:r>
          </w:p>
        </w:tc>
        <w:tc>
          <w:tcPr>
            <w:tcW w:w="1320" w:type="dxa"/>
            <w:tcBorders>
              <w:top w:val="nil"/>
              <w:left w:val="nil"/>
              <w:bottom w:val="nil"/>
              <w:right w:val="nil"/>
            </w:tcBorders>
            <w:shd w:val="clear" w:color="auto" w:fill="auto"/>
            <w:noWrap/>
            <w:vAlign w:val="bottom"/>
            <w:hideMark/>
          </w:tcPr>
          <w:p w14:paraId="396D2F23"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117,45%</w:t>
            </w:r>
          </w:p>
        </w:tc>
        <w:tc>
          <w:tcPr>
            <w:tcW w:w="1280" w:type="dxa"/>
            <w:tcBorders>
              <w:top w:val="nil"/>
              <w:left w:val="nil"/>
              <w:bottom w:val="nil"/>
              <w:right w:val="nil"/>
            </w:tcBorders>
            <w:shd w:val="clear" w:color="auto" w:fill="auto"/>
            <w:noWrap/>
            <w:vAlign w:val="bottom"/>
            <w:hideMark/>
          </w:tcPr>
          <w:p w14:paraId="2CB62C74"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3C14BE4E" w14:textId="77777777" w:rsidTr="00D53FB4">
        <w:trPr>
          <w:trHeight w:val="255"/>
        </w:trPr>
        <w:tc>
          <w:tcPr>
            <w:tcW w:w="7655" w:type="dxa"/>
            <w:tcBorders>
              <w:top w:val="nil"/>
              <w:left w:val="nil"/>
              <w:bottom w:val="nil"/>
              <w:right w:val="nil"/>
            </w:tcBorders>
            <w:shd w:val="clear" w:color="auto" w:fill="auto"/>
            <w:noWrap/>
            <w:vAlign w:val="bottom"/>
            <w:hideMark/>
          </w:tcPr>
          <w:p w14:paraId="5F438C0D"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6332 Kapitalne pomoći iz proračuna</w:t>
            </w:r>
          </w:p>
        </w:tc>
        <w:tc>
          <w:tcPr>
            <w:tcW w:w="1384" w:type="dxa"/>
            <w:tcBorders>
              <w:top w:val="nil"/>
              <w:left w:val="nil"/>
              <w:bottom w:val="nil"/>
              <w:right w:val="nil"/>
            </w:tcBorders>
            <w:shd w:val="clear" w:color="auto" w:fill="auto"/>
            <w:noWrap/>
            <w:vAlign w:val="bottom"/>
            <w:hideMark/>
          </w:tcPr>
          <w:p w14:paraId="3D60C7CF"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137.929,57</w:t>
            </w:r>
          </w:p>
        </w:tc>
        <w:tc>
          <w:tcPr>
            <w:tcW w:w="1740" w:type="dxa"/>
            <w:tcBorders>
              <w:top w:val="nil"/>
              <w:left w:val="nil"/>
              <w:bottom w:val="nil"/>
              <w:right w:val="nil"/>
            </w:tcBorders>
            <w:shd w:val="clear" w:color="auto" w:fill="auto"/>
            <w:noWrap/>
            <w:vAlign w:val="bottom"/>
            <w:hideMark/>
          </w:tcPr>
          <w:p w14:paraId="44DE180E"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174DB258"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210.647,73</w:t>
            </w:r>
          </w:p>
        </w:tc>
        <w:tc>
          <w:tcPr>
            <w:tcW w:w="1320" w:type="dxa"/>
            <w:tcBorders>
              <w:top w:val="nil"/>
              <w:left w:val="nil"/>
              <w:bottom w:val="nil"/>
              <w:right w:val="nil"/>
            </w:tcBorders>
            <w:shd w:val="clear" w:color="auto" w:fill="auto"/>
            <w:noWrap/>
            <w:vAlign w:val="bottom"/>
            <w:hideMark/>
          </w:tcPr>
          <w:p w14:paraId="1ABFAAF8"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152,72%</w:t>
            </w:r>
          </w:p>
        </w:tc>
        <w:tc>
          <w:tcPr>
            <w:tcW w:w="1280" w:type="dxa"/>
            <w:tcBorders>
              <w:top w:val="nil"/>
              <w:left w:val="nil"/>
              <w:bottom w:val="nil"/>
              <w:right w:val="nil"/>
            </w:tcBorders>
            <w:shd w:val="clear" w:color="auto" w:fill="auto"/>
            <w:noWrap/>
            <w:vAlign w:val="bottom"/>
            <w:hideMark/>
          </w:tcPr>
          <w:p w14:paraId="460EAD22"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29D4F6E7" w14:textId="77777777" w:rsidTr="00D53FB4">
        <w:trPr>
          <w:trHeight w:val="255"/>
        </w:trPr>
        <w:tc>
          <w:tcPr>
            <w:tcW w:w="7655" w:type="dxa"/>
            <w:tcBorders>
              <w:top w:val="nil"/>
              <w:left w:val="nil"/>
              <w:bottom w:val="nil"/>
              <w:right w:val="nil"/>
            </w:tcBorders>
            <w:shd w:val="clear" w:color="auto" w:fill="auto"/>
            <w:noWrap/>
            <w:vAlign w:val="bottom"/>
            <w:hideMark/>
          </w:tcPr>
          <w:p w14:paraId="02D57EB9"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634 Pomoći od izvanproračunskih korisnika</w:t>
            </w:r>
          </w:p>
        </w:tc>
        <w:tc>
          <w:tcPr>
            <w:tcW w:w="1384" w:type="dxa"/>
            <w:tcBorders>
              <w:top w:val="nil"/>
              <w:left w:val="nil"/>
              <w:bottom w:val="nil"/>
              <w:right w:val="nil"/>
            </w:tcBorders>
            <w:shd w:val="clear" w:color="auto" w:fill="auto"/>
            <w:noWrap/>
            <w:vAlign w:val="bottom"/>
            <w:hideMark/>
          </w:tcPr>
          <w:p w14:paraId="536B1E27"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26.231,77</w:t>
            </w:r>
          </w:p>
        </w:tc>
        <w:tc>
          <w:tcPr>
            <w:tcW w:w="1740" w:type="dxa"/>
            <w:tcBorders>
              <w:top w:val="nil"/>
              <w:left w:val="nil"/>
              <w:bottom w:val="nil"/>
              <w:right w:val="nil"/>
            </w:tcBorders>
            <w:shd w:val="clear" w:color="auto" w:fill="auto"/>
            <w:noWrap/>
            <w:vAlign w:val="bottom"/>
            <w:hideMark/>
          </w:tcPr>
          <w:p w14:paraId="4F7098AF"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2D9E4C3D"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350.463,85</w:t>
            </w:r>
          </w:p>
        </w:tc>
        <w:tc>
          <w:tcPr>
            <w:tcW w:w="1320" w:type="dxa"/>
            <w:tcBorders>
              <w:top w:val="nil"/>
              <w:left w:val="nil"/>
              <w:bottom w:val="nil"/>
              <w:right w:val="nil"/>
            </w:tcBorders>
            <w:shd w:val="clear" w:color="auto" w:fill="auto"/>
            <w:noWrap/>
            <w:vAlign w:val="bottom"/>
            <w:hideMark/>
          </w:tcPr>
          <w:p w14:paraId="2CDF91C2"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1336,03%</w:t>
            </w:r>
          </w:p>
        </w:tc>
        <w:tc>
          <w:tcPr>
            <w:tcW w:w="1280" w:type="dxa"/>
            <w:tcBorders>
              <w:top w:val="nil"/>
              <w:left w:val="nil"/>
              <w:bottom w:val="nil"/>
              <w:right w:val="nil"/>
            </w:tcBorders>
            <w:shd w:val="clear" w:color="auto" w:fill="auto"/>
            <w:noWrap/>
            <w:vAlign w:val="bottom"/>
            <w:hideMark/>
          </w:tcPr>
          <w:p w14:paraId="17E791E7"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104AAA62" w14:textId="77777777" w:rsidTr="00D53FB4">
        <w:trPr>
          <w:trHeight w:val="255"/>
        </w:trPr>
        <w:tc>
          <w:tcPr>
            <w:tcW w:w="7655" w:type="dxa"/>
            <w:tcBorders>
              <w:top w:val="nil"/>
              <w:left w:val="nil"/>
              <w:bottom w:val="nil"/>
              <w:right w:val="nil"/>
            </w:tcBorders>
            <w:shd w:val="clear" w:color="auto" w:fill="auto"/>
            <w:noWrap/>
            <w:vAlign w:val="bottom"/>
            <w:hideMark/>
          </w:tcPr>
          <w:p w14:paraId="6A10C74B"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6341 Tekuće pomoći od izvanproračunskih korisnika</w:t>
            </w:r>
          </w:p>
        </w:tc>
        <w:tc>
          <w:tcPr>
            <w:tcW w:w="1384" w:type="dxa"/>
            <w:tcBorders>
              <w:top w:val="nil"/>
              <w:left w:val="nil"/>
              <w:bottom w:val="nil"/>
              <w:right w:val="nil"/>
            </w:tcBorders>
            <w:shd w:val="clear" w:color="auto" w:fill="auto"/>
            <w:noWrap/>
            <w:vAlign w:val="bottom"/>
            <w:hideMark/>
          </w:tcPr>
          <w:p w14:paraId="20BA7E1C" w14:textId="77777777" w:rsidR="00583CB4" w:rsidRPr="00583CB4" w:rsidRDefault="00583CB4" w:rsidP="00583CB4">
            <w:pPr>
              <w:spacing w:after="0" w:line="240" w:lineRule="auto"/>
              <w:rPr>
                <w:rFonts w:ascii="Arial" w:hAnsi="Arial" w:cs="Arial"/>
                <w:sz w:val="18"/>
                <w:szCs w:val="18"/>
                <w:lang w:eastAsia="hr-HR"/>
              </w:rPr>
            </w:pPr>
          </w:p>
        </w:tc>
        <w:tc>
          <w:tcPr>
            <w:tcW w:w="1740" w:type="dxa"/>
            <w:tcBorders>
              <w:top w:val="nil"/>
              <w:left w:val="nil"/>
              <w:bottom w:val="nil"/>
              <w:right w:val="nil"/>
            </w:tcBorders>
            <w:shd w:val="clear" w:color="auto" w:fill="auto"/>
            <w:noWrap/>
            <w:vAlign w:val="bottom"/>
            <w:hideMark/>
          </w:tcPr>
          <w:p w14:paraId="2D84C74C" w14:textId="77777777" w:rsidR="00583CB4" w:rsidRPr="00583CB4" w:rsidRDefault="00583CB4" w:rsidP="00583CB4">
            <w:pPr>
              <w:spacing w:after="0" w:line="240" w:lineRule="auto"/>
              <w:jc w:val="right"/>
              <w:rPr>
                <w:rFonts w:ascii="Times New Roman" w:hAnsi="Times New Roman" w:cs="Times New Roman"/>
                <w:sz w:val="18"/>
                <w:szCs w:val="18"/>
                <w:lang w:eastAsia="hr-HR"/>
              </w:rPr>
            </w:pPr>
          </w:p>
        </w:tc>
        <w:tc>
          <w:tcPr>
            <w:tcW w:w="1412" w:type="dxa"/>
            <w:tcBorders>
              <w:top w:val="nil"/>
              <w:left w:val="nil"/>
              <w:bottom w:val="nil"/>
              <w:right w:val="nil"/>
            </w:tcBorders>
            <w:shd w:val="clear" w:color="auto" w:fill="auto"/>
            <w:noWrap/>
            <w:vAlign w:val="bottom"/>
            <w:hideMark/>
          </w:tcPr>
          <w:p w14:paraId="59DE8141"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73.061,35</w:t>
            </w:r>
          </w:p>
        </w:tc>
        <w:tc>
          <w:tcPr>
            <w:tcW w:w="1320" w:type="dxa"/>
            <w:tcBorders>
              <w:top w:val="nil"/>
              <w:left w:val="nil"/>
              <w:bottom w:val="nil"/>
              <w:right w:val="nil"/>
            </w:tcBorders>
            <w:shd w:val="clear" w:color="auto" w:fill="auto"/>
            <w:noWrap/>
            <w:vAlign w:val="bottom"/>
            <w:hideMark/>
          </w:tcPr>
          <w:p w14:paraId="481181DD"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0,00%</w:t>
            </w:r>
          </w:p>
        </w:tc>
        <w:tc>
          <w:tcPr>
            <w:tcW w:w="1280" w:type="dxa"/>
            <w:tcBorders>
              <w:top w:val="nil"/>
              <w:left w:val="nil"/>
              <w:bottom w:val="nil"/>
              <w:right w:val="nil"/>
            </w:tcBorders>
            <w:shd w:val="clear" w:color="auto" w:fill="auto"/>
            <w:noWrap/>
            <w:vAlign w:val="bottom"/>
            <w:hideMark/>
          </w:tcPr>
          <w:p w14:paraId="62AFE0A9"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7A750A90" w14:textId="77777777" w:rsidTr="00D53FB4">
        <w:trPr>
          <w:trHeight w:val="255"/>
        </w:trPr>
        <w:tc>
          <w:tcPr>
            <w:tcW w:w="7655" w:type="dxa"/>
            <w:tcBorders>
              <w:top w:val="nil"/>
              <w:left w:val="nil"/>
              <w:bottom w:val="nil"/>
              <w:right w:val="nil"/>
            </w:tcBorders>
            <w:shd w:val="clear" w:color="auto" w:fill="auto"/>
            <w:noWrap/>
            <w:vAlign w:val="bottom"/>
            <w:hideMark/>
          </w:tcPr>
          <w:p w14:paraId="1B77362A"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6342 Kapitalne pomoći od izvanproračunskih korisnika</w:t>
            </w:r>
          </w:p>
        </w:tc>
        <w:tc>
          <w:tcPr>
            <w:tcW w:w="1384" w:type="dxa"/>
            <w:tcBorders>
              <w:top w:val="nil"/>
              <w:left w:val="nil"/>
              <w:bottom w:val="nil"/>
              <w:right w:val="nil"/>
            </w:tcBorders>
            <w:shd w:val="clear" w:color="auto" w:fill="auto"/>
            <w:noWrap/>
            <w:vAlign w:val="bottom"/>
            <w:hideMark/>
          </w:tcPr>
          <w:p w14:paraId="4765A473"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26.231,77</w:t>
            </w:r>
          </w:p>
        </w:tc>
        <w:tc>
          <w:tcPr>
            <w:tcW w:w="1740" w:type="dxa"/>
            <w:tcBorders>
              <w:top w:val="nil"/>
              <w:left w:val="nil"/>
              <w:bottom w:val="nil"/>
              <w:right w:val="nil"/>
            </w:tcBorders>
            <w:shd w:val="clear" w:color="auto" w:fill="auto"/>
            <w:noWrap/>
            <w:vAlign w:val="bottom"/>
            <w:hideMark/>
          </w:tcPr>
          <w:p w14:paraId="2162BCA6"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63EC0338"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277.402,50</w:t>
            </w:r>
          </w:p>
        </w:tc>
        <w:tc>
          <w:tcPr>
            <w:tcW w:w="1320" w:type="dxa"/>
            <w:tcBorders>
              <w:top w:val="nil"/>
              <w:left w:val="nil"/>
              <w:bottom w:val="nil"/>
              <w:right w:val="nil"/>
            </w:tcBorders>
            <w:shd w:val="clear" w:color="auto" w:fill="auto"/>
            <w:noWrap/>
            <w:vAlign w:val="bottom"/>
            <w:hideMark/>
          </w:tcPr>
          <w:p w14:paraId="70447028"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1057,51%</w:t>
            </w:r>
          </w:p>
        </w:tc>
        <w:tc>
          <w:tcPr>
            <w:tcW w:w="1280" w:type="dxa"/>
            <w:tcBorders>
              <w:top w:val="nil"/>
              <w:left w:val="nil"/>
              <w:bottom w:val="nil"/>
              <w:right w:val="nil"/>
            </w:tcBorders>
            <w:shd w:val="clear" w:color="auto" w:fill="auto"/>
            <w:noWrap/>
            <w:vAlign w:val="bottom"/>
            <w:hideMark/>
          </w:tcPr>
          <w:p w14:paraId="0C8F8F31"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2FF916CD" w14:textId="77777777" w:rsidTr="00D53FB4">
        <w:trPr>
          <w:trHeight w:val="255"/>
        </w:trPr>
        <w:tc>
          <w:tcPr>
            <w:tcW w:w="7655" w:type="dxa"/>
            <w:tcBorders>
              <w:top w:val="nil"/>
              <w:left w:val="nil"/>
              <w:bottom w:val="nil"/>
              <w:right w:val="nil"/>
            </w:tcBorders>
            <w:shd w:val="clear" w:color="auto" w:fill="auto"/>
            <w:noWrap/>
            <w:vAlign w:val="bottom"/>
            <w:hideMark/>
          </w:tcPr>
          <w:p w14:paraId="77232641"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635 Pomoći izravnanja za decentralizirane funkcije                                                      </w:t>
            </w:r>
          </w:p>
        </w:tc>
        <w:tc>
          <w:tcPr>
            <w:tcW w:w="1384" w:type="dxa"/>
            <w:tcBorders>
              <w:top w:val="nil"/>
              <w:left w:val="nil"/>
              <w:bottom w:val="nil"/>
              <w:right w:val="nil"/>
            </w:tcBorders>
            <w:shd w:val="clear" w:color="auto" w:fill="auto"/>
            <w:noWrap/>
            <w:vAlign w:val="bottom"/>
            <w:hideMark/>
          </w:tcPr>
          <w:p w14:paraId="1A7F73D7"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512.605,69</w:t>
            </w:r>
          </w:p>
        </w:tc>
        <w:tc>
          <w:tcPr>
            <w:tcW w:w="1740" w:type="dxa"/>
            <w:tcBorders>
              <w:top w:val="nil"/>
              <w:left w:val="nil"/>
              <w:bottom w:val="nil"/>
              <w:right w:val="nil"/>
            </w:tcBorders>
            <w:shd w:val="clear" w:color="auto" w:fill="auto"/>
            <w:noWrap/>
            <w:vAlign w:val="bottom"/>
            <w:hideMark/>
          </w:tcPr>
          <w:p w14:paraId="268BCC0F"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5C2023D4"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568.527,82</w:t>
            </w:r>
          </w:p>
        </w:tc>
        <w:tc>
          <w:tcPr>
            <w:tcW w:w="1320" w:type="dxa"/>
            <w:tcBorders>
              <w:top w:val="nil"/>
              <w:left w:val="nil"/>
              <w:bottom w:val="nil"/>
              <w:right w:val="nil"/>
            </w:tcBorders>
            <w:shd w:val="clear" w:color="auto" w:fill="auto"/>
            <w:noWrap/>
            <w:vAlign w:val="bottom"/>
            <w:hideMark/>
          </w:tcPr>
          <w:p w14:paraId="580B67B0"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110,91%</w:t>
            </w:r>
          </w:p>
        </w:tc>
        <w:tc>
          <w:tcPr>
            <w:tcW w:w="1280" w:type="dxa"/>
            <w:tcBorders>
              <w:top w:val="nil"/>
              <w:left w:val="nil"/>
              <w:bottom w:val="nil"/>
              <w:right w:val="nil"/>
            </w:tcBorders>
            <w:shd w:val="clear" w:color="auto" w:fill="auto"/>
            <w:noWrap/>
            <w:vAlign w:val="bottom"/>
            <w:hideMark/>
          </w:tcPr>
          <w:p w14:paraId="4895A573"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7AB94A19" w14:textId="77777777" w:rsidTr="00D53FB4">
        <w:trPr>
          <w:trHeight w:val="255"/>
        </w:trPr>
        <w:tc>
          <w:tcPr>
            <w:tcW w:w="7655" w:type="dxa"/>
            <w:tcBorders>
              <w:top w:val="nil"/>
              <w:left w:val="nil"/>
              <w:bottom w:val="nil"/>
              <w:right w:val="nil"/>
            </w:tcBorders>
            <w:shd w:val="clear" w:color="auto" w:fill="auto"/>
            <w:noWrap/>
            <w:vAlign w:val="bottom"/>
            <w:hideMark/>
          </w:tcPr>
          <w:p w14:paraId="01EC9124"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6351 Tekuće pomoći izravnanja za decentralizirane funkcije                                               </w:t>
            </w:r>
          </w:p>
        </w:tc>
        <w:tc>
          <w:tcPr>
            <w:tcW w:w="1384" w:type="dxa"/>
            <w:tcBorders>
              <w:top w:val="nil"/>
              <w:left w:val="nil"/>
              <w:bottom w:val="nil"/>
              <w:right w:val="nil"/>
            </w:tcBorders>
            <w:shd w:val="clear" w:color="auto" w:fill="auto"/>
            <w:noWrap/>
            <w:vAlign w:val="bottom"/>
            <w:hideMark/>
          </w:tcPr>
          <w:p w14:paraId="6B88BD4F"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512.605,69</w:t>
            </w:r>
          </w:p>
        </w:tc>
        <w:tc>
          <w:tcPr>
            <w:tcW w:w="1740" w:type="dxa"/>
            <w:tcBorders>
              <w:top w:val="nil"/>
              <w:left w:val="nil"/>
              <w:bottom w:val="nil"/>
              <w:right w:val="nil"/>
            </w:tcBorders>
            <w:shd w:val="clear" w:color="auto" w:fill="auto"/>
            <w:noWrap/>
            <w:vAlign w:val="bottom"/>
            <w:hideMark/>
          </w:tcPr>
          <w:p w14:paraId="77D3787C"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06C2167A"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568.527,82</w:t>
            </w:r>
          </w:p>
        </w:tc>
        <w:tc>
          <w:tcPr>
            <w:tcW w:w="1320" w:type="dxa"/>
            <w:tcBorders>
              <w:top w:val="nil"/>
              <w:left w:val="nil"/>
              <w:bottom w:val="nil"/>
              <w:right w:val="nil"/>
            </w:tcBorders>
            <w:shd w:val="clear" w:color="auto" w:fill="auto"/>
            <w:noWrap/>
            <w:vAlign w:val="bottom"/>
            <w:hideMark/>
          </w:tcPr>
          <w:p w14:paraId="5EE4E94F"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110,91%</w:t>
            </w:r>
          </w:p>
        </w:tc>
        <w:tc>
          <w:tcPr>
            <w:tcW w:w="1280" w:type="dxa"/>
            <w:tcBorders>
              <w:top w:val="nil"/>
              <w:left w:val="nil"/>
              <w:bottom w:val="nil"/>
              <w:right w:val="nil"/>
            </w:tcBorders>
            <w:shd w:val="clear" w:color="auto" w:fill="auto"/>
            <w:noWrap/>
            <w:vAlign w:val="bottom"/>
            <w:hideMark/>
          </w:tcPr>
          <w:p w14:paraId="0ED7753C"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281DB4B2" w14:textId="77777777" w:rsidTr="00D53FB4">
        <w:trPr>
          <w:trHeight w:val="255"/>
        </w:trPr>
        <w:tc>
          <w:tcPr>
            <w:tcW w:w="7655" w:type="dxa"/>
            <w:tcBorders>
              <w:top w:val="nil"/>
              <w:left w:val="nil"/>
              <w:bottom w:val="nil"/>
              <w:right w:val="nil"/>
            </w:tcBorders>
            <w:shd w:val="clear" w:color="auto" w:fill="auto"/>
            <w:noWrap/>
            <w:vAlign w:val="bottom"/>
            <w:hideMark/>
          </w:tcPr>
          <w:p w14:paraId="315C8FFA"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636 Pomoći proračunskim korisnicima iz proračuna koji im nije nadležan</w:t>
            </w:r>
          </w:p>
        </w:tc>
        <w:tc>
          <w:tcPr>
            <w:tcW w:w="1384" w:type="dxa"/>
            <w:tcBorders>
              <w:top w:val="nil"/>
              <w:left w:val="nil"/>
              <w:bottom w:val="nil"/>
              <w:right w:val="nil"/>
            </w:tcBorders>
            <w:shd w:val="clear" w:color="auto" w:fill="auto"/>
            <w:noWrap/>
            <w:vAlign w:val="bottom"/>
            <w:hideMark/>
          </w:tcPr>
          <w:p w14:paraId="470C3D11"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2.808.072,44</w:t>
            </w:r>
          </w:p>
        </w:tc>
        <w:tc>
          <w:tcPr>
            <w:tcW w:w="1740" w:type="dxa"/>
            <w:tcBorders>
              <w:top w:val="nil"/>
              <w:left w:val="nil"/>
              <w:bottom w:val="nil"/>
              <w:right w:val="nil"/>
            </w:tcBorders>
            <w:shd w:val="clear" w:color="auto" w:fill="auto"/>
            <w:noWrap/>
            <w:vAlign w:val="bottom"/>
            <w:hideMark/>
          </w:tcPr>
          <w:p w14:paraId="3B8F8773"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0C4C0B31" w14:textId="423D772E"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3.4</w:t>
            </w:r>
            <w:r w:rsidR="00D14272">
              <w:rPr>
                <w:rFonts w:ascii="Arial" w:hAnsi="Arial" w:cs="Arial"/>
                <w:sz w:val="18"/>
                <w:szCs w:val="18"/>
                <w:lang w:eastAsia="hr-HR"/>
              </w:rPr>
              <w:t>15.862,74</w:t>
            </w:r>
          </w:p>
        </w:tc>
        <w:tc>
          <w:tcPr>
            <w:tcW w:w="1320" w:type="dxa"/>
            <w:tcBorders>
              <w:top w:val="nil"/>
              <w:left w:val="nil"/>
              <w:bottom w:val="nil"/>
              <w:right w:val="nil"/>
            </w:tcBorders>
            <w:shd w:val="clear" w:color="auto" w:fill="auto"/>
            <w:noWrap/>
            <w:vAlign w:val="bottom"/>
            <w:hideMark/>
          </w:tcPr>
          <w:p w14:paraId="5C56040E" w14:textId="6B02B7FF"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121,</w:t>
            </w:r>
            <w:r w:rsidR="00D14272">
              <w:rPr>
                <w:rFonts w:ascii="Arial" w:hAnsi="Arial" w:cs="Arial"/>
                <w:sz w:val="18"/>
                <w:szCs w:val="18"/>
                <w:lang w:eastAsia="hr-HR"/>
              </w:rPr>
              <w:t>64</w:t>
            </w:r>
            <w:r w:rsidRPr="00583CB4">
              <w:rPr>
                <w:rFonts w:ascii="Arial" w:hAnsi="Arial" w:cs="Arial"/>
                <w:sz w:val="18"/>
                <w:szCs w:val="18"/>
                <w:lang w:eastAsia="hr-HR"/>
              </w:rPr>
              <w:t>%</w:t>
            </w:r>
          </w:p>
        </w:tc>
        <w:tc>
          <w:tcPr>
            <w:tcW w:w="1280" w:type="dxa"/>
            <w:tcBorders>
              <w:top w:val="nil"/>
              <w:left w:val="nil"/>
              <w:bottom w:val="nil"/>
              <w:right w:val="nil"/>
            </w:tcBorders>
            <w:shd w:val="clear" w:color="auto" w:fill="auto"/>
            <w:noWrap/>
            <w:vAlign w:val="bottom"/>
            <w:hideMark/>
          </w:tcPr>
          <w:p w14:paraId="6AE68232"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256EB632" w14:textId="77777777" w:rsidTr="00D53FB4">
        <w:trPr>
          <w:trHeight w:val="255"/>
        </w:trPr>
        <w:tc>
          <w:tcPr>
            <w:tcW w:w="7655" w:type="dxa"/>
            <w:tcBorders>
              <w:top w:val="nil"/>
              <w:left w:val="nil"/>
              <w:bottom w:val="nil"/>
              <w:right w:val="nil"/>
            </w:tcBorders>
            <w:shd w:val="clear" w:color="auto" w:fill="auto"/>
            <w:noWrap/>
            <w:vAlign w:val="bottom"/>
            <w:hideMark/>
          </w:tcPr>
          <w:p w14:paraId="16A9E64F"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6361 Tekuće pomoći proračunskim korisnicima iz proračuna koji im nije nadležan</w:t>
            </w:r>
          </w:p>
        </w:tc>
        <w:tc>
          <w:tcPr>
            <w:tcW w:w="1384" w:type="dxa"/>
            <w:tcBorders>
              <w:top w:val="nil"/>
              <w:left w:val="nil"/>
              <w:bottom w:val="nil"/>
              <w:right w:val="nil"/>
            </w:tcBorders>
            <w:shd w:val="clear" w:color="auto" w:fill="auto"/>
            <w:noWrap/>
            <w:vAlign w:val="bottom"/>
            <w:hideMark/>
          </w:tcPr>
          <w:p w14:paraId="0EF52FC8"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2.777.549,11</w:t>
            </w:r>
          </w:p>
        </w:tc>
        <w:tc>
          <w:tcPr>
            <w:tcW w:w="1740" w:type="dxa"/>
            <w:tcBorders>
              <w:top w:val="nil"/>
              <w:left w:val="nil"/>
              <w:bottom w:val="nil"/>
              <w:right w:val="nil"/>
            </w:tcBorders>
            <w:shd w:val="clear" w:color="auto" w:fill="auto"/>
            <w:noWrap/>
            <w:vAlign w:val="bottom"/>
            <w:hideMark/>
          </w:tcPr>
          <w:p w14:paraId="6F36BF47"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22550CC4" w14:textId="46EDA1D6"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3.3</w:t>
            </w:r>
            <w:r w:rsidR="00D14272">
              <w:rPr>
                <w:rFonts w:ascii="Arial" w:hAnsi="Arial" w:cs="Arial"/>
                <w:sz w:val="18"/>
                <w:szCs w:val="18"/>
                <w:lang w:eastAsia="hr-HR"/>
              </w:rPr>
              <w:t>74.352,15</w:t>
            </w:r>
          </w:p>
        </w:tc>
        <w:tc>
          <w:tcPr>
            <w:tcW w:w="1320" w:type="dxa"/>
            <w:tcBorders>
              <w:top w:val="nil"/>
              <w:left w:val="nil"/>
              <w:bottom w:val="nil"/>
              <w:right w:val="nil"/>
            </w:tcBorders>
            <w:shd w:val="clear" w:color="auto" w:fill="auto"/>
            <w:noWrap/>
            <w:vAlign w:val="bottom"/>
            <w:hideMark/>
          </w:tcPr>
          <w:p w14:paraId="33D78C5A" w14:textId="6BC55093"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121,</w:t>
            </w:r>
            <w:r w:rsidR="00D14272">
              <w:rPr>
                <w:rFonts w:ascii="Arial" w:hAnsi="Arial" w:cs="Arial"/>
                <w:sz w:val="18"/>
                <w:szCs w:val="18"/>
                <w:lang w:eastAsia="hr-HR"/>
              </w:rPr>
              <w:t>49</w:t>
            </w:r>
            <w:r w:rsidRPr="00583CB4">
              <w:rPr>
                <w:rFonts w:ascii="Arial" w:hAnsi="Arial" w:cs="Arial"/>
                <w:sz w:val="18"/>
                <w:szCs w:val="18"/>
                <w:lang w:eastAsia="hr-HR"/>
              </w:rPr>
              <w:t>%</w:t>
            </w:r>
          </w:p>
        </w:tc>
        <w:tc>
          <w:tcPr>
            <w:tcW w:w="1280" w:type="dxa"/>
            <w:tcBorders>
              <w:top w:val="nil"/>
              <w:left w:val="nil"/>
              <w:bottom w:val="nil"/>
              <w:right w:val="nil"/>
            </w:tcBorders>
            <w:shd w:val="clear" w:color="auto" w:fill="auto"/>
            <w:noWrap/>
            <w:vAlign w:val="bottom"/>
            <w:hideMark/>
          </w:tcPr>
          <w:p w14:paraId="6F3027AB"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5D15BC0D" w14:textId="77777777" w:rsidTr="00D53FB4">
        <w:trPr>
          <w:trHeight w:val="255"/>
        </w:trPr>
        <w:tc>
          <w:tcPr>
            <w:tcW w:w="7655" w:type="dxa"/>
            <w:tcBorders>
              <w:top w:val="nil"/>
              <w:left w:val="nil"/>
              <w:bottom w:val="nil"/>
              <w:right w:val="nil"/>
            </w:tcBorders>
            <w:shd w:val="clear" w:color="auto" w:fill="auto"/>
            <w:noWrap/>
            <w:vAlign w:val="bottom"/>
            <w:hideMark/>
          </w:tcPr>
          <w:p w14:paraId="2350655F"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6362 Kapitalne pomoći proračunskim korisnicima iz proračuna koji im nije nadležan</w:t>
            </w:r>
          </w:p>
        </w:tc>
        <w:tc>
          <w:tcPr>
            <w:tcW w:w="1384" w:type="dxa"/>
            <w:tcBorders>
              <w:top w:val="nil"/>
              <w:left w:val="nil"/>
              <w:bottom w:val="nil"/>
              <w:right w:val="nil"/>
            </w:tcBorders>
            <w:shd w:val="clear" w:color="auto" w:fill="auto"/>
            <w:noWrap/>
            <w:vAlign w:val="bottom"/>
            <w:hideMark/>
          </w:tcPr>
          <w:p w14:paraId="5E4DB2BE"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30.523,33</w:t>
            </w:r>
          </w:p>
        </w:tc>
        <w:tc>
          <w:tcPr>
            <w:tcW w:w="1740" w:type="dxa"/>
            <w:tcBorders>
              <w:top w:val="nil"/>
              <w:left w:val="nil"/>
              <w:bottom w:val="nil"/>
              <w:right w:val="nil"/>
            </w:tcBorders>
            <w:shd w:val="clear" w:color="auto" w:fill="auto"/>
            <w:noWrap/>
            <w:vAlign w:val="bottom"/>
            <w:hideMark/>
          </w:tcPr>
          <w:p w14:paraId="65CF1CEE"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5595C49B"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41.510,59</w:t>
            </w:r>
          </w:p>
        </w:tc>
        <w:tc>
          <w:tcPr>
            <w:tcW w:w="1320" w:type="dxa"/>
            <w:tcBorders>
              <w:top w:val="nil"/>
              <w:left w:val="nil"/>
              <w:bottom w:val="nil"/>
              <w:right w:val="nil"/>
            </w:tcBorders>
            <w:shd w:val="clear" w:color="auto" w:fill="auto"/>
            <w:noWrap/>
            <w:vAlign w:val="bottom"/>
            <w:hideMark/>
          </w:tcPr>
          <w:p w14:paraId="6DA44898"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136,00%</w:t>
            </w:r>
          </w:p>
        </w:tc>
        <w:tc>
          <w:tcPr>
            <w:tcW w:w="1280" w:type="dxa"/>
            <w:tcBorders>
              <w:top w:val="nil"/>
              <w:left w:val="nil"/>
              <w:bottom w:val="nil"/>
              <w:right w:val="nil"/>
            </w:tcBorders>
            <w:shd w:val="clear" w:color="auto" w:fill="auto"/>
            <w:noWrap/>
            <w:vAlign w:val="bottom"/>
            <w:hideMark/>
          </w:tcPr>
          <w:p w14:paraId="5281EAB3"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45750116" w14:textId="77777777" w:rsidTr="00D53FB4">
        <w:trPr>
          <w:trHeight w:val="255"/>
        </w:trPr>
        <w:tc>
          <w:tcPr>
            <w:tcW w:w="7655" w:type="dxa"/>
            <w:tcBorders>
              <w:top w:val="nil"/>
              <w:left w:val="nil"/>
              <w:bottom w:val="nil"/>
              <w:right w:val="nil"/>
            </w:tcBorders>
            <w:shd w:val="clear" w:color="auto" w:fill="auto"/>
            <w:noWrap/>
            <w:vAlign w:val="bottom"/>
            <w:hideMark/>
          </w:tcPr>
          <w:p w14:paraId="25DC3590"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638 Pomoći iz državnog proračuna temeljem prijenosa EU sredstava</w:t>
            </w:r>
          </w:p>
        </w:tc>
        <w:tc>
          <w:tcPr>
            <w:tcW w:w="1384" w:type="dxa"/>
            <w:tcBorders>
              <w:top w:val="nil"/>
              <w:left w:val="nil"/>
              <w:bottom w:val="nil"/>
              <w:right w:val="nil"/>
            </w:tcBorders>
            <w:shd w:val="clear" w:color="auto" w:fill="auto"/>
            <w:noWrap/>
            <w:vAlign w:val="bottom"/>
            <w:hideMark/>
          </w:tcPr>
          <w:p w14:paraId="0BFF8BF0"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414.824,06</w:t>
            </w:r>
          </w:p>
        </w:tc>
        <w:tc>
          <w:tcPr>
            <w:tcW w:w="1740" w:type="dxa"/>
            <w:tcBorders>
              <w:top w:val="nil"/>
              <w:left w:val="nil"/>
              <w:bottom w:val="nil"/>
              <w:right w:val="nil"/>
            </w:tcBorders>
            <w:shd w:val="clear" w:color="auto" w:fill="auto"/>
            <w:noWrap/>
            <w:vAlign w:val="bottom"/>
            <w:hideMark/>
          </w:tcPr>
          <w:p w14:paraId="65A8399F"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01B774E3"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425.610,98</w:t>
            </w:r>
          </w:p>
        </w:tc>
        <w:tc>
          <w:tcPr>
            <w:tcW w:w="1320" w:type="dxa"/>
            <w:tcBorders>
              <w:top w:val="nil"/>
              <w:left w:val="nil"/>
              <w:bottom w:val="nil"/>
              <w:right w:val="nil"/>
            </w:tcBorders>
            <w:shd w:val="clear" w:color="auto" w:fill="auto"/>
            <w:noWrap/>
            <w:vAlign w:val="bottom"/>
            <w:hideMark/>
          </w:tcPr>
          <w:p w14:paraId="760BE00F"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102,60%</w:t>
            </w:r>
          </w:p>
        </w:tc>
        <w:tc>
          <w:tcPr>
            <w:tcW w:w="1280" w:type="dxa"/>
            <w:tcBorders>
              <w:top w:val="nil"/>
              <w:left w:val="nil"/>
              <w:bottom w:val="nil"/>
              <w:right w:val="nil"/>
            </w:tcBorders>
            <w:shd w:val="clear" w:color="auto" w:fill="auto"/>
            <w:noWrap/>
            <w:vAlign w:val="bottom"/>
            <w:hideMark/>
          </w:tcPr>
          <w:p w14:paraId="409F971D"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25A01EE5" w14:textId="77777777" w:rsidTr="00D53FB4">
        <w:trPr>
          <w:trHeight w:val="255"/>
        </w:trPr>
        <w:tc>
          <w:tcPr>
            <w:tcW w:w="7655" w:type="dxa"/>
            <w:tcBorders>
              <w:top w:val="nil"/>
              <w:left w:val="nil"/>
              <w:bottom w:val="nil"/>
              <w:right w:val="nil"/>
            </w:tcBorders>
            <w:shd w:val="clear" w:color="auto" w:fill="auto"/>
            <w:noWrap/>
            <w:vAlign w:val="bottom"/>
            <w:hideMark/>
          </w:tcPr>
          <w:p w14:paraId="34B782C2"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6381 Tekuće pomoći iz državnog proračuna temeljem prijenosa EU sredstava</w:t>
            </w:r>
          </w:p>
        </w:tc>
        <w:tc>
          <w:tcPr>
            <w:tcW w:w="1384" w:type="dxa"/>
            <w:tcBorders>
              <w:top w:val="nil"/>
              <w:left w:val="nil"/>
              <w:bottom w:val="nil"/>
              <w:right w:val="nil"/>
            </w:tcBorders>
            <w:shd w:val="clear" w:color="auto" w:fill="auto"/>
            <w:noWrap/>
            <w:vAlign w:val="bottom"/>
            <w:hideMark/>
          </w:tcPr>
          <w:p w14:paraId="7F20172D"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137.398,18</w:t>
            </w:r>
          </w:p>
        </w:tc>
        <w:tc>
          <w:tcPr>
            <w:tcW w:w="1740" w:type="dxa"/>
            <w:tcBorders>
              <w:top w:val="nil"/>
              <w:left w:val="nil"/>
              <w:bottom w:val="nil"/>
              <w:right w:val="nil"/>
            </w:tcBorders>
            <w:shd w:val="clear" w:color="auto" w:fill="auto"/>
            <w:noWrap/>
            <w:vAlign w:val="bottom"/>
            <w:hideMark/>
          </w:tcPr>
          <w:p w14:paraId="0D261D3A"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0A3BE190"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425.610,98</w:t>
            </w:r>
          </w:p>
        </w:tc>
        <w:tc>
          <w:tcPr>
            <w:tcW w:w="1320" w:type="dxa"/>
            <w:tcBorders>
              <w:top w:val="nil"/>
              <w:left w:val="nil"/>
              <w:bottom w:val="nil"/>
              <w:right w:val="nil"/>
            </w:tcBorders>
            <w:shd w:val="clear" w:color="auto" w:fill="auto"/>
            <w:noWrap/>
            <w:vAlign w:val="bottom"/>
            <w:hideMark/>
          </w:tcPr>
          <w:p w14:paraId="3648FA39"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309,76%</w:t>
            </w:r>
          </w:p>
        </w:tc>
        <w:tc>
          <w:tcPr>
            <w:tcW w:w="1280" w:type="dxa"/>
            <w:tcBorders>
              <w:top w:val="nil"/>
              <w:left w:val="nil"/>
              <w:bottom w:val="nil"/>
              <w:right w:val="nil"/>
            </w:tcBorders>
            <w:shd w:val="clear" w:color="auto" w:fill="auto"/>
            <w:noWrap/>
            <w:vAlign w:val="bottom"/>
            <w:hideMark/>
          </w:tcPr>
          <w:p w14:paraId="28B43D4B"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10BEDC26" w14:textId="77777777" w:rsidTr="00D53FB4">
        <w:trPr>
          <w:trHeight w:val="255"/>
        </w:trPr>
        <w:tc>
          <w:tcPr>
            <w:tcW w:w="7655" w:type="dxa"/>
            <w:tcBorders>
              <w:top w:val="nil"/>
              <w:left w:val="nil"/>
              <w:bottom w:val="nil"/>
              <w:right w:val="nil"/>
            </w:tcBorders>
            <w:shd w:val="clear" w:color="auto" w:fill="auto"/>
            <w:noWrap/>
            <w:vAlign w:val="bottom"/>
            <w:hideMark/>
          </w:tcPr>
          <w:p w14:paraId="0ACDF6F5"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6382 Kapitalne pomoći iz državnog proračuna temeljem prijenosa EU sredstava</w:t>
            </w:r>
          </w:p>
        </w:tc>
        <w:tc>
          <w:tcPr>
            <w:tcW w:w="1384" w:type="dxa"/>
            <w:tcBorders>
              <w:top w:val="nil"/>
              <w:left w:val="nil"/>
              <w:bottom w:val="nil"/>
              <w:right w:val="nil"/>
            </w:tcBorders>
            <w:shd w:val="clear" w:color="auto" w:fill="auto"/>
            <w:noWrap/>
            <w:vAlign w:val="bottom"/>
            <w:hideMark/>
          </w:tcPr>
          <w:p w14:paraId="1A87DE96"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277.425,88</w:t>
            </w:r>
          </w:p>
        </w:tc>
        <w:tc>
          <w:tcPr>
            <w:tcW w:w="1740" w:type="dxa"/>
            <w:tcBorders>
              <w:top w:val="nil"/>
              <w:left w:val="nil"/>
              <w:bottom w:val="nil"/>
              <w:right w:val="nil"/>
            </w:tcBorders>
            <w:shd w:val="clear" w:color="auto" w:fill="auto"/>
            <w:noWrap/>
            <w:vAlign w:val="bottom"/>
            <w:hideMark/>
          </w:tcPr>
          <w:p w14:paraId="6972E234"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775CCA31" w14:textId="77777777" w:rsidR="00583CB4" w:rsidRPr="00583CB4" w:rsidRDefault="00583CB4" w:rsidP="00583CB4">
            <w:pPr>
              <w:spacing w:after="0" w:line="240" w:lineRule="auto"/>
              <w:jc w:val="right"/>
              <w:rPr>
                <w:rFonts w:ascii="Times New Roman" w:hAnsi="Times New Roman" w:cs="Times New Roman"/>
                <w:sz w:val="18"/>
                <w:szCs w:val="18"/>
                <w:lang w:eastAsia="hr-HR"/>
              </w:rPr>
            </w:pPr>
          </w:p>
        </w:tc>
        <w:tc>
          <w:tcPr>
            <w:tcW w:w="1320" w:type="dxa"/>
            <w:tcBorders>
              <w:top w:val="nil"/>
              <w:left w:val="nil"/>
              <w:bottom w:val="nil"/>
              <w:right w:val="nil"/>
            </w:tcBorders>
            <w:shd w:val="clear" w:color="auto" w:fill="auto"/>
            <w:noWrap/>
            <w:vAlign w:val="bottom"/>
            <w:hideMark/>
          </w:tcPr>
          <w:p w14:paraId="3DC5A9D2"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0,00%</w:t>
            </w:r>
          </w:p>
        </w:tc>
        <w:tc>
          <w:tcPr>
            <w:tcW w:w="1280" w:type="dxa"/>
            <w:tcBorders>
              <w:top w:val="nil"/>
              <w:left w:val="nil"/>
              <w:bottom w:val="nil"/>
              <w:right w:val="nil"/>
            </w:tcBorders>
            <w:shd w:val="clear" w:color="auto" w:fill="auto"/>
            <w:noWrap/>
            <w:vAlign w:val="bottom"/>
            <w:hideMark/>
          </w:tcPr>
          <w:p w14:paraId="6310A60B"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4CCE1E46" w14:textId="77777777" w:rsidTr="00D53FB4">
        <w:trPr>
          <w:trHeight w:val="255"/>
        </w:trPr>
        <w:tc>
          <w:tcPr>
            <w:tcW w:w="7655" w:type="dxa"/>
            <w:tcBorders>
              <w:top w:val="nil"/>
              <w:left w:val="nil"/>
              <w:bottom w:val="nil"/>
              <w:right w:val="nil"/>
            </w:tcBorders>
            <w:shd w:val="clear" w:color="auto" w:fill="auto"/>
            <w:noWrap/>
            <w:vAlign w:val="bottom"/>
            <w:hideMark/>
          </w:tcPr>
          <w:p w14:paraId="051063B7" w14:textId="77777777" w:rsidR="00583CB4" w:rsidRPr="00583CB4" w:rsidRDefault="00583CB4" w:rsidP="00583CB4">
            <w:pPr>
              <w:spacing w:after="0" w:line="240" w:lineRule="auto"/>
              <w:rPr>
                <w:rFonts w:ascii="Arial" w:hAnsi="Arial" w:cs="Arial"/>
                <w:b/>
                <w:bCs/>
                <w:sz w:val="18"/>
                <w:szCs w:val="18"/>
                <w:lang w:eastAsia="hr-HR"/>
              </w:rPr>
            </w:pPr>
            <w:r w:rsidRPr="00583CB4">
              <w:rPr>
                <w:rFonts w:ascii="Arial" w:hAnsi="Arial" w:cs="Arial"/>
                <w:b/>
                <w:bCs/>
                <w:sz w:val="18"/>
                <w:szCs w:val="18"/>
                <w:lang w:eastAsia="hr-HR"/>
              </w:rPr>
              <w:lastRenderedPageBreak/>
              <w:t xml:space="preserve">64 Prihodi od imovine                                                                                  </w:t>
            </w:r>
          </w:p>
        </w:tc>
        <w:tc>
          <w:tcPr>
            <w:tcW w:w="1384" w:type="dxa"/>
            <w:tcBorders>
              <w:top w:val="nil"/>
              <w:left w:val="nil"/>
              <w:bottom w:val="nil"/>
              <w:right w:val="nil"/>
            </w:tcBorders>
            <w:shd w:val="clear" w:color="auto" w:fill="auto"/>
            <w:noWrap/>
            <w:vAlign w:val="bottom"/>
            <w:hideMark/>
          </w:tcPr>
          <w:p w14:paraId="60CE2903"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267.794,17</w:t>
            </w:r>
          </w:p>
        </w:tc>
        <w:tc>
          <w:tcPr>
            <w:tcW w:w="1740" w:type="dxa"/>
            <w:tcBorders>
              <w:top w:val="nil"/>
              <w:left w:val="nil"/>
              <w:bottom w:val="nil"/>
              <w:right w:val="nil"/>
            </w:tcBorders>
            <w:shd w:val="clear" w:color="auto" w:fill="auto"/>
            <w:noWrap/>
            <w:vAlign w:val="bottom"/>
            <w:hideMark/>
          </w:tcPr>
          <w:p w14:paraId="60084782"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255.340,00</w:t>
            </w:r>
          </w:p>
        </w:tc>
        <w:tc>
          <w:tcPr>
            <w:tcW w:w="1412" w:type="dxa"/>
            <w:tcBorders>
              <w:top w:val="nil"/>
              <w:left w:val="nil"/>
              <w:bottom w:val="nil"/>
              <w:right w:val="nil"/>
            </w:tcBorders>
            <w:shd w:val="clear" w:color="auto" w:fill="auto"/>
            <w:noWrap/>
            <w:vAlign w:val="bottom"/>
            <w:hideMark/>
          </w:tcPr>
          <w:p w14:paraId="38AC23E3" w14:textId="67F07CCE"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2</w:t>
            </w:r>
            <w:r w:rsidR="00E9104B">
              <w:rPr>
                <w:rFonts w:ascii="Arial" w:hAnsi="Arial" w:cs="Arial"/>
                <w:b/>
                <w:bCs/>
                <w:sz w:val="18"/>
                <w:szCs w:val="18"/>
                <w:lang w:eastAsia="hr-HR"/>
              </w:rPr>
              <w:t>46.006,40</w:t>
            </w:r>
          </w:p>
        </w:tc>
        <w:tc>
          <w:tcPr>
            <w:tcW w:w="1320" w:type="dxa"/>
            <w:tcBorders>
              <w:top w:val="nil"/>
              <w:left w:val="nil"/>
              <w:bottom w:val="nil"/>
              <w:right w:val="nil"/>
            </w:tcBorders>
            <w:shd w:val="clear" w:color="auto" w:fill="auto"/>
            <w:noWrap/>
            <w:vAlign w:val="bottom"/>
            <w:hideMark/>
          </w:tcPr>
          <w:p w14:paraId="3EE99741"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91,86%</w:t>
            </w:r>
          </w:p>
        </w:tc>
        <w:tc>
          <w:tcPr>
            <w:tcW w:w="1280" w:type="dxa"/>
            <w:tcBorders>
              <w:top w:val="nil"/>
              <w:left w:val="nil"/>
              <w:bottom w:val="nil"/>
              <w:right w:val="nil"/>
            </w:tcBorders>
            <w:shd w:val="clear" w:color="auto" w:fill="auto"/>
            <w:noWrap/>
            <w:vAlign w:val="bottom"/>
            <w:hideMark/>
          </w:tcPr>
          <w:p w14:paraId="225C5FA6"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96,34%</w:t>
            </w:r>
          </w:p>
        </w:tc>
      </w:tr>
      <w:tr w:rsidR="00583CB4" w:rsidRPr="00583CB4" w14:paraId="7DFF501E" w14:textId="77777777" w:rsidTr="00D53FB4">
        <w:trPr>
          <w:trHeight w:val="255"/>
        </w:trPr>
        <w:tc>
          <w:tcPr>
            <w:tcW w:w="7655" w:type="dxa"/>
            <w:tcBorders>
              <w:top w:val="nil"/>
              <w:left w:val="nil"/>
              <w:bottom w:val="nil"/>
              <w:right w:val="nil"/>
            </w:tcBorders>
            <w:shd w:val="clear" w:color="auto" w:fill="auto"/>
            <w:noWrap/>
            <w:vAlign w:val="bottom"/>
            <w:hideMark/>
          </w:tcPr>
          <w:p w14:paraId="1A6C3B66"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641 Prihodi od financijske imovine                                                                      </w:t>
            </w:r>
          </w:p>
        </w:tc>
        <w:tc>
          <w:tcPr>
            <w:tcW w:w="1384" w:type="dxa"/>
            <w:tcBorders>
              <w:top w:val="nil"/>
              <w:left w:val="nil"/>
              <w:bottom w:val="nil"/>
              <w:right w:val="nil"/>
            </w:tcBorders>
            <w:shd w:val="clear" w:color="auto" w:fill="auto"/>
            <w:noWrap/>
            <w:vAlign w:val="bottom"/>
            <w:hideMark/>
          </w:tcPr>
          <w:p w14:paraId="452F74F9"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11.182,79</w:t>
            </w:r>
          </w:p>
        </w:tc>
        <w:tc>
          <w:tcPr>
            <w:tcW w:w="1740" w:type="dxa"/>
            <w:tcBorders>
              <w:top w:val="nil"/>
              <w:left w:val="nil"/>
              <w:bottom w:val="nil"/>
              <w:right w:val="nil"/>
            </w:tcBorders>
            <w:shd w:val="clear" w:color="auto" w:fill="auto"/>
            <w:noWrap/>
            <w:vAlign w:val="bottom"/>
            <w:hideMark/>
          </w:tcPr>
          <w:p w14:paraId="48A741C8"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539380E1" w14:textId="3A3F8CD2"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9.2</w:t>
            </w:r>
            <w:r w:rsidR="00E9104B">
              <w:rPr>
                <w:rFonts w:ascii="Arial" w:hAnsi="Arial" w:cs="Arial"/>
                <w:sz w:val="18"/>
                <w:szCs w:val="18"/>
                <w:lang w:eastAsia="hr-HR"/>
              </w:rPr>
              <w:t>65,64</w:t>
            </w:r>
          </w:p>
        </w:tc>
        <w:tc>
          <w:tcPr>
            <w:tcW w:w="1320" w:type="dxa"/>
            <w:tcBorders>
              <w:top w:val="nil"/>
              <w:left w:val="nil"/>
              <w:bottom w:val="nil"/>
              <w:right w:val="nil"/>
            </w:tcBorders>
            <w:shd w:val="clear" w:color="auto" w:fill="auto"/>
            <w:noWrap/>
            <w:vAlign w:val="bottom"/>
            <w:hideMark/>
          </w:tcPr>
          <w:p w14:paraId="5CC40ECE" w14:textId="2961B09C"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82,8</w:t>
            </w:r>
            <w:r w:rsidR="00E9104B">
              <w:rPr>
                <w:rFonts w:ascii="Arial" w:hAnsi="Arial" w:cs="Arial"/>
                <w:sz w:val="18"/>
                <w:szCs w:val="18"/>
                <w:lang w:eastAsia="hr-HR"/>
              </w:rPr>
              <w:t>6</w:t>
            </w:r>
            <w:r w:rsidRPr="00583CB4">
              <w:rPr>
                <w:rFonts w:ascii="Arial" w:hAnsi="Arial" w:cs="Arial"/>
                <w:sz w:val="18"/>
                <w:szCs w:val="18"/>
                <w:lang w:eastAsia="hr-HR"/>
              </w:rPr>
              <w:t>%</w:t>
            </w:r>
          </w:p>
        </w:tc>
        <w:tc>
          <w:tcPr>
            <w:tcW w:w="1280" w:type="dxa"/>
            <w:tcBorders>
              <w:top w:val="nil"/>
              <w:left w:val="nil"/>
              <w:bottom w:val="nil"/>
              <w:right w:val="nil"/>
            </w:tcBorders>
            <w:shd w:val="clear" w:color="auto" w:fill="auto"/>
            <w:noWrap/>
            <w:vAlign w:val="bottom"/>
            <w:hideMark/>
          </w:tcPr>
          <w:p w14:paraId="6878D138"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62487F42" w14:textId="77777777" w:rsidTr="00D53FB4">
        <w:trPr>
          <w:trHeight w:val="255"/>
        </w:trPr>
        <w:tc>
          <w:tcPr>
            <w:tcW w:w="7655" w:type="dxa"/>
            <w:tcBorders>
              <w:top w:val="nil"/>
              <w:left w:val="nil"/>
              <w:bottom w:val="nil"/>
              <w:right w:val="nil"/>
            </w:tcBorders>
            <w:shd w:val="clear" w:color="auto" w:fill="auto"/>
            <w:noWrap/>
            <w:vAlign w:val="bottom"/>
            <w:hideMark/>
          </w:tcPr>
          <w:p w14:paraId="46B19BFD"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6413 Kamate na oročena sredstva i depozite po viđenju                                                    </w:t>
            </w:r>
          </w:p>
        </w:tc>
        <w:tc>
          <w:tcPr>
            <w:tcW w:w="1384" w:type="dxa"/>
            <w:tcBorders>
              <w:top w:val="nil"/>
              <w:left w:val="nil"/>
              <w:bottom w:val="nil"/>
              <w:right w:val="nil"/>
            </w:tcBorders>
            <w:shd w:val="clear" w:color="auto" w:fill="auto"/>
            <w:noWrap/>
            <w:vAlign w:val="bottom"/>
            <w:hideMark/>
          </w:tcPr>
          <w:p w14:paraId="26BA13F3"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8,97</w:t>
            </w:r>
          </w:p>
        </w:tc>
        <w:tc>
          <w:tcPr>
            <w:tcW w:w="1740" w:type="dxa"/>
            <w:tcBorders>
              <w:top w:val="nil"/>
              <w:left w:val="nil"/>
              <w:bottom w:val="nil"/>
              <w:right w:val="nil"/>
            </w:tcBorders>
            <w:shd w:val="clear" w:color="auto" w:fill="auto"/>
            <w:noWrap/>
            <w:vAlign w:val="bottom"/>
            <w:hideMark/>
          </w:tcPr>
          <w:p w14:paraId="4B9C1F5A"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3F6BA3E0"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13,58</w:t>
            </w:r>
          </w:p>
        </w:tc>
        <w:tc>
          <w:tcPr>
            <w:tcW w:w="1320" w:type="dxa"/>
            <w:tcBorders>
              <w:top w:val="nil"/>
              <w:left w:val="nil"/>
              <w:bottom w:val="nil"/>
              <w:right w:val="nil"/>
            </w:tcBorders>
            <w:shd w:val="clear" w:color="auto" w:fill="auto"/>
            <w:noWrap/>
            <w:vAlign w:val="bottom"/>
            <w:hideMark/>
          </w:tcPr>
          <w:p w14:paraId="1F7A9C99"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151,39%</w:t>
            </w:r>
          </w:p>
        </w:tc>
        <w:tc>
          <w:tcPr>
            <w:tcW w:w="1280" w:type="dxa"/>
            <w:tcBorders>
              <w:top w:val="nil"/>
              <w:left w:val="nil"/>
              <w:bottom w:val="nil"/>
              <w:right w:val="nil"/>
            </w:tcBorders>
            <w:shd w:val="clear" w:color="auto" w:fill="auto"/>
            <w:noWrap/>
            <w:vAlign w:val="bottom"/>
            <w:hideMark/>
          </w:tcPr>
          <w:p w14:paraId="3DD6535A"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3C8B29BF" w14:textId="77777777" w:rsidTr="00D53FB4">
        <w:trPr>
          <w:trHeight w:val="255"/>
        </w:trPr>
        <w:tc>
          <w:tcPr>
            <w:tcW w:w="7655" w:type="dxa"/>
            <w:tcBorders>
              <w:top w:val="nil"/>
              <w:left w:val="nil"/>
              <w:bottom w:val="nil"/>
              <w:right w:val="nil"/>
            </w:tcBorders>
            <w:shd w:val="clear" w:color="auto" w:fill="auto"/>
            <w:noWrap/>
            <w:vAlign w:val="bottom"/>
            <w:hideMark/>
          </w:tcPr>
          <w:p w14:paraId="1246DF78"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6414 Prihodi od zateznih kamata                                                                          </w:t>
            </w:r>
          </w:p>
        </w:tc>
        <w:tc>
          <w:tcPr>
            <w:tcW w:w="1384" w:type="dxa"/>
            <w:tcBorders>
              <w:top w:val="nil"/>
              <w:left w:val="nil"/>
              <w:bottom w:val="nil"/>
              <w:right w:val="nil"/>
            </w:tcBorders>
            <w:shd w:val="clear" w:color="auto" w:fill="auto"/>
            <w:noWrap/>
            <w:vAlign w:val="bottom"/>
            <w:hideMark/>
          </w:tcPr>
          <w:p w14:paraId="43F7C5ED"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11.173,82</w:t>
            </w:r>
          </w:p>
        </w:tc>
        <w:tc>
          <w:tcPr>
            <w:tcW w:w="1740" w:type="dxa"/>
            <w:tcBorders>
              <w:top w:val="nil"/>
              <w:left w:val="nil"/>
              <w:bottom w:val="nil"/>
              <w:right w:val="nil"/>
            </w:tcBorders>
            <w:shd w:val="clear" w:color="auto" w:fill="auto"/>
            <w:noWrap/>
            <w:vAlign w:val="bottom"/>
            <w:hideMark/>
          </w:tcPr>
          <w:p w14:paraId="1370EBF1"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6E184408" w14:textId="11CB9841"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9.2</w:t>
            </w:r>
            <w:r w:rsidR="00E9104B">
              <w:rPr>
                <w:rFonts w:ascii="Arial" w:hAnsi="Arial" w:cs="Arial"/>
                <w:sz w:val="18"/>
                <w:szCs w:val="18"/>
                <w:lang w:eastAsia="hr-HR"/>
              </w:rPr>
              <w:t>52,06</w:t>
            </w:r>
          </w:p>
        </w:tc>
        <w:tc>
          <w:tcPr>
            <w:tcW w:w="1320" w:type="dxa"/>
            <w:tcBorders>
              <w:top w:val="nil"/>
              <w:left w:val="nil"/>
              <w:bottom w:val="nil"/>
              <w:right w:val="nil"/>
            </w:tcBorders>
            <w:shd w:val="clear" w:color="auto" w:fill="auto"/>
            <w:noWrap/>
            <w:vAlign w:val="bottom"/>
            <w:hideMark/>
          </w:tcPr>
          <w:p w14:paraId="33F6CBB0" w14:textId="60BF5C11"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82,</w:t>
            </w:r>
            <w:r w:rsidR="00E9104B">
              <w:rPr>
                <w:rFonts w:ascii="Arial" w:hAnsi="Arial" w:cs="Arial"/>
                <w:sz w:val="18"/>
                <w:szCs w:val="18"/>
                <w:lang w:eastAsia="hr-HR"/>
              </w:rPr>
              <w:t>80</w:t>
            </w:r>
            <w:r w:rsidRPr="00583CB4">
              <w:rPr>
                <w:rFonts w:ascii="Arial" w:hAnsi="Arial" w:cs="Arial"/>
                <w:sz w:val="18"/>
                <w:szCs w:val="18"/>
                <w:lang w:eastAsia="hr-HR"/>
              </w:rPr>
              <w:t>%</w:t>
            </w:r>
          </w:p>
        </w:tc>
        <w:tc>
          <w:tcPr>
            <w:tcW w:w="1280" w:type="dxa"/>
            <w:tcBorders>
              <w:top w:val="nil"/>
              <w:left w:val="nil"/>
              <w:bottom w:val="nil"/>
              <w:right w:val="nil"/>
            </w:tcBorders>
            <w:shd w:val="clear" w:color="auto" w:fill="auto"/>
            <w:noWrap/>
            <w:vAlign w:val="bottom"/>
            <w:hideMark/>
          </w:tcPr>
          <w:p w14:paraId="1DF0DE41"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7FAC3888" w14:textId="77777777" w:rsidTr="00D53FB4">
        <w:trPr>
          <w:trHeight w:val="255"/>
        </w:trPr>
        <w:tc>
          <w:tcPr>
            <w:tcW w:w="7655" w:type="dxa"/>
            <w:tcBorders>
              <w:top w:val="nil"/>
              <w:left w:val="nil"/>
              <w:bottom w:val="nil"/>
              <w:right w:val="nil"/>
            </w:tcBorders>
            <w:shd w:val="clear" w:color="auto" w:fill="auto"/>
            <w:noWrap/>
            <w:vAlign w:val="bottom"/>
            <w:hideMark/>
          </w:tcPr>
          <w:p w14:paraId="41CD5ED3"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642 Prihodi od nefinancijske imovine                                                                    </w:t>
            </w:r>
          </w:p>
        </w:tc>
        <w:tc>
          <w:tcPr>
            <w:tcW w:w="1384" w:type="dxa"/>
            <w:tcBorders>
              <w:top w:val="nil"/>
              <w:left w:val="nil"/>
              <w:bottom w:val="nil"/>
              <w:right w:val="nil"/>
            </w:tcBorders>
            <w:shd w:val="clear" w:color="auto" w:fill="auto"/>
            <w:noWrap/>
            <w:vAlign w:val="bottom"/>
            <w:hideMark/>
          </w:tcPr>
          <w:p w14:paraId="7EBBA7B4"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256.611,38</w:t>
            </w:r>
          </w:p>
        </w:tc>
        <w:tc>
          <w:tcPr>
            <w:tcW w:w="1740" w:type="dxa"/>
            <w:tcBorders>
              <w:top w:val="nil"/>
              <w:left w:val="nil"/>
              <w:bottom w:val="nil"/>
              <w:right w:val="nil"/>
            </w:tcBorders>
            <w:shd w:val="clear" w:color="auto" w:fill="auto"/>
            <w:noWrap/>
            <w:vAlign w:val="bottom"/>
            <w:hideMark/>
          </w:tcPr>
          <w:p w14:paraId="001DA98B"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0CFDE46F"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236.740,76</w:t>
            </w:r>
          </w:p>
        </w:tc>
        <w:tc>
          <w:tcPr>
            <w:tcW w:w="1320" w:type="dxa"/>
            <w:tcBorders>
              <w:top w:val="nil"/>
              <w:left w:val="nil"/>
              <w:bottom w:val="nil"/>
              <w:right w:val="nil"/>
            </w:tcBorders>
            <w:shd w:val="clear" w:color="auto" w:fill="auto"/>
            <w:noWrap/>
            <w:vAlign w:val="bottom"/>
            <w:hideMark/>
          </w:tcPr>
          <w:p w14:paraId="03312CE1"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92,26%</w:t>
            </w:r>
          </w:p>
        </w:tc>
        <w:tc>
          <w:tcPr>
            <w:tcW w:w="1280" w:type="dxa"/>
            <w:tcBorders>
              <w:top w:val="nil"/>
              <w:left w:val="nil"/>
              <w:bottom w:val="nil"/>
              <w:right w:val="nil"/>
            </w:tcBorders>
            <w:shd w:val="clear" w:color="auto" w:fill="auto"/>
            <w:noWrap/>
            <w:vAlign w:val="bottom"/>
            <w:hideMark/>
          </w:tcPr>
          <w:p w14:paraId="10935839"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35EE59DA" w14:textId="77777777" w:rsidTr="00D53FB4">
        <w:trPr>
          <w:trHeight w:val="255"/>
        </w:trPr>
        <w:tc>
          <w:tcPr>
            <w:tcW w:w="7655" w:type="dxa"/>
            <w:tcBorders>
              <w:top w:val="nil"/>
              <w:left w:val="nil"/>
              <w:bottom w:val="nil"/>
              <w:right w:val="nil"/>
            </w:tcBorders>
            <w:shd w:val="clear" w:color="auto" w:fill="auto"/>
            <w:noWrap/>
            <w:vAlign w:val="bottom"/>
            <w:hideMark/>
          </w:tcPr>
          <w:p w14:paraId="0D01C1AF"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6421 Naknade za koncesije                                                                                </w:t>
            </w:r>
          </w:p>
        </w:tc>
        <w:tc>
          <w:tcPr>
            <w:tcW w:w="1384" w:type="dxa"/>
            <w:tcBorders>
              <w:top w:val="nil"/>
              <w:left w:val="nil"/>
              <w:bottom w:val="nil"/>
              <w:right w:val="nil"/>
            </w:tcBorders>
            <w:shd w:val="clear" w:color="auto" w:fill="auto"/>
            <w:noWrap/>
            <w:vAlign w:val="bottom"/>
            <w:hideMark/>
          </w:tcPr>
          <w:p w14:paraId="1770216E"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12.016,72</w:t>
            </w:r>
          </w:p>
        </w:tc>
        <w:tc>
          <w:tcPr>
            <w:tcW w:w="1740" w:type="dxa"/>
            <w:tcBorders>
              <w:top w:val="nil"/>
              <w:left w:val="nil"/>
              <w:bottom w:val="nil"/>
              <w:right w:val="nil"/>
            </w:tcBorders>
            <w:shd w:val="clear" w:color="auto" w:fill="auto"/>
            <w:noWrap/>
            <w:vAlign w:val="bottom"/>
            <w:hideMark/>
          </w:tcPr>
          <w:p w14:paraId="43BF3E0C"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1ABC17F8"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8.683,40</w:t>
            </w:r>
          </w:p>
        </w:tc>
        <w:tc>
          <w:tcPr>
            <w:tcW w:w="1320" w:type="dxa"/>
            <w:tcBorders>
              <w:top w:val="nil"/>
              <w:left w:val="nil"/>
              <w:bottom w:val="nil"/>
              <w:right w:val="nil"/>
            </w:tcBorders>
            <w:shd w:val="clear" w:color="auto" w:fill="auto"/>
            <w:noWrap/>
            <w:vAlign w:val="bottom"/>
            <w:hideMark/>
          </w:tcPr>
          <w:p w14:paraId="3CF0551E"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72,26%</w:t>
            </w:r>
          </w:p>
        </w:tc>
        <w:tc>
          <w:tcPr>
            <w:tcW w:w="1280" w:type="dxa"/>
            <w:tcBorders>
              <w:top w:val="nil"/>
              <w:left w:val="nil"/>
              <w:bottom w:val="nil"/>
              <w:right w:val="nil"/>
            </w:tcBorders>
            <w:shd w:val="clear" w:color="auto" w:fill="auto"/>
            <w:noWrap/>
            <w:vAlign w:val="bottom"/>
            <w:hideMark/>
          </w:tcPr>
          <w:p w14:paraId="6AFE396F"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465BC59C" w14:textId="77777777" w:rsidTr="00D53FB4">
        <w:trPr>
          <w:trHeight w:val="255"/>
        </w:trPr>
        <w:tc>
          <w:tcPr>
            <w:tcW w:w="7655" w:type="dxa"/>
            <w:tcBorders>
              <w:top w:val="nil"/>
              <w:left w:val="nil"/>
              <w:bottom w:val="nil"/>
              <w:right w:val="nil"/>
            </w:tcBorders>
            <w:shd w:val="clear" w:color="auto" w:fill="auto"/>
            <w:noWrap/>
            <w:vAlign w:val="bottom"/>
            <w:hideMark/>
          </w:tcPr>
          <w:p w14:paraId="13F9C3DC"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6422 Prihodi od zakupa i iznajmljivanja imovine                                                          </w:t>
            </w:r>
          </w:p>
        </w:tc>
        <w:tc>
          <w:tcPr>
            <w:tcW w:w="1384" w:type="dxa"/>
            <w:tcBorders>
              <w:top w:val="nil"/>
              <w:left w:val="nil"/>
              <w:bottom w:val="nil"/>
              <w:right w:val="nil"/>
            </w:tcBorders>
            <w:shd w:val="clear" w:color="auto" w:fill="auto"/>
            <w:noWrap/>
            <w:vAlign w:val="bottom"/>
            <w:hideMark/>
          </w:tcPr>
          <w:p w14:paraId="6FDB8338"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216.022,73</w:t>
            </w:r>
          </w:p>
        </w:tc>
        <w:tc>
          <w:tcPr>
            <w:tcW w:w="1740" w:type="dxa"/>
            <w:tcBorders>
              <w:top w:val="nil"/>
              <w:left w:val="nil"/>
              <w:bottom w:val="nil"/>
              <w:right w:val="nil"/>
            </w:tcBorders>
            <w:shd w:val="clear" w:color="auto" w:fill="auto"/>
            <w:noWrap/>
            <w:vAlign w:val="bottom"/>
            <w:hideMark/>
          </w:tcPr>
          <w:p w14:paraId="5345F34E"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3D93C9D5"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198.513,62</w:t>
            </w:r>
          </w:p>
        </w:tc>
        <w:tc>
          <w:tcPr>
            <w:tcW w:w="1320" w:type="dxa"/>
            <w:tcBorders>
              <w:top w:val="nil"/>
              <w:left w:val="nil"/>
              <w:bottom w:val="nil"/>
              <w:right w:val="nil"/>
            </w:tcBorders>
            <w:shd w:val="clear" w:color="auto" w:fill="auto"/>
            <w:noWrap/>
            <w:vAlign w:val="bottom"/>
            <w:hideMark/>
          </w:tcPr>
          <w:p w14:paraId="69B2C9B1"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91,89%</w:t>
            </w:r>
          </w:p>
        </w:tc>
        <w:tc>
          <w:tcPr>
            <w:tcW w:w="1280" w:type="dxa"/>
            <w:tcBorders>
              <w:top w:val="nil"/>
              <w:left w:val="nil"/>
              <w:bottom w:val="nil"/>
              <w:right w:val="nil"/>
            </w:tcBorders>
            <w:shd w:val="clear" w:color="auto" w:fill="auto"/>
            <w:noWrap/>
            <w:vAlign w:val="bottom"/>
            <w:hideMark/>
          </w:tcPr>
          <w:p w14:paraId="0AF078ED"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49E1BAB1" w14:textId="77777777" w:rsidTr="00D53FB4">
        <w:trPr>
          <w:trHeight w:val="255"/>
        </w:trPr>
        <w:tc>
          <w:tcPr>
            <w:tcW w:w="7655" w:type="dxa"/>
            <w:tcBorders>
              <w:top w:val="nil"/>
              <w:left w:val="nil"/>
              <w:bottom w:val="nil"/>
              <w:right w:val="nil"/>
            </w:tcBorders>
            <w:shd w:val="clear" w:color="auto" w:fill="auto"/>
            <w:noWrap/>
            <w:vAlign w:val="bottom"/>
            <w:hideMark/>
          </w:tcPr>
          <w:p w14:paraId="49B8BD46"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6423 Naknada za korištenje nefinancijske imovine                                                         </w:t>
            </w:r>
          </w:p>
        </w:tc>
        <w:tc>
          <w:tcPr>
            <w:tcW w:w="1384" w:type="dxa"/>
            <w:tcBorders>
              <w:top w:val="nil"/>
              <w:left w:val="nil"/>
              <w:bottom w:val="nil"/>
              <w:right w:val="nil"/>
            </w:tcBorders>
            <w:shd w:val="clear" w:color="auto" w:fill="auto"/>
            <w:noWrap/>
            <w:vAlign w:val="bottom"/>
            <w:hideMark/>
          </w:tcPr>
          <w:p w14:paraId="4F420AD5"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28.571,93</w:t>
            </w:r>
          </w:p>
        </w:tc>
        <w:tc>
          <w:tcPr>
            <w:tcW w:w="1740" w:type="dxa"/>
            <w:tcBorders>
              <w:top w:val="nil"/>
              <w:left w:val="nil"/>
              <w:bottom w:val="nil"/>
              <w:right w:val="nil"/>
            </w:tcBorders>
            <w:shd w:val="clear" w:color="auto" w:fill="auto"/>
            <w:noWrap/>
            <w:vAlign w:val="bottom"/>
            <w:hideMark/>
          </w:tcPr>
          <w:p w14:paraId="33A67681"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141D06A3"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29.543,74</w:t>
            </w:r>
          </w:p>
        </w:tc>
        <w:tc>
          <w:tcPr>
            <w:tcW w:w="1320" w:type="dxa"/>
            <w:tcBorders>
              <w:top w:val="nil"/>
              <w:left w:val="nil"/>
              <w:bottom w:val="nil"/>
              <w:right w:val="nil"/>
            </w:tcBorders>
            <w:shd w:val="clear" w:color="auto" w:fill="auto"/>
            <w:noWrap/>
            <w:vAlign w:val="bottom"/>
            <w:hideMark/>
          </w:tcPr>
          <w:p w14:paraId="3894518A"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103,40%</w:t>
            </w:r>
          </w:p>
        </w:tc>
        <w:tc>
          <w:tcPr>
            <w:tcW w:w="1280" w:type="dxa"/>
            <w:tcBorders>
              <w:top w:val="nil"/>
              <w:left w:val="nil"/>
              <w:bottom w:val="nil"/>
              <w:right w:val="nil"/>
            </w:tcBorders>
            <w:shd w:val="clear" w:color="auto" w:fill="auto"/>
            <w:noWrap/>
            <w:vAlign w:val="bottom"/>
            <w:hideMark/>
          </w:tcPr>
          <w:p w14:paraId="2D08E90F"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05DE0A8A" w14:textId="77777777" w:rsidTr="00D53FB4">
        <w:trPr>
          <w:trHeight w:val="255"/>
        </w:trPr>
        <w:tc>
          <w:tcPr>
            <w:tcW w:w="7655" w:type="dxa"/>
            <w:tcBorders>
              <w:top w:val="nil"/>
              <w:left w:val="nil"/>
              <w:bottom w:val="nil"/>
              <w:right w:val="nil"/>
            </w:tcBorders>
            <w:shd w:val="clear" w:color="auto" w:fill="auto"/>
            <w:noWrap/>
            <w:vAlign w:val="bottom"/>
            <w:hideMark/>
          </w:tcPr>
          <w:p w14:paraId="73C3F4C2" w14:textId="77777777" w:rsidR="00583CB4" w:rsidRPr="00583CB4" w:rsidRDefault="00583CB4" w:rsidP="00583CB4">
            <w:pPr>
              <w:spacing w:after="0" w:line="240" w:lineRule="auto"/>
              <w:rPr>
                <w:rFonts w:ascii="Arial" w:hAnsi="Arial" w:cs="Arial"/>
                <w:b/>
                <w:bCs/>
                <w:sz w:val="18"/>
                <w:szCs w:val="18"/>
                <w:lang w:eastAsia="hr-HR"/>
              </w:rPr>
            </w:pPr>
            <w:r w:rsidRPr="00583CB4">
              <w:rPr>
                <w:rFonts w:ascii="Arial" w:hAnsi="Arial" w:cs="Arial"/>
                <w:b/>
                <w:bCs/>
                <w:sz w:val="18"/>
                <w:szCs w:val="18"/>
                <w:lang w:eastAsia="hr-HR"/>
              </w:rPr>
              <w:t xml:space="preserve">65 Prihodi od upravnih i administrativnih pristojbi, pristojbi po posebnim propisima i naknada         </w:t>
            </w:r>
          </w:p>
        </w:tc>
        <w:tc>
          <w:tcPr>
            <w:tcW w:w="1384" w:type="dxa"/>
            <w:tcBorders>
              <w:top w:val="nil"/>
              <w:left w:val="nil"/>
              <w:bottom w:val="nil"/>
              <w:right w:val="nil"/>
            </w:tcBorders>
            <w:shd w:val="clear" w:color="auto" w:fill="auto"/>
            <w:noWrap/>
            <w:vAlign w:val="bottom"/>
            <w:hideMark/>
          </w:tcPr>
          <w:p w14:paraId="3F91BC39"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880.502,23</w:t>
            </w:r>
          </w:p>
        </w:tc>
        <w:tc>
          <w:tcPr>
            <w:tcW w:w="1740" w:type="dxa"/>
            <w:tcBorders>
              <w:top w:val="nil"/>
              <w:left w:val="nil"/>
              <w:bottom w:val="nil"/>
              <w:right w:val="nil"/>
            </w:tcBorders>
            <w:shd w:val="clear" w:color="auto" w:fill="auto"/>
            <w:noWrap/>
            <w:vAlign w:val="bottom"/>
            <w:hideMark/>
          </w:tcPr>
          <w:p w14:paraId="54EEB963"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805.752,00</w:t>
            </w:r>
          </w:p>
        </w:tc>
        <w:tc>
          <w:tcPr>
            <w:tcW w:w="1412" w:type="dxa"/>
            <w:tcBorders>
              <w:top w:val="nil"/>
              <w:left w:val="nil"/>
              <w:bottom w:val="nil"/>
              <w:right w:val="nil"/>
            </w:tcBorders>
            <w:shd w:val="clear" w:color="auto" w:fill="auto"/>
            <w:noWrap/>
            <w:vAlign w:val="bottom"/>
            <w:hideMark/>
          </w:tcPr>
          <w:p w14:paraId="654AED45" w14:textId="0B0E710B"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802.6</w:t>
            </w:r>
            <w:r w:rsidR="00E9104B">
              <w:rPr>
                <w:rFonts w:ascii="Arial" w:hAnsi="Arial" w:cs="Arial"/>
                <w:b/>
                <w:bCs/>
                <w:sz w:val="18"/>
                <w:szCs w:val="18"/>
                <w:lang w:eastAsia="hr-HR"/>
              </w:rPr>
              <w:t>06,50</w:t>
            </w:r>
          </w:p>
        </w:tc>
        <w:tc>
          <w:tcPr>
            <w:tcW w:w="1320" w:type="dxa"/>
            <w:tcBorders>
              <w:top w:val="nil"/>
              <w:left w:val="nil"/>
              <w:bottom w:val="nil"/>
              <w:right w:val="nil"/>
            </w:tcBorders>
            <w:shd w:val="clear" w:color="auto" w:fill="auto"/>
            <w:noWrap/>
            <w:vAlign w:val="bottom"/>
            <w:hideMark/>
          </w:tcPr>
          <w:p w14:paraId="067D55E6" w14:textId="35EA91AB"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91,1</w:t>
            </w:r>
            <w:r w:rsidR="00E9104B">
              <w:rPr>
                <w:rFonts w:ascii="Arial" w:hAnsi="Arial" w:cs="Arial"/>
                <w:b/>
                <w:bCs/>
                <w:sz w:val="18"/>
                <w:szCs w:val="18"/>
                <w:lang w:eastAsia="hr-HR"/>
              </w:rPr>
              <w:t>5</w:t>
            </w:r>
            <w:r w:rsidRPr="00583CB4">
              <w:rPr>
                <w:rFonts w:ascii="Arial" w:hAnsi="Arial" w:cs="Arial"/>
                <w:b/>
                <w:bCs/>
                <w:sz w:val="18"/>
                <w:szCs w:val="18"/>
                <w:lang w:eastAsia="hr-HR"/>
              </w:rPr>
              <w:t>%</w:t>
            </w:r>
          </w:p>
        </w:tc>
        <w:tc>
          <w:tcPr>
            <w:tcW w:w="1280" w:type="dxa"/>
            <w:tcBorders>
              <w:top w:val="nil"/>
              <w:left w:val="nil"/>
              <w:bottom w:val="nil"/>
              <w:right w:val="nil"/>
            </w:tcBorders>
            <w:shd w:val="clear" w:color="auto" w:fill="auto"/>
            <w:noWrap/>
            <w:vAlign w:val="bottom"/>
            <w:hideMark/>
          </w:tcPr>
          <w:p w14:paraId="11550644"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99,61%</w:t>
            </w:r>
          </w:p>
        </w:tc>
      </w:tr>
      <w:tr w:rsidR="00583CB4" w:rsidRPr="00583CB4" w14:paraId="701D976D" w14:textId="77777777" w:rsidTr="00D53FB4">
        <w:trPr>
          <w:trHeight w:val="255"/>
        </w:trPr>
        <w:tc>
          <w:tcPr>
            <w:tcW w:w="7655" w:type="dxa"/>
            <w:tcBorders>
              <w:top w:val="nil"/>
              <w:left w:val="nil"/>
              <w:bottom w:val="nil"/>
              <w:right w:val="nil"/>
            </w:tcBorders>
            <w:shd w:val="clear" w:color="auto" w:fill="auto"/>
            <w:noWrap/>
            <w:vAlign w:val="bottom"/>
            <w:hideMark/>
          </w:tcPr>
          <w:p w14:paraId="32470D93"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651 Upravne i administrativne pristojbe                                                                 </w:t>
            </w:r>
          </w:p>
        </w:tc>
        <w:tc>
          <w:tcPr>
            <w:tcW w:w="1384" w:type="dxa"/>
            <w:tcBorders>
              <w:top w:val="nil"/>
              <w:left w:val="nil"/>
              <w:bottom w:val="nil"/>
              <w:right w:val="nil"/>
            </w:tcBorders>
            <w:shd w:val="clear" w:color="auto" w:fill="auto"/>
            <w:noWrap/>
            <w:vAlign w:val="bottom"/>
            <w:hideMark/>
          </w:tcPr>
          <w:p w14:paraId="6AE09824"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2.339,72</w:t>
            </w:r>
          </w:p>
        </w:tc>
        <w:tc>
          <w:tcPr>
            <w:tcW w:w="1740" w:type="dxa"/>
            <w:tcBorders>
              <w:top w:val="nil"/>
              <w:left w:val="nil"/>
              <w:bottom w:val="nil"/>
              <w:right w:val="nil"/>
            </w:tcBorders>
            <w:shd w:val="clear" w:color="auto" w:fill="auto"/>
            <w:noWrap/>
            <w:vAlign w:val="bottom"/>
            <w:hideMark/>
          </w:tcPr>
          <w:p w14:paraId="453991D1"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4C9BD8C4"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2.029,12</w:t>
            </w:r>
          </w:p>
        </w:tc>
        <w:tc>
          <w:tcPr>
            <w:tcW w:w="1320" w:type="dxa"/>
            <w:tcBorders>
              <w:top w:val="nil"/>
              <w:left w:val="nil"/>
              <w:bottom w:val="nil"/>
              <w:right w:val="nil"/>
            </w:tcBorders>
            <w:shd w:val="clear" w:color="auto" w:fill="auto"/>
            <w:noWrap/>
            <w:vAlign w:val="bottom"/>
            <w:hideMark/>
          </w:tcPr>
          <w:p w14:paraId="11D7A8E1"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86,72%</w:t>
            </w:r>
          </w:p>
        </w:tc>
        <w:tc>
          <w:tcPr>
            <w:tcW w:w="1280" w:type="dxa"/>
            <w:tcBorders>
              <w:top w:val="nil"/>
              <w:left w:val="nil"/>
              <w:bottom w:val="nil"/>
              <w:right w:val="nil"/>
            </w:tcBorders>
            <w:shd w:val="clear" w:color="auto" w:fill="auto"/>
            <w:noWrap/>
            <w:vAlign w:val="bottom"/>
            <w:hideMark/>
          </w:tcPr>
          <w:p w14:paraId="197672C4"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50178222" w14:textId="77777777" w:rsidTr="00D53FB4">
        <w:trPr>
          <w:trHeight w:val="255"/>
        </w:trPr>
        <w:tc>
          <w:tcPr>
            <w:tcW w:w="7655" w:type="dxa"/>
            <w:tcBorders>
              <w:top w:val="nil"/>
              <w:left w:val="nil"/>
              <w:bottom w:val="nil"/>
              <w:right w:val="nil"/>
            </w:tcBorders>
            <w:shd w:val="clear" w:color="auto" w:fill="auto"/>
            <w:noWrap/>
            <w:vAlign w:val="bottom"/>
            <w:hideMark/>
          </w:tcPr>
          <w:p w14:paraId="3A4722B7"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6512 Županijske, gradske i općinske pristojbe i naknade</w:t>
            </w:r>
          </w:p>
        </w:tc>
        <w:tc>
          <w:tcPr>
            <w:tcW w:w="1384" w:type="dxa"/>
            <w:tcBorders>
              <w:top w:val="nil"/>
              <w:left w:val="nil"/>
              <w:bottom w:val="nil"/>
              <w:right w:val="nil"/>
            </w:tcBorders>
            <w:shd w:val="clear" w:color="auto" w:fill="auto"/>
            <w:noWrap/>
            <w:vAlign w:val="bottom"/>
            <w:hideMark/>
          </w:tcPr>
          <w:p w14:paraId="560B9288"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884,03</w:t>
            </w:r>
          </w:p>
        </w:tc>
        <w:tc>
          <w:tcPr>
            <w:tcW w:w="1740" w:type="dxa"/>
            <w:tcBorders>
              <w:top w:val="nil"/>
              <w:left w:val="nil"/>
              <w:bottom w:val="nil"/>
              <w:right w:val="nil"/>
            </w:tcBorders>
            <w:shd w:val="clear" w:color="auto" w:fill="auto"/>
            <w:noWrap/>
            <w:vAlign w:val="bottom"/>
            <w:hideMark/>
          </w:tcPr>
          <w:p w14:paraId="15015343"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6EE3DB5F"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501,00</w:t>
            </w:r>
          </w:p>
        </w:tc>
        <w:tc>
          <w:tcPr>
            <w:tcW w:w="1320" w:type="dxa"/>
            <w:tcBorders>
              <w:top w:val="nil"/>
              <w:left w:val="nil"/>
              <w:bottom w:val="nil"/>
              <w:right w:val="nil"/>
            </w:tcBorders>
            <w:shd w:val="clear" w:color="auto" w:fill="auto"/>
            <w:noWrap/>
            <w:vAlign w:val="bottom"/>
            <w:hideMark/>
          </w:tcPr>
          <w:p w14:paraId="3663C7E5"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56,67%</w:t>
            </w:r>
          </w:p>
        </w:tc>
        <w:tc>
          <w:tcPr>
            <w:tcW w:w="1280" w:type="dxa"/>
            <w:tcBorders>
              <w:top w:val="nil"/>
              <w:left w:val="nil"/>
              <w:bottom w:val="nil"/>
              <w:right w:val="nil"/>
            </w:tcBorders>
            <w:shd w:val="clear" w:color="auto" w:fill="auto"/>
            <w:noWrap/>
            <w:vAlign w:val="bottom"/>
            <w:hideMark/>
          </w:tcPr>
          <w:p w14:paraId="2CF863C0"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25933116" w14:textId="77777777" w:rsidTr="00D53FB4">
        <w:trPr>
          <w:trHeight w:val="255"/>
        </w:trPr>
        <w:tc>
          <w:tcPr>
            <w:tcW w:w="7655" w:type="dxa"/>
            <w:tcBorders>
              <w:top w:val="nil"/>
              <w:left w:val="nil"/>
              <w:bottom w:val="nil"/>
              <w:right w:val="nil"/>
            </w:tcBorders>
            <w:shd w:val="clear" w:color="auto" w:fill="auto"/>
            <w:noWrap/>
            <w:vAlign w:val="bottom"/>
            <w:hideMark/>
          </w:tcPr>
          <w:p w14:paraId="30E833D6"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6514 Ostale pristojbe i naknade                                                                          </w:t>
            </w:r>
          </w:p>
        </w:tc>
        <w:tc>
          <w:tcPr>
            <w:tcW w:w="1384" w:type="dxa"/>
            <w:tcBorders>
              <w:top w:val="nil"/>
              <w:left w:val="nil"/>
              <w:bottom w:val="nil"/>
              <w:right w:val="nil"/>
            </w:tcBorders>
            <w:shd w:val="clear" w:color="auto" w:fill="auto"/>
            <w:noWrap/>
            <w:vAlign w:val="bottom"/>
            <w:hideMark/>
          </w:tcPr>
          <w:p w14:paraId="57195848"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1.455,69</w:t>
            </w:r>
          </w:p>
        </w:tc>
        <w:tc>
          <w:tcPr>
            <w:tcW w:w="1740" w:type="dxa"/>
            <w:tcBorders>
              <w:top w:val="nil"/>
              <w:left w:val="nil"/>
              <w:bottom w:val="nil"/>
              <w:right w:val="nil"/>
            </w:tcBorders>
            <w:shd w:val="clear" w:color="auto" w:fill="auto"/>
            <w:noWrap/>
            <w:vAlign w:val="bottom"/>
            <w:hideMark/>
          </w:tcPr>
          <w:p w14:paraId="025C9D33"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3607553E"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1.528,12</w:t>
            </w:r>
          </w:p>
        </w:tc>
        <w:tc>
          <w:tcPr>
            <w:tcW w:w="1320" w:type="dxa"/>
            <w:tcBorders>
              <w:top w:val="nil"/>
              <w:left w:val="nil"/>
              <w:bottom w:val="nil"/>
              <w:right w:val="nil"/>
            </w:tcBorders>
            <w:shd w:val="clear" w:color="auto" w:fill="auto"/>
            <w:noWrap/>
            <w:vAlign w:val="bottom"/>
            <w:hideMark/>
          </w:tcPr>
          <w:p w14:paraId="525DE957"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104,98%</w:t>
            </w:r>
          </w:p>
        </w:tc>
        <w:tc>
          <w:tcPr>
            <w:tcW w:w="1280" w:type="dxa"/>
            <w:tcBorders>
              <w:top w:val="nil"/>
              <w:left w:val="nil"/>
              <w:bottom w:val="nil"/>
              <w:right w:val="nil"/>
            </w:tcBorders>
            <w:shd w:val="clear" w:color="auto" w:fill="auto"/>
            <w:noWrap/>
            <w:vAlign w:val="bottom"/>
            <w:hideMark/>
          </w:tcPr>
          <w:p w14:paraId="77CD99D3"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79698586" w14:textId="77777777" w:rsidTr="00D53FB4">
        <w:trPr>
          <w:trHeight w:val="255"/>
        </w:trPr>
        <w:tc>
          <w:tcPr>
            <w:tcW w:w="7655" w:type="dxa"/>
            <w:tcBorders>
              <w:top w:val="nil"/>
              <w:left w:val="nil"/>
              <w:bottom w:val="nil"/>
              <w:right w:val="nil"/>
            </w:tcBorders>
            <w:shd w:val="clear" w:color="auto" w:fill="auto"/>
            <w:noWrap/>
            <w:vAlign w:val="bottom"/>
            <w:hideMark/>
          </w:tcPr>
          <w:p w14:paraId="1ACECF2B"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652 Prihodi po posebnim propisima                                                                       </w:t>
            </w:r>
          </w:p>
        </w:tc>
        <w:tc>
          <w:tcPr>
            <w:tcW w:w="1384" w:type="dxa"/>
            <w:tcBorders>
              <w:top w:val="nil"/>
              <w:left w:val="nil"/>
              <w:bottom w:val="nil"/>
              <w:right w:val="nil"/>
            </w:tcBorders>
            <w:shd w:val="clear" w:color="auto" w:fill="auto"/>
            <w:noWrap/>
            <w:vAlign w:val="bottom"/>
            <w:hideMark/>
          </w:tcPr>
          <w:p w14:paraId="0AEE649D"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647.895,70</w:t>
            </w:r>
          </w:p>
        </w:tc>
        <w:tc>
          <w:tcPr>
            <w:tcW w:w="1740" w:type="dxa"/>
            <w:tcBorders>
              <w:top w:val="nil"/>
              <w:left w:val="nil"/>
              <w:bottom w:val="nil"/>
              <w:right w:val="nil"/>
            </w:tcBorders>
            <w:shd w:val="clear" w:color="auto" w:fill="auto"/>
            <w:noWrap/>
            <w:vAlign w:val="bottom"/>
            <w:hideMark/>
          </w:tcPr>
          <w:p w14:paraId="76969327"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0998413F" w14:textId="1111138D"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558.</w:t>
            </w:r>
            <w:r w:rsidR="00E9104B">
              <w:rPr>
                <w:rFonts w:ascii="Arial" w:hAnsi="Arial" w:cs="Arial"/>
                <w:sz w:val="18"/>
                <w:szCs w:val="18"/>
                <w:lang w:eastAsia="hr-HR"/>
              </w:rPr>
              <w:t>262,56</w:t>
            </w:r>
          </w:p>
        </w:tc>
        <w:tc>
          <w:tcPr>
            <w:tcW w:w="1320" w:type="dxa"/>
            <w:tcBorders>
              <w:top w:val="nil"/>
              <w:left w:val="nil"/>
              <w:bottom w:val="nil"/>
              <w:right w:val="nil"/>
            </w:tcBorders>
            <w:shd w:val="clear" w:color="auto" w:fill="auto"/>
            <w:noWrap/>
            <w:vAlign w:val="bottom"/>
            <w:hideMark/>
          </w:tcPr>
          <w:p w14:paraId="310BCDF4"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86,17%</w:t>
            </w:r>
          </w:p>
        </w:tc>
        <w:tc>
          <w:tcPr>
            <w:tcW w:w="1280" w:type="dxa"/>
            <w:tcBorders>
              <w:top w:val="nil"/>
              <w:left w:val="nil"/>
              <w:bottom w:val="nil"/>
              <w:right w:val="nil"/>
            </w:tcBorders>
            <w:shd w:val="clear" w:color="auto" w:fill="auto"/>
            <w:noWrap/>
            <w:vAlign w:val="bottom"/>
            <w:hideMark/>
          </w:tcPr>
          <w:p w14:paraId="2CE8C8BB"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1BEE90D9" w14:textId="77777777" w:rsidTr="00D53FB4">
        <w:trPr>
          <w:trHeight w:val="255"/>
        </w:trPr>
        <w:tc>
          <w:tcPr>
            <w:tcW w:w="7655" w:type="dxa"/>
            <w:tcBorders>
              <w:top w:val="nil"/>
              <w:left w:val="nil"/>
              <w:bottom w:val="nil"/>
              <w:right w:val="nil"/>
            </w:tcBorders>
            <w:shd w:val="clear" w:color="auto" w:fill="auto"/>
            <w:noWrap/>
            <w:vAlign w:val="bottom"/>
            <w:hideMark/>
          </w:tcPr>
          <w:p w14:paraId="60344C7B"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6522 Prihodi vodnog gospodarstva                                                                         </w:t>
            </w:r>
          </w:p>
        </w:tc>
        <w:tc>
          <w:tcPr>
            <w:tcW w:w="1384" w:type="dxa"/>
            <w:tcBorders>
              <w:top w:val="nil"/>
              <w:left w:val="nil"/>
              <w:bottom w:val="nil"/>
              <w:right w:val="nil"/>
            </w:tcBorders>
            <w:shd w:val="clear" w:color="auto" w:fill="auto"/>
            <w:noWrap/>
            <w:vAlign w:val="bottom"/>
            <w:hideMark/>
          </w:tcPr>
          <w:p w14:paraId="5166EC9D"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188,80</w:t>
            </w:r>
          </w:p>
        </w:tc>
        <w:tc>
          <w:tcPr>
            <w:tcW w:w="1740" w:type="dxa"/>
            <w:tcBorders>
              <w:top w:val="nil"/>
              <w:left w:val="nil"/>
              <w:bottom w:val="nil"/>
              <w:right w:val="nil"/>
            </w:tcBorders>
            <w:shd w:val="clear" w:color="auto" w:fill="auto"/>
            <w:noWrap/>
            <w:vAlign w:val="bottom"/>
            <w:hideMark/>
          </w:tcPr>
          <w:p w14:paraId="74902C62"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5A039446"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347,90</w:t>
            </w:r>
          </w:p>
        </w:tc>
        <w:tc>
          <w:tcPr>
            <w:tcW w:w="1320" w:type="dxa"/>
            <w:tcBorders>
              <w:top w:val="nil"/>
              <w:left w:val="nil"/>
              <w:bottom w:val="nil"/>
              <w:right w:val="nil"/>
            </w:tcBorders>
            <w:shd w:val="clear" w:color="auto" w:fill="auto"/>
            <w:noWrap/>
            <w:vAlign w:val="bottom"/>
            <w:hideMark/>
          </w:tcPr>
          <w:p w14:paraId="565C3831"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184,27%</w:t>
            </w:r>
          </w:p>
        </w:tc>
        <w:tc>
          <w:tcPr>
            <w:tcW w:w="1280" w:type="dxa"/>
            <w:tcBorders>
              <w:top w:val="nil"/>
              <w:left w:val="nil"/>
              <w:bottom w:val="nil"/>
              <w:right w:val="nil"/>
            </w:tcBorders>
            <w:shd w:val="clear" w:color="auto" w:fill="auto"/>
            <w:noWrap/>
            <w:vAlign w:val="bottom"/>
            <w:hideMark/>
          </w:tcPr>
          <w:p w14:paraId="2AE485D2"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1769ECE1" w14:textId="77777777" w:rsidTr="00D53FB4">
        <w:trPr>
          <w:trHeight w:val="255"/>
        </w:trPr>
        <w:tc>
          <w:tcPr>
            <w:tcW w:w="7655" w:type="dxa"/>
            <w:tcBorders>
              <w:top w:val="nil"/>
              <w:left w:val="nil"/>
              <w:bottom w:val="nil"/>
              <w:right w:val="nil"/>
            </w:tcBorders>
            <w:shd w:val="clear" w:color="auto" w:fill="auto"/>
            <w:noWrap/>
            <w:vAlign w:val="bottom"/>
            <w:hideMark/>
          </w:tcPr>
          <w:p w14:paraId="2A379A38"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6524 Doprinosi za šume                                                                                   </w:t>
            </w:r>
          </w:p>
        </w:tc>
        <w:tc>
          <w:tcPr>
            <w:tcW w:w="1384" w:type="dxa"/>
            <w:tcBorders>
              <w:top w:val="nil"/>
              <w:left w:val="nil"/>
              <w:bottom w:val="nil"/>
              <w:right w:val="nil"/>
            </w:tcBorders>
            <w:shd w:val="clear" w:color="auto" w:fill="auto"/>
            <w:noWrap/>
            <w:vAlign w:val="bottom"/>
            <w:hideMark/>
          </w:tcPr>
          <w:p w14:paraId="32241177"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384.925,36</w:t>
            </w:r>
          </w:p>
        </w:tc>
        <w:tc>
          <w:tcPr>
            <w:tcW w:w="1740" w:type="dxa"/>
            <w:tcBorders>
              <w:top w:val="nil"/>
              <w:left w:val="nil"/>
              <w:bottom w:val="nil"/>
              <w:right w:val="nil"/>
            </w:tcBorders>
            <w:shd w:val="clear" w:color="auto" w:fill="auto"/>
            <w:noWrap/>
            <w:vAlign w:val="bottom"/>
            <w:hideMark/>
          </w:tcPr>
          <w:p w14:paraId="2CBEC1C5"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2D1C7D9B"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264.839,50</w:t>
            </w:r>
          </w:p>
        </w:tc>
        <w:tc>
          <w:tcPr>
            <w:tcW w:w="1320" w:type="dxa"/>
            <w:tcBorders>
              <w:top w:val="nil"/>
              <w:left w:val="nil"/>
              <w:bottom w:val="nil"/>
              <w:right w:val="nil"/>
            </w:tcBorders>
            <w:shd w:val="clear" w:color="auto" w:fill="auto"/>
            <w:noWrap/>
            <w:vAlign w:val="bottom"/>
            <w:hideMark/>
          </w:tcPr>
          <w:p w14:paraId="390B7162"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68,80%</w:t>
            </w:r>
          </w:p>
        </w:tc>
        <w:tc>
          <w:tcPr>
            <w:tcW w:w="1280" w:type="dxa"/>
            <w:tcBorders>
              <w:top w:val="nil"/>
              <w:left w:val="nil"/>
              <w:bottom w:val="nil"/>
              <w:right w:val="nil"/>
            </w:tcBorders>
            <w:shd w:val="clear" w:color="auto" w:fill="auto"/>
            <w:noWrap/>
            <w:vAlign w:val="bottom"/>
            <w:hideMark/>
          </w:tcPr>
          <w:p w14:paraId="0709A0C9"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105E9998" w14:textId="77777777" w:rsidTr="00D53FB4">
        <w:trPr>
          <w:trHeight w:val="255"/>
        </w:trPr>
        <w:tc>
          <w:tcPr>
            <w:tcW w:w="7655" w:type="dxa"/>
            <w:tcBorders>
              <w:top w:val="nil"/>
              <w:left w:val="nil"/>
              <w:bottom w:val="nil"/>
              <w:right w:val="nil"/>
            </w:tcBorders>
            <w:shd w:val="clear" w:color="auto" w:fill="auto"/>
            <w:noWrap/>
            <w:vAlign w:val="bottom"/>
            <w:hideMark/>
          </w:tcPr>
          <w:p w14:paraId="55B12D82"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6526 Ostali nespomenuti prihodi                                                                          </w:t>
            </w:r>
          </w:p>
        </w:tc>
        <w:tc>
          <w:tcPr>
            <w:tcW w:w="1384" w:type="dxa"/>
            <w:tcBorders>
              <w:top w:val="nil"/>
              <w:left w:val="nil"/>
              <w:bottom w:val="nil"/>
              <w:right w:val="nil"/>
            </w:tcBorders>
            <w:shd w:val="clear" w:color="auto" w:fill="auto"/>
            <w:noWrap/>
            <w:vAlign w:val="bottom"/>
            <w:hideMark/>
          </w:tcPr>
          <w:p w14:paraId="092BAFCB"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262.781,54</w:t>
            </w:r>
          </w:p>
        </w:tc>
        <w:tc>
          <w:tcPr>
            <w:tcW w:w="1740" w:type="dxa"/>
            <w:tcBorders>
              <w:top w:val="nil"/>
              <w:left w:val="nil"/>
              <w:bottom w:val="nil"/>
              <w:right w:val="nil"/>
            </w:tcBorders>
            <w:shd w:val="clear" w:color="auto" w:fill="auto"/>
            <w:noWrap/>
            <w:vAlign w:val="bottom"/>
            <w:hideMark/>
          </w:tcPr>
          <w:p w14:paraId="6C03B0DF"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64A548B4" w14:textId="0916A745"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293.</w:t>
            </w:r>
            <w:r w:rsidR="00E9104B">
              <w:rPr>
                <w:rFonts w:ascii="Arial" w:hAnsi="Arial" w:cs="Arial"/>
                <w:sz w:val="18"/>
                <w:szCs w:val="18"/>
                <w:lang w:eastAsia="hr-HR"/>
              </w:rPr>
              <w:t>075,16</w:t>
            </w:r>
          </w:p>
        </w:tc>
        <w:tc>
          <w:tcPr>
            <w:tcW w:w="1320" w:type="dxa"/>
            <w:tcBorders>
              <w:top w:val="nil"/>
              <w:left w:val="nil"/>
              <w:bottom w:val="nil"/>
              <w:right w:val="nil"/>
            </w:tcBorders>
            <w:shd w:val="clear" w:color="auto" w:fill="auto"/>
            <w:noWrap/>
            <w:vAlign w:val="bottom"/>
            <w:hideMark/>
          </w:tcPr>
          <w:p w14:paraId="33E31E99" w14:textId="53C29F26"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111,5</w:t>
            </w:r>
            <w:r w:rsidR="00E9104B">
              <w:rPr>
                <w:rFonts w:ascii="Arial" w:hAnsi="Arial" w:cs="Arial"/>
                <w:sz w:val="18"/>
                <w:szCs w:val="18"/>
                <w:lang w:eastAsia="hr-HR"/>
              </w:rPr>
              <w:t>3</w:t>
            </w:r>
            <w:r w:rsidRPr="00583CB4">
              <w:rPr>
                <w:rFonts w:ascii="Arial" w:hAnsi="Arial" w:cs="Arial"/>
                <w:sz w:val="18"/>
                <w:szCs w:val="18"/>
                <w:lang w:eastAsia="hr-HR"/>
              </w:rPr>
              <w:t>%</w:t>
            </w:r>
          </w:p>
        </w:tc>
        <w:tc>
          <w:tcPr>
            <w:tcW w:w="1280" w:type="dxa"/>
            <w:tcBorders>
              <w:top w:val="nil"/>
              <w:left w:val="nil"/>
              <w:bottom w:val="nil"/>
              <w:right w:val="nil"/>
            </w:tcBorders>
            <w:shd w:val="clear" w:color="auto" w:fill="auto"/>
            <w:noWrap/>
            <w:vAlign w:val="bottom"/>
            <w:hideMark/>
          </w:tcPr>
          <w:p w14:paraId="2B199B11"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412808E1" w14:textId="77777777" w:rsidTr="00D53FB4">
        <w:trPr>
          <w:trHeight w:val="255"/>
        </w:trPr>
        <w:tc>
          <w:tcPr>
            <w:tcW w:w="7655" w:type="dxa"/>
            <w:tcBorders>
              <w:top w:val="nil"/>
              <w:left w:val="nil"/>
              <w:bottom w:val="nil"/>
              <w:right w:val="nil"/>
            </w:tcBorders>
            <w:shd w:val="clear" w:color="auto" w:fill="auto"/>
            <w:noWrap/>
            <w:vAlign w:val="bottom"/>
            <w:hideMark/>
          </w:tcPr>
          <w:p w14:paraId="18371B76"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653 Komunalni doprinosi i naknade                                                                       </w:t>
            </w:r>
          </w:p>
        </w:tc>
        <w:tc>
          <w:tcPr>
            <w:tcW w:w="1384" w:type="dxa"/>
            <w:tcBorders>
              <w:top w:val="nil"/>
              <w:left w:val="nil"/>
              <w:bottom w:val="nil"/>
              <w:right w:val="nil"/>
            </w:tcBorders>
            <w:shd w:val="clear" w:color="auto" w:fill="auto"/>
            <w:noWrap/>
            <w:vAlign w:val="bottom"/>
            <w:hideMark/>
          </w:tcPr>
          <w:p w14:paraId="15253D09"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230.266,81</w:t>
            </w:r>
          </w:p>
        </w:tc>
        <w:tc>
          <w:tcPr>
            <w:tcW w:w="1740" w:type="dxa"/>
            <w:tcBorders>
              <w:top w:val="nil"/>
              <w:left w:val="nil"/>
              <w:bottom w:val="nil"/>
              <w:right w:val="nil"/>
            </w:tcBorders>
            <w:shd w:val="clear" w:color="auto" w:fill="auto"/>
            <w:noWrap/>
            <w:vAlign w:val="bottom"/>
            <w:hideMark/>
          </w:tcPr>
          <w:p w14:paraId="50A33A77"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2106C9EA"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242.314,82</w:t>
            </w:r>
          </w:p>
        </w:tc>
        <w:tc>
          <w:tcPr>
            <w:tcW w:w="1320" w:type="dxa"/>
            <w:tcBorders>
              <w:top w:val="nil"/>
              <w:left w:val="nil"/>
              <w:bottom w:val="nil"/>
              <w:right w:val="nil"/>
            </w:tcBorders>
            <w:shd w:val="clear" w:color="auto" w:fill="auto"/>
            <w:noWrap/>
            <w:vAlign w:val="bottom"/>
            <w:hideMark/>
          </w:tcPr>
          <w:p w14:paraId="1C7CD1F4"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105,23%</w:t>
            </w:r>
          </w:p>
        </w:tc>
        <w:tc>
          <w:tcPr>
            <w:tcW w:w="1280" w:type="dxa"/>
            <w:tcBorders>
              <w:top w:val="nil"/>
              <w:left w:val="nil"/>
              <w:bottom w:val="nil"/>
              <w:right w:val="nil"/>
            </w:tcBorders>
            <w:shd w:val="clear" w:color="auto" w:fill="auto"/>
            <w:noWrap/>
            <w:vAlign w:val="bottom"/>
            <w:hideMark/>
          </w:tcPr>
          <w:p w14:paraId="7B8F3D1A"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5A311867" w14:textId="77777777" w:rsidTr="00D53FB4">
        <w:trPr>
          <w:trHeight w:val="255"/>
        </w:trPr>
        <w:tc>
          <w:tcPr>
            <w:tcW w:w="7655" w:type="dxa"/>
            <w:tcBorders>
              <w:top w:val="nil"/>
              <w:left w:val="nil"/>
              <w:bottom w:val="nil"/>
              <w:right w:val="nil"/>
            </w:tcBorders>
            <w:shd w:val="clear" w:color="auto" w:fill="auto"/>
            <w:noWrap/>
            <w:vAlign w:val="bottom"/>
            <w:hideMark/>
          </w:tcPr>
          <w:p w14:paraId="37E97216"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6531 Komunalni doprinosi                                                                                 </w:t>
            </w:r>
          </w:p>
        </w:tc>
        <w:tc>
          <w:tcPr>
            <w:tcW w:w="1384" w:type="dxa"/>
            <w:tcBorders>
              <w:top w:val="nil"/>
              <w:left w:val="nil"/>
              <w:bottom w:val="nil"/>
              <w:right w:val="nil"/>
            </w:tcBorders>
            <w:shd w:val="clear" w:color="auto" w:fill="auto"/>
            <w:noWrap/>
            <w:vAlign w:val="bottom"/>
            <w:hideMark/>
          </w:tcPr>
          <w:p w14:paraId="11CA8160"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6.591,88</w:t>
            </w:r>
          </w:p>
        </w:tc>
        <w:tc>
          <w:tcPr>
            <w:tcW w:w="1740" w:type="dxa"/>
            <w:tcBorders>
              <w:top w:val="nil"/>
              <w:left w:val="nil"/>
              <w:bottom w:val="nil"/>
              <w:right w:val="nil"/>
            </w:tcBorders>
            <w:shd w:val="clear" w:color="auto" w:fill="auto"/>
            <w:noWrap/>
            <w:vAlign w:val="bottom"/>
            <w:hideMark/>
          </w:tcPr>
          <w:p w14:paraId="20D1E903"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2FE4E737"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5.473,81</w:t>
            </w:r>
          </w:p>
        </w:tc>
        <w:tc>
          <w:tcPr>
            <w:tcW w:w="1320" w:type="dxa"/>
            <w:tcBorders>
              <w:top w:val="nil"/>
              <w:left w:val="nil"/>
              <w:bottom w:val="nil"/>
              <w:right w:val="nil"/>
            </w:tcBorders>
            <w:shd w:val="clear" w:color="auto" w:fill="auto"/>
            <w:noWrap/>
            <w:vAlign w:val="bottom"/>
            <w:hideMark/>
          </w:tcPr>
          <w:p w14:paraId="7B86FBA0"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83,04%</w:t>
            </w:r>
          </w:p>
        </w:tc>
        <w:tc>
          <w:tcPr>
            <w:tcW w:w="1280" w:type="dxa"/>
            <w:tcBorders>
              <w:top w:val="nil"/>
              <w:left w:val="nil"/>
              <w:bottom w:val="nil"/>
              <w:right w:val="nil"/>
            </w:tcBorders>
            <w:shd w:val="clear" w:color="auto" w:fill="auto"/>
            <w:noWrap/>
            <w:vAlign w:val="bottom"/>
            <w:hideMark/>
          </w:tcPr>
          <w:p w14:paraId="04701061"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39367B50" w14:textId="77777777" w:rsidTr="00D53FB4">
        <w:trPr>
          <w:trHeight w:val="255"/>
        </w:trPr>
        <w:tc>
          <w:tcPr>
            <w:tcW w:w="7655" w:type="dxa"/>
            <w:tcBorders>
              <w:top w:val="nil"/>
              <w:left w:val="nil"/>
              <w:bottom w:val="nil"/>
              <w:right w:val="nil"/>
            </w:tcBorders>
            <w:shd w:val="clear" w:color="auto" w:fill="auto"/>
            <w:noWrap/>
            <w:vAlign w:val="bottom"/>
            <w:hideMark/>
          </w:tcPr>
          <w:p w14:paraId="288205FB"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6532 Komunalne naknade                                                                                   </w:t>
            </w:r>
          </w:p>
        </w:tc>
        <w:tc>
          <w:tcPr>
            <w:tcW w:w="1384" w:type="dxa"/>
            <w:tcBorders>
              <w:top w:val="nil"/>
              <w:left w:val="nil"/>
              <w:bottom w:val="nil"/>
              <w:right w:val="nil"/>
            </w:tcBorders>
            <w:shd w:val="clear" w:color="auto" w:fill="auto"/>
            <w:noWrap/>
            <w:vAlign w:val="bottom"/>
            <w:hideMark/>
          </w:tcPr>
          <w:p w14:paraId="1F2C2A81"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223.674,93</w:t>
            </w:r>
          </w:p>
        </w:tc>
        <w:tc>
          <w:tcPr>
            <w:tcW w:w="1740" w:type="dxa"/>
            <w:tcBorders>
              <w:top w:val="nil"/>
              <w:left w:val="nil"/>
              <w:bottom w:val="nil"/>
              <w:right w:val="nil"/>
            </w:tcBorders>
            <w:shd w:val="clear" w:color="auto" w:fill="auto"/>
            <w:noWrap/>
            <w:vAlign w:val="bottom"/>
            <w:hideMark/>
          </w:tcPr>
          <w:p w14:paraId="7C6752CD"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22E08EAA"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236.841,01</w:t>
            </w:r>
          </w:p>
        </w:tc>
        <w:tc>
          <w:tcPr>
            <w:tcW w:w="1320" w:type="dxa"/>
            <w:tcBorders>
              <w:top w:val="nil"/>
              <w:left w:val="nil"/>
              <w:bottom w:val="nil"/>
              <w:right w:val="nil"/>
            </w:tcBorders>
            <w:shd w:val="clear" w:color="auto" w:fill="auto"/>
            <w:noWrap/>
            <w:vAlign w:val="bottom"/>
            <w:hideMark/>
          </w:tcPr>
          <w:p w14:paraId="1BCDE3E8"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105,89%</w:t>
            </w:r>
          </w:p>
        </w:tc>
        <w:tc>
          <w:tcPr>
            <w:tcW w:w="1280" w:type="dxa"/>
            <w:tcBorders>
              <w:top w:val="nil"/>
              <w:left w:val="nil"/>
              <w:bottom w:val="nil"/>
              <w:right w:val="nil"/>
            </w:tcBorders>
            <w:shd w:val="clear" w:color="auto" w:fill="auto"/>
            <w:noWrap/>
            <w:vAlign w:val="bottom"/>
            <w:hideMark/>
          </w:tcPr>
          <w:p w14:paraId="44ACEE15"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0F9F1347" w14:textId="77777777" w:rsidTr="00D53FB4">
        <w:trPr>
          <w:trHeight w:val="255"/>
        </w:trPr>
        <w:tc>
          <w:tcPr>
            <w:tcW w:w="7655" w:type="dxa"/>
            <w:tcBorders>
              <w:top w:val="nil"/>
              <w:left w:val="nil"/>
              <w:bottom w:val="nil"/>
              <w:right w:val="nil"/>
            </w:tcBorders>
            <w:shd w:val="clear" w:color="auto" w:fill="auto"/>
            <w:noWrap/>
            <w:vAlign w:val="bottom"/>
            <w:hideMark/>
          </w:tcPr>
          <w:p w14:paraId="7A25842D" w14:textId="77777777" w:rsidR="00583CB4" w:rsidRPr="00583CB4" w:rsidRDefault="00583CB4" w:rsidP="00583CB4">
            <w:pPr>
              <w:spacing w:after="0" w:line="240" w:lineRule="auto"/>
              <w:rPr>
                <w:rFonts w:ascii="Arial" w:hAnsi="Arial" w:cs="Arial"/>
                <w:b/>
                <w:bCs/>
                <w:sz w:val="18"/>
                <w:szCs w:val="18"/>
                <w:lang w:eastAsia="hr-HR"/>
              </w:rPr>
            </w:pPr>
            <w:r w:rsidRPr="00583CB4">
              <w:rPr>
                <w:rFonts w:ascii="Arial" w:hAnsi="Arial" w:cs="Arial"/>
                <w:b/>
                <w:bCs/>
                <w:sz w:val="18"/>
                <w:szCs w:val="18"/>
                <w:lang w:eastAsia="hr-HR"/>
              </w:rPr>
              <w:t xml:space="preserve">66 Prihodi od prodaje proizvoda i robe te pruženih usluga i prihodi od donacija                        </w:t>
            </w:r>
          </w:p>
        </w:tc>
        <w:tc>
          <w:tcPr>
            <w:tcW w:w="1384" w:type="dxa"/>
            <w:tcBorders>
              <w:top w:val="nil"/>
              <w:left w:val="nil"/>
              <w:bottom w:val="nil"/>
              <w:right w:val="nil"/>
            </w:tcBorders>
            <w:shd w:val="clear" w:color="auto" w:fill="auto"/>
            <w:noWrap/>
            <w:vAlign w:val="bottom"/>
            <w:hideMark/>
          </w:tcPr>
          <w:p w14:paraId="0C4CA391"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69.495,54</w:t>
            </w:r>
          </w:p>
        </w:tc>
        <w:tc>
          <w:tcPr>
            <w:tcW w:w="1740" w:type="dxa"/>
            <w:tcBorders>
              <w:top w:val="nil"/>
              <w:left w:val="nil"/>
              <w:bottom w:val="nil"/>
              <w:right w:val="nil"/>
            </w:tcBorders>
            <w:shd w:val="clear" w:color="auto" w:fill="auto"/>
            <w:noWrap/>
            <w:vAlign w:val="bottom"/>
            <w:hideMark/>
          </w:tcPr>
          <w:p w14:paraId="732BB6D5"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193.555,01</w:t>
            </w:r>
          </w:p>
        </w:tc>
        <w:tc>
          <w:tcPr>
            <w:tcW w:w="1412" w:type="dxa"/>
            <w:tcBorders>
              <w:top w:val="nil"/>
              <w:left w:val="nil"/>
              <w:bottom w:val="nil"/>
              <w:right w:val="nil"/>
            </w:tcBorders>
            <w:shd w:val="clear" w:color="auto" w:fill="auto"/>
            <w:noWrap/>
            <w:vAlign w:val="bottom"/>
            <w:hideMark/>
          </w:tcPr>
          <w:p w14:paraId="6F11FC51" w14:textId="6AE0B8DF" w:rsidR="00583CB4" w:rsidRPr="00583CB4" w:rsidRDefault="00D14272" w:rsidP="00583CB4">
            <w:pPr>
              <w:spacing w:after="0" w:line="240" w:lineRule="auto"/>
              <w:jc w:val="right"/>
              <w:rPr>
                <w:rFonts w:ascii="Arial" w:hAnsi="Arial" w:cs="Arial"/>
                <w:b/>
                <w:bCs/>
                <w:sz w:val="18"/>
                <w:szCs w:val="18"/>
                <w:lang w:eastAsia="hr-HR"/>
              </w:rPr>
            </w:pPr>
            <w:r>
              <w:rPr>
                <w:rFonts w:ascii="Arial" w:hAnsi="Arial" w:cs="Arial"/>
                <w:b/>
                <w:bCs/>
                <w:sz w:val="18"/>
                <w:szCs w:val="18"/>
                <w:lang w:eastAsia="hr-HR"/>
              </w:rPr>
              <w:t>190.762,78</w:t>
            </w:r>
          </w:p>
        </w:tc>
        <w:tc>
          <w:tcPr>
            <w:tcW w:w="1320" w:type="dxa"/>
            <w:tcBorders>
              <w:top w:val="nil"/>
              <w:left w:val="nil"/>
              <w:bottom w:val="nil"/>
              <w:right w:val="nil"/>
            </w:tcBorders>
            <w:shd w:val="clear" w:color="auto" w:fill="auto"/>
            <w:noWrap/>
            <w:vAlign w:val="bottom"/>
            <w:hideMark/>
          </w:tcPr>
          <w:p w14:paraId="2009A1D8" w14:textId="0E3E95E3"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27</w:t>
            </w:r>
            <w:r w:rsidR="00D14272">
              <w:rPr>
                <w:rFonts w:ascii="Arial" w:hAnsi="Arial" w:cs="Arial"/>
                <w:b/>
                <w:bCs/>
                <w:sz w:val="18"/>
                <w:szCs w:val="18"/>
                <w:lang w:eastAsia="hr-HR"/>
              </w:rPr>
              <w:t>4,50</w:t>
            </w:r>
            <w:r w:rsidRPr="00583CB4">
              <w:rPr>
                <w:rFonts w:ascii="Arial" w:hAnsi="Arial" w:cs="Arial"/>
                <w:b/>
                <w:bCs/>
                <w:sz w:val="18"/>
                <w:szCs w:val="18"/>
                <w:lang w:eastAsia="hr-HR"/>
              </w:rPr>
              <w:t>%</w:t>
            </w:r>
          </w:p>
        </w:tc>
        <w:tc>
          <w:tcPr>
            <w:tcW w:w="1280" w:type="dxa"/>
            <w:tcBorders>
              <w:top w:val="nil"/>
              <w:left w:val="nil"/>
              <w:bottom w:val="nil"/>
              <w:right w:val="nil"/>
            </w:tcBorders>
            <w:shd w:val="clear" w:color="auto" w:fill="auto"/>
            <w:noWrap/>
            <w:vAlign w:val="bottom"/>
            <w:hideMark/>
          </w:tcPr>
          <w:p w14:paraId="2C929D08" w14:textId="7D8F43DD"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9</w:t>
            </w:r>
            <w:r w:rsidR="00D14272">
              <w:rPr>
                <w:rFonts w:ascii="Arial" w:hAnsi="Arial" w:cs="Arial"/>
                <w:b/>
                <w:bCs/>
                <w:sz w:val="18"/>
                <w:szCs w:val="18"/>
                <w:lang w:eastAsia="hr-HR"/>
              </w:rPr>
              <w:t>8,56</w:t>
            </w:r>
            <w:r w:rsidRPr="00583CB4">
              <w:rPr>
                <w:rFonts w:ascii="Arial" w:hAnsi="Arial" w:cs="Arial"/>
                <w:b/>
                <w:bCs/>
                <w:sz w:val="18"/>
                <w:szCs w:val="18"/>
                <w:lang w:eastAsia="hr-HR"/>
              </w:rPr>
              <w:t>%</w:t>
            </w:r>
          </w:p>
        </w:tc>
      </w:tr>
      <w:tr w:rsidR="00583CB4" w:rsidRPr="00583CB4" w14:paraId="032D9C9E" w14:textId="77777777" w:rsidTr="00D53FB4">
        <w:trPr>
          <w:trHeight w:val="255"/>
        </w:trPr>
        <w:tc>
          <w:tcPr>
            <w:tcW w:w="7655" w:type="dxa"/>
            <w:tcBorders>
              <w:top w:val="nil"/>
              <w:left w:val="nil"/>
              <w:bottom w:val="nil"/>
              <w:right w:val="nil"/>
            </w:tcBorders>
            <w:shd w:val="clear" w:color="auto" w:fill="auto"/>
            <w:noWrap/>
            <w:vAlign w:val="bottom"/>
            <w:hideMark/>
          </w:tcPr>
          <w:p w14:paraId="64B33653"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661 Prihodi od prodaje proizvoda i robe te pruženih usluga                                              </w:t>
            </w:r>
          </w:p>
        </w:tc>
        <w:tc>
          <w:tcPr>
            <w:tcW w:w="1384" w:type="dxa"/>
            <w:tcBorders>
              <w:top w:val="nil"/>
              <w:left w:val="nil"/>
              <w:bottom w:val="nil"/>
              <w:right w:val="nil"/>
            </w:tcBorders>
            <w:shd w:val="clear" w:color="auto" w:fill="auto"/>
            <w:noWrap/>
            <w:vAlign w:val="bottom"/>
            <w:hideMark/>
          </w:tcPr>
          <w:p w14:paraId="4A37FC72"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64.937,07</w:t>
            </w:r>
          </w:p>
        </w:tc>
        <w:tc>
          <w:tcPr>
            <w:tcW w:w="1740" w:type="dxa"/>
            <w:tcBorders>
              <w:top w:val="nil"/>
              <w:left w:val="nil"/>
              <w:bottom w:val="nil"/>
              <w:right w:val="nil"/>
            </w:tcBorders>
            <w:shd w:val="clear" w:color="auto" w:fill="auto"/>
            <w:noWrap/>
            <w:vAlign w:val="bottom"/>
            <w:hideMark/>
          </w:tcPr>
          <w:p w14:paraId="60DC89A3"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07992575"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68.122,23</w:t>
            </w:r>
          </w:p>
        </w:tc>
        <w:tc>
          <w:tcPr>
            <w:tcW w:w="1320" w:type="dxa"/>
            <w:tcBorders>
              <w:top w:val="nil"/>
              <w:left w:val="nil"/>
              <w:bottom w:val="nil"/>
              <w:right w:val="nil"/>
            </w:tcBorders>
            <w:shd w:val="clear" w:color="auto" w:fill="auto"/>
            <w:noWrap/>
            <w:vAlign w:val="bottom"/>
            <w:hideMark/>
          </w:tcPr>
          <w:p w14:paraId="193EBAEB"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104,90%</w:t>
            </w:r>
          </w:p>
        </w:tc>
        <w:tc>
          <w:tcPr>
            <w:tcW w:w="1280" w:type="dxa"/>
            <w:tcBorders>
              <w:top w:val="nil"/>
              <w:left w:val="nil"/>
              <w:bottom w:val="nil"/>
              <w:right w:val="nil"/>
            </w:tcBorders>
            <w:shd w:val="clear" w:color="auto" w:fill="auto"/>
            <w:noWrap/>
            <w:vAlign w:val="bottom"/>
            <w:hideMark/>
          </w:tcPr>
          <w:p w14:paraId="169592CE"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74FAF0F1" w14:textId="77777777" w:rsidTr="00D53FB4">
        <w:trPr>
          <w:trHeight w:val="255"/>
        </w:trPr>
        <w:tc>
          <w:tcPr>
            <w:tcW w:w="7655" w:type="dxa"/>
            <w:tcBorders>
              <w:top w:val="nil"/>
              <w:left w:val="nil"/>
              <w:bottom w:val="nil"/>
              <w:right w:val="nil"/>
            </w:tcBorders>
            <w:shd w:val="clear" w:color="auto" w:fill="auto"/>
            <w:noWrap/>
            <w:vAlign w:val="bottom"/>
            <w:hideMark/>
          </w:tcPr>
          <w:p w14:paraId="07DDFA39"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6614 Prihodi od prodaje proizvoda i robe                                                                 </w:t>
            </w:r>
          </w:p>
        </w:tc>
        <w:tc>
          <w:tcPr>
            <w:tcW w:w="1384" w:type="dxa"/>
            <w:tcBorders>
              <w:top w:val="nil"/>
              <w:left w:val="nil"/>
              <w:bottom w:val="nil"/>
              <w:right w:val="nil"/>
            </w:tcBorders>
            <w:shd w:val="clear" w:color="auto" w:fill="auto"/>
            <w:noWrap/>
            <w:vAlign w:val="bottom"/>
            <w:hideMark/>
          </w:tcPr>
          <w:p w14:paraId="69D4FF40"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1.386,77</w:t>
            </w:r>
          </w:p>
        </w:tc>
        <w:tc>
          <w:tcPr>
            <w:tcW w:w="1740" w:type="dxa"/>
            <w:tcBorders>
              <w:top w:val="nil"/>
              <w:left w:val="nil"/>
              <w:bottom w:val="nil"/>
              <w:right w:val="nil"/>
            </w:tcBorders>
            <w:shd w:val="clear" w:color="auto" w:fill="auto"/>
            <w:noWrap/>
            <w:vAlign w:val="bottom"/>
            <w:hideMark/>
          </w:tcPr>
          <w:p w14:paraId="2B5120F8"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626A95C5"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563,97</w:t>
            </w:r>
          </w:p>
        </w:tc>
        <w:tc>
          <w:tcPr>
            <w:tcW w:w="1320" w:type="dxa"/>
            <w:tcBorders>
              <w:top w:val="nil"/>
              <w:left w:val="nil"/>
              <w:bottom w:val="nil"/>
              <w:right w:val="nil"/>
            </w:tcBorders>
            <w:shd w:val="clear" w:color="auto" w:fill="auto"/>
            <w:noWrap/>
            <w:vAlign w:val="bottom"/>
            <w:hideMark/>
          </w:tcPr>
          <w:p w14:paraId="2E0091F1"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40,67%</w:t>
            </w:r>
          </w:p>
        </w:tc>
        <w:tc>
          <w:tcPr>
            <w:tcW w:w="1280" w:type="dxa"/>
            <w:tcBorders>
              <w:top w:val="nil"/>
              <w:left w:val="nil"/>
              <w:bottom w:val="nil"/>
              <w:right w:val="nil"/>
            </w:tcBorders>
            <w:shd w:val="clear" w:color="auto" w:fill="auto"/>
            <w:noWrap/>
            <w:vAlign w:val="bottom"/>
            <w:hideMark/>
          </w:tcPr>
          <w:p w14:paraId="66EB8930"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4960D4EC" w14:textId="77777777" w:rsidTr="00D53FB4">
        <w:trPr>
          <w:trHeight w:val="255"/>
        </w:trPr>
        <w:tc>
          <w:tcPr>
            <w:tcW w:w="7655" w:type="dxa"/>
            <w:tcBorders>
              <w:top w:val="nil"/>
              <w:left w:val="nil"/>
              <w:bottom w:val="nil"/>
              <w:right w:val="nil"/>
            </w:tcBorders>
            <w:shd w:val="clear" w:color="auto" w:fill="auto"/>
            <w:noWrap/>
            <w:vAlign w:val="bottom"/>
            <w:hideMark/>
          </w:tcPr>
          <w:p w14:paraId="59FA4D14"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6615 Prihodi od pruženih usluga                                                                          </w:t>
            </w:r>
          </w:p>
        </w:tc>
        <w:tc>
          <w:tcPr>
            <w:tcW w:w="1384" w:type="dxa"/>
            <w:tcBorders>
              <w:top w:val="nil"/>
              <w:left w:val="nil"/>
              <w:bottom w:val="nil"/>
              <w:right w:val="nil"/>
            </w:tcBorders>
            <w:shd w:val="clear" w:color="auto" w:fill="auto"/>
            <w:noWrap/>
            <w:vAlign w:val="bottom"/>
            <w:hideMark/>
          </w:tcPr>
          <w:p w14:paraId="726BD819"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63.550,30</w:t>
            </w:r>
          </w:p>
        </w:tc>
        <w:tc>
          <w:tcPr>
            <w:tcW w:w="1740" w:type="dxa"/>
            <w:tcBorders>
              <w:top w:val="nil"/>
              <w:left w:val="nil"/>
              <w:bottom w:val="nil"/>
              <w:right w:val="nil"/>
            </w:tcBorders>
            <w:shd w:val="clear" w:color="auto" w:fill="auto"/>
            <w:noWrap/>
            <w:vAlign w:val="bottom"/>
            <w:hideMark/>
          </w:tcPr>
          <w:p w14:paraId="2E4E1D23"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05C08A7B"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67.558,26</w:t>
            </w:r>
          </w:p>
        </w:tc>
        <w:tc>
          <w:tcPr>
            <w:tcW w:w="1320" w:type="dxa"/>
            <w:tcBorders>
              <w:top w:val="nil"/>
              <w:left w:val="nil"/>
              <w:bottom w:val="nil"/>
              <w:right w:val="nil"/>
            </w:tcBorders>
            <w:shd w:val="clear" w:color="auto" w:fill="auto"/>
            <w:noWrap/>
            <w:vAlign w:val="bottom"/>
            <w:hideMark/>
          </w:tcPr>
          <w:p w14:paraId="468D3E17"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106,31%</w:t>
            </w:r>
          </w:p>
        </w:tc>
        <w:tc>
          <w:tcPr>
            <w:tcW w:w="1280" w:type="dxa"/>
            <w:tcBorders>
              <w:top w:val="nil"/>
              <w:left w:val="nil"/>
              <w:bottom w:val="nil"/>
              <w:right w:val="nil"/>
            </w:tcBorders>
            <w:shd w:val="clear" w:color="auto" w:fill="auto"/>
            <w:noWrap/>
            <w:vAlign w:val="bottom"/>
            <w:hideMark/>
          </w:tcPr>
          <w:p w14:paraId="3393D50B"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568B220F" w14:textId="77777777" w:rsidTr="00D53FB4">
        <w:trPr>
          <w:trHeight w:val="255"/>
        </w:trPr>
        <w:tc>
          <w:tcPr>
            <w:tcW w:w="7655" w:type="dxa"/>
            <w:tcBorders>
              <w:top w:val="nil"/>
              <w:left w:val="nil"/>
              <w:bottom w:val="nil"/>
              <w:right w:val="nil"/>
            </w:tcBorders>
            <w:shd w:val="clear" w:color="auto" w:fill="auto"/>
            <w:noWrap/>
            <w:vAlign w:val="bottom"/>
            <w:hideMark/>
          </w:tcPr>
          <w:p w14:paraId="22D537FB"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663 Donacije od pravnih i fizičkih osoba izvan opće države</w:t>
            </w:r>
          </w:p>
        </w:tc>
        <w:tc>
          <w:tcPr>
            <w:tcW w:w="1384" w:type="dxa"/>
            <w:tcBorders>
              <w:top w:val="nil"/>
              <w:left w:val="nil"/>
              <w:bottom w:val="nil"/>
              <w:right w:val="nil"/>
            </w:tcBorders>
            <w:shd w:val="clear" w:color="auto" w:fill="auto"/>
            <w:noWrap/>
            <w:vAlign w:val="bottom"/>
            <w:hideMark/>
          </w:tcPr>
          <w:p w14:paraId="68D14E48"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4.558,47</w:t>
            </w:r>
          </w:p>
        </w:tc>
        <w:tc>
          <w:tcPr>
            <w:tcW w:w="1740" w:type="dxa"/>
            <w:tcBorders>
              <w:top w:val="nil"/>
              <w:left w:val="nil"/>
              <w:bottom w:val="nil"/>
              <w:right w:val="nil"/>
            </w:tcBorders>
            <w:shd w:val="clear" w:color="auto" w:fill="auto"/>
            <w:noWrap/>
            <w:vAlign w:val="bottom"/>
            <w:hideMark/>
          </w:tcPr>
          <w:p w14:paraId="40B4FF8A"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7ABC33BC" w14:textId="70859DBA"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12</w:t>
            </w:r>
            <w:r w:rsidR="00D14272">
              <w:rPr>
                <w:rFonts w:ascii="Arial" w:hAnsi="Arial" w:cs="Arial"/>
                <w:sz w:val="18"/>
                <w:szCs w:val="18"/>
                <w:lang w:eastAsia="hr-HR"/>
              </w:rPr>
              <w:t>2.640,55</w:t>
            </w:r>
          </w:p>
        </w:tc>
        <w:tc>
          <w:tcPr>
            <w:tcW w:w="1320" w:type="dxa"/>
            <w:tcBorders>
              <w:top w:val="nil"/>
              <w:left w:val="nil"/>
              <w:bottom w:val="nil"/>
              <w:right w:val="nil"/>
            </w:tcBorders>
            <w:shd w:val="clear" w:color="auto" w:fill="auto"/>
            <w:noWrap/>
            <w:vAlign w:val="bottom"/>
            <w:hideMark/>
          </w:tcPr>
          <w:p w14:paraId="2119B500" w14:textId="33F5B5DD"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26</w:t>
            </w:r>
            <w:r w:rsidR="00D14272">
              <w:rPr>
                <w:rFonts w:ascii="Arial" w:hAnsi="Arial" w:cs="Arial"/>
                <w:sz w:val="18"/>
                <w:szCs w:val="18"/>
                <w:lang w:eastAsia="hr-HR"/>
              </w:rPr>
              <w:t>90,39</w:t>
            </w:r>
            <w:r w:rsidRPr="00583CB4">
              <w:rPr>
                <w:rFonts w:ascii="Arial" w:hAnsi="Arial" w:cs="Arial"/>
                <w:sz w:val="18"/>
                <w:szCs w:val="18"/>
                <w:lang w:eastAsia="hr-HR"/>
              </w:rPr>
              <w:t>%</w:t>
            </w:r>
          </w:p>
        </w:tc>
        <w:tc>
          <w:tcPr>
            <w:tcW w:w="1280" w:type="dxa"/>
            <w:tcBorders>
              <w:top w:val="nil"/>
              <w:left w:val="nil"/>
              <w:bottom w:val="nil"/>
              <w:right w:val="nil"/>
            </w:tcBorders>
            <w:shd w:val="clear" w:color="auto" w:fill="auto"/>
            <w:noWrap/>
            <w:vAlign w:val="bottom"/>
            <w:hideMark/>
          </w:tcPr>
          <w:p w14:paraId="724184A8"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4C7439A9" w14:textId="77777777" w:rsidTr="00D53FB4">
        <w:trPr>
          <w:trHeight w:val="255"/>
        </w:trPr>
        <w:tc>
          <w:tcPr>
            <w:tcW w:w="7655" w:type="dxa"/>
            <w:tcBorders>
              <w:top w:val="nil"/>
              <w:left w:val="nil"/>
              <w:bottom w:val="nil"/>
              <w:right w:val="nil"/>
            </w:tcBorders>
            <w:shd w:val="clear" w:color="auto" w:fill="auto"/>
            <w:noWrap/>
            <w:vAlign w:val="bottom"/>
            <w:hideMark/>
          </w:tcPr>
          <w:p w14:paraId="32A66B32"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6631 Tekuće donacije                                                                                     </w:t>
            </w:r>
          </w:p>
        </w:tc>
        <w:tc>
          <w:tcPr>
            <w:tcW w:w="1384" w:type="dxa"/>
            <w:tcBorders>
              <w:top w:val="nil"/>
              <w:left w:val="nil"/>
              <w:bottom w:val="nil"/>
              <w:right w:val="nil"/>
            </w:tcBorders>
            <w:shd w:val="clear" w:color="auto" w:fill="auto"/>
            <w:noWrap/>
            <w:vAlign w:val="bottom"/>
            <w:hideMark/>
          </w:tcPr>
          <w:p w14:paraId="356B3D86"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2.465,04</w:t>
            </w:r>
          </w:p>
        </w:tc>
        <w:tc>
          <w:tcPr>
            <w:tcW w:w="1740" w:type="dxa"/>
            <w:tcBorders>
              <w:top w:val="nil"/>
              <w:left w:val="nil"/>
              <w:bottom w:val="nil"/>
              <w:right w:val="nil"/>
            </w:tcBorders>
            <w:shd w:val="clear" w:color="auto" w:fill="auto"/>
            <w:noWrap/>
            <w:vAlign w:val="bottom"/>
            <w:hideMark/>
          </w:tcPr>
          <w:p w14:paraId="6E2407C8"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774B7625" w14:textId="4797E037" w:rsidR="00583CB4" w:rsidRPr="00583CB4" w:rsidRDefault="00D14272" w:rsidP="00583CB4">
            <w:pPr>
              <w:spacing w:after="0" w:line="240" w:lineRule="auto"/>
              <w:jc w:val="right"/>
              <w:rPr>
                <w:rFonts w:ascii="Arial" w:hAnsi="Arial" w:cs="Arial"/>
                <w:sz w:val="18"/>
                <w:szCs w:val="18"/>
                <w:lang w:eastAsia="hr-HR"/>
              </w:rPr>
            </w:pPr>
            <w:r>
              <w:rPr>
                <w:rFonts w:ascii="Arial" w:hAnsi="Arial" w:cs="Arial"/>
                <w:sz w:val="18"/>
                <w:szCs w:val="18"/>
                <w:lang w:eastAsia="hr-HR"/>
              </w:rPr>
              <w:t>3.325,33</w:t>
            </w:r>
          </w:p>
        </w:tc>
        <w:tc>
          <w:tcPr>
            <w:tcW w:w="1320" w:type="dxa"/>
            <w:tcBorders>
              <w:top w:val="nil"/>
              <w:left w:val="nil"/>
              <w:bottom w:val="nil"/>
              <w:right w:val="nil"/>
            </w:tcBorders>
            <w:shd w:val="clear" w:color="auto" w:fill="auto"/>
            <w:noWrap/>
            <w:vAlign w:val="bottom"/>
            <w:hideMark/>
          </w:tcPr>
          <w:p w14:paraId="25005843" w14:textId="060AE388"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w:t>
            </w:r>
            <w:r w:rsidR="00D14272">
              <w:rPr>
                <w:rFonts w:ascii="Arial" w:hAnsi="Arial" w:cs="Arial"/>
                <w:sz w:val="18"/>
                <w:szCs w:val="18"/>
                <w:lang w:eastAsia="hr-HR"/>
              </w:rPr>
              <w:t>34,90</w:t>
            </w:r>
            <w:r w:rsidRPr="00583CB4">
              <w:rPr>
                <w:rFonts w:ascii="Arial" w:hAnsi="Arial" w:cs="Arial"/>
                <w:sz w:val="18"/>
                <w:szCs w:val="18"/>
                <w:lang w:eastAsia="hr-HR"/>
              </w:rPr>
              <w:t>%</w:t>
            </w:r>
          </w:p>
        </w:tc>
        <w:tc>
          <w:tcPr>
            <w:tcW w:w="1280" w:type="dxa"/>
            <w:tcBorders>
              <w:top w:val="nil"/>
              <w:left w:val="nil"/>
              <w:bottom w:val="nil"/>
              <w:right w:val="nil"/>
            </w:tcBorders>
            <w:shd w:val="clear" w:color="auto" w:fill="auto"/>
            <w:noWrap/>
            <w:vAlign w:val="bottom"/>
            <w:hideMark/>
          </w:tcPr>
          <w:p w14:paraId="1946CEB2"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394867E6" w14:textId="77777777" w:rsidTr="00D53FB4">
        <w:trPr>
          <w:trHeight w:val="255"/>
        </w:trPr>
        <w:tc>
          <w:tcPr>
            <w:tcW w:w="7655" w:type="dxa"/>
            <w:tcBorders>
              <w:top w:val="nil"/>
              <w:left w:val="nil"/>
              <w:bottom w:val="nil"/>
              <w:right w:val="nil"/>
            </w:tcBorders>
            <w:shd w:val="clear" w:color="auto" w:fill="auto"/>
            <w:noWrap/>
            <w:vAlign w:val="bottom"/>
            <w:hideMark/>
          </w:tcPr>
          <w:p w14:paraId="21D4EEAC"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6632 Kapitalne donacije                                                                                  </w:t>
            </w:r>
          </w:p>
        </w:tc>
        <w:tc>
          <w:tcPr>
            <w:tcW w:w="1384" w:type="dxa"/>
            <w:tcBorders>
              <w:top w:val="nil"/>
              <w:left w:val="nil"/>
              <w:bottom w:val="nil"/>
              <w:right w:val="nil"/>
            </w:tcBorders>
            <w:shd w:val="clear" w:color="auto" w:fill="auto"/>
            <w:noWrap/>
            <w:vAlign w:val="bottom"/>
            <w:hideMark/>
          </w:tcPr>
          <w:p w14:paraId="00D51401"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2.093,43</w:t>
            </w:r>
          </w:p>
        </w:tc>
        <w:tc>
          <w:tcPr>
            <w:tcW w:w="1740" w:type="dxa"/>
            <w:tcBorders>
              <w:top w:val="nil"/>
              <w:left w:val="nil"/>
              <w:bottom w:val="nil"/>
              <w:right w:val="nil"/>
            </w:tcBorders>
            <w:shd w:val="clear" w:color="auto" w:fill="auto"/>
            <w:noWrap/>
            <w:vAlign w:val="bottom"/>
            <w:hideMark/>
          </w:tcPr>
          <w:p w14:paraId="096D23D6"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3B04886F" w14:textId="354659ED"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11</w:t>
            </w:r>
            <w:r w:rsidR="00D14272">
              <w:rPr>
                <w:rFonts w:ascii="Arial" w:hAnsi="Arial" w:cs="Arial"/>
                <w:sz w:val="18"/>
                <w:szCs w:val="18"/>
                <w:lang w:eastAsia="hr-HR"/>
              </w:rPr>
              <w:t>9.315,22</w:t>
            </w:r>
          </w:p>
        </w:tc>
        <w:tc>
          <w:tcPr>
            <w:tcW w:w="1320" w:type="dxa"/>
            <w:tcBorders>
              <w:top w:val="nil"/>
              <w:left w:val="nil"/>
              <w:bottom w:val="nil"/>
              <w:right w:val="nil"/>
            </w:tcBorders>
            <w:shd w:val="clear" w:color="auto" w:fill="auto"/>
            <w:noWrap/>
            <w:vAlign w:val="bottom"/>
            <w:hideMark/>
          </w:tcPr>
          <w:p w14:paraId="37F2D870" w14:textId="41A0F648"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56</w:t>
            </w:r>
            <w:r w:rsidR="00D14272">
              <w:rPr>
                <w:rFonts w:ascii="Arial" w:hAnsi="Arial" w:cs="Arial"/>
                <w:sz w:val="18"/>
                <w:szCs w:val="18"/>
                <w:lang w:eastAsia="hr-HR"/>
              </w:rPr>
              <w:t>99,51</w:t>
            </w:r>
            <w:r w:rsidRPr="00583CB4">
              <w:rPr>
                <w:rFonts w:ascii="Arial" w:hAnsi="Arial" w:cs="Arial"/>
                <w:sz w:val="18"/>
                <w:szCs w:val="18"/>
                <w:lang w:eastAsia="hr-HR"/>
              </w:rPr>
              <w:t>%</w:t>
            </w:r>
          </w:p>
        </w:tc>
        <w:tc>
          <w:tcPr>
            <w:tcW w:w="1280" w:type="dxa"/>
            <w:tcBorders>
              <w:top w:val="nil"/>
              <w:left w:val="nil"/>
              <w:bottom w:val="nil"/>
              <w:right w:val="nil"/>
            </w:tcBorders>
            <w:shd w:val="clear" w:color="auto" w:fill="auto"/>
            <w:noWrap/>
            <w:vAlign w:val="bottom"/>
            <w:hideMark/>
          </w:tcPr>
          <w:p w14:paraId="7A661534"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59E35FD6" w14:textId="77777777" w:rsidTr="00D53FB4">
        <w:trPr>
          <w:trHeight w:val="255"/>
        </w:trPr>
        <w:tc>
          <w:tcPr>
            <w:tcW w:w="7655" w:type="dxa"/>
            <w:tcBorders>
              <w:top w:val="nil"/>
              <w:left w:val="nil"/>
              <w:bottom w:val="nil"/>
              <w:right w:val="nil"/>
            </w:tcBorders>
            <w:shd w:val="clear" w:color="auto" w:fill="auto"/>
            <w:noWrap/>
            <w:vAlign w:val="bottom"/>
            <w:hideMark/>
          </w:tcPr>
          <w:p w14:paraId="29C6ADB6" w14:textId="77777777" w:rsidR="00583CB4" w:rsidRPr="00583CB4" w:rsidRDefault="00583CB4" w:rsidP="00583CB4">
            <w:pPr>
              <w:spacing w:after="0" w:line="240" w:lineRule="auto"/>
              <w:rPr>
                <w:rFonts w:ascii="Arial" w:hAnsi="Arial" w:cs="Arial"/>
                <w:b/>
                <w:bCs/>
                <w:sz w:val="18"/>
                <w:szCs w:val="18"/>
                <w:lang w:eastAsia="hr-HR"/>
              </w:rPr>
            </w:pPr>
            <w:r w:rsidRPr="00583CB4">
              <w:rPr>
                <w:rFonts w:ascii="Arial" w:hAnsi="Arial" w:cs="Arial"/>
                <w:b/>
                <w:bCs/>
                <w:sz w:val="18"/>
                <w:szCs w:val="18"/>
                <w:lang w:eastAsia="hr-HR"/>
              </w:rPr>
              <w:t xml:space="preserve">68 Kazne, upravne mjere i ostali prihodi                                                               </w:t>
            </w:r>
          </w:p>
        </w:tc>
        <w:tc>
          <w:tcPr>
            <w:tcW w:w="1384" w:type="dxa"/>
            <w:tcBorders>
              <w:top w:val="nil"/>
              <w:left w:val="nil"/>
              <w:bottom w:val="nil"/>
              <w:right w:val="nil"/>
            </w:tcBorders>
            <w:shd w:val="clear" w:color="auto" w:fill="auto"/>
            <w:noWrap/>
            <w:vAlign w:val="bottom"/>
            <w:hideMark/>
          </w:tcPr>
          <w:p w14:paraId="4602D9B6"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7.102,80</w:t>
            </w:r>
          </w:p>
        </w:tc>
        <w:tc>
          <w:tcPr>
            <w:tcW w:w="1740" w:type="dxa"/>
            <w:tcBorders>
              <w:top w:val="nil"/>
              <w:left w:val="nil"/>
              <w:bottom w:val="nil"/>
              <w:right w:val="nil"/>
            </w:tcBorders>
            <w:shd w:val="clear" w:color="auto" w:fill="auto"/>
            <w:noWrap/>
            <w:vAlign w:val="bottom"/>
            <w:hideMark/>
          </w:tcPr>
          <w:p w14:paraId="7666F69A"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52.000,00</w:t>
            </w:r>
          </w:p>
        </w:tc>
        <w:tc>
          <w:tcPr>
            <w:tcW w:w="1412" w:type="dxa"/>
            <w:tcBorders>
              <w:top w:val="nil"/>
              <w:left w:val="nil"/>
              <w:bottom w:val="nil"/>
              <w:right w:val="nil"/>
            </w:tcBorders>
            <w:shd w:val="clear" w:color="auto" w:fill="auto"/>
            <w:noWrap/>
            <w:vAlign w:val="bottom"/>
            <w:hideMark/>
          </w:tcPr>
          <w:p w14:paraId="670F69D4" w14:textId="000B3CF6"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48.2</w:t>
            </w:r>
            <w:r w:rsidR="00E9104B">
              <w:rPr>
                <w:rFonts w:ascii="Arial" w:hAnsi="Arial" w:cs="Arial"/>
                <w:b/>
                <w:bCs/>
                <w:sz w:val="18"/>
                <w:szCs w:val="18"/>
                <w:lang w:eastAsia="hr-HR"/>
              </w:rPr>
              <w:t>36,60</w:t>
            </w:r>
          </w:p>
        </w:tc>
        <w:tc>
          <w:tcPr>
            <w:tcW w:w="1320" w:type="dxa"/>
            <w:tcBorders>
              <w:top w:val="nil"/>
              <w:left w:val="nil"/>
              <w:bottom w:val="nil"/>
              <w:right w:val="nil"/>
            </w:tcBorders>
            <w:shd w:val="clear" w:color="auto" w:fill="auto"/>
            <w:noWrap/>
            <w:vAlign w:val="bottom"/>
            <w:hideMark/>
          </w:tcPr>
          <w:p w14:paraId="555BDBD5" w14:textId="495E3731"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67</w:t>
            </w:r>
            <w:r w:rsidR="00E9104B">
              <w:rPr>
                <w:rFonts w:ascii="Arial" w:hAnsi="Arial" w:cs="Arial"/>
                <w:b/>
                <w:bCs/>
                <w:sz w:val="18"/>
                <w:szCs w:val="18"/>
                <w:lang w:eastAsia="hr-HR"/>
              </w:rPr>
              <w:t>9,12</w:t>
            </w:r>
            <w:r w:rsidRPr="00583CB4">
              <w:rPr>
                <w:rFonts w:ascii="Arial" w:hAnsi="Arial" w:cs="Arial"/>
                <w:b/>
                <w:bCs/>
                <w:sz w:val="18"/>
                <w:szCs w:val="18"/>
                <w:lang w:eastAsia="hr-HR"/>
              </w:rPr>
              <w:t>%</w:t>
            </w:r>
          </w:p>
        </w:tc>
        <w:tc>
          <w:tcPr>
            <w:tcW w:w="1280" w:type="dxa"/>
            <w:tcBorders>
              <w:top w:val="nil"/>
              <w:left w:val="nil"/>
              <w:bottom w:val="nil"/>
              <w:right w:val="nil"/>
            </w:tcBorders>
            <w:shd w:val="clear" w:color="auto" w:fill="auto"/>
            <w:noWrap/>
            <w:vAlign w:val="bottom"/>
            <w:hideMark/>
          </w:tcPr>
          <w:p w14:paraId="400D50D9" w14:textId="048ACD56"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92,</w:t>
            </w:r>
            <w:r w:rsidR="00E9104B">
              <w:rPr>
                <w:rFonts w:ascii="Arial" w:hAnsi="Arial" w:cs="Arial"/>
                <w:b/>
                <w:bCs/>
                <w:sz w:val="18"/>
                <w:szCs w:val="18"/>
                <w:lang w:eastAsia="hr-HR"/>
              </w:rPr>
              <w:t>76</w:t>
            </w:r>
            <w:r w:rsidRPr="00583CB4">
              <w:rPr>
                <w:rFonts w:ascii="Arial" w:hAnsi="Arial" w:cs="Arial"/>
                <w:b/>
                <w:bCs/>
                <w:sz w:val="18"/>
                <w:szCs w:val="18"/>
                <w:lang w:eastAsia="hr-HR"/>
              </w:rPr>
              <w:t>%</w:t>
            </w:r>
          </w:p>
        </w:tc>
      </w:tr>
      <w:tr w:rsidR="00583CB4" w:rsidRPr="00583CB4" w14:paraId="36295158" w14:textId="77777777" w:rsidTr="00D53FB4">
        <w:trPr>
          <w:trHeight w:val="255"/>
        </w:trPr>
        <w:tc>
          <w:tcPr>
            <w:tcW w:w="7655" w:type="dxa"/>
            <w:tcBorders>
              <w:top w:val="nil"/>
              <w:left w:val="nil"/>
              <w:bottom w:val="nil"/>
              <w:right w:val="nil"/>
            </w:tcBorders>
            <w:shd w:val="clear" w:color="auto" w:fill="auto"/>
            <w:noWrap/>
            <w:vAlign w:val="bottom"/>
            <w:hideMark/>
          </w:tcPr>
          <w:p w14:paraId="02E067C4"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683 Ostali prihodi                                                                                      </w:t>
            </w:r>
          </w:p>
        </w:tc>
        <w:tc>
          <w:tcPr>
            <w:tcW w:w="1384" w:type="dxa"/>
            <w:tcBorders>
              <w:top w:val="nil"/>
              <w:left w:val="nil"/>
              <w:bottom w:val="nil"/>
              <w:right w:val="nil"/>
            </w:tcBorders>
            <w:shd w:val="clear" w:color="auto" w:fill="auto"/>
            <w:noWrap/>
            <w:vAlign w:val="bottom"/>
            <w:hideMark/>
          </w:tcPr>
          <w:p w14:paraId="75F98791"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7.102,80</w:t>
            </w:r>
          </w:p>
        </w:tc>
        <w:tc>
          <w:tcPr>
            <w:tcW w:w="1740" w:type="dxa"/>
            <w:tcBorders>
              <w:top w:val="nil"/>
              <w:left w:val="nil"/>
              <w:bottom w:val="nil"/>
              <w:right w:val="nil"/>
            </w:tcBorders>
            <w:shd w:val="clear" w:color="auto" w:fill="auto"/>
            <w:noWrap/>
            <w:vAlign w:val="bottom"/>
            <w:hideMark/>
          </w:tcPr>
          <w:p w14:paraId="00D2BCD1"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2FA26123" w14:textId="272ABF39"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48.2</w:t>
            </w:r>
            <w:r w:rsidR="00E9104B">
              <w:rPr>
                <w:rFonts w:ascii="Arial" w:hAnsi="Arial" w:cs="Arial"/>
                <w:sz w:val="18"/>
                <w:szCs w:val="18"/>
                <w:lang w:eastAsia="hr-HR"/>
              </w:rPr>
              <w:t>36,60</w:t>
            </w:r>
          </w:p>
        </w:tc>
        <w:tc>
          <w:tcPr>
            <w:tcW w:w="1320" w:type="dxa"/>
            <w:tcBorders>
              <w:top w:val="nil"/>
              <w:left w:val="nil"/>
              <w:bottom w:val="nil"/>
              <w:right w:val="nil"/>
            </w:tcBorders>
            <w:shd w:val="clear" w:color="auto" w:fill="auto"/>
            <w:noWrap/>
            <w:vAlign w:val="bottom"/>
            <w:hideMark/>
          </w:tcPr>
          <w:p w14:paraId="037552F0" w14:textId="493AA204"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6</w:t>
            </w:r>
            <w:r w:rsidR="00E9104B">
              <w:rPr>
                <w:rFonts w:ascii="Arial" w:hAnsi="Arial" w:cs="Arial"/>
                <w:sz w:val="18"/>
                <w:szCs w:val="18"/>
                <w:lang w:eastAsia="hr-HR"/>
              </w:rPr>
              <w:t>79,12</w:t>
            </w:r>
            <w:r w:rsidRPr="00583CB4">
              <w:rPr>
                <w:rFonts w:ascii="Arial" w:hAnsi="Arial" w:cs="Arial"/>
                <w:sz w:val="18"/>
                <w:szCs w:val="18"/>
                <w:lang w:eastAsia="hr-HR"/>
              </w:rPr>
              <w:t>%</w:t>
            </w:r>
          </w:p>
        </w:tc>
        <w:tc>
          <w:tcPr>
            <w:tcW w:w="1280" w:type="dxa"/>
            <w:tcBorders>
              <w:top w:val="nil"/>
              <w:left w:val="nil"/>
              <w:bottom w:val="nil"/>
              <w:right w:val="nil"/>
            </w:tcBorders>
            <w:shd w:val="clear" w:color="auto" w:fill="auto"/>
            <w:noWrap/>
            <w:vAlign w:val="bottom"/>
            <w:hideMark/>
          </w:tcPr>
          <w:p w14:paraId="46FB6A49"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75EBE042" w14:textId="77777777" w:rsidTr="00D53FB4">
        <w:trPr>
          <w:trHeight w:val="255"/>
        </w:trPr>
        <w:tc>
          <w:tcPr>
            <w:tcW w:w="7655" w:type="dxa"/>
            <w:tcBorders>
              <w:top w:val="nil"/>
              <w:left w:val="nil"/>
              <w:bottom w:val="nil"/>
              <w:right w:val="nil"/>
            </w:tcBorders>
            <w:shd w:val="clear" w:color="auto" w:fill="auto"/>
            <w:noWrap/>
            <w:vAlign w:val="bottom"/>
            <w:hideMark/>
          </w:tcPr>
          <w:p w14:paraId="6A225E74"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6831 Ostali prihodi                                                                                      </w:t>
            </w:r>
          </w:p>
        </w:tc>
        <w:tc>
          <w:tcPr>
            <w:tcW w:w="1384" w:type="dxa"/>
            <w:tcBorders>
              <w:top w:val="nil"/>
              <w:left w:val="nil"/>
              <w:bottom w:val="nil"/>
              <w:right w:val="nil"/>
            </w:tcBorders>
            <w:shd w:val="clear" w:color="auto" w:fill="auto"/>
            <w:noWrap/>
            <w:vAlign w:val="bottom"/>
            <w:hideMark/>
          </w:tcPr>
          <w:p w14:paraId="438E7EE7"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7.102,80</w:t>
            </w:r>
          </w:p>
        </w:tc>
        <w:tc>
          <w:tcPr>
            <w:tcW w:w="1740" w:type="dxa"/>
            <w:tcBorders>
              <w:top w:val="nil"/>
              <w:left w:val="nil"/>
              <w:bottom w:val="nil"/>
              <w:right w:val="nil"/>
            </w:tcBorders>
            <w:shd w:val="clear" w:color="auto" w:fill="auto"/>
            <w:noWrap/>
            <w:vAlign w:val="bottom"/>
            <w:hideMark/>
          </w:tcPr>
          <w:p w14:paraId="4CA739EF"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466673BE" w14:textId="16D71F61"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48.2</w:t>
            </w:r>
            <w:r w:rsidR="00E9104B">
              <w:rPr>
                <w:rFonts w:ascii="Arial" w:hAnsi="Arial" w:cs="Arial"/>
                <w:sz w:val="18"/>
                <w:szCs w:val="18"/>
                <w:lang w:eastAsia="hr-HR"/>
              </w:rPr>
              <w:t>36,60</w:t>
            </w:r>
          </w:p>
        </w:tc>
        <w:tc>
          <w:tcPr>
            <w:tcW w:w="1320" w:type="dxa"/>
            <w:tcBorders>
              <w:top w:val="nil"/>
              <w:left w:val="nil"/>
              <w:bottom w:val="nil"/>
              <w:right w:val="nil"/>
            </w:tcBorders>
            <w:shd w:val="clear" w:color="auto" w:fill="auto"/>
            <w:noWrap/>
            <w:vAlign w:val="bottom"/>
            <w:hideMark/>
          </w:tcPr>
          <w:p w14:paraId="63732BC5" w14:textId="147FD542"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67</w:t>
            </w:r>
            <w:r w:rsidR="00E9104B">
              <w:rPr>
                <w:rFonts w:ascii="Arial" w:hAnsi="Arial" w:cs="Arial"/>
                <w:sz w:val="18"/>
                <w:szCs w:val="18"/>
                <w:lang w:eastAsia="hr-HR"/>
              </w:rPr>
              <w:t>9,12</w:t>
            </w:r>
            <w:r w:rsidRPr="00583CB4">
              <w:rPr>
                <w:rFonts w:ascii="Arial" w:hAnsi="Arial" w:cs="Arial"/>
                <w:sz w:val="18"/>
                <w:szCs w:val="18"/>
                <w:lang w:eastAsia="hr-HR"/>
              </w:rPr>
              <w:t>%</w:t>
            </w:r>
          </w:p>
        </w:tc>
        <w:tc>
          <w:tcPr>
            <w:tcW w:w="1280" w:type="dxa"/>
            <w:tcBorders>
              <w:top w:val="nil"/>
              <w:left w:val="nil"/>
              <w:bottom w:val="nil"/>
              <w:right w:val="nil"/>
            </w:tcBorders>
            <w:shd w:val="clear" w:color="auto" w:fill="auto"/>
            <w:noWrap/>
            <w:vAlign w:val="bottom"/>
            <w:hideMark/>
          </w:tcPr>
          <w:p w14:paraId="5463060C" w14:textId="77777777" w:rsidR="00583CB4" w:rsidRPr="00583CB4" w:rsidRDefault="00583CB4" w:rsidP="00583CB4">
            <w:pPr>
              <w:spacing w:after="0" w:line="240" w:lineRule="auto"/>
              <w:jc w:val="right"/>
              <w:rPr>
                <w:rFonts w:ascii="Arial" w:hAnsi="Arial" w:cs="Arial"/>
                <w:sz w:val="18"/>
                <w:szCs w:val="18"/>
                <w:lang w:eastAsia="hr-HR"/>
              </w:rPr>
            </w:pPr>
          </w:p>
        </w:tc>
      </w:tr>
      <w:tr w:rsidR="00D53FB4" w:rsidRPr="00583CB4" w14:paraId="15272D7D" w14:textId="77777777" w:rsidTr="00D53FB4">
        <w:trPr>
          <w:trHeight w:val="255"/>
        </w:trPr>
        <w:tc>
          <w:tcPr>
            <w:tcW w:w="7655" w:type="dxa"/>
            <w:tcBorders>
              <w:top w:val="nil"/>
              <w:left w:val="nil"/>
              <w:bottom w:val="nil"/>
              <w:right w:val="nil"/>
            </w:tcBorders>
            <w:shd w:val="clear" w:color="000000" w:fill="D9D9D9"/>
            <w:noWrap/>
            <w:vAlign w:val="bottom"/>
            <w:hideMark/>
          </w:tcPr>
          <w:p w14:paraId="75074560" w14:textId="77777777" w:rsidR="00583CB4" w:rsidRPr="00583CB4" w:rsidRDefault="00583CB4" w:rsidP="00583CB4">
            <w:pPr>
              <w:spacing w:after="0" w:line="240" w:lineRule="auto"/>
              <w:rPr>
                <w:rFonts w:ascii="Arial" w:hAnsi="Arial" w:cs="Arial"/>
                <w:b/>
                <w:bCs/>
                <w:sz w:val="18"/>
                <w:szCs w:val="18"/>
                <w:lang w:eastAsia="hr-HR"/>
              </w:rPr>
            </w:pPr>
            <w:r w:rsidRPr="00583CB4">
              <w:rPr>
                <w:rFonts w:ascii="Arial" w:hAnsi="Arial" w:cs="Arial"/>
                <w:b/>
                <w:bCs/>
                <w:sz w:val="18"/>
                <w:szCs w:val="18"/>
                <w:lang w:eastAsia="hr-HR"/>
              </w:rPr>
              <w:t xml:space="preserve">7 Prihodi od prodaje nefinancijske imovine                                                            </w:t>
            </w:r>
          </w:p>
        </w:tc>
        <w:tc>
          <w:tcPr>
            <w:tcW w:w="1384" w:type="dxa"/>
            <w:tcBorders>
              <w:top w:val="nil"/>
              <w:left w:val="nil"/>
              <w:bottom w:val="nil"/>
              <w:right w:val="nil"/>
            </w:tcBorders>
            <w:shd w:val="clear" w:color="000000" w:fill="D9D9D9"/>
            <w:noWrap/>
            <w:vAlign w:val="bottom"/>
            <w:hideMark/>
          </w:tcPr>
          <w:p w14:paraId="32FD6864"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70.140,27</w:t>
            </w:r>
          </w:p>
        </w:tc>
        <w:tc>
          <w:tcPr>
            <w:tcW w:w="1740" w:type="dxa"/>
            <w:tcBorders>
              <w:top w:val="nil"/>
              <w:left w:val="nil"/>
              <w:bottom w:val="nil"/>
              <w:right w:val="nil"/>
            </w:tcBorders>
            <w:shd w:val="clear" w:color="000000" w:fill="D9D9D9"/>
            <w:noWrap/>
            <w:vAlign w:val="bottom"/>
            <w:hideMark/>
          </w:tcPr>
          <w:p w14:paraId="3E9A8930"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231.250,00</w:t>
            </w:r>
          </w:p>
        </w:tc>
        <w:tc>
          <w:tcPr>
            <w:tcW w:w="1412" w:type="dxa"/>
            <w:tcBorders>
              <w:top w:val="nil"/>
              <w:left w:val="nil"/>
              <w:bottom w:val="nil"/>
              <w:right w:val="nil"/>
            </w:tcBorders>
            <w:shd w:val="clear" w:color="000000" w:fill="D9D9D9"/>
            <w:noWrap/>
            <w:vAlign w:val="bottom"/>
            <w:hideMark/>
          </w:tcPr>
          <w:p w14:paraId="498DCD81"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224.698,81</w:t>
            </w:r>
          </w:p>
        </w:tc>
        <w:tc>
          <w:tcPr>
            <w:tcW w:w="1320" w:type="dxa"/>
            <w:tcBorders>
              <w:top w:val="nil"/>
              <w:left w:val="nil"/>
              <w:bottom w:val="nil"/>
              <w:right w:val="nil"/>
            </w:tcBorders>
            <w:shd w:val="clear" w:color="000000" w:fill="D9D9D9"/>
            <w:noWrap/>
            <w:vAlign w:val="bottom"/>
            <w:hideMark/>
          </w:tcPr>
          <w:p w14:paraId="6011AA40"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320,36%</w:t>
            </w:r>
          </w:p>
        </w:tc>
        <w:tc>
          <w:tcPr>
            <w:tcW w:w="1280" w:type="dxa"/>
            <w:tcBorders>
              <w:top w:val="nil"/>
              <w:left w:val="nil"/>
              <w:bottom w:val="nil"/>
              <w:right w:val="nil"/>
            </w:tcBorders>
            <w:shd w:val="clear" w:color="000000" w:fill="D9D9D9"/>
            <w:noWrap/>
            <w:vAlign w:val="bottom"/>
            <w:hideMark/>
          </w:tcPr>
          <w:p w14:paraId="20BD31AB"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97,17%</w:t>
            </w:r>
          </w:p>
        </w:tc>
      </w:tr>
      <w:tr w:rsidR="00583CB4" w:rsidRPr="00583CB4" w14:paraId="653D3FBA" w14:textId="77777777" w:rsidTr="00D53FB4">
        <w:trPr>
          <w:trHeight w:val="255"/>
        </w:trPr>
        <w:tc>
          <w:tcPr>
            <w:tcW w:w="7655" w:type="dxa"/>
            <w:tcBorders>
              <w:top w:val="nil"/>
              <w:left w:val="nil"/>
              <w:bottom w:val="nil"/>
              <w:right w:val="nil"/>
            </w:tcBorders>
            <w:shd w:val="clear" w:color="auto" w:fill="auto"/>
            <w:noWrap/>
            <w:vAlign w:val="bottom"/>
            <w:hideMark/>
          </w:tcPr>
          <w:p w14:paraId="1B08C903" w14:textId="77777777" w:rsidR="00583CB4" w:rsidRPr="00583CB4" w:rsidRDefault="00583CB4" w:rsidP="00583CB4">
            <w:pPr>
              <w:spacing w:after="0" w:line="240" w:lineRule="auto"/>
              <w:rPr>
                <w:rFonts w:ascii="Arial" w:hAnsi="Arial" w:cs="Arial"/>
                <w:b/>
                <w:bCs/>
                <w:sz w:val="18"/>
                <w:szCs w:val="18"/>
                <w:lang w:eastAsia="hr-HR"/>
              </w:rPr>
            </w:pPr>
            <w:r w:rsidRPr="00583CB4">
              <w:rPr>
                <w:rFonts w:ascii="Arial" w:hAnsi="Arial" w:cs="Arial"/>
                <w:b/>
                <w:bCs/>
                <w:sz w:val="18"/>
                <w:szCs w:val="18"/>
                <w:lang w:eastAsia="hr-HR"/>
              </w:rPr>
              <w:t xml:space="preserve">71 Prihodi od prodaje </w:t>
            </w:r>
            <w:proofErr w:type="spellStart"/>
            <w:r w:rsidRPr="00583CB4">
              <w:rPr>
                <w:rFonts w:ascii="Arial" w:hAnsi="Arial" w:cs="Arial"/>
                <w:b/>
                <w:bCs/>
                <w:sz w:val="18"/>
                <w:szCs w:val="18"/>
                <w:lang w:eastAsia="hr-HR"/>
              </w:rPr>
              <w:t>neproizvedene</w:t>
            </w:r>
            <w:proofErr w:type="spellEnd"/>
            <w:r w:rsidRPr="00583CB4">
              <w:rPr>
                <w:rFonts w:ascii="Arial" w:hAnsi="Arial" w:cs="Arial"/>
                <w:b/>
                <w:bCs/>
                <w:sz w:val="18"/>
                <w:szCs w:val="18"/>
                <w:lang w:eastAsia="hr-HR"/>
              </w:rPr>
              <w:t xml:space="preserve"> dugotrajne imovine                                                 </w:t>
            </w:r>
          </w:p>
        </w:tc>
        <w:tc>
          <w:tcPr>
            <w:tcW w:w="1384" w:type="dxa"/>
            <w:tcBorders>
              <w:top w:val="nil"/>
              <w:left w:val="nil"/>
              <w:bottom w:val="nil"/>
              <w:right w:val="nil"/>
            </w:tcBorders>
            <w:shd w:val="clear" w:color="auto" w:fill="auto"/>
            <w:noWrap/>
            <w:vAlign w:val="bottom"/>
            <w:hideMark/>
          </w:tcPr>
          <w:p w14:paraId="3B143F33"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58.741,74</w:t>
            </w:r>
          </w:p>
        </w:tc>
        <w:tc>
          <w:tcPr>
            <w:tcW w:w="1740" w:type="dxa"/>
            <w:tcBorders>
              <w:top w:val="nil"/>
              <w:left w:val="nil"/>
              <w:bottom w:val="nil"/>
              <w:right w:val="nil"/>
            </w:tcBorders>
            <w:shd w:val="clear" w:color="auto" w:fill="auto"/>
            <w:noWrap/>
            <w:vAlign w:val="bottom"/>
            <w:hideMark/>
          </w:tcPr>
          <w:p w14:paraId="12C94978"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170.010,00</w:t>
            </w:r>
          </w:p>
        </w:tc>
        <w:tc>
          <w:tcPr>
            <w:tcW w:w="1412" w:type="dxa"/>
            <w:tcBorders>
              <w:top w:val="nil"/>
              <w:left w:val="nil"/>
              <w:bottom w:val="nil"/>
              <w:right w:val="nil"/>
            </w:tcBorders>
            <w:shd w:val="clear" w:color="auto" w:fill="auto"/>
            <w:noWrap/>
            <w:vAlign w:val="bottom"/>
            <w:hideMark/>
          </w:tcPr>
          <w:p w14:paraId="4F142E13"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165.911,47</w:t>
            </w:r>
          </w:p>
        </w:tc>
        <w:tc>
          <w:tcPr>
            <w:tcW w:w="1320" w:type="dxa"/>
            <w:tcBorders>
              <w:top w:val="nil"/>
              <w:left w:val="nil"/>
              <w:bottom w:val="nil"/>
              <w:right w:val="nil"/>
            </w:tcBorders>
            <w:shd w:val="clear" w:color="auto" w:fill="auto"/>
            <w:noWrap/>
            <w:vAlign w:val="bottom"/>
            <w:hideMark/>
          </w:tcPr>
          <w:p w14:paraId="5438728E"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282,44%</w:t>
            </w:r>
          </w:p>
        </w:tc>
        <w:tc>
          <w:tcPr>
            <w:tcW w:w="1280" w:type="dxa"/>
            <w:tcBorders>
              <w:top w:val="nil"/>
              <w:left w:val="nil"/>
              <w:bottom w:val="nil"/>
              <w:right w:val="nil"/>
            </w:tcBorders>
            <w:shd w:val="clear" w:color="auto" w:fill="auto"/>
            <w:noWrap/>
            <w:vAlign w:val="bottom"/>
            <w:hideMark/>
          </w:tcPr>
          <w:p w14:paraId="148FA1C2"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97,59%</w:t>
            </w:r>
          </w:p>
        </w:tc>
      </w:tr>
      <w:tr w:rsidR="00583CB4" w:rsidRPr="00583CB4" w14:paraId="0F3F9A78" w14:textId="77777777" w:rsidTr="00D53FB4">
        <w:trPr>
          <w:trHeight w:val="255"/>
        </w:trPr>
        <w:tc>
          <w:tcPr>
            <w:tcW w:w="7655" w:type="dxa"/>
            <w:tcBorders>
              <w:top w:val="nil"/>
              <w:left w:val="nil"/>
              <w:bottom w:val="nil"/>
              <w:right w:val="nil"/>
            </w:tcBorders>
            <w:shd w:val="clear" w:color="auto" w:fill="auto"/>
            <w:noWrap/>
            <w:vAlign w:val="bottom"/>
            <w:hideMark/>
          </w:tcPr>
          <w:p w14:paraId="79C2C1DF"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711 Prihodi od prodaje materijalne imovine - prirodnih bogatstava                                       </w:t>
            </w:r>
          </w:p>
        </w:tc>
        <w:tc>
          <w:tcPr>
            <w:tcW w:w="1384" w:type="dxa"/>
            <w:tcBorders>
              <w:top w:val="nil"/>
              <w:left w:val="nil"/>
              <w:bottom w:val="nil"/>
              <w:right w:val="nil"/>
            </w:tcBorders>
            <w:shd w:val="clear" w:color="auto" w:fill="auto"/>
            <w:noWrap/>
            <w:vAlign w:val="bottom"/>
            <w:hideMark/>
          </w:tcPr>
          <w:p w14:paraId="3F947927"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58.741,74</w:t>
            </w:r>
          </w:p>
        </w:tc>
        <w:tc>
          <w:tcPr>
            <w:tcW w:w="1740" w:type="dxa"/>
            <w:tcBorders>
              <w:top w:val="nil"/>
              <w:left w:val="nil"/>
              <w:bottom w:val="nil"/>
              <w:right w:val="nil"/>
            </w:tcBorders>
            <w:shd w:val="clear" w:color="auto" w:fill="auto"/>
            <w:noWrap/>
            <w:vAlign w:val="bottom"/>
            <w:hideMark/>
          </w:tcPr>
          <w:p w14:paraId="3DF8B1CC"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08C9B6C7"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165.911,47</w:t>
            </w:r>
          </w:p>
        </w:tc>
        <w:tc>
          <w:tcPr>
            <w:tcW w:w="1320" w:type="dxa"/>
            <w:tcBorders>
              <w:top w:val="nil"/>
              <w:left w:val="nil"/>
              <w:bottom w:val="nil"/>
              <w:right w:val="nil"/>
            </w:tcBorders>
            <w:shd w:val="clear" w:color="auto" w:fill="auto"/>
            <w:noWrap/>
            <w:vAlign w:val="bottom"/>
            <w:hideMark/>
          </w:tcPr>
          <w:p w14:paraId="3D75B7B3"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282,44%</w:t>
            </w:r>
          </w:p>
        </w:tc>
        <w:tc>
          <w:tcPr>
            <w:tcW w:w="1280" w:type="dxa"/>
            <w:tcBorders>
              <w:top w:val="nil"/>
              <w:left w:val="nil"/>
              <w:bottom w:val="nil"/>
              <w:right w:val="nil"/>
            </w:tcBorders>
            <w:shd w:val="clear" w:color="auto" w:fill="auto"/>
            <w:noWrap/>
            <w:vAlign w:val="bottom"/>
            <w:hideMark/>
          </w:tcPr>
          <w:p w14:paraId="68152BD6"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0665BA55" w14:textId="77777777" w:rsidTr="00D53FB4">
        <w:trPr>
          <w:trHeight w:val="255"/>
        </w:trPr>
        <w:tc>
          <w:tcPr>
            <w:tcW w:w="7655" w:type="dxa"/>
            <w:tcBorders>
              <w:top w:val="nil"/>
              <w:left w:val="nil"/>
              <w:bottom w:val="nil"/>
              <w:right w:val="nil"/>
            </w:tcBorders>
            <w:shd w:val="clear" w:color="auto" w:fill="auto"/>
            <w:noWrap/>
            <w:vAlign w:val="bottom"/>
            <w:hideMark/>
          </w:tcPr>
          <w:p w14:paraId="1615AC63"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7111 Zemljište                                                                                           </w:t>
            </w:r>
          </w:p>
        </w:tc>
        <w:tc>
          <w:tcPr>
            <w:tcW w:w="1384" w:type="dxa"/>
            <w:tcBorders>
              <w:top w:val="nil"/>
              <w:left w:val="nil"/>
              <w:bottom w:val="nil"/>
              <w:right w:val="nil"/>
            </w:tcBorders>
            <w:shd w:val="clear" w:color="auto" w:fill="auto"/>
            <w:noWrap/>
            <w:vAlign w:val="bottom"/>
            <w:hideMark/>
          </w:tcPr>
          <w:p w14:paraId="58830DAE"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58.741,74</w:t>
            </w:r>
          </w:p>
        </w:tc>
        <w:tc>
          <w:tcPr>
            <w:tcW w:w="1740" w:type="dxa"/>
            <w:tcBorders>
              <w:top w:val="nil"/>
              <w:left w:val="nil"/>
              <w:bottom w:val="nil"/>
              <w:right w:val="nil"/>
            </w:tcBorders>
            <w:shd w:val="clear" w:color="auto" w:fill="auto"/>
            <w:noWrap/>
            <w:vAlign w:val="bottom"/>
            <w:hideMark/>
          </w:tcPr>
          <w:p w14:paraId="36B0C37F"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3648BF92"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165.911,47</w:t>
            </w:r>
          </w:p>
        </w:tc>
        <w:tc>
          <w:tcPr>
            <w:tcW w:w="1320" w:type="dxa"/>
            <w:tcBorders>
              <w:top w:val="nil"/>
              <w:left w:val="nil"/>
              <w:bottom w:val="nil"/>
              <w:right w:val="nil"/>
            </w:tcBorders>
            <w:shd w:val="clear" w:color="auto" w:fill="auto"/>
            <w:noWrap/>
            <w:vAlign w:val="bottom"/>
            <w:hideMark/>
          </w:tcPr>
          <w:p w14:paraId="1FEA151D"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282,44%</w:t>
            </w:r>
          </w:p>
        </w:tc>
        <w:tc>
          <w:tcPr>
            <w:tcW w:w="1280" w:type="dxa"/>
            <w:tcBorders>
              <w:top w:val="nil"/>
              <w:left w:val="nil"/>
              <w:bottom w:val="nil"/>
              <w:right w:val="nil"/>
            </w:tcBorders>
            <w:shd w:val="clear" w:color="auto" w:fill="auto"/>
            <w:noWrap/>
            <w:vAlign w:val="bottom"/>
            <w:hideMark/>
          </w:tcPr>
          <w:p w14:paraId="7238C18A"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2C230FEB" w14:textId="77777777" w:rsidTr="00D53FB4">
        <w:trPr>
          <w:trHeight w:val="255"/>
        </w:trPr>
        <w:tc>
          <w:tcPr>
            <w:tcW w:w="7655" w:type="dxa"/>
            <w:tcBorders>
              <w:top w:val="nil"/>
              <w:left w:val="nil"/>
              <w:bottom w:val="nil"/>
              <w:right w:val="nil"/>
            </w:tcBorders>
            <w:shd w:val="clear" w:color="auto" w:fill="auto"/>
            <w:noWrap/>
            <w:vAlign w:val="bottom"/>
            <w:hideMark/>
          </w:tcPr>
          <w:p w14:paraId="07A9F146" w14:textId="77777777" w:rsidR="00583CB4" w:rsidRPr="00583CB4" w:rsidRDefault="00583CB4" w:rsidP="00583CB4">
            <w:pPr>
              <w:spacing w:after="0" w:line="240" w:lineRule="auto"/>
              <w:rPr>
                <w:rFonts w:ascii="Arial" w:hAnsi="Arial" w:cs="Arial"/>
                <w:b/>
                <w:bCs/>
                <w:sz w:val="18"/>
                <w:szCs w:val="18"/>
                <w:lang w:eastAsia="hr-HR"/>
              </w:rPr>
            </w:pPr>
            <w:r w:rsidRPr="00583CB4">
              <w:rPr>
                <w:rFonts w:ascii="Arial" w:hAnsi="Arial" w:cs="Arial"/>
                <w:b/>
                <w:bCs/>
                <w:sz w:val="18"/>
                <w:szCs w:val="18"/>
                <w:lang w:eastAsia="hr-HR"/>
              </w:rPr>
              <w:t xml:space="preserve">72 Prihodi od prodaje proizvedene dugotrajne imovine                                                   </w:t>
            </w:r>
          </w:p>
        </w:tc>
        <w:tc>
          <w:tcPr>
            <w:tcW w:w="1384" w:type="dxa"/>
            <w:tcBorders>
              <w:top w:val="nil"/>
              <w:left w:val="nil"/>
              <w:bottom w:val="nil"/>
              <w:right w:val="nil"/>
            </w:tcBorders>
            <w:shd w:val="clear" w:color="auto" w:fill="auto"/>
            <w:noWrap/>
            <w:vAlign w:val="bottom"/>
            <w:hideMark/>
          </w:tcPr>
          <w:p w14:paraId="1D99CC38"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11.398,53</w:t>
            </w:r>
          </w:p>
        </w:tc>
        <w:tc>
          <w:tcPr>
            <w:tcW w:w="1740" w:type="dxa"/>
            <w:tcBorders>
              <w:top w:val="nil"/>
              <w:left w:val="nil"/>
              <w:bottom w:val="nil"/>
              <w:right w:val="nil"/>
            </w:tcBorders>
            <w:shd w:val="clear" w:color="auto" w:fill="auto"/>
            <w:noWrap/>
            <w:vAlign w:val="bottom"/>
            <w:hideMark/>
          </w:tcPr>
          <w:p w14:paraId="303C4641"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61.240,00</w:t>
            </w:r>
          </w:p>
        </w:tc>
        <w:tc>
          <w:tcPr>
            <w:tcW w:w="1412" w:type="dxa"/>
            <w:tcBorders>
              <w:top w:val="nil"/>
              <w:left w:val="nil"/>
              <w:bottom w:val="nil"/>
              <w:right w:val="nil"/>
            </w:tcBorders>
            <w:shd w:val="clear" w:color="auto" w:fill="auto"/>
            <w:noWrap/>
            <w:vAlign w:val="bottom"/>
            <w:hideMark/>
          </w:tcPr>
          <w:p w14:paraId="135FF126"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58.787,34</w:t>
            </w:r>
          </w:p>
        </w:tc>
        <w:tc>
          <w:tcPr>
            <w:tcW w:w="1320" w:type="dxa"/>
            <w:tcBorders>
              <w:top w:val="nil"/>
              <w:left w:val="nil"/>
              <w:bottom w:val="nil"/>
              <w:right w:val="nil"/>
            </w:tcBorders>
            <w:shd w:val="clear" w:color="auto" w:fill="auto"/>
            <w:noWrap/>
            <w:vAlign w:val="bottom"/>
            <w:hideMark/>
          </w:tcPr>
          <w:p w14:paraId="62B307DC"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515,74%</w:t>
            </w:r>
          </w:p>
        </w:tc>
        <w:tc>
          <w:tcPr>
            <w:tcW w:w="1280" w:type="dxa"/>
            <w:tcBorders>
              <w:top w:val="nil"/>
              <w:left w:val="nil"/>
              <w:bottom w:val="nil"/>
              <w:right w:val="nil"/>
            </w:tcBorders>
            <w:shd w:val="clear" w:color="auto" w:fill="auto"/>
            <w:noWrap/>
            <w:vAlign w:val="bottom"/>
            <w:hideMark/>
          </w:tcPr>
          <w:p w14:paraId="09416096"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96,00%</w:t>
            </w:r>
          </w:p>
        </w:tc>
      </w:tr>
      <w:tr w:rsidR="00583CB4" w:rsidRPr="00583CB4" w14:paraId="1DB76AC1" w14:textId="77777777" w:rsidTr="00D53FB4">
        <w:trPr>
          <w:trHeight w:val="255"/>
        </w:trPr>
        <w:tc>
          <w:tcPr>
            <w:tcW w:w="7655" w:type="dxa"/>
            <w:tcBorders>
              <w:top w:val="nil"/>
              <w:left w:val="nil"/>
              <w:bottom w:val="nil"/>
              <w:right w:val="nil"/>
            </w:tcBorders>
            <w:shd w:val="clear" w:color="auto" w:fill="auto"/>
            <w:noWrap/>
            <w:vAlign w:val="bottom"/>
            <w:hideMark/>
          </w:tcPr>
          <w:p w14:paraId="58267167"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721 Prihodi od prodaje građevinskih objekata                                                            </w:t>
            </w:r>
          </w:p>
        </w:tc>
        <w:tc>
          <w:tcPr>
            <w:tcW w:w="1384" w:type="dxa"/>
            <w:tcBorders>
              <w:top w:val="nil"/>
              <w:left w:val="nil"/>
              <w:bottom w:val="nil"/>
              <w:right w:val="nil"/>
            </w:tcBorders>
            <w:shd w:val="clear" w:color="auto" w:fill="auto"/>
            <w:noWrap/>
            <w:vAlign w:val="bottom"/>
            <w:hideMark/>
          </w:tcPr>
          <w:p w14:paraId="55D95DC0"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8.492,53</w:t>
            </w:r>
          </w:p>
        </w:tc>
        <w:tc>
          <w:tcPr>
            <w:tcW w:w="1740" w:type="dxa"/>
            <w:tcBorders>
              <w:top w:val="nil"/>
              <w:left w:val="nil"/>
              <w:bottom w:val="nil"/>
              <w:right w:val="nil"/>
            </w:tcBorders>
            <w:shd w:val="clear" w:color="auto" w:fill="auto"/>
            <w:noWrap/>
            <w:vAlign w:val="bottom"/>
            <w:hideMark/>
          </w:tcPr>
          <w:p w14:paraId="0EEE66B8"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6AE75DC2"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58.003,21</w:t>
            </w:r>
          </w:p>
        </w:tc>
        <w:tc>
          <w:tcPr>
            <w:tcW w:w="1320" w:type="dxa"/>
            <w:tcBorders>
              <w:top w:val="nil"/>
              <w:left w:val="nil"/>
              <w:bottom w:val="nil"/>
              <w:right w:val="nil"/>
            </w:tcBorders>
            <w:shd w:val="clear" w:color="auto" w:fill="auto"/>
            <w:noWrap/>
            <w:vAlign w:val="bottom"/>
            <w:hideMark/>
          </w:tcPr>
          <w:p w14:paraId="4904CF2A"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682,99%</w:t>
            </w:r>
          </w:p>
        </w:tc>
        <w:tc>
          <w:tcPr>
            <w:tcW w:w="1280" w:type="dxa"/>
            <w:tcBorders>
              <w:top w:val="nil"/>
              <w:left w:val="nil"/>
              <w:bottom w:val="nil"/>
              <w:right w:val="nil"/>
            </w:tcBorders>
            <w:shd w:val="clear" w:color="auto" w:fill="auto"/>
            <w:noWrap/>
            <w:vAlign w:val="bottom"/>
            <w:hideMark/>
          </w:tcPr>
          <w:p w14:paraId="588C697B"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47D0D572" w14:textId="77777777" w:rsidTr="00D53FB4">
        <w:trPr>
          <w:trHeight w:val="255"/>
        </w:trPr>
        <w:tc>
          <w:tcPr>
            <w:tcW w:w="7655" w:type="dxa"/>
            <w:tcBorders>
              <w:top w:val="nil"/>
              <w:left w:val="nil"/>
              <w:bottom w:val="nil"/>
              <w:right w:val="nil"/>
            </w:tcBorders>
            <w:shd w:val="clear" w:color="auto" w:fill="auto"/>
            <w:noWrap/>
            <w:vAlign w:val="bottom"/>
            <w:hideMark/>
          </w:tcPr>
          <w:p w14:paraId="20872424"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7211 Stambeni objekti                                                                                    </w:t>
            </w:r>
          </w:p>
        </w:tc>
        <w:tc>
          <w:tcPr>
            <w:tcW w:w="1384" w:type="dxa"/>
            <w:tcBorders>
              <w:top w:val="nil"/>
              <w:left w:val="nil"/>
              <w:bottom w:val="nil"/>
              <w:right w:val="nil"/>
            </w:tcBorders>
            <w:shd w:val="clear" w:color="auto" w:fill="auto"/>
            <w:noWrap/>
            <w:vAlign w:val="bottom"/>
            <w:hideMark/>
          </w:tcPr>
          <w:p w14:paraId="7B822B20"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8.492,53</w:t>
            </w:r>
          </w:p>
        </w:tc>
        <w:tc>
          <w:tcPr>
            <w:tcW w:w="1740" w:type="dxa"/>
            <w:tcBorders>
              <w:top w:val="nil"/>
              <w:left w:val="nil"/>
              <w:bottom w:val="nil"/>
              <w:right w:val="nil"/>
            </w:tcBorders>
            <w:shd w:val="clear" w:color="auto" w:fill="auto"/>
            <w:noWrap/>
            <w:vAlign w:val="bottom"/>
            <w:hideMark/>
          </w:tcPr>
          <w:p w14:paraId="4BBD77B7"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3EA68285"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46.250,52</w:t>
            </w:r>
          </w:p>
        </w:tc>
        <w:tc>
          <w:tcPr>
            <w:tcW w:w="1320" w:type="dxa"/>
            <w:tcBorders>
              <w:top w:val="nil"/>
              <w:left w:val="nil"/>
              <w:bottom w:val="nil"/>
              <w:right w:val="nil"/>
            </w:tcBorders>
            <w:shd w:val="clear" w:color="auto" w:fill="auto"/>
            <w:noWrap/>
            <w:vAlign w:val="bottom"/>
            <w:hideMark/>
          </w:tcPr>
          <w:p w14:paraId="14E9F665"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544,60%</w:t>
            </w:r>
          </w:p>
        </w:tc>
        <w:tc>
          <w:tcPr>
            <w:tcW w:w="1280" w:type="dxa"/>
            <w:tcBorders>
              <w:top w:val="nil"/>
              <w:left w:val="nil"/>
              <w:bottom w:val="nil"/>
              <w:right w:val="nil"/>
            </w:tcBorders>
            <w:shd w:val="clear" w:color="auto" w:fill="auto"/>
            <w:noWrap/>
            <w:vAlign w:val="bottom"/>
            <w:hideMark/>
          </w:tcPr>
          <w:p w14:paraId="6E9E3E81"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7594BB91" w14:textId="77777777" w:rsidTr="00D53FB4">
        <w:trPr>
          <w:trHeight w:val="255"/>
        </w:trPr>
        <w:tc>
          <w:tcPr>
            <w:tcW w:w="7655" w:type="dxa"/>
            <w:tcBorders>
              <w:top w:val="nil"/>
              <w:left w:val="nil"/>
              <w:bottom w:val="nil"/>
              <w:right w:val="nil"/>
            </w:tcBorders>
            <w:shd w:val="clear" w:color="auto" w:fill="auto"/>
            <w:noWrap/>
            <w:vAlign w:val="bottom"/>
            <w:hideMark/>
          </w:tcPr>
          <w:p w14:paraId="3199568C"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7212 Poslovni objekti                                                                                    </w:t>
            </w:r>
          </w:p>
        </w:tc>
        <w:tc>
          <w:tcPr>
            <w:tcW w:w="1384" w:type="dxa"/>
            <w:tcBorders>
              <w:top w:val="nil"/>
              <w:left w:val="nil"/>
              <w:bottom w:val="nil"/>
              <w:right w:val="nil"/>
            </w:tcBorders>
            <w:shd w:val="clear" w:color="auto" w:fill="auto"/>
            <w:noWrap/>
            <w:vAlign w:val="bottom"/>
            <w:hideMark/>
          </w:tcPr>
          <w:p w14:paraId="629A146C" w14:textId="77777777" w:rsidR="00583CB4" w:rsidRPr="00583CB4" w:rsidRDefault="00583CB4" w:rsidP="00583CB4">
            <w:pPr>
              <w:spacing w:after="0" w:line="240" w:lineRule="auto"/>
              <w:rPr>
                <w:rFonts w:ascii="Arial" w:hAnsi="Arial" w:cs="Arial"/>
                <w:sz w:val="18"/>
                <w:szCs w:val="18"/>
                <w:lang w:eastAsia="hr-HR"/>
              </w:rPr>
            </w:pPr>
          </w:p>
        </w:tc>
        <w:tc>
          <w:tcPr>
            <w:tcW w:w="1740" w:type="dxa"/>
            <w:tcBorders>
              <w:top w:val="nil"/>
              <w:left w:val="nil"/>
              <w:bottom w:val="nil"/>
              <w:right w:val="nil"/>
            </w:tcBorders>
            <w:shd w:val="clear" w:color="auto" w:fill="auto"/>
            <w:noWrap/>
            <w:vAlign w:val="bottom"/>
            <w:hideMark/>
          </w:tcPr>
          <w:p w14:paraId="4C0E4BB9" w14:textId="77777777" w:rsidR="00583CB4" w:rsidRPr="00583CB4" w:rsidRDefault="00583CB4" w:rsidP="00583CB4">
            <w:pPr>
              <w:spacing w:after="0" w:line="240" w:lineRule="auto"/>
              <w:jc w:val="right"/>
              <w:rPr>
                <w:rFonts w:ascii="Times New Roman" w:hAnsi="Times New Roman" w:cs="Times New Roman"/>
                <w:sz w:val="18"/>
                <w:szCs w:val="18"/>
                <w:lang w:eastAsia="hr-HR"/>
              </w:rPr>
            </w:pPr>
          </w:p>
        </w:tc>
        <w:tc>
          <w:tcPr>
            <w:tcW w:w="1412" w:type="dxa"/>
            <w:tcBorders>
              <w:top w:val="nil"/>
              <w:left w:val="nil"/>
              <w:bottom w:val="nil"/>
              <w:right w:val="nil"/>
            </w:tcBorders>
            <w:shd w:val="clear" w:color="auto" w:fill="auto"/>
            <w:noWrap/>
            <w:vAlign w:val="bottom"/>
            <w:hideMark/>
          </w:tcPr>
          <w:p w14:paraId="5B7BE5E7"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11.752,69</w:t>
            </w:r>
          </w:p>
        </w:tc>
        <w:tc>
          <w:tcPr>
            <w:tcW w:w="1320" w:type="dxa"/>
            <w:tcBorders>
              <w:top w:val="nil"/>
              <w:left w:val="nil"/>
              <w:bottom w:val="nil"/>
              <w:right w:val="nil"/>
            </w:tcBorders>
            <w:shd w:val="clear" w:color="auto" w:fill="auto"/>
            <w:noWrap/>
            <w:vAlign w:val="bottom"/>
            <w:hideMark/>
          </w:tcPr>
          <w:p w14:paraId="3B2FA5C3"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0,00%</w:t>
            </w:r>
          </w:p>
        </w:tc>
        <w:tc>
          <w:tcPr>
            <w:tcW w:w="1280" w:type="dxa"/>
            <w:tcBorders>
              <w:top w:val="nil"/>
              <w:left w:val="nil"/>
              <w:bottom w:val="nil"/>
              <w:right w:val="nil"/>
            </w:tcBorders>
            <w:shd w:val="clear" w:color="auto" w:fill="auto"/>
            <w:noWrap/>
            <w:vAlign w:val="bottom"/>
            <w:hideMark/>
          </w:tcPr>
          <w:p w14:paraId="2DF6F153"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4A14F863" w14:textId="77777777" w:rsidTr="00D53FB4">
        <w:trPr>
          <w:trHeight w:val="255"/>
        </w:trPr>
        <w:tc>
          <w:tcPr>
            <w:tcW w:w="7655" w:type="dxa"/>
            <w:tcBorders>
              <w:top w:val="nil"/>
              <w:left w:val="nil"/>
              <w:bottom w:val="nil"/>
              <w:right w:val="nil"/>
            </w:tcBorders>
            <w:shd w:val="clear" w:color="auto" w:fill="auto"/>
            <w:noWrap/>
            <w:vAlign w:val="bottom"/>
            <w:hideMark/>
          </w:tcPr>
          <w:p w14:paraId="65EC8F47"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lastRenderedPageBreak/>
              <w:t xml:space="preserve">723 Prihodi od prodaje prijevoznih sredstava                                                            </w:t>
            </w:r>
          </w:p>
        </w:tc>
        <w:tc>
          <w:tcPr>
            <w:tcW w:w="1384" w:type="dxa"/>
            <w:tcBorders>
              <w:top w:val="nil"/>
              <w:left w:val="nil"/>
              <w:bottom w:val="nil"/>
              <w:right w:val="nil"/>
            </w:tcBorders>
            <w:shd w:val="clear" w:color="auto" w:fill="auto"/>
            <w:noWrap/>
            <w:vAlign w:val="bottom"/>
            <w:hideMark/>
          </w:tcPr>
          <w:p w14:paraId="3F417C52"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2.906,00</w:t>
            </w:r>
          </w:p>
        </w:tc>
        <w:tc>
          <w:tcPr>
            <w:tcW w:w="1740" w:type="dxa"/>
            <w:tcBorders>
              <w:top w:val="nil"/>
              <w:left w:val="nil"/>
              <w:bottom w:val="nil"/>
              <w:right w:val="nil"/>
            </w:tcBorders>
            <w:shd w:val="clear" w:color="auto" w:fill="auto"/>
            <w:noWrap/>
            <w:vAlign w:val="bottom"/>
            <w:hideMark/>
          </w:tcPr>
          <w:p w14:paraId="4E4B3459"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36241D03"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784,13</w:t>
            </w:r>
          </w:p>
        </w:tc>
        <w:tc>
          <w:tcPr>
            <w:tcW w:w="1320" w:type="dxa"/>
            <w:tcBorders>
              <w:top w:val="nil"/>
              <w:left w:val="nil"/>
              <w:bottom w:val="nil"/>
              <w:right w:val="nil"/>
            </w:tcBorders>
            <w:shd w:val="clear" w:color="auto" w:fill="auto"/>
            <w:noWrap/>
            <w:vAlign w:val="bottom"/>
            <w:hideMark/>
          </w:tcPr>
          <w:p w14:paraId="2279DE66"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26,98%</w:t>
            </w:r>
          </w:p>
        </w:tc>
        <w:tc>
          <w:tcPr>
            <w:tcW w:w="1280" w:type="dxa"/>
            <w:tcBorders>
              <w:top w:val="nil"/>
              <w:left w:val="nil"/>
              <w:bottom w:val="nil"/>
              <w:right w:val="nil"/>
            </w:tcBorders>
            <w:shd w:val="clear" w:color="auto" w:fill="auto"/>
            <w:noWrap/>
            <w:vAlign w:val="bottom"/>
            <w:hideMark/>
          </w:tcPr>
          <w:p w14:paraId="3855AE85"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50605B9C" w14:textId="77777777" w:rsidTr="00D53FB4">
        <w:trPr>
          <w:trHeight w:val="255"/>
        </w:trPr>
        <w:tc>
          <w:tcPr>
            <w:tcW w:w="7655" w:type="dxa"/>
            <w:tcBorders>
              <w:top w:val="nil"/>
              <w:left w:val="nil"/>
              <w:bottom w:val="nil"/>
              <w:right w:val="nil"/>
            </w:tcBorders>
            <w:shd w:val="clear" w:color="auto" w:fill="auto"/>
            <w:noWrap/>
            <w:vAlign w:val="bottom"/>
            <w:hideMark/>
          </w:tcPr>
          <w:p w14:paraId="2189C02A"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7231 Prijevozna sredstva u cestovnom prometu                                                             </w:t>
            </w:r>
          </w:p>
        </w:tc>
        <w:tc>
          <w:tcPr>
            <w:tcW w:w="1384" w:type="dxa"/>
            <w:tcBorders>
              <w:top w:val="nil"/>
              <w:left w:val="nil"/>
              <w:bottom w:val="nil"/>
              <w:right w:val="nil"/>
            </w:tcBorders>
            <w:shd w:val="clear" w:color="auto" w:fill="auto"/>
            <w:noWrap/>
            <w:vAlign w:val="bottom"/>
            <w:hideMark/>
          </w:tcPr>
          <w:p w14:paraId="3C9DC8B3"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2.906,00</w:t>
            </w:r>
          </w:p>
        </w:tc>
        <w:tc>
          <w:tcPr>
            <w:tcW w:w="1740" w:type="dxa"/>
            <w:tcBorders>
              <w:top w:val="nil"/>
              <w:left w:val="nil"/>
              <w:bottom w:val="nil"/>
              <w:right w:val="nil"/>
            </w:tcBorders>
            <w:shd w:val="clear" w:color="auto" w:fill="auto"/>
            <w:noWrap/>
            <w:vAlign w:val="bottom"/>
            <w:hideMark/>
          </w:tcPr>
          <w:p w14:paraId="0C2952C6"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28591DF1"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784,13</w:t>
            </w:r>
          </w:p>
        </w:tc>
        <w:tc>
          <w:tcPr>
            <w:tcW w:w="1320" w:type="dxa"/>
            <w:tcBorders>
              <w:top w:val="nil"/>
              <w:left w:val="nil"/>
              <w:bottom w:val="nil"/>
              <w:right w:val="nil"/>
            </w:tcBorders>
            <w:shd w:val="clear" w:color="auto" w:fill="auto"/>
            <w:noWrap/>
            <w:vAlign w:val="bottom"/>
            <w:hideMark/>
          </w:tcPr>
          <w:p w14:paraId="7DDE803D"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26,98%</w:t>
            </w:r>
          </w:p>
        </w:tc>
        <w:tc>
          <w:tcPr>
            <w:tcW w:w="1280" w:type="dxa"/>
            <w:tcBorders>
              <w:top w:val="nil"/>
              <w:left w:val="nil"/>
              <w:bottom w:val="nil"/>
              <w:right w:val="nil"/>
            </w:tcBorders>
            <w:shd w:val="clear" w:color="auto" w:fill="auto"/>
            <w:noWrap/>
            <w:vAlign w:val="bottom"/>
            <w:hideMark/>
          </w:tcPr>
          <w:p w14:paraId="5BEA8E42" w14:textId="77777777" w:rsidR="00583CB4" w:rsidRPr="00583CB4" w:rsidRDefault="00583CB4" w:rsidP="00583CB4">
            <w:pPr>
              <w:spacing w:after="0" w:line="240" w:lineRule="auto"/>
              <w:jc w:val="right"/>
              <w:rPr>
                <w:rFonts w:ascii="Arial" w:hAnsi="Arial" w:cs="Arial"/>
                <w:sz w:val="18"/>
                <w:szCs w:val="18"/>
                <w:lang w:eastAsia="hr-HR"/>
              </w:rPr>
            </w:pPr>
          </w:p>
        </w:tc>
      </w:tr>
      <w:tr w:rsidR="00D53FB4" w:rsidRPr="00583CB4" w14:paraId="0B92CCA2" w14:textId="77777777" w:rsidTr="00D53FB4">
        <w:trPr>
          <w:trHeight w:val="255"/>
        </w:trPr>
        <w:tc>
          <w:tcPr>
            <w:tcW w:w="7655" w:type="dxa"/>
            <w:tcBorders>
              <w:top w:val="nil"/>
              <w:left w:val="nil"/>
              <w:bottom w:val="nil"/>
              <w:right w:val="nil"/>
            </w:tcBorders>
            <w:shd w:val="clear" w:color="000000" w:fill="D9D9D9"/>
            <w:noWrap/>
            <w:vAlign w:val="bottom"/>
            <w:hideMark/>
          </w:tcPr>
          <w:p w14:paraId="1BA73D26" w14:textId="77777777" w:rsidR="00583CB4" w:rsidRPr="00583CB4" w:rsidRDefault="00583CB4" w:rsidP="00583CB4">
            <w:pPr>
              <w:spacing w:after="0" w:line="240" w:lineRule="auto"/>
              <w:rPr>
                <w:rFonts w:ascii="Arial" w:hAnsi="Arial" w:cs="Arial"/>
                <w:b/>
                <w:bCs/>
                <w:sz w:val="18"/>
                <w:szCs w:val="18"/>
                <w:lang w:eastAsia="hr-HR"/>
              </w:rPr>
            </w:pPr>
            <w:r w:rsidRPr="00583CB4">
              <w:rPr>
                <w:rFonts w:ascii="Arial" w:hAnsi="Arial" w:cs="Arial"/>
                <w:b/>
                <w:bCs/>
                <w:sz w:val="18"/>
                <w:szCs w:val="18"/>
                <w:lang w:eastAsia="hr-HR"/>
              </w:rPr>
              <w:t>3 Rashodi poslovanja</w:t>
            </w:r>
          </w:p>
        </w:tc>
        <w:tc>
          <w:tcPr>
            <w:tcW w:w="1384" w:type="dxa"/>
            <w:tcBorders>
              <w:top w:val="nil"/>
              <w:left w:val="nil"/>
              <w:bottom w:val="nil"/>
              <w:right w:val="nil"/>
            </w:tcBorders>
            <w:shd w:val="clear" w:color="000000" w:fill="D9D9D9"/>
            <w:noWrap/>
            <w:vAlign w:val="bottom"/>
            <w:hideMark/>
          </w:tcPr>
          <w:p w14:paraId="79E1AD99"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8.072.801,79</w:t>
            </w:r>
          </w:p>
        </w:tc>
        <w:tc>
          <w:tcPr>
            <w:tcW w:w="1740" w:type="dxa"/>
            <w:tcBorders>
              <w:top w:val="nil"/>
              <w:left w:val="nil"/>
              <w:bottom w:val="nil"/>
              <w:right w:val="nil"/>
            </w:tcBorders>
            <w:shd w:val="clear" w:color="000000" w:fill="D9D9D9"/>
            <w:noWrap/>
            <w:vAlign w:val="bottom"/>
            <w:hideMark/>
          </w:tcPr>
          <w:p w14:paraId="61CDBBC5"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10.975.022,24</w:t>
            </w:r>
          </w:p>
        </w:tc>
        <w:tc>
          <w:tcPr>
            <w:tcW w:w="1412" w:type="dxa"/>
            <w:tcBorders>
              <w:top w:val="nil"/>
              <w:left w:val="nil"/>
              <w:bottom w:val="nil"/>
              <w:right w:val="nil"/>
            </w:tcBorders>
            <w:shd w:val="clear" w:color="000000" w:fill="D9D9D9"/>
            <w:noWrap/>
            <w:vAlign w:val="bottom"/>
            <w:hideMark/>
          </w:tcPr>
          <w:p w14:paraId="2CA951B4" w14:textId="2B832A01"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10.1</w:t>
            </w:r>
            <w:r w:rsidR="00D14272">
              <w:rPr>
                <w:rFonts w:ascii="Arial" w:hAnsi="Arial" w:cs="Arial"/>
                <w:b/>
                <w:bCs/>
                <w:sz w:val="18"/>
                <w:szCs w:val="18"/>
                <w:lang w:eastAsia="hr-HR"/>
              </w:rPr>
              <w:t>73.904,62</w:t>
            </w:r>
          </w:p>
        </w:tc>
        <w:tc>
          <w:tcPr>
            <w:tcW w:w="1320" w:type="dxa"/>
            <w:tcBorders>
              <w:top w:val="nil"/>
              <w:left w:val="nil"/>
              <w:bottom w:val="nil"/>
              <w:right w:val="nil"/>
            </w:tcBorders>
            <w:shd w:val="clear" w:color="000000" w:fill="D9D9D9"/>
            <w:noWrap/>
            <w:vAlign w:val="bottom"/>
            <w:hideMark/>
          </w:tcPr>
          <w:p w14:paraId="76B037C2" w14:textId="05D10D6C"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12</w:t>
            </w:r>
            <w:r w:rsidR="00D14272">
              <w:rPr>
                <w:rFonts w:ascii="Arial" w:hAnsi="Arial" w:cs="Arial"/>
                <w:b/>
                <w:bCs/>
                <w:sz w:val="18"/>
                <w:szCs w:val="18"/>
                <w:lang w:eastAsia="hr-HR"/>
              </w:rPr>
              <w:t>6</w:t>
            </w:r>
            <w:r w:rsidRPr="00583CB4">
              <w:rPr>
                <w:rFonts w:ascii="Arial" w:hAnsi="Arial" w:cs="Arial"/>
                <w:b/>
                <w:bCs/>
                <w:sz w:val="18"/>
                <w:szCs w:val="18"/>
                <w:lang w:eastAsia="hr-HR"/>
              </w:rPr>
              <w:t>,</w:t>
            </w:r>
            <w:r w:rsidR="00D14272">
              <w:rPr>
                <w:rFonts w:ascii="Arial" w:hAnsi="Arial" w:cs="Arial"/>
                <w:b/>
                <w:bCs/>
                <w:sz w:val="18"/>
                <w:szCs w:val="18"/>
                <w:lang w:eastAsia="hr-HR"/>
              </w:rPr>
              <w:t>0</w:t>
            </w:r>
            <w:r w:rsidRPr="00583CB4">
              <w:rPr>
                <w:rFonts w:ascii="Arial" w:hAnsi="Arial" w:cs="Arial"/>
                <w:b/>
                <w:bCs/>
                <w:sz w:val="18"/>
                <w:szCs w:val="18"/>
                <w:lang w:eastAsia="hr-HR"/>
              </w:rPr>
              <w:t>3%</w:t>
            </w:r>
          </w:p>
        </w:tc>
        <w:tc>
          <w:tcPr>
            <w:tcW w:w="1280" w:type="dxa"/>
            <w:tcBorders>
              <w:top w:val="nil"/>
              <w:left w:val="nil"/>
              <w:bottom w:val="nil"/>
              <w:right w:val="nil"/>
            </w:tcBorders>
            <w:shd w:val="clear" w:color="000000" w:fill="D9D9D9"/>
            <w:noWrap/>
            <w:vAlign w:val="bottom"/>
            <w:hideMark/>
          </w:tcPr>
          <w:p w14:paraId="615817B8" w14:textId="4CE3CE6E"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92,</w:t>
            </w:r>
            <w:r w:rsidR="00D14272">
              <w:rPr>
                <w:rFonts w:ascii="Arial" w:hAnsi="Arial" w:cs="Arial"/>
                <w:b/>
                <w:bCs/>
                <w:sz w:val="18"/>
                <w:szCs w:val="18"/>
                <w:lang w:eastAsia="hr-HR"/>
              </w:rPr>
              <w:t>70</w:t>
            </w:r>
            <w:r w:rsidRPr="00583CB4">
              <w:rPr>
                <w:rFonts w:ascii="Arial" w:hAnsi="Arial" w:cs="Arial"/>
                <w:b/>
                <w:bCs/>
                <w:sz w:val="18"/>
                <w:szCs w:val="18"/>
                <w:lang w:eastAsia="hr-HR"/>
              </w:rPr>
              <w:t>%</w:t>
            </w:r>
          </w:p>
        </w:tc>
      </w:tr>
      <w:tr w:rsidR="00583CB4" w:rsidRPr="00583CB4" w14:paraId="512424AF" w14:textId="77777777" w:rsidTr="00D53FB4">
        <w:trPr>
          <w:trHeight w:val="255"/>
        </w:trPr>
        <w:tc>
          <w:tcPr>
            <w:tcW w:w="7655" w:type="dxa"/>
            <w:tcBorders>
              <w:top w:val="nil"/>
              <w:left w:val="nil"/>
              <w:bottom w:val="nil"/>
              <w:right w:val="nil"/>
            </w:tcBorders>
            <w:shd w:val="clear" w:color="auto" w:fill="auto"/>
            <w:noWrap/>
            <w:vAlign w:val="bottom"/>
            <w:hideMark/>
          </w:tcPr>
          <w:p w14:paraId="19C10DB7" w14:textId="77777777" w:rsidR="00583CB4" w:rsidRPr="00583CB4" w:rsidRDefault="00583CB4" w:rsidP="00583CB4">
            <w:pPr>
              <w:spacing w:after="0" w:line="240" w:lineRule="auto"/>
              <w:rPr>
                <w:rFonts w:ascii="Arial" w:hAnsi="Arial" w:cs="Arial"/>
                <w:b/>
                <w:bCs/>
                <w:sz w:val="18"/>
                <w:szCs w:val="18"/>
                <w:lang w:eastAsia="hr-HR"/>
              </w:rPr>
            </w:pPr>
            <w:r w:rsidRPr="00583CB4">
              <w:rPr>
                <w:rFonts w:ascii="Arial" w:hAnsi="Arial" w:cs="Arial"/>
                <w:b/>
                <w:bCs/>
                <w:sz w:val="18"/>
                <w:szCs w:val="18"/>
                <w:lang w:eastAsia="hr-HR"/>
              </w:rPr>
              <w:t xml:space="preserve">31 Rashodi za zaposlene                                                                                </w:t>
            </w:r>
          </w:p>
        </w:tc>
        <w:tc>
          <w:tcPr>
            <w:tcW w:w="1384" w:type="dxa"/>
            <w:tcBorders>
              <w:top w:val="nil"/>
              <w:left w:val="nil"/>
              <w:bottom w:val="nil"/>
              <w:right w:val="nil"/>
            </w:tcBorders>
            <w:shd w:val="clear" w:color="auto" w:fill="auto"/>
            <w:noWrap/>
            <w:vAlign w:val="bottom"/>
            <w:hideMark/>
          </w:tcPr>
          <w:p w14:paraId="1E37D510"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4.687.239,15</w:t>
            </w:r>
          </w:p>
        </w:tc>
        <w:tc>
          <w:tcPr>
            <w:tcW w:w="1740" w:type="dxa"/>
            <w:tcBorders>
              <w:top w:val="nil"/>
              <w:left w:val="nil"/>
              <w:bottom w:val="nil"/>
              <w:right w:val="nil"/>
            </w:tcBorders>
            <w:shd w:val="clear" w:color="auto" w:fill="auto"/>
            <w:noWrap/>
            <w:vAlign w:val="bottom"/>
            <w:hideMark/>
          </w:tcPr>
          <w:p w14:paraId="5EF58766"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6.538.645,09</w:t>
            </w:r>
          </w:p>
        </w:tc>
        <w:tc>
          <w:tcPr>
            <w:tcW w:w="1412" w:type="dxa"/>
            <w:tcBorders>
              <w:top w:val="nil"/>
              <w:left w:val="nil"/>
              <w:bottom w:val="nil"/>
              <w:right w:val="nil"/>
            </w:tcBorders>
            <w:shd w:val="clear" w:color="auto" w:fill="auto"/>
            <w:noWrap/>
            <w:vAlign w:val="bottom"/>
            <w:hideMark/>
          </w:tcPr>
          <w:p w14:paraId="0C5843ED" w14:textId="4192E22A"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6.2</w:t>
            </w:r>
            <w:r w:rsidR="00D14272">
              <w:rPr>
                <w:rFonts w:ascii="Arial" w:hAnsi="Arial" w:cs="Arial"/>
                <w:b/>
                <w:bCs/>
                <w:sz w:val="18"/>
                <w:szCs w:val="18"/>
                <w:lang w:eastAsia="hr-HR"/>
              </w:rPr>
              <w:t>93.652,52</w:t>
            </w:r>
          </w:p>
        </w:tc>
        <w:tc>
          <w:tcPr>
            <w:tcW w:w="1320" w:type="dxa"/>
            <w:tcBorders>
              <w:top w:val="nil"/>
              <w:left w:val="nil"/>
              <w:bottom w:val="nil"/>
              <w:right w:val="nil"/>
            </w:tcBorders>
            <w:shd w:val="clear" w:color="auto" w:fill="auto"/>
            <w:noWrap/>
            <w:vAlign w:val="bottom"/>
            <w:hideMark/>
          </w:tcPr>
          <w:p w14:paraId="313295D8" w14:textId="5581BCB1"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134,</w:t>
            </w:r>
            <w:r w:rsidR="00D14272">
              <w:rPr>
                <w:rFonts w:ascii="Arial" w:hAnsi="Arial" w:cs="Arial"/>
                <w:b/>
                <w:bCs/>
                <w:sz w:val="18"/>
                <w:szCs w:val="18"/>
                <w:lang w:eastAsia="hr-HR"/>
              </w:rPr>
              <w:t>27</w:t>
            </w:r>
            <w:r w:rsidRPr="00583CB4">
              <w:rPr>
                <w:rFonts w:ascii="Arial" w:hAnsi="Arial" w:cs="Arial"/>
                <w:b/>
                <w:bCs/>
                <w:sz w:val="18"/>
                <w:szCs w:val="18"/>
                <w:lang w:eastAsia="hr-HR"/>
              </w:rPr>
              <w:t>%</w:t>
            </w:r>
          </w:p>
        </w:tc>
        <w:tc>
          <w:tcPr>
            <w:tcW w:w="1280" w:type="dxa"/>
            <w:tcBorders>
              <w:top w:val="nil"/>
              <w:left w:val="nil"/>
              <w:bottom w:val="nil"/>
              <w:right w:val="nil"/>
            </w:tcBorders>
            <w:shd w:val="clear" w:color="auto" w:fill="auto"/>
            <w:noWrap/>
            <w:vAlign w:val="bottom"/>
            <w:hideMark/>
          </w:tcPr>
          <w:p w14:paraId="7CAB4287" w14:textId="1575B03C"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96,</w:t>
            </w:r>
            <w:r w:rsidR="00D14272">
              <w:rPr>
                <w:rFonts w:ascii="Arial" w:hAnsi="Arial" w:cs="Arial"/>
                <w:b/>
                <w:bCs/>
                <w:sz w:val="18"/>
                <w:szCs w:val="18"/>
                <w:lang w:eastAsia="hr-HR"/>
              </w:rPr>
              <w:t>25</w:t>
            </w:r>
            <w:r w:rsidRPr="00583CB4">
              <w:rPr>
                <w:rFonts w:ascii="Arial" w:hAnsi="Arial" w:cs="Arial"/>
                <w:b/>
                <w:bCs/>
                <w:sz w:val="18"/>
                <w:szCs w:val="18"/>
                <w:lang w:eastAsia="hr-HR"/>
              </w:rPr>
              <w:t>%</w:t>
            </w:r>
          </w:p>
        </w:tc>
      </w:tr>
      <w:tr w:rsidR="00583CB4" w:rsidRPr="00583CB4" w14:paraId="1BBCC37D" w14:textId="77777777" w:rsidTr="00D53FB4">
        <w:trPr>
          <w:trHeight w:val="255"/>
        </w:trPr>
        <w:tc>
          <w:tcPr>
            <w:tcW w:w="7655" w:type="dxa"/>
            <w:tcBorders>
              <w:top w:val="nil"/>
              <w:left w:val="nil"/>
              <w:bottom w:val="nil"/>
              <w:right w:val="nil"/>
            </w:tcBorders>
            <w:shd w:val="clear" w:color="auto" w:fill="auto"/>
            <w:noWrap/>
            <w:vAlign w:val="bottom"/>
            <w:hideMark/>
          </w:tcPr>
          <w:p w14:paraId="72A04049"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311 Plaće (Bruto)                                                                                       </w:t>
            </w:r>
          </w:p>
        </w:tc>
        <w:tc>
          <w:tcPr>
            <w:tcW w:w="1384" w:type="dxa"/>
            <w:tcBorders>
              <w:top w:val="nil"/>
              <w:left w:val="nil"/>
              <w:bottom w:val="nil"/>
              <w:right w:val="nil"/>
            </w:tcBorders>
            <w:shd w:val="clear" w:color="auto" w:fill="auto"/>
            <w:noWrap/>
            <w:vAlign w:val="bottom"/>
            <w:hideMark/>
          </w:tcPr>
          <w:p w14:paraId="08CF343F"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3.789.498,24</w:t>
            </w:r>
          </w:p>
        </w:tc>
        <w:tc>
          <w:tcPr>
            <w:tcW w:w="1740" w:type="dxa"/>
            <w:tcBorders>
              <w:top w:val="nil"/>
              <w:left w:val="nil"/>
              <w:bottom w:val="nil"/>
              <w:right w:val="nil"/>
            </w:tcBorders>
            <w:shd w:val="clear" w:color="auto" w:fill="auto"/>
            <w:noWrap/>
            <w:vAlign w:val="bottom"/>
            <w:hideMark/>
          </w:tcPr>
          <w:p w14:paraId="101414F4"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6D7493BA"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5.113.905,66</w:t>
            </w:r>
          </w:p>
        </w:tc>
        <w:tc>
          <w:tcPr>
            <w:tcW w:w="1320" w:type="dxa"/>
            <w:tcBorders>
              <w:top w:val="nil"/>
              <w:left w:val="nil"/>
              <w:bottom w:val="nil"/>
              <w:right w:val="nil"/>
            </w:tcBorders>
            <w:shd w:val="clear" w:color="auto" w:fill="auto"/>
            <w:noWrap/>
            <w:vAlign w:val="bottom"/>
            <w:hideMark/>
          </w:tcPr>
          <w:p w14:paraId="2C544487"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134,95%</w:t>
            </w:r>
          </w:p>
        </w:tc>
        <w:tc>
          <w:tcPr>
            <w:tcW w:w="1280" w:type="dxa"/>
            <w:tcBorders>
              <w:top w:val="nil"/>
              <w:left w:val="nil"/>
              <w:bottom w:val="nil"/>
              <w:right w:val="nil"/>
            </w:tcBorders>
            <w:shd w:val="clear" w:color="auto" w:fill="auto"/>
            <w:noWrap/>
            <w:vAlign w:val="bottom"/>
            <w:hideMark/>
          </w:tcPr>
          <w:p w14:paraId="37D5AF8F"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76E762E3" w14:textId="77777777" w:rsidTr="00D53FB4">
        <w:trPr>
          <w:trHeight w:val="255"/>
        </w:trPr>
        <w:tc>
          <w:tcPr>
            <w:tcW w:w="7655" w:type="dxa"/>
            <w:tcBorders>
              <w:top w:val="nil"/>
              <w:left w:val="nil"/>
              <w:bottom w:val="nil"/>
              <w:right w:val="nil"/>
            </w:tcBorders>
            <w:shd w:val="clear" w:color="auto" w:fill="auto"/>
            <w:noWrap/>
            <w:vAlign w:val="bottom"/>
            <w:hideMark/>
          </w:tcPr>
          <w:p w14:paraId="33A45147"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3111 Plaće za redovan rad                                                                                </w:t>
            </w:r>
          </w:p>
        </w:tc>
        <w:tc>
          <w:tcPr>
            <w:tcW w:w="1384" w:type="dxa"/>
            <w:tcBorders>
              <w:top w:val="nil"/>
              <w:left w:val="nil"/>
              <w:bottom w:val="nil"/>
              <w:right w:val="nil"/>
            </w:tcBorders>
            <w:shd w:val="clear" w:color="auto" w:fill="auto"/>
            <w:noWrap/>
            <w:vAlign w:val="bottom"/>
            <w:hideMark/>
          </w:tcPr>
          <w:p w14:paraId="41CED37B"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3.789.171,69</w:t>
            </w:r>
          </w:p>
        </w:tc>
        <w:tc>
          <w:tcPr>
            <w:tcW w:w="1740" w:type="dxa"/>
            <w:tcBorders>
              <w:top w:val="nil"/>
              <w:left w:val="nil"/>
              <w:bottom w:val="nil"/>
              <w:right w:val="nil"/>
            </w:tcBorders>
            <w:shd w:val="clear" w:color="auto" w:fill="auto"/>
            <w:noWrap/>
            <w:vAlign w:val="bottom"/>
            <w:hideMark/>
          </w:tcPr>
          <w:p w14:paraId="3693E27C"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62648FDA"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5.113.431,50</w:t>
            </w:r>
          </w:p>
        </w:tc>
        <w:tc>
          <w:tcPr>
            <w:tcW w:w="1320" w:type="dxa"/>
            <w:tcBorders>
              <w:top w:val="nil"/>
              <w:left w:val="nil"/>
              <w:bottom w:val="nil"/>
              <w:right w:val="nil"/>
            </w:tcBorders>
            <w:shd w:val="clear" w:color="auto" w:fill="auto"/>
            <w:noWrap/>
            <w:vAlign w:val="bottom"/>
            <w:hideMark/>
          </w:tcPr>
          <w:p w14:paraId="46EF921C"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134,95%</w:t>
            </w:r>
          </w:p>
        </w:tc>
        <w:tc>
          <w:tcPr>
            <w:tcW w:w="1280" w:type="dxa"/>
            <w:tcBorders>
              <w:top w:val="nil"/>
              <w:left w:val="nil"/>
              <w:bottom w:val="nil"/>
              <w:right w:val="nil"/>
            </w:tcBorders>
            <w:shd w:val="clear" w:color="auto" w:fill="auto"/>
            <w:noWrap/>
            <w:vAlign w:val="bottom"/>
            <w:hideMark/>
          </w:tcPr>
          <w:p w14:paraId="6FC515EF"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32BF0151" w14:textId="77777777" w:rsidTr="00D53FB4">
        <w:trPr>
          <w:trHeight w:val="255"/>
        </w:trPr>
        <w:tc>
          <w:tcPr>
            <w:tcW w:w="7655" w:type="dxa"/>
            <w:tcBorders>
              <w:top w:val="nil"/>
              <w:left w:val="nil"/>
              <w:bottom w:val="nil"/>
              <w:right w:val="nil"/>
            </w:tcBorders>
            <w:shd w:val="clear" w:color="auto" w:fill="auto"/>
            <w:noWrap/>
            <w:vAlign w:val="bottom"/>
            <w:hideMark/>
          </w:tcPr>
          <w:p w14:paraId="25C9A26A"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3112 Plaće u naravi                                                                                      </w:t>
            </w:r>
          </w:p>
        </w:tc>
        <w:tc>
          <w:tcPr>
            <w:tcW w:w="1384" w:type="dxa"/>
            <w:tcBorders>
              <w:top w:val="nil"/>
              <w:left w:val="nil"/>
              <w:bottom w:val="nil"/>
              <w:right w:val="nil"/>
            </w:tcBorders>
            <w:shd w:val="clear" w:color="auto" w:fill="auto"/>
            <w:noWrap/>
            <w:vAlign w:val="bottom"/>
            <w:hideMark/>
          </w:tcPr>
          <w:p w14:paraId="43689167"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326,55</w:t>
            </w:r>
          </w:p>
        </w:tc>
        <w:tc>
          <w:tcPr>
            <w:tcW w:w="1740" w:type="dxa"/>
            <w:tcBorders>
              <w:top w:val="nil"/>
              <w:left w:val="nil"/>
              <w:bottom w:val="nil"/>
              <w:right w:val="nil"/>
            </w:tcBorders>
            <w:shd w:val="clear" w:color="auto" w:fill="auto"/>
            <w:noWrap/>
            <w:vAlign w:val="bottom"/>
            <w:hideMark/>
          </w:tcPr>
          <w:p w14:paraId="1D9EEE8B"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753200F7"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474,16</w:t>
            </w:r>
          </w:p>
        </w:tc>
        <w:tc>
          <w:tcPr>
            <w:tcW w:w="1320" w:type="dxa"/>
            <w:tcBorders>
              <w:top w:val="nil"/>
              <w:left w:val="nil"/>
              <w:bottom w:val="nil"/>
              <w:right w:val="nil"/>
            </w:tcBorders>
            <w:shd w:val="clear" w:color="auto" w:fill="auto"/>
            <w:noWrap/>
            <w:vAlign w:val="bottom"/>
            <w:hideMark/>
          </w:tcPr>
          <w:p w14:paraId="1A5C05F5"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145,20%</w:t>
            </w:r>
          </w:p>
        </w:tc>
        <w:tc>
          <w:tcPr>
            <w:tcW w:w="1280" w:type="dxa"/>
            <w:tcBorders>
              <w:top w:val="nil"/>
              <w:left w:val="nil"/>
              <w:bottom w:val="nil"/>
              <w:right w:val="nil"/>
            </w:tcBorders>
            <w:shd w:val="clear" w:color="auto" w:fill="auto"/>
            <w:noWrap/>
            <w:vAlign w:val="bottom"/>
            <w:hideMark/>
          </w:tcPr>
          <w:p w14:paraId="575D5627"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7DCF84CE" w14:textId="77777777" w:rsidTr="00D53FB4">
        <w:trPr>
          <w:trHeight w:val="255"/>
        </w:trPr>
        <w:tc>
          <w:tcPr>
            <w:tcW w:w="7655" w:type="dxa"/>
            <w:tcBorders>
              <w:top w:val="nil"/>
              <w:left w:val="nil"/>
              <w:bottom w:val="nil"/>
              <w:right w:val="nil"/>
            </w:tcBorders>
            <w:shd w:val="clear" w:color="auto" w:fill="auto"/>
            <w:noWrap/>
            <w:vAlign w:val="bottom"/>
            <w:hideMark/>
          </w:tcPr>
          <w:p w14:paraId="64A25086"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312 Ostali rashodi za zaposlene                                                                         </w:t>
            </w:r>
          </w:p>
        </w:tc>
        <w:tc>
          <w:tcPr>
            <w:tcW w:w="1384" w:type="dxa"/>
            <w:tcBorders>
              <w:top w:val="nil"/>
              <w:left w:val="nil"/>
              <w:bottom w:val="nil"/>
              <w:right w:val="nil"/>
            </w:tcBorders>
            <w:shd w:val="clear" w:color="auto" w:fill="auto"/>
            <w:noWrap/>
            <w:vAlign w:val="bottom"/>
            <w:hideMark/>
          </w:tcPr>
          <w:p w14:paraId="41F80530"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267.044,58</w:t>
            </w:r>
          </w:p>
        </w:tc>
        <w:tc>
          <w:tcPr>
            <w:tcW w:w="1740" w:type="dxa"/>
            <w:tcBorders>
              <w:top w:val="nil"/>
              <w:left w:val="nil"/>
              <w:bottom w:val="nil"/>
              <w:right w:val="nil"/>
            </w:tcBorders>
            <w:shd w:val="clear" w:color="auto" w:fill="auto"/>
            <w:noWrap/>
            <w:vAlign w:val="bottom"/>
            <w:hideMark/>
          </w:tcPr>
          <w:p w14:paraId="62EBDA7A"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0D296492" w14:textId="3B358C4B"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3</w:t>
            </w:r>
            <w:r w:rsidR="00D14272">
              <w:rPr>
                <w:rFonts w:ascii="Arial" w:hAnsi="Arial" w:cs="Arial"/>
                <w:sz w:val="18"/>
                <w:szCs w:val="18"/>
                <w:lang w:eastAsia="hr-HR"/>
              </w:rPr>
              <w:t>22.970,84</w:t>
            </w:r>
          </w:p>
        </w:tc>
        <w:tc>
          <w:tcPr>
            <w:tcW w:w="1320" w:type="dxa"/>
            <w:tcBorders>
              <w:top w:val="nil"/>
              <w:left w:val="nil"/>
              <w:bottom w:val="nil"/>
              <w:right w:val="nil"/>
            </w:tcBorders>
            <w:shd w:val="clear" w:color="auto" w:fill="auto"/>
            <w:noWrap/>
            <w:vAlign w:val="bottom"/>
            <w:hideMark/>
          </w:tcPr>
          <w:p w14:paraId="0803FE3F" w14:textId="2C9C9A20"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w:t>
            </w:r>
            <w:r w:rsidR="00D14272">
              <w:rPr>
                <w:rFonts w:ascii="Arial" w:hAnsi="Arial" w:cs="Arial"/>
                <w:sz w:val="18"/>
                <w:szCs w:val="18"/>
                <w:lang w:eastAsia="hr-HR"/>
              </w:rPr>
              <w:t>20,94</w:t>
            </w:r>
            <w:r w:rsidRPr="00583CB4">
              <w:rPr>
                <w:rFonts w:ascii="Arial" w:hAnsi="Arial" w:cs="Arial"/>
                <w:sz w:val="18"/>
                <w:szCs w:val="18"/>
                <w:lang w:eastAsia="hr-HR"/>
              </w:rPr>
              <w:t>%</w:t>
            </w:r>
          </w:p>
        </w:tc>
        <w:tc>
          <w:tcPr>
            <w:tcW w:w="1280" w:type="dxa"/>
            <w:tcBorders>
              <w:top w:val="nil"/>
              <w:left w:val="nil"/>
              <w:bottom w:val="nil"/>
              <w:right w:val="nil"/>
            </w:tcBorders>
            <w:shd w:val="clear" w:color="auto" w:fill="auto"/>
            <w:noWrap/>
            <w:vAlign w:val="bottom"/>
            <w:hideMark/>
          </w:tcPr>
          <w:p w14:paraId="1C3D7C1F"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65240537" w14:textId="77777777" w:rsidTr="00D53FB4">
        <w:trPr>
          <w:trHeight w:val="255"/>
        </w:trPr>
        <w:tc>
          <w:tcPr>
            <w:tcW w:w="7655" w:type="dxa"/>
            <w:tcBorders>
              <w:top w:val="nil"/>
              <w:left w:val="nil"/>
              <w:bottom w:val="nil"/>
              <w:right w:val="nil"/>
            </w:tcBorders>
            <w:shd w:val="clear" w:color="auto" w:fill="auto"/>
            <w:noWrap/>
            <w:vAlign w:val="bottom"/>
            <w:hideMark/>
          </w:tcPr>
          <w:p w14:paraId="1D26C0FC"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3121 Ostali rashodi za zaposlene                                                                         </w:t>
            </w:r>
          </w:p>
        </w:tc>
        <w:tc>
          <w:tcPr>
            <w:tcW w:w="1384" w:type="dxa"/>
            <w:tcBorders>
              <w:top w:val="nil"/>
              <w:left w:val="nil"/>
              <w:bottom w:val="nil"/>
              <w:right w:val="nil"/>
            </w:tcBorders>
            <w:shd w:val="clear" w:color="auto" w:fill="auto"/>
            <w:noWrap/>
            <w:vAlign w:val="bottom"/>
            <w:hideMark/>
          </w:tcPr>
          <w:p w14:paraId="72C6379F"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267.044,58</w:t>
            </w:r>
          </w:p>
        </w:tc>
        <w:tc>
          <w:tcPr>
            <w:tcW w:w="1740" w:type="dxa"/>
            <w:tcBorders>
              <w:top w:val="nil"/>
              <w:left w:val="nil"/>
              <w:bottom w:val="nil"/>
              <w:right w:val="nil"/>
            </w:tcBorders>
            <w:shd w:val="clear" w:color="auto" w:fill="auto"/>
            <w:noWrap/>
            <w:vAlign w:val="bottom"/>
            <w:hideMark/>
          </w:tcPr>
          <w:p w14:paraId="3950B1D1"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67C27DDC" w14:textId="021324AF"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3</w:t>
            </w:r>
            <w:r w:rsidR="00D14272">
              <w:rPr>
                <w:rFonts w:ascii="Arial" w:hAnsi="Arial" w:cs="Arial"/>
                <w:sz w:val="18"/>
                <w:szCs w:val="18"/>
                <w:lang w:eastAsia="hr-HR"/>
              </w:rPr>
              <w:t>22.970,84</w:t>
            </w:r>
          </w:p>
        </w:tc>
        <w:tc>
          <w:tcPr>
            <w:tcW w:w="1320" w:type="dxa"/>
            <w:tcBorders>
              <w:top w:val="nil"/>
              <w:left w:val="nil"/>
              <w:bottom w:val="nil"/>
              <w:right w:val="nil"/>
            </w:tcBorders>
            <w:shd w:val="clear" w:color="auto" w:fill="auto"/>
            <w:noWrap/>
            <w:vAlign w:val="bottom"/>
            <w:hideMark/>
          </w:tcPr>
          <w:p w14:paraId="2B634015" w14:textId="0D738E3C" w:rsidR="00583CB4" w:rsidRPr="00583CB4" w:rsidRDefault="00D14272" w:rsidP="00583CB4">
            <w:pPr>
              <w:spacing w:after="0" w:line="240" w:lineRule="auto"/>
              <w:jc w:val="right"/>
              <w:rPr>
                <w:rFonts w:ascii="Arial" w:hAnsi="Arial" w:cs="Arial"/>
                <w:sz w:val="18"/>
                <w:szCs w:val="18"/>
                <w:lang w:eastAsia="hr-HR"/>
              </w:rPr>
            </w:pPr>
            <w:r>
              <w:rPr>
                <w:rFonts w:ascii="Arial" w:hAnsi="Arial" w:cs="Arial"/>
                <w:sz w:val="18"/>
                <w:szCs w:val="18"/>
                <w:lang w:eastAsia="hr-HR"/>
              </w:rPr>
              <w:t>120,94</w:t>
            </w:r>
            <w:r w:rsidR="00583CB4" w:rsidRPr="00583CB4">
              <w:rPr>
                <w:rFonts w:ascii="Arial" w:hAnsi="Arial" w:cs="Arial"/>
                <w:sz w:val="18"/>
                <w:szCs w:val="18"/>
                <w:lang w:eastAsia="hr-HR"/>
              </w:rPr>
              <w:t>%</w:t>
            </w:r>
          </w:p>
        </w:tc>
        <w:tc>
          <w:tcPr>
            <w:tcW w:w="1280" w:type="dxa"/>
            <w:tcBorders>
              <w:top w:val="nil"/>
              <w:left w:val="nil"/>
              <w:bottom w:val="nil"/>
              <w:right w:val="nil"/>
            </w:tcBorders>
            <w:shd w:val="clear" w:color="auto" w:fill="auto"/>
            <w:noWrap/>
            <w:vAlign w:val="bottom"/>
            <w:hideMark/>
          </w:tcPr>
          <w:p w14:paraId="199E3355"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3E0C83CC" w14:textId="77777777" w:rsidTr="00D53FB4">
        <w:trPr>
          <w:trHeight w:val="255"/>
        </w:trPr>
        <w:tc>
          <w:tcPr>
            <w:tcW w:w="7655" w:type="dxa"/>
            <w:tcBorders>
              <w:top w:val="nil"/>
              <w:left w:val="nil"/>
              <w:bottom w:val="nil"/>
              <w:right w:val="nil"/>
            </w:tcBorders>
            <w:shd w:val="clear" w:color="auto" w:fill="auto"/>
            <w:noWrap/>
            <w:vAlign w:val="bottom"/>
            <w:hideMark/>
          </w:tcPr>
          <w:p w14:paraId="31E8F7CE"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313 Doprinosi na plaće                                                                                  </w:t>
            </w:r>
          </w:p>
        </w:tc>
        <w:tc>
          <w:tcPr>
            <w:tcW w:w="1384" w:type="dxa"/>
            <w:tcBorders>
              <w:top w:val="nil"/>
              <w:left w:val="nil"/>
              <w:bottom w:val="nil"/>
              <w:right w:val="nil"/>
            </w:tcBorders>
            <w:shd w:val="clear" w:color="auto" w:fill="auto"/>
            <w:noWrap/>
            <w:vAlign w:val="bottom"/>
            <w:hideMark/>
          </w:tcPr>
          <w:p w14:paraId="51777818"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630.696,33</w:t>
            </w:r>
          </w:p>
        </w:tc>
        <w:tc>
          <w:tcPr>
            <w:tcW w:w="1740" w:type="dxa"/>
            <w:tcBorders>
              <w:top w:val="nil"/>
              <w:left w:val="nil"/>
              <w:bottom w:val="nil"/>
              <w:right w:val="nil"/>
            </w:tcBorders>
            <w:shd w:val="clear" w:color="auto" w:fill="auto"/>
            <w:noWrap/>
            <w:vAlign w:val="bottom"/>
            <w:hideMark/>
          </w:tcPr>
          <w:p w14:paraId="6F471DE3"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16528042"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856.776,02</w:t>
            </w:r>
          </w:p>
        </w:tc>
        <w:tc>
          <w:tcPr>
            <w:tcW w:w="1320" w:type="dxa"/>
            <w:tcBorders>
              <w:top w:val="nil"/>
              <w:left w:val="nil"/>
              <w:bottom w:val="nil"/>
              <w:right w:val="nil"/>
            </w:tcBorders>
            <w:shd w:val="clear" w:color="auto" w:fill="auto"/>
            <w:noWrap/>
            <w:vAlign w:val="bottom"/>
            <w:hideMark/>
          </w:tcPr>
          <w:p w14:paraId="760F21F0"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135,85%</w:t>
            </w:r>
          </w:p>
        </w:tc>
        <w:tc>
          <w:tcPr>
            <w:tcW w:w="1280" w:type="dxa"/>
            <w:tcBorders>
              <w:top w:val="nil"/>
              <w:left w:val="nil"/>
              <w:bottom w:val="nil"/>
              <w:right w:val="nil"/>
            </w:tcBorders>
            <w:shd w:val="clear" w:color="auto" w:fill="auto"/>
            <w:noWrap/>
            <w:vAlign w:val="bottom"/>
            <w:hideMark/>
          </w:tcPr>
          <w:p w14:paraId="3D95FCB5"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5A23E088" w14:textId="77777777" w:rsidTr="00D53FB4">
        <w:trPr>
          <w:trHeight w:val="255"/>
        </w:trPr>
        <w:tc>
          <w:tcPr>
            <w:tcW w:w="7655" w:type="dxa"/>
            <w:tcBorders>
              <w:top w:val="nil"/>
              <w:left w:val="nil"/>
              <w:bottom w:val="nil"/>
              <w:right w:val="nil"/>
            </w:tcBorders>
            <w:shd w:val="clear" w:color="auto" w:fill="auto"/>
            <w:noWrap/>
            <w:vAlign w:val="bottom"/>
            <w:hideMark/>
          </w:tcPr>
          <w:p w14:paraId="0128ED00"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3131 Doprinosi za mirovinsko osiguranje                                                                  </w:t>
            </w:r>
          </w:p>
        </w:tc>
        <w:tc>
          <w:tcPr>
            <w:tcW w:w="1384" w:type="dxa"/>
            <w:tcBorders>
              <w:top w:val="nil"/>
              <w:left w:val="nil"/>
              <w:bottom w:val="nil"/>
              <w:right w:val="nil"/>
            </w:tcBorders>
            <w:shd w:val="clear" w:color="auto" w:fill="auto"/>
            <w:noWrap/>
            <w:vAlign w:val="bottom"/>
            <w:hideMark/>
          </w:tcPr>
          <w:p w14:paraId="1A18BBD8"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30.763,83</w:t>
            </w:r>
          </w:p>
        </w:tc>
        <w:tc>
          <w:tcPr>
            <w:tcW w:w="1740" w:type="dxa"/>
            <w:tcBorders>
              <w:top w:val="nil"/>
              <w:left w:val="nil"/>
              <w:bottom w:val="nil"/>
              <w:right w:val="nil"/>
            </w:tcBorders>
            <w:shd w:val="clear" w:color="auto" w:fill="auto"/>
            <w:noWrap/>
            <w:vAlign w:val="bottom"/>
            <w:hideMark/>
          </w:tcPr>
          <w:p w14:paraId="41EB12B4"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7239626F"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45.292,62</w:t>
            </w:r>
          </w:p>
        </w:tc>
        <w:tc>
          <w:tcPr>
            <w:tcW w:w="1320" w:type="dxa"/>
            <w:tcBorders>
              <w:top w:val="nil"/>
              <w:left w:val="nil"/>
              <w:bottom w:val="nil"/>
              <w:right w:val="nil"/>
            </w:tcBorders>
            <w:shd w:val="clear" w:color="auto" w:fill="auto"/>
            <w:noWrap/>
            <w:vAlign w:val="bottom"/>
            <w:hideMark/>
          </w:tcPr>
          <w:p w14:paraId="1E823928"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147,23%</w:t>
            </w:r>
          </w:p>
        </w:tc>
        <w:tc>
          <w:tcPr>
            <w:tcW w:w="1280" w:type="dxa"/>
            <w:tcBorders>
              <w:top w:val="nil"/>
              <w:left w:val="nil"/>
              <w:bottom w:val="nil"/>
              <w:right w:val="nil"/>
            </w:tcBorders>
            <w:shd w:val="clear" w:color="auto" w:fill="auto"/>
            <w:noWrap/>
            <w:vAlign w:val="bottom"/>
            <w:hideMark/>
          </w:tcPr>
          <w:p w14:paraId="04D77EB0"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35599873" w14:textId="77777777" w:rsidTr="00D53FB4">
        <w:trPr>
          <w:trHeight w:val="255"/>
        </w:trPr>
        <w:tc>
          <w:tcPr>
            <w:tcW w:w="7655" w:type="dxa"/>
            <w:tcBorders>
              <w:top w:val="nil"/>
              <w:left w:val="nil"/>
              <w:bottom w:val="nil"/>
              <w:right w:val="nil"/>
            </w:tcBorders>
            <w:shd w:val="clear" w:color="auto" w:fill="auto"/>
            <w:noWrap/>
            <w:vAlign w:val="bottom"/>
            <w:hideMark/>
          </w:tcPr>
          <w:p w14:paraId="2D699CE5"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3132 Doprinosi za obvezno zdravstveno osiguranje                                                         </w:t>
            </w:r>
          </w:p>
        </w:tc>
        <w:tc>
          <w:tcPr>
            <w:tcW w:w="1384" w:type="dxa"/>
            <w:tcBorders>
              <w:top w:val="nil"/>
              <w:left w:val="nil"/>
              <w:bottom w:val="nil"/>
              <w:right w:val="nil"/>
            </w:tcBorders>
            <w:shd w:val="clear" w:color="auto" w:fill="auto"/>
            <w:noWrap/>
            <w:vAlign w:val="bottom"/>
            <w:hideMark/>
          </w:tcPr>
          <w:p w14:paraId="47B4CEB7"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599.932,50</w:t>
            </w:r>
          </w:p>
        </w:tc>
        <w:tc>
          <w:tcPr>
            <w:tcW w:w="1740" w:type="dxa"/>
            <w:tcBorders>
              <w:top w:val="nil"/>
              <w:left w:val="nil"/>
              <w:bottom w:val="nil"/>
              <w:right w:val="nil"/>
            </w:tcBorders>
            <w:shd w:val="clear" w:color="auto" w:fill="auto"/>
            <w:noWrap/>
            <w:vAlign w:val="bottom"/>
            <w:hideMark/>
          </w:tcPr>
          <w:p w14:paraId="7E6B0DEE"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6C02604A"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811.483,40</w:t>
            </w:r>
          </w:p>
        </w:tc>
        <w:tc>
          <w:tcPr>
            <w:tcW w:w="1320" w:type="dxa"/>
            <w:tcBorders>
              <w:top w:val="nil"/>
              <w:left w:val="nil"/>
              <w:bottom w:val="nil"/>
              <w:right w:val="nil"/>
            </w:tcBorders>
            <w:shd w:val="clear" w:color="auto" w:fill="auto"/>
            <w:noWrap/>
            <w:vAlign w:val="bottom"/>
            <w:hideMark/>
          </w:tcPr>
          <w:p w14:paraId="3234E866"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135,26%</w:t>
            </w:r>
          </w:p>
        </w:tc>
        <w:tc>
          <w:tcPr>
            <w:tcW w:w="1280" w:type="dxa"/>
            <w:tcBorders>
              <w:top w:val="nil"/>
              <w:left w:val="nil"/>
              <w:bottom w:val="nil"/>
              <w:right w:val="nil"/>
            </w:tcBorders>
            <w:shd w:val="clear" w:color="auto" w:fill="auto"/>
            <w:noWrap/>
            <w:vAlign w:val="bottom"/>
            <w:hideMark/>
          </w:tcPr>
          <w:p w14:paraId="32C47217"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1D36630A" w14:textId="77777777" w:rsidTr="00D53FB4">
        <w:trPr>
          <w:trHeight w:val="255"/>
        </w:trPr>
        <w:tc>
          <w:tcPr>
            <w:tcW w:w="7655" w:type="dxa"/>
            <w:tcBorders>
              <w:top w:val="nil"/>
              <w:left w:val="nil"/>
              <w:bottom w:val="nil"/>
              <w:right w:val="nil"/>
            </w:tcBorders>
            <w:shd w:val="clear" w:color="auto" w:fill="auto"/>
            <w:noWrap/>
            <w:vAlign w:val="bottom"/>
            <w:hideMark/>
          </w:tcPr>
          <w:p w14:paraId="493A412E" w14:textId="77777777" w:rsidR="00583CB4" w:rsidRPr="00583CB4" w:rsidRDefault="00583CB4" w:rsidP="00583CB4">
            <w:pPr>
              <w:spacing w:after="0" w:line="240" w:lineRule="auto"/>
              <w:rPr>
                <w:rFonts w:ascii="Arial" w:hAnsi="Arial" w:cs="Arial"/>
                <w:b/>
                <w:bCs/>
                <w:sz w:val="18"/>
                <w:szCs w:val="18"/>
                <w:lang w:eastAsia="hr-HR"/>
              </w:rPr>
            </w:pPr>
            <w:r w:rsidRPr="00583CB4">
              <w:rPr>
                <w:rFonts w:ascii="Arial" w:hAnsi="Arial" w:cs="Arial"/>
                <w:b/>
                <w:bCs/>
                <w:sz w:val="18"/>
                <w:szCs w:val="18"/>
                <w:lang w:eastAsia="hr-HR"/>
              </w:rPr>
              <w:t xml:space="preserve">32 Materijalni rashodi                                                                                 </w:t>
            </w:r>
          </w:p>
        </w:tc>
        <w:tc>
          <w:tcPr>
            <w:tcW w:w="1384" w:type="dxa"/>
            <w:tcBorders>
              <w:top w:val="nil"/>
              <w:left w:val="nil"/>
              <w:bottom w:val="nil"/>
              <w:right w:val="nil"/>
            </w:tcBorders>
            <w:shd w:val="clear" w:color="auto" w:fill="auto"/>
            <w:noWrap/>
            <w:vAlign w:val="bottom"/>
            <w:hideMark/>
          </w:tcPr>
          <w:p w14:paraId="5AE34D89"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2.329.699,14</w:t>
            </w:r>
          </w:p>
        </w:tc>
        <w:tc>
          <w:tcPr>
            <w:tcW w:w="1740" w:type="dxa"/>
            <w:tcBorders>
              <w:top w:val="nil"/>
              <w:left w:val="nil"/>
              <w:bottom w:val="nil"/>
              <w:right w:val="nil"/>
            </w:tcBorders>
            <w:shd w:val="clear" w:color="auto" w:fill="auto"/>
            <w:noWrap/>
            <w:vAlign w:val="bottom"/>
            <w:hideMark/>
          </w:tcPr>
          <w:p w14:paraId="5D227A14"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3.226.082,15</w:t>
            </w:r>
          </w:p>
        </w:tc>
        <w:tc>
          <w:tcPr>
            <w:tcW w:w="1412" w:type="dxa"/>
            <w:tcBorders>
              <w:top w:val="nil"/>
              <w:left w:val="nil"/>
              <w:bottom w:val="nil"/>
              <w:right w:val="nil"/>
            </w:tcBorders>
            <w:shd w:val="clear" w:color="auto" w:fill="auto"/>
            <w:noWrap/>
            <w:vAlign w:val="bottom"/>
            <w:hideMark/>
          </w:tcPr>
          <w:p w14:paraId="0EB22E08" w14:textId="23916A1E"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2.7</w:t>
            </w:r>
            <w:r w:rsidR="00F84225">
              <w:rPr>
                <w:rFonts w:ascii="Arial" w:hAnsi="Arial" w:cs="Arial"/>
                <w:b/>
                <w:bCs/>
                <w:sz w:val="18"/>
                <w:szCs w:val="18"/>
                <w:lang w:eastAsia="hr-HR"/>
              </w:rPr>
              <w:t>68.350,76</w:t>
            </w:r>
          </w:p>
        </w:tc>
        <w:tc>
          <w:tcPr>
            <w:tcW w:w="1320" w:type="dxa"/>
            <w:tcBorders>
              <w:top w:val="nil"/>
              <w:left w:val="nil"/>
              <w:bottom w:val="nil"/>
              <w:right w:val="nil"/>
            </w:tcBorders>
            <w:shd w:val="clear" w:color="auto" w:fill="auto"/>
            <w:noWrap/>
            <w:vAlign w:val="bottom"/>
            <w:hideMark/>
          </w:tcPr>
          <w:p w14:paraId="649C976F" w14:textId="759CC660"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118,</w:t>
            </w:r>
            <w:r w:rsidR="00F84225">
              <w:rPr>
                <w:rFonts w:ascii="Arial" w:hAnsi="Arial" w:cs="Arial"/>
                <w:b/>
                <w:bCs/>
                <w:sz w:val="18"/>
                <w:szCs w:val="18"/>
                <w:lang w:eastAsia="hr-HR"/>
              </w:rPr>
              <w:t>83</w:t>
            </w:r>
            <w:r w:rsidRPr="00583CB4">
              <w:rPr>
                <w:rFonts w:ascii="Arial" w:hAnsi="Arial" w:cs="Arial"/>
                <w:b/>
                <w:bCs/>
                <w:sz w:val="18"/>
                <w:szCs w:val="18"/>
                <w:lang w:eastAsia="hr-HR"/>
              </w:rPr>
              <w:t>%</w:t>
            </w:r>
          </w:p>
        </w:tc>
        <w:tc>
          <w:tcPr>
            <w:tcW w:w="1280" w:type="dxa"/>
            <w:tcBorders>
              <w:top w:val="nil"/>
              <w:left w:val="nil"/>
              <w:bottom w:val="nil"/>
              <w:right w:val="nil"/>
            </w:tcBorders>
            <w:shd w:val="clear" w:color="auto" w:fill="auto"/>
            <w:noWrap/>
            <w:vAlign w:val="bottom"/>
            <w:hideMark/>
          </w:tcPr>
          <w:p w14:paraId="666A75CF" w14:textId="2633F32E"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85,</w:t>
            </w:r>
            <w:r w:rsidR="00F84225">
              <w:rPr>
                <w:rFonts w:ascii="Arial" w:hAnsi="Arial" w:cs="Arial"/>
                <w:b/>
                <w:bCs/>
                <w:sz w:val="18"/>
                <w:szCs w:val="18"/>
                <w:lang w:eastAsia="hr-HR"/>
              </w:rPr>
              <w:t>81</w:t>
            </w:r>
            <w:r w:rsidRPr="00583CB4">
              <w:rPr>
                <w:rFonts w:ascii="Arial" w:hAnsi="Arial" w:cs="Arial"/>
                <w:b/>
                <w:bCs/>
                <w:sz w:val="18"/>
                <w:szCs w:val="18"/>
                <w:lang w:eastAsia="hr-HR"/>
              </w:rPr>
              <w:t>%</w:t>
            </w:r>
          </w:p>
        </w:tc>
      </w:tr>
      <w:tr w:rsidR="00583CB4" w:rsidRPr="00583CB4" w14:paraId="607C2939" w14:textId="77777777" w:rsidTr="00D53FB4">
        <w:trPr>
          <w:trHeight w:val="255"/>
        </w:trPr>
        <w:tc>
          <w:tcPr>
            <w:tcW w:w="7655" w:type="dxa"/>
            <w:tcBorders>
              <w:top w:val="nil"/>
              <w:left w:val="nil"/>
              <w:bottom w:val="nil"/>
              <w:right w:val="nil"/>
            </w:tcBorders>
            <w:shd w:val="clear" w:color="auto" w:fill="auto"/>
            <w:noWrap/>
            <w:vAlign w:val="bottom"/>
            <w:hideMark/>
          </w:tcPr>
          <w:p w14:paraId="4A822C22"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321 Naknade troškova zaposlenima                                                                        </w:t>
            </w:r>
          </w:p>
        </w:tc>
        <w:tc>
          <w:tcPr>
            <w:tcW w:w="1384" w:type="dxa"/>
            <w:tcBorders>
              <w:top w:val="nil"/>
              <w:left w:val="nil"/>
              <w:bottom w:val="nil"/>
              <w:right w:val="nil"/>
            </w:tcBorders>
            <w:shd w:val="clear" w:color="auto" w:fill="auto"/>
            <w:noWrap/>
            <w:vAlign w:val="bottom"/>
            <w:hideMark/>
          </w:tcPr>
          <w:p w14:paraId="7EE3E259"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211.508,01</w:t>
            </w:r>
          </w:p>
        </w:tc>
        <w:tc>
          <w:tcPr>
            <w:tcW w:w="1740" w:type="dxa"/>
            <w:tcBorders>
              <w:top w:val="nil"/>
              <w:left w:val="nil"/>
              <w:bottom w:val="nil"/>
              <w:right w:val="nil"/>
            </w:tcBorders>
            <w:shd w:val="clear" w:color="auto" w:fill="auto"/>
            <w:noWrap/>
            <w:vAlign w:val="bottom"/>
            <w:hideMark/>
          </w:tcPr>
          <w:p w14:paraId="076F73E9"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59BE639F"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220.934,70</w:t>
            </w:r>
          </w:p>
        </w:tc>
        <w:tc>
          <w:tcPr>
            <w:tcW w:w="1320" w:type="dxa"/>
            <w:tcBorders>
              <w:top w:val="nil"/>
              <w:left w:val="nil"/>
              <w:bottom w:val="nil"/>
              <w:right w:val="nil"/>
            </w:tcBorders>
            <w:shd w:val="clear" w:color="auto" w:fill="auto"/>
            <w:noWrap/>
            <w:vAlign w:val="bottom"/>
            <w:hideMark/>
          </w:tcPr>
          <w:p w14:paraId="7800AA84"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104,46%</w:t>
            </w:r>
          </w:p>
        </w:tc>
        <w:tc>
          <w:tcPr>
            <w:tcW w:w="1280" w:type="dxa"/>
            <w:tcBorders>
              <w:top w:val="nil"/>
              <w:left w:val="nil"/>
              <w:bottom w:val="nil"/>
              <w:right w:val="nil"/>
            </w:tcBorders>
            <w:shd w:val="clear" w:color="auto" w:fill="auto"/>
            <w:noWrap/>
            <w:vAlign w:val="bottom"/>
            <w:hideMark/>
          </w:tcPr>
          <w:p w14:paraId="4C9A8F66"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542BEA5A" w14:textId="77777777" w:rsidTr="00D53FB4">
        <w:trPr>
          <w:trHeight w:val="255"/>
        </w:trPr>
        <w:tc>
          <w:tcPr>
            <w:tcW w:w="7655" w:type="dxa"/>
            <w:tcBorders>
              <w:top w:val="nil"/>
              <w:left w:val="nil"/>
              <w:bottom w:val="nil"/>
              <w:right w:val="nil"/>
            </w:tcBorders>
            <w:shd w:val="clear" w:color="auto" w:fill="auto"/>
            <w:noWrap/>
            <w:vAlign w:val="bottom"/>
            <w:hideMark/>
          </w:tcPr>
          <w:p w14:paraId="16466280"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3211 Službena putovanja                                                                                  </w:t>
            </w:r>
          </w:p>
        </w:tc>
        <w:tc>
          <w:tcPr>
            <w:tcW w:w="1384" w:type="dxa"/>
            <w:tcBorders>
              <w:top w:val="nil"/>
              <w:left w:val="nil"/>
              <w:bottom w:val="nil"/>
              <w:right w:val="nil"/>
            </w:tcBorders>
            <w:shd w:val="clear" w:color="auto" w:fill="auto"/>
            <w:noWrap/>
            <w:vAlign w:val="bottom"/>
            <w:hideMark/>
          </w:tcPr>
          <w:p w14:paraId="253D8678"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19.861,56</w:t>
            </w:r>
          </w:p>
        </w:tc>
        <w:tc>
          <w:tcPr>
            <w:tcW w:w="1740" w:type="dxa"/>
            <w:tcBorders>
              <w:top w:val="nil"/>
              <w:left w:val="nil"/>
              <w:bottom w:val="nil"/>
              <w:right w:val="nil"/>
            </w:tcBorders>
            <w:shd w:val="clear" w:color="auto" w:fill="auto"/>
            <w:noWrap/>
            <w:vAlign w:val="bottom"/>
            <w:hideMark/>
          </w:tcPr>
          <w:p w14:paraId="445C6563"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27AA5EDC"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22.924,71</w:t>
            </w:r>
          </w:p>
        </w:tc>
        <w:tc>
          <w:tcPr>
            <w:tcW w:w="1320" w:type="dxa"/>
            <w:tcBorders>
              <w:top w:val="nil"/>
              <w:left w:val="nil"/>
              <w:bottom w:val="nil"/>
              <w:right w:val="nil"/>
            </w:tcBorders>
            <w:shd w:val="clear" w:color="auto" w:fill="auto"/>
            <w:noWrap/>
            <w:vAlign w:val="bottom"/>
            <w:hideMark/>
          </w:tcPr>
          <w:p w14:paraId="4E05D3DF"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115,42%</w:t>
            </w:r>
          </w:p>
        </w:tc>
        <w:tc>
          <w:tcPr>
            <w:tcW w:w="1280" w:type="dxa"/>
            <w:tcBorders>
              <w:top w:val="nil"/>
              <w:left w:val="nil"/>
              <w:bottom w:val="nil"/>
              <w:right w:val="nil"/>
            </w:tcBorders>
            <w:shd w:val="clear" w:color="auto" w:fill="auto"/>
            <w:noWrap/>
            <w:vAlign w:val="bottom"/>
            <w:hideMark/>
          </w:tcPr>
          <w:p w14:paraId="509DE375"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0E171923" w14:textId="77777777" w:rsidTr="00D53FB4">
        <w:trPr>
          <w:trHeight w:val="255"/>
        </w:trPr>
        <w:tc>
          <w:tcPr>
            <w:tcW w:w="7655" w:type="dxa"/>
            <w:tcBorders>
              <w:top w:val="nil"/>
              <w:left w:val="nil"/>
              <w:bottom w:val="nil"/>
              <w:right w:val="nil"/>
            </w:tcBorders>
            <w:shd w:val="clear" w:color="auto" w:fill="auto"/>
            <w:noWrap/>
            <w:vAlign w:val="bottom"/>
            <w:hideMark/>
          </w:tcPr>
          <w:p w14:paraId="33CA5949"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3212 Naknade za prijevoz, za rad na terenu i odvojeni život                                              </w:t>
            </w:r>
          </w:p>
        </w:tc>
        <w:tc>
          <w:tcPr>
            <w:tcW w:w="1384" w:type="dxa"/>
            <w:tcBorders>
              <w:top w:val="nil"/>
              <w:left w:val="nil"/>
              <w:bottom w:val="nil"/>
              <w:right w:val="nil"/>
            </w:tcBorders>
            <w:shd w:val="clear" w:color="auto" w:fill="auto"/>
            <w:noWrap/>
            <w:vAlign w:val="bottom"/>
            <w:hideMark/>
          </w:tcPr>
          <w:p w14:paraId="74D01025"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173.065,66</w:t>
            </w:r>
          </w:p>
        </w:tc>
        <w:tc>
          <w:tcPr>
            <w:tcW w:w="1740" w:type="dxa"/>
            <w:tcBorders>
              <w:top w:val="nil"/>
              <w:left w:val="nil"/>
              <w:bottom w:val="nil"/>
              <w:right w:val="nil"/>
            </w:tcBorders>
            <w:shd w:val="clear" w:color="auto" w:fill="auto"/>
            <w:noWrap/>
            <w:vAlign w:val="bottom"/>
            <w:hideMark/>
          </w:tcPr>
          <w:p w14:paraId="6D085858"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74322060"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167.854,74</w:t>
            </w:r>
          </w:p>
        </w:tc>
        <w:tc>
          <w:tcPr>
            <w:tcW w:w="1320" w:type="dxa"/>
            <w:tcBorders>
              <w:top w:val="nil"/>
              <w:left w:val="nil"/>
              <w:bottom w:val="nil"/>
              <w:right w:val="nil"/>
            </w:tcBorders>
            <w:shd w:val="clear" w:color="auto" w:fill="auto"/>
            <w:noWrap/>
            <w:vAlign w:val="bottom"/>
            <w:hideMark/>
          </w:tcPr>
          <w:p w14:paraId="4210FF2E"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96,99%</w:t>
            </w:r>
          </w:p>
        </w:tc>
        <w:tc>
          <w:tcPr>
            <w:tcW w:w="1280" w:type="dxa"/>
            <w:tcBorders>
              <w:top w:val="nil"/>
              <w:left w:val="nil"/>
              <w:bottom w:val="nil"/>
              <w:right w:val="nil"/>
            </w:tcBorders>
            <w:shd w:val="clear" w:color="auto" w:fill="auto"/>
            <w:noWrap/>
            <w:vAlign w:val="bottom"/>
            <w:hideMark/>
          </w:tcPr>
          <w:p w14:paraId="211A6EBD"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42468AE4" w14:textId="77777777" w:rsidTr="00D53FB4">
        <w:trPr>
          <w:trHeight w:val="255"/>
        </w:trPr>
        <w:tc>
          <w:tcPr>
            <w:tcW w:w="7655" w:type="dxa"/>
            <w:tcBorders>
              <w:top w:val="nil"/>
              <w:left w:val="nil"/>
              <w:bottom w:val="nil"/>
              <w:right w:val="nil"/>
            </w:tcBorders>
            <w:shd w:val="clear" w:color="auto" w:fill="auto"/>
            <w:noWrap/>
            <w:vAlign w:val="bottom"/>
            <w:hideMark/>
          </w:tcPr>
          <w:p w14:paraId="272C0A57"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3213 Stručno usavršavanje zaposlenika                                                                    </w:t>
            </w:r>
          </w:p>
        </w:tc>
        <w:tc>
          <w:tcPr>
            <w:tcW w:w="1384" w:type="dxa"/>
            <w:tcBorders>
              <w:top w:val="nil"/>
              <w:left w:val="nil"/>
              <w:bottom w:val="nil"/>
              <w:right w:val="nil"/>
            </w:tcBorders>
            <w:shd w:val="clear" w:color="auto" w:fill="auto"/>
            <w:noWrap/>
            <w:vAlign w:val="bottom"/>
            <w:hideMark/>
          </w:tcPr>
          <w:p w14:paraId="5F956F0A"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7.478,40</w:t>
            </w:r>
          </w:p>
        </w:tc>
        <w:tc>
          <w:tcPr>
            <w:tcW w:w="1740" w:type="dxa"/>
            <w:tcBorders>
              <w:top w:val="nil"/>
              <w:left w:val="nil"/>
              <w:bottom w:val="nil"/>
              <w:right w:val="nil"/>
            </w:tcBorders>
            <w:shd w:val="clear" w:color="auto" w:fill="auto"/>
            <w:noWrap/>
            <w:vAlign w:val="bottom"/>
            <w:hideMark/>
          </w:tcPr>
          <w:p w14:paraId="02D1BEC2"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438FD013"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7.218,12</w:t>
            </w:r>
          </w:p>
        </w:tc>
        <w:tc>
          <w:tcPr>
            <w:tcW w:w="1320" w:type="dxa"/>
            <w:tcBorders>
              <w:top w:val="nil"/>
              <w:left w:val="nil"/>
              <w:bottom w:val="nil"/>
              <w:right w:val="nil"/>
            </w:tcBorders>
            <w:shd w:val="clear" w:color="auto" w:fill="auto"/>
            <w:noWrap/>
            <w:vAlign w:val="bottom"/>
            <w:hideMark/>
          </w:tcPr>
          <w:p w14:paraId="7F2E3A33"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96,52%</w:t>
            </w:r>
          </w:p>
        </w:tc>
        <w:tc>
          <w:tcPr>
            <w:tcW w:w="1280" w:type="dxa"/>
            <w:tcBorders>
              <w:top w:val="nil"/>
              <w:left w:val="nil"/>
              <w:bottom w:val="nil"/>
              <w:right w:val="nil"/>
            </w:tcBorders>
            <w:shd w:val="clear" w:color="auto" w:fill="auto"/>
            <w:noWrap/>
            <w:vAlign w:val="bottom"/>
            <w:hideMark/>
          </w:tcPr>
          <w:p w14:paraId="2B7BAA71"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0495EE1D" w14:textId="77777777" w:rsidTr="00D53FB4">
        <w:trPr>
          <w:trHeight w:val="255"/>
        </w:trPr>
        <w:tc>
          <w:tcPr>
            <w:tcW w:w="7655" w:type="dxa"/>
            <w:tcBorders>
              <w:top w:val="nil"/>
              <w:left w:val="nil"/>
              <w:bottom w:val="nil"/>
              <w:right w:val="nil"/>
            </w:tcBorders>
            <w:shd w:val="clear" w:color="auto" w:fill="auto"/>
            <w:noWrap/>
            <w:vAlign w:val="bottom"/>
            <w:hideMark/>
          </w:tcPr>
          <w:p w14:paraId="274B1E80"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3214 Ostale naknade troškova zaposlenima                                                                 </w:t>
            </w:r>
          </w:p>
        </w:tc>
        <w:tc>
          <w:tcPr>
            <w:tcW w:w="1384" w:type="dxa"/>
            <w:tcBorders>
              <w:top w:val="nil"/>
              <w:left w:val="nil"/>
              <w:bottom w:val="nil"/>
              <w:right w:val="nil"/>
            </w:tcBorders>
            <w:shd w:val="clear" w:color="auto" w:fill="auto"/>
            <w:noWrap/>
            <w:vAlign w:val="bottom"/>
            <w:hideMark/>
          </w:tcPr>
          <w:p w14:paraId="07DDEDE5"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11.102,39</w:t>
            </w:r>
          </w:p>
        </w:tc>
        <w:tc>
          <w:tcPr>
            <w:tcW w:w="1740" w:type="dxa"/>
            <w:tcBorders>
              <w:top w:val="nil"/>
              <w:left w:val="nil"/>
              <w:bottom w:val="nil"/>
              <w:right w:val="nil"/>
            </w:tcBorders>
            <w:shd w:val="clear" w:color="auto" w:fill="auto"/>
            <w:noWrap/>
            <w:vAlign w:val="bottom"/>
            <w:hideMark/>
          </w:tcPr>
          <w:p w14:paraId="67FC120D"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4C4D6ED7"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22.937,13</w:t>
            </w:r>
          </w:p>
        </w:tc>
        <w:tc>
          <w:tcPr>
            <w:tcW w:w="1320" w:type="dxa"/>
            <w:tcBorders>
              <w:top w:val="nil"/>
              <w:left w:val="nil"/>
              <w:bottom w:val="nil"/>
              <w:right w:val="nil"/>
            </w:tcBorders>
            <w:shd w:val="clear" w:color="auto" w:fill="auto"/>
            <w:noWrap/>
            <w:vAlign w:val="bottom"/>
            <w:hideMark/>
          </w:tcPr>
          <w:p w14:paraId="51A1FA15"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206,60%</w:t>
            </w:r>
          </w:p>
        </w:tc>
        <w:tc>
          <w:tcPr>
            <w:tcW w:w="1280" w:type="dxa"/>
            <w:tcBorders>
              <w:top w:val="nil"/>
              <w:left w:val="nil"/>
              <w:bottom w:val="nil"/>
              <w:right w:val="nil"/>
            </w:tcBorders>
            <w:shd w:val="clear" w:color="auto" w:fill="auto"/>
            <w:noWrap/>
            <w:vAlign w:val="bottom"/>
            <w:hideMark/>
          </w:tcPr>
          <w:p w14:paraId="4E03D883"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040321E5" w14:textId="77777777" w:rsidTr="00D53FB4">
        <w:trPr>
          <w:trHeight w:val="255"/>
        </w:trPr>
        <w:tc>
          <w:tcPr>
            <w:tcW w:w="7655" w:type="dxa"/>
            <w:tcBorders>
              <w:top w:val="nil"/>
              <w:left w:val="nil"/>
              <w:bottom w:val="nil"/>
              <w:right w:val="nil"/>
            </w:tcBorders>
            <w:shd w:val="clear" w:color="auto" w:fill="auto"/>
            <w:noWrap/>
            <w:vAlign w:val="bottom"/>
            <w:hideMark/>
          </w:tcPr>
          <w:p w14:paraId="06DC7DD2"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322 Rashodi za materijal i energiju                                                                     </w:t>
            </w:r>
          </w:p>
        </w:tc>
        <w:tc>
          <w:tcPr>
            <w:tcW w:w="1384" w:type="dxa"/>
            <w:tcBorders>
              <w:top w:val="nil"/>
              <w:left w:val="nil"/>
              <w:bottom w:val="nil"/>
              <w:right w:val="nil"/>
            </w:tcBorders>
            <w:shd w:val="clear" w:color="auto" w:fill="auto"/>
            <w:noWrap/>
            <w:vAlign w:val="bottom"/>
            <w:hideMark/>
          </w:tcPr>
          <w:p w14:paraId="53D38601"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607.437,39</w:t>
            </w:r>
          </w:p>
        </w:tc>
        <w:tc>
          <w:tcPr>
            <w:tcW w:w="1740" w:type="dxa"/>
            <w:tcBorders>
              <w:top w:val="nil"/>
              <w:left w:val="nil"/>
              <w:bottom w:val="nil"/>
              <w:right w:val="nil"/>
            </w:tcBorders>
            <w:shd w:val="clear" w:color="auto" w:fill="auto"/>
            <w:noWrap/>
            <w:vAlign w:val="bottom"/>
            <w:hideMark/>
          </w:tcPr>
          <w:p w14:paraId="74C8AE59"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51D5924E" w14:textId="508D1823"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66</w:t>
            </w:r>
            <w:r w:rsidR="00F84225">
              <w:rPr>
                <w:rFonts w:ascii="Arial" w:hAnsi="Arial" w:cs="Arial"/>
                <w:sz w:val="18"/>
                <w:szCs w:val="18"/>
                <w:lang w:eastAsia="hr-HR"/>
              </w:rPr>
              <w:t>2.342,04</w:t>
            </w:r>
          </w:p>
        </w:tc>
        <w:tc>
          <w:tcPr>
            <w:tcW w:w="1320" w:type="dxa"/>
            <w:tcBorders>
              <w:top w:val="nil"/>
              <w:left w:val="nil"/>
              <w:bottom w:val="nil"/>
              <w:right w:val="nil"/>
            </w:tcBorders>
            <w:shd w:val="clear" w:color="auto" w:fill="auto"/>
            <w:noWrap/>
            <w:vAlign w:val="bottom"/>
            <w:hideMark/>
          </w:tcPr>
          <w:p w14:paraId="095A8B7D" w14:textId="00D5A57E"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10</w:t>
            </w:r>
            <w:r w:rsidR="00F84225">
              <w:rPr>
                <w:rFonts w:ascii="Arial" w:hAnsi="Arial" w:cs="Arial"/>
                <w:sz w:val="18"/>
                <w:szCs w:val="18"/>
                <w:lang w:eastAsia="hr-HR"/>
              </w:rPr>
              <w:t>9,04</w:t>
            </w:r>
            <w:r w:rsidRPr="00583CB4">
              <w:rPr>
                <w:rFonts w:ascii="Arial" w:hAnsi="Arial" w:cs="Arial"/>
                <w:sz w:val="18"/>
                <w:szCs w:val="18"/>
                <w:lang w:eastAsia="hr-HR"/>
              </w:rPr>
              <w:t>%</w:t>
            </w:r>
          </w:p>
        </w:tc>
        <w:tc>
          <w:tcPr>
            <w:tcW w:w="1280" w:type="dxa"/>
            <w:tcBorders>
              <w:top w:val="nil"/>
              <w:left w:val="nil"/>
              <w:bottom w:val="nil"/>
              <w:right w:val="nil"/>
            </w:tcBorders>
            <w:shd w:val="clear" w:color="auto" w:fill="auto"/>
            <w:noWrap/>
            <w:vAlign w:val="bottom"/>
            <w:hideMark/>
          </w:tcPr>
          <w:p w14:paraId="71A5E305"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477E7FA8" w14:textId="77777777" w:rsidTr="00D53FB4">
        <w:trPr>
          <w:trHeight w:val="255"/>
        </w:trPr>
        <w:tc>
          <w:tcPr>
            <w:tcW w:w="7655" w:type="dxa"/>
            <w:tcBorders>
              <w:top w:val="nil"/>
              <w:left w:val="nil"/>
              <w:bottom w:val="nil"/>
              <w:right w:val="nil"/>
            </w:tcBorders>
            <w:shd w:val="clear" w:color="auto" w:fill="auto"/>
            <w:noWrap/>
            <w:vAlign w:val="bottom"/>
            <w:hideMark/>
          </w:tcPr>
          <w:p w14:paraId="0737F109"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3221 Uredski materijal i ostali materijalni rashodi                                                      </w:t>
            </w:r>
          </w:p>
        </w:tc>
        <w:tc>
          <w:tcPr>
            <w:tcW w:w="1384" w:type="dxa"/>
            <w:tcBorders>
              <w:top w:val="nil"/>
              <w:left w:val="nil"/>
              <w:bottom w:val="nil"/>
              <w:right w:val="nil"/>
            </w:tcBorders>
            <w:shd w:val="clear" w:color="auto" w:fill="auto"/>
            <w:noWrap/>
            <w:vAlign w:val="bottom"/>
            <w:hideMark/>
          </w:tcPr>
          <w:p w14:paraId="0826AB82"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79.664,93</w:t>
            </w:r>
          </w:p>
        </w:tc>
        <w:tc>
          <w:tcPr>
            <w:tcW w:w="1740" w:type="dxa"/>
            <w:tcBorders>
              <w:top w:val="nil"/>
              <w:left w:val="nil"/>
              <w:bottom w:val="nil"/>
              <w:right w:val="nil"/>
            </w:tcBorders>
            <w:shd w:val="clear" w:color="auto" w:fill="auto"/>
            <w:noWrap/>
            <w:vAlign w:val="bottom"/>
            <w:hideMark/>
          </w:tcPr>
          <w:p w14:paraId="4E8E4768"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43564EED"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78.477,66</w:t>
            </w:r>
          </w:p>
        </w:tc>
        <w:tc>
          <w:tcPr>
            <w:tcW w:w="1320" w:type="dxa"/>
            <w:tcBorders>
              <w:top w:val="nil"/>
              <w:left w:val="nil"/>
              <w:bottom w:val="nil"/>
              <w:right w:val="nil"/>
            </w:tcBorders>
            <w:shd w:val="clear" w:color="auto" w:fill="auto"/>
            <w:noWrap/>
            <w:vAlign w:val="bottom"/>
            <w:hideMark/>
          </w:tcPr>
          <w:p w14:paraId="611EB462"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98,51%</w:t>
            </w:r>
          </w:p>
        </w:tc>
        <w:tc>
          <w:tcPr>
            <w:tcW w:w="1280" w:type="dxa"/>
            <w:tcBorders>
              <w:top w:val="nil"/>
              <w:left w:val="nil"/>
              <w:bottom w:val="nil"/>
              <w:right w:val="nil"/>
            </w:tcBorders>
            <w:shd w:val="clear" w:color="auto" w:fill="auto"/>
            <w:noWrap/>
            <w:vAlign w:val="bottom"/>
            <w:hideMark/>
          </w:tcPr>
          <w:p w14:paraId="71FB0F15"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467E3C05" w14:textId="77777777" w:rsidTr="00D53FB4">
        <w:trPr>
          <w:trHeight w:val="255"/>
        </w:trPr>
        <w:tc>
          <w:tcPr>
            <w:tcW w:w="7655" w:type="dxa"/>
            <w:tcBorders>
              <w:top w:val="nil"/>
              <w:left w:val="nil"/>
              <w:bottom w:val="nil"/>
              <w:right w:val="nil"/>
            </w:tcBorders>
            <w:shd w:val="clear" w:color="auto" w:fill="auto"/>
            <w:noWrap/>
            <w:vAlign w:val="bottom"/>
            <w:hideMark/>
          </w:tcPr>
          <w:p w14:paraId="5AF42094"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3222 Materijal i sirovine                                                                                </w:t>
            </w:r>
          </w:p>
        </w:tc>
        <w:tc>
          <w:tcPr>
            <w:tcW w:w="1384" w:type="dxa"/>
            <w:tcBorders>
              <w:top w:val="nil"/>
              <w:left w:val="nil"/>
              <w:bottom w:val="nil"/>
              <w:right w:val="nil"/>
            </w:tcBorders>
            <w:shd w:val="clear" w:color="auto" w:fill="auto"/>
            <w:noWrap/>
            <w:vAlign w:val="bottom"/>
            <w:hideMark/>
          </w:tcPr>
          <w:p w14:paraId="6292B1B8"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214.714,54</w:t>
            </w:r>
          </w:p>
        </w:tc>
        <w:tc>
          <w:tcPr>
            <w:tcW w:w="1740" w:type="dxa"/>
            <w:tcBorders>
              <w:top w:val="nil"/>
              <w:left w:val="nil"/>
              <w:bottom w:val="nil"/>
              <w:right w:val="nil"/>
            </w:tcBorders>
            <w:shd w:val="clear" w:color="auto" w:fill="auto"/>
            <w:noWrap/>
            <w:vAlign w:val="bottom"/>
            <w:hideMark/>
          </w:tcPr>
          <w:p w14:paraId="30B8C586"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3B7E6BD0"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241.794,54</w:t>
            </w:r>
          </w:p>
        </w:tc>
        <w:tc>
          <w:tcPr>
            <w:tcW w:w="1320" w:type="dxa"/>
            <w:tcBorders>
              <w:top w:val="nil"/>
              <w:left w:val="nil"/>
              <w:bottom w:val="nil"/>
              <w:right w:val="nil"/>
            </w:tcBorders>
            <w:shd w:val="clear" w:color="auto" w:fill="auto"/>
            <w:noWrap/>
            <w:vAlign w:val="bottom"/>
            <w:hideMark/>
          </w:tcPr>
          <w:p w14:paraId="7BFAE4FF"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112,61%</w:t>
            </w:r>
          </w:p>
        </w:tc>
        <w:tc>
          <w:tcPr>
            <w:tcW w:w="1280" w:type="dxa"/>
            <w:tcBorders>
              <w:top w:val="nil"/>
              <w:left w:val="nil"/>
              <w:bottom w:val="nil"/>
              <w:right w:val="nil"/>
            </w:tcBorders>
            <w:shd w:val="clear" w:color="auto" w:fill="auto"/>
            <w:noWrap/>
            <w:vAlign w:val="bottom"/>
            <w:hideMark/>
          </w:tcPr>
          <w:p w14:paraId="6330140E"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77889822" w14:textId="77777777" w:rsidTr="00D53FB4">
        <w:trPr>
          <w:trHeight w:val="255"/>
        </w:trPr>
        <w:tc>
          <w:tcPr>
            <w:tcW w:w="7655" w:type="dxa"/>
            <w:tcBorders>
              <w:top w:val="nil"/>
              <w:left w:val="nil"/>
              <w:bottom w:val="nil"/>
              <w:right w:val="nil"/>
            </w:tcBorders>
            <w:shd w:val="clear" w:color="auto" w:fill="auto"/>
            <w:noWrap/>
            <w:vAlign w:val="bottom"/>
            <w:hideMark/>
          </w:tcPr>
          <w:p w14:paraId="73D16AF9"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3223 Energija                                                                                            </w:t>
            </w:r>
          </w:p>
        </w:tc>
        <w:tc>
          <w:tcPr>
            <w:tcW w:w="1384" w:type="dxa"/>
            <w:tcBorders>
              <w:top w:val="nil"/>
              <w:left w:val="nil"/>
              <w:bottom w:val="nil"/>
              <w:right w:val="nil"/>
            </w:tcBorders>
            <w:shd w:val="clear" w:color="auto" w:fill="auto"/>
            <w:noWrap/>
            <w:vAlign w:val="bottom"/>
            <w:hideMark/>
          </w:tcPr>
          <w:p w14:paraId="4401C685"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235.132,13</w:t>
            </w:r>
          </w:p>
        </w:tc>
        <w:tc>
          <w:tcPr>
            <w:tcW w:w="1740" w:type="dxa"/>
            <w:tcBorders>
              <w:top w:val="nil"/>
              <w:left w:val="nil"/>
              <w:bottom w:val="nil"/>
              <w:right w:val="nil"/>
            </w:tcBorders>
            <w:shd w:val="clear" w:color="auto" w:fill="auto"/>
            <w:noWrap/>
            <w:vAlign w:val="bottom"/>
            <w:hideMark/>
          </w:tcPr>
          <w:p w14:paraId="1329C418"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44549626"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232.909,31</w:t>
            </w:r>
          </w:p>
        </w:tc>
        <w:tc>
          <w:tcPr>
            <w:tcW w:w="1320" w:type="dxa"/>
            <w:tcBorders>
              <w:top w:val="nil"/>
              <w:left w:val="nil"/>
              <w:bottom w:val="nil"/>
              <w:right w:val="nil"/>
            </w:tcBorders>
            <w:shd w:val="clear" w:color="auto" w:fill="auto"/>
            <w:noWrap/>
            <w:vAlign w:val="bottom"/>
            <w:hideMark/>
          </w:tcPr>
          <w:p w14:paraId="7C1109F1"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99,05%</w:t>
            </w:r>
          </w:p>
        </w:tc>
        <w:tc>
          <w:tcPr>
            <w:tcW w:w="1280" w:type="dxa"/>
            <w:tcBorders>
              <w:top w:val="nil"/>
              <w:left w:val="nil"/>
              <w:bottom w:val="nil"/>
              <w:right w:val="nil"/>
            </w:tcBorders>
            <w:shd w:val="clear" w:color="auto" w:fill="auto"/>
            <w:noWrap/>
            <w:vAlign w:val="bottom"/>
            <w:hideMark/>
          </w:tcPr>
          <w:p w14:paraId="34B75019"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795C13CD" w14:textId="77777777" w:rsidTr="00D53FB4">
        <w:trPr>
          <w:trHeight w:val="255"/>
        </w:trPr>
        <w:tc>
          <w:tcPr>
            <w:tcW w:w="7655" w:type="dxa"/>
            <w:tcBorders>
              <w:top w:val="nil"/>
              <w:left w:val="nil"/>
              <w:bottom w:val="nil"/>
              <w:right w:val="nil"/>
            </w:tcBorders>
            <w:shd w:val="clear" w:color="auto" w:fill="auto"/>
            <w:noWrap/>
            <w:vAlign w:val="bottom"/>
            <w:hideMark/>
          </w:tcPr>
          <w:p w14:paraId="4E415460"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3224 Materijal i dijelovi za tekuće i investicijsko održavanje                                           </w:t>
            </w:r>
          </w:p>
        </w:tc>
        <w:tc>
          <w:tcPr>
            <w:tcW w:w="1384" w:type="dxa"/>
            <w:tcBorders>
              <w:top w:val="nil"/>
              <w:left w:val="nil"/>
              <w:bottom w:val="nil"/>
              <w:right w:val="nil"/>
            </w:tcBorders>
            <w:shd w:val="clear" w:color="auto" w:fill="auto"/>
            <w:noWrap/>
            <w:vAlign w:val="bottom"/>
            <w:hideMark/>
          </w:tcPr>
          <w:p w14:paraId="3B4EC2D0"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36.920,95</w:t>
            </w:r>
          </w:p>
        </w:tc>
        <w:tc>
          <w:tcPr>
            <w:tcW w:w="1740" w:type="dxa"/>
            <w:tcBorders>
              <w:top w:val="nil"/>
              <w:left w:val="nil"/>
              <w:bottom w:val="nil"/>
              <w:right w:val="nil"/>
            </w:tcBorders>
            <w:shd w:val="clear" w:color="auto" w:fill="auto"/>
            <w:noWrap/>
            <w:vAlign w:val="bottom"/>
            <w:hideMark/>
          </w:tcPr>
          <w:p w14:paraId="57947A88"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762D8C7E"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57.290,64</w:t>
            </w:r>
          </w:p>
        </w:tc>
        <w:tc>
          <w:tcPr>
            <w:tcW w:w="1320" w:type="dxa"/>
            <w:tcBorders>
              <w:top w:val="nil"/>
              <w:left w:val="nil"/>
              <w:bottom w:val="nil"/>
              <w:right w:val="nil"/>
            </w:tcBorders>
            <w:shd w:val="clear" w:color="auto" w:fill="auto"/>
            <w:noWrap/>
            <w:vAlign w:val="bottom"/>
            <w:hideMark/>
          </w:tcPr>
          <w:p w14:paraId="4C73BCDA"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155,17%</w:t>
            </w:r>
          </w:p>
        </w:tc>
        <w:tc>
          <w:tcPr>
            <w:tcW w:w="1280" w:type="dxa"/>
            <w:tcBorders>
              <w:top w:val="nil"/>
              <w:left w:val="nil"/>
              <w:bottom w:val="nil"/>
              <w:right w:val="nil"/>
            </w:tcBorders>
            <w:shd w:val="clear" w:color="auto" w:fill="auto"/>
            <w:noWrap/>
            <w:vAlign w:val="bottom"/>
            <w:hideMark/>
          </w:tcPr>
          <w:p w14:paraId="0F20D36F"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27783990" w14:textId="77777777" w:rsidTr="00D53FB4">
        <w:trPr>
          <w:trHeight w:val="255"/>
        </w:trPr>
        <w:tc>
          <w:tcPr>
            <w:tcW w:w="7655" w:type="dxa"/>
            <w:tcBorders>
              <w:top w:val="nil"/>
              <w:left w:val="nil"/>
              <w:bottom w:val="nil"/>
              <w:right w:val="nil"/>
            </w:tcBorders>
            <w:shd w:val="clear" w:color="auto" w:fill="auto"/>
            <w:noWrap/>
            <w:vAlign w:val="bottom"/>
            <w:hideMark/>
          </w:tcPr>
          <w:p w14:paraId="5C708E71"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3225 Sitni inventar i auto gume</w:t>
            </w:r>
          </w:p>
        </w:tc>
        <w:tc>
          <w:tcPr>
            <w:tcW w:w="1384" w:type="dxa"/>
            <w:tcBorders>
              <w:top w:val="nil"/>
              <w:left w:val="nil"/>
              <w:bottom w:val="nil"/>
              <w:right w:val="nil"/>
            </w:tcBorders>
            <w:shd w:val="clear" w:color="auto" w:fill="auto"/>
            <w:noWrap/>
            <w:vAlign w:val="bottom"/>
            <w:hideMark/>
          </w:tcPr>
          <w:p w14:paraId="65155F56"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30.585,94</w:t>
            </w:r>
          </w:p>
        </w:tc>
        <w:tc>
          <w:tcPr>
            <w:tcW w:w="1740" w:type="dxa"/>
            <w:tcBorders>
              <w:top w:val="nil"/>
              <w:left w:val="nil"/>
              <w:bottom w:val="nil"/>
              <w:right w:val="nil"/>
            </w:tcBorders>
            <w:shd w:val="clear" w:color="auto" w:fill="auto"/>
            <w:noWrap/>
            <w:vAlign w:val="bottom"/>
            <w:hideMark/>
          </w:tcPr>
          <w:p w14:paraId="7FF761B8"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506CDD3C" w14:textId="20776E26"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3</w:t>
            </w:r>
            <w:r w:rsidR="003B1371">
              <w:rPr>
                <w:rFonts w:ascii="Arial" w:hAnsi="Arial" w:cs="Arial"/>
                <w:sz w:val="18"/>
                <w:szCs w:val="18"/>
                <w:lang w:eastAsia="hr-HR"/>
              </w:rPr>
              <w:t>7.003,90</w:t>
            </w:r>
          </w:p>
        </w:tc>
        <w:tc>
          <w:tcPr>
            <w:tcW w:w="1320" w:type="dxa"/>
            <w:tcBorders>
              <w:top w:val="nil"/>
              <w:left w:val="nil"/>
              <w:bottom w:val="nil"/>
              <w:right w:val="nil"/>
            </w:tcBorders>
            <w:shd w:val="clear" w:color="auto" w:fill="auto"/>
            <w:noWrap/>
            <w:vAlign w:val="bottom"/>
            <w:hideMark/>
          </w:tcPr>
          <w:p w14:paraId="7B701757" w14:textId="73C32EA4"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w:t>
            </w:r>
            <w:r w:rsidR="003B1371">
              <w:rPr>
                <w:rFonts w:ascii="Arial" w:hAnsi="Arial" w:cs="Arial"/>
                <w:sz w:val="18"/>
                <w:szCs w:val="18"/>
                <w:lang w:eastAsia="hr-HR"/>
              </w:rPr>
              <w:t>20,98</w:t>
            </w:r>
            <w:r w:rsidRPr="00583CB4">
              <w:rPr>
                <w:rFonts w:ascii="Arial" w:hAnsi="Arial" w:cs="Arial"/>
                <w:sz w:val="18"/>
                <w:szCs w:val="18"/>
                <w:lang w:eastAsia="hr-HR"/>
              </w:rPr>
              <w:t>%</w:t>
            </w:r>
          </w:p>
        </w:tc>
        <w:tc>
          <w:tcPr>
            <w:tcW w:w="1280" w:type="dxa"/>
            <w:tcBorders>
              <w:top w:val="nil"/>
              <w:left w:val="nil"/>
              <w:bottom w:val="nil"/>
              <w:right w:val="nil"/>
            </w:tcBorders>
            <w:shd w:val="clear" w:color="auto" w:fill="auto"/>
            <w:noWrap/>
            <w:vAlign w:val="bottom"/>
            <w:hideMark/>
          </w:tcPr>
          <w:p w14:paraId="163C6EED"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6E9AD375" w14:textId="77777777" w:rsidTr="00D53FB4">
        <w:trPr>
          <w:trHeight w:val="255"/>
        </w:trPr>
        <w:tc>
          <w:tcPr>
            <w:tcW w:w="7655" w:type="dxa"/>
            <w:tcBorders>
              <w:top w:val="nil"/>
              <w:left w:val="nil"/>
              <w:bottom w:val="nil"/>
              <w:right w:val="nil"/>
            </w:tcBorders>
            <w:shd w:val="clear" w:color="auto" w:fill="auto"/>
            <w:noWrap/>
            <w:vAlign w:val="bottom"/>
            <w:hideMark/>
          </w:tcPr>
          <w:p w14:paraId="4A451D62"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3227 Službena, radna i zaštitna odjeća i obuća                                                           </w:t>
            </w:r>
          </w:p>
        </w:tc>
        <w:tc>
          <w:tcPr>
            <w:tcW w:w="1384" w:type="dxa"/>
            <w:tcBorders>
              <w:top w:val="nil"/>
              <w:left w:val="nil"/>
              <w:bottom w:val="nil"/>
              <w:right w:val="nil"/>
            </w:tcBorders>
            <w:shd w:val="clear" w:color="auto" w:fill="auto"/>
            <w:noWrap/>
            <w:vAlign w:val="bottom"/>
            <w:hideMark/>
          </w:tcPr>
          <w:p w14:paraId="58850ACC"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10.418,90</w:t>
            </w:r>
          </w:p>
        </w:tc>
        <w:tc>
          <w:tcPr>
            <w:tcW w:w="1740" w:type="dxa"/>
            <w:tcBorders>
              <w:top w:val="nil"/>
              <w:left w:val="nil"/>
              <w:bottom w:val="nil"/>
              <w:right w:val="nil"/>
            </w:tcBorders>
            <w:shd w:val="clear" w:color="auto" w:fill="auto"/>
            <w:noWrap/>
            <w:vAlign w:val="bottom"/>
            <w:hideMark/>
          </w:tcPr>
          <w:p w14:paraId="02FC17EB"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1C2E43C0"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14.865,99</w:t>
            </w:r>
          </w:p>
        </w:tc>
        <w:tc>
          <w:tcPr>
            <w:tcW w:w="1320" w:type="dxa"/>
            <w:tcBorders>
              <w:top w:val="nil"/>
              <w:left w:val="nil"/>
              <w:bottom w:val="nil"/>
              <w:right w:val="nil"/>
            </w:tcBorders>
            <w:shd w:val="clear" w:color="auto" w:fill="auto"/>
            <w:noWrap/>
            <w:vAlign w:val="bottom"/>
            <w:hideMark/>
          </w:tcPr>
          <w:p w14:paraId="35E9EB21"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142,68%</w:t>
            </w:r>
          </w:p>
        </w:tc>
        <w:tc>
          <w:tcPr>
            <w:tcW w:w="1280" w:type="dxa"/>
            <w:tcBorders>
              <w:top w:val="nil"/>
              <w:left w:val="nil"/>
              <w:bottom w:val="nil"/>
              <w:right w:val="nil"/>
            </w:tcBorders>
            <w:shd w:val="clear" w:color="auto" w:fill="auto"/>
            <w:noWrap/>
            <w:vAlign w:val="bottom"/>
            <w:hideMark/>
          </w:tcPr>
          <w:p w14:paraId="69EE1B51"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6E59496A" w14:textId="77777777" w:rsidTr="00D53FB4">
        <w:trPr>
          <w:trHeight w:val="255"/>
        </w:trPr>
        <w:tc>
          <w:tcPr>
            <w:tcW w:w="7655" w:type="dxa"/>
            <w:tcBorders>
              <w:top w:val="nil"/>
              <w:left w:val="nil"/>
              <w:bottom w:val="nil"/>
              <w:right w:val="nil"/>
            </w:tcBorders>
            <w:shd w:val="clear" w:color="auto" w:fill="auto"/>
            <w:noWrap/>
            <w:vAlign w:val="bottom"/>
            <w:hideMark/>
          </w:tcPr>
          <w:p w14:paraId="44AF11F6"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323 Rashodi za usluge                                                                                   </w:t>
            </w:r>
          </w:p>
        </w:tc>
        <w:tc>
          <w:tcPr>
            <w:tcW w:w="1384" w:type="dxa"/>
            <w:tcBorders>
              <w:top w:val="nil"/>
              <w:left w:val="nil"/>
              <w:bottom w:val="nil"/>
              <w:right w:val="nil"/>
            </w:tcBorders>
            <w:shd w:val="clear" w:color="auto" w:fill="auto"/>
            <w:noWrap/>
            <w:vAlign w:val="bottom"/>
            <w:hideMark/>
          </w:tcPr>
          <w:p w14:paraId="0B50D7EC"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1.363.593,70</w:t>
            </w:r>
          </w:p>
        </w:tc>
        <w:tc>
          <w:tcPr>
            <w:tcW w:w="1740" w:type="dxa"/>
            <w:tcBorders>
              <w:top w:val="nil"/>
              <w:left w:val="nil"/>
              <w:bottom w:val="nil"/>
              <w:right w:val="nil"/>
            </w:tcBorders>
            <w:shd w:val="clear" w:color="auto" w:fill="auto"/>
            <w:noWrap/>
            <w:vAlign w:val="bottom"/>
            <w:hideMark/>
          </w:tcPr>
          <w:p w14:paraId="37782C23"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1842056C"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1.717.366,65</w:t>
            </w:r>
          </w:p>
        </w:tc>
        <w:tc>
          <w:tcPr>
            <w:tcW w:w="1320" w:type="dxa"/>
            <w:tcBorders>
              <w:top w:val="nil"/>
              <w:left w:val="nil"/>
              <w:bottom w:val="nil"/>
              <w:right w:val="nil"/>
            </w:tcBorders>
            <w:shd w:val="clear" w:color="auto" w:fill="auto"/>
            <w:noWrap/>
            <w:vAlign w:val="bottom"/>
            <w:hideMark/>
          </w:tcPr>
          <w:p w14:paraId="37D6B762"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125,94%</w:t>
            </w:r>
          </w:p>
        </w:tc>
        <w:tc>
          <w:tcPr>
            <w:tcW w:w="1280" w:type="dxa"/>
            <w:tcBorders>
              <w:top w:val="nil"/>
              <w:left w:val="nil"/>
              <w:bottom w:val="nil"/>
              <w:right w:val="nil"/>
            </w:tcBorders>
            <w:shd w:val="clear" w:color="auto" w:fill="auto"/>
            <w:noWrap/>
            <w:vAlign w:val="bottom"/>
            <w:hideMark/>
          </w:tcPr>
          <w:p w14:paraId="4345F874"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201641FD" w14:textId="77777777" w:rsidTr="00D53FB4">
        <w:trPr>
          <w:trHeight w:val="255"/>
        </w:trPr>
        <w:tc>
          <w:tcPr>
            <w:tcW w:w="7655" w:type="dxa"/>
            <w:tcBorders>
              <w:top w:val="nil"/>
              <w:left w:val="nil"/>
              <w:bottom w:val="nil"/>
              <w:right w:val="nil"/>
            </w:tcBorders>
            <w:shd w:val="clear" w:color="auto" w:fill="auto"/>
            <w:noWrap/>
            <w:vAlign w:val="bottom"/>
            <w:hideMark/>
          </w:tcPr>
          <w:p w14:paraId="72624816"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3231 Usluge telefona, pošte i prijevoza                                                                  </w:t>
            </w:r>
          </w:p>
        </w:tc>
        <w:tc>
          <w:tcPr>
            <w:tcW w:w="1384" w:type="dxa"/>
            <w:tcBorders>
              <w:top w:val="nil"/>
              <w:left w:val="nil"/>
              <w:bottom w:val="nil"/>
              <w:right w:val="nil"/>
            </w:tcBorders>
            <w:shd w:val="clear" w:color="auto" w:fill="auto"/>
            <w:noWrap/>
            <w:vAlign w:val="bottom"/>
            <w:hideMark/>
          </w:tcPr>
          <w:p w14:paraId="3F747971"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37.001,56</w:t>
            </w:r>
          </w:p>
        </w:tc>
        <w:tc>
          <w:tcPr>
            <w:tcW w:w="1740" w:type="dxa"/>
            <w:tcBorders>
              <w:top w:val="nil"/>
              <w:left w:val="nil"/>
              <w:bottom w:val="nil"/>
              <w:right w:val="nil"/>
            </w:tcBorders>
            <w:shd w:val="clear" w:color="auto" w:fill="auto"/>
            <w:noWrap/>
            <w:vAlign w:val="bottom"/>
            <w:hideMark/>
          </w:tcPr>
          <w:p w14:paraId="7263AADB"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749E8659"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43.838,24</w:t>
            </w:r>
          </w:p>
        </w:tc>
        <w:tc>
          <w:tcPr>
            <w:tcW w:w="1320" w:type="dxa"/>
            <w:tcBorders>
              <w:top w:val="nil"/>
              <w:left w:val="nil"/>
              <w:bottom w:val="nil"/>
              <w:right w:val="nil"/>
            </w:tcBorders>
            <w:shd w:val="clear" w:color="auto" w:fill="auto"/>
            <w:noWrap/>
            <w:vAlign w:val="bottom"/>
            <w:hideMark/>
          </w:tcPr>
          <w:p w14:paraId="0094E8AA"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118,48%</w:t>
            </w:r>
          </w:p>
        </w:tc>
        <w:tc>
          <w:tcPr>
            <w:tcW w:w="1280" w:type="dxa"/>
            <w:tcBorders>
              <w:top w:val="nil"/>
              <w:left w:val="nil"/>
              <w:bottom w:val="nil"/>
              <w:right w:val="nil"/>
            </w:tcBorders>
            <w:shd w:val="clear" w:color="auto" w:fill="auto"/>
            <w:noWrap/>
            <w:vAlign w:val="bottom"/>
            <w:hideMark/>
          </w:tcPr>
          <w:p w14:paraId="6BAE7DA0"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12A94074" w14:textId="77777777" w:rsidTr="00D53FB4">
        <w:trPr>
          <w:trHeight w:val="255"/>
        </w:trPr>
        <w:tc>
          <w:tcPr>
            <w:tcW w:w="7655" w:type="dxa"/>
            <w:tcBorders>
              <w:top w:val="nil"/>
              <w:left w:val="nil"/>
              <w:bottom w:val="nil"/>
              <w:right w:val="nil"/>
            </w:tcBorders>
            <w:shd w:val="clear" w:color="auto" w:fill="auto"/>
            <w:noWrap/>
            <w:vAlign w:val="bottom"/>
            <w:hideMark/>
          </w:tcPr>
          <w:p w14:paraId="10EE4448"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3232 Usluge tekućeg i investicijskog održavanja                                                          </w:t>
            </w:r>
          </w:p>
        </w:tc>
        <w:tc>
          <w:tcPr>
            <w:tcW w:w="1384" w:type="dxa"/>
            <w:tcBorders>
              <w:top w:val="nil"/>
              <w:left w:val="nil"/>
              <w:bottom w:val="nil"/>
              <w:right w:val="nil"/>
            </w:tcBorders>
            <w:shd w:val="clear" w:color="auto" w:fill="auto"/>
            <w:noWrap/>
            <w:vAlign w:val="bottom"/>
            <w:hideMark/>
          </w:tcPr>
          <w:p w14:paraId="1FBE2891"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699.533,92</w:t>
            </w:r>
          </w:p>
        </w:tc>
        <w:tc>
          <w:tcPr>
            <w:tcW w:w="1740" w:type="dxa"/>
            <w:tcBorders>
              <w:top w:val="nil"/>
              <w:left w:val="nil"/>
              <w:bottom w:val="nil"/>
              <w:right w:val="nil"/>
            </w:tcBorders>
            <w:shd w:val="clear" w:color="auto" w:fill="auto"/>
            <w:noWrap/>
            <w:vAlign w:val="bottom"/>
            <w:hideMark/>
          </w:tcPr>
          <w:p w14:paraId="5D27152C"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3F64124D"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901.412,59</w:t>
            </w:r>
          </w:p>
        </w:tc>
        <w:tc>
          <w:tcPr>
            <w:tcW w:w="1320" w:type="dxa"/>
            <w:tcBorders>
              <w:top w:val="nil"/>
              <w:left w:val="nil"/>
              <w:bottom w:val="nil"/>
              <w:right w:val="nil"/>
            </w:tcBorders>
            <w:shd w:val="clear" w:color="auto" w:fill="auto"/>
            <w:noWrap/>
            <w:vAlign w:val="bottom"/>
            <w:hideMark/>
          </w:tcPr>
          <w:p w14:paraId="7D1EDB3A"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128,86%</w:t>
            </w:r>
          </w:p>
        </w:tc>
        <w:tc>
          <w:tcPr>
            <w:tcW w:w="1280" w:type="dxa"/>
            <w:tcBorders>
              <w:top w:val="nil"/>
              <w:left w:val="nil"/>
              <w:bottom w:val="nil"/>
              <w:right w:val="nil"/>
            </w:tcBorders>
            <w:shd w:val="clear" w:color="auto" w:fill="auto"/>
            <w:noWrap/>
            <w:vAlign w:val="bottom"/>
            <w:hideMark/>
          </w:tcPr>
          <w:p w14:paraId="23CD364F"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5511656E" w14:textId="77777777" w:rsidTr="00D53FB4">
        <w:trPr>
          <w:trHeight w:val="255"/>
        </w:trPr>
        <w:tc>
          <w:tcPr>
            <w:tcW w:w="7655" w:type="dxa"/>
            <w:tcBorders>
              <w:top w:val="nil"/>
              <w:left w:val="nil"/>
              <w:bottom w:val="nil"/>
              <w:right w:val="nil"/>
            </w:tcBorders>
            <w:shd w:val="clear" w:color="auto" w:fill="auto"/>
            <w:noWrap/>
            <w:vAlign w:val="bottom"/>
            <w:hideMark/>
          </w:tcPr>
          <w:p w14:paraId="021A6E1F"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3233 Usluge promidžbe i informiranja                                                                     </w:t>
            </w:r>
          </w:p>
        </w:tc>
        <w:tc>
          <w:tcPr>
            <w:tcW w:w="1384" w:type="dxa"/>
            <w:tcBorders>
              <w:top w:val="nil"/>
              <w:left w:val="nil"/>
              <w:bottom w:val="nil"/>
              <w:right w:val="nil"/>
            </w:tcBorders>
            <w:shd w:val="clear" w:color="auto" w:fill="auto"/>
            <w:noWrap/>
            <w:vAlign w:val="bottom"/>
            <w:hideMark/>
          </w:tcPr>
          <w:p w14:paraId="4AFF55C8"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64.555,19</w:t>
            </w:r>
          </w:p>
        </w:tc>
        <w:tc>
          <w:tcPr>
            <w:tcW w:w="1740" w:type="dxa"/>
            <w:tcBorders>
              <w:top w:val="nil"/>
              <w:left w:val="nil"/>
              <w:bottom w:val="nil"/>
              <w:right w:val="nil"/>
            </w:tcBorders>
            <w:shd w:val="clear" w:color="auto" w:fill="auto"/>
            <w:noWrap/>
            <w:vAlign w:val="bottom"/>
            <w:hideMark/>
          </w:tcPr>
          <w:p w14:paraId="408AAE2E"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2348E0FF"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84.234,33</w:t>
            </w:r>
          </w:p>
        </w:tc>
        <w:tc>
          <w:tcPr>
            <w:tcW w:w="1320" w:type="dxa"/>
            <w:tcBorders>
              <w:top w:val="nil"/>
              <w:left w:val="nil"/>
              <w:bottom w:val="nil"/>
              <w:right w:val="nil"/>
            </w:tcBorders>
            <w:shd w:val="clear" w:color="auto" w:fill="auto"/>
            <w:noWrap/>
            <w:vAlign w:val="bottom"/>
            <w:hideMark/>
          </w:tcPr>
          <w:p w14:paraId="3DEC58A6"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130,48%</w:t>
            </w:r>
          </w:p>
        </w:tc>
        <w:tc>
          <w:tcPr>
            <w:tcW w:w="1280" w:type="dxa"/>
            <w:tcBorders>
              <w:top w:val="nil"/>
              <w:left w:val="nil"/>
              <w:bottom w:val="nil"/>
              <w:right w:val="nil"/>
            </w:tcBorders>
            <w:shd w:val="clear" w:color="auto" w:fill="auto"/>
            <w:noWrap/>
            <w:vAlign w:val="bottom"/>
            <w:hideMark/>
          </w:tcPr>
          <w:p w14:paraId="2F11B31E"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1D0FB125" w14:textId="77777777" w:rsidTr="00D53FB4">
        <w:trPr>
          <w:trHeight w:val="255"/>
        </w:trPr>
        <w:tc>
          <w:tcPr>
            <w:tcW w:w="7655" w:type="dxa"/>
            <w:tcBorders>
              <w:top w:val="nil"/>
              <w:left w:val="nil"/>
              <w:bottom w:val="nil"/>
              <w:right w:val="nil"/>
            </w:tcBorders>
            <w:shd w:val="clear" w:color="auto" w:fill="auto"/>
            <w:noWrap/>
            <w:vAlign w:val="bottom"/>
            <w:hideMark/>
          </w:tcPr>
          <w:p w14:paraId="176D1D82"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3234 Komunalne usluge                                                                                    </w:t>
            </w:r>
          </w:p>
        </w:tc>
        <w:tc>
          <w:tcPr>
            <w:tcW w:w="1384" w:type="dxa"/>
            <w:tcBorders>
              <w:top w:val="nil"/>
              <w:left w:val="nil"/>
              <w:bottom w:val="nil"/>
              <w:right w:val="nil"/>
            </w:tcBorders>
            <w:shd w:val="clear" w:color="auto" w:fill="auto"/>
            <w:noWrap/>
            <w:vAlign w:val="bottom"/>
            <w:hideMark/>
          </w:tcPr>
          <w:p w14:paraId="5011B0F5"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63.982,47</w:t>
            </w:r>
          </w:p>
        </w:tc>
        <w:tc>
          <w:tcPr>
            <w:tcW w:w="1740" w:type="dxa"/>
            <w:tcBorders>
              <w:top w:val="nil"/>
              <w:left w:val="nil"/>
              <w:bottom w:val="nil"/>
              <w:right w:val="nil"/>
            </w:tcBorders>
            <w:shd w:val="clear" w:color="auto" w:fill="auto"/>
            <w:noWrap/>
            <w:vAlign w:val="bottom"/>
            <w:hideMark/>
          </w:tcPr>
          <w:p w14:paraId="51BE91B3"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16E8730C"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86.733,01</w:t>
            </w:r>
          </w:p>
        </w:tc>
        <w:tc>
          <w:tcPr>
            <w:tcW w:w="1320" w:type="dxa"/>
            <w:tcBorders>
              <w:top w:val="nil"/>
              <w:left w:val="nil"/>
              <w:bottom w:val="nil"/>
              <w:right w:val="nil"/>
            </w:tcBorders>
            <w:shd w:val="clear" w:color="auto" w:fill="auto"/>
            <w:noWrap/>
            <w:vAlign w:val="bottom"/>
            <w:hideMark/>
          </w:tcPr>
          <w:p w14:paraId="6E923FDD"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135,56%</w:t>
            </w:r>
          </w:p>
        </w:tc>
        <w:tc>
          <w:tcPr>
            <w:tcW w:w="1280" w:type="dxa"/>
            <w:tcBorders>
              <w:top w:val="nil"/>
              <w:left w:val="nil"/>
              <w:bottom w:val="nil"/>
              <w:right w:val="nil"/>
            </w:tcBorders>
            <w:shd w:val="clear" w:color="auto" w:fill="auto"/>
            <w:noWrap/>
            <w:vAlign w:val="bottom"/>
            <w:hideMark/>
          </w:tcPr>
          <w:p w14:paraId="7BA8FD70"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1699FFE8" w14:textId="77777777" w:rsidTr="00D53FB4">
        <w:trPr>
          <w:trHeight w:val="255"/>
        </w:trPr>
        <w:tc>
          <w:tcPr>
            <w:tcW w:w="7655" w:type="dxa"/>
            <w:tcBorders>
              <w:top w:val="nil"/>
              <w:left w:val="nil"/>
              <w:bottom w:val="nil"/>
              <w:right w:val="nil"/>
            </w:tcBorders>
            <w:shd w:val="clear" w:color="auto" w:fill="auto"/>
            <w:noWrap/>
            <w:vAlign w:val="bottom"/>
            <w:hideMark/>
          </w:tcPr>
          <w:p w14:paraId="7E0B8ADD"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3235 Zakupnine i najamnine                                                                               </w:t>
            </w:r>
          </w:p>
        </w:tc>
        <w:tc>
          <w:tcPr>
            <w:tcW w:w="1384" w:type="dxa"/>
            <w:tcBorders>
              <w:top w:val="nil"/>
              <w:left w:val="nil"/>
              <w:bottom w:val="nil"/>
              <w:right w:val="nil"/>
            </w:tcBorders>
            <w:shd w:val="clear" w:color="auto" w:fill="auto"/>
            <w:noWrap/>
            <w:vAlign w:val="bottom"/>
            <w:hideMark/>
          </w:tcPr>
          <w:p w14:paraId="1BDB49DB"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19.096,93</w:t>
            </w:r>
          </w:p>
        </w:tc>
        <w:tc>
          <w:tcPr>
            <w:tcW w:w="1740" w:type="dxa"/>
            <w:tcBorders>
              <w:top w:val="nil"/>
              <w:left w:val="nil"/>
              <w:bottom w:val="nil"/>
              <w:right w:val="nil"/>
            </w:tcBorders>
            <w:shd w:val="clear" w:color="auto" w:fill="auto"/>
            <w:noWrap/>
            <w:vAlign w:val="bottom"/>
            <w:hideMark/>
          </w:tcPr>
          <w:p w14:paraId="46AD1CEB"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7A3B2C59"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42.516,25</w:t>
            </w:r>
          </w:p>
        </w:tc>
        <w:tc>
          <w:tcPr>
            <w:tcW w:w="1320" w:type="dxa"/>
            <w:tcBorders>
              <w:top w:val="nil"/>
              <w:left w:val="nil"/>
              <w:bottom w:val="nil"/>
              <w:right w:val="nil"/>
            </w:tcBorders>
            <w:shd w:val="clear" w:color="auto" w:fill="auto"/>
            <w:noWrap/>
            <w:vAlign w:val="bottom"/>
            <w:hideMark/>
          </w:tcPr>
          <w:p w14:paraId="4B214F63"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222,63%</w:t>
            </w:r>
          </w:p>
        </w:tc>
        <w:tc>
          <w:tcPr>
            <w:tcW w:w="1280" w:type="dxa"/>
            <w:tcBorders>
              <w:top w:val="nil"/>
              <w:left w:val="nil"/>
              <w:bottom w:val="nil"/>
              <w:right w:val="nil"/>
            </w:tcBorders>
            <w:shd w:val="clear" w:color="auto" w:fill="auto"/>
            <w:noWrap/>
            <w:vAlign w:val="bottom"/>
            <w:hideMark/>
          </w:tcPr>
          <w:p w14:paraId="57EF68F2"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50555366" w14:textId="77777777" w:rsidTr="00D53FB4">
        <w:trPr>
          <w:trHeight w:val="255"/>
        </w:trPr>
        <w:tc>
          <w:tcPr>
            <w:tcW w:w="7655" w:type="dxa"/>
            <w:tcBorders>
              <w:top w:val="nil"/>
              <w:left w:val="nil"/>
              <w:bottom w:val="nil"/>
              <w:right w:val="nil"/>
            </w:tcBorders>
            <w:shd w:val="clear" w:color="auto" w:fill="auto"/>
            <w:noWrap/>
            <w:vAlign w:val="bottom"/>
            <w:hideMark/>
          </w:tcPr>
          <w:p w14:paraId="2CFB21A7"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3236 Zdravstvene i veterinarske usluge                                                                   </w:t>
            </w:r>
          </w:p>
        </w:tc>
        <w:tc>
          <w:tcPr>
            <w:tcW w:w="1384" w:type="dxa"/>
            <w:tcBorders>
              <w:top w:val="nil"/>
              <w:left w:val="nil"/>
              <w:bottom w:val="nil"/>
              <w:right w:val="nil"/>
            </w:tcBorders>
            <w:shd w:val="clear" w:color="auto" w:fill="auto"/>
            <w:noWrap/>
            <w:vAlign w:val="bottom"/>
            <w:hideMark/>
          </w:tcPr>
          <w:p w14:paraId="3946CA40"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40.213,31</w:t>
            </w:r>
          </w:p>
        </w:tc>
        <w:tc>
          <w:tcPr>
            <w:tcW w:w="1740" w:type="dxa"/>
            <w:tcBorders>
              <w:top w:val="nil"/>
              <w:left w:val="nil"/>
              <w:bottom w:val="nil"/>
              <w:right w:val="nil"/>
            </w:tcBorders>
            <w:shd w:val="clear" w:color="auto" w:fill="auto"/>
            <w:noWrap/>
            <w:vAlign w:val="bottom"/>
            <w:hideMark/>
          </w:tcPr>
          <w:p w14:paraId="6BC9D722"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394F240B"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44.077,44</w:t>
            </w:r>
          </w:p>
        </w:tc>
        <w:tc>
          <w:tcPr>
            <w:tcW w:w="1320" w:type="dxa"/>
            <w:tcBorders>
              <w:top w:val="nil"/>
              <w:left w:val="nil"/>
              <w:bottom w:val="nil"/>
              <w:right w:val="nil"/>
            </w:tcBorders>
            <w:shd w:val="clear" w:color="auto" w:fill="auto"/>
            <w:noWrap/>
            <w:vAlign w:val="bottom"/>
            <w:hideMark/>
          </w:tcPr>
          <w:p w14:paraId="2C269B08"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109,61%</w:t>
            </w:r>
          </w:p>
        </w:tc>
        <w:tc>
          <w:tcPr>
            <w:tcW w:w="1280" w:type="dxa"/>
            <w:tcBorders>
              <w:top w:val="nil"/>
              <w:left w:val="nil"/>
              <w:bottom w:val="nil"/>
              <w:right w:val="nil"/>
            </w:tcBorders>
            <w:shd w:val="clear" w:color="auto" w:fill="auto"/>
            <w:noWrap/>
            <w:vAlign w:val="bottom"/>
            <w:hideMark/>
          </w:tcPr>
          <w:p w14:paraId="60163DFF"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7E7B192C" w14:textId="77777777" w:rsidTr="00D53FB4">
        <w:trPr>
          <w:trHeight w:val="255"/>
        </w:trPr>
        <w:tc>
          <w:tcPr>
            <w:tcW w:w="7655" w:type="dxa"/>
            <w:tcBorders>
              <w:top w:val="nil"/>
              <w:left w:val="nil"/>
              <w:bottom w:val="nil"/>
              <w:right w:val="nil"/>
            </w:tcBorders>
            <w:shd w:val="clear" w:color="auto" w:fill="auto"/>
            <w:noWrap/>
            <w:vAlign w:val="bottom"/>
            <w:hideMark/>
          </w:tcPr>
          <w:p w14:paraId="746D623E"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3237 Intelektualne i osobne usluge                                                                       </w:t>
            </w:r>
          </w:p>
        </w:tc>
        <w:tc>
          <w:tcPr>
            <w:tcW w:w="1384" w:type="dxa"/>
            <w:tcBorders>
              <w:top w:val="nil"/>
              <w:left w:val="nil"/>
              <w:bottom w:val="nil"/>
              <w:right w:val="nil"/>
            </w:tcBorders>
            <w:shd w:val="clear" w:color="auto" w:fill="auto"/>
            <w:noWrap/>
            <w:vAlign w:val="bottom"/>
            <w:hideMark/>
          </w:tcPr>
          <w:p w14:paraId="235EDDD6"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229.993,68</w:t>
            </w:r>
          </w:p>
        </w:tc>
        <w:tc>
          <w:tcPr>
            <w:tcW w:w="1740" w:type="dxa"/>
            <w:tcBorders>
              <w:top w:val="nil"/>
              <w:left w:val="nil"/>
              <w:bottom w:val="nil"/>
              <w:right w:val="nil"/>
            </w:tcBorders>
            <w:shd w:val="clear" w:color="auto" w:fill="auto"/>
            <w:noWrap/>
            <w:vAlign w:val="bottom"/>
            <w:hideMark/>
          </w:tcPr>
          <w:p w14:paraId="09711138"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51AE46D8"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301.340,11</w:t>
            </w:r>
          </w:p>
        </w:tc>
        <w:tc>
          <w:tcPr>
            <w:tcW w:w="1320" w:type="dxa"/>
            <w:tcBorders>
              <w:top w:val="nil"/>
              <w:left w:val="nil"/>
              <w:bottom w:val="nil"/>
              <w:right w:val="nil"/>
            </w:tcBorders>
            <w:shd w:val="clear" w:color="auto" w:fill="auto"/>
            <w:noWrap/>
            <w:vAlign w:val="bottom"/>
            <w:hideMark/>
          </w:tcPr>
          <w:p w14:paraId="25E09A79"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131,02%</w:t>
            </w:r>
          </w:p>
        </w:tc>
        <w:tc>
          <w:tcPr>
            <w:tcW w:w="1280" w:type="dxa"/>
            <w:tcBorders>
              <w:top w:val="nil"/>
              <w:left w:val="nil"/>
              <w:bottom w:val="nil"/>
              <w:right w:val="nil"/>
            </w:tcBorders>
            <w:shd w:val="clear" w:color="auto" w:fill="auto"/>
            <w:noWrap/>
            <w:vAlign w:val="bottom"/>
            <w:hideMark/>
          </w:tcPr>
          <w:p w14:paraId="3492CACE"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7657C3F2" w14:textId="77777777" w:rsidTr="00D53FB4">
        <w:trPr>
          <w:trHeight w:val="255"/>
        </w:trPr>
        <w:tc>
          <w:tcPr>
            <w:tcW w:w="7655" w:type="dxa"/>
            <w:tcBorders>
              <w:top w:val="nil"/>
              <w:left w:val="nil"/>
              <w:bottom w:val="nil"/>
              <w:right w:val="nil"/>
            </w:tcBorders>
            <w:shd w:val="clear" w:color="auto" w:fill="auto"/>
            <w:noWrap/>
            <w:vAlign w:val="bottom"/>
            <w:hideMark/>
          </w:tcPr>
          <w:p w14:paraId="5381B31B"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3238 Računalne usluge                                                                                    </w:t>
            </w:r>
          </w:p>
        </w:tc>
        <w:tc>
          <w:tcPr>
            <w:tcW w:w="1384" w:type="dxa"/>
            <w:tcBorders>
              <w:top w:val="nil"/>
              <w:left w:val="nil"/>
              <w:bottom w:val="nil"/>
              <w:right w:val="nil"/>
            </w:tcBorders>
            <w:shd w:val="clear" w:color="auto" w:fill="auto"/>
            <w:noWrap/>
            <w:vAlign w:val="bottom"/>
            <w:hideMark/>
          </w:tcPr>
          <w:p w14:paraId="31C0F20B"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64.095,03</w:t>
            </w:r>
          </w:p>
        </w:tc>
        <w:tc>
          <w:tcPr>
            <w:tcW w:w="1740" w:type="dxa"/>
            <w:tcBorders>
              <w:top w:val="nil"/>
              <w:left w:val="nil"/>
              <w:bottom w:val="nil"/>
              <w:right w:val="nil"/>
            </w:tcBorders>
            <w:shd w:val="clear" w:color="auto" w:fill="auto"/>
            <w:noWrap/>
            <w:vAlign w:val="bottom"/>
            <w:hideMark/>
          </w:tcPr>
          <w:p w14:paraId="521264AA"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26ACB157"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65.570,12</w:t>
            </w:r>
          </w:p>
        </w:tc>
        <w:tc>
          <w:tcPr>
            <w:tcW w:w="1320" w:type="dxa"/>
            <w:tcBorders>
              <w:top w:val="nil"/>
              <w:left w:val="nil"/>
              <w:bottom w:val="nil"/>
              <w:right w:val="nil"/>
            </w:tcBorders>
            <w:shd w:val="clear" w:color="auto" w:fill="auto"/>
            <w:noWrap/>
            <w:vAlign w:val="bottom"/>
            <w:hideMark/>
          </w:tcPr>
          <w:p w14:paraId="4A1C1971"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102,30%</w:t>
            </w:r>
          </w:p>
        </w:tc>
        <w:tc>
          <w:tcPr>
            <w:tcW w:w="1280" w:type="dxa"/>
            <w:tcBorders>
              <w:top w:val="nil"/>
              <w:left w:val="nil"/>
              <w:bottom w:val="nil"/>
              <w:right w:val="nil"/>
            </w:tcBorders>
            <w:shd w:val="clear" w:color="auto" w:fill="auto"/>
            <w:noWrap/>
            <w:vAlign w:val="bottom"/>
            <w:hideMark/>
          </w:tcPr>
          <w:p w14:paraId="3308DECA"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2EDBB94C" w14:textId="77777777" w:rsidTr="00D53FB4">
        <w:trPr>
          <w:trHeight w:val="255"/>
        </w:trPr>
        <w:tc>
          <w:tcPr>
            <w:tcW w:w="7655" w:type="dxa"/>
            <w:tcBorders>
              <w:top w:val="nil"/>
              <w:left w:val="nil"/>
              <w:bottom w:val="nil"/>
              <w:right w:val="nil"/>
            </w:tcBorders>
            <w:shd w:val="clear" w:color="auto" w:fill="auto"/>
            <w:noWrap/>
            <w:vAlign w:val="bottom"/>
            <w:hideMark/>
          </w:tcPr>
          <w:p w14:paraId="20050F94"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3239 Ostale usluge                                                                                       </w:t>
            </w:r>
          </w:p>
        </w:tc>
        <w:tc>
          <w:tcPr>
            <w:tcW w:w="1384" w:type="dxa"/>
            <w:tcBorders>
              <w:top w:val="nil"/>
              <w:left w:val="nil"/>
              <w:bottom w:val="nil"/>
              <w:right w:val="nil"/>
            </w:tcBorders>
            <w:shd w:val="clear" w:color="auto" w:fill="auto"/>
            <w:noWrap/>
            <w:vAlign w:val="bottom"/>
            <w:hideMark/>
          </w:tcPr>
          <w:p w14:paraId="7D33738F"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145.121,61</w:t>
            </w:r>
          </w:p>
        </w:tc>
        <w:tc>
          <w:tcPr>
            <w:tcW w:w="1740" w:type="dxa"/>
            <w:tcBorders>
              <w:top w:val="nil"/>
              <w:left w:val="nil"/>
              <w:bottom w:val="nil"/>
              <w:right w:val="nil"/>
            </w:tcBorders>
            <w:shd w:val="clear" w:color="auto" w:fill="auto"/>
            <w:noWrap/>
            <w:vAlign w:val="bottom"/>
            <w:hideMark/>
          </w:tcPr>
          <w:p w14:paraId="39E52A23"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278E5DDA"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147.644,56</w:t>
            </w:r>
          </w:p>
        </w:tc>
        <w:tc>
          <w:tcPr>
            <w:tcW w:w="1320" w:type="dxa"/>
            <w:tcBorders>
              <w:top w:val="nil"/>
              <w:left w:val="nil"/>
              <w:bottom w:val="nil"/>
              <w:right w:val="nil"/>
            </w:tcBorders>
            <w:shd w:val="clear" w:color="auto" w:fill="auto"/>
            <w:noWrap/>
            <w:vAlign w:val="bottom"/>
            <w:hideMark/>
          </w:tcPr>
          <w:p w14:paraId="1BB34592"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101,74%</w:t>
            </w:r>
          </w:p>
        </w:tc>
        <w:tc>
          <w:tcPr>
            <w:tcW w:w="1280" w:type="dxa"/>
            <w:tcBorders>
              <w:top w:val="nil"/>
              <w:left w:val="nil"/>
              <w:bottom w:val="nil"/>
              <w:right w:val="nil"/>
            </w:tcBorders>
            <w:shd w:val="clear" w:color="auto" w:fill="auto"/>
            <w:noWrap/>
            <w:vAlign w:val="bottom"/>
            <w:hideMark/>
          </w:tcPr>
          <w:p w14:paraId="4780AF8E"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39216538" w14:textId="77777777" w:rsidTr="00D53FB4">
        <w:trPr>
          <w:trHeight w:val="255"/>
        </w:trPr>
        <w:tc>
          <w:tcPr>
            <w:tcW w:w="7655" w:type="dxa"/>
            <w:tcBorders>
              <w:top w:val="nil"/>
              <w:left w:val="nil"/>
              <w:bottom w:val="nil"/>
              <w:right w:val="nil"/>
            </w:tcBorders>
            <w:shd w:val="clear" w:color="auto" w:fill="auto"/>
            <w:noWrap/>
            <w:vAlign w:val="bottom"/>
            <w:hideMark/>
          </w:tcPr>
          <w:p w14:paraId="3E6062DD"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324 Naknade troškova osobama izvan radnog odnosa                                                        </w:t>
            </w:r>
          </w:p>
        </w:tc>
        <w:tc>
          <w:tcPr>
            <w:tcW w:w="1384" w:type="dxa"/>
            <w:tcBorders>
              <w:top w:val="nil"/>
              <w:left w:val="nil"/>
              <w:bottom w:val="nil"/>
              <w:right w:val="nil"/>
            </w:tcBorders>
            <w:shd w:val="clear" w:color="auto" w:fill="auto"/>
            <w:noWrap/>
            <w:vAlign w:val="bottom"/>
            <w:hideMark/>
          </w:tcPr>
          <w:p w14:paraId="12BD925A"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1.629,36</w:t>
            </w:r>
          </w:p>
        </w:tc>
        <w:tc>
          <w:tcPr>
            <w:tcW w:w="1740" w:type="dxa"/>
            <w:tcBorders>
              <w:top w:val="nil"/>
              <w:left w:val="nil"/>
              <w:bottom w:val="nil"/>
              <w:right w:val="nil"/>
            </w:tcBorders>
            <w:shd w:val="clear" w:color="auto" w:fill="auto"/>
            <w:noWrap/>
            <w:vAlign w:val="bottom"/>
            <w:hideMark/>
          </w:tcPr>
          <w:p w14:paraId="0DA446EA"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724125AB"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244,62</w:t>
            </w:r>
          </w:p>
        </w:tc>
        <w:tc>
          <w:tcPr>
            <w:tcW w:w="1320" w:type="dxa"/>
            <w:tcBorders>
              <w:top w:val="nil"/>
              <w:left w:val="nil"/>
              <w:bottom w:val="nil"/>
              <w:right w:val="nil"/>
            </w:tcBorders>
            <w:shd w:val="clear" w:color="auto" w:fill="auto"/>
            <w:noWrap/>
            <w:vAlign w:val="bottom"/>
            <w:hideMark/>
          </w:tcPr>
          <w:p w14:paraId="484F06D5"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15,01%</w:t>
            </w:r>
          </w:p>
        </w:tc>
        <w:tc>
          <w:tcPr>
            <w:tcW w:w="1280" w:type="dxa"/>
            <w:tcBorders>
              <w:top w:val="nil"/>
              <w:left w:val="nil"/>
              <w:bottom w:val="nil"/>
              <w:right w:val="nil"/>
            </w:tcBorders>
            <w:shd w:val="clear" w:color="auto" w:fill="auto"/>
            <w:noWrap/>
            <w:vAlign w:val="bottom"/>
            <w:hideMark/>
          </w:tcPr>
          <w:p w14:paraId="1AC60102"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264975A6" w14:textId="77777777" w:rsidTr="00D53FB4">
        <w:trPr>
          <w:trHeight w:val="255"/>
        </w:trPr>
        <w:tc>
          <w:tcPr>
            <w:tcW w:w="7655" w:type="dxa"/>
            <w:tcBorders>
              <w:top w:val="nil"/>
              <w:left w:val="nil"/>
              <w:bottom w:val="nil"/>
              <w:right w:val="nil"/>
            </w:tcBorders>
            <w:shd w:val="clear" w:color="auto" w:fill="auto"/>
            <w:noWrap/>
            <w:vAlign w:val="bottom"/>
            <w:hideMark/>
          </w:tcPr>
          <w:p w14:paraId="5134F7B9"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3241 Naknade troškova osobama izvan radnog odnosa                                                        </w:t>
            </w:r>
          </w:p>
        </w:tc>
        <w:tc>
          <w:tcPr>
            <w:tcW w:w="1384" w:type="dxa"/>
            <w:tcBorders>
              <w:top w:val="nil"/>
              <w:left w:val="nil"/>
              <w:bottom w:val="nil"/>
              <w:right w:val="nil"/>
            </w:tcBorders>
            <w:shd w:val="clear" w:color="auto" w:fill="auto"/>
            <w:noWrap/>
            <w:vAlign w:val="bottom"/>
            <w:hideMark/>
          </w:tcPr>
          <w:p w14:paraId="78106100"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1.629,36</w:t>
            </w:r>
          </w:p>
        </w:tc>
        <w:tc>
          <w:tcPr>
            <w:tcW w:w="1740" w:type="dxa"/>
            <w:tcBorders>
              <w:top w:val="nil"/>
              <w:left w:val="nil"/>
              <w:bottom w:val="nil"/>
              <w:right w:val="nil"/>
            </w:tcBorders>
            <w:shd w:val="clear" w:color="auto" w:fill="auto"/>
            <w:noWrap/>
            <w:vAlign w:val="bottom"/>
            <w:hideMark/>
          </w:tcPr>
          <w:p w14:paraId="27663350"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16CB56B6"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244,62</w:t>
            </w:r>
          </w:p>
        </w:tc>
        <w:tc>
          <w:tcPr>
            <w:tcW w:w="1320" w:type="dxa"/>
            <w:tcBorders>
              <w:top w:val="nil"/>
              <w:left w:val="nil"/>
              <w:bottom w:val="nil"/>
              <w:right w:val="nil"/>
            </w:tcBorders>
            <w:shd w:val="clear" w:color="auto" w:fill="auto"/>
            <w:noWrap/>
            <w:vAlign w:val="bottom"/>
            <w:hideMark/>
          </w:tcPr>
          <w:p w14:paraId="11CA4502"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15,01%</w:t>
            </w:r>
          </w:p>
        </w:tc>
        <w:tc>
          <w:tcPr>
            <w:tcW w:w="1280" w:type="dxa"/>
            <w:tcBorders>
              <w:top w:val="nil"/>
              <w:left w:val="nil"/>
              <w:bottom w:val="nil"/>
              <w:right w:val="nil"/>
            </w:tcBorders>
            <w:shd w:val="clear" w:color="auto" w:fill="auto"/>
            <w:noWrap/>
            <w:vAlign w:val="bottom"/>
            <w:hideMark/>
          </w:tcPr>
          <w:p w14:paraId="17C61CBE"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7C5761BA" w14:textId="77777777" w:rsidTr="00D53FB4">
        <w:trPr>
          <w:trHeight w:val="255"/>
        </w:trPr>
        <w:tc>
          <w:tcPr>
            <w:tcW w:w="7655" w:type="dxa"/>
            <w:tcBorders>
              <w:top w:val="nil"/>
              <w:left w:val="nil"/>
              <w:bottom w:val="nil"/>
              <w:right w:val="nil"/>
            </w:tcBorders>
            <w:shd w:val="clear" w:color="auto" w:fill="auto"/>
            <w:noWrap/>
            <w:vAlign w:val="bottom"/>
            <w:hideMark/>
          </w:tcPr>
          <w:p w14:paraId="6B3325DD"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lastRenderedPageBreak/>
              <w:t xml:space="preserve">329 Ostali nespomenuti rashodi poslovanja                                                               </w:t>
            </w:r>
          </w:p>
        </w:tc>
        <w:tc>
          <w:tcPr>
            <w:tcW w:w="1384" w:type="dxa"/>
            <w:tcBorders>
              <w:top w:val="nil"/>
              <w:left w:val="nil"/>
              <w:bottom w:val="nil"/>
              <w:right w:val="nil"/>
            </w:tcBorders>
            <w:shd w:val="clear" w:color="auto" w:fill="auto"/>
            <w:noWrap/>
            <w:vAlign w:val="bottom"/>
            <w:hideMark/>
          </w:tcPr>
          <w:p w14:paraId="244070D8"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145.530,68</w:t>
            </w:r>
          </w:p>
        </w:tc>
        <w:tc>
          <w:tcPr>
            <w:tcW w:w="1740" w:type="dxa"/>
            <w:tcBorders>
              <w:top w:val="nil"/>
              <w:left w:val="nil"/>
              <w:bottom w:val="nil"/>
              <w:right w:val="nil"/>
            </w:tcBorders>
            <w:shd w:val="clear" w:color="auto" w:fill="auto"/>
            <w:noWrap/>
            <w:vAlign w:val="bottom"/>
            <w:hideMark/>
          </w:tcPr>
          <w:p w14:paraId="5735D520"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473E117A"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167.462,75</w:t>
            </w:r>
          </w:p>
        </w:tc>
        <w:tc>
          <w:tcPr>
            <w:tcW w:w="1320" w:type="dxa"/>
            <w:tcBorders>
              <w:top w:val="nil"/>
              <w:left w:val="nil"/>
              <w:bottom w:val="nil"/>
              <w:right w:val="nil"/>
            </w:tcBorders>
            <w:shd w:val="clear" w:color="auto" w:fill="auto"/>
            <w:noWrap/>
            <w:vAlign w:val="bottom"/>
            <w:hideMark/>
          </w:tcPr>
          <w:p w14:paraId="333161E4"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115,07%</w:t>
            </w:r>
          </w:p>
        </w:tc>
        <w:tc>
          <w:tcPr>
            <w:tcW w:w="1280" w:type="dxa"/>
            <w:tcBorders>
              <w:top w:val="nil"/>
              <w:left w:val="nil"/>
              <w:bottom w:val="nil"/>
              <w:right w:val="nil"/>
            </w:tcBorders>
            <w:shd w:val="clear" w:color="auto" w:fill="auto"/>
            <w:noWrap/>
            <w:vAlign w:val="bottom"/>
            <w:hideMark/>
          </w:tcPr>
          <w:p w14:paraId="0885493D"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7027885C" w14:textId="77777777" w:rsidTr="00D53FB4">
        <w:trPr>
          <w:trHeight w:val="255"/>
        </w:trPr>
        <w:tc>
          <w:tcPr>
            <w:tcW w:w="7655" w:type="dxa"/>
            <w:tcBorders>
              <w:top w:val="nil"/>
              <w:left w:val="nil"/>
              <w:bottom w:val="nil"/>
              <w:right w:val="nil"/>
            </w:tcBorders>
            <w:shd w:val="clear" w:color="auto" w:fill="auto"/>
            <w:noWrap/>
            <w:vAlign w:val="bottom"/>
            <w:hideMark/>
          </w:tcPr>
          <w:p w14:paraId="3F4D2218"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3291 Naknade za rad predstavničkih i izvršnih tijela, povjerenstava i slično                             </w:t>
            </w:r>
          </w:p>
        </w:tc>
        <w:tc>
          <w:tcPr>
            <w:tcW w:w="1384" w:type="dxa"/>
            <w:tcBorders>
              <w:top w:val="nil"/>
              <w:left w:val="nil"/>
              <w:bottom w:val="nil"/>
              <w:right w:val="nil"/>
            </w:tcBorders>
            <w:shd w:val="clear" w:color="auto" w:fill="auto"/>
            <w:noWrap/>
            <w:vAlign w:val="bottom"/>
            <w:hideMark/>
          </w:tcPr>
          <w:p w14:paraId="0D21C093"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24.516,18</w:t>
            </w:r>
          </w:p>
        </w:tc>
        <w:tc>
          <w:tcPr>
            <w:tcW w:w="1740" w:type="dxa"/>
            <w:tcBorders>
              <w:top w:val="nil"/>
              <w:left w:val="nil"/>
              <w:bottom w:val="nil"/>
              <w:right w:val="nil"/>
            </w:tcBorders>
            <w:shd w:val="clear" w:color="auto" w:fill="auto"/>
            <w:noWrap/>
            <w:vAlign w:val="bottom"/>
            <w:hideMark/>
          </w:tcPr>
          <w:p w14:paraId="62E57050"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17128DA6"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69.128,48</w:t>
            </w:r>
          </w:p>
        </w:tc>
        <w:tc>
          <w:tcPr>
            <w:tcW w:w="1320" w:type="dxa"/>
            <w:tcBorders>
              <w:top w:val="nil"/>
              <w:left w:val="nil"/>
              <w:bottom w:val="nil"/>
              <w:right w:val="nil"/>
            </w:tcBorders>
            <w:shd w:val="clear" w:color="auto" w:fill="auto"/>
            <w:noWrap/>
            <w:vAlign w:val="bottom"/>
            <w:hideMark/>
          </w:tcPr>
          <w:p w14:paraId="3DD0D1F3"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281,97%</w:t>
            </w:r>
          </w:p>
        </w:tc>
        <w:tc>
          <w:tcPr>
            <w:tcW w:w="1280" w:type="dxa"/>
            <w:tcBorders>
              <w:top w:val="nil"/>
              <w:left w:val="nil"/>
              <w:bottom w:val="nil"/>
              <w:right w:val="nil"/>
            </w:tcBorders>
            <w:shd w:val="clear" w:color="auto" w:fill="auto"/>
            <w:noWrap/>
            <w:vAlign w:val="bottom"/>
            <w:hideMark/>
          </w:tcPr>
          <w:p w14:paraId="0F133D68"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33E5720B" w14:textId="77777777" w:rsidTr="00D53FB4">
        <w:trPr>
          <w:trHeight w:val="255"/>
        </w:trPr>
        <w:tc>
          <w:tcPr>
            <w:tcW w:w="7655" w:type="dxa"/>
            <w:tcBorders>
              <w:top w:val="nil"/>
              <w:left w:val="nil"/>
              <w:bottom w:val="nil"/>
              <w:right w:val="nil"/>
            </w:tcBorders>
            <w:shd w:val="clear" w:color="auto" w:fill="auto"/>
            <w:noWrap/>
            <w:vAlign w:val="bottom"/>
            <w:hideMark/>
          </w:tcPr>
          <w:p w14:paraId="37A71980"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3292 Premije osiguranja                                                                                  </w:t>
            </w:r>
          </w:p>
        </w:tc>
        <w:tc>
          <w:tcPr>
            <w:tcW w:w="1384" w:type="dxa"/>
            <w:tcBorders>
              <w:top w:val="nil"/>
              <w:left w:val="nil"/>
              <w:bottom w:val="nil"/>
              <w:right w:val="nil"/>
            </w:tcBorders>
            <w:shd w:val="clear" w:color="auto" w:fill="auto"/>
            <w:noWrap/>
            <w:vAlign w:val="bottom"/>
            <w:hideMark/>
          </w:tcPr>
          <w:p w14:paraId="208A0284"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20.606,21</w:t>
            </w:r>
          </w:p>
        </w:tc>
        <w:tc>
          <w:tcPr>
            <w:tcW w:w="1740" w:type="dxa"/>
            <w:tcBorders>
              <w:top w:val="nil"/>
              <w:left w:val="nil"/>
              <w:bottom w:val="nil"/>
              <w:right w:val="nil"/>
            </w:tcBorders>
            <w:shd w:val="clear" w:color="auto" w:fill="auto"/>
            <w:noWrap/>
            <w:vAlign w:val="bottom"/>
            <w:hideMark/>
          </w:tcPr>
          <w:p w14:paraId="698F5293"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3A5FBC53"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20.688,15</w:t>
            </w:r>
          </w:p>
        </w:tc>
        <w:tc>
          <w:tcPr>
            <w:tcW w:w="1320" w:type="dxa"/>
            <w:tcBorders>
              <w:top w:val="nil"/>
              <w:left w:val="nil"/>
              <w:bottom w:val="nil"/>
              <w:right w:val="nil"/>
            </w:tcBorders>
            <w:shd w:val="clear" w:color="auto" w:fill="auto"/>
            <w:noWrap/>
            <w:vAlign w:val="bottom"/>
            <w:hideMark/>
          </w:tcPr>
          <w:p w14:paraId="05C89DB6"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100,40%</w:t>
            </w:r>
          </w:p>
        </w:tc>
        <w:tc>
          <w:tcPr>
            <w:tcW w:w="1280" w:type="dxa"/>
            <w:tcBorders>
              <w:top w:val="nil"/>
              <w:left w:val="nil"/>
              <w:bottom w:val="nil"/>
              <w:right w:val="nil"/>
            </w:tcBorders>
            <w:shd w:val="clear" w:color="auto" w:fill="auto"/>
            <w:noWrap/>
            <w:vAlign w:val="bottom"/>
            <w:hideMark/>
          </w:tcPr>
          <w:p w14:paraId="7C57159F"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05F7A6AC" w14:textId="77777777" w:rsidTr="00D53FB4">
        <w:trPr>
          <w:trHeight w:val="255"/>
        </w:trPr>
        <w:tc>
          <w:tcPr>
            <w:tcW w:w="7655" w:type="dxa"/>
            <w:tcBorders>
              <w:top w:val="nil"/>
              <w:left w:val="nil"/>
              <w:bottom w:val="nil"/>
              <w:right w:val="nil"/>
            </w:tcBorders>
            <w:shd w:val="clear" w:color="auto" w:fill="auto"/>
            <w:noWrap/>
            <w:vAlign w:val="bottom"/>
            <w:hideMark/>
          </w:tcPr>
          <w:p w14:paraId="0454DE73"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3293 Reprezentacija                                                                                      </w:t>
            </w:r>
          </w:p>
        </w:tc>
        <w:tc>
          <w:tcPr>
            <w:tcW w:w="1384" w:type="dxa"/>
            <w:tcBorders>
              <w:top w:val="nil"/>
              <w:left w:val="nil"/>
              <w:bottom w:val="nil"/>
              <w:right w:val="nil"/>
            </w:tcBorders>
            <w:shd w:val="clear" w:color="auto" w:fill="auto"/>
            <w:noWrap/>
            <w:vAlign w:val="bottom"/>
            <w:hideMark/>
          </w:tcPr>
          <w:p w14:paraId="46E69C12"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32.131,62</w:t>
            </w:r>
          </w:p>
        </w:tc>
        <w:tc>
          <w:tcPr>
            <w:tcW w:w="1740" w:type="dxa"/>
            <w:tcBorders>
              <w:top w:val="nil"/>
              <w:left w:val="nil"/>
              <w:bottom w:val="nil"/>
              <w:right w:val="nil"/>
            </w:tcBorders>
            <w:shd w:val="clear" w:color="auto" w:fill="auto"/>
            <w:noWrap/>
            <w:vAlign w:val="bottom"/>
            <w:hideMark/>
          </w:tcPr>
          <w:p w14:paraId="17FE4485"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10975DF6"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34.676,01</w:t>
            </w:r>
          </w:p>
        </w:tc>
        <w:tc>
          <w:tcPr>
            <w:tcW w:w="1320" w:type="dxa"/>
            <w:tcBorders>
              <w:top w:val="nil"/>
              <w:left w:val="nil"/>
              <w:bottom w:val="nil"/>
              <w:right w:val="nil"/>
            </w:tcBorders>
            <w:shd w:val="clear" w:color="auto" w:fill="auto"/>
            <w:noWrap/>
            <w:vAlign w:val="bottom"/>
            <w:hideMark/>
          </w:tcPr>
          <w:p w14:paraId="19FC7053"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107,92%</w:t>
            </w:r>
          </w:p>
        </w:tc>
        <w:tc>
          <w:tcPr>
            <w:tcW w:w="1280" w:type="dxa"/>
            <w:tcBorders>
              <w:top w:val="nil"/>
              <w:left w:val="nil"/>
              <w:bottom w:val="nil"/>
              <w:right w:val="nil"/>
            </w:tcBorders>
            <w:shd w:val="clear" w:color="auto" w:fill="auto"/>
            <w:noWrap/>
            <w:vAlign w:val="bottom"/>
            <w:hideMark/>
          </w:tcPr>
          <w:p w14:paraId="046DDE59"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7DD07BA8" w14:textId="77777777" w:rsidTr="00D53FB4">
        <w:trPr>
          <w:trHeight w:val="255"/>
        </w:trPr>
        <w:tc>
          <w:tcPr>
            <w:tcW w:w="7655" w:type="dxa"/>
            <w:tcBorders>
              <w:top w:val="nil"/>
              <w:left w:val="nil"/>
              <w:bottom w:val="nil"/>
              <w:right w:val="nil"/>
            </w:tcBorders>
            <w:shd w:val="clear" w:color="auto" w:fill="auto"/>
            <w:noWrap/>
            <w:vAlign w:val="bottom"/>
            <w:hideMark/>
          </w:tcPr>
          <w:p w14:paraId="08C1B9A7"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3294 Članarine</w:t>
            </w:r>
          </w:p>
        </w:tc>
        <w:tc>
          <w:tcPr>
            <w:tcW w:w="1384" w:type="dxa"/>
            <w:tcBorders>
              <w:top w:val="nil"/>
              <w:left w:val="nil"/>
              <w:bottom w:val="nil"/>
              <w:right w:val="nil"/>
            </w:tcBorders>
            <w:shd w:val="clear" w:color="auto" w:fill="auto"/>
            <w:noWrap/>
            <w:vAlign w:val="bottom"/>
            <w:hideMark/>
          </w:tcPr>
          <w:p w14:paraId="0AFBF2BE"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6.077,26</w:t>
            </w:r>
          </w:p>
        </w:tc>
        <w:tc>
          <w:tcPr>
            <w:tcW w:w="1740" w:type="dxa"/>
            <w:tcBorders>
              <w:top w:val="nil"/>
              <w:left w:val="nil"/>
              <w:bottom w:val="nil"/>
              <w:right w:val="nil"/>
            </w:tcBorders>
            <w:shd w:val="clear" w:color="auto" w:fill="auto"/>
            <w:noWrap/>
            <w:vAlign w:val="bottom"/>
            <w:hideMark/>
          </w:tcPr>
          <w:p w14:paraId="7E9C29E7"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48007CAD"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5.673,66</w:t>
            </w:r>
          </w:p>
        </w:tc>
        <w:tc>
          <w:tcPr>
            <w:tcW w:w="1320" w:type="dxa"/>
            <w:tcBorders>
              <w:top w:val="nil"/>
              <w:left w:val="nil"/>
              <w:bottom w:val="nil"/>
              <w:right w:val="nil"/>
            </w:tcBorders>
            <w:shd w:val="clear" w:color="auto" w:fill="auto"/>
            <w:noWrap/>
            <w:vAlign w:val="bottom"/>
            <w:hideMark/>
          </w:tcPr>
          <w:p w14:paraId="55BBD921"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93,36%</w:t>
            </w:r>
          </w:p>
        </w:tc>
        <w:tc>
          <w:tcPr>
            <w:tcW w:w="1280" w:type="dxa"/>
            <w:tcBorders>
              <w:top w:val="nil"/>
              <w:left w:val="nil"/>
              <w:bottom w:val="nil"/>
              <w:right w:val="nil"/>
            </w:tcBorders>
            <w:shd w:val="clear" w:color="auto" w:fill="auto"/>
            <w:noWrap/>
            <w:vAlign w:val="bottom"/>
            <w:hideMark/>
          </w:tcPr>
          <w:p w14:paraId="2285B07D"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6E1FEB4F" w14:textId="77777777" w:rsidTr="00D53FB4">
        <w:trPr>
          <w:trHeight w:val="255"/>
        </w:trPr>
        <w:tc>
          <w:tcPr>
            <w:tcW w:w="7655" w:type="dxa"/>
            <w:tcBorders>
              <w:top w:val="nil"/>
              <w:left w:val="nil"/>
              <w:bottom w:val="nil"/>
              <w:right w:val="nil"/>
            </w:tcBorders>
            <w:shd w:val="clear" w:color="auto" w:fill="auto"/>
            <w:noWrap/>
            <w:vAlign w:val="bottom"/>
            <w:hideMark/>
          </w:tcPr>
          <w:p w14:paraId="4224CA7A"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3295 Pristojbe i naknade                                                                                 </w:t>
            </w:r>
          </w:p>
        </w:tc>
        <w:tc>
          <w:tcPr>
            <w:tcW w:w="1384" w:type="dxa"/>
            <w:tcBorders>
              <w:top w:val="nil"/>
              <w:left w:val="nil"/>
              <w:bottom w:val="nil"/>
              <w:right w:val="nil"/>
            </w:tcBorders>
            <w:shd w:val="clear" w:color="auto" w:fill="auto"/>
            <w:noWrap/>
            <w:vAlign w:val="bottom"/>
            <w:hideMark/>
          </w:tcPr>
          <w:p w14:paraId="18787A46"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43.665,93</w:t>
            </w:r>
          </w:p>
        </w:tc>
        <w:tc>
          <w:tcPr>
            <w:tcW w:w="1740" w:type="dxa"/>
            <w:tcBorders>
              <w:top w:val="nil"/>
              <w:left w:val="nil"/>
              <w:bottom w:val="nil"/>
              <w:right w:val="nil"/>
            </w:tcBorders>
            <w:shd w:val="clear" w:color="auto" w:fill="auto"/>
            <w:noWrap/>
            <w:vAlign w:val="bottom"/>
            <w:hideMark/>
          </w:tcPr>
          <w:p w14:paraId="60F77BA3"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114EFC80"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23.879,65</w:t>
            </w:r>
          </w:p>
        </w:tc>
        <w:tc>
          <w:tcPr>
            <w:tcW w:w="1320" w:type="dxa"/>
            <w:tcBorders>
              <w:top w:val="nil"/>
              <w:left w:val="nil"/>
              <w:bottom w:val="nil"/>
              <w:right w:val="nil"/>
            </w:tcBorders>
            <w:shd w:val="clear" w:color="auto" w:fill="auto"/>
            <w:noWrap/>
            <w:vAlign w:val="bottom"/>
            <w:hideMark/>
          </w:tcPr>
          <w:p w14:paraId="1E397DA3"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54,69%</w:t>
            </w:r>
          </w:p>
        </w:tc>
        <w:tc>
          <w:tcPr>
            <w:tcW w:w="1280" w:type="dxa"/>
            <w:tcBorders>
              <w:top w:val="nil"/>
              <w:left w:val="nil"/>
              <w:bottom w:val="nil"/>
              <w:right w:val="nil"/>
            </w:tcBorders>
            <w:shd w:val="clear" w:color="auto" w:fill="auto"/>
            <w:noWrap/>
            <w:vAlign w:val="bottom"/>
            <w:hideMark/>
          </w:tcPr>
          <w:p w14:paraId="1E95A677"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778BAA03" w14:textId="77777777" w:rsidTr="00D53FB4">
        <w:trPr>
          <w:trHeight w:val="255"/>
        </w:trPr>
        <w:tc>
          <w:tcPr>
            <w:tcW w:w="7655" w:type="dxa"/>
            <w:tcBorders>
              <w:top w:val="nil"/>
              <w:left w:val="nil"/>
              <w:bottom w:val="nil"/>
              <w:right w:val="nil"/>
            </w:tcBorders>
            <w:shd w:val="clear" w:color="auto" w:fill="auto"/>
            <w:noWrap/>
            <w:vAlign w:val="bottom"/>
            <w:hideMark/>
          </w:tcPr>
          <w:p w14:paraId="59932BDC"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3296 Troškovi sudskih postupaka</w:t>
            </w:r>
          </w:p>
        </w:tc>
        <w:tc>
          <w:tcPr>
            <w:tcW w:w="1384" w:type="dxa"/>
            <w:tcBorders>
              <w:top w:val="nil"/>
              <w:left w:val="nil"/>
              <w:bottom w:val="nil"/>
              <w:right w:val="nil"/>
            </w:tcBorders>
            <w:shd w:val="clear" w:color="auto" w:fill="auto"/>
            <w:noWrap/>
            <w:vAlign w:val="bottom"/>
            <w:hideMark/>
          </w:tcPr>
          <w:p w14:paraId="7E0681FE"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5.659,19</w:t>
            </w:r>
          </w:p>
        </w:tc>
        <w:tc>
          <w:tcPr>
            <w:tcW w:w="1740" w:type="dxa"/>
            <w:tcBorders>
              <w:top w:val="nil"/>
              <w:left w:val="nil"/>
              <w:bottom w:val="nil"/>
              <w:right w:val="nil"/>
            </w:tcBorders>
            <w:shd w:val="clear" w:color="auto" w:fill="auto"/>
            <w:noWrap/>
            <w:vAlign w:val="bottom"/>
            <w:hideMark/>
          </w:tcPr>
          <w:p w14:paraId="5AB5DCC4"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0DE32FD6"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1.211,85</w:t>
            </w:r>
          </w:p>
        </w:tc>
        <w:tc>
          <w:tcPr>
            <w:tcW w:w="1320" w:type="dxa"/>
            <w:tcBorders>
              <w:top w:val="nil"/>
              <w:left w:val="nil"/>
              <w:bottom w:val="nil"/>
              <w:right w:val="nil"/>
            </w:tcBorders>
            <w:shd w:val="clear" w:color="auto" w:fill="auto"/>
            <w:noWrap/>
            <w:vAlign w:val="bottom"/>
            <w:hideMark/>
          </w:tcPr>
          <w:p w14:paraId="5FAED60B"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21,41%</w:t>
            </w:r>
          </w:p>
        </w:tc>
        <w:tc>
          <w:tcPr>
            <w:tcW w:w="1280" w:type="dxa"/>
            <w:tcBorders>
              <w:top w:val="nil"/>
              <w:left w:val="nil"/>
              <w:bottom w:val="nil"/>
              <w:right w:val="nil"/>
            </w:tcBorders>
            <w:shd w:val="clear" w:color="auto" w:fill="auto"/>
            <w:noWrap/>
            <w:vAlign w:val="bottom"/>
            <w:hideMark/>
          </w:tcPr>
          <w:p w14:paraId="515651C4"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5BC74123" w14:textId="77777777" w:rsidTr="00D53FB4">
        <w:trPr>
          <w:trHeight w:val="255"/>
        </w:trPr>
        <w:tc>
          <w:tcPr>
            <w:tcW w:w="7655" w:type="dxa"/>
            <w:tcBorders>
              <w:top w:val="nil"/>
              <w:left w:val="nil"/>
              <w:bottom w:val="nil"/>
              <w:right w:val="nil"/>
            </w:tcBorders>
            <w:shd w:val="clear" w:color="auto" w:fill="auto"/>
            <w:noWrap/>
            <w:vAlign w:val="bottom"/>
            <w:hideMark/>
          </w:tcPr>
          <w:p w14:paraId="44061ED0"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3299 Ostali nespomenuti rashodi poslovanja                                                               </w:t>
            </w:r>
          </w:p>
        </w:tc>
        <w:tc>
          <w:tcPr>
            <w:tcW w:w="1384" w:type="dxa"/>
            <w:tcBorders>
              <w:top w:val="nil"/>
              <w:left w:val="nil"/>
              <w:bottom w:val="nil"/>
              <w:right w:val="nil"/>
            </w:tcBorders>
            <w:shd w:val="clear" w:color="auto" w:fill="auto"/>
            <w:noWrap/>
            <w:vAlign w:val="bottom"/>
            <w:hideMark/>
          </w:tcPr>
          <w:p w14:paraId="39D8F6CB"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12.874,29</w:t>
            </w:r>
          </w:p>
        </w:tc>
        <w:tc>
          <w:tcPr>
            <w:tcW w:w="1740" w:type="dxa"/>
            <w:tcBorders>
              <w:top w:val="nil"/>
              <w:left w:val="nil"/>
              <w:bottom w:val="nil"/>
              <w:right w:val="nil"/>
            </w:tcBorders>
            <w:shd w:val="clear" w:color="auto" w:fill="auto"/>
            <w:noWrap/>
            <w:vAlign w:val="bottom"/>
            <w:hideMark/>
          </w:tcPr>
          <w:p w14:paraId="53808C6E"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05984B21"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12.204,95</w:t>
            </w:r>
          </w:p>
        </w:tc>
        <w:tc>
          <w:tcPr>
            <w:tcW w:w="1320" w:type="dxa"/>
            <w:tcBorders>
              <w:top w:val="nil"/>
              <w:left w:val="nil"/>
              <w:bottom w:val="nil"/>
              <w:right w:val="nil"/>
            </w:tcBorders>
            <w:shd w:val="clear" w:color="auto" w:fill="auto"/>
            <w:noWrap/>
            <w:vAlign w:val="bottom"/>
            <w:hideMark/>
          </w:tcPr>
          <w:p w14:paraId="3E86EB6F"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94,80%</w:t>
            </w:r>
          </w:p>
        </w:tc>
        <w:tc>
          <w:tcPr>
            <w:tcW w:w="1280" w:type="dxa"/>
            <w:tcBorders>
              <w:top w:val="nil"/>
              <w:left w:val="nil"/>
              <w:bottom w:val="nil"/>
              <w:right w:val="nil"/>
            </w:tcBorders>
            <w:shd w:val="clear" w:color="auto" w:fill="auto"/>
            <w:noWrap/>
            <w:vAlign w:val="bottom"/>
            <w:hideMark/>
          </w:tcPr>
          <w:p w14:paraId="5902CEE0"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7DD8D2FE" w14:textId="77777777" w:rsidTr="00D53FB4">
        <w:trPr>
          <w:trHeight w:val="255"/>
        </w:trPr>
        <w:tc>
          <w:tcPr>
            <w:tcW w:w="7655" w:type="dxa"/>
            <w:tcBorders>
              <w:top w:val="nil"/>
              <w:left w:val="nil"/>
              <w:bottom w:val="nil"/>
              <w:right w:val="nil"/>
            </w:tcBorders>
            <w:shd w:val="clear" w:color="auto" w:fill="auto"/>
            <w:noWrap/>
            <w:vAlign w:val="bottom"/>
            <w:hideMark/>
          </w:tcPr>
          <w:p w14:paraId="061ACCC9" w14:textId="77777777" w:rsidR="00583CB4" w:rsidRPr="00583CB4" w:rsidRDefault="00583CB4" w:rsidP="00583CB4">
            <w:pPr>
              <w:spacing w:after="0" w:line="240" w:lineRule="auto"/>
              <w:rPr>
                <w:rFonts w:ascii="Arial" w:hAnsi="Arial" w:cs="Arial"/>
                <w:b/>
                <w:bCs/>
                <w:sz w:val="18"/>
                <w:szCs w:val="18"/>
                <w:lang w:eastAsia="hr-HR"/>
              </w:rPr>
            </w:pPr>
            <w:r w:rsidRPr="00583CB4">
              <w:rPr>
                <w:rFonts w:ascii="Arial" w:hAnsi="Arial" w:cs="Arial"/>
                <w:b/>
                <w:bCs/>
                <w:sz w:val="18"/>
                <w:szCs w:val="18"/>
                <w:lang w:eastAsia="hr-HR"/>
              </w:rPr>
              <w:t xml:space="preserve">34 Financijski rashodi                                                                                 </w:t>
            </w:r>
          </w:p>
        </w:tc>
        <w:tc>
          <w:tcPr>
            <w:tcW w:w="1384" w:type="dxa"/>
            <w:tcBorders>
              <w:top w:val="nil"/>
              <w:left w:val="nil"/>
              <w:bottom w:val="nil"/>
              <w:right w:val="nil"/>
            </w:tcBorders>
            <w:shd w:val="clear" w:color="auto" w:fill="auto"/>
            <w:noWrap/>
            <w:vAlign w:val="bottom"/>
            <w:hideMark/>
          </w:tcPr>
          <w:p w14:paraId="4D2EF22B"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8.945,63</w:t>
            </w:r>
          </w:p>
        </w:tc>
        <w:tc>
          <w:tcPr>
            <w:tcW w:w="1740" w:type="dxa"/>
            <w:tcBorders>
              <w:top w:val="nil"/>
              <w:left w:val="nil"/>
              <w:bottom w:val="nil"/>
              <w:right w:val="nil"/>
            </w:tcBorders>
            <w:shd w:val="clear" w:color="auto" w:fill="auto"/>
            <w:noWrap/>
            <w:vAlign w:val="bottom"/>
            <w:hideMark/>
          </w:tcPr>
          <w:p w14:paraId="1D0D2979"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19.840,00</w:t>
            </w:r>
          </w:p>
        </w:tc>
        <w:tc>
          <w:tcPr>
            <w:tcW w:w="1412" w:type="dxa"/>
            <w:tcBorders>
              <w:top w:val="nil"/>
              <w:left w:val="nil"/>
              <w:bottom w:val="nil"/>
              <w:right w:val="nil"/>
            </w:tcBorders>
            <w:shd w:val="clear" w:color="auto" w:fill="auto"/>
            <w:noWrap/>
            <w:vAlign w:val="bottom"/>
            <w:hideMark/>
          </w:tcPr>
          <w:p w14:paraId="1CFCD63C"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11.191,84</w:t>
            </w:r>
          </w:p>
        </w:tc>
        <w:tc>
          <w:tcPr>
            <w:tcW w:w="1320" w:type="dxa"/>
            <w:tcBorders>
              <w:top w:val="nil"/>
              <w:left w:val="nil"/>
              <w:bottom w:val="nil"/>
              <w:right w:val="nil"/>
            </w:tcBorders>
            <w:shd w:val="clear" w:color="auto" w:fill="auto"/>
            <w:noWrap/>
            <w:vAlign w:val="bottom"/>
            <w:hideMark/>
          </w:tcPr>
          <w:p w14:paraId="2AB37605"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125,11%</w:t>
            </w:r>
          </w:p>
        </w:tc>
        <w:tc>
          <w:tcPr>
            <w:tcW w:w="1280" w:type="dxa"/>
            <w:tcBorders>
              <w:top w:val="nil"/>
              <w:left w:val="nil"/>
              <w:bottom w:val="nil"/>
              <w:right w:val="nil"/>
            </w:tcBorders>
            <w:shd w:val="clear" w:color="auto" w:fill="auto"/>
            <w:noWrap/>
            <w:vAlign w:val="bottom"/>
            <w:hideMark/>
          </w:tcPr>
          <w:p w14:paraId="41C35676"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56,41%</w:t>
            </w:r>
          </w:p>
        </w:tc>
      </w:tr>
      <w:tr w:rsidR="00583CB4" w:rsidRPr="00583CB4" w14:paraId="04E5D0B6" w14:textId="77777777" w:rsidTr="00D53FB4">
        <w:trPr>
          <w:trHeight w:val="255"/>
        </w:trPr>
        <w:tc>
          <w:tcPr>
            <w:tcW w:w="7655" w:type="dxa"/>
            <w:tcBorders>
              <w:top w:val="nil"/>
              <w:left w:val="nil"/>
              <w:bottom w:val="nil"/>
              <w:right w:val="nil"/>
            </w:tcBorders>
            <w:shd w:val="clear" w:color="auto" w:fill="auto"/>
            <w:noWrap/>
            <w:vAlign w:val="bottom"/>
            <w:hideMark/>
          </w:tcPr>
          <w:p w14:paraId="02234A38"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343 Ostali financijski rashodi                                                                          </w:t>
            </w:r>
          </w:p>
        </w:tc>
        <w:tc>
          <w:tcPr>
            <w:tcW w:w="1384" w:type="dxa"/>
            <w:tcBorders>
              <w:top w:val="nil"/>
              <w:left w:val="nil"/>
              <w:bottom w:val="nil"/>
              <w:right w:val="nil"/>
            </w:tcBorders>
            <w:shd w:val="clear" w:color="auto" w:fill="auto"/>
            <w:noWrap/>
            <w:vAlign w:val="bottom"/>
            <w:hideMark/>
          </w:tcPr>
          <w:p w14:paraId="1EE30835"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8.945,63</w:t>
            </w:r>
          </w:p>
        </w:tc>
        <w:tc>
          <w:tcPr>
            <w:tcW w:w="1740" w:type="dxa"/>
            <w:tcBorders>
              <w:top w:val="nil"/>
              <w:left w:val="nil"/>
              <w:bottom w:val="nil"/>
              <w:right w:val="nil"/>
            </w:tcBorders>
            <w:shd w:val="clear" w:color="auto" w:fill="auto"/>
            <w:noWrap/>
            <w:vAlign w:val="bottom"/>
            <w:hideMark/>
          </w:tcPr>
          <w:p w14:paraId="06BEA623"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5AF83EC4"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11.191,84</w:t>
            </w:r>
          </w:p>
        </w:tc>
        <w:tc>
          <w:tcPr>
            <w:tcW w:w="1320" w:type="dxa"/>
            <w:tcBorders>
              <w:top w:val="nil"/>
              <w:left w:val="nil"/>
              <w:bottom w:val="nil"/>
              <w:right w:val="nil"/>
            </w:tcBorders>
            <w:shd w:val="clear" w:color="auto" w:fill="auto"/>
            <w:noWrap/>
            <w:vAlign w:val="bottom"/>
            <w:hideMark/>
          </w:tcPr>
          <w:p w14:paraId="008CCBEF"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125,11%</w:t>
            </w:r>
          </w:p>
        </w:tc>
        <w:tc>
          <w:tcPr>
            <w:tcW w:w="1280" w:type="dxa"/>
            <w:tcBorders>
              <w:top w:val="nil"/>
              <w:left w:val="nil"/>
              <w:bottom w:val="nil"/>
              <w:right w:val="nil"/>
            </w:tcBorders>
            <w:shd w:val="clear" w:color="auto" w:fill="auto"/>
            <w:noWrap/>
            <w:vAlign w:val="bottom"/>
            <w:hideMark/>
          </w:tcPr>
          <w:p w14:paraId="3478446D"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638F0194" w14:textId="77777777" w:rsidTr="00D53FB4">
        <w:trPr>
          <w:trHeight w:val="255"/>
        </w:trPr>
        <w:tc>
          <w:tcPr>
            <w:tcW w:w="7655" w:type="dxa"/>
            <w:tcBorders>
              <w:top w:val="nil"/>
              <w:left w:val="nil"/>
              <w:bottom w:val="nil"/>
              <w:right w:val="nil"/>
            </w:tcBorders>
            <w:shd w:val="clear" w:color="auto" w:fill="auto"/>
            <w:noWrap/>
            <w:vAlign w:val="bottom"/>
            <w:hideMark/>
          </w:tcPr>
          <w:p w14:paraId="7F847D30"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3431 Bankarske usluge i usluge platnog prometa                                                           </w:t>
            </w:r>
          </w:p>
        </w:tc>
        <w:tc>
          <w:tcPr>
            <w:tcW w:w="1384" w:type="dxa"/>
            <w:tcBorders>
              <w:top w:val="nil"/>
              <w:left w:val="nil"/>
              <w:bottom w:val="nil"/>
              <w:right w:val="nil"/>
            </w:tcBorders>
            <w:shd w:val="clear" w:color="auto" w:fill="auto"/>
            <w:noWrap/>
            <w:vAlign w:val="bottom"/>
            <w:hideMark/>
          </w:tcPr>
          <w:p w14:paraId="18C3A34C"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8.211,07</w:t>
            </w:r>
          </w:p>
        </w:tc>
        <w:tc>
          <w:tcPr>
            <w:tcW w:w="1740" w:type="dxa"/>
            <w:tcBorders>
              <w:top w:val="nil"/>
              <w:left w:val="nil"/>
              <w:bottom w:val="nil"/>
              <w:right w:val="nil"/>
            </w:tcBorders>
            <w:shd w:val="clear" w:color="auto" w:fill="auto"/>
            <w:noWrap/>
            <w:vAlign w:val="bottom"/>
            <w:hideMark/>
          </w:tcPr>
          <w:p w14:paraId="245C586D"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05B921D2"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11.127,22</w:t>
            </w:r>
          </w:p>
        </w:tc>
        <w:tc>
          <w:tcPr>
            <w:tcW w:w="1320" w:type="dxa"/>
            <w:tcBorders>
              <w:top w:val="nil"/>
              <w:left w:val="nil"/>
              <w:bottom w:val="nil"/>
              <w:right w:val="nil"/>
            </w:tcBorders>
            <w:shd w:val="clear" w:color="auto" w:fill="auto"/>
            <w:noWrap/>
            <w:vAlign w:val="bottom"/>
            <w:hideMark/>
          </w:tcPr>
          <w:p w14:paraId="2A532F0F"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135,51%</w:t>
            </w:r>
          </w:p>
        </w:tc>
        <w:tc>
          <w:tcPr>
            <w:tcW w:w="1280" w:type="dxa"/>
            <w:tcBorders>
              <w:top w:val="nil"/>
              <w:left w:val="nil"/>
              <w:bottom w:val="nil"/>
              <w:right w:val="nil"/>
            </w:tcBorders>
            <w:shd w:val="clear" w:color="auto" w:fill="auto"/>
            <w:noWrap/>
            <w:vAlign w:val="bottom"/>
            <w:hideMark/>
          </w:tcPr>
          <w:p w14:paraId="54412E03"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6DB4DB3E" w14:textId="77777777" w:rsidTr="00D53FB4">
        <w:trPr>
          <w:trHeight w:val="255"/>
        </w:trPr>
        <w:tc>
          <w:tcPr>
            <w:tcW w:w="7655" w:type="dxa"/>
            <w:tcBorders>
              <w:top w:val="nil"/>
              <w:left w:val="nil"/>
              <w:bottom w:val="nil"/>
              <w:right w:val="nil"/>
            </w:tcBorders>
            <w:shd w:val="clear" w:color="auto" w:fill="auto"/>
            <w:noWrap/>
            <w:vAlign w:val="bottom"/>
            <w:hideMark/>
          </w:tcPr>
          <w:p w14:paraId="003C7877"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3433 Zatezne kamate                                                                                      </w:t>
            </w:r>
          </w:p>
        </w:tc>
        <w:tc>
          <w:tcPr>
            <w:tcW w:w="1384" w:type="dxa"/>
            <w:tcBorders>
              <w:top w:val="nil"/>
              <w:left w:val="nil"/>
              <w:bottom w:val="nil"/>
              <w:right w:val="nil"/>
            </w:tcBorders>
            <w:shd w:val="clear" w:color="auto" w:fill="auto"/>
            <w:noWrap/>
            <w:vAlign w:val="bottom"/>
            <w:hideMark/>
          </w:tcPr>
          <w:p w14:paraId="2AE61DB6"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662,96</w:t>
            </w:r>
          </w:p>
        </w:tc>
        <w:tc>
          <w:tcPr>
            <w:tcW w:w="1740" w:type="dxa"/>
            <w:tcBorders>
              <w:top w:val="nil"/>
              <w:left w:val="nil"/>
              <w:bottom w:val="nil"/>
              <w:right w:val="nil"/>
            </w:tcBorders>
            <w:shd w:val="clear" w:color="auto" w:fill="auto"/>
            <w:noWrap/>
            <w:vAlign w:val="bottom"/>
            <w:hideMark/>
          </w:tcPr>
          <w:p w14:paraId="590E9699"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1FB45EC0"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64,62</w:t>
            </w:r>
          </w:p>
        </w:tc>
        <w:tc>
          <w:tcPr>
            <w:tcW w:w="1320" w:type="dxa"/>
            <w:tcBorders>
              <w:top w:val="nil"/>
              <w:left w:val="nil"/>
              <w:bottom w:val="nil"/>
              <w:right w:val="nil"/>
            </w:tcBorders>
            <w:shd w:val="clear" w:color="auto" w:fill="auto"/>
            <w:noWrap/>
            <w:vAlign w:val="bottom"/>
            <w:hideMark/>
          </w:tcPr>
          <w:p w14:paraId="65A3A631"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9,75%</w:t>
            </w:r>
          </w:p>
        </w:tc>
        <w:tc>
          <w:tcPr>
            <w:tcW w:w="1280" w:type="dxa"/>
            <w:tcBorders>
              <w:top w:val="nil"/>
              <w:left w:val="nil"/>
              <w:bottom w:val="nil"/>
              <w:right w:val="nil"/>
            </w:tcBorders>
            <w:shd w:val="clear" w:color="auto" w:fill="auto"/>
            <w:noWrap/>
            <w:vAlign w:val="bottom"/>
            <w:hideMark/>
          </w:tcPr>
          <w:p w14:paraId="522B99B7"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71CB0F1D" w14:textId="77777777" w:rsidTr="00D53FB4">
        <w:trPr>
          <w:trHeight w:val="255"/>
        </w:trPr>
        <w:tc>
          <w:tcPr>
            <w:tcW w:w="7655" w:type="dxa"/>
            <w:tcBorders>
              <w:top w:val="nil"/>
              <w:left w:val="nil"/>
              <w:bottom w:val="nil"/>
              <w:right w:val="nil"/>
            </w:tcBorders>
            <w:shd w:val="clear" w:color="auto" w:fill="auto"/>
            <w:noWrap/>
            <w:vAlign w:val="bottom"/>
            <w:hideMark/>
          </w:tcPr>
          <w:p w14:paraId="4E4BCA97"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3434 Ostali nespomenuti financijski rashodi                                                              </w:t>
            </w:r>
          </w:p>
        </w:tc>
        <w:tc>
          <w:tcPr>
            <w:tcW w:w="1384" w:type="dxa"/>
            <w:tcBorders>
              <w:top w:val="nil"/>
              <w:left w:val="nil"/>
              <w:bottom w:val="nil"/>
              <w:right w:val="nil"/>
            </w:tcBorders>
            <w:shd w:val="clear" w:color="auto" w:fill="auto"/>
            <w:noWrap/>
            <w:vAlign w:val="bottom"/>
            <w:hideMark/>
          </w:tcPr>
          <w:p w14:paraId="4CA7E071"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71,60</w:t>
            </w:r>
          </w:p>
        </w:tc>
        <w:tc>
          <w:tcPr>
            <w:tcW w:w="1740" w:type="dxa"/>
            <w:tcBorders>
              <w:top w:val="nil"/>
              <w:left w:val="nil"/>
              <w:bottom w:val="nil"/>
              <w:right w:val="nil"/>
            </w:tcBorders>
            <w:shd w:val="clear" w:color="auto" w:fill="auto"/>
            <w:noWrap/>
            <w:vAlign w:val="bottom"/>
            <w:hideMark/>
          </w:tcPr>
          <w:p w14:paraId="5F5A23DE"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201EED2B" w14:textId="77777777" w:rsidR="00583CB4" w:rsidRPr="00583CB4" w:rsidRDefault="00583CB4" w:rsidP="00583CB4">
            <w:pPr>
              <w:spacing w:after="0" w:line="240" w:lineRule="auto"/>
              <w:jc w:val="right"/>
              <w:rPr>
                <w:rFonts w:ascii="Times New Roman" w:hAnsi="Times New Roman" w:cs="Times New Roman"/>
                <w:sz w:val="18"/>
                <w:szCs w:val="18"/>
                <w:lang w:eastAsia="hr-HR"/>
              </w:rPr>
            </w:pPr>
          </w:p>
        </w:tc>
        <w:tc>
          <w:tcPr>
            <w:tcW w:w="1320" w:type="dxa"/>
            <w:tcBorders>
              <w:top w:val="nil"/>
              <w:left w:val="nil"/>
              <w:bottom w:val="nil"/>
              <w:right w:val="nil"/>
            </w:tcBorders>
            <w:shd w:val="clear" w:color="auto" w:fill="auto"/>
            <w:noWrap/>
            <w:vAlign w:val="bottom"/>
            <w:hideMark/>
          </w:tcPr>
          <w:p w14:paraId="5D7D4537"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0,00%</w:t>
            </w:r>
          </w:p>
        </w:tc>
        <w:tc>
          <w:tcPr>
            <w:tcW w:w="1280" w:type="dxa"/>
            <w:tcBorders>
              <w:top w:val="nil"/>
              <w:left w:val="nil"/>
              <w:bottom w:val="nil"/>
              <w:right w:val="nil"/>
            </w:tcBorders>
            <w:shd w:val="clear" w:color="auto" w:fill="auto"/>
            <w:noWrap/>
            <w:vAlign w:val="bottom"/>
            <w:hideMark/>
          </w:tcPr>
          <w:p w14:paraId="29D52A78"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1D87435C" w14:textId="77777777" w:rsidTr="00D53FB4">
        <w:trPr>
          <w:trHeight w:val="255"/>
        </w:trPr>
        <w:tc>
          <w:tcPr>
            <w:tcW w:w="7655" w:type="dxa"/>
            <w:tcBorders>
              <w:top w:val="nil"/>
              <w:left w:val="nil"/>
              <w:bottom w:val="nil"/>
              <w:right w:val="nil"/>
            </w:tcBorders>
            <w:shd w:val="clear" w:color="auto" w:fill="auto"/>
            <w:noWrap/>
            <w:vAlign w:val="bottom"/>
            <w:hideMark/>
          </w:tcPr>
          <w:p w14:paraId="160FBD5B" w14:textId="77777777" w:rsidR="00583CB4" w:rsidRPr="00583CB4" w:rsidRDefault="00583CB4" w:rsidP="00583CB4">
            <w:pPr>
              <w:spacing w:after="0" w:line="240" w:lineRule="auto"/>
              <w:rPr>
                <w:rFonts w:ascii="Arial" w:hAnsi="Arial" w:cs="Arial"/>
                <w:b/>
                <w:bCs/>
                <w:sz w:val="18"/>
                <w:szCs w:val="18"/>
                <w:lang w:eastAsia="hr-HR"/>
              </w:rPr>
            </w:pPr>
            <w:r w:rsidRPr="00583CB4">
              <w:rPr>
                <w:rFonts w:ascii="Arial" w:hAnsi="Arial" w:cs="Arial"/>
                <w:b/>
                <w:bCs/>
                <w:sz w:val="18"/>
                <w:szCs w:val="18"/>
                <w:lang w:eastAsia="hr-HR"/>
              </w:rPr>
              <w:t xml:space="preserve">35 Subvencije                                                                                          </w:t>
            </w:r>
          </w:p>
        </w:tc>
        <w:tc>
          <w:tcPr>
            <w:tcW w:w="1384" w:type="dxa"/>
            <w:tcBorders>
              <w:top w:val="nil"/>
              <w:left w:val="nil"/>
              <w:bottom w:val="nil"/>
              <w:right w:val="nil"/>
            </w:tcBorders>
            <w:shd w:val="clear" w:color="auto" w:fill="auto"/>
            <w:noWrap/>
            <w:vAlign w:val="bottom"/>
            <w:hideMark/>
          </w:tcPr>
          <w:p w14:paraId="74DFFC3C"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96.035,88</w:t>
            </w:r>
          </w:p>
        </w:tc>
        <w:tc>
          <w:tcPr>
            <w:tcW w:w="1740" w:type="dxa"/>
            <w:tcBorders>
              <w:top w:val="nil"/>
              <w:left w:val="nil"/>
              <w:bottom w:val="nil"/>
              <w:right w:val="nil"/>
            </w:tcBorders>
            <w:shd w:val="clear" w:color="auto" w:fill="auto"/>
            <w:noWrap/>
            <w:vAlign w:val="bottom"/>
            <w:hideMark/>
          </w:tcPr>
          <w:p w14:paraId="4FDC8222"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149.700,00</w:t>
            </w:r>
          </w:p>
        </w:tc>
        <w:tc>
          <w:tcPr>
            <w:tcW w:w="1412" w:type="dxa"/>
            <w:tcBorders>
              <w:top w:val="nil"/>
              <w:left w:val="nil"/>
              <w:bottom w:val="nil"/>
              <w:right w:val="nil"/>
            </w:tcBorders>
            <w:shd w:val="clear" w:color="auto" w:fill="auto"/>
            <w:noWrap/>
            <w:vAlign w:val="bottom"/>
            <w:hideMark/>
          </w:tcPr>
          <w:p w14:paraId="59792166"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124.688,35</w:t>
            </w:r>
          </w:p>
        </w:tc>
        <w:tc>
          <w:tcPr>
            <w:tcW w:w="1320" w:type="dxa"/>
            <w:tcBorders>
              <w:top w:val="nil"/>
              <w:left w:val="nil"/>
              <w:bottom w:val="nil"/>
              <w:right w:val="nil"/>
            </w:tcBorders>
            <w:shd w:val="clear" w:color="auto" w:fill="auto"/>
            <w:noWrap/>
            <w:vAlign w:val="bottom"/>
            <w:hideMark/>
          </w:tcPr>
          <w:p w14:paraId="17033819"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129,84%</w:t>
            </w:r>
          </w:p>
        </w:tc>
        <w:tc>
          <w:tcPr>
            <w:tcW w:w="1280" w:type="dxa"/>
            <w:tcBorders>
              <w:top w:val="nil"/>
              <w:left w:val="nil"/>
              <w:bottom w:val="nil"/>
              <w:right w:val="nil"/>
            </w:tcBorders>
            <w:shd w:val="clear" w:color="auto" w:fill="auto"/>
            <w:noWrap/>
            <w:vAlign w:val="bottom"/>
            <w:hideMark/>
          </w:tcPr>
          <w:p w14:paraId="718BDC17"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83,29%</w:t>
            </w:r>
          </w:p>
        </w:tc>
      </w:tr>
      <w:tr w:rsidR="00583CB4" w:rsidRPr="00583CB4" w14:paraId="4ECB2D41" w14:textId="77777777" w:rsidTr="00D53FB4">
        <w:trPr>
          <w:trHeight w:val="255"/>
        </w:trPr>
        <w:tc>
          <w:tcPr>
            <w:tcW w:w="7655" w:type="dxa"/>
            <w:tcBorders>
              <w:top w:val="nil"/>
              <w:left w:val="nil"/>
              <w:bottom w:val="nil"/>
              <w:right w:val="nil"/>
            </w:tcBorders>
            <w:shd w:val="clear" w:color="auto" w:fill="auto"/>
            <w:noWrap/>
            <w:vAlign w:val="bottom"/>
            <w:hideMark/>
          </w:tcPr>
          <w:p w14:paraId="692FF490"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352 Subvencije trgovačkim društvima, poljoprivrednicima i obrtnicima izvan javnog sektora               </w:t>
            </w:r>
          </w:p>
        </w:tc>
        <w:tc>
          <w:tcPr>
            <w:tcW w:w="1384" w:type="dxa"/>
            <w:tcBorders>
              <w:top w:val="nil"/>
              <w:left w:val="nil"/>
              <w:bottom w:val="nil"/>
              <w:right w:val="nil"/>
            </w:tcBorders>
            <w:shd w:val="clear" w:color="auto" w:fill="auto"/>
            <w:noWrap/>
            <w:vAlign w:val="bottom"/>
            <w:hideMark/>
          </w:tcPr>
          <w:p w14:paraId="6FC637D6"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96.035,88</w:t>
            </w:r>
          </w:p>
        </w:tc>
        <w:tc>
          <w:tcPr>
            <w:tcW w:w="1740" w:type="dxa"/>
            <w:tcBorders>
              <w:top w:val="nil"/>
              <w:left w:val="nil"/>
              <w:bottom w:val="nil"/>
              <w:right w:val="nil"/>
            </w:tcBorders>
            <w:shd w:val="clear" w:color="auto" w:fill="auto"/>
            <w:noWrap/>
            <w:vAlign w:val="bottom"/>
            <w:hideMark/>
          </w:tcPr>
          <w:p w14:paraId="225912CB"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4E32A793"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124.688,35</w:t>
            </w:r>
          </w:p>
        </w:tc>
        <w:tc>
          <w:tcPr>
            <w:tcW w:w="1320" w:type="dxa"/>
            <w:tcBorders>
              <w:top w:val="nil"/>
              <w:left w:val="nil"/>
              <w:bottom w:val="nil"/>
              <w:right w:val="nil"/>
            </w:tcBorders>
            <w:shd w:val="clear" w:color="auto" w:fill="auto"/>
            <w:noWrap/>
            <w:vAlign w:val="bottom"/>
            <w:hideMark/>
          </w:tcPr>
          <w:p w14:paraId="0853843A"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129,84%</w:t>
            </w:r>
          </w:p>
        </w:tc>
        <w:tc>
          <w:tcPr>
            <w:tcW w:w="1280" w:type="dxa"/>
            <w:tcBorders>
              <w:top w:val="nil"/>
              <w:left w:val="nil"/>
              <w:bottom w:val="nil"/>
              <w:right w:val="nil"/>
            </w:tcBorders>
            <w:shd w:val="clear" w:color="auto" w:fill="auto"/>
            <w:noWrap/>
            <w:vAlign w:val="bottom"/>
            <w:hideMark/>
          </w:tcPr>
          <w:p w14:paraId="07046609"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607A2814" w14:textId="77777777" w:rsidTr="00D53FB4">
        <w:trPr>
          <w:trHeight w:val="255"/>
        </w:trPr>
        <w:tc>
          <w:tcPr>
            <w:tcW w:w="7655" w:type="dxa"/>
            <w:tcBorders>
              <w:top w:val="nil"/>
              <w:left w:val="nil"/>
              <w:bottom w:val="nil"/>
              <w:right w:val="nil"/>
            </w:tcBorders>
            <w:shd w:val="clear" w:color="auto" w:fill="auto"/>
            <w:noWrap/>
            <w:vAlign w:val="bottom"/>
            <w:hideMark/>
          </w:tcPr>
          <w:p w14:paraId="6393E31D"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3522 Subvencije trgovačkim društvima izvan javnog sektora                                                </w:t>
            </w:r>
          </w:p>
        </w:tc>
        <w:tc>
          <w:tcPr>
            <w:tcW w:w="1384" w:type="dxa"/>
            <w:tcBorders>
              <w:top w:val="nil"/>
              <w:left w:val="nil"/>
              <w:bottom w:val="nil"/>
              <w:right w:val="nil"/>
            </w:tcBorders>
            <w:shd w:val="clear" w:color="auto" w:fill="auto"/>
            <w:noWrap/>
            <w:vAlign w:val="bottom"/>
            <w:hideMark/>
          </w:tcPr>
          <w:p w14:paraId="3B7CBAD5"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73.692,40</w:t>
            </w:r>
          </w:p>
        </w:tc>
        <w:tc>
          <w:tcPr>
            <w:tcW w:w="1740" w:type="dxa"/>
            <w:tcBorders>
              <w:top w:val="nil"/>
              <w:left w:val="nil"/>
              <w:bottom w:val="nil"/>
              <w:right w:val="nil"/>
            </w:tcBorders>
            <w:shd w:val="clear" w:color="auto" w:fill="auto"/>
            <w:noWrap/>
            <w:vAlign w:val="bottom"/>
            <w:hideMark/>
          </w:tcPr>
          <w:p w14:paraId="3B185B6A"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3077C9C6"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92.814,86</w:t>
            </w:r>
          </w:p>
        </w:tc>
        <w:tc>
          <w:tcPr>
            <w:tcW w:w="1320" w:type="dxa"/>
            <w:tcBorders>
              <w:top w:val="nil"/>
              <w:left w:val="nil"/>
              <w:bottom w:val="nil"/>
              <w:right w:val="nil"/>
            </w:tcBorders>
            <w:shd w:val="clear" w:color="auto" w:fill="auto"/>
            <w:noWrap/>
            <w:vAlign w:val="bottom"/>
            <w:hideMark/>
          </w:tcPr>
          <w:p w14:paraId="7E8489B7"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125,95%</w:t>
            </w:r>
          </w:p>
        </w:tc>
        <w:tc>
          <w:tcPr>
            <w:tcW w:w="1280" w:type="dxa"/>
            <w:tcBorders>
              <w:top w:val="nil"/>
              <w:left w:val="nil"/>
              <w:bottom w:val="nil"/>
              <w:right w:val="nil"/>
            </w:tcBorders>
            <w:shd w:val="clear" w:color="auto" w:fill="auto"/>
            <w:noWrap/>
            <w:vAlign w:val="bottom"/>
            <w:hideMark/>
          </w:tcPr>
          <w:p w14:paraId="3DA43B0D"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186CE04A" w14:textId="77777777" w:rsidTr="00D53FB4">
        <w:trPr>
          <w:trHeight w:val="255"/>
        </w:trPr>
        <w:tc>
          <w:tcPr>
            <w:tcW w:w="7655" w:type="dxa"/>
            <w:tcBorders>
              <w:top w:val="nil"/>
              <w:left w:val="nil"/>
              <w:bottom w:val="nil"/>
              <w:right w:val="nil"/>
            </w:tcBorders>
            <w:shd w:val="clear" w:color="auto" w:fill="auto"/>
            <w:noWrap/>
            <w:vAlign w:val="bottom"/>
            <w:hideMark/>
          </w:tcPr>
          <w:p w14:paraId="4960769C"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3523 Subvencije poljoprivrednicima i obrtnicima                                                          </w:t>
            </w:r>
          </w:p>
        </w:tc>
        <w:tc>
          <w:tcPr>
            <w:tcW w:w="1384" w:type="dxa"/>
            <w:tcBorders>
              <w:top w:val="nil"/>
              <w:left w:val="nil"/>
              <w:bottom w:val="nil"/>
              <w:right w:val="nil"/>
            </w:tcBorders>
            <w:shd w:val="clear" w:color="auto" w:fill="auto"/>
            <w:noWrap/>
            <w:vAlign w:val="bottom"/>
            <w:hideMark/>
          </w:tcPr>
          <w:p w14:paraId="14B3155E"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22.343,48</w:t>
            </w:r>
          </w:p>
        </w:tc>
        <w:tc>
          <w:tcPr>
            <w:tcW w:w="1740" w:type="dxa"/>
            <w:tcBorders>
              <w:top w:val="nil"/>
              <w:left w:val="nil"/>
              <w:bottom w:val="nil"/>
              <w:right w:val="nil"/>
            </w:tcBorders>
            <w:shd w:val="clear" w:color="auto" w:fill="auto"/>
            <w:noWrap/>
            <w:vAlign w:val="bottom"/>
            <w:hideMark/>
          </w:tcPr>
          <w:p w14:paraId="354770B2"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10BB2353"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31.873,49</w:t>
            </w:r>
          </w:p>
        </w:tc>
        <w:tc>
          <w:tcPr>
            <w:tcW w:w="1320" w:type="dxa"/>
            <w:tcBorders>
              <w:top w:val="nil"/>
              <w:left w:val="nil"/>
              <w:bottom w:val="nil"/>
              <w:right w:val="nil"/>
            </w:tcBorders>
            <w:shd w:val="clear" w:color="auto" w:fill="auto"/>
            <w:noWrap/>
            <w:vAlign w:val="bottom"/>
            <w:hideMark/>
          </w:tcPr>
          <w:p w14:paraId="7646E5A4"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142,65%</w:t>
            </w:r>
          </w:p>
        </w:tc>
        <w:tc>
          <w:tcPr>
            <w:tcW w:w="1280" w:type="dxa"/>
            <w:tcBorders>
              <w:top w:val="nil"/>
              <w:left w:val="nil"/>
              <w:bottom w:val="nil"/>
              <w:right w:val="nil"/>
            </w:tcBorders>
            <w:shd w:val="clear" w:color="auto" w:fill="auto"/>
            <w:noWrap/>
            <w:vAlign w:val="bottom"/>
            <w:hideMark/>
          </w:tcPr>
          <w:p w14:paraId="18E4B127"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07BE2DFE" w14:textId="77777777" w:rsidTr="00D53FB4">
        <w:trPr>
          <w:trHeight w:val="255"/>
        </w:trPr>
        <w:tc>
          <w:tcPr>
            <w:tcW w:w="7655" w:type="dxa"/>
            <w:tcBorders>
              <w:top w:val="nil"/>
              <w:left w:val="nil"/>
              <w:bottom w:val="nil"/>
              <w:right w:val="nil"/>
            </w:tcBorders>
            <w:shd w:val="clear" w:color="auto" w:fill="auto"/>
            <w:noWrap/>
            <w:vAlign w:val="bottom"/>
            <w:hideMark/>
          </w:tcPr>
          <w:p w14:paraId="23E5366D" w14:textId="77777777" w:rsidR="00583CB4" w:rsidRPr="00583CB4" w:rsidRDefault="00583CB4" w:rsidP="00583CB4">
            <w:pPr>
              <w:spacing w:after="0" w:line="240" w:lineRule="auto"/>
              <w:rPr>
                <w:rFonts w:ascii="Arial" w:hAnsi="Arial" w:cs="Arial"/>
                <w:b/>
                <w:bCs/>
                <w:sz w:val="18"/>
                <w:szCs w:val="18"/>
                <w:lang w:eastAsia="hr-HR"/>
              </w:rPr>
            </w:pPr>
            <w:r w:rsidRPr="00583CB4">
              <w:rPr>
                <w:rFonts w:ascii="Arial" w:hAnsi="Arial" w:cs="Arial"/>
                <w:b/>
                <w:bCs/>
                <w:sz w:val="18"/>
                <w:szCs w:val="18"/>
                <w:lang w:eastAsia="hr-HR"/>
              </w:rPr>
              <w:t>36 Pomoći dane u inozemstvo i unutar opće države</w:t>
            </w:r>
          </w:p>
        </w:tc>
        <w:tc>
          <w:tcPr>
            <w:tcW w:w="1384" w:type="dxa"/>
            <w:tcBorders>
              <w:top w:val="nil"/>
              <w:left w:val="nil"/>
              <w:bottom w:val="nil"/>
              <w:right w:val="nil"/>
            </w:tcBorders>
            <w:shd w:val="clear" w:color="auto" w:fill="auto"/>
            <w:noWrap/>
            <w:vAlign w:val="bottom"/>
            <w:hideMark/>
          </w:tcPr>
          <w:p w14:paraId="2B65A846"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90.279,76</w:t>
            </w:r>
          </w:p>
        </w:tc>
        <w:tc>
          <w:tcPr>
            <w:tcW w:w="1740" w:type="dxa"/>
            <w:tcBorders>
              <w:top w:val="nil"/>
              <w:left w:val="nil"/>
              <w:bottom w:val="nil"/>
              <w:right w:val="nil"/>
            </w:tcBorders>
            <w:shd w:val="clear" w:color="auto" w:fill="auto"/>
            <w:noWrap/>
            <w:vAlign w:val="bottom"/>
            <w:hideMark/>
          </w:tcPr>
          <w:p w14:paraId="75F55381"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103.400,00</w:t>
            </w:r>
          </w:p>
        </w:tc>
        <w:tc>
          <w:tcPr>
            <w:tcW w:w="1412" w:type="dxa"/>
            <w:tcBorders>
              <w:top w:val="nil"/>
              <w:left w:val="nil"/>
              <w:bottom w:val="nil"/>
              <w:right w:val="nil"/>
            </w:tcBorders>
            <w:shd w:val="clear" w:color="auto" w:fill="auto"/>
            <w:noWrap/>
            <w:vAlign w:val="bottom"/>
            <w:hideMark/>
          </w:tcPr>
          <w:p w14:paraId="5F91600A"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102.422,51</w:t>
            </w:r>
          </w:p>
        </w:tc>
        <w:tc>
          <w:tcPr>
            <w:tcW w:w="1320" w:type="dxa"/>
            <w:tcBorders>
              <w:top w:val="nil"/>
              <w:left w:val="nil"/>
              <w:bottom w:val="nil"/>
              <w:right w:val="nil"/>
            </w:tcBorders>
            <w:shd w:val="clear" w:color="auto" w:fill="auto"/>
            <w:noWrap/>
            <w:vAlign w:val="bottom"/>
            <w:hideMark/>
          </w:tcPr>
          <w:p w14:paraId="671E5A4A"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113,45%</w:t>
            </w:r>
          </w:p>
        </w:tc>
        <w:tc>
          <w:tcPr>
            <w:tcW w:w="1280" w:type="dxa"/>
            <w:tcBorders>
              <w:top w:val="nil"/>
              <w:left w:val="nil"/>
              <w:bottom w:val="nil"/>
              <w:right w:val="nil"/>
            </w:tcBorders>
            <w:shd w:val="clear" w:color="auto" w:fill="auto"/>
            <w:noWrap/>
            <w:vAlign w:val="bottom"/>
            <w:hideMark/>
          </w:tcPr>
          <w:p w14:paraId="127AAFFD"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99,05%</w:t>
            </w:r>
          </w:p>
        </w:tc>
      </w:tr>
      <w:tr w:rsidR="00583CB4" w:rsidRPr="00583CB4" w14:paraId="580314FD" w14:textId="77777777" w:rsidTr="00D53FB4">
        <w:trPr>
          <w:trHeight w:val="255"/>
        </w:trPr>
        <w:tc>
          <w:tcPr>
            <w:tcW w:w="7655" w:type="dxa"/>
            <w:tcBorders>
              <w:top w:val="nil"/>
              <w:left w:val="nil"/>
              <w:bottom w:val="nil"/>
              <w:right w:val="nil"/>
            </w:tcBorders>
            <w:shd w:val="clear" w:color="auto" w:fill="auto"/>
            <w:noWrap/>
            <w:vAlign w:val="bottom"/>
            <w:hideMark/>
          </w:tcPr>
          <w:p w14:paraId="25F71BC7"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363 Pomoći unutar općeg proračuna                                                                       </w:t>
            </w:r>
          </w:p>
        </w:tc>
        <w:tc>
          <w:tcPr>
            <w:tcW w:w="1384" w:type="dxa"/>
            <w:tcBorders>
              <w:top w:val="nil"/>
              <w:left w:val="nil"/>
              <w:bottom w:val="nil"/>
              <w:right w:val="nil"/>
            </w:tcBorders>
            <w:shd w:val="clear" w:color="auto" w:fill="auto"/>
            <w:noWrap/>
            <w:vAlign w:val="bottom"/>
            <w:hideMark/>
          </w:tcPr>
          <w:p w14:paraId="13F1651B"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88.779,76</w:t>
            </w:r>
          </w:p>
        </w:tc>
        <w:tc>
          <w:tcPr>
            <w:tcW w:w="1740" w:type="dxa"/>
            <w:tcBorders>
              <w:top w:val="nil"/>
              <w:left w:val="nil"/>
              <w:bottom w:val="nil"/>
              <w:right w:val="nil"/>
            </w:tcBorders>
            <w:shd w:val="clear" w:color="auto" w:fill="auto"/>
            <w:noWrap/>
            <w:vAlign w:val="bottom"/>
            <w:hideMark/>
          </w:tcPr>
          <w:p w14:paraId="2EC07F0C"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29D6B8B7"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102.422,51</w:t>
            </w:r>
          </w:p>
        </w:tc>
        <w:tc>
          <w:tcPr>
            <w:tcW w:w="1320" w:type="dxa"/>
            <w:tcBorders>
              <w:top w:val="nil"/>
              <w:left w:val="nil"/>
              <w:bottom w:val="nil"/>
              <w:right w:val="nil"/>
            </w:tcBorders>
            <w:shd w:val="clear" w:color="auto" w:fill="auto"/>
            <w:noWrap/>
            <w:vAlign w:val="bottom"/>
            <w:hideMark/>
          </w:tcPr>
          <w:p w14:paraId="2D7917A7"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115,37%</w:t>
            </w:r>
          </w:p>
        </w:tc>
        <w:tc>
          <w:tcPr>
            <w:tcW w:w="1280" w:type="dxa"/>
            <w:tcBorders>
              <w:top w:val="nil"/>
              <w:left w:val="nil"/>
              <w:bottom w:val="nil"/>
              <w:right w:val="nil"/>
            </w:tcBorders>
            <w:shd w:val="clear" w:color="auto" w:fill="auto"/>
            <w:noWrap/>
            <w:vAlign w:val="bottom"/>
            <w:hideMark/>
          </w:tcPr>
          <w:p w14:paraId="198D2CF9"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21DEBC68" w14:textId="77777777" w:rsidTr="00D53FB4">
        <w:trPr>
          <w:trHeight w:val="255"/>
        </w:trPr>
        <w:tc>
          <w:tcPr>
            <w:tcW w:w="7655" w:type="dxa"/>
            <w:tcBorders>
              <w:top w:val="nil"/>
              <w:left w:val="nil"/>
              <w:bottom w:val="nil"/>
              <w:right w:val="nil"/>
            </w:tcBorders>
            <w:shd w:val="clear" w:color="auto" w:fill="auto"/>
            <w:noWrap/>
            <w:vAlign w:val="bottom"/>
            <w:hideMark/>
          </w:tcPr>
          <w:p w14:paraId="09490129"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3631 Tekuće pomoći unutar općeg proračuna                                                                </w:t>
            </w:r>
          </w:p>
        </w:tc>
        <w:tc>
          <w:tcPr>
            <w:tcW w:w="1384" w:type="dxa"/>
            <w:tcBorders>
              <w:top w:val="nil"/>
              <w:left w:val="nil"/>
              <w:bottom w:val="nil"/>
              <w:right w:val="nil"/>
            </w:tcBorders>
            <w:shd w:val="clear" w:color="auto" w:fill="auto"/>
            <w:noWrap/>
            <w:vAlign w:val="bottom"/>
            <w:hideMark/>
          </w:tcPr>
          <w:p w14:paraId="50BE2DCD"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88.779,76</w:t>
            </w:r>
          </w:p>
        </w:tc>
        <w:tc>
          <w:tcPr>
            <w:tcW w:w="1740" w:type="dxa"/>
            <w:tcBorders>
              <w:top w:val="nil"/>
              <w:left w:val="nil"/>
              <w:bottom w:val="nil"/>
              <w:right w:val="nil"/>
            </w:tcBorders>
            <w:shd w:val="clear" w:color="auto" w:fill="auto"/>
            <w:noWrap/>
            <w:vAlign w:val="bottom"/>
            <w:hideMark/>
          </w:tcPr>
          <w:p w14:paraId="2AEFFC3F"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53ACD081"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102.422,51</w:t>
            </w:r>
          </w:p>
        </w:tc>
        <w:tc>
          <w:tcPr>
            <w:tcW w:w="1320" w:type="dxa"/>
            <w:tcBorders>
              <w:top w:val="nil"/>
              <w:left w:val="nil"/>
              <w:bottom w:val="nil"/>
              <w:right w:val="nil"/>
            </w:tcBorders>
            <w:shd w:val="clear" w:color="auto" w:fill="auto"/>
            <w:noWrap/>
            <w:vAlign w:val="bottom"/>
            <w:hideMark/>
          </w:tcPr>
          <w:p w14:paraId="27C7D9FA"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115,37%</w:t>
            </w:r>
          </w:p>
        </w:tc>
        <w:tc>
          <w:tcPr>
            <w:tcW w:w="1280" w:type="dxa"/>
            <w:tcBorders>
              <w:top w:val="nil"/>
              <w:left w:val="nil"/>
              <w:bottom w:val="nil"/>
              <w:right w:val="nil"/>
            </w:tcBorders>
            <w:shd w:val="clear" w:color="auto" w:fill="auto"/>
            <w:noWrap/>
            <w:vAlign w:val="bottom"/>
            <w:hideMark/>
          </w:tcPr>
          <w:p w14:paraId="390221FD"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07113731" w14:textId="77777777" w:rsidTr="00D53FB4">
        <w:trPr>
          <w:trHeight w:val="255"/>
        </w:trPr>
        <w:tc>
          <w:tcPr>
            <w:tcW w:w="7655" w:type="dxa"/>
            <w:tcBorders>
              <w:top w:val="nil"/>
              <w:left w:val="nil"/>
              <w:bottom w:val="nil"/>
              <w:right w:val="nil"/>
            </w:tcBorders>
            <w:shd w:val="clear" w:color="auto" w:fill="auto"/>
            <w:noWrap/>
            <w:vAlign w:val="bottom"/>
            <w:hideMark/>
          </w:tcPr>
          <w:p w14:paraId="78EE9EEB"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366 Pomoći proračunskim korisnicima drugih proračuna</w:t>
            </w:r>
          </w:p>
        </w:tc>
        <w:tc>
          <w:tcPr>
            <w:tcW w:w="1384" w:type="dxa"/>
            <w:tcBorders>
              <w:top w:val="nil"/>
              <w:left w:val="nil"/>
              <w:bottom w:val="nil"/>
              <w:right w:val="nil"/>
            </w:tcBorders>
            <w:shd w:val="clear" w:color="auto" w:fill="auto"/>
            <w:noWrap/>
            <w:vAlign w:val="bottom"/>
            <w:hideMark/>
          </w:tcPr>
          <w:p w14:paraId="7553A5F6"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1.500,00</w:t>
            </w:r>
          </w:p>
        </w:tc>
        <w:tc>
          <w:tcPr>
            <w:tcW w:w="1740" w:type="dxa"/>
            <w:tcBorders>
              <w:top w:val="nil"/>
              <w:left w:val="nil"/>
              <w:bottom w:val="nil"/>
              <w:right w:val="nil"/>
            </w:tcBorders>
            <w:shd w:val="clear" w:color="auto" w:fill="auto"/>
            <w:noWrap/>
            <w:vAlign w:val="bottom"/>
            <w:hideMark/>
          </w:tcPr>
          <w:p w14:paraId="2512D3AB"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5E4EFFFD" w14:textId="77777777" w:rsidR="00583CB4" w:rsidRPr="00583CB4" w:rsidRDefault="00583CB4" w:rsidP="00583CB4">
            <w:pPr>
              <w:spacing w:after="0" w:line="240" w:lineRule="auto"/>
              <w:jc w:val="right"/>
              <w:rPr>
                <w:rFonts w:ascii="Times New Roman" w:hAnsi="Times New Roman" w:cs="Times New Roman"/>
                <w:sz w:val="18"/>
                <w:szCs w:val="18"/>
                <w:lang w:eastAsia="hr-HR"/>
              </w:rPr>
            </w:pPr>
          </w:p>
        </w:tc>
        <w:tc>
          <w:tcPr>
            <w:tcW w:w="1320" w:type="dxa"/>
            <w:tcBorders>
              <w:top w:val="nil"/>
              <w:left w:val="nil"/>
              <w:bottom w:val="nil"/>
              <w:right w:val="nil"/>
            </w:tcBorders>
            <w:shd w:val="clear" w:color="auto" w:fill="auto"/>
            <w:noWrap/>
            <w:vAlign w:val="bottom"/>
            <w:hideMark/>
          </w:tcPr>
          <w:p w14:paraId="17BF87F2"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0,00%</w:t>
            </w:r>
          </w:p>
        </w:tc>
        <w:tc>
          <w:tcPr>
            <w:tcW w:w="1280" w:type="dxa"/>
            <w:tcBorders>
              <w:top w:val="nil"/>
              <w:left w:val="nil"/>
              <w:bottom w:val="nil"/>
              <w:right w:val="nil"/>
            </w:tcBorders>
            <w:shd w:val="clear" w:color="auto" w:fill="auto"/>
            <w:noWrap/>
            <w:vAlign w:val="bottom"/>
            <w:hideMark/>
          </w:tcPr>
          <w:p w14:paraId="29CF0C22"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33305709" w14:textId="77777777" w:rsidTr="00D53FB4">
        <w:trPr>
          <w:trHeight w:val="255"/>
        </w:trPr>
        <w:tc>
          <w:tcPr>
            <w:tcW w:w="7655" w:type="dxa"/>
            <w:tcBorders>
              <w:top w:val="nil"/>
              <w:left w:val="nil"/>
              <w:bottom w:val="nil"/>
              <w:right w:val="nil"/>
            </w:tcBorders>
            <w:shd w:val="clear" w:color="auto" w:fill="auto"/>
            <w:noWrap/>
            <w:vAlign w:val="bottom"/>
            <w:hideMark/>
          </w:tcPr>
          <w:p w14:paraId="3A7F072D"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3662 Kapitalne pomoći proračunskim korisnicima drugih proračuna</w:t>
            </w:r>
          </w:p>
        </w:tc>
        <w:tc>
          <w:tcPr>
            <w:tcW w:w="1384" w:type="dxa"/>
            <w:tcBorders>
              <w:top w:val="nil"/>
              <w:left w:val="nil"/>
              <w:bottom w:val="nil"/>
              <w:right w:val="nil"/>
            </w:tcBorders>
            <w:shd w:val="clear" w:color="auto" w:fill="auto"/>
            <w:noWrap/>
            <w:vAlign w:val="bottom"/>
            <w:hideMark/>
          </w:tcPr>
          <w:p w14:paraId="364321EA"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1.500,00</w:t>
            </w:r>
          </w:p>
        </w:tc>
        <w:tc>
          <w:tcPr>
            <w:tcW w:w="1740" w:type="dxa"/>
            <w:tcBorders>
              <w:top w:val="nil"/>
              <w:left w:val="nil"/>
              <w:bottom w:val="nil"/>
              <w:right w:val="nil"/>
            </w:tcBorders>
            <w:shd w:val="clear" w:color="auto" w:fill="auto"/>
            <w:noWrap/>
            <w:vAlign w:val="bottom"/>
            <w:hideMark/>
          </w:tcPr>
          <w:p w14:paraId="4878DC4F"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5FA8956B" w14:textId="77777777" w:rsidR="00583CB4" w:rsidRPr="00583CB4" w:rsidRDefault="00583CB4" w:rsidP="00583CB4">
            <w:pPr>
              <w:spacing w:after="0" w:line="240" w:lineRule="auto"/>
              <w:jc w:val="right"/>
              <w:rPr>
                <w:rFonts w:ascii="Times New Roman" w:hAnsi="Times New Roman" w:cs="Times New Roman"/>
                <w:sz w:val="18"/>
                <w:szCs w:val="18"/>
                <w:lang w:eastAsia="hr-HR"/>
              </w:rPr>
            </w:pPr>
          </w:p>
        </w:tc>
        <w:tc>
          <w:tcPr>
            <w:tcW w:w="1320" w:type="dxa"/>
            <w:tcBorders>
              <w:top w:val="nil"/>
              <w:left w:val="nil"/>
              <w:bottom w:val="nil"/>
              <w:right w:val="nil"/>
            </w:tcBorders>
            <w:shd w:val="clear" w:color="auto" w:fill="auto"/>
            <w:noWrap/>
            <w:vAlign w:val="bottom"/>
            <w:hideMark/>
          </w:tcPr>
          <w:p w14:paraId="61791817"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0,00%</w:t>
            </w:r>
          </w:p>
        </w:tc>
        <w:tc>
          <w:tcPr>
            <w:tcW w:w="1280" w:type="dxa"/>
            <w:tcBorders>
              <w:top w:val="nil"/>
              <w:left w:val="nil"/>
              <w:bottom w:val="nil"/>
              <w:right w:val="nil"/>
            </w:tcBorders>
            <w:shd w:val="clear" w:color="auto" w:fill="auto"/>
            <w:noWrap/>
            <w:vAlign w:val="bottom"/>
            <w:hideMark/>
          </w:tcPr>
          <w:p w14:paraId="7D9E0B9C"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2C593603" w14:textId="77777777" w:rsidTr="00D53FB4">
        <w:trPr>
          <w:trHeight w:val="255"/>
        </w:trPr>
        <w:tc>
          <w:tcPr>
            <w:tcW w:w="7655" w:type="dxa"/>
            <w:tcBorders>
              <w:top w:val="nil"/>
              <w:left w:val="nil"/>
              <w:bottom w:val="nil"/>
              <w:right w:val="nil"/>
            </w:tcBorders>
            <w:shd w:val="clear" w:color="auto" w:fill="auto"/>
            <w:noWrap/>
            <w:vAlign w:val="bottom"/>
            <w:hideMark/>
          </w:tcPr>
          <w:p w14:paraId="6087B561" w14:textId="77777777" w:rsidR="00583CB4" w:rsidRPr="00583CB4" w:rsidRDefault="00583CB4" w:rsidP="00583CB4">
            <w:pPr>
              <w:spacing w:after="0" w:line="240" w:lineRule="auto"/>
              <w:rPr>
                <w:rFonts w:ascii="Arial" w:hAnsi="Arial" w:cs="Arial"/>
                <w:b/>
                <w:bCs/>
                <w:sz w:val="18"/>
                <w:szCs w:val="18"/>
                <w:lang w:eastAsia="hr-HR"/>
              </w:rPr>
            </w:pPr>
            <w:r w:rsidRPr="00583CB4">
              <w:rPr>
                <w:rFonts w:ascii="Arial" w:hAnsi="Arial" w:cs="Arial"/>
                <w:b/>
                <w:bCs/>
                <w:sz w:val="18"/>
                <w:szCs w:val="18"/>
                <w:lang w:eastAsia="hr-HR"/>
              </w:rPr>
              <w:t xml:space="preserve">37 Naknade građanima i kućanstvima na temelju osiguranja i druge naknade                               </w:t>
            </w:r>
          </w:p>
        </w:tc>
        <w:tc>
          <w:tcPr>
            <w:tcW w:w="1384" w:type="dxa"/>
            <w:tcBorders>
              <w:top w:val="nil"/>
              <w:left w:val="nil"/>
              <w:bottom w:val="nil"/>
              <w:right w:val="nil"/>
            </w:tcBorders>
            <w:shd w:val="clear" w:color="auto" w:fill="auto"/>
            <w:noWrap/>
            <w:vAlign w:val="bottom"/>
            <w:hideMark/>
          </w:tcPr>
          <w:p w14:paraId="51464485"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457.890,60</w:t>
            </w:r>
          </w:p>
        </w:tc>
        <w:tc>
          <w:tcPr>
            <w:tcW w:w="1740" w:type="dxa"/>
            <w:tcBorders>
              <w:top w:val="nil"/>
              <w:left w:val="nil"/>
              <w:bottom w:val="nil"/>
              <w:right w:val="nil"/>
            </w:tcBorders>
            <w:shd w:val="clear" w:color="auto" w:fill="auto"/>
            <w:noWrap/>
            <w:vAlign w:val="bottom"/>
            <w:hideMark/>
          </w:tcPr>
          <w:p w14:paraId="0FBF8CF1"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548.400,00</w:t>
            </w:r>
          </w:p>
        </w:tc>
        <w:tc>
          <w:tcPr>
            <w:tcW w:w="1412" w:type="dxa"/>
            <w:tcBorders>
              <w:top w:val="nil"/>
              <w:left w:val="nil"/>
              <w:bottom w:val="nil"/>
              <w:right w:val="nil"/>
            </w:tcBorders>
            <w:shd w:val="clear" w:color="auto" w:fill="auto"/>
            <w:noWrap/>
            <w:vAlign w:val="bottom"/>
            <w:hideMark/>
          </w:tcPr>
          <w:p w14:paraId="428EBF3C"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503.531,34</w:t>
            </w:r>
          </w:p>
        </w:tc>
        <w:tc>
          <w:tcPr>
            <w:tcW w:w="1320" w:type="dxa"/>
            <w:tcBorders>
              <w:top w:val="nil"/>
              <w:left w:val="nil"/>
              <w:bottom w:val="nil"/>
              <w:right w:val="nil"/>
            </w:tcBorders>
            <w:shd w:val="clear" w:color="auto" w:fill="auto"/>
            <w:noWrap/>
            <w:vAlign w:val="bottom"/>
            <w:hideMark/>
          </w:tcPr>
          <w:p w14:paraId="794B37C9"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109,97%</w:t>
            </w:r>
          </w:p>
        </w:tc>
        <w:tc>
          <w:tcPr>
            <w:tcW w:w="1280" w:type="dxa"/>
            <w:tcBorders>
              <w:top w:val="nil"/>
              <w:left w:val="nil"/>
              <w:bottom w:val="nil"/>
              <w:right w:val="nil"/>
            </w:tcBorders>
            <w:shd w:val="clear" w:color="auto" w:fill="auto"/>
            <w:noWrap/>
            <w:vAlign w:val="bottom"/>
            <w:hideMark/>
          </w:tcPr>
          <w:p w14:paraId="55A815CD"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91,82%</w:t>
            </w:r>
          </w:p>
        </w:tc>
      </w:tr>
      <w:tr w:rsidR="00583CB4" w:rsidRPr="00583CB4" w14:paraId="10EC3B92" w14:textId="77777777" w:rsidTr="00D53FB4">
        <w:trPr>
          <w:trHeight w:val="255"/>
        </w:trPr>
        <w:tc>
          <w:tcPr>
            <w:tcW w:w="7655" w:type="dxa"/>
            <w:tcBorders>
              <w:top w:val="nil"/>
              <w:left w:val="nil"/>
              <w:bottom w:val="nil"/>
              <w:right w:val="nil"/>
            </w:tcBorders>
            <w:shd w:val="clear" w:color="auto" w:fill="auto"/>
            <w:noWrap/>
            <w:vAlign w:val="bottom"/>
            <w:hideMark/>
          </w:tcPr>
          <w:p w14:paraId="7579D113"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372 Ostale naknade građanima i kućanstvima iz proračuna                                                 </w:t>
            </w:r>
          </w:p>
        </w:tc>
        <w:tc>
          <w:tcPr>
            <w:tcW w:w="1384" w:type="dxa"/>
            <w:tcBorders>
              <w:top w:val="nil"/>
              <w:left w:val="nil"/>
              <w:bottom w:val="nil"/>
              <w:right w:val="nil"/>
            </w:tcBorders>
            <w:shd w:val="clear" w:color="auto" w:fill="auto"/>
            <w:noWrap/>
            <w:vAlign w:val="bottom"/>
            <w:hideMark/>
          </w:tcPr>
          <w:p w14:paraId="5D56CAC0"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457.890,60</w:t>
            </w:r>
          </w:p>
        </w:tc>
        <w:tc>
          <w:tcPr>
            <w:tcW w:w="1740" w:type="dxa"/>
            <w:tcBorders>
              <w:top w:val="nil"/>
              <w:left w:val="nil"/>
              <w:bottom w:val="nil"/>
              <w:right w:val="nil"/>
            </w:tcBorders>
            <w:shd w:val="clear" w:color="auto" w:fill="auto"/>
            <w:noWrap/>
            <w:vAlign w:val="bottom"/>
            <w:hideMark/>
          </w:tcPr>
          <w:p w14:paraId="65AD0389"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396D8C2A"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503.531,34</w:t>
            </w:r>
          </w:p>
        </w:tc>
        <w:tc>
          <w:tcPr>
            <w:tcW w:w="1320" w:type="dxa"/>
            <w:tcBorders>
              <w:top w:val="nil"/>
              <w:left w:val="nil"/>
              <w:bottom w:val="nil"/>
              <w:right w:val="nil"/>
            </w:tcBorders>
            <w:shd w:val="clear" w:color="auto" w:fill="auto"/>
            <w:noWrap/>
            <w:vAlign w:val="bottom"/>
            <w:hideMark/>
          </w:tcPr>
          <w:p w14:paraId="3AA70897"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109,97%</w:t>
            </w:r>
          </w:p>
        </w:tc>
        <w:tc>
          <w:tcPr>
            <w:tcW w:w="1280" w:type="dxa"/>
            <w:tcBorders>
              <w:top w:val="nil"/>
              <w:left w:val="nil"/>
              <w:bottom w:val="nil"/>
              <w:right w:val="nil"/>
            </w:tcBorders>
            <w:shd w:val="clear" w:color="auto" w:fill="auto"/>
            <w:noWrap/>
            <w:vAlign w:val="bottom"/>
            <w:hideMark/>
          </w:tcPr>
          <w:p w14:paraId="350160D3"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6BFF956C" w14:textId="77777777" w:rsidTr="00D53FB4">
        <w:trPr>
          <w:trHeight w:val="255"/>
        </w:trPr>
        <w:tc>
          <w:tcPr>
            <w:tcW w:w="7655" w:type="dxa"/>
            <w:tcBorders>
              <w:top w:val="nil"/>
              <w:left w:val="nil"/>
              <w:bottom w:val="nil"/>
              <w:right w:val="nil"/>
            </w:tcBorders>
            <w:shd w:val="clear" w:color="auto" w:fill="auto"/>
            <w:noWrap/>
            <w:vAlign w:val="bottom"/>
            <w:hideMark/>
          </w:tcPr>
          <w:p w14:paraId="51B61D5D"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3721 Naknade građanima i kućanstvima u novcu                                                             </w:t>
            </w:r>
          </w:p>
        </w:tc>
        <w:tc>
          <w:tcPr>
            <w:tcW w:w="1384" w:type="dxa"/>
            <w:tcBorders>
              <w:top w:val="nil"/>
              <w:left w:val="nil"/>
              <w:bottom w:val="nil"/>
              <w:right w:val="nil"/>
            </w:tcBorders>
            <w:shd w:val="clear" w:color="auto" w:fill="auto"/>
            <w:noWrap/>
            <w:vAlign w:val="bottom"/>
            <w:hideMark/>
          </w:tcPr>
          <w:p w14:paraId="52916402"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100.169,43</w:t>
            </w:r>
          </w:p>
        </w:tc>
        <w:tc>
          <w:tcPr>
            <w:tcW w:w="1740" w:type="dxa"/>
            <w:tcBorders>
              <w:top w:val="nil"/>
              <w:left w:val="nil"/>
              <w:bottom w:val="nil"/>
              <w:right w:val="nil"/>
            </w:tcBorders>
            <w:shd w:val="clear" w:color="auto" w:fill="auto"/>
            <w:noWrap/>
            <w:vAlign w:val="bottom"/>
            <w:hideMark/>
          </w:tcPr>
          <w:p w14:paraId="2EB677CB"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291E8322"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127.907,04</w:t>
            </w:r>
          </w:p>
        </w:tc>
        <w:tc>
          <w:tcPr>
            <w:tcW w:w="1320" w:type="dxa"/>
            <w:tcBorders>
              <w:top w:val="nil"/>
              <w:left w:val="nil"/>
              <w:bottom w:val="nil"/>
              <w:right w:val="nil"/>
            </w:tcBorders>
            <w:shd w:val="clear" w:color="auto" w:fill="auto"/>
            <w:noWrap/>
            <w:vAlign w:val="bottom"/>
            <w:hideMark/>
          </w:tcPr>
          <w:p w14:paraId="129987C5"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127,69%</w:t>
            </w:r>
          </w:p>
        </w:tc>
        <w:tc>
          <w:tcPr>
            <w:tcW w:w="1280" w:type="dxa"/>
            <w:tcBorders>
              <w:top w:val="nil"/>
              <w:left w:val="nil"/>
              <w:bottom w:val="nil"/>
              <w:right w:val="nil"/>
            </w:tcBorders>
            <w:shd w:val="clear" w:color="auto" w:fill="auto"/>
            <w:noWrap/>
            <w:vAlign w:val="bottom"/>
            <w:hideMark/>
          </w:tcPr>
          <w:p w14:paraId="26FA50EF"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3E7C7F7A" w14:textId="77777777" w:rsidTr="00D53FB4">
        <w:trPr>
          <w:trHeight w:val="255"/>
        </w:trPr>
        <w:tc>
          <w:tcPr>
            <w:tcW w:w="7655" w:type="dxa"/>
            <w:tcBorders>
              <w:top w:val="nil"/>
              <w:left w:val="nil"/>
              <w:bottom w:val="nil"/>
              <w:right w:val="nil"/>
            </w:tcBorders>
            <w:shd w:val="clear" w:color="auto" w:fill="auto"/>
            <w:noWrap/>
            <w:vAlign w:val="bottom"/>
            <w:hideMark/>
          </w:tcPr>
          <w:p w14:paraId="47143DB4"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3722 Naknade građanima i kućanstvima u naravi                                                            </w:t>
            </w:r>
          </w:p>
        </w:tc>
        <w:tc>
          <w:tcPr>
            <w:tcW w:w="1384" w:type="dxa"/>
            <w:tcBorders>
              <w:top w:val="nil"/>
              <w:left w:val="nil"/>
              <w:bottom w:val="nil"/>
              <w:right w:val="nil"/>
            </w:tcBorders>
            <w:shd w:val="clear" w:color="auto" w:fill="auto"/>
            <w:noWrap/>
            <w:vAlign w:val="bottom"/>
            <w:hideMark/>
          </w:tcPr>
          <w:p w14:paraId="6E900AC3"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357.721,17</w:t>
            </w:r>
          </w:p>
        </w:tc>
        <w:tc>
          <w:tcPr>
            <w:tcW w:w="1740" w:type="dxa"/>
            <w:tcBorders>
              <w:top w:val="nil"/>
              <w:left w:val="nil"/>
              <w:bottom w:val="nil"/>
              <w:right w:val="nil"/>
            </w:tcBorders>
            <w:shd w:val="clear" w:color="auto" w:fill="auto"/>
            <w:noWrap/>
            <w:vAlign w:val="bottom"/>
            <w:hideMark/>
          </w:tcPr>
          <w:p w14:paraId="26F9DC05"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5A7A64FC"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375.624,30</w:t>
            </w:r>
          </w:p>
        </w:tc>
        <w:tc>
          <w:tcPr>
            <w:tcW w:w="1320" w:type="dxa"/>
            <w:tcBorders>
              <w:top w:val="nil"/>
              <w:left w:val="nil"/>
              <w:bottom w:val="nil"/>
              <w:right w:val="nil"/>
            </w:tcBorders>
            <w:shd w:val="clear" w:color="auto" w:fill="auto"/>
            <w:noWrap/>
            <w:vAlign w:val="bottom"/>
            <w:hideMark/>
          </w:tcPr>
          <w:p w14:paraId="24810817"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105,00%</w:t>
            </w:r>
          </w:p>
        </w:tc>
        <w:tc>
          <w:tcPr>
            <w:tcW w:w="1280" w:type="dxa"/>
            <w:tcBorders>
              <w:top w:val="nil"/>
              <w:left w:val="nil"/>
              <w:bottom w:val="nil"/>
              <w:right w:val="nil"/>
            </w:tcBorders>
            <w:shd w:val="clear" w:color="auto" w:fill="auto"/>
            <w:noWrap/>
            <w:vAlign w:val="bottom"/>
            <w:hideMark/>
          </w:tcPr>
          <w:p w14:paraId="05202D74"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7611DDEF" w14:textId="77777777" w:rsidTr="00D53FB4">
        <w:trPr>
          <w:trHeight w:val="255"/>
        </w:trPr>
        <w:tc>
          <w:tcPr>
            <w:tcW w:w="7655" w:type="dxa"/>
            <w:tcBorders>
              <w:top w:val="nil"/>
              <w:left w:val="nil"/>
              <w:bottom w:val="nil"/>
              <w:right w:val="nil"/>
            </w:tcBorders>
            <w:shd w:val="clear" w:color="auto" w:fill="auto"/>
            <w:noWrap/>
            <w:vAlign w:val="bottom"/>
            <w:hideMark/>
          </w:tcPr>
          <w:p w14:paraId="493337F9" w14:textId="77777777" w:rsidR="00583CB4" w:rsidRPr="00583CB4" w:rsidRDefault="00583CB4" w:rsidP="00583CB4">
            <w:pPr>
              <w:spacing w:after="0" w:line="240" w:lineRule="auto"/>
              <w:rPr>
                <w:rFonts w:ascii="Arial" w:hAnsi="Arial" w:cs="Arial"/>
                <w:b/>
                <w:bCs/>
                <w:sz w:val="18"/>
                <w:szCs w:val="18"/>
                <w:lang w:eastAsia="hr-HR"/>
              </w:rPr>
            </w:pPr>
            <w:r w:rsidRPr="00583CB4">
              <w:rPr>
                <w:rFonts w:ascii="Arial" w:hAnsi="Arial" w:cs="Arial"/>
                <w:b/>
                <w:bCs/>
                <w:sz w:val="18"/>
                <w:szCs w:val="18"/>
                <w:lang w:eastAsia="hr-HR"/>
              </w:rPr>
              <w:t xml:space="preserve">38 Ostali rashodi                                                                                      </w:t>
            </w:r>
          </w:p>
        </w:tc>
        <w:tc>
          <w:tcPr>
            <w:tcW w:w="1384" w:type="dxa"/>
            <w:tcBorders>
              <w:top w:val="nil"/>
              <w:left w:val="nil"/>
              <w:bottom w:val="nil"/>
              <w:right w:val="nil"/>
            </w:tcBorders>
            <w:shd w:val="clear" w:color="auto" w:fill="auto"/>
            <w:noWrap/>
            <w:vAlign w:val="bottom"/>
            <w:hideMark/>
          </w:tcPr>
          <w:p w14:paraId="4CF71E54"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402.711,63</w:t>
            </w:r>
          </w:p>
        </w:tc>
        <w:tc>
          <w:tcPr>
            <w:tcW w:w="1740" w:type="dxa"/>
            <w:tcBorders>
              <w:top w:val="nil"/>
              <w:left w:val="nil"/>
              <w:bottom w:val="nil"/>
              <w:right w:val="nil"/>
            </w:tcBorders>
            <w:shd w:val="clear" w:color="auto" w:fill="auto"/>
            <w:noWrap/>
            <w:vAlign w:val="bottom"/>
            <w:hideMark/>
          </w:tcPr>
          <w:p w14:paraId="3F53524F"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388.955,00</w:t>
            </w:r>
          </w:p>
        </w:tc>
        <w:tc>
          <w:tcPr>
            <w:tcW w:w="1412" w:type="dxa"/>
            <w:tcBorders>
              <w:top w:val="nil"/>
              <w:left w:val="nil"/>
              <w:bottom w:val="nil"/>
              <w:right w:val="nil"/>
            </w:tcBorders>
            <w:shd w:val="clear" w:color="auto" w:fill="auto"/>
            <w:noWrap/>
            <w:vAlign w:val="bottom"/>
            <w:hideMark/>
          </w:tcPr>
          <w:p w14:paraId="7A8979B6"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370.067,30</w:t>
            </w:r>
          </w:p>
        </w:tc>
        <w:tc>
          <w:tcPr>
            <w:tcW w:w="1320" w:type="dxa"/>
            <w:tcBorders>
              <w:top w:val="nil"/>
              <w:left w:val="nil"/>
              <w:bottom w:val="nil"/>
              <w:right w:val="nil"/>
            </w:tcBorders>
            <w:shd w:val="clear" w:color="auto" w:fill="auto"/>
            <w:noWrap/>
            <w:vAlign w:val="bottom"/>
            <w:hideMark/>
          </w:tcPr>
          <w:p w14:paraId="070F333B"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91,89%</w:t>
            </w:r>
          </w:p>
        </w:tc>
        <w:tc>
          <w:tcPr>
            <w:tcW w:w="1280" w:type="dxa"/>
            <w:tcBorders>
              <w:top w:val="nil"/>
              <w:left w:val="nil"/>
              <w:bottom w:val="nil"/>
              <w:right w:val="nil"/>
            </w:tcBorders>
            <w:shd w:val="clear" w:color="auto" w:fill="auto"/>
            <w:noWrap/>
            <w:vAlign w:val="bottom"/>
            <w:hideMark/>
          </w:tcPr>
          <w:p w14:paraId="6D2D1880"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95,14%</w:t>
            </w:r>
          </w:p>
        </w:tc>
      </w:tr>
      <w:tr w:rsidR="00583CB4" w:rsidRPr="00583CB4" w14:paraId="349801CA" w14:textId="77777777" w:rsidTr="00D53FB4">
        <w:trPr>
          <w:trHeight w:val="255"/>
        </w:trPr>
        <w:tc>
          <w:tcPr>
            <w:tcW w:w="7655" w:type="dxa"/>
            <w:tcBorders>
              <w:top w:val="nil"/>
              <w:left w:val="nil"/>
              <w:bottom w:val="nil"/>
              <w:right w:val="nil"/>
            </w:tcBorders>
            <w:shd w:val="clear" w:color="auto" w:fill="auto"/>
            <w:noWrap/>
            <w:vAlign w:val="bottom"/>
            <w:hideMark/>
          </w:tcPr>
          <w:p w14:paraId="267C0858"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381 Tekuće donacije                                                                                     </w:t>
            </w:r>
          </w:p>
        </w:tc>
        <w:tc>
          <w:tcPr>
            <w:tcW w:w="1384" w:type="dxa"/>
            <w:tcBorders>
              <w:top w:val="nil"/>
              <w:left w:val="nil"/>
              <w:bottom w:val="nil"/>
              <w:right w:val="nil"/>
            </w:tcBorders>
            <w:shd w:val="clear" w:color="auto" w:fill="auto"/>
            <w:noWrap/>
            <w:vAlign w:val="bottom"/>
            <w:hideMark/>
          </w:tcPr>
          <w:p w14:paraId="7F58EECF"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239.651,29</w:t>
            </w:r>
          </w:p>
        </w:tc>
        <w:tc>
          <w:tcPr>
            <w:tcW w:w="1740" w:type="dxa"/>
            <w:tcBorders>
              <w:top w:val="nil"/>
              <w:left w:val="nil"/>
              <w:bottom w:val="nil"/>
              <w:right w:val="nil"/>
            </w:tcBorders>
            <w:shd w:val="clear" w:color="auto" w:fill="auto"/>
            <w:noWrap/>
            <w:vAlign w:val="bottom"/>
            <w:hideMark/>
          </w:tcPr>
          <w:p w14:paraId="11CE690C"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36A0AFED"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281.020,08</w:t>
            </w:r>
          </w:p>
        </w:tc>
        <w:tc>
          <w:tcPr>
            <w:tcW w:w="1320" w:type="dxa"/>
            <w:tcBorders>
              <w:top w:val="nil"/>
              <w:left w:val="nil"/>
              <w:bottom w:val="nil"/>
              <w:right w:val="nil"/>
            </w:tcBorders>
            <w:shd w:val="clear" w:color="auto" w:fill="auto"/>
            <w:noWrap/>
            <w:vAlign w:val="bottom"/>
            <w:hideMark/>
          </w:tcPr>
          <w:p w14:paraId="4D89E446"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117,26%</w:t>
            </w:r>
          </w:p>
        </w:tc>
        <w:tc>
          <w:tcPr>
            <w:tcW w:w="1280" w:type="dxa"/>
            <w:tcBorders>
              <w:top w:val="nil"/>
              <w:left w:val="nil"/>
              <w:bottom w:val="nil"/>
              <w:right w:val="nil"/>
            </w:tcBorders>
            <w:shd w:val="clear" w:color="auto" w:fill="auto"/>
            <w:noWrap/>
            <w:vAlign w:val="bottom"/>
            <w:hideMark/>
          </w:tcPr>
          <w:p w14:paraId="3E072EB7"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43C05D64" w14:textId="77777777" w:rsidTr="00D53FB4">
        <w:trPr>
          <w:trHeight w:val="255"/>
        </w:trPr>
        <w:tc>
          <w:tcPr>
            <w:tcW w:w="7655" w:type="dxa"/>
            <w:tcBorders>
              <w:top w:val="nil"/>
              <w:left w:val="nil"/>
              <w:bottom w:val="nil"/>
              <w:right w:val="nil"/>
            </w:tcBorders>
            <w:shd w:val="clear" w:color="auto" w:fill="auto"/>
            <w:noWrap/>
            <w:vAlign w:val="bottom"/>
            <w:hideMark/>
          </w:tcPr>
          <w:p w14:paraId="46897E05"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3811 Tekuće donacije u novcu                                                                             </w:t>
            </w:r>
          </w:p>
        </w:tc>
        <w:tc>
          <w:tcPr>
            <w:tcW w:w="1384" w:type="dxa"/>
            <w:tcBorders>
              <w:top w:val="nil"/>
              <w:left w:val="nil"/>
              <w:bottom w:val="nil"/>
              <w:right w:val="nil"/>
            </w:tcBorders>
            <w:shd w:val="clear" w:color="auto" w:fill="auto"/>
            <w:noWrap/>
            <w:vAlign w:val="bottom"/>
            <w:hideMark/>
          </w:tcPr>
          <w:p w14:paraId="23B46547"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238.419,20</w:t>
            </w:r>
          </w:p>
        </w:tc>
        <w:tc>
          <w:tcPr>
            <w:tcW w:w="1740" w:type="dxa"/>
            <w:tcBorders>
              <w:top w:val="nil"/>
              <w:left w:val="nil"/>
              <w:bottom w:val="nil"/>
              <w:right w:val="nil"/>
            </w:tcBorders>
            <w:shd w:val="clear" w:color="auto" w:fill="auto"/>
            <w:noWrap/>
            <w:vAlign w:val="bottom"/>
            <w:hideMark/>
          </w:tcPr>
          <w:p w14:paraId="5A9E1801"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7E0BB594"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279.793,21</w:t>
            </w:r>
          </w:p>
        </w:tc>
        <w:tc>
          <w:tcPr>
            <w:tcW w:w="1320" w:type="dxa"/>
            <w:tcBorders>
              <w:top w:val="nil"/>
              <w:left w:val="nil"/>
              <w:bottom w:val="nil"/>
              <w:right w:val="nil"/>
            </w:tcBorders>
            <w:shd w:val="clear" w:color="auto" w:fill="auto"/>
            <w:noWrap/>
            <w:vAlign w:val="bottom"/>
            <w:hideMark/>
          </w:tcPr>
          <w:p w14:paraId="2241D917"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117,35%</w:t>
            </w:r>
          </w:p>
        </w:tc>
        <w:tc>
          <w:tcPr>
            <w:tcW w:w="1280" w:type="dxa"/>
            <w:tcBorders>
              <w:top w:val="nil"/>
              <w:left w:val="nil"/>
              <w:bottom w:val="nil"/>
              <w:right w:val="nil"/>
            </w:tcBorders>
            <w:shd w:val="clear" w:color="auto" w:fill="auto"/>
            <w:noWrap/>
            <w:vAlign w:val="bottom"/>
            <w:hideMark/>
          </w:tcPr>
          <w:p w14:paraId="5332179A"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7682EEBF" w14:textId="77777777" w:rsidTr="00D53FB4">
        <w:trPr>
          <w:trHeight w:val="255"/>
        </w:trPr>
        <w:tc>
          <w:tcPr>
            <w:tcW w:w="7655" w:type="dxa"/>
            <w:tcBorders>
              <w:top w:val="nil"/>
              <w:left w:val="nil"/>
              <w:bottom w:val="nil"/>
              <w:right w:val="nil"/>
            </w:tcBorders>
            <w:shd w:val="clear" w:color="auto" w:fill="auto"/>
            <w:noWrap/>
            <w:vAlign w:val="bottom"/>
            <w:hideMark/>
          </w:tcPr>
          <w:p w14:paraId="45CB9520"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3812 Tekuće donacije u naravi                                                                            </w:t>
            </w:r>
          </w:p>
        </w:tc>
        <w:tc>
          <w:tcPr>
            <w:tcW w:w="1384" w:type="dxa"/>
            <w:tcBorders>
              <w:top w:val="nil"/>
              <w:left w:val="nil"/>
              <w:bottom w:val="nil"/>
              <w:right w:val="nil"/>
            </w:tcBorders>
            <w:shd w:val="clear" w:color="auto" w:fill="auto"/>
            <w:noWrap/>
            <w:vAlign w:val="bottom"/>
            <w:hideMark/>
          </w:tcPr>
          <w:p w14:paraId="2E24D7A0"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1.232,09</w:t>
            </w:r>
          </w:p>
        </w:tc>
        <w:tc>
          <w:tcPr>
            <w:tcW w:w="1740" w:type="dxa"/>
            <w:tcBorders>
              <w:top w:val="nil"/>
              <w:left w:val="nil"/>
              <w:bottom w:val="nil"/>
              <w:right w:val="nil"/>
            </w:tcBorders>
            <w:shd w:val="clear" w:color="auto" w:fill="auto"/>
            <w:noWrap/>
            <w:vAlign w:val="bottom"/>
            <w:hideMark/>
          </w:tcPr>
          <w:p w14:paraId="5670D749"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41FFF445"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1.226,87</w:t>
            </w:r>
          </w:p>
        </w:tc>
        <w:tc>
          <w:tcPr>
            <w:tcW w:w="1320" w:type="dxa"/>
            <w:tcBorders>
              <w:top w:val="nil"/>
              <w:left w:val="nil"/>
              <w:bottom w:val="nil"/>
              <w:right w:val="nil"/>
            </w:tcBorders>
            <w:shd w:val="clear" w:color="auto" w:fill="auto"/>
            <w:noWrap/>
            <w:vAlign w:val="bottom"/>
            <w:hideMark/>
          </w:tcPr>
          <w:p w14:paraId="134AD25C"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99,58%</w:t>
            </w:r>
          </w:p>
        </w:tc>
        <w:tc>
          <w:tcPr>
            <w:tcW w:w="1280" w:type="dxa"/>
            <w:tcBorders>
              <w:top w:val="nil"/>
              <w:left w:val="nil"/>
              <w:bottom w:val="nil"/>
              <w:right w:val="nil"/>
            </w:tcBorders>
            <w:shd w:val="clear" w:color="auto" w:fill="auto"/>
            <w:noWrap/>
            <w:vAlign w:val="bottom"/>
            <w:hideMark/>
          </w:tcPr>
          <w:p w14:paraId="3874DE5A"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583E0803" w14:textId="77777777" w:rsidTr="00D53FB4">
        <w:trPr>
          <w:trHeight w:val="255"/>
        </w:trPr>
        <w:tc>
          <w:tcPr>
            <w:tcW w:w="7655" w:type="dxa"/>
            <w:tcBorders>
              <w:top w:val="nil"/>
              <w:left w:val="nil"/>
              <w:bottom w:val="nil"/>
              <w:right w:val="nil"/>
            </w:tcBorders>
            <w:shd w:val="clear" w:color="auto" w:fill="auto"/>
            <w:noWrap/>
            <w:vAlign w:val="bottom"/>
            <w:hideMark/>
          </w:tcPr>
          <w:p w14:paraId="180DFD3D"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382 Kapitalne donacije                                                                                  </w:t>
            </w:r>
          </w:p>
        </w:tc>
        <w:tc>
          <w:tcPr>
            <w:tcW w:w="1384" w:type="dxa"/>
            <w:tcBorders>
              <w:top w:val="nil"/>
              <w:left w:val="nil"/>
              <w:bottom w:val="nil"/>
              <w:right w:val="nil"/>
            </w:tcBorders>
            <w:shd w:val="clear" w:color="auto" w:fill="auto"/>
            <w:noWrap/>
            <w:vAlign w:val="bottom"/>
            <w:hideMark/>
          </w:tcPr>
          <w:p w14:paraId="6BB8DDB5"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2.463,62</w:t>
            </w:r>
          </w:p>
        </w:tc>
        <w:tc>
          <w:tcPr>
            <w:tcW w:w="1740" w:type="dxa"/>
            <w:tcBorders>
              <w:top w:val="nil"/>
              <w:left w:val="nil"/>
              <w:bottom w:val="nil"/>
              <w:right w:val="nil"/>
            </w:tcBorders>
            <w:shd w:val="clear" w:color="auto" w:fill="auto"/>
            <w:noWrap/>
            <w:vAlign w:val="bottom"/>
            <w:hideMark/>
          </w:tcPr>
          <w:p w14:paraId="2E1E4CB6"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5B71A195"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11.810,16</w:t>
            </w:r>
          </w:p>
        </w:tc>
        <w:tc>
          <w:tcPr>
            <w:tcW w:w="1320" w:type="dxa"/>
            <w:tcBorders>
              <w:top w:val="nil"/>
              <w:left w:val="nil"/>
              <w:bottom w:val="nil"/>
              <w:right w:val="nil"/>
            </w:tcBorders>
            <w:shd w:val="clear" w:color="auto" w:fill="auto"/>
            <w:noWrap/>
            <w:vAlign w:val="bottom"/>
            <w:hideMark/>
          </w:tcPr>
          <w:p w14:paraId="3150A533"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479,38%</w:t>
            </w:r>
          </w:p>
        </w:tc>
        <w:tc>
          <w:tcPr>
            <w:tcW w:w="1280" w:type="dxa"/>
            <w:tcBorders>
              <w:top w:val="nil"/>
              <w:left w:val="nil"/>
              <w:bottom w:val="nil"/>
              <w:right w:val="nil"/>
            </w:tcBorders>
            <w:shd w:val="clear" w:color="auto" w:fill="auto"/>
            <w:noWrap/>
            <w:vAlign w:val="bottom"/>
            <w:hideMark/>
          </w:tcPr>
          <w:p w14:paraId="7DDE67B8"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2CDCDF5E" w14:textId="77777777" w:rsidTr="00D53FB4">
        <w:trPr>
          <w:trHeight w:val="255"/>
        </w:trPr>
        <w:tc>
          <w:tcPr>
            <w:tcW w:w="7655" w:type="dxa"/>
            <w:tcBorders>
              <w:top w:val="nil"/>
              <w:left w:val="nil"/>
              <w:bottom w:val="nil"/>
              <w:right w:val="nil"/>
            </w:tcBorders>
            <w:shd w:val="clear" w:color="auto" w:fill="auto"/>
            <w:noWrap/>
            <w:vAlign w:val="bottom"/>
            <w:hideMark/>
          </w:tcPr>
          <w:p w14:paraId="5EC632D4"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3821 Kapitalne donacije neprofitnim organizacijama                                                       </w:t>
            </w:r>
          </w:p>
        </w:tc>
        <w:tc>
          <w:tcPr>
            <w:tcW w:w="1384" w:type="dxa"/>
            <w:tcBorders>
              <w:top w:val="nil"/>
              <w:left w:val="nil"/>
              <w:bottom w:val="nil"/>
              <w:right w:val="nil"/>
            </w:tcBorders>
            <w:shd w:val="clear" w:color="auto" w:fill="auto"/>
            <w:noWrap/>
            <w:vAlign w:val="bottom"/>
            <w:hideMark/>
          </w:tcPr>
          <w:p w14:paraId="7498E3C0"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2.463,62</w:t>
            </w:r>
          </w:p>
        </w:tc>
        <w:tc>
          <w:tcPr>
            <w:tcW w:w="1740" w:type="dxa"/>
            <w:tcBorders>
              <w:top w:val="nil"/>
              <w:left w:val="nil"/>
              <w:bottom w:val="nil"/>
              <w:right w:val="nil"/>
            </w:tcBorders>
            <w:shd w:val="clear" w:color="auto" w:fill="auto"/>
            <w:noWrap/>
            <w:vAlign w:val="bottom"/>
            <w:hideMark/>
          </w:tcPr>
          <w:p w14:paraId="28663CCE"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75376EA5"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11.810,16</w:t>
            </w:r>
          </w:p>
        </w:tc>
        <w:tc>
          <w:tcPr>
            <w:tcW w:w="1320" w:type="dxa"/>
            <w:tcBorders>
              <w:top w:val="nil"/>
              <w:left w:val="nil"/>
              <w:bottom w:val="nil"/>
              <w:right w:val="nil"/>
            </w:tcBorders>
            <w:shd w:val="clear" w:color="auto" w:fill="auto"/>
            <w:noWrap/>
            <w:vAlign w:val="bottom"/>
            <w:hideMark/>
          </w:tcPr>
          <w:p w14:paraId="6A9C988A"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479,38%</w:t>
            </w:r>
          </w:p>
        </w:tc>
        <w:tc>
          <w:tcPr>
            <w:tcW w:w="1280" w:type="dxa"/>
            <w:tcBorders>
              <w:top w:val="nil"/>
              <w:left w:val="nil"/>
              <w:bottom w:val="nil"/>
              <w:right w:val="nil"/>
            </w:tcBorders>
            <w:shd w:val="clear" w:color="auto" w:fill="auto"/>
            <w:noWrap/>
            <w:vAlign w:val="bottom"/>
            <w:hideMark/>
          </w:tcPr>
          <w:p w14:paraId="1494D5DB"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101B94DD" w14:textId="77777777" w:rsidTr="00D53FB4">
        <w:trPr>
          <w:trHeight w:val="255"/>
        </w:trPr>
        <w:tc>
          <w:tcPr>
            <w:tcW w:w="7655" w:type="dxa"/>
            <w:tcBorders>
              <w:top w:val="nil"/>
              <w:left w:val="nil"/>
              <w:bottom w:val="nil"/>
              <w:right w:val="nil"/>
            </w:tcBorders>
            <w:shd w:val="clear" w:color="auto" w:fill="auto"/>
            <w:noWrap/>
            <w:vAlign w:val="bottom"/>
            <w:hideMark/>
          </w:tcPr>
          <w:p w14:paraId="3071E474"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383 Kazne, penali i naknade štete                                                                       </w:t>
            </w:r>
          </w:p>
        </w:tc>
        <w:tc>
          <w:tcPr>
            <w:tcW w:w="1384" w:type="dxa"/>
            <w:tcBorders>
              <w:top w:val="nil"/>
              <w:left w:val="nil"/>
              <w:bottom w:val="nil"/>
              <w:right w:val="nil"/>
            </w:tcBorders>
            <w:shd w:val="clear" w:color="auto" w:fill="auto"/>
            <w:noWrap/>
            <w:vAlign w:val="bottom"/>
            <w:hideMark/>
          </w:tcPr>
          <w:p w14:paraId="1C55FEAC"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15.074,58</w:t>
            </w:r>
          </w:p>
        </w:tc>
        <w:tc>
          <w:tcPr>
            <w:tcW w:w="1740" w:type="dxa"/>
            <w:tcBorders>
              <w:top w:val="nil"/>
              <w:left w:val="nil"/>
              <w:bottom w:val="nil"/>
              <w:right w:val="nil"/>
            </w:tcBorders>
            <w:shd w:val="clear" w:color="auto" w:fill="auto"/>
            <w:noWrap/>
            <w:vAlign w:val="bottom"/>
            <w:hideMark/>
          </w:tcPr>
          <w:p w14:paraId="2A17DFBB"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70EEDB34"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16.031,19</w:t>
            </w:r>
          </w:p>
        </w:tc>
        <w:tc>
          <w:tcPr>
            <w:tcW w:w="1320" w:type="dxa"/>
            <w:tcBorders>
              <w:top w:val="nil"/>
              <w:left w:val="nil"/>
              <w:bottom w:val="nil"/>
              <w:right w:val="nil"/>
            </w:tcBorders>
            <w:shd w:val="clear" w:color="auto" w:fill="auto"/>
            <w:noWrap/>
            <w:vAlign w:val="bottom"/>
            <w:hideMark/>
          </w:tcPr>
          <w:p w14:paraId="165C44AB"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106,35%</w:t>
            </w:r>
          </w:p>
        </w:tc>
        <w:tc>
          <w:tcPr>
            <w:tcW w:w="1280" w:type="dxa"/>
            <w:tcBorders>
              <w:top w:val="nil"/>
              <w:left w:val="nil"/>
              <w:bottom w:val="nil"/>
              <w:right w:val="nil"/>
            </w:tcBorders>
            <w:shd w:val="clear" w:color="auto" w:fill="auto"/>
            <w:noWrap/>
            <w:vAlign w:val="bottom"/>
            <w:hideMark/>
          </w:tcPr>
          <w:p w14:paraId="6CC30173"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408B083A" w14:textId="77777777" w:rsidTr="00D53FB4">
        <w:trPr>
          <w:trHeight w:val="255"/>
        </w:trPr>
        <w:tc>
          <w:tcPr>
            <w:tcW w:w="7655" w:type="dxa"/>
            <w:tcBorders>
              <w:top w:val="nil"/>
              <w:left w:val="nil"/>
              <w:bottom w:val="nil"/>
              <w:right w:val="nil"/>
            </w:tcBorders>
            <w:shd w:val="clear" w:color="auto" w:fill="auto"/>
            <w:noWrap/>
            <w:vAlign w:val="bottom"/>
            <w:hideMark/>
          </w:tcPr>
          <w:p w14:paraId="0D2A8DF9"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3831 Naknade šteta pravnim i fizičkim osobama                                                            </w:t>
            </w:r>
          </w:p>
        </w:tc>
        <w:tc>
          <w:tcPr>
            <w:tcW w:w="1384" w:type="dxa"/>
            <w:tcBorders>
              <w:top w:val="nil"/>
              <w:left w:val="nil"/>
              <w:bottom w:val="nil"/>
              <w:right w:val="nil"/>
            </w:tcBorders>
            <w:shd w:val="clear" w:color="auto" w:fill="auto"/>
            <w:noWrap/>
            <w:vAlign w:val="bottom"/>
            <w:hideMark/>
          </w:tcPr>
          <w:p w14:paraId="349538F6"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15.074,58</w:t>
            </w:r>
          </w:p>
        </w:tc>
        <w:tc>
          <w:tcPr>
            <w:tcW w:w="1740" w:type="dxa"/>
            <w:tcBorders>
              <w:top w:val="nil"/>
              <w:left w:val="nil"/>
              <w:bottom w:val="nil"/>
              <w:right w:val="nil"/>
            </w:tcBorders>
            <w:shd w:val="clear" w:color="auto" w:fill="auto"/>
            <w:noWrap/>
            <w:vAlign w:val="bottom"/>
            <w:hideMark/>
          </w:tcPr>
          <w:p w14:paraId="5BB71559"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19BAEB53"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10.913,04</w:t>
            </w:r>
          </w:p>
        </w:tc>
        <w:tc>
          <w:tcPr>
            <w:tcW w:w="1320" w:type="dxa"/>
            <w:tcBorders>
              <w:top w:val="nil"/>
              <w:left w:val="nil"/>
              <w:bottom w:val="nil"/>
              <w:right w:val="nil"/>
            </w:tcBorders>
            <w:shd w:val="clear" w:color="auto" w:fill="auto"/>
            <w:noWrap/>
            <w:vAlign w:val="bottom"/>
            <w:hideMark/>
          </w:tcPr>
          <w:p w14:paraId="32E28986"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72,39%</w:t>
            </w:r>
          </w:p>
        </w:tc>
        <w:tc>
          <w:tcPr>
            <w:tcW w:w="1280" w:type="dxa"/>
            <w:tcBorders>
              <w:top w:val="nil"/>
              <w:left w:val="nil"/>
              <w:bottom w:val="nil"/>
              <w:right w:val="nil"/>
            </w:tcBorders>
            <w:shd w:val="clear" w:color="auto" w:fill="auto"/>
            <w:noWrap/>
            <w:vAlign w:val="bottom"/>
            <w:hideMark/>
          </w:tcPr>
          <w:p w14:paraId="37C2A043"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5EB000A7" w14:textId="77777777" w:rsidTr="00D53FB4">
        <w:trPr>
          <w:trHeight w:val="255"/>
        </w:trPr>
        <w:tc>
          <w:tcPr>
            <w:tcW w:w="7655" w:type="dxa"/>
            <w:tcBorders>
              <w:top w:val="nil"/>
              <w:left w:val="nil"/>
              <w:bottom w:val="nil"/>
              <w:right w:val="nil"/>
            </w:tcBorders>
            <w:shd w:val="clear" w:color="auto" w:fill="auto"/>
            <w:noWrap/>
            <w:vAlign w:val="bottom"/>
            <w:hideMark/>
          </w:tcPr>
          <w:p w14:paraId="30C76367"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3835 Ostale kazne</w:t>
            </w:r>
          </w:p>
        </w:tc>
        <w:tc>
          <w:tcPr>
            <w:tcW w:w="1384" w:type="dxa"/>
            <w:tcBorders>
              <w:top w:val="nil"/>
              <w:left w:val="nil"/>
              <w:bottom w:val="nil"/>
              <w:right w:val="nil"/>
            </w:tcBorders>
            <w:shd w:val="clear" w:color="auto" w:fill="auto"/>
            <w:noWrap/>
            <w:vAlign w:val="bottom"/>
            <w:hideMark/>
          </w:tcPr>
          <w:p w14:paraId="6C3D2116" w14:textId="77777777" w:rsidR="00583CB4" w:rsidRPr="00583CB4" w:rsidRDefault="00583CB4" w:rsidP="00583CB4">
            <w:pPr>
              <w:spacing w:after="0" w:line="240" w:lineRule="auto"/>
              <w:rPr>
                <w:rFonts w:ascii="Arial" w:hAnsi="Arial" w:cs="Arial"/>
                <w:sz w:val="18"/>
                <w:szCs w:val="18"/>
                <w:lang w:eastAsia="hr-HR"/>
              </w:rPr>
            </w:pPr>
          </w:p>
        </w:tc>
        <w:tc>
          <w:tcPr>
            <w:tcW w:w="1740" w:type="dxa"/>
            <w:tcBorders>
              <w:top w:val="nil"/>
              <w:left w:val="nil"/>
              <w:bottom w:val="nil"/>
              <w:right w:val="nil"/>
            </w:tcBorders>
            <w:shd w:val="clear" w:color="auto" w:fill="auto"/>
            <w:noWrap/>
            <w:vAlign w:val="bottom"/>
            <w:hideMark/>
          </w:tcPr>
          <w:p w14:paraId="002B2B74" w14:textId="77777777" w:rsidR="00583CB4" w:rsidRPr="00583CB4" w:rsidRDefault="00583CB4" w:rsidP="00583CB4">
            <w:pPr>
              <w:spacing w:after="0" w:line="240" w:lineRule="auto"/>
              <w:jc w:val="right"/>
              <w:rPr>
                <w:rFonts w:ascii="Times New Roman" w:hAnsi="Times New Roman" w:cs="Times New Roman"/>
                <w:sz w:val="18"/>
                <w:szCs w:val="18"/>
                <w:lang w:eastAsia="hr-HR"/>
              </w:rPr>
            </w:pPr>
          </w:p>
        </w:tc>
        <w:tc>
          <w:tcPr>
            <w:tcW w:w="1412" w:type="dxa"/>
            <w:tcBorders>
              <w:top w:val="nil"/>
              <w:left w:val="nil"/>
              <w:bottom w:val="nil"/>
              <w:right w:val="nil"/>
            </w:tcBorders>
            <w:shd w:val="clear" w:color="auto" w:fill="auto"/>
            <w:noWrap/>
            <w:vAlign w:val="bottom"/>
            <w:hideMark/>
          </w:tcPr>
          <w:p w14:paraId="132EA855"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5.118,15</w:t>
            </w:r>
          </w:p>
        </w:tc>
        <w:tc>
          <w:tcPr>
            <w:tcW w:w="1320" w:type="dxa"/>
            <w:tcBorders>
              <w:top w:val="nil"/>
              <w:left w:val="nil"/>
              <w:bottom w:val="nil"/>
              <w:right w:val="nil"/>
            </w:tcBorders>
            <w:shd w:val="clear" w:color="auto" w:fill="auto"/>
            <w:noWrap/>
            <w:vAlign w:val="bottom"/>
            <w:hideMark/>
          </w:tcPr>
          <w:p w14:paraId="7FFC7847"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0,00%</w:t>
            </w:r>
          </w:p>
        </w:tc>
        <w:tc>
          <w:tcPr>
            <w:tcW w:w="1280" w:type="dxa"/>
            <w:tcBorders>
              <w:top w:val="nil"/>
              <w:left w:val="nil"/>
              <w:bottom w:val="nil"/>
              <w:right w:val="nil"/>
            </w:tcBorders>
            <w:shd w:val="clear" w:color="auto" w:fill="auto"/>
            <w:noWrap/>
            <w:vAlign w:val="bottom"/>
            <w:hideMark/>
          </w:tcPr>
          <w:p w14:paraId="139F3B3B"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15815F9A" w14:textId="77777777" w:rsidTr="00D53FB4">
        <w:trPr>
          <w:trHeight w:val="255"/>
        </w:trPr>
        <w:tc>
          <w:tcPr>
            <w:tcW w:w="7655" w:type="dxa"/>
            <w:tcBorders>
              <w:top w:val="nil"/>
              <w:left w:val="nil"/>
              <w:bottom w:val="nil"/>
              <w:right w:val="nil"/>
            </w:tcBorders>
            <w:shd w:val="clear" w:color="auto" w:fill="auto"/>
            <w:noWrap/>
            <w:vAlign w:val="bottom"/>
            <w:hideMark/>
          </w:tcPr>
          <w:p w14:paraId="2115E5AE"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386 Kapitalne pomoći                                                                                    </w:t>
            </w:r>
          </w:p>
        </w:tc>
        <w:tc>
          <w:tcPr>
            <w:tcW w:w="1384" w:type="dxa"/>
            <w:tcBorders>
              <w:top w:val="nil"/>
              <w:left w:val="nil"/>
              <w:bottom w:val="nil"/>
              <w:right w:val="nil"/>
            </w:tcBorders>
            <w:shd w:val="clear" w:color="auto" w:fill="auto"/>
            <w:noWrap/>
            <w:vAlign w:val="bottom"/>
            <w:hideMark/>
          </w:tcPr>
          <w:p w14:paraId="601903F9"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145.522,14</w:t>
            </w:r>
          </w:p>
        </w:tc>
        <w:tc>
          <w:tcPr>
            <w:tcW w:w="1740" w:type="dxa"/>
            <w:tcBorders>
              <w:top w:val="nil"/>
              <w:left w:val="nil"/>
              <w:bottom w:val="nil"/>
              <w:right w:val="nil"/>
            </w:tcBorders>
            <w:shd w:val="clear" w:color="auto" w:fill="auto"/>
            <w:noWrap/>
            <w:vAlign w:val="bottom"/>
            <w:hideMark/>
          </w:tcPr>
          <w:p w14:paraId="3ABA5767"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19B7CC22"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61.205,87</w:t>
            </w:r>
          </w:p>
        </w:tc>
        <w:tc>
          <w:tcPr>
            <w:tcW w:w="1320" w:type="dxa"/>
            <w:tcBorders>
              <w:top w:val="nil"/>
              <w:left w:val="nil"/>
              <w:bottom w:val="nil"/>
              <w:right w:val="nil"/>
            </w:tcBorders>
            <w:shd w:val="clear" w:color="auto" w:fill="auto"/>
            <w:noWrap/>
            <w:vAlign w:val="bottom"/>
            <w:hideMark/>
          </w:tcPr>
          <w:p w14:paraId="3B1EF34B"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42,06%</w:t>
            </w:r>
          </w:p>
        </w:tc>
        <w:tc>
          <w:tcPr>
            <w:tcW w:w="1280" w:type="dxa"/>
            <w:tcBorders>
              <w:top w:val="nil"/>
              <w:left w:val="nil"/>
              <w:bottom w:val="nil"/>
              <w:right w:val="nil"/>
            </w:tcBorders>
            <w:shd w:val="clear" w:color="auto" w:fill="auto"/>
            <w:noWrap/>
            <w:vAlign w:val="bottom"/>
            <w:hideMark/>
          </w:tcPr>
          <w:p w14:paraId="2D684DE7"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39E44FA8" w14:textId="77777777" w:rsidTr="00D53FB4">
        <w:trPr>
          <w:trHeight w:val="255"/>
        </w:trPr>
        <w:tc>
          <w:tcPr>
            <w:tcW w:w="7655" w:type="dxa"/>
            <w:tcBorders>
              <w:top w:val="nil"/>
              <w:left w:val="nil"/>
              <w:bottom w:val="nil"/>
              <w:right w:val="nil"/>
            </w:tcBorders>
            <w:shd w:val="clear" w:color="auto" w:fill="auto"/>
            <w:noWrap/>
            <w:vAlign w:val="bottom"/>
            <w:hideMark/>
          </w:tcPr>
          <w:p w14:paraId="1F3D51C4"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3861 Kapitalne pomoći kreditnim i ostalim financijskim institucijama te trgovačkim društvima u javnom </w:t>
            </w:r>
            <w:proofErr w:type="spellStart"/>
            <w:r w:rsidRPr="00583CB4">
              <w:rPr>
                <w:rFonts w:ascii="Arial" w:hAnsi="Arial" w:cs="Arial"/>
                <w:sz w:val="18"/>
                <w:szCs w:val="18"/>
                <w:lang w:eastAsia="hr-HR"/>
              </w:rPr>
              <w:t>sek</w:t>
            </w:r>
            <w:proofErr w:type="spellEnd"/>
          </w:p>
        </w:tc>
        <w:tc>
          <w:tcPr>
            <w:tcW w:w="1384" w:type="dxa"/>
            <w:tcBorders>
              <w:top w:val="nil"/>
              <w:left w:val="nil"/>
              <w:bottom w:val="nil"/>
              <w:right w:val="nil"/>
            </w:tcBorders>
            <w:shd w:val="clear" w:color="auto" w:fill="auto"/>
            <w:noWrap/>
            <w:vAlign w:val="bottom"/>
            <w:hideMark/>
          </w:tcPr>
          <w:p w14:paraId="0E76963C"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145.522,14</w:t>
            </w:r>
          </w:p>
        </w:tc>
        <w:tc>
          <w:tcPr>
            <w:tcW w:w="1740" w:type="dxa"/>
            <w:tcBorders>
              <w:top w:val="nil"/>
              <w:left w:val="nil"/>
              <w:bottom w:val="nil"/>
              <w:right w:val="nil"/>
            </w:tcBorders>
            <w:shd w:val="clear" w:color="auto" w:fill="auto"/>
            <w:noWrap/>
            <w:vAlign w:val="bottom"/>
            <w:hideMark/>
          </w:tcPr>
          <w:p w14:paraId="766E40F4"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7EBEC394"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61.205,87</w:t>
            </w:r>
          </w:p>
        </w:tc>
        <w:tc>
          <w:tcPr>
            <w:tcW w:w="1320" w:type="dxa"/>
            <w:tcBorders>
              <w:top w:val="nil"/>
              <w:left w:val="nil"/>
              <w:bottom w:val="nil"/>
              <w:right w:val="nil"/>
            </w:tcBorders>
            <w:shd w:val="clear" w:color="auto" w:fill="auto"/>
            <w:noWrap/>
            <w:vAlign w:val="bottom"/>
            <w:hideMark/>
          </w:tcPr>
          <w:p w14:paraId="7761F72E"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42,06%</w:t>
            </w:r>
          </w:p>
        </w:tc>
        <w:tc>
          <w:tcPr>
            <w:tcW w:w="1280" w:type="dxa"/>
            <w:tcBorders>
              <w:top w:val="nil"/>
              <w:left w:val="nil"/>
              <w:bottom w:val="nil"/>
              <w:right w:val="nil"/>
            </w:tcBorders>
            <w:shd w:val="clear" w:color="auto" w:fill="auto"/>
            <w:noWrap/>
            <w:vAlign w:val="bottom"/>
            <w:hideMark/>
          </w:tcPr>
          <w:p w14:paraId="045487A4" w14:textId="77777777" w:rsidR="00583CB4" w:rsidRPr="00583CB4" w:rsidRDefault="00583CB4" w:rsidP="00583CB4">
            <w:pPr>
              <w:spacing w:after="0" w:line="240" w:lineRule="auto"/>
              <w:jc w:val="right"/>
              <w:rPr>
                <w:rFonts w:ascii="Arial" w:hAnsi="Arial" w:cs="Arial"/>
                <w:sz w:val="18"/>
                <w:szCs w:val="18"/>
                <w:lang w:eastAsia="hr-HR"/>
              </w:rPr>
            </w:pPr>
          </w:p>
        </w:tc>
      </w:tr>
      <w:tr w:rsidR="00D53FB4" w:rsidRPr="00583CB4" w14:paraId="72079D03" w14:textId="77777777" w:rsidTr="00D53FB4">
        <w:trPr>
          <w:trHeight w:val="255"/>
        </w:trPr>
        <w:tc>
          <w:tcPr>
            <w:tcW w:w="7655" w:type="dxa"/>
            <w:tcBorders>
              <w:top w:val="nil"/>
              <w:left w:val="nil"/>
              <w:bottom w:val="nil"/>
              <w:right w:val="nil"/>
            </w:tcBorders>
            <w:shd w:val="clear" w:color="000000" w:fill="D9D9D9"/>
            <w:noWrap/>
            <w:vAlign w:val="bottom"/>
            <w:hideMark/>
          </w:tcPr>
          <w:p w14:paraId="06D0B8E6" w14:textId="77777777" w:rsidR="00583CB4" w:rsidRPr="00583CB4" w:rsidRDefault="00583CB4" w:rsidP="00583CB4">
            <w:pPr>
              <w:spacing w:after="0" w:line="240" w:lineRule="auto"/>
              <w:rPr>
                <w:rFonts w:ascii="Arial" w:hAnsi="Arial" w:cs="Arial"/>
                <w:b/>
                <w:bCs/>
                <w:sz w:val="18"/>
                <w:szCs w:val="18"/>
                <w:lang w:eastAsia="hr-HR"/>
              </w:rPr>
            </w:pPr>
            <w:r w:rsidRPr="00583CB4">
              <w:rPr>
                <w:rFonts w:ascii="Arial" w:hAnsi="Arial" w:cs="Arial"/>
                <w:b/>
                <w:bCs/>
                <w:sz w:val="18"/>
                <w:szCs w:val="18"/>
                <w:lang w:eastAsia="hr-HR"/>
              </w:rPr>
              <w:lastRenderedPageBreak/>
              <w:t xml:space="preserve">4 Rashodi za nabavu nefinancijske imovine                                                             </w:t>
            </w:r>
          </w:p>
        </w:tc>
        <w:tc>
          <w:tcPr>
            <w:tcW w:w="1384" w:type="dxa"/>
            <w:tcBorders>
              <w:top w:val="nil"/>
              <w:left w:val="nil"/>
              <w:bottom w:val="nil"/>
              <w:right w:val="nil"/>
            </w:tcBorders>
            <w:shd w:val="clear" w:color="000000" w:fill="D9D9D9"/>
            <w:noWrap/>
            <w:vAlign w:val="bottom"/>
            <w:hideMark/>
          </w:tcPr>
          <w:p w14:paraId="1052135E"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709.300,42</w:t>
            </w:r>
          </w:p>
        </w:tc>
        <w:tc>
          <w:tcPr>
            <w:tcW w:w="1740" w:type="dxa"/>
            <w:tcBorders>
              <w:top w:val="nil"/>
              <w:left w:val="nil"/>
              <w:bottom w:val="nil"/>
              <w:right w:val="nil"/>
            </w:tcBorders>
            <w:shd w:val="clear" w:color="000000" w:fill="D9D9D9"/>
            <w:noWrap/>
            <w:vAlign w:val="bottom"/>
            <w:hideMark/>
          </w:tcPr>
          <w:p w14:paraId="37BDBF63"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2.928.845,28</w:t>
            </w:r>
          </w:p>
        </w:tc>
        <w:tc>
          <w:tcPr>
            <w:tcW w:w="1412" w:type="dxa"/>
            <w:tcBorders>
              <w:top w:val="nil"/>
              <w:left w:val="nil"/>
              <w:bottom w:val="nil"/>
              <w:right w:val="nil"/>
            </w:tcBorders>
            <w:shd w:val="clear" w:color="000000" w:fill="D9D9D9"/>
            <w:noWrap/>
            <w:vAlign w:val="bottom"/>
            <w:hideMark/>
          </w:tcPr>
          <w:p w14:paraId="05640253" w14:textId="6FC5BDD5"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2.6</w:t>
            </w:r>
            <w:r w:rsidR="003B1371">
              <w:rPr>
                <w:rFonts w:ascii="Arial" w:hAnsi="Arial" w:cs="Arial"/>
                <w:b/>
                <w:bCs/>
                <w:sz w:val="18"/>
                <w:szCs w:val="18"/>
                <w:lang w:eastAsia="hr-HR"/>
              </w:rPr>
              <w:t>19.073,32</w:t>
            </w:r>
          </w:p>
        </w:tc>
        <w:tc>
          <w:tcPr>
            <w:tcW w:w="1320" w:type="dxa"/>
            <w:tcBorders>
              <w:top w:val="nil"/>
              <w:left w:val="nil"/>
              <w:bottom w:val="nil"/>
              <w:right w:val="nil"/>
            </w:tcBorders>
            <w:shd w:val="clear" w:color="000000" w:fill="D9D9D9"/>
            <w:noWrap/>
            <w:vAlign w:val="bottom"/>
            <w:hideMark/>
          </w:tcPr>
          <w:p w14:paraId="68B9D6F5" w14:textId="3341DDE2"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369,</w:t>
            </w:r>
            <w:r w:rsidR="003B1371">
              <w:rPr>
                <w:rFonts w:ascii="Arial" w:hAnsi="Arial" w:cs="Arial"/>
                <w:b/>
                <w:bCs/>
                <w:sz w:val="18"/>
                <w:szCs w:val="18"/>
                <w:lang w:eastAsia="hr-HR"/>
              </w:rPr>
              <w:t>25</w:t>
            </w:r>
            <w:r w:rsidRPr="00583CB4">
              <w:rPr>
                <w:rFonts w:ascii="Arial" w:hAnsi="Arial" w:cs="Arial"/>
                <w:b/>
                <w:bCs/>
                <w:sz w:val="18"/>
                <w:szCs w:val="18"/>
                <w:lang w:eastAsia="hr-HR"/>
              </w:rPr>
              <w:t>%</w:t>
            </w:r>
          </w:p>
        </w:tc>
        <w:tc>
          <w:tcPr>
            <w:tcW w:w="1280" w:type="dxa"/>
            <w:tcBorders>
              <w:top w:val="nil"/>
              <w:left w:val="nil"/>
              <w:bottom w:val="nil"/>
              <w:right w:val="nil"/>
            </w:tcBorders>
            <w:shd w:val="clear" w:color="000000" w:fill="D9D9D9"/>
            <w:noWrap/>
            <w:vAlign w:val="bottom"/>
            <w:hideMark/>
          </w:tcPr>
          <w:p w14:paraId="3C7866AC" w14:textId="45576C1F"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89,</w:t>
            </w:r>
            <w:r w:rsidR="003B1371">
              <w:rPr>
                <w:rFonts w:ascii="Arial" w:hAnsi="Arial" w:cs="Arial"/>
                <w:b/>
                <w:bCs/>
                <w:sz w:val="18"/>
                <w:szCs w:val="18"/>
                <w:lang w:eastAsia="hr-HR"/>
              </w:rPr>
              <w:t>42</w:t>
            </w:r>
            <w:r w:rsidRPr="00583CB4">
              <w:rPr>
                <w:rFonts w:ascii="Arial" w:hAnsi="Arial" w:cs="Arial"/>
                <w:b/>
                <w:bCs/>
                <w:sz w:val="18"/>
                <w:szCs w:val="18"/>
                <w:lang w:eastAsia="hr-HR"/>
              </w:rPr>
              <w:t>%</w:t>
            </w:r>
          </w:p>
        </w:tc>
      </w:tr>
      <w:tr w:rsidR="00583CB4" w:rsidRPr="00583CB4" w14:paraId="151E50E3" w14:textId="77777777" w:rsidTr="00D53FB4">
        <w:trPr>
          <w:trHeight w:val="255"/>
        </w:trPr>
        <w:tc>
          <w:tcPr>
            <w:tcW w:w="7655" w:type="dxa"/>
            <w:tcBorders>
              <w:top w:val="nil"/>
              <w:left w:val="nil"/>
              <w:bottom w:val="nil"/>
              <w:right w:val="nil"/>
            </w:tcBorders>
            <w:shd w:val="clear" w:color="auto" w:fill="auto"/>
            <w:noWrap/>
            <w:vAlign w:val="bottom"/>
            <w:hideMark/>
          </w:tcPr>
          <w:p w14:paraId="291F75B3" w14:textId="77777777" w:rsidR="00583CB4" w:rsidRPr="00583CB4" w:rsidRDefault="00583CB4" w:rsidP="00583CB4">
            <w:pPr>
              <w:spacing w:after="0" w:line="240" w:lineRule="auto"/>
              <w:rPr>
                <w:rFonts w:ascii="Arial" w:hAnsi="Arial" w:cs="Arial"/>
                <w:b/>
                <w:bCs/>
                <w:sz w:val="18"/>
                <w:szCs w:val="18"/>
                <w:lang w:eastAsia="hr-HR"/>
              </w:rPr>
            </w:pPr>
            <w:r w:rsidRPr="00583CB4">
              <w:rPr>
                <w:rFonts w:ascii="Arial" w:hAnsi="Arial" w:cs="Arial"/>
                <w:b/>
                <w:bCs/>
                <w:sz w:val="18"/>
                <w:szCs w:val="18"/>
                <w:lang w:eastAsia="hr-HR"/>
              </w:rPr>
              <w:t xml:space="preserve">41 Rashodi za nabavu </w:t>
            </w:r>
            <w:proofErr w:type="spellStart"/>
            <w:r w:rsidRPr="00583CB4">
              <w:rPr>
                <w:rFonts w:ascii="Arial" w:hAnsi="Arial" w:cs="Arial"/>
                <w:b/>
                <w:bCs/>
                <w:sz w:val="18"/>
                <w:szCs w:val="18"/>
                <w:lang w:eastAsia="hr-HR"/>
              </w:rPr>
              <w:t>neproizvedene</w:t>
            </w:r>
            <w:proofErr w:type="spellEnd"/>
            <w:r w:rsidRPr="00583CB4">
              <w:rPr>
                <w:rFonts w:ascii="Arial" w:hAnsi="Arial" w:cs="Arial"/>
                <w:b/>
                <w:bCs/>
                <w:sz w:val="18"/>
                <w:szCs w:val="18"/>
                <w:lang w:eastAsia="hr-HR"/>
              </w:rPr>
              <w:t xml:space="preserve"> dugotrajne imovine                                                  </w:t>
            </w:r>
          </w:p>
        </w:tc>
        <w:tc>
          <w:tcPr>
            <w:tcW w:w="1384" w:type="dxa"/>
            <w:tcBorders>
              <w:top w:val="nil"/>
              <w:left w:val="nil"/>
              <w:bottom w:val="nil"/>
              <w:right w:val="nil"/>
            </w:tcBorders>
            <w:shd w:val="clear" w:color="auto" w:fill="auto"/>
            <w:noWrap/>
            <w:vAlign w:val="bottom"/>
            <w:hideMark/>
          </w:tcPr>
          <w:p w14:paraId="36F32660"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38.503,84</w:t>
            </w:r>
          </w:p>
        </w:tc>
        <w:tc>
          <w:tcPr>
            <w:tcW w:w="1740" w:type="dxa"/>
            <w:tcBorders>
              <w:top w:val="nil"/>
              <w:left w:val="nil"/>
              <w:bottom w:val="nil"/>
              <w:right w:val="nil"/>
            </w:tcBorders>
            <w:shd w:val="clear" w:color="auto" w:fill="auto"/>
            <w:noWrap/>
            <w:vAlign w:val="bottom"/>
            <w:hideMark/>
          </w:tcPr>
          <w:p w14:paraId="2913FC41"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1.630.900,00</w:t>
            </w:r>
          </w:p>
        </w:tc>
        <w:tc>
          <w:tcPr>
            <w:tcW w:w="1412" w:type="dxa"/>
            <w:tcBorders>
              <w:top w:val="nil"/>
              <w:left w:val="nil"/>
              <w:bottom w:val="nil"/>
              <w:right w:val="nil"/>
            </w:tcBorders>
            <w:shd w:val="clear" w:color="auto" w:fill="auto"/>
            <w:noWrap/>
            <w:vAlign w:val="bottom"/>
            <w:hideMark/>
          </w:tcPr>
          <w:p w14:paraId="7EC1191C"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1.499.207,56</w:t>
            </w:r>
          </w:p>
        </w:tc>
        <w:tc>
          <w:tcPr>
            <w:tcW w:w="1320" w:type="dxa"/>
            <w:tcBorders>
              <w:top w:val="nil"/>
              <w:left w:val="nil"/>
              <w:bottom w:val="nil"/>
              <w:right w:val="nil"/>
            </w:tcBorders>
            <w:shd w:val="clear" w:color="auto" w:fill="auto"/>
            <w:noWrap/>
            <w:vAlign w:val="bottom"/>
            <w:hideMark/>
          </w:tcPr>
          <w:p w14:paraId="50ED3CA9"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3893,66%</w:t>
            </w:r>
          </w:p>
        </w:tc>
        <w:tc>
          <w:tcPr>
            <w:tcW w:w="1280" w:type="dxa"/>
            <w:tcBorders>
              <w:top w:val="nil"/>
              <w:left w:val="nil"/>
              <w:bottom w:val="nil"/>
              <w:right w:val="nil"/>
            </w:tcBorders>
            <w:shd w:val="clear" w:color="auto" w:fill="auto"/>
            <w:noWrap/>
            <w:vAlign w:val="bottom"/>
            <w:hideMark/>
          </w:tcPr>
          <w:p w14:paraId="383CF20B"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91,93%</w:t>
            </w:r>
          </w:p>
        </w:tc>
      </w:tr>
      <w:tr w:rsidR="00583CB4" w:rsidRPr="00583CB4" w14:paraId="6240CA59" w14:textId="77777777" w:rsidTr="00D53FB4">
        <w:trPr>
          <w:trHeight w:val="255"/>
        </w:trPr>
        <w:tc>
          <w:tcPr>
            <w:tcW w:w="7655" w:type="dxa"/>
            <w:tcBorders>
              <w:top w:val="nil"/>
              <w:left w:val="nil"/>
              <w:bottom w:val="nil"/>
              <w:right w:val="nil"/>
            </w:tcBorders>
            <w:shd w:val="clear" w:color="auto" w:fill="auto"/>
            <w:noWrap/>
            <w:vAlign w:val="bottom"/>
            <w:hideMark/>
          </w:tcPr>
          <w:p w14:paraId="4711D37B"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411 Materijalna imovina - prirodna bogatstva                                                            </w:t>
            </w:r>
          </w:p>
        </w:tc>
        <w:tc>
          <w:tcPr>
            <w:tcW w:w="1384" w:type="dxa"/>
            <w:tcBorders>
              <w:top w:val="nil"/>
              <w:left w:val="nil"/>
              <w:bottom w:val="nil"/>
              <w:right w:val="nil"/>
            </w:tcBorders>
            <w:shd w:val="clear" w:color="auto" w:fill="auto"/>
            <w:noWrap/>
            <w:vAlign w:val="bottom"/>
            <w:hideMark/>
          </w:tcPr>
          <w:p w14:paraId="11EAE64F"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904,60</w:t>
            </w:r>
          </w:p>
        </w:tc>
        <w:tc>
          <w:tcPr>
            <w:tcW w:w="1740" w:type="dxa"/>
            <w:tcBorders>
              <w:top w:val="nil"/>
              <w:left w:val="nil"/>
              <w:bottom w:val="nil"/>
              <w:right w:val="nil"/>
            </w:tcBorders>
            <w:shd w:val="clear" w:color="auto" w:fill="auto"/>
            <w:noWrap/>
            <w:vAlign w:val="bottom"/>
            <w:hideMark/>
          </w:tcPr>
          <w:p w14:paraId="7B922941"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3145AA89"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87.199,66</w:t>
            </w:r>
          </w:p>
        </w:tc>
        <w:tc>
          <w:tcPr>
            <w:tcW w:w="1320" w:type="dxa"/>
            <w:tcBorders>
              <w:top w:val="nil"/>
              <w:left w:val="nil"/>
              <w:bottom w:val="nil"/>
              <w:right w:val="nil"/>
            </w:tcBorders>
            <w:shd w:val="clear" w:color="auto" w:fill="auto"/>
            <w:noWrap/>
            <w:vAlign w:val="bottom"/>
            <w:hideMark/>
          </w:tcPr>
          <w:p w14:paraId="58AC106D"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9639,58%</w:t>
            </w:r>
          </w:p>
        </w:tc>
        <w:tc>
          <w:tcPr>
            <w:tcW w:w="1280" w:type="dxa"/>
            <w:tcBorders>
              <w:top w:val="nil"/>
              <w:left w:val="nil"/>
              <w:bottom w:val="nil"/>
              <w:right w:val="nil"/>
            </w:tcBorders>
            <w:shd w:val="clear" w:color="auto" w:fill="auto"/>
            <w:noWrap/>
            <w:vAlign w:val="bottom"/>
            <w:hideMark/>
          </w:tcPr>
          <w:p w14:paraId="5BFF0A73"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4C37DE38" w14:textId="77777777" w:rsidTr="00D53FB4">
        <w:trPr>
          <w:trHeight w:val="255"/>
        </w:trPr>
        <w:tc>
          <w:tcPr>
            <w:tcW w:w="7655" w:type="dxa"/>
            <w:tcBorders>
              <w:top w:val="nil"/>
              <w:left w:val="nil"/>
              <w:bottom w:val="nil"/>
              <w:right w:val="nil"/>
            </w:tcBorders>
            <w:shd w:val="clear" w:color="auto" w:fill="auto"/>
            <w:noWrap/>
            <w:vAlign w:val="bottom"/>
            <w:hideMark/>
          </w:tcPr>
          <w:p w14:paraId="6A9F99BD"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4111 Zemljište                                                                                           </w:t>
            </w:r>
          </w:p>
        </w:tc>
        <w:tc>
          <w:tcPr>
            <w:tcW w:w="1384" w:type="dxa"/>
            <w:tcBorders>
              <w:top w:val="nil"/>
              <w:left w:val="nil"/>
              <w:bottom w:val="nil"/>
              <w:right w:val="nil"/>
            </w:tcBorders>
            <w:shd w:val="clear" w:color="auto" w:fill="auto"/>
            <w:noWrap/>
            <w:vAlign w:val="bottom"/>
            <w:hideMark/>
          </w:tcPr>
          <w:p w14:paraId="07D9C699"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904,60</w:t>
            </w:r>
          </w:p>
        </w:tc>
        <w:tc>
          <w:tcPr>
            <w:tcW w:w="1740" w:type="dxa"/>
            <w:tcBorders>
              <w:top w:val="nil"/>
              <w:left w:val="nil"/>
              <w:bottom w:val="nil"/>
              <w:right w:val="nil"/>
            </w:tcBorders>
            <w:shd w:val="clear" w:color="auto" w:fill="auto"/>
            <w:noWrap/>
            <w:vAlign w:val="bottom"/>
            <w:hideMark/>
          </w:tcPr>
          <w:p w14:paraId="48A49461"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6CDD1AF0"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87.199,66</w:t>
            </w:r>
          </w:p>
        </w:tc>
        <w:tc>
          <w:tcPr>
            <w:tcW w:w="1320" w:type="dxa"/>
            <w:tcBorders>
              <w:top w:val="nil"/>
              <w:left w:val="nil"/>
              <w:bottom w:val="nil"/>
              <w:right w:val="nil"/>
            </w:tcBorders>
            <w:shd w:val="clear" w:color="auto" w:fill="auto"/>
            <w:noWrap/>
            <w:vAlign w:val="bottom"/>
            <w:hideMark/>
          </w:tcPr>
          <w:p w14:paraId="795F50E3"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9639,58%</w:t>
            </w:r>
          </w:p>
        </w:tc>
        <w:tc>
          <w:tcPr>
            <w:tcW w:w="1280" w:type="dxa"/>
            <w:tcBorders>
              <w:top w:val="nil"/>
              <w:left w:val="nil"/>
              <w:bottom w:val="nil"/>
              <w:right w:val="nil"/>
            </w:tcBorders>
            <w:shd w:val="clear" w:color="auto" w:fill="auto"/>
            <w:noWrap/>
            <w:vAlign w:val="bottom"/>
            <w:hideMark/>
          </w:tcPr>
          <w:p w14:paraId="58AEFD4A"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6BE1A7F7" w14:textId="77777777" w:rsidTr="00D53FB4">
        <w:trPr>
          <w:trHeight w:val="255"/>
        </w:trPr>
        <w:tc>
          <w:tcPr>
            <w:tcW w:w="7655" w:type="dxa"/>
            <w:tcBorders>
              <w:top w:val="nil"/>
              <w:left w:val="nil"/>
              <w:bottom w:val="nil"/>
              <w:right w:val="nil"/>
            </w:tcBorders>
            <w:shd w:val="clear" w:color="auto" w:fill="auto"/>
            <w:noWrap/>
            <w:vAlign w:val="bottom"/>
            <w:hideMark/>
          </w:tcPr>
          <w:p w14:paraId="1654D81F"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412 Nematerijalna imovina                                                                               </w:t>
            </w:r>
          </w:p>
        </w:tc>
        <w:tc>
          <w:tcPr>
            <w:tcW w:w="1384" w:type="dxa"/>
            <w:tcBorders>
              <w:top w:val="nil"/>
              <w:left w:val="nil"/>
              <w:bottom w:val="nil"/>
              <w:right w:val="nil"/>
            </w:tcBorders>
            <w:shd w:val="clear" w:color="auto" w:fill="auto"/>
            <w:noWrap/>
            <w:vAlign w:val="bottom"/>
            <w:hideMark/>
          </w:tcPr>
          <w:p w14:paraId="4FF3E591"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37.599,24</w:t>
            </w:r>
          </w:p>
        </w:tc>
        <w:tc>
          <w:tcPr>
            <w:tcW w:w="1740" w:type="dxa"/>
            <w:tcBorders>
              <w:top w:val="nil"/>
              <w:left w:val="nil"/>
              <w:bottom w:val="nil"/>
              <w:right w:val="nil"/>
            </w:tcBorders>
            <w:shd w:val="clear" w:color="auto" w:fill="auto"/>
            <w:noWrap/>
            <w:vAlign w:val="bottom"/>
            <w:hideMark/>
          </w:tcPr>
          <w:p w14:paraId="5ABAD061"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4BD8F7DF"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1.412.007,90</w:t>
            </w:r>
          </w:p>
        </w:tc>
        <w:tc>
          <w:tcPr>
            <w:tcW w:w="1320" w:type="dxa"/>
            <w:tcBorders>
              <w:top w:val="nil"/>
              <w:left w:val="nil"/>
              <w:bottom w:val="nil"/>
              <w:right w:val="nil"/>
            </w:tcBorders>
            <w:shd w:val="clear" w:color="auto" w:fill="auto"/>
            <w:noWrap/>
            <w:vAlign w:val="bottom"/>
            <w:hideMark/>
          </w:tcPr>
          <w:p w14:paraId="5DAA0FA9"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3755,42%</w:t>
            </w:r>
          </w:p>
        </w:tc>
        <w:tc>
          <w:tcPr>
            <w:tcW w:w="1280" w:type="dxa"/>
            <w:tcBorders>
              <w:top w:val="nil"/>
              <w:left w:val="nil"/>
              <w:bottom w:val="nil"/>
              <w:right w:val="nil"/>
            </w:tcBorders>
            <w:shd w:val="clear" w:color="auto" w:fill="auto"/>
            <w:noWrap/>
            <w:vAlign w:val="bottom"/>
            <w:hideMark/>
          </w:tcPr>
          <w:p w14:paraId="6027A494"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1C777D57" w14:textId="77777777" w:rsidTr="00D53FB4">
        <w:trPr>
          <w:trHeight w:val="255"/>
        </w:trPr>
        <w:tc>
          <w:tcPr>
            <w:tcW w:w="7655" w:type="dxa"/>
            <w:tcBorders>
              <w:top w:val="nil"/>
              <w:left w:val="nil"/>
              <w:bottom w:val="nil"/>
              <w:right w:val="nil"/>
            </w:tcBorders>
            <w:shd w:val="clear" w:color="auto" w:fill="auto"/>
            <w:noWrap/>
            <w:vAlign w:val="bottom"/>
            <w:hideMark/>
          </w:tcPr>
          <w:p w14:paraId="4AF5A5A4"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4124 Ostala prava                                                                                        </w:t>
            </w:r>
          </w:p>
        </w:tc>
        <w:tc>
          <w:tcPr>
            <w:tcW w:w="1384" w:type="dxa"/>
            <w:tcBorders>
              <w:top w:val="nil"/>
              <w:left w:val="nil"/>
              <w:bottom w:val="nil"/>
              <w:right w:val="nil"/>
            </w:tcBorders>
            <w:shd w:val="clear" w:color="auto" w:fill="auto"/>
            <w:noWrap/>
            <w:vAlign w:val="bottom"/>
            <w:hideMark/>
          </w:tcPr>
          <w:p w14:paraId="4CE0689B"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5.224,24</w:t>
            </w:r>
          </w:p>
        </w:tc>
        <w:tc>
          <w:tcPr>
            <w:tcW w:w="1740" w:type="dxa"/>
            <w:tcBorders>
              <w:top w:val="nil"/>
              <w:left w:val="nil"/>
              <w:bottom w:val="nil"/>
              <w:right w:val="nil"/>
            </w:tcBorders>
            <w:shd w:val="clear" w:color="auto" w:fill="auto"/>
            <w:noWrap/>
            <w:vAlign w:val="bottom"/>
            <w:hideMark/>
          </w:tcPr>
          <w:p w14:paraId="5819EEF4"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75F0EF03"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1.412.007,90</w:t>
            </w:r>
          </w:p>
        </w:tc>
        <w:tc>
          <w:tcPr>
            <w:tcW w:w="1320" w:type="dxa"/>
            <w:tcBorders>
              <w:top w:val="nil"/>
              <w:left w:val="nil"/>
              <w:bottom w:val="nil"/>
              <w:right w:val="nil"/>
            </w:tcBorders>
            <w:shd w:val="clear" w:color="auto" w:fill="auto"/>
            <w:noWrap/>
            <w:vAlign w:val="bottom"/>
            <w:hideMark/>
          </w:tcPr>
          <w:p w14:paraId="370E4744"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27028,01%</w:t>
            </w:r>
          </w:p>
        </w:tc>
        <w:tc>
          <w:tcPr>
            <w:tcW w:w="1280" w:type="dxa"/>
            <w:tcBorders>
              <w:top w:val="nil"/>
              <w:left w:val="nil"/>
              <w:bottom w:val="nil"/>
              <w:right w:val="nil"/>
            </w:tcBorders>
            <w:shd w:val="clear" w:color="auto" w:fill="auto"/>
            <w:noWrap/>
            <w:vAlign w:val="bottom"/>
            <w:hideMark/>
          </w:tcPr>
          <w:p w14:paraId="39D0DB3D"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4C75917A" w14:textId="77777777" w:rsidTr="00D53FB4">
        <w:trPr>
          <w:trHeight w:val="255"/>
        </w:trPr>
        <w:tc>
          <w:tcPr>
            <w:tcW w:w="7655" w:type="dxa"/>
            <w:tcBorders>
              <w:top w:val="nil"/>
              <w:left w:val="nil"/>
              <w:bottom w:val="nil"/>
              <w:right w:val="nil"/>
            </w:tcBorders>
            <w:shd w:val="clear" w:color="auto" w:fill="auto"/>
            <w:noWrap/>
            <w:vAlign w:val="bottom"/>
            <w:hideMark/>
          </w:tcPr>
          <w:p w14:paraId="2F1045B4"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4126 Ostala nematerijalna imovina                                                                        </w:t>
            </w:r>
          </w:p>
        </w:tc>
        <w:tc>
          <w:tcPr>
            <w:tcW w:w="1384" w:type="dxa"/>
            <w:tcBorders>
              <w:top w:val="nil"/>
              <w:left w:val="nil"/>
              <w:bottom w:val="nil"/>
              <w:right w:val="nil"/>
            </w:tcBorders>
            <w:shd w:val="clear" w:color="auto" w:fill="auto"/>
            <w:noWrap/>
            <w:vAlign w:val="bottom"/>
            <w:hideMark/>
          </w:tcPr>
          <w:p w14:paraId="1E4ECEBA"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32.375,00</w:t>
            </w:r>
          </w:p>
        </w:tc>
        <w:tc>
          <w:tcPr>
            <w:tcW w:w="1740" w:type="dxa"/>
            <w:tcBorders>
              <w:top w:val="nil"/>
              <w:left w:val="nil"/>
              <w:bottom w:val="nil"/>
              <w:right w:val="nil"/>
            </w:tcBorders>
            <w:shd w:val="clear" w:color="auto" w:fill="auto"/>
            <w:noWrap/>
            <w:vAlign w:val="bottom"/>
            <w:hideMark/>
          </w:tcPr>
          <w:p w14:paraId="505D8239"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2E599794" w14:textId="77777777" w:rsidR="00583CB4" w:rsidRPr="00583CB4" w:rsidRDefault="00583CB4" w:rsidP="00583CB4">
            <w:pPr>
              <w:spacing w:after="0" w:line="240" w:lineRule="auto"/>
              <w:jc w:val="right"/>
              <w:rPr>
                <w:rFonts w:ascii="Times New Roman" w:hAnsi="Times New Roman" w:cs="Times New Roman"/>
                <w:sz w:val="18"/>
                <w:szCs w:val="18"/>
                <w:lang w:eastAsia="hr-HR"/>
              </w:rPr>
            </w:pPr>
          </w:p>
        </w:tc>
        <w:tc>
          <w:tcPr>
            <w:tcW w:w="1320" w:type="dxa"/>
            <w:tcBorders>
              <w:top w:val="nil"/>
              <w:left w:val="nil"/>
              <w:bottom w:val="nil"/>
              <w:right w:val="nil"/>
            </w:tcBorders>
            <w:shd w:val="clear" w:color="auto" w:fill="auto"/>
            <w:noWrap/>
            <w:vAlign w:val="bottom"/>
            <w:hideMark/>
          </w:tcPr>
          <w:p w14:paraId="3E18DE8F"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0,00%</w:t>
            </w:r>
          </w:p>
        </w:tc>
        <w:tc>
          <w:tcPr>
            <w:tcW w:w="1280" w:type="dxa"/>
            <w:tcBorders>
              <w:top w:val="nil"/>
              <w:left w:val="nil"/>
              <w:bottom w:val="nil"/>
              <w:right w:val="nil"/>
            </w:tcBorders>
            <w:shd w:val="clear" w:color="auto" w:fill="auto"/>
            <w:noWrap/>
            <w:vAlign w:val="bottom"/>
            <w:hideMark/>
          </w:tcPr>
          <w:p w14:paraId="5B1EECF6"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6A5CE0C3" w14:textId="77777777" w:rsidTr="00D53FB4">
        <w:trPr>
          <w:trHeight w:val="255"/>
        </w:trPr>
        <w:tc>
          <w:tcPr>
            <w:tcW w:w="7655" w:type="dxa"/>
            <w:tcBorders>
              <w:top w:val="nil"/>
              <w:left w:val="nil"/>
              <w:bottom w:val="nil"/>
              <w:right w:val="nil"/>
            </w:tcBorders>
            <w:shd w:val="clear" w:color="auto" w:fill="auto"/>
            <w:noWrap/>
            <w:vAlign w:val="bottom"/>
            <w:hideMark/>
          </w:tcPr>
          <w:p w14:paraId="555AD5AD" w14:textId="77777777" w:rsidR="00583CB4" w:rsidRPr="00583CB4" w:rsidRDefault="00583CB4" w:rsidP="00583CB4">
            <w:pPr>
              <w:spacing w:after="0" w:line="240" w:lineRule="auto"/>
              <w:rPr>
                <w:rFonts w:ascii="Arial" w:hAnsi="Arial" w:cs="Arial"/>
                <w:b/>
                <w:bCs/>
                <w:sz w:val="18"/>
                <w:szCs w:val="18"/>
                <w:lang w:eastAsia="hr-HR"/>
              </w:rPr>
            </w:pPr>
            <w:r w:rsidRPr="00583CB4">
              <w:rPr>
                <w:rFonts w:ascii="Arial" w:hAnsi="Arial" w:cs="Arial"/>
                <w:b/>
                <w:bCs/>
                <w:sz w:val="18"/>
                <w:szCs w:val="18"/>
                <w:lang w:eastAsia="hr-HR"/>
              </w:rPr>
              <w:t xml:space="preserve">42 Rashodi za nabavu proizvedene dugotrajne imovine                                                    </w:t>
            </w:r>
          </w:p>
        </w:tc>
        <w:tc>
          <w:tcPr>
            <w:tcW w:w="1384" w:type="dxa"/>
            <w:tcBorders>
              <w:top w:val="nil"/>
              <w:left w:val="nil"/>
              <w:bottom w:val="nil"/>
              <w:right w:val="nil"/>
            </w:tcBorders>
            <w:shd w:val="clear" w:color="auto" w:fill="auto"/>
            <w:noWrap/>
            <w:vAlign w:val="bottom"/>
            <w:hideMark/>
          </w:tcPr>
          <w:p w14:paraId="18C43E51"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302.953,33</w:t>
            </w:r>
          </w:p>
        </w:tc>
        <w:tc>
          <w:tcPr>
            <w:tcW w:w="1740" w:type="dxa"/>
            <w:tcBorders>
              <w:top w:val="nil"/>
              <w:left w:val="nil"/>
              <w:bottom w:val="nil"/>
              <w:right w:val="nil"/>
            </w:tcBorders>
            <w:shd w:val="clear" w:color="auto" w:fill="auto"/>
            <w:noWrap/>
            <w:vAlign w:val="bottom"/>
            <w:hideMark/>
          </w:tcPr>
          <w:p w14:paraId="3B97758E"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1.015.168,00</w:t>
            </w:r>
          </w:p>
        </w:tc>
        <w:tc>
          <w:tcPr>
            <w:tcW w:w="1412" w:type="dxa"/>
            <w:tcBorders>
              <w:top w:val="nil"/>
              <w:left w:val="nil"/>
              <w:bottom w:val="nil"/>
              <w:right w:val="nil"/>
            </w:tcBorders>
            <w:shd w:val="clear" w:color="auto" w:fill="auto"/>
            <w:noWrap/>
            <w:vAlign w:val="bottom"/>
            <w:hideMark/>
          </w:tcPr>
          <w:p w14:paraId="3C85910B" w14:textId="482F47D9"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85</w:t>
            </w:r>
            <w:r w:rsidR="003B1371">
              <w:rPr>
                <w:rFonts w:ascii="Arial" w:hAnsi="Arial" w:cs="Arial"/>
                <w:b/>
                <w:bCs/>
                <w:sz w:val="18"/>
                <w:szCs w:val="18"/>
                <w:lang w:eastAsia="hr-HR"/>
              </w:rPr>
              <w:t>3.010,52</w:t>
            </w:r>
          </w:p>
        </w:tc>
        <w:tc>
          <w:tcPr>
            <w:tcW w:w="1320" w:type="dxa"/>
            <w:tcBorders>
              <w:top w:val="nil"/>
              <w:left w:val="nil"/>
              <w:bottom w:val="nil"/>
              <w:right w:val="nil"/>
            </w:tcBorders>
            <w:shd w:val="clear" w:color="auto" w:fill="auto"/>
            <w:noWrap/>
            <w:vAlign w:val="bottom"/>
            <w:hideMark/>
          </w:tcPr>
          <w:p w14:paraId="6B1A1F45" w14:textId="52D64FFA"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281,</w:t>
            </w:r>
            <w:r w:rsidR="003B1371">
              <w:rPr>
                <w:rFonts w:ascii="Arial" w:hAnsi="Arial" w:cs="Arial"/>
                <w:b/>
                <w:bCs/>
                <w:sz w:val="18"/>
                <w:szCs w:val="18"/>
                <w:lang w:eastAsia="hr-HR"/>
              </w:rPr>
              <w:t>56</w:t>
            </w:r>
            <w:r w:rsidRPr="00583CB4">
              <w:rPr>
                <w:rFonts w:ascii="Arial" w:hAnsi="Arial" w:cs="Arial"/>
                <w:b/>
                <w:bCs/>
                <w:sz w:val="18"/>
                <w:szCs w:val="18"/>
                <w:lang w:eastAsia="hr-HR"/>
              </w:rPr>
              <w:t>%</w:t>
            </w:r>
          </w:p>
        </w:tc>
        <w:tc>
          <w:tcPr>
            <w:tcW w:w="1280" w:type="dxa"/>
            <w:tcBorders>
              <w:top w:val="nil"/>
              <w:left w:val="nil"/>
              <w:bottom w:val="nil"/>
              <w:right w:val="nil"/>
            </w:tcBorders>
            <w:shd w:val="clear" w:color="auto" w:fill="auto"/>
            <w:noWrap/>
            <w:vAlign w:val="bottom"/>
            <w:hideMark/>
          </w:tcPr>
          <w:p w14:paraId="642E96D2" w14:textId="09296814"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83,</w:t>
            </w:r>
            <w:r w:rsidR="003B1371">
              <w:rPr>
                <w:rFonts w:ascii="Arial" w:hAnsi="Arial" w:cs="Arial"/>
                <w:b/>
                <w:bCs/>
                <w:sz w:val="18"/>
                <w:szCs w:val="18"/>
                <w:lang w:eastAsia="hr-HR"/>
              </w:rPr>
              <w:t>03</w:t>
            </w:r>
            <w:r w:rsidRPr="00583CB4">
              <w:rPr>
                <w:rFonts w:ascii="Arial" w:hAnsi="Arial" w:cs="Arial"/>
                <w:b/>
                <w:bCs/>
                <w:sz w:val="18"/>
                <w:szCs w:val="18"/>
                <w:lang w:eastAsia="hr-HR"/>
              </w:rPr>
              <w:t>%</w:t>
            </w:r>
          </w:p>
        </w:tc>
      </w:tr>
      <w:tr w:rsidR="00583CB4" w:rsidRPr="00583CB4" w14:paraId="2F780473" w14:textId="77777777" w:rsidTr="00D53FB4">
        <w:trPr>
          <w:trHeight w:val="255"/>
        </w:trPr>
        <w:tc>
          <w:tcPr>
            <w:tcW w:w="7655" w:type="dxa"/>
            <w:tcBorders>
              <w:top w:val="nil"/>
              <w:left w:val="nil"/>
              <w:bottom w:val="nil"/>
              <w:right w:val="nil"/>
            </w:tcBorders>
            <w:shd w:val="clear" w:color="auto" w:fill="auto"/>
            <w:noWrap/>
            <w:vAlign w:val="bottom"/>
            <w:hideMark/>
          </w:tcPr>
          <w:p w14:paraId="082776F4"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421 Građevinski objekti                                                                                 </w:t>
            </w:r>
          </w:p>
        </w:tc>
        <w:tc>
          <w:tcPr>
            <w:tcW w:w="1384" w:type="dxa"/>
            <w:tcBorders>
              <w:top w:val="nil"/>
              <w:left w:val="nil"/>
              <w:bottom w:val="nil"/>
              <w:right w:val="nil"/>
            </w:tcBorders>
            <w:shd w:val="clear" w:color="auto" w:fill="auto"/>
            <w:noWrap/>
            <w:vAlign w:val="bottom"/>
            <w:hideMark/>
          </w:tcPr>
          <w:p w14:paraId="6D0B2782"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69.799,34</w:t>
            </w:r>
          </w:p>
        </w:tc>
        <w:tc>
          <w:tcPr>
            <w:tcW w:w="1740" w:type="dxa"/>
            <w:tcBorders>
              <w:top w:val="nil"/>
              <w:left w:val="nil"/>
              <w:bottom w:val="nil"/>
              <w:right w:val="nil"/>
            </w:tcBorders>
            <w:shd w:val="clear" w:color="auto" w:fill="auto"/>
            <w:noWrap/>
            <w:vAlign w:val="bottom"/>
            <w:hideMark/>
          </w:tcPr>
          <w:p w14:paraId="5FF7A142"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39F244B5"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216.641,63</w:t>
            </w:r>
          </w:p>
        </w:tc>
        <w:tc>
          <w:tcPr>
            <w:tcW w:w="1320" w:type="dxa"/>
            <w:tcBorders>
              <w:top w:val="nil"/>
              <w:left w:val="nil"/>
              <w:bottom w:val="nil"/>
              <w:right w:val="nil"/>
            </w:tcBorders>
            <w:shd w:val="clear" w:color="auto" w:fill="auto"/>
            <w:noWrap/>
            <w:vAlign w:val="bottom"/>
            <w:hideMark/>
          </w:tcPr>
          <w:p w14:paraId="1E42A487"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310,38%</w:t>
            </w:r>
          </w:p>
        </w:tc>
        <w:tc>
          <w:tcPr>
            <w:tcW w:w="1280" w:type="dxa"/>
            <w:tcBorders>
              <w:top w:val="nil"/>
              <w:left w:val="nil"/>
              <w:bottom w:val="nil"/>
              <w:right w:val="nil"/>
            </w:tcBorders>
            <w:shd w:val="clear" w:color="auto" w:fill="auto"/>
            <w:noWrap/>
            <w:vAlign w:val="bottom"/>
            <w:hideMark/>
          </w:tcPr>
          <w:p w14:paraId="7DAEA189"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1866923E" w14:textId="77777777" w:rsidTr="00D53FB4">
        <w:trPr>
          <w:trHeight w:val="255"/>
        </w:trPr>
        <w:tc>
          <w:tcPr>
            <w:tcW w:w="7655" w:type="dxa"/>
            <w:tcBorders>
              <w:top w:val="nil"/>
              <w:left w:val="nil"/>
              <w:bottom w:val="nil"/>
              <w:right w:val="nil"/>
            </w:tcBorders>
            <w:shd w:val="clear" w:color="auto" w:fill="auto"/>
            <w:noWrap/>
            <w:vAlign w:val="bottom"/>
            <w:hideMark/>
          </w:tcPr>
          <w:p w14:paraId="2A4F7709"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4214 Ostali građevinski objekti                                                                          </w:t>
            </w:r>
          </w:p>
        </w:tc>
        <w:tc>
          <w:tcPr>
            <w:tcW w:w="1384" w:type="dxa"/>
            <w:tcBorders>
              <w:top w:val="nil"/>
              <w:left w:val="nil"/>
              <w:bottom w:val="nil"/>
              <w:right w:val="nil"/>
            </w:tcBorders>
            <w:shd w:val="clear" w:color="auto" w:fill="auto"/>
            <w:noWrap/>
            <w:vAlign w:val="bottom"/>
            <w:hideMark/>
          </w:tcPr>
          <w:p w14:paraId="45966425"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69.799,34</w:t>
            </w:r>
          </w:p>
        </w:tc>
        <w:tc>
          <w:tcPr>
            <w:tcW w:w="1740" w:type="dxa"/>
            <w:tcBorders>
              <w:top w:val="nil"/>
              <w:left w:val="nil"/>
              <w:bottom w:val="nil"/>
              <w:right w:val="nil"/>
            </w:tcBorders>
            <w:shd w:val="clear" w:color="auto" w:fill="auto"/>
            <w:noWrap/>
            <w:vAlign w:val="bottom"/>
            <w:hideMark/>
          </w:tcPr>
          <w:p w14:paraId="358CAB0C"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708AA966"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216.641,63</w:t>
            </w:r>
          </w:p>
        </w:tc>
        <w:tc>
          <w:tcPr>
            <w:tcW w:w="1320" w:type="dxa"/>
            <w:tcBorders>
              <w:top w:val="nil"/>
              <w:left w:val="nil"/>
              <w:bottom w:val="nil"/>
              <w:right w:val="nil"/>
            </w:tcBorders>
            <w:shd w:val="clear" w:color="auto" w:fill="auto"/>
            <w:noWrap/>
            <w:vAlign w:val="bottom"/>
            <w:hideMark/>
          </w:tcPr>
          <w:p w14:paraId="1291972F"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310,38%</w:t>
            </w:r>
          </w:p>
        </w:tc>
        <w:tc>
          <w:tcPr>
            <w:tcW w:w="1280" w:type="dxa"/>
            <w:tcBorders>
              <w:top w:val="nil"/>
              <w:left w:val="nil"/>
              <w:bottom w:val="nil"/>
              <w:right w:val="nil"/>
            </w:tcBorders>
            <w:shd w:val="clear" w:color="auto" w:fill="auto"/>
            <w:noWrap/>
            <w:vAlign w:val="bottom"/>
            <w:hideMark/>
          </w:tcPr>
          <w:p w14:paraId="7661938D"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0921FE96" w14:textId="77777777" w:rsidTr="00D53FB4">
        <w:trPr>
          <w:trHeight w:val="255"/>
        </w:trPr>
        <w:tc>
          <w:tcPr>
            <w:tcW w:w="7655" w:type="dxa"/>
            <w:tcBorders>
              <w:top w:val="nil"/>
              <w:left w:val="nil"/>
              <w:bottom w:val="nil"/>
              <w:right w:val="nil"/>
            </w:tcBorders>
            <w:shd w:val="clear" w:color="auto" w:fill="auto"/>
            <w:noWrap/>
            <w:vAlign w:val="bottom"/>
            <w:hideMark/>
          </w:tcPr>
          <w:p w14:paraId="32051E7B"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422 Postrojenja i oprema                                                                                </w:t>
            </w:r>
          </w:p>
        </w:tc>
        <w:tc>
          <w:tcPr>
            <w:tcW w:w="1384" w:type="dxa"/>
            <w:tcBorders>
              <w:top w:val="nil"/>
              <w:left w:val="nil"/>
              <w:bottom w:val="nil"/>
              <w:right w:val="nil"/>
            </w:tcBorders>
            <w:shd w:val="clear" w:color="auto" w:fill="auto"/>
            <w:noWrap/>
            <w:vAlign w:val="bottom"/>
            <w:hideMark/>
          </w:tcPr>
          <w:p w14:paraId="096F12E1"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139.912,23</w:t>
            </w:r>
          </w:p>
        </w:tc>
        <w:tc>
          <w:tcPr>
            <w:tcW w:w="1740" w:type="dxa"/>
            <w:tcBorders>
              <w:top w:val="nil"/>
              <w:left w:val="nil"/>
              <w:bottom w:val="nil"/>
              <w:right w:val="nil"/>
            </w:tcBorders>
            <w:shd w:val="clear" w:color="auto" w:fill="auto"/>
            <w:noWrap/>
            <w:vAlign w:val="bottom"/>
            <w:hideMark/>
          </w:tcPr>
          <w:p w14:paraId="0533EC14"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33F4606E" w14:textId="509DFE0C"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5</w:t>
            </w:r>
            <w:r w:rsidR="003B1371">
              <w:rPr>
                <w:rFonts w:ascii="Arial" w:hAnsi="Arial" w:cs="Arial"/>
                <w:sz w:val="18"/>
                <w:szCs w:val="18"/>
                <w:lang w:eastAsia="hr-HR"/>
              </w:rPr>
              <w:t>71.021,77</w:t>
            </w:r>
          </w:p>
        </w:tc>
        <w:tc>
          <w:tcPr>
            <w:tcW w:w="1320" w:type="dxa"/>
            <w:tcBorders>
              <w:top w:val="nil"/>
              <w:left w:val="nil"/>
              <w:bottom w:val="nil"/>
              <w:right w:val="nil"/>
            </w:tcBorders>
            <w:shd w:val="clear" w:color="auto" w:fill="auto"/>
            <w:noWrap/>
            <w:vAlign w:val="bottom"/>
            <w:hideMark/>
          </w:tcPr>
          <w:p w14:paraId="41243966" w14:textId="29468648"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40</w:t>
            </w:r>
            <w:r w:rsidR="003B1371">
              <w:rPr>
                <w:rFonts w:ascii="Arial" w:hAnsi="Arial" w:cs="Arial"/>
                <w:sz w:val="18"/>
                <w:szCs w:val="18"/>
                <w:lang w:eastAsia="hr-HR"/>
              </w:rPr>
              <w:t>8,13</w:t>
            </w:r>
            <w:r w:rsidRPr="00583CB4">
              <w:rPr>
                <w:rFonts w:ascii="Arial" w:hAnsi="Arial" w:cs="Arial"/>
                <w:sz w:val="18"/>
                <w:szCs w:val="18"/>
                <w:lang w:eastAsia="hr-HR"/>
              </w:rPr>
              <w:t>%</w:t>
            </w:r>
          </w:p>
        </w:tc>
        <w:tc>
          <w:tcPr>
            <w:tcW w:w="1280" w:type="dxa"/>
            <w:tcBorders>
              <w:top w:val="nil"/>
              <w:left w:val="nil"/>
              <w:bottom w:val="nil"/>
              <w:right w:val="nil"/>
            </w:tcBorders>
            <w:shd w:val="clear" w:color="auto" w:fill="auto"/>
            <w:noWrap/>
            <w:vAlign w:val="bottom"/>
            <w:hideMark/>
          </w:tcPr>
          <w:p w14:paraId="25BAC4F0"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7CB73A0D" w14:textId="77777777" w:rsidTr="00D53FB4">
        <w:trPr>
          <w:trHeight w:val="255"/>
        </w:trPr>
        <w:tc>
          <w:tcPr>
            <w:tcW w:w="7655" w:type="dxa"/>
            <w:tcBorders>
              <w:top w:val="nil"/>
              <w:left w:val="nil"/>
              <w:bottom w:val="nil"/>
              <w:right w:val="nil"/>
            </w:tcBorders>
            <w:shd w:val="clear" w:color="auto" w:fill="auto"/>
            <w:noWrap/>
            <w:vAlign w:val="bottom"/>
            <w:hideMark/>
          </w:tcPr>
          <w:p w14:paraId="78307A55"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4221 Uredska oprema i namještaj                                                                          </w:t>
            </w:r>
          </w:p>
        </w:tc>
        <w:tc>
          <w:tcPr>
            <w:tcW w:w="1384" w:type="dxa"/>
            <w:tcBorders>
              <w:top w:val="nil"/>
              <w:left w:val="nil"/>
              <w:bottom w:val="nil"/>
              <w:right w:val="nil"/>
            </w:tcBorders>
            <w:shd w:val="clear" w:color="auto" w:fill="auto"/>
            <w:noWrap/>
            <w:vAlign w:val="bottom"/>
            <w:hideMark/>
          </w:tcPr>
          <w:p w14:paraId="76D217C5"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28.018,00</w:t>
            </w:r>
          </w:p>
        </w:tc>
        <w:tc>
          <w:tcPr>
            <w:tcW w:w="1740" w:type="dxa"/>
            <w:tcBorders>
              <w:top w:val="nil"/>
              <w:left w:val="nil"/>
              <w:bottom w:val="nil"/>
              <w:right w:val="nil"/>
            </w:tcBorders>
            <w:shd w:val="clear" w:color="auto" w:fill="auto"/>
            <w:noWrap/>
            <w:vAlign w:val="bottom"/>
            <w:hideMark/>
          </w:tcPr>
          <w:p w14:paraId="74E6DB5F"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577AC0A0"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21.529,73</w:t>
            </w:r>
          </w:p>
        </w:tc>
        <w:tc>
          <w:tcPr>
            <w:tcW w:w="1320" w:type="dxa"/>
            <w:tcBorders>
              <w:top w:val="nil"/>
              <w:left w:val="nil"/>
              <w:bottom w:val="nil"/>
              <w:right w:val="nil"/>
            </w:tcBorders>
            <w:shd w:val="clear" w:color="auto" w:fill="auto"/>
            <w:noWrap/>
            <w:vAlign w:val="bottom"/>
            <w:hideMark/>
          </w:tcPr>
          <w:p w14:paraId="1B3C905F"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76,84%</w:t>
            </w:r>
          </w:p>
        </w:tc>
        <w:tc>
          <w:tcPr>
            <w:tcW w:w="1280" w:type="dxa"/>
            <w:tcBorders>
              <w:top w:val="nil"/>
              <w:left w:val="nil"/>
              <w:bottom w:val="nil"/>
              <w:right w:val="nil"/>
            </w:tcBorders>
            <w:shd w:val="clear" w:color="auto" w:fill="auto"/>
            <w:noWrap/>
            <w:vAlign w:val="bottom"/>
            <w:hideMark/>
          </w:tcPr>
          <w:p w14:paraId="7D7B429B"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50AEE886" w14:textId="77777777" w:rsidTr="00D53FB4">
        <w:trPr>
          <w:trHeight w:val="255"/>
        </w:trPr>
        <w:tc>
          <w:tcPr>
            <w:tcW w:w="7655" w:type="dxa"/>
            <w:tcBorders>
              <w:top w:val="nil"/>
              <w:left w:val="nil"/>
              <w:bottom w:val="nil"/>
              <w:right w:val="nil"/>
            </w:tcBorders>
            <w:shd w:val="clear" w:color="auto" w:fill="auto"/>
            <w:noWrap/>
            <w:vAlign w:val="bottom"/>
            <w:hideMark/>
          </w:tcPr>
          <w:p w14:paraId="1C3B0DC5"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4222 Komunikacijska oprema                                                                               </w:t>
            </w:r>
          </w:p>
        </w:tc>
        <w:tc>
          <w:tcPr>
            <w:tcW w:w="1384" w:type="dxa"/>
            <w:tcBorders>
              <w:top w:val="nil"/>
              <w:left w:val="nil"/>
              <w:bottom w:val="nil"/>
              <w:right w:val="nil"/>
            </w:tcBorders>
            <w:shd w:val="clear" w:color="auto" w:fill="auto"/>
            <w:noWrap/>
            <w:vAlign w:val="bottom"/>
            <w:hideMark/>
          </w:tcPr>
          <w:p w14:paraId="208BFA96"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1.634,91</w:t>
            </w:r>
          </w:p>
        </w:tc>
        <w:tc>
          <w:tcPr>
            <w:tcW w:w="1740" w:type="dxa"/>
            <w:tcBorders>
              <w:top w:val="nil"/>
              <w:left w:val="nil"/>
              <w:bottom w:val="nil"/>
              <w:right w:val="nil"/>
            </w:tcBorders>
            <w:shd w:val="clear" w:color="auto" w:fill="auto"/>
            <w:noWrap/>
            <w:vAlign w:val="bottom"/>
            <w:hideMark/>
          </w:tcPr>
          <w:p w14:paraId="351912ED"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1DF7DE0C" w14:textId="77777777" w:rsidR="00583CB4" w:rsidRPr="00583CB4" w:rsidRDefault="00583CB4" w:rsidP="00583CB4">
            <w:pPr>
              <w:spacing w:after="0" w:line="240" w:lineRule="auto"/>
              <w:jc w:val="right"/>
              <w:rPr>
                <w:rFonts w:ascii="Times New Roman" w:hAnsi="Times New Roman" w:cs="Times New Roman"/>
                <w:sz w:val="18"/>
                <w:szCs w:val="18"/>
                <w:lang w:eastAsia="hr-HR"/>
              </w:rPr>
            </w:pPr>
          </w:p>
        </w:tc>
        <w:tc>
          <w:tcPr>
            <w:tcW w:w="1320" w:type="dxa"/>
            <w:tcBorders>
              <w:top w:val="nil"/>
              <w:left w:val="nil"/>
              <w:bottom w:val="nil"/>
              <w:right w:val="nil"/>
            </w:tcBorders>
            <w:shd w:val="clear" w:color="auto" w:fill="auto"/>
            <w:noWrap/>
            <w:vAlign w:val="bottom"/>
            <w:hideMark/>
          </w:tcPr>
          <w:p w14:paraId="490E44EE"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0,00%</w:t>
            </w:r>
          </w:p>
        </w:tc>
        <w:tc>
          <w:tcPr>
            <w:tcW w:w="1280" w:type="dxa"/>
            <w:tcBorders>
              <w:top w:val="nil"/>
              <w:left w:val="nil"/>
              <w:bottom w:val="nil"/>
              <w:right w:val="nil"/>
            </w:tcBorders>
            <w:shd w:val="clear" w:color="auto" w:fill="auto"/>
            <w:noWrap/>
            <w:vAlign w:val="bottom"/>
            <w:hideMark/>
          </w:tcPr>
          <w:p w14:paraId="43773EBE"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08805778" w14:textId="77777777" w:rsidTr="00D53FB4">
        <w:trPr>
          <w:trHeight w:val="255"/>
        </w:trPr>
        <w:tc>
          <w:tcPr>
            <w:tcW w:w="7655" w:type="dxa"/>
            <w:tcBorders>
              <w:top w:val="nil"/>
              <w:left w:val="nil"/>
              <w:bottom w:val="nil"/>
              <w:right w:val="nil"/>
            </w:tcBorders>
            <w:shd w:val="clear" w:color="auto" w:fill="auto"/>
            <w:noWrap/>
            <w:vAlign w:val="bottom"/>
            <w:hideMark/>
          </w:tcPr>
          <w:p w14:paraId="611B2CED"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4223 Oprema za održavanje i zaštitu                                                                      </w:t>
            </w:r>
          </w:p>
        </w:tc>
        <w:tc>
          <w:tcPr>
            <w:tcW w:w="1384" w:type="dxa"/>
            <w:tcBorders>
              <w:top w:val="nil"/>
              <w:left w:val="nil"/>
              <w:bottom w:val="nil"/>
              <w:right w:val="nil"/>
            </w:tcBorders>
            <w:shd w:val="clear" w:color="auto" w:fill="auto"/>
            <w:noWrap/>
            <w:vAlign w:val="bottom"/>
            <w:hideMark/>
          </w:tcPr>
          <w:p w14:paraId="6A976E8A"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33.089,37</w:t>
            </w:r>
          </w:p>
        </w:tc>
        <w:tc>
          <w:tcPr>
            <w:tcW w:w="1740" w:type="dxa"/>
            <w:tcBorders>
              <w:top w:val="nil"/>
              <w:left w:val="nil"/>
              <w:bottom w:val="nil"/>
              <w:right w:val="nil"/>
            </w:tcBorders>
            <w:shd w:val="clear" w:color="auto" w:fill="auto"/>
            <w:noWrap/>
            <w:vAlign w:val="bottom"/>
            <w:hideMark/>
          </w:tcPr>
          <w:p w14:paraId="4E789A4B"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03C41A3F"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65.790,46</w:t>
            </w:r>
          </w:p>
        </w:tc>
        <w:tc>
          <w:tcPr>
            <w:tcW w:w="1320" w:type="dxa"/>
            <w:tcBorders>
              <w:top w:val="nil"/>
              <w:left w:val="nil"/>
              <w:bottom w:val="nil"/>
              <w:right w:val="nil"/>
            </w:tcBorders>
            <w:shd w:val="clear" w:color="auto" w:fill="auto"/>
            <w:noWrap/>
            <w:vAlign w:val="bottom"/>
            <w:hideMark/>
          </w:tcPr>
          <w:p w14:paraId="152FA50D"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198,83%</w:t>
            </w:r>
          </w:p>
        </w:tc>
        <w:tc>
          <w:tcPr>
            <w:tcW w:w="1280" w:type="dxa"/>
            <w:tcBorders>
              <w:top w:val="nil"/>
              <w:left w:val="nil"/>
              <w:bottom w:val="nil"/>
              <w:right w:val="nil"/>
            </w:tcBorders>
            <w:shd w:val="clear" w:color="auto" w:fill="auto"/>
            <w:noWrap/>
            <w:vAlign w:val="bottom"/>
            <w:hideMark/>
          </w:tcPr>
          <w:p w14:paraId="5FDBA61C"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2CA98545" w14:textId="77777777" w:rsidTr="00D53FB4">
        <w:trPr>
          <w:trHeight w:val="255"/>
        </w:trPr>
        <w:tc>
          <w:tcPr>
            <w:tcW w:w="7655" w:type="dxa"/>
            <w:tcBorders>
              <w:top w:val="nil"/>
              <w:left w:val="nil"/>
              <w:bottom w:val="nil"/>
              <w:right w:val="nil"/>
            </w:tcBorders>
            <w:shd w:val="clear" w:color="auto" w:fill="auto"/>
            <w:noWrap/>
            <w:vAlign w:val="bottom"/>
            <w:hideMark/>
          </w:tcPr>
          <w:p w14:paraId="3EA83B29"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4225 Instrumenti, uređaji i strojevi                                                                     </w:t>
            </w:r>
          </w:p>
        </w:tc>
        <w:tc>
          <w:tcPr>
            <w:tcW w:w="1384" w:type="dxa"/>
            <w:tcBorders>
              <w:top w:val="nil"/>
              <w:left w:val="nil"/>
              <w:bottom w:val="nil"/>
              <w:right w:val="nil"/>
            </w:tcBorders>
            <w:shd w:val="clear" w:color="auto" w:fill="auto"/>
            <w:noWrap/>
            <w:vAlign w:val="bottom"/>
            <w:hideMark/>
          </w:tcPr>
          <w:p w14:paraId="56F25FF2"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4.452,50</w:t>
            </w:r>
          </w:p>
        </w:tc>
        <w:tc>
          <w:tcPr>
            <w:tcW w:w="1740" w:type="dxa"/>
            <w:tcBorders>
              <w:top w:val="nil"/>
              <w:left w:val="nil"/>
              <w:bottom w:val="nil"/>
              <w:right w:val="nil"/>
            </w:tcBorders>
            <w:shd w:val="clear" w:color="auto" w:fill="auto"/>
            <w:noWrap/>
            <w:vAlign w:val="bottom"/>
            <w:hideMark/>
          </w:tcPr>
          <w:p w14:paraId="2B57AEC4"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5DD8659A" w14:textId="77777777" w:rsidR="00583CB4" w:rsidRPr="00583CB4" w:rsidRDefault="00583CB4" w:rsidP="00583CB4">
            <w:pPr>
              <w:spacing w:after="0" w:line="240" w:lineRule="auto"/>
              <w:jc w:val="right"/>
              <w:rPr>
                <w:rFonts w:ascii="Times New Roman" w:hAnsi="Times New Roman" w:cs="Times New Roman"/>
                <w:sz w:val="18"/>
                <w:szCs w:val="18"/>
                <w:lang w:eastAsia="hr-HR"/>
              </w:rPr>
            </w:pPr>
          </w:p>
        </w:tc>
        <w:tc>
          <w:tcPr>
            <w:tcW w:w="1320" w:type="dxa"/>
            <w:tcBorders>
              <w:top w:val="nil"/>
              <w:left w:val="nil"/>
              <w:bottom w:val="nil"/>
              <w:right w:val="nil"/>
            </w:tcBorders>
            <w:shd w:val="clear" w:color="auto" w:fill="auto"/>
            <w:noWrap/>
            <w:vAlign w:val="bottom"/>
            <w:hideMark/>
          </w:tcPr>
          <w:p w14:paraId="51BE9AF6"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0,00%</w:t>
            </w:r>
          </w:p>
        </w:tc>
        <w:tc>
          <w:tcPr>
            <w:tcW w:w="1280" w:type="dxa"/>
            <w:tcBorders>
              <w:top w:val="nil"/>
              <w:left w:val="nil"/>
              <w:bottom w:val="nil"/>
              <w:right w:val="nil"/>
            </w:tcBorders>
            <w:shd w:val="clear" w:color="auto" w:fill="auto"/>
            <w:noWrap/>
            <w:vAlign w:val="bottom"/>
            <w:hideMark/>
          </w:tcPr>
          <w:p w14:paraId="184BBD4A"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4C127894" w14:textId="77777777" w:rsidTr="00D53FB4">
        <w:trPr>
          <w:trHeight w:val="255"/>
        </w:trPr>
        <w:tc>
          <w:tcPr>
            <w:tcW w:w="7655" w:type="dxa"/>
            <w:tcBorders>
              <w:top w:val="nil"/>
              <w:left w:val="nil"/>
              <w:bottom w:val="nil"/>
              <w:right w:val="nil"/>
            </w:tcBorders>
            <w:shd w:val="clear" w:color="auto" w:fill="auto"/>
            <w:noWrap/>
            <w:vAlign w:val="bottom"/>
            <w:hideMark/>
          </w:tcPr>
          <w:p w14:paraId="7E6A632E"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4227 Uređaji, strojevi i oprema za ostale namjene                                                        </w:t>
            </w:r>
          </w:p>
        </w:tc>
        <w:tc>
          <w:tcPr>
            <w:tcW w:w="1384" w:type="dxa"/>
            <w:tcBorders>
              <w:top w:val="nil"/>
              <w:left w:val="nil"/>
              <w:bottom w:val="nil"/>
              <w:right w:val="nil"/>
            </w:tcBorders>
            <w:shd w:val="clear" w:color="auto" w:fill="auto"/>
            <w:noWrap/>
            <w:vAlign w:val="bottom"/>
            <w:hideMark/>
          </w:tcPr>
          <w:p w14:paraId="526BE7FA"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72.717,45</w:t>
            </w:r>
          </w:p>
        </w:tc>
        <w:tc>
          <w:tcPr>
            <w:tcW w:w="1740" w:type="dxa"/>
            <w:tcBorders>
              <w:top w:val="nil"/>
              <w:left w:val="nil"/>
              <w:bottom w:val="nil"/>
              <w:right w:val="nil"/>
            </w:tcBorders>
            <w:shd w:val="clear" w:color="auto" w:fill="auto"/>
            <w:noWrap/>
            <w:vAlign w:val="bottom"/>
            <w:hideMark/>
          </w:tcPr>
          <w:p w14:paraId="10AF3CDD"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2DBE9200" w14:textId="35305CD5"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48</w:t>
            </w:r>
            <w:r w:rsidR="003B1371">
              <w:rPr>
                <w:rFonts w:ascii="Arial" w:hAnsi="Arial" w:cs="Arial"/>
                <w:sz w:val="18"/>
                <w:szCs w:val="18"/>
                <w:lang w:eastAsia="hr-HR"/>
              </w:rPr>
              <w:t>3.701,58</w:t>
            </w:r>
          </w:p>
        </w:tc>
        <w:tc>
          <w:tcPr>
            <w:tcW w:w="1320" w:type="dxa"/>
            <w:tcBorders>
              <w:top w:val="nil"/>
              <w:left w:val="nil"/>
              <w:bottom w:val="nil"/>
              <w:right w:val="nil"/>
            </w:tcBorders>
            <w:shd w:val="clear" w:color="auto" w:fill="auto"/>
            <w:noWrap/>
            <w:vAlign w:val="bottom"/>
            <w:hideMark/>
          </w:tcPr>
          <w:p w14:paraId="02F3C7D2" w14:textId="480EE2C2"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66</w:t>
            </w:r>
            <w:r w:rsidR="003B1371">
              <w:rPr>
                <w:rFonts w:ascii="Arial" w:hAnsi="Arial" w:cs="Arial"/>
                <w:sz w:val="18"/>
                <w:szCs w:val="18"/>
                <w:lang w:eastAsia="hr-HR"/>
              </w:rPr>
              <w:t>5,18</w:t>
            </w:r>
            <w:r w:rsidRPr="00583CB4">
              <w:rPr>
                <w:rFonts w:ascii="Arial" w:hAnsi="Arial" w:cs="Arial"/>
                <w:sz w:val="18"/>
                <w:szCs w:val="18"/>
                <w:lang w:eastAsia="hr-HR"/>
              </w:rPr>
              <w:t>%</w:t>
            </w:r>
          </w:p>
        </w:tc>
        <w:tc>
          <w:tcPr>
            <w:tcW w:w="1280" w:type="dxa"/>
            <w:tcBorders>
              <w:top w:val="nil"/>
              <w:left w:val="nil"/>
              <w:bottom w:val="nil"/>
              <w:right w:val="nil"/>
            </w:tcBorders>
            <w:shd w:val="clear" w:color="auto" w:fill="auto"/>
            <w:noWrap/>
            <w:vAlign w:val="bottom"/>
            <w:hideMark/>
          </w:tcPr>
          <w:p w14:paraId="5D457125"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2FC1D238" w14:textId="77777777" w:rsidTr="00D53FB4">
        <w:trPr>
          <w:trHeight w:val="255"/>
        </w:trPr>
        <w:tc>
          <w:tcPr>
            <w:tcW w:w="7655" w:type="dxa"/>
            <w:tcBorders>
              <w:top w:val="nil"/>
              <w:left w:val="nil"/>
              <w:bottom w:val="nil"/>
              <w:right w:val="nil"/>
            </w:tcBorders>
            <w:shd w:val="clear" w:color="auto" w:fill="auto"/>
            <w:noWrap/>
            <w:vAlign w:val="bottom"/>
            <w:hideMark/>
          </w:tcPr>
          <w:p w14:paraId="7BA891F7"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423 Prijevozna sredstva                                                                                 </w:t>
            </w:r>
          </w:p>
        </w:tc>
        <w:tc>
          <w:tcPr>
            <w:tcW w:w="1384" w:type="dxa"/>
            <w:tcBorders>
              <w:top w:val="nil"/>
              <w:left w:val="nil"/>
              <w:bottom w:val="nil"/>
              <w:right w:val="nil"/>
            </w:tcBorders>
            <w:shd w:val="clear" w:color="auto" w:fill="auto"/>
            <w:noWrap/>
            <w:vAlign w:val="bottom"/>
            <w:hideMark/>
          </w:tcPr>
          <w:p w14:paraId="0CF4A685"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3.162,69</w:t>
            </w:r>
          </w:p>
        </w:tc>
        <w:tc>
          <w:tcPr>
            <w:tcW w:w="1740" w:type="dxa"/>
            <w:tcBorders>
              <w:top w:val="nil"/>
              <w:left w:val="nil"/>
              <w:bottom w:val="nil"/>
              <w:right w:val="nil"/>
            </w:tcBorders>
            <w:shd w:val="clear" w:color="auto" w:fill="auto"/>
            <w:noWrap/>
            <w:vAlign w:val="bottom"/>
            <w:hideMark/>
          </w:tcPr>
          <w:p w14:paraId="20A50479"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75A96CB9"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18.250,00</w:t>
            </w:r>
          </w:p>
        </w:tc>
        <w:tc>
          <w:tcPr>
            <w:tcW w:w="1320" w:type="dxa"/>
            <w:tcBorders>
              <w:top w:val="nil"/>
              <w:left w:val="nil"/>
              <w:bottom w:val="nil"/>
              <w:right w:val="nil"/>
            </w:tcBorders>
            <w:shd w:val="clear" w:color="auto" w:fill="auto"/>
            <w:noWrap/>
            <w:vAlign w:val="bottom"/>
            <w:hideMark/>
          </w:tcPr>
          <w:p w14:paraId="7FBCDC14"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577,04%</w:t>
            </w:r>
          </w:p>
        </w:tc>
        <w:tc>
          <w:tcPr>
            <w:tcW w:w="1280" w:type="dxa"/>
            <w:tcBorders>
              <w:top w:val="nil"/>
              <w:left w:val="nil"/>
              <w:bottom w:val="nil"/>
              <w:right w:val="nil"/>
            </w:tcBorders>
            <w:shd w:val="clear" w:color="auto" w:fill="auto"/>
            <w:noWrap/>
            <w:vAlign w:val="bottom"/>
            <w:hideMark/>
          </w:tcPr>
          <w:p w14:paraId="0B53FA9B"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45941AFA" w14:textId="77777777" w:rsidTr="00D53FB4">
        <w:trPr>
          <w:trHeight w:val="255"/>
        </w:trPr>
        <w:tc>
          <w:tcPr>
            <w:tcW w:w="7655" w:type="dxa"/>
            <w:tcBorders>
              <w:top w:val="nil"/>
              <w:left w:val="nil"/>
              <w:bottom w:val="nil"/>
              <w:right w:val="nil"/>
            </w:tcBorders>
            <w:shd w:val="clear" w:color="auto" w:fill="auto"/>
            <w:noWrap/>
            <w:vAlign w:val="bottom"/>
            <w:hideMark/>
          </w:tcPr>
          <w:p w14:paraId="39AA73E1"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4231 Prijevozna sredstva u cestovnom prometu                                                             </w:t>
            </w:r>
          </w:p>
        </w:tc>
        <w:tc>
          <w:tcPr>
            <w:tcW w:w="1384" w:type="dxa"/>
            <w:tcBorders>
              <w:top w:val="nil"/>
              <w:left w:val="nil"/>
              <w:bottom w:val="nil"/>
              <w:right w:val="nil"/>
            </w:tcBorders>
            <w:shd w:val="clear" w:color="auto" w:fill="auto"/>
            <w:noWrap/>
            <w:vAlign w:val="bottom"/>
            <w:hideMark/>
          </w:tcPr>
          <w:p w14:paraId="5B2C47CB"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3.162,69</w:t>
            </w:r>
          </w:p>
        </w:tc>
        <w:tc>
          <w:tcPr>
            <w:tcW w:w="1740" w:type="dxa"/>
            <w:tcBorders>
              <w:top w:val="nil"/>
              <w:left w:val="nil"/>
              <w:bottom w:val="nil"/>
              <w:right w:val="nil"/>
            </w:tcBorders>
            <w:shd w:val="clear" w:color="auto" w:fill="auto"/>
            <w:noWrap/>
            <w:vAlign w:val="bottom"/>
            <w:hideMark/>
          </w:tcPr>
          <w:p w14:paraId="4CCB1468"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25DAB592"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18.250,00</w:t>
            </w:r>
          </w:p>
        </w:tc>
        <w:tc>
          <w:tcPr>
            <w:tcW w:w="1320" w:type="dxa"/>
            <w:tcBorders>
              <w:top w:val="nil"/>
              <w:left w:val="nil"/>
              <w:bottom w:val="nil"/>
              <w:right w:val="nil"/>
            </w:tcBorders>
            <w:shd w:val="clear" w:color="auto" w:fill="auto"/>
            <w:noWrap/>
            <w:vAlign w:val="bottom"/>
            <w:hideMark/>
          </w:tcPr>
          <w:p w14:paraId="52746912"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577,04%</w:t>
            </w:r>
          </w:p>
        </w:tc>
        <w:tc>
          <w:tcPr>
            <w:tcW w:w="1280" w:type="dxa"/>
            <w:tcBorders>
              <w:top w:val="nil"/>
              <w:left w:val="nil"/>
              <w:bottom w:val="nil"/>
              <w:right w:val="nil"/>
            </w:tcBorders>
            <w:shd w:val="clear" w:color="auto" w:fill="auto"/>
            <w:noWrap/>
            <w:vAlign w:val="bottom"/>
            <w:hideMark/>
          </w:tcPr>
          <w:p w14:paraId="56EFB8DF"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4675EE36" w14:textId="77777777" w:rsidTr="00D53FB4">
        <w:trPr>
          <w:trHeight w:val="255"/>
        </w:trPr>
        <w:tc>
          <w:tcPr>
            <w:tcW w:w="7655" w:type="dxa"/>
            <w:tcBorders>
              <w:top w:val="nil"/>
              <w:left w:val="nil"/>
              <w:bottom w:val="nil"/>
              <w:right w:val="nil"/>
            </w:tcBorders>
            <w:shd w:val="clear" w:color="auto" w:fill="auto"/>
            <w:noWrap/>
            <w:vAlign w:val="bottom"/>
            <w:hideMark/>
          </w:tcPr>
          <w:p w14:paraId="5DDBCC19"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424 Knjige, umjetnička djela i ostale izložbene vrijednosti</w:t>
            </w:r>
          </w:p>
        </w:tc>
        <w:tc>
          <w:tcPr>
            <w:tcW w:w="1384" w:type="dxa"/>
            <w:tcBorders>
              <w:top w:val="nil"/>
              <w:left w:val="nil"/>
              <w:bottom w:val="nil"/>
              <w:right w:val="nil"/>
            </w:tcBorders>
            <w:shd w:val="clear" w:color="auto" w:fill="auto"/>
            <w:noWrap/>
            <w:vAlign w:val="bottom"/>
            <w:hideMark/>
          </w:tcPr>
          <w:p w14:paraId="5431CEC5"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30.598,62</w:t>
            </w:r>
          </w:p>
        </w:tc>
        <w:tc>
          <w:tcPr>
            <w:tcW w:w="1740" w:type="dxa"/>
            <w:tcBorders>
              <w:top w:val="nil"/>
              <w:left w:val="nil"/>
              <w:bottom w:val="nil"/>
              <w:right w:val="nil"/>
            </w:tcBorders>
            <w:shd w:val="clear" w:color="auto" w:fill="auto"/>
            <w:noWrap/>
            <w:vAlign w:val="bottom"/>
            <w:hideMark/>
          </w:tcPr>
          <w:p w14:paraId="15D646CB"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58668A73" w14:textId="4E006990"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4</w:t>
            </w:r>
            <w:r w:rsidR="003B1371">
              <w:rPr>
                <w:rFonts w:ascii="Arial" w:hAnsi="Arial" w:cs="Arial"/>
                <w:sz w:val="18"/>
                <w:szCs w:val="18"/>
                <w:lang w:eastAsia="hr-HR"/>
              </w:rPr>
              <w:t>4.060,29</w:t>
            </w:r>
          </w:p>
        </w:tc>
        <w:tc>
          <w:tcPr>
            <w:tcW w:w="1320" w:type="dxa"/>
            <w:tcBorders>
              <w:top w:val="nil"/>
              <w:left w:val="nil"/>
              <w:bottom w:val="nil"/>
              <w:right w:val="nil"/>
            </w:tcBorders>
            <w:shd w:val="clear" w:color="auto" w:fill="auto"/>
            <w:noWrap/>
            <w:vAlign w:val="bottom"/>
            <w:hideMark/>
          </w:tcPr>
          <w:p w14:paraId="70DA3A29" w14:textId="631AE70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143,</w:t>
            </w:r>
            <w:r w:rsidR="003B1371">
              <w:rPr>
                <w:rFonts w:ascii="Arial" w:hAnsi="Arial" w:cs="Arial"/>
                <w:sz w:val="18"/>
                <w:szCs w:val="18"/>
                <w:lang w:eastAsia="hr-HR"/>
              </w:rPr>
              <w:t>99</w:t>
            </w:r>
            <w:r w:rsidRPr="00583CB4">
              <w:rPr>
                <w:rFonts w:ascii="Arial" w:hAnsi="Arial" w:cs="Arial"/>
                <w:sz w:val="18"/>
                <w:szCs w:val="18"/>
                <w:lang w:eastAsia="hr-HR"/>
              </w:rPr>
              <w:t>%</w:t>
            </w:r>
          </w:p>
        </w:tc>
        <w:tc>
          <w:tcPr>
            <w:tcW w:w="1280" w:type="dxa"/>
            <w:tcBorders>
              <w:top w:val="nil"/>
              <w:left w:val="nil"/>
              <w:bottom w:val="nil"/>
              <w:right w:val="nil"/>
            </w:tcBorders>
            <w:shd w:val="clear" w:color="auto" w:fill="auto"/>
            <w:noWrap/>
            <w:vAlign w:val="bottom"/>
            <w:hideMark/>
          </w:tcPr>
          <w:p w14:paraId="7EF635AB"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1EB23194" w14:textId="77777777" w:rsidTr="00D53FB4">
        <w:trPr>
          <w:trHeight w:val="255"/>
        </w:trPr>
        <w:tc>
          <w:tcPr>
            <w:tcW w:w="7655" w:type="dxa"/>
            <w:tcBorders>
              <w:top w:val="nil"/>
              <w:left w:val="nil"/>
              <w:bottom w:val="nil"/>
              <w:right w:val="nil"/>
            </w:tcBorders>
            <w:shd w:val="clear" w:color="auto" w:fill="auto"/>
            <w:noWrap/>
            <w:vAlign w:val="bottom"/>
            <w:hideMark/>
          </w:tcPr>
          <w:p w14:paraId="354068A8"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4241 Knjige                                                                                              </w:t>
            </w:r>
          </w:p>
        </w:tc>
        <w:tc>
          <w:tcPr>
            <w:tcW w:w="1384" w:type="dxa"/>
            <w:tcBorders>
              <w:top w:val="nil"/>
              <w:left w:val="nil"/>
              <w:bottom w:val="nil"/>
              <w:right w:val="nil"/>
            </w:tcBorders>
            <w:shd w:val="clear" w:color="auto" w:fill="auto"/>
            <w:noWrap/>
            <w:vAlign w:val="bottom"/>
            <w:hideMark/>
          </w:tcPr>
          <w:p w14:paraId="02FBC31C"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30.598,62</w:t>
            </w:r>
          </w:p>
        </w:tc>
        <w:tc>
          <w:tcPr>
            <w:tcW w:w="1740" w:type="dxa"/>
            <w:tcBorders>
              <w:top w:val="nil"/>
              <w:left w:val="nil"/>
              <w:bottom w:val="nil"/>
              <w:right w:val="nil"/>
            </w:tcBorders>
            <w:shd w:val="clear" w:color="auto" w:fill="auto"/>
            <w:noWrap/>
            <w:vAlign w:val="bottom"/>
            <w:hideMark/>
          </w:tcPr>
          <w:p w14:paraId="0F78C6FE"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2776AC22" w14:textId="6CE82C8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4</w:t>
            </w:r>
            <w:r w:rsidR="003B1371">
              <w:rPr>
                <w:rFonts w:ascii="Arial" w:hAnsi="Arial" w:cs="Arial"/>
                <w:sz w:val="18"/>
                <w:szCs w:val="18"/>
                <w:lang w:eastAsia="hr-HR"/>
              </w:rPr>
              <w:t>4.060,29</w:t>
            </w:r>
          </w:p>
        </w:tc>
        <w:tc>
          <w:tcPr>
            <w:tcW w:w="1320" w:type="dxa"/>
            <w:tcBorders>
              <w:top w:val="nil"/>
              <w:left w:val="nil"/>
              <w:bottom w:val="nil"/>
              <w:right w:val="nil"/>
            </w:tcBorders>
            <w:shd w:val="clear" w:color="auto" w:fill="auto"/>
            <w:noWrap/>
            <w:vAlign w:val="bottom"/>
            <w:hideMark/>
          </w:tcPr>
          <w:p w14:paraId="0EB66521" w14:textId="04B3A0F6"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143,</w:t>
            </w:r>
            <w:r w:rsidR="003B1371">
              <w:rPr>
                <w:rFonts w:ascii="Arial" w:hAnsi="Arial" w:cs="Arial"/>
                <w:sz w:val="18"/>
                <w:szCs w:val="18"/>
                <w:lang w:eastAsia="hr-HR"/>
              </w:rPr>
              <w:t>99</w:t>
            </w:r>
            <w:r w:rsidRPr="00583CB4">
              <w:rPr>
                <w:rFonts w:ascii="Arial" w:hAnsi="Arial" w:cs="Arial"/>
                <w:sz w:val="18"/>
                <w:szCs w:val="18"/>
                <w:lang w:eastAsia="hr-HR"/>
              </w:rPr>
              <w:t>%</w:t>
            </w:r>
          </w:p>
        </w:tc>
        <w:tc>
          <w:tcPr>
            <w:tcW w:w="1280" w:type="dxa"/>
            <w:tcBorders>
              <w:top w:val="nil"/>
              <w:left w:val="nil"/>
              <w:bottom w:val="nil"/>
              <w:right w:val="nil"/>
            </w:tcBorders>
            <w:shd w:val="clear" w:color="auto" w:fill="auto"/>
            <w:noWrap/>
            <w:vAlign w:val="bottom"/>
            <w:hideMark/>
          </w:tcPr>
          <w:p w14:paraId="06524F20"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059974F4" w14:textId="77777777" w:rsidTr="00D53FB4">
        <w:trPr>
          <w:trHeight w:val="255"/>
        </w:trPr>
        <w:tc>
          <w:tcPr>
            <w:tcW w:w="7655" w:type="dxa"/>
            <w:tcBorders>
              <w:top w:val="nil"/>
              <w:left w:val="nil"/>
              <w:bottom w:val="nil"/>
              <w:right w:val="nil"/>
            </w:tcBorders>
            <w:shd w:val="clear" w:color="auto" w:fill="auto"/>
            <w:noWrap/>
            <w:vAlign w:val="bottom"/>
            <w:hideMark/>
          </w:tcPr>
          <w:p w14:paraId="3524C206"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426 Nematerijalna proizvedena imovina                                                                   </w:t>
            </w:r>
          </w:p>
        </w:tc>
        <w:tc>
          <w:tcPr>
            <w:tcW w:w="1384" w:type="dxa"/>
            <w:tcBorders>
              <w:top w:val="nil"/>
              <w:left w:val="nil"/>
              <w:bottom w:val="nil"/>
              <w:right w:val="nil"/>
            </w:tcBorders>
            <w:shd w:val="clear" w:color="auto" w:fill="auto"/>
            <w:noWrap/>
            <w:vAlign w:val="bottom"/>
            <w:hideMark/>
          </w:tcPr>
          <w:p w14:paraId="5E34300D"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59.480,45</w:t>
            </w:r>
          </w:p>
        </w:tc>
        <w:tc>
          <w:tcPr>
            <w:tcW w:w="1740" w:type="dxa"/>
            <w:tcBorders>
              <w:top w:val="nil"/>
              <w:left w:val="nil"/>
              <w:bottom w:val="nil"/>
              <w:right w:val="nil"/>
            </w:tcBorders>
            <w:shd w:val="clear" w:color="auto" w:fill="auto"/>
            <w:noWrap/>
            <w:vAlign w:val="bottom"/>
            <w:hideMark/>
          </w:tcPr>
          <w:p w14:paraId="132454B1"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73D1C857"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3.036,83</w:t>
            </w:r>
          </w:p>
        </w:tc>
        <w:tc>
          <w:tcPr>
            <w:tcW w:w="1320" w:type="dxa"/>
            <w:tcBorders>
              <w:top w:val="nil"/>
              <w:left w:val="nil"/>
              <w:bottom w:val="nil"/>
              <w:right w:val="nil"/>
            </w:tcBorders>
            <w:shd w:val="clear" w:color="auto" w:fill="auto"/>
            <w:noWrap/>
            <w:vAlign w:val="bottom"/>
            <w:hideMark/>
          </w:tcPr>
          <w:p w14:paraId="51FF9ABB"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5,11%</w:t>
            </w:r>
          </w:p>
        </w:tc>
        <w:tc>
          <w:tcPr>
            <w:tcW w:w="1280" w:type="dxa"/>
            <w:tcBorders>
              <w:top w:val="nil"/>
              <w:left w:val="nil"/>
              <w:bottom w:val="nil"/>
              <w:right w:val="nil"/>
            </w:tcBorders>
            <w:shd w:val="clear" w:color="auto" w:fill="auto"/>
            <w:noWrap/>
            <w:vAlign w:val="bottom"/>
            <w:hideMark/>
          </w:tcPr>
          <w:p w14:paraId="55DFCBC7"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139DD1FF" w14:textId="77777777" w:rsidTr="00D53FB4">
        <w:trPr>
          <w:trHeight w:val="255"/>
        </w:trPr>
        <w:tc>
          <w:tcPr>
            <w:tcW w:w="7655" w:type="dxa"/>
            <w:tcBorders>
              <w:top w:val="nil"/>
              <w:left w:val="nil"/>
              <w:bottom w:val="nil"/>
              <w:right w:val="nil"/>
            </w:tcBorders>
            <w:shd w:val="clear" w:color="auto" w:fill="auto"/>
            <w:noWrap/>
            <w:vAlign w:val="bottom"/>
            <w:hideMark/>
          </w:tcPr>
          <w:p w14:paraId="6B285814"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4262 Ulaganja u računalne programe                                                                       </w:t>
            </w:r>
          </w:p>
        </w:tc>
        <w:tc>
          <w:tcPr>
            <w:tcW w:w="1384" w:type="dxa"/>
            <w:tcBorders>
              <w:top w:val="nil"/>
              <w:left w:val="nil"/>
              <w:bottom w:val="nil"/>
              <w:right w:val="nil"/>
            </w:tcBorders>
            <w:shd w:val="clear" w:color="auto" w:fill="auto"/>
            <w:noWrap/>
            <w:vAlign w:val="bottom"/>
            <w:hideMark/>
          </w:tcPr>
          <w:p w14:paraId="05C7F440"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1.327,23</w:t>
            </w:r>
          </w:p>
        </w:tc>
        <w:tc>
          <w:tcPr>
            <w:tcW w:w="1740" w:type="dxa"/>
            <w:tcBorders>
              <w:top w:val="nil"/>
              <w:left w:val="nil"/>
              <w:bottom w:val="nil"/>
              <w:right w:val="nil"/>
            </w:tcBorders>
            <w:shd w:val="clear" w:color="auto" w:fill="auto"/>
            <w:noWrap/>
            <w:vAlign w:val="bottom"/>
            <w:hideMark/>
          </w:tcPr>
          <w:p w14:paraId="62F1EDD3"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763DA8CB"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150,58</w:t>
            </w:r>
          </w:p>
        </w:tc>
        <w:tc>
          <w:tcPr>
            <w:tcW w:w="1320" w:type="dxa"/>
            <w:tcBorders>
              <w:top w:val="nil"/>
              <w:left w:val="nil"/>
              <w:bottom w:val="nil"/>
              <w:right w:val="nil"/>
            </w:tcBorders>
            <w:shd w:val="clear" w:color="auto" w:fill="auto"/>
            <w:noWrap/>
            <w:vAlign w:val="bottom"/>
            <w:hideMark/>
          </w:tcPr>
          <w:p w14:paraId="3681583A"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11,35%</w:t>
            </w:r>
          </w:p>
        </w:tc>
        <w:tc>
          <w:tcPr>
            <w:tcW w:w="1280" w:type="dxa"/>
            <w:tcBorders>
              <w:top w:val="nil"/>
              <w:left w:val="nil"/>
              <w:bottom w:val="nil"/>
              <w:right w:val="nil"/>
            </w:tcBorders>
            <w:shd w:val="clear" w:color="auto" w:fill="auto"/>
            <w:noWrap/>
            <w:vAlign w:val="bottom"/>
            <w:hideMark/>
          </w:tcPr>
          <w:p w14:paraId="1B2272E1"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798F7817" w14:textId="77777777" w:rsidTr="00D53FB4">
        <w:trPr>
          <w:trHeight w:val="255"/>
        </w:trPr>
        <w:tc>
          <w:tcPr>
            <w:tcW w:w="7655" w:type="dxa"/>
            <w:tcBorders>
              <w:top w:val="nil"/>
              <w:left w:val="nil"/>
              <w:bottom w:val="nil"/>
              <w:right w:val="nil"/>
            </w:tcBorders>
            <w:shd w:val="clear" w:color="auto" w:fill="auto"/>
            <w:noWrap/>
            <w:vAlign w:val="bottom"/>
            <w:hideMark/>
          </w:tcPr>
          <w:p w14:paraId="288DD637"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4263 Umjetnička, literarna i znanstvena djela                                                            </w:t>
            </w:r>
          </w:p>
        </w:tc>
        <w:tc>
          <w:tcPr>
            <w:tcW w:w="1384" w:type="dxa"/>
            <w:tcBorders>
              <w:top w:val="nil"/>
              <w:left w:val="nil"/>
              <w:bottom w:val="nil"/>
              <w:right w:val="nil"/>
            </w:tcBorders>
            <w:shd w:val="clear" w:color="auto" w:fill="auto"/>
            <w:noWrap/>
            <w:vAlign w:val="bottom"/>
            <w:hideMark/>
          </w:tcPr>
          <w:p w14:paraId="645FC6C2" w14:textId="77777777" w:rsidR="00583CB4" w:rsidRPr="00583CB4" w:rsidRDefault="00583CB4" w:rsidP="00583CB4">
            <w:pPr>
              <w:spacing w:after="0" w:line="240" w:lineRule="auto"/>
              <w:rPr>
                <w:rFonts w:ascii="Arial" w:hAnsi="Arial" w:cs="Arial"/>
                <w:sz w:val="18"/>
                <w:szCs w:val="18"/>
                <w:lang w:eastAsia="hr-HR"/>
              </w:rPr>
            </w:pPr>
          </w:p>
        </w:tc>
        <w:tc>
          <w:tcPr>
            <w:tcW w:w="1740" w:type="dxa"/>
            <w:tcBorders>
              <w:top w:val="nil"/>
              <w:left w:val="nil"/>
              <w:bottom w:val="nil"/>
              <w:right w:val="nil"/>
            </w:tcBorders>
            <w:shd w:val="clear" w:color="auto" w:fill="auto"/>
            <w:noWrap/>
            <w:vAlign w:val="bottom"/>
            <w:hideMark/>
          </w:tcPr>
          <w:p w14:paraId="4958E4F5" w14:textId="77777777" w:rsidR="00583CB4" w:rsidRPr="00583CB4" w:rsidRDefault="00583CB4" w:rsidP="00583CB4">
            <w:pPr>
              <w:spacing w:after="0" w:line="240" w:lineRule="auto"/>
              <w:jc w:val="right"/>
              <w:rPr>
                <w:rFonts w:ascii="Times New Roman" w:hAnsi="Times New Roman" w:cs="Times New Roman"/>
                <w:sz w:val="18"/>
                <w:szCs w:val="18"/>
                <w:lang w:eastAsia="hr-HR"/>
              </w:rPr>
            </w:pPr>
          </w:p>
        </w:tc>
        <w:tc>
          <w:tcPr>
            <w:tcW w:w="1412" w:type="dxa"/>
            <w:tcBorders>
              <w:top w:val="nil"/>
              <w:left w:val="nil"/>
              <w:bottom w:val="nil"/>
              <w:right w:val="nil"/>
            </w:tcBorders>
            <w:shd w:val="clear" w:color="auto" w:fill="auto"/>
            <w:noWrap/>
            <w:vAlign w:val="bottom"/>
            <w:hideMark/>
          </w:tcPr>
          <w:p w14:paraId="725454BB"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1.080,00</w:t>
            </w:r>
          </w:p>
        </w:tc>
        <w:tc>
          <w:tcPr>
            <w:tcW w:w="1320" w:type="dxa"/>
            <w:tcBorders>
              <w:top w:val="nil"/>
              <w:left w:val="nil"/>
              <w:bottom w:val="nil"/>
              <w:right w:val="nil"/>
            </w:tcBorders>
            <w:shd w:val="clear" w:color="auto" w:fill="auto"/>
            <w:noWrap/>
            <w:vAlign w:val="bottom"/>
            <w:hideMark/>
          </w:tcPr>
          <w:p w14:paraId="28437FF3"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0,00%</w:t>
            </w:r>
          </w:p>
        </w:tc>
        <w:tc>
          <w:tcPr>
            <w:tcW w:w="1280" w:type="dxa"/>
            <w:tcBorders>
              <w:top w:val="nil"/>
              <w:left w:val="nil"/>
              <w:bottom w:val="nil"/>
              <w:right w:val="nil"/>
            </w:tcBorders>
            <w:shd w:val="clear" w:color="auto" w:fill="auto"/>
            <w:noWrap/>
            <w:vAlign w:val="bottom"/>
            <w:hideMark/>
          </w:tcPr>
          <w:p w14:paraId="4090440D"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19E2D78F" w14:textId="77777777" w:rsidTr="00D53FB4">
        <w:trPr>
          <w:trHeight w:val="255"/>
        </w:trPr>
        <w:tc>
          <w:tcPr>
            <w:tcW w:w="7655" w:type="dxa"/>
            <w:tcBorders>
              <w:top w:val="nil"/>
              <w:left w:val="nil"/>
              <w:bottom w:val="nil"/>
              <w:right w:val="nil"/>
            </w:tcBorders>
            <w:shd w:val="clear" w:color="auto" w:fill="auto"/>
            <w:noWrap/>
            <w:vAlign w:val="bottom"/>
            <w:hideMark/>
          </w:tcPr>
          <w:p w14:paraId="0FFF149A"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4264 Ostala nematerijalna proizvedena imovina                                                            </w:t>
            </w:r>
          </w:p>
        </w:tc>
        <w:tc>
          <w:tcPr>
            <w:tcW w:w="1384" w:type="dxa"/>
            <w:tcBorders>
              <w:top w:val="nil"/>
              <w:left w:val="nil"/>
              <w:bottom w:val="nil"/>
              <w:right w:val="nil"/>
            </w:tcBorders>
            <w:shd w:val="clear" w:color="auto" w:fill="auto"/>
            <w:noWrap/>
            <w:vAlign w:val="bottom"/>
            <w:hideMark/>
          </w:tcPr>
          <w:p w14:paraId="47C6105E"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58.153,22</w:t>
            </w:r>
          </w:p>
        </w:tc>
        <w:tc>
          <w:tcPr>
            <w:tcW w:w="1740" w:type="dxa"/>
            <w:tcBorders>
              <w:top w:val="nil"/>
              <w:left w:val="nil"/>
              <w:bottom w:val="nil"/>
              <w:right w:val="nil"/>
            </w:tcBorders>
            <w:shd w:val="clear" w:color="auto" w:fill="auto"/>
            <w:noWrap/>
            <w:vAlign w:val="bottom"/>
            <w:hideMark/>
          </w:tcPr>
          <w:p w14:paraId="146EB760"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767D8D74"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1.806,25</w:t>
            </w:r>
          </w:p>
        </w:tc>
        <w:tc>
          <w:tcPr>
            <w:tcW w:w="1320" w:type="dxa"/>
            <w:tcBorders>
              <w:top w:val="nil"/>
              <w:left w:val="nil"/>
              <w:bottom w:val="nil"/>
              <w:right w:val="nil"/>
            </w:tcBorders>
            <w:shd w:val="clear" w:color="auto" w:fill="auto"/>
            <w:noWrap/>
            <w:vAlign w:val="bottom"/>
            <w:hideMark/>
          </w:tcPr>
          <w:p w14:paraId="49A88218"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3,11%</w:t>
            </w:r>
          </w:p>
        </w:tc>
        <w:tc>
          <w:tcPr>
            <w:tcW w:w="1280" w:type="dxa"/>
            <w:tcBorders>
              <w:top w:val="nil"/>
              <w:left w:val="nil"/>
              <w:bottom w:val="nil"/>
              <w:right w:val="nil"/>
            </w:tcBorders>
            <w:shd w:val="clear" w:color="auto" w:fill="auto"/>
            <w:noWrap/>
            <w:vAlign w:val="bottom"/>
            <w:hideMark/>
          </w:tcPr>
          <w:p w14:paraId="60939C5F"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04D80E08" w14:textId="77777777" w:rsidTr="00D53FB4">
        <w:trPr>
          <w:trHeight w:val="255"/>
        </w:trPr>
        <w:tc>
          <w:tcPr>
            <w:tcW w:w="7655" w:type="dxa"/>
            <w:tcBorders>
              <w:top w:val="nil"/>
              <w:left w:val="nil"/>
              <w:bottom w:val="nil"/>
              <w:right w:val="nil"/>
            </w:tcBorders>
            <w:shd w:val="clear" w:color="auto" w:fill="auto"/>
            <w:noWrap/>
            <w:vAlign w:val="bottom"/>
            <w:hideMark/>
          </w:tcPr>
          <w:p w14:paraId="2E7443C5" w14:textId="77777777" w:rsidR="00583CB4" w:rsidRPr="00583CB4" w:rsidRDefault="00583CB4" w:rsidP="00583CB4">
            <w:pPr>
              <w:spacing w:after="0" w:line="240" w:lineRule="auto"/>
              <w:rPr>
                <w:rFonts w:ascii="Arial" w:hAnsi="Arial" w:cs="Arial"/>
                <w:b/>
                <w:bCs/>
                <w:sz w:val="18"/>
                <w:szCs w:val="18"/>
                <w:lang w:eastAsia="hr-HR"/>
              </w:rPr>
            </w:pPr>
            <w:r w:rsidRPr="00583CB4">
              <w:rPr>
                <w:rFonts w:ascii="Arial" w:hAnsi="Arial" w:cs="Arial"/>
                <w:b/>
                <w:bCs/>
                <w:sz w:val="18"/>
                <w:szCs w:val="18"/>
                <w:lang w:eastAsia="hr-HR"/>
              </w:rPr>
              <w:t xml:space="preserve">45 Rashodi za dodatna ulaganja na nefinancijskoj imovini                                               </w:t>
            </w:r>
          </w:p>
        </w:tc>
        <w:tc>
          <w:tcPr>
            <w:tcW w:w="1384" w:type="dxa"/>
            <w:tcBorders>
              <w:top w:val="nil"/>
              <w:left w:val="nil"/>
              <w:bottom w:val="nil"/>
              <w:right w:val="nil"/>
            </w:tcBorders>
            <w:shd w:val="clear" w:color="auto" w:fill="auto"/>
            <w:noWrap/>
            <w:vAlign w:val="bottom"/>
            <w:hideMark/>
          </w:tcPr>
          <w:p w14:paraId="3D58A699"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367.843,25</w:t>
            </w:r>
          </w:p>
        </w:tc>
        <w:tc>
          <w:tcPr>
            <w:tcW w:w="1740" w:type="dxa"/>
            <w:tcBorders>
              <w:top w:val="nil"/>
              <w:left w:val="nil"/>
              <w:bottom w:val="nil"/>
              <w:right w:val="nil"/>
            </w:tcBorders>
            <w:shd w:val="clear" w:color="auto" w:fill="auto"/>
            <w:noWrap/>
            <w:vAlign w:val="bottom"/>
            <w:hideMark/>
          </w:tcPr>
          <w:p w14:paraId="0CFC00BF"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282.777,28</w:t>
            </w:r>
          </w:p>
        </w:tc>
        <w:tc>
          <w:tcPr>
            <w:tcW w:w="1412" w:type="dxa"/>
            <w:tcBorders>
              <w:top w:val="nil"/>
              <w:left w:val="nil"/>
              <w:bottom w:val="nil"/>
              <w:right w:val="nil"/>
            </w:tcBorders>
            <w:shd w:val="clear" w:color="auto" w:fill="auto"/>
            <w:noWrap/>
            <w:vAlign w:val="bottom"/>
            <w:hideMark/>
          </w:tcPr>
          <w:p w14:paraId="3AB5459A"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266.855,24</w:t>
            </w:r>
          </w:p>
        </w:tc>
        <w:tc>
          <w:tcPr>
            <w:tcW w:w="1320" w:type="dxa"/>
            <w:tcBorders>
              <w:top w:val="nil"/>
              <w:left w:val="nil"/>
              <w:bottom w:val="nil"/>
              <w:right w:val="nil"/>
            </w:tcBorders>
            <w:shd w:val="clear" w:color="auto" w:fill="auto"/>
            <w:noWrap/>
            <w:vAlign w:val="bottom"/>
            <w:hideMark/>
          </w:tcPr>
          <w:p w14:paraId="573BF0D9"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72,55%</w:t>
            </w:r>
          </w:p>
        </w:tc>
        <w:tc>
          <w:tcPr>
            <w:tcW w:w="1280" w:type="dxa"/>
            <w:tcBorders>
              <w:top w:val="nil"/>
              <w:left w:val="nil"/>
              <w:bottom w:val="nil"/>
              <w:right w:val="nil"/>
            </w:tcBorders>
            <w:shd w:val="clear" w:color="auto" w:fill="auto"/>
            <w:noWrap/>
            <w:vAlign w:val="bottom"/>
            <w:hideMark/>
          </w:tcPr>
          <w:p w14:paraId="31938EBF" w14:textId="77777777" w:rsidR="00583CB4" w:rsidRPr="00583CB4" w:rsidRDefault="00583CB4" w:rsidP="00583CB4">
            <w:pPr>
              <w:spacing w:after="0" w:line="240" w:lineRule="auto"/>
              <w:jc w:val="right"/>
              <w:rPr>
                <w:rFonts w:ascii="Arial" w:hAnsi="Arial" w:cs="Arial"/>
                <w:b/>
                <w:bCs/>
                <w:sz w:val="18"/>
                <w:szCs w:val="18"/>
                <w:lang w:eastAsia="hr-HR"/>
              </w:rPr>
            </w:pPr>
            <w:r w:rsidRPr="00583CB4">
              <w:rPr>
                <w:rFonts w:ascii="Arial" w:hAnsi="Arial" w:cs="Arial"/>
                <w:b/>
                <w:bCs/>
                <w:sz w:val="18"/>
                <w:szCs w:val="18"/>
                <w:lang w:eastAsia="hr-HR"/>
              </w:rPr>
              <w:t>94,37%</w:t>
            </w:r>
          </w:p>
        </w:tc>
      </w:tr>
      <w:tr w:rsidR="00583CB4" w:rsidRPr="00583CB4" w14:paraId="29025BEA" w14:textId="77777777" w:rsidTr="00D53FB4">
        <w:trPr>
          <w:trHeight w:val="255"/>
        </w:trPr>
        <w:tc>
          <w:tcPr>
            <w:tcW w:w="7655" w:type="dxa"/>
            <w:tcBorders>
              <w:top w:val="nil"/>
              <w:left w:val="nil"/>
              <w:bottom w:val="nil"/>
              <w:right w:val="nil"/>
            </w:tcBorders>
            <w:shd w:val="clear" w:color="auto" w:fill="auto"/>
            <w:noWrap/>
            <w:vAlign w:val="bottom"/>
            <w:hideMark/>
          </w:tcPr>
          <w:p w14:paraId="6F9EF7CF"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451 Dodatna ulaganja na građevinskim objektima                                                          </w:t>
            </w:r>
          </w:p>
        </w:tc>
        <w:tc>
          <w:tcPr>
            <w:tcW w:w="1384" w:type="dxa"/>
            <w:tcBorders>
              <w:top w:val="nil"/>
              <w:left w:val="nil"/>
              <w:bottom w:val="nil"/>
              <w:right w:val="nil"/>
            </w:tcBorders>
            <w:shd w:val="clear" w:color="auto" w:fill="auto"/>
            <w:noWrap/>
            <w:vAlign w:val="bottom"/>
            <w:hideMark/>
          </w:tcPr>
          <w:p w14:paraId="4095B52A"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367.843,25</w:t>
            </w:r>
          </w:p>
        </w:tc>
        <w:tc>
          <w:tcPr>
            <w:tcW w:w="1740" w:type="dxa"/>
            <w:tcBorders>
              <w:top w:val="nil"/>
              <w:left w:val="nil"/>
              <w:bottom w:val="nil"/>
              <w:right w:val="nil"/>
            </w:tcBorders>
            <w:shd w:val="clear" w:color="auto" w:fill="auto"/>
            <w:noWrap/>
            <w:vAlign w:val="bottom"/>
            <w:hideMark/>
          </w:tcPr>
          <w:p w14:paraId="4A53D490"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0D0E7D05"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265.023,95</w:t>
            </w:r>
          </w:p>
        </w:tc>
        <w:tc>
          <w:tcPr>
            <w:tcW w:w="1320" w:type="dxa"/>
            <w:tcBorders>
              <w:top w:val="nil"/>
              <w:left w:val="nil"/>
              <w:bottom w:val="nil"/>
              <w:right w:val="nil"/>
            </w:tcBorders>
            <w:shd w:val="clear" w:color="auto" w:fill="auto"/>
            <w:noWrap/>
            <w:vAlign w:val="bottom"/>
            <w:hideMark/>
          </w:tcPr>
          <w:p w14:paraId="7FDEE116"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72,05%</w:t>
            </w:r>
          </w:p>
        </w:tc>
        <w:tc>
          <w:tcPr>
            <w:tcW w:w="1280" w:type="dxa"/>
            <w:tcBorders>
              <w:top w:val="nil"/>
              <w:left w:val="nil"/>
              <w:bottom w:val="nil"/>
              <w:right w:val="nil"/>
            </w:tcBorders>
            <w:shd w:val="clear" w:color="auto" w:fill="auto"/>
            <w:noWrap/>
            <w:vAlign w:val="bottom"/>
            <w:hideMark/>
          </w:tcPr>
          <w:p w14:paraId="246DF2A5"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6047E591" w14:textId="77777777" w:rsidTr="00D53FB4">
        <w:trPr>
          <w:trHeight w:val="255"/>
        </w:trPr>
        <w:tc>
          <w:tcPr>
            <w:tcW w:w="7655" w:type="dxa"/>
            <w:tcBorders>
              <w:top w:val="nil"/>
              <w:left w:val="nil"/>
              <w:bottom w:val="nil"/>
              <w:right w:val="nil"/>
            </w:tcBorders>
            <w:shd w:val="clear" w:color="auto" w:fill="auto"/>
            <w:noWrap/>
            <w:vAlign w:val="bottom"/>
            <w:hideMark/>
          </w:tcPr>
          <w:p w14:paraId="5A8CEDC8"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4511 Dodatna ulaganja na građevinskim objektima                                                          </w:t>
            </w:r>
          </w:p>
        </w:tc>
        <w:tc>
          <w:tcPr>
            <w:tcW w:w="1384" w:type="dxa"/>
            <w:tcBorders>
              <w:top w:val="nil"/>
              <w:left w:val="nil"/>
              <w:bottom w:val="nil"/>
              <w:right w:val="nil"/>
            </w:tcBorders>
            <w:shd w:val="clear" w:color="auto" w:fill="auto"/>
            <w:noWrap/>
            <w:vAlign w:val="bottom"/>
            <w:hideMark/>
          </w:tcPr>
          <w:p w14:paraId="6B8B0053"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367.843,25</w:t>
            </w:r>
          </w:p>
        </w:tc>
        <w:tc>
          <w:tcPr>
            <w:tcW w:w="1740" w:type="dxa"/>
            <w:tcBorders>
              <w:top w:val="nil"/>
              <w:left w:val="nil"/>
              <w:bottom w:val="nil"/>
              <w:right w:val="nil"/>
            </w:tcBorders>
            <w:shd w:val="clear" w:color="auto" w:fill="auto"/>
            <w:noWrap/>
            <w:vAlign w:val="bottom"/>
            <w:hideMark/>
          </w:tcPr>
          <w:p w14:paraId="4E9854DB" w14:textId="77777777" w:rsidR="00583CB4" w:rsidRPr="00583CB4" w:rsidRDefault="00583CB4" w:rsidP="00583CB4">
            <w:pPr>
              <w:spacing w:after="0" w:line="240" w:lineRule="auto"/>
              <w:jc w:val="right"/>
              <w:rPr>
                <w:rFonts w:ascii="Arial" w:hAnsi="Arial" w:cs="Arial"/>
                <w:sz w:val="18"/>
                <w:szCs w:val="18"/>
                <w:lang w:eastAsia="hr-HR"/>
              </w:rPr>
            </w:pPr>
          </w:p>
        </w:tc>
        <w:tc>
          <w:tcPr>
            <w:tcW w:w="1412" w:type="dxa"/>
            <w:tcBorders>
              <w:top w:val="nil"/>
              <w:left w:val="nil"/>
              <w:bottom w:val="nil"/>
              <w:right w:val="nil"/>
            </w:tcBorders>
            <w:shd w:val="clear" w:color="auto" w:fill="auto"/>
            <w:noWrap/>
            <w:vAlign w:val="bottom"/>
            <w:hideMark/>
          </w:tcPr>
          <w:p w14:paraId="44FC3431"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265.023,95</w:t>
            </w:r>
          </w:p>
        </w:tc>
        <w:tc>
          <w:tcPr>
            <w:tcW w:w="1320" w:type="dxa"/>
            <w:tcBorders>
              <w:top w:val="nil"/>
              <w:left w:val="nil"/>
              <w:bottom w:val="nil"/>
              <w:right w:val="nil"/>
            </w:tcBorders>
            <w:shd w:val="clear" w:color="auto" w:fill="auto"/>
            <w:noWrap/>
            <w:vAlign w:val="bottom"/>
            <w:hideMark/>
          </w:tcPr>
          <w:p w14:paraId="1A6B2574"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72,05%</w:t>
            </w:r>
          </w:p>
        </w:tc>
        <w:tc>
          <w:tcPr>
            <w:tcW w:w="1280" w:type="dxa"/>
            <w:tcBorders>
              <w:top w:val="nil"/>
              <w:left w:val="nil"/>
              <w:bottom w:val="nil"/>
              <w:right w:val="nil"/>
            </w:tcBorders>
            <w:shd w:val="clear" w:color="auto" w:fill="auto"/>
            <w:noWrap/>
            <w:vAlign w:val="bottom"/>
            <w:hideMark/>
          </w:tcPr>
          <w:p w14:paraId="1B888AF7"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6476CE10" w14:textId="77777777" w:rsidTr="00D53FB4">
        <w:trPr>
          <w:trHeight w:val="255"/>
        </w:trPr>
        <w:tc>
          <w:tcPr>
            <w:tcW w:w="7655" w:type="dxa"/>
            <w:tcBorders>
              <w:top w:val="nil"/>
              <w:left w:val="nil"/>
              <w:bottom w:val="nil"/>
              <w:right w:val="nil"/>
            </w:tcBorders>
            <w:shd w:val="clear" w:color="auto" w:fill="auto"/>
            <w:noWrap/>
            <w:vAlign w:val="bottom"/>
            <w:hideMark/>
          </w:tcPr>
          <w:p w14:paraId="413EE296"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452 Dodatna ulaganja na postrojenjima i opremi                                                          </w:t>
            </w:r>
          </w:p>
        </w:tc>
        <w:tc>
          <w:tcPr>
            <w:tcW w:w="1384" w:type="dxa"/>
            <w:tcBorders>
              <w:top w:val="nil"/>
              <w:left w:val="nil"/>
              <w:bottom w:val="nil"/>
              <w:right w:val="nil"/>
            </w:tcBorders>
            <w:shd w:val="clear" w:color="auto" w:fill="auto"/>
            <w:noWrap/>
            <w:vAlign w:val="bottom"/>
            <w:hideMark/>
          </w:tcPr>
          <w:p w14:paraId="24877873" w14:textId="77777777" w:rsidR="00583CB4" w:rsidRPr="00583CB4" w:rsidRDefault="00583CB4" w:rsidP="00583CB4">
            <w:pPr>
              <w:spacing w:after="0" w:line="240" w:lineRule="auto"/>
              <w:rPr>
                <w:rFonts w:ascii="Arial" w:hAnsi="Arial" w:cs="Arial"/>
                <w:sz w:val="18"/>
                <w:szCs w:val="18"/>
                <w:lang w:eastAsia="hr-HR"/>
              </w:rPr>
            </w:pPr>
          </w:p>
        </w:tc>
        <w:tc>
          <w:tcPr>
            <w:tcW w:w="1740" w:type="dxa"/>
            <w:tcBorders>
              <w:top w:val="nil"/>
              <w:left w:val="nil"/>
              <w:bottom w:val="nil"/>
              <w:right w:val="nil"/>
            </w:tcBorders>
            <w:shd w:val="clear" w:color="auto" w:fill="auto"/>
            <w:noWrap/>
            <w:vAlign w:val="bottom"/>
            <w:hideMark/>
          </w:tcPr>
          <w:p w14:paraId="7C249317" w14:textId="77777777" w:rsidR="00583CB4" w:rsidRPr="00583CB4" w:rsidRDefault="00583CB4" w:rsidP="00583CB4">
            <w:pPr>
              <w:spacing w:after="0" w:line="240" w:lineRule="auto"/>
              <w:jc w:val="right"/>
              <w:rPr>
                <w:rFonts w:ascii="Times New Roman" w:hAnsi="Times New Roman" w:cs="Times New Roman"/>
                <w:sz w:val="18"/>
                <w:szCs w:val="18"/>
                <w:lang w:eastAsia="hr-HR"/>
              </w:rPr>
            </w:pPr>
          </w:p>
        </w:tc>
        <w:tc>
          <w:tcPr>
            <w:tcW w:w="1412" w:type="dxa"/>
            <w:tcBorders>
              <w:top w:val="nil"/>
              <w:left w:val="nil"/>
              <w:bottom w:val="nil"/>
              <w:right w:val="nil"/>
            </w:tcBorders>
            <w:shd w:val="clear" w:color="auto" w:fill="auto"/>
            <w:noWrap/>
            <w:vAlign w:val="bottom"/>
            <w:hideMark/>
          </w:tcPr>
          <w:p w14:paraId="222BC5DB"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1.831,29</w:t>
            </w:r>
          </w:p>
        </w:tc>
        <w:tc>
          <w:tcPr>
            <w:tcW w:w="1320" w:type="dxa"/>
            <w:tcBorders>
              <w:top w:val="nil"/>
              <w:left w:val="nil"/>
              <w:bottom w:val="nil"/>
              <w:right w:val="nil"/>
            </w:tcBorders>
            <w:shd w:val="clear" w:color="auto" w:fill="auto"/>
            <w:noWrap/>
            <w:vAlign w:val="bottom"/>
            <w:hideMark/>
          </w:tcPr>
          <w:p w14:paraId="045216A3"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0,00%</w:t>
            </w:r>
          </w:p>
        </w:tc>
        <w:tc>
          <w:tcPr>
            <w:tcW w:w="1280" w:type="dxa"/>
            <w:tcBorders>
              <w:top w:val="nil"/>
              <w:left w:val="nil"/>
              <w:bottom w:val="nil"/>
              <w:right w:val="nil"/>
            </w:tcBorders>
            <w:shd w:val="clear" w:color="auto" w:fill="auto"/>
            <w:noWrap/>
            <w:vAlign w:val="bottom"/>
            <w:hideMark/>
          </w:tcPr>
          <w:p w14:paraId="5C3B27E8" w14:textId="77777777" w:rsidR="00583CB4" w:rsidRPr="00583CB4" w:rsidRDefault="00583CB4" w:rsidP="00583CB4">
            <w:pPr>
              <w:spacing w:after="0" w:line="240" w:lineRule="auto"/>
              <w:jc w:val="right"/>
              <w:rPr>
                <w:rFonts w:ascii="Arial" w:hAnsi="Arial" w:cs="Arial"/>
                <w:sz w:val="18"/>
                <w:szCs w:val="18"/>
                <w:lang w:eastAsia="hr-HR"/>
              </w:rPr>
            </w:pPr>
          </w:p>
        </w:tc>
      </w:tr>
      <w:tr w:rsidR="00583CB4" w:rsidRPr="00583CB4" w14:paraId="3F80E128" w14:textId="77777777" w:rsidTr="00D53FB4">
        <w:trPr>
          <w:trHeight w:val="255"/>
        </w:trPr>
        <w:tc>
          <w:tcPr>
            <w:tcW w:w="7655" w:type="dxa"/>
            <w:tcBorders>
              <w:top w:val="nil"/>
              <w:left w:val="nil"/>
              <w:bottom w:val="nil"/>
              <w:right w:val="nil"/>
            </w:tcBorders>
            <w:shd w:val="clear" w:color="auto" w:fill="auto"/>
            <w:noWrap/>
            <w:vAlign w:val="bottom"/>
            <w:hideMark/>
          </w:tcPr>
          <w:p w14:paraId="3CCC3366" w14:textId="77777777" w:rsidR="00583CB4" w:rsidRPr="00583CB4" w:rsidRDefault="00583CB4" w:rsidP="00583CB4">
            <w:pPr>
              <w:spacing w:after="0" w:line="240" w:lineRule="auto"/>
              <w:rPr>
                <w:rFonts w:ascii="Arial" w:hAnsi="Arial" w:cs="Arial"/>
                <w:sz w:val="18"/>
                <w:szCs w:val="18"/>
                <w:lang w:eastAsia="hr-HR"/>
              </w:rPr>
            </w:pPr>
            <w:r w:rsidRPr="00583CB4">
              <w:rPr>
                <w:rFonts w:ascii="Arial" w:hAnsi="Arial" w:cs="Arial"/>
                <w:sz w:val="18"/>
                <w:szCs w:val="18"/>
                <w:lang w:eastAsia="hr-HR"/>
              </w:rPr>
              <w:t xml:space="preserve">4521 Dodatna ulaganja na postrojenjima i opremi                                                          </w:t>
            </w:r>
          </w:p>
        </w:tc>
        <w:tc>
          <w:tcPr>
            <w:tcW w:w="1384" w:type="dxa"/>
            <w:tcBorders>
              <w:top w:val="nil"/>
              <w:left w:val="nil"/>
              <w:bottom w:val="nil"/>
              <w:right w:val="nil"/>
            </w:tcBorders>
            <w:shd w:val="clear" w:color="auto" w:fill="auto"/>
            <w:noWrap/>
            <w:vAlign w:val="bottom"/>
            <w:hideMark/>
          </w:tcPr>
          <w:p w14:paraId="00DCA600" w14:textId="77777777" w:rsidR="00583CB4" w:rsidRPr="00583CB4" w:rsidRDefault="00583CB4" w:rsidP="00583CB4">
            <w:pPr>
              <w:spacing w:after="0" w:line="240" w:lineRule="auto"/>
              <w:rPr>
                <w:rFonts w:ascii="Arial" w:hAnsi="Arial" w:cs="Arial"/>
                <w:sz w:val="18"/>
                <w:szCs w:val="18"/>
                <w:lang w:eastAsia="hr-HR"/>
              </w:rPr>
            </w:pPr>
          </w:p>
        </w:tc>
        <w:tc>
          <w:tcPr>
            <w:tcW w:w="1740" w:type="dxa"/>
            <w:tcBorders>
              <w:top w:val="nil"/>
              <w:left w:val="nil"/>
              <w:bottom w:val="nil"/>
              <w:right w:val="nil"/>
            </w:tcBorders>
            <w:shd w:val="clear" w:color="auto" w:fill="auto"/>
            <w:noWrap/>
            <w:vAlign w:val="bottom"/>
            <w:hideMark/>
          </w:tcPr>
          <w:p w14:paraId="2BD90E97" w14:textId="77777777" w:rsidR="00583CB4" w:rsidRPr="00583CB4" w:rsidRDefault="00583CB4" w:rsidP="00583CB4">
            <w:pPr>
              <w:spacing w:after="0" w:line="240" w:lineRule="auto"/>
              <w:jc w:val="right"/>
              <w:rPr>
                <w:rFonts w:ascii="Times New Roman" w:hAnsi="Times New Roman" w:cs="Times New Roman"/>
                <w:sz w:val="18"/>
                <w:szCs w:val="18"/>
                <w:lang w:eastAsia="hr-HR"/>
              </w:rPr>
            </w:pPr>
          </w:p>
        </w:tc>
        <w:tc>
          <w:tcPr>
            <w:tcW w:w="1412" w:type="dxa"/>
            <w:tcBorders>
              <w:top w:val="nil"/>
              <w:left w:val="nil"/>
              <w:bottom w:val="nil"/>
              <w:right w:val="nil"/>
            </w:tcBorders>
            <w:shd w:val="clear" w:color="auto" w:fill="auto"/>
            <w:noWrap/>
            <w:vAlign w:val="bottom"/>
            <w:hideMark/>
          </w:tcPr>
          <w:p w14:paraId="4111805D"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1.831,29</w:t>
            </w:r>
          </w:p>
        </w:tc>
        <w:tc>
          <w:tcPr>
            <w:tcW w:w="1320" w:type="dxa"/>
            <w:tcBorders>
              <w:top w:val="nil"/>
              <w:left w:val="nil"/>
              <w:bottom w:val="nil"/>
              <w:right w:val="nil"/>
            </w:tcBorders>
            <w:shd w:val="clear" w:color="auto" w:fill="auto"/>
            <w:noWrap/>
            <w:vAlign w:val="bottom"/>
            <w:hideMark/>
          </w:tcPr>
          <w:p w14:paraId="57763608" w14:textId="77777777" w:rsidR="00583CB4" w:rsidRPr="00583CB4" w:rsidRDefault="00583CB4" w:rsidP="00583CB4">
            <w:pPr>
              <w:spacing w:after="0" w:line="240" w:lineRule="auto"/>
              <w:jc w:val="right"/>
              <w:rPr>
                <w:rFonts w:ascii="Arial" w:hAnsi="Arial" w:cs="Arial"/>
                <w:sz w:val="18"/>
                <w:szCs w:val="18"/>
                <w:lang w:eastAsia="hr-HR"/>
              </w:rPr>
            </w:pPr>
            <w:r w:rsidRPr="00583CB4">
              <w:rPr>
                <w:rFonts w:ascii="Arial" w:hAnsi="Arial" w:cs="Arial"/>
                <w:sz w:val="18"/>
                <w:szCs w:val="18"/>
                <w:lang w:eastAsia="hr-HR"/>
              </w:rPr>
              <w:t>0,00%</w:t>
            </w:r>
          </w:p>
        </w:tc>
        <w:tc>
          <w:tcPr>
            <w:tcW w:w="1280" w:type="dxa"/>
            <w:tcBorders>
              <w:top w:val="nil"/>
              <w:left w:val="nil"/>
              <w:bottom w:val="nil"/>
              <w:right w:val="nil"/>
            </w:tcBorders>
            <w:shd w:val="clear" w:color="auto" w:fill="auto"/>
            <w:noWrap/>
            <w:vAlign w:val="bottom"/>
            <w:hideMark/>
          </w:tcPr>
          <w:p w14:paraId="6D03A293" w14:textId="77777777" w:rsidR="00583CB4" w:rsidRPr="00583CB4" w:rsidRDefault="00583CB4" w:rsidP="00583CB4">
            <w:pPr>
              <w:spacing w:after="0" w:line="240" w:lineRule="auto"/>
              <w:jc w:val="right"/>
              <w:rPr>
                <w:rFonts w:ascii="Arial" w:hAnsi="Arial" w:cs="Arial"/>
                <w:sz w:val="18"/>
                <w:szCs w:val="18"/>
                <w:lang w:eastAsia="hr-HR"/>
              </w:rPr>
            </w:pPr>
          </w:p>
        </w:tc>
      </w:tr>
    </w:tbl>
    <w:p w14:paraId="61DD6E6D" w14:textId="77777777" w:rsidR="004D3FA8" w:rsidRPr="00722358" w:rsidRDefault="004D3FA8" w:rsidP="004D3FA8">
      <w:pPr>
        <w:pStyle w:val="Odlomakpopisa"/>
        <w:rPr>
          <w:rFonts w:asciiTheme="minorHAnsi" w:hAnsiTheme="minorHAnsi" w:cstheme="minorHAnsi"/>
          <w:b/>
          <w:color w:val="000000"/>
        </w:rPr>
      </w:pPr>
    </w:p>
    <w:p w14:paraId="56AA36DB" w14:textId="77777777" w:rsidR="004D3FA8" w:rsidRPr="00722358" w:rsidRDefault="004D3FA8" w:rsidP="004D3FA8">
      <w:pPr>
        <w:pStyle w:val="Odlomakpopisa"/>
        <w:rPr>
          <w:rFonts w:asciiTheme="minorHAnsi" w:hAnsiTheme="minorHAnsi" w:cstheme="minorHAnsi"/>
          <w:b/>
          <w:color w:val="000000"/>
        </w:rPr>
      </w:pPr>
    </w:p>
    <w:p w14:paraId="79A4C338" w14:textId="77777777" w:rsidR="0020530E" w:rsidRPr="00722358" w:rsidRDefault="0020530E" w:rsidP="0020530E">
      <w:pPr>
        <w:pStyle w:val="Odlomakpopisa"/>
        <w:rPr>
          <w:rFonts w:asciiTheme="minorHAnsi" w:hAnsiTheme="minorHAnsi" w:cstheme="minorHAnsi"/>
          <w:b/>
          <w:color w:val="000000"/>
        </w:rPr>
      </w:pPr>
    </w:p>
    <w:p w14:paraId="4687367D" w14:textId="77777777" w:rsidR="001F7002" w:rsidRDefault="001F7002" w:rsidP="00602A45">
      <w:pPr>
        <w:rPr>
          <w:rFonts w:asciiTheme="minorHAnsi" w:hAnsiTheme="minorHAnsi" w:cstheme="minorHAnsi"/>
          <w:b/>
          <w:color w:val="000000"/>
        </w:rPr>
      </w:pPr>
    </w:p>
    <w:p w14:paraId="56D76D81" w14:textId="77777777" w:rsidR="007523DF" w:rsidRPr="00722358" w:rsidRDefault="007523DF" w:rsidP="00602A45">
      <w:pPr>
        <w:rPr>
          <w:rFonts w:asciiTheme="minorHAnsi" w:hAnsiTheme="minorHAnsi" w:cstheme="minorHAnsi"/>
          <w:b/>
          <w:color w:val="000000"/>
        </w:rPr>
      </w:pPr>
    </w:p>
    <w:p w14:paraId="284BAB6A" w14:textId="77777777" w:rsidR="00E2358A" w:rsidRPr="00722358" w:rsidRDefault="00E2358A" w:rsidP="00E35E70">
      <w:pPr>
        <w:tabs>
          <w:tab w:val="left" w:pos="4695"/>
          <w:tab w:val="center" w:pos="7001"/>
        </w:tabs>
        <w:spacing w:after="0" w:line="240" w:lineRule="auto"/>
        <w:rPr>
          <w:rFonts w:asciiTheme="minorHAnsi" w:hAnsiTheme="minorHAnsi" w:cstheme="minorHAnsi"/>
          <w:b/>
          <w:color w:val="000000"/>
          <w:sz w:val="24"/>
          <w:szCs w:val="24"/>
          <w:lang w:eastAsia="hr-HR"/>
        </w:rPr>
      </w:pPr>
    </w:p>
    <w:p w14:paraId="5FE78C15" w14:textId="63647307" w:rsidR="00357058" w:rsidRPr="002B70CF" w:rsidRDefault="00E35E70" w:rsidP="00E35E70">
      <w:pPr>
        <w:tabs>
          <w:tab w:val="left" w:pos="4695"/>
          <w:tab w:val="center" w:pos="7001"/>
        </w:tabs>
        <w:spacing w:after="0" w:line="240" w:lineRule="auto"/>
        <w:rPr>
          <w:rFonts w:ascii="Times New Roman" w:hAnsi="Times New Roman" w:cs="Times New Roman"/>
          <w:b/>
          <w:sz w:val="24"/>
          <w:szCs w:val="24"/>
          <w:lang w:eastAsia="hr-HR"/>
        </w:rPr>
      </w:pPr>
      <w:r w:rsidRPr="00722358">
        <w:rPr>
          <w:rFonts w:asciiTheme="minorHAnsi" w:hAnsiTheme="minorHAnsi" w:cstheme="minorHAnsi"/>
          <w:b/>
          <w:color w:val="000000"/>
          <w:sz w:val="24"/>
          <w:szCs w:val="24"/>
          <w:lang w:eastAsia="hr-HR"/>
        </w:rPr>
        <w:lastRenderedPageBreak/>
        <w:tab/>
      </w:r>
      <w:r w:rsidR="0076237E" w:rsidRPr="00722358">
        <w:rPr>
          <w:rFonts w:ascii="Times New Roman" w:hAnsi="Times New Roman" w:cs="Times New Roman"/>
          <w:b/>
          <w:sz w:val="24"/>
          <w:szCs w:val="24"/>
          <w:lang w:eastAsia="hr-HR"/>
        </w:rPr>
        <w:t>1.2.</w:t>
      </w:r>
      <w:r w:rsidR="00E2358A" w:rsidRPr="00722358">
        <w:rPr>
          <w:rFonts w:ascii="Times New Roman" w:hAnsi="Times New Roman" w:cs="Times New Roman"/>
          <w:b/>
          <w:sz w:val="24"/>
          <w:szCs w:val="24"/>
          <w:lang w:eastAsia="hr-HR"/>
        </w:rPr>
        <w:t>2.</w:t>
      </w:r>
      <w:r w:rsidR="005A758B" w:rsidRPr="00722358">
        <w:rPr>
          <w:rFonts w:ascii="Times New Roman" w:hAnsi="Times New Roman" w:cs="Times New Roman"/>
          <w:b/>
          <w:sz w:val="24"/>
          <w:szCs w:val="24"/>
          <w:lang w:eastAsia="hr-HR"/>
        </w:rPr>
        <w:t xml:space="preserve">  Prihodi i rashodi prema izvorima financiranja</w:t>
      </w:r>
    </w:p>
    <w:p w14:paraId="072D0B83" w14:textId="77777777" w:rsidR="00357058" w:rsidRDefault="00357058" w:rsidP="00E35E70">
      <w:pPr>
        <w:tabs>
          <w:tab w:val="left" w:pos="4695"/>
          <w:tab w:val="center" w:pos="7001"/>
        </w:tabs>
        <w:spacing w:after="0" w:line="240" w:lineRule="auto"/>
        <w:rPr>
          <w:rFonts w:asciiTheme="minorHAnsi" w:hAnsiTheme="minorHAnsi" w:cstheme="minorHAnsi"/>
          <w:b/>
          <w:sz w:val="24"/>
          <w:szCs w:val="24"/>
          <w:lang w:eastAsia="hr-HR"/>
        </w:rPr>
      </w:pPr>
    </w:p>
    <w:tbl>
      <w:tblPr>
        <w:tblW w:w="14685" w:type="dxa"/>
        <w:tblLook w:val="04A0" w:firstRow="1" w:lastRow="0" w:firstColumn="1" w:lastColumn="0" w:noHBand="0" w:noVBand="1"/>
      </w:tblPr>
      <w:tblGrid>
        <w:gridCol w:w="6663"/>
        <w:gridCol w:w="1843"/>
        <w:gridCol w:w="1819"/>
        <w:gridCol w:w="1580"/>
        <w:gridCol w:w="1520"/>
        <w:gridCol w:w="1260"/>
      </w:tblGrid>
      <w:tr w:rsidR="00357058" w:rsidRPr="00357058" w14:paraId="25F4FE8E" w14:textId="77777777" w:rsidTr="00357058">
        <w:trPr>
          <w:trHeight w:val="255"/>
        </w:trPr>
        <w:tc>
          <w:tcPr>
            <w:tcW w:w="6663" w:type="dxa"/>
            <w:tcBorders>
              <w:top w:val="nil"/>
              <w:left w:val="nil"/>
              <w:bottom w:val="nil"/>
              <w:right w:val="nil"/>
            </w:tcBorders>
            <w:shd w:val="clear" w:color="000000" w:fill="C0C0C0"/>
            <w:noWrap/>
            <w:vAlign w:val="bottom"/>
            <w:hideMark/>
          </w:tcPr>
          <w:p w14:paraId="3226839D" w14:textId="77777777" w:rsidR="00357058" w:rsidRPr="00357058" w:rsidRDefault="00357058" w:rsidP="00357058">
            <w:pPr>
              <w:spacing w:after="0" w:line="240" w:lineRule="auto"/>
              <w:jc w:val="center"/>
              <w:rPr>
                <w:rFonts w:ascii="Arial" w:hAnsi="Arial" w:cs="Arial"/>
                <w:b/>
                <w:bCs/>
                <w:sz w:val="18"/>
                <w:szCs w:val="18"/>
                <w:lang w:eastAsia="hr-HR"/>
              </w:rPr>
            </w:pPr>
            <w:r w:rsidRPr="00357058">
              <w:rPr>
                <w:rFonts w:ascii="Arial" w:hAnsi="Arial" w:cs="Arial"/>
                <w:b/>
                <w:bCs/>
                <w:sz w:val="18"/>
                <w:szCs w:val="18"/>
                <w:lang w:eastAsia="hr-HR"/>
              </w:rPr>
              <w:t>Račun / opis</w:t>
            </w:r>
          </w:p>
        </w:tc>
        <w:tc>
          <w:tcPr>
            <w:tcW w:w="1843" w:type="dxa"/>
            <w:tcBorders>
              <w:top w:val="nil"/>
              <w:left w:val="nil"/>
              <w:bottom w:val="nil"/>
              <w:right w:val="nil"/>
            </w:tcBorders>
            <w:shd w:val="clear" w:color="000000" w:fill="C0C0C0"/>
            <w:noWrap/>
            <w:vAlign w:val="bottom"/>
            <w:hideMark/>
          </w:tcPr>
          <w:p w14:paraId="0A93E61F" w14:textId="77777777" w:rsidR="00357058" w:rsidRPr="00357058" w:rsidRDefault="00357058" w:rsidP="00357058">
            <w:pPr>
              <w:spacing w:after="0" w:line="240" w:lineRule="auto"/>
              <w:jc w:val="center"/>
              <w:rPr>
                <w:rFonts w:ascii="Arial" w:hAnsi="Arial" w:cs="Arial"/>
                <w:b/>
                <w:bCs/>
                <w:sz w:val="18"/>
                <w:szCs w:val="18"/>
                <w:lang w:eastAsia="hr-HR"/>
              </w:rPr>
            </w:pPr>
            <w:r w:rsidRPr="00357058">
              <w:rPr>
                <w:rFonts w:ascii="Arial" w:hAnsi="Arial" w:cs="Arial"/>
                <w:b/>
                <w:bCs/>
                <w:sz w:val="18"/>
                <w:szCs w:val="18"/>
                <w:lang w:eastAsia="hr-HR"/>
              </w:rPr>
              <w:t>Izvršenje 2023.</w:t>
            </w:r>
          </w:p>
        </w:tc>
        <w:tc>
          <w:tcPr>
            <w:tcW w:w="1819" w:type="dxa"/>
            <w:tcBorders>
              <w:top w:val="nil"/>
              <w:left w:val="nil"/>
              <w:bottom w:val="nil"/>
              <w:right w:val="nil"/>
            </w:tcBorders>
            <w:shd w:val="clear" w:color="000000" w:fill="C0C0C0"/>
            <w:noWrap/>
            <w:vAlign w:val="bottom"/>
            <w:hideMark/>
          </w:tcPr>
          <w:p w14:paraId="66EFDCB2" w14:textId="77777777" w:rsidR="00357058" w:rsidRPr="00357058" w:rsidRDefault="00357058" w:rsidP="00357058">
            <w:pPr>
              <w:spacing w:after="0" w:line="240" w:lineRule="auto"/>
              <w:jc w:val="center"/>
              <w:rPr>
                <w:rFonts w:ascii="Arial" w:hAnsi="Arial" w:cs="Arial"/>
                <w:b/>
                <w:bCs/>
                <w:sz w:val="18"/>
                <w:szCs w:val="18"/>
                <w:lang w:eastAsia="hr-HR"/>
              </w:rPr>
            </w:pPr>
            <w:r w:rsidRPr="00357058">
              <w:rPr>
                <w:rFonts w:ascii="Arial" w:hAnsi="Arial" w:cs="Arial"/>
                <w:b/>
                <w:bCs/>
                <w:sz w:val="18"/>
                <w:szCs w:val="18"/>
                <w:lang w:eastAsia="hr-HR"/>
              </w:rPr>
              <w:t>Rebalans 2024.</w:t>
            </w:r>
          </w:p>
        </w:tc>
        <w:tc>
          <w:tcPr>
            <w:tcW w:w="1580" w:type="dxa"/>
            <w:tcBorders>
              <w:top w:val="nil"/>
              <w:left w:val="nil"/>
              <w:bottom w:val="nil"/>
              <w:right w:val="nil"/>
            </w:tcBorders>
            <w:shd w:val="clear" w:color="000000" w:fill="C0C0C0"/>
            <w:noWrap/>
            <w:vAlign w:val="bottom"/>
            <w:hideMark/>
          </w:tcPr>
          <w:p w14:paraId="1AF283AA" w14:textId="77777777" w:rsidR="00357058" w:rsidRPr="00357058" w:rsidRDefault="00357058" w:rsidP="00357058">
            <w:pPr>
              <w:spacing w:after="0" w:line="240" w:lineRule="auto"/>
              <w:jc w:val="center"/>
              <w:rPr>
                <w:rFonts w:ascii="Arial" w:hAnsi="Arial" w:cs="Arial"/>
                <w:b/>
                <w:bCs/>
                <w:sz w:val="18"/>
                <w:szCs w:val="18"/>
                <w:lang w:eastAsia="hr-HR"/>
              </w:rPr>
            </w:pPr>
            <w:r w:rsidRPr="00357058">
              <w:rPr>
                <w:rFonts w:ascii="Arial" w:hAnsi="Arial" w:cs="Arial"/>
                <w:b/>
                <w:bCs/>
                <w:sz w:val="18"/>
                <w:szCs w:val="18"/>
                <w:lang w:eastAsia="hr-HR"/>
              </w:rPr>
              <w:t>Izvršenje 2024.</w:t>
            </w:r>
          </w:p>
        </w:tc>
        <w:tc>
          <w:tcPr>
            <w:tcW w:w="1520" w:type="dxa"/>
            <w:tcBorders>
              <w:top w:val="nil"/>
              <w:left w:val="nil"/>
              <w:bottom w:val="nil"/>
              <w:right w:val="nil"/>
            </w:tcBorders>
            <w:shd w:val="clear" w:color="000000" w:fill="C0C0C0"/>
            <w:noWrap/>
            <w:vAlign w:val="bottom"/>
            <w:hideMark/>
          </w:tcPr>
          <w:p w14:paraId="64B1D2EB" w14:textId="77777777" w:rsidR="00357058" w:rsidRPr="00357058" w:rsidRDefault="00357058" w:rsidP="00357058">
            <w:pPr>
              <w:spacing w:after="0" w:line="240" w:lineRule="auto"/>
              <w:jc w:val="center"/>
              <w:rPr>
                <w:rFonts w:ascii="Arial" w:hAnsi="Arial" w:cs="Arial"/>
                <w:b/>
                <w:bCs/>
                <w:sz w:val="18"/>
                <w:szCs w:val="18"/>
                <w:lang w:eastAsia="hr-HR"/>
              </w:rPr>
            </w:pPr>
            <w:r w:rsidRPr="00357058">
              <w:rPr>
                <w:rFonts w:ascii="Arial" w:hAnsi="Arial" w:cs="Arial"/>
                <w:b/>
                <w:bCs/>
                <w:sz w:val="18"/>
                <w:szCs w:val="18"/>
                <w:lang w:eastAsia="hr-HR"/>
              </w:rPr>
              <w:t>Indeks  3/1</w:t>
            </w:r>
          </w:p>
        </w:tc>
        <w:tc>
          <w:tcPr>
            <w:tcW w:w="1260" w:type="dxa"/>
            <w:tcBorders>
              <w:top w:val="nil"/>
              <w:left w:val="nil"/>
              <w:bottom w:val="nil"/>
              <w:right w:val="nil"/>
            </w:tcBorders>
            <w:shd w:val="clear" w:color="000000" w:fill="C0C0C0"/>
            <w:noWrap/>
            <w:vAlign w:val="bottom"/>
            <w:hideMark/>
          </w:tcPr>
          <w:p w14:paraId="14F56A20" w14:textId="77777777" w:rsidR="00357058" w:rsidRPr="00357058" w:rsidRDefault="00357058" w:rsidP="00357058">
            <w:pPr>
              <w:spacing w:after="0" w:line="240" w:lineRule="auto"/>
              <w:jc w:val="center"/>
              <w:rPr>
                <w:rFonts w:ascii="Arial" w:hAnsi="Arial" w:cs="Arial"/>
                <w:b/>
                <w:bCs/>
                <w:sz w:val="18"/>
                <w:szCs w:val="18"/>
                <w:lang w:eastAsia="hr-HR"/>
              </w:rPr>
            </w:pPr>
            <w:r w:rsidRPr="00357058">
              <w:rPr>
                <w:rFonts w:ascii="Arial" w:hAnsi="Arial" w:cs="Arial"/>
                <w:b/>
                <w:bCs/>
                <w:sz w:val="18"/>
                <w:szCs w:val="18"/>
                <w:lang w:eastAsia="hr-HR"/>
              </w:rPr>
              <w:t>Indeks  3/2</w:t>
            </w:r>
          </w:p>
        </w:tc>
      </w:tr>
      <w:tr w:rsidR="00357058" w:rsidRPr="00357058" w14:paraId="514B5327" w14:textId="77777777" w:rsidTr="00357058">
        <w:trPr>
          <w:trHeight w:val="255"/>
        </w:trPr>
        <w:tc>
          <w:tcPr>
            <w:tcW w:w="6663" w:type="dxa"/>
            <w:tcBorders>
              <w:top w:val="nil"/>
              <w:left w:val="nil"/>
              <w:bottom w:val="nil"/>
              <w:right w:val="nil"/>
            </w:tcBorders>
            <w:shd w:val="clear" w:color="000000" w:fill="C0C0C0"/>
            <w:noWrap/>
            <w:vAlign w:val="bottom"/>
            <w:hideMark/>
          </w:tcPr>
          <w:p w14:paraId="42D65884" w14:textId="77777777" w:rsidR="00357058" w:rsidRPr="00357058" w:rsidRDefault="00357058" w:rsidP="00357058">
            <w:pPr>
              <w:spacing w:after="0" w:line="240" w:lineRule="auto"/>
              <w:jc w:val="center"/>
              <w:rPr>
                <w:rFonts w:ascii="Arial" w:hAnsi="Arial" w:cs="Arial"/>
                <w:b/>
                <w:bCs/>
                <w:sz w:val="18"/>
                <w:szCs w:val="18"/>
                <w:lang w:eastAsia="hr-HR"/>
              </w:rPr>
            </w:pPr>
            <w:r w:rsidRPr="00357058">
              <w:rPr>
                <w:rFonts w:ascii="Arial" w:hAnsi="Arial" w:cs="Arial"/>
                <w:b/>
                <w:bCs/>
                <w:sz w:val="18"/>
                <w:szCs w:val="18"/>
                <w:lang w:eastAsia="hr-HR"/>
              </w:rPr>
              <w:t>PRIHODI I RASHODI PREMA IZVORIMA FINANCIRANJA</w:t>
            </w:r>
          </w:p>
        </w:tc>
        <w:tc>
          <w:tcPr>
            <w:tcW w:w="1843" w:type="dxa"/>
            <w:tcBorders>
              <w:top w:val="nil"/>
              <w:left w:val="nil"/>
              <w:bottom w:val="nil"/>
              <w:right w:val="nil"/>
            </w:tcBorders>
            <w:shd w:val="clear" w:color="000000" w:fill="C0C0C0"/>
            <w:noWrap/>
            <w:vAlign w:val="bottom"/>
            <w:hideMark/>
          </w:tcPr>
          <w:p w14:paraId="340E8C02" w14:textId="77777777" w:rsidR="00357058" w:rsidRPr="00357058" w:rsidRDefault="00357058" w:rsidP="00357058">
            <w:pPr>
              <w:spacing w:after="0" w:line="240" w:lineRule="auto"/>
              <w:jc w:val="center"/>
              <w:rPr>
                <w:rFonts w:ascii="Arial" w:hAnsi="Arial" w:cs="Arial"/>
                <w:b/>
                <w:bCs/>
                <w:sz w:val="18"/>
                <w:szCs w:val="18"/>
                <w:lang w:eastAsia="hr-HR"/>
              </w:rPr>
            </w:pPr>
            <w:r w:rsidRPr="00357058">
              <w:rPr>
                <w:rFonts w:ascii="Arial" w:hAnsi="Arial" w:cs="Arial"/>
                <w:b/>
                <w:bCs/>
                <w:sz w:val="18"/>
                <w:szCs w:val="18"/>
                <w:lang w:eastAsia="hr-HR"/>
              </w:rPr>
              <w:t>1</w:t>
            </w:r>
          </w:p>
        </w:tc>
        <w:tc>
          <w:tcPr>
            <w:tcW w:w="1819" w:type="dxa"/>
            <w:tcBorders>
              <w:top w:val="nil"/>
              <w:left w:val="nil"/>
              <w:bottom w:val="nil"/>
              <w:right w:val="nil"/>
            </w:tcBorders>
            <w:shd w:val="clear" w:color="000000" w:fill="C0C0C0"/>
            <w:noWrap/>
            <w:vAlign w:val="bottom"/>
            <w:hideMark/>
          </w:tcPr>
          <w:p w14:paraId="2D1DEA37" w14:textId="77777777" w:rsidR="00357058" w:rsidRPr="00357058" w:rsidRDefault="00357058" w:rsidP="00357058">
            <w:pPr>
              <w:spacing w:after="0" w:line="240" w:lineRule="auto"/>
              <w:jc w:val="center"/>
              <w:rPr>
                <w:rFonts w:ascii="Arial" w:hAnsi="Arial" w:cs="Arial"/>
                <w:b/>
                <w:bCs/>
                <w:sz w:val="18"/>
                <w:szCs w:val="18"/>
                <w:lang w:eastAsia="hr-HR"/>
              </w:rPr>
            </w:pPr>
            <w:r w:rsidRPr="00357058">
              <w:rPr>
                <w:rFonts w:ascii="Arial" w:hAnsi="Arial" w:cs="Arial"/>
                <w:b/>
                <w:bCs/>
                <w:sz w:val="18"/>
                <w:szCs w:val="18"/>
                <w:lang w:eastAsia="hr-HR"/>
              </w:rPr>
              <w:t>2</w:t>
            </w:r>
          </w:p>
        </w:tc>
        <w:tc>
          <w:tcPr>
            <w:tcW w:w="1580" w:type="dxa"/>
            <w:tcBorders>
              <w:top w:val="nil"/>
              <w:left w:val="nil"/>
              <w:bottom w:val="nil"/>
              <w:right w:val="nil"/>
            </w:tcBorders>
            <w:shd w:val="clear" w:color="000000" w:fill="C0C0C0"/>
            <w:noWrap/>
            <w:vAlign w:val="bottom"/>
            <w:hideMark/>
          </w:tcPr>
          <w:p w14:paraId="6FAF1060" w14:textId="77777777" w:rsidR="00357058" w:rsidRPr="00357058" w:rsidRDefault="00357058" w:rsidP="00357058">
            <w:pPr>
              <w:spacing w:after="0" w:line="240" w:lineRule="auto"/>
              <w:jc w:val="center"/>
              <w:rPr>
                <w:rFonts w:ascii="Arial" w:hAnsi="Arial" w:cs="Arial"/>
                <w:b/>
                <w:bCs/>
                <w:sz w:val="18"/>
                <w:szCs w:val="18"/>
                <w:lang w:eastAsia="hr-HR"/>
              </w:rPr>
            </w:pPr>
            <w:r w:rsidRPr="00357058">
              <w:rPr>
                <w:rFonts w:ascii="Arial" w:hAnsi="Arial" w:cs="Arial"/>
                <w:b/>
                <w:bCs/>
                <w:sz w:val="18"/>
                <w:szCs w:val="18"/>
                <w:lang w:eastAsia="hr-HR"/>
              </w:rPr>
              <w:t>3</w:t>
            </w:r>
          </w:p>
        </w:tc>
        <w:tc>
          <w:tcPr>
            <w:tcW w:w="1520" w:type="dxa"/>
            <w:tcBorders>
              <w:top w:val="nil"/>
              <w:left w:val="nil"/>
              <w:bottom w:val="nil"/>
              <w:right w:val="nil"/>
            </w:tcBorders>
            <w:shd w:val="clear" w:color="000000" w:fill="C0C0C0"/>
            <w:noWrap/>
            <w:vAlign w:val="bottom"/>
            <w:hideMark/>
          </w:tcPr>
          <w:p w14:paraId="2A142F42" w14:textId="77777777" w:rsidR="00357058" w:rsidRPr="00357058" w:rsidRDefault="00357058" w:rsidP="00357058">
            <w:pPr>
              <w:spacing w:after="0" w:line="240" w:lineRule="auto"/>
              <w:jc w:val="center"/>
              <w:rPr>
                <w:rFonts w:ascii="Arial" w:hAnsi="Arial" w:cs="Arial"/>
                <w:b/>
                <w:bCs/>
                <w:sz w:val="18"/>
                <w:szCs w:val="18"/>
                <w:lang w:eastAsia="hr-HR"/>
              </w:rPr>
            </w:pPr>
            <w:r w:rsidRPr="00357058">
              <w:rPr>
                <w:rFonts w:ascii="Arial" w:hAnsi="Arial" w:cs="Arial"/>
                <w:b/>
                <w:bCs/>
                <w:sz w:val="18"/>
                <w:szCs w:val="18"/>
                <w:lang w:eastAsia="hr-HR"/>
              </w:rPr>
              <w:t>4</w:t>
            </w:r>
          </w:p>
        </w:tc>
        <w:tc>
          <w:tcPr>
            <w:tcW w:w="1260" w:type="dxa"/>
            <w:tcBorders>
              <w:top w:val="nil"/>
              <w:left w:val="nil"/>
              <w:bottom w:val="nil"/>
              <w:right w:val="nil"/>
            </w:tcBorders>
            <w:shd w:val="clear" w:color="000000" w:fill="C0C0C0"/>
            <w:noWrap/>
            <w:vAlign w:val="bottom"/>
            <w:hideMark/>
          </w:tcPr>
          <w:p w14:paraId="6365BE88" w14:textId="77777777" w:rsidR="00357058" w:rsidRPr="00357058" w:rsidRDefault="00357058" w:rsidP="00357058">
            <w:pPr>
              <w:spacing w:after="0" w:line="240" w:lineRule="auto"/>
              <w:jc w:val="center"/>
              <w:rPr>
                <w:rFonts w:ascii="Arial" w:hAnsi="Arial" w:cs="Arial"/>
                <w:b/>
                <w:bCs/>
                <w:sz w:val="18"/>
                <w:szCs w:val="18"/>
                <w:lang w:eastAsia="hr-HR"/>
              </w:rPr>
            </w:pPr>
            <w:r w:rsidRPr="00357058">
              <w:rPr>
                <w:rFonts w:ascii="Arial" w:hAnsi="Arial" w:cs="Arial"/>
                <w:b/>
                <w:bCs/>
                <w:sz w:val="18"/>
                <w:szCs w:val="18"/>
                <w:lang w:eastAsia="hr-HR"/>
              </w:rPr>
              <w:t>5</w:t>
            </w:r>
          </w:p>
        </w:tc>
      </w:tr>
      <w:tr w:rsidR="00357058" w:rsidRPr="00357058" w14:paraId="08616933" w14:textId="77777777" w:rsidTr="00357058">
        <w:trPr>
          <w:trHeight w:val="255"/>
        </w:trPr>
        <w:tc>
          <w:tcPr>
            <w:tcW w:w="6663" w:type="dxa"/>
            <w:tcBorders>
              <w:top w:val="nil"/>
              <w:left w:val="nil"/>
              <w:bottom w:val="nil"/>
              <w:right w:val="nil"/>
            </w:tcBorders>
            <w:shd w:val="clear" w:color="000000" w:fill="203764"/>
            <w:noWrap/>
            <w:vAlign w:val="bottom"/>
            <w:hideMark/>
          </w:tcPr>
          <w:p w14:paraId="51C1E0A6" w14:textId="77777777" w:rsidR="00357058" w:rsidRPr="00357058" w:rsidRDefault="00357058" w:rsidP="00357058">
            <w:pPr>
              <w:spacing w:after="0" w:line="240" w:lineRule="auto"/>
              <w:rPr>
                <w:rFonts w:ascii="Arial" w:hAnsi="Arial" w:cs="Arial"/>
                <w:b/>
                <w:bCs/>
                <w:color w:val="FFFFFF"/>
                <w:sz w:val="18"/>
                <w:szCs w:val="18"/>
                <w:lang w:eastAsia="hr-HR"/>
              </w:rPr>
            </w:pPr>
            <w:r w:rsidRPr="00357058">
              <w:rPr>
                <w:rFonts w:ascii="Arial" w:hAnsi="Arial" w:cs="Arial"/>
                <w:b/>
                <w:bCs/>
                <w:color w:val="FFFFFF"/>
                <w:sz w:val="18"/>
                <w:szCs w:val="18"/>
                <w:lang w:eastAsia="hr-HR"/>
              </w:rPr>
              <w:t xml:space="preserve"> SVEUKUPNI PRIHODI</w:t>
            </w:r>
          </w:p>
        </w:tc>
        <w:tc>
          <w:tcPr>
            <w:tcW w:w="1843" w:type="dxa"/>
            <w:tcBorders>
              <w:top w:val="nil"/>
              <w:left w:val="nil"/>
              <w:bottom w:val="nil"/>
              <w:right w:val="nil"/>
            </w:tcBorders>
            <w:shd w:val="clear" w:color="000000" w:fill="203764"/>
            <w:noWrap/>
            <w:vAlign w:val="bottom"/>
            <w:hideMark/>
          </w:tcPr>
          <w:p w14:paraId="15D42636" w14:textId="77777777" w:rsidR="00357058" w:rsidRPr="00357058" w:rsidRDefault="00357058" w:rsidP="00357058">
            <w:pPr>
              <w:spacing w:after="0" w:line="240" w:lineRule="auto"/>
              <w:jc w:val="right"/>
              <w:rPr>
                <w:rFonts w:ascii="Arial" w:hAnsi="Arial" w:cs="Arial"/>
                <w:b/>
                <w:bCs/>
                <w:color w:val="FFFFFF"/>
                <w:sz w:val="18"/>
                <w:szCs w:val="18"/>
                <w:lang w:eastAsia="hr-HR"/>
              </w:rPr>
            </w:pPr>
            <w:r w:rsidRPr="00357058">
              <w:rPr>
                <w:rFonts w:ascii="Arial" w:hAnsi="Arial" w:cs="Arial"/>
                <w:b/>
                <w:bCs/>
                <w:color w:val="FFFFFF"/>
                <w:sz w:val="18"/>
                <w:szCs w:val="18"/>
                <w:lang w:eastAsia="hr-HR"/>
              </w:rPr>
              <w:t>9.477.522,45</w:t>
            </w:r>
          </w:p>
        </w:tc>
        <w:tc>
          <w:tcPr>
            <w:tcW w:w="1819" w:type="dxa"/>
            <w:tcBorders>
              <w:top w:val="nil"/>
              <w:left w:val="nil"/>
              <w:bottom w:val="nil"/>
              <w:right w:val="nil"/>
            </w:tcBorders>
            <w:shd w:val="clear" w:color="000000" w:fill="203764"/>
            <w:noWrap/>
            <w:vAlign w:val="bottom"/>
            <w:hideMark/>
          </w:tcPr>
          <w:p w14:paraId="06CA9A4C" w14:textId="77777777" w:rsidR="00357058" w:rsidRPr="00357058" w:rsidRDefault="00357058" w:rsidP="00357058">
            <w:pPr>
              <w:spacing w:after="0" w:line="240" w:lineRule="auto"/>
              <w:jc w:val="right"/>
              <w:rPr>
                <w:rFonts w:ascii="Arial" w:hAnsi="Arial" w:cs="Arial"/>
                <w:b/>
                <w:bCs/>
                <w:color w:val="FFFFFF"/>
                <w:sz w:val="18"/>
                <w:szCs w:val="18"/>
                <w:lang w:eastAsia="hr-HR"/>
              </w:rPr>
            </w:pPr>
            <w:r w:rsidRPr="00357058">
              <w:rPr>
                <w:rFonts w:ascii="Arial" w:hAnsi="Arial" w:cs="Arial"/>
                <w:b/>
                <w:bCs/>
                <w:color w:val="FFFFFF"/>
                <w:sz w:val="18"/>
                <w:szCs w:val="18"/>
                <w:lang w:eastAsia="hr-HR"/>
              </w:rPr>
              <w:t>12.310.051,23</w:t>
            </w:r>
          </w:p>
        </w:tc>
        <w:tc>
          <w:tcPr>
            <w:tcW w:w="1580" w:type="dxa"/>
            <w:tcBorders>
              <w:top w:val="nil"/>
              <w:left w:val="nil"/>
              <w:bottom w:val="nil"/>
              <w:right w:val="nil"/>
            </w:tcBorders>
            <w:shd w:val="clear" w:color="000000" w:fill="203764"/>
            <w:noWrap/>
            <w:vAlign w:val="bottom"/>
            <w:hideMark/>
          </w:tcPr>
          <w:p w14:paraId="258DFD53" w14:textId="3039556C" w:rsidR="00357058" w:rsidRPr="00357058" w:rsidRDefault="00357058" w:rsidP="00357058">
            <w:pPr>
              <w:spacing w:after="0" w:line="240" w:lineRule="auto"/>
              <w:jc w:val="right"/>
              <w:rPr>
                <w:rFonts w:ascii="Arial" w:hAnsi="Arial" w:cs="Arial"/>
                <w:b/>
                <w:bCs/>
                <w:color w:val="FFFFFF"/>
                <w:sz w:val="18"/>
                <w:szCs w:val="18"/>
                <w:lang w:eastAsia="hr-HR"/>
              </w:rPr>
            </w:pPr>
            <w:r w:rsidRPr="00357058">
              <w:rPr>
                <w:rFonts w:ascii="Arial" w:hAnsi="Arial" w:cs="Arial"/>
                <w:b/>
                <w:bCs/>
                <w:color w:val="FFFFFF"/>
                <w:sz w:val="18"/>
                <w:szCs w:val="18"/>
                <w:lang w:eastAsia="hr-HR"/>
              </w:rPr>
              <w:t>11.4</w:t>
            </w:r>
            <w:r w:rsidR="00D9684F">
              <w:rPr>
                <w:rFonts w:ascii="Arial" w:hAnsi="Arial" w:cs="Arial"/>
                <w:b/>
                <w:bCs/>
                <w:color w:val="FFFFFF"/>
                <w:sz w:val="18"/>
                <w:szCs w:val="18"/>
                <w:lang w:eastAsia="hr-HR"/>
              </w:rPr>
              <w:t>37.468,98</w:t>
            </w:r>
          </w:p>
        </w:tc>
        <w:tc>
          <w:tcPr>
            <w:tcW w:w="1520" w:type="dxa"/>
            <w:tcBorders>
              <w:top w:val="nil"/>
              <w:left w:val="nil"/>
              <w:bottom w:val="nil"/>
              <w:right w:val="nil"/>
            </w:tcBorders>
            <w:shd w:val="clear" w:color="000000" w:fill="203764"/>
            <w:noWrap/>
            <w:vAlign w:val="bottom"/>
            <w:hideMark/>
          </w:tcPr>
          <w:p w14:paraId="533C16F8" w14:textId="0BFD36FD" w:rsidR="00357058" w:rsidRPr="00357058" w:rsidRDefault="00357058" w:rsidP="00357058">
            <w:pPr>
              <w:spacing w:after="0" w:line="240" w:lineRule="auto"/>
              <w:jc w:val="right"/>
              <w:rPr>
                <w:rFonts w:ascii="Arial" w:hAnsi="Arial" w:cs="Arial"/>
                <w:b/>
                <w:bCs/>
                <w:color w:val="FFFFFF"/>
                <w:sz w:val="18"/>
                <w:szCs w:val="18"/>
                <w:lang w:eastAsia="hr-HR"/>
              </w:rPr>
            </w:pPr>
            <w:r w:rsidRPr="00357058">
              <w:rPr>
                <w:rFonts w:ascii="Arial" w:hAnsi="Arial" w:cs="Arial"/>
                <w:b/>
                <w:bCs/>
                <w:color w:val="FFFFFF"/>
                <w:sz w:val="18"/>
                <w:szCs w:val="18"/>
                <w:lang w:eastAsia="hr-HR"/>
              </w:rPr>
              <w:t>120,</w:t>
            </w:r>
            <w:r w:rsidR="00D9684F">
              <w:rPr>
                <w:rFonts w:ascii="Arial" w:hAnsi="Arial" w:cs="Arial"/>
                <w:b/>
                <w:bCs/>
                <w:color w:val="FFFFFF"/>
                <w:sz w:val="18"/>
                <w:szCs w:val="18"/>
                <w:lang w:eastAsia="hr-HR"/>
              </w:rPr>
              <w:t>68</w:t>
            </w:r>
            <w:r w:rsidRPr="00357058">
              <w:rPr>
                <w:rFonts w:ascii="Arial" w:hAnsi="Arial" w:cs="Arial"/>
                <w:b/>
                <w:bCs/>
                <w:color w:val="FFFFFF"/>
                <w:sz w:val="18"/>
                <w:szCs w:val="18"/>
                <w:lang w:eastAsia="hr-HR"/>
              </w:rPr>
              <w:t>%</w:t>
            </w:r>
          </w:p>
        </w:tc>
        <w:tc>
          <w:tcPr>
            <w:tcW w:w="1260" w:type="dxa"/>
            <w:tcBorders>
              <w:top w:val="nil"/>
              <w:left w:val="nil"/>
              <w:bottom w:val="nil"/>
              <w:right w:val="nil"/>
            </w:tcBorders>
            <w:shd w:val="clear" w:color="000000" w:fill="203764"/>
            <w:noWrap/>
            <w:vAlign w:val="bottom"/>
            <w:hideMark/>
          </w:tcPr>
          <w:p w14:paraId="4349FC50" w14:textId="55B39E94" w:rsidR="00357058" w:rsidRPr="00357058" w:rsidRDefault="00357058" w:rsidP="00357058">
            <w:pPr>
              <w:spacing w:after="0" w:line="240" w:lineRule="auto"/>
              <w:jc w:val="right"/>
              <w:rPr>
                <w:rFonts w:ascii="Arial" w:hAnsi="Arial" w:cs="Arial"/>
                <w:b/>
                <w:bCs/>
                <w:color w:val="FFFFFF"/>
                <w:sz w:val="18"/>
                <w:szCs w:val="18"/>
                <w:lang w:eastAsia="hr-HR"/>
              </w:rPr>
            </w:pPr>
            <w:r w:rsidRPr="00357058">
              <w:rPr>
                <w:rFonts w:ascii="Arial" w:hAnsi="Arial" w:cs="Arial"/>
                <w:b/>
                <w:bCs/>
                <w:color w:val="FFFFFF"/>
                <w:sz w:val="18"/>
                <w:szCs w:val="18"/>
                <w:lang w:eastAsia="hr-HR"/>
              </w:rPr>
              <w:t>92,</w:t>
            </w:r>
            <w:r w:rsidR="00D9684F">
              <w:rPr>
                <w:rFonts w:ascii="Arial" w:hAnsi="Arial" w:cs="Arial"/>
                <w:b/>
                <w:bCs/>
                <w:color w:val="FFFFFF"/>
                <w:sz w:val="18"/>
                <w:szCs w:val="18"/>
                <w:lang w:eastAsia="hr-HR"/>
              </w:rPr>
              <w:t>91</w:t>
            </w:r>
            <w:r w:rsidRPr="00357058">
              <w:rPr>
                <w:rFonts w:ascii="Arial" w:hAnsi="Arial" w:cs="Arial"/>
                <w:b/>
                <w:bCs/>
                <w:color w:val="FFFFFF"/>
                <w:sz w:val="18"/>
                <w:szCs w:val="18"/>
                <w:lang w:eastAsia="hr-HR"/>
              </w:rPr>
              <w:t>%</w:t>
            </w:r>
          </w:p>
        </w:tc>
      </w:tr>
      <w:tr w:rsidR="00357058" w:rsidRPr="00357058" w14:paraId="2E89C932" w14:textId="77777777" w:rsidTr="00357058">
        <w:trPr>
          <w:trHeight w:val="255"/>
        </w:trPr>
        <w:tc>
          <w:tcPr>
            <w:tcW w:w="6663" w:type="dxa"/>
            <w:tcBorders>
              <w:top w:val="nil"/>
              <w:left w:val="nil"/>
              <w:bottom w:val="nil"/>
              <w:right w:val="nil"/>
            </w:tcBorders>
            <w:shd w:val="clear" w:color="auto" w:fill="auto"/>
            <w:noWrap/>
            <w:vAlign w:val="bottom"/>
            <w:hideMark/>
          </w:tcPr>
          <w:p w14:paraId="1C0D7EBB" w14:textId="77777777" w:rsidR="00357058" w:rsidRPr="00357058" w:rsidRDefault="00357058" w:rsidP="00357058">
            <w:pPr>
              <w:spacing w:after="0" w:line="240" w:lineRule="auto"/>
              <w:rPr>
                <w:rFonts w:ascii="Arial" w:hAnsi="Arial" w:cs="Arial"/>
                <w:b/>
                <w:bCs/>
                <w:sz w:val="18"/>
                <w:szCs w:val="18"/>
                <w:lang w:eastAsia="hr-HR"/>
              </w:rPr>
            </w:pPr>
            <w:r w:rsidRPr="00357058">
              <w:rPr>
                <w:rFonts w:ascii="Arial" w:hAnsi="Arial" w:cs="Arial"/>
                <w:b/>
                <w:bCs/>
                <w:sz w:val="18"/>
                <w:szCs w:val="18"/>
                <w:lang w:eastAsia="hr-HR"/>
              </w:rPr>
              <w:t>Izvor 1. Opći prihodi i primici</w:t>
            </w:r>
          </w:p>
        </w:tc>
        <w:tc>
          <w:tcPr>
            <w:tcW w:w="1843" w:type="dxa"/>
            <w:tcBorders>
              <w:top w:val="nil"/>
              <w:left w:val="nil"/>
              <w:bottom w:val="nil"/>
              <w:right w:val="nil"/>
            </w:tcBorders>
            <w:shd w:val="clear" w:color="auto" w:fill="auto"/>
            <w:noWrap/>
            <w:vAlign w:val="bottom"/>
            <w:hideMark/>
          </w:tcPr>
          <w:p w14:paraId="4CC37E0F" w14:textId="77777777" w:rsidR="00357058" w:rsidRPr="00357058" w:rsidRDefault="00357058" w:rsidP="00357058">
            <w:pPr>
              <w:spacing w:after="0" w:line="240" w:lineRule="auto"/>
              <w:jc w:val="right"/>
              <w:rPr>
                <w:rFonts w:ascii="Arial" w:hAnsi="Arial" w:cs="Arial"/>
                <w:b/>
                <w:bCs/>
                <w:sz w:val="18"/>
                <w:szCs w:val="18"/>
                <w:lang w:eastAsia="hr-HR"/>
              </w:rPr>
            </w:pPr>
            <w:r w:rsidRPr="00357058">
              <w:rPr>
                <w:rFonts w:ascii="Arial" w:hAnsi="Arial" w:cs="Arial"/>
                <w:b/>
                <w:bCs/>
                <w:sz w:val="18"/>
                <w:szCs w:val="18"/>
                <w:lang w:eastAsia="hr-HR"/>
              </w:rPr>
              <w:t>4.143.348,89</w:t>
            </w:r>
          </w:p>
        </w:tc>
        <w:tc>
          <w:tcPr>
            <w:tcW w:w="1819" w:type="dxa"/>
            <w:tcBorders>
              <w:top w:val="nil"/>
              <w:left w:val="nil"/>
              <w:bottom w:val="nil"/>
              <w:right w:val="nil"/>
            </w:tcBorders>
            <w:shd w:val="clear" w:color="auto" w:fill="auto"/>
            <w:noWrap/>
            <w:vAlign w:val="bottom"/>
            <w:hideMark/>
          </w:tcPr>
          <w:p w14:paraId="02C7F326" w14:textId="77777777" w:rsidR="00357058" w:rsidRPr="00357058" w:rsidRDefault="00357058" w:rsidP="00357058">
            <w:pPr>
              <w:spacing w:after="0" w:line="240" w:lineRule="auto"/>
              <w:jc w:val="right"/>
              <w:rPr>
                <w:rFonts w:ascii="Arial" w:hAnsi="Arial" w:cs="Arial"/>
                <w:b/>
                <w:bCs/>
                <w:sz w:val="18"/>
                <w:szCs w:val="18"/>
                <w:lang w:eastAsia="hr-HR"/>
              </w:rPr>
            </w:pPr>
            <w:r w:rsidRPr="00357058">
              <w:rPr>
                <w:rFonts w:ascii="Arial" w:hAnsi="Arial" w:cs="Arial"/>
                <w:b/>
                <w:bCs/>
                <w:sz w:val="18"/>
                <w:szCs w:val="18"/>
                <w:lang w:eastAsia="hr-HR"/>
              </w:rPr>
              <w:t>4.417.930,00</w:t>
            </w:r>
          </w:p>
        </w:tc>
        <w:tc>
          <w:tcPr>
            <w:tcW w:w="1580" w:type="dxa"/>
            <w:tcBorders>
              <w:top w:val="nil"/>
              <w:left w:val="nil"/>
              <w:bottom w:val="nil"/>
              <w:right w:val="nil"/>
            </w:tcBorders>
            <w:shd w:val="clear" w:color="auto" w:fill="auto"/>
            <w:noWrap/>
            <w:vAlign w:val="bottom"/>
            <w:hideMark/>
          </w:tcPr>
          <w:p w14:paraId="4BC7A948" w14:textId="77777777" w:rsidR="00357058" w:rsidRPr="00357058" w:rsidRDefault="00357058" w:rsidP="00357058">
            <w:pPr>
              <w:spacing w:after="0" w:line="240" w:lineRule="auto"/>
              <w:jc w:val="right"/>
              <w:rPr>
                <w:rFonts w:ascii="Arial" w:hAnsi="Arial" w:cs="Arial"/>
                <w:b/>
                <w:bCs/>
                <w:sz w:val="18"/>
                <w:szCs w:val="18"/>
                <w:lang w:eastAsia="hr-HR"/>
              </w:rPr>
            </w:pPr>
            <w:r w:rsidRPr="00357058">
              <w:rPr>
                <w:rFonts w:ascii="Arial" w:hAnsi="Arial" w:cs="Arial"/>
                <w:b/>
                <w:bCs/>
                <w:sz w:val="18"/>
                <w:szCs w:val="18"/>
                <w:lang w:eastAsia="hr-HR"/>
              </w:rPr>
              <w:t>4.403.659,07</w:t>
            </w:r>
          </w:p>
        </w:tc>
        <w:tc>
          <w:tcPr>
            <w:tcW w:w="1520" w:type="dxa"/>
            <w:tcBorders>
              <w:top w:val="nil"/>
              <w:left w:val="nil"/>
              <w:bottom w:val="nil"/>
              <w:right w:val="nil"/>
            </w:tcBorders>
            <w:shd w:val="clear" w:color="auto" w:fill="auto"/>
            <w:noWrap/>
            <w:vAlign w:val="bottom"/>
            <w:hideMark/>
          </w:tcPr>
          <w:p w14:paraId="45B61D01" w14:textId="77777777" w:rsidR="00357058" w:rsidRPr="00357058" w:rsidRDefault="00357058" w:rsidP="00357058">
            <w:pPr>
              <w:spacing w:after="0" w:line="240" w:lineRule="auto"/>
              <w:jc w:val="right"/>
              <w:rPr>
                <w:rFonts w:ascii="Arial" w:hAnsi="Arial" w:cs="Arial"/>
                <w:b/>
                <w:bCs/>
                <w:sz w:val="18"/>
                <w:szCs w:val="18"/>
                <w:lang w:eastAsia="hr-HR"/>
              </w:rPr>
            </w:pPr>
            <w:r w:rsidRPr="00357058">
              <w:rPr>
                <w:rFonts w:ascii="Arial" w:hAnsi="Arial" w:cs="Arial"/>
                <w:b/>
                <w:bCs/>
                <w:sz w:val="18"/>
                <w:szCs w:val="18"/>
                <w:lang w:eastAsia="hr-HR"/>
              </w:rPr>
              <w:t>106,28%</w:t>
            </w:r>
          </w:p>
        </w:tc>
        <w:tc>
          <w:tcPr>
            <w:tcW w:w="1260" w:type="dxa"/>
            <w:tcBorders>
              <w:top w:val="nil"/>
              <w:left w:val="nil"/>
              <w:bottom w:val="nil"/>
              <w:right w:val="nil"/>
            </w:tcBorders>
            <w:shd w:val="clear" w:color="auto" w:fill="auto"/>
            <w:noWrap/>
            <w:vAlign w:val="bottom"/>
            <w:hideMark/>
          </w:tcPr>
          <w:p w14:paraId="768384C7" w14:textId="77777777" w:rsidR="00357058" w:rsidRPr="00357058" w:rsidRDefault="00357058" w:rsidP="00357058">
            <w:pPr>
              <w:spacing w:after="0" w:line="240" w:lineRule="auto"/>
              <w:jc w:val="right"/>
              <w:rPr>
                <w:rFonts w:ascii="Arial" w:hAnsi="Arial" w:cs="Arial"/>
                <w:b/>
                <w:bCs/>
                <w:sz w:val="18"/>
                <w:szCs w:val="18"/>
                <w:lang w:eastAsia="hr-HR"/>
              </w:rPr>
            </w:pPr>
            <w:r w:rsidRPr="00357058">
              <w:rPr>
                <w:rFonts w:ascii="Arial" w:hAnsi="Arial" w:cs="Arial"/>
                <w:b/>
                <w:bCs/>
                <w:sz w:val="18"/>
                <w:szCs w:val="18"/>
                <w:lang w:eastAsia="hr-HR"/>
              </w:rPr>
              <w:t>99,68%</w:t>
            </w:r>
          </w:p>
        </w:tc>
      </w:tr>
      <w:tr w:rsidR="00357058" w:rsidRPr="00357058" w14:paraId="5C8C46D1" w14:textId="77777777" w:rsidTr="00357058">
        <w:trPr>
          <w:trHeight w:val="255"/>
        </w:trPr>
        <w:tc>
          <w:tcPr>
            <w:tcW w:w="6663" w:type="dxa"/>
            <w:tcBorders>
              <w:top w:val="nil"/>
              <w:left w:val="nil"/>
              <w:bottom w:val="nil"/>
              <w:right w:val="nil"/>
            </w:tcBorders>
            <w:shd w:val="clear" w:color="auto" w:fill="auto"/>
            <w:noWrap/>
            <w:vAlign w:val="bottom"/>
            <w:hideMark/>
          </w:tcPr>
          <w:p w14:paraId="76F8433A" w14:textId="77777777" w:rsidR="00357058" w:rsidRPr="00357058" w:rsidRDefault="00357058" w:rsidP="00357058">
            <w:pPr>
              <w:spacing w:after="0" w:line="240" w:lineRule="auto"/>
              <w:rPr>
                <w:rFonts w:ascii="Arial" w:hAnsi="Arial" w:cs="Arial"/>
                <w:sz w:val="18"/>
                <w:szCs w:val="18"/>
                <w:lang w:eastAsia="hr-HR"/>
              </w:rPr>
            </w:pPr>
            <w:r w:rsidRPr="00357058">
              <w:rPr>
                <w:rFonts w:ascii="Arial" w:hAnsi="Arial" w:cs="Arial"/>
                <w:sz w:val="18"/>
                <w:szCs w:val="18"/>
                <w:lang w:eastAsia="hr-HR"/>
              </w:rPr>
              <w:t>Izvor 1.1. Opći prihodi i primici</w:t>
            </w:r>
          </w:p>
        </w:tc>
        <w:tc>
          <w:tcPr>
            <w:tcW w:w="1843" w:type="dxa"/>
            <w:tcBorders>
              <w:top w:val="nil"/>
              <w:left w:val="nil"/>
              <w:bottom w:val="nil"/>
              <w:right w:val="nil"/>
            </w:tcBorders>
            <w:shd w:val="clear" w:color="auto" w:fill="auto"/>
            <w:noWrap/>
            <w:vAlign w:val="bottom"/>
            <w:hideMark/>
          </w:tcPr>
          <w:p w14:paraId="2D37ED86"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4.143.348,89</w:t>
            </w:r>
          </w:p>
        </w:tc>
        <w:tc>
          <w:tcPr>
            <w:tcW w:w="1819" w:type="dxa"/>
            <w:tcBorders>
              <w:top w:val="nil"/>
              <w:left w:val="nil"/>
              <w:bottom w:val="nil"/>
              <w:right w:val="nil"/>
            </w:tcBorders>
            <w:shd w:val="clear" w:color="auto" w:fill="auto"/>
            <w:noWrap/>
            <w:vAlign w:val="bottom"/>
            <w:hideMark/>
          </w:tcPr>
          <w:p w14:paraId="55A0056B"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4.417.930,00</w:t>
            </w:r>
          </w:p>
        </w:tc>
        <w:tc>
          <w:tcPr>
            <w:tcW w:w="1580" w:type="dxa"/>
            <w:tcBorders>
              <w:top w:val="nil"/>
              <w:left w:val="nil"/>
              <w:bottom w:val="nil"/>
              <w:right w:val="nil"/>
            </w:tcBorders>
            <w:shd w:val="clear" w:color="auto" w:fill="auto"/>
            <w:noWrap/>
            <w:vAlign w:val="bottom"/>
            <w:hideMark/>
          </w:tcPr>
          <w:p w14:paraId="76FCCE9B"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4.403.659,07</w:t>
            </w:r>
          </w:p>
        </w:tc>
        <w:tc>
          <w:tcPr>
            <w:tcW w:w="1520" w:type="dxa"/>
            <w:tcBorders>
              <w:top w:val="nil"/>
              <w:left w:val="nil"/>
              <w:bottom w:val="nil"/>
              <w:right w:val="nil"/>
            </w:tcBorders>
            <w:shd w:val="clear" w:color="auto" w:fill="auto"/>
            <w:noWrap/>
            <w:vAlign w:val="bottom"/>
            <w:hideMark/>
          </w:tcPr>
          <w:p w14:paraId="5B8F105C"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106,28%</w:t>
            </w:r>
          </w:p>
        </w:tc>
        <w:tc>
          <w:tcPr>
            <w:tcW w:w="1260" w:type="dxa"/>
            <w:tcBorders>
              <w:top w:val="nil"/>
              <w:left w:val="nil"/>
              <w:bottom w:val="nil"/>
              <w:right w:val="nil"/>
            </w:tcBorders>
            <w:shd w:val="clear" w:color="auto" w:fill="auto"/>
            <w:noWrap/>
            <w:vAlign w:val="bottom"/>
            <w:hideMark/>
          </w:tcPr>
          <w:p w14:paraId="1A738399"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99,68%</w:t>
            </w:r>
          </w:p>
        </w:tc>
      </w:tr>
      <w:tr w:rsidR="00357058" w:rsidRPr="00357058" w14:paraId="6B99C9B0" w14:textId="77777777" w:rsidTr="00357058">
        <w:trPr>
          <w:trHeight w:val="255"/>
        </w:trPr>
        <w:tc>
          <w:tcPr>
            <w:tcW w:w="6663" w:type="dxa"/>
            <w:tcBorders>
              <w:top w:val="nil"/>
              <w:left w:val="nil"/>
              <w:bottom w:val="nil"/>
              <w:right w:val="nil"/>
            </w:tcBorders>
            <w:shd w:val="clear" w:color="auto" w:fill="auto"/>
            <w:noWrap/>
            <w:vAlign w:val="bottom"/>
            <w:hideMark/>
          </w:tcPr>
          <w:p w14:paraId="0C85AFA6" w14:textId="77777777" w:rsidR="00357058" w:rsidRPr="00357058" w:rsidRDefault="00357058" w:rsidP="00357058">
            <w:pPr>
              <w:spacing w:after="0" w:line="240" w:lineRule="auto"/>
              <w:rPr>
                <w:rFonts w:ascii="Arial" w:hAnsi="Arial" w:cs="Arial"/>
                <w:b/>
                <w:bCs/>
                <w:sz w:val="18"/>
                <w:szCs w:val="18"/>
                <w:lang w:eastAsia="hr-HR"/>
              </w:rPr>
            </w:pPr>
            <w:r w:rsidRPr="00357058">
              <w:rPr>
                <w:rFonts w:ascii="Arial" w:hAnsi="Arial" w:cs="Arial"/>
                <w:b/>
                <w:bCs/>
                <w:sz w:val="18"/>
                <w:szCs w:val="18"/>
                <w:lang w:eastAsia="hr-HR"/>
              </w:rPr>
              <w:t>Izvor 3. Vlastiti prihodi</w:t>
            </w:r>
          </w:p>
        </w:tc>
        <w:tc>
          <w:tcPr>
            <w:tcW w:w="1843" w:type="dxa"/>
            <w:tcBorders>
              <w:top w:val="nil"/>
              <w:left w:val="nil"/>
              <w:bottom w:val="nil"/>
              <w:right w:val="nil"/>
            </w:tcBorders>
            <w:shd w:val="clear" w:color="auto" w:fill="auto"/>
            <w:noWrap/>
            <w:vAlign w:val="bottom"/>
            <w:hideMark/>
          </w:tcPr>
          <w:p w14:paraId="7FB0201C" w14:textId="77777777" w:rsidR="00357058" w:rsidRPr="00357058" w:rsidRDefault="00357058" w:rsidP="00357058">
            <w:pPr>
              <w:spacing w:after="0" w:line="240" w:lineRule="auto"/>
              <w:jc w:val="right"/>
              <w:rPr>
                <w:rFonts w:ascii="Arial" w:hAnsi="Arial" w:cs="Arial"/>
                <w:b/>
                <w:bCs/>
                <w:sz w:val="18"/>
                <w:szCs w:val="18"/>
                <w:lang w:eastAsia="hr-HR"/>
              </w:rPr>
            </w:pPr>
            <w:r w:rsidRPr="00357058">
              <w:rPr>
                <w:rFonts w:ascii="Arial" w:hAnsi="Arial" w:cs="Arial"/>
                <w:b/>
                <w:bCs/>
                <w:sz w:val="18"/>
                <w:szCs w:val="18"/>
                <w:lang w:eastAsia="hr-HR"/>
              </w:rPr>
              <w:t>353.705,45</w:t>
            </w:r>
          </w:p>
        </w:tc>
        <w:tc>
          <w:tcPr>
            <w:tcW w:w="1819" w:type="dxa"/>
            <w:tcBorders>
              <w:top w:val="nil"/>
              <w:left w:val="nil"/>
              <w:bottom w:val="nil"/>
              <w:right w:val="nil"/>
            </w:tcBorders>
            <w:shd w:val="clear" w:color="auto" w:fill="auto"/>
            <w:noWrap/>
            <w:vAlign w:val="bottom"/>
            <w:hideMark/>
          </w:tcPr>
          <w:p w14:paraId="22CCC3D7" w14:textId="77777777" w:rsidR="00357058" w:rsidRPr="00357058" w:rsidRDefault="00357058" w:rsidP="00357058">
            <w:pPr>
              <w:spacing w:after="0" w:line="240" w:lineRule="auto"/>
              <w:jc w:val="right"/>
              <w:rPr>
                <w:rFonts w:ascii="Arial" w:hAnsi="Arial" w:cs="Arial"/>
                <w:b/>
                <w:bCs/>
                <w:sz w:val="18"/>
                <w:szCs w:val="18"/>
                <w:lang w:eastAsia="hr-HR"/>
              </w:rPr>
            </w:pPr>
            <w:r w:rsidRPr="00357058">
              <w:rPr>
                <w:rFonts w:ascii="Arial" w:hAnsi="Arial" w:cs="Arial"/>
                <w:b/>
                <w:bCs/>
                <w:sz w:val="18"/>
                <w:szCs w:val="18"/>
                <w:lang w:eastAsia="hr-HR"/>
              </w:rPr>
              <w:t>401.047,01</w:t>
            </w:r>
          </w:p>
        </w:tc>
        <w:tc>
          <w:tcPr>
            <w:tcW w:w="1580" w:type="dxa"/>
            <w:tcBorders>
              <w:top w:val="nil"/>
              <w:left w:val="nil"/>
              <w:bottom w:val="nil"/>
              <w:right w:val="nil"/>
            </w:tcBorders>
            <w:shd w:val="clear" w:color="auto" w:fill="auto"/>
            <w:noWrap/>
            <w:vAlign w:val="bottom"/>
            <w:hideMark/>
          </w:tcPr>
          <w:p w14:paraId="2481D7B7" w14:textId="77777777" w:rsidR="00357058" w:rsidRPr="00357058" w:rsidRDefault="00357058" w:rsidP="00357058">
            <w:pPr>
              <w:spacing w:after="0" w:line="240" w:lineRule="auto"/>
              <w:jc w:val="right"/>
              <w:rPr>
                <w:rFonts w:ascii="Arial" w:hAnsi="Arial" w:cs="Arial"/>
                <w:b/>
                <w:bCs/>
                <w:sz w:val="18"/>
                <w:szCs w:val="18"/>
                <w:lang w:eastAsia="hr-HR"/>
              </w:rPr>
            </w:pPr>
            <w:r w:rsidRPr="00357058">
              <w:rPr>
                <w:rFonts w:ascii="Arial" w:hAnsi="Arial" w:cs="Arial"/>
                <w:b/>
                <w:bCs/>
                <w:sz w:val="18"/>
                <w:szCs w:val="18"/>
                <w:lang w:eastAsia="hr-HR"/>
              </w:rPr>
              <w:t>391.098,02</w:t>
            </w:r>
          </w:p>
        </w:tc>
        <w:tc>
          <w:tcPr>
            <w:tcW w:w="1520" w:type="dxa"/>
            <w:tcBorders>
              <w:top w:val="nil"/>
              <w:left w:val="nil"/>
              <w:bottom w:val="nil"/>
              <w:right w:val="nil"/>
            </w:tcBorders>
            <w:shd w:val="clear" w:color="auto" w:fill="auto"/>
            <w:noWrap/>
            <w:vAlign w:val="bottom"/>
            <w:hideMark/>
          </w:tcPr>
          <w:p w14:paraId="243D3B55" w14:textId="77777777" w:rsidR="00357058" w:rsidRPr="00357058" w:rsidRDefault="00357058" w:rsidP="00357058">
            <w:pPr>
              <w:spacing w:after="0" w:line="240" w:lineRule="auto"/>
              <w:jc w:val="right"/>
              <w:rPr>
                <w:rFonts w:ascii="Arial" w:hAnsi="Arial" w:cs="Arial"/>
                <w:b/>
                <w:bCs/>
                <w:sz w:val="18"/>
                <w:szCs w:val="18"/>
                <w:lang w:eastAsia="hr-HR"/>
              </w:rPr>
            </w:pPr>
            <w:r w:rsidRPr="00357058">
              <w:rPr>
                <w:rFonts w:ascii="Arial" w:hAnsi="Arial" w:cs="Arial"/>
                <w:b/>
                <w:bCs/>
                <w:sz w:val="18"/>
                <w:szCs w:val="18"/>
                <w:lang w:eastAsia="hr-HR"/>
              </w:rPr>
              <w:t>110,57%</w:t>
            </w:r>
          </w:p>
        </w:tc>
        <w:tc>
          <w:tcPr>
            <w:tcW w:w="1260" w:type="dxa"/>
            <w:tcBorders>
              <w:top w:val="nil"/>
              <w:left w:val="nil"/>
              <w:bottom w:val="nil"/>
              <w:right w:val="nil"/>
            </w:tcBorders>
            <w:shd w:val="clear" w:color="auto" w:fill="auto"/>
            <w:noWrap/>
            <w:vAlign w:val="bottom"/>
            <w:hideMark/>
          </w:tcPr>
          <w:p w14:paraId="5C19FA07" w14:textId="77777777" w:rsidR="00357058" w:rsidRPr="00357058" w:rsidRDefault="00357058" w:rsidP="00357058">
            <w:pPr>
              <w:spacing w:after="0" w:line="240" w:lineRule="auto"/>
              <w:jc w:val="right"/>
              <w:rPr>
                <w:rFonts w:ascii="Arial" w:hAnsi="Arial" w:cs="Arial"/>
                <w:b/>
                <w:bCs/>
                <w:sz w:val="18"/>
                <w:szCs w:val="18"/>
                <w:lang w:eastAsia="hr-HR"/>
              </w:rPr>
            </w:pPr>
            <w:r w:rsidRPr="00357058">
              <w:rPr>
                <w:rFonts w:ascii="Arial" w:hAnsi="Arial" w:cs="Arial"/>
                <w:b/>
                <w:bCs/>
                <w:sz w:val="18"/>
                <w:szCs w:val="18"/>
                <w:lang w:eastAsia="hr-HR"/>
              </w:rPr>
              <w:t>97,52%</w:t>
            </w:r>
          </w:p>
        </w:tc>
      </w:tr>
      <w:tr w:rsidR="00357058" w:rsidRPr="00357058" w14:paraId="03FDD798" w14:textId="77777777" w:rsidTr="00357058">
        <w:trPr>
          <w:trHeight w:val="255"/>
        </w:trPr>
        <w:tc>
          <w:tcPr>
            <w:tcW w:w="6663" w:type="dxa"/>
            <w:tcBorders>
              <w:top w:val="nil"/>
              <w:left w:val="nil"/>
              <w:bottom w:val="nil"/>
              <w:right w:val="nil"/>
            </w:tcBorders>
            <w:shd w:val="clear" w:color="auto" w:fill="auto"/>
            <w:noWrap/>
            <w:vAlign w:val="bottom"/>
            <w:hideMark/>
          </w:tcPr>
          <w:p w14:paraId="05DB5B67" w14:textId="77777777" w:rsidR="00357058" w:rsidRPr="00357058" w:rsidRDefault="00357058" w:rsidP="00357058">
            <w:pPr>
              <w:spacing w:after="0" w:line="240" w:lineRule="auto"/>
              <w:rPr>
                <w:rFonts w:ascii="Arial" w:hAnsi="Arial" w:cs="Arial"/>
                <w:sz w:val="18"/>
                <w:szCs w:val="18"/>
                <w:lang w:eastAsia="hr-HR"/>
              </w:rPr>
            </w:pPr>
            <w:r w:rsidRPr="00357058">
              <w:rPr>
                <w:rFonts w:ascii="Arial" w:hAnsi="Arial" w:cs="Arial"/>
                <w:sz w:val="18"/>
                <w:szCs w:val="18"/>
                <w:lang w:eastAsia="hr-HR"/>
              </w:rPr>
              <w:t>Izvor 3.1. Vlastiti prihodi</w:t>
            </w:r>
          </w:p>
        </w:tc>
        <w:tc>
          <w:tcPr>
            <w:tcW w:w="1843" w:type="dxa"/>
            <w:tcBorders>
              <w:top w:val="nil"/>
              <w:left w:val="nil"/>
              <w:bottom w:val="nil"/>
              <w:right w:val="nil"/>
            </w:tcBorders>
            <w:shd w:val="clear" w:color="auto" w:fill="auto"/>
            <w:noWrap/>
            <w:vAlign w:val="bottom"/>
            <w:hideMark/>
          </w:tcPr>
          <w:p w14:paraId="4B4E38A3"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353.705,45</w:t>
            </w:r>
          </w:p>
        </w:tc>
        <w:tc>
          <w:tcPr>
            <w:tcW w:w="1819" w:type="dxa"/>
            <w:tcBorders>
              <w:top w:val="nil"/>
              <w:left w:val="nil"/>
              <w:bottom w:val="nil"/>
              <w:right w:val="nil"/>
            </w:tcBorders>
            <w:shd w:val="clear" w:color="auto" w:fill="auto"/>
            <w:noWrap/>
            <w:vAlign w:val="bottom"/>
            <w:hideMark/>
          </w:tcPr>
          <w:p w14:paraId="12DFA43A"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401.047,01</w:t>
            </w:r>
          </w:p>
        </w:tc>
        <w:tc>
          <w:tcPr>
            <w:tcW w:w="1580" w:type="dxa"/>
            <w:tcBorders>
              <w:top w:val="nil"/>
              <w:left w:val="nil"/>
              <w:bottom w:val="nil"/>
              <w:right w:val="nil"/>
            </w:tcBorders>
            <w:shd w:val="clear" w:color="auto" w:fill="auto"/>
            <w:noWrap/>
            <w:vAlign w:val="bottom"/>
            <w:hideMark/>
          </w:tcPr>
          <w:p w14:paraId="28AC04D6"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391.098,02</w:t>
            </w:r>
          </w:p>
        </w:tc>
        <w:tc>
          <w:tcPr>
            <w:tcW w:w="1520" w:type="dxa"/>
            <w:tcBorders>
              <w:top w:val="nil"/>
              <w:left w:val="nil"/>
              <w:bottom w:val="nil"/>
              <w:right w:val="nil"/>
            </w:tcBorders>
            <w:shd w:val="clear" w:color="auto" w:fill="auto"/>
            <w:noWrap/>
            <w:vAlign w:val="bottom"/>
            <w:hideMark/>
          </w:tcPr>
          <w:p w14:paraId="6A424F52"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110,57%</w:t>
            </w:r>
          </w:p>
        </w:tc>
        <w:tc>
          <w:tcPr>
            <w:tcW w:w="1260" w:type="dxa"/>
            <w:tcBorders>
              <w:top w:val="nil"/>
              <w:left w:val="nil"/>
              <w:bottom w:val="nil"/>
              <w:right w:val="nil"/>
            </w:tcBorders>
            <w:shd w:val="clear" w:color="auto" w:fill="auto"/>
            <w:noWrap/>
            <w:vAlign w:val="bottom"/>
            <w:hideMark/>
          </w:tcPr>
          <w:p w14:paraId="0CE9E4DE"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97,52%</w:t>
            </w:r>
          </w:p>
        </w:tc>
      </w:tr>
      <w:tr w:rsidR="00357058" w:rsidRPr="00357058" w14:paraId="0C1E2545" w14:textId="77777777" w:rsidTr="00357058">
        <w:trPr>
          <w:trHeight w:val="255"/>
        </w:trPr>
        <w:tc>
          <w:tcPr>
            <w:tcW w:w="6663" w:type="dxa"/>
            <w:tcBorders>
              <w:top w:val="nil"/>
              <w:left w:val="nil"/>
              <w:bottom w:val="nil"/>
              <w:right w:val="nil"/>
            </w:tcBorders>
            <w:shd w:val="clear" w:color="auto" w:fill="auto"/>
            <w:noWrap/>
            <w:vAlign w:val="bottom"/>
            <w:hideMark/>
          </w:tcPr>
          <w:p w14:paraId="3C448583" w14:textId="77777777" w:rsidR="00357058" w:rsidRPr="00357058" w:rsidRDefault="00357058" w:rsidP="00357058">
            <w:pPr>
              <w:spacing w:after="0" w:line="240" w:lineRule="auto"/>
              <w:rPr>
                <w:rFonts w:ascii="Arial" w:hAnsi="Arial" w:cs="Arial"/>
                <w:b/>
                <w:bCs/>
                <w:sz w:val="18"/>
                <w:szCs w:val="18"/>
                <w:lang w:eastAsia="hr-HR"/>
              </w:rPr>
            </w:pPr>
            <w:r w:rsidRPr="00357058">
              <w:rPr>
                <w:rFonts w:ascii="Arial" w:hAnsi="Arial" w:cs="Arial"/>
                <w:b/>
                <w:bCs/>
                <w:sz w:val="18"/>
                <w:szCs w:val="18"/>
                <w:lang w:eastAsia="hr-HR"/>
              </w:rPr>
              <w:t>Izvor 4. Prihodi za posebne namjene</w:t>
            </w:r>
          </w:p>
        </w:tc>
        <w:tc>
          <w:tcPr>
            <w:tcW w:w="1843" w:type="dxa"/>
            <w:tcBorders>
              <w:top w:val="nil"/>
              <w:left w:val="nil"/>
              <w:bottom w:val="nil"/>
              <w:right w:val="nil"/>
            </w:tcBorders>
            <w:shd w:val="clear" w:color="auto" w:fill="auto"/>
            <w:noWrap/>
            <w:vAlign w:val="bottom"/>
            <w:hideMark/>
          </w:tcPr>
          <w:p w14:paraId="2BC2BB46" w14:textId="77777777" w:rsidR="00357058" w:rsidRPr="00357058" w:rsidRDefault="00357058" w:rsidP="00357058">
            <w:pPr>
              <w:spacing w:after="0" w:line="240" w:lineRule="auto"/>
              <w:jc w:val="right"/>
              <w:rPr>
                <w:rFonts w:ascii="Arial" w:hAnsi="Arial" w:cs="Arial"/>
                <w:b/>
                <w:bCs/>
                <w:sz w:val="18"/>
                <w:szCs w:val="18"/>
                <w:lang w:eastAsia="hr-HR"/>
              </w:rPr>
            </w:pPr>
            <w:r w:rsidRPr="00357058">
              <w:rPr>
                <w:rFonts w:ascii="Arial" w:hAnsi="Arial" w:cs="Arial"/>
                <w:b/>
                <w:bCs/>
                <w:sz w:val="18"/>
                <w:szCs w:val="18"/>
                <w:lang w:eastAsia="hr-HR"/>
              </w:rPr>
              <w:t>807.784,33</w:t>
            </w:r>
          </w:p>
        </w:tc>
        <w:tc>
          <w:tcPr>
            <w:tcW w:w="1819" w:type="dxa"/>
            <w:tcBorders>
              <w:top w:val="nil"/>
              <w:left w:val="nil"/>
              <w:bottom w:val="nil"/>
              <w:right w:val="nil"/>
            </w:tcBorders>
            <w:shd w:val="clear" w:color="auto" w:fill="auto"/>
            <w:noWrap/>
            <w:vAlign w:val="bottom"/>
            <w:hideMark/>
          </w:tcPr>
          <w:p w14:paraId="6897273F" w14:textId="77777777" w:rsidR="00357058" w:rsidRPr="00357058" w:rsidRDefault="00357058" w:rsidP="00357058">
            <w:pPr>
              <w:spacing w:after="0" w:line="240" w:lineRule="auto"/>
              <w:jc w:val="right"/>
              <w:rPr>
                <w:rFonts w:ascii="Arial" w:hAnsi="Arial" w:cs="Arial"/>
                <w:b/>
                <w:bCs/>
                <w:sz w:val="18"/>
                <w:szCs w:val="18"/>
                <w:lang w:eastAsia="hr-HR"/>
              </w:rPr>
            </w:pPr>
            <w:r w:rsidRPr="00357058">
              <w:rPr>
                <w:rFonts w:ascii="Arial" w:hAnsi="Arial" w:cs="Arial"/>
                <w:b/>
                <w:bCs/>
                <w:sz w:val="18"/>
                <w:szCs w:val="18"/>
                <w:lang w:eastAsia="hr-HR"/>
              </w:rPr>
              <w:t>685.650,00</w:t>
            </w:r>
          </w:p>
        </w:tc>
        <w:tc>
          <w:tcPr>
            <w:tcW w:w="1580" w:type="dxa"/>
            <w:tcBorders>
              <w:top w:val="nil"/>
              <w:left w:val="nil"/>
              <w:bottom w:val="nil"/>
              <w:right w:val="nil"/>
            </w:tcBorders>
            <w:shd w:val="clear" w:color="auto" w:fill="auto"/>
            <w:noWrap/>
            <w:vAlign w:val="bottom"/>
            <w:hideMark/>
          </w:tcPr>
          <w:p w14:paraId="09C98C48" w14:textId="77777777" w:rsidR="00357058" w:rsidRPr="00357058" w:rsidRDefault="00357058" w:rsidP="00357058">
            <w:pPr>
              <w:spacing w:after="0" w:line="240" w:lineRule="auto"/>
              <w:jc w:val="right"/>
              <w:rPr>
                <w:rFonts w:ascii="Arial" w:hAnsi="Arial" w:cs="Arial"/>
                <w:b/>
                <w:bCs/>
                <w:sz w:val="18"/>
                <w:szCs w:val="18"/>
                <w:lang w:eastAsia="hr-HR"/>
              </w:rPr>
            </w:pPr>
            <w:r w:rsidRPr="00357058">
              <w:rPr>
                <w:rFonts w:ascii="Arial" w:hAnsi="Arial" w:cs="Arial"/>
                <w:b/>
                <w:bCs/>
                <w:sz w:val="18"/>
                <w:szCs w:val="18"/>
                <w:lang w:eastAsia="hr-HR"/>
              </w:rPr>
              <w:t>679.170,70</w:t>
            </w:r>
          </w:p>
        </w:tc>
        <w:tc>
          <w:tcPr>
            <w:tcW w:w="1520" w:type="dxa"/>
            <w:tcBorders>
              <w:top w:val="nil"/>
              <w:left w:val="nil"/>
              <w:bottom w:val="nil"/>
              <w:right w:val="nil"/>
            </w:tcBorders>
            <w:shd w:val="clear" w:color="auto" w:fill="auto"/>
            <w:noWrap/>
            <w:vAlign w:val="bottom"/>
            <w:hideMark/>
          </w:tcPr>
          <w:p w14:paraId="14176B51" w14:textId="77777777" w:rsidR="00357058" w:rsidRPr="00357058" w:rsidRDefault="00357058" w:rsidP="00357058">
            <w:pPr>
              <w:spacing w:after="0" w:line="240" w:lineRule="auto"/>
              <w:jc w:val="right"/>
              <w:rPr>
                <w:rFonts w:ascii="Arial" w:hAnsi="Arial" w:cs="Arial"/>
                <w:b/>
                <w:bCs/>
                <w:sz w:val="18"/>
                <w:szCs w:val="18"/>
                <w:lang w:eastAsia="hr-HR"/>
              </w:rPr>
            </w:pPr>
            <w:r w:rsidRPr="00357058">
              <w:rPr>
                <w:rFonts w:ascii="Arial" w:hAnsi="Arial" w:cs="Arial"/>
                <w:b/>
                <w:bCs/>
                <w:sz w:val="18"/>
                <w:szCs w:val="18"/>
                <w:lang w:eastAsia="hr-HR"/>
              </w:rPr>
              <w:t>84,08%</w:t>
            </w:r>
          </w:p>
        </w:tc>
        <w:tc>
          <w:tcPr>
            <w:tcW w:w="1260" w:type="dxa"/>
            <w:tcBorders>
              <w:top w:val="nil"/>
              <w:left w:val="nil"/>
              <w:bottom w:val="nil"/>
              <w:right w:val="nil"/>
            </w:tcBorders>
            <w:shd w:val="clear" w:color="auto" w:fill="auto"/>
            <w:noWrap/>
            <w:vAlign w:val="bottom"/>
            <w:hideMark/>
          </w:tcPr>
          <w:p w14:paraId="617CCF00" w14:textId="77777777" w:rsidR="00357058" w:rsidRPr="00357058" w:rsidRDefault="00357058" w:rsidP="00357058">
            <w:pPr>
              <w:spacing w:after="0" w:line="240" w:lineRule="auto"/>
              <w:jc w:val="right"/>
              <w:rPr>
                <w:rFonts w:ascii="Arial" w:hAnsi="Arial" w:cs="Arial"/>
                <w:b/>
                <w:bCs/>
                <w:sz w:val="18"/>
                <w:szCs w:val="18"/>
                <w:lang w:eastAsia="hr-HR"/>
              </w:rPr>
            </w:pPr>
            <w:r w:rsidRPr="00357058">
              <w:rPr>
                <w:rFonts w:ascii="Arial" w:hAnsi="Arial" w:cs="Arial"/>
                <w:b/>
                <w:bCs/>
                <w:sz w:val="18"/>
                <w:szCs w:val="18"/>
                <w:lang w:eastAsia="hr-HR"/>
              </w:rPr>
              <w:t>99,06%</w:t>
            </w:r>
          </w:p>
        </w:tc>
      </w:tr>
      <w:tr w:rsidR="00357058" w:rsidRPr="00357058" w14:paraId="1574A059" w14:textId="77777777" w:rsidTr="00357058">
        <w:trPr>
          <w:trHeight w:val="255"/>
        </w:trPr>
        <w:tc>
          <w:tcPr>
            <w:tcW w:w="6663" w:type="dxa"/>
            <w:tcBorders>
              <w:top w:val="nil"/>
              <w:left w:val="nil"/>
              <w:bottom w:val="nil"/>
              <w:right w:val="nil"/>
            </w:tcBorders>
            <w:shd w:val="clear" w:color="auto" w:fill="auto"/>
            <w:noWrap/>
            <w:vAlign w:val="bottom"/>
            <w:hideMark/>
          </w:tcPr>
          <w:p w14:paraId="7B887B9D" w14:textId="77777777" w:rsidR="00357058" w:rsidRPr="00357058" w:rsidRDefault="00357058" w:rsidP="00357058">
            <w:pPr>
              <w:spacing w:after="0" w:line="240" w:lineRule="auto"/>
              <w:rPr>
                <w:rFonts w:ascii="Arial" w:hAnsi="Arial" w:cs="Arial"/>
                <w:sz w:val="18"/>
                <w:szCs w:val="18"/>
                <w:lang w:eastAsia="hr-HR"/>
              </w:rPr>
            </w:pPr>
            <w:r w:rsidRPr="00357058">
              <w:rPr>
                <w:rFonts w:ascii="Arial" w:hAnsi="Arial" w:cs="Arial"/>
                <w:sz w:val="18"/>
                <w:szCs w:val="18"/>
                <w:lang w:eastAsia="hr-HR"/>
              </w:rPr>
              <w:t>Izvor 4.1. Prihodi za posebne namjene</w:t>
            </w:r>
          </w:p>
        </w:tc>
        <w:tc>
          <w:tcPr>
            <w:tcW w:w="1843" w:type="dxa"/>
            <w:tcBorders>
              <w:top w:val="nil"/>
              <w:left w:val="nil"/>
              <w:bottom w:val="nil"/>
              <w:right w:val="nil"/>
            </w:tcBorders>
            <w:shd w:val="clear" w:color="auto" w:fill="auto"/>
            <w:noWrap/>
            <w:vAlign w:val="bottom"/>
            <w:hideMark/>
          </w:tcPr>
          <w:p w14:paraId="3DFB350A"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807.784,33</w:t>
            </w:r>
          </w:p>
        </w:tc>
        <w:tc>
          <w:tcPr>
            <w:tcW w:w="1819" w:type="dxa"/>
            <w:tcBorders>
              <w:top w:val="nil"/>
              <w:left w:val="nil"/>
              <w:bottom w:val="nil"/>
              <w:right w:val="nil"/>
            </w:tcBorders>
            <w:shd w:val="clear" w:color="auto" w:fill="auto"/>
            <w:noWrap/>
            <w:vAlign w:val="bottom"/>
            <w:hideMark/>
          </w:tcPr>
          <w:p w14:paraId="692E95F9"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685.650,00</w:t>
            </w:r>
          </w:p>
        </w:tc>
        <w:tc>
          <w:tcPr>
            <w:tcW w:w="1580" w:type="dxa"/>
            <w:tcBorders>
              <w:top w:val="nil"/>
              <w:left w:val="nil"/>
              <w:bottom w:val="nil"/>
              <w:right w:val="nil"/>
            </w:tcBorders>
            <w:shd w:val="clear" w:color="auto" w:fill="auto"/>
            <w:noWrap/>
            <w:vAlign w:val="bottom"/>
            <w:hideMark/>
          </w:tcPr>
          <w:p w14:paraId="3B3C6D64"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679.170,70</w:t>
            </w:r>
          </w:p>
        </w:tc>
        <w:tc>
          <w:tcPr>
            <w:tcW w:w="1520" w:type="dxa"/>
            <w:tcBorders>
              <w:top w:val="nil"/>
              <w:left w:val="nil"/>
              <w:bottom w:val="nil"/>
              <w:right w:val="nil"/>
            </w:tcBorders>
            <w:shd w:val="clear" w:color="auto" w:fill="auto"/>
            <w:noWrap/>
            <w:vAlign w:val="bottom"/>
            <w:hideMark/>
          </w:tcPr>
          <w:p w14:paraId="183D5971"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84,08%</w:t>
            </w:r>
          </w:p>
        </w:tc>
        <w:tc>
          <w:tcPr>
            <w:tcW w:w="1260" w:type="dxa"/>
            <w:tcBorders>
              <w:top w:val="nil"/>
              <w:left w:val="nil"/>
              <w:bottom w:val="nil"/>
              <w:right w:val="nil"/>
            </w:tcBorders>
            <w:shd w:val="clear" w:color="auto" w:fill="auto"/>
            <w:noWrap/>
            <w:vAlign w:val="bottom"/>
            <w:hideMark/>
          </w:tcPr>
          <w:p w14:paraId="049CFBCD"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99,06%</w:t>
            </w:r>
          </w:p>
        </w:tc>
      </w:tr>
      <w:tr w:rsidR="00357058" w:rsidRPr="00357058" w14:paraId="193A82CE" w14:textId="77777777" w:rsidTr="00357058">
        <w:trPr>
          <w:trHeight w:val="255"/>
        </w:trPr>
        <w:tc>
          <w:tcPr>
            <w:tcW w:w="6663" w:type="dxa"/>
            <w:tcBorders>
              <w:top w:val="nil"/>
              <w:left w:val="nil"/>
              <w:bottom w:val="nil"/>
              <w:right w:val="nil"/>
            </w:tcBorders>
            <w:shd w:val="clear" w:color="auto" w:fill="auto"/>
            <w:noWrap/>
            <w:vAlign w:val="bottom"/>
            <w:hideMark/>
          </w:tcPr>
          <w:p w14:paraId="363824A3" w14:textId="77777777" w:rsidR="00357058" w:rsidRPr="00357058" w:rsidRDefault="00357058" w:rsidP="00357058">
            <w:pPr>
              <w:spacing w:after="0" w:line="240" w:lineRule="auto"/>
              <w:rPr>
                <w:rFonts w:ascii="Arial" w:hAnsi="Arial" w:cs="Arial"/>
                <w:b/>
                <w:bCs/>
                <w:sz w:val="18"/>
                <w:szCs w:val="18"/>
                <w:lang w:eastAsia="hr-HR"/>
              </w:rPr>
            </w:pPr>
            <w:r w:rsidRPr="00357058">
              <w:rPr>
                <w:rFonts w:ascii="Arial" w:hAnsi="Arial" w:cs="Arial"/>
                <w:b/>
                <w:bCs/>
                <w:sz w:val="18"/>
                <w:szCs w:val="18"/>
                <w:lang w:eastAsia="hr-HR"/>
              </w:rPr>
              <w:t>Izvor 5. Pomoći</w:t>
            </w:r>
          </w:p>
        </w:tc>
        <w:tc>
          <w:tcPr>
            <w:tcW w:w="1843" w:type="dxa"/>
            <w:tcBorders>
              <w:top w:val="nil"/>
              <w:left w:val="nil"/>
              <w:bottom w:val="nil"/>
              <w:right w:val="nil"/>
            </w:tcBorders>
            <w:shd w:val="clear" w:color="auto" w:fill="auto"/>
            <w:noWrap/>
            <w:vAlign w:val="bottom"/>
            <w:hideMark/>
          </w:tcPr>
          <w:p w14:paraId="22E264CC" w14:textId="77777777" w:rsidR="00357058" w:rsidRPr="00357058" w:rsidRDefault="00357058" w:rsidP="00357058">
            <w:pPr>
              <w:spacing w:after="0" w:line="240" w:lineRule="auto"/>
              <w:jc w:val="right"/>
              <w:rPr>
                <w:rFonts w:ascii="Arial" w:hAnsi="Arial" w:cs="Arial"/>
                <w:b/>
                <w:bCs/>
                <w:sz w:val="18"/>
                <w:szCs w:val="18"/>
                <w:lang w:eastAsia="hr-HR"/>
              </w:rPr>
            </w:pPr>
            <w:r w:rsidRPr="00357058">
              <w:rPr>
                <w:rFonts w:ascii="Arial" w:hAnsi="Arial" w:cs="Arial"/>
                <w:b/>
                <w:bCs/>
                <w:sz w:val="18"/>
                <w:szCs w:val="18"/>
                <w:lang w:eastAsia="hr-HR"/>
              </w:rPr>
              <w:t>4.110.363,31</w:t>
            </w:r>
          </w:p>
        </w:tc>
        <w:tc>
          <w:tcPr>
            <w:tcW w:w="1819" w:type="dxa"/>
            <w:tcBorders>
              <w:top w:val="nil"/>
              <w:left w:val="nil"/>
              <w:bottom w:val="nil"/>
              <w:right w:val="nil"/>
            </w:tcBorders>
            <w:shd w:val="clear" w:color="auto" w:fill="auto"/>
            <w:noWrap/>
            <w:vAlign w:val="bottom"/>
            <w:hideMark/>
          </w:tcPr>
          <w:p w14:paraId="6241A8F2" w14:textId="77777777" w:rsidR="00357058" w:rsidRPr="00357058" w:rsidRDefault="00357058" w:rsidP="00357058">
            <w:pPr>
              <w:spacing w:after="0" w:line="240" w:lineRule="auto"/>
              <w:jc w:val="right"/>
              <w:rPr>
                <w:rFonts w:ascii="Arial" w:hAnsi="Arial" w:cs="Arial"/>
                <w:b/>
                <w:bCs/>
                <w:sz w:val="18"/>
                <w:szCs w:val="18"/>
                <w:lang w:eastAsia="hr-HR"/>
              </w:rPr>
            </w:pPr>
            <w:r w:rsidRPr="00357058">
              <w:rPr>
                <w:rFonts w:ascii="Arial" w:hAnsi="Arial" w:cs="Arial"/>
                <w:b/>
                <w:bCs/>
                <w:sz w:val="18"/>
                <w:szCs w:val="18"/>
                <w:lang w:eastAsia="hr-HR"/>
              </w:rPr>
              <w:t>6.470.924,22</w:t>
            </w:r>
          </w:p>
        </w:tc>
        <w:tc>
          <w:tcPr>
            <w:tcW w:w="1580" w:type="dxa"/>
            <w:tcBorders>
              <w:top w:val="nil"/>
              <w:left w:val="nil"/>
              <w:bottom w:val="nil"/>
              <w:right w:val="nil"/>
            </w:tcBorders>
            <w:shd w:val="clear" w:color="auto" w:fill="auto"/>
            <w:noWrap/>
            <w:vAlign w:val="bottom"/>
            <w:hideMark/>
          </w:tcPr>
          <w:p w14:paraId="0BFB26A8" w14:textId="35396E6A" w:rsidR="00357058" w:rsidRPr="00357058" w:rsidRDefault="00357058" w:rsidP="00357058">
            <w:pPr>
              <w:spacing w:after="0" w:line="240" w:lineRule="auto"/>
              <w:jc w:val="right"/>
              <w:rPr>
                <w:rFonts w:ascii="Arial" w:hAnsi="Arial" w:cs="Arial"/>
                <w:b/>
                <w:bCs/>
                <w:sz w:val="18"/>
                <w:szCs w:val="18"/>
                <w:lang w:eastAsia="hr-HR"/>
              </w:rPr>
            </w:pPr>
            <w:r w:rsidRPr="00357058">
              <w:rPr>
                <w:rFonts w:ascii="Arial" w:hAnsi="Arial" w:cs="Arial"/>
                <w:b/>
                <w:bCs/>
                <w:sz w:val="18"/>
                <w:szCs w:val="18"/>
                <w:lang w:eastAsia="hr-HR"/>
              </w:rPr>
              <w:t>5.6</w:t>
            </w:r>
            <w:r w:rsidR="00D9684F">
              <w:rPr>
                <w:rFonts w:ascii="Arial" w:hAnsi="Arial" w:cs="Arial"/>
                <w:b/>
                <w:bCs/>
                <w:sz w:val="18"/>
                <w:szCs w:val="18"/>
                <w:lang w:eastAsia="hr-HR"/>
              </w:rPr>
              <w:t>24.475,05</w:t>
            </w:r>
          </w:p>
        </w:tc>
        <w:tc>
          <w:tcPr>
            <w:tcW w:w="1520" w:type="dxa"/>
            <w:tcBorders>
              <w:top w:val="nil"/>
              <w:left w:val="nil"/>
              <w:bottom w:val="nil"/>
              <w:right w:val="nil"/>
            </w:tcBorders>
            <w:shd w:val="clear" w:color="auto" w:fill="auto"/>
            <w:noWrap/>
            <w:vAlign w:val="bottom"/>
            <w:hideMark/>
          </w:tcPr>
          <w:p w14:paraId="3D06AD3C" w14:textId="5E8D5028" w:rsidR="00357058" w:rsidRPr="00357058" w:rsidRDefault="00D9684F" w:rsidP="00357058">
            <w:pPr>
              <w:spacing w:after="0" w:line="240" w:lineRule="auto"/>
              <w:jc w:val="right"/>
              <w:rPr>
                <w:rFonts w:ascii="Arial" w:hAnsi="Arial" w:cs="Arial"/>
                <w:b/>
                <w:bCs/>
                <w:sz w:val="18"/>
                <w:szCs w:val="18"/>
                <w:lang w:eastAsia="hr-HR"/>
              </w:rPr>
            </w:pPr>
            <w:r>
              <w:rPr>
                <w:rFonts w:ascii="Arial" w:hAnsi="Arial" w:cs="Arial"/>
                <w:b/>
                <w:bCs/>
                <w:sz w:val="18"/>
                <w:szCs w:val="18"/>
                <w:lang w:eastAsia="hr-HR"/>
              </w:rPr>
              <w:t>136,84</w:t>
            </w:r>
            <w:r w:rsidR="00357058" w:rsidRPr="00357058">
              <w:rPr>
                <w:rFonts w:ascii="Arial" w:hAnsi="Arial" w:cs="Arial"/>
                <w:b/>
                <w:bCs/>
                <w:sz w:val="18"/>
                <w:szCs w:val="18"/>
                <w:lang w:eastAsia="hr-HR"/>
              </w:rPr>
              <w:t>%</w:t>
            </w:r>
          </w:p>
        </w:tc>
        <w:tc>
          <w:tcPr>
            <w:tcW w:w="1260" w:type="dxa"/>
            <w:tcBorders>
              <w:top w:val="nil"/>
              <w:left w:val="nil"/>
              <w:bottom w:val="nil"/>
              <w:right w:val="nil"/>
            </w:tcBorders>
            <w:shd w:val="clear" w:color="auto" w:fill="auto"/>
            <w:noWrap/>
            <w:vAlign w:val="bottom"/>
            <w:hideMark/>
          </w:tcPr>
          <w:p w14:paraId="4430A519" w14:textId="00A5180E" w:rsidR="00357058" w:rsidRPr="00357058" w:rsidRDefault="00357058" w:rsidP="00357058">
            <w:pPr>
              <w:spacing w:after="0" w:line="240" w:lineRule="auto"/>
              <w:jc w:val="right"/>
              <w:rPr>
                <w:rFonts w:ascii="Arial" w:hAnsi="Arial" w:cs="Arial"/>
                <w:b/>
                <w:bCs/>
                <w:sz w:val="18"/>
                <w:szCs w:val="18"/>
                <w:lang w:eastAsia="hr-HR"/>
              </w:rPr>
            </w:pPr>
            <w:r w:rsidRPr="00357058">
              <w:rPr>
                <w:rFonts w:ascii="Arial" w:hAnsi="Arial" w:cs="Arial"/>
                <w:b/>
                <w:bCs/>
                <w:sz w:val="18"/>
                <w:szCs w:val="18"/>
                <w:lang w:eastAsia="hr-HR"/>
              </w:rPr>
              <w:t>86,</w:t>
            </w:r>
            <w:r w:rsidR="00D9684F">
              <w:rPr>
                <w:rFonts w:ascii="Arial" w:hAnsi="Arial" w:cs="Arial"/>
                <w:b/>
                <w:bCs/>
                <w:sz w:val="18"/>
                <w:szCs w:val="18"/>
                <w:lang w:eastAsia="hr-HR"/>
              </w:rPr>
              <w:t>9</w:t>
            </w:r>
            <w:r w:rsidRPr="00357058">
              <w:rPr>
                <w:rFonts w:ascii="Arial" w:hAnsi="Arial" w:cs="Arial"/>
                <w:b/>
                <w:bCs/>
                <w:sz w:val="18"/>
                <w:szCs w:val="18"/>
                <w:lang w:eastAsia="hr-HR"/>
              </w:rPr>
              <w:t>2%</w:t>
            </w:r>
          </w:p>
        </w:tc>
      </w:tr>
      <w:tr w:rsidR="00357058" w:rsidRPr="00357058" w14:paraId="740A2502" w14:textId="77777777" w:rsidTr="00357058">
        <w:trPr>
          <w:trHeight w:val="255"/>
        </w:trPr>
        <w:tc>
          <w:tcPr>
            <w:tcW w:w="6663" w:type="dxa"/>
            <w:tcBorders>
              <w:top w:val="nil"/>
              <w:left w:val="nil"/>
              <w:bottom w:val="nil"/>
              <w:right w:val="nil"/>
            </w:tcBorders>
            <w:shd w:val="clear" w:color="auto" w:fill="auto"/>
            <w:noWrap/>
            <w:vAlign w:val="bottom"/>
            <w:hideMark/>
          </w:tcPr>
          <w:p w14:paraId="74B8E0B0" w14:textId="77777777" w:rsidR="00357058" w:rsidRPr="00357058" w:rsidRDefault="00357058" w:rsidP="00357058">
            <w:pPr>
              <w:spacing w:after="0" w:line="240" w:lineRule="auto"/>
              <w:rPr>
                <w:rFonts w:ascii="Arial" w:hAnsi="Arial" w:cs="Arial"/>
                <w:sz w:val="18"/>
                <w:szCs w:val="18"/>
                <w:lang w:eastAsia="hr-HR"/>
              </w:rPr>
            </w:pPr>
            <w:r w:rsidRPr="00357058">
              <w:rPr>
                <w:rFonts w:ascii="Arial" w:hAnsi="Arial" w:cs="Arial"/>
                <w:sz w:val="18"/>
                <w:szCs w:val="18"/>
                <w:lang w:eastAsia="hr-HR"/>
              </w:rPr>
              <w:t>Izvor 5.1. Županijski proračun</w:t>
            </w:r>
          </w:p>
        </w:tc>
        <w:tc>
          <w:tcPr>
            <w:tcW w:w="1843" w:type="dxa"/>
            <w:tcBorders>
              <w:top w:val="nil"/>
              <w:left w:val="nil"/>
              <w:bottom w:val="nil"/>
              <w:right w:val="nil"/>
            </w:tcBorders>
            <w:shd w:val="clear" w:color="auto" w:fill="auto"/>
            <w:noWrap/>
            <w:vAlign w:val="bottom"/>
            <w:hideMark/>
          </w:tcPr>
          <w:p w14:paraId="7390C78E"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320,00</w:t>
            </w:r>
          </w:p>
        </w:tc>
        <w:tc>
          <w:tcPr>
            <w:tcW w:w="1819" w:type="dxa"/>
            <w:tcBorders>
              <w:top w:val="nil"/>
              <w:left w:val="nil"/>
              <w:bottom w:val="nil"/>
              <w:right w:val="nil"/>
            </w:tcBorders>
            <w:shd w:val="clear" w:color="auto" w:fill="auto"/>
            <w:noWrap/>
            <w:vAlign w:val="bottom"/>
            <w:hideMark/>
          </w:tcPr>
          <w:p w14:paraId="14448A19"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24.760,00</w:t>
            </w:r>
          </w:p>
        </w:tc>
        <w:tc>
          <w:tcPr>
            <w:tcW w:w="1580" w:type="dxa"/>
            <w:tcBorders>
              <w:top w:val="nil"/>
              <w:left w:val="nil"/>
              <w:bottom w:val="nil"/>
              <w:right w:val="nil"/>
            </w:tcBorders>
            <w:shd w:val="clear" w:color="auto" w:fill="auto"/>
            <w:noWrap/>
            <w:vAlign w:val="bottom"/>
            <w:hideMark/>
          </w:tcPr>
          <w:p w14:paraId="2472B022"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2.192,98</w:t>
            </w:r>
          </w:p>
        </w:tc>
        <w:tc>
          <w:tcPr>
            <w:tcW w:w="1520" w:type="dxa"/>
            <w:tcBorders>
              <w:top w:val="nil"/>
              <w:left w:val="nil"/>
              <w:bottom w:val="nil"/>
              <w:right w:val="nil"/>
            </w:tcBorders>
            <w:shd w:val="clear" w:color="auto" w:fill="auto"/>
            <w:noWrap/>
            <w:vAlign w:val="bottom"/>
            <w:hideMark/>
          </w:tcPr>
          <w:p w14:paraId="5EDBD407"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685,31%</w:t>
            </w:r>
          </w:p>
        </w:tc>
        <w:tc>
          <w:tcPr>
            <w:tcW w:w="1260" w:type="dxa"/>
            <w:tcBorders>
              <w:top w:val="nil"/>
              <w:left w:val="nil"/>
              <w:bottom w:val="nil"/>
              <w:right w:val="nil"/>
            </w:tcBorders>
            <w:shd w:val="clear" w:color="auto" w:fill="auto"/>
            <w:noWrap/>
            <w:vAlign w:val="bottom"/>
            <w:hideMark/>
          </w:tcPr>
          <w:p w14:paraId="3261FBEB"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8,86%</w:t>
            </w:r>
          </w:p>
        </w:tc>
      </w:tr>
      <w:tr w:rsidR="00357058" w:rsidRPr="00357058" w14:paraId="22C42BA8" w14:textId="77777777" w:rsidTr="00357058">
        <w:trPr>
          <w:trHeight w:val="255"/>
        </w:trPr>
        <w:tc>
          <w:tcPr>
            <w:tcW w:w="6663" w:type="dxa"/>
            <w:tcBorders>
              <w:top w:val="nil"/>
              <w:left w:val="nil"/>
              <w:bottom w:val="nil"/>
              <w:right w:val="nil"/>
            </w:tcBorders>
            <w:shd w:val="clear" w:color="auto" w:fill="auto"/>
            <w:noWrap/>
            <w:vAlign w:val="bottom"/>
            <w:hideMark/>
          </w:tcPr>
          <w:p w14:paraId="443AB83C" w14:textId="77777777" w:rsidR="00357058" w:rsidRPr="00357058" w:rsidRDefault="00357058" w:rsidP="00357058">
            <w:pPr>
              <w:spacing w:after="0" w:line="240" w:lineRule="auto"/>
              <w:rPr>
                <w:rFonts w:ascii="Arial" w:hAnsi="Arial" w:cs="Arial"/>
                <w:sz w:val="18"/>
                <w:szCs w:val="18"/>
                <w:lang w:eastAsia="hr-HR"/>
              </w:rPr>
            </w:pPr>
            <w:r w:rsidRPr="00357058">
              <w:rPr>
                <w:rFonts w:ascii="Arial" w:hAnsi="Arial" w:cs="Arial"/>
                <w:sz w:val="18"/>
                <w:szCs w:val="18"/>
                <w:lang w:eastAsia="hr-HR"/>
              </w:rPr>
              <w:t>Izvor 5.2. Državni proračun</w:t>
            </w:r>
          </w:p>
        </w:tc>
        <w:tc>
          <w:tcPr>
            <w:tcW w:w="1843" w:type="dxa"/>
            <w:tcBorders>
              <w:top w:val="nil"/>
              <w:left w:val="nil"/>
              <w:bottom w:val="nil"/>
              <w:right w:val="nil"/>
            </w:tcBorders>
            <w:shd w:val="clear" w:color="auto" w:fill="auto"/>
            <w:noWrap/>
            <w:vAlign w:val="bottom"/>
            <w:hideMark/>
          </w:tcPr>
          <w:p w14:paraId="1BBAAF0A"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3.371.790,83</w:t>
            </w:r>
          </w:p>
        </w:tc>
        <w:tc>
          <w:tcPr>
            <w:tcW w:w="1819" w:type="dxa"/>
            <w:tcBorders>
              <w:top w:val="nil"/>
              <w:left w:val="nil"/>
              <w:bottom w:val="nil"/>
              <w:right w:val="nil"/>
            </w:tcBorders>
            <w:shd w:val="clear" w:color="auto" w:fill="auto"/>
            <w:noWrap/>
            <w:vAlign w:val="bottom"/>
            <w:hideMark/>
          </w:tcPr>
          <w:p w14:paraId="63D9D2EB"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4.581.967,00</w:t>
            </w:r>
          </w:p>
        </w:tc>
        <w:tc>
          <w:tcPr>
            <w:tcW w:w="1580" w:type="dxa"/>
            <w:tcBorders>
              <w:top w:val="nil"/>
              <w:left w:val="nil"/>
              <w:bottom w:val="nil"/>
              <w:right w:val="nil"/>
            </w:tcBorders>
            <w:shd w:val="clear" w:color="auto" w:fill="auto"/>
            <w:noWrap/>
            <w:vAlign w:val="bottom"/>
            <w:hideMark/>
          </w:tcPr>
          <w:p w14:paraId="367D7BBB" w14:textId="6CB812D5"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4.5</w:t>
            </w:r>
            <w:r w:rsidR="00D9684F">
              <w:rPr>
                <w:rFonts w:ascii="Arial" w:hAnsi="Arial" w:cs="Arial"/>
                <w:sz w:val="18"/>
                <w:szCs w:val="18"/>
                <w:lang w:eastAsia="hr-HR"/>
              </w:rPr>
              <w:t>13.677,78</w:t>
            </w:r>
          </w:p>
        </w:tc>
        <w:tc>
          <w:tcPr>
            <w:tcW w:w="1520" w:type="dxa"/>
            <w:tcBorders>
              <w:top w:val="nil"/>
              <w:left w:val="nil"/>
              <w:bottom w:val="nil"/>
              <w:right w:val="nil"/>
            </w:tcBorders>
            <w:shd w:val="clear" w:color="auto" w:fill="auto"/>
            <w:noWrap/>
            <w:vAlign w:val="bottom"/>
            <w:hideMark/>
          </w:tcPr>
          <w:p w14:paraId="0700802A" w14:textId="516C51D0"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133,</w:t>
            </w:r>
            <w:r w:rsidR="00D9684F">
              <w:rPr>
                <w:rFonts w:ascii="Arial" w:hAnsi="Arial" w:cs="Arial"/>
                <w:sz w:val="18"/>
                <w:szCs w:val="18"/>
                <w:lang w:eastAsia="hr-HR"/>
              </w:rPr>
              <w:t>8</w:t>
            </w:r>
            <w:r w:rsidRPr="00357058">
              <w:rPr>
                <w:rFonts w:ascii="Arial" w:hAnsi="Arial" w:cs="Arial"/>
                <w:sz w:val="18"/>
                <w:szCs w:val="18"/>
                <w:lang w:eastAsia="hr-HR"/>
              </w:rPr>
              <w:t>7%</w:t>
            </w:r>
          </w:p>
        </w:tc>
        <w:tc>
          <w:tcPr>
            <w:tcW w:w="1260" w:type="dxa"/>
            <w:tcBorders>
              <w:top w:val="nil"/>
              <w:left w:val="nil"/>
              <w:bottom w:val="nil"/>
              <w:right w:val="nil"/>
            </w:tcBorders>
            <w:shd w:val="clear" w:color="auto" w:fill="auto"/>
            <w:noWrap/>
            <w:vAlign w:val="bottom"/>
            <w:hideMark/>
          </w:tcPr>
          <w:p w14:paraId="39418CD2" w14:textId="23219E95"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98,</w:t>
            </w:r>
            <w:r w:rsidR="00D9684F">
              <w:rPr>
                <w:rFonts w:ascii="Arial" w:hAnsi="Arial" w:cs="Arial"/>
                <w:sz w:val="18"/>
                <w:szCs w:val="18"/>
                <w:lang w:eastAsia="hr-HR"/>
              </w:rPr>
              <w:t>51</w:t>
            </w:r>
            <w:r w:rsidRPr="00357058">
              <w:rPr>
                <w:rFonts w:ascii="Arial" w:hAnsi="Arial" w:cs="Arial"/>
                <w:sz w:val="18"/>
                <w:szCs w:val="18"/>
                <w:lang w:eastAsia="hr-HR"/>
              </w:rPr>
              <w:t>%</w:t>
            </w:r>
          </w:p>
        </w:tc>
      </w:tr>
      <w:tr w:rsidR="00357058" w:rsidRPr="00357058" w14:paraId="474BC56D" w14:textId="77777777" w:rsidTr="00357058">
        <w:trPr>
          <w:trHeight w:val="255"/>
        </w:trPr>
        <w:tc>
          <w:tcPr>
            <w:tcW w:w="6663" w:type="dxa"/>
            <w:tcBorders>
              <w:top w:val="nil"/>
              <w:left w:val="nil"/>
              <w:bottom w:val="nil"/>
              <w:right w:val="nil"/>
            </w:tcBorders>
            <w:shd w:val="clear" w:color="auto" w:fill="auto"/>
            <w:noWrap/>
            <w:vAlign w:val="bottom"/>
            <w:hideMark/>
          </w:tcPr>
          <w:p w14:paraId="5ACB9DED" w14:textId="77777777" w:rsidR="00357058" w:rsidRPr="00357058" w:rsidRDefault="00357058" w:rsidP="00357058">
            <w:pPr>
              <w:spacing w:after="0" w:line="240" w:lineRule="auto"/>
              <w:rPr>
                <w:rFonts w:ascii="Arial" w:hAnsi="Arial" w:cs="Arial"/>
                <w:sz w:val="18"/>
                <w:szCs w:val="18"/>
                <w:lang w:eastAsia="hr-HR"/>
              </w:rPr>
            </w:pPr>
            <w:r w:rsidRPr="00357058">
              <w:rPr>
                <w:rFonts w:ascii="Arial" w:hAnsi="Arial" w:cs="Arial"/>
                <w:sz w:val="18"/>
                <w:szCs w:val="18"/>
                <w:lang w:eastAsia="hr-HR"/>
              </w:rPr>
              <w:t>Izvor 5.3. Izvanproračunski korisnici</w:t>
            </w:r>
          </w:p>
        </w:tc>
        <w:tc>
          <w:tcPr>
            <w:tcW w:w="1843" w:type="dxa"/>
            <w:tcBorders>
              <w:top w:val="nil"/>
              <w:left w:val="nil"/>
              <w:bottom w:val="nil"/>
              <w:right w:val="nil"/>
            </w:tcBorders>
            <w:shd w:val="clear" w:color="auto" w:fill="auto"/>
            <w:noWrap/>
            <w:vAlign w:val="bottom"/>
            <w:hideMark/>
          </w:tcPr>
          <w:p w14:paraId="50767B64"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26.231,77</w:t>
            </w:r>
          </w:p>
        </w:tc>
        <w:tc>
          <w:tcPr>
            <w:tcW w:w="1819" w:type="dxa"/>
            <w:tcBorders>
              <w:top w:val="nil"/>
              <w:left w:val="nil"/>
              <w:bottom w:val="nil"/>
              <w:right w:val="nil"/>
            </w:tcBorders>
            <w:shd w:val="clear" w:color="auto" w:fill="auto"/>
            <w:noWrap/>
            <w:vAlign w:val="bottom"/>
            <w:hideMark/>
          </w:tcPr>
          <w:p w14:paraId="6C68938D"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1.188.847,00</w:t>
            </w:r>
          </w:p>
        </w:tc>
        <w:tc>
          <w:tcPr>
            <w:tcW w:w="1580" w:type="dxa"/>
            <w:tcBorders>
              <w:top w:val="nil"/>
              <w:left w:val="nil"/>
              <w:bottom w:val="nil"/>
              <w:right w:val="nil"/>
            </w:tcBorders>
            <w:shd w:val="clear" w:color="auto" w:fill="auto"/>
            <w:noWrap/>
            <w:vAlign w:val="bottom"/>
            <w:hideMark/>
          </w:tcPr>
          <w:p w14:paraId="02F17B77"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350.463,85</w:t>
            </w:r>
          </w:p>
        </w:tc>
        <w:tc>
          <w:tcPr>
            <w:tcW w:w="1520" w:type="dxa"/>
            <w:tcBorders>
              <w:top w:val="nil"/>
              <w:left w:val="nil"/>
              <w:bottom w:val="nil"/>
              <w:right w:val="nil"/>
            </w:tcBorders>
            <w:shd w:val="clear" w:color="auto" w:fill="auto"/>
            <w:noWrap/>
            <w:vAlign w:val="bottom"/>
            <w:hideMark/>
          </w:tcPr>
          <w:p w14:paraId="051A45CC"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1336,03%</w:t>
            </w:r>
          </w:p>
        </w:tc>
        <w:tc>
          <w:tcPr>
            <w:tcW w:w="1260" w:type="dxa"/>
            <w:tcBorders>
              <w:top w:val="nil"/>
              <w:left w:val="nil"/>
              <w:bottom w:val="nil"/>
              <w:right w:val="nil"/>
            </w:tcBorders>
            <w:shd w:val="clear" w:color="auto" w:fill="auto"/>
            <w:noWrap/>
            <w:vAlign w:val="bottom"/>
            <w:hideMark/>
          </w:tcPr>
          <w:p w14:paraId="5BF4541D"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29,48%</w:t>
            </w:r>
          </w:p>
        </w:tc>
      </w:tr>
      <w:tr w:rsidR="00357058" w:rsidRPr="00357058" w14:paraId="2832CB27" w14:textId="77777777" w:rsidTr="00357058">
        <w:trPr>
          <w:trHeight w:val="255"/>
        </w:trPr>
        <w:tc>
          <w:tcPr>
            <w:tcW w:w="6663" w:type="dxa"/>
            <w:tcBorders>
              <w:top w:val="nil"/>
              <w:left w:val="nil"/>
              <w:bottom w:val="nil"/>
              <w:right w:val="nil"/>
            </w:tcBorders>
            <w:shd w:val="clear" w:color="auto" w:fill="auto"/>
            <w:noWrap/>
            <w:vAlign w:val="bottom"/>
            <w:hideMark/>
          </w:tcPr>
          <w:p w14:paraId="40E1BC8A" w14:textId="77777777" w:rsidR="00357058" w:rsidRPr="00357058" w:rsidRDefault="00357058" w:rsidP="00357058">
            <w:pPr>
              <w:spacing w:after="0" w:line="240" w:lineRule="auto"/>
              <w:rPr>
                <w:rFonts w:ascii="Arial" w:hAnsi="Arial" w:cs="Arial"/>
                <w:sz w:val="18"/>
                <w:szCs w:val="18"/>
                <w:lang w:eastAsia="hr-HR"/>
              </w:rPr>
            </w:pPr>
            <w:r w:rsidRPr="00357058">
              <w:rPr>
                <w:rFonts w:ascii="Arial" w:hAnsi="Arial" w:cs="Arial"/>
                <w:sz w:val="18"/>
                <w:szCs w:val="18"/>
                <w:lang w:eastAsia="hr-HR"/>
              </w:rPr>
              <w:t>Izvor 5.4. Institucije i tijela EU</w:t>
            </w:r>
          </w:p>
        </w:tc>
        <w:tc>
          <w:tcPr>
            <w:tcW w:w="1843" w:type="dxa"/>
            <w:tcBorders>
              <w:top w:val="nil"/>
              <w:left w:val="nil"/>
              <w:bottom w:val="nil"/>
              <w:right w:val="nil"/>
            </w:tcBorders>
            <w:shd w:val="clear" w:color="auto" w:fill="auto"/>
            <w:noWrap/>
            <w:vAlign w:val="bottom"/>
            <w:hideMark/>
          </w:tcPr>
          <w:p w14:paraId="2F0AE116"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414.824,06</w:t>
            </w:r>
          </w:p>
        </w:tc>
        <w:tc>
          <w:tcPr>
            <w:tcW w:w="1819" w:type="dxa"/>
            <w:tcBorders>
              <w:top w:val="nil"/>
              <w:left w:val="nil"/>
              <w:bottom w:val="nil"/>
              <w:right w:val="nil"/>
            </w:tcBorders>
            <w:shd w:val="clear" w:color="auto" w:fill="auto"/>
            <w:noWrap/>
            <w:vAlign w:val="bottom"/>
            <w:hideMark/>
          </w:tcPr>
          <w:p w14:paraId="4F69D27F"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324.073,81</w:t>
            </w:r>
          </w:p>
        </w:tc>
        <w:tc>
          <w:tcPr>
            <w:tcW w:w="1580" w:type="dxa"/>
            <w:tcBorders>
              <w:top w:val="nil"/>
              <w:left w:val="nil"/>
              <w:bottom w:val="nil"/>
              <w:right w:val="nil"/>
            </w:tcBorders>
            <w:shd w:val="clear" w:color="auto" w:fill="auto"/>
            <w:noWrap/>
            <w:vAlign w:val="bottom"/>
            <w:hideMark/>
          </w:tcPr>
          <w:p w14:paraId="29BD333F"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425.610,98</w:t>
            </w:r>
          </w:p>
        </w:tc>
        <w:tc>
          <w:tcPr>
            <w:tcW w:w="1520" w:type="dxa"/>
            <w:tcBorders>
              <w:top w:val="nil"/>
              <w:left w:val="nil"/>
              <w:bottom w:val="nil"/>
              <w:right w:val="nil"/>
            </w:tcBorders>
            <w:shd w:val="clear" w:color="auto" w:fill="auto"/>
            <w:noWrap/>
            <w:vAlign w:val="bottom"/>
            <w:hideMark/>
          </w:tcPr>
          <w:p w14:paraId="5A63BAF2"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102,60%</w:t>
            </w:r>
          </w:p>
        </w:tc>
        <w:tc>
          <w:tcPr>
            <w:tcW w:w="1260" w:type="dxa"/>
            <w:tcBorders>
              <w:top w:val="nil"/>
              <w:left w:val="nil"/>
              <w:bottom w:val="nil"/>
              <w:right w:val="nil"/>
            </w:tcBorders>
            <w:shd w:val="clear" w:color="auto" w:fill="auto"/>
            <w:noWrap/>
            <w:vAlign w:val="bottom"/>
            <w:hideMark/>
          </w:tcPr>
          <w:p w14:paraId="3F07C58F"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131,33%</w:t>
            </w:r>
          </w:p>
        </w:tc>
      </w:tr>
      <w:tr w:rsidR="00357058" w:rsidRPr="00357058" w14:paraId="38DD5BF9" w14:textId="77777777" w:rsidTr="00357058">
        <w:trPr>
          <w:trHeight w:val="255"/>
        </w:trPr>
        <w:tc>
          <w:tcPr>
            <w:tcW w:w="6663" w:type="dxa"/>
            <w:tcBorders>
              <w:top w:val="nil"/>
              <w:left w:val="nil"/>
              <w:bottom w:val="nil"/>
              <w:right w:val="nil"/>
            </w:tcBorders>
            <w:shd w:val="clear" w:color="auto" w:fill="auto"/>
            <w:noWrap/>
            <w:vAlign w:val="bottom"/>
            <w:hideMark/>
          </w:tcPr>
          <w:p w14:paraId="3FA86698" w14:textId="77777777" w:rsidR="00357058" w:rsidRPr="00357058" w:rsidRDefault="00357058" w:rsidP="00357058">
            <w:pPr>
              <w:spacing w:after="0" w:line="240" w:lineRule="auto"/>
              <w:rPr>
                <w:rFonts w:ascii="Arial" w:hAnsi="Arial" w:cs="Arial"/>
                <w:sz w:val="18"/>
                <w:szCs w:val="18"/>
                <w:lang w:eastAsia="hr-HR"/>
              </w:rPr>
            </w:pPr>
            <w:r w:rsidRPr="00357058">
              <w:rPr>
                <w:rFonts w:ascii="Arial" w:hAnsi="Arial" w:cs="Arial"/>
                <w:sz w:val="18"/>
                <w:szCs w:val="18"/>
                <w:lang w:eastAsia="hr-HR"/>
              </w:rPr>
              <w:t>Izvor 5.5. Općinski proračun</w:t>
            </w:r>
          </w:p>
        </w:tc>
        <w:tc>
          <w:tcPr>
            <w:tcW w:w="1843" w:type="dxa"/>
            <w:tcBorders>
              <w:top w:val="nil"/>
              <w:left w:val="nil"/>
              <w:bottom w:val="nil"/>
              <w:right w:val="nil"/>
            </w:tcBorders>
            <w:shd w:val="clear" w:color="auto" w:fill="auto"/>
            <w:noWrap/>
            <w:vAlign w:val="bottom"/>
            <w:hideMark/>
          </w:tcPr>
          <w:p w14:paraId="3A749D60"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297.196,65</w:t>
            </w:r>
          </w:p>
        </w:tc>
        <w:tc>
          <w:tcPr>
            <w:tcW w:w="1819" w:type="dxa"/>
            <w:tcBorders>
              <w:top w:val="nil"/>
              <w:left w:val="nil"/>
              <w:bottom w:val="nil"/>
              <w:right w:val="nil"/>
            </w:tcBorders>
            <w:shd w:val="clear" w:color="auto" w:fill="auto"/>
            <w:noWrap/>
            <w:vAlign w:val="bottom"/>
            <w:hideMark/>
          </w:tcPr>
          <w:p w14:paraId="26C642A5"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351.276,41</w:t>
            </w:r>
          </w:p>
        </w:tc>
        <w:tc>
          <w:tcPr>
            <w:tcW w:w="1580" w:type="dxa"/>
            <w:tcBorders>
              <w:top w:val="nil"/>
              <w:left w:val="nil"/>
              <w:bottom w:val="nil"/>
              <w:right w:val="nil"/>
            </w:tcBorders>
            <w:shd w:val="clear" w:color="auto" w:fill="auto"/>
            <w:noWrap/>
            <w:vAlign w:val="bottom"/>
            <w:hideMark/>
          </w:tcPr>
          <w:p w14:paraId="1EF77475"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332.529,46</w:t>
            </w:r>
          </w:p>
        </w:tc>
        <w:tc>
          <w:tcPr>
            <w:tcW w:w="1520" w:type="dxa"/>
            <w:tcBorders>
              <w:top w:val="nil"/>
              <w:left w:val="nil"/>
              <w:bottom w:val="nil"/>
              <w:right w:val="nil"/>
            </w:tcBorders>
            <w:shd w:val="clear" w:color="auto" w:fill="auto"/>
            <w:noWrap/>
            <w:vAlign w:val="bottom"/>
            <w:hideMark/>
          </w:tcPr>
          <w:p w14:paraId="163B6F0B"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111,89%</w:t>
            </w:r>
          </w:p>
        </w:tc>
        <w:tc>
          <w:tcPr>
            <w:tcW w:w="1260" w:type="dxa"/>
            <w:tcBorders>
              <w:top w:val="nil"/>
              <w:left w:val="nil"/>
              <w:bottom w:val="nil"/>
              <w:right w:val="nil"/>
            </w:tcBorders>
            <w:shd w:val="clear" w:color="auto" w:fill="auto"/>
            <w:noWrap/>
            <w:vAlign w:val="bottom"/>
            <w:hideMark/>
          </w:tcPr>
          <w:p w14:paraId="011FB7DD"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94,66%</w:t>
            </w:r>
          </w:p>
        </w:tc>
      </w:tr>
      <w:tr w:rsidR="00357058" w:rsidRPr="00357058" w14:paraId="35D3D97B" w14:textId="77777777" w:rsidTr="00357058">
        <w:trPr>
          <w:trHeight w:val="255"/>
        </w:trPr>
        <w:tc>
          <w:tcPr>
            <w:tcW w:w="6663" w:type="dxa"/>
            <w:tcBorders>
              <w:top w:val="nil"/>
              <w:left w:val="nil"/>
              <w:bottom w:val="nil"/>
              <w:right w:val="nil"/>
            </w:tcBorders>
            <w:shd w:val="clear" w:color="auto" w:fill="auto"/>
            <w:noWrap/>
            <w:vAlign w:val="bottom"/>
            <w:hideMark/>
          </w:tcPr>
          <w:p w14:paraId="1F1E2C43" w14:textId="77777777" w:rsidR="00357058" w:rsidRPr="00357058" w:rsidRDefault="00357058" w:rsidP="00357058">
            <w:pPr>
              <w:spacing w:after="0" w:line="240" w:lineRule="auto"/>
              <w:rPr>
                <w:rFonts w:ascii="Arial" w:hAnsi="Arial" w:cs="Arial"/>
                <w:b/>
                <w:bCs/>
                <w:sz w:val="18"/>
                <w:szCs w:val="18"/>
                <w:lang w:eastAsia="hr-HR"/>
              </w:rPr>
            </w:pPr>
            <w:r w:rsidRPr="00357058">
              <w:rPr>
                <w:rFonts w:ascii="Arial" w:hAnsi="Arial" w:cs="Arial"/>
                <w:b/>
                <w:bCs/>
                <w:sz w:val="18"/>
                <w:szCs w:val="18"/>
                <w:lang w:eastAsia="hr-HR"/>
              </w:rPr>
              <w:t>Izvor 6. Donacije</w:t>
            </w:r>
          </w:p>
        </w:tc>
        <w:tc>
          <w:tcPr>
            <w:tcW w:w="1843" w:type="dxa"/>
            <w:tcBorders>
              <w:top w:val="nil"/>
              <w:left w:val="nil"/>
              <w:bottom w:val="nil"/>
              <w:right w:val="nil"/>
            </w:tcBorders>
            <w:shd w:val="clear" w:color="auto" w:fill="auto"/>
            <w:noWrap/>
            <w:vAlign w:val="bottom"/>
            <w:hideMark/>
          </w:tcPr>
          <w:p w14:paraId="6394CC3F" w14:textId="77777777" w:rsidR="00357058" w:rsidRPr="00357058" w:rsidRDefault="00357058" w:rsidP="00357058">
            <w:pPr>
              <w:spacing w:after="0" w:line="240" w:lineRule="auto"/>
              <w:jc w:val="right"/>
              <w:rPr>
                <w:rFonts w:ascii="Arial" w:hAnsi="Arial" w:cs="Arial"/>
                <w:b/>
                <w:bCs/>
                <w:sz w:val="18"/>
                <w:szCs w:val="18"/>
                <w:lang w:eastAsia="hr-HR"/>
              </w:rPr>
            </w:pPr>
            <w:r w:rsidRPr="00357058">
              <w:rPr>
                <w:rFonts w:ascii="Arial" w:hAnsi="Arial" w:cs="Arial"/>
                <w:b/>
                <w:bCs/>
                <w:sz w:val="18"/>
                <w:szCs w:val="18"/>
                <w:lang w:eastAsia="hr-HR"/>
              </w:rPr>
              <w:t>4.558,47</w:t>
            </w:r>
          </w:p>
        </w:tc>
        <w:tc>
          <w:tcPr>
            <w:tcW w:w="1819" w:type="dxa"/>
            <w:tcBorders>
              <w:top w:val="nil"/>
              <w:left w:val="nil"/>
              <w:bottom w:val="nil"/>
              <w:right w:val="nil"/>
            </w:tcBorders>
            <w:shd w:val="clear" w:color="auto" w:fill="auto"/>
            <w:noWrap/>
            <w:vAlign w:val="bottom"/>
            <w:hideMark/>
          </w:tcPr>
          <w:p w14:paraId="5E6C78C8" w14:textId="77777777" w:rsidR="00357058" w:rsidRPr="00357058" w:rsidRDefault="00357058" w:rsidP="00357058">
            <w:pPr>
              <w:spacing w:after="0" w:line="240" w:lineRule="auto"/>
              <w:jc w:val="right"/>
              <w:rPr>
                <w:rFonts w:ascii="Arial" w:hAnsi="Arial" w:cs="Arial"/>
                <w:b/>
                <w:bCs/>
                <w:sz w:val="18"/>
                <w:szCs w:val="18"/>
                <w:lang w:eastAsia="hr-HR"/>
              </w:rPr>
            </w:pPr>
            <w:r w:rsidRPr="00357058">
              <w:rPr>
                <w:rFonts w:ascii="Arial" w:hAnsi="Arial" w:cs="Arial"/>
                <w:b/>
                <w:bCs/>
                <w:sz w:val="18"/>
                <w:szCs w:val="18"/>
                <w:lang w:eastAsia="hr-HR"/>
              </w:rPr>
              <w:t>120.500,00</w:t>
            </w:r>
          </w:p>
        </w:tc>
        <w:tc>
          <w:tcPr>
            <w:tcW w:w="1580" w:type="dxa"/>
            <w:tcBorders>
              <w:top w:val="nil"/>
              <w:left w:val="nil"/>
              <w:bottom w:val="nil"/>
              <w:right w:val="nil"/>
            </w:tcBorders>
            <w:shd w:val="clear" w:color="auto" w:fill="auto"/>
            <w:noWrap/>
            <w:vAlign w:val="bottom"/>
            <w:hideMark/>
          </w:tcPr>
          <w:p w14:paraId="02628014" w14:textId="7DD9671C" w:rsidR="00357058" w:rsidRPr="00357058" w:rsidRDefault="00357058" w:rsidP="00357058">
            <w:pPr>
              <w:spacing w:after="0" w:line="240" w:lineRule="auto"/>
              <w:jc w:val="right"/>
              <w:rPr>
                <w:rFonts w:ascii="Arial" w:hAnsi="Arial" w:cs="Arial"/>
                <w:b/>
                <w:bCs/>
                <w:sz w:val="18"/>
                <w:szCs w:val="18"/>
                <w:lang w:eastAsia="hr-HR"/>
              </w:rPr>
            </w:pPr>
            <w:r w:rsidRPr="00357058">
              <w:rPr>
                <w:rFonts w:ascii="Arial" w:hAnsi="Arial" w:cs="Arial"/>
                <w:b/>
                <w:bCs/>
                <w:sz w:val="18"/>
                <w:szCs w:val="18"/>
                <w:lang w:eastAsia="hr-HR"/>
              </w:rPr>
              <w:t>1</w:t>
            </w:r>
            <w:r w:rsidR="00D9684F">
              <w:rPr>
                <w:rFonts w:ascii="Arial" w:hAnsi="Arial" w:cs="Arial"/>
                <w:b/>
                <w:bCs/>
                <w:sz w:val="18"/>
                <w:szCs w:val="18"/>
                <w:lang w:eastAsia="hr-HR"/>
              </w:rPr>
              <w:t>22.014,26</w:t>
            </w:r>
          </w:p>
        </w:tc>
        <w:tc>
          <w:tcPr>
            <w:tcW w:w="1520" w:type="dxa"/>
            <w:tcBorders>
              <w:top w:val="nil"/>
              <w:left w:val="nil"/>
              <w:bottom w:val="nil"/>
              <w:right w:val="nil"/>
            </w:tcBorders>
            <w:shd w:val="clear" w:color="auto" w:fill="auto"/>
            <w:noWrap/>
            <w:vAlign w:val="bottom"/>
            <w:hideMark/>
          </w:tcPr>
          <w:p w14:paraId="17D83691" w14:textId="50F63512" w:rsidR="00357058" w:rsidRPr="00357058" w:rsidRDefault="00357058" w:rsidP="00357058">
            <w:pPr>
              <w:spacing w:after="0" w:line="240" w:lineRule="auto"/>
              <w:jc w:val="right"/>
              <w:rPr>
                <w:rFonts w:ascii="Arial" w:hAnsi="Arial" w:cs="Arial"/>
                <w:b/>
                <w:bCs/>
                <w:sz w:val="18"/>
                <w:szCs w:val="18"/>
                <w:lang w:eastAsia="hr-HR"/>
              </w:rPr>
            </w:pPr>
            <w:r w:rsidRPr="00357058">
              <w:rPr>
                <w:rFonts w:ascii="Arial" w:hAnsi="Arial" w:cs="Arial"/>
                <w:b/>
                <w:bCs/>
                <w:sz w:val="18"/>
                <w:szCs w:val="18"/>
                <w:lang w:eastAsia="hr-HR"/>
              </w:rPr>
              <w:t>26</w:t>
            </w:r>
            <w:r w:rsidR="00D9684F">
              <w:rPr>
                <w:rFonts w:ascii="Arial" w:hAnsi="Arial" w:cs="Arial"/>
                <w:b/>
                <w:bCs/>
                <w:sz w:val="18"/>
                <w:szCs w:val="18"/>
                <w:lang w:eastAsia="hr-HR"/>
              </w:rPr>
              <w:t>76,65</w:t>
            </w:r>
            <w:r w:rsidRPr="00357058">
              <w:rPr>
                <w:rFonts w:ascii="Arial" w:hAnsi="Arial" w:cs="Arial"/>
                <w:b/>
                <w:bCs/>
                <w:sz w:val="18"/>
                <w:szCs w:val="18"/>
                <w:lang w:eastAsia="hr-HR"/>
              </w:rPr>
              <w:t>%</w:t>
            </w:r>
          </w:p>
        </w:tc>
        <w:tc>
          <w:tcPr>
            <w:tcW w:w="1260" w:type="dxa"/>
            <w:tcBorders>
              <w:top w:val="nil"/>
              <w:left w:val="nil"/>
              <w:bottom w:val="nil"/>
              <w:right w:val="nil"/>
            </w:tcBorders>
            <w:shd w:val="clear" w:color="auto" w:fill="auto"/>
            <w:noWrap/>
            <w:vAlign w:val="bottom"/>
            <w:hideMark/>
          </w:tcPr>
          <w:p w14:paraId="5CB20E1A" w14:textId="39C71AC5" w:rsidR="00357058" w:rsidRPr="00357058" w:rsidRDefault="00D9684F" w:rsidP="00357058">
            <w:pPr>
              <w:spacing w:after="0" w:line="240" w:lineRule="auto"/>
              <w:jc w:val="right"/>
              <w:rPr>
                <w:rFonts w:ascii="Arial" w:hAnsi="Arial" w:cs="Arial"/>
                <w:b/>
                <w:bCs/>
                <w:sz w:val="18"/>
                <w:szCs w:val="18"/>
                <w:lang w:eastAsia="hr-HR"/>
              </w:rPr>
            </w:pPr>
            <w:r>
              <w:rPr>
                <w:rFonts w:ascii="Arial" w:hAnsi="Arial" w:cs="Arial"/>
                <w:b/>
                <w:bCs/>
                <w:sz w:val="18"/>
                <w:szCs w:val="18"/>
                <w:lang w:eastAsia="hr-HR"/>
              </w:rPr>
              <w:t>101,26</w:t>
            </w:r>
            <w:r w:rsidR="00357058" w:rsidRPr="00357058">
              <w:rPr>
                <w:rFonts w:ascii="Arial" w:hAnsi="Arial" w:cs="Arial"/>
                <w:b/>
                <w:bCs/>
                <w:sz w:val="18"/>
                <w:szCs w:val="18"/>
                <w:lang w:eastAsia="hr-HR"/>
              </w:rPr>
              <w:t>%</w:t>
            </w:r>
          </w:p>
        </w:tc>
      </w:tr>
      <w:tr w:rsidR="00357058" w:rsidRPr="00357058" w14:paraId="64100716" w14:textId="77777777" w:rsidTr="00357058">
        <w:trPr>
          <w:trHeight w:val="255"/>
        </w:trPr>
        <w:tc>
          <w:tcPr>
            <w:tcW w:w="6663" w:type="dxa"/>
            <w:tcBorders>
              <w:top w:val="nil"/>
              <w:left w:val="nil"/>
              <w:bottom w:val="nil"/>
              <w:right w:val="nil"/>
            </w:tcBorders>
            <w:shd w:val="clear" w:color="auto" w:fill="auto"/>
            <w:noWrap/>
            <w:vAlign w:val="bottom"/>
            <w:hideMark/>
          </w:tcPr>
          <w:p w14:paraId="1B4B1BF4" w14:textId="77777777" w:rsidR="00357058" w:rsidRPr="00357058" w:rsidRDefault="00357058" w:rsidP="00357058">
            <w:pPr>
              <w:spacing w:after="0" w:line="240" w:lineRule="auto"/>
              <w:rPr>
                <w:rFonts w:ascii="Arial" w:hAnsi="Arial" w:cs="Arial"/>
                <w:sz w:val="18"/>
                <w:szCs w:val="18"/>
                <w:lang w:eastAsia="hr-HR"/>
              </w:rPr>
            </w:pPr>
            <w:r w:rsidRPr="00357058">
              <w:rPr>
                <w:rFonts w:ascii="Arial" w:hAnsi="Arial" w:cs="Arial"/>
                <w:sz w:val="18"/>
                <w:szCs w:val="18"/>
                <w:lang w:eastAsia="hr-HR"/>
              </w:rPr>
              <w:t>Izvor 6.1. Donacije</w:t>
            </w:r>
          </w:p>
        </w:tc>
        <w:tc>
          <w:tcPr>
            <w:tcW w:w="1843" w:type="dxa"/>
            <w:tcBorders>
              <w:top w:val="nil"/>
              <w:left w:val="nil"/>
              <w:bottom w:val="nil"/>
              <w:right w:val="nil"/>
            </w:tcBorders>
            <w:shd w:val="clear" w:color="auto" w:fill="auto"/>
            <w:noWrap/>
            <w:vAlign w:val="bottom"/>
            <w:hideMark/>
          </w:tcPr>
          <w:p w14:paraId="2B7C1212"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4.558,47</w:t>
            </w:r>
          </w:p>
        </w:tc>
        <w:tc>
          <w:tcPr>
            <w:tcW w:w="1819" w:type="dxa"/>
            <w:tcBorders>
              <w:top w:val="nil"/>
              <w:left w:val="nil"/>
              <w:bottom w:val="nil"/>
              <w:right w:val="nil"/>
            </w:tcBorders>
            <w:shd w:val="clear" w:color="auto" w:fill="auto"/>
            <w:noWrap/>
            <w:vAlign w:val="bottom"/>
            <w:hideMark/>
          </w:tcPr>
          <w:p w14:paraId="51CDF961"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120.500,00</w:t>
            </w:r>
          </w:p>
        </w:tc>
        <w:tc>
          <w:tcPr>
            <w:tcW w:w="1580" w:type="dxa"/>
            <w:tcBorders>
              <w:top w:val="nil"/>
              <w:left w:val="nil"/>
              <w:bottom w:val="nil"/>
              <w:right w:val="nil"/>
            </w:tcBorders>
            <w:shd w:val="clear" w:color="auto" w:fill="auto"/>
            <w:noWrap/>
            <w:vAlign w:val="bottom"/>
            <w:hideMark/>
          </w:tcPr>
          <w:p w14:paraId="65E4EAF5" w14:textId="438FA496" w:rsidR="00357058" w:rsidRPr="00357058" w:rsidRDefault="00D9684F" w:rsidP="00357058">
            <w:pPr>
              <w:spacing w:after="0" w:line="240" w:lineRule="auto"/>
              <w:jc w:val="right"/>
              <w:rPr>
                <w:rFonts w:ascii="Arial" w:hAnsi="Arial" w:cs="Arial"/>
                <w:sz w:val="18"/>
                <w:szCs w:val="18"/>
                <w:lang w:eastAsia="hr-HR"/>
              </w:rPr>
            </w:pPr>
            <w:r>
              <w:rPr>
                <w:rFonts w:ascii="Arial" w:hAnsi="Arial" w:cs="Arial"/>
                <w:sz w:val="18"/>
                <w:szCs w:val="18"/>
                <w:lang w:eastAsia="hr-HR"/>
              </w:rPr>
              <w:t>122.014,26</w:t>
            </w:r>
          </w:p>
        </w:tc>
        <w:tc>
          <w:tcPr>
            <w:tcW w:w="1520" w:type="dxa"/>
            <w:tcBorders>
              <w:top w:val="nil"/>
              <w:left w:val="nil"/>
              <w:bottom w:val="nil"/>
              <w:right w:val="nil"/>
            </w:tcBorders>
            <w:shd w:val="clear" w:color="auto" w:fill="auto"/>
            <w:noWrap/>
            <w:vAlign w:val="bottom"/>
            <w:hideMark/>
          </w:tcPr>
          <w:p w14:paraId="1A16A85A" w14:textId="0697CD51"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26</w:t>
            </w:r>
            <w:r w:rsidR="00D9684F">
              <w:rPr>
                <w:rFonts w:ascii="Arial" w:hAnsi="Arial" w:cs="Arial"/>
                <w:sz w:val="18"/>
                <w:szCs w:val="18"/>
                <w:lang w:eastAsia="hr-HR"/>
              </w:rPr>
              <w:t>76,65</w:t>
            </w:r>
            <w:r w:rsidR="00B90A3A">
              <w:rPr>
                <w:rFonts w:ascii="Arial" w:hAnsi="Arial" w:cs="Arial"/>
                <w:sz w:val="18"/>
                <w:szCs w:val="18"/>
                <w:lang w:eastAsia="hr-HR"/>
              </w:rPr>
              <w:t>%</w:t>
            </w:r>
          </w:p>
        </w:tc>
        <w:tc>
          <w:tcPr>
            <w:tcW w:w="1260" w:type="dxa"/>
            <w:tcBorders>
              <w:top w:val="nil"/>
              <w:left w:val="nil"/>
              <w:bottom w:val="nil"/>
              <w:right w:val="nil"/>
            </w:tcBorders>
            <w:shd w:val="clear" w:color="auto" w:fill="auto"/>
            <w:noWrap/>
            <w:vAlign w:val="bottom"/>
            <w:hideMark/>
          </w:tcPr>
          <w:p w14:paraId="72453505" w14:textId="0743296E" w:rsidR="00357058" w:rsidRPr="00357058" w:rsidRDefault="00B90A3A" w:rsidP="00357058">
            <w:pPr>
              <w:spacing w:after="0" w:line="240" w:lineRule="auto"/>
              <w:jc w:val="right"/>
              <w:rPr>
                <w:rFonts w:ascii="Arial" w:hAnsi="Arial" w:cs="Arial"/>
                <w:sz w:val="18"/>
                <w:szCs w:val="18"/>
                <w:lang w:eastAsia="hr-HR"/>
              </w:rPr>
            </w:pPr>
            <w:r>
              <w:rPr>
                <w:rFonts w:ascii="Arial" w:hAnsi="Arial" w:cs="Arial"/>
                <w:sz w:val="18"/>
                <w:szCs w:val="18"/>
                <w:lang w:eastAsia="hr-HR"/>
              </w:rPr>
              <w:t>101,26</w:t>
            </w:r>
            <w:r w:rsidR="00357058" w:rsidRPr="00357058">
              <w:rPr>
                <w:rFonts w:ascii="Arial" w:hAnsi="Arial" w:cs="Arial"/>
                <w:sz w:val="18"/>
                <w:szCs w:val="18"/>
                <w:lang w:eastAsia="hr-HR"/>
              </w:rPr>
              <w:t>%</w:t>
            </w:r>
          </w:p>
        </w:tc>
      </w:tr>
      <w:tr w:rsidR="00357058" w:rsidRPr="00357058" w14:paraId="1252D4CB" w14:textId="77777777" w:rsidTr="00357058">
        <w:trPr>
          <w:trHeight w:val="255"/>
        </w:trPr>
        <w:tc>
          <w:tcPr>
            <w:tcW w:w="6663" w:type="dxa"/>
            <w:tcBorders>
              <w:top w:val="nil"/>
              <w:left w:val="nil"/>
              <w:bottom w:val="nil"/>
              <w:right w:val="nil"/>
            </w:tcBorders>
            <w:shd w:val="clear" w:color="auto" w:fill="auto"/>
            <w:noWrap/>
            <w:vAlign w:val="bottom"/>
            <w:hideMark/>
          </w:tcPr>
          <w:p w14:paraId="55ECC403" w14:textId="77777777" w:rsidR="00357058" w:rsidRPr="00357058" w:rsidRDefault="00357058" w:rsidP="00357058">
            <w:pPr>
              <w:spacing w:after="0" w:line="240" w:lineRule="auto"/>
              <w:rPr>
                <w:rFonts w:ascii="Arial" w:hAnsi="Arial" w:cs="Arial"/>
                <w:b/>
                <w:bCs/>
                <w:sz w:val="18"/>
                <w:szCs w:val="18"/>
                <w:lang w:eastAsia="hr-HR"/>
              </w:rPr>
            </w:pPr>
            <w:r w:rsidRPr="00357058">
              <w:rPr>
                <w:rFonts w:ascii="Arial" w:hAnsi="Arial" w:cs="Arial"/>
                <w:b/>
                <w:bCs/>
                <w:sz w:val="18"/>
                <w:szCs w:val="18"/>
                <w:lang w:eastAsia="hr-HR"/>
              </w:rPr>
              <w:t>Izvor 7. Prihodi od prodaje nefin. imovine</w:t>
            </w:r>
          </w:p>
        </w:tc>
        <w:tc>
          <w:tcPr>
            <w:tcW w:w="1843" w:type="dxa"/>
            <w:tcBorders>
              <w:top w:val="nil"/>
              <w:left w:val="nil"/>
              <w:bottom w:val="nil"/>
              <w:right w:val="nil"/>
            </w:tcBorders>
            <w:shd w:val="clear" w:color="auto" w:fill="auto"/>
            <w:noWrap/>
            <w:vAlign w:val="bottom"/>
            <w:hideMark/>
          </w:tcPr>
          <w:p w14:paraId="77288BF1" w14:textId="77777777" w:rsidR="00357058" w:rsidRPr="00357058" w:rsidRDefault="00357058" w:rsidP="00357058">
            <w:pPr>
              <w:spacing w:after="0" w:line="240" w:lineRule="auto"/>
              <w:jc w:val="right"/>
              <w:rPr>
                <w:rFonts w:ascii="Arial" w:hAnsi="Arial" w:cs="Arial"/>
                <w:b/>
                <w:bCs/>
                <w:sz w:val="18"/>
                <w:szCs w:val="18"/>
                <w:lang w:eastAsia="hr-HR"/>
              </w:rPr>
            </w:pPr>
            <w:r w:rsidRPr="00357058">
              <w:rPr>
                <w:rFonts w:ascii="Arial" w:hAnsi="Arial" w:cs="Arial"/>
                <w:b/>
                <w:bCs/>
                <w:sz w:val="18"/>
                <w:szCs w:val="18"/>
                <w:lang w:eastAsia="hr-HR"/>
              </w:rPr>
              <w:t>57.762,00</w:t>
            </w:r>
          </w:p>
        </w:tc>
        <w:tc>
          <w:tcPr>
            <w:tcW w:w="1819" w:type="dxa"/>
            <w:tcBorders>
              <w:top w:val="nil"/>
              <w:left w:val="nil"/>
              <w:bottom w:val="nil"/>
              <w:right w:val="nil"/>
            </w:tcBorders>
            <w:shd w:val="clear" w:color="auto" w:fill="auto"/>
            <w:noWrap/>
            <w:vAlign w:val="bottom"/>
            <w:hideMark/>
          </w:tcPr>
          <w:p w14:paraId="698D891F" w14:textId="77777777" w:rsidR="00357058" w:rsidRPr="00357058" w:rsidRDefault="00357058" w:rsidP="00357058">
            <w:pPr>
              <w:spacing w:after="0" w:line="240" w:lineRule="auto"/>
              <w:jc w:val="right"/>
              <w:rPr>
                <w:rFonts w:ascii="Arial" w:hAnsi="Arial" w:cs="Arial"/>
                <w:b/>
                <w:bCs/>
                <w:sz w:val="18"/>
                <w:szCs w:val="18"/>
                <w:lang w:eastAsia="hr-HR"/>
              </w:rPr>
            </w:pPr>
            <w:r w:rsidRPr="00357058">
              <w:rPr>
                <w:rFonts w:ascii="Arial" w:hAnsi="Arial" w:cs="Arial"/>
                <w:b/>
                <w:bCs/>
                <w:sz w:val="18"/>
                <w:szCs w:val="18"/>
                <w:lang w:eastAsia="hr-HR"/>
              </w:rPr>
              <w:t>214.000,00</w:t>
            </w:r>
          </w:p>
        </w:tc>
        <w:tc>
          <w:tcPr>
            <w:tcW w:w="1580" w:type="dxa"/>
            <w:tcBorders>
              <w:top w:val="nil"/>
              <w:left w:val="nil"/>
              <w:bottom w:val="nil"/>
              <w:right w:val="nil"/>
            </w:tcBorders>
            <w:shd w:val="clear" w:color="auto" w:fill="auto"/>
            <w:noWrap/>
            <w:vAlign w:val="bottom"/>
            <w:hideMark/>
          </w:tcPr>
          <w:p w14:paraId="75D24BBE" w14:textId="77777777" w:rsidR="00357058" w:rsidRPr="00357058" w:rsidRDefault="00357058" w:rsidP="00357058">
            <w:pPr>
              <w:spacing w:after="0" w:line="240" w:lineRule="auto"/>
              <w:jc w:val="right"/>
              <w:rPr>
                <w:rFonts w:ascii="Arial" w:hAnsi="Arial" w:cs="Arial"/>
                <w:b/>
                <w:bCs/>
                <w:sz w:val="18"/>
                <w:szCs w:val="18"/>
                <w:lang w:eastAsia="hr-HR"/>
              </w:rPr>
            </w:pPr>
            <w:r w:rsidRPr="00357058">
              <w:rPr>
                <w:rFonts w:ascii="Arial" w:hAnsi="Arial" w:cs="Arial"/>
                <w:b/>
                <w:bCs/>
                <w:sz w:val="18"/>
                <w:szCs w:val="18"/>
                <w:lang w:eastAsia="hr-HR"/>
              </w:rPr>
              <w:t>217.051,88</w:t>
            </w:r>
          </w:p>
        </w:tc>
        <w:tc>
          <w:tcPr>
            <w:tcW w:w="1520" w:type="dxa"/>
            <w:tcBorders>
              <w:top w:val="nil"/>
              <w:left w:val="nil"/>
              <w:bottom w:val="nil"/>
              <w:right w:val="nil"/>
            </w:tcBorders>
            <w:shd w:val="clear" w:color="auto" w:fill="auto"/>
            <w:noWrap/>
            <w:vAlign w:val="bottom"/>
            <w:hideMark/>
          </w:tcPr>
          <w:p w14:paraId="1FB09DEE" w14:textId="77777777" w:rsidR="00357058" w:rsidRPr="00357058" w:rsidRDefault="00357058" w:rsidP="00357058">
            <w:pPr>
              <w:spacing w:after="0" w:line="240" w:lineRule="auto"/>
              <w:jc w:val="right"/>
              <w:rPr>
                <w:rFonts w:ascii="Arial" w:hAnsi="Arial" w:cs="Arial"/>
                <w:b/>
                <w:bCs/>
                <w:sz w:val="18"/>
                <w:szCs w:val="18"/>
                <w:lang w:eastAsia="hr-HR"/>
              </w:rPr>
            </w:pPr>
            <w:r w:rsidRPr="00357058">
              <w:rPr>
                <w:rFonts w:ascii="Arial" w:hAnsi="Arial" w:cs="Arial"/>
                <w:b/>
                <w:bCs/>
                <w:sz w:val="18"/>
                <w:szCs w:val="18"/>
                <w:lang w:eastAsia="hr-HR"/>
              </w:rPr>
              <w:t>375,77%</w:t>
            </w:r>
          </w:p>
        </w:tc>
        <w:tc>
          <w:tcPr>
            <w:tcW w:w="1260" w:type="dxa"/>
            <w:tcBorders>
              <w:top w:val="nil"/>
              <w:left w:val="nil"/>
              <w:bottom w:val="nil"/>
              <w:right w:val="nil"/>
            </w:tcBorders>
            <w:shd w:val="clear" w:color="auto" w:fill="auto"/>
            <w:noWrap/>
            <w:vAlign w:val="bottom"/>
            <w:hideMark/>
          </w:tcPr>
          <w:p w14:paraId="55A76822" w14:textId="77777777" w:rsidR="00357058" w:rsidRPr="00357058" w:rsidRDefault="00357058" w:rsidP="00357058">
            <w:pPr>
              <w:spacing w:after="0" w:line="240" w:lineRule="auto"/>
              <w:jc w:val="right"/>
              <w:rPr>
                <w:rFonts w:ascii="Arial" w:hAnsi="Arial" w:cs="Arial"/>
                <w:b/>
                <w:bCs/>
                <w:sz w:val="18"/>
                <w:szCs w:val="18"/>
                <w:lang w:eastAsia="hr-HR"/>
              </w:rPr>
            </w:pPr>
            <w:r w:rsidRPr="00357058">
              <w:rPr>
                <w:rFonts w:ascii="Arial" w:hAnsi="Arial" w:cs="Arial"/>
                <w:b/>
                <w:bCs/>
                <w:sz w:val="18"/>
                <w:szCs w:val="18"/>
                <w:lang w:eastAsia="hr-HR"/>
              </w:rPr>
              <w:t>101,43%</w:t>
            </w:r>
          </w:p>
        </w:tc>
      </w:tr>
      <w:tr w:rsidR="00357058" w:rsidRPr="00357058" w14:paraId="6A6B5E20" w14:textId="77777777" w:rsidTr="00357058">
        <w:trPr>
          <w:trHeight w:val="255"/>
        </w:trPr>
        <w:tc>
          <w:tcPr>
            <w:tcW w:w="6663" w:type="dxa"/>
            <w:tcBorders>
              <w:top w:val="nil"/>
              <w:left w:val="nil"/>
              <w:bottom w:val="nil"/>
              <w:right w:val="nil"/>
            </w:tcBorders>
            <w:shd w:val="clear" w:color="auto" w:fill="auto"/>
            <w:noWrap/>
            <w:vAlign w:val="bottom"/>
            <w:hideMark/>
          </w:tcPr>
          <w:p w14:paraId="0EBA2D91" w14:textId="77777777" w:rsidR="00357058" w:rsidRPr="00357058" w:rsidRDefault="00357058" w:rsidP="00357058">
            <w:pPr>
              <w:spacing w:after="0" w:line="240" w:lineRule="auto"/>
              <w:rPr>
                <w:rFonts w:ascii="Arial" w:hAnsi="Arial" w:cs="Arial"/>
                <w:sz w:val="18"/>
                <w:szCs w:val="18"/>
                <w:lang w:eastAsia="hr-HR"/>
              </w:rPr>
            </w:pPr>
            <w:r w:rsidRPr="00357058">
              <w:rPr>
                <w:rFonts w:ascii="Arial" w:hAnsi="Arial" w:cs="Arial"/>
                <w:sz w:val="18"/>
                <w:szCs w:val="18"/>
                <w:lang w:eastAsia="hr-HR"/>
              </w:rPr>
              <w:t xml:space="preserve">Izvor 7.1. Prihodi od prodaje </w:t>
            </w:r>
            <w:proofErr w:type="spellStart"/>
            <w:r w:rsidRPr="00357058">
              <w:rPr>
                <w:rFonts w:ascii="Arial" w:hAnsi="Arial" w:cs="Arial"/>
                <w:sz w:val="18"/>
                <w:szCs w:val="18"/>
                <w:lang w:eastAsia="hr-HR"/>
              </w:rPr>
              <w:t>nef</w:t>
            </w:r>
            <w:proofErr w:type="spellEnd"/>
            <w:r w:rsidRPr="00357058">
              <w:rPr>
                <w:rFonts w:ascii="Arial" w:hAnsi="Arial" w:cs="Arial"/>
                <w:sz w:val="18"/>
                <w:szCs w:val="18"/>
                <w:lang w:eastAsia="hr-HR"/>
              </w:rPr>
              <w:t>. imovine</w:t>
            </w:r>
          </w:p>
        </w:tc>
        <w:tc>
          <w:tcPr>
            <w:tcW w:w="1843" w:type="dxa"/>
            <w:tcBorders>
              <w:top w:val="nil"/>
              <w:left w:val="nil"/>
              <w:bottom w:val="nil"/>
              <w:right w:val="nil"/>
            </w:tcBorders>
            <w:shd w:val="clear" w:color="auto" w:fill="auto"/>
            <w:noWrap/>
            <w:vAlign w:val="bottom"/>
            <w:hideMark/>
          </w:tcPr>
          <w:p w14:paraId="1772C189"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57.762,00</w:t>
            </w:r>
          </w:p>
        </w:tc>
        <w:tc>
          <w:tcPr>
            <w:tcW w:w="1819" w:type="dxa"/>
            <w:tcBorders>
              <w:top w:val="nil"/>
              <w:left w:val="nil"/>
              <w:bottom w:val="nil"/>
              <w:right w:val="nil"/>
            </w:tcBorders>
            <w:shd w:val="clear" w:color="auto" w:fill="auto"/>
            <w:noWrap/>
            <w:vAlign w:val="bottom"/>
            <w:hideMark/>
          </w:tcPr>
          <w:p w14:paraId="28775E8A"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214.000,00</w:t>
            </w:r>
          </w:p>
        </w:tc>
        <w:tc>
          <w:tcPr>
            <w:tcW w:w="1580" w:type="dxa"/>
            <w:tcBorders>
              <w:top w:val="nil"/>
              <w:left w:val="nil"/>
              <w:bottom w:val="nil"/>
              <w:right w:val="nil"/>
            </w:tcBorders>
            <w:shd w:val="clear" w:color="auto" w:fill="auto"/>
            <w:noWrap/>
            <w:vAlign w:val="bottom"/>
            <w:hideMark/>
          </w:tcPr>
          <w:p w14:paraId="0672AFB3"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217.051,88</w:t>
            </w:r>
          </w:p>
        </w:tc>
        <w:tc>
          <w:tcPr>
            <w:tcW w:w="1520" w:type="dxa"/>
            <w:tcBorders>
              <w:top w:val="nil"/>
              <w:left w:val="nil"/>
              <w:bottom w:val="nil"/>
              <w:right w:val="nil"/>
            </w:tcBorders>
            <w:shd w:val="clear" w:color="auto" w:fill="auto"/>
            <w:noWrap/>
            <w:vAlign w:val="bottom"/>
            <w:hideMark/>
          </w:tcPr>
          <w:p w14:paraId="78CB1827"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375,77%</w:t>
            </w:r>
          </w:p>
        </w:tc>
        <w:tc>
          <w:tcPr>
            <w:tcW w:w="1260" w:type="dxa"/>
            <w:tcBorders>
              <w:top w:val="nil"/>
              <w:left w:val="nil"/>
              <w:bottom w:val="nil"/>
              <w:right w:val="nil"/>
            </w:tcBorders>
            <w:shd w:val="clear" w:color="auto" w:fill="auto"/>
            <w:noWrap/>
            <w:vAlign w:val="bottom"/>
            <w:hideMark/>
          </w:tcPr>
          <w:p w14:paraId="226A7DDD"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101,43%</w:t>
            </w:r>
          </w:p>
        </w:tc>
      </w:tr>
      <w:tr w:rsidR="00357058" w:rsidRPr="00357058" w14:paraId="2D45001C" w14:textId="77777777" w:rsidTr="00357058">
        <w:trPr>
          <w:trHeight w:val="255"/>
        </w:trPr>
        <w:tc>
          <w:tcPr>
            <w:tcW w:w="6663" w:type="dxa"/>
            <w:tcBorders>
              <w:top w:val="nil"/>
              <w:left w:val="nil"/>
              <w:bottom w:val="nil"/>
              <w:right w:val="nil"/>
            </w:tcBorders>
            <w:shd w:val="clear" w:color="auto" w:fill="auto"/>
            <w:noWrap/>
            <w:vAlign w:val="bottom"/>
            <w:hideMark/>
          </w:tcPr>
          <w:p w14:paraId="3406DF79" w14:textId="77777777" w:rsidR="00357058" w:rsidRPr="00357058" w:rsidRDefault="00357058" w:rsidP="00357058">
            <w:pPr>
              <w:spacing w:after="0" w:line="240" w:lineRule="auto"/>
              <w:jc w:val="right"/>
              <w:rPr>
                <w:rFonts w:ascii="Arial" w:hAnsi="Arial" w:cs="Arial"/>
                <w:sz w:val="18"/>
                <w:szCs w:val="18"/>
                <w:lang w:eastAsia="hr-HR"/>
              </w:rPr>
            </w:pPr>
          </w:p>
        </w:tc>
        <w:tc>
          <w:tcPr>
            <w:tcW w:w="1843" w:type="dxa"/>
            <w:tcBorders>
              <w:top w:val="nil"/>
              <w:left w:val="nil"/>
              <w:bottom w:val="nil"/>
              <w:right w:val="nil"/>
            </w:tcBorders>
            <w:shd w:val="clear" w:color="auto" w:fill="auto"/>
            <w:noWrap/>
            <w:vAlign w:val="bottom"/>
            <w:hideMark/>
          </w:tcPr>
          <w:p w14:paraId="06B7E360" w14:textId="77777777" w:rsidR="00357058" w:rsidRPr="00357058" w:rsidRDefault="00357058" w:rsidP="00357058">
            <w:pPr>
              <w:spacing w:after="0" w:line="240" w:lineRule="auto"/>
              <w:rPr>
                <w:rFonts w:ascii="Times New Roman" w:hAnsi="Times New Roman" w:cs="Times New Roman"/>
                <w:sz w:val="20"/>
                <w:szCs w:val="20"/>
                <w:lang w:eastAsia="hr-HR"/>
              </w:rPr>
            </w:pPr>
          </w:p>
        </w:tc>
        <w:tc>
          <w:tcPr>
            <w:tcW w:w="1819" w:type="dxa"/>
            <w:tcBorders>
              <w:top w:val="nil"/>
              <w:left w:val="nil"/>
              <w:bottom w:val="nil"/>
              <w:right w:val="nil"/>
            </w:tcBorders>
            <w:shd w:val="clear" w:color="auto" w:fill="auto"/>
            <w:noWrap/>
            <w:vAlign w:val="bottom"/>
            <w:hideMark/>
          </w:tcPr>
          <w:p w14:paraId="579A991D" w14:textId="77777777" w:rsidR="00357058" w:rsidRPr="00357058" w:rsidRDefault="00357058" w:rsidP="00357058">
            <w:pPr>
              <w:spacing w:after="0" w:line="240" w:lineRule="auto"/>
              <w:rPr>
                <w:rFonts w:ascii="Times New Roman" w:hAnsi="Times New Roman" w:cs="Times New Roman"/>
                <w:sz w:val="20"/>
                <w:szCs w:val="20"/>
                <w:lang w:eastAsia="hr-HR"/>
              </w:rPr>
            </w:pPr>
          </w:p>
        </w:tc>
        <w:tc>
          <w:tcPr>
            <w:tcW w:w="1580" w:type="dxa"/>
            <w:tcBorders>
              <w:top w:val="nil"/>
              <w:left w:val="nil"/>
              <w:bottom w:val="nil"/>
              <w:right w:val="nil"/>
            </w:tcBorders>
            <w:shd w:val="clear" w:color="auto" w:fill="auto"/>
            <w:noWrap/>
            <w:vAlign w:val="bottom"/>
            <w:hideMark/>
          </w:tcPr>
          <w:p w14:paraId="60F0D310" w14:textId="77777777" w:rsidR="00357058" w:rsidRPr="00357058" w:rsidRDefault="00357058" w:rsidP="00357058">
            <w:pPr>
              <w:spacing w:after="0" w:line="240" w:lineRule="auto"/>
              <w:rPr>
                <w:rFonts w:ascii="Times New Roman" w:hAnsi="Times New Roman" w:cs="Times New Roman"/>
                <w:sz w:val="20"/>
                <w:szCs w:val="20"/>
                <w:lang w:eastAsia="hr-HR"/>
              </w:rPr>
            </w:pPr>
          </w:p>
        </w:tc>
        <w:tc>
          <w:tcPr>
            <w:tcW w:w="1520" w:type="dxa"/>
            <w:tcBorders>
              <w:top w:val="nil"/>
              <w:left w:val="nil"/>
              <w:bottom w:val="nil"/>
              <w:right w:val="nil"/>
            </w:tcBorders>
            <w:shd w:val="clear" w:color="auto" w:fill="auto"/>
            <w:noWrap/>
            <w:vAlign w:val="bottom"/>
            <w:hideMark/>
          </w:tcPr>
          <w:p w14:paraId="11DDEB60" w14:textId="77777777" w:rsidR="00357058" w:rsidRPr="00357058" w:rsidRDefault="00357058" w:rsidP="00357058">
            <w:pPr>
              <w:spacing w:after="0" w:line="240" w:lineRule="auto"/>
              <w:rPr>
                <w:rFonts w:ascii="Times New Roman" w:hAnsi="Times New Roman" w:cs="Times New Roman"/>
                <w:sz w:val="20"/>
                <w:szCs w:val="20"/>
                <w:lang w:eastAsia="hr-HR"/>
              </w:rPr>
            </w:pPr>
          </w:p>
        </w:tc>
        <w:tc>
          <w:tcPr>
            <w:tcW w:w="1260" w:type="dxa"/>
            <w:tcBorders>
              <w:top w:val="nil"/>
              <w:left w:val="nil"/>
              <w:bottom w:val="nil"/>
              <w:right w:val="nil"/>
            </w:tcBorders>
            <w:shd w:val="clear" w:color="auto" w:fill="auto"/>
            <w:noWrap/>
            <w:vAlign w:val="bottom"/>
            <w:hideMark/>
          </w:tcPr>
          <w:p w14:paraId="099B7E32" w14:textId="77777777" w:rsidR="00357058" w:rsidRPr="00357058" w:rsidRDefault="00357058" w:rsidP="00357058">
            <w:pPr>
              <w:spacing w:after="0" w:line="240" w:lineRule="auto"/>
              <w:rPr>
                <w:rFonts w:ascii="Times New Roman" w:hAnsi="Times New Roman" w:cs="Times New Roman"/>
                <w:sz w:val="20"/>
                <w:szCs w:val="20"/>
                <w:lang w:eastAsia="hr-HR"/>
              </w:rPr>
            </w:pPr>
          </w:p>
        </w:tc>
      </w:tr>
      <w:tr w:rsidR="00357058" w:rsidRPr="00357058" w14:paraId="143BBE60" w14:textId="77777777" w:rsidTr="00357058">
        <w:trPr>
          <w:trHeight w:val="255"/>
        </w:trPr>
        <w:tc>
          <w:tcPr>
            <w:tcW w:w="6663" w:type="dxa"/>
            <w:tcBorders>
              <w:top w:val="nil"/>
              <w:left w:val="nil"/>
              <w:bottom w:val="nil"/>
              <w:right w:val="nil"/>
            </w:tcBorders>
            <w:shd w:val="clear" w:color="000000" w:fill="203764"/>
            <w:noWrap/>
            <w:vAlign w:val="bottom"/>
            <w:hideMark/>
          </w:tcPr>
          <w:p w14:paraId="4B21F1A3" w14:textId="77777777" w:rsidR="00357058" w:rsidRPr="00357058" w:rsidRDefault="00357058" w:rsidP="00357058">
            <w:pPr>
              <w:spacing w:after="0" w:line="240" w:lineRule="auto"/>
              <w:rPr>
                <w:rFonts w:ascii="Arial" w:hAnsi="Arial" w:cs="Arial"/>
                <w:b/>
                <w:bCs/>
                <w:color w:val="FFFFFF"/>
                <w:sz w:val="18"/>
                <w:szCs w:val="18"/>
                <w:lang w:eastAsia="hr-HR"/>
              </w:rPr>
            </w:pPr>
            <w:r w:rsidRPr="00357058">
              <w:rPr>
                <w:rFonts w:ascii="Arial" w:hAnsi="Arial" w:cs="Arial"/>
                <w:b/>
                <w:bCs/>
                <w:color w:val="FFFFFF"/>
                <w:sz w:val="18"/>
                <w:szCs w:val="18"/>
                <w:lang w:eastAsia="hr-HR"/>
              </w:rPr>
              <w:t xml:space="preserve"> SVEUKUPNI RASHODI</w:t>
            </w:r>
          </w:p>
        </w:tc>
        <w:tc>
          <w:tcPr>
            <w:tcW w:w="1843" w:type="dxa"/>
            <w:tcBorders>
              <w:top w:val="nil"/>
              <w:left w:val="nil"/>
              <w:bottom w:val="nil"/>
              <w:right w:val="nil"/>
            </w:tcBorders>
            <w:shd w:val="clear" w:color="000000" w:fill="203764"/>
            <w:noWrap/>
            <w:vAlign w:val="bottom"/>
            <w:hideMark/>
          </w:tcPr>
          <w:p w14:paraId="703FCE48" w14:textId="77777777" w:rsidR="00357058" w:rsidRPr="00357058" w:rsidRDefault="00357058" w:rsidP="00357058">
            <w:pPr>
              <w:spacing w:after="0" w:line="240" w:lineRule="auto"/>
              <w:jc w:val="right"/>
              <w:rPr>
                <w:rFonts w:ascii="Arial" w:hAnsi="Arial" w:cs="Arial"/>
                <w:b/>
                <w:bCs/>
                <w:color w:val="FFFFFF"/>
                <w:sz w:val="18"/>
                <w:szCs w:val="18"/>
                <w:lang w:eastAsia="hr-HR"/>
              </w:rPr>
            </w:pPr>
            <w:r w:rsidRPr="00357058">
              <w:rPr>
                <w:rFonts w:ascii="Arial" w:hAnsi="Arial" w:cs="Arial"/>
                <w:b/>
                <w:bCs/>
                <w:color w:val="FFFFFF"/>
                <w:sz w:val="18"/>
                <w:szCs w:val="18"/>
                <w:lang w:eastAsia="hr-HR"/>
              </w:rPr>
              <w:t>8.782.102,21</w:t>
            </w:r>
          </w:p>
        </w:tc>
        <w:tc>
          <w:tcPr>
            <w:tcW w:w="1819" w:type="dxa"/>
            <w:tcBorders>
              <w:top w:val="nil"/>
              <w:left w:val="nil"/>
              <w:bottom w:val="nil"/>
              <w:right w:val="nil"/>
            </w:tcBorders>
            <w:shd w:val="clear" w:color="000000" w:fill="203764"/>
            <w:noWrap/>
            <w:vAlign w:val="bottom"/>
            <w:hideMark/>
          </w:tcPr>
          <w:p w14:paraId="5AD998B7" w14:textId="77777777" w:rsidR="00357058" w:rsidRPr="00357058" w:rsidRDefault="00357058" w:rsidP="00357058">
            <w:pPr>
              <w:spacing w:after="0" w:line="240" w:lineRule="auto"/>
              <w:jc w:val="right"/>
              <w:rPr>
                <w:rFonts w:ascii="Arial" w:hAnsi="Arial" w:cs="Arial"/>
                <w:b/>
                <w:bCs/>
                <w:color w:val="FFFFFF"/>
                <w:sz w:val="18"/>
                <w:szCs w:val="18"/>
                <w:lang w:eastAsia="hr-HR"/>
              </w:rPr>
            </w:pPr>
            <w:r w:rsidRPr="00357058">
              <w:rPr>
                <w:rFonts w:ascii="Arial" w:hAnsi="Arial" w:cs="Arial"/>
                <w:b/>
                <w:bCs/>
                <w:color w:val="FFFFFF"/>
                <w:sz w:val="18"/>
                <w:szCs w:val="18"/>
                <w:lang w:eastAsia="hr-HR"/>
              </w:rPr>
              <w:t>13.903.867,52</w:t>
            </w:r>
          </w:p>
        </w:tc>
        <w:tc>
          <w:tcPr>
            <w:tcW w:w="1580" w:type="dxa"/>
            <w:tcBorders>
              <w:top w:val="nil"/>
              <w:left w:val="nil"/>
              <w:bottom w:val="nil"/>
              <w:right w:val="nil"/>
            </w:tcBorders>
            <w:shd w:val="clear" w:color="000000" w:fill="203764"/>
            <w:noWrap/>
            <w:vAlign w:val="bottom"/>
            <w:hideMark/>
          </w:tcPr>
          <w:p w14:paraId="68C4885C" w14:textId="0CAC4FCD" w:rsidR="00357058" w:rsidRPr="00357058" w:rsidRDefault="00357058" w:rsidP="00357058">
            <w:pPr>
              <w:spacing w:after="0" w:line="240" w:lineRule="auto"/>
              <w:jc w:val="right"/>
              <w:rPr>
                <w:rFonts w:ascii="Arial" w:hAnsi="Arial" w:cs="Arial"/>
                <w:b/>
                <w:bCs/>
                <w:color w:val="FFFFFF"/>
                <w:sz w:val="18"/>
                <w:szCs w:val="18"/>
                <w:lang w:eastAsia="hr-HR"/>
              </w:rPr>
            </w:pPr>
            <w:r w:rsidRPr="00357058">
              <w:rPr>
                <w:rFonts w:ascii="Arial" w:hAnsi="Arial" w:cs="Arial"/>
                <w:b/>
                <w:bCs/>
                <w:color w:val="FFFFFF"/>
                <w:sz w:val="18"/>
                <w:szCs w:val="18"/>
                <w:lang w:eastAsia="hr-HR"/>
              </w:rPr>
              <w:t>12.7</w:t>
            </w:r>
            <w:r w:rsidR="00B90A3A">
              <w:rPr>
                <w:rFonts w:ascii="Arial" w:hAnsi="Arial" w:cs="Arial"/>
                <w:b/>
                <w:bCs/>
                <w:color w:val="FFFFFF"/>
                <w:sz w:val="18"/>
                <w:szCs w:val="18"/>
                <w:lang w:eastAsia="hr-HR"/>
              </w:rPr>
              <w:t>92.977,94</w:t>
            </w:r>
          </w:p>
        </w:tc>
        <w:tc>
          <w:tcPr>
            <w:tcW w:w="1520" w:type="dxa"/>
            <w:tcBorders>
              <w:top w:val="nil"/>
              <w:left w:val="nil"/>
              <w:bottom w:val="nil"/>
              <w:right w:val="nil"/>
            </w:tcBorders>
            <w:shd w:val="clear" w:color="000000" w:fill="203764"/>
            <w:noWrap/>
            <w:vAlign w:val="bottom"/>
            <w:hideMark/>
          </w:tcPr>
          <w:p w14:paraId="56B01021" w14:textId="049337AE" w:rsidR="00357058" w:rsidRPr="00357058" w:rsidRDefault="00357058" w:rsidP="00357058">
            <w:pPr>
              <w:spacing w:after="0" w:line="240" w:lineRule="auto"/>
              <w:jc w:val="right"/>
              <w:rPr>
                <w:rFonts w:ascii="Arial" w:hAnsi="Arial" w:cs="Arial"/>
                <w:b/>
                <w:bCs/>
                <w:color w:val="FFFFFF"/>
                <w:sz w:val="18"/>
                <w:szCs w:val="18"/>
                <w:lang w:eastAsia="hr-HR"/>
              </w:rPr>
            </w:pPr>
            <w:r w:rsidRPr="00357058">
              <w:rPr>
                <w:rFonts w:ascii="Arial" w:hAnsi="Arial" w:cs="Arial"/>
                <w:b/>
                <w:bCs/>
                <w:color w:val="FFFFFF"/>
                <w:sz w:val="18"/>
                <w:szCs w:val="18"/>
                <w:lang w:eastAsia="hr-HR"/>
              </w:rPr>
              <w:t>145,</w:t>
            </w:r>
            <w:r w:rsidR="00B90A3A">
              <w:rPr>
                <w:rFonts w:ascii="Arial" w:hAnsi="Arial" w:cs="Arial"/>
                <w:b/>
                <w:bCs/>
                <w:color w:val="FFFFFF"/>
                <w:sz w:val="18"/>
                <w:szCs w:val="18"/>
                <w:lang w:eastAsia="hr-HR"/>
              </w:rPr>
              <w:t>6</w:t>
            </w:r>
            <w:r w:rsidRPr="00357058">
              <w:rPr>
                <w:rFonts w:ascii="Arial" w:hAnsi="Arial" w:cs="Arial"/>
                <w:b/>
                <w:bCs/>
                <w:color w:val="FFFFFF"/>
                <w:sz w:val="18"/>
                <w:szCs w:val="18"/>
                <w:lang w:eastAsia="hr-HR"/>
              </w:rPr>
              <w:t>7%</w:t>
            </w:r>
          </w:p>
        </w:tc>
        <w:tc>
          <w:tcPr>
            <w:tcW w:w="1260" w:type="dxa"/>
            <w:tcBorders>
              <w:top w:val="nil"/>
              <w:left w:val="nil"/>
              <w:bottom w:val="nil"/>
              <w:right w:val="nil"/>
            </w:tcBorders>
            <w:shd w:val="clear" w:color="000000" w:fill="203764"/>
            <w:noWrap/>
            <w:vAlign w:val="bottom"/>
            <w:hideMark/>
          </w:tcPr>
          <w:p w14:paraId="3B67B29B" w14:textId="6CE7320F" w:rsidR="00357058" w:rsidRPr="00357058" w:rsidRDefault="00B90A3A" w:rsidP="00357058">
            <w:pPr>
              <w:spacing w:after="0" w:line="240" w:lineRule="auto"/>
              <w:jc w:val="right"/>
              <w:rPr>
                <w:rFonts w:ascii="Arial" w:hAnsi="Arial" w:cs="Arial"/>
                <w:b/>
                <w:bCs/>
                <w:color w:val="FFFFFF"/>
                <w:sz w:val="18"/>
                <w:szCs w:val="18"/>
                <w:lang w:eastAsia="hr-HR"/>
              </w:rPr>
            </w:pPr>
            <w:r>
              <w:rPr>
                <w:rFonts w:ascii="Arial" w:hAnsi="Arial" w:cs="Arial"/>
                <w:b/>
                <w:bCs/>
                <w:color w:val="FFFFFF"/>
                <w:sz w:val="18"/>
                <w:szCs w:val="18"/>
                <w:lang w:eastAsia="hr-HR"/>
              </w:rPr>
              <w:t>92,01</w:t>
            </w:r>
            <w:r w:rsidR="00357058" w:rsidRPr="00357058">
              <w:rPr>
                <w:rFonts w:ascii="Arial" w:hAnsi="Arial" w:cs="Arial"/>
                <w:b/>
                <w:bCs/>
                <w:color w:val="FFFFFF"/>
                <w:sz w:val="18"/>
                <w:szCs w:val="18"/>
                <w:lang w:eastAsia="hr-HR"/>
              </w:rPr>
              <w:t>%</w:t>
            </w:r>
          </w:p>
        </w:tc>
      </w:tr>
      <w:tr w:rsidR="00357058" w:rsidRPr="00357058" w14:paraId="59405B13" w14:textId="77777777" w:rsidTr="00357058">
        <w:trPr>
          <w:trHeight w:val="255"/>
        </w:trPr>
        <w:tc>
          <w:tcPr>
            <w:tcW w:w="6663" w:type="dxa"/>
            <w:tcBorders>
              <w:top w:val="nil"/>
              <w:left w:val="nil"/>
              <w:bottom w:val="nil"/>
              <w:right w:val="nil"/>
            </w:tcBorders>
            <w:shd w:val="clear" w:color="auto" w:fill="auto"/>
            <w:noWrap/>
            <w:vAlign w:val="bottom"/>
            <w:hideMark/>
          </w:tcPr>
          <w:p w14:paraId="53032916" w14:textId="77777777" w:rsidR="00357058" w:rsidRPr="00357058" w:rsidRDefault="00357058" w:rsidP="00357058">
            <w:pPr>
              <w:spacing w:after="0" w:line="240" w:lineRule="auto"/>
              <w:rPr>
                <w:rFonts w:ascii="Arial" w:hAnsi="Arial" w:cs="Arial"/>
                <w:b/>
                <w:bCs/>
                <w:sz w:val="18"/>
                <w:szCs w:val="18"/>
                <w:lang w:eastAsia="hr-HR"/>
              </w:rPr>
            </w:pPr>
            <w:r w:rsidRPr="00357058">
              <w:rPr>
                <w:rFonts w:ascii="Arial" w:hAnsi="Arial" w:cs="Arial"/>
                <w:b/>
                <w:bCs/>
                <w:sz w:val="18"/>
                <w:szCs w:val="18"/>
                <w:lang w:eastAsia="hr-HR"/>
              </w:rPr>
              <w:t>Izvor 1. Opći prihodi i primici</w:t>
            </w:r>
          </w:p>
        </w:tc>
        <w:tc>
          <w:tcPr>
            <w:tcW w:w="1843" w:type="dxa"/>
            <w:tcBorders>
              <w:top w:val="nil"/>
              <w:left w:val="nil"/>
              <w:bottom w:val="nil"/>
              <w:right w:val="nil"/>
            </w:tcBorders>
            <w:shd w:val="clear" w:color="auto" w:fill="auto"/>
            <w:noWrap/>
            <w:vAlign w:val="bottom"/>
            <w:hideMark/>
          </w:tcPr>
          <w:p w14:paraId="3B4C2462" w14:textId="77777777" w:rsidR="00357058" w:rsidRPr="00357058" w:rsidRDefault="00357058" w:rsidP="00357058">
            <w:pPr>
              <w:spacing w:after="0" w:line="240" w:lineRule="auto"/>
              <w:jc w:val="right"/>
              <w:rPr>
                <w:rFonts w:ascii="Arial" w:hAnsi="Arial" w:cs="Arial"/>
                <w:b/>
                <w:bCs/>
                <w:sz w:val="18"/>
                <w:szCs w:val="18"/>
                <w:lang w:eastAsia="hr-HR"/>
              </w:rPr>
            </w:pPr>
            <w:r w:rsidRPr="00357058">
              <w:rPr>
                <w:rFonts w:ascii="Arial" w:hAnsi="Arial" w:cs="Arial"/>
                <w:b/>
                <w:bCs/>
                <w:sz w:val="18"/>
                <w:szCs w:val="18"/>
                <w:lang w:eastAsia="hr-HR"/>
              </w:rPr>
              <w:t>3.465.199,92</w:t>
            </w:r>
          </w:p>
        </w:tc>
        <w:tc>
          <w:tcPr>
            <w:tcW w:w="1819" w:type="dxa"/>
            <w:tcBorders>
              <w:top w:val="nil"/>
              <w:left w:val="nil"/>
              <w:bottom w:val="nil"/>
              <w:right w:val="nil"/>
            </w:tcBorders>
            <w:shd w:val="clear" w:color="auto" w:fill="auto"/>
            <w:noWrap/>
            <w:vAlign w:val="bottom"/>
            <w:hideMark/>
          </w:tcPr>
          <w:p w14:paraId="731C92F3" w14:textId="77777777" w:rsidR="00357058" w:rsidRPr="00357058" w:rsidRDefault="00357058" w:rsidP="00357058">
            <w:pPr>
              <w:spacing w:after="0" w:line="240" w:lineRule="auto"/>
              <w:jc w:val="right"/>
              <w:rPr>
                <w:rFonts w:ascii="Arial" w:hAnsi="Arial" w:cs="Arial"/>
                <w:b/>
                <w:bCs/>
                <w:sz w:val="18"/>
                <w:szCs w:val="18"/>
                <w:lang w:eastAsia="hr-HR"/>
              </w:rPr>
            </w:pPr>
            <w:r w:rsidRPr="00357058">
              <w:rPr>
                <w:rFonts w:ascii="Arial" w:hAnsi="Arial" w:cs="Arial"/>
                <w:b/>
                <w:bCs/>
                <w:sz w:val="18"/>
                <w:szCs w:val="18"/>
                <w:lang w:eastAsia="hr-HR"/>
              </w:rPr>
              <w:t>4.397.930,00</w:t>
            </w:r>
          </w:p>
        </w:tc>
        <w:tc>
          <w:tcPr>
            <w:tcW w:w="1580" w:type="dxa"/>
            <w:tcBorders>
              <w:top w:val="nil"/>
              <w:left w:val="nil"/>
              <w:bottom w:val="nil"/>
              <w:right w:val="nil"/>
            </w:tcBorders>
            <w:shd w:val="clear" w:color="auto" w:fill="auto"/>
            <w:noWrap/>
            <w:vAlign w:val="bottom"/>
            <w:hideMark/>
          </w:tcPr>
          <w:p w14:paraId="2A3E5BD4" w14:textId="77777777" w:rsidR="00357058" w:rsidRPr="00357058" w:rsidRDefault="00357058" w:rsidP="00357058">
            <w:pPr>
              <w:spacing w:after="0" w:line="240" w:lineRule="auto"/>
              <w:jc w:val="right"/>
              <w:rPr>
                <w:rFonts w:ascii="Arial" w:hAnsi="Arial" w:cs="Arial"/>
                <w:b/>
                <w:bCs/>
                <w:sz w:val="18"/>
                <w:szCs w:val="18"/>
                <w:lang w:eastAsia="hr-HR"/>
              </w:rPr>
            </w:pPr>
            <w:r w:rsidRPr="00357058">
              <w:rPr>
                <w:rFonts w:ascii="Arial" w:hAnsi="Arial" w:cs="Arial"/>
                <w:b/>
                <w:bCs/>
                <w:sz w:val="18"/>
                <w:szCs w:val="18"/>
                <w:lang w:eastAsia="hr-HR"/>
              </w:rPr>
              <w:t>3.963.544,21</w:t>
            </w:r>
          </w:p>
        </w:tc>
        <w:tc>
          <w:tcPr>
            <w:tcW w:w="1520" w:type="dxa"/>
            <w:tcBorders>
              <w:top w:val="nil"/>
              <w:left w:val="nil"/>
              <w:bottom w:val="nil"/>
              <w:right w:val="nil"/>
            </w:tcBorders>
            <w:shd w:val="clear" w:color="auto" w:fill="auto"/>
            <w:noWrap/>
            <w:vAlign w:val="bottom"/>
            <w:hideMark/>
          </w:tcPr>
          <w:p w14:paraId="3555AF0E" w14:textId="77777777" w:rsidR="00357058" w:rsidRPr="00357058" w:rsidRDefault="00357058" w:rsidP="00357058">
            <w:pPr>
              <w:spacing w:after="0" w:line="240" w:lineRule="auto"/>
              <w:jc w:val="right"/>
              <w:rPr>
                <w:rFonts w:ascii="Arial" w:hAnsi="Arial" w:cs="Arial"/>
                <w:b/>
                <w:bCs/>
                <w:sz w:val="18"/>
                <w:szCs w:val="18"/>
                <w:lang w:eastAsia="hr-HR"/>
              </w:rPr>
            </w:pPr>
            <w:r w:rsidRPr="00357058">
              <w:rPr>
                <w:rFonts w:ascii="Arial" w:hAnsi="Arial" w:cs="Arial"/>
                <w:b/>
                <w:bCs/>
                <w:sz w:val="18"/>
                <w:szCs w:val="18"/>
                <w:lang w:eastAsia="hr-HR"/>
              </w:rPr>
              <w:t>114,38%</w:t>
            </w:r>
          </w:p>
        </w:tc>
        <w:tc>
          <w:tcPr>
            <w:tcW w:w="1260" w:type="dxa"/>
            <w:tcBorders>
              <w:top w:val="nil"/>
              <w:left w:val="nil"/>
              <w:bottom w:val="nil"/>
              <w:right w:val="nil"/>
            </w:tcBorders>
            <w:shd w:val="clear" w:color="auto" w:fill="auto"/>
            <w:noWrap/>
            <w:vAlign w:val="bottom"/>
            <w:hideMark/>
          </w:tcPr>
          <w:p w14:paraId="33297A2A" w14:textId="77777777" w:rsidR="00357058" w:rsidRPr="00357058" w:rsidRDefault="00357058" w:rsidP="00357058">
            <w:pPr>
              <w:spacing w:after="0" w:line="240" w:lineRule="auto"/>
              <w:jc w:val="right"/>
              <w:rPr>
                <w:rFonts w:ascii="Arial" w:hAnsi="Arial" w:cs="Arial"/>
                <w:b/>
                <w:bCs/>
                <w:sz w:val="18"/>
                <w:szCs w:val="18"/>
                <w:lang w:eastAsia="hr-HR"/>
              </w:rPr>
            </w:pPr>
            <w:r w:rsidRPr="00357058">
              <w:rPr>
                <w:rFonts w:ascii="Arial" w:hAnsi="Arial" w:cs="Arial"/>
                <w:b/>
                <w:bCs/>
                <w:sz w:val="18"/>
                <w:szCs w:val="18"/>
                <w:lang w:eastAsia="hr-HR"/>
              </w:rPr>
              <w:t>90,12%</w:t>
            </w:r>
          </w:p>
        </w:tc>
      </w:tr>
      <w:tr w:rsidR="00357058" w:rsidRPr="00357058" w14:paraId="63DA721B" w14:textId="77777777" w:rsidTr="00357058">
        <w:trPr>
          <w:trHeight w:val="255"/>
        </w:trPr>
        <w:tc>
          <w:tcPr>
            <w:tcW w:w="6663" w:type="dxa"/>
            <w:tcBorders>
              <w:top w:val="nil"/>
              <w:left w:val="nil"/>
              <w:bottom w:val="nil"/>
              <w:right w:val="nil"/>
            </w:tcBorders>
            <w:shd w:val="clear" w:color="auto" w:fill="auto"/>
            <w:noWrap/>
            <w:vAlign w:val="bottom"/>
            <w:hideMark/>
          </w:tcPr>
          <w:p w14:paraId="14F2BC20" w14:textId="77777777" w:rsidR="00357058" w:rsidRPr="00357058" w:rsidRDefault="00357058" w:rsidP="00357058">
            <w:pPr>
              <w:spacing w:after="0" w:line="240" w:lineRule="auto"/>
              <w:rPr>
                <w:rFonts w:ascii="Arial" w:hAnsi="Arial" w:cs="Arial"/>
                <w:sz w:val="18"/>
                <w:szCs w:val="18"/>
                <w:lang w:eastAsia="hr-HR"/>
              </w:rPr>
            </w:pPr>
            <w:r w:rsidRPr="00357058">
              <w:rPr>
                <w:rFonts w:ascii="Arial" w:hAnsi="Arial" w:cs="Arial"/>
                <w:sz w:val="18"/>
                <w:szCs w:val="18"/>
                <w:lang w:eastAsia="hr-HR"/>
              </w:rPr>
              <w:t>Izvor 1.1. Opći prihodi i primici</w:t>
            </w:r>
          </w:p>
        </w:tc>
        <w:tc>
          <w:tcPr>
            <w:tcW w:w="1843" w:type="dxa"/>
            <w:tcBorders>
              <w:top w:val="nil"/>
              <w:left w:val="nil"/>
              <w:bottom w:val="nil"/>
              <w:right w:val="nil"/>
            </w:tcBorders>
            <w:shd w:val="clear" w:color="auto" w:fill="auto"/>
            <w:noWrap/>
            <w:vAlign w:val="bottom"/>
            <w:hideMark/>
          </w:tcPr>
          <w:p w14:paraId="3F27D165"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3.465.199,92</w:t>
            </w:r>
          </w:p>
        </w:tc>
        <w:tc>
          <w:tcPr>
            <w:tcW w:w="1819" w:type="dxa"/>
            <w:tcBorders>
              <w:top w:val="nil"/>
              <w:left w:val="nil"/>
              <w:bottom w:val="nil"/>
              <w:right w:val="nil"/>
            </w:tcBorders>
            <w:shd w:val="clear" w:color="auto" w:fill="auto"/>
            <w:noWrap/>
            <w:vAlign w:val="bottom"/>
            <w:hideMark/>
          </w:tcPr>
          <w:p w14:paraId="7598EB40"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4.397.930,00</w:t>
            </w:r>
          </w:p>
        </w:tc>
        <w:tc>
          <w:tcPr>
            <w:tcW w:w="1580" w:type="dxa"/>
            <w:tcBorders>
              <w:top w:val="nil"/>
              <w:left w:val="nil"/>
              <w:bottom w:val="nil"/>
              <w:right w:val="nil"/>
            </w:tcBorders>
            <w:shd w:val="clear" w:color="auto" w:fill="auto"/>
            <w:noWrap/>
            <w:vAlign w:val="bottom"/>
            <w:hideMark/>
          </w:tcPr>
          <w:p w14:paraId="0685F51C"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3.963.544,21</w:t>
            </w:r>
          </w:p>
        </w:tc>
        <w:tc>
          <w:tcPr>
            <w:tcW w:w="1520" w:type="dxa"/>
            <w:tcBorders>
              <w:top w:val="nil"/>
              <w:left w:val="nil"/>
              <w:bottom w:val="nil"/>
              <w:right w:val="nil"/>
            </w:tcBorders>
            <w:shd w:val="clear" w:color="auto" w:fill="auto"/>
            <w:noWrap/>
            <w:vAlign w:val="bottom"/>
            <w:hideMark/>
          </w:tcPr>
          <w:p w14:paraId="5C18D437"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114,38%</w:t>
            </w:r>
          </w:p>
        </w:tc>
        <w:tc>
          <w:tcPr>
            <w:tcW w:w="1260" w:type="dxa"/>
            <w:tcBorders>
              <w:top w:val="nil"/>
              <w:left w:val="nil"/>
              <w:bottom w:val="nil"/>
              <w:right w:val="nil"/>
            </w:tcBorders>
            <w:shd w:val="clear" w:color="auto" w:fill="auto"/>
            <w:noWrap/>
            <w:vAlign w:val="bottom"/>
            <w:hideMark/>
          </w:tcPr>
          <w:p w14:paraId="3F921FCB"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90,12%</w:t>
            </w:r>
          </w:p>
        </w:tc>
      </w:tr>
      <w:tr w:rsidR="00357058" w:rsidRPr="00357058" w14:paraId="55A506C7" w14:textId="77777777" w:rsidTr="00357058">
        <w:trPr>
          <w:trHeight w:val="255"/>
        </w:trPr>
        <w:tc>
          <w:tcPr>
            <w:tcW w:w="6663" w:type="dxa"/>
            <w:tcBorders>
              <w:top w:val="nil"/>
              <w:left w:val="nil"/>
              <w:bottom w:val="nil"/>
              <w:right w:val="nil"/>
            </w:tcBorders>
            <w:shd w:val="clear" w:color="auto" w:fill="auto"/>
            <w:noWrap/>
            <w:vAlign w:val="bottom"/>
            <w:hideMark/>
          </w:tcPr>
          <w:p w14:paraId="4E585AF6" w14:textId="77777777" w:rsidR="00357058" w:rsidRPr="00357058" w:rsidRDefault="00357058" w:rsidP="00357058">
            <w:pPr>
              <w:spacing w:after="0" w:line="240" w:lineRule="auto"/>
              <w:rPr>
                <w:rFonts w:ascii="Arial" w:hAnsi="Arial" w:cs="Arial"/>
                <w:b/>
                <w:bCs/>
                <w:sz w:val="18"/>
                <w:szCs w:val="18"/>
                <w:lang w:eastAsia="hr-HR"/>
              </w:rPr>
            </w:pPr>
            <w:r w:rsidRPr="00357058">
              <w:rPr>
                <w:rFonts w:ascii="Arial" w:hAnsi="Arial" w:cs="Arial"/>
                <w:b/>
                <w:bCs/>
                <w:sz w:val="18"/>
                <w:szCs w:val="18"/>
                <w:lang w:eastAsia="hr-HR"/>
              </w:rPr>
              <w:t>Izvor 3. Vlastiti prihodi</w:t>
            </w:r>
          </w:p>
        </w:tc>
        <w:tc>
          <w:tcPr>
            <w:tcW w:w="1843" w:type="dxa"/>
            <w:tcBorders>
              <w:top w:val="nil"/>
              <w:left w:val="nil"/>
              <w:bottom w:val="nil"/>
              <w:right w:val="nil"/>
            </w:tcBorders>
            <w:shd w:val="clear" w:color="auto" w:fill="auto"/>
            <w:noWrap/>
            <w:vAlign w:val="bottom"/>
            <w:hideMark/>
          </w:tcPr>
          <w:p w14:paraId="2EA67173" w14:textId="77777777" w:rsidR="00357058" w:rsidRPr="00357058" w:rsidRDefault="00357058" w:rsidP="00357058">
            <w:pPr>
              <w:spacing w:after="0" w:line="240" w:lineRule="auto"/>
              <w:jc w:val="right"/>
              <w:rPr>
                <w:rFonts w:ascii="Arial" w:hAnsi="Arial" w:cs="Arial"/>
                <w:b/>
                <w:bCs/>
                <w:sz w:val="18"/>
                <w:szCs w:val="18"/>
                <w:lang w:eastAsia="hr-HR"/>
              </w:rPr>
            </w:pPr>
            <w:r w:rsidRPr="00357058">
              <w:rPr>
                <w:rFonts w:ascii="Arial" w:hAnsi="Arial" w:cs="Arial"/>
                <w:b/>
                <w:bCs/>
                <w:sz w:val="18"/>
                <w:szCs w:val="18"/>
                <w:lang w:eastAsia="hr-HR"/>
              </w:rPr>
              <w:t>301.598,86</w:t>
            </w:r>
          </w:p>
        </w:tc>
        <w:tc>
          <w:tcPr>
            <w:tcW w:w="1819" w:type="dxa"/>
            <w:tcBorders>
              <w:top w:val="nil"/>
              <w:left w:val="nil"/>
              <w:bottom w:val="nil"/>
              <w:right w:val="nil"/>
            </w:tcBorders>
            <w:shd w:val="clear" w:color="auto" w:fill="auto"/>
            <w:noWrap/>
            <w:vAlign w:val="bottom"/>
            <w:hideMark/>
          </w:tcPr>
          <w:p w14:paraId="425B19B3" w14:textId="77777777" w:rsidR="00357058" w:rsidRPr="00357058" w:rsidRDefault="00357058" w:rsidP="00357058">
            <w:pPr>
              <w:spacing w:after="0" w:line="240" w:lineRule="auto"/>
              <w:jc w:val="right"/>
              <w:rPr>
                <w:rFonts w:ascii="Arial" w:hAnsi="Arial" w:cs="Arial"/>
                <w:b/>
                <w:bCs/>
                <w:sz w:val="18"/>
                <w:szCs w:val="18"/>
                <w:lang w:eastAsia="hr-HR"/>
              </w:rPr>
            </w:pPr>
            <w:r w:rsidRPr="00357058">
              <w:rPr>
                <w:rFonts w:ascii="Arial" w:hAnsi="Arial" w:cs="Arial"/>
                <w:b/>
                <w:bCs/>
                <w:sz w:val="18"/>
                <w:szCs w:val="18"/>
                <w:lang w:eastAsia="hr-HR"/>
              </w:rPr>
              <w:t>401.047,01</w:t>
            </w:r>
          </w:p>
        </w:tc>
        <w:tc>
          <w:tcPr>
            <w:tcW w:w="1580" w:type="dxa"/>
            <w:tcBorders>
              <w:top w:val="nil"/>
              <w:left w:val="nil"/>
              <w:bottom w:val="nil"/>
              <w:right w:val="nil"/>
            </w:tcBorders>
            <w:shd w:val="clear" w:color="auto" w:fill="auto"/>
            <w:noWrap/>
            <w:vAlign w:val="bottom"/>
            <w:hideMark/>
          </w:tcPr>
          <w:p w14:paraId="3BF5C876" w14:textId="77777777" w:rsidR="00357058" w:rsidRPr="00357058" w:rsidRDefault="00357058" w:rsidP="00357058">
            <w:pPr>
              <w:spacing w:after="0" w:line="240" w:lineRule="auto"/>
              <w:jc w:val="right"/>
              <w:rPr>
                <w:rFonts w:ascii="Arial" w:hAnsi="Arial" w:cs="Arial"/>
                <w:b/>
                <w:bCs/>
                <w:sz w:val="18"/>
                <w:szCs w:val="18"/>
                <w:lang w:eastAsia="hr-HR"/>
              </w:rPr>
            </w:pPr>
            <w:r w:rsidRPr="00357058">
              <w:rPr>
                <w:rFonts w:ascii="Arial" w:hAnsi="Arial" w:cs="Arial"/>
                <w:b/>
                <w:bCs/>
                <w:sz w:val="18"/>
                <w:szCs w:val="18"/>
                <w:lang w:eastAsia="hr-HR"/>
              </w:rPr>
              <w:t>312.799,15</w:t>
            </w:r>
          </w:p>
        </w:tc>
        <w:tc>
          <w:tcPr>
            <w:tcW w:w="1520" w:type="dxa"/>
            <w:tcBorders>
              <w:top w:val="nil"/>
              <w:left w:val="nil"/>
              <w:bottom w:val="nil"/>
              <w:right w:val="nil"/>
            </w:tcBorders>
            <w:shd w:val="clear" w:color="auto" w:fill="auto"/>
            <w:noWrap/>
            <w:vAlign w:val="bottom"/>
            <w:hideMark/>
          </w:tcPr>
          <w:p w14:paraId="5F1827F0" w14:textId="77777777" w:rsidR="00357058" w:rsidRPr="00357058" w:rsidRDefault="00357058" w:rsidP="00357058">
            <w:pPr>
              <w:spacing w:after="0" w:line="240" w:lineRule="auto"/>
              <w:jc w:val="right"/>
              <w:rPr>
                <w:rFonts w:ascii="Arial" w:hAnsi="Arial" w:cs="Arial"/>
                <w:b/>
                <w:bCs/>
                <w:sz w:val="18"/>
                <w:szCs w:val="18"/>
                <w:lang w:eastAsia="hr-HR"/>
              </w:rPr>
            </w:pPr>
            <w:r w:rsidRPr="00357058">
              <w:rPr>
                <w:rFonts w:ascii="Arial" w:hAnsi="Arial" w:cs="Arial"/>
                <w:b/>
                <w:bCs/>
                <w:sz w:val="18"/>
                <w:szCs w:val="18"/>
                <w:lang w:eastAsia="hr-HR"/>
              </w:rPr>
              <w:t>103,71%</w:t>
            </w:r>
          </w:p>
        </w:tc>
        <w:tc>
          <w:tcPr>
            <w:tcW w:w="1260" w:type="dxa"/>
            <w:tcBorders>
              <w:top w:val="nil"/>
              <w:left w:val="nil"/>
              <w:bottom w:val="nil"/>
              <w:right w:val="nil"/>
            </w:tcBorders>
            <w:shd w:val="clear" w:color="auto" w:fill="auto"/>
            <w:noWrap/>
            <w:vAlign w:val="bottom"/>
            <w:hideMark/>
          </w:tcPr>
          <w:p w14:paraId="3CC1108F" w14:textId="77777777" w:rsidR="00357058" w:rsidRPr="00357058" w:rsidRDefault="00357058" w:rsidP="00357058">
            <w:pPr>
              <w:spacing w:after="0" w:line="240" w:lineRule="auto"/>
              <w:jc w:val="right"/>
              <w:rPr>
                <w:rFonts w:ascii="Arial" w:hAnsi="Arial" w:cs="Arial"/>
                <w:b/>
                <w:bCs/>
                <w:sz w:val="18"/>
                <w:szCs w:val="18"/>
                <w:lang w:eastAsia="hr-HR"/>
              </w:rPr>
            </w:pPr>
            <w:r w:rsidRPr="00357058">
              <w:rPr>
                <w:rFonts w:ascii="Arial" w:hAnsi="Arial" w:cs="Arial"/>
                <w:b/>
                <w:bCs/>
                <w:sz w:val="18"/>
                <w:szCs w:val="18"/>
                <w:lang w:eastAsia="hr-HR"/>
              </w:rPr>
              <w:t>78,00%</w:t>
            </w:r>
          </w:p>
        </w:tc>
      </w:tr>
      <w:tr w:rsidR="00357058" w:rsidRPr="00357058" w14:paraId="02EC2170" w14:textId="77777777" w:rsidTr="00357058">
        <w:trPr>
          <w:trHeight w:val="255"/>
        </w:trPr>
        <w:tc>
          <w:tcPr>
            <w:tcW w:w="6663" w:type="dxa"/>
            <w:tcBorders>
              <w:top w:val="nil"/>
              <w:left w:val="nil"/>
              <w:bottom w:val="nil"/>
              <w:right w:val="nil"/>
            </w:tcBorders>
            <w:shd w:val="clear" w:color="auto" w:fill="auto"/>
            <w:noWrap/>
            <w:vAlign w:val="bottom"/>
            <w:hideMark/>
          </w:tcPr>
          <w:p w14:paraId="3701EF6A" w14:textId="77777777" w:rsidR="00357058" w:rsidRPr="00357058" w:rsidRDefault="00357058" w:rsidP="00357058">
            <w:pPr>
              <w:spacing w:after="0" w:line="240" w:lineRule="auto"/>
              <w:rPr>
                <w:rFonts w:ascii="Arial" w:hAnsi="Arial" w:cs="Arial"/>
                <w:sz w:val="18"/>
                <w:szCs w:val="18"/>
                <w:lang w:eastAsia="hr-HR"/>
              </w:rPr>
            </w:pPr>
            <w:r w:rsidRPr="00357058">
              <w:rPr>
                <w:rFonts w:ascii="Arial" w:hAnsi="Arial" w:cs="Arial"/>
                <w:sz w:val="18"/>
                <w:szCs w:val="18"/>
                <w:lang w:eastAsia="hr-HR"/>
              </w:rPr>
              <w:t>Izvor 3.1. Vlastiti prihodi</w:t>
            </w:r>
          </w:p>
        </w:tc>
        <w:tc>
          <w:tcPr>
            <w:tcW w:w="1843" w:type="dxa"/>
            <w:tcBorders>
              <w:top w:val="nil"/>
              <w:left w:val="nil"/>
              <w:bottom w:val="nil"/>
              <w:right w:val="nil"/>
            </w:tcBorders>
            <w:shd w:val="clear" w:color="auto" w:fill="auto"/>
            <w:noWrap/>
            <w:vAlign w:val="bottom"/>
            <w:hideMark/>
          </w:tcPr>
          <w:p w14:paraId="604A774B"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301.598,86</w:t>
            </w:r>
          </w:p>
        </w:tc>
        <w:tc>
          <w:tcPr>
            <w:tcW w:w="1819" w:type="dxa"/>
            <w:tcBorders>
              <w:top w:val="nil"/>
              <w:left w:val="nil"/>
              <w:bottom w:val="nil"/>
              <w:right w:val="nil"/>
            </w:tcBorders>
            <w:shd w:val="clear" w:color="auto" w:fill="auto"/>
            <w:noWrap/>
            <w:vAlign w:val="bottom"/>
            <w:hideMark/>
          </w:tcPr>
          <w:p w14:paraId="23CF6485"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401.047,01</w:t>
            </w:r>
          </w:p>
        </w:tc>
        <w:tc>
          <w:tcPr>
            <w:tcW w:w="1580" w:type="dxa"/>
            <w:tcBorders>
              <w:top w:val="nil"/>
              <w:left w:val="nil"/>
              <w:bottom w:val="nil"/>
              <w:right w:val="nil"/>
            </w:tcBorders>
            <w:shd w:val="clear" w:color="auto" w:fill="auto"/>
            <w:noWrap/>
            <w:vAlign w:val="bottom"/>
            <w:hideMark/>
          </w:tcPr>
          <w:p w14:paraId="665007D9"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312.799,15</w:t>
            </w:r>
          </w:p>
        </w:tc>
        <w:tc>
          <w:tcPr>
            <w:tcW w:w="1520" w:type="dxa"/>
            <w:tcBorders>
              <w:top w:val="nil"/>
              <w:left w:val="nil"/>
              <w:bottom w:val="nil"/>
              <w:right w:val="nil"/>
            </w:tcBorders>
            <w:shd w:val="clear" w:color="auto" w:fill="auto"/>
            <w:noWrap/>
            <w:vAlign w:val="bottom"/>
            <w:hideMark/>
          </w:tcPr>
          <w:p w14:paraId="2749FF41"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103,71%</w:t>
            </w:r>
          </w:p>
        </w:tc>
        <w:tc>
          <w:tcPr>
            <w:tcW w:w="1260" w:type="dxa"/>
            <w:tcBorders>
              <w:top w:val="nil"/>
              <w:left w:val="nil"/>
              <w:bottom w:val="nil"/>
              <w:right w:val="nil"/>
            </w:tcBorders>
            <w:shd w:val="clear" w:color="auto" w:fill="auto"/>
            <w:noWrap/>
            <w:vAlign w:val="bottom"/>
            <w:hideMark/>
          </w:tcPr>
          <w:p w14:paraId="5CD217E9"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78,00%</w:t>
            </w:r>
          </w:p>
        </w:tc>
      </w:tr>
      <w:tr w:rsidR="00357058" w:rsidRPr="00357058" w14:paraId="217FE867" w14:textId="77777777" w:rsidTr="00357058">
        <w:trPr>
          <w:trHeight w:val="255"/>
        </w:trPr>
        <w:tc>
          <w:tcPr>
            <w:tcW w:w="6663" w:type="dxa"/>
            <w:tcBorders>
              <w:top w:val="nil"/>
              <w:left w:val="nil"/>
              <w:bottom w:val="nil"/>
              <w:right w:val="nil"/>
            </w:tcBorders>
            <w:shd w:val="clear" w:color="auto" w:fill="auto"/>
            <w:noWrap/>
            <w:vAlign w:val="bottom"/>
            <w:hideMark/>
          </w:tcPr>
          <w:p w14:paraId="37CB665B" w14:textId="77777777" w:rsidR="00357058" w:rsidRPr="00357058" w:rsidRDefault="00357058" w:rsidP="00357058">
            <w:pPr>
              <w:spacing w:after="0" w:line="240" w:lineRule="auto"/>
              <w:rPr>
                <w:rFonts w:ascii="Arial" w:hAnsi="Arial" w:cs="Arial"/>
                <w:b/>
                <w:bCs/>
                <w:sz w:val="18"/>
                <w:szCs w:val="18"/>
                <w:lang w:eastAsia="hr-HR"/>
              </w:rPr>
            </w:pPr>
            <w:r w:rsidRPr="00357058">
              <w:rPr>
                <w:rFonts w:ascii="Arial" w:hAnsi="Arial" w:cs="Arial"/>
                <w:b/>
                <w:bCs/>
                <w:sz w:val="18"/>
                <w:szCs w:val="18"/>
                <w:lang w:eastAsia="hr-HR"/>
              </w:rPr>
              <w:t>Izvor 4. Prihodi za posebne namjene</w:t>
            </w:r>
          </w:p>
        </w:tc>
        <w:tc>
          <w:tcPr>
            <w:tcW w:w="1843" w:type="dxa"/>
            <w:tcBorders>
              <w:top w:val="nil"/>
              <w:left w:val="nil"/>
              <w:bottom w:val="nil"/>
              <w:right w:val="nil"/>
            </w:tcBorders>
            <w:shd w:val="clear" w:color="auto" w:fill="auto"/>
            <w:noWrap/>
            <w:vAlign w:val="bottom"/>
            <w:hideMark/>
          </w:tcPr>
          <w:p w14:paraId="11229265" w14:textId="77777777" w:rsidR="00357058" w:rsidRPr="00357058" w:rsidRDefault="00357058" w:rsidP="00357058">
            <w:pPr>
              <w:spacing w:after="0" w:line="240" w:lineRule="auto"/>
              <w:jc w:val="right"/>
              <w:rPr>
                <w:rFonts w:ascii="Arial" w:hAnsi="Arial" w:cs="Arial"/>
                <w:b/>
                <w:bCs/>
                <w:sz w:val="18"/>
                <w:szCs w:val="18"/>
                <w:lang w:eastAsia="hr-HR"/>
              </w:rPr>
            </w:pPr>
            <w:r w:rsidRPr="00357058">
              <w:rPr>
                <w:rFonts w:ascii="Arial" w:hAnsi="Arial" w:cs="Arial"/>
                <w:b/>
                <w:bCs/>
                <w:sz w:val="18"/>
                <w:szCs w:val="18"/>
                <w:lang w:eastAsia="hr-HR"/>
              </w:rPr>
              <w:t>775.386,37</w:t>
            </w:r>
          </w:p>
        </w:tc>
        <w:tc>
          <w:tcPr>
            <w:tcW w:w="1819" w:type="dxa"/>
            <w:tcBorders>
              <w:top w:val="nil"/>
              <w:left w:val="nil"/>
              <w:bottom w:val="nil"/>
              <w:right w:val="nil"/>
            </w:tcBorders>
            <w:shd w:val="clear" w:color="auto" w:fill="auto"/>
            <w:noWrap/>
            <w:vAlign w:val="bottom"/>
            <w:hideMark/>
          </w:tcPr>
          <w:p w14:paraId="7656F54B" w14:textId="77777777" w:rsidR="00357058" w:rsidRPr="00357058" w:rsidRDefault="00357058" w:rsidP="00357058">
            <w:pPr>
              <w:spacing w:after="0" w:line="240" w:lineRule="auto"/>
              <w:jc w:val="right"/>
              <w:rPr>
                <w:rFonts w:ascii="Arial" w:hAnsi="Arial" w:cs="Arial"/>
                <w:b/>
                <w:bCs/>
                <w:sz w:val="18"/>
                <w:szCs w:val="18"/>
                <w:lang w:eastAsia="hr-HR"/>
              </w:rPr>
            </w:pPr>
            <w:r w:rsidRPr="00357058">
              <w:rPr>
                <w:rFonts w:ascii="Arial" w:hAnsi="Arial" w:cs="Arial"/>
                <w:b/>
                <w:bCs/>
                <w:sz w:val="18"/>
                <w:szCs w:val="18"/>
                <w:lang w:eastAsia="hr-HR"/>
              </w:rPr>
              <w:t>685.650,00</w:t>
            </w:r>
          </w:p>
        </w:tc>
        <w:tc>
          <w:tcPr>
            <w:tcW w:w="1580" w:type="dxa"/>
            <w:tcBorders>
              <w:top w:val="nil"/>
              <w:left w:val="nil"/>
              <w:bottom w:val="nil"/>
              <w:right w:val="nil"/>
            </w:tcBorders>
            <w:shd w:val="clear" w:color="auto" w:fill="auto"/>
            <w:noWrap/>
            <w:vAlign w:val="bottom"/>
            <w:hideMark/>
          </w:tcPr>
          <w:p w14:paraId="010D3ED4" w14:textId="77777777" w:rsidR="00357058" w:rsidRPr="00357058" w:rsidRDefault="00357058" w:rsidP="00357058">
            <w:pPr>
              <w:spacing w:after="0" w:line="240" w:lineRule="auto"/>
              <w:jc w:val="right"/>
              <w:rPr>
                <w:rFonts w:ascii="Arial" w:hAnsi="Arial" w:cs="Arial"/>
                <w:b/>
                <w:bCs/>
                <w:sz w:val="18"/>
                <w:szCs w:val="18"/>
                <w:lang w:eastAsia="hr-HR"/>
              </w:rPr>
            </w:pPr>
            <w:r w:rsidRPr="00357058">
              <w:rPr>
                <w:rFonts w:ascii="Arial" w:hAnsi="Arial" w:cs="Arial"/>
                <w:b/>
                <w:bCs/>
                <w:sz w:val="18"/>
                <w:szCs w:val="18"/>
                <w:lang w:eastAsia="hr-HR"/>
              </w:rPr>
              <w:t>572.915,30</w:t>
            </w:r>
          </w:p>
        </w:tc>
        <w:tc>
          <w:tcPr>
            <w:tcW w:w="1520" w:type="dxa"/>
            <w:tcBorders>
              <w:top w:val="nil"/>
              <w:left w:val="nil"/>
              <w:bottom w:val="nil"/>
              <w:right w:val="nil"/>
            </w:tcBorders>
            <w:shd w:val="clear" w:color="auto" w:fill="auto"/>
            <w:noWrap/>
            <w:vAlign w:val="bottom"/>
            <w:hideMark/>
          </w:tcPr>
          <w:p w14:paraId="742FF2CD" w14:textId="77777777" w:rsidR="00357058" w:rsidRPr="00357058" w:rsidRDefault="00357058" w:rsidP="00357058">
            <w:pPr>
              <w:spacing w:after="0" w:line="240" w:lineRule="auto"/>
              <w:jc w:val="right"/>
              <w:rPr>
                <w:rFonts w:ascii="Arial" w:hAnsi="Arial" w:cs="Arial"/>
                <w:b/>
                <w:bCs/>
                <w:sz w:val="18"/>
                <w:szCs w:val="18"/>
                <w:lang w:eastAsia="hr-HR"/>
              </w:rPr>
            </w:pPr>
            <w:r w:rsidRPr="00357058">
              <w:rPr>
                <w:rFonts w:ascii="Arial" w:hAnsi="Arial" w:cs="Arial"/>
                <w:b/>
                <w:bCs/>
                <w:sz w:val="18"/>
                <w:szCs w:val="18"/>
                <w:lang w:eastAsia="hr-HR"/>
              </w:rPr>
              <w:t>73,89%</w:t>
            </w:r>
          </w:p>
        </w:tc>
        <w:tc>
          <w:tcPr>
            <w:tcW w:w="1260" w:type="dxa"/>
            <w:tcBorders>
              <w:top w:val="nil"/>
              <w:left w:val="nil"/>
              <w:bottom w:val="nil"/>
              <w:right w:val="nil"/>
            </w:tcBorders>
            <w:shd w:val="clear" w:color="auto" w:fill="auto"/>
            <w:noWrap/>
            <w:vAlign w:val="bottom"/>
            <w:hideMark/>
          </w:tcPr>
          <w:p w14:paraId="6E828D9E" w14:textId="77777777" w:rsidR="00357058" w:rsidRPr="00357058" w:rsidRDefault="00357058" w:rsidP="00357058">
            <w:pPr>
              <w:spacing w:after="0" w:line="240" w:lineRule="auto"/>
              <w:jc w:val="right"/>
              <w:rPr>
                <w:rFonts w:ascii="Arial" w:hAnsi="Arial" w:cs="Arial"/>
                <w:b/>
                <w:bCs/>
                <w:sz w:val="18"/>
                <w:szCs w:val="18"/>
                <w:lang w:eastAsia="hr-HR"/>
              </w:rPr>
            </w:pPr>
            <w:r w:rsidRPr="00357058">
              <w:rPr>
                <w:rFonts w:ascii="Arial" w:hAnsi="Arial" w:cs="Arial"/>
                <w:b/>
                <w:bCs/>
                <w:sz w:val="18"/>
                <w:szCs w:val="18"/>
                <w:lang w:eastAsia="hr-HR"/>
              </w:rPr>
              <w:t>83,56%</w:t>
            </w:r>
          </w:p>
        </w:tc>
      </w:tr>
      <w:tr w:rsidR="00357058" w:rsidRPr="00357058" w14:paraId="7EB74E70" w14:textId="77777777" w:rsidTr="00357058">
        <w:trPr>
          <w:trHeight w:val="255"/>
        </w:trPr>
        <w:tc>
          <w:tcPr>
            <w:tcW w:w="6663" w:type="dxa"/>
            <w:tcBorders>
              <w:top w:val="nil"/>
              <w:left w:val="nil"/>
              <w:bottom w:val="nil"/>
              <w:right w:val="nil"/>
            </w:tcBorders>
            <w:shd w:val="clear" w:color="auto" w:fill="auto"/>
            <w:noWrap/>
            <w:vAlign w:val="bottom"/>
            <w:hideMark/>
          </w:tcPr>
          <w:p w14:paraId="43037097" w14:textId="77777777" w:rsidR="00357058" w:rsidRPr="00357058" w:rsidRDefault="00357058" w:rsidP="00357058">
            <w:pPr>
              <w:spacing w:after="0" w:line="240" w:lineRule="auto"/>
              <w:rPr>
                <w:rFonts w:ascii="Arial" w:hAnsi="Arial" w:cs="Arial"/>
                <w:sz w:val="18"/>
                <w:szCs w:val="18"/>
                <w:lang w:eastAsia="hr-HR"/>
              </w:rPr>
            </w:pPr>
            <w:r w:rsidRPr="00357058">
              <w:rPr>
                <w:rFonts w:ascii="Arial" w:hAnsi="Arial" w:cs="Arial"/>
                <w:sz w:val="18"/>
                <w:szCs w:val="18"/>
                <w:lang w:eastAsia="hr-HR"/>
              </w:rPr>
              <w:t>Izvor 4.1. Prihodi za posebne namjene</w:t>
            </w:r>
          </w:p>
        </w:tc>
        <w:tc>
          <w:tcPr>
            <w:tcW w:w="1843" w:type="dxa"/>
            <w:tcBorders>
              <w:top w:val="nil"/>
              <w:left w:val="nil"/>
              <w:bottom w:val="nil"/>
              <w:right w:val="nil"/>
            </w:tcBorders>
            <w:shd w:val="clear" w:color="auto" w:fill="auto"/>
            <w:noWrap/>
            <w:vAlign w:val="bottom"/>
            <w:hideMark/>
          </w:tcPr>
          <w:p w14:paraId="76031B08"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775.386,37</w:t>
            </w:r>
          </w:p>
        </w:tc>
        <w:tc>
          <w:tcPr>
            <w:tcW w:w="1819" w:type="dxa"/>
            <w:tcBorders>
              <w:top w:val="nil"/>
              <w:left w:val="nil"/>
              <w:bottom w:val="nil"/>
              <w:right w:val="nil"/>
            </w:tcBorders>
            <w:shd w:val="clear" w:color="auto" w:fill="auto"/>
            <w:noWrap/>
            <w:vAlign w:val="bottom"/>
            <w:hideMark/>
          </w:tcPr>
          <w:p w14:paraId="7030FB5D"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685.650,00</w:t>
            </w:r>
          </w:p>
        </w:tc>
        <w:tc>
          <w:tcPr>
            <w:tcW w:w="1580" w:type="dxa"/>
            <w:tcBorders>
              <w:top w:val="nil"/>
              <w:left w:val="nil"/>
              <w:bottom w:val="nil"/>
              <w:right w:val="nil"/>
            </w:tcBorders>
            <w:shd w:val="clear" w:color="auto" w:fill="auto"/>
            <w:noWrap/>
            <w:vAlign w:val="bottom"/>
            <w:hideMark/>
          </w:tcPr>
          <w:p w14:paraId="2228098F"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572.915,30</w:t>
            </w:r>
          </w:p>
        </w:tc>
        <w:tc>
          <w:tcPr>
            <w:tcW w:w="1520" w:type="dxa"/>
            <w:tcBorders>
              <w:top w:val="nil"/>
              <w:left w:val="nil"/>
              <w:bottom w:val="nil"/>
              <w:right w:val="nil"/>
            </w:tcBorders>
            <w:shd w:val="clear" w:color="auto" w:fill="auto"/>
            <w:noWrap/>
            <w:vAlign w:val="bottom"/>
            <w:hideMark/>
          </w:tcPr>
          <w:p w14:paraId="750386A4"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73,89%</w:t>
            </w:r>
          </w:p>
        </w:tc>
        <w:tc>
          <w:tcPr>
            <w:tcW w:w="1260" w:type="dxa"/>
            <w:tcBorders>
              <w:top w:val="nil"/>
              <w:left w:val="nil"/>
              <w:bottom w:val="nil"/>
              <w:right w:val="nil"/>
            </w:tcBorders>
            <w:shd w:val="clear" w:color="auto" w:fill="auto"/>
            <w:noWrap/>
            <w:vAlign w:val="bottom"/>
            <w:hideMark/>
          </w:tcPr>
          <w:p w14:paraId="23513DA9"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83,56%</w:t>
            </w:r>
          </w:p>
        </w:tc>
      </w:tr>
      <w:tr w:rsidR="00357058" w:rsidRPr="00357058" w14:paraId="1F050A24" w14:textId="77777777" w:rsidTr="00357058">
        <w:trPr>
          <w:trHeight w:val="255"/>
        </w:trPr>
        <w:tc>
          <w:tcPr>
            <w:tcW w:w="6663" w:type="dxa"/>
            <w:tcBorders>
              <w:top w:val="nil"/>
              <w:left w:val="nil"/>
              <w:bottom w:val="nil"/>
              <w:right w:val="nil"/>
            </w:tcBorders>
            <w:shd w:val="clear" w:color="auto" w:fill="auto"/>
            <w:noWrap/>
            <w:vAlign w:val="bottom"/>
            <w:hideMark/>
          </w:tcPr>
          <w:p w14:paraId="59491AEB" w14:textId="77777777" w:rsidR="00357058" w:rsidRPr="00357058" w:rsidRDefault="00357058" w:rsidP="00357058">
            <w:pPr>
              <w:spacing w:after="0" w:line="240" w:lineRule="auto"/>
              <w:rPr>
                <w:rFonts w:ascii="Arial" w:hAnsi="Arial" w:cs="Arial"/>
                <w:b/>
                <w:bCs/>
                <w:sz w:val="18"/>
                <w:szCs w:val="18"/>
                <w:lang w:eastAsia="hr-HR"/>
              </w:rPr>
            </w:pPr>
            <w:r w:rsidRPr="00357058">
              <w:rPr>
                <w:rFonts w:ascii="Arial" w:hAnsi="Arial" w:cs="Arial"/>
                <w:b/>
                <w:bCs/>
                <w:sz w:val="18"/>
                <w:szCs w:val="18"/>
                <w:lang w:eastAsia="hr-HR"/>
              </w:rPr>
              <w:t>Izvor 5. Pomoći</w:t>
            </w:r>
          </w:p>
        </w:tc>
        <w:tc>
          <w:tcPr>
            <w:tcW w:w="1843" w:type="dxa"/>
            <w:tcBorders>
              <w:top w:val="nil"/>
              <w:left w:val="nil"/>
              <w:bottom w:val="nil"/>
              <w:right w:val="nil"/>
            </w:tcBorders>
            <w:shd w:val="clear" w:color="auto" w:fill="auto"/>
            <w:noWrap/>
            <w:vAlign w:val="bottom"/>
            <w:hideMark/>
          </w:tcPr>
          <w:p w14:paraId="649A8981" w14:textId="77777777" w:rsidR="00357058" w:rsidRPr="00357058" w:rsidRDefault="00357058" w:rsidP="00357058">
            <w:pPr>
              <w:spacing w:after="0" w:line="240" w:lineRule="auto"/>
              <w:jc w:val="right"/>
              <w:rPr>
                <w:rFonts w:ascii="Arial" w:hAnsi="Arial" w:cs="Arial"/>
                <w:b/>
                <w:bCs/>
                <w:sz w:val="18"/>
                <w:szCs w:val="18"/>
                <w:lang w:eastAsia="hr-HR"/>
              </w:rPr>
            </w:pPr>
            <w:r w:rsidRPr="00357058">
              <w:rPr>
                <w:rFonts w:ascii="Arial" w:hAnsi="Arial" w:cs="Arial"/>
                <w:b/>
                <w:bCs/>
                <w:sz w:val="18"/>
                <w:szCs w:val="18"/>
                <w:lang w:eastAsia="hr-HR"/>
              </w:rPr>
              <w:t>3.983.976,73</w:t>
            </w:r>
          </w:p>
        </w:tc>
        <w:tc>
          <w:tcPr>
            <w:tcW w:w="1819" w:type="dxa"/>
            <w:tcBorders>
              <w:top w:val="nil"/>
              <w:left w:val="nil"/>
              <w:bottom w:val="nil"/>
              <w:right w:val="nil"/>
            </w:tcBorders>
            <w:shd w:val="clear" w:color="auto" w:fill="auto"/>
            <w:noWrap/>
            <w:vAlign w:val="bottom"/>
            <w:hideMark/>
          </w:tcPr>
          <w:p w14:paraId="1799F56E" w14:textId="77777777" w:rsidR="00357058" w:rsidRPr="00357058" w:rsidRDefault="00357058" w:rsidP="00357058">
            <w:pPr>
              <w:spacing w:after="0" w:line="240" w:lineRule="auto"/>
              <w:jc w:val="right"/>
              <w:rPr>
                <w:rFonts w:ascii="Arial" w:hAnsi="Arial" w:cs="Arial"/>
                <w:b/>
                <w:bCs/>
                <w:sz w:val="18"/>
                <w:szCs w:val="18"/>
                <w:lang w:eastAsia="hr-HR"/>
              </w:rPr>
            </w:pPr>
            <w:r w:rsidRPr="00357058">
              <w:rPr>
                <w:rFonts w:ascii="Arial" w:hAnsi="Arial" w:cs="Arial"/>
                <w:b/>
                <w:bCs/>
                <w:sz w:val="18"/>
                <w:szCs w:val="18"/>
                <w:lang w:eastAsia="hr-HR"/>
              </w:rPr>
              <w:t>6.469.248,81</w:t>
            </w:r>
          </w:p>
        </w:tc>
        <w:tc>
          <w:tcPr>
            <w:tcW w:w="1580" w:type="dxa"/>
            <w:tcBorders>
              <w:top w:val="nil"/>
              <w:left w:val="nil"/>
              <w:bottom w:val="nil"/>
              <w:right w:val="nil"/>
            </w:tcBorders>
            <w:shd w:val="clear" w:color="auto" w:fill="auto"/>
            <w:noWrap/>
            <w:vAlign w:val="bottom"/>
            <w:hideMark/>
          </w:tcPr>
          <w:p w14:paraId="08692F17" w14:textId="08D5B6F3" w:rsidR="00357058" w:rsidRPr="00357058" w:rsidRDefault="00357058" w:rsidP="00357058">
            <w:pPr>
              <w:spacing w:after="0" w:line="240" w:lineRule="auto"/>
              <w:jc w:val="right"/>
              <w:rPr>
                <w:rFonts w:ascii="Arial" w:hAnsi="Arial" w:cs="Arial"/>
                <w:b/>
                <w:bCs/>
                <w:sz w:val="18"/>
                <w:szCs w:val="18"/>
                <w:lang w:eastAsia="hr-HR"/>
              </w:rPr>
            </w:pPr>
            <w:r w:rsidRPr="00357058">
              <w:rPr>
                <w:rFonts w:ascii="Arial" w:hAnsi="Arial" w:cs="Arial"/>
                <w:b/>
                <w:bCs/>
                <w:sz w:val="18"/>
                <w:szCs w:val="18"/>
                <w:lang w:eastAsia="hr-HR"/>
              </w:rPr>
              <w:t>6.22</w:t>
            </w:r>
            <w:r w:rsidR="00C84C3D">
              <w:rPr>
                <w:rFonts w:ascii="Arial" w:hAnsi="Arial" w:cs="Arial"/>
                <w:b/>
                <w:bCs/>
                <w:sz w:val="18"/>
                <w:szCs w:val="18"/>
                <w:lang w:eastAsia="hr-HR"/>
              </w:rPr>
              <w:t>9.552,34</w:t>
            </w:r>
          </w:p>
        </w:tc>
        <w:tc>
          <w:tcPr>
            <w:tcW w:w="1520" w:type="dxa"/>
            <w:tcBorders>
              <w:top w:val="nil"/>
              <w:left w:val="nil"/>
              <w:bottom w:val="nil"/>
              <w:right w:val="nil"/>
            </w:tcBorders>
            <w:shd w:val="clear" w:color="auto" w:fill="auto"/>
            <w:noWrap/>
            <w:vAlign w:val="bottom"/>
            <w:hideMark/>
          </w:tcPr>
          <w:p w14:paraId="46404CB0" w14:textId="34CBF7DC" w:rsidR="00357058" w:rsidRPr="00357058" w:rsidRDefault="00C84C3D" w:rsidP="00357058">
            <w:pPr>
              <w:spacing w:after="0" w:line="240" w:lineRule="auto"/>
              <w:jc w:val="right"/>
              <w:rPr>
                <w:rFonts w:ascii="Arial" w:hAnsi="Arial" w:cs="Arial"/>
                <w:b/>
                <w:bCs/>
                <w:sz w:val="18"/>
                <w:szCs w:val="18"/>
                <w:lang w:eastAsia="hr-HR"/>
              </w:rPr>
            </w:pPr>
            <w:r>
              <w:rPr>
                <w:rFonts w:ascii="Arial" w:hAnsi="Arial" w:cs="Arial"/>
                <w:b/>
                <w:bCs/>
                <w:sz w:val="18"/>
                <w:szCs w:val="18"/>
                <w:lang w:eastAsia="hr-HR"/>
              </w:rPr>
              <w:t>156,37</w:t>
            </w:r>
            <w:r w:rsidR="00357058" w:rsidRPr="00357058">
              <w:rPr>
                <w:rFonts w:ascii="Arial" w:hAnsi="Arial" w:cs="Arial"/>
                <w:b/>
                <w:bCs/>
                <w:sz w:val="18"/>
                <w:szCs w:val="18"/>
                <w:lang w:eastAsia="hr-HR"/>
              </w:rPr>
              <w:t>%</w:t>
            </w:r>
          </w:p>
        </w:tc>
        <w:tc>
          <w:tcPr>
            <w:tcW w:w="1260" w:type="dxa"/>
            <w:tcBorders>
              <w:top w:val="nil"/>
              <w:left w:val="nil"/>
              <w:bottom w:val="nil"/>
              <w:right w:val="nil"/>
            </w:tcBorders>
            <w:shd w:val="clear" w:color="auto" w:fill="auto"/>
            <w:noWrap/>
            <w:vAlign w:val="bottom"/>
            <w:hideMark/>
          </w:tcPr>
          <w:p w14:paraId="2BCAD2C8" w14:textId="738D6FB3" w:rsidR="00357058" w:rsidRPr="00357058" w:rsidRDefault="00357058" w:rsidP="00357058">
            <w:pPr>
              <w:spacing w:after="0" w:line="240" w:lineRule="auto"/>
              <w:jc w:val="right"/>
              <w:rPr>
                <w:rFonts w:ascii="Arial" w:hAnsi="Arial" w:cs="Arial"/>
                <w:b/>
                <w:bCs/>
                <w:sz w:val="18"/>
                <w:szCs w:val="18"/>
                <w:lang w:eastAsia="hr-HR"/>
              </w:rPr>
            </w:pPr>
            <w:r w:rsidRPr="00357058">
              <w:rPr>
                <w:rFonts w:ascii="Arial" w:hAnsi="Arial" w:cs="Arial"/>
                <w:b/>
                <w:bCs/>
                <w:sz w:val="18"/>
                <w:szCs w:val="18"/>
                <w:lang w:eastAsia="hr-HR"/>
              </w:rPr>
              <w:t>96,</w:t>
            </w:r>
            <w:r w:rsidR="00C84C3D">
              <w:rPr>
                <w:rFonts w:ascii="Arial" w:hAnsi="Arial" w:cs="Arial"/>
                <w:b/>
                <w:bCs/>
                <w:sz w:val="18"/>
                <w:szCs w:val="18"/>
                <w:lang w:eastAsia="hr-HR"/>
              </w:rPr>
              <w:t>29</w:t>
            </w:r>
            <w:r w:rsidRPr="00357058">
              <w:rPr>
                <w:rFonts w:ascii="Arial" w:hAnsi="Arial" w:cs="Arial"/>
                <w:b/>
                <w:bCs/>
                <w:sz w:val="18"/>
                <w:szCs w:val="18"/>
                <w:lang w:eastAsia="hr-HR"/>
              </w:rPr>
              <w:t>%</w:t>
            </w:r>
          </w:p>
        </w:tc>
      </w:tr>
      <w:tr w:rsidR="00357058" w:rsidRPr="00357058" w14:paraId="39A636AA" w14:textId="77777777" w:rsidTr="00357058">
        <w:trPr>
          <w:trHeight w:val="255"/>
        </w:trPr>
        <w:tc>
          <w:tcPr>
            <w:tcW w:w="6663" w:type="dxa"/>
            <w:tcBorders>
              <w:top w:val="nil"/>
              <w:left w:val="nil"/>
              <w:bottom w:val="nil"/>
              <w:right w:val="nil"/>
            </w:tcBorders>
            <w:shd w:val="clear" w:color="auto" w:fill="auto"/>
            <w:noWrap/>
            <w:vAlign w:val="bottom"/>
            <w:hideMark/>
          </w:tcPr>
          <w:p w14:paraId="1F62C57F" w14:textId="77777777" w:rsidR="00357058" w:rsidRPr="00357058" w:rsidRDefault="00357058" w:rsidP="00357058">
            <w:pPr>
              <w:spacing w:after="0" w:line="240" w:lineRule="auto"/>
              <w:rPr>
                <w:rFonts w:ascii="Arial" w:hAnsi="Arial" w:cs="Arial"/>
                <w:sz w:val="18"/>
                <w:szCs w:val="18"/>
                <w:lang w:eastAsia="hr-HR"/>
              </w:rPr>
            </w:pPr>
            <w:r w:rsidRPr="00357058">
              <w:rPr>
                <w:rFonts w:ascii="Arial" w:hAnsi="Arial" w:cs="Arial"/>
                <w:sz w:val="18"/>
                <w:szCs w:val="18"/>
                <w:lang w:eastAsia="hr-HR"/>
              </w:rPr>
              <w:t>Izvor 5.1. Županijski proračun</w:t>
            </w:r>
          </w:p>
        </w:tc>
        <w:tc>
          <w:tcPr>
            <w:tcW w:w="1843" w:type="dxa"/>
            <w:tcBorders>
              <w:top w:val="nil"/>
              <w:left w:val="nil"/>
              <w:bottom w:val="nil"/>
              <w:right w:val="nil"/>
            </w:tcBorders>
            <w:shd w:val="clear" w:color="auto" w:fill="auto"/>
            <w:noWrap/>
            <w:vAlign w:val="bottom"/>
            <w:hideMark/>
          </w:tcPr>
          <w:p w14:paraId="2B3F5861"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320,00</w:t>
            </w:r>
          </w:p>
        </w:tc>
        <w:tc>
          <w:tcPr>
            <w:tcW w:w="1819" w:type="dxa"/>
            <w:tcBorders>
              <w:top w:val="nil"/>
              <w:left w:val="nil"/>
              <w:bottom w:val="nil"/>
              <w:right w:val="nil"/>
            </w:tcBorders>
            <w:shd w:val="clear" w:color="auto" w:fill="auto"/>
            <w:noWrap/>
            <w:vAlign w:val="bottom"/>
            <w:hideMark/>
          </w:tcPr>
          <w:p w14:paraId="382E4067"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24.760,00</w:t>
            </w:r>
          </w:p>
        </w:tc>
        <w:tc>
          <w:tcPr>
            <w:tcW w:w="1580" w:type="dxa"/>
            <w:tcBorders>
              <w:top w:val="nil"/>
              <w:left w:val="nil"/>
              <w:bottom w:val="nil"/>
              <w:right w:val="nil"/>
            </w:tcBorders>
            <w:shd w:val="clear" w:color="auto" w:fill="auto"/>
            <w:noWrap/>
            <w:vAlign w:val="bottom"/>
            <w:hideMark/>
          </w:tcPr>
          <w:p w14:paraId="61698DFA"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23.752,98</w:t>
            </w:r>
          </w:p>
        </w:tc>
        <w:tc>
          <w:tcPr>
            <w:tcW w:w="1520" w:type="dxa"/>
            <w:tcBorders>
              <w:top w:val="nil"/>
              <w:left w:val="nil"/>
              <w:bottom w:val="nil"/>
              <w:right w:val="nil"/>
            </w:tcBorders>
            <w:shd w:val="clear" w:color="auto" w:fill="auto"/>
            <w:noWrap/>
            <w:vAlign w:val="bottom"/>
            <w:hideMark/>
          </w:tcPr>
          <w:p w14:paraId="29789281"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7422,81%</w:t>
            </w:r>
          </w:p>
        </w:tc>
        <w:tc>
          <w:tcPr>
            <w:tcW w:w="1260" w:type="dxa"/>
            <w:tcBorders>
              <w:top w:val="nil"/>
              <w:left w:val="nil"/>
              <w:bottom w:val="nil"/>
              <w:right w:val="nil"/>
            </w:tcBorders>
            <w:shd w:val="clear" w:color="auto" w:fill="auto"/>
            <w:noWrap/>
            <w:vAlign w:val="bottom"/>
            <w:hideMark/>
          </w:tcPr>
          <w:p w14:paraId="11991ACF"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95,93%</w:t>
            </w:r>
          </w:p>
        </w:tc>
      </w:tr>
      <w:tr w:rsidR="00357058" w:rsidRPr="00357058" w14:paraId="5109245E" w14:textId="77777777" w:rsidTr="00357058">
        <w:trPr>
          <w:trHeight w:val="255"/>
        </w:trPr>
        <w:tc>
          <w:tcPr>
            <w:tcW w:w="6663" w:type="dxa"/>
            <w:tcBorders>
              <w:top w:val="nil"/>
              <w:left w:val="nil"/>
              <w:bottom w:val="nil"/>
              <w:right w:val="nil"/>
            </w:tcBorders>
            <w:shd w:val="clear" w:color="auto" w:fill="auto"/>
            <w:noWrap/>
            <w:vAlign w:val="bottom"/>
            <w:hideMark/>
          </w:tcPr>
          <w:p w14:paraId="388BEBD4" w14:textId="77777777" w:rsidR="00357058" w:rsidRPr="00357058" w:rsidRDefault="00357058" w:rsidP="00357058">
            <w:pPr>
              <w:spacing w:after="0" w:line="240" w:lineRule="auto"/>
              <w:rPr>
                <w:rFonts w:ascii="Arial" w:hAnsi="Arial" w:cs="Arial"/>
                <w:sz w:val="18"/>
                <w:szCs w:val="18"/>
                <w:lang w:eastAsia="hr-HR"/>
              </w:rPr>
            </w:pPr>
            <w:r w:rsidRPr="00357058">
              <w:rPr>
                <w:rFonts w:ascii="Arial" w:hAnsi="Arial" w:cs="Arial"/>
                <w:sz w:val="18"/>
                <w:szCs w:val="18"/>
                <w:lang w:eastAsia="hr-HR"/>
              </w:rPr>
              <w:t>Izvor 5.2. Državni proračun</w:t>
            </w:r>
          </w:p>
        </w:tc>
        <w:tc>
          <w:tcPr>
            <w:tcW w:w="1843" w:type="dxa"/>
            <w:tcBorders>
              <w:top w:val="nil"/>
              <w:left w:val="nil"/>
              <w:bottom w:val="nil"/>
              <w:right w:val="nil"/>
            </w:tcBorders>
            <w:shd w:val="clear" w:color="auto" w:fill="auto"/>
            <w:noWrap/>
            <w:vAlign w:val="bottom"/>
            <w:hideMark/>
          </w:tcPr>
          <w:p w14:paraId="6AE2F636"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3.357.430,06</w:t>
            </w:r>
          </w:p>
        </w:tc>
        <w:tc>
          <w:tcPr>
            <w:tcW w:w="1819" w:type="dxa"/>
            <w:tcBorders>
              <w:top w:val="nil"/>
              <w:left w:val="nil"/>
              <w:bottom w:val="nil"/>
              <w:right w:val="nil"/>
            </w:tcBorders>
            <w:shd w:val="clear" w:color="auto" w:fill="auto"/>
            <w:noWrap/>
            <w:vAlign w:val="bottom"/>
            <w:hideMark/>
          </w:tcPr>
          <w:p w14:paraId="200C596D"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4.581.967,00</w:t>
            </w:r>
          </w:p>
        </w:tc>
        <w:tc>
          <w:tcPr>
            <w:tcW w:w="1580" w:type="dxa"/>
            <w:tcBorders>
              <w:top w:val="nil"/>
              <w:left w:val="nil"/>
              <w:bottom w:val="nil"/>
              <w:right w:val="nil"/>
            </w:tcBorders>
            <w:shd w:val="clear" w:color="auto" w:fill="auto"/>
            <w:noWrap/>
            <w:vAlign w:val="bottom"/>
            <w:hideMark/>
          </w:tcPr>
          <w:p w14:paraId="14CF5BFA" w14:textId="1E9720E3"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4.40</w:t>
            </w:r>
            <w:r w:rsidR="00C84C3D">
              <w:rPr>
                <w:rFonts w:ascii="Arial" w:hAnsi="Arial" w:cs="Arial"/>
                <w:sz w:val="18"/>
                <w:szCs w:val="18"/>
                <w:lang w:eastAsia="hr-HR"/>
              </w:rPr>
              <w:t>9.145,41</w:t>
            </w:r>
          </w:p>
        </w:tc>
        <w:tc>
          <w:tcPr>
            <w:tcW w:w="1520" w:type="dxa"/>
            <w:tcBorders>
              <w:top w:val="nil"/>
              <w:left w:val="nil"/>
              <w:bottom w:val="nil"/>
              <w:right w:val="nil"/>
            </w:tcBorders>
            <w:shd w:val="clear" w:color="auto" w:fill="auto"/>
            <w:noWrap/>
            <w:vAlign w:val="bottom"/>
            <w:hideMark/>
          </w:tcPr>
          <w:p w14:paraId="72085431" w14:textId="7C31AA4A"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131,</w:t>
            </w:r>
            <w:r w:rsidR="00C84C3D">
              <w:rPr>
                <w:rFonts w:ascii="Arial" w:hAnsi="Arial" w:cs="Arial"/>
                <w:sz w:val="18"/>
                <w:szCs w:val="18"/>
                <w:lang w:eastAsia="hr-HR"/>
              </w:rPr>
              <w:t>33</w:t>
            </w:r>
            <w:r w:rsidRPr="00357058">
              <w:rPr>
                <w:rFonts w:ascii="Arial" w:hAnsi="Arial" w:cs="Arial"/>
                <w:sz w:val="18"/>
                <w:szCs w:val="18"/>
                <w:lang w:eastAsia="hr-HR"/>
              </w:rPr>
              <w:t>%</w:t>
            </w:r>
          </w:p>
        </w:tc>
        <w:tc>
          <w:tcPr>
            <w:tcW w:w="1260" w:type="dxa"/>
            <w:tcBorders>
              <w:top w:val="nil"/>
              <w:left w:val="nil"/>
              <w:bottom w:val="nil"/>
              <w:right w:val="nil"/>
            </w:tcBorders>
            <w:shd w:val="clear" w:color="auto" w:fill="auto"/>
            <w:noWrap/>
            <w:vAlign w:val="bottom"/>
            <w:hideMark/>
          </w:tcPr>
          <w:p w14:paraId="4492DBDA" w14:textId="6B581CA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96,</w:t>
            </w:r>
            <w:r w:rsidR="00C84C3D">
              <w:rPr>
                <w:rFonts w:ascii="Arial" w:hAnsi="Arial" w:cs="Arial"/>
                <w:sz w:val="18"/>
                <w:szCs w:val="18"/>
                <w:lang w:eastAsia="hr-HR"/>
              </w:rPr>
              <w:t>23</w:t>
            </w:r>
            <w:r w:rsidRPr="00357058">
              <w:rPr>
                <w:rFonts w:ascii="Arial" w:hAnsi="Arial" w:cs="Arial"/>
                <w:sz w:val="18"/>
                <w:szCs w:val="18"/>
                <w:lang w:eastAsia="hr-HR"/>
              </w:rPr>
              <w:t>%</w:t>
            </w:r>
          </w:p>
        </w:tc>
      </w:tr>
      <w:tr w:rsidR="00357058" w:rsidRPr="00357058" w14:paraId="2DB6DA62" w14:textId="77777777" w:rsidTr="00357058">
        <w:trPr>
          <w:trHeight w:val="255"/>
        </w:trPr>
        <w:tc>
          <w:tcPr>
            <w:tcW w:w="6663" w:type="dxa"/>
            <w:tcBorders>
              <w:top w:val="nil"/>
              <w:left w:val="nil"/>
              <w:bottom w:val="nil"/>
              <w:right w:val="nil"/>
            </w:tcBorders>
            <w:shd w:val="clear" w:color="auto" w:fill="auto"/>
            <w:noWrap/>
            <w:vAlign w:val="bottom"/>
            <w:hideMark/>
          </w:tcPr>
          <w:p w14:paraId="66C512BF" w14:textId="77777777" w:rsidR="00357058" w:rsidRPr="00357058" w:rsidRDefault="00357058" w:rsidP="00357058">
            <w:pPr>
              <w:spacing w:after="0" w:line="240" w:lineRule="auto"/>
              <w:rPr>
                <w:rFonts w:ascii="Arial" w:hAnsi="Arial" w:cs="Arial"/>
                <w:sz w:val="18"/>
                <w:szCs w:val="18"/>
                <w:lang w:eastAsia="hr-HR"/>
              </w:rPr>
            </w:pPr>
            <w:r w:rsidRPr="00357058">
              <w:rPr>
                <w:rFonts w:ascii="Arial" w:hAnsi="Arial" w:cs="Arial"/>
                <w:sz w:val="18"/>
                <w:szCs w:val="18"/>
                <w:lang w:eastAsia="hr-HR"/>
              </w:rPr>
              <w:t>Izvor 5.3. Izvanproračunski korisnici</w:t>
            </w:r>
          </w:p>
        </w:tc>
        <w:tc>
          <w:tcPr>
            <w:tcW w:w="1843" w:type="dxa"/>
            <w:tcBorders>
              <w:top w:val="nil"/>
              <w:left w:val="nil"/>
              <w:bottom w:val="nil"/>
              <w:right w:val="nil"/>
            </w:tcBorders>
            <w:shd w:val="clear" w:color="auto" w:fill="auto"/>
            <w:noWrap/>
            <w:vAlign w:val="bottom"/>
            <w:hideMark/>
          </w:tcPr>
          <w:p w14:paraId="316D191B"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26.231,77</w:t>
            </w:r>
          </w:p>
        </w:tc>
        <w:tc>
          <w:tcPr>
            <w:tcW w:w="1819" w:type="dxa"/>
            <w:tcBorders>
              <w:top w:val="nil"/>
              <w:left w:val="nil"/>
              <w:bottom w:val="nil"/>
              <w:right w:val="nil"/>
            </w:tcBorders>
            <w:shd w:val="clear" w:color="auto" w:fill="auto"/>
            <w:noWrap/>
            <w:vAlign w:val="bottom"/>
            <w:hideMark/>
          </w:tcPr>
          <w:p w14:paraId="4168F3FB"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1.188.847,00</w:t>
            </w:r>
          </w:p>
        </w:tc>
        <w:tc>
          <w:tcPr>
            <w:tcW w:w="1580" w:type="dxa"/>
            <w:tcBorders>
              <w:top w:val="nil"/>
              <w:left w:val="nil"/>
              <w:bottom w:val="nil"/>
              <w:right w:val="nil"/>
            </w:tcBorders>
            <w:shd w:val="clear" w:color="auto" w:fill="auto"/>
            <w:noWrap/>
            <w:vAlign w:val="bottom"/>
            <w:hideMark/>
          </w:tcPr>
          <w:p w14:paraId="7264AF7C"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1.164.729,91</w:t>
            </w:r>
          </w:p>
        </w:tc>
        <w:tc>
          <w:tcPr>
            <w:tcW w:w="1520" w:type="dxa"/>
            <w:tcBorders>
              <w:top w:val="nil"/>
              <w:left w:val="nil"/>
              <w:bottom w:val="nil"/>
              <w:right w:val="nil"/>
            </w:tcBorders>
            <w:shd w:val="clear" w:color="auto" w:fill="auto"/>
            <w:noWrap/>
            <w:vAlign w:val="bottom"/>
            <w:hideMark/>
          </w:tcPr>
          <w:p w14:paraId="1BAD16F1"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4440,15%</w:t>
            </w:r>
          </w:p>
        </w:tc>
        <w:tc>
          <w:tcPr>
            <w:tcW w:w="1260" w:type="dxa"/>
            <w:tcBorders>
              <w:top w:val="nil"/>
              <w:left w:val="nil"/>
              <w:bottom w:val="nil"/>
              <w:right w:val="nil"/>
            </w:tcBorders>
            <w:shd w:val="clear" w:color="auto" w:fill="auto"/>
            <w:noWrap/>
            <w:vAlign w:val="bottom"/>
            <w:hideMark/>
          </w:tcPr>
          <w:p w14:paraId="5A55EECB"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97,97%</w:t>
            </w:r>
          </w:p>
        </w:tc>
      </w:tr>
      <w:tr w:rsidR="00357058" w:rsidRPr="00357058" w14:paraId="2D884DE4" w14:textId="77777777" w:rsidTr="00357058">
        <w:trPr>
          <w:trHeight w:val="255"/>
        </w:trPr>
        <w:tc>
          <w:tcPr>
            <w:tcW w:w="6663" w:type="dxa"/>
            <w:tcBorders>
              <w:top w:val="nil"/>
              <w:left w:val="nil"/>
              <w:bottom w:val="nil"/>
              <w:right w:val="nil"/>
            </w:tcBorders>
            <w:shd w:val="clear" w:color="auto" w:fill="auto"/>
            <w:noWrap/>
            <w:vAlign w:val="bottom"/>
            <w:hideMark/>
          </w:tcPr>
          <w:p w14:paraId="5AE4A603" w14:textId="77777777" w:rsidR="00357058" w:rsidRPr="00357058" w:rsidRDefault="00357058" w:rsidP="00357058">
            <w:pPr>
              <w:spacing w:after="0" w:line="240" w:lineRule="auto"/>
              <w:rPr>
                <w:rFonts w:ascii="Arial" w:hAnsi="Arial" w:cs="Arial"/>
                <w:sz w:val="18"/>
                <w:szCs w:val="18"/>
                <w:lang w:eastAsia="hr-HR"/>
              </w:rPr>
            </w:pPr>
            <w:r w:rsidRPr="00357058">
              <w:rPr>
                <w:rFonts w:ascii="Arial" w:hAnsi="Arial" w:cs="Arial"/>
                <w:sz w:val="18"/>
                <w:szCs w:val="18"/>
                <w:lang w:eastAsia="hr-HR"/>
              </w:rPr>
              <w:t>Izvor 5.4. Institucije i tijela EU</w:t>
            </w:r>
          </w:p>
        </w:tc>
        <w:tc>
          <w:tcPr>
            <w:tcW w:w="1843" w:type="dxa"/>
            <w:tcBorders>
              <w:top w:val="nil"/>
              <w:left w:val="nil"/>
              <w:bottom w:val="nil"/>
              <w:right w:val="nil"/>
            </w:tcBorders>
            <w:shd w:val="clear" w:color="auto" w:fill="auto"/>
            <w:noWrap/>
            <w:vAlign w:val="bottom"/>
            <w:hideMark/>
          </w:tcPr>
          <w:p w14:paraId="10C194B7"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308.924,59</w:t>
            </w:r>
          </w:p>
        </w:tc>
        <w:tc>
          <w:tcPr>
            <w:tcW w:w="1819" w:type="dxa"/>
            <w:tcBorders>
              <w:top w:val="nil"/>
              <w:left w:val="nil"/>
              <w:bottom w:val="nil"/>
              <w:right w:val="nil"/>
            </w:tcBorders>
            <w:shd w:val="clear" w:color="auto" w:fill="auto"/>
            <w:noWrap/>
            <w:vAlign w:val="bottom"/>
            <w:hideMark/>
          </w:tcPr>
          <w:p w14:paraId="6D72D8DD"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324.073,81</w:t>
            </w:r>
          </w:p>
        </w:tc>
        <w:tc>
          <w:tcPr>
            <w:tcW w:w="1580" w:type="dxa"/>
            <w:tcBorders>
              <w:top w:val="nil"/>
              <w:left w:val="nil"/>
              <w:bottom w:val="nil"/>
              <w:right w:val="nil"/>
            </w:tcBorders>
            <w:shd w:val="clear" w:color="auto" w:fill="auto"/>
            <w:noWrap/>
            <w:vAlign w:val="bottom"/>
            <w:hideMark/>
          </w:tcPr>
          <w:p w14:paraId="69F692D0"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300.036,01</w:t>
            </w:r>
          </w:p>
        </w:tc>
        <w:tc>
          <w:tcPr>
            <w:tcW w:w="1520" w:type="dxa"/>
            <w:tcBorders>
              <w:top w:val="nil"/>
              <w:left w:val="nil"/>
              <w:bottom w:val="nil"/>
              <w:right w:val="nil"/>
            </w:tcBorders>
            <w:shd w:val="clear" w:color="auto" w:fill="auto"/>
            <w:noWrap/>
            <w:vAlign w:val="bottom"/>
            <w:hideMark/>
          </w:tcPr>
          <w:p w14:paraId="336B3192"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97,12%</w:t>
            </w:r>
          </w:p>
        </w:tc>
        <w:tc>
          <w:tcPr>
            <w:tcW w:w="1260" w:type="dxa"/>
            <w:tcBorders>
              <w:top w:val="nil"/>
              <w:left w:val="nil"/>
              <w:bottom w:val="nil"/>
              <w:right w:val="nil"/>
            </w:tcBorders>
            <w:shd w:val="clear" w:color="auto" w:fill="auto"/>
            <w:noWrap/>
            <w:vAlign w:val="bottom"/>
            <w:hideMark/>
          </w:tcPr>
          <w:p w14:paraId="3259791E"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92,58%</w:t>
            </w:r>
          </w:p>
        </w:tc>
      </w:tr>
      <w:tr w:rsidR="00357058" w:rsidRPr="00357058" w14:paraId="5FBB3AC2" w14:textId="77777777" w:rsidTr="00357058">
        <w:trPr>
          <w:trHeight w:val="255"/>
        </w:trPr>
        <w:tc>
          <w:tcPr>
            <w:tcW w:w="6663" w:type="dxa"/>
            <w:tcBorders>
              <w:top w:val="nil"/>
              <w:left w:val="nil"/>
              <w:bottom w:val="nil"/>
              <w:right w:val="nil"/>
            </w:tcBorders>
            <w:shd w:val="clear" w:color="auto" w:fill="auto"/>
            <w:noWrap/>
            <w:vAlign w:val="bottom"/>
            <w:hideMark/>
          </w:tcPr>
          <w:p w14:paraId="6120DD12" w14:textId="77777777" w:rsidR="00357058" w:rsidRPr="00357058" w:rsidRDefault="00357058" w:rsidP="00357058">
            <w:pPr>
              <w:spacing w:after="0" w:line="240" w:lineRule="auto"/>
              <w:rPr>
                <w:rFonts w:ascii="Arial" w:hAnsi="Arial" w:cs="Arial"/>
                <w:sz w:val="18"/>
                <w:szCs w:val="18"/>
                <w:lang w:eastAsia="hr-HR"/>
              </w:rPr>
            </w:pPr>
            <w:r w:rsidRPr="00357058">
              <w:rPr>
                <w:rFonts w:ascii="Arial" w:hAnsi="Arial" w:cs="Arial"/>
                <w:sz w:val="18"/>
                <w:szCs w:val="18"/>
                <w:lang w:eastAsia="hr-HR"/>
              </w:rPr>
              <w:t>Izvor 5.5. Općinski proračun</w:t>
            </w:r>
          </w:p>
        </w:tc>
        <w:tc>
          <w:tcPr>
            <w:tcW w:w="1843" w:type="dxa"/>
            <w:tcBorders>
              <w:top w:val="nil"/>
              <w:left w:val="nil"/>
              <w:bottom w:val="nil"/>
              <w:right w:val="nil"/>
            </w:tcBorders>
            <w:shd w:val="clear" w:color="auto" w:fill="auto"/>
            <w:noWrap/>
            <w:vAlign w:val="bottom"/>
            <w:hideMark/>
          </w:tcPr>
          <w:p w14:paraId="44CDF30D"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291.070,31</w:t>
            </w:r>
          </w:p>
        </w:tc>
        <w:tc>
          <w:tcPr>
            <w:tcW w:w="1819" w:type="dxa"/>
            <w:tcBorders>
              <w:top w:val="nil"/>
              <w:left w:val="nil"/>
              <w:bottom w:val="nil"/>
              <w:right w:val="nil"/>
            </w:tcBorders>
            <w:shd w:val="clear" w:color="auto" w:fill="auto"/>
            <w:noWrap/>
            <w:vAlign w:val="bottom"/>
            <w:hideMark/>
          </w:tcPr>
          <w:p w14:paraId="2BF208B3"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349.601,00</w:t>
            </w:r>
          </w:p>
        </w:tc>
        <w:tc>
          <w:tcPr>
            <w:tcW w:w="1580" w:type="dxa"/>
            <w:tcBorders>
              <w:top w:val="nil"/>
              <w:left w:val="nil"/>
              <w:bottom w:val="nil"/>
              <w:right w:val="nil"/>
            </w:tcBorders>
            <w:shd w:val="clear" w:color="auto" w:fill="auto"/>
            <w:noWrap/>
            <w:vAlign w:val="bottom"/>
            <w:hideMark/>
          </w:tcPr>
          <w:p w14:paraId="7F447FBC"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331.888,03</w:t>
            </w:r>
          </w:p>
        </w:tc>
        <w:tc>
          <w:tcPr>
            <w:tcW w:w="1520" w:type="dxa"/>
            <w:tcBorders>
              <w:top w:val="nil"/>
              <w:left w:val="nil"/>
              <w:bottom w:val="nil"/>
              <w:right w:val="nil"/>
            </w:tcBorders>
            <w:shd w:val="clear" w:color="auto" w:fill="auto"/>
            <w:noWrap/>
            <w:vAlign w:val="bottom"/>
            <w:hideMark/>
          </w:tcPr>
          <w:p w14:paraId="01E53ECB"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114,02%</w:t>
            </w:r>
          </w:p>
        </w:tc>
        <w:tc>
          <w:tcPr>
            <w:tcW w:w="1260" w:type="dxa"/>
            <w:tcBorders>
              <w:top w:val="nil"/>
              <w:left w:val="nil"/>
              <w:bottom w:val="nil"/>
              <w:right w:val="nil"/>
            </w:tcBorders>
            <w:shd w:val="clear" w:color="auto" w:fill="auto"/>
            <w:noWrap/>
            <w:vAlign w:val="bottom"/>
            <w:hideMark/>
          </w:tcPr>
          <w:p w14:paraId="52A6B003"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94,93%</w:t>
            </w:r>
          </w:p>
        </w:tc>
      </w:tr>
      <w:tr w:rsidR="00357058" w:rsidRPr="00357058" w14:paraId="2A357794" w14:textId="77777777" w:rsidTr="00357058">
        <w:trPr>
          <w:trHeight w:val="255"/>
        </w:trPr>
        <w:tc>
          <w:tcPr>
            <w:tcW w:w="6663" w:type="dxa"/>
            <w:tcBorders>
              <w:top w:val="nil"/>
              <w:left w:val="nil"/>
              <w:bottom w:val="nil"/>
              <w:right w:val="nil"/>
            </w:tcBorders>
            <w:shd w:val="clear" w:color="auto" w:fill="auto"/>
            <w:noWrap/>
            <w:vAlign w:val="bottom"/>
            <w:hideMark/>
          </w:tcPr>
          <w:p w14:paraId="2CCA02E3" w14:textId="77777777" w:rsidR="00357058" w:rsidRPr="00357058" w:rsidRDefault="00357058" w:rsidP="00357058">
            <w:pPr>
              <w:spacing w:after="0" w:line="240" w:lineRule="auto"/>
              <w:rPr>
                <w:rFonts w:ascii="Arial" w:hAnsi="Arial" w:cs="Arial"/>
                <w:b/>
                <w:bCs/>
                <w:sz w:val="18"/>
                <w:szCs w:val="18"/>
                <w:lang w:eastAsia="hr-HR"/>
              </w:rPr>
            </w:pPr>
            <w:r w:rsidRPr="00357058">
              <w:rPr>
                <w:rFonts w:ascii="Arial" w:hAnsi="Arial" w:cs="Arial"/>
                <w:b/>
                <w:bCs/>
                <w:sz w:val="18"/>
                <w:szCs w:val="18"/>
                <w:lang w:eastAsia="hr-HR"/>
              </w:rPr>
              <w:t>Izvor 6. Donacije</w:t>
            </w:r>
          </w:p>
        </w:tc>
        <w:tc>
          <w:tcPr>
            <w:tcW w:w="1843" w:type="dxa"/>
            <w:tcBorders>
              <w:top w:val="nil"/>
              <w:left w:val="nil"/>
              <w:bottom w:val="nil"/>
              <w:right w:val="nil"/>
            </w:tcBorders>
            <w:shd w:val="clear" w:color="auto" w:fill="auto"/>
            <w:noWrap/>
            <w:vAlign w:val="bottom"/>
            <w:hideMark/>
          </w:tcPr>
          <w:p w14:paraId="5CDD9335" w14:textId="77777777" w:rsidR="00357058" w:rsidRPr="00357058" w:rsidRDefault="00357058" w:rsidP="00357058">
            <w:pPr>
              <w:spacing w:after="0" w:line="240" w:lineRule="auto"/>
              <w:jc w:val="right"/>
              <w:rPr>
                <w:rFonts w:ascii="Arial" w:hAnsi="Arial" w:cs="Arial"/>
                <w:b/>
                <w:bCs/>
                <w:sz w:val="18"/>
                <w:szCs w:val="18"/>
                <w:lang w:eastAsia="hr-HR"/>
              </w:rPr>
            </w:pPr>
            <w:r w:rsidRPr="00357058">
              <w:rPr>
                <w:rFonts w:ascii="Arial" w:hAnsi="Arial" w:cs="Arial"/>
                <w:b/>
                <w:bCs/>
                <w:sz w:val="18"/>
                <w:szCs w:val="18"/>
                <w:lang w:eastAsia="hr-HR"/>
              </w:rPr>
              <w:t>4.311,65</w:t>
            </w:r>
          </w:p>
        </w:tc>
        <w:tc>
          <w:tcPr>
            <w:tcW w:w="1819" w:type="dxa"/>
            <w:tcBorders>
              <w:top w:val="nil"/>
              <w:left w:val="nil"/>
              <w:bottom w:val="nil"/>
              <w:right w:val="nil"/>
            </w:tcBorders>
            <w:shd w:val="clear" w:color="auto" w:fill="auto"/>
            <w:noWrap/>
            <w:vAlign w:val="bottom"/>
            <w:hideMark/>
          </w:tcPr>
          <w:p w14:paraId="3B6542CD" w14:textId="77777777" w:rsidR="00357058" w:rsidRPr="00357058" w:rsidRDefault="00357058" w:rsidP="00357058">
            <w:pPr>
              <w:spacing w:after="0" w:line="240" w:lineRule="auto"/>
              <w:jc w:val="right"/>
              <w:rPr>
                <w:rFonts w:ascii="Arial" w:hAnsi="Arial" w:cs="Arial"/>
                <w:b/>
                <w:bCs/>
                <w:sz w:val="18"/>
                <w:szCs w:val="18"/>
                <w:lang w:eastAsia="hr-HR"/>
              </w:rPr>
            </w:pPr>
            <w:r w:rsidRPr="00357058">
              <w:rPr>
                <w:rFonts w:ascii="Arial" w:hAnsi="Arial" w:cs="Arial"/>
                <w:b/>
                <w:bCs/>
                <w:sz w:val="18"/>
                <w:szCs w:val="18"/>
                <w:lang w:eastAsia="hr-HR"/>
              </w:rPr>
              <w:t>120.500,00</w:t>
            </w:r>
          </w:p>
        </w:tc>
        <w:tc>
          <w:tcPr>
            <w:tcW w:w="1580" w:type="dxa"/>
            <w:tcBorders>
              <w:top w:val="nil"/>
              <w:left w:val="nil"/>
              <w:bottom w:val="nil"/>
              <w:right w:val="nil"/>
            </w:tcBorders>
            <w:shd w:val="clear" w:color="auto" w:fill="auto"/>
            <w:noWrap/>
            <w:vAlign w:val="bottom"/>
            <w:hideMark/>
          </w:tcPr>
          <w:p w14:paraId="36C0978D" w14:textId="6A40F2B2" w:rsidR="00357058" w:rsidRPr="00357058" w:rsidRDefault="00357058" w:rsidP="00357058">
            <w:pPr>
              <w:spacing w:after="0" w:line="240" w:lineRule="auto"/>
              <w:jc w:val="right"/>
              <w:rPr>
                <w:rFonts w:ascii="Arial" w:hAnsi="Arial" w:cs="Arial"/>
                <w:b/>
                <w:bCs/>
                <w:sz w:val="18"/>
                <w:szCs w:val="18"/>
                <w:lang w:eastAsia="hr-HR"/>
              </w:rPr>
            </w:pPr>
            <w:r w:rsidRPr="00357058">
              <w:rPr>
                <w:rFonts w:ascii="Arial" w:hAnsi="Arial" w:cs="Arial"/>
                <w:b/>
                <w:bCs/>
                <w:sz w:val="18"/>
                <w:szCs w:val="18"/>
                <w:lang w:eastAsia="hr-HR"/>
              </w:rPr>
              <w:t>1</w:t>
            </w:r>
            <w:r w:rsidR="00C84C3D">
              <w:rPr>
                <w:rFonts w:ascii="Arial" w:hAnsi="Arial" w:cs="Arial"/>
                <w:b/>
                <w:bCs/>
                <w:sz w:val="18"/>
                <w:szCs w:val="18"/>
                <w:lang w:eastAsia="hr-HR"/>
              </w:rPr>
              <w:t>22.023,03</w:t>
            </w:r>
          </w:p>
        </w:tc>
        <w:tc>
          <w:tcPr>
            <w:tcW w:w="1520" w:type="dxa"/>
            <w:tcBorders>
              <w:top w:val="nil"/>
              <w:left w:val="nil"/>
              <w:bottom w:val="nil"/>
              <w:right w:val="nil"/>
            </w:tcBorders>
            <w:shd w:val="clear" w:color="auto" w:fill="auto"/>
            <w:noWrap/>
            <w:vAlign w:val="bottom"/>
            <w:hideMark/>
          </w:tcPr>
          <w:p w14:paraId="1582D757" w14:textId="4DA6C1B3" w:rsidR="00357058" w:rsidRPr="00357058" w:rsidRDefault="00357058" w:rsidP="00357058">
            <w:pPr>
              <w:spacing w:after="0" w:line="240" w:lineRule="auto"/>
              <w:jc w:val="right"/>
              <w:rPr>
                <w:rFonts w:ascii="Arial" w:hAnsi="Arial" w:cs="Arial"/>
                <w:b/>
                <w:bCs/>
                <w:sz w:val="18"/>
                <w:szCs w:val="18"/>
                <w:lang w:eastAsia="hr-HR"/>
              </w:rPr>
            </w:pPr>
            <w:r w:rsidRPr="00357058">
              <w:rPr>
                <w:rFonts w:ascii="Arial" w:hAnsi="Arial" w:cs="Arial"/>
                <w:b/>
                <w:bCs/>
                <w:sz w:val="18"/>
                <w:szCs w:val="18"/>
                <w:lang w:eastAsia="hr-HR"/>
              </w:rPr>
              <w:t>2</w:t>
            </w:r>
            <w:r w:rsidR="00C84C3D">
              <w:rPr>
                <w:rFonts w:ascii="Arial" w:hAnsi="Arial" w:cs="Arial"/>
                <w:b/>
                <w:bCs/>
                <w:sz w:val="18"/>
                <w:szCs w:val="18"/>
                <w:lang w:eastAsia="hr-HR"/>
              </w:rPr>
              <w:t>830,08</w:t>
            </w:r>
            <w:r w:rsidRPr="00357058">
              <w:rPr>
                <w:rFonts w:ascii="Arial" w:hAnsi="Arial" w:cs="Arial"/>
                <w:b/>
                <w:bCs/>
                <w:sz w:val="18"/>
                <w:szCs w:val="18"/>
                <w:lang w:eastAsia="hr-HR"/>
              </w:rPr>
              <w:t>%</w:t>
            </w:r>
          </w:p>
        </w:tc>
        <w:tc>
          <w:tcPr>
            <w:tcW w:w="1260" w:type="dxa"/>
            <w:tcBorders>
              <w:top w:val="nil"/>
              <w:left w:val="nil"/>
              <w:bottom w:val="nil"/>
              <w:right w:val="nil"/>
            </w:tcBorders>
            <w:shd w:val="clear" w:color="auto" w:fill="auto"/>
            <w:noWrap/>
            <w:vAlign w:val="bottom"/>
            <w:hideMark/>
          </w:tcPr>
          <w:p w14:paraId="578BD349" w14:textId="0ECFCB93" w:rsidR="00357058" w:rsidRPr="00357058" w:rsidRDefault="00C84C3D" w:rsidP="00357058">
            <w:pPr>
              <w:spacing w:after="0" w:line="240" w:lineRule="auto"/>
              <w:jc w:val="right"/>
              <w:rPr>
                <w:rFonts w:ascii="Arial" w:hAnsi="Arial" w:cs="Arial"/>
                <w:b/>
                <w:bCs/>
                <w:sz w:val="18"/>
                <w:szCs w:val="18"/>
                <w:lang w:eastAsia="hr-HR"/>
              </w:rPr>
            </w:pPr>
            <w:r>
              <w:rPr>
                <w:rFonts w:ascii="Arial" w:hAnsi="Arial" w:cs="Arial"/>
                <w:b/>
                <w:bCs/>
                <w:sz w:val="18"/>
                <w:szCs w:val="18"/>
                <w:lang w:eastAsia="hr-HR"/>
              </w:rPr>
              <w:t>101,26</w:t>
            </w:r>
            <w:r w:rsidR="00357058" w:rsidRPr="00357058">
              <w:rPr>
                <w:rFonts w:ascii="Arial" w:hAnsi="Arial" w:cs="Arial"/>
                <w:b/>
                <w:bCs/>
                <w:sz w:val="18"/>
                <w:szCs w:val="18"/>
                <w:lang w:eastAsia="hr-HR"/>
              </w:rPr>
              <w:t>%</w:t>
            </w:r>
          </w:p>
        </w:tc>
      </w:tr>
      <w:tr w:rsidR="00357058" w:rsidRPr="00357058" w14:paraId="0E62EE93" w14:textId="77777777" w:rsidTr="00357058">
        <w:trPr>
          <w:trHeight w:val="255"/>
        </w:trPr>
        <w:tc>
          <w:tcPr>
            <w:tcW w:w="6663" w:type="dxa"/>
            <w:tcBorders>
              <w:top w:val="nil"/>
              <w:left w:val="nil"/>
              <w:bottom w:val="nil"/>
              <w:right w:val="nil"/>
            </w:tcBorders>
            <w:shd w:val="clear" w:color="auto" w:fill="auto"/>
            <w:noWrap/>
            <w:vAlign w:val="bottom"/>
            <w:hideMark/>
          </w:tcPr>
          <w:p w14:paraId="60393D5C" w14:textId="77777777" w:rsidR="00357058" w:rsidRPr="00357058" w:rsidRDefault="00357058" w:rsidP="00357058">
            <w:pPr>
              <w:spacing w:after="0" w:line="240" w:lineRule="auto"/>
              <w:rPr>
                <w:rFonts w:ascii="Arial" w:hAnsi="Arial" w:cs="Arial"/>
                <w:sz w:val="18"/>
                <w:szCs w:val="18"/>
                <w:lang w:eastAsia="hr-HR"/>
              </w:rPr>
            </w:pPr>
            <w:r w:rsidRPr="00357058">
              <w:rPr>
                <w:rFonts w:ascii="Arial" w:hAnsi="Arial" w:cs="Arial"/>
                <w:sz w:val="18"/>
                <w:szCs w:val="18"/>
                <w:lang w:eastAsia="hr-HR"/>
              </w:rPr>
              <w:t>Izvor 6.1. Donacije</w:t>
            </w:r>
          </w:p>
        </w:tc>
        <w:tc>
          <w:tcPr>
            <w:tcW w:w="1843" w:type="dxa"/>
            <w:tcBorders>
              <w:top w:val="nil"/>
              <w:left w:val="nil"/>
              <w:bottom w:val="nil"/>
              <w:right w:val="nil"/>
            </w:tcBorders>
            <w:shd w:val="clear" w:color="auto" w:fill="auto"/>
            <w:noWrap/>
            <w:vAlign w:val="bottom"/>
            <w:hideMark/>
          </w:tcPr>
          <w:p w14:paraId="0EF3CF09"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4.311,65</w:t>
            </w:r>
          </w:p>
        </w:tc>
        <w:tc>
          <w:tcPr>
            <w:tcW w:w="1819" w:type="dxa"/>
            <w:tcBorders>
              <w:top w:val="nil"/>
              <w:left w:val="nil"/>
              <w:bottom w:val="nil"/>
              <w:right w:val="nil"/>
            </w:tcBorders>
            <w:shd w:val="clear" w:color="auto" w:fill="auto"/>
            <w:noWrap/>
            <w:vAlign w:val="bottom"/>
            <w:hideMark/>
          </w:tcPr>
          <w:p w14:paraId="3A5A533A"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120.500,00</w:t>
            </w:r>
          </w:p>
        </w:tc>
        <w:tc>
          <w:tcPr>
            <w:tcW w:w="1580" w:type="dxa"/>
            <w:tcBorders>
              <w:top w:val="nil"/>
              <w:left w:val="nil"/>
              <w:bottom w:val="nil"/>
              <w:right w:val="nil"/>
            </w:tcBorders>
            <w:shd w:val="clear" w:color="auto" w:fill="auto"/>
            <w:noWrap/>
            <w:vAlign w:val="bottom"/>
            <w:hideMark/>
          </w:tcPr>
          <w:p w14:paraId="3637B26F" w14:textId="2945F200" w:rsidR="00357058" w:rsidRPr="00357058" w:rsidRDefault="00C84C3D" w:rsidP="00357058">
            <w:pPr>
              <w:spacing w:after="0" w:line="240" w:lineRule="auto"/>
              <w:jc w:val="right"/>
              <w:rPr>
                <w:rFonts w:ascii="Arial" w:hAnsi="Arial" w:cs="Arial"/>
                <w:sz w:val="18"/>
                <w:szCs w:val="18"/>
                <w:lang w:eastAsia="hr-HR"/>
              </w:rPr>
            </w:pPr>
            <w:r>
              <w:rPr>
                <w:rFonts w:ascii="Arial" w:hAnsi="Arial" w:cs="Arial"/>
                <w:sz w:val="18"/>
                <w:szCs w:val="18"/>
                <w:lang w:eastAsia="hr-HR"/>
              </w:rPr>
              <w:t>122.023,03</w:t>
            </w:r>
          </w:p>
        </w:tc>
        <w:tc>
          <w:tcPr>
            <w:tcW w:w="1520" w:type="dxa"/>
            <w:tcBorders>
              <w:top w:val="nil"/>
              <w:left w:val="nil"/>
              <w:bottom w:val="nil"/>
              <w:right w:val="nil"/>
            </w:tcBorders>
            <w:shd w:val="clear" w:color="auto" w:fill="auto"/>
            <w:noWrap/>
            <w:vAlign w:val="bottom"/>
            <w:hideMark/>
          </w:tcPr>
          <w:p w14:paraId="11C5286A" w14:textId="74325D09" w:rsidR="00357058" w:rsidRPr="00357058" w:rsidRDefault="00C84C3D" w:rsidP="00357058">
            <w:pPr>
              <w:spacing w:after="0" w:line="240" w:lineRule="auto"/>
              <w:jc w:val="right"/>
              <w:rPr>
                <w:rFonts w:ascii="Arial" w:hAnsi="Arial" w:cs="Arial"/>
                <w:sz w:val="18"/>
                <w:szCs w:val="18"/>
                <w:lang w:eastAsia="hr-HR"/>
              </w:rPr>
            </w:pPr>
            <w:r>
              <w:rPr>
                <w:rFonts w:ascii="Arial" w:hAnsi="Arial" w:cs="Arial"/>
                <w:sz w:val="18"/>
                <w:szCs w:val="18"/>
                <w:lang w:eastAsia="hr-HR"/>
              </w:rPr>
              <w:t>2830,08</w:t>
            </w:r>
            <w:r w:rsidR="00357058" w:rsidRPr="00357058">
              <w:rPr>
                <w:rFonts w:ascii="Arial" w:hAnsi="Arial" w:cs="Arial"/>
                <w:sz w:val="18"/>
                <w:szCs w:val="18"/>
                <w:lang w:eastAsia="hr-HR"/>
              </w:rPr>
              <w:t>%</w:t>
            </w:r>
          </w:p>
        </w:tc>
        <w:tc>
          <w:tcPr>
            <w:tcW w:w="1260" w:type="dxa"/>
            <w:tcBorders>
              <w:top w:val="nil"/>
              <w:left w:val="nil"/>
              <w:bottom w:val="nil"/>
              <w:right w:val="nil"/>
            </w:tcBorders>
            <w:shd w:val="clear" w:color="auto" w:fill="auto"/>
            <w:noWrap/>
            <w:vAlign w:val="bottom"/>
            <w:hideMark/>
          </w:tcPr>
          <w:p w14:paraId="53AC270D" w14:textId="3D45CE9F" w:rsidR="00357058" w:rsidRPr="00357058" w:rsidRDefault="00C84C3D" w:rsidP="00357058">
            <w:pPr>
              <w:spacing w:after="0" w:line="240" w:lineRule="auto"/>
              <w:jc w:val="right"/>
              <w:rPr>
                <w:rFonts w:ascii="Arial" w:hAnsi="Arial" w:cs="Arial"/>
                <w:sz w:val="18"/>
                <w:szCs w:val="18"/>
                <w:lang w:eastAsia="hr-HR"/>
              </w:rPr>
            </w:pPr>
            <w:r>
              <w:rPr>
                <w:rFonts w:ascii="Arial" w:hAnsi="Arial" w:cs="Arial"/>
                <w:sz w:val="18"/>
                <w:szCs w:val="18"/>
                <w:lang w:eastAsia="hr-HR"/>
              </w:rPr>
              <w:t>101,26</w:t>
            </w:r>
            <w:r w:rsidR="00357058" w:rsidRPr="00357058">
              <w:rPr>
                <w:rFonts w:ascii="Arial" w:hAnsi="Arial" w:cs="Arial"/>
                <w:sz w:val="18"/>
                <w:szCs w:val="18"/>
                <w:lang w:eastAsia="hr-HR"/>
              </w:rPr>
              <w:t>%</w:t>
            </w:r>
          </w:p>
        </w:tc>
      </w:tr>
      <w:tr w:rsidR="00357058" w:rsidRPr="00357058" w14:paraId="3B1ADD72" w14:textId="77777777" w:rsidTr="00357058">
        <w:trPr>
          <w:trHeight w:val="255"/>
        </w:trPr>
        <w:tc>
          <w:tcPr>
            <w:tcW w:w="6663" w:type="dxa"/>
            <w:tcBorders>
              <w:top w:val="nil"/>
              <w:left w:val="nil"/>
              <w:bottom w:val="nil"/>
              <w:right w:val="nil"/>
            </w:tcBorders>
            <w:shd w:val="clear" w:color="auto" w:fill="auto"/>
            <w:noWrap/>
            <w:vAlign w:val="bottom"/>
            <w:hideMark/>
          </w:tcPr>
          <w:p w14:paraId="04673082" w14:textId="77777777" w:rsidR="00357058" w:rsidRPr="00357058" w:rsidRDefault="00357058" w:rsidP="00357058">
            <w:pPr>
              <w:spacing w:after="0" w:line="240" w:lineRule="auto"/>
              <w:rPr>
                <w:rFonts w:ascii="Arial" w:hAnsi="Arial" w:cs="Arial"/>
                <w:b/>
                <w:bCs/>
                <w:sz w:val="18"/>
                <w:szCs w:val="18"/>
                <w:lang w:eastAsia="hr-HR"/>
              </w:rPr>
            </w:pPr>
            <w:r w:rsidRPr="00357058">
              <w:rPr>
                <w:rFonts w:ascii="Arial" w:hAnsi="Arial" w:cs="Arial"/>
                <w:b/>
                <w:bCs/>
                <w:sz w:val="18"/>
                <w:szCs w:val="18"/>
                <w:lang w:eastAsia="hr-HR"/>
              </w:rPr>
              <w:lastRenderedPageBreak/>
              <w:t>Izvor 7. Prihodi od prodaje nefin. imovine</w:t>
            </w:r>
          </w:p>
        </w:tc>
        <w:tc>
          <w:tcPr>
            <w:tcW w:w="1843" w:type="dxa"/>
            <w:tcBorders>
              <w:top w:val="nil"/>
              <w:left w:val="nil"/>
              <w:bottom w:val="nil"/>
              <w:right w:val="nil"/>
            </w:tcBorders>
            <w:shd w:val="clear" w:color="auto" w:fill="auto"/>
            <w:noWrap/>
            <w:vAlign w:val="bottom"/>
            <w:hideMark/>
          </w:tcPr>
          <w:p w14:paraId="05BC9A10" w14:textId="77777777" w:rsidR="00357058" w:rsidRPr="00357058" w:rsidRDefault="00357058" w:rsidP="00357058">
            <w:pPr>
              <w:spacing w:after="0" w:line="240" w:lineRule="auto"/>
              <w:jc w:val="right"/>
              <w:rPr>
                <w:rFonts w:ascii="Arial" w:hAnsi="Arial" w:cs="Arial"/>
                <w:b/>
                <w:bCs/>
                <w:sz w:val="18"/>
                <w:szCs w:val="18"/>
                <w:lang w:eastAsia="hr-HR"/>
              </w:rPr>
            </w:pPr>
            <w:r w:rsidRPr="00357058">
              <w:rPr>
                <w:rFonts w:ascii="Arial" w:hAnsi="Arial" w:cs="Arial"/>
                <w:b/>
                <w:bCs/>
                <w:sz w:val="18"/>
                <w:szCs w:val="18"/>
                <w:lang w:eastAsia="hr-HR"/>
              </w:rPr>
              <w:t>57.762,00</w:t>
            </w:r>
          </w:p>
        </w:tc>
        <w:tc>
          <w:tcPr>
            <w:tcW w:w="1819" w:type="dxa"/>
            <w:tcBorders>
              <w:top w:val="nil"/>
              <w:left w:val="nil"/>
              <w:bottom w:val="nil"/>
              <w:right w:val="nil"/>
            </w:tcBorders>
            <w:shd w:val="clear" w:color="auto" w:fill="auto"/>
            <w:noWrap/>
            <w:vAlign w:val="bottom"/>
            <w:hideMark/>
          </w:tcPr>
          <w:p w14:paraId="2F6EF915" w14:textId="77777777" w:rsidR="00357058" w:rsidRPr="00357058" w:rsidRDefault="00357058" w:rsidP="00357058">
            <w:pPr>
              <w:spacing w:after="0" w:line="240" w:lineRule="auto"/>
              <w:jc w:val="right"/>
              <w:rPr>
                <w:rFonts w:ascii="Arial" w:hAnsi="Arial" w:cs="Arial"/>
                <w:b/>
                <w:bCs/>
                <w:sz w:val="18"/>
                <w:szCs w:val="18"/>
                <w:lang w:eastAsia="hr-HR"/>
              </w:rPr>
            </w:pPr>
            <w:r w:rsidRPr="00357058">
              <w:rPr>
                <w:rFonts w:ascii="Arial" w:hAnsi="Arial" w:cs="Arial"/>
                <w:b/>
                <w:bCs/>
                <w:sz w:val="18"/>
                <w:szCs w:val="18"/>
                <w:lang w:eastAsia="hr-HR"/>
              </w:rPr>
              <w:t>214.000,00</w:t>
            </w:r>
          </w:p>
        </w:tc>
        <w:tc>
          <w:tcPr>
            <w:tcW w:w="1580" w:type="dxa"/>
            <w:tcBorders>
              <w:top w:val="nil"/>
              <w:left w:val="nil"/>
              <w:bottom w:val="nil"/>
              <w:right w:val="nil"/>
            </w:tcBorders>
            <w:shd w:val="clear" w:color="auto" w:fill="auto"/>
            <w:noWrap/>
            <w:vAlign w:val="bottom"/>
            <w:hideMark/>
          </w:tcPr>
          <w:p w14:paraId="4F5666FB" w14:textId="77777777" w:rsidR="00357058" w:rsidRPr="00357058" w:rsidRDefault="00357058" w:rsidP="00357058">
            <w:pPr>
              <w:spacing w:after="0" w:line="240" w:lineRule="auto"/>
              <w:jc w:val="right"/>
              <w:rPr>
                <w:rFonts w:ascii="Arial" w:hAnsi="Arial" w:cs="Arial"/>
                <w:b/>
                <w:bCs/>
                <w:sz w:val="18"/>
                <w:szCs w:val="18"/>
                <w:lang w:eastAsia="hr-HR"/>
              </w:rPr>
            </w:pPr>
            <w:r w:rsidRPr="00357058">
              <w:rPr>
                <w:rFonts w:ascii="Arial" w:hAnsi="Arial" w:cs="Arial"/>
                <w:b/>
                <w:bCs/>
                <w:sz w:val="18"/>
                <w:szCs w:val="18"/>
                <w:lang w:eastAsia="hr-HR"/>
              </w:rPr>
              <w:t>112.559,01</w:t>
            </w:r>
          </w:p>
        </w:tc>
        <w:tc>
          <w:tcPr>
            <w:tcW w:w="1520" w:type="dxa"/>
            <w:tcBorders>
              <w:top w:val="nil"/>
              <w:left w:val="nil"/>
              <w:bottom w:val="nil"/>
              <w:right w:val="nil"/>
            </w:tcBorders>
            <w:shd w:val="clear" w:color="auto" w:fill="auto"/>
            <w:noWrap/>
            <w:vAlign w:val="bottom"/>
            <w:hideMark/>
          </w:tcPr>
          <w:p w14:paraId="40B9888B" w14:textId="77777777" w:rsidR="00357058" w:rsidRPr="00357058" w:rsidRDefault="00357058" w:rsidP="00357058">
            <w:pPr>
              <w:spacing w:after="0" w:line="240" w:lineRule="auto"/>
              <w:jc w:val="right"/>
              <w:rPr>
                <w:rFonts w:ascii="Arial" w:hAnsi="Arial" w:cs="Arial"/>
                <w:b/>
                <w:bCs/>
                <w:sz w:val="18"/>
                <w:szCs w:val="18"/>
                <w:lang w:eastAsia="hr-HR"/>
              </w:rPr>
            </w:pPr>
            <w:r w:rsidRPr="00357058">
              <w:rPr>
                <w:rFonts w:ascii="Arial" w:hAnsi="Arial" w:cs="Arial"/>
                <w:b/>
                <w:bCs/>
                <w:sz w:val="18"/>
                <w:szCs w:val="18"/>
                <w:lang w:eastAsia="hr-HR"/>
              </w:rPr>
              <w:t>194,87%</w:t>
            </w:r>
          </w:p>
        </w:tc>
        <w:tc>
          <w:tcPr>
            <w:tcW w:w="1260" w:type="dxa"/>
            <w:tcBorders>
              <w:top w:val="nil"/>
              <w:left w:val="nil"/>
              <w:bottom w:val="nil"/>
              <w:right w:val="nil"/>
            </w:tcBorders>
            <w:shd w:val="clear" w:color="auto" w:fill="auto"/>
            <w:noWrap/>
            <w:vAlign w:val="bottom"/>
            <w:hideMark/>
          </w:tcPr>
          <w:p w14:paraId="28B822C6" w14:textId="77777777" w:rsidR="00357058" w:rsidRPr="00357058" w:rsidRDefault="00357058" w:rsidP="00357058">
            <w:pPr>
              <w:spacing w:after="0" w:line="240" w:lineRule="auto"/>
              <w:jc w:val="right"/>
              <w:rPr>
                <w:rFonts w:ascii="Arial" w:hAnsi="Arial" w:cs="Arial"/>
                <w:b/>
                <w:bCs/>
                <w:sz w:val="18"/>
                <w:szCs w:val="18"/>
                <w:lang w:eastAsia="hr-HR"/>
              </w:rPr>
            </w:pPr>
            <w:r w:rsidRPr="00357058">
              <w:rPr>
                <w:rFonts w:ascii="Arial" w:hAnsi="Arial" w:cs="Arial"/>
                <w:b/>
                <w:bCs/>
                <w:sz w:val="18"/>
                <w:szCs w:val="18"/>
                <w:lang w:eastAsia="hr-HR"/>
              </w:rPr>
              <w:t>52,60%</w:t>
            </w:r>
          </w:p>
        </w:tc>
      </w:tr>
      <w:tr w:rsidR="00357058" w:rsidRPr="00357058" w14:paraId="56CC62F3" w14:textId="77777777" w:rsidTr="00357058">
        <w:trPr>
          <w:trHeight w:val="255"/>
        </w:trPr>
        <w:tc>
          <w:tcPr>
            <w:tcW w:w="6663" w:type="dxa"/>
            <w:tcBorders>
              <w:top w:val="nil"/>
              <w:left w:val="nil"/>
              <w:bottom w:val="nil"/>
              <w:right w:val="nil"/>
            </w:tcBorders>
            <w:shd w:val="clear" w:color="auto" w:fill="auto"/>
            <w:noWrap/>
            <w:vAlign w:val="bottom"/>
            <w:hideMark/>
          </w:tcPr>
          <w:p w14:paraId="10AE3E40" w14:textId="77777777" w:rsidR="00357058" w:rsidRPr="00357058" w:rsidRDefault="00357058" w:rsidP="00357058">
            <w:pPr>
              <w:spacing w:after="0" w:line="240" w:lineRule="auto"/>
              <w:rPr>
                <w:rFonts w:ascii="Arial" w:hAnsi="Arial" w:cs="Arial"/>
                <w:sz w:val="18"/>
                <w:szCs w:val="18"/>
                <w:lang w:eastAsia="hr-HR"/>
              </w:rPr>
            </w:pPr>
            <w:r w:rsidRPr="00357058">
              <w:rPr>
                <w:rFonts w:ascii="Arial" w:hAnsi="Arial" w:cs="Arial"/>
                <w:sz w:val="18"/>
                <w:szCs w:val="18"/>
                <w:lang w:eastAsia="hr-HR"/>
              </w:rPr>
              <w:t xml:space="preserve">Izvor 7.1. Prihodi od prodaje </w:t>
            </w:r>
            <w:proofErr w:type="spellStart"/>
            <w:r w:rsidRPr="00357058">
              <w:rPr>
                <w:rFonts w:ascii="Arial" w:hAnsi="Arial" w:cs="Arial"/>
                <w:sz w:val="18"/>
                <w:szCs w:val="18"/>
                <w:lang w:eastAsia="hr-HR"/>
              </w:rPr>
              <w:t>nef</w:t>
            </w:r>
            <w:proofErr w:type="spellEnd"/>
            <w:r w:rsidRPr="00357058">
              <w:rPr>
                <w:rFonts w:ascii="Arial" w:hAnsi="Arial" w:cs="Arial"/>
                <w:sz w:val="18"/>
                <w:szCs w:val="18"/>
                <w:lang w:eastAsia="hr-HR"/>
              </w:rPr>
              <w:t>. imovine</w:t>
            </w:r>
          </w:p>
        </w:tc>
        <w:tc>
          <w:tcPr>
            <w:tcW w:w="1843" w:type="dxa"/>
            <w:tcBorders>
              <w:top w:val="nil"/>
              <w:left w:val="nil"/>
              <w:bottom w:val="nil"/>
              <w:right w:val="nil"/>
            </w:tcBorders>
            <w:shd w:val="clear" w:color="auto" w:fill="auto"/>
            <w:noWrap/>
            <w:vAlign w:val="bottom"/>
            <w:hideMark/>
          </w:tcPr>
          <w:p w14:paraId="0796DCF1"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57.762,00</w:t>
            </w:r>
          </w:p>
        </w:tc>
        <w:tc>
          <w:tcPr>
            <w:tcW w:w="1819" w:type="dxa"/>
            <w:tcBorders>
              <w:top w:val="nil"/>
              <w:left w:val="nil"/>
              <w:bottom w:val="nil"/>
              <w:right w:val="nil"/>
            </w:tcBorders>
            <w:shd w:val="clear" w:color="auto" w:fill="auto"/>
            <w:noWrap/>
            <w:vAlign w:val="bottom"/>
            <w:hideMark/>
          </w:tcPr>
          <w:p w14:paraId="41A6CC2A"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214.000,00</w:t>
            </w:r>
          </w:p>
        </w:tc>
        <w:tc>
          <w:tcPr>
            <w:tcW w:w="1580" w:type="dxa"/>
            <w:tcBorders>
              <w:top w:val="nil"/>
              <w:left w:val="nil"/>
              <w:bottom w:val="nil"/>
              <w:right w:val="nil"/>
            </w:tcBorders>
            <w:shd w:val="clear" w:color="auto" w:fill="auto"/>
            <w:noWrap/>
            <w:vAlign w:val="bottom"/>
            <w:hideMark/>
          </w:tcPr>
          <w:p w14:paraId="36F32D18"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112.559,01</w:t>
            </w:r>
          </w:p>
        </w:tc>
        <w:tc>
          <w:tcPr>
            <w:tcW w:w="1520" w:type="dxa"/>
            <w:tcBorders>
              <w:top w:val="nil"/>
              <w:left w:val="nil"/>
              <w:bottom w:val="nil"/>
              <w:right w:val="nil"/>
            </w:tcBorders>
            <w:shd w:val="clear" w:color="auto" w:fill="auto"/>
            <w:noWrap/>
            <w:vAlign w:val="bottom"/>
            <w:hideMark/>
          </w:tcPr>
          <w:p w14:paraId="2A15B049"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194,87%</w:t>
            </w:r>
          </w:p>
        </w:tc>
        <w:tc>
          <w:tcPr>
            <w:tcW w:w="1260" w:type="dxa"/>
            <w:tcBorders>
              <w:top w:val="nil"/>
              <w:left w:val="nil"/>
              <w:bottom w:val="nil"/>
              <w:right w:val="nil"/>
            </w:tcBorders>
            <w:shd w:val="clear" w:color="auto" w:fill="auto"/>
            <w:noWrap/>
            <w:vAlign w:val="bottom"/>
            <w:hideMark/>
          </w:tcPr>
          <w:p w14:paraId="1D18ADB3"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52,60%</w:t>
            </w:r>
          </w:p>
        </w:tc>
      </w:tr>
      <w:tr w:rsidR="00357058" w:rsidRPr="00357058" w14:paraId="7A6B0C05" w14:textId="77777777" w:rsidTr="00357058">
        <w:trPr>
          <w:trHeight w:val="255"/>
        </w:trPr>
        <w:tc>
          <w:tcPr>
            <w:tcW w:w="6663" w:type="dxa"/>
            <w:tcBorders>
              <w:top w:val="nil"/>
              <w:left w:val="nil"/>
              <w:bottom w:val="nil"/>
              <w:right w:val="nil"/>
            </w:tcBorders>
            <w:shd w:val="clear" w:color="auto" w:fill="auto"/>
            <w:noWrap/>
            <w:vAlign w:val="bottom"/>
            <w:hideMark/>
          </w:tcPr>
          <w:p w14:paraId="79FCE395" w14:textId="77777777" w:rsidR="00357058" w:rsidRPr="00357058" w:rsidRDefault="00357058" w:rsidP="00357058">
            <w:pPr>
              <w:spacing w:after="0" w:line="240" w:lineRule="auto"/>
              <w:rPr>
                <w:rFonts w:ascii="Arial" w:hAnsi="Arial" w:cs="Arial"/>
                <w:b/>
                <w:bCs/>
                <w:sz w:val="18"/>
                <w:szCs w:val="18"/>
                <w:lang w:eastAsia="hr-HR"/>
              </w:rPr>
            </w:pPr>
            <w:r w:rsidRPr="00357058">
              <w:rPr>
                <w:rFonts w:ascii="Arial" w:hAnsi="Arial" w:cs="Arial"/>
                <w:b/>
                <w:bCs/>
                <w:sz w:val="18"/>
                <w:szCs w:val="18"/>
                <w:lang w:eastAsia="hr-HR"/>
              </w:rPr>
              <w:t>Izvor 8. Namjenski primici /od fin. imovine i zaduživanja</w:t>
            </w:r>
          </w:p>
        </w:tc>
        <w:tc>
          <w:tcPr>
            <w:tcW w:w="1843" w:type="dxa"/>
            <w:tcBorders>
              <w:top w:val="nil"/>
              <w:left w:val="nil"/>
              <w:bottom w:val="nil"/>
              <w:right w:val="nil"/>
            </w:tcBorders>
            <w:shd w:val="clear" w:color="auto" w:fill="auto"/>
            <w:noWrap/>
            <w:vAlign w:val="bottom"/>
            <w:hideMark/>
          </w:tcPr>
          <w:p w14:paraId="75B3CD20" w14:textId="77777777" w:rsidR="00357058" w:rsidRPr="00357058" w:rsidRDefault="00357058" w:rsidP="00357058">
            <w:pPr>
              <w:spacing w:after="0" w:line="240" w:lineRule="auto"/>
              <w:rPr>
                <w:rFonts w:ascii="Arial" w:hAnsi="Arial" w:cs="Arial"/>
                <w:b/>
                <w:bCs/>
                <w:sz w:val="18"/>
                <w:szCs w:val="18"/>
                <w:lang w:eastAsia="hr-HR"/>
              </w:rPr>
            </w:pPr>
          </w:p>
        </w:tc>
        <w:tc>
          <w:tcPr>
            <w:tcW w:w="1819" w:type="dxa"/>
            <w:tcBorders>
              <w:top w:val="nil"/>
              <w:left w:val="nil"/>
              <w:bottom w:val="nil"/>
              <w:right w:val="nil"/>
            </w:tcBorders>
            <w:shd w:val="clear" w:color="auto" w:fill="auto"/>
            <w:noWrap/>
            <w:vAlign w:val="bottom"/>
            <w:hideMark/>
          </w:tcPr>
          <w:p w14:paraId="0DD14A86" w14:textId="77777777" w:rsidR="00357058" w:rsidRPr="00357058" w:rsidRDefault="00357058" w:rsidP="00357058">
            <w:pPr>
              <w:spacing w:after="0" w:line="240" w:lineRule="auto"/>
              <w:jc w:val="right"/>
              <w:rPr>
                <w:rFonts w:ascii="Arial" w:hAnsi="Arial" w:cs="Arial"/>
                <w:b/>
                <w:bCs/>
                <w:sz w:val="18"/>
                <w:szCs w:val="18"/>
                <w:lang w:eastAsia="hr-HR"/>
              </w:rPr>
            </w:pPr>
            <w:r w:rsidRPr="00357058">
              <w:rPr>
                <w:rFonts w:ascii="Arial" w:hAnsi="Arial" w:cs="Arial"/>
                <w:b/>
                <w:bCs/>
                <w:sz w:val="18"/>
                <w:szCs w:val="18"/>
                <w:lang w:eastAsia="hr-HR"/>
              </w:rPr>
              <w:t>732.831,00</w:t>
            </w:r>
          </w:p>
        </w:tc>
        <w:tc>
          <w:tcPr>
            <w:tcW w:w="1580" w:type="dxa"/>
            <w:tcBorders>
              <w:top w:val="nil"/>
              <w:left w:val="nil"/>
              <w:bottom w:val="nil"/>
              <w:right w:val="nil"/>
            </w:tcBorders>
            <w:shd w:val="clear" w:color="auto" w:fill="auto"/>
            <w:noWrap/>
            <w:vAlign w:val="bottom"/>
            <w:hideMark/>
          </w:tcPr>
          <w:p w14:paraId="3124C0EF" w14:textId="77777777" w:rsidR="00357058" w:rsidRPr="00357058" w:rsidRDefault="00357058" w:rsidP="00357058">
            <w:pPr>
              <w:spacing w:after="0" w:line="240" w:lineRule="auto"/>
              <w:jc w:val="right"/>
              <w:rPr>
                <w:rFonts w:ascii="Arial" w:hAnsi="Arial" w:cs="Arial"/>
                <w:b/>
                <w:bCs/>
                <w:sz w:val="18"/>
                <w:szCs w:val="18"/>
                <w:lang w:eastAsia="hr-HR"/>
              </w:rPr>
            </w:pPr>
            <w:r w:rsidRPr="00357058">
              <w:rPr>
                <w:rFonts w:ascii="Arial" w:hAnsi="Arial" w:cs="Arial"/>
                <w:b/>
                <w:bCs/>
                <w:sz w:val="18"/>
                <w:szCs w:val="18"/>
                <w:lang w:eastAsia="hr-HR"/>
              </w:rPr>
              <w:t>627.143,50</w:t>
            </w:r>
          </w:p>
        </w:tc>
        <w:tc>
          <w:tcPr>
            <w:tcW w:w="1520" w:type="dxa"/>
            <w:tcBorders>
              <w:top w:val="nil"/>
              <w:left w:val="nil"/>
              <w:bottom w:val="nil"/>
              <w:right w:val="nil"/>
            </w:tcBorders>
            <w:shd w:val="clear" w:color="auto" w:fill="auto"/>
            <w:noWrap/>
            <w:vAlign w:val="bottom"/>
            <w:hideMark/>
          </w:tcPr>
          <w:p w14:paraId="6A0A6AE3" w14:textId="77777777" w:rsidR="00357058" w:rsidRPr="00357058" w:rsidRDefault="00357058" w:rsidP="00357058">
            <w:pPr>
              <w:spacing w:after="0" w:line="240" w:lineRule="auto"/>
              <w:jc w:val="right"/>
              <w:rPr>
                <w:rFonts w:ascii="Arial" w:hAnsi="Arial" w:cs="Arial"/>
                <w:b/>
                <w:bCs/>
                <w:sz w:val="18"/>
                <w:szCs w:val="18"/>
                <w:lang w:eastAsia="hr-HR"/>
              </w:rPr>
            </w:pPr>
            <w:r w:rsidRPr="00357058">
              <w:rPr>
                <w:rFonts w:ascii="Arial" w:hAnsi="Arial" w:cs="Arial"/>
                <w:b/>
                <w:bCs/>
                <w:sz w:val="18"/>
                <w:szCs w:val="18"/>
                <w:lang w:eastAsia="hr-HR"/>
              </w:rPr>
              <w:t>0,00%</w:t>
            </w:r>
          </w:p>
        </w:tc>
        <w:tc>
          <w:tcPr>
            <w:tcW w:w="1260" w:type="dxa"/>
            <w:tcBorders>
              <w:top w:val="nil"/>
              <w:left w:val="nil"/>
              <w:bottom w:val="nil"/>
              <w:right w:val="nil"/>
            </w:tcBorders>
            <w:shd w:val="clear" w:color="auto" w:fill="auto"/>
            <w:noWrap/>
            <w:vAlign w:val="bottom"/>
            <w:hideMark/>
          </w:tcPr>
          <w:p w14:paraId="2CB36D0B" w14:textId="77777777" w:rsidR="00357058" w:rsidRPr="00357058" w:rsidRDefault="00357058" w:rsidP="00357058">
            <w:pPr>
              <w:spacing w:after="0" w:line="240" w:lineRule="auto"/>
              <w:jc w:val="right"/>
              <w:rPr>
                <w:rFonts w:ascii="Arial" w:hAnsi="Arial" w:cs="Arial"/>
                <w:b/>
                <w:bCs/>
                <w:sz w:val="18"/>
                <w:szCs w:val="18"/>
                <w:lang w:eastAsia="hr-HR"/>
              </w:rPr>
            </w:pPr>
            <w:r w:rsidRPr="00357058">
              <w:rPr>
                <w:rFonts w:ascii="Arial" w:hAnsi="Arial" w:cs="Arial"/>
                <w:b/>
                <w:bCs/>
                <w:sz w:val="18"/>
                <w:szCs w:val="18"/>
                <w:lang w:eastAsia="hr-HR"/>
              </w:rPr>
              <w:t>85,58%</w:t>
            </w:r>
          </w:p>
        </w:tc>
      </w:tr>
      <w:tr w:rsidR="00357058" w:rsidRPr="00357058" w14:paraId="4DF1D962" w14:textId="77777777" w:rsidTr="00357058">
        <w:trPr>
          <w:trHeight w:val="255"/>
        </w:trPr>
        <w:tc>
          <w:tcPr>
            <w:tcW w:w="6663" w:type="dxa"/>
            <w:tcBorders>
              <w:top w:val="nil"/>
              <w:left w:val="nil"/>
              <w:bottom w:val="nil"/>
              <w:right w:val="nil"/>
            </w:tcBorders>
            <w:shd w:val="clear" w:color="auto" w:fill="auto"/>
            <w:noWrap/>
            <w:vAlign w:val="bottom"/>
            <w:hideMark/>
          </w:tcPr>
          <w:p w14:paraId="77B91187" w14:textId="77777777" w:rsidR="00357058" w:rsidRPr="00357058" w:rsidRDefault="00357058" w:rsidP="00357058">
            <w:pPr>
              <w:spacing w:after="0" w:line="240" w:lineRule="auto"/>
              <w:rPr>
                <w:rFonts w:ascii="Arial" w:hAnsi="Arial" w:cs="Arial"/>
                <w:sz w:val="18"/>
                <w:szCs w:val="18"/>
                <w:lang w:eastAsia="hr-HR"/>
              </w:rPr>
            </w:pPr>
            <w:r w:rsidRPr="00357058">
              <w:rPr>
                <w:rFonts w:ascii="Arial" w:hAnsi="Arial" w:cs="Arial"/>
                <w:sz w:val="18"/>
                <w:szCs w:val="18"/>
                <w:lang w:eastAsia="hr-HR"/>
              </w:rPr>
              <w:t xml:space="preserve">Izvor 8.1. Namjenski primici /od fin. imovine i zaduživanja </w:t>
            </w:r>
          </w:p>
        </w:tc>
        <w:tc>
          <w:tcPr>
            <w:tcW w:w="1843" w:type="dxa"/>
            <w:tcBorders>
              <w:top w:val="nil"/>
              <w:left w:val="nil"/>
              <w:bottom w:val="nil"/>
              <w:right w:val="nil"/>
            </w:tcBorders>
            <w:shd w:val="clear" w:color="auto" w:fill="auto"/>
            <w:noWrap/>
            <w:vAlign w:val="bottom"/>
            <w:hideMark/>
          </w:tcPr>
          <w:p w14:paraId="11E24FAC" w14:textId="77777777" w:rsidR="00357058" w:rsidRPr="00357058" w:rsidRDefault="00357058" w:rsidP="00357058">
            <w:pPr>
              <w:spacing w:after="0" w:line="240" w:lineRule="auto"/>
              <w:rPr>
                <w:rFonts w:ascii="Arial" w:hAnsi="Arial" w:cs="Arial"/>
                <w:sz w:val="18"/>
                <w:szCs w:val="18"/>
                <w:lang w:eastAsia="hr-HR"/>
              </w:rPr>
            </w:pPr>
          </w:p>
        </w:tc>
        <w:tc>
          <w:tcPr>
            <w:tcW w:w="1819" w:type="dxa"/>
            <w:tcBorders>
              <w:top w:val="nil"/>
              <w:left w:val="nil"/>
              <w:bottom w:val="nil"/>
              <w:right w:val="nil"/>
            </w:tcBorders>
            <w:shd w:val="clear" w:color="auto" w:fill="auto"/>
            <w:noWrap/>
            <w:vAlign w:val="bottom"/>
            <w:hideMark/>
          </w:tcPr>
          <w:p w14:paraId="3217350E"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732.831,00</w:t>
            </w:r>
          </w:p>
        </w:tc>
        <w:tc>
          <w:tcPr>
            <w:tcW w:w="1580" w:type="dxa"/>
            <w:tcBorders>
              <w:top w:val="nil"/>
              <w:left w:val="nil"/>
              <w:bottom w:val="nil"/>
              <w:right w:val="nil"/>
            </w:tcBorders>
            <w:shd w:val="clear" w:color="auto" w:fill="auto"/>
            <w:noWrap/>
            <w:vAlign w:val="bottom"/>
            <w:hideMark/>
          </w:tcPr>
          <w:p w14:paraId="3F5B1D12"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627.143,50</w:t>
            </w:r>
          </w:p>
        </w:tc>
        <w:tc>
          <w:tcPr>
            <w:tcW w:w="1520" w:type="dxa"/>
            <w:tcBorders>
              <w:top w:val="nil"/>
              <w:left w:val="nil"/>
              <w:bottom w:val="nil"/>
              <w:right w:val="nil"/>
            </w:tcBorders>
            <w:shd w:val="clear" w:color="auto" w:fill="auto"/>
            <w:noWrap/>
            <w:vAlign w:val="bottom"/>
            <w:hideMark/>
          </w:tcPr>
          <w:p w14:paraId="25772437"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0,00%</w:t>
            </w:r>
          </w:p>
        </w:tc>
        <w:tc>
          <w:tcPr>
            <w:tcW w:w="1260" w:type="dxa"/>
            <w:tcBorders>
              <w:top w:val="nil"/>
              <w:left w:val="nil"/>
              <w:bottom w:val="nil"/>
              <w:right w:val="nil"/>
            </w:tcBorders>
            <w:shd w:val="clear" w:color="auto" w:fill="auto"/>
            <w:noWrap/>
            <w:vAlign w:val="bottom"/>
            <w:hideMark/>
          </w:tcPr>
          <w:p w14:paraId="66B5224D"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85,58%</w:t>
            </w:r>
          </w:p>
        </w:tc>
      </w:tr>
      <w:tr w:rsidR="00357058" w:rsidRPr="00357058" w14:paraId="76E0833E" w14:textId="77777777" w:rsidTr="00357058">
        <w:trPr>
          <w:trHeight w:val="255"/>
        </w:trPr>
        <w:tc>
          <w:tcPr>
            <w:tcW w:w="6663" w:type="dxa"/>
            <w:tcBorders>
              <w:top w:val="nil"/>
              <w:left w:val="nil"/>
              <w:bottom w:val="nil"/>
              <w:right w:val="nil"/>
            </w:tcBorders>
            <w:shd w:val="clear" w:color="auto" w:fill="auto"/>
            <w:noWrap/>
            <w:vAlign w:val="bottom"/>
            <w:hideMark/>
          </w:tcPr>
          <w:p w14:paraId="522D76A4" w14:textId="77777777" w:rsidR="00357058" w:rsidRPr="00357058" w:rsidRDefault="00357058" w:rsidP="00357058">
            <w:pPr>
              <w:spacing w:after="0" w:line="240" w:lineRule="auto"/>
              <w:rPr>
                <w:rFonts w:ascii="Arial" w:hAnsi="Arial" w:cs="Arial"/>
                <w:b/>
                <w:bCs/>
                <w:sz w:val="18"/>
                <w:szCs w:val="18"/>
                <w:lang w:eastAsia="hr-HR"/>
              </w:rPr>
            </w:pPr>
            <w:r w:rsidRPr="00357058">
              <w:rPr>
                <w:rFonts w:ascii="Arial" w:hAnsi="Arial" w:cs="Arial"/>
                <w:b/>
                <w:bCs/>
                <w:sz w:val="18"/>
                <w:szCs w:val="18"/>
                <w:lang w:eastAsia="hr-HR"/>
              </w:rPr>
              <w:t>Izvor 9. Višak iz prethodnih razdoblja</w:t>
            </w:r>
          </w:p>
        </w:tc>
        <w:tc>
          <w:tcPr>
            <w:tcW w:w="1843" w:type="dxa"/>
            <w:tcBorders>
              <w:top w:val="nil"/>
              <w:left w:val="nil"/>
              <w:bottom w:val="nil"/>
              <w:right w:val="nil"/>
            </w:tcBorders>
            <w:shd w:val="clear" w:color="auto" w:fill="auto"/>
            <w:noWrap/>
            <w:vAlign w:val="bottom"/>
            <w:hideMark/>
          </w:tcPr>
          <w:p w14:paraId="352D5CF4" w14:textId="77777777" w:rsidR="00357058" w:rsidRPr="00357058" w:rsidRDefault="00357058" w:rsidP="00357058">
            <w:pPr>
              <w:spacing w:after="0" w:line="240" w:lineRule="auto"/>
              <w:jc w:val="right"/>
              <w:rPr>
                <w:rFonts w:ascii="Arial" w:hAnsi="Arial" w:cs="Arial"/>
                <w:b/>
                <w:bCs/>
                <w:sz w:val="18"/>
                <w:szCs w:val="18"/>
                <w:lang w:eastAsia="hr-HR"/>
              </w:rPr>
            </w:pPr>
            <w:r w:rsidRPr="00357058">
              <w:rPr>
                <w:rFonts w:ascii="Arial" w:hAnsi="Arial" w:cs="Arial"/>
                <w:b/>
                <w:bCs/>
                <w:sz w:val="18"/>
                <w:szCs w:val="18"/>
                <w:lang w:eastAsia="hr-HR"/>
              </w:rPr>
              <w:t>193.866,68</w:t>
            </w:r>
          </w:p>
        </w:tc>
        <w:tc>
          <w:tcPr>
            <w:tcW w:w="1819" w:type="dxa"/>
            <w:tcBorders>
              <w:top w:val="nil"/>
              <w:left w:val="nil"/>
              <w:bottom w:val="nil"/>
              <w:right w:val="nil"/>
            </w:tcBorders>
            <w:shd w:val="clear" w:color="auto" w:fill="auto"/>
            <w:noWrap/>
            <w:vAlign w:val="bottom"/>
            <w:hideMark/>
          </w:tcPr>
          <w:p w14:paraId="2853BB48" w14:textId="77777777" w:rsidR="00357058" w:rsidRPr="00357058" w:rsidRDefault="00357058" w:rsidP="00357058">
            <w:pPr>
              <w:spacing w:after="0" w:line="240" w:lineRule="auto"/>
              <w:jc w:val="right"/>
              <w:rPr>
                <w:rFonts w:ascii="Arial" w:hAnsi="Arial" w:cs="Arial"/>
                <w:b/>
                <w:bCs/>
                <w:sz w:val="18"/>
                <w:szCs w:val="18"/>
                <w:lang w:eastAsia="hr-HR"/>
              </w:rPr>
            </w:pPr>
            <w:r w:rsidRPr="00357058">
              <w:rPr>
                <w:rFonts w:ascii="Arial" w:hAnsi="Arial" w:cs="Arial"/>
                <w:b/>
                <w:bCs/>
                <w:sz w:val="18"/>
                <w:szCs w:val="18"/>
                <w:lang w:eastAsia="hr-HR"/>
              </w:rPr>
              <w:t>882.660,70</w:t>
            </w:r>
          </w:p>
        </w:tc>
        <w:tc>
          <w:tcPr>
            <w:tcW w:w="1580" w:type="dxa"/>
            <w:tcBorders>
              <w:top w:val="nil"/>
              <w:left w:val="nil"/>
              <w:bottom w:val="nil"/>
              <w:right w:val="nil"/>
            </w:tcBorders>
            <w:shd w:val="clear" w:color="auto" w:fill="auto"/>
            <w:noWrap/>
            <w:vAlign w:val="bottom"/>
            <w:hideMark/>
          </w:tcPr>
          <w:p w14:paraId="2F448D4D" w14:textId="77777777" w:rsidR="00357058" w:rsidRPr="00357058" w:rsidRDefault="00357058" w:rsidP="00357058">
            <w:pPr>
              <w:spacing w:after="0" w:line="240" w:lineRule="auto"/>
              <w:jc w:val="right"/>
              <w:rPr>
                <w:rFonts w:ascii="Arial" w:hAnsi="Arial" w:cs="Arial"/>
                <w:b/>
                <w:bCs/>
                <w:sz w:val="18"/>
                <w:szCs w:val="18"/>
                <w:lang w:eastAsia="hr-HR"/>
              </w:rPr>
            </w:pPr>
            <w:r w:rsidRPr="00357058">
              <w:rPr>
                <w:rFonts w:ascii="Arial" w:hAnsi="Arial" w:cs="Arial"/>
                <w:b/>
                <w:bCs/>
                <w:sz w:val="18"/>
                <w:szCs w:val="18"/>
                <w:lang w:eastAsia="hr-HR"/>
              </w:rPr>
              <w:t>852.441,40</w:t>
            </w:r>
          </w:p>
        </w:tc>
        <w:tc>
          <w:tcPr>
            <w:tcW w:w="1520" w:type="dxa"/>
            <w:tcBorders>
              <w:top w:val="nil"/>
              <w:left w:val="nil"/>
              <w:bottom w:val="nil"/>
              <w:right w:val="nil"/>
            </w:tcBorders>
            <w:shd w:val="clear" w:color="auto" w:fill="auto"/>
            <w:noWrap/>
            <w:vAlign w:val="bottom"/>
            <w:hideMark/>
          </w:tcPr>
          <w:p w14:paraId="73ED9C22" w14:textId="77777777" w:rsidR="00357058" w:rsidRPr="00357058" w:rsidRDefault="00357058" w:rsidP="00357058">
            <w:pPr>
              <w:spacing w:after="0" w:line="240" w:lineRule="auto"/>
              <w:jc w:val="right"/>
              <w:rPr>
                <w:rFonts w:ascii="Arial" w:hAnsi="Arial" w:cs="Arial"/>
                <w:b/>
                <w:bCs/>
                <w:sz w:val="18"/>
                <w:szCs w:val="18"/>
                <w:lang w:eastAsia="hr-HR"/>
              </w:rPr>
            </w:pPr>
            <w:r w:rsidRPr="00357058">
              <w:rPr>
                <w:rFonts w:ascii="Arial" w:hAnsi="Arial" w:cs="Arial"/>
                <w:b/>
                <w:bCs/>
                <w:sz w:val="18"/>
                <w:szCs w:val="18"/>
                <w:lang w:eastAsia="hr-HR"/>
              </w:rPr>
              <w:t>439,70%</w:t>
            </w:r>
          </w:p>
        </w:tc>
        <w:tc>
          <w:tcPr>
            <w:tcW w:w="1260" w:type="dxa"/>
            <w:tcBorders>
              <w:top w:val="nil"/>
              <w:left w:val="nil"/>
              <w:bottom w:val="nil"/>
              <w:right w:val="nil"/>
            </w:tcBorders>
            <w:shd w:val="clear" w:color="auto" w:fill="auto"/>
            <w:noWrap/>
            <w:vAlign w:val="bottom"/>
            <w:hideMark/>
          </w:tcPr>
          <w:p w14:paraId="7D8BCA65" w14:textId="77777777" w:rsidR="00357058" w:rsidRPr="00357058" w:rsidRDefault="00357058" w:rsidP="00357058">
            <w:pPr>
              <w:spacing w:after="0" w:line="240" w:lineRule="auto"/>
              <w:jc w:val="right"/>
              <w:rPr>
                <w:rFonts w:ascii="Arial" w:hAnsi="Arial" w:cs="Arial"/>
                <w:b/>
                <w:bCs/>
                <w:sz w:val="18"/>
                <w:szCs w:val="18"/>
                <w:lang w:eastAsia="hr-HR"/>
              </w:rPr>
            </w:pPr>
            <w:r w:rsidRPr="00357058">
              <w:rPr>
                <w:rFonts w:ascii="Arial" w:hAnsi="Arial" w:cs="Arial"/>
                <w:b/>
                <w:bCs/>
                <w:sz w:val="18"/>
                <w:szCs w:val="18"/>
                <w:lang w:eastAsia="hr-HR"/>
              </w:rPr>
              <w:t>96,58%</w:t>
            </w:r>
          </w:p>
        </w:tc>
      </w:tr>
      <w:tr w:rsidR="00357058" w:rsidRPr="00357058" w14:paraId="41464FD6" w14:textId="77777777" w:rsidTr="00357058">
        <w:trPr>
          <w:trHeight w:val="255"/>
        </w:trPr>
        <w:tc>
          <w:tcPr>
            <w:tcW w:w="6663" w:type="dxa"/>
            <w:tcBorders>
              <w:top w:val="nil"/>
              <w:left w:val="nil"/>
              <w:bottom w:val="nil"/>
              <w:right w:val="nil"/>
            </w:tcBorders>
            <w:shd w:val="clear" w:color="auto" w:fill="auto"/>
            <w:noWrap/>
            <w:vAlign w:val="bottom"/>
            <w:hideMark/>
          </w:tcPr>
          <w:p w14:paraId="1E17D9C9" w14:textId="551EBC34" w:rsidR="00357058" w:rsidRPr="00357058" w:rsidRDefault="00357058" w:rsidP="00357058">
            <w:pPr>
              <w:spacing w:after="0" w:line="240" w:lineRule="auto"/>
              <w:rPr>
                <w:rFonts w:ascii="Arial" w:hAnsi="Arial" w:cs="Arial"/>
                <w:sz w:val="18"/>
                <w:szCs w:val="18"/>
                <w:lang w:eastAsia="hr-HR"/>
              </w:rPr>
            </w:pPr>
            <w:r w:rsidRPr="00357058">
              <w:rPr>
                <w:rFonts w:ascii="Arial" w:hAnsi="Arial" w:cs="Arial"/>
                <w:sz w:val="18"/>
                <w:szCs w:val="18"/>
                <w:lang w:eastAsia="hr-HR"/>
              </w:rPr>
              <w:t xml:space="preserve">Izvor 9.1. Višak iz prethodnih godina </w:t>
            </w:r>
            <w:r>
              <w:rPr>
                <w:rFonts w:ascii="Arial" w:hAnsi="Arial" w:cs="Arial"/>
                <w:sz w:val="18"/>
                <w:szCs w:val="18"/>
                <w:lang w:eastAsia="hr-HR"/>
              </w:rPr>
              <w:t>–</w:t>
            </w:r>
            <w:r w:rsidRPr="00357058">
              <w:rPr>
                <w:rFonts w:ascii="Arial" w:hAnsi="Arial" w:cs="Arial"/>
                <w:sz w:val="18"/>
                <w:szCs w:val="18"/>
                <w:lang w:eastAsia="hr-HR"/>
              </w:rPr>
              <w:t xml:space="preserve"> Prora</w:t>
            </w:r>
            <w:r>
              <w:rPr>
                <w:rFonts w:ascii="Arial" w:hAnsi="Arial" w:cs="Arial"/>
                <w:sz w:val="18"/>
                <w:szCs w:val="18"/>
                <w:lang w:eastAsia="hr-HR"/>
              </w:rPr>
              <w:t xml:space="preserve">čunski </w:t>
            </w:r>
            <w:r w:rsidRPr="00357058">
              <w:rPr>
                <w:rFonts w:ascii="Arial" w:hAnsi="Arial" w:cs="Arial"/>
                <w:sz w:val="18"/>
                <w:szCs w:val="18"/>
                <w:lang w:eastAsia="hr-HR"/>
              </w:rPr>
              <w:t>korisnici</w:t>
            </w:r>
          </w:p>
        </w:tc>
        <w:tc>
          <w:tcPr>
            <w:tcW w:w="1843" w:type="dxa"/>
            <w:tcBorders>
              <w:top w:val="nil"/>
              <w:left w:val="nil"/>
              <w:bottom w:val="nil"/>
              <w:right w:val="nil"/>
            </w:tcBorders>
            <w:shd w:val="clear" w:color="auto" w:fill="auto"/>
            <w:noWrap/>
            <w:vAlign w:val="bottom"/>
            <w:hideMark/>
          </w:tcPr>
          <w:p w14:paraId="140ABC07"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73.305,81</w:t>
            </w:r>
          </w:p>
        </w:tc>
        <w:tc>
          <w:tcPr>
            <w:tcW w:w="1819" w:type="dxa"/>
            <w:tcBorders>
              <w:top w:val="nil"/>
              <w:left w:val="nil"/>
              <w:bottom w:val="nil"/>
              <w:right w:val="nil"/>
            </w:tcBorders>
            <w:shd w:val="clear" w:color="auto" w:fill="auto"/>
            <w:noWrap/>
            <w:vAlign w:val="bottom"/>
            <w:hideMark/>
          </w:tcPr>
          <w:p w14:paraId="7ADC215F"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67.584,19</w:t>
            </w:r>
          </w:p>
        </w:tc>
        <w:tc>
          <w:tcPr>
            <w:tcW w:w="1580" w:type="dxa"/>
            <w:tcBorders>
              <w:top w:val="nil"/>
              <w:left w:val="nil"/>
              <w:bottom w:val="nil"/>
              <w:right w:val="nil"/>
            </w:tcBorders>
            <w:shd w:val="clear" w:color="auto" w:fill="auto"/>
            <w:noWrap/>
            <w:vAlign w:val="bottom"/>
            <w:hideMark/>
          </w:tcPr>
          <w:p w14:paraId="69F928A1"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65.871,20</w:t>
            </w:r>
          </w:p>
        </w:tc>
        <w:tc>
          <w:tcPr>
            <w:tcW w:w="1520" w:type="dxa"/>
            <w:tcBorders>
              <w:top w:val="nil"/>
              <w:left w:val="nil"/>
              <w:bottom w:val="nil"/>
              <w:right w:val="nil"/>
            </w:tcBorders>
            <w:shd w:val="clear" w:color="auto" w:fill="auto"/>
            <w:noWrap/>
            <w:vAlign w:val="bottom"/>
            <w:hideMark/>
          </w:tcPr>
          <w:p w14:paraId="169890B7"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89,86%</w:t>
            </w:r>
          </w:p>
        </w:tc>
        <w:tc>
          <w:tcPr>
            <w:tcW w:w="1260" w:type="dxa"/>
            <w:tcBorders>
              <w:top w:val="nil"/>
              <w:left w:val="nil"/>
              <w:bottom w:val="nil"/>
              <w:right w:val="nil"/>
            </w:tcBorders>
            <w:shd w:val="clear" w:color="auto" w:fill="auto"/>
            <w:noWrap/>
            <w:vAlign w:val="bottom"/>
            <w:hideMark/>
          </w:tcPr>
          <w:p w14:paraId="75F4895B"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97,47%</w:t>
            </w:r>
          </w:p>
        </w:tc>
      </w:tr>
      <w:tr w:rsidR="00357058" w:rsidRPr="00357058" w14:paraId="0D0EC6E9" w14:textId="77777777" w:rsidTr="00357058">
        <w:trPr>
          <w:trHeight w:val="255"/>
        </w:trPr>
        <w:tc>
          <w:tcPr>
            <w:tcW w:w="6663" w:type="dxa"/>
            <w:tcBorders>
              <w:top w:val="nil"/>
              <w:left w:val="nil"/>
              <w:bottom w:val="nil"/>
              <w:right w:val="nil"/>
            </w:tcBorders>
            <w:shd w:val="clear" w:color="auto" w:fill="auto"/>
            <w:noWrap/>
            <w:vAlign w:val="bottom"/>
            <w:hideMark/>
          </w:tcPr>
          <w:p w14:paraId="41718E3F" w14:textId="77777777" w:rsidR="00357058" w:rsidRPr="00357058" w:rsidRDefault="00357058" w:rsidP="00357058">
            <w:pPr>
              <w:spacing w:after="0" w:line="240" w:lineRule="auto"/>
              <w:rPr>
                <w:rFonts w:ascii="Arial" w:hAnsi="Arial" w:cs="Arial"/>
                <w:sz w:val="18"/>
                <w:szCs w:val="18"/>
                <w:lang w:eastAsia="hr-HR"/>
              </w:rPr>
            </w:pPr>
            <w:r w:rsidRPr="00357058">
              <w:rPr>
                <w:rFonts w:ascii="Arial" w:hAnsi="Arial" w:cs="Arial"/>
                <w:sz w:val="18"/>
                <w:szCs w:val="18"/>
                <w:lang w:eastAsia="hr-HR"/>
              </w:rPr>
              <w:t>Izvor 9.2. Višak iz prethodnih godina - Grad</w:t>
            </w:r>
          </w:p>
        </w:tc>
        <w:tc>
          <w:tcPr>
            <w:tcW w:w="1843" w:type="dxa"/>
            <w:tcBorders>
              <w:top w:val="nil"/>
              <w:left w:val="nil"/>
              <w:bottom w:val="nil"/>
              <w:right w:val="nil"/>
            </w:tcBorders>
            <w:shd w:val="clear" w:color="auto" w:fill="auto"/>
            <w:noWrap/>
            <w:vAlign w:val="bottom"/>
            <w:hideMark/>
          </w:tcPr>
          <w:p w14:paraId="3C6AE7FF"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120.560,87</w:t>
            </w:r>
          </w:p>
        </w:tc>
        <w:tc>
          <w:tcPr>
            <w:tcW w:w="1819" w:type="dxa"/>
            <w:tcBorders>
              <w:top w:val="nil"/>
              <w:left w:val="nil"/>
              <w:bottom w:val="nil"/>
              <w:right w:val="nil"/>
            </w:tcBorders>
            <w:shd w:val="clear" w:color="auto" w:fill="auto"/>
            <w:noWrap/>
            <w:vAlign w:val="bottom"/>
            <w:hideMark/>
          </w:tcPr>
          <w:p w14:paraId="6C52E4B2"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815.076,51</w:t>
            </w:r>
          </w:p>
        </w:tc>
        <w:tc>
          <w:tcPr>
            <w:tcW w:w="1580" w:type="dxa"/>
            <w:tcBorders>
              <w:top w:val="nil"/>
              <w:left w:val="nil"/>
              <w:bottom w:val="nil"/>
              <w:right w:val="nil"/>
            </w:tcBorders>
            <w:shd w:val="clear" w:color="auto" w:fill="auto"/>
            <w:noWrap/>
            <w:vAlign w:val="bottom"/>
            <w:hideMark/>
          </w:tcPr>
          <w:p w14:paraId="431C704F"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786.570,20</w:t>
            </w:r>
          </w:p>
        </w:tc>
        <w:tc>
          <w:tcPr>
            <w:tcW w:w="1520" w:type="dxa"/>
            <w:tcBorders>
              <w:top w:val="nil"/>
              <w:left w:val="nil"/>
              <w:bottom w:val="nil"/>
              <w:right w:val="nil"/>
            </w:tcBorders>
            <w:shd w:val="clear" w:color="auto" w:fill="auto"/>
            <w:noWrap/>
            <w:vAlign w:val="bottom"/>
            <w:hideMark/>
          </w:tcPr>
          <w:p w14:paraId="350D530D"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652,43%</w:t>
            </w:r>
          </w:p>
        </w:tc>
        <w:tc>
          <w:tcPr>
            <w:tcW w:w="1260" w:type="dxa"/>
            <w:tcBorders>
              <w:top w:val="nil"/>
              <w:left w:val="nil"/>
              <w:bottom w:val="nil"/>
              <w:right w:val="nil"/>
            </w:tcBorders>
            <w:shd w:val="clear" w:color="auto" w:fill="auto"/>
            <w:noWrap/>
            <w:vAlign w:val="bottom"/>
            <w:hideMark/>
          </w:tcPr>
          <w:p w14:paraId="5B37F715" w14:textId="77777777" w:rsidR="00357058" w:rsidRPr="00357058" w:rsidRDefault="00357058" w:rsidP="00357058">
            <w:pPr>
              <w:spacing w:after="0" w:line="240" w:lineRule="auto"/>
              <w:jc w:val="right"/>
              <w:rPr>
                <w:rFonts w:ascii="Arial" w:hAnsi="Arial" w:cs="Arial"/>
                <w:sz w:val="18"/>
                <w:szCs w:val="18"/>
                <w:lang w:eastAsia="hr-HR"/>
              </w:rPr>
            </w:pPr>
            <w:r w:rsidRPr="00357058">
              <w:rPr>
                <w:rFonts w:ascii="Arial" w:hAnsi="Arial" w:cs="Arial"/>
                <w:sz w:val="18"/>
                <w:szCs w:val="18"/>
                <w:lang w:eastAsia="hr-HR"/>
              </w:rPr>
              <w:t>96,50%</w:t>
            </w:r>
          </w:p>
        </w:tc>
      </w:tr>
    </w:tbl>
    <w:p w14:paraId="2DD4EAFF" w14:textId="77777777" w:rsidR="00B247FF" w:rsidRDefault="00B247FF" w:rsidP="00E946C8">
      <w:pPr>
        <w:spacing w:after="0" w:line="240" w:lineRule="auto"/>
        <w:rPr>
          <w:rFonts w:asciiTheme="minorHAnsi" w:hAnsiTheme="minorHAnsi" w:cstheme="minorHAnsi"/>
          <w:b/>
          <w:sz w:val="24"/>
          <w:szCs w:val="24"/>
          <w:lang w:eastAsia="hr-HR"/>
        </w:rPr>
      </w:pPr>
    </w:p>
    <w:p w14:paraId="4DC7A2CB" w14:textId="77777777" w:rsidR="0091085F" w:rsidRPr="00722358" w:rsidRDefault="0091085F" w:rsidP="00E946C8">
      <w:pPr>
        <w:spacing w:after="0" w:line="240" w:lineRule="auto"/>
        <w:rPr>
          <w:rFonts w:asciiTheme="minorHAnsi" w:hAnsiTheme="minorHAnsi" w:cstheme="minorHAnsi"/>
          <w:b/>
          <w:color w:val="000000"/>
          <w:sz w:val="24"/>
          <w:szCs w:val="24"/>
          <w:lang w:eastAsia="hr-HR"/>
        </w:rPr>
      </w:pPr>
    </w:p>
    <w:p w14:paraId="3A47CEC0" w14:textId="10C9CC1D" w:rsidR="00AB757C" w:rsidRPr="007523DF" w:rsidRDefault="00E35E70" w:rsidP="003734CB">
      <w:pPr>
        <w:pStyle w:val="Odlomakpopisa"/>
        <w:numPr>
          <w:ilvl w:val="2"/>
          <w:numId w:val="4"/>
        </w:numPr>
        <w:jc w:val="center"/>
        <w:rPr>
          <w:b/>
          <w:color w:val="000000"/>
        </w:rPr>
      </w:pPr>
      <w:r w:rsidRPr="00722358">
        <w:rPr>
          <w:b/>
          <w:color w:val="000000"/>
        </w:rPr>
        <w:t>Rashodi prema funkcijskoj klasifikaciji</w:t>
      </w:r>
    </w:p>
    <w:p w14:paraId="23CD406C" w14:textId="77777777" w:rsidR="00093875" w:rsidRDefault="00093875" w:rsidP="00602A45">
      <w:pPr>
        <w:spacing w:after="0" w:line="240" w:lineRule="auto"/>
        <w:rPr>
          <w:rFonts w:asciiTheme="minorHAnsi" w:hAnsiTheme="minorHAnsi" w:cstheme="minorHAnsi"/>
          <w:b/>
          <w:color w:val="000000"/>
          <w:sz w:val="24"/>
          <w:szCs w:val="24"/>
          <w:lang w:eastAsia="hr-HR"/>
        </w:rPr>
      </w:pPr>
    </w:p>
    <w:tbl>
      <w:tblPr>
        <w:tblW w:w="14706" w:type="dxa"/>
        <w:tblLook w:val="04A0" w:firstRow="1" w:lastRow="0" w:firstColumn="1" w:lastColumn="0" w:noHBand="0" w:noVBand="1"/>
      </w:tblPr>
      <w:tblGrid>
        <w:gridCol w:w="6946"/>
        <w:gridCol w:w="1780"/>
        <w:gridCol w:w="1764"/>
        <w:gridCol w:w="1660"/>
        <w:gridCol w:w="1300"/>
        <w:gridCol w:w="1256"/>
      </w:tblGrid>
      <w:tr w:rsidR="007523DF" w:rsidRPr="00093875" w14:paraId="10E5C952" w14:textId="77777777" w:rsidTr="007523DF">
        <w:trPr>
          <w:trHeight w:val="240"/>
        </w:trPr>
        <w:tc>
          <w:tcPr>
            <w:tcW w:w="6946" w:type="dxa"/>
            <w:tcBorders>
              <w:top w:val="nil"/>
              <w:left w:val="nil"/>
              <w:bottom w:val="nil"/>
              <w:right w:val="nil"/>
            </w:tcBorders>
            <w:shd w:val="clear" w:color="000000" w:fill="969696"/>
            <w:noWrap/>
            <w:vAlign w:val="bottom"/>
            <w:hideMark/>
          </w:tcPr>
          <w:p w14:paraId="53D606FB" w14:textId="77777777" w:rsidR="00093875" w:rsidRPr="00093875" w:rsidRDefault="00093875" w:rsidP="00093875">
            <w:pPr>
              <w:spacing w:after="0" w:line="240" w:lineRule="auto"/>
              <w:jc w:val="center"/>
              <w:rPr>
                <w:rFonts w:ascii="Arial" w:hAnsi="Arial" w:cs="Arial"/>
                <w:b/>
                <w:bCs/>
                <w:sz w:val="18"/>
                <w:szCs w:val="18"/>
                <w:lang w:eastAsia="hr-HR"/>
              </w:rPr>
            </w:pPr>
            <w:r w:rsidRPr="00093875">
              <w:rPr>
                <w:rFonts w:ascii="Arial" w:hAnsi="Arial" w:cs="Arial"/>
                <w:b/>
                <w:bCs/>
                <w:sz w:val="18"/>
                <w:szCs w:val="18"/>
                <w:lang w:eastAsia="hr-HR"/>
              </w:rPr>
              <w:t>Račun/Opis</w:t>
            </w:r>
          </w:p>
        </w:tc>
        <w:tc>
          <w:tcPr>
            <w:tcW w:w="1780" w:type="dxa"/>
            <w:tcBorders>
              <w:top w:val="nil"/>
              <w:left w:val="nil"/>
              <w:bottom w:val="nil"/>
              <w:right w:val="nil"/>
            </w:tcBorders>
            <w:shd w:val="clear" w:color="000000" w:fill="969696"/>
            <w:noWrap/>
            <w:vAlign w:val="bottom"/>
            <w:hideMark/>
          </w:tcPr>
          <w:p w14:paraId="54D6AAF1" w14:textId="77777777" w:rsidR="00093875" w:rsidRPr="00093875" w:rsidRDefault="00093875" w:rsidP="00093875">
            <w:pPr>
              <w:spacing w:after="0" w:line="240" w:lineRule="auto"/>
              <w:jc w:val="center"/>
              <w:rPr>
                <w:rFonts w:ascii="Arial" w:hAnsi="Arial" w:cs="Arial"/>
                <w:b/>
                <w:bCs/>
                <w:sz w:val="18"/>
                <w:szCs w:val="18"/>
                <w:lang w:eastAsia="hr-HR"/>
              </w:rPr>
            </w:pPr>
            <w:r w:rsidRPr="00093875">
              <w:rPr>
                <w:rFonts w:ascii="Arial" w:hAnsi="Arial" w:cs="Arial"/>
                <w:b/>
                <w:bCs/>
                <w:sz w:val="18"/>
                <w:szCs w:val="18"/>
                <w:lang w:eastAsia="hr-HR"/>
              </w:rPr>
              <w:t>Izvršenje 2023</w:t>
            </w:r>
          </w:p>
        </w:tc>
        <w:tc>
          <w:tcPr>
            <w:tcW w:w="1764" w:type="dxa"/>
            <w:tcBorders>
              <w:top w:val="nil"/>
              <w:left w:val="nil"/>
              <w:bottom w:val="nil"/>
              <w:right w:val="nil"/>
            </w:tcBorders>
            <w:shd w:val="clear" w:color="000000" w:fill="969696"/>
            <w:noWrap/>
            <w:vAlign w:val="bottom"/>
            <w:hideMark/>
          </w:tcPr>
          <w:p w14:paraId="4A68BEA2" w14:textId="77777777" w:rsidR="00093875" w:rsidRPr="00093875" w:rsidRDefault="00093875" w:rsidP="00093875">
            <w:pPr>
              <w:spacing w:after="0" w:line="240" w:lineRule="auto"/>
              <w:jc w:val="center"/>
              <w:rPr>
                <w:rFonts w:ascii="Arial" w:hAnsi="Arial" w:cs="Arial"/>
                <w:b/>
                <w:bCs/>
                <w:sz w:val="18"/>
                <w:szCs w:val="18"/>
                <w:lang w:eastAsia="hr-HR"/>
              </w:rPr>
            </w:pPr>
            <w:r w:rsidRPr="00093875">
              <w:rPr>
                <w:rFonts w:ascii="Arial" w:hAnsi="Arial" w:cs="Arial"/>
                <w:b/>
                <w:bCs/>
                <w:sz w:val="18"/>
                <w:szCs w:val="18"/>
                <w:lang w:eastAsia="hr-HR"/>
              </w:rPr>
              <w:t>Rebalans 2024</w:t>
            </w:r>
          </w:p>
        </w:tc>
        <w:tc>
          <w:tcPr>
            <w:tcW w:w="1660" w:type="dxa"/>
            <w:tcBorders>
              <w:top w:val="nil"/>
              <w:left w:val="nil"/>
              <w:bottom w:val="nil"/>
              <w:right w:val="nil"/>
            </w:tcBorders>
            <w:shd w:val="clear" w:color="000000" w:fill="969696"/>
            <w:noWrap/>
            <w:vAlign w:val="bottom"/>
            <w:hideMark/>
          </w:tcPr>
          <w:p w14:paraId="2F6639F3" w14:textId="77777777" w:rsidR="00093875" w:rsidRPr="00093875" w:rsidRDefault="00093875" w:rsidP="00093875">
            <w:pPr>
              <w:spacing w:after="0" w:line="240" w:lineRule="auto"/>
              <w:jc w:val="center"/>
              <w:rPr>
                <w:rFonts w:ascii="Arial" w:hAnsi="Arial" w:cs="Arial"/>
                <w:b/>
                <w:bCs/>
                <w:sz w:val="18"/>
                <w:szCs w:val="18"/>
                <w:lang w:eastAsia="hr-HR"/>
              </w:rPr>
            </w:pPr>
            <w:r w:rsidRPr="00093875">
              <w:rPr>
                <w:rFonts w:ascii="Arial" w:hAnsi="Arial" w:cs="Arial"/>
                <w:b/>
                <w:bCs/>
                <w:sz w:val="18"/>
                <w:szCs w:val="18"/>
                <w:lang w:eastAsia="hr-HR"/>
              </w:rPr>
              <w:t>Izvršenje 2024</w:t>
            </w:r>
          </w:p>
        </w:tc>
        <w:tc>
          <w:tcPr>
            <w:tcW w:w="1300" w:type="dxa"/>
            <w:tcBorders>
              <w:top w:val="nil"/>
              <w:left w:val="nil"/>
              <w:bottom w:val="nil"/>
              <w:right w:val="nil"/>
            </w:tcBorders>
            <w:shd w:val="clear" w:color="000000" w:fill="969696"/>
            <w:noWrap/>
            <w:vAlign w:val="bottom"/>
            <w:hideMark/>
          </w:tcPr>
          <w:p w14:paraId="7FC9E4BB" w14:textId="77777777" w:rsidR="00093875" w:rsidRPr="00093875" w:rsidRDefault="00093875" w:rsidP="00093875">
            <w:pPr>
              <w:spacing w:after="0" w:line="240" w:lineRule="auto"/>
              <w:jc w:val="center"/>
              <w:rPr>
                <w:rFonts w:ascii="Arial" w:hAnsi="Arial" w:cs="Arial"/>
                <w:b/>
                <w:bCs/>
                <w:sz w:val="18"/>
                <w:szCs w:val="18"/>
                <w:lang w:eastAsia="hr-HR"/>
              </w:rPr>
            </w:pPr>
            <w:r w:rsidRPr="00093875">
              <w:rPr>
                <w:rFonts w:ascii="Arial" w:hAnsi="Arial" w:cs="Arial"/>
                <w:b/>
                <w:bCs/>
                <w:sz w:val="18"/>
                <w:szCs w:val="18"/>
                <w:lang w:eastAsia="hr-HR"/>
              </w:rPr>
              <w:t>Indeks 3/1</w:t>
            </w:r>
          </w:p>
        </w:tc>
        <w:tc>
          <w:tcPr>
            <w:tcW w:w="1256" w:type="dxa"/>
            <w:tcBorders>
              <w:top w:val="nil"/>
              <w:left w:val="nil"/>
              <w:bottom w:val="nil"/>
              <w:right w:val="nil"/>
            </w:tcBorders>
            <w:shd w:val="clear" w:color="000000" w:fill="969696"/>
            <w:noWrap/>
            <w:vAlign w:val="bottom"/>
            <w:hideMark/>
          </w:tcPr>
          <w:p w14:paraId="7F58E8BE" w14:textId="77777777" w:rsidR="00093875" w:rsidRPr="00093875" w:rsidRDefault="00093875" w:rsidP="00093875">
            <w:pPr>
              <w:spacing w:after="0" w:line="240" w:lineRule="auto"/>
              <w:jc w:val="center"/>
              <w:rPr>
                <w:rFonts w:ascii="Arial" w:hAnsi="Arial" w:cs="Arial"/>
                <w:b/>
                <w:bCs/>
                <w:sz w:val="18"/>
                <w:szCs w:val="18"/>
                <w:lang w:eastAsia="hr-HR"/>
              </w:rPr>
            </w:pPr>
            <w:r w:rsidRPr="00093875">
              <w:rPr>
                <w:rFonts w:ascii="Arial" w:hAnsi="Arial" w:cs="Arial"/>
                <w:b/>
                <w:bCs/>
                <w:sz w:val="18"/>
                <w:szCs w:val="18"/>
                <w:lang w:eastAsia="hr-HR"/>
              </w:rPr>
              <w:t>Indeks 3/2</w:t>
            </w:r>
          </w:p>
        </w:tc>
      </w:tr>
      <w:tr w:rsidR="00093875" w:rsidRPr="00093875" w14:paraId="301BA104" w14:textId="77777777" w:rsidTr="007523DF">
        <w:trPr>
          <w:trHeight w:val="240"/>
        </w:trPr>
        <w:tc>
          <w:tcPr>
            <w:tcW w:w="6946" w:type="dxa"/>
            <w:tcBorders>
              <w:top w:val="nil"/>
              <w:left w:val="nil"/>
              <w:bottom w:val="nil"/>
              <w:right w:val="nil"/>
            </w:tcBorders>
            <w:shd w:val="clear" w:color="000000" w:fill="969696"/>
            <w:noWrap/>
            <w:vAlign w:val="bottom"/>
            <w:hideMark/>
          </w:tcPr>
          <w:p w14:paraId="5A6911D9" w14:textId="77777777" w:rsidR="00093875" w:rsidRPr="00093875" w:rsidRDefault="00093875" w:rsidP="00093875">
            <w:pPr>
              <w:spacing w:after="0" w:line="240" w:lineRule="auto"/>
              <w:jc w:val="center"/>
              <w:rPr>
                <w:rFonts w:ascii="Arial" w:hAnsi="Arial" w:cs="Arial"/>
                <w:b/>
                <w:bCs/>
                <w:sz w:val="18"/>
                <w:szCs w:val="18"/>
                <w:lang w:eastAsia="hr-HR"/>
              </w:rPr>
            </w:pPr>
            <w:r w:rsidRPr="00093875">
              <w:rPr>
                <w:rFonts w:ascii="Arial" w:hAnsi="Arial" w:cs="Arial"/>
                <w:b/>
                <w:bCs/>
                <w:sz w:val="18"/>
                <w:szCs w:val="18"/>
                <w:lang w:eastAsia="hr-HR"/>
              </w:rPr>
              <w:t> </w:t>
            </w:r>
          </w:p>
        </w:tc>
        <w:tc>
          <w:tcPr>
            <w:tcW w:w="1780" w:type="dxa"/>
            <w:tcBorders>
              <w:top w:val="nil"/>
              <w:left w:val="nil"/>
              <w:bottom w:val="nil"/>
              <w:right w:val="nil"/>
            </w:tcBorders>
            <w:shd w:val="clear" w:color="000000" w:fill="969696"/>
            <w:noWrap/>
            <w:vAlign w:val="bottom"/>
            <w:hideMark/>
          </w:tcPr>
          <w:p w14:paraId="0BDEA17B" w14:textId="77777777" w:rsidR="00093875" w:rsidRPr="00093875" w:rsidRDefault="00093875" w:rsidP="00093875">
            <w:pPr>
              <w:spacing w:after="0" w:line="240" w:lineRule="auto"/>
              <w:jc w:val="center"/>
              <w:rPr>
                <w:rFonts w:ascii="Arial" w:hAnsi="Arial" w:cs="Arial"/>
                <w:b/>
                <w:bCs/>
                <w:sz w:val="18"/>
                <w:szCs w:val="18"/>
                <w:lang w:eastAsia="hr-HR"/>
              </w:rPr>
            </w:pPr>
            <w:r w:rsidRPr="00093875">
              <w:rPr>
                <w:rFonts w:ascii="Arial" w:hAnsi="Arial" w:cs="Arial"/>
                <w:b/>
                <w:bCs/>
                <w:sz w:val="18"/>
                <w:szCs w:val="18"/>
                <w:lang w:eastAsia="hr-HR"/>
              </w:rPr>
              <w:t>1</w:t>
            </w:r>
          </w:p>
        </w:tc>
        <w:tc>
          <w:tcPr>
            <w:tcW w:w="1764" w:type="dxa"/>
            <w:tcBorders>
              <w:top w:val="nil"/>
              <w:left w:val="nil"/>
              <w:bottom w:val="nil"/>
              <w:right w:val="nil"/>
            </w:tcBorders>
            <w:shd w:val="clear" w:color="000000" w:fill="969696"/>
            <w:noWrap/>
            <w:vAlign w:val="bottom"/>
            <w:hideMark/>
          </w:tcPr>
          <w:p w14:paraId="76E59185" w14:textId="77777777" w:rsidR="00093875" w:rsidRPr="00093875" w:rsidRDefault="00093875" w:rsidP="00093875">
            <w:pPr>
              <w:spacing w:after="0" w:line="240" w:lineRule="auto"/>
              <w:jc w:val="center"/>
              <w:rPr>
                <w:rFonts w:ascii="Arial" w:hAnsi="Arial" w:cs="Arial"/>
                <w:b/>
                <w:bCs/>
                <w:sz w:val="18"/>
                <w:szCs w:val="18"/>
                <w:lang w:eastAsia="hr-HR"/>
              </w:rPr>
            </w:pPr>
            <w:r w:rsidRPr="00093875">
              <w:rPr>
                <w:rFonts w:ascii="Arial" w:hAnsi="Arial" w:cs="Arial"/>
                <w:b/>
                <w:bCs/>
                <w:sz w:val="18"/>
                <w:szCs w:val="18"/>
                <w:lang w:eastAsia="hr-HR"/>
              </w:rPr>
              <w:t>2</w:t>
            </w:r>
          </w:p>
        </w:tc>
        <w:tc>
          <w:tcPr>
            <w:tcW w:w="1660" w:type="dxa"/>
            <w:tcBorders>
              <w:top w:val="nil"/>
              <w:left w:val="nil"/>
              <w:bottom w:val="nil"/>
              <w:right w:val="nil"/>
            </w:tcBorders>
            <w:shd w:val="clear" w:color="000000" w:fill="969696"/>
            <w:noWrap/>
            <w:vAlign w:val="bottom"/>
            <w:hideMark/>
          </w:tcPr>
          <w:p w14:paraId="600C911A" w14:textId="77777777" w:rsidR="00093875" w:rsidRPr="00093875" w:rsidRDefault="00093875" w:rsidP="00093875">
            <w:pPr>
              <w:spacing w:after="0" w:line="240" w:lineRule="auto"/>
              <w:jc w:val="center"/>
              <w:rPr>
                <w:rFonts w:ascii="Arial" w:hAnsi="Arial" w:cs="Arial"/>
                <w:b/>
                <w:bCs/>
                <w:sz w:val="18"/>
                <w:szCs w:val="18"/>
                <w:lang w:eastAsia="hr-HR"/>
              </w:rPr>
            </w:pPr>
            <w:r w:rsidRPr="00093875">
              <w:rPr>
                <w:rFonts w:ascii="Arial" w:hAnsi="Arial" w:cs="Arial"/>
                <w:b/>
                <w:bCs/>
                <w:sz w:val="18"/>
                <w:szCs w:val="18"/>
                <w:lang w:eastAsia="hr-HR"/>
              </w:rPr>
              <w:t>3</w:t>
            </w:r>
          </w:p>
        </w:tc>
        <w:tc>
          <w:tcPr>
            <w:tcW w:w="1300" w:type="dxa"/>
            <w:tcBorders>
              <w:top w:val="nil"/>
              <w:left w:val="nil"/>
              <w:bottom w:val="nil"/>
              <w:right w:val="nil"/>
            </w:tcBorders>
            <w:shd w:val="clear" w:color="000000" w:fill="969696"/>
            <w:noWrap/>
            <w:vAlign w:val="bottom"/>
            <w:hideMark/>
          </w:tcPr>
          <w:p w14:paraId="5D2780F7" w14:textId="77777777" w:rsidR="00093875" w:rsidRPr="00093875" w:rsidRDefault="00093875" w:rsidP="00093875">
            <w:pPr>
              <w:spacing w:after="0" w:line="240" w:lineRule="auto"/>
              <w:jc w:val="center"/>
              <w:rPr>
                <w:rFonts w:ascii="Arial" w:hAnsi="Arial" w:cs="Arial"/>
                <w:b/>
                <w:bCs/>
                <w:sz w:val="18"/>
                <w:szCs w:val="18"/>
                <w:lang w:eastAsia="hr-HR"/>
              </w:rPr>
            </w:pPr>
            <w:r w:rsidRPr="00093875">
              <w:rPr>
                <w:rFonts w:ascii="Arial" w:hAnsi="Arial" w:cs="Arial"/>
                <w:b/>
                <w:bCs/>
                <w:sz w:val="18"/>
                <w:szCs w:val="18"/>
                <w:lang w:eastAsia="hr-HR"/>
              </w:rPr>
              <w:t>4</w:t>
            </w:r>
          </w:p>
        </w:tc>
        <w:tc>
          <w:tcPr>
            <w:tcW w:w="1256" w:type="dxa"/>
            <w:tcBorders>
              <w:top w:val="nil"/>
              <w:left w:val="nil"/>
              <w:bottom w:val="nil"/>
              <w:right w:val="nil"/>
            </w:tcBorders>
            <w:shd w:val="clear" w:color="000000" w:fill="969696"/>
            <w:noWrap/>
            <w:vAlign w:val="bottom"/>
            <w:hideMark/>
          </w:tcPr>
          <w:p w14:paraId="4F8B5A7F" w14:textId="77777777" w:rsidR="00093875" w:rsidRPr="00093875" w:rsidRDefault="00093875" w:rsidP="00093875">
            <w:pPr>
              <w:spacing w:after="0" w:line="240" w:lineRule="auto"/>
              <w:jc w:val="center"/>
              <w:rPr>
                <w:rFonts w:ascii="Arial" w:hAnsi="Arial" w:cs="Arial"/>
                <w:b/>
                <w:bCs/>
                <w:sz w:val="18"/>
                <w:szCs w:val="18"/>
                <w:lang w:eastAsia="hr-HR"/>
              </w:rPr>
            </w:pPr>
            <w:r w:rsidRPr="00093875">
              <w:rPr>
                <w:rFonts w:ascii="Arial" w:hAnsi="Arial" w:cs="Arial"/>
                <w:b/>
                <w:bCs/>
                <w:sz w:val="18"/>
                <w:szCs w:val="18"/>
                <w:lang w:eastAsia="hr-HR"/>
              </w:rPr>
              <w:t>5</w:t>
            </w:r>
          </w:p>
        </w:tc>
      </w:tr>
      <w:tr w:rsidR="00093875" w:rsidRPr="00093875" w14:paraId="5A84FF9B" w14:textId="77777777" w:rsidTr="007523DF">
        <w:trPr>
          <w:trHeight w:val="240"/>
        </w:trPr>
        <w:tc>
          <w:tcPr>
            <w:tcW w:w="6946" w:type="dxa"/>
            <w:tcBorders>
              <w:top w:val="nil"/>
              <w:left w:val="nil"/>
              <w:bottom w:val="nil"/>
              <w:right w:val="nil"/>
            </w:tcBorders>
            <w:shd w:val="clear" w:color="000000" w:fill="203764"/>
            <w:noWrap/>
            <w:vAlign w:val="bottom"/>
            <w:hideMark/>
          </w:tcPr>
          <w:p w14:paraId="2EFCD8FE" w14:textId="77777777" w:rsidR="00093875" w:rsidRPr="00093875" w:rsidRDefault="00093875" w:rsidP="00093875">
            <w:pPr>
              <w:spacing w:after="0" w:line="240" w:lineRule="auto"/>
              <w:rPr>
                <w:rFonts w:ascii="Arial" w:hAnsi="Arial" w:cs="Arial"/>
                <w:b/>
                <w:bCs/>
                <w:color w:val="FFFFFF"/>
                <w:sz w:val="18"/>
                <w:szCs w:val="18"/>
                <w:lang w:eastAsia="hr-HR"/>
              </w:rPr>
            </w:pPr>
            <w:r w:rsidRPr="00093875">
              <w:rPr>
                <w:rFonts w:ascii="Arial" w:hAnsi="Arial" w:cs="Arial"/>
                <w:b/>
                <w:bCs/>
                <w:color w:val="FFFFFF"/>
                <w:sz w:val="18"/>
                <w:szCs w:val="18"/>
                <w:lang w:eastAsia="hr-HR"/>
              </w:rPr>
              <w:t>SVEUKUPNI RASHODI</w:t>
            </w:r>
          </w:p>
        </w:tc>
        <w:tc>
          <w:tcPr>
            <w:tcW w:w="1780" w:type="dxa"/>
            <w:tcBorders>
              <w:top w:val="nil"/>
              <w:left w:val="nil"/>
              <w:bottom w:val="nil"/>
              <w:right w:val="nil"/>
            </w:tcBorders>
            <w:shd w:val="clear" w:color="000000" w:fill="203764"/>
            <w:noWrap/>
            <w:vAlign w:val="bottom"/>
            <w:hideMark/>
          </w:tcPr>
          <w:p w14:paraId="351D4724" w14:textId="77777777" w:rsidR="00093875" w:rsidRPr="00093875" w:rsidRDefault="00093875" w:rsidP="00093875">
            <w:pPr>
              <w:spacing w:after="0" w:line="240" w:lineRule="auto"/>
              <w:jc w:val="right"/>
              <w:rPr>
                <w:rFonts w:ascii="Arial" w:hAnsi="Arial" w:cs="Arial"/>
                <w:b/>
                <w:bCs/>
                <w:color w:val="FFFFFF"/>
                <w:sz w:val="18"/>
                <w:szCs w:val="18"/>
                <w:lang w:eastAsia="hr-HR"/>
              </w:rPr>
            </w:pPr>
            <w:r w:rsidRPr="00093875">
              <w:rPr>
                <w:rFonts w:ascii="Arial" w:hAnsi="Arial" w:cs="Arial"/>
                <w:b/>
                <w:bCs/>
                <w:color w:val="FFFFFF"/>
                <w:sz w:val="18"/>
                <w:szCs w:val="18"/>
                <w:lang w:eastAsia="hr-HR"/>
              </w:rPr>
              <w:t>8.782.102,21</w:t>
            </w:r>
          </w:p>
        </w:tc>
        <w:tc>
          <w:tcPr>
            <w:tcW w:w="1764" w:type="dxa"/>
            <w:tcBorders>
              <w:top w:val="nil"/>
              <w:left w:val="nil"/>
              <w:bottom w:val="nil"/>
              <w:right w:val="nil"/>
            </w:tcBorders>
            <w:shd w:val="clear" w:color="000000" w:fill="203764"/>
            <w:noWrap/>
            <w:vAlign w:val="bottom"/>
            <w:hideMark/>
          </w:tcPr>
          <w:p w14:paraId="3F3EF2C4" w14:textId="77777777" w:rsidR="00093875" w:rsidRPr="00093875" w:rsidRDefault="00093875" w:rsidP="00093875">
            <w:pPr>
              <w:spacing w:after="0" w:line="240" w:lineRule="auto"/>
              <w:jc w:val="right"/>
              <w:rPr>
                <w:rFonts w:ascii="Arial" w:hAnsi="Arial" w:cs="Arial"/>
                <w:b/>
                <w:bCs/>
                <w:color w:val="FFFFFF"/>
                <w:sz w:val="18"/>
                <w:szCs w:val="18"/>
                <w:lang w:eastAsia="hr-HR"/>
              </w:rPr>
            </w:pPr>
            <w:r w:rsidRPr="00093875">
              <w:rPr>
                <w:rFonts w:ascii="Arial" w:hAnsi="Arial" w:cs="Arial"/>
                <w:b/>
                <w:bCs/>
                <w:color w:val="FFFFFF"/>
                <w:sz w:val="18"/>
                <w:szCs w:val="18"/>
                <w:lang w:eastAsia="hr-HR"/>
              </w:rPr>
              <w:t>13.903.867,52</w:t>
            </w:r>
          </w:p>
        </w:tc>
        <w:tc>
          <w:tcPr>
            <w:tcW w:w="1660" w:type="dxa"/>
            <w:tcBorders>
              <w:top w:val="nil"/>
              <w:left w:val="nil"/>
              <w:bottom w:val="nil"/>
              <w:right w:val="nil"/>
            </w:tcBorders>
            <w:shd w:val="clear" w:color="000000" w:fill="203764"/>
            <w:noWrap/>
            <w:vAlign w:val="bottom"/>
            <w:hideMark/>
          </w:tcPr>
          <w:p w14:paraId="6CF41601" w14:textId="4421B5D0" w:rsidR="00093875" w:rsidRPr="00093875" w:rsidRDefault="00093875" w:rsidP="00093875">
            <w:pPr>
              <w:spacing w:after="0" w:line="240" w:lineRule="auto"/>
              <w:jc w:val="right"/>
              <w:rPr>
                <w:rFonts w:ascii="Arial" w:hAnsi="Arial" w:cs="Arial"/>
                <w:b/>
                <w:bCs/>
                <w:color w:val="FFFFFF"/>
                <w:sz w:val="18"/>
                <w:szCs w:val="18"/>
                <w:lang w:eastAsia="hr-HR"/>
              </w:rPr>
            </w:pPr>
            <w:r w:rsidRPr="00093875">
              <w:rPr>
                <w:rFonts w:ascii="Arial" w:hAnsi="Arial" w:cs="Arial"/>
                <w:b/>
                <w:bCs/>
                <w:color w:val="FFFFFF"/>
                <w:sz w:val="18"/>
                <w:szCs w:val="18"/>
                <w:lang w:eastAsia="hr-HR"/>
              </w:rPr>
              <w:t>12.7</w:t>
            </w:r>
            <w:r w:rsidR="00ED5946">
              <w:rPr>
                <w:rFonts w:ascii="Arial" w:hAnsi="Arial" w:cs="Arial"/>
                <w:b/>
                <w:bCs/>
                <w:color w:val="FFFFFF"/>
                <w:sz w:val="18"/>
                <w:szCs w:val="18"/>
                <w:lang w:eastAsia="hr-HR"/>
              </w:rPr>
              <w:t>92.977,94</w:t>
            </w:r>
          </w:p>
        </w:tc>
        <w:tc>
          <w:tcPr>
            <w:tcW w:w="1300" w:type="dxa"/>
            <w:tcBorders>
              <w:top w:val="nil"/>
              <w:left w:val="nil"/>
              <w:bottom w:val="nil"/>
              <w:right w:val="nil"/>
            </w:tcBorders>
            <w:shd w:val="clear" w:color="000000" w:fill="203764"/>
            <w:noWrap/>
            <w:vAlign w:val="bottom"/>
            <w:hideMark/>
          </w:tcPr>
          <w:p w14:paraId="6AFD052B" w14:textId="6E9CD2D6" w:rsidR="00093875" w:rsidRPr="00093875" w:rsidRDefault="00093875" w:rsidP="00093875">
            <w:pPr>
              <w:spacing w:after="0" w:line="240" w:lineRule="auto"/>
              <w:jc w:val="right"/>
              <w:rPr>
                <w:rFonts w:ascii="Arial" w:hAnsi="Arial" w:cs="Arial"/>
                <w:b/>
                <w:bCs/>
                <w:color w:val="FFFFFF"/>
                <w:sz w:val="18"/>
                <w:szCs w:val="18"/>
                <w:lang w:eastAsia="hr-HR"/>
              </w:rPr>
            </w:pPr>
            <w:r w:rsidRPr="00093875">
              <w:rPr>
                <w:rFonts w:ascii="Arial" w:hAnsi="Arial" w:cs="Arial"/>
                <w:b/>
                <w:bCs/>
                <w:color w:val="FFFFFF"/>
                <w:sz w:val="18"/>
                <w:szCs w:val="18"/>
                <w:lang w:eastAsia="hr-HR"/>
              </w:rPr>
              <w:t>145,</w:t>
            </w:r>
            <w:r w:rsidR="00ED5946">
              <w:rPr>
                <w:rFonts w:ascii="Arial" w:hAnsi="Arial" w:cs="Arial"/>
                <w:b/>
                <w:bCs/>
                <w:color w:val="FFFFFF"/>
                <w:sz w:val="18"/>
                <w:szCs w:val="18"/>
                <w:lang w:eastAsia="hr-HR"/>
              </w:rPr>
              <w:t>6</w:t>
            </w:r>
            <w:r w:rsidRPr="00093875">
              <w:rPr>
                <w:rFonts w:ascii="Arial" w:hAnsi="Arial" w:cs="Arial"/>
                <w:b/>
                <w:bCs/>
                <w:color w:val="FFFFFF"/>
                <w:sz w:val="18"/>
                <w:szCs w:val="18"/>
                <w:lang w:eastAsia="hr-HR"/>
              </w:rPr>
              <w:t>7%</w:t>
            </w:r>
          </w:p>
        </w:tc>
        <w:tc>
          <w:tcPr>
            <w:tcW w:w="1256" w:type="dxa"/>
            <w:tcBorders>
              <w:top w:val="nil"/>
              <w:left w:val="nil"/>
              <w:bottom w:val="nil"/>
              <w:right w:val="nil"/>
            </w:tcBorders>
            <w:shd w:val="clear" w:color="000000" w:fill="203764"/>
            <w:noWrap/>
            <w:vAlign w:val="bottom"/>
            <w:hideMark/>
          </w:tcPr>
          <w:p w14:paraId="07BC368A" w14:textId="337CE1EC" w:rsidR="00093875" w:rsidRPr="00093875" w:rsidRDefault="00093875" w:rsidP="00093875">
            <w:pPr>
              <w:spacing w:after="0" w:line="240" w:lineRule="auto"/>
              <w:jc w:val="right"/>
              <w:rPr>
                <w:rFonts w:ascii="Arial" w:hAnsi="Arial" w:cs="Arial"/>
                <w:b/>
                <w:bCs/>
                <w:color w:val="FFFFFF"/>
                <w:sz w:val="18"/>
                <w:szCs w:val="18"/>
                <w:lang w:eastAsia="hr-HR"/>
              </w:rPr>
            </w:pPr>
            <w:r w:rsidRPr="00093875">
              <w:rPr>
                <w:rFonts w:ascii="Arial" w:hAnsi="Arial" w:cs="Arial"/>
                <w:b/>
                <w:bCs/>
                <w:color w:val="FFFFFF"/>
                <w:sz w:val="18"/>
                <w:szCs w:val="18"/>
                <w:lang w:eastAsia="hr-HR"/>
              </w:rPr>
              <w:t>9</w:t>
            </w:r>
            <w:r w:rsidR="00ED5946">
              <w:rPr>
                <w:rFonts w:ascii="Arial" w:hAnsi="Arial" w:cs="Arial"/>
                <w:b/>
                <w:bCs/>
                <w:color w:val="FFFFFF"/>
                <w:sz w:val="18"/>
                <w:szCs w:val="18"/>
                <w:lang w:eastAsia="hr-HR"/>
              </w:rPr>
              <w:t>2,01</w:t>
            </w:r>
            <w:r w:rsidRPr="00093875">
              <w:rPr>
                <w:rFonts w:ascii="Arial" w:hAnsi="Arial" w:cs="Arial"/>
                <w:b/>
                <w:bCs/>
                <w:color w:val="FFFFFF"/>
                <w:sz w:val="18"/>
                <w:szCs w:val="18"/>
                <w:lang w:eastAsia="hr-HR"/>
              </w:rPr>
              <w:t>%</w:t>
            </w:r>
          </w:p>
        </w:tc>
      </w:tr>
      <w:tr w:rsidR="00093875" w:rsidRPr="00093875" w14:paraId="1DCB3169" w14:textId="77777777" w:rsidTr="007523DF">
        <w:trPr>
          <w:trHeight w:val="240"/>
        </w:trPr>
        <w:tc>
          <w:tcPr>
            <w:tcW w:w="6946" w:type="dxa"/>
            <w:tcBorders>
              <w:top w:val="nil"/>
              <w:left w:val="nil"/>
              <w:bottom w:val="nil"/>
              <w:right w:val="nil"/>
            </w:tcBorders>
            <w:shd w:val="clear" w:color="auto" w:fill="auto"/>
            <w:noWrap/>
            <w:vAlign w:val="bottom"/>
            <w:hideMark/>
          </w:tcPr>
          <w:p w14:paraId="3B4ED558" w14:textId="77777777" w:rsidR="00093875" w:rsidRPr="00093875" w:rsidRDefault="00093875" w:rsidP="00093875">
            <w:pPr>
              <w:spacing w:after="0" w:line="240" w:lineRule="auto"/>
              <w:rPr>
                <w:rFonts w:ascii="Arial" w:hAnsi="Arial" w:cs="Arial"/>
                <w:b/>
                <w:bCs/>
                <w:color w:val="000000"/>
                <w:sz w:val="18"/>
                <w:szCs w:val="18"/>
                <w:lang w:eastAsia="hr-HR"/>
              </w:rPr>
            </w:pPr>
            <w:r w:rsidRPr="00093875">
              <w:rPr>
                <w:rFonts w:ascii="Arial" w:hAnsi="Arial" w:cs="Arial"/>
                <w:b/>
                <w:bCs/>
                <w:color w:val="000000"/>
                <w:sz w:val="18"/>
                <w:szCs w:val="18"/>
                <w:lang w:eastAsia="hr-HR"/>
              </w:rPr>
              <w:t>01 Opće javne usluge</w:t>
            </w:r>
          </w:p>
        </w:tc>
        <w:tc>
          <w:tcPr>
            <w:tcW w:w="1780" w:type="dxa"/>
            <w:tcBorders>
              <w:top w:val="nil"/>
              <w:left w:val="nil"/>
              <w:bottom w:val="nil"/>
              <w:right w:val="nil"/>
            </w:tcBorders>
            <w:shd w:val="clear" w:color="auto" w:fill="auto"/>
            <w:noWrap/>
            <w:vAlign w:val="bottom"/>
            <w:hideMark/>
          </w:tcPr>
          <w:p w14:paraId="5A5B6A5B" w14:textId="77777777" w:rsidR="00093875" w:rsidRPr="00093875" w:rsidRDefault="00093875" w:rsidP="00093875">
            <w:pPr>
              <w:spacing w:after="0" w:line="240" w:lineRule="auto"/>
              <w:jc w:val="right"/>
              <w:rPr>
                <w:rFonts w:ascii="Arial" w:hAnsi="Arial" w:cs="Arial"/>
                <w:b/>
                <w:bCs/>
                <w:color w:val="000000"/>
                <w:sz w:val="18"/>
                <w:szCs w:val="18"/>
                <w:lang w:eastAsia="hr-HR"/>
              </w:rPr>
            </w:pPr>
            <w:r w:rsidRPr="00093875">
              <w:rPr>
                <w:rFonts w:ascii="Arial" w:hAnsi="Arial" w:cs="Arial"/>
                <w:b/>
                <w:bCs/>
                <w:color w:val="000000"/>
                <w:sz w:val="18"/>
                <w:szCs w:val="18"/>
                <w:lang w:eastAsia="hr-HR"/>
              </w:rPr>
              <w:t>1.274.802,23</w:t>
            </w:r>
          </w:p>
        </w:tc>
        <w:tc>
          <w:tcPr>
            <w:tcW w:w="1764" w:type="dxa"/>
            <w:tcBorders>
              <w:top w:val="nil"/>
              <w:left w:val="nil"/>
              <w:bottom w:val="nil"/>
              <w:right w:val="nil"/>
            </w:tcBorders>
            <w:shd w:val="clear" w:color="auto" w:fill="auto"/>
            <w:noWrap/>
            <w:vAlign w:val="bottom"/>
            <w:hideMark/>
          </w:tcPr>
          <w:p w14:paraId="000C19A7" w14:textId="77777777" w:rsidR="00093875" w:rsidRPr="00093875" w:rsidRDefault="00093875" w:rsidP="00093875">
            <w:pPr>
              <w:spacing w:after="0" w:line="240" w:lineRule="auto"/>
              <w:jc w:val="right"/>
              <w:rPr>
                <w:rFonts w:ascii="Arial" w:hAnsi="Arial" w:cs="Arial"/>
                <w:b/>
                <w:bCs/>
                <w:color w:val="000000"/>
                <w:sz w:val="18"/>
                <w:szCs w:val="18"/>
                <w:lang w:eastAsia="hr-HR"/>
              </w:rPr>
            </w:pPr>
            <w:r w:rsidRPr="00093875">
              <w:rPr>
                <w:rFonts w:ascii="Arial" w:hAnsi="Arial" w:cs="Arial"/>
                <w:b/>
                <w:bCs/>
                <w:color w:val="000000"/>
                <w:sz w:val="18"/>
                <w:szCs w:val="18"/>
                <w:lang w:eastAsia="hr-HR"/>
              </w:rPr>
              <w:t>1.806.866,86</w:t>
            </w:r>
          </w:p>
        </w:tc>
        <w:tc>
          <w:tcPr>
            <w:tcW w:w="1660" w:type="dxa"/>
            <w:tcBorders>
              <w:top w:val="nil"/>
              <w:left w:val="nil"/>
              <w:bottom w:val="nil"/>
              <w:right w:val="nil"/>
            </w:tcBorders>
            <w:shd w:val="clear" w:color="auto" w:fill="auto"/>
            <w:noWrap/>
            <w:vAlign w:val="bottom"/>
            <w:hideMark/>
          </w:tcPr>
          <w:p w14:paraId="6B40C10E" w14:textId="77777777" w:rsidR="00093875" w:rsidRPr="00093875" w:rsidRDefault="00093875" w:rsidP="00093875">
            <w:pPr>
              <w:spacing w:after="0" w:line="240" w:lineRule="auto"/>
              <w:jc w:val="right"/>
              <w:rPr>
                <w:rFonts w:ascii="Arial" w:hAnsi="Arial" w:cs="Arial"/>
                <w:b/>
                <w:bCs/>
                <w:color w:val="000000"/>
                <w:sz w:val="18"/>
                <w:szCs w:val="18"/>
                <w:lang w:eastAsia="hr-HR"/>
              </w:rPr>
            </w:pPr>
            <w:r w:rsidRPr="00093875">
              <w:rPr>
                <w:rFonts w:ascii="Arial" w:hAnsi="Arial" w:cs="Arial"/>
                <w:b/>
                <w:bCs/>
                <w:color w:val="000000"/>
                <w:sz w:val="18"/>
                <w:szCs w:val="18"/>
                <w:lang w:eastAsia="hr-HR"/>
              </w:rPr>
              <w:t>1.501.334,84</w:t>
            </w:r>
          </w:p>
        </w:tc>
        <w:tc>
          <w:tcPr>
            <w:tcW w:w="1300" w:type="dxa"/>
            <w:tcBorders>
              <w:top w:val="nil"/>
              <w:left w:val="nil"/>
              <w:bottom w:val="nil"/>
              <w:right w:val="nil"/>
            </w:tcBorders>
            <w:shd w:val="clear" w:color="auto" w:fill="auto"/>
            <w:noWrap/>
            <w:vAlign w:val="bottom"/>
            <w:hideMark/>
          </w:tcPr>
          <w:p w14:paraId="2E3B286E" w14:textId="77777777" w:rsidR="00093875" w:rsidRPr="00093875" w:rsidRDefault="00093875" w:rsidP="00093875">
            <w:pPr>
              <w:spacing w:after="0" w:line="240" w:lineRule="auto"/>
              <w:jc w:val="right"/>
              <w:rPr>
                <w:rFonts w:ascii="Arial" w:hAnsi="Arial" w:cs="Arial"/>
                <w:b/>
                <w:bCs/>
                <w:color w:val="000000"/>
                <w:sz w:val="18"/>
                <w:szCs w:val="18"/>
                <w:lang w:eastAsia="hr-HR"/>
              </w:rPr>
            </w:pPr>
            <w:r w:rsidRPr="00093875">
              <w:rPr>
                <w:rFonts w:ascii="Arial" w:hAnsi="Arial" w:cs="Arial"/>
                <w:b/>
                <w:bCs/>
                <w:color w:val="000000"/>
                <w:sz w:val="18"/>
                <w:szCs w:val="18"/>
                <w:lang w:eastAsia="hr-HR"/>
              </w:rPr>
              <w:t>117,77%</w:t>
            </w:r>
          </w:p>
        </w:tc>
        <w:tc>
          <w:tcPr>
            <w:tcW w:w="1256" w:type="dxa"/>
            <w:tcBorders>
              <w:top w:val="nil"/>
              <w:left w:val="nil"/>
              <w:bottom w:val="nil"/>
              <w:right w:val="nil"/>
            </w:tcBorders>
            <w:shd w:val="clear" w:color="auto" w:fill="auto"/>
            <w:noWrap/>
            <w:vAlign w:val="bottom"/>
            <w:hideMark/>
          </w:tcPr>
          <w:p w14:paraId="2E8ACC45" w14:textId="77777777" w:rsidR="00093875" w:rsidRPr="00093875" w:rsidRDefault="00093875" w:rsidP="00093875">
            <w:pPr>
              <w:spacing w:after="0" w:line="240" w:lineRule="auto"/>
              <w:jc w:val="right"/>
              <w:rPr>
                <w:rFonts w:ascii="Arial" w:hAnsi="Arial" w:cs="Arial"/>
                <w:b/>
                <w:bCs/>
                <w:color w:val="000000"/>
                <w:sz w:val="18"/>
                <w:szCs w:val="18"/>
                <w:lang w:eastAsia="hr-HR"/>
              </w:rPr>
            </w:pPr>
            <w:r w:rsidRPr="00093875">
              <w:rPr>
                <w:rFonts w:ascii="Arial" w:hAnsi="Arial" w:cs="Arial"/>
                <w:b/>
                <w:bCs/>
                <w:color w:val="000000"/>
                <w:sz w:val="18"/>
                <w:szCs w:val="18"/>
                <w:lang w:eastAsia="hr-HR"/>
              </w:rPr>
              <w:t>83,09%</w:t>
            </w:r>
          </w:p>
        </w:tc>
      </w:tr>
      <w:tr w:rsidR="00093875" w:rsidRPr="00093875" w14:paraId="08E02DA9" w14:textId="77777777" w:rsidTr="007523DF">
        <w:trPr>
          <w:trHeight w:val="240"/>
        </w:trPr>
        <w:tc>
          <w:tcPr>
            <w:tcW w:w="6946" w:type="dxa"/>
            <w:tcBorders>
              <w:top w:val="nil"/>
              <w:left w:val="nil"/>
              <w:bottom w:val="nil"/>
              <w:right w:val="nil"/>
            </w:tcBorders>
            <w:shd w:val="clear" w:color="auto" w:fill="auto"/>
            <w:noWrap/>
            <w:vAlign w:val="bottom"/>
            <w:hideMark/>
          </w:tcPr>
          <w:p w14:paraId="1733416B" w14:textId="77777777" w:rsidR="00093875" w:rsidRPr="00093875" w:rsidRDefault="00093875" w:rsidP="00093875">
            <w:pPr>
              <w:spacing w:after="0" w:line="240" w:lineRule="auto"/>
              <w:rPr>
                <w:rFonts w:ascii="Arial" w:hAnsi="Arial" w:cs="Arial"/>
                <w:color w:val="000000"/>
                <w:sz w:val="18"/>
                <w:szCs w:val="18"/>
                <w:lang w:eastAsia="hr-HR"/>
              </w:rPr>
            </w:pPr>
            <w:r w:rsidRPr="00093875">
              <w:rPr>
                <w:rFonts w:ascii="Arial" w:hAnsi="Arial" w:cs="Arial"/>
                <w:color w:val="000000"/>
                <w:sz w:val="18"/>
                <w:szCs w:val="18"/>
                <w:lang w:eastAsia="hr-HR"/>
              </w:rPr>
              <w:t>011 Izvršna  i zakonodavna tijela, financijski i fiskalni poslovi, vanjski poslovi</w:t>
            </w:r>
          </w:p>
        </w:tc>
        <w:tc>
          <w:tcPr>
            <w:tcW w:w="1780" w:type="dxa"/>
            <w:tcBorders>
              <w:top w:val="nil"/>
              <w:left w:val="nil"/>
              <w:bottom w:val="nil"/>
              <w:right w:val="nil"/>
            </w:tcBorders>
            <w:shd w:val="clear" w:color="auto" w:fill="auto"/>
            <w:noWrap/>
            <w:vAlign w:val="bottom"/>
            <w:hideMark/>
          </w:tcPr>
          <w:p w14:paraId="24616929"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1.274.802,23</w:t>
            </w:r>
          </w:p>
        </w:tc>
        <w:tc>
          <w:tcPr>
            <w:tcW w:w="1764" w:type="dxa"/>
            <w:tcBorders>
              <w:top w:val="nil"/>
              <w:left w:val="nil"/>
              <w:bottom w:val="nil"/>
              <w:right w:val="nil"/>
            </w:tcBorders>
            <w:shd w:val="clear" w:color="auto" w:fill="auto"/>
            <w:noWrap/>
            <w:vAlign w:val="bottom"/>
            <w:hideMark/>
          </w:tcPr>
          <w:p w14:paraId="480C01B7"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1.806.866,86</w:t>
            </w:r>
          </w:p>
        </w:tc>
        <w:tc>
          <w:tcPr>
            <w:tcW w:w="1660" w:type="dxa"/>
            <w:tcBorders>
              <w:top w:val="nil"/>
              <w:left w:val="nil"/>
              <w:bottom w:val="nil"/>
              <w:right w:val="nil"/>
            </w:tcBorders>
            <w:shd w:val="clear" w:color="auto" w:fill="auto"/>
            <w:noWrap/>
            <w:vAlign w:val="bottom"/>
            <w:hideMark/>
          </w:tcPr>
          <w:p w14:paraId="0FAAAFB0"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1.501.334,84</w:t>
            </w:r>
          </w:p>
        </w:tc>
        <w:tc>
          <w:tcPr>
            <w:tcW w:w="1300" w:type="dxa"/>
            <w:tcBorders>
              <w:top w:val="nil"/>
              <w:left w:val="nil"/>
              <w:bottom w:val="nil"/>
              <w:right w:val="nil"/>
            </w:tcBorders>
            <w:shd w:val="clear" w:color="auto" w:fill="auto"/>
            <w:noWrap/>
            <w:vAlign w:val="bottom"/>
            <w:hideMark/>
          </w:tcPr>
          <w:p w14:paraId="22229D20"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117,77%</w:t>
            </w:r>
          </w:p>
        </w:tc>
        <w:tc>
          <w:tcPr>
            <w:tcW w:w="1256" w:type="dxa"/>
            <w:tcBorders>
              <w:top w:val="nil"/>
              <w:left w:val="nil"/>
              <w:bottom w:val="nil"/>
              <w:right w:val="nil"/>
            </w:tcBorders>
            <w:shd w:val="clear" w:color="auto" w:fill="auto"/>
            <w:noWrap/>
            <w:vAlign w:val="bottom"/>
            <w:hideMark/>
          </w:tcPr>
          <w:p w14:paraId="24F29238"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83,09%</w:t>
            </w:r>
          </w:p>
        </w:tc>
      </w:tr>
      <w:tr w:rsidR="00093875" w:rsidRPr="00093875" w14:paraId="1D6F7B7C" w14:textId="77777777" w:rsidTr="007523DF">
        <w:trPr>
          <w:trHeight w:val="240"/>
        </w:trPr>
        <w:tc>
          <w:tcPr>
            <w:tcW w:w="6946" w:type="dxa"/>
            <w:tcBorders>
              <w:top w:val="nil"/>
              <w:left w:val="nil"/>
              <w:bottom w:val="nil"/>
              <w:right w:val="nil"/>
            </w:tcBorders>
            <w:shd w:val="clear" w:color="auto" w:fill="auto"/>
            <w:noWrap/>
            <w:vAlign w:val="bottom"/>
            <w:hideMark/>
          </w:tcPr>
          <w:p w14:paraId="1B447288" w14:textId="77777777" w:rsidR="00093875" w:rsidRPr="00093875" w:rsidRDefault="00093875" w:rsidP="00093875">
            <w:pPr>
              <w:spacing w:after="0" w:line="240" w:lineRule="auto"/>
              <w:rPr>
                <w:rFonts w:ascii="Arial" w:hAnsi="Arial" w:cs="Arial"/>
                <w:b/>
                <w:bCs/>
                <w:color w:val="000000"/>
                <w:sz w:val="18"/>
                <w:szCs w:val="18"/>
                <w:lang w:eastAsia="hr-HR"/>
              </w:rPr>
            </w:pPr>
            <w:r w:rsidRPr="00093875">
              <w:rPr>
                <w:rFonts w:ascii="Arial" w:hAnsi="Arial" w:cs="Arial"/>
                <w:b/>
                <w:bCs/>
                <w:color w:val="000000"/>
                <w:sz w:val="18"/>
                <w:szCs w:val="18"/>
                <w:lang w:eastAsia="hr-HR"/>
              </w:rPr>
              <w:t>02 Obrana</w:t>
            </w:r>
          </w:p>
        </w:tc>
        <w:tc>
          <w:tcPr>
            <w:tcW w:w="1780" w:type="dxa"/>
            <w:tcBorders>
              <w:top w:val="nil"/>
              <w:left w:val="nil"/>
              <w:bottom w:val="nil"/>
              <w:right w:val="nil"/>
            </w:tcBorders>
            <w:shd w:val="clear" w:color="auto" w:fill="auto"/>
            <w:noWrap/>
            <w:vAlign w:val="bottom"/>
            <w:hideMark/>
          </w:tcPr>
          <w:p w14:paraId="2BEA7F7C" w14:textId="77777777" w:rsidR="00093875" w:rsidRPr="00093875" w:rsidRDefault="00093875" w:rsidP="00093875">
            <w:pPr>
              <w:spacing w:after="0" w:line="240" w:lineRule="auto"/>
              <w:jc w:val="right"/>
              <w:rPr>
                <w:rFonts w:ascii="Arial" w:hAnsi="Arial" w:cs="Arial"/>
                <w:b/>
                <w:bCs/>
                <w:color w:val="000000"/>
                <w:sz w:val="18"/>
                <w:szCs w:val="18"/>
                <w:lang w:eastAsia="hr-HR"/>
              </w:rPr>
            </w:pPr>
            <w:r w:rsidRPr="00093875">
              <w:rPr>
                <w:rFonts w:ascii="Arial" w:hAnsi="Arial" w:cs="Arial"/>
                <w:b/>
                <w:bCs/>
                <w:color w:val="000000"/>
                <w:sz w:val="18"/>
                <w:szCs w:val="18"/>
                <w:lang w:eastAsia="hr-HR"/>
              </w:rPr>
              <w:t>3.860,39</w:t>
            </w:r>
          </w:p>
        </w:tc>
        <w:tc>
          <w:tcPr>
            <w:tcW w:w="1764" w:type="dxa"/>
            <w:tcBorders>
              <w:top w:val="nil"/>
              <w:left w:val="nil"/>
              <w:bottom w:val="nil"/>
              <w:right w:val="nil"/>
            </w:tcBorders>
            <w:shd w:val="clear" w:color="auto" w:fill="auto"/>
            <w:noWrap/>
            <w:vAlign w:val="bottom"/>
            <w:hideMark/>
          </w:tcPr>
          <w:p w14:paraId="5E2974BD" w14:textId="77777777" w:rsidR="00093875" w:rsidRPr="00093875" w:rsidRDefault="00093875" w:rsidP="00093875">
            <w:pPr>
              <w:spacing w:after="0" w:line="240" w:lineRule="auto"/>
              <w:jc w:val="right"/>
              <w:rPr>
                <w:rFonts w:ascii="Arial" w:hAnsi="Arial" w:cs="Arial"/>
                <w:b/>
                <w:bCs/>
                <w:color w:val="000000"/>
                <w:sz w:val="18"/>
                <w:szCs w:val="18"/>
                <w:lang w:eastAsia="hr-HR"/>
              </w:rPr>
            </w:pPr>
            <w:r w:rsidRPr="00093875">
              <w:rPr>
                <w:rFonts w:ascii="Arial" w:hAnsi="Arial" w:cs="Arial"/>
                <w:b/>
                <w:bCs/>
                <w:color w:val="000000"/>
                <w:sz w:val="18"/>
                <w:szCs w:val="18"/>
                <w:lang w:eastAsia="hr-HR"/>
              </w:rPr>
              <w:t>14.500,00</w:t>
            </w:r>
          </w:p>
        </w:tc>
        <w:tc>
          <w:tcPr>
            <w:tcW w:w="1660" w:type="dxa"/>
            <w:tcBorders>
              <w:top w:val="nil"/>
              <w:left w:val="nil"/>
              <w:bottom w:val="nil"/>
              <w:right w:val="nil"/>
            </w:tcBorders>
            <w:shd w:val="clear" w:color="auto" w:fill="auto"/>
            <w:noWrap/>
            <w:vAlign w:val="bottom"/>
            <w:hideMark/>
          </w:tcPr>
          <w:p w14:paraId="77705571" w14:textId="77777777" w:rsidR="00093875" w:rsidRPr="00093875" w:rsidRDefault="00093875" w:rsidP="00093875">
            <w:pPr>
              <w:spacing w:after="0" w:line="240" w:lineRule="auto"/>
              <w:jc w:val="right"/>
              <w:rPr>
                <w:rFonts w:ascii="Arial" w:hAnsi="Arial" w:cs="Arial"/>
                <w:b/>
                <w:bCs/>
                <w:color w:val="000000"/>
                <w:sz w:val="18"/>
                <w:szCs w:val="18"/>
                <w:lang w:eastAsia="hr-HR"/>
              </w:rPr>
            </w:pPr>
            <w:r w:rsidRPr="00093875">
              <w:rPr>
                <w:rFonts w:ascii="Arial" w:hAnsi="Arial" w:cs="Arial"/>
                <w:b/>
                <w:bCs/>
                <w:color w:val="000000"/>
                <w:sz w:val="18"/>
                <w:szCs w:val="18"/>
                <w:lang w:eastAsia="hr-HR"/>
              </w:rPr>
              <w:t>7.622,51</w:t>
            </w:r>
          </w:p>
        </w:tc>
        <w:tc>
          <w:tcPr>
            <w:tcW w:w="1300" w:type="dxa"/>
            <w:tcBorders>
              <w:top w:val="nil"/>
              <w:left w:val="nil"/>
              <w:bottom w:val="nil"/>
              <w:right w:val="nil"/>
            </w:tcBorders>
            <w:shd w:val="clear" w:color="auto" w:fill="auto"/>
            <w:noWrap/>
            <w:vAlign w:val="bottom"/>
            <w:hideMark/>
          </w:tcPr>
          <w:p w14:paraId="2B8AC7A3" w14:textId="77777777" w:rsidR="00093875" w:rsidRPr="00093875" w:rsidRDefault="00093875" w:rsidP="00093875">
            <w:pPr>
              <w:spacing w:after="0" w:line="240" w:lineRule="auto"/>
              <w:jc w:val="right"/>
              <w:rPr>
                <w:rFonts w:ascii="Arial" w:hAnsi="Arial" w:cs="Arial"/>
                <w:b/>
                <w:bCs/>
                <w:color w:val="000000"/>
                <w:sz w:val="18"/>
                <w:szCs w:val="18"/>
                <w:lang w:eastAsia="hr-HR"/>
              </w:rPr>
            </w:pPr>
            <w:r w:rsidRPr="00093875">
              <w:rPr>
                <w:rFonts w:ascii="Arial" w:hAnsi="Arial" w:cs="Arial"/>
                <w:b/>
                <w:bCs/>
                <w:color w:val="000000"/>
                <w:sz w:val="18"/>
                <w:szCs w:val="18"/>
                <w:lang w:eastAsia="hr-HR"/>
              </w:rPr>
              <w:t>197,45%</w:t>
            </w:r>
          </w:p>
        </w:tc>
        <w:tc>
          <w:tcPr>
            <w:tcW w:w="1256" w:type="dxa"/>
            <w:tcBorders>
              <w:top w:val="nil"/>
              <w:left w:val="nil"/>
              <w:bottom w:val="nil"/>
              <w:right w:val="nil"/>
            </w:tcBorders>
            <w:shd w:val="clear" w:color="auto" w:fill="auto"/>
            <w:noWrap/>
            <w:vAlign w:val="bottom"/>
            <w:hideMark/>
          </w:tcPr>
          <w:p w14:paraId="06198E29" w14:textId="77777777" w:rsidR="00093875" w:rsidRPr="00093875" w:rsidRDefault="00093875" w:rsidP="00093875">
            <w:pPr>
              <w:spacing w:after="0" w:line="240" w:lineRule="auto"/>
              <w:jc w:val="right"/>
              <w:rPr>
                <w:rFonts w:ascii="Arial" w:hAnsi="Arial" w:cs="Arial"/>
                <w:b/>
                <w:bCs/>
                <w:color w:val="000000"/>
                <w:sz w:val="18"/>
                <w:szCs w:val="18"/>
                <w:lang w:eastAsia="hr-HR"/>
              </w:rPr>
            </w:pPr>
            <w:r w:rsidRPr="00093875">
              <w:rPr>
                <w:rFonts w:ascii="Arial" w:hAnsi="Arial" w:cs="Arial"/>
                <w:b/>
                <w:bCs/>
                <w:color w:val="000000"/>
                <w:sz w:val="18"/>
                <w:szCs w:val="18"/>
                <w:lang w:eastAsia="hr-HR"/>
              </w:rPr>
              <w:t>52,57%</w:t>
            </w:r>
          </w:p>
        </w:tc>
      </w:tr>
      <w:tr w:rsidR="00093875" w:rsidRPr="00093875" w14:paraId="5D5AC1BE" w14:textId="77777777" w:rsidTr="007523DF">
        <w:trPr>
          <w:trHeight w:val="240"/>
        </w:trPr>
        <w:tc>
          <w:tcPr>
            <w:tcW w:w="6946" w:type="dxa"/>
            <w:tcBorders>
              <w:top w:val="nil"/>
              <w:left w:val="nil"/>
              <w:bottom w:val="nil"/>
              <w:right w:val="nil"/>
            </w:tcBorders>
            <w:shd w:val="clear" w:color="auto" w:fill="auto"/>
            <w:noWrap/>
            <w:vAlign w:val="bottom"/>
            <w:hideMark/>
          </w:tcPr>
          <w:p w14:paraId="58E10D8D" w14:textId="77777777" w:rsidR="00093875" w:rsidRPr="00093875" w:rsidRDefault="00093875" w:rsidP="00093875">
            <w:pPr>
              <w:spacing w:after="0" w:line="240" w:lineRule="auto"/>
              <w:rPr>
                <w:rFonts w:ascii="Arial" w:hAnsi="Arial" w:cs="Arial"/>
                <w:color w:val="000000"/>
                <w:sz w:val="18"/>
                <w:szCs w:val="18"/>
                <w:lang w:eastAsia="hr-HR"/>
              </w:rPr>
            </w:pPr>
            <w:r w:rsidRPr="00093875">
              <w:rPr>
                <w:rFonts w:ascii="Arial" w:hAnsi="Arial" w:cs="Arial"/>
                <w:color w:val="000000"/>
                <w:sz w:val="18"/>
                <w:szCs w:val="18"/>
                <w:lang w:eastAsia="hr-HR"/>
              </w:rPr>
              <w:t>022 Civilna obrana</w:t>
            </w:r>
          </w:p>
        </w:tc>
        <w:tc>
          <w:tcPr>
            <w:tcW w:w="1780" w:type="dxa"/>
            <w:tcBorders>
              <w:top w:val="nil"/>
              <w:left w:val="nil"/>
              <w:bottom w:val="nil"/>
              <w:right w:val="nil"/>
            </w:tcBorders>
            <w:shd w:val="clear" w:color="auto" w:fill="auto"/>
            <w:noWrap/>
            <w:vAlign w:val="bottom"/>
            <w:hideMark/>
          </w:tcPr>
          <w:p w14:paraId="4CD1BB54"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3.860,39</w:t>
            </w:r>
          </w:p>
        </w:tc>
        <w:tc>
          <w:tcPr>
            <w:tcW w:w="1764" w:type="dxa"/>
            <w:tcBorders>
              <w:top w:val="nil"/>
              <w:left w:val="nil"/>
              <w:bottom w:val="nil"/>
              <w:right w:val="nil"/>
            </w:tcBorders>
            <w:shd w:val="clear" w:color="auto" w:fill="auto"/>
            <w:noWrap/>
            <w:vAlign w:val="bottom"/>
            <w:hideMark/>
          </w:tcPr>
          <w:p w14:paraId="250C6EF1"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14.500,00</w:t>
            </w:r>
          </w:p>
        </w:tc>
        <w:tc>
          <w:tcPr>
            <w:tcW w:w="1660" w:type="dxa"/>
            <w:tcBorders>
              <w:top w:val="nil"/>
              <w:left w:val="nil"/>
              <w:bottom w:val="nil"/>
              <w:right w:val="nil"/>
            </w:tcBorders>
            <w:shd w:val="clear" w:color="auto" w:fill="auto"/>
            <w:noWrap/>
            <w:vAlign w:val="bottom"/>
            <w:hideMark/>
          </w:tcPr>
          <w:p w14:paraId="6908DCD4"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7.622,51</w:t>
            </w:r>
          </w:p>
        </w:tc>
        <w:tc>
          <w:tcPr>
            <w:tcW w:w="1300" w:type="dxa"/>
            <w:tcBorders>
              <w:top w:val="nil"/>
              <w:left w:val="nil"/>
              <w:bottom w:val="nil"/>
              <w:right w:val="nil"/>
            </w:tcBorders>
            <w:shd w:val="clear" w:color="auto" w:fill="auto"/>
            <w:noWrap/>
            <w:vAlign w:val="bottom"/>
            <w:hideMark/>
          </w:tcPr>
          <w:p w14:paraId="140CA396"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197,45%</w:t>
            </w:r>
          </w:p>
        </w:tc>
        <w:tc>
          <w:tcPr>
            <w:tcW w:w="1256" w:type="dxa"/>
            <w:tcBorders>
              <w:top w:val="nil"/>
              <w:left w:val="nil"/>
              <w:bottom w:val="nil"/>
              <w:right w:val="nil"/>
            </w:tcBorders>
            <w:shd w:val="clear" w:color="auto" w:fill="auto"/>
            <w:noWrap/>
            <w:vAlign w:val="bottom"/>
            <w:hideMark/>
          </w:tcPr>
          <w:p w14:paraId="43EC5A8E"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52,57%</w:t>
            </w:r>
          </w:p>
        </w:tc>
      </w:tr>
      <w:tr w:rsidR="00093875" w:rsidRPr="00093875" w14:paraId="094F95DE" w14:textId="77777777" w:rsidTr="007523DF">
        <w:trPr>
          <w:trHeight w:val="240"/>
        </w:trPr>
        <w:tc>
          <w:tcPr>
            <w:tcW w:w="6946" w:type="dxa"/>
            <w:tcBorders>
              <w:top w:val="nil"/>
              <w:left w:val="nil"/>
              <w:bottom w:val="nil"/>
              <w:right w:val="nil"/>
            </w:tcBorders>
            <w:shd w:val="clear" w:color="auto" w:fill="auto"/>
            <w:noWrap/>
            <w:vAlign w:val="bottom"/>
            <w:hideMark/>
          </w:tcPr>
          <w:p w14:paraId="7DC76CC9" w14:textId="77777777" w:rsidR="00093875" w:rsidRPr="00093875" w:rsidRDefault="00093875" w:rsidP="00093875">
            <w:pPr>
              <w:spacing w:after="0" w:line="240" w:lineRule="auto"/>
              <w:rPr>
                <w:rFonts w:ascii="Arial" w:hAnsi="Arial" w:cs="Arial"/>
                <w:b/>
                <w:bCs/>
                <w:color w:val="000000"/>
                <w:sz w:val="18"/>
                <w:szCs w:val="18"/>
                <w:lang w:eastAsia="hr-HR"/>
              </w:rPr>
            </w:pPr>
            <w:r w:rsidRPr="00093875">
              <w:rPr>
                <w:rFonts w:ascii="Arial" w:hAnsi="Arial" w:cs="Arial"/>
                <w:b/>
                <w:bCs/>
                <w:color w:val="000000"/>
                <w:sz w:val="18"/>
                <w:szCs w:val="18"/>
                <w:lang w:eastAsia="hr-HR"/>
              </w:rPr>
              <w:t>03 Javni red i sigurnost</w:t>
            </w:r>
          </w:p>
        </w:tc>
        <w:tc>
          <w:tcPr>
            <w:tcW w:w="1780" w:type="dxa"/>
            <w:tcBorders>
              <w:top w:val="nil"/>
              <w:left w:val="nil"/>
              <w:bottom w:val="nil"/>
              <w:right w:val="nil"/>
            </w:tcBorders>
            <w:shd w:val="clear" w:color="auto" w:fill="auto"/>
            <w:noWrap/>
            <w:vAlign w:val="bottom"/>
            <w:hideMark/>
          </w:tcPr>
          <w:p w14:paraId="66A56842" w14:textId="77777777" w:rsidR="00093875" w:rsidRPr="00093875" w:rsidRDefault="00093875" w:rsidP="00093875">
            <w:pPr>
              <w:spacing w:after="0" w:line="240" w:lineRule="auto"/>
              <w:jc w:val="right"/>
              <w:rPr>
                <w:rFonts w:ascii="Arial" w:hAnsi="Arial" w:cs="Arial"/>
                <w:b/>
                <w:bCs/>
                <w:color w:val="000000"/>
                <w:sz w:val="18"/>
                <w:szCs w:val="18"/>
                <w:lang w:eastAsia="hr-HR"/>
              </w:rPr>
            </w:pPr>
            <w:r w:rsidRPr="00093875">
              <w:rPr>
                <w:rFonts w:ascii="Arial" w:hAnsi="Arial" w:cs="Arial"/>
                <w:b/>
                <w:bCs/>
                <w:color w:val="000000"/>
                <w:sz w:val="18"/>
                <w:szCs w:val="18"/>
                <w:lang w:eastAsia="hr-HR"/>
              </w:rPr>
              <w:t>768.134,36</w:t>
            </w:r>
          </w:p>
        </w:tc>
        <w:tc>
          <w:tcPr>
            <w:tcW w:w="1764" w:type="dxa"/>
            <w:tcBorders>
              <w:top w:val="nil"/>
              <w:left w:val="nil"/>
              <w:bottom w:val="nil"/>
              <w:right w:val="nil"/>
            </w:tcBorders>
            <w:shd w:val="clear" w:color="auto" w:fill="auto"/>
            <w:noWrap/>
            <w:vAlign w:val="bottom"/>
            <w:hideMark/>
          </w:tcPr>
          <w:p w14:paraId="729D94F3" w14:textId="77777777" w:rsidR="00093875" w:rsidRPr="00093875" w:rsidRDefault="00093875" w:rsidP="00093875">
            <w:pPr>
              <w:spacing w:after="0" w:line="240" w:lineRule="auto"/>
              <w:jc w:val="right"/>
              <w:rPr>
                <w:rFonts w:ascii="Arial" w:hAnsi="Arial" w:cs="Arial"/>
                <w:b/>
                <w:bCs/>
                <w:color w:val="000000"/>
                <w:sz w:val="18"/>
                <w:szCs w:val="18"/>
                <w:lang w:eastAsia="hr-HR"/>
              </w:rPr>
            </w:pPr>
            <w:r w:rsidRPr="00093875">
              <w:rPr>
                <w:rFonts w:ascii="Arial" w:hAnsi="Arial" w:cs="Arial"/>
                <w:b/>
                <w:bCs/>
                <w:color w:val="000000"/>
                <w:sz w:val="18"/>
                <w:szCs w:val="18"/>
                <w:lang w:eastAsia="hr-HR"/>
              </w:rPr>
              <w:t>1.036.526,20</w:t>
            </w:r>
          </w:p>
        </w:tc>
        <w:tc>
          <w:tcPr>
            <w:tcW w:w="1660" w:type="dxa"/>
            <w:tcBorders>
              <w:top w:val="nil"/>
              <w:left w:val="nil"/>
              <w:bottom w:val="nil"/>
              <w:right w:val="nil"/>
            </w:tcBorders>
            <w:shd w:val="clear" w:color="auto" w:fill="auto"/>
            <w:noWrap/>
            <w:vAlign w:val="bottom"/>
            <w:hideMark/>
          </w:tcPr>
          <w:p w14:paraId="22681A7A" w14:textId="77777777" w:rsidR="00093875" w:rsidRPr="00093875" w:rsidRDefault="00093875" w:rsidP="00093875">
            <w:pPr>
              <w:spacing w:after="0" w:line="240" w:lineRule="auto"/>
              <w:jc w:val="right"/>
              <w:rPr>
                <w:rFonts w:ascii="Arial" w:hAnsi="Arial" w:cs="Arial"/>
                <w:b/>
                <w:bCs/>
                <w:color w:val="000000"/>
                <w:sz w:val="18"/>
                <w:szCs w:val="18"/>
                <w:lang w:eastAsia="hr-HR"/>
              </w:rPr>
            </w:pPr>
            <w:r w:rsidRPr="00093875">
              <w:rPr>
                <w:rFonts w:ascii="Arial" w:hAnsi="Arial" w:cs="Arial"/>
                <w:b/>
                <w:bCs/>
                <w:color w:val="000000"/>
                <w:sz w:val="18"/>
                <w:szCs w:val="18"/>
                <w:lang w:eastAsia="hr-HR"/>
              </w:rPr>
              <w:t>1.022.771,34</w:t>
            </w:r>
          </w:p>
        </w:tc>
        <w:tc>
          <w:tcPr>
            <w:tcW w:w="1300" w:type="dxa"/>
            <w:tcBorders>
              <w:top w:val="nil"/>
              <w:left w:val="nil"/>
              <w:bottom w:val="nil"/>
              <w:right w:val="nil"/>
            </w:tcBorders>
            <w:shd w:val="clear" w:color="auto" w:fill="auto"/>
            <w:noWrap/>
            <w:vAlign w:val="bottom"/>
            <w:hideMark/>
          </w:tcPr>
          <w:p w14:paraId="0ECC78E4" w14:textId="77777777" w:rsidR="00093875" w:rsidRPr="00093875" w:rsidRDefault="00093875" w:rsidP="00093875">
            <w:pPr>
              <w:spacing w:after="0" w:line="240" w:lineRule="auto"/>
              <w:jc w:val="right"/>
              <w:rPr>
                <w:rFonts w:ascii="Arial" w:hAnsi="Arial" w:cs="Arial"/>
                <w:b/>
                <w:bCs/>
                <w:color w:val="000000"/>
                <w:sz w:val="18"/>
                <w:szCs w:val="18"/>
                <w:lang w:eastAsia="hr-HR"/>
              </w:rPr>
            </w:pPr>
            <w:r w:rsidRPr="00093875">
              <w:rPr>
                <w:rFonts w:ascii="Arial" w:hAnsi="Arial" w:cs="Arial"/>
                <w:b/>
                <w:bCs/>
                <w:color w:val="000000"/>
                <w:sz w:val="18"/>
                <w:szCs w:val="18"/>
                <w:lang w:eastAsia="hr-HR"/>
              </w:rPr>
              <w:t>133,15%</w:t>
            </w:r>
          </w:p>
        </w:tc>
        <w:tc>
          <w:tcPr>
            <w:tcW w:w="1256" w:type="dxa"/>
            <w:tcBorders>
              <w:top w:val="nil"/>
              <w:left w:val="nil"/>
              <w:bottom w:val="nil"/>
              <w:right w:val="nil"/>
            </w:tcBorders>
            <w:shd w:val="clear" w:color="auto" w:fill="auto"/>
            <w:noWrap/>
            <w:vAlign w:val="bottom"/>
            <w:hideMark/>
          </w:tcPr>
          <w:p w14:paraId="554669A4" w14:textId="77777777" w:rsidR="00093875" w:rsidRPr="00093875" w:rsidRDefault="00093875" w:rsidP="00093875">
            <w:pPr>
              <w:spacing w:after="0" w:line="240" w:lineRule="auto"/>
              <w:jc w:val="right"/>
              <w:rPr>
                <w:rFonts w:ascii="Arial" w:hAnsi="Arial" w:cs="Arial"/>
                <w:b/>
                <w:bCs/>
                <w:color w:val="000000"/>
                <w:sz w:val="18"/>
                <w:szCs w:val="18"/>
                <w:lang w:eastAsia="hr-HR"/>
              </w:rPr>
            </w:pPr>
            <w:r w:rsidRPr="00093875">
              <w:rPr>
                <w:rFonts w:ascii="Arial" w:hAnsi="Arial" w:cs="Arial"/>
                <w:b/>
                <w:bCs/>
                <w:color w:val="000000"/>
                <w:sz w:val="18"/>
                <w:szCs w:val="18"/>
                <w:lang w:eastAsia="hr-HR"/>
              </w:rPr>
              <w:t>98,67%</w:t>
            </w:r>
          </w:p>
        </w:tc>
      </w:tr>
      <w:tr w:rsidR="00093875" w:rsidRPr="00093875" w14:paraId="6F409168" w14:textId="77777777" w:rsidTr="007523DF">
        <w:trPr>
          <w:trHeight w:val="240"/>
        </w:trPr>
        <w:tc>
          <w:tcPr>
            <w:tcW w:w="6946" w:type="dxa"/>
            <w:tcBorders>
              <w:top w:val="nil"/>
              <w:left w:val="nil"/>
              <w:bottom w:val="nil"/>
              <w:right w:val="nil"/>
            </w:tcBorders>
            <w:shd w:val="clear" w:color="auto" w:fill="auto"/>
            <w:noWrap/>
            <w:vAlign w:val="bottom"/>
            <w:hideMark/>
          </w:tcPr>
          <w:p w14:paraId="4D351E98" w14:textId="77777777" w:rsidR="00093875" w:rsidRPr="00093875" w:rsidRDefault="00093875" w:rsidP="00093875">
            <w:pPr>
              <w:spacing w:after="0" w:line="240" w:lineRule="auto"/>
              <w:rPr>
                <w:rFonts w:ascii="Arial" w:hAnsi="Arial" w:cs="Arial"/>
                <w:color w:val="000000"/>
                <w:sz w:val="18"/>
                <w:szCs w:val="18"/>
                <w:lang w:eastAsia="hr-HR"/>
              </w:rPr>
            </w:pPr>
            <w:r w:rsidRPr="00093875">
              <w:rPr>
                <w:rFonts w:ascii="Arial" w:hAnsi="Arial" w:cs="Arial"/>
                <w:color w:val="000000"/>
                <w:sz w:val="18"/>
                <w:szCs w:val="18"/>
                <w:lang w:eastAsia="hr-HR"/>
              </w:rPr>
              <w:t>032 Usluge protupožarne zaštite</w:t>
            </w:r>
          </w:p>
        </w:tc>
        <w:tc>
          <w:tcPr>
            <w:tcW w:w="1780" w:type="dxa"/>
            <w:tcBorders>
              <w:top w:val="nil"/>
              <w:left w:val="nil"/>
              <w:bottom w:val="nil"/>
              <w:right w:val="nil"/>
            </w:tcBorders>
            <w:shd w:val="clear" w:color="auto" w:fill="auto"/>
            <w:noWrap/>
            <w:vAlign w:val="bottom"/>
            <w:hideMark/>
          </w:tcPr>
          <w:p w14:paraId="09E388DC"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762.188,74</w:t>
            </w:r>
          </w:p>
        </w:tc>
        <w:tc>
          <w:tcPr>
            <w:tcW w:w="1764" w:type="dxa"/>
            <w:tcBorders>
              <w:top w:val="nil"/>
              <w:left w:val="nil"/>
              <w:bottom w:val="nil"/>
              <w:right w:val="nil"/>
            </w:tcBorders>
            <w:shd w:val="clear" w:color="auto" w:fill="auto"/>
            <w:noWrap/>
            <w:vAlign w:val="bottom"/>
            <w:hideMark/>
          </w:tcPr>
          <w:p w14:paraId="79061904"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1.036.526,20</w:t>
            </w:r>
          </w:p>
        </w:tc>
        <w:tc>
          <w:tcPr>
            <w:tcW w:w="1660" w:type="dxa"/>
            <w:tcBorders>
              <w:top w:val="nil"/>
              <w:left w:val="nil"/>
              <w:bottom w:val="nil"/>
              <w:right w:val="nil"/>
            </w:tcBorders>
            <w:shd w:val="clear" w:color="auto" w:fill="auto"/>
            <w:noWrap/>
            <w:vAlign w:val="bottom"/>
            <w:hideMark/>
          </w:tcPr>
          <w:p w14:paraId="79FA9806"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1.022.771,34</w:t>
            </w:r>
          </w:p>
        </w:tc>
        <w:tc>
          <w:tcPr>
            <w:tcW w:w="1300" w:type="dxa"/>
            <w:tcBorders>
              <w:top w:val="nil"/>
              <w:left w:val="nil"/>
              <w:bottom w:val="nil"/>
              <w:right w:val="nil"/>
            </w:tcBorders>
            <w:shd w:val="clear" w:color="auto" w:fill="auto"/>
            <w:noWrap/>
            <w:vAlign w:val="bottom"/>
            <w:hideMark/>
          </w:tcPr>
          <w:p w14:paraId="1DA71BD6"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134,19%</w:t>
            </w:r>
          </w:p>
        </w:tc>
        <w:tc>
          <w:tcPr>
            <w:tcW w:w="1256" w:type="dxa"/>
            <w:tcBorders>
              <w:top w:val="nil"/>
              <w:left w:val="nil"/>
              <w:bottom w:val="nil"/>
              <w:right w:val="nil"/>
            </w:tcBorders>
            <w:shd w:val="clear" w:color="auto" w:fill="auto"/>
            <w:noWrap/>
            <w:vAlign w:val="bottom"/>
            <w:hideMark/>
          </w:tcPr>
          <w:p w14:paraId="2EE3ABBF"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98,67%</w:t>
            </w:r>
          </w:p>
        </w:tc>
      </w:tr>
      <w:tr w:rsidR="00093875" w:rsidRPr="00093875" w14:paraId="5850C4F5" w14:textId="77777777" w:rsidTr="007523DF">
        <w:trPr>
          <w:trHeight w:val="240"/>
        </w:trPr>
        <w:tc>
          <w:tcPr>
            <w:tcW w:w="6946" w:type="dxa"/>
            <w:tcBorders>
              <w:top w:val="nil"/>
              <w:left w:val="nil"/>
              <w:bottom w:val="nil"/>
              <w:right w:val="nil"/>
            </w:tcBorders>
            <w:shd w:val="clear" w:color="auto" w:fill="auto"/>
            <w:noWrap/>
            <w:vAlign w:val="bottom"/>
            <w:hideMark/>
          </w:tcPr>
          <w:p w14:paraId="1B172683" w14:textId="77777777" w:rsidR="00093875" w:rsidRPr="00093875" w:rsidRDefault="00093875" w:rsidP="00093875">
            <w:pPr>
              <w:spacing w:after="0" w:line="240" w:lineRule="auto"/>
              <w:rPr>
                <w:rFonts w:ascii="Arial" w:hAnsi="Arial" w:cs="Arial"/>
                <w:color w:val="000000"/>
                <w:sz w:val="18"/>
                <w:szCs w:val="18"/>
                <w:lang w:eastAsia="hr-HR"/>
              </w:rPr>
            </w:pPr>
            <w:r w:rsidRPr="00093875">
              <w:rPr>
                <w:rFonts w:ascii="Arial" w:hAnsi="Arial" w:cs="Arial"/>
                <w:color w:val="000000"/>
                <w:sz w:val="18"/>
                <w:szCs w:val="18"/>
                <w:lang w:eastAsia="hr-HR"/>
              </w:rPr>
              <w:t>036 Rashodi za javni red i sigurnost koji nisu drugdje svrstani</w:t>
            </w:r>
          </w:p>
        </w:tc>
        <w:tc>
          <w:tcPr>
            <w:tcW w:w="1780" w:type="dxa"/>
            <w:tcBorders>
              <w:top w:val="nil"/>
              <w:left w:val="nil"/>
              <w:bottom w:val="nil"/>
              <w:right w:val="nil"/>
            </w:tcBorders>
            <w:shd w:val="clear" w:color="auto" w:fill="auto"/>
            <w:noWrap/>
            <w:vAlign w:val="bottom"/>
            <w:hideMark/>
          </w:tcPr>
          <w:p w14:paraId="622D4070"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5.945,62</w:t>
            </w:r>
          </w:p>
        </w:tc>
        <w:tc>
          <w:tcPr>
            <w:tcW w:w="1764" w:type="dxa"/>
            <w:tcBorders>
              <w:top w:val="nil"/>
              <w:left w:val="nil"/>
              <w:bottom w:val="nil"/>
              <w:right w:val="nil"/>
            </w:tcBorders>
            <w:shd w:val="clear" w:color="auto" w:fill="auto"/>
            <w:noWrap/>
            <w:vAlign w:val="bottom"/>
            <w:hideMark/>
          </w:tcPr>
          <w:p w14:paraId="7D0DE226"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0,00</w:t>
            </w:r>
          </w:p>
        </w:tc>
        <w:tc>
          <w:tcPr>
            <w:tcW w:w="1660" w:type="dxa"/>
            <w:tcBorders>
              <w:top w:val="nil"/>
              <w:left w:val="nil"/>
              <w:bottom w:val="nil"/>
              <w:right w:val="nil"/>
            </w:tcBorders>
            <w:shd w:val="clear" w:color="auto" w:fill="auto"/>
            <w:noWrap/>
            <w:vAlign w:val="bottom"/>
            <w:hideMark/>
          </w:tcPr>
          <w:p w14:paraId="18A9C75D"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0,00</w:t>
            </w:r>
          </w:p>
        </w:tc>
        <w:tc>
          <w:tcPr>
            <w:tcW w:w="1300" w:type="dxa"/>
            <w:tcBorders>
              <w:top w:val="nil"/>
              <w:left w:val="nil"/>
              <w:bottom w:val="nil"/>
              <w:right w:val="nil"/>
            </w:tcBorders>
            <w:shd w:val="clear" w:color="auto" w:fill="auto"/>
            <w:noWrap/>
            <w:vAlign w:val="bottom"/>
            <w:hideMark/>
          </w:tcPr>
          <w:p w14:paraId="4452027E"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0,00%</w:t>
            </w:r>
          </w:p>
        </w:tc>
        <w:tc>
          <w:tcPr>
            <w:tcW w:w="1256" w:type="dxa"/>
            <w:tcBorders>
              <w:top w:val="nil"/>
              <w:left w:val="nil"/>
              <w:bottom w:val="nil"/>
              <w:right w:val="nil"/>
            </w:tcBorders>
            <w:shd w:val="clear" w:color="auto" w:fill="auto"/>
            <w:noWrap/>
            <w:vAlign w:val="bottom"/>
            <w:hideMark/>
          </w:tcPr>
          <w:p w14:paraId="19366F19" w14:textId="77777777" w:rsidR="00093875" w:rsidRPr="00093875" w:rsidRDefault="00093875" w:rsidP="00093875">
            <w:pPr>
              <w:spacing w:after="0" w:line="240" w:lineRule="auto"/>
              <w:jc w:val="right"/>
              <w:rPr>
                <w:rFonts w:ascii="Arial" w:hAnsi="Arial" w:cs="Arial"/>
                <w:color w:val="000000"/>
                <w:sz w:val="18"/>
                <w:szCs w:val="18"/>
                <w:lang w:eastAsia="hr-HR"/>
              </w:rPr>
            </w:pPr>
          </w:p>
        </w:tc>
      </w:tr>
      <w:tr w:rsidR="00093875" w:rsidRPr="00093875" w14:paraId="5B8A1BC0" w14:textId="77777777" w:rsidTr="007523DF">
        <w:trPr>
          <w:trHeight w:val="240"/>
        </w:trPr>
        <w:tc>
          <w:tcPr>
            <w:tcW w:w="6946" w:type="dxa"/>
            <w:tcBorders>
              <w:top w:val="nil"/>
              <w:left w:val="nil"/>
              <w:bottom w:val="nil"/>
              <w:right w:val="nil"/>
            </w:tcBorders>
            <w:shd w:val="clear" w:color="auto" w:fill="auto"/>
            <w:noWrap/>
            <w:vAlign w:val="bottom"/>
            <w:hideMark/>
          </w:tcPr>
          <w:p w14:paraId="2DA0D1A8" w14:textId="77777777" w:rsidR="00093875" w:rsidRPr="00093875" w:rsidRDefault="00093875" w:rsidP="00093875">
            <w:pPr>
              <w:spacing w:after="0" w:line="240" w:lineRule="auto"/>
              <w:rPr>
                <w:rFonts w:ascii="Arial" w:hAnsi="Arial" w:cs="Arial"/>
                <w:b/>
                <w:bCs/>
                <w:color w:val="000000"/>
                <w:sz w:val="18"/>
                <w:szCs w:val="18"/>
                <w:lang w:eastAsia="hr-HR"/>
              </w:rPr>
            </w:pPr>
            <w:r w:rsidRPr="00093875">
              <w:rPr>
                <w:rFonts w:ascii="Arial" w:hAnsi="Arial" w:cs="Arial"/>
                <w:b/>
                <w:bCs/>
                <w:color w:val="000000"/>
                <w:sz w:val="18"/>
                <w:szCs w:val="18"/>
                <w:lang w:eastAsia="hr-HR"/>
              </w:rPr>
              <w:t>04 Ekonomski poslovi</w:t>
            </w:r>
          </w:p>
        </w:tc>
        <w:tc>
          <w:tcPr>
            <w:tcW w:w="1780" w:type="dxa"/>
            <w:tcBorders>
              <w:top w:val="nil"/>
              <w:left w:val="nil"/>
              <w:bottom w:val="nil"/>
              <w:right w:val="nil"/>
            </w:tcBorders>
            <w:shd w:val="clear" w:color="auto" w:fill="auto"/>
            <w:noWrap/>
            <w:vAlign w:val="bottom"/>
            <w:hideMark/>
          </w:tcPr>
          <w:p w14:paraId="0D97EE07" w14:textId="77777777" w:rsidR="00093875" w:rsidRPr="00093875" w:rsidRDefault="00093875" w:rsidP="00093875">
            <w:pPr>
              <w:spacing w:after="0" w:line="240" w:lineRule="auto"/>
              <w:jc w:val="right"/>
              <w:rPr>
                <w:rFonts w:ascii="Arial" w:hAnsi="Arial" w:cs="Arial"/>
                <w:b/>
                <w:bCs/>
                <w:color w:val="000000"/>
                <w:sz w:val="18"/>
                <w:szCs w:val="18"/>
                <w:lang w:eastAsia="hr-HR"/>
              </w:rPr>
            </w:pPr>
            <w:r w:rsidRPr="00093875">
              <w:rPr>
                <w:rFonts w:ascii="Arial" w:hAnsi="Arial" w:cs="Arial"/>
                <w:b/>
                <w:bCs/>
                <w:color w:val="000000"/>
                <w:sz w:val="18"/>
                <w:szCs w:val="18"/>
                <w:lang w:eastAsia="hr-HR"/>
              </w:rPr>
              <w:t>700.545,34</w:t>
            </w:r>
          </w:p>
        </w:tc>
        <w:tc>
          <w:tcPr>
            <w:tcW w:w="1764" w:type="dxa"/>
            <w:tcBorders>
              <w:top w:val="nil"/>
              <w:left w:val="nil"/>
              <w:bottom w:val="nil"/>
              <w:right w:val="nil"/>
            </w:tcBorders>
            <w:shd w:val="clear" w:color="auto" w:fill="auto"/>
            <w:noWrap/>
            <w:vAlign w:val="bottom"/>
            <w:hideMark/>
          </w:tcPr>
          <w:p w14:paraId="18934DC6" w14:textId="77777777" w:rsidR="00093875" w:rsidRPr="00093875" w:rsidRDefault="00093875" w:rsidP="00093875">
            <w:pPr>
              <w:spacing w:after="0" w:line="240" w:lineRule="auto"/>
              <w:jc w:val="right"/>
              <w:rPr>
                <w:rFonts w:ascii="Arial" w:hAnsi="Arial" w:cs="Arial"/>
                <w:b/>
                <w:bCs/>
                <w:color w:val="000000"/>
                <w:sz w:val="18"/>
                <w:szCs w:val="18"/>
                <w:lang w:eastAsia="hr-HR"/>
              </w:rPr>
            </w:pPr>
            <w:r w:rsidRPr="00093875">
              <w:rPr>
                <w:rFonts w:ascii="Arial" w:hAnsi="Arial" w:cs="Arial"/>
                <w:b/>
                <w:bCs/>
                <w:color w:val="000000"/>
                <w:sz w:val="18"/>
                <w:szCs w:val="18"/>
                <w:lang w:eastAsia="hr-HR"/>
              </w:rPr>
              <w:t>932.710,00</w:t>
            </w:r>
          </w:p>
        </w:tc>
        <w:tc>
          <w:tcPr>
            <w:tcW w:w="1660" w:type="dxa"/>
            <w:tcBorders>
              <w:top w:val="nil"/>
              <w:left w:val="nil"/>
              <w:bottom w:val="nil"/>
              <w:right w:val="nil"/>
            </w:tcBorders>
            <w:shd w:val="clear" w:color="auto" w:fill="auto"/>
            <w:noWrap/>
            <w:vAlign w:val="bottom"/>
            <w:hideMark/>
          </w:tcPr>
          <w:p w14:paraId="661B667D" w14:textId="77777777" w:rsidR="00093875" w:rsidRPr="00093875" w:rsidRDefault="00093875" w:rsidP="00093875">
            <w:pPr>
              <w:spacing w:after="0" w:line="240" w:lineRule="auto"/>
              <w:jc w:val="right"/>
              <w:rPr>
                <w:rFonts w:ascii="Arial" w:hAnsi="Arial" w:cs="Arial"/>
                <w:b/>
                <w:bCs/>
                <w:color w:val="000000"/>
                <w:sz w:val="18"/>
                <w:szCs w:val="18"/>
                <w:lang w:eastAsia="hr-HR"/>
              </w:rPr>
            </w:pPr>
            <w:r w:rsidRPr="00093875">
              <w:rPr>
                <w:rFonts w:ascii="Arial" w:hAnsi="Arial" w:cs="Arial"/>
                <w:b/>
                <w:bCs/>
                <w:color w:val="000000"/>
                <w:sz w:val="18"/>
                <w:szCs w:val="18"/>
                <w:lang w:eastAsia="hr-HR"/>
              </w:rPr>
              <w:t>806.643,08</w:t>
            </w:r>
          </w:p>
        </w:tc>
        <w:tc>
          <w:tcPr>
            <w:tcW w:w="1300" w:type="dxa"/>
            <w:tcBorders>
              <w:top w:val="nil"/>
              <w:left w:val="nil"/>
              <w:bottom w:val="nil"/>
              <w:right w:val="nil"/>
            </w:tcBorders>
            <w:shd w:val="clear" w:color="auto" w:fill="auto"/>
            <w:noWrap/>
            <w:vAlign w:val="bottom"/>
            <w:hideMark/>
          </w:tcPr>
          <w:p w14:paraId="4437C724" w14:textId="77777777" w:rsidR="00093875" w:rsidRPr="00093875" w:rsidRDefault="00093875" w:rsidP="00093875">
            <w:pPr>
              <w:spacing w:after="0" w:line="240" w:lineRule="auto"/>
              <w:jc w:val="right"/>
              <w:rPr>
                <w:rFonts w:ascii="Arial" w:hAnsi="Arial" w:cs="Arial"/>
                <w:b/>
                <w:bCs/>
                <w:color w:val="000000"/>
                <w:sz w:val="18"/>
                <w:szCs w:val="18"/>
                <w:lang w:eastAsia="hr-HR"/>
              </w:rPr>
            </w:pPr>
            <w:r w:rsidRPr="00093875">
              <w:rPr>
                <w:rFonts w:ascii="Arial" w:hAnsi="Arial" w:cs="Arial"/>
                <w:b/>
                <w:bCs/>
                <w:color w:val="000000"/>
                <w:sz w:val="18"/>
                <w:szCs w:val="18"/>
                <w:lang w:eastAsia="hr-HR"/>
              </w:rPr>
              <w:t>115,15%</w:t>
            </w:r>
          </w:p>
        </w:tc>
        <w:tc>
          <w:tcPr>
            <w:tcW w:w="1256" w:type="dxa"/>
            <w:tcBorders>
              <w:top w:val="nil"/>
              <w:left w:val="nil"/>
              <w:bottom w:val="nil"/>
              <w:right w:val="nil"/>
            </w:tcBorders>
            <w:shd w:val="clear" w:color="auto" w:fill="auto"/>
            <w:noWrap/>
            <w:vAlign w:val="bottom"/>
            <w:hideMark/>
          </w:tcPr>
          <w:p w14:paraId="2ADF81FA" w14:textId="77777777" w:rsidR="00093875" w:rsidRPr="00093875" w:rsidRDefault="00093875" w:rsidP="00093875">
            <w:pPr>
              <w:spacing w:after="0" w:line="240" w:lineRule="auto"/>
              <w:jc w:val="right"/>
              <w:rPr>
                <w:rFonts w:ascii="Arial" w:hAnsi="Arial" w:cs="Arial"/>
                <w:b/>
                <w:bCs/>
                <w:color w:val="000000"/>
                <w:sz w:val="18"/>
                <w:szCs w:val="18"/>
                <w:lang w:eastAsia="hr-HR"/>
              </w:rPr>
            </w:pPr>
            <w:r w:rsidRPr="00093875">
              <w:rPr>
                <w:rFonts w:ascii="Arial" w:hAnsi="Arial" w:cs="Arial"/>
                <w:b/>
                <w:bCs/>
                <w:color w:val="000000"/>
                <w:sz w:val="18"/>
                <w:szCs w:val="18"/>
                <w:lang w:eastAsia="hr-HR"/>
              </w:rPr>
              <w:t>86,48%</w:t>
            </w:r>
          </w:p>
        </w:tc>
      </w:tr>
      <w:tr w:rsidR="00093875" w:rsidRPr="00093875" w14:paraId="523AA2CC" w14:textId="77777777" w:rsidTr="007523DF">
        <w:trPr>
          <w:trHeight w:val="240"/>
        </w:trPr>
        <w:tc>
          <w:tcPr>
            <w:tcW w:w="6946" w:type="dxa"/>
            <w:tcBorders>
              <w:top w:val="nil"/>
              <w:left w:val="nil"/>
              <w:bottom w:val="nil"/>
              <w:right w:val="nil"/>
            </w:tcBorders>
            <w:shd w:val="clear" w:color="auto" w:fill="auto"/>
            <w:noWrap/>
            <w:vAlign w:val="bottom"/>
            <w:hideMark/>
          </w:tcPr>
          <w:p w14:paraId="5C577CF9" w14:textId="77777777" w:rsidR="00093875" w:rsidRPr="00093875" w:rsidRDefault="00093875" w:rsidP="00093875">
            <w:pPr>
              <w:spacing w:after="0" w:line="240" w:lineRule="auto"/>
              <w:rPr>
                <w:rFonts w:ascii="Arial" w:hAnsi="Arial" w:cs="Arial"/>
                <w:color w:val="000000"/>
                <w:sz w:val="18"/>
                <w:szCs w:val="18"/>
                <w:lang w:eastAsia="hr-HR"/>
              </w:rPr>
            </w:pPr>
            <w:r w:rsidRPr="00093875">
              <w:rPr>
                <w:rFonts w:ascii="Arial" w:hAnsi="Arial" w:cs="Arial"/>
                <w:color w:val="000000"/>
                <w:sz w:val="18"/>
                <w:szCs w:val="18"/>
                <w:lang w:eastAsia="hr-HR"/>
              </w:rPr>
              <w:t>041 Opći ekonomski, trgovački i poslovi vezani uz rad</w:t>
            </w:r>
          </w:p>
        </w:tc>
        <w:tc>
          <w:tcPr>
            <w:tcW w:w="1780" w:type="dxa"/>
            <w:tcBorders>
              <w:top w:val="nil"/>
              <w:left w:val="nil"/>
              <w:bottom w:val="nil"/>
              <w:right w:val="nil"/>
            </w:tcBorders>
            <w:shd w:val="clear" w:color="auto" w:fill="auto"/>
            <w:noWrap/>
            <w:vAlign w:val="bottom"/>
            <w:hideMark/>
          </w:tcPr>
          <w:p w14:paraId="23624FB3"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390,00</w:t>
            </w:r>
          </w:p>
        </w:tc>
        <w:tc>
          <w:tcPr>
            <w:tcW w:w="1764" w:type="dxa"/>
            <w:tcBorders>
              <w:top w:val="nil"/>
              <w:left w:val="nil"/>
              <w:bottom w:val="nil"/>
              <w:right w:val="nil"/>
            </w:tcBorders>
            <w:shd w:val="clear" w:color="auto" w:fill="auto"/>
            <w:noWrap/>
            <w:vAlign w:val="bottom"/>
            <w:hideMark/>
          </w:tcPr>
          <w:p w14:paraId="0D984771"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97.000,00</w:t>
            </w:r>
          </w:p>
        </w:tc>
        <w:tc>
          <w:tcPr>
            <w:tcW w:w="1660" w:type="dxa"/>
            <w:tcBorders>
              <w:top w:val="nil"/>
              <w:left w:val="nil"/>
              <w:bottom w:val="nil"/>
              <w:right w:val="nil"/>
            </w:tcBorders>
            <w:shd w:val="clear" w:color="auto" w:fill="auto"/>
            <w:noWrap/>
            <w:vAlign w:val="bottom"/>
            <w:hideMark/>
          </w:tcPr>
          <w:p w14:paraId="25F9837C"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75.699,66</w:t>
            </w:r>
          </w:p>
        </w:tc>
        <w:tc>
          <w:tcPr>
            <w:tcW w:w="1300" w:type="dxa"/>
            <w:tcBorders>
              <w:top w:val="nil"/>
              <w:left w:val="nil"/>
              <w:bottom w:val="nil"/>
              <w:right w:val="nil"/>
            </w:tcBorders>
            <w:shd w:val="clear" w:color="auto" w:fill="auto"/>
            <w:noWrap/>
            <w:vAlign w:val="bottom"/>
            <w:hideMark/>
          </w:tcPr>
          <w:p w14:paraId="7035DFD2"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19410,17%</w:t>
            </w:r>
          </w:p>
        </w:tc>
        <w:tc>
          <w:tcPr>
            <w:tcW w:w="1256" w:type="dxa"/>
            <w:tcBorders>
              <w:top w:val="nil"/>
              <w:left w:val="nil"/>
              <w:bottom w:val="nil"/>
              <w:right w:val="nil"/>
            </w:tcBorders>
            <w:shd w:val="clear" w:color="auto" w:fill="auto"/>
            <w:noWrap/>
            <w:vAlign w:val="bottom"/>
            <w:hideMark/>
          </w:tcPr>
          <w:p w14:paraId="5DD868D5"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78,04%</w:t>
            </w:r>
          </w:p>
        </w:tc>
      </w:tr>
      <w:tr w:rsidR="00093875" w:rsidRPr="00093875" w14:paraId="2FF494DB" w14:textId="77777777" w:rsidTr="007523DF">
        <w:trPr>
          <w:trHeight w:val="240"/>
        </w:trPr>
        <w:tc>
          <w:tcPr>
            <w:tcW w:w="6946" w:type="dxa"/>
            <w:tcBorders>
              <w:top w:val="nil"/>
              <w:left w:val="nil"/>
              <w:bottom w:val="nil"/>
              <w:right w:val="nil"/>
            </w:tcBorders>
            <w:shd w:val="clear" w:color="auto" w:fill="auto"/>
            <w:noWrap/>
            <w:vAlign w:val="bottom"/>
            <w:hideMark/>
          </w:tcPr>
          <w:p w14:paraId="2E8449C5" w14:textId="77777777" w:rsidR="00093875" w:rsidRPr="00093875" w:rsidRDefault="00093875" w:rsidP="00093875">
            <w:pPr>
              <w:spacing w:after="0" w:line="240" w:lineRule="auto"/>
              <w:rPr>
                <w:rFonts w:ascii="Arial" w:hAnsi="Arial" w:cs="Arial"/>
                <w:color w:val="000000"/>
                <w:sz w:val="18"/>
                <w:szCs w:val="18"/>
                <w:lang w:eastAsia="hr-HR"/>
              </w:rPr>
            </w:pPr>
            <w:r w:rsidRPr="00093875">
              <w:rPr>
                <w:rFonts w:ascii="Arial" w:hAnsi="Arial" w:cs="Arial"/>
                <w:color w:val="000000"/>
                <w:sz w:val="18"/>
                <w:szCs w:val="18"/>
                <w:lang w:eastAsia="hr-HR"/>
              </w:rPr>
              <w:t>042 Poljoprivreda, šumarstvo, ribarstvo i lov</w:t>
            </w:r>
          </w:p>
        </w:tc>
        <w:tc>
          <w:tcPr>
            <w:tcW w:w="1780" w:type="dxa"/>
            <w:tcBorders>
              <w:top w:val="nil"/>
              <w:left w:val="nil"/>
              <w:bottom w:val="nil"/>
              <w:right w:val="nil"/>
            </w:tcBorders>
            <w:shd w:val="clear" w:color="auto" w:fill="auto"/>
            <w:noWrap/>
            <w:vAlign w:val="bottom"/>
            <w:hideMark/>
          </w:tcPr>
          <w:p w14:paraId="240EE65B"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67.210,37</w:t>
            </w:r>
          </w:p>
        </w:tc>
        <w:tc>
          <w:tcPr>
            <w:tcW w:w="1764" w:type="dxa"/>
            <w:tcBorders>
              <w:top w:val="nil"/>
              <w:left w:val="nil"/>
              <w:bottom w:val="nil"/>
              <w:right w:val="nil"/>
            </w:tcBorders>
            <w:shd w:val="clear" w:color="auto" w:fill="auto"/>
            <w:noWrap/>
            <w:vAlign w:val="bottom"/>
            <w:hideMark/>
          </w:tcPr>
          <w:p w14:paraId="6AA7F817"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108.630,00</w:t>
            </w:r>
          </w:p>
        </w:tc>
        <w:tc>
          <w:tcPr>
            <w:tcW w:w="1660" w:type="dxa"/>
            <w:tcBorders>
              <w:top w:val="nil"/>
              <w:left w:val="nil"/>
              <w:bottom w:val="nil"/>
              <w:right w:val="nil"/>
            </w:tcBorders>
            <w:shd w:val="clear" w:color="auto" w:fill="auto"/>
            <w:noWrap/>
            <w:vAlign w:val="bottom"/>
            <w:hideMark/>
          </w:tcPr>
          <w:p w14:paraId="48E56BB0"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100.643,86</w:t>
            </w:r>
          </w:p>
        </w:tc>
        <w:tc>
          <w:tcPr>
            <w:tcW w:w="1300" w:type="dxa"/>
            <w:tcBorders>
              <w:top w:val="nil"/>
              <w:left w:val="nil"/>
              <w:bottom w:val="nil"/>
              <w:right w:val="nil"/>
            </w:tcBorders>
            <w:shd w:val="clear" w:color="auto" w:fill="auto"/>
            <w:noWrap/>
            <w:vAlign w:val="bottom"/>
            <w:hideMark/>
          </w:tcPr>
          <w:p w14:paraId="246116E8"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149,74%</w:t>
            </w:r>
          </w:p>
        </w:tc>
        <w:tc>
          <w:tcPr>
            <w:tcW w:w="1256" w:type="dxa"/>
            <w:tcBorders>
              <w:top w:val="nil"/>
              <w:left w:val="nil"/>
              <w:bottom w:val="nil"/>
              <w:right w:val="nil"/>
            </w:tcBorders>
            <w:shd w:val="clear" w:color="auto" w:fill="auto"/>
            <w:noWrap/>
            <w:vAlign w:val="bottom"/>
            <w:hideMark/>
          </w:tcPr>
          <w:p w14:paraId="3BB87F33"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92,65%</w:t>
            </w:r>
          </w:p>
        </w:tc>
      </w:tr>
      <w:tr w:rsidR="00093875" w:rsidRPr="00093875" w14:paraId="0C939DF6" w14:textId="77777777" w:rsidTr="007523DF">
        <w:trPr>
          <w:trHeight w:val="240"/>
        </w:trPr>
        <w:tc>
          <w:tcPr>
            <w:tcW w:w="6946" w:type="dxa"/>
            <w:tcBorders>
              <w:top w:val="nil"/>
              <w:left w:val="nil"/>
              <w:bottom w:val="nil"/>
              <w:right w:val="nil"/>
            </w:tcBorders>
            <w:shd w:val="clear" w:color="auto" w:fill="auto"/>
            <w:noWrap/>
            <w:vAlign w:val="bottom"/>
            <w:hideMark/>
          </w:tcPr>
          <w:p w14:paraId="54FF5A6B" w14:textId="77777777" w:rsidR="00093875" w:rsidRPr="00093875" w:rsidRDefault="00093875" w:rsidP="00093875">
            <w:pPr>
              <w:spacing w:after="0" w:line="240" w:lineRule="auto"/>
              <w:rPr>
                <w:rFonts w:ascii="Arial" w:hAnsi="Arial" w:cs="Arial"/>
                <w:color w:val="000000"/>
                <w:sz w:val="18"/>
                <w:szCs w:val="18"/>
                <w:lang w:eastAsia="hr-HR"/>
              </w:rPr>
            </w:pPr>
            <w:r w:rsidRPr="00093875">
              <w:rPr>
                <w:rFonts w:ascii="Arial" w:hAnsi="Arial" w:cs="Arial"/>
                <w:color w:val="000000"/>
                <w:sz w:val="18"/>
                <w:szCs w:val="18"/>
                <w:lang w:eastAsia="hr-HR"/>
              </w:rPr>
              <w:t>043 Gorivo i energija</w:t>
            </w:r>
          </w:p>
        </w:tc>
        <w:tc>
          <w:tcPr>
            <w:tcW w:w="1780" w:type="dxa"/>
            <w:tcBorders>
              <w:top w:val="nil"/>
              <w:left w:val="nil"/>
              <w:bottom w:val="nil"/>
              <w:right w:val="nil"/>
            </w:tcBorders>
            <w:shd w:val="clear" w:color="auto" w:fill="auto"/>
            <w:noWrap/>
            <w:vAlign w:val="bottom"/>
            <w:hideMark/>
          </w:tcPr>
          <w:p w14:paraId="633C91F0"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95.012,50</w:t>
            </w:r>
          </w:p>
        </w:tc>
        <w:tc>
          <w:tcPr>
            <w:tcW w:w="1764" w:type="dxa"/>
            <w:tcBorders>
              <w:top w:val="nil"/>
              <w:left w:val="nil"/>
              <w:bottom w:val="nil"/>
              <w:right w:val="nil"/>
            </w:tcBorders>
            <w:shd w:val="clear" w:color="auto" w:fill="auto"/>
            <w:noWrap/>
            <w:vAlign w:val="bottom"/>
            <w:hideMark/>
          </w:tcPr>
          <w:p w14:paraId="25B78093"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105.000,00</w:t>
            </w:r>
          </w:p>
        </w:tc>
        <w:tc>
          <w:tcPr>
            <w:tcW w:w="1660" w:type="dxa"/>
            <w:tcBorders>
              <w:top w:val="nil"/>
              <w:left w:val="nil"/>
              <w:bottom w:val="nil"/>
              <w:right w:val="nil"/>
            </w:tcBorders>
            <w:shd w:val="clear" w:color="auto" w:fill="auto"/>
            <w:noWrap/>
            <w:vAlign w:val="bottom"/>
            <w:hideMark/>
          </w:tcPr>
          <w:p w14:paraId="0BCC5FD2"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86.680,54</w:t>
            </w:r>
          </w:p>
        </w:tc>
        <w:tc>
          <w:tcPr>
            <w:tcW w:w="1300" w:type="dxa"/>
            <w:tcBorders>
              <w:top w:val="nil"/>
              <w:left w:val="nil"/>
              <w:bottom w:val="nil"/>
              <w:right w:val="nil"/>
            </w:tcBorders>
            <w:shd w:val="clear" w:color="auto" w:fill="auto"/>
            <w:noWrap/>
            <w:vAlign w:val="bottom"/>
            <w:hideMark/>
          </w:tcPr>
          <w:p w14:paraId="3A84BBA7"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91,23%</w:t>
            </w:r>
          </w:p>
        </w:tc>
        <w:tc>
          <w:tcPr>
            <w:tcW w:w="1256" w:type="dxa"/>
            <w:tcBorders>
              <w:top w:val="nil"/>
              <w:left w:val="nil"/>
              <w:bottom w:val="nil"/>
              <w:right w:val="nil"/>
            </w:tcBorders>
            <w:shd w:val="clear" w:color="auto" w:fill="auto"/>
            <w:noWrap/>
            <w:vAlign w:val="bottom"/>
            <w:hideMark/>
          </w:tcPr>
          <w:p w14:paraId="111FD0A2"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82,55%</w:t>
            </w:r>
          </w:p>
        </w:tc>
      </w:tr>
      <w:tr w:rsidR="00093875" w:rsidRPr="00093875" w14:paraId="59C56C26" w14:textId="77777777" w:rsidTr="007523DF">
        <w:trPr>
          <w:trHeight w:val="240"/>
        </w:trPr>
        <w:tc>
          <w:tcPr>
            <w:tcW w:w="6946" w:type="dxa"/>
            <w:tcBorders>
              <w:top w:val="nil"/>
              <w:left w:val="nil"/>
              <w:bottom w:val="nil"/>
              <w:right w:val="nil"/>
            </w:tcBorders>
            <w:shd w:val="clear" w:color="auto" w:fill="auto"/>
            <w:noWrap/>
            <w:vAlign w:val="bottom"/>
            <w:hideMark/>
          </w:tcPr>
          <w:p w14:paraId="161FA84F" w14:textId="77777777" w:rsidR="00093875" w:rsidRPr="00093875" w:rsidRDefault="00093875" w:rsidP="00093875">
            <w:pPr>
              <w:spacing w:after="0" w:line="240" w:lineRule="auto"/>
              <w:rPr>
                <w:rFonts w:ascii="Arial" w:hAnsi="Arial" w:cs="Arial"/>
                <w:color w:val="000000"/>
                <w:sz w:val="18"/>
                <w:szCs w:val="18"/>
                <w:lang w:eastAsia="hr-HR"/>
              </w:rPr>
            </w:pPr>
            <w:r w:rsidRPr="00093875">
              <w:rPr>
                <w:rFonts w:ascii="Arial" w:hAnsi="Arial" w:cs="Arial"/>
                <w:color w:val="000000"/>
                <w:sz w:val="18"/>
                <w:szCs w:val="18"/>
                <w:lang w:eastAsia="hr-HR"/>
              </w:rPr>
              <w:t>045 Promet</w:t>
            </w:r>
          </w:p>
        </w:tc>
        <w:tc>
          <w:tcPr>
            <w:tcW w:w="1780" w:type="dxa"/>
            <w:tcBorders>
              <w:top w:val="nil"/>
              <w:left w:val="nil"/>
              <w:bottom w:val="nil"/>
              <w:right w:val="nil"/>
            </w:tcBorders>
            <w:shd w:val="clear" w:color="auto" w:fill="auto"/>
            <w:noWrap/>
            <w:vAlign w:val="bottom"/>
            <w:hideMark/>
          </w:tcPr>
          <w:p w14:paraId="57888C2E"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498.372,47</w:t>
            </w:r>
          </w:p>
        </w:tc>
        <w:tc>
          <w:tcPr>
            <w:tcW w:w="1764" w:type="dxa"/>
            <w:tcBorders>
              <w:top w:val="nil"/>
              <w:left w:val="nil"/>
              <w:bottom w:val="nil"/>
              <w:right w:val="nil"/>
            </w:tcBorders>
            <w:shd w:val="clear" w:color="auto" w:fill="auto"/>
            <w:noWrap/>
            <w:vAlign w:val="bottom"/>
            <w:hideMark/>
          </w:tcPr>
          <w:p w14:paraId="2C76A45E"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555.380,00</w:t>
            </w:r>
          </w:p>
        </w:tc>
        <w:tc>
          <w:tcPr>
            <w:tcW w:w="1660" w:type="dxa"/>
            <w:tcBorders>
              <w:top w:val="nil"/>
              <w:left w:val="nil"/>
              <w:bottom w:val="nil"/>
              <w:right w:val="nil"/>
            </w:tcBorders>
            <w:shd w:val="clear" w:color="auto" w:fill="auto"/>
            <w:noWrap/>
            <w:vAlign w:val="bottom"/>
            <w:hideMark/>
          </w:tcPr>
          <w:p w14:paraId="5E8C73F4"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476.919,02</w:t>
            </w:r>
          </w:p>
        </w:tc>
        <w:tc>
          <w:tcPr>
            <w:tcW w:w="1300" w:type="dxa"/>
            <w:tcBorders>
              <w:top w:val="nil"/>
              <w:left w:val="nil"/>
              <w:bottom w:val="nil"/>
              <w:right w:val="nil"/>
            </w:tcBorders>
            <w:shd w:val="clear" w:color="auto" w:fill="auto"/>
            <w:noWrap/>
            <w:vAlign w:val="bottom"/>
            <w:hideMark/>
          </w:tcPr>
          <w:p w14:paraId="4D492E42"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95,70%</w:t>
            </w:r>
          </w:p>
        </w:tc>
        <w:tc>
          <w:tcPr>
            <w:tcW w:w="1256" w:type="dxa"/>
            <w:tcBorders>
              <w:top w:val="nil"/>
              <w:left w:val="nil"/>
              <w:bottom w:val="nil"/>
              <w:right w:val="nil"/>
            </w:tcBorders>
            <w:shd w:val="clear" w:color="auto" w:fill="auto"/>
            <w:noWrap/>
            <w:vAlign w:val="bottom"/>
            <w:hideMark/>
          </w:tcPr>
          <w:p w14:paraId="0B8072EC"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85,87%</w:t>
            </w:r>
          </w:p>
        </w:tc>
      </w:tr>
      <w:tr w:rsidR="00093875" w:rsidRPr="00093875" w14:paraId="79DA2D4A" w14:textId="77777777" w:rsidTr="007523DF">
        <w:trPr>
          <w:trHeight w:val="240"/>
        </w:trPr>
        <w:tc>
          <w:tcPr>
            <w:tcW w:w="6946" w:type="dxa"/>
            <w:tcBorders>
              <w:top w:val="nil"/>
              <w:left w:val="nil"/>
              <w:bottom w:val="nil"/>
              <w:right w:val="nil"/>
            </w:tcBorders>
            <w:shd w:val="clear" w:color="auto" w:fill="auto"/>
            <w:noWrap/>
            <w:vAlign w:val="bottom"/>
            <w:hideMark/>
          </w:tcPr>
          <w:p w14:paraId="05D2D24A" w14:textId="77777777" w:rsidR="00093875" w:rsidRPr="00093875" w:rsidRDefault="00093875" w:rsidP="00093875">
            <w:pPr>
              <w:spacing w:after="0" w:line="240" w:lineRule="auto"/>
              <w:rPr>
                <w:rFonts w:ascii="Arial" w:hAnsi="Arial" w:cs="Arial"/>
                <w:color w:val="000000"/>
                <w:sz w:val="18"/>
                <w:szCs w:val="18"/>
                <w:lang w:eastAsia="hr-HR"/>
              </w:rPr>
            </w:pPr>
            <w:r w:rsidRPr="00093875">
              <w:rPr>
                <w:rFonts w:ascii="Arial" w:hAnsi="Arial" w:cs="Arial"/>
                <w:color w:val="000000"/>
                <w:sz w:val="18"/>
                <w:szCs w:val="18"/>
                <w:lang w:eastAsia="hr-HR"/>
              </w:rPr>
              <w:t>047 Ostale industrije</w:t>
            </w:r>
          </w:p>
        </w:tc>
        <w:tc>
          <w:tcPr>
            <w:tcW w:w="1780" w:type="dxa"/>
            <w:tcBorders>
              <w:top w:val="nil"/>
              <w:left w:val="nil"/>
              <w:bottom w:val="nil"/>
              <w:right w:val="nil"/>
            </w:tcBorders>
            <w:shd w:val="clear" w:color="auto" w:fill="auto"/>
            <w:noWrap/>
            <w:vAlign w:val="bottom"/>
            <w:hideMark/>
          </w:tcPr>
          <w:p w14:paraId="03DA0441"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39.560,00</w:t>
            </w:r>
          </w:p>
        </w:tc>
        <w:tc>
          <w:tcPr>
            <w:tcW w:w="1764" w:type="dxa"/>
            <w:tcBorders>
              <w:top w:val="nil"/>
              <w:left w:val="nil"/>
              <w:bottom w:val="nil"/>
              <w:right w:val="nil"/>
            </w:tcBorders>
            <w:shd w:val="clear" w:color="auto" w:fill="auto"/>
            <w:noWrap/>
            <w:vAlign w:val="bottom"/>
            <w:hideMark/>
          </w:tcPr>
          <w:p w14:paraId="5DE1DAE6"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66.700,00</w:t>
            </w:r>
          </w:p>
        </w:tc>
        <w:tc>
          <w:tcPr>
            <w:tcW w:w="1660" w:type="dxa"/>
            <w:tcBorders>
              <w:top w:val="nil"/>
              <w:left w:val="nil"/>
              <w:bottom w:val="nil"/>
              <w:right w:val="nil"/>
            </w:tcBorders>
            <w:shd w:val="clear" w:color="auto" w:fill="auto"/>
            <w:noWrap/>
            <w:vAlign w:val="bottom"/>
            <w:hideMark/>
          </w:tcPr>
          <w:p w14:paraId="3C97869E"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66.700,00</w:t>
            </w:r>
          </w:p>
        </w:tc>
        <w:tc>
          <w:tcPr>
            <w:tcW w:w="1300" w:type="dxa"/>
            <w:tcBorders>
              <w:top w:val="nil"/>
              <w:left w:val="nil"/>
              <w:bottom w:val="nil"/>
              <w:right w:val="nil"/>
            </w:tcBorders>
            <w:shd w:val="clear" w:color="auto" w:fill="auto"/>
            <w:noWrap/>
            <w:vAlign w:val="bottom"/>
            <w:hideMark/>
          </w:tcPr>
          <w:p w14:paraId="1C1425CE"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168,60%</w:t>
            </w:r>
          </w:p>
        </w:tc>
        <w:tc>
          <w:tcPr>
            <w:tcW w:w="1256" w:type="dxa"/>
            <w:tcBorders>
              <w:top w:val="nil"/>
              <w:left w:val="nil"/>
              <w:bottom w:val="nil"/>
              <w:right w:val="nil"/>
            </w:tcBorders>
            <w:shd w:val="clear" w:color="auto" w:fill="auto"/>
            <w:noWrap/>
            <w:vAlign w:val="bottom"/>
            <w:hideMark/>
          </w:tcPr>
          <w:p w14:paraId="4BFB1179"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100,00%</w:t>
            </w:r>
          </w:p>
        </w:tc>
      </w:tr>
      <w:tr w:rsidR="00093875" w:rsidRPr="00093875" w14:paraId="65E58756" w14:textId="77777777" w:rsidTr="007523DF">
        <w:trPr>
          <w:trHeight w:val="240"/>
        </w:trPr>
        <w:tc>
          <w:tcPr>
            <w:tcW w:w="6946" w:type="dxa"/>
            <w:tcBorders>
              <w:top w:val="nil"/>
              <w:left w:val="nil"/>
              <w:bottom w:val="nil"/>
              <w:right w:val="nil"/>
            </w:tcBorders>
            <w:shd w:val="clear" w:color="auto" w:fill="auto"/>
            <w:noWrap/>
            <w:vAlign w:val="bottom"/>
            <w:hideMark/>
          </w:tcPr>
          <w:p w14:paraId="42086406" w14:textId="77777777" w:rsidR="00093875" w:rsidRPr="00093875" w:rsidRDefault="00093875" w:rsidP="00093875">
            <w:pPr>
              <w:spacing w:after="0" w:line="240" w:lineRule="auto"/>
              <w:rPr>
                <w:rFonts w:ascii="Arial" w:hAnsi="Arial" w:cs="Arial"/>
                <w:b/>
                <w:bCs/>
                <w:color w:val="000000"/>
                <w:sz w:val="18"/>
                <w:szCs w:val="18"/>
                <w:lang w:eastAsia="hr-HR"/>
              </w:rPr>
            </w:pPr>
            <w:r w:rsidRPr="00093875">
              <w:rPr>
                <w:rFonts w:ascii="Arial" w:hAnsi="Arial" w:cs="Arial"/>
                <w:b/>
                <w:bCs/>
                <w:color w:val="000000"/>
                <w:sz w:val="18"/>
                <w:szCs w:val="18"/>
                <w:lang w:eastAsia="hr-HR"/>
              </w:rPr>
              <w:t>05 Zaštita okoliša</w:t>
            </w:r>
          </w:p>
        </w:tc>
        <w:tc>
          <w:tcPr>
            <w:tcW w:w="1780" w:type="dxa"/>
            <w:tcBorders>
              <w:top w:val="nil"/>
              <w:left w:val="nil"/>
              <w:bottom w:val="nil"/>
              <w:right w:val="nil"/>
            </w:tcBorders>
            <w:shd w:val="clear" w:color="auto" w:fill="auto"/>
            <w:noWrap/>
            <w:vAlign w:val="bottom"/>
            <w:hideMark/>
          </w:tcPr>
          <w:p w14:paraId="56F202A2" w14:textId="77777777" w:rsidR="00093875" w:rsidRPr="00093875" w:rsidRDefault="00093875" w:rsidP="00093875">
            <w:pPr>
              <w:spacing w:after="0" w:line="240" w:lineRule="auto"/>
              <w:jc w:val="right"/>
              <w:rPr>
                <w:rFonts w:ascii="Arial" w:hAnsi="Arial" w:cs="Arial"/>
                <w:b/>
                <w:bCs/>
                <w:color w:val="000000"/>
                <w:sz w:val="18"/>
                <w:szCs w:val="18"/>
                <w:lang w:eastAsia="hr-HR"/>
              </w:rPr>
            </w:pPr>
            <w:r w:rsidRPr="00093875">
              <w:rPr>
                <w:rFonts w:ascii="Arial" w:hAnsi="Arial" w:cs="Arial"/>
                <w:b/>
                <w:bCs/>
                <w:color w:val="000000"/>
                <w:sz w:val="18"/>
                <w:szCs w:val="18"/>
                <w:lang w:eastAsia="hr-HR"/>
              </w:rPr>
              <w:t>52.077,73</w:t>
            </w:r>
          </w:p>
        </w:tc>
        <w:tc>
          <w:tcPr>
            <w:tcW w:w="1764" w:type="dxa"/>
            <w:tcBorders>
              <w:top w:val="nil"/>
              <w:left w:val="nil"/>
              <w:bottom w:val="nil"/>
              <w:right w:val="nil"/>
            </w:tcBorders>
            <w:shd w:val="clear" w:color="auto" w:fill="auto"/>
            <w:noWrap/>
            <w:vAlign w:val="bottom"/>
            <w:hideMark/>
          </w:tcPr>
          <w:p w14:paraId="1D5BF37F" w14:textId="77777777" w:rsidR="00093875" w:rsidRPr="00093875" w:rsidRDefault="00093875" w:rsidP="00093875">
            <w:pPr>
              <w:spacing w:after="0" w:line="240" w:lineRule="auto"/>
              <w:jc w:val="right"/>
              <w:rPr>
                <w:rFonts w:ascii="Arial" w:hAnsi="Arial" w:cs="Arial"/>
                <w:b/>
                <w:bCs/>
                <w:color w:val="000000"/>
                <w:sz w:val="18"/>
                <w:szCs w:val="18"/>
                <w:lang w:eastAsia="hr-HR"/>
              </w:rPr>
            </w:pPr>
            <w:r w:rsidRPr="00093875">
              <w:rPr>
                <w:rFonts w:ascii="Arial" w:hAnsi="Arial" w:cs="Arial"/>
                <w:b/>
                <w:bCs/>
                <w:color w:val="000000"/>
                <w:sz w:val="18"/>
                <w:szCs w:val="18"/>
                <w:lang w:eastAsia="hr-HR"/>
              </w:rPr>
              <w:t>1.562.538,00</w:t>
            </w:r>
          </w:p>
        </w:tc>
        <w:tc>
          <w:tcPr>
            <w:tcW w:w="1660" w:type="dxa"/>
            <w:tcBorders>
              <w:top w:val="nil"/>
              <w:left w:val="nil"/>
              <w:bottom w:val="nil"/>
              <w:right w:val="nil"/>
            </w:tcBorders>
            <w:shd w:val="clear" w:color="auto" w:fill="auto"/>
            <w:noWrap/>
            <w:vAlign w:val="bottom"/>
            <w:hideMark/>
          </w:tcPr>
          <w:p w14:paraId="6B98FF2A" w14:textId="77777777" w:rsidR="00093875" w:rsidRPr="00093875" w:rsidRDefault="00093875" w:rsidP="00093875">
            <w:pPr>
              <w:spacing w:after="0" w:line="240" w:lineRule="auto"/>
              <w:jc w:val="right"/>
              <w:rPr>
                <w:rFonts w:ascii="Arial" w:hAnsi="Arial" w:cs="Arial"/>
                <w:b/>
                <w:bCs/>
                <w:color w:val="000000"/>
                <w:sz w:val="18"/>
                <w:szCs w:val="18"/>
                <w:lang w:eastAsia="hr-HR"/>
              </w:rPr>
            </w:pPr>
            <w:r w:rsidRPr="00093875">
              <w:rPr>
                <w:rFonts w:ascii="Arial" w:hAnsi="Arial" w:cs="Arial"/>
                <w:b/>
                <w:bCs/>
                <w:color w:val="000000"/>
                <w:sz w:val="18"/>
                <w:szCs w:val="18"/>
                <w:lang w:eastAsia="hr-HR"/>
              </w:rPr>
              <w:t>1.497.323,26</w:t>
            </w:r>
          </w:p>
        </w:tc>
        <w:tc>
          <w:tcPr>
            <w:tcW w:w="1300" w:type="dxa"/>
            <w:tcBorders>
              <w:top w:val="nil"/>
              <w:left w:val="nil"/>
              <w:bottom w:val="nil"/>
              <w:right w:val="nil"/>
            </w:tcBorders>
            <w:shd w:val="clear" w:color="auto" w:fill="auto"/>
            <w:noWrap/>
            <w:vAlign w:val="bottom"/>
            <w:hideMark/>
          </w:tcPr>
          <w:p w14:paraId="6781D8A7" w14:textId="77777777" w:rsidR="00093875" w:rsidRPr="00093875" w:rsidRDefault="00093875" w:rsidP="00093875">
            <w:pPr>
              <w:spacing w:after="0" w:line="240" w:lineRule="auto"/>
              <w:jc w:val="right"/>
              <w:rPr>
                <w:rFonts w:ascii="Arial" w:hAnsi="Arial" w:cs="Arial"/>
                <w:b/>
                <w:bCs/>
                <w:color w:val="000000"/>
                <w:sz w:val="18"/>
                <w:szCs w:val="18"/>
                <w:lang w:eastAsia="hr-HR"/>
              </w:rPr>
            </w:pPr>
            <w:r w:rsidRPr="00093875">
              <w:rPr>
                <w:rFonts w:ascii="Arial" w:hAnsi="Arial" w:cs="Arial"/>
                <w:b/>
                <w:bCs/>
                <w:color w:val="000000"/>
                <w:sz w:val="18"/>
                <w:szCs w:val="18"/>
                <w:lang w:eastAsia="hr-HR"/>
              </w:rPr>
              <w:t>2875,17%</w:t>
            </w:r>
          </w:p>
        </w:tc>
        <w:tc>
          <w:tcPr>
            <w:tcW w:w="1256" w:type="dxa"/>
            <w:tcBorders>
              <w:top w:val="nil"/>
              <w:left w:val="nil"/>
              <w:bottom w:val="nil"/>
              <w:right w:val="nil"/>
            </w:tcBorders>
            <w:shd w:val="clear" w:color="auto" w:fill="auto"/>
            <w:noWrap/>
            <w:vAlign w:val="bottom"/>
            <w:hideMark/>
          </w:tcPr>
          <w:p w14:paraId="7B617C2B" w14:textId="77777777" w:rsidR="00093875" w:rsidRPr="00093875" w:rsidRDefault="00093875" w:rsidP="00093875">
            <w:pPr>
              <w:spacing w:after="0" w:line="240" w:lineRule="auto"/>
              <w:jc w:val="right"/>
              <w:rPr>
                <w:rFonts w:ascii="Arial" w:hAnsi="Arial" w:cs="Arial"/>
                <w:b/>
                <w:bCs/>
                <w:color w:val="000000"/>
                <w:sz w:val="18"/>
                <w:szCs w:val="18"/>
                <w:lang w:eastAsia="hr-HR"/>
              </w:rPr>
            </w:pPr>
            <w:r w:rsidRPr="00093875">
              <w:rPr>
                <w:rFonts w:ascii="Arial" w:hAnsi="Arial" w:cs="Arial"/>
                <w:b/>
                <w:bCs/>
                <w:color w:val="000000"/>
                <w:sz w:val="18"/>
                <w:szCs w:val="18"/>
                <w:lang w:eastAsia="hr-HR"/>
              </w:rPr>
              <w:t>95,83%</w:t>
            </w:r>
          </w:p>
        </w:tc>
      </w:tr>
      <w:tr w:rsidR="00093875" w:rsidRPr="00093875" w14:paraId="72543675" w14:textId="77777777" w:rsidTr="007523DF">
        <w:trPr>
          <w:trHeight w:val="240"/>
        </w:trPr>
        <w:tc>
          <w:tcPr>
            <w:tcW w:w="6946" w:type="dxa"/>
            <w:tcBorders>
              <w:top w:val="nil"/>
              <w:left w:val="nil"/>
              <w:bottom w:val="nil"/>
              <w:right w:val="nil"/>
            </w:tcBorders>
            <w:shd w:val="clear" w:color="auto" w:fill="auto"/>
            <w:noWrap/>
            <w:vAlign w:val="bottom"/>
            <w:hideMark/>
          </w:tcPr>
          <w:p w14:paraId="3185E90D" w14:textId="77777777" w:rsidR="00093875" w:rsidRPr="00093875" w:rsidRDefault="00093875" w:rsidP="00093875">
            <w:pPr>
              <w:spacing w:after="0" w:line="240" w:lineRule="auto"/>
              <w:rPr>
                <w:rFonts w:ascii="Arial" w:hAnsi="Arial" w:cs="Arial"/>
                <w:color w:val="000000"/>
                <w:sz w:val="18"/>
                <w:szCs w:val="18"/>
                <w:lang w:eastAsia="hr-HR"/>
              </w:rPr>
            </w:pPr>
            <w:r w:rsidRPr="00093875">
              <w:rPr>
                <w:rFonts w:ascii="Arial" w:hAnsi="Arial" w:cs="Arial"/>
                <w:color w:val="000000"/>
                <w:sz w:val="18"/>
                <w:szCs w:val="18"/>
                <w:lang w:eastAsia="hr-HR"/>
              </w:rPr>
              <w:t>051 Gospodarenje otpadom</w:t>
            </w:r>
          </w:p>
        </w:tc>
        <w:tc>
          <w:tcPr>
            <w:tcW w:w="1780" w:type="dxa"/>
            <w:tcBorders>
              <w:top w:val="nil"/>
              <w:left w:val="nil"/>
              <w:bottom w:val="nil"/>
              <w:right w:val="nil"/>
            </w:tcBorders>
            <w:shd w:val="clear" w:color="auto" w:fill="auto"/>
            <w:noWrap/>
            <w:vAlign w:val="bottom"/>
            <w:hideMark/>
          </w:tcPr>
          <w:p w14:paraId="794A6665"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20.165,66</w:t>
            </w:r>
          </w:p>
        </w:tc>
        <w:tc>
          <w:tcPr>
            <w:tcW w:w="1764" w:type="dxa"/>
            <w:tcBorders>
              <w:top w:val="nil"/>
              <w:left w:val="nil"/>
              <w:bottom w:val="nil"/>
              <w:right w:val="nil"/>
            </w:tcBorders>
            <w:shd w:val="clear" w:color="auto" w:fill="auto"/>
            <w:noWrap/>
            <w:vAlign w:val="bottom"/>
            <w:hideMark/>
          </w:tcPr>
          <w:p w14:paraId="36472641"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1.501.338,00</w:t>
            </w:r>
          </w:p>
        </w:tc>
        <w:tc>
          <w:tcPr>
            <w:tcW w:w="1660" w:type="dxa"/>
            <w:tcBorders>
              <w:top w:val="nil"/>
              <w:left w:val="nil"/>
              <w:bottom w:val="nil"/>
              <w:right w:val="nil"/>
            </w:tcBorders>
            <w:shd w:val="clear" w:color="auto" w:fill="auto"/>
            <w:noWrap/>
            <w:vAlign w:val="bottom"/>
            <w:hideMark/>
          </w:tcPr>
          <w:p w14:paraId="6293654D"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1.443.546,37</w:t>
            </w:r>
          </w:p>
        </w:tc>
        <w:tc>
          <w:tcPr>
            <w:tcW w:w="1300" w:type="dxa"/>
            <w:tcBorders>
              <w:top w:val="nil"/>
              <w:left w:val="nil"/>
              <w:bottom w:val="nil"/>
              <w:right w:val="nil"/>
            </w:tcBorders>
            <w:shd w:val="clear" w:color="auto" w:fill="auto"/>
            <w:noWrap/>
            <w:vAlign w:val="bottom"/>
            <w:hideMark/>
          </w:tcPr>
          <w:p w14:paraId="4BA22512"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7158,44%</w:t>
            </w:r>
          </w:p>
        </w:tc>
        <w:tc>
          <w:tcPr>
            <w:tcW w:w="1256" w:type="dxa"/>
            <w:tcBorders>
              <w:top w:val="nil"/>
              <w:left w:val="nil"/>
              <w:bottom w:val="nil"/>
              <w:right w:val="nil"/>
            </w:tcBorders>
            <w:shd w:val="clear" w:color="auto" w:fill="auto"/>
            <w:noWrap/>
            <w:vAlign w:val="bottom"/>
            <w:hideMark/>
          </w:tcPr>
          <w:p w14:paraId="2675052C"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96,15%</w:t>
            </w:r>
          </w:p>
        </w:tc>
      </w:tr>
      <w:tr w:rsidR="00093875" w:rsidRPr="00093875" w14:paraId="57449462" w14:textId="77777777" w:rsidTr="007523DF">
        <w:trPr>
          <w:trHeight w:val="240"/>
        </w:trPr>
        <w:tc>
          <w:tcPr>
            <w:tcW w:w="6946" w:type="dxa"/>
            <w:tcBorders>
              <w:top w:val="nil"/>
              <w:left w:val="nil"/>
              <w:bottom w:val="nil"/>
              <w:right w:val="nil"/>
            </w:tcBorders>
            <w:shd w:val="clear" w:color="auto" w:fill="auto"/>
            <w:noWrap/>
            <w:vAlign w:val="bottom"/>
            <w:hideMark/>
          </w:tcPr>
          <w:p w14:paraId="23BA1FAA" w14:textId="77777777" w:rsidR="00093875" w:rsidRPr="00093875" w:rsidRDefault="00093875" w:rsidP="00093875">
            <w:pPr>
              <w:spacing w:after="0" w:line="240" w:lineRule="auto"/>
              <w:rPr>
                <w:rFonts w:ascii="Arial" w:hAnsi="Arial" w:cs="Arial"/>
                <w:color w:val="000000"/>
                <w:sz w:val="18"/>
                <w:szCs w:val="18"/>
                <w:lang w:eastAsia="hr-HR"/>
              </w:rPr>
            </w:pPr>
            <w:r w:rsidRPr="00093875">
              <w:rPr>
                <w:rFonts w:ascii="Arial" w:hAnsi="Arial" w:cs="Arial"/>
                <w:color w:val="000000"/>
                <w:sz w:val="18"/>
                <w:szCs w:val="18"/>
                <w:lang w:eastAsia="hr-HR"/>
              </w:rPr>
              <w:t>053 Smanjenje zagađivanja</w:t>
            </w:r>
          </w:p>
        </w:tc>
        <w:tc>
          <w:tcPr>
            <w:tcW w:w="1780" w:type="dxa"/>
            <w:tcBorders>
              <w:top w:val="nil"/>
              <w:left w:val="nil"/>
              <w:bottom w:val="nil"/>
              <w:right w:val="nil"/>
            </w:tcBorders>
            <w:shd w:val="clear" w:color="auto" w:fill="auto"/>
            <w:noWrap/>
            <w:vAlign w:val="bottom"/>
            <w:hideMark/>
          </w:tcPr>
          <w:p w14:paraId="365D8BA9"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3.056,47</w:t>
            </w:r>
          </w:p>
        </w:tc>
        <w:tc>
          <w:tcPr>
            <w:tcW w:w="1764" w:type="dxa"/>
            <w:tcBorders>
              <w:top w:val="nil"/>
              <w:left w:val="nil"/>
              <w:bottom w:val="nil"/>
              <w:right w:val="nil"/>
            </w:tcBorders>
            <w:shd w:val="clear" w:color="auto" w:fill="auto"/>
            <w:noWrap/>
            <w:vAlign w:val="bottom"/>
            <w:hideMark/>
          </w:tcPr>
          <w:p w14:paraId="3DC39023"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8.000,00</w:t>
            </w:r>
          </w:p>
        </w:tc>
        <w:tc>
          <w:tcPr>
            <w:tcW w:w="1660" w:type="dxa"/>
            <w:tcBorders>
              <w:top w:val="nil"/>
              <w:left w:val="nil"/>
              <w:bottom w:val="nil"/>
              <w:right w:val="nil"/>
            </w:tcBorders>
            <w:shd w:val="clear" w:color="auto" w:fill="auto"/>
            <w:noWrap/>
            <w:vAlign w:val="bottom"/>
            <w:hideMark/>
          </w:tcPr>
          <w:p w14:paraId="127D5BF8"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5.645,83</w:t>
            </w:r>
          </w:p>
        </w:tc>
        <w:tc>
          <w:tcPr>
            <w:tcW w:w="1300" w:type="dxa"/>
            <w:tcBorders>
              <w:top w:val="nil"/>
              <w:left w:val="nil"/>
              <w:bottom w:val="nil"/>
              <w:right w:val="nil"/>
            </w:tcBorders>
            <w:shd w:val="clear" w:color="auto" w:fill="auto"/>
            <w:noWrap/>
            <w:vAlign w:val="bottom"/>
            <w:hideMark/>
          </w:tcPr>
          <w:p w14:paraId="6E3DF6FB"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184,72%</w:t>
            </w:r>
          </w:p>
        </w:tc>
        <w:tc>
          <w:tcPr>
            <w:tcW w:w="1256" w:type="dxa"/>
            <w:tcBorders>
              <w:top w:val="nil"/>
              <w:left w:val="nil"/>
              <w:bottom w:val="nil"/>
              <w:right w:val="nil"/>
            </w:tcBorders>
            <w:shd w:val="clear" w:color="auto" w:fill="auto"/>
            <w:noWrap/>
            <w:vAlign w:val="bottom"/>
            <w:hideMark/>
          </w:tcPr>
          <w:p w14:paraId="5A38FCBC"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70,57%</w:t>
            </w:r>
          </w:p>
        </w:tc>
      </w:tr>
      <w:tr w:rsidR="00093875" w:rsidRPr="00093875" w14:paraId="2AA01257" w14:textId="77777777" w:rsidTr="007523DF">
        <w:trPr>
          <w:trHeight w:val="240"/>
        </w:trPr>
        <w:tc>
          <w:tcPr>
            <w:tcW w:w="6946" w:type="dxa"/>
            <w:tcBorders>
              <w:top w:val="nil"/>
              <w:left w:val="nil"/>
              <w:bottom w:val="nil"/>
              <w:right w:val="nil"/>
            </w:tcBorders>
            <w:shd w:val="clear" w:color="auto" w:fill="auto"/>
            <w:noWrap/>
            <w:vAlign w:val="bottom"/>
            <w:hideMark/>
          </w:tcPr>
          <w:p w14:paraId="7CFD5681" w14:textId="77777777" w:rsidR="00093875" w:rsidRPr="00093875" w:rsidRDefault="00093875" w:rsidP="00093875">
            <w:pPr>
              <w:spacing w:after="0" w:line="240" w:lineRule="auto"/>
              <w:rPr>
                <w:rFonts w:ascii="Arial" w:hAnsi="Arial" w:cs="Arial"/>
                <w:color w:val="000000"/>
                <w:sz w:val="18"/>
                <w:szCs w:val="18"/>
                <w:lang w:eastAsia="hr-HR"/>
              </w:rPr>
            </w:pPr>
            <w:r w:rsidRPr="00093875">
              <w:rPr>
                <w:rFonts w:ascii="Arial" w:hAnsi="Arial" w:cs="Arial"/>
                <w:color w:val="000000"/>
                <w:sz w:val="18"/>
                <w:szCs w:val="18"/>
                <w:lang w:eastAsia="hr-HR"/>
              </w:rPr>
              <w:t>056 Poslovi i usluge zaštite okoliša koji nisu drugdje svrstani</w:t>
            </w:r>
          </w:p>
        </w:tc>
        <w:tc>
          <w:tcPr>
            <w:tcW w:w="1780" w:type="dxa"/>
            <w:tcBorders>
              <w:top w:val="nil"/>
              <w:left w:val="nil"/>
              <w:bottom w:val="nil"/>
              <w:right w:val="nil"/>
            </w:tcBorders>
            <w:shd w:val="clear" w:color="auto" w:fill="auto"/>
            <w:noWrap/>
            <w:vAlign w:val="bottom"/>
            <w:hideMark/>
          </w:tcPr>
          <w:p w14:paraId="1DEC8A14"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28.855,60</w:t>
            </w:r>
          </w:p>
        </w:tc>
        <w:tc>
          <w:tcPr>
            <w:tcW w:w="1764" w:type="dxa"/>
            <w:tcBorders>
              <w:top w:val="nil"/>
              <w:left w:val="nil"/>
              <w:bottom w:val="nil"/>
              <w:right w:val="nil"/>
            </w:tcBorders>
            <w:shd w:val="clear" w:color="auto" w:fill="auto"/>
            <w:noWrap/>
            <w:vAlign w:val="bottom"/>
            <w:hideMark/>
          </w:tcPr>
          <w:p w14:paraId="1679D472"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53.200,00</w:t>
            </w:r>
          </w:p>
        </w:tc>
        <w:tc>
          <w:tcPr>
            <w:tcW w:w="1660" w:type="dxa"/>
            <w:tcBorders>
              <w:top w:val="nil"/>
              <w:left w:val="nil"/>
              <w:bottom w:val="nil"/>
              <w:right w:val="nil"/>
            </w:tcBorders>
            <w:shd w:val="clear" w:color="auto" w:fill="auto"/>
            <w:noWrap/>
            <w:vAlign w:val="bottom"/>
            <w:hideMark/>
          </w:tcPr>
          <w:p w14:paraId="5AD7CF36"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48.131,06</w:t>
            </w:r>
          </w:p>
        </w:tc>
        <w:tc>
          <w:tcPr>
            <w:tcW w:w="1300" w:type="dxa"/>
            <w:tcBorders>
              <w:top w:val="nil"/>
              <w:left w:val="nil"/>
              <w:bottom w:val="nil"/>
              <w:right w:val="nil"/>
            </w:tcBorders>
            <w:shd w:val="clear" w:color="auto" w:fill="auto"/>
            <w:noWrap/>
            <w:vAlign w:val="bottom"/>
            <w:hideMark/>
          </w:tcPr>
          <w:p w14:paraId="2435347E"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166,80%</w:t>
            </w:r>
          </w:p>
        </w:tc>
        <w:tc>
          <w:tcPr>
            <w:tcW w:w="1256" w:type="dxa"/>
            <w:tcBorders>
              <w:top w:val="nil"/>
              <w:left w:val="nil"/>
              <w:bottom w:val="nil"/>
              <w:right w:val="nil"/>
            </w:tcBorders>
            <w:shd w:val="clear" w:color="auto" w:fill="auto"/>
            <w:noWrap/>
            <w:vAlign w:val="bottom"/>
            <w:hideMark/>
          </w:tcPr>
          <w:p w14:paraId="282B9280"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90,47%</w:t>
            </w:r>
          </w:p>
        </w:tc>
      </w:tr>
      <w:tr w:rsidR="00093875" w:rsidRPr="00093875" w14:paraId="4783D161" w14:textId="77777777" w:rsidTr="007523DF">
        <w:trPr>
          <w:trHeight w:val="240"/>
        </w:trPr>
        <w:tc>
          <w:tcPr>
            <w:tcW w:w="6946" w:type="dxa"/>
            <w:tcBorders>
              <w:top w:val="nil"/>
              <w:left w:val="nil"/>
              <w:bottom w:val="nil"/>
              <w:right w:val="nil"/>
            </w:tcBorders>
            <w:shd w:val="clear" w:color="auto" w:fill="auto"/>
            <w:noWrap/>
            <w:vAlign w:val="bottom"/>
            <w:hideMark/>
          </w:tcPr>
          <w:p w14:paraId="59EC6547" w14:textId="77777777" w:rsidR="00093875" w:rsidRPr="00093875" w:rsidRDefault="00093875" w:rsidP="00093875">
            <w:pPr>
              <w:spacing w:after="0" w:line="240" w:lineRule="auto"/>
              <w:rPr>
                <w:rFonts w:ascii="Arial" w:hAnsi="Arial" w:cs="Arial"/>
                <w:b/>
                <w:bCs/>
                <w:color w:val="000000"/>
                <w:sz w:val="18"/>
                <w:szCs w:val="18"/>
                <w:lang w:eastAsia="hr-HR"/>
              </w:rPr>
            </w:pPr>
            <w:r w:rsidRPr="00093875">
              <w:rPr>
                <w:rFonts w:ascii="Arial" w:hAnsi="Arial" w:cs="Arial"/>
                <w:b/>
                <w:bCs/>
                <w:color w:val="000000"/>
                <w:sz w:val="18"/>
                <w:szCs w:val="18"/>
                <w:lang w:eastAsia="hr-HR"/>
              </w:rPr>
              <w:t>06 Usluge unapređenja stanovanja i zajednice</w:t>
            </w:r>
          </w:p>
        </w:tc>
        <w:tc>
          <w:tcPr>
            <w:tcW w:w="1780" w:type="dxa"/>
            <w:tcBorders>
              <w:top w:val="nil"/>
              <w:left w:val="nil"/>
              <w:bottom w:val="nil"/>
              <w:right w:val="nil"/>
            </w:tcBorders>
            <w:shd w:val="clear" w:color="auto" w:fill="auto"/>
            <w:noWrap/>
            <w:vAlign w:val="bottom"/>
            <w:hideMark/>
          </w:tcPr>
          <w:p w14:paraId="5CF62E2E" w14:textId="77777777" w:rsidR="00093875" w:rsidRPr="00093875" w:rsidRDefault="00093875" w:rsidP="00093875">
            <w:pPr>
              <w:spacing w:after="0" w:line="240" w:lineRule="auto"/>
              <w:jc w:val="right"/>
              <w:rPr>
                <w:rFonts w:ascii="Arial" w:hAnsi="Arial" w:cs="Arial"/>
                <w:b/>
                <w:bCs/>
                <w:color w:val="000000"/>
                <w:sz w:val="18"/>
                <w:szCs w:val="18"/>
                <w:lang w:eastAsia="hr-HR"/>
              </w:rPr>
            </w:pPr>
            <w:r w:rsidRPr="00093875">
              <w:rPr>
                <w:rFonts w:ascii="Arial" w:hAnsi="Arial" w:cs="Arial"/>
                <w:b/>
                <w:bCs/>
                <w:color w:val="000000"/>
                <w:sz w:val="18"/>
                <w:szCs w:val="18"/>
                <w:lang w:eastAsia="hr-HR"/>
              </w:rPr>
              <w:t>861.065,01</w:t>
            </w:r>
          </w:p>
        </w:tc>
        <w:tc>
          <w:tcPr>
            <w:tcW w:w="1764" w:type="dxa"/>
            <w:tcBorders>
              <w:top w:val="nil"/>
              <w:left w:val="nil"/>
              <w:bottom w:val="nil"/>
              <w:right w:val="nil"/>
            </w:tcBorders>
            <w:shd w:val="clear" w:color="auto" w:fill="auto"/>
            <w:noWrap/>
            <w:vAlign w:val="bottom"/>
            <w:hideMark/>
          </w:tcPr>
          <w:p w14:paraId="6B568F4C" w14:textId="77777777" w:rsidR="00093875" w:rsidRPr="00093875" w:rsidRDefault="00093875" w:rsidP="00093875">
            <w:pPr>
              <w:spacing w:after="0" w:line="240" w:lineRule="auto"/>
              <w:jc w:val="right"/>
              <w:rPr>
                <w:rFonts w:ascii="Arial" w:hAnsi="Arial" w:cs="Arial"/>
                <w:b/>
                <w:bCs/>
                <w:color w:val="000000"/>
                <w:sz w:val="18"/>
                <w:szCs w:val="18"/>
                <w:lang w:eastAsia="hr-HR"/>
              </w:rPr>
            </w:pPr>
            <w:r w:rsidRPr="00093875">
              <w:rPr>
                <w:rFonts w:ascii="Arial" w:hAnsi="Arial" w:cs="Arial"/>
                <w:b/>
                <w:bCs/>
                <w:color w:val="000000"/>
                <w:sz w:val="18"/>
                <w:szCs w:val="18"/>
                <w:lang w:eastAsia="hr-HR"/>
              </w:rPr>
              <w:t>1.185.197,28</w:t>
            </w:r>
          </w:p>
        </w:tc>
        <w:tc>
          <w:tcPr>
            <w:tcW w:w="1660" w:type="dxa"/>
            <w:tcBorders>
              <w:top w:val="nil"/>
              <w:left w:val="nil"/>
              <w:bottom w:val="nil"/>
              <w:right w:val="nil"/>
            </w:tcBorders>
            <w:shd w:val="clear" w:color="auto" w:fill="auto"/>
            <w:noWrap/>
            <w:vAlign w:val="bottom"/>
            <w:hideMark/>
          </w:tcPr>
          <w:p w14:paraId="72C448B9" w14:textId="77777777" w:rsidR="00093875" w:rsidRPr="00093875" w:rsidRDefault="00093875" w:rsidP="00093875">
            <w:pPr>
              <w:spacing w:after="0" w:line="240" w:lineRule="auto"/>
              <w:jc w:val="right"/>
              <w:rPr>
                <w:rFonts w:ascii="Arial" w:hAnsi="Arial" w:cs="Arial"/>
                <w:b/>
                <w:bCs/>
                <w:color w:val="000000"/>
                <w:sz w:val="18"/>
                <w:szCs w:val="18"/>
                <w:lang w:eastAsia="hr-HR"/>
              </w:rPr>
            </w:pPr>
            <w:r w:rsidRPr="00093875">
              <w:rPr>
                <w:rFonts w:ascii="Arial" w:hAnsi="Arial" w:cs="Arial"/>
                <w:b/>
                <w:bCs/>
                <w:color w:val="000000"/>
                <w:sz w:val="18"/>
                <w:szCs w:val="18"/>
                <w:lang w:eastAsia="hr-HR"/>
              </w:rPr>
              <w:t>996.326,26</w:t>
            </w:r>
          </w:p>
        </w:tc>
        <w:tc>
          <w:tcPr>
            <w:tcW w:w="1300" w:type="dxa"/>
            <w:tcBorders>
              <w:top w:val="nil"/>
              <w:left w:val="nil"/>
              <w:bottom w:val="nil"/>
              <w:right w:val="nil"/>
            </w:tcBorders>
            <w:shd w:val="clear" w:color="auto" w:fill="auto"/>
            <w:noWrap/>
            <w:vAlign w:val="bottom"/>
            <w:hideMark/>
          </w:tcPr>
          <w:p w14:paraId="6F26D39F" w14:textId="77777777" w:rsidR="00093875" w:rsidRPr="00093875" w:rsidRDefault="00093875" w:rsidP="00093875">
            <w:pPr>
              <w:spacing w:after="0" w:line="240" w:lineRule="auto"/>
              <w:jc w:val="right"/>
              <w:rPr>
                <w:rFonts w:ascii="Arial" w:hAnsi="Arial" w:cs="Arial"/>
                <w:b/>
                <w:bCs/>
                <w:color w:val="000000"/>
                <w:sz w:val="18"/>
                <w:szCs w:val="18"/>
                <w:lang w:eastAsia="hr-HR"/>
              </w:rPr>
            </w:pPr>
            <w:r w:rsidRPr="00093875">
              <w:rPr>
                <w:rFonts w:ascii="Arial" w:hAnsi="Arial" w:cs="Arial"/>
                <w:b/>
                <w:bCs/>
                <w:color w:val="000000"/>
                <w:sz w:val="18"/>
                <w:szCs w:val="18"/>
                <w:lang w:eastAsia="hr-HR"/>
              </w:rPr>
              <w:t>115,71%</w:t>
            </w:r>
          </w:p>
        </w:tc>
        <w:tc>
          <w:tcPr>
            <w:tcW w:w="1256" w:type="dxa"/>
            <w:tcBorders>
              <w:top w:val="nil"/>
              <w:left w:val="nil"/>
              <w:bottom w:val="nil"/>
              <w:right w:val="nil"/>
            </w:tcBorders>
            <w:shd w:val="clear" w:color="auto" w:fill="auto"/>
            <w:noWrap/>
            <w:vAlign w:val="bottom"/>
            <w:hideMark/>
          </w:tcPr>
          <w:p w14:paraId="3F9162B0" w14:textId="77777777" w:rsidR="00093875" w:rsidRPr="00093875" w:rsidRDefault="00093875" w:rsidP="00093875">
            <w:pPr>
              <w:spacing w:after="0" w:line="240" w:lineRule="auto"/>
              <w:jc w:val="right"/>
              <w:rPr>
                <w:rFonts w:ascii="Arial" w:hAnsi="Arial" w:cs="Arial"/>
                <w:b/>
                <w:bCs/>
                <w:color w:val="000000"/>
                <w:sz w:val="18"/>
                <w:szCs w:val="18"/>
                <w:lang w:eastAsia="hr-HR"/>
              </w:rPr>
            </w:pPr>
            <w:r w:rsidRPr="00093875">
              <w:rPr>
                <w:rFonts w:ascii="Arial" w:hAnsi="Arial" w:cs="Arial"/>
                <w:b/>
                <w:bCs/>
                <w:color w:val="000000"/>
                <w:sz w:val="18"/>
                <w:szCs w:val="18"/>
                <w:lang w:eastAsia="hr-HR"/>
              </w:rPr>
              <w:t>84,06%</w:t>
            </w:r>
          </w:p>
        </w:tc>
      </w:tr>
      <w:tr w:rsidR="00093875" w:rsidRPr="00093875" w14:paraId="46A55831" w14:textId="77777777" w:rsidTr="007523DF">
        <w:trPr>
          <w:trHeight w:val="240"/>
        </w:trPr>
        <w:tc>
          <w:tcPr>
            <w:tcW w:w="6946" w:type="dxa"/>
            <w:tcBorders>
              <w:top w:val="nil"/>
              <w:left w:val="nil"/>
              <w:bottom w:val="nil"/>
              <w:right w:val="nil"/>
            </w:tcBorders>
            <w:shd w:val="clear" w:color="auto" w:fill="auto"/>
            <w:noWrap/>
            <w:vAlign w:val="bottom"/>
            <w:hideMark/>
          </w:tcPr>
          <w:p w14:paraId="27044F1B" w14:textId="77777777" w:rsidR="00093875" w:rsidRPr="00093875" w:rsidRDefault="00093875" w:rsidP="00093875">
            <w:pPr>
              <w:spacing w:after="0" w:line="240" w:lineRule="auto"/>
              <w:rPr>
                <w:rFonts w:ascii="Arial" w:hAnsi="Arial" w:cs="Arial"/>
                <w:color w:val="000000"/>
                <w:sz w:val="18"/>
                <w:szCs w:val="18"/>
                <w:lang w:eastAsia="hr-HR"/>
              </w:rPr>
            </w:pPr>
            <w:r w:rsidRPr="00093875">
              <w:rPr>
                <w:rFonts w:ascii="Arial" w:hAnsi="Arial" w:cs="Arial"/>
                <w:color w:val="000000"/>
                <w:sz w:val="18"/>
                <w:szCs w:val="18"/>
                <w:lang w:eastAsia="hr-HR"/>
              </w:rPr>
              <w:t>062 Razvoj zajednice</w:t>
            </w:r>
          </w:p>
        </w:tc>
        <w:tc>
          <w:tcPr>
            <w:tcW w:w="1780" w:type="dxa"/>
            <w:tcBorders>
              <w:top w:val="nil"/>
              <w:left w:val="nil"/>
              <w:bottom w:val="nil"/>
              <w:right w:val="nil"/>
            </w:tcBorders>
            <w:shd w:val="clear" w:color="auto" w:fill="auto"/>
            <w:noWrap/>
            <w:vAlign w:val="bottom"/>
            <w:hideMark/>
          </w:tcPr>
          <w:p w14:paraId="6B5B829E"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141.865,42</w:t>
            </w:r>
          </w:p>
        </w:tc>
        <w:tc>
          <w:tcPr>
            <w:tcW w:w="1764" w:type="dxa"/>
            <w:tcBorders>
              <w:top w:val="nil"/>
              <w:left w:val="nil"/>
              <w:bottom w:val="nil"/>
              <w:right w:val="nil"/>
            </w:tcBorders>
            <w:shd w:val="clear" w:color="auto" w:fill="auto"/>
            <w:noWrap/>
            <w:vAlign w:val="bottom"/>
            <w:hideMark/>
          </w:tcPr>
          <w:p w14:paraId="30AED000"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336.320,00</w:t>
            </w:r>
          </w:p>
        </w:tc>
        <w:tc>
          <w:tcPr>
            <w:tcW w:w="1660" w:type="dxa"/>
            <w:tcBorders>
              <w:top w:val="nil"/>
              <w:left w:val="nil"/>
              <w:bottom w:val="nil"/>
              <w:right w:val="nil"/>
            </w:tcBorders>
            <w:shd w:val="clear" w:color="auto" w:fill="auto"/>
            <w:noWrap/>
            <w:vAlign w:val="bottom"/>
            <w:hideMark/>
          </w:tcPr>
          <w:p w14:paraId="3D6E595B"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262.407,34</w:t>
            </w:r>
          </w:p>
        </w:tc>
        <w:tc>
          <w:tcPr>
            <w:tcW w:w="1300" w:type="dxa"/>
            <w:tcBorders>
              <w:top w:val="nil"/>
              <w:left w:val="nil"/>
              <w:bottom w:val="nil"/>
              <w:right w:val="nil"/>
            </w:tcBorders>
            <w:shd w:val="clear" w:color="auto" w:fill="auto"/>
            <w:noWrap/>
            <w:vAlign w:val="bottom"/>
            <w:hideMark/>
          </w:tcPr>
          <w:p w14:paraId="4D66CB3A"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184,97%</w:t>
            </w:r>
          </w:p>
        </w:tc>
        <w:tc>
          <w:tcPr>
            <w:tcW w:w="1256" w:type="dxa"/>
            <w:tcBorders>
              <w:top w:val="nil"/>
              <w:left w:val="nil"/>
              <w:bottom w:val="nil"/>
              <w:right w:val="nil"/>
            </w:tcBorders>
            <w:shd w:val="clear" w:color="auto" w:fill="auto"/>
            <w:noWrap/>
            <w:vAlign w:val="bottom"/>
            <w:hideMark/>
          </w:tcPr>
          <w:p w14:paraId="7B8F61BC"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78,02%</w:t>
            </w:r>
          </w:p>
        </w:tc>
      </w:tr>
      <w:tr w:rsidR="00093875" w:rsidRPr="00093875" w14:paraId="35EB4BAB" w14:textId="77777777" w:rsidTr="007523DF">
        <w:trPr>
          <w:trHeight w:val="240"/>
        </w:trPr>
        <w:tc>
          <w:tcPr>
            <w:tcW w:w="6946" w:type="dxa"/>
            <w:tcBorders>
              <w:top w:val="nil"/>
              <w:left w:val="nil"/>
              <w:bottom w:val="nil"/>
              <w:right w:val="nil"/>
            </w:tcBorders>
            <w:shd w:val="clear" w:color="auto" w:fill="auto"/>
            <w:noWrap/>
            <w:vAlign w:val="bottom"/>
            <w:hideMark/>
          </w:tcPr>
          <w:p w14:paraId="5035230C" w14:textId="77777777" w:rsidR="00093875" w:rsidRPr="00093875" w:rsidRDefault="00093875" w:rsidP="00093875">
            <w:pPr>
              <w:spacing w:after="0" w:line="240" w:lineRule="auto"/>
              <w:rPr>
                <w:rFonts w:ascii="Arial" w:hAnsi="Arial" w:cs="Arial"/>
                <w:color w:val="000000"/>
                <w:sz w:val="18"/>
                <w:szCs w:val="18"/>
                <w:lang w:eastAsia="hr-HR"/>
              </w:rPr>
            </w:pPr>
            <w:r w:rsidRPr="00093875">
              <w:rPr>
                <w:rFonts w:ascii="Arial" w:hAnsi="Arial" w:cs="Arial"/>
                <w:color w:val="000000"/>
                <w:sz w:val="18"/>
                <w:szCs w:val="18"/>
                <w:lang w:eastAsia="hr-HR"/>
              </w:rPr>
              <w:t>063 Opskrba vodom</w:t>
            </w:r>
          </w:p>
        </w:tc>
        <w:tc>
          <w:tcPr>
            <w:tcW w:w="1780" w:type="dxa"/>
            <w:tcBorders>
              <w:top w:val="nil"/>
              <w:left w:val="nil"/>
              <w:bottom w:val="nil"/>
              <w:right w:val="nil"/>
            </w:tcBorders>
            <w:shd w:val="clear" w:color="auto" w:fill="auto"/>
            <w:noWrap/>
            <w:vAlign w:val="bottom"/>
            <w:hideMark/>
          </w:tcPr>
          <w:p w14:paraId="218E55A2"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148.452,01</w:t>
            </w:r>
          </w:p>
        </w:tc>
        <w:tc>
          <w:tcPr>
            <w:tcW w:w="1764" w:type="dxa"/>
            <w:tcBorders>
              <w:top w:val="nil"/>
              <w:left w:val="nil"/>
              <w:bottom w:val="nil"/>
              <w:right w:val="nil"/>
            </w:tcBorders>
            <w:shd w:val="clear" w:color="auto" w:fill="auto"/>
            <w:noWrap/>
            <w:vAlign w:val="bottom"/>
            <w:hideMark/>
          </w:tcPr>
          <w:p w14:paraId="6C77EC42"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75.750,00</w:t>
            </w:r>
          </w:p>
        </w:tc>
        <w:tc>
          <w:tcPr>
            <w:tcW w:w="1660" w:type="dxa"/>
            <w:tcBorders>
              <w:top w:val="nil"/>
              <w:left w:val="nil"/>
              <w:bottom w:val="nil"/>
              <w:right w:val="nil"/>
            </w:tcBorders>
            <w:shd w:val="clear" w:color="auto" w:fill="auto"/>
            <w:noWrap/>
            <w:vAlign w:val="bottom"/>
            <w:hideMark/>
          </w:tcPr>
          <w:p w14:paraId="4FAF99F6"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69.854,01</w:t>
            </w:r>
          </w:p>
        </w:tc>
        <w:tc>
          <w:tcPr>
            <w:tcW w:w="1300" w:type="dxa"/>
            <w:tcBorders>
              <w:top w:val="nil"/>
              <w:left w:val="nil"/>
              <w:bottom w:val="nil"/>
              <w:right w:val="nil"/>
            </w:tcBorders>
            <w:shd w:val="clear" w:color="auto" w:fill="auto"/>
            <w:noWrap/>
            <w:vAlign w:val="bottom"/>
            <w:hideMark/>
          </w:tcPr>
          <w:p w14:paraId="1EB2411F"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47,05%</w:t>
            </w:r>
          </w:p>
        </w:tc>
        <w:tc>
          <w:tcPr>
            <w:tcW w:w="1256" w:type="dxa"/>
            <w:tcBorders>
              <w:top w:val="nil"/>
              <w:left w:val="nil"/>
              <w:bottom w:val="nil"/>
              <w:right w:val="nil"/>
            </w:tcBorders>
            <w:shd w:val="clear" w:color="auto" w:fill="auto"/>
            <w:noWrap/>
            <w:vAlign w:val="bottom"/>
            <w:hideMark/>
          </w:tcPr>
          <w:p w14:paraId="3778F211"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92,22%</w:t>
            </w:r>
          </w:p>
        </w:tc>
      </w:tr>
      <w:tr w:rsidR="00093875" w:rsidRPr="00093875" w14:paraId="0861CC33" w14:textId="77777777" w:rsidTr="007523DF">
        <w:trPr>
          <w:trHeight w:val="240"/>
        </w:trPr>
        <w:tc>
          <w:tcPr>
            <w:tcW w:w="6946" w:type="dxa"/>
            <w:tcBorders>
              <w:top w:val="nil"/>
              <w:left w:val="nil"/>
              <w:bottom w:val="nil"/>
              <w:right w:val="nil"/>
            </w:tcBorders>
            <w:shd w:val="clear" w:color="auto" w:fill="auto"/>
            <w:noWrap/>
            <w:vAlign w:val="bottom"/>
            <w:hideMark/>
          </w:tcPr>
          <w:p w14:paraId="1EC2C2A1" w14:textId="77777777" w:rsidR="00093875" w:rsidRPr="00093875" w:rsidRDefault="00093875" w:rsidP="00093875">
            <w:pPr>
              <w:spacing w:after="0" w:line="240" w:lineRule="auto"/>
              <w:rPr>
                <w:rFonts w:ascii="Arial" w:hAnsi="Arial" w:cs="Arial"/>
                <w:color w:val="000000"/>
                <w:sz w:val="18"/>
                <w:szCs w:val="18"/>
                <w:lang w:eastAsia="hr-HR"/>
              </w:rPr>
            </w:pPr>
            <w:r w:rsidRPr="00093875">
              <w:rPr>
                <w:rFonts w:ascii="Arial" w:hAnsi="Arial" w:cs="Arial"/>
                <w:color w:val="000000"/>
                <w:sz w:val="18"/>
                <w:szCs w:val="18"/>
                <w:lang w:eastAsia="hr-HR"/>
              </w:rPr>
              <w:t>064 Ulična rasvjeta</w:t>
            </w:r>
          </w:p>
        </w:tc>
        <w:tc>
          <w:tcPr>
            <w:tcW w:w="1780" w:type="dxa"/>
            <w:tcBorders>
              <w:top w:val="nil"/>
              <w:left w:val="nil"/>
              <w:bottom w:val="nil"/>
              <w:right w:val="nil"/>
            </w:tcBorders>
            <w:shd w:val="clear" w:color="auto" w:fill="auto"/>
            <w:noWrap/>
            <w:vAlign w:val="bottom"/>
            <w:hideMark/>
          </w:tcPr>
          <w:p w14:paraId="30B1565B"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155.153,94</w:t>
            </w:r>
          </w:p>
        </w:tc>
        <w:tc>
          <w:tcPr>
            <w:tcW w:w="1764" w:type="dxa"/>
            <w:tcBorders>
              <w:top w:val="nil"/>
              <w:left w:val="nil"/>
              <w:bottom w:val="nil"/>
              <w:right w:val="nil"/>
            </w:tcBorders>
            <w:shd w:val="clear" w:color="auto" w:fill="auto"/>
            <w:noWrap/>
            <w:vAlign w:val="bottom"/>
            <w:hideMark/>
          </w:tcPr>
          <w:p w14:paraId="1E4ABFEC"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177.600,00</w:t>
            </w:r>
          </w:p>
        </w:tc>
        <w:tc>
          <w:tcPr>
            <w:tcW w:w="1660" w:type="dxa"/>
            <w:tcBorders>
              <w:top w:val="nil"/>
              <w:left w:val="nil"/>
              <w:bottom w:val="nil"/>
              <w:right w:val="nil"/>
            </w:tcBorders>
            <w:shd w:val="clear" w:color="auto" w:fill="auto"/>
            <w:noWrap/>
            <w:vAlign w:val="bottom"/>
            <w:hideMark/>
          </w:tcPr>
          <w:p w14:paraId="34B17290"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163.831,70</w:t>
            </w:r>
          </w:p>
        </w:tc>
        <w:tc>
          <w:tcPr>
            <w:tcW w:w="1300" w:type="dxa"/>
            <w:tcBorders>
              <w:top w:val="nil"/>
              <w:left w:val="nil"/>
              <w:bottom w:val="nil"/>
              <w:right w:val="nil"/>
            </w:tcBorders>
            <w:shd w:val="clear" w:color="auto" w:fill="auto"/>
            <w:noWrap/>
            <w:vAlign w:val="bottom"/>
            <w:hideMark/>
          </w:tcPr>
          <w:p w14:paraId="1684D023"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105,59%</w:t>
            </w:r>
          </w:p>
        </w:tc>
        <w:tc>
          <w:tcPr>
            <w:tcW w:w="1256" w:type="dxa"/>
            <w:tcBorders>
              <w:top w:val="nil"/>
              <w:left w:val="nil"/>
              <w:bottom w:val="nil"/>
              <w:right w:val="nil"/>
            </w:tcBorders>
            <w:shd w:val="clear" w:color="auto" w:fill="auto"/>
            <w:noWrap/>
            <w:vAlign w:val="bottom"/>
            <w:hideMark/>
          </w:tcPr>
          <w:p w14:paraId="00318FAF"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92,25%</w:t>
            </w:r>
          </w:p>
        </w:tc>
      </w:tr>
      <w:tr w:rsidR="00093875" w:rsidRPr="00093875" w14:paraId="6C81398B" w14:textId="77777777" w:rsidTr="007523DF">
        <w:trPr>
          <w:trHeight w:val="240"/>
        </w:trPr>
        <w:tc>
          <w:tcPr>
            <w:tcW w:w="6946" w:type="dxa"/>
            <w:tcBorders>
              <w:top w:val="nil"/>
              <w:left w:val="nil"/>
              <w:bottom w:val="nil"/>
              <w:right w:val="nil"/>
            </w:tcBorders>
            <w:shd w:val="clear" w:color="auto" w:fill="auto"/>
            <w:noWrap/>
            <w:vAlign w:val="bottom"/>
            <w:hideMark/>
          </w:tcPr>
          <w:p w14:paraId="2AE366AB" w14:textId="77777777" w:rsidR="00093875" w:rsidRPr="00093875" w:rsidRDefault="00093875" w:rsidP="00093875">
            <w:pPr>
              <w:spacing w:after="0" w:line="240" w:lineRule="auto"/>
              <w:rPr>
                <w:rFonts w:ascii="Arial" w:hAnsi="Arial" w:cs="Arial"/>
                <w:color w:val="000000"/>
                <w:sz w:val="18"/>
                <w:szCs w:val="18"/>
                <w:lang w:eastAsia="hr-HR"/>
              </w:rPr>
            </w:pPr>
            <w:r w:rsidRPr="00093875">
              <w:rPr>
                <w:rFonts w:ascii="Arial" w:hAnsi="Arial" w:cs="Arial"/>
                <w:color w:val="000000"/>
                <w:sz w:val="18"/>
                <w:szCs w:val="18"/>
                <w:lang w:eastAsia="hr-HR"/>
              </w:rPr>
              <w:t>066 Rashodi vezani za stanovanje i kom. pogodnosti koji nisu drugdje svrstani</w:t>
            </w:r>
          </w:p>
        </w:tc>
        <w:tc>
          <w:tcPr>
            <w:tcW w:w="1780" w:type="dxa"/>
            <w:tcBorders>
              <w:top w:val="nil"/>
              <w:left w:val="nil"/>
              <w:bottom w:val="nil"/>
              <w:right w:val="nil"/>
            </w:tcBorders>
            <w:shd w:val="clear" w:color="auto" w:fill="auto"/>
            <w:noWrap/>
            <w:vAlign w:val="bottom"/>
            <w:hideMark/>
          </w:tcPr>
          <w:p w14:paraId="70E6816E"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415.593,64</w:t>
            </w:r>
          </w:p>
        </w:tc>
        <w:tc>
          <w:tcPr>
            <w:tcW w:w="1764" w:type="dxa"/>
            <w:tcBorders>
              <w:top w:val="nil"/>
              <w:left w:val="nil"/>
              <w:bottom w:val="nil"/>
              <w:right w:val="nil"/>
            </w:tcBorders>
            <w:shd w:val="clear" w:color="auto" w:fill="auto"/>
            <w:noWrap/>
            <w:vAlign w:val="bottom"/>
            <w:hideMark/>
          </w:tcPr>
          <w:p w14:paraId="56004951"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595.527,28</w:t>
            </w:r>
          </w:p>
        </w:tc>
        <w:tc>
          <w:tcPr>
            <w:tcW w:w="1660" w:type="dxa"/>
            <w:tcBorders>
              <w:top w:val="nil"/>
              <w:left w:val="nil"/>
              <w:bottom w:val="nil"/>
              <w:right w:val="nil"/>
            </w:tcBorders>
            <w:shd w:val="clear" w:color="auto" w:fill="auto"/>
            <w:noWrap/>
            <w:vAlign w:val="bottom"/>
            <w:hideMark/>
          </w:tcPr>
          <w:p w14:paraId="64097D51"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500.233,21</w:t>
            </w:r>
          </w:p>
        </w:tc>
        <w:tc>
          <w:tcPr>
            <w:tcW w:w="1300" w:type="dxa"/>
            <w:tcBorders>
              <w:top w:val="nil"/>
              <w:left w:val="nil"/>
              <w:bottom w:val="nil"/>
              <w:right w:val="nil"/>
            </w:tcBorders>
            <w:shd w:val="clear" w:color="auto" w:fill="auto"/>
            <w:noWrap/>
            <w:vAlign w:val="bottom"/>
            <w:hideMark/>
          </w:tcPr>
          <w:p w14:paraId="5B1984E9"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120,37%</w:t>
            </w:r>
          </w:p>
        </w:tc>
        <w:tc>
          <w:tcPr>
            <w:tcW w:w="1256" w:type="dxa"/>
            <w:tcBorders>
              <w:top w:val="nil"/>
              <w:left w:val="nil"/>
              <w:bottom w:val="nil"/>
              <w:right w:val="nil"/>
            </w:tcBorders>
            <w:shd w:val="clear" w:color="auto" w:fill="auto"/>
            <w:noWrap/>
            <w:vAlign w:val="bottom"/>
            <w:hideMark/>
          </w:tcPr>
          <w:p w14:paraId="7D0CBB7A"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84,00%</w:t>
            </w:r>
          </w:p>
        </w:tc>
      </w:tr>
      <w:tr w:rsidR="00093875" w:rsidRPr="00093875" w14:paraId="02E3158B" w14:textId="77777777" w:rsidTr="007523DF">
        <w:trPr>
          <w:trHeight w:val="240"/>
        </w:trPr>
        <w:tc>
          <w:tcPr>
            <w:tcW w:w="6946" w:type="dxa"/>
            <w:tcBorders>
              <w:top w:val="nil"/>
              <w:left w:val="nil"/>
              <w:bottom w:val="nil"/>
              <w:right w:val="nil"/>
            </w:tcBorders>
            <w:shd w:val="clear" w:color="auto" w:fill="auto"/>
            <w:noWrap/>
            <w:vAlign w:val="bottom"/>
            <w:hideMark/>
          </w:tcPr>
          <w:p w14:paraId="34897E03" w14:textId="77777777" w:rsidR="00093875" w:rsidRPr="00093875" w:rsidRDefault="00093875" w:rsidP="00093875">
            <w:pPr>
              <w:spacing w:after="0" w:line="240" w:lineRule="auto"/>
              <w:rPr>
                <w:rFonts w:ascii="Arial" w:hAnsi="Arial" w:cs="Arial"/>
                <w:b/>
                <w:bCs/>
                <w:color w:val="000000"/>
                <w:sz w:val="18"/>
                <w:szCs w:val="18"/>
                <w:lang w:eastAsia="hr-HR"/>
              </w:rPr>
            </w:pPr>
            <w:r w:rsidRPr="00093875">
              <w:rPr>
                <w:rFonts w:ascii="Arial" w:hAnsi="Arial" w:cs="Arial"/>
                <w:b/>
                <w:bCs/>
                <w:color w:val="000000"/>
                <w:sz w:val="18"/>
                <w:szCs w:val="18"/>
                <w:lang w:eastAsia="hr-HR"/>
              </w:rPr>
              <w:t>07 Zdravstvo</w:t>
            </w:r>
          </w:p>
        </w:tc>
        <w:tc>
          <w:tcPr>
            <w:tcW w:w="1780" w:type="dxa"/>
            <w:tcBorders>
              <w:top w:val="nil"/>
              <w:left w:val="nil"/>
              <w:bottom w:val="nil"/>
              <w:right w:val="nil"/>
            </w:tcBorders>
            <w:shd w:val="clear" w:color="auto" w:fill="auto"/>
            <w:noWrap/>
            <w:vAlign w:val="bottom"/>
            <w:hideMark/>
          </w:tcPr>
          <w:p w14:paraId="19B3FDF4" w14:textId="77777777" w:rsidR="00093875" w:rsidRPr="00093875" w:rsidRDefault="00093875" w:rsidP="00093875">
            <w:pPr>
              <w:spacing w:after="0" w:line="240" w:lineRule="auto"/>
              <w:jc w:val="right"/>
              <w:rPr>
                <w:rFonts w:ascii="Arial" w:hAnsi="Arial" w:cs="Arial"/>
                <w:b/>
                <w:bCs/>
                <w:color w:val="000000"/>
                <w:sz w:val="18"/>
                <w:szCs w:val="18"/>
                <w:lang w:eastAsia="hr-HR"/>
              </w:rPr>
            </w:pPr>
            <w:r w:rsidRPr="00093875">
              <w:rPr>
                <w:rFonts w:ascii="Arial" w:hAnsi="Arial" w:cs="Arial"/>
                <w:b/>
                <w:bCs/>
                <w:color w:val="000000"/>
                <w:sz w:val="18"/>
                <w:szCs w:val="18"/>
                <w:lang w:eastAsia="hr-HR"/>
              </w:rPr>
              <w:t>6.655,48</w:t>
            </w:r>
          </w:p>
        </w:tc>
        <w:tc>
          <w:tcPr>
            <w:tcW w:w="1764" w:type="dxa"/>
            <w:tcBorders>
              <w:top w:val="nil"/>
              <w:left w:val="nil"/>
              <w:bottom w:val="nil"/>
              <w:right w:val="nil"/>
            </w:tcBorders>
            <w:shd w:val="clear" w:color="auto" w:fill="auto"/>
            <w:noWrap/>
            <w:vAlign w:val="bottom"/>
            <w:hideMark/>
          </w:tcPr>
          <w:p w14:paraId="29222A59" w14:textId="77777777" w:rsidR="00093875" w:rsidRPr="00093875" w:rsidRDefault="00093875" w:rsidP="00093875">
            <w:pPr>
              <w:spacing w:after="0" w:line="240" w:lineRule="auto"/>
              <w:jc w:val="right"/>
              <w:rPr>
                <w:rFonts w:ascii="Arial" w:hAnsi="Arial" w:cs="Arial"/>
                <w:b/>
                <w:bCs/>
                <w:color w:val="000000"/>
                <w:sz w:val="18"/>
                <w:szCs w:val="18"/>
                <w:lang w:eastAsia="hr-HR"/>
              </w:rPr>
            </w:pPr>
            <w:r w:rsidRPr="00093875">
              <w:rPr>
                <w:rFonts w:ascii="Arial" w:hAnsi="Arial" w:cs="Arial"/>
                <w:b/>
                <w:bCs/>
                <w:color w:val="000000"/>
                <w:sz w:val="18"/>
                <w:szCs w:val="18"/>
                <w:lang w:eastAsia="hr-HR"/>
              </w:rPr>
              <w:t>7.150,00</w:t>
            </w:r>
          </w:p>
        </w:tc>
        <w:tc>
          <w:tcPr>
            <w:tcW w:w="1660" w:type="dxa"/>
            <w:tcBorders>
              <w:top w:val="nil"/>
              <w:left w:val="nil"/>
              <w:bottom w:val="nil"/>
              <w:right w:val="nil"/>
            </w:tcBorders>
            <w:shd w:val="clear" w:color="auto" w:fill="auto"/>
            <w:noWrap/>
            <w:vAlign w:val="bottom"/>
            <w:hideMark/>
          </w:tcPr>
          <w:p w14:paraId="1EBF4E5C" w14:textId="77777777" w:rsidR="00093875" w:rsidRPr="00093875" w:rsidRDefault="00093875" w:rsidP="00093875">
            <w:pPr>
              <w:spacing w:after="0" w:line="240" w:lineRule="auto"/>
              <w:jc w:val="right"/>
              <w:rPr>
                <w:rFonts w:ascii="Arial" w:hAnsi="Arial" w:cs="Arial"/>
                <w:b/>
                <w:bCs/>
                <w:color w:val="000000"/>
                <w:sz w:val="18"/>
                <w:szCs w:val="18"/>
                <w:lang w:eastAsia="hr-HR"/>
              </w:rPr>
            </w:pPr>
            <w:r w:rsidRPr="00093875">
              <w:rPr>
                <w:rFonts w:ascii="Arial" w:hAnsi="Arial" w:cs="Arial"/>
                <w:b/>
                <w:bCs/>
                <w:color w:val="000000"/>
                <w:sz w:val="18"/>
                <w:szCs w:val="18"/>
                <w:lang w:eastAsia="hr-HR"/>
              </w:rPr>
              <w:t>6.135,50</w:t>
            </w:r>
          </w:p>
        </w:tc>
        <w:tc>
          <w:tcPr>
            <w:tcW w:w="1300" w:type="dxa"/>
            <w:tcBorders>
              <w:top w:val="nil"/>
              <w:left w:val="nil"/>
              <w:bottom w:val="nil"/>
              <w:right w:val="nil"/>
            </w:tcBorders>
            <w:shd w:val="clear" w:color="auto" w:fill="auto"/>
            <w:noWrap/>
            <w:vAlign w:val="bottom"/>
            <w:hideMark/>
          </w:tcPr>
          <w:p w14:paraId="2C2DD17A" w14:textId="77777777" w:rsidR="00093875" w:rsidRPr="00093875" w:rsidRDefault="00093875" w:rsidP="00093875">
            <w:pPr>
              <w:spacing w:after="0" w:line="240" w:lineRule="auto"/>
              <w:jc w:val="right"/>
              <w:rPr>
                <w:rFonts w:ascii="Arial" w:hAnsi="Arial" w:cs="Arial"/>
                <w:b/>
                <w:bCs/>
                <w:color w:val="000000"/>
                <w:sz w:val="18"/>
                <w:szCs w:val="18"/>
                <w:lang w:eastAsia="hr-HR"/>
              </w:rPr>
            </w:pPr>
            <w:r w:rsidRPr="00093875">
              <w:rPr>
                <w:rFonts w:ascii="Arial" w:hAnsi="Arial" w:cs="Arial"/>
                <w:b/>
                <w:bCs/>
                <w:color w:val="000000"/>
                <w:sz w:val="18"/>
                <w:szCs w:val="18"/>
                <w:lang w:eastAsia="hr-HR"/>
              </w:rPr>
              <w:t>92,19%</w:t>
            </w:r>
          </w:p>
        </w:tc>
        <w:tc>
          <w:tcPr>
            <w:tcW w:w="1256" w:type="dxa"/>
            <w:tcBorders>
              <w:top w:val="nil"/>
              <w:left w:val="nil"/>
              <w:bottom w:val="nil"/>
              <w:right w:val="nil"/>
            </w:tcBorders>
            <w:shd w:val="clear" w:color="auto" w:fill="auto"/>
            <w:noWrap/>
            <w:vAlign w:val="bottom"/>
            <w:hideMark/>
          </w:tcPr>
          <w:p w14:paraId="74C9F5AE" w14:textId="77777777" w:rsidR="00093875" w:rsidRPr="00093875" w:rsidRDefault="00093875" w:rsidP="00093875">
            <w:pPr>
              <w:spacing w:after="0" w:line="240" w:lineRule="auto"/>
              <w:jc w:val="right"/>
              <w:rPr>
                <w:rFonts w:ascii="Arial" w:hAnsi="Arial" w:cs="Arial"/>
                <w:b/>
                <w:bCs/>
                <w:color w:val="000000"/>
                <w:sz w:val="18"/>
                <w:szCs w:val="18"/>
                <w:lang w:eastAsia="hr-HR"/>
              </w:rPr>
            </w:pPr>
            <w:r w:rsidRPr="00093875">
              <w:rPr>
                <w:rFonts w:ascii="Arial" w:hAnsi="Arial" w:cs="Arial"/>
                <w:b/>
                <w:bCs/>
                <w:color w:val="000000"/>
                <w:sz w:val="18"/>
                <w:szCs w:val="18"/>
                <w:lang w:eastAsia="hr-HR"/>
              </w:rPr>
              <w:t>85,81%</w:t>
            </w:r>
          </w:p>
        </w:tc>
      </w:tr>
      <w:tr w:rsidR="00093875" w:rsidRPr="00093875" w14:paraId="27DA3848" w14:textId="77777777" w:rsidTr="007523DF">
        <w:trPr>
          <w:trHeight w:val="240"/>
        </w:trPr>
        <w:tc>
          <w:tcPr>
            <w:tcW w:w="6946" w:type="dxa"/>
            <w:tcBorders>
              <w:top w:val="nil"/>
              <w:left w:val="nil"/>
              <w:bottom w:val="nil"/>
              <w:right w:val="nil"/>
            </w:tcBorders>
            <w:shd w:val="clear" w:color="auto" w:fill="auto"/>
            <w:noWrap/>
            <w:vAlign w:val="bottom"/>
            <w:hideMark/>
          </w:tcPr>
          <w:p w14:paraId="5CBE1663" w14:textId="77777777" w:rsidR="00093875" w:rsidRPr="00093875" w:rsidRDefault="00093875" w:rsidP="00093875">
            <w:pPr>
              <w:spacing w:after="0" w:line="240" w:lineRule="auto"/>
              <w:rPr>
                <w:rFonts w:ascii="Arial" w:hAnsi="Arial" w:cs="Arial"/>
                <w:color w:val="000000"/>
                <w:sz w:val="18"/>
                <w:szCs w:val="18"/>
                <w:lang w:eastAsia="hr-HR"/>
              </w:rPr>
            </w:pPr>
            <w:r w:rsidRPr="00093875">
              <w:rPr>
                <w:rFonts w:ascii="Arial" w:hAnsi="Arial" w:cs="Arial"/>
                <w:color w:val="000000"/>
                <w:sz w:val="18"/>
                <w:szCs w:val="18"/>
                <w:lang w:eastAsia="hr-HR"/>
              </w:rPr>
              <w:t>072 Službe za vanjske pacijente</w:t>
            </w:r>
          </w:p>
        </w:tc>
        <w:tc>
          <w:tcPr>
            <w:tcW w:w="1780" w:type="dxa"/>
            <w:tcBorders>
              <w:top w:val="nil"/>
              <w:left w:val="nil"/>
              <w:bottom w:val="nil"/>
              <w:right w:val="nil"/>
            </w:tcBorders>
            <w:shd w:val="clear" w:color="auto" w:fill="auto"/>
            <w:noWrap/>
            <w:vAlign w:val="bottom"/>
            <w:hideMark/>
          </w:tcPr>
          <w:p w14:paraId="036DCA35"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6.655,48</w:t>
            </w:r>
          </w:p>
        </w:tc>
        <w:tc>
          <w:tcPr>
            <w:tcW w:w="1764" w:type="dxa"/>
            <w:tcBorders>
              <w:top w:val="nil"/>
              <w:left w:val="nil"/>
              <w:bottom w:val="nil"/>
              <w:right w:val="nil"/>
            </w:tcBorders>
            <w:shd w:val="clear" w:color="auto" w:fill="auto"/>
            <w:noWrap/>
            <w:vAlign w:val="bottom"/>
            <w:hideMark/>
          </w:tcPr>
          <w:p w14:paraId="25F30F80"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7.150,00</w:t>
            </w:r>
          </w:p>
        </w:tc>
        <w:tc>
          <w:tcPr>
            <w:tcW w:w="1660" w:type="dxa"/>
            <w:tcBorders>
              <w:top w:val="nil"/>
              <w:left w:val="nil"/>
              <w:bottom w:val="nil"/>
              <w:right w:val="nil"/>
            </w:tcBorders>
            <w:shd w:val="clear" w:color="auto" w:fill="auto"/>
            <w:noWrap/>
            <w:vAlign w:val="bottom"/>
            <w:hideMark/>
          </w:tcPr>
          <w:p w14:paraId="78A65679"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6.135,50</w:t>
            </w:r>
          </w:p>
        </w:tc>
        <w:tc>
          <w:tcPr>
            <w:tcW w:w="1300" w:type="dxa"/>
            <w:tcBorders>
              <w:top w:val="nil"/>
              <w:left w:val="nil"/>
              <w:bottom w:val="nil"/>
              <w:right w:val="nil"/>
            </w:tcBorders>
            <w:shd w:val="clear" w:color="auto" w:fill="auto"/>
            <w:noWrap/>
            <w:vAlign w:val="bottom"/>
            <w:hideMark/>
          </w:tcPr>
          <w:p w14:paraId="205049E8"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92,19%</w:t>
            </w:r>
          </w:p>
        </w:tc>
        <w:tc>
          <w:tcPr>
            <w:tcW w:w="1256" w:type="dxa"/>
            <w:tcBorders>
              <w:top w:val="nil"/>
              <w:left w:val="nil"/>
              <w:bottom w:val="nil"/>
              <w:right w:val="nil"/>
            </w:tcBorders>
            <w:shd w:val="clear" w:color="auto" w:fill="auto"/>
            <w:noWrap/>
            <w:vAlign w:val="bottom"/>
            <w:hideMark/>
          </w:tcPr>
          <w:p w14:paraId="43301D20"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85,81%</w:t>
            </w:r>
          </w:p>
        </w:tc>
      </w:tr>
      <w:tr w:rsidR="00093875" w:rsidRPr="00093875" w14:paraId="26B23319" w14:textId="77777777" w:rsidTr="007523DF">
        <w:trPr>
          <w:trHeight w:val="240"/>
        </w:trPr>
        <w:tc>
          <w:tcPr>
            <w:tcW w:w="6946" w:type="dxa"/>
            <w:tcBorders>
              <w:top w:val="nil"/>
              <w:left w:val="nil"/>
              <w:bottom w:val="nil"/>
              <w:right w:val="nil"/>
            </w:tcBorders>
            <w:shd w:val="clear" w:color="auto" w:fill="auto"/>
            <w:noWrap/>
            <w:vAlign w:val="bottom"/>
            <w:hideMark/>
          </w:tcPr>
          <w:p w14:paraId="79ADEBF5" w14:textId="77777777" w:rsidR="00093875" w:rsidRPr="00093875" w:rsidRDefault="00093875" w:rsidP="00093875">
            <w:pPr>
              <w:spacing w:after="0" w:line="240" w:lineRule="auto"/>
              <w:rPr>
                <w:rFonts w:ascii="Arial" w:hAnsi="Arial" w:cs="Arial"/>
                <w:b/>
                <w:bCs/>
                <w:color w:val="000000"/>
                <w:sz w:val="18"/>
                <w:szCs w:val="18"/>
                <w:lang w:eastAsia="hr-HR"/>
              </w:rPr>
            </w:pPr>
            <w:r w:rsidRPr="00093875">
              <w:rPr>
                <w:rFonts w:ascii="Arial" w:hAnsi="Arial" w:cs="Arial"/>
                <w:b/>
                <w:bCs/>
                <w:color w:val="000000"/>
                <w:sz w:val="18"/>
                <w:szCs w:val="18"/>
                <w:lang w:eastAsia="hr-HR"/>
              </w:rPr>
              <w:t>08 Rekreacija, kultura i religija</w:t>
            </w:r>
          </w:p>
        </w:tc>
        <w:tc>
          <w:tcPr>
            <w:tcW w:w="1780" w:type="dxa"/>
            <w:tcBorders>
              <w:top w:val="nil"/>
              <w:left w:val="nil"/>
              <w:bottom w:val="nil"/>
              <w:right w:val="nil"/>
            </w:tcBorders>
            <w:shd w:val="clear" w:color="auto" w:fill="auto"/>
            <w:noWrap/>
            <w:vAlign w:val="bottom"/>
            <w:hideMark/>
          </w:tcPr>
          <w:p w14:paraId="204212FD" w14:textId="77777777" w:rsidR="00093875" w:rsidRPr="00093875" w:rsidRDefault="00093875" w:rsidP="00093875">
            <w:pPr>
              <w:spacing w:after="0" w:line="240" w:lineRule="auto"/>
              <w:jc w:val="right"/>
              <w:rPr>
                <w:rFonts w:ascii="Arial" w:hAnsi="Arial" w:cs="Arial"/>
                <w:b/>
                <w:bCs/>
                <w:color w:val="000000"/>
                <w:sz w:val="18"/>
                <w:szCs w:val="18"/>
                <w:lang w:eastAsia="hr-HR"/>
              </w:rPr>
            </w:pPr>
            <w:r w:rsidRPr="00093875">
              <w:rPr>
                <w:rFonts w:ascii="Arial" w:hAnsi="Arial" w:cs="Arial"/>
                <w:b/>
                <w:bCs/>
                <w:color w:val="000000"/>
                <w:sz w:val="18"/>
                <w:szCs w:val="18"/>
                <w:lang w:eastAsia="hr-HR"/>
              </w:rPr>
              <w:t>309.007,25</w:t>
            </w:r>
          </w:p>
        </w:tc>
        <w:tc>
          <w:tcPr>
            <w:tcW w:w="1764" w:type="dxa"/>
            <w:tcBorders>
              <w:top w:val="nil"/>
              <w:left w:val="nil"/>
              <w:bottom w:val="nil"/>
              <w:right w:val="nil"/>
            </w:tcBorders>
            <w:shd w:val="clear" w:color="auto" w:fill="auto"/>
            <w:noWrap/>
            <w:vAlign w:val="bottom"/>
            <w:hideMark/>
          </w:tcPr>
          <w:p w14:paraId="21DF267D" w14:textId="77777777" w:rsidR="00093875" w:rsidRPr="00093875" w:rsidRDefault="00093875" w:rsidP="00093875">
            <w:pPr>
              <w:spacing w:after="0" w:line="240" w:lineRule="auto"/>
              <w:jc w:val="right"/>
              <w:rPr>
                <w:rFonts w:ascii="Arial" w:hAnsi="Arial" w:cs="Arial"/>
                <w:b/>
                <w:bCs/>
                <w:color w:val="000000"/>
                <w:sz w:val="18"/>
                <w:szCs w:val="18"/>
                <w:lang w:eastAsia="hr-HR"/>
              </w:rPr>
            </w:pPr>
            <w:r w:rsidRPr="00093875">
              <w:rPr>
                <w:rFonts w:ascii="Arial" w:hAnsi="Arial" w:cs="Arial"/>
                <w:b/>
                <w:bCs/>
                <w:color w:val="000000"/>
                <w:sz w:val="18"/>
                <w:szCs w:val="18"/>
                <w:lang w:eastAsia="hr-HR"/>
              </w:rPr>
              <w:t>472.220,00</w:t>
            </w:r>
          </w:p>
        </w:tc>
        <w:tc>
          <w:tcPr>
            <w:tcW w:w="1660" w:type="dxa"/>
            <w:tcBorders>
              <w:top w:val="nil"/>
              <w:left w:val="nil"/>
              <w:bottom w:val="nil"/>
              <w:right w:val="nil"/>
            </w:tcBorders>
            <w:shd w:val="clear" w:color="auto" w:fill="auto"/>
            <w:noWrap/>
            <w:vAlign w:val="bottom"/>
            <w:hideMark/>
          </w:tcPr>
          <w:p w14:paraId="08D45431" w14:textId="77777777" w:rsidR="00093875" w:rsidRPr="00093875" w:rsidRDefault="00093875" w:rsidP="00093875">
            <w:pPr>
              <w:spacing w:after="0" w:line="240" w:lineRule="auto"/>
              <w:jc w:val="right"/>
              <w:rPr>
                <w:rFonts w:ascii="Arial" w:hAnsi="Arial" w:cs="Arial"/>
                <w:b/>
                <w:bCs/>
                <w:color w:val="000000"/>
                <w:sz w:val="18"/>
                <w:szCs w:val="18"/>
                <w:lang w:eastAsia="hr-HR"/>
              </w:rPr>
            </w:pPr>
            <w:r w:rsidRPr="00093875">
              <w:rPr>
                <w:rFonts w:ascii="Arial" w:hAnsi="Arial" w:cs="Arial"/>
                <w:b/>
                <w:bCs/>
                <w:color w:val="000000"/>
                <w:sz w:val="18"/>
                <w:szCs w:val="18"/>
                <w:lang w:eastAsia="hr-HR"/>
              </w:rPr>
              <w:t>457.587,35</w:t>
            </w:r>
          </w:p>
        </w:tc>
        <w:tc>
          <w:tcPr>
            <w:tcW w:w="1300" w:type="dxa"/>
            <w:tcBorders>
              <w:top w:val="nil"/>
              <w:left w:val="nil"/>
              <w:bottom w:val="nil"/>
              <w:right w:val="nil"/>
            </w:tcBorders>
            <w:shd w:val="clear" w:color="auto" w:fill="auto"/>
            <w:noWrap/>
            <w:vAlign w:val="bottom"/>
            <w:hideMark/>
          </w:tcPr>
          <w:p w14:paraId="54AE99EA" w14:textId="77777777" w:rsidR="00093875" w:rsidRPr="00093875" w:rsidRDefault="00093875" w:rsidP="00093875">
            <w:pPr>
              <w:spacing w:after="0" w:line="240" w:lineRule="auto"/>
              <w:jc w:val="right"/>
              <w:rPr>
                <w:rFonts w:ascii="Arial" w:hAnsi="Arial" w:cs="Arial"/>
                <w:b/>
                <w:bCs/>
                <w:color w:val="000000"/>
                <w:sz w:val="18"/>
                <w:szCs w:val="18"/>
                <w:lang w:eastAsia="hr-HR"/>
              </w:rPr>
            </w:pPr>
            <w:r w:rsidRPr="00093875">
              <w:rPr>
                <w:rFonts w:ascii="Arial" w:hAnsi="Arial" w:cs="Arial"/>
                <w:b/>
                <w:bCs/>
                <w:color w:val="000000"/>
                <w:sz w:val="18"/>
                <w:szCs w:val="18"/>
                <w:lang w:eastAsia="hr-HR"/>
              </w:rPr>
              <w:t>148,08%</w:t>
            </w:r>
          </w:p>
        </w:tc>
        <w:tc>
          <w:tcPr>
            <w:tcW w:w="1256" w:type="dxa"/>
            <w:tcBorders>
              <w:top w:val="nil"/>
              <w:left w:val="nil"/>
              <w:bottom w:val="nil"/>
              <w:right w:val="nil"/>
            </w:tcBorders>
            <w:shd w:val="clear" w:color="auto" w:fill="auto"/>
            <w:noWrap/>
            <w:vAlign w:val="bottom"/>
            <w:hideMark/>
          </w:tcPr>
          <w:p w14:paraId="4953961A" w14:textId="77777777" w:rsidR="00093875" w:rsidRPr="00093875" w:rsidRDefault="00093875" w:rsidP="00093875">
            <w:pPr>
              <w:spacing w:after="0" w:line="240" w:lineRule="auto"/>
              <w:jc w:val="right"/>
              <w:rPr>
                <w:rFonts w:ascii="Arial" w:hAnsi="Arial" w:cs="Arial"/>
                <w:b/>
                <w:bCs/>
                <w:color w:val="000000"/>
                <w:sz w:val="18"/>
                <w:szCs w:val="18"/>
                <w:lang w:eastAsia="hr-HR"/>
              </w:rPr>
            </w:pPr>
            <w:r w:rsidRPr="00093875">
              <w:rPr>
                <w:rFonts w:ascii="Arial" w:hAnsi="Arial" w:cs="Arial"/>
                <w:b/>
                <w:bCs/>
                <w:color w:val="000000"/>
                <w:sz w:val="18"/>
                <w:szCs w:val="18"/>
                <w:lang w:eastAsia="hr-HR"/>
              </w:rPr>
              <w:t>96,90%</w:t>
            </w:r>
          </w:p>
        </w:tc>
      </w:tr>
      <w:tr w:rsidR="00093875" w:rsidRPr="00093875" w14:paraId="7CA4DDD9" w14:textId="77777777" w:rsidTr="007523DF">
        <w:trPr>
          <w:trHeight w:val="240"/>
        </w:trPr>
        <w:tc>
          <w:tcPr>
            <w:tcW w:w="6946" w:type="dxa"/>
            <w:tcBorders>
              <w:top w:val="nil"/>
              <w:left w:val="nil"/>
              <w:bottom w:val="nil"/>
              <w:right w:val="nil"/>
            </w:tcBorders>
            <w:shd w:val="clear" w:color="auto" w:fill="auto"/>
            <w:noWrap/>
            <w:vAlign w:val="bottom"/>
            <w:hideMark/>
          </w:tcPr>
          <w:p w14:paraId="1D5EFCC8" w14:textId="77777777" w:rsidR="00093875" w:rsidRPr="00093875" w:rsidRDefault="00093875" w:rsidP="00093875">
            <w:pPr>
              <w:spacing w:after="0" w:line="240" w:lineRule="auto"/>
              <w:rPr>
                <w:rFonts w:ascii="Arial" w:hAnsi="Arial" w:cs="Arial"/>
                <w:color w:val="000000"/>
                <w:sz w:val="18"/>
                <w:szCs w:val="18"/>
                <w:lang w:eastAsia="hr-HR"/>
              </w:rPr>
            </w:pPr>
            <w:r w:rsidRPr="00093875">
              <w:rPr>
                <w:rFonts w:ascii="Arial" w:hAnsi="Arial" w:cs="Arial"/>
                <w:color w:val="000000"/>
                <w:sz w:val="18"/>
                <w:szCs w:val="18"/>
                <w:lang w:eastAsia="hr-HR"/>
              </w:rPr>
              <w:lastRenderedPageBreak/>
              <w:t>081 Službe rekreacije i sporta</w:t>
            </w:r>
          </w:p>
        </w:tc>
        <w:tc>
          <w:tcPr>
            <w:tcW w:w="1780" w:type="dxa"/>
            <w:tcBorders>
              <w:top w:val="nil"/>
              <w:left w:val="nil"/>
              <w:bottom w:val="nil"/>
              <w:right w:val="nil"/>
            </w:tcBorders>
            <w:shd w:val="clear" w:color="auto" w:fill="auto"/>
            <w:noWrap/>
            <w:vAlign w:val="bottom"/>
            <w:hideMark/>
          </w:tcPr>
          <w:p w14:paraId="60144F0F"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94.750,00</w:t>
            </w:r>
          </w:p>
        </w:tc>
        <w:tc>
          <w:tcPr>
            <w:tcW w:w="1764" w:type="dxa"/>
            <w:tcBorders>
              <w:top w:val="nil"/>
              <w:left w:val="nil"/>
              <w:bottom w:val="nil"/>
              <w:right w:val="nil"/>
            </w:tcBorders>
            <w:shd w:val="clear" w:color="auto" w:fill="auto"/>
            <w:noWrap/>
            <w:vAlign w:val="bottom"/>
            <w:hideMark/>
          </w:tcPr>
          <w:p w14:paraId="0629DA74"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161.500,00</w:t>
            </w:r>
          </w:p>
        </w:tc>
        <w:tc>
          <w:tcPr>
            <w:tcW w:w="1660" w:type="dxa"/>
            <w:tcBorders>
              <w:top w:val="nil"/>
              <w:left w:val="nil"/>
              <w:bottom w:val="nil"/>
              <w:right w:val="nil"/>
            </w:tcBorders>
            <w:shd w:val="clear" w:color="auto" w:fill="auto"/>
            <w:noWrap/>
            <w:vAlign w:val="bottom"/>
            <w:hideMark/>
          </w:tcPr>
          <w:p w14:paraId="0EAE4C1E"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160.680,00</w:t>
            </w:r>
          </w:p>
        </w:tc>
        <w:tc>
          <w:tcPr>
            <w:tcW w:w="1300" w:type="dxa"/>
            <w:tcBorders>
              <w:top w:val="nil"/>
              <w:left w:val="nil"/>
              <w:bottom w:val="nil"/>
              <w:right w:val="nil"/>
            </w:tcBorders>
            <w:shd w:val="clear" w:color="auto" w:fill="auto"/>
            <w:noWrap/>
            <w:vAlign w:val="bottom"/>
            <w:hideMark/>
          </w:tcPr>
          <w:p w14:paraId="4FAAC24F"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169,58%</w:t>
            </w:r>
          </w:p>
        </w:tc>
        <w:tc>
          <w:tcPr>
            <w:tcW w:w="1256" w:type="dxa"/>
            <w:tcBorders>
              <w:top w:val="nil"/>
              <w:left w:val="nil"/>
              <w:bottom w:val="nil"/>
              <w:right w:val="nil"/>
            </w:tcBorders>
            <w:shd w:val="clear" w:color="auto" w:fill="auto"/>
            <w:noWrap/>
            <w:vAlign w:val="bottom"/>
            <w:hideMark/>
          </w:tcPr>
          <w:p w14:paraId="64ED3F5E"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99,49%</w:t>
            </w:r>
          </w:p>
        </w:tc>
      </w:tr>
      <w:tr w:rsidR="00093875" w:rsidRPr="00093875" w14:paraId="4058C3FE" w14:textId="77777777" w:rsidTr="007523DF">
        <w:trPr>
          <w:trHeight w:val="240"/>
        </w:trPr>
        <w:tc>
          <w:tcPr>
            <w:tcW w:w="6946" w:type="dxa"/>
            <w:tcBorders>
              <w:top w:val="nil"/>
              <w:left w:val="nil"/>
              <w:bottom w:val="nil"/>
              <w:right w:val="nil"/>
            </w:tcBorders>
            <w:shd w:val="clear" w:color="auto" w:fill="auto"/>
            <w:noWrap/>
            <w:vAlign w:val="bottom"/>
            <w:hideMark/>
          </w:tcPr>
          <w:p w14:paraId="5BDFD2D4" w14:textId="77777777" w:rsidR="00093875" w:rsidRPr="00093875" w:rsidRDefault="00093875" w:rsidP="00093875">
            <w:pPr>
              <w:spacing w:after="0" w:line="240" w:lineRule="auto"/>
              <w:rPr>
                <w:rFonts w:ascii="Arial" w:hAnsi="Arial" w:cs="Arial"/>
                <w:color w:val="000000"/>
                <w:sz w:val="18"/>
                <w:szCs w:val="18"/>
                <w:lang w:eastAsia="hr-HR"/>
              </w:rPr>
            </w:pPr>
            <w:r w:rsidRPr="00093875">
              <w:rPr>
                <w:rFonts w:ascii="Arial" w:hAnsi="Arial" w:cs="Arial"/>
                <w:color w:val="000000"/>
                <w:sz w:val="18"/>
                <w:szCs w:val="18"/>
                <w:lang w:eastAsia="hr-HR"/>
              </w:rPr>
              <w:t>082 Službe kulture</w:t>
            </w:r>
          </w:p>
        </w:tc>
        <w:tc>
          <w:tcPr>
            <w:tcW w:w="1780" w:type="dxa"/>
            <w:tcBorders>
              <w:top w:val="nil"/>
              <w:left w:val="nil"/>
              <w:bottom w:val="nil"/>
              <w:right w:val="nil"/>
            </w:tcBorders>
            <w:shd w:val="clear" w:color="auto" w:fill="auto"/>
            <w:noWrap/>
            <w:vAlign w:val="bottom"/>
            <w:hideMark/>
          </w:tcPr>
          <w:p w14:paraId="34A7F8BE"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107.533,89</w:t>
            </w:r>
          </w:p>
        </w:tc>
        <w:tc>
          <w:tcPr>
            <w:tcW w:w="1764" w:type="dxa"/>
            <w:tcBorders>
              <w:top w:val="nil"/>
              <w:left w:val="nil"/>
              <w:bottom w:val="nil"/>
              <w:right w:val="nil"/>
            </w:tcBorders>
            <w:shd w:val="clear" w:color="auto" w:fill="auto"/>
            <w:noWrap/>
            <w:vAlign w:val="bottom"/>
            <w:hideMark/>
          </w:tcPr>
          <w:p w14:paraId="2AFE4FD1"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165.900,00</w:t>
            </w:r>
          </w:p>
        </w:tc>
        <w:tc>
          <w:tcPr>
            <w:tcW w:w="1660" w:type="dxa"/>
            <w:tcBorders>
              <w:top w:val="nil"/>
              <w:left w:val="nil"/>
              <w:bottom w:val="nil"/>
              <w:right w:val="nil"/>
            </w:tcBorders>
            <w:shd w:val="clear" w:color="auto" w:fill="auto"/>
            <w:noWrap/>
            <w:vAlign w:val="bottom"/>
            <w:hideMark/>
          </w:tcPr>
          <w:p w14:paraId="7948C0A4"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161.463,32</w:t>
            </w:r>
          </w:p>
        </w:tc>
        <w:tc>
          <w:tcPr>
            <w:tcW w:w="1300" w:type="dxa"/>
            <w:tcBorders>
              <w:top w:val="nil"/>
              <w:left w:val="nil"/>
              <w:bottom w:val="nil"/>
              <w:right w:val="nil"/>
            </w:tcBorders>
            <w:shd w:val="clear" w:color="auto" w:fill="auto"/>
            <w:noWrap/>
            <w:vAlign w:val="bottom"/>
            <w:hideMark/>
          </w:tcPr>
          <w:p w14:paraId="77134ADC"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150,15%</w:t>
            </w:r>
          </w:p>
        </w:tc>
        <w:tc>
          <w:tcPr>
            <w:tcW w:w="1256" w:type="dxa"/>
            <w:tcBorders>
              <w:top w:val="nil"/>
              <w:left w:val="nil"/>
              <w:bottom w:val="nil"/>
              <w:right w:val="nil"/>
            </w:tcBorders>
            <w:shd w:val="clear" w:color="auto" w:fill="auto"/>
            <w:noWrap/>
            <w:vAlign w:val="bottom"/>
            <w:hideMark/>
          </w:tcPr>
          <w:p w14:paraId="3A2BE0B8"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97,33%</w:t>
            </w:r>
          </w:p>
        </w:tc>
      </w:tr>
      <w:tr w:rsidR="00093875" w:rsidRPr="00093875" w14:paraId="63C89DAE" w14:textId="77777777" w:rsidTr="007523DF">
        <w:trPr>
          <w:trHeight w:val="240"/>
        </w:trPr>
        <w:tc>
          <w:tcPr>
            <w:tcW w:w="6946" w:type="dxa"/>
            <w:tcBorders>
              <w:top w:val="nil"/>
              <w:left w:val="nil"/>
              <w:bottom w:val="nil"/>
              <w:right w:val="nil"/>
            </w:tcBorders>
            <w:shd w:val="clear" w:color="auto" w:fill="auto"/>
            <w:noWrap/>
            <w:vAlign w:val="bottom"/>
            <w:hideMark/>
          </w:tcPr>
          <w:p w14:paraId="2863B640" w14:textId="77777777" w:rsidR="00093875" w:rsidRPr="00093875" w:rsidRDefault="00093875" w:rsidP="00093875">
            <w:pPr>
              <w:spacing w:after="0" w:line="240" w:lineRule="auto"/>
              <w:rPr>
                <w:rFonts w:ascii="Arial" w:hAnsi="Arial" w:cs="Arial"/>
                <w:color w:val="000000"/>
                <w:sz w:val="18"/>
                <w:szCs w:val="18"/>
                <w:lang w:eastAsia="hr-HR"/>
              </w:rPr>
            </w:pPr>
            <w:r w:rsidRPr="00093875">
              <w:rPr>
                <w:rFonts w:ascii="Arial" w:hAnsi="Arial" w:cs="Arial"/>
                <w:color w:val="000000"/>
                <w:sz w:val="18"/>
                <w:szCs w:val="18"/>
                <w:lang w:eastAsia="hr-HR"/>
              </w:rPr>
              <w:t>083 Službe emitiranja i izdavanja</w:t>
            </w:r>
          </w:p>
        </w:tc>
        <w:tc>
          <w:tcPr>
            <w:tcW w:w="1780" w:type="dxa"/>
            <w:tcBorders>
              <w:top w:val="nil"/>
              <w:left w:val="nil"/>
              <w:bottom w:val="nil"/>
              <w:right w:val="nil"/>
            </w:tcBorders>
            <w:shd w:val="clear" w:color="auto" w:fill="auto"/>
            <w:noWrap/>
            <w:vAlign w:val="bottom"/>
            <w:hideMark/>
          </w:tcPr>
          <w:p w14:paraId="145379F6"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57.809,61</w:t>
            </w:r>
          </w:p>
        </w:tc>
        <w:tc>
          <w:tcPr>
            <w:tcW w:w="1764" w:type="dxa"/>
            <w:tcBorders>
              <w:top w:val="nil"/>
              <w:left w:val="nil"/>
              <w:bottom w:val="nil"/>
              <w:right w:val="nil"/>
            </w:tcBorders>
            <w:shd w:val="clear" w:color="auto" w:fill="auto"/>
            <w:noWrap/>
            <w:vAlign w:val="bottom"/>
            <w:hideMark/>
          </w:tcPr>
          <w:p w14:paraId="617A9B7F"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80.000,00</w:t>
            </w:r>
          </w:p>
        </w:tc>
        <w:tc>
          <w:tcPr>
            <w:tcW w:w="1660" w:type="dxa"/>
            <w:tcBorders>
              <w:top w:val="nil"/>
              <w:left w:val="nil"/>
              <w:bottom w:val="nil"/>
              <w:right w:val="nil"/>
            </w:tcBorders>
            <w:shd w:val="clear" w:color="auto" w:fill="auto"/>
            <w:noWrap/>
            <w:vAlign w:val="bottom"/>
            <w:hideMark/>
          </w:tcPr>
          <w:p w14:paraId="37AC3BC4"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77.178,25</w:t>
            </w:r>
          </w:p>
        </w:tc>
        <w:tc>
          <w:tcPr>
            <w:tcW w:w="1300" w:type="dxa"/>
            <w:tcBorders>
              <w:top w:val="nil"/>
              <w:left w:val="nil"/>
              <w:bottom w:val="nil"/>
              <w:right w:val="nil"/>
            </w:tcBorders>
            <w:shd w:val="clear" w:color="auto" w:fill="auto"/>
            <w:noWrap/>
            <w:vAlign w:val="bottom"/>
            <w:hideMark/>
          </w:tcPr>
          <w:p w14:paraId="657DA5DE"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133,50%</w:t>
            </w:r>
          </w:p>
        </w:tc>
        <w:tc>
          <w:tcPr>
            <w:tcW w:w="1256" w:type="dxa"/>
            <w:tcBorders>
              <w:top w:val="nil"/>
              <w:left w:val="nil"/>
              <w:bottom w:val="nil"/>
              <w:right w:val="nil"/>
            </w:tcBorders>
            <w:shd w:val="clear" w:color="auto" w:fill="auto"/>
            <w:noWrap/>
            <w:vAlign w:val="bottom"/>
            <w:hideMark/>
          </w:tcPr>
          <w:p w14:paraId="2051236C"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96,47%</w:t>
            </w:r>
          </w:p>
        </w:tc>
      </w:tr>
      <w:tr w:rsidR="00093875" w:rsidRPr="00093875" w14:paraId="7C12C042" w14:textId="77777777" w:rsidTr="007523DF">
        <w:trPr>
          <w:trHeight w:val="240"/>
        </w:trPr>
        <w:tc>
          <w:tcPr>
            <w:tcW w:w="6946" w:type="dxa"/>
            <w:tcBorders>
              <w:top w:val="nil"/>
              <w:left w:val="nil"/>
              <w:bottom w:val="nil"/>
              <w:right w:val="nil"/>
            </w:tcBorders>
            <w:shd w:val="clear" w:color="auto" w:fill="auto"/>
            <w:noWrap/>
            <w:vAlign w:val="bottom"/>
            <w:hideMark/>
          </w:tcPr>
          <w:p w14:paraId="225605F0" w14:textId="77777777" w:rsidR="00093875" w:rsidRPr="00093875" w:rsidRDefault="00093875" w:rsidP="00093875">
            <w:pPr>
              <w:spacing w:after="0" w:line="240" w:lineRule="auto"/>
              <w:rPr>
                <w:rFonts w:ascii="Arial" w:hAnsi="Arial" w:cs="Arial"/>
                <w:color w:val="000000"/>
                <w:sz w:val="18"/>
                <w:szCs w:val="18"/>
                <w:lang w:eastAsia="hr-HR"/>
              </w:rPr>
            </w:pPr>
            <w:r w:rsidRPr="00093875">
              <w:rPr>
                <w:rFonts w:ascii="Arial" w:hAnsi="Arial" w:cs="Arial"/>
                <w:color w:val="000000"/>
                <w:sz w:val="18"/>
                <w:szCs w:val="18"/>
                <w:lang w:eastAsia="hr-HR"/>
              </w:rPr>
              <w:t>086 Rashodi za rekreaciju, kulturu i religiju koji nisu drugdje svrstani</w:t>
            </w:r>
          </w:p>
        </w:tc>
        <w:tc>
          <w:tcPr>
            <w:tcW w:w="1780" w:type="dxa"/>
            <w:tcBorders>
              <w:top w:val="nil"/>
              <w:left w:val="nil"/>
              <w:bottom w:val="nil"/>
              <w:right w:val="nil"/>
            </w:tcBorders>
            <w:shd w:val="clear" w:color="auto" w:fill="auto"/>
            <w:noWrap/>
            <w:vAlign w:val="bottom"/>
            <w:hideMark/>
          </w:tcPr>
          <w:p w14:paraId="592E86FA"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48.913,75</w:t>
            </w:r>
          </w:p>
        </w:tc>
        <w:tc>
          <w:tcPr>
            <w:tcW w:w="1764" w:type="dxa"/>
            <w:tcBorders>
              <w:top w:val="nil"/>
              <w:left w:val="nil"/>
              <w:bottom w:val="nil"/>
              <w:right w:val="nil"/>
            </w:tcBorders>
            <w:shd w:val="clear" w:color="auto" w:fill="auto"/>
            <w:noWrap/>
            <w:vAlign w:val="bottom"/>
            <w:hideMark/>
          </w:tcPr>
          <w:p w14:paraId="68FD06E6"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64.820,00</w:t>
            </w:r>
          </w:p>
        </w:tc>
        <w:tc>
          <w:tcPr>
            <w:tcW w:w="1660" w:type="dxa"/>
            <w:tcBorders>
              <w:top w:val="nil"/>
              <w:left w:val="nil"/>
              <w:bottom w:val="nil"/>
              <w:right w:val="nil"/>
            </w:tcBorders>
            <w:shd w:val="clear" w:color="auto" w:fill="auto"/>
            <w:noWrap/>
            <w:vAlign w:val="bottom"/>
            <w:hideMark/>
          </w:tcPr>
          <w:p w14:paraId="4DFE9CD7"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58.265,78</w:t>
            </w:r>
          </w:p>
        </w:tc>
        <w:tc>
          <w:tcPr>
            <w:tcW w:w="1300" w:type="dxa"/>
            <w:tcBorders>
              <w:top w:val="nil"/>
              <w:left w:val="nil"/>
              <w:bottom w:val="nil"/>
              <w:right w:val="nil"/>
            </w:tcBorders>
            <w:shd w:val="clear" w:color="auto" w:fill="auto"/>
            <w:noWrap/>
            <w:vAlign w:val="bottom"/>
            <w:hideMark/>
          </w:tcPr>
          <w:p w14:paraId="3BD3C48A"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119,12%</w:t>
            </w:r>
          </w:p>
        </w:tc>
        <w:tc>
          <w:tcPr>
            <w:tcW w:w="1256" w:type="dxa"/>
            <w:tcBorders>
              <w:top w:val="nil"/>
              <w:left w:val="nil"/>
              <w:bottom w:val="nil"/>
              <w:right w:val="nil"/>
            </w:tcBorders>
            <w:shd w:val="clear" w:color="auto" w:fill="auto"/>
            <w:noWrap/>
            <w:vAlign w:val="bottom"/>
            <w:hideMark/>
          </w:tcPr>
          <w:p w14:paraId="4627B335"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89,89%</w:t>
            </w:r>
          </w:p>
        </w:tc>
      </w:tr>
      <w:tr w:rsidR="00093875" w:rsidRPr="00093875" w14:paraId="785EE50B" w14:textId="77777777" w:rsidTr="007523DF">
        <w:trPr>
          <w:trHeight w:val="240"/>
        </w:trPr>
        <w:tc>
          <w:tcPr>
            <w:tcW w:w="6946" w:type="dxa"/>
            <w:tcBorders>
              <w:top w:val="nil"/>
              <w:left w:val="nil"/>
              <w:bottom w:val="nil"/>
              <w:right w:val="nil"/>
            </w:tcBorders>
            <w:shd w:val="clear" w:color="auto" w:fill="auto"/>
            <w:noWrap/>
            <w:vAlign w:val="bottom"/>
            <w:hideMark/>
          </w:tcPr>
          <w:p w14:paraId="7666932B" w14:textId="77777777" w:rsidR="00093875" w:rsidRPr="00093875" w:rsidRDefault="00093875" w:rsidP="00093875">
            <w:pPr>
              <w:spacing w:after="0" w:line="240" w:lineRule="auto"/>
              <w:rPr>
                <w:rFonts w:ascii="Arial" w:hAnsi="Arial" w:cs="Arial"/>
                <w:b/>
                <w:bCs/>
                <w:color w:val="000000"/>
                <w:sz w:val="18"/>
                <w:szCs w:val="18"/>
                <w:lang w:eastAsia="hr-HR"/>
              </w:rPr>
            </w:pPr>
            <w:r w:rsidRPr="00093875">
              <w:rPr>
                <w:rFonts w:ascii="Arial" w:hAnsi="Arial" w:cs="Arial"/>
                <w:b/>
                <w:bCs/>
                <w:color w:val="000000"/>
                <w:sz w:val="18"/>
                <w:szCs w:val="18"/>
                <w:lang w:eastAsia="hr-HR"/>
              </w:rPr>
              <w:t>09 Obrazovanje</w:t>
            </w:r>
          </w:p>
        </w:tc>
        <w:tc>
          <w:tcPr>
            <w:tcW w:w="1780" w:type="dxa"/>
            <w:tcBorders>
              <w:top w:val="nil"/>
              <w:left w:val="nil"/>
              <w:bottom w:val="nil"/>
              <w:right w:val="nil"/>
            </w:tcBorders>
            <w:shd w:val="clear" w:color="auto" w:fill="auto"/>
            <w:noWrap/>
            <w:vAlign w:val="bottom"/>
            <w:hideMark/>
          </w:tcPr>
          <w:p w14:paraId="5828C7BD" w14:textId="77777777" w:rsidR="00093875" w:rsidRPr="00093875" w:rsidRDefault="00093875" w:rsidP="00093875">
            <w:pPr>
              <w:spacing w:after="0" w:line="240" w:lineRule="auto"/>
              <w:jc w:val="right"/>
              <w:rPr>
                <w:rFonts w:ascii="Arial" w:hAnsi="Arial" w:cs="Arial"/>
                <w:b/>
                <w:bCs/>
                <w:color w:val="000000"/>
                <w:sz w:val="18"/>
                <w:szCs w:val="18"/>
                <w:lang w:eastAsia="hr-HR"/>
              </w:rPr>
            </w:pPr>
            <w:r w:rsidRPr="00093875">
              <w:rPr>
                <w:rFonts w:ascii="Arial" w:hAnsi="Arial" w:cs="Arial"/>
                <w:b/>
                <w:bCs/>
                <w:color w:val="000000"/>
                <w:sz w:val="18"/>
                <w:szCs w:val="18"/>
                <w:lang w:eastAsia="hr-HR"/>
              </w:rPr>
              <w:t>4.487.628,24</w:t>
            </w:r>
          </w:p>
        </w:tc>
        <w:tc>
          <w:tcPr>
            <w:tcW w:w="1764" w:type="dxa"/>
            <w:tcBorders>
              <w:top w:val="nil"/>
              <w:left w:val="nil"/>
              <w:bottom w:val="nil"/>
              <w:right w:val="nil"/>
            </w:tcBorders>
            <w:shd w:val="clear" w:color="auto" w:fill="auto"/>
            <w:noWrap/>
            <w:vAlign w:val="bottom"/>
            <w:hideMark/>
          </w:tcPr>
          <w:p w14:paraId="2F8385E3" w14:textId="77777777" w:rsidR="00093875" w:rsidRPr="00093875" w:rsidRDefault="00093875" w:rsidP="00093875">
            <w:pPr>
              <w:spacing w:after="0" w:line="240" w:lineRule="auto"/>
              <w:jc w:val="right"/>
              <w:rPr>
                <w:rFonts w:ascii="Arial" w:hAnsi="Arial" w:cs="Arial"/>
                <w:b/>
                <w:bCs/>
                <w:color w:val="000000"/>
                <w:sz w:val="18"/>
                <w:szCs w:val="18"/>
                <w:lang w:eastAsia="hr-HR"/>
              </w:rPr>
            </w:pPr>
            <w:r w:rsidRPr="00093875">
              <w:rPr>
                <w:rFonts w:ascii="Arial" w:hAnsi="Arial" w:cs="Arial"/>
                <w:b/>
                <w:bCs/>
                <w:color w:val="000000"/>
                <w:sz w:val="18"/>
                <w:szCs w:val="18"/>
                <w:lang w:eastAsia="hr-HR"/>
              </w:rPr>
              <w:t>6.345.489,18</w:t>
            </w:r>
          </w:p>
        </w:tc>
        <w:tc>
          <w:tcPr>
            <w:tcW w:w="1660" w:type="dxa"/>
            <w:tcBorders>
              <w:top w:val="nil"/>
              <w:left w:val="nil"/>
              <w:bottom w:val="nil"/>
              <w:right w:val="nil"/>
            </w:tcBorders>
            <w:shd w:val="clear" w:color="auto" w:fill="auto"/>
            <w:noWrap/>
            <w:vAlign w:val="bottom"/>
            <w:hideMark/>
          </w:tcPr>
          <w:p w14:paraId="63B42257" w14:textId="30024C00" w:rsidR="00093875" w:rsidRPr="00093875" w:rsidRDefault="00ED5946" w:rsidP="00093875">
            <w:pPr>
              <w:spacing w:after="0" w:line="240" w:lineRule="auto"/>
              <w:jc w:val="right"/>
              <w:rPr>
                <w:rFonts w:ascii="Arial" w:hAnsi="Arial" w:cs="Arial"/>
                <w:b/>
                <w:bCs/>
                <w:color w:val="000000"/>
                <w:sz w:val="18"/>
                <w:szCs w:val="18"/>
                <w:lang w:eastAsia="hr-HR"/>
              </w:rPr>
            </w:pPr>
            <w:r>
              <w:rPr>
                <w:rFonts w:ascii="Arial" w:hAnsi="Arial" w:cs="Arial"/>
                <w:b/>
                <w:bCs/>
                <w:color w:val="000000"/>
                <w:sz w:val="18"/>
                <w:szCs w:val="18"/>
                <w:lang w:eastAsia="hr-HR"/>
              </w:rPr>
              <w:t>6.003.796,89</w:t>
            </w:r>
          </w:p>
        </w:tc>
        <w:tc>
          <w:tcPr>
            <w:tcW w:w="1300" w:type="dxa"/>
            <w:tcBorders>
              <w:top w:val="nil"/>
              <w:left w:val="nil"/>
              <w:bottom w:val="nil"/>
              <w:right w:val="nil"/>
            </w:tcBorders>
            <w:shd w:val="clear" w:color="auto" w:fill="auto"/>
            <w:noWrap/>
            <w:vAlign w:val="bottom"/>
            <w:hideMark/>
          </w:tcPr>
          <w:p w14:paraId="10964B62" w14:textId="6E0335C4" w:rsidR="00093875" w:rsidRPr="00093875" w:rsidRDefault="00093875" w:rsidP="00093875">
            <w:pPr>
              <w:spacing w:after="0" w:line="240" w:lineRule="auto"/>
              <w:jc w:val="right"/>
              <w:rPr>
                <w:rFonts w:ascii="Arial" w:hAnsi="Arial" w:cs="Arial"/>
                <w:b/>
                <w:bCs/>
                <w:color w:val="000000"/>
                <w:sz w:val="18"/>
                <w:szCs w:val="18"/>
                <w:lang w:eastAsia="hr-HR"/>
              </w:rPr>
            </w:pPr>
            <w:r w:rsidRPr="00093875">
              <w:rPr>
                <w:rFonts w:ascii="Arial" w:hAnsi="Arial" w:cs="Arial"/>
                <w:b/>
                <w:bCs/>
                <w:color w:val="000000"/>
                <w:sz w:val="18"/>
                <w:szCs w:val="18"/>
                <w:lang w:eastAsia="hr-HR"/>
              </w:rPr>
              <w:t>133,</w:t>
            </w:r>
            <w:r w:rsidR="00ED5946">
              <w:rPr>
                <w:rFonts w:ascii="Arial" w:hAnsi="Arial" w:cs="Arial"/>
                <w:b/>
                <w:bCs/>
                <w:color w:val="000000"/>
                <w:sz w:val="18"/>
                <w:szCs w:val="18"/>
                <w:lang w:eastAsia="hr-HR"/>
              </w:rPr>
              <w:t>7</w:t>
            </w:r>
            <w:r w:rsidRPr="00093875">
              <w:rPr>
                <w:rFonts w:ascii="Arial" w:hAnsi="Arial" w:cs="Arial"/>
                <w:b/>
                <w:bCs/>
                <w:color w:val="000000"/>
                <w:sz w:val="18"/>
                <w:szCs w:val="18"/>
                <w:lang w:eastAsia="hr-HR"/>
              </w:rPr>
              <w:t>9%</w:t>
            </w:r>
          </w:p>
        </w:tc>
        <w:tc>
          <w:tcPr>
            <w:tcW w:w="1256" w:type="dxa"/>
            <w:tcBorders>
              <w:top w:val="nil"/>
              <w:left w:val="nil"/>
              <w:bottom w:val="nil"/>
              <w:right w:val="nil"/>
            </w:tcBorders>
            <w:shd w:val="clear" w:color="auto" w:fill="auto"/>
            <w:noWrap/>
            <w:vAlign w:val="bottom"/>
            <w:hideMark/>
          </w:tcPr>
          <w:p w14:paraId="70D6B807" w14:textId="7F62B9FF" w:rsidR="00093875" w:rsidRPr="00093875" w:rsidRDefault="00093875" w:rsidP="00093875">
            <w:pPr>
              <w:spacing w:after="0" w:line="240" w:lineRule="auto"/>
              <w:jc w:val="right"/>
              <w:rPr>
                <w:rFonts w:ascii="Arial" w:hAnsi="Arial" w:cs="Arial"/>
                <w:b/>
                <w:bCs/>
                <w:color w:val="000000"/>
                <w:sz w:val="18"/>
                <w:szCs w:val="18"/>
                <w:lang w:eastAsia="hr-HR"/>
              </w:rPr>
            </w:pPr>
            <w:r w:rsidRPr="00093875">
              <w:rPr>
                <w:rFonts w:ascii="Arial" w:hAnsi="Arial" w:cs="Arial"/>
                <w:b/>
                <w:bCs/>
                <w:color w:val="000000"/>
                <w:sz w:val="18"/>
                <w:szCs w:val="18"/>
                <w:lang w:eastAsia="hr-HR"/>
              </w:rPr>
              <w:t>94,</w:t>
            </w:r>
            <w:r w:rsidR="00ED5946">
              <w:rPr>
                <w:rFonts w:ascii="Arial" w:hAnsi="Arial" w:cs="Arial"/>
                <w:b/>
                <w:bCs/>
                <w:color w:val="000000"/>
                <w:sz w:val="18"/>
                <w:szCs w:val="18"/>
                <w:lang w:eastAsia="hr-HR"/>
              </w:rPr>
              <w:t>62</w:t>
            </w:r>
            <w:r w:rsidRPr="00093875">
              <w:rPr>
                <w:rFonts w:ascii="Arial" w:hAnsi="Arial" w:cs="Arial"/>
                <w:b/>
                <w:bCs/>
                <w:color w:val="000000"/>
                <w:sz w:val="18"/>
                <w:szCs w:val="18"/>
                <w:lang w:eastAsia="hr-HR"/>
              </w:rPr>
              <w:t>%</w:t>
            </w:r>
          </w:p>
        </w:tc>
      </w:tr>
      <w:tr w:rsidR="00093875" w:rsidRPr="00093875" w14:paraId="6F2D5010" w14:textId="77777777" w:rsidTr="007523DF">
        <w:trPr>
          <w:trHeight w:val="240"/>
        </w:trPr>
        <w:tc>
          <w:tcPr>
            <w:tcW w:w="6946" w:type="dxa"/>
            <w:tcBorders>
              <w:top w:val="nil"/>
              <w:left w:val="nil"/>
              <w:bottom w:val="nil"/>
              <w:right w:val="nil"/>
            </w:tcBorders>
            <w:shd w:val="clear" w:color="auto" w:fill="auto"/>
            <w:noWrap/>
            <w:vAlign w:val="bottom"/>
            <w:hideMark/>
          </w:tcPr>
          <w:p w14:paraId="6B85C49D" w14:textId="77777777" w:rsidR="00093875" w:rsidRPr="00093875" w:rsidRDefault="00093875" w:rsidP="00093875">
            <w:pPr>
              <w:spacing w:after="0" w:line="240" w:lineRule="auto"/>
              <w:rPr>
                <w:rFonts w:ascii="Arial" w:hAnsi="Arial" w:cs="Arial"/>
                <w:color w:val="000000"/>
                <w:sz w:val="18"/>
                <w:szCs w:val="18"/>
                <w:lang w:eastAsia="hr-HR"/>
              </w:rPr>
            </w:pPr>
            <w:r w:rsidRPr="00093875">
              <w:rPr>
                <w:rFonts w:ascii="Arial" w:hAnsi="Arial" w:cs="Arial"/>
                <w:color w:val="000000"/>
                <w:sz w:val="18"/>
                <w:szCs w:val="18"/>
                <w:lang w:eastAsia="hr-HR"/>
              </w:rPr>
              <w:t>091 Predškolsko i osnovno obrazovanje</w:t>
            </w:r>
          </w:p>
        </w:tc>
        <w:tc>
          <w:tcPr>
            <w:tcW w:w="1780" w:type="dxa"/>
            <w:tcBorders>
              <w:top w:val="nil"/>
              <w:left w:val="nil"/>
              <w:bottom w:val="nil"/>
              <w:right w:val="nil"/>
            </w:tcBorders>
            <w:shd w:val="clear" w:color="auto" w:fill="auto"/>
            <w:noWrap/>
            <w:vAlign w:val="bottom"/>
            <w:hideMark/>
          </w:tcPr>
          <w:p w14:paraId="05D4B15A"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4.474.266,39</w:t>
            </w:r>
          </w:p>
        </w:tc>
        <w:tc>
          <w:tcPr>
            <w:tcW w:w="1764" w:type="dxa"/>
            <w:tcBorders>
              <w:top w:val="nil"/>
              <w:left w:val="nil"/>
              <w:bottom w:val="nil"/>
              <w:right w:val="nil"/>
            </w:tcBorders>
            <w:shd w:val="clear" w:color="auto" w:fill="auto"/>
            <w:noWrap/>
            <w:vAlign w:val="bottom"/>
            <w:hideMark/>
          </w:tcPr>
          <w:p w14:paraId="4BA475FA"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6.333.829,18</w:t>
            </w:r>
          </w:p>
        </w:tc>
        <w:tc>
          <w:tcPr>
            <w:tcW w:w="1660" w:type="dxa"/>
            <w:tcBorders>
              <w:top w:val="nil"/>
              <w:left w:val="nil"/>
              <w:bottom w:val="nil"/>
              <w:right w:val="nil"/>
            </w:tcBorders>
            <w:shd w:val="clear" w:color="auto" w:fill="auto"/>
            <w:noWrap/>
            <w:vAlign w:val="bottom"/>
            <w:hideMark/>
          </w:tcPr>
          <w:p w14:paraId="7F4EDF11" w14:textId="5BC82513"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5.9</w:t>
            </w:r>
            <w:r w:rsidR="00ED5946">
              <w:rPr>
                <w:rFonts w:ascii="Arial" w:hAnsi="Arial" w:cs="Arial"/>
                <w:color w:val="000000"/>
                <w:sz w:val="18"/>
                <w:szCs w:val="18"/>
                <w:lang w:eastAsia="hr-HR"/>
              </w:rPr>
              <w:t>91.273,49</w:t>
            </w:r>
          </w:p>
        </w:tc>
        <w:tc>
          <w:tcPr>
            <w:tcW w:w="1300" w:type="dxa"/>
            <w:tcBorders>
              <w:top w:val="nil"/>
              <w:left w:val="nil"/>
              <w:bottom w:val="nil"/>
              <w:right w:val="nil"/>
            </w:tcBorders>
            <w:shd w:val="clear" w:color="auto" w:fill="auto"/>
            <w:noWrap/>
            <w:vAlign w:val="bottom"/>
            <w:hideMark/>
          </w:tcPr>
          <w:p w14:paraId="0FD09AEC" w14:textId="33461B9E"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133,</w:t>
            </w:r>
            <w:r w:rsidR="00ED5946">
              <w:rPr>
                <w:rFonts w:ascii="Arial" w:hAnsi="Arial" w:cs="Arial"/>
                <w:color w:val="000000"/>
                <w:sz w:val="18"/>
                <w:szCs w:val="18"/>
                <w:lang w:eastAsia="hr-HR"/>
              </w:rPr>
              <w:t>9</w:t>
            </w:r>
            <w:r w:rsidRPr="00093875">
              <w:rPr>
                <w:rFonts w:ascii="Arial" w:hAnsi="Arial" w:cs="Arial"/>
                <w:color w:val="000000"/>
                <w:sz w:val="18"/>
                <w:szCs w:val="18"/>
                <w:lang w:eastAsia="hr-HR"/>
              </w:rPr>
              <w:t>1%</w:t>
            </w:r>
          </w:p>
        </w:tc>
        <w:tc>
          <w:tcPr>
            <w:tcW w:w="1256" w:type="dxa"/>
            <w:tcBorders>
              <w:top w:val="nil"/>
              <w:left w:val="nil"/>
              <w:bottom w:val="nil"/>
              <w:right w:val="nil"/>
            </w:tcBorders>
            <w:shd w:val="clear" w:color="auto" w:fill="auto"/>
            <w:noWrap/>
            <w:vAlign w:val="bottom"/>
            <w:hideMark/>
          </w:tcPr>
          <w:p w14:paraId="50D3FA11" w14:textId="45ADDC81"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94,</w:t>
            </w:r>
            <w:r w:rsidR="00ED5946">
              <w:rPr>
                <w:rFonts w:ascii="Arial" w:hAnsi="Arial" w:cs="Arial"/>
                <w:color w:val="000000"/>
                <w:sz w:val="18"/>
                <w:szCs w:val="18"/>
                <w:lang w:eastAsia="hr-HR"/>
              </w:rPr>
              <w:t>59</w:t>
            </w:r>
            <w:r w:rsidRPr="00093875">
              <w:rPr>
                <w:rFonts w:ascii="Arial" w:hAnsi="Arial" w:cs="Arial"/>
                <w:color w:val="000000"/>
                <w:sz w:val="18"/>
                <w:szCs w:val="18"/>
                <w:lang w:eastAsia="hr-HR"/>
              </w:rPr>
              <w:t>%</w:t>
            </w:r>
          </w:p>
        </w:tc>
      </w:tr>
      <w:tr w:rsidR="00093875" w:rsidRPr="00093875" w14:paraId="79FD18F4" w14:textId="77777777" w:rsidTr="007523DF">
        <w:trPr>
          <w:trHeight w:val="240"/>
        </w:trPr>
        <w:tc>
          <w:tcPr>
            <w:tcW w:w="6946" w:type="dxa"/>
            <w:tcBorders>
              <w:top w:val="nil"/>
              <w:left w:val="nil"/>
              <w:bottom w:val="nil"/>
              <w:right w:val="nil"/>
            </w:tcBorders>
            <w:shd w:val="clear" w:color="auto" w:fill="auto"/>
            <w:noWrap/>
            <w:vAlign w:val="bottom"/>
            <w:hideMark/>
          </w:tcPr>
          <w:p w14:paraId="3865799D" w14:textId="77777777" w:rsidR="00093875" w:rsidRPr="00093875" w:rsidRDefault="00093875" w:rsidP="00093875">
            <w:pPr>
              <w:spacing w:after="0" w:line="240" w:lineRule="auto"/>
              <w:rPr>
                <w:rFonts w:ascii="Arial" w:hAnsi="Arial" w:cs="Arial"/>
                <w:color w:val="000000"/>
                <w:sz w:val="18"/>
                <w:szCs w:val="18"/>
                <w:lang w:eastAsia="hr-HR"/>
              </w:rPr>
            </w:pPr>
            <w:r w:rsidRPr="00093875">
              <w:rPr>
                <w:rFonts w:ascii="Arial" w:hAnsi="Arial" w:cs="Arial"/>
                <w:color w:val="000000"/>
                <w:sz w:val="18"/>
                <w:szCs w:val="18"/>
                <w:lang w:eastAsia="hr-HR"/>
              </w:rPr>
              <w:t>092 Srednjoškolsko  obrazovanje</w:t>
            </w:r>
          </w:p>
        </w:tc>
        <w:tc>
          <w:tcPr>
            <w:tcW w:w="1780" w:type="dxa"/>
            <w:tcBorders>
              <w:top w:val="nil"/>
              <w:left w:val="nil"/>
              <w:bottom w:val="nil"/>
              <w:right w:val="nil"/>
            </w:tcBorders>
            <w:shd w:val="clear" w:color="auto" w:fill="auto"/>
            <w:noWrap/>
            <w:vAlign w:val="bottom"/>
            <w:hideMark/>
          </w:tcPr>
          <w:p w14:paraId="27F742FE"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13.361,85</w:t>
            </w:r>
          </w:p>
        </w:tc>
        <w:tc>
          <w:tcPr>
            <w:tcW w:w="1764" w:type="dxa"/>
            <w:tcBorders>
              <w:top w:val="nil"/>
              <w:left w:val="nil"/>
              <w:bottom w:val="nil"/>
              <w:right w:val="nil"/>
            </w:tcBorders>
            <w:shd w:val="clear" w:color="auto" w:fill="auto"/>
            <w:noWrap/>
            <w:vAlign w:val="bottom"/>
            <w:hideMark/>
          </w:tcPr>
          <w:p w14:paraId="53D1E4A3"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10.000,00</w:t>
            </w:r>
          </w:p>
        </w:tc>
        <w:tc>
          <w:tcPr>
            <w:tcW w:w="1660" w:type="dxa"/>
            <w:tcBorders>
              <w:top w:val="nil"/>
              <w:left w:val="nil"/>
              <w:bottom w:val="nil"/>
              <w:right w:val="nil"/>
            </w:tcBorders>
            <w:shd w:val="clear" w:color="auto" w:fill="auto"/>
            <w:noWrap/>
            <w:vAlign w:val="bottom"/>
            <w:hideMark/>
          </w:tcPr>
          <w:p w14:paraId="363D1D4D"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9.533,40</w:t>
            </w:r>
          </w:p>
        </w:tc>
        <w:tc>
          <w:tcPr>
            <w:tcW w:w="1300" w:type="dxa"/>
            <w:tcBorders>
              <w:top w:val="nil"/>
              <w:left w:val="nil"/>
              <w:bottom w:val="nil"/>
              <w:right w:val="nil"/>
            </w:tcBorders>
            <w:shd w:val="clear" w:color="auto" w:fill="auto"/>
            <w:noWrap/>
            <w:vAlign w:val="bottom"/>
            <w:hideMark/>
          </w:tcPr>
          <w:p w14:paraId="6199F5E0"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71,35%</w:t>
            </w:r>
          </w:p>
        </w:tc>
        <w:tc>
          <w:tcPr>
            <w:tcW w:w="1256" w:type="dxa"/>
            <w:tcBorders>
              <w:top w:val="nil"/>
              <w:left w:val="nil"/>
              <w:bottom w:val="nil"/>
              <w:right w:val="nil"/>
            </w:tcBorders>
            <w:shd w:val="clear" w:color="auto" w:fill="auto"/>
            <w:noWrap/>
            <w:vAlign w:val="bottom"/>
            <w:hideMark/>
          </w:tcPr>
          <w:p w14:paraId="6A7A8995"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95,33%</w:t>
            </w:r>
          </w:p>
        </w:tc>
      </w:tr>
      <w:tr w:rsidR="00093875" w:rsidRPr="00093875" w14:paraId="15BD3631" w14:textId="77777777" w:rsidTr="007523DF">
        <w:trPr>
          <w:trHeight w:val="240"/>
        </w:trPr>
        <w:tc>
          <w:tcPr>
            <w:tcW w:w="6946" w:type="dxa"/>
            <w:tcBorders>
              <w:top w:val="nil"/>
              <w:left w:val="nil"/>
              <w:bottom w:val="nil"/>
              <w:right w:val="nil"/>
            </w:tcBorders>
            <w:shd w:val="clear" w:color="auto" w:fill="auto"/>
            <w:noWrap/>
            <w:vAlign w:val="bottom"/>
            <w:hideMark/>
          </w:tcPr>
          <w:p w14:paraId="7DB34432" w14:textId="77777777" w:rsidR="00093875" w:rsidRPr="00093875" w:rsidRDefault="00093875" w:rsidP="00093875">
            <w:pPr>
              <w:spacing w:after="0" w:line="240" w:lineRule="auto"/>
              <w:rPr>
                <w:rFonts w:ascii="Arial" w:hAnsi="Arial" w:cs="Arial"/>
                <w:color w:val="000000"/>
                <w:sz w:val="18"/>
                <w:szCs w:val="18"/>
                <w:lang w:eastAsia="hr-HR"/>
              </w:rPr>
            </w:pPr>
            <w:r w:rsidRPr="00093875">
              <w:rPr>
                <w:rFonts w:ascii="Arial" w:hAnsi="Arial" w:cs="Arial"/>
                <w:color w:val="000000"/>
                <w:sz w:val="18"/>
                <w:szCs w:val="18"/>
                <w:lang w:eastAsia="hr-HR"/>
              </w:rPr>
              <w:t>096 Dodatne usluge u obrazovanju</w:t>
            </w:r>
          </w:p>
        </w:tc>
        <w:tc>
          <w:tcPr>
            <w:tcW w:w="1780" w:type="dxa"/>
            <w:tcBorders>
              <w:top w:val="nil"/>
              <w:left w:val="nil"/>
              <w:bottom w:val="nil"/>
              <w:right w:val="nil"/>
            </w:tcBorders>
            <w:shd w:val="clear" w:color="auto" w:fill="auto"/>
            <w:noWrap/>
            <w:vAlign w:val="bottom"/>
            <w:hideMark/>
          </w:tcPr>
          <w:p w14:paraId="614C203B" w14:textId="77777777" w:rsidR="00093875" w:rsidRPr="00093875" w:rsidRDefault="00093875" w:rsidP="00093875">
            <w:pPr>
              <w:spacing w:after="0" w:line="240" w:lineRule="auto"/>
              <w:rPr>
                <w:rFonts w:ascii="Arial" w:hAnsi="Arial" w:cs="Arial"/>
                <w:color w:val="000000"/>
                <w:sz w:val="18"/>
                <w:szCs w:val="18"/>
                <w:lang w:eastAsia="hr-HR"/>
              </w:rPr>
            </w:pPr>
          </w:p>
        </w:tc>
        <w:tc>
          <w:tcPr>
            <w:tcW w:w="1764" w:type="dxa"/>
            <w:tcBorders>
              <w:top w:val="nil"/>
              <w:left w:val="nil"/>
              <w:bottom w:val="nil"/>
              <w:right w:val="nil"/>
            </w:tcBorders>
            <w:shd w:val="clear" w:color="auto" w:fill="auto"/>
            <w:noWrap/>
            <w:vAlign w:val="bottom"/>
            <w:hideMark/>
          </w:tcPr>
          <w:p w14:paraId="407D7131"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1.660,00</w:t>
            </w:r>
          </w:p>
        </w:tc>
        <w:tc>
          <w:tcPr>
            <w:tcW w:w="1660" w:type="dxa"/>
            <w:tcBorders>
              <w:top w:val="nil"/>
              <w:left w:val="nil"/>
              <w:bottom w:val="nil"/>
              <w:right w:val="nil"/>
            </w:tcBorders>
            <w:shd w:val="clear" w:color="auto" w:fill="auto"/>
            <w:noWrap/>
            <w:vAlign w:val="bottom"/>
            <w:hideMark/>
          </w:tcPr>
          <w:p w14:paraId="276C4503"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2.990,00</w:t>
            </w:r>
          </w:p>
        </w:tc>
        <w:tc>
          <w:tcPr>
            <w:tcW w:w="1300" w:type="dxa"/>
            <w:tcBorders>
              <w:top w:val="nil"/>
              <w:left w:val="nil"/>
              <w:bottom w:val="nil"/>
              <w:right w:val="nil"/>
            </w:tcBorders>
            <w:shd w:val="clear" w:color="auto" w:fill="auto"/>
            <w:noWrap/>
            <w:vAlign w:val="bottom"/>
            <w:hideMark/>
          </w:tcPr>
          <w:p w14:paraId="7FA04041" w14:textId="77777777" w:rsidR="00093875" w:rsidRPr="00093875" w:rsidRDefault="00093875" w:rsidP="00093875">
            <w:pPr>
              <w:spacing w:after="0" w:line="240" w:lineRule="auto"/>
              <w:jc w:val="right"/>
              <w:rPr>
                <w:rFonts w:ascii="Arial" w:hAnsi="Arial" w:cs="Arial"/>
                <w:color w:val="000000"/>
                <w:sz w:val="18"/>
                <w:szCs w:val="18"/>
                <w:lang w:eastAsia="hr-HR"/>
              </w:rPr>
            </w:pPr>
          </w:p>
        </w:tc>
        <w:tc>
          <w:tcPr>
            <w:tcW w:w="1256" w:type="dxa"/>
            <w:tcBorders>
              <w:top w:val="nil"/>
              <w:left w:val="nil"/>
              <w:bottom w:val="nil"/>
              <w:right w:val="nil"/>
            </w:tcBorders>
            <w:shd w:val="clear" w:color="auto" w:fill="auto"/>
            <w:noWrap/>
            <w:vAlign w:val="bottom"/>
            <w:hideMark/>
          </w:tcPr>
          <w:p w14:paraId="41CDF859"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180,12%</w:t>
            </w:r>
          </w:p>
        </w:tc>
      </w:tr>
      <w:tr w:rsidR="00093875" w:rsidRPr="00093875" w14:paraId="4F0A8F78" w14:textId="77777777" w:rsidTr="007523DF">
        <w:trPr>
          <w:trHeight w:val="240"/>
        </w:trPr>
        <w:tc>
          <w:tcPr>
            <w:tcW w:w="6946" w:type="dxa"/>
            <w:tcBorders>
              <w:top w:val="nil"/>
              <w:left w:val="nil"/>
              <w:bottom w:val="nil"/>
              <w:right w:val="nil"/>
            </w:tcBorders>
            <w:shd w:val="clear" w:color="auto" w:fill="auto"/>
            <w:noWrap/>
            <w:vAlign w:val="bottom"/>
            <w:hideMark/>
          </w:tcPr>
          <w:p w14:paraId="16D4B0B2" w14:textId="77777777" w:rsidR="00093875" w:rsidRPr="00093875" w:rsidRDefault="00093875" w:rsidP="00093875">
            <w:pPr>
              <w:spacing w:after="0" w:line="240" w:lineRule="auto"/>
              <w:rPr>
                <w:rFonts w:ascii="Arial" w:hAnsi="Arial" w:cs="Arial"/>
                <w:b/>
                <w:bCs/>
                <w:color w:val="000000"/>
                <w:sz w:val="18"/>
                <w:szCs w:val="18"/>
                <w:lang w:eastAsia="hr-HR"/>
              </w:rPr>
            </w:pPr>
            <w:r w:rsidRPr="00093875">
              <w:rPr>
                <w:rFonts w:ascii="Arial" w:hAnsi="Arial" w:cs="Arial"/>
                <w:b/>
                <w:bCs/>
                <w:color w:val="000000"/>
                <w:sz w:val="18"/>
                <w:szCs w:val="18"/>
                <w:lang w:eastAsia="hr-HR"/>
              </w:rPr>
              <w:t>10 Socijalna zaštita</w:t>
            </w:r>
          </w:p>
        </w:tc>
        <w:tc>
          <w:tcPr>
            <w:tcW w:w="1780" w:type="dxa"/>
            <w:tcBorders>
              <w:top w:val="nil"/>
              <w:left w:val="nil"/>
              <w:bottom w:val="nil"/>
              <w:right w:val="nil"/>
            </w:tcBorders>
            <w:shd w:val="clear" w:color="auto" w:fill="auto"/>
            <w:noWrap/>
            <w:vAlign w:val="bottom"/>
            <w:hideMark/>
          </w:tcPr>
          <w:p w14:paraId="788B6DA9" w14:textId="77777777" w:rsidR="00093875" w:rsidRPr="00093875" w:rsidRDefault="00093875" w:rsidP="00093875">
            <w:pPr>
              <w:spacing w:after="0" w:line="240" w:lineRule="auto"/>
              <w:jc w:val="right"/>
              <w:rPr>
                <w:rFonts w:ascii="Arial" w:hAnsi="Arial" w:cs="Arial"/>
                <w:b/>
                <w:bCs/>
                <w:color w:val="000000"/>
                <w:sz w:val="18"/>
                <w:szCs w:val="18"/>
                <w:lang w:eastAsia="hr-HR"/>
              </w:rPr>
            </w:pPr>
            <w:r w:rsidRPr="00093875">
              <w:rPr>
                <w:rFonts w:ascii="Arial" w:hAnsi="Arial" w:cs="Arial"/>
                <w:b/>
                <w:bCs/>
                <w:color w:val="000000"/>
                <w:sz w:val="18"/>
                <w:szCs w:val="18"/>
                <w:lang w:eastAsia="hr-HR"/>
              </w:rPr>
              <w:t>318.326,18</w:t>
            </w:r>
          </w:p>
        </w:tc>
        <w:tc>
          <w:tcPr>
            <w:tcW w:w="1764" w:type="dxa"/>
            <w:tcBorders>
              <w:top w:val="nil"/>
              <w:left w:val="nil"/>
              <w:bottom w:val="nil"/>
              <w:right w:val="nil"/>
            </w:tcBorders>
            <w:shd w:val="clear" w:color="auto" w:fill="auto"/>
            <w:noWrap/>
            <w:vAlign w:val="bottom"/>
            <w:hideMark/>
          </w:tcPr>
          <w:p w14:paraId="17FAD3CC" w14:textId="77777777" w:rsidR="00093875" w:rsidRPr="00093875" w:rsidRDefault="00093875" w:rsidP="00093875">
            <w:pPr>
              <w:spacing w:after="0" w:line="240" w:lineRule="auto"/>
              <w:jc w:val="right"/>
              <w:rPr>
                <w:rFonts w:ascii="Arial" w:hAnsi="Arial" w:cs="Arial"/>
                <w:b/>
                <w:bCs/>
                <w:color w:val="000000"/>
                <w:sz w:val="18"/>
                <w:szCs w:val="18"/>
                <w:lang w:eastAsia="hr-HR"/>
              </w:rPr>
            </w:pPr>
            <w:r w:rsidRPr="00093875">
              <w:rPr>
                <w:rFonts w:ascii="Arial" w:hAnsi="Arial" w:cs="Arial"/>
                <w:b/>
                <w:bCs/>
                <w:color w:val="000000"/>
                <w:sz w:val="18"/>
                <w:szCs w:val="18"/>
                <w:lang w:eastAsia="hr-HR"/>
              </w:rPr>
              <w:t>540.670,00</w:t>
            </w:r>
          </w:p>
        </w:tc>
        <w:tc>
          <w:tcPr>
            <w:tcW w:w="1660" w:type="dxa"/>
            <w:tcBorders>
              <w:top w:val="nil"/>
              <w:left w:val="nil"/>
              <w:bottom w:val="nil"/>
              <w:right w:val="nil"/>
            </w:tcBorders>
            <w:shd w:val="clear" w:color="auto" w:fill="auto"/>
            <w:noWrap/>
            <w:vAlign w:val="bottom"/>
            <w:hideMark/>
          </w:tcPr>
          <w:p w14:paraId="0C9C0610" w14:textId="77777777" w:rsidR="00093875" w:rsidRPr="00093875" w:rsidRDefault="00093875" w:rsidP="00093875">
            <w:pPr>
              <w:spacing w:after="0" w:line="240" w:lineRule="auto"/>
              <w:jc w:val="right"/>
              <w:rPr>
                <w:rFonts w:ascii="Arial" w:hAnsi="Arial" w:cs="Arial"/>
                <w:b/>
                <w:bCs/>
                <w:color w:val="000000"/>
                <w:sz w:val="18"/>
                <w:szCs w:val="18"/>
                <w:lang w:eastAsia="hr-HR"/>
              </w:rPr>
            </w:pPr>
            <w:r w:rsidRPr="00093875">
              <w:rPr>
                <w:rFonts w:ascii="Arial" w:hAnsi="Arial" w:cs="Arial"/>
                <w:b/>
                <w:bCs/>
                <w:color w:val="000000"/>
                <w:sz w:val="18"/>
                <w:szCs w:val="18"/>
                <w:lang w:eastAsia="hr-HR"/>
              </w:rPr>
              <w:t>493.436,91</w:t>
            </w:r>
          </w:p>
        </w:tc>
        <w:tc>
          <w:tcPr>
            <w:tcW w:w="1300" w:type="dxa"/>
            <w:tcBorders>
              <w:top w:val="nil"/>
              <w:left w:val="nil"/>
              <w:bottom w:val="nil"/>
              <w:right w:val="nil"/>
            </w:tcBorders>
            <w:shd w:val="clear" w:color="auto" w:fill="auto"/>
            <w:noWrap/>
            <w:vAlign w:val="bottom"/>
            <w:hideMark/>
          </w:tcPr>
          <w:p w14:paraId="58A15C31" w14:textId="77777777" w:rsidR="00093875" w:rsidRPr="00093875" w:rsidRDefault="00093875" w:rsidP="00093875">
            <w:pPr>
              <w:spacing w:after="0" w:line="240" w:lineRule="auto"/>
              <w:jc w:val="right"/>
              <w:rPr>
                <w:rFonts w:ascii="Arial" w:hAnsi="Arial" w:cs="Arial"/>
                <w:b/>
                <w:bCs/>
                <w:color w:val="000000"/>
                <w:sz w:val="18"/>
                <w:szCs w:val="18"/>
                <w:lang w:eastAsia="hr-HR"/>
              </w:rPr>
            </w:pPr>
            <w:r w:rsidRPr="00093875">
              <w:rPr>
                <w:rFonts w:ascii="Arial" w:hAnsi="Arial" w:cs="Arial"/>
                <w:b/>
                <w:bCs/>
                <w:color w:val="000000"/>
                <w:sz w:val="18"/>
                <w:szCs w:val="18"/>
                <w:lang w:eastAsia="hr-HR"/>
              </w:rPr>
              <w:t>155,01%</w:t>
            </w:r>
          </w:p>
        </w:tc>
        <w:tc>
          <w:tcPr>
            <w:tcW w:w="1256" w:type="dxa"/>
            <w:tcBorders>
              <w:top w:val="nil"/>
              <w:left w:val="nil"/>
              <w:bottom w:val="nil"/>
              <w:right w:val="nil"/>
            </w:tcBorders>
            <w:shd w:val="clear" w:color="auto" w:fill="auto"/>
            <w:noWrap/>
            <w:vAlign w:val="bottom"/>
            <w:hideMark/>
          </w:tcPr>
          <w:p w14:paraId="415AAF79" w14:textId="77777777" w:rsidR="00093875" w:rsidRPr="00093875" w:rsidRDefault="00093875" w:rsidP="00093875">
            <w:pPr>
              <w:spacing w:after="0" w:line="240" w:lineRule="auto"/>
              <w:jc w:val="right"/>
              <w:rPr>
                <w:rFonts w:ascii="Arial" w:hAnsi="Arial" w:cs="Arial"/>
                <w:b/>
                <w:bCs/>
                <w:color w:val="000000"/>
                <w:sz w:val="18"/>
                <w:szCs w:val="18"/>
                <w:lang w:eastAsia="hr-HR"/>
              </w:rPr>
            </w:pPr>
            <w:r w:rsidRPr="00093875">
              <w:rPr>
                <w:rFonts w:ascii="Arial" w:hAnsi="Arial" w:cs="Arial"/>
                <w:b/>
                <w:bCs/>
                <w:color w:val="000000"/>
                <w:sz w:val="18"/>
                <w:szCs w:val="18"/>
                <w:lang w:eastAsia="hr-HR"/>
              </w:rPr>
              <w:t>91,26%</w:t>
            </w:r>
          </w:p>
        </w:tc>
      </w:tr>
      <w:tr w:rsidR="00093875" w:rsidRPr="00093875" w14:paraId="4F251198" w14:textId="77777777" w:rsidTr="007523DF">
        <w:trPr>
          <w:trHeight w:val="240"/>
        </w:trPr>
        <w:tc>
          <w:tcPr>
            <w:tcW w:w="6946" w:type="dxa"/>
            <w:tcBorders>
              <w:top w:val="nil"/>
              <w:left w:val="nil"/>
              <w:bottom w:val="nil"/>
              <w:right w:val="nil"/>
            </w:tcBorders>
            <w:shd w:val="clear" w:color="auto" w:fill="auto"/>
            <w:noWrap/>
            <w:vAlign w:val="bottom"/>
            <w:hideMark/>
          </w:tcPr>
          <w:p w14:paraId="632ED89E" w14:textId="77777777" w:rsidR="00093875" w:rsidRPr="00093875" w:rsidRDefault="00093875" w:rsidP="00093875">
            <w:pPr>
              <w:spacing w:after="0" w:line="240" w:lineRule="auto"/>
              <w:rPr>
                <w:rFonts w:ascii="Arial" w:hAnsi="Arial" w:cs="Arial"/>
                <w:color w:val="000000"/>
                <w:sz w:val="18"/>
                <w:szCs w:val="18"/>
                <w:lang w:eastAsia="hr-HR"/>
              </w:rPr>
            </w:pPr>
            <w:r w:rsidRPr="00093875">
              <w:rPr>
                <w:rFonts w:ascii="Arial" w:hAnsi="Arial" w:cs="Arial"/>
                <w:color w:val="000000"/>
                <w:sz w:val="18"/>
                <w:szCs w:val="18"/>
                <w:lang w:eastAsia="hr-HR"/>
              </w:rPr>
              <w:t>101 Bolest i invaliditet</w:t>
            </w:r>
          </w:p>
        </w:tc>
        <w:tc>
          <w:tcPr>
            <w:tcW w:w="1780" w:type="dxa"/>
            <w:tcBorders>
              <w:top w:val="nil"/>
              <w:left w:val="nil"/>
              <w:bottom w:val="nil"/>
              <w:right w:val="nil"/>
            </w:tcBorders>
            <w:shd w:val="clear" w:color="auto" w:fill="auto"/>
            <w:noWrap/>
            <w:vAlign w:val="bottom"/>
            <w:hideMark/>
          </w:tcPr>
          <w:p w14:paraId="17390011"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15.772,09</w:t>
            </w:r>
          </w:p>
        </w:tc>
        <w:tc>
          <w:tcPr>
            <w:tcW w:w="1764" w:type="dxa"/>
            <w:tcBorders>
              <w:top w:val="nil"/>
              <w:left w:val="nil"/>
              <w:bottom w:val="nil"/>
              <w:right w:val="nil"/>
            </w:tcBorders>
            <w:shd w:val="clear" w:color="auto" w:fill="auto"/>
            <w:noWrap/>
            <w:vAlign w:val="bottom"/>
            <w:hideMark/>
          </w:tcPr>
          <w:p w14:paraId="00C4376A"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15.570,00</w:t>
            </w:r>
          </w:p>
        </w:tc>
        <w:tc>
          <w:tcPr>
            <w:tcW w:w="1660" w:type="dxa"/>
            <w:tcBorders>
              <w:top w:val="nil"/>
              <w:left w:val="nil"/>
              <w:bottom w:val="nil"/>
              <w:right w:val="nil"/>
            </w:tcBorders>
            <w:shd w:val="clear" w:color="auto" w:fill="auto"/>
            <w:noWrap/>
            <w:vAlign w:val="bottom"/>
            <w:hideMark/>
          </w:tcPr>
          <w:p w14:paraId="028E8992"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15.359,00</w:t>
            </w:r>
          </w:p>
        </w:tc>
        <w:tc>
          <w:tcPr>
            <w:tcW w:w="1300" w:type="dxa"/>
            <w:tcBorders>
              <w:top w:val="nil"/>
              <w:left w:val="nil"/>
              <w:bottom w:val="nil"/>
              <w:right w:val="nil"/>
            </w:tcBorders>
            <w:shd w:val="clear" w:color="auto" w:fill="auto"/>
            <w:noWrap/>
            <w:vAlign w:val="bottom"/>
            <w:hideMark/>
          </w:tcPr>
          <w:p w14:paraId="31405206"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97,38%</w:t>
            </w:r>
          </w:p>
        </w:tc>
        <w:tc>
          <w:tcPr>
            <w:tcW w:w="1256" w:type="dxa"/>
            <w:tcBorders>
              <w:top w:val="nil"/>
              <w:left w:val="nil"/>
              <w:bottom w:val="nil"/>
              <w:right w:val="nil"/>
            </w:tcBorders>
            <w:shd w:val="clear" w:color="auto" w:fill="auto"/>
            <w:noWrap/>
            <w:vAlign w:val="bottom"/>
            <w:hideMark/>
          </w:tcPr>
          <w:p w14:paraId="0B97870F"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98,64%</w:t>
            </w:r>
          </w:p>
        </w:tc>
      </w:tr>
      <w:tr w:rsidR="00093875" w:rsidRPr="00093875" w14:paraId="0CE766D2" w14:textId="77777777" w:rsidTr="007523DF">
        <w:trPr>
          <w:trHeight w:val="240"/>
        </w:trPr>
        <w:tc>
          <w:tcPr>
            <w:tcW w:w="6946" w:type="dxa"/>
            <w:tcBorders>
              <w:top w:val="nil"/>
              <w:left w:val="nil"/>
              <w:bottom w:val="nil"/>
              <w:right w:val="nil"/>
            </w:tcBorders>
            <w:shd w:val="clear" w:color="auto" w:fill="auto"/>
            <w:noWrap/>
            <w:vAlign w:val="bottom"/>
            <w:hideMark/>
          </w:tcPr>
          <w:p w14:paraId="5C20CCD2" w14:textId="77777777" w:rsidR="00093875" w:rsidRPr="00093875" w:rsidRDefault="00093875" w:rsidP="00093875">
            <w:pPr>
              <w:spacing w:after="0" w:line="240" w:lineRule="auto"/>
              <w:rPr>
                <w:rFonts w:ascii="Arial" w:hAnsi="Arial" w:cs="Arial"/>
                <w:color w:val="000000"/>
                <w:sz w:val="18"/>
                <w:szCs w:val="18"/>
                <w:lang w:eastAsia="hr-HR"/>
              </w:rPr>
            </w:pPr>
            <w:r w:rsidRPr="00093875">
              <w:rPr>
                <w:rFonts w:ascii="Arial" w:hAnsi="Arial" w:cs="Arial"/>
                <w:color w:val="000000"/>
                <w:sz w:val="18"/>
                <w:szCs w:val="18"/>
                <w:lang w:eastAsia="hr-HR"/>
              </w:rPr>
              <w:t>104 Obitelj i djeca</w:t>
            </w:r>
          </w:p>
        </w:tc>
        <w:tc>
          <w:tcPr>
            <w:tcW w:w="1780" w:type="dxa"/>
            <w:tcBorders>
              <w:top w:val="nil"/>
              <w:left w:val="nil"/>
              <w:bottom w:val="nil"/>
              <w:right w:val="nil"/>
            </w:tcBorders>
            <w:shd w:val="clear" w:color="auto" w:fill="auto"/>
            <w:noWrap/>
            <w:vAlign w:val="bottom"/>
            <w:hideMark/>
          </w:tcPr>
          <w:p w14:paraId="715E794A"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82.980,62</w:t>
            </w:r>
          </w:p>
        </w:tc>
        <w:tc>
          <w:tcPr>
            <w:tcW w:w="1764" w:type="dxa"/>
            <w:tcBorders>
              <w:top w:val="nil"/>
              <w:left w:val="nil"/>
              <w:bottom w:val="nil"/>
              <w:right w:val="nil"/>
            </w:tcBorders>
            <w:shd w:val="clear" w:color="auto" w:fill="auto"/>
            <w:noWrap/>
            <w:vAlign w:val="bottom"/>
            <w:hideMark/>
          </w:tcPr>
          <w:p w14:paraId="50600664"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108.430,00</w:t>
            </w:r>
          </w:p>
        </w:tc>
        <w:tc>
          <w:tcPr>
            <w:tcW w:w="1660" w:type="dxa"/>
            <w:tcBorders>
              <w:top w:val="nil"/>
              <w:left w:val="nil"/>
              <w:bottom w:val="nil"/>
              <w:right w:val="nil"/>
            </w:tcBorders>
            <w:shd w:val="clear" w:color="auto" w:fill="auto"/>
            <w:noWrap/>
            <w:vAlign w:val="bottom"/>
            <w:hideMark/>
          </w:tcPr>
          <w:p w14:paraId="0EE20392"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95.660,43</w:t>
            </w:r>
          </w:p>
        </w:tc>
        <w:tc>
          <w:tcPr>
            <w:tcW w:w="1300" w:type="dxa"/>
            <w:tcBorders>
              <w:top w:val="nil"/>
              <w:left w:val="nil"/>
              <w:bottom w:val="nil"/>
              <w:right w:val="nil"/>
            </w:tcBorders>
            <w:shd w:val="clear" w:color="auto" w:fill="auto"/>
            <w:noWrap/>
            <w:vAlign w:val="bottom"/>
            <w:hideMark/>
          </w:tcPr>
          <w:p w14:paraId="0FAFB855"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115,28%</w:t>
            </w:r>
          </w:p>
        </w:tc>
        <w:tc>
          <w:tcPr>
            <w:tcW w:w="1256" w:type="dxa"/>
            <w:tcBorders>
              <w:top w:val="nil"/>
              <w:left w:val="nil"/>
              <w:bottom w:val="nil"/>
              <w:right w:val="nil"/>
            </w:tcBorders>
            <w:shd w:val="clear" w:color="auto" w:fill="auto"/>
            <w:noWrap/>
            <w:vAlign w:val="bottom"/>
            <w:hideMark/>
          </w:tcPr>
          <w:p w14:paraId="633F4282"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88,22%</w:t>
            </w:r>
          </w:p>
        </w:tc>
      </w:tr>
      <w:tr w:rsidR="00093875" w:rsidRPr="00093875" w14:paraId="7E3BE94B" w14:textId="77777777" w:rsidTr="007523DF">
        <w:trPr>
          <w:trHeight w:val="240"/>
        </w:trPr>
        <w:tc>
          <w:tcPr>
            <w:tcW w:w="6946" w:type="dxa"/>
            <w:tcBorders>
              <w:top w:val="nil"/>
              <w:left w:val="nil"/>
              <w:bottom w:val="nil"/>
              <w:right w:val="nil"/>
            </w:tcBorders>
            <w:shd w:val="clear" w:color="auto" w:fill="auto"/>
            <w:noWrap/>
            <w:vAlign w:val="bottom"/>
            <w:hideMark/>
          </w:tcPr>
          <w:p w14:paraId="246047DA" w14:textId="77777777" w:rsidR="00093875" w:rsidRPr="00093875" w:rsidRDefault="00093875" w:rsidP="00093875">
            <w:pPr>
              <w:spacing w:after="0" w:line="240" w:lineRule="auto"/>
              <w:rPr>
                <w:rFonts w:ascii="Arial" w:hAnsi="Arial" w:cs="Arial"/>
                <w:color w:val="000000"/>
                <w:sz w:val="18"/>
                <w:szCs w:val="18"/>
                <w:lang w:eastAsia="hr-HR"/>
              </w:rPr>
            </w:pPr>
            <w:r w:rsidRPr="00093875">
              <w:rPr>
                <w:rFonts w:ascii="Arial" w:hAnsi="Arial" w:cs="Arial"/>
                <w:color w:val="000000"/>
                <w:sz w:val="18"/>
                <w:szCs w:val="18"/>
                <w:lang w:eastAsia="hr-HR"/>
              </w:rPr>
              <w:t>105 Nezaposlenost</w:t>
            </w:r>
          </w:p>
        </w:tc>
        <w:tc>
          <w:tcPr>
            <w:tcW w:w="1780" w:type="dxa"/>
            <w:tcBorders>
              <w:top w:val="nil"/>
              <w:left w:val="nil"/>
              <w:bottom w:val="nil"/>
              <w:right w:val="nil"/>
            </w:tcBorders>
            <w:shd w:val="clear" w:color="auto" w:fill="auto"/>
            <w:noWrap/>
            <w:vAlign w:val="bottom"/>
            <w:hideMark/>
          </w:tcPr>
          <w:p w14:paraId="1CB14D90"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176.653,28</w:t>
            </w:r>
          </w:p>
        </w:tc>
        <w:tc>
          <w:tcPr>
            <w:tcW w:w="1764" w:type="dxa"/>
            <w:tcBorders>
              <w:top w:val="nil"/>
              <w:left w:val="nil"/>
              <w:bottom w:val="nil"/>
              <w:right w:val="nil"/>
            </w:tcBorders>
            <w:shd w:val="clear" w:color="auto" w:fill="auto"/>
            <w:noWrap/>
            <w:vAlign w:val="bottom"/>
            <w:hideMark/>
          </w:tcPr>
          <w:p w14:paraId="58F95F35"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363.170,00</w:t>
            </w:r>
          </w:p>
        </w:tc>
        <w:tc>
          <w:tcPr>
            <w:tcW w:w="1660" w:type="dxa"/>
            <w:tcBorders>
              <w:top w:val="nil"/>
              <w:left w:val="nil"/>
              <w:bottom w:val="nil"/>
              <w:right w:val="nil"/>
            </w:tcBorders>
            <w:shd w:val="clear" w:color="auto" w:fill="auto"/>
            <w:noWrap/>
            <w:vAlign w:val="bottom"/>
            <w:hideMark/>
          </w:tcPr>
          <w:p w14:paraId="71C6628C"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335.454,84</w:t>
            </w:r>
          </w:p>
        </w:tc>
        <w:tc>
          <w:tcPr>
            <w:tcW w:w="1300" w:type="dxa"/>
            <w:tcBorders>
              <w:top w:val="nil"/>
              <w:left w:val="nil"/>
              <w:bottom w:val="nil"/>
              <w:right w:val="nil"/>
            </w:tcBorders>
            <w:shd w:val="clear" w:color="auto" w:fill="auto"/>
            <w:noWrap/>
            <w:vAlign w:val="bottom"/>
            <w:hideMark/>
          </w:tcPr>
          <w:p w14:paraId="62BF7D15"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189,89%</w:t>
            </w:r>
          </w:p>
        </w:tc>
        <w:tc>
          <w:tcPr>
            <w:tcW w:w="1256" w:type="dxa"/>
            <w:tcBorders>
              <w:top w:val="nil"/>
              <w:left w:val="nil"/>
              <w:bottom w:val="nil"/>
              <w:right w:val="nil"/>
            </w:tcBorders>
            <w:shd w:val="clear" w:color="auto" w:fill="auto"/>
            <w:noWrap/>
            <w:vAlign w:val="bottom"/>
            <w:hideMark/>
          </w:tcPr>
          <w:p w14:paraId="672E81F1"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92,37%</w:t>
            </w:r>
          </w:p>
        </w:tc>
      </w:tr>
      <w:tr w:rsidR="00093875" w:rsidRPr="00093875" w14:paraId="77DF2E0F" w14:textId="77777777" w:rsidTr="007523DF">
        <w:trPr>
          <w:trHeight w:val="240"/>
        </w:trPr>
        <w:tc>
          <w:tcPr>
            <w:tcW w:w="6946" w:type="dxa"/>
            <w:tcBorders>
              <w:top w:val="nil"/>
              <w:left w:val="nil"/>
              <w:bottom w:val="nil"/>
              <w:right w:val="nil"/>
            </w:tcBorders>
            <w:shd w:val="clear" w:color="auto" w:fill="auto"/>
            <w:noWrap/>
            <w:vAlign w:val="bottom"/>
            <w:hideMark/>
          </w:tcPr>
          <w:p w14:paraId="5B71CDEB" w14:textId="77777777" w:rsidR="00093875" w:rsidRPr="00093875" w:rsidRDefault="00093875" w:rsidP="00093875">
            <w:pPr>
              <w:spacing w:after="0" w:line="240" w:lineRule="auto"/>
              <w:rPr>
                <w:rFonts w:ascii="Arial" w:hAnsi="Arial" w:cs="Arial"/>
                <w:color w:val="000000"/>
                <w:sz w:val="18"/>
                <w:szCs w:val="18"/>
                <w:lang w:eastAsia="hr-HR"/>
              </w:rPr>
            </w:pPr>
            <w:r w:rsidRPr="00093875">
              <w:rPr>
                <w:rFonts w:ascii="Arial" w:hAnsi="Arial" w:cs="Arial"/>
                <w:color w:val="000000"/>
                <w:sz w:val="18"/>
                <w:szCs w:val="18"/>
                <w:lang w:eastAsia="hr-HR"/>
              </w:rPr>
              <w:t>106 Stanovanje</w:t>
            </w:r>
          </w:p>
        </w:tc>
        <w:tc>
          <w:tcPr>
            <w:tcW w:w="1780" w:type="dxa"/>
            <w:tcBorders>
              <w:top w:val="nil"/>
              <w:left w:val="nil"/>
              <w:bottom w:val="nil"/>
              <w:right w:val="nil"/>
            </w:tcBorders>
            <w:shd w:val="clear" w:color="auto" w:fill="auto"/>
            <w:noWrap/>
            <w:vAlign w:val="bottom"/>
            <w:hideMark/>
          </w:tcPr>
          <w:p w14:paraId="37F58AF6"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11.929,19</w:t>
            </w:r>
          </w:p>
        </w:tc>
        <w:tc>
          <w:tcPr>
            <w:tcW w:w="1764" w:type="dxa"/>
            <w:tcBorders>
              <w:top w:val="nil"/>
              <w:left w:val="nil"/>
              <w:bottom w:val="nil"/>
              <w:right w:val="nil"/>
            </w:tcBorders>
            <w:shd w:val="clear" w:color="auto" w:fill="auto"/>
            <w:noWrap/>
            <w:vAlign w:val="bottom"/>
            <w:hideMark/>
          </w:tcPr>
          <w:p w14:paraId="61E0C9FE"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22.500,00</w:t>
            </w:r>
          </w:p>
        </w:tc>
        <w:tc>
          <w:tcPr>
            <w:tcW w:w="1660" w:type="dxa"/>
            <w:tcBorders>
              <w:top w:val="nil"/>
              <w:left w:val="nil"/>
              <w:bottom w:val="nil"/>
              <w:right w:val="nil"/>
            </w:tcBorders>
            <w:shd w:val="clear" w:color="auto" w:fill="auto"/>
            <w:noWrap/>
            <w:vAlign w:val="bottom"/>
            <w:hideMark/>
          </w:tcPr>
          <w:p w14:paraId="07B2122F"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15.962,64</w:t>
            </w:r>
          </w:p>
        </w:tc>
        <w:tc>
          <w:tcPr>
            <w:tcW w:w="1300" w:type="dxa"/>
            <w:tcBorders>
              <w:top w:val="nil"/>
              <w:left w:val="nil"/>
              <w:bottom w:val="nil"/>
              <w:right w:val="nil"/>
            </w:tcBorders>
            <w:shd w:val="clear" w:color="auto" w:fill="auto"/>
            <w:noWrap/>
            <w:vAlign w:val="bottom"/>
            <w:hideMark/>
          </w:tcPr>
          <w:p w14:paraId="557040AE"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133,81%</w:t>
            </w:r>
          </w:p>
        </w:tc>
        <w:tc>
          <w:tcPr>
            <w:tcW w:w="1256" w:type="dxa"/>
            <w:tcBorders>
              <w:top w:val="nil"/>
              <w:left w:val="nil"/>
              <w:bottom w:val="nil"/>
              <w:right w:val="nil"/>
            </w:tcBorders>
            <w:shd w:val="clear" w:color="auto" w:fill="auto"/>
            <w:noWrap/>
            <w:vAlign w:val="bottom"/>
            <w:hideMark/>
          </w:tcPr>
          <w:p w14:paraId="4E6E4879"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70,95%</w:t>
            </w:r>
          </w:p>
        </w:tc>
      </w:tr>
      <w:tr w:rsidR="00093875" w:rsidRPr="00093875" w14:paraId="1113DE84" w14:textId="77777777" w:rsidTr="007523DF">
        <w:trPr>
          <w:trHeight w:val="240"/>
        </w:trPr>
        <w:tc>
          <w:tcPr>
            <w:tcW w:w="6946" w:type="dxa"/>
            <w:tcBorders>
              <w:top w:val="nil"/>
              <w:left w:val="nil"/>
              <w:bottom w:val="nil"/>
              <w:right w:val="nil"/>
            </w:tcBorders>
            <w:shd w:val="clear" w:color="auto" w:fill="auto"/>
            <w:noWrap/>
            <w:vAlign w:val="bottom"/>
            <w:hideMark/>
          </w:tcPr>
          <w:p w14:paraId="47F6E910" w14:textId="77777777" w:rsidR="00093875" w:rsidRPr="00093875" w:rsidRDefault="00093875" w:rsidP="00093875">
            <w:pPr>
              <w:spacing w:after="0" w:line="240" w:lineRule="auto"/>
              <w:rPr>
                <w:rFonts w:ascii="Arial" w:hAnsi="Arial" w:cs="Arial"/>
                <w:color w:val="000000"/>
                <w:sz w:val="18"/>
                <w:szCs w:val="18"/>
                <w:lang w:eastAsia="hr-HR"/>
              </w:rPr>
            </w:pPr>
            <w:r w:rsidRPr="00093875">
              <w:rPr>
                <w:rFonts w:ascii="Arial" w:hAnsi="Arial" w:cs="Arial"/>
                <w:color w:val="000000"/>
                <w:sz w:val="18"/>
                <w:szCs w:val="18"/>
                <w:lang w:eastAsia="hr-HR"/>
              </w:rPr>
              <w:t>109 Aktivnosti socijalne zaštite koje nisu drugdje svrstane</w:t>
            </w:r>
          </w:p>
        </w:tc>
        <w:tc>
          <w:tcPr>
            <w:tcW w:w="1780" w:type="dxa"/>
            <w:tcBorders>
              <w:top w:val="nil"/>
              <w:left w:val="nil"/>
              <w:bottom w:val="nil"/>
              <w:right w:val="nil"/>
            </w:tcBorders>
            <w:shd w:val="clear" w:color="auto" w:fill="auto"/>
            <w:noWrap/>
            <w:vAlign w:val="bottom"/>
            <w:hideMark/>
          </w:tcPr>
          <w:p w14:paraId="6657EF24"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30.991,00</w:t>
            </w:r>
          </w:p>
        </w:tc>
        <w:tc>
          <w:tcPr>
            <w:tcW w:w="1764" w:type="dxa"/>
            <w:tcBorders>
              <w:top w:val="nil"/>
              <w:left w:val="nil"/>
              <w:bottom w:val="nil"/>
              <w:right w:val="nil"/>
            </w:tcBorders>
            <w:shd w:val="clear" w:color="auto" w:fill="auto"/>
            <w:noWrap/>
            <w:vAlign w:val="bottom"/>
            <w:hideMark/>
          </w:tcPr>
          <w:p w14:paraId="567E1A3C"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31.000,00</w:t>
            </w:r>
          </w:p>
        </w:tc>
        <w:tc>
          <w:tcPr>
            <w:tcW w:w="1660" w:type="dxa"/>
            <w:tcBorders>
              <w:top w:val="nil"/>
              <w:left w:val="nil"/>
              <w:bottom w:val="nil"/>
              <w:right w:val="nil"/>
            </w:tcBorders>
            <w:shd w:val="clear" w:color="auto" w:fill="auto"/>
            <w:noWrap/>
            <w:vAlign w:val="bottom"/>
            <w:hideMark/>
          </w:tcPr>
          <w:p w14:paraId="3EC147B0"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31.000,00</w:t>
            </w:r>
          </w:p>
        </w:tc>
        <w:tc>
          <w:tcPr>
            <w:tcW w:w="1300" w:type="dxa"/>
            <w:tcBorders>
              <w:top w:val="nil"/>
              <w:left w:val="nil"/>
              <w:bottom w:val="nil"/>
              <w:right w:val="nil"/>
            </w:tcBorders>
            <w:shd w:val="clear" w:color="auto" w:fill="auto"/>
            <w:noWrap/>
            <w:vAlign w:val="bottom"/>
            <w:hideMark/>
          </w:tcPr>
          <w:p w14:paraId="17E80740"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100,03%</w:t>
            </w:r>
          </w:p>
        </w:tc>
        <w:tc>
          <w:tcPr>
            <w:tcW w:w="1256" w:type="dxa"/>
            <w:tcBorders>
              <w:top w:val="nil"/>
              <w:left w:val="nil"/>
              <w:bottom w:val="nil"/>
              <w:right w:val="nil"/>
            </w:tcBorders>
            <w:shd w:val="clear" w:color="auto" w:fill="auto"/>
            <w:noWrap/>
            <w:vAlign w:val="bottom"/>
            <w:hideMark/>
          </w:tcPr>
          <w:p w14:paraId="3B6AF3B3" w14:textId="77777777" w:rsidR="00093875" w:rsidRPr="00093875" w:rsidRDefault="00093875" w:rsidP="00093875">
            <w:pPr>
              <w:spacing w:after="0" w:line="240" w:lineRule="auto"/>
              <w:jc w:val="right"/>
              <w:rPr>
                <w:rFonts w:ascii="Arial" w:hAnsi="Arial" w:cs="Arial"/>
                <w:color w:val="000000"/>
                <w:sz w:val="18"/>
                <w:szCs w:val="18"/>
                <w:lang w:eastAsia="hr-HR"/>
              </w:rPr>
            </w:pPr>
            <w:r w:rsidRPr="00093875">
              <w:rPr>
                <w:rFonts w:ascii="Arial" w:hAnsi="Arial" w:cs="Arial"/>
                <w:color w:val="000000"/>
                <w:sz w:val="18"/>
                <w:szCs w:val="18"/>
                <w:lang w:eastAsia="hr-HR"/>
              </w:rPr>
              <w:t>100,00%</w:t>
            </w:r>
          </w:p>
        </w:tc>
      </w:tr>
    </w:tbl>
    <w:p w14:paraId="59A8C381" w14:textId="77777777" w:rsidR="007523DF" w:rsidRDefault="007523DF" w:rsidP="002B70CF">
      <w:pPr>
        <w:spacing w:after="0" w:line="240" w:lineRule="auto"/>
        <w:rPr>
          <w:rFonts w:asciiTheme="minorHAnsi" w:hAnsiTheme="minorHAnsi" w:cstheme="minorHAnsi"/>
          <w:b/>
          <w:color w:val="000000"/>
          <w:sz w:val="24"/>
          <w:szCs w:val="24"/>
          <w:lang w:eastAsia="hr-HR"/>
        </w:rPr>
      </w:pPr>
    </w:p>
    <w:p w14:paraId="3B494C58" w14:textId="77777777" w:rsidR="007523DF" w:rsidRPr="00722358" w:rsidRDefault="007523DF" w:rsidP="002E01EA">
      <w:pPr>
        <w:spacing w:after="0" w:line="240" w:lineRule="auto"/>
        <w:jc w:val="center"/>
        <w:rPr>
          <w:rFonts w:asciiTheme="minorHAnsi" w:hAnsiTheme="minorHAnsi" w:cstheme="minorHAnsi"/>
          <w:b/>
          <w:color w:val="000000"/>
          <w:sz w:val="24"/>
          <w:szCs w:val="24"/>
          <w:lang w:eastAsia="hr-HR"/>
        </w:rPr>
      </w:pPr>
    </w:p>
    <w:p w14:paraId="4FA13E79" w14:textId="2E11F63B" w:rsidR="00004BC8" w:rsidRPr="00722358" w:rsidRDefault="00004BC8" w:rsidP="003734CB">
      <w:pPr>
        <w:pStyle w:val="Odlomakpopisa"/>
        <w:numPr>
          <w:ilvl w:val="1"/>
          <w:numId w:val="4"/>
        </w:numPr>
        <w:jc w:val="center"/>
        <w:rPr>
          <w:b/>
          <w:color w:val="000000"/>
        </w:rPr>
      </w:pPr>
      <w:r w:rsidRPr="00722358">
        <w:rPr>
          <w:b/>
          <w:color w:val="000000"/>
        </w:rPr>
        <w:t>Račun financiranja</w:t>
      </w:r>
    </w:p>
    <w:p w14:paraId="6B36BD88" w14:textId="77777777" w:rsidR="00004BC8" w:rsidRPr="00722358" w:rsidRDefault="00004BC8" w:rsidP="00004BC8">
      <w:pPr>
        <w:pStyle w:val="Odlomakpopisa"/>
        <w:ind w:left="675"/>
        <w:rPr>
          <w:b/>
          <w:color w:val="000000"/>
        </w:rPr>
      </w:pPr>
    </w:p>
    <w:p w14:paraId="45A0ABBE" w14:textId="0875B4FF" w:rsidR="00093875" w:rsidRDefault="00004BC8" w:rsidP="007523DF">
      <w:pPr>
        <w:spacing w:after="0" w:line="240" w:lineRule="auto"/>
        <w:jc w:val="center"/>
        <w:rPr>
          <w:rFonts w:ascii="Times New Roman" w:hAnsi="Times New Roman" w:cs="Times New Roman"/>
          <w:b/>
          <w:color w:val="000000"/>
          <w:sz w:val="24"/>
          <w:szCs w:val="24"/>
          <w:lang w:eastAsia="hr-HR"/>
        </w:rPr>
      </w:pPr>
      <w:r w:rsidRPr="00722358">
        <w:rPr>
          <w:rFonts w:ascii="Times New Roman" w:hAnsi="Times New Roman" w:cs="Times New Roman"/>
          <w:b/>
          <w:color w:val="000000"/>
          <w:sz w:val="24"/>
          <w:szCs w:val="24"/>
          <w:lang w:eastAsia="hr-HR"/>
        </w:rPr>
        <w:t>1.3.1.</w:t>
      </w:r>
      <w:r w:rsidR="002E01EA" w:rsidRPr="00722358">
        <w:rPr>
          <w:rFonts w:ascii="Times New Roman" w:hAnsi="Times New Roman" w:cs="Times New Roman"/>
          <w:b/>
          <w:color w:val="000000"/>
          <w:sz w:val="24"/>
          <w:szCs w:val="24"/>
          <w:lang w:eastAsia="hr-HR"/>
        </w:rPr>
        <w:t xml:space="preserve"> Račun financiranja prema ekonomskoj klasifikacij</w:t>
      </w:r>
      <w:r w:rsidR="007523DF">
        <w:rPr>
          <w:rFonts w:ascii="Times New Roman" w:hAnsi="Times New Roman" w:cs="Times New Roman"/>
          <w:b/>
          <w:color w:val="000000"/>
          <w:sz w:val="24"/>
          <w:szCs w:val="24"/>
          <w:lang w:eastAsia="hr-HR"/>
        </w:rPr>
        <w:t>i</w:t>
      </w:r>
    </w:p>
    <w:p w14:paraId="78AE095F" w14:textId="77777777" w:rsidR="00093875" w:rsidRDefault="00093875" w:rsidP="00B247FF">
      <w:pPr>
        <w:spacing w:after="0" w:line="240" w:lineRule="auto"/>
        <w:jc w:val="center"/>
        <w:rPr>
          <w:rFonts w:ascii="Times New Roman" w:hAnsi="Times New Roman" w:cs="Times New Roman"/>
          <w:b/>
          <w:color w:val="000000"/>
          <w:sz w:val="24"/>
          <w:szCs w:val="24"/>
          <w:lang w:eastAsia="hr-HR"/>
        </w:rPr>
      </w:pPr>
    </w:p>
    <w:tbl>
      <w:tblPr>
        <w:tblW w:w="14544" w:type="dxa"/>
        <w:tblLook w:val="04A0" w:firstRow="1" w:lastRow="0" w:firstColumn="1" w:lastColumn="0" w:noHBand="0" w:noVBand="1"/>
      </w:tblPr>
      <w:tblGrid>
        <w:gridCol w:w="1059"/>
        <w:gridCol w:w="1059"/>
        <w:gridCol w:w="1058"/>
        <w:gridCol w:w="1057"/>
        <w:gridCol w:w="1057"/>
        <w:gridCol w:w="1057"/>
        <w:gridCol w:w="1057"/>
        <w:gridCol w:w="1500"/>
        <w:gridCol w:w="1540"/>
        <w:gridCol w:w="1460"/>
        <w:gridCol w:w="1480"/>
        <w:gridCol w:w="1160"/>
      </w:tblGrid>
      <w:tr w:rsidR="00093875" w:rsidRPr="00093875" w14:paraId="46A9CF0C" w14:textId="77777777" w:rsidTr="00093875">
        <w:trPr>
          <w:trHeight w:val="255"/>
        </w:trPr>
        <w:tc>
          <w:tcPr>
            <w:tcW w:w="7404" w:type="dxa"/>
            <w:gridSpan w:val="7"/>
            <w:tcBorders>
              <w:top w:val="nil"/>
              <w:left w:val="nil"/>
              <w:bottom w:val="nil"/>
              <w:right w:val="nil"/>
            </w:tcBorders>
            <w:shd w:val="clear" w:color="000000" w:fill="C0C0C0"/>
            <w:noWrap/>
            <w:vAlign w:val="bottom"/>
            <w:hideMark/>
          </w:tcPr>
          <w:p w14:paraId="5F85E9E0" w14:textId="05F25EE7" w:rsidR="00093875" w:rsidRPr="00093875" w:rsidRDefault="00093875" w:rsidP="00093875">
            <w:pPr>
              <w:spacing w:after="0" w:line="240" w:lineRule="auto"/>
              <w:jc w:val="center"/>
              <w:rPr>
                <w:rFonts w:ascii="Arial" w:hAnsi="Arial" w:cs="Arial"/>
                <w:b/>
                <w:bCs/>
                <w:sz w:val="18"/>
                <w:szCs w:val="18"/>
                <w:lang w:eastAsia="hr-HR"/>
              </w:rPr>
            </w:pPr>
            <w:r w:rsidRPr="00093875">
              <w:rPr>
                <w:rFonts w:ascii="Arial" w:hAnsi="Arial" w:cs="Arial"/>
                <w:b/>
                <w:bCs/>
                <w:sz w:val="18"/>
                <w:szCs w:val="18"/>
                <w:lang w:eastAsia="hr-HR"/>
              </w:rPr>
              <w:t>Ra</w:t>
            </w:r>
            <w:r>
              <w:rPr>
                <w:rFonts w:ascii="Arial" w:hAnsi="Arial" w:cs="Arial"/>
                <w:b/>
                <w:bCs/>
                <w:sz w:val="18"/>
                <w:szCs w:val="18"/>
                <w:lang w:eastAsia="hr-HR"/>
              </w:rPr>
              <w:t>č</w:t>
            </w:r>
            <w:r w:rsidRPr="00093875">
              <w:rPr>
                <w:rFonts w:ascii="Arial" w:hAnsi="Arial" w:cs="Arial"/>
                <w:b/>
                <w:bCs/>
                <w:sz w:val="18"/>
                <w:szCs w:val="18"/>
                <w:lang w:eastAsia="hr-HR"/>
              </w:rPr>
              <w:t>un/Opis</w:t>
            </w:r>
          </w:p>
        </w:tc>
        <w:tc>
          <w:tcPr>
            <w:tcW w:w="1500" w:type="dxa"/>
            <w:tcBorders>
              <w:top w:val="nil"/>
              <w:left w:val="nil"/>
              <w:bottom w:val="nil"/>
              <w:right w:val="nil"/>
            </w:tcBorders>
            <w:shd w:val="clear" w:color="000000" w:fill="C0C0C0"/>
            <w:noWrap/>
            <w:vAlign w:val="bottom"/>
            <w:hideMark/>
          </w:tcPr>
          <w:p w14:paraId="2F6A2BF0" w14:textId="77777777" w:rsidR="00093875" w:rsidRPr="00093875" w:rsidRDefault="00093875" w:rsidP="00093875">
            <w:pPr>
              <w:spacing w:after="0" w:line="240" w:lineRule="auto"/>
              <w:jc w:val="center"/>
              <w:rPr>
                <w:rFonts w:ascii="Arial" w:hAnsi="Arial" w:cs="Arial"/>
                <w:b/>
                <w:bCs/>
                <w:sz w:val="18"/>
                <w:szCs w:val="18"/>
                <w:lang w:eastAsia="hr-HR"/>
              </w:rPr>
            </w:pPr>
            <w:r w:rsidRPr="00093875">
              <w:rPr>
                <w:rFonts w:ascii="Arial" w:hAnsi="Arial" w:cs="Arial"/>
                <w:b/>
                <w:bCs/>
                <w:sz w:val="18"/>
                <w:szCs w:val="18"/>
                <w:lang w:eastAsia="hr-HR"/>
              </w:rPr>
              <w:t>Izvršenje 2023</w:t>
            </w:r>
          </w:p>
        </w:tc>
        <w:tc>
          <w:tcPr>
            <w:tcW w:w="1540" w:type="dxa"/>
            <w:tcBorders>
              <w:top w:val="nil"/>
              <w:left w:val="nil"/>
              <w:bottom w:val="nil"/>
              <w:right w:val="nil"/>
            </w:tcBorders>
            <w:shd w:val="clear" w:color="000000" w:fill="C0C0C0"/>
            <w:noWrap/>
            <w:vAlign w:val="bottom"/>
            <w:hideMark/>
          </w:tcPr>
          <w:p w14:paraId="17246FCE" w14:textId="77777777" w:rsidR="00093875" w:rsidRPr="00093875" w:rsidRDefault="00093875" w:rsidP="00093875">
            <w:pPr>
              <w:spacing w:after="0" w:line="240" w:lineRule="auto"/>
              <w:jc w:val="center"/>
              <w:rPr>
                <w:rFonts w:ascii="Arial" w:hAnsi="Arial" w:cs="Arial"/>
                <w:b/>
                <w:bCs/>
                <w:sz w:val="18"/>
                <w:szCs w:val="18"/>
                <w:lang w:eastAsia="hr-HR"/>
              </w:rPr>
            </w:pPr>
            <w:r w:rsidRPr="00093875">
              <w:rPr>
                <w:rFonts w:ascii="Arial" w:hAnsi="Arial" w:cs="Arial"/>
                <w:b/>
                <w:bCs/>
                <w:sz w:val="18"/>
                <w:szCs w:val="18"/>
                <w:lang w:eastAsia="hr-HR"/>
              </w:rPr>
              <w:t>Rebalans 2024</w:t>
            </w:r>
          </w:p>
        </w:tc>
        <w:tc>
          <w:tcPr>
            <w:tcW w:w="1460" w:type="dxa"/>
            <w:tcBorders>
              <w:top w:val="nil"/>
              <w:left w:val="nil"/>
              <w:bottom w:val="nil"/>
              <w:right w:val="nil"/>
            </w:tcBorders>
            <w:shd w:val="clear" w:color="000000" w:fill="C0C0C0"/>
            <w:noWrap/>
            <w:vAlign w:val="bottom"/>
            <w:hideMark/>
          </w:tcPr>
          <w:p w14:paraId="6BE1EE9A" w14:textId="77777777" w:rsidR="00093875" w:rsidRPr="00093875" w:rsidRDefault="00093875" w:rsidP="00093875">
            <w:pPr>
              <w:spacing w:after="0" w:line="240" w:lineRule="auto"/>
              <w:jc w:val="center"/>
              <w:rPr>
                <w:rFonts w:ascii="Arial" w:hAnsi="Arial" w:cs="Arial"/>
                <w:b/>
                <w:bCs/>
                <w:sz w:val="18"/>
                <w:szCs w:val="18"/>
                <w:lang w:eastAsia="hr-HR"/>
              </w:rPr>
            </w:pPr>
            <w:r w:rsidRPr="00093875">
              <w:rPr>
                <w:rFonts w:ascii="Arial" w:hAnsi="Arial" w:cs="Arial"/>
                <w:b/>
                <w:bCs/>
                <w:sz w:val="18"/>
                <w:szCs w:val="18"/>
                <w:lang w:eastAsia="hr-HR"/>
              </w:rPr>
              <w:t>Izvršenje 2024</w:t>
            </w:r>
          </w:p>
        </w:tc>
        <w:tc>
          <w:tcPr>
            <w:tcW w:w="1480" w:type="dxa"/>
            <w:tcBorders>
              <w:top w:val="nil"/>
              <w:left w:val="nil"/>
              <w:bottom w:val="nil"/>
              <w:right w:val="nil"/>
            </w:tcBorders>
            <w:shd w:val="clear" w:color="000000" w:fill="C0C0C0"/>
            <w:noWrap/>
            <w:vAlign w:val="bottom"/>
            <w:hideMark/>
          </w:tcPr>
          <w:p w14:paraId="558B6FB2" w14:textId="77777777" w:rsidR="00093875" w:rsidRPr="00093875" w:rsidRDefault="00093875" w:rsidP="00093875">
            <w:pPr>
              <w:spacing w:after="0" w:line="240" w:lineRule="auto"/>
              <w:jc w:val="center"/>
              <w:rPr>
                <w:rFonts w:ascii="Arial" w:hAnsi="Arial" w:cs="Arial"/>
                <w:b/>
                <w:bCs/>
                <w:sz w:val="18"/>
                <w:szCs w:val="18"/>
                <w:lang w:eastAsia="hr-HR"/>
              </w:rPr>
            </w:pPr>
            <w:r w:rsidRPr="00093875">
              <w:rPr>
                <w:rFonts w:ascii="Arial" w:hAnsi="Arial" w:cs="Arial"/>
                <w:b/>
                <w:bCs/>
                <w:sz w:val="18"/>
                <w:szCs w:val="18"/>
                <w:lang w:eastAsia="hr-HR"/>
              </w:rPr>
              <w:t>Indeks 3/1</w:t>
            </w:r>
          </w:p>
        </w:tc>
        <w:tc>
          <w:tcPr>
            <w:tcW w:w="1160" w:type="dxa"/>
            <w:tcBorders>
              <w:top w:val="nil"/>
              <w:left w:val="nil"/>
              <w:bottom w:val="nil"/>
              <w:right w:val="nil"/>
            </w:tcBorders>
            <w:shd w:val="clear" w:color="000000" w:fill="C0C0C0"/>
            <w:noWrap/>
            <w:vAlign w:val="bottom"/>
            <w:hideMark/>
          </w:tcPr>
          <w:p w14:paraId="6148F347" w14:textId="77777777" w:rsidR="00093875" w:rsidRPr="00093875" w:rsidRDefault="00093875" w:rsidP="00093875">
            <w:pPr>
              <w:spacing w:after="0" w:line="240" w:lineRule="auto"/>
              <w:jc w:val="center"/>
              <w:rPr>
                <w:rFonts w:ascii="Arial" w:hAnsi="Arial" w:cs="Arial"/>
                <w:b/>
                <w:bCs/>
                <w:sz w:val="18"/>
                <w:szCs w:val="18"/>
                <w:lang w:eastAsia="hr-HR"/>
              </w:rPr>
            </w:pPr>
            <w:r w:rsidRPr="00093875">
              <w:rPr>
                <w:rFonts w:ascii="Arial" w:hAnsi="Arial" w:cs="Arial"/>
                <w:b/>
                <w:bCs/>
                <w:sz w:val="18"/>
                <w:szCs w:val="18"/>
                <w:lang w:eastAsia="hr-HR"/>
              </w:rPr>
              <w:t>Indeks 3/2</w:t>
            </w:r>
          </w:p>
        </w:tc>
      </w:tr>
      <w:tr w:rsidR="00093875" w:rsidRPr="00093875" w14:paraId="0E0E3102" w14:textId="77777777" w:rsidTr="00093875">
        <w:trPr>
          <w:trHeight w:val="255"/>
        </w:trPr>
        <w:tc>
          <w:tcPr>
            <w:tcW w:w="7404" w:type="dxa"/>
            <w:gridSpan w:val="7"/>
            <w:tcBorders>
              <w:top w:val="nil"/>
              <w:left w:val="nil"/>
              <w:bottom w:val="nil"/>
              <w:right w:val="nil"/>
            </w:tcBorders>
            <w:shd w:val="clear" w:color="000000" w:fill="203764"/>
            <w:noWrap/>
            <w:vAlign w:val="bottom"/>
            <w:hideMark/>
          </w:tcPr>
          <w:p w14:paraId="7B78DA8B" w14:textId="77777777" w:rsidR="00093875" w:rsidRPr="00093875" w:rsidRDefault="00093875" w:rsidP="00093875">
            <w:pPr>
              <w:spacing w:after="0" w:line="240" w:lineRule="auto"/>
              <w:jc w:val="center"/>
              <w:rPr>
                <w:rFonts w:ascii="Arial" w:hAnsi="Arial" w:cs="Arial"/>
                <w:b/>
                <w:bCs/>
                <w:color w:val="FFFFFF"/>
                <w:sz w:val="18"/>
                <w:szCs w:val="18"/>
                <w:lang w:eastAsia="hr-HR"/>
              </w:rPr>
            </w:pPr>
            <w:r w:rsidRPr="00093875">
              <w:rPr>
                <w:rFonts w:ascii="Arial" w:hAnsi="Arial" w:cs="Arial"/>
                <w:b/>
                <w:bCs/>
                <w:color w:val="FFFFFF"/>
                <w:sz w:val="18"/>
                <w:szCs w:val="18"/>
                <w:lang w:eastAsia="hr-HR"/>
              </w:rPr>
              <w:t>B. RAČUN ZADUŽIVANJA FINANCIRANJA</w:t>
            </w:r>
          </w:p>
        </w:tc>
        <w:tc>
          <w:tcPr>
            <w:tcW w:w="1500" w:type="dxa"/>
            <w:tcBorders>
              <w:top w:val="nil"/>
              <w:left w:val="nil"/>
              <w:bottom w:val="nil"/>
              <w:right w:val="nil"/>
            </w:tcBorders>
            <w:shd w:val="clear" w:color="000000" w:fill="203764"/>
            <w:noWrap/>
            <w:vAlign w:val="bottom"/>
            <w:hideMark/>
          </w:tcPr>
          <w:p w14:paraId="666508DF" w14:textId="77777777" w:rsidR="00093875" w:rsidRPr="00093875" w:rsidRDefault="00093875" w:rsidP="00093875">
            <w:pPr>
              <w:spacing w:after="0" w:line="240" w:lineRule="auto"/>
              <w:jc w:val="center"/>
              <w:rPr>
                <w:rFonts w:ascii="Arial" w:hAnsi="Arial" w:cs="Arial"/>
                <w:b/>
                <w:bCs/>
                <w:color w:val="FFFFFF"/>
                <w:sz w:val="18"/>
                <w:szCs w:val="18"/>
                <w:lang w:eastAsia="hr-HR"/>
              </w:rPr>
            </w:pPr>
            <w:r w:rsidRPr="00093875">
              <w:rPr>
                <w:rFonts w:ascii="Arial" w:hAnsi="Arial" w:cs="Arial"/>
                <w:b/>
                <w:bCs/>
                <w:color w:val="FFFFFF"/>
                <w:sz w:val="18"/>
                <w:szCs w:val="18"/>
                <w:lang w:eastAsia="hr-HR"/>
              </w:rPr>
              <w:t>1</w:t>
            </w:r>
          </w:p>
        </w:tc>
        <w:tc>
          <w:tcPr>
            <w:tcW w:w="1540" w:type="dxa"/>
            <w:tcBorders>
              <w:top w:val="nil"/>
              <w:left w:val="nil"/>
              <w:bottom w:val="nil"/>
              <w:right w:val="nil"/>
            </w:tcBorders>
            <w:shd w:val="clear" w:color="000000" w:fill="203764"/>
            <w:noWrap/>
            <w:vAlign w:val="bottom"/>
            <w:hideMark/>
          </w:tcPr>
          <w:p w14:paraId="4D122EF3" w14:textId="77777777" w:rsidR="00093875" w:rsidRPr="00093875" w:rsidRDefault="00093875" w:rsidP="00093875">
            <w:pPr>
              <w:spacing w:after="0" w:line="240" w:lineRule="auto"/>
              <w:jc w:val="center"/>
              <w:rPr>
                <w:rFonts w:ascii="Arial" w:hAnsi="Arial" w:cs="Arial"/>
                <w:b/>
                <w:bCs/>
                <w:color w:val="FFFFFF"/>
                <w:sz w:val="18"/>
                <w:szCs w:val="18"/>
                <w:lang w:eastAsia="hr-HR"/>
              </w:rPr>
            </w:pPr>
            <w:r w:rsidRPr="00093875">
              <w:rPr>
                <w:rFonts w:ascii="Arial" w:hAnsi="Arial" w:cs="Arial"/>
                <w:b/>
                <w:bCs/>
                <w:color w:val="FFFFFF"/>
                <w:sz w:val="18"/>
                <w:szCs w:val="18"/>
                <w:lang w:eastAsia="hr-HR"/>
              </w:rPr>
              <w:t>2</w:t>
            </w:r>
          </w:p>
        </w:tc>
        <w:tc>
          <w:tcPr>
            <w:tcW w:w="1460" w:type="dxa"/>
            <w:tcBorders>
              <w:top w:val="nil"/>
              <w:left w:val="nil"/>
              <w:bottom w:val="nil"/>
              <w:right w:val="nil"/>
            </w:tcBorders>
            <w:shd w:val="clear" w:color="000000" w:fill="203764"/>
            <w:noWrap/>
            <w:vAlign w:val="bottom"/>
            <w:hideMark/>
          </w:tcPr>
          <w:p w14:paraId="4D9FF53F" w14:textId="77777777" w:rsidR="00093875" w:rsidRPr="00093875" w:rsidRDefault="00093875" w:rsidP="00093875">
            <w:pPr>
              <w:spacing w:after="0" w:line="240" w:lineRule="auto"/>
              <w:jc w:val="center"/>
              <w:rPr>
                <w:rFonts w:ascii="Arial" w:hAnsi="Arial" w:cs="Arial"/>
                <w:b/>
                <w:bCs/>
                <w:color w:val="FFFFFF"/>
                <w:sz w:val="18"/>
                <w:szCs w:val="18"/>
                <w:lang w:eastAsia="hr-HR"/>
              </w:rPr>
            </w:pPr>
            <w:r w:rsidRPr="00093875">
              <w:rPr>
                <w:rFonts w:ascii="Arial" w:hAnsi="Arial" w:cs="Arial"/>
                <w:b/>
                <w:bCs/>
                <w:color w:val="FFFFFF"/>
                <w:sz w:val="18"/>
                <w:szCs w:val="18"/>
                <w:lang w:eastAsia="hr-HR"/>
              </w:rPr>
              <w:t>3</w:t>
            </w:r>
          </w:p>
        </w:tc>
        <w:tc>
          <w:tcPr>
            <w:tcW w:w="1480" w:type="dxa"/>
            <w:tcBorders>
              <w:top w:val="nil"/>
              <w:left w:val="nil"/>
              <w:bottom w:val="nil"/>
              <w:right w:val="nil"/>
            </w:tcBorders>
            <w:shd w:val="clear" w:color="000000" w:fill="203764"/>
            <w:noWrap/>
            <w:vAlign w:val="bottom"/>
            <w:hideMark/>
          </w:tcPr>
          <w:p w14:paraId="0C904AFB" w14:textId="77777777" w:rsidR="00093875" w:rsidRPr="00093875" w:rsidRDefault="00093875" w:rsidP="00093875">
            <w:pPr>
              <w:spacing w:after="0" w:line="240" w:lineRule="auto"/>
              <w:jc w:val="center"/>
              <w:rPr>
                <w:rFonts w:ascii="Arial" w:hAnsi="Arial" w:cs="Arial"/>
                <w:b/>
                <w:bCs/>
                <w:color w:val="FFFFFF"/>
                <w:sz w:val="18"/>
                <w:szCs w:val="18"/>
                <w:lang w:eastAsia="hr-HR"/>
              </w:rPr>
            </w:pPr>
            <w:r w:rsidRPr="00093875">
              <w:rPr>
                <w:rFonts w:ascii="Arial" w:hAnsi="Arial" w:cs="Arial"/>
                <w:b/>
                <w:bCs/>
                <w:color w:val="FFFFFF"/>
                <w:sz w:val="18"/>
                <w:szCs w:val="18"/>
                <w:lang w:eastAsia="hr-HR"/>
              </w:rPr>
              <w:t>4</w:t>
            </w:r>
          </w:p>
        </w:tc>
        <w:tc>
          <w:tcPr>
            <w:tcW w:w="1160" w:type="dxa"/>
            <w:tcBorders>
              <w:top w:val="nil"/>
              <w:left w:val="nil"/>
              <w:bottom w:val="nil"/>
              <w:right w:val="nil"/>
            </w:tcBorders>
            <w:shd w:val="clear" w:color="000000" w:fill="203764"/>
            <w:noWrap/>
            <w:vAlign w:val="bottom"/>
            <w:hideMark/>
          </w:tcPr>
          <w:p w14:paraId="1699318A" w14:textId="77777777" w:rsidR="00093875" w:rsidRPr="00093875" w:rsidRDefault="00093875" w:rsidP="00093875">
            <w:pPr>
              <w:spacing w:after="0" w:line="240" w:lineRule="auto"/>
              <w:jc w:val="center"/>
              <w:rPr>
                <w:rFonts w:ascii="Arial" w:hAnsi="Arial" w:cs="Arial"/>
                <w:b/>
                <w:bCs/>
                <w:color w:val="FFFFFF"/>
                <w:sz w:val="18"/>
                <w:szCs w:val="18"/>
                <w:lang w:eastAsia="hr-HR"/>
              </w:rPr>
            </w:pPr>
            <w:r w:rsidRPr="00093875">
              <w:rPr>
                <w:rFonts w:ascii="Arial" w:hAnsi="Arial" w:cs="Arial"/>
                <w:b/>
                <w:bCs/>
                <w:color w:val="FFFFFF"/>
                <w:sz w:val="18"/>
                <w:szCs w:val="18"/>
                <w:lang w:eastAsia="hr-HR"/>
              </w:rPr>
              <w:t>5</w:t>
            </w:r>
          </w:p>
        </w:tc>
      </w:tr>
      <w:tr w:rsidR="00093875" w:rsidRPr="00093875" w14:paraId="0D71C1BF" w14:textId="77777777" w:rsidTr="00093875">
        <w:trPr>
          <w:trHeight w:val="255"/>
        </w:trPr>
        <w:tc>
          <w:tcPr>
            <w:tcW w:w="7404" w:type="dxa"/>
            <w:gridSpan w:val="7"/>
            <w:tcBorders>
              <w:top w:val="nil"/>
              <w:left w:val="nil"/>
              <w:bottom w:val="nil"/>
              <w:right w:val="nil"/>
            </w:tcBorders>
            <w:shd w:val="clear" w:color="auto" w:fill="C6D9F1" w:themeFill="text2" w:themeFillTint="33"/>
            <w:noWrap/>
            <w:vAlign w:val="bottom"/>
            <w:hideMark/>
          </w:tcPr>
          <w:p w14:paraId="517AE434" w14:textId="77777777" w:rsidR="00093875" w:rsidRPr="00093875" w:rsidRDefault="00093875" w:rsidP="00093875">
            <w:pPr>
              <w:spacing w:after="0" w:line="240" w:lineRule="auto"/>
              <w:rPr>
                <w:rFonts w:ascii="Arial" w:hAnsi="Arial" w:cs="Arial"/>
                <w:b/>
                <w:bCs/>
                <w:sz w:val="18"/>
                <w:szCs w:val="18"/>
                <w:lang w:eastAsia="hr-HR"/>
              </w:rPr>
            </w:pPr>
            <w:r w:rsidRPr="00093875">
              <w:rPr>
                <w:rFonts w:ascii="Arial" w:hAnsi="Arial" w:cs="Arial"/>
                <w:b/>
                <w:bCs/>
                <w:sz w:val="18"/>
                <w:szCs w:val="18"/>
                <w:lang w:eastAsia="hr-HR"/>
              </w:rPr>
              <w:t xml:space="preserve">8 Primici od financijske imovine i zaduživanja                                                        </w:t>
            </w:r>
          </w:p>
        </w:tc>
        <w:tc>
          <w:tcPr>
            <w:tcW w:w="1500" w:type="dxa"/>
            <w:tcBorders>
              <w:top w:val="nil"/>
              <w:left w:val="nil"/>
              <w:bottom w:val="nil"/>
              <w:right w:val="nil"/>
            </w:tcBorders>
            <w:shd w:val="clear" w:color="auto" w:fill="C6D9F1" w:themeFill="text2" w:themeFillTint="33"/>
            <w:noWrap/>
            <w:vAlign w:val="bottom"/>
            <w:hideMark/>
          </w:tcPr>
          <w:p w14:paraId="72918DDB" w14:textId="77777777" w:rsidR="00093875" w:rsidRPr="00093875" w:rsidRDefault="00093875" w:rsidP="00093875">
            <w:pPr>
              <w:spacing w:after="0" w:line="240" w:lineRule="auto"/>
              <w:rPr>
                <w:rFonts w:ascii="Arial" w:hAnsi="Arial" w:cs="Arial"/>
                <w:b/>
                <w:bCs/>
                <w:sz w:val="18"/>
                <w:szCs w:val="18"/>
                <w:lang w:eastAsia="hr-HR"/>
              </w:rPr>
            </w:pPr>
          </w:p>
        </w:tc>
        <w:tc>
          <w:tcPr>
            <w:tcW w:w="1540" w:type="dxa"/>
            <w:tcBorders>
              <w:top w:val="nil"/>
              <w:left w:val="nil"/>
              <w:bottom w:val="nil"/>
              <w:right w:val="nil"/>
            </w:tcBorders>
            <w:shd w:val="clear" w:color="auto" w:fill="C6D9F1" w:themeFill="text2" w:themeFillTint="33"/>
            <w:noWrap/>
            <w:vAlign w:val="bottom"/>
            <w:hideMark/>
          </w:tcPr>
          <w:p w14:paraId="54FC0B22" w14:textId="77777777" w:rsidR="00093875" w:rsidRPr="00093875" w:rsidRDefault="00093875" w:rsidP="00093875">
            <w:pPr>
              <w:spacing w:after="0" w:line="240" w:lineRule="auto"/>
              <w:jc w:val="right"/>
              <w:rPr>
                <w:rFonts w:ascii="Arial" w:hAnsi="Arial" w:cs="Arial"/>
                <w:b/>
                <w:bCs/>
                <w:sz w:val="18"/>
                <w:szCs w:val="18"/>
                <w:lang w:eastAsia="hr-HR"/>
              </w:rPr>
            </w:pPr>
            <w:r w:rsidRPr="00093875">
              <w:rPr>
                <w:rFonts w:ascii="Arial" w:hAnsi="Arial" w:cs="Arial"/>
                <w:b/>
                <w:bCs/>
                <w:sz w:val="18"/>
                <w:szCs w:val="18"/>
                <w:lang w:eastAsia="hr-HR"/>
              </w:rPr>
              <w:t>732.831,00</w:t>
            </w:r>
          </w:p>
        </w:tc>
        <w:tc>
          <w:tcPr>
            <w:tcW w:w="1460" w:type="dxa"/>
            <w:tcBorders>
              <w:top w:val="nil"/>
              <w:left w:val="nil"/>
              <w:bottom w:val="nil"/>
              <w:right w:val="nil"/>
            </w:tcBorders>
            <w:shd w:val="clear" w:color="auto" w:fill="C6D9F1" w:themeFill="text2" w:themeFillTint="33"/>
            <w:noWrap/>
            <w:vAlign w:val="bottom"/>
            <w:hideMark/>
          </w:tcPr>
          <w:p w14:paraId="64440BDD" w14:textId="77777777" w:rsidR="00093875" w:rsidRPr="00093875" w:rsidRDefault="00093875" w:rsidP="00093875">
            <w:pPr>
              <w:spacing w:after="0" w:line="240" w:lineRule="auto"/>
              <w:jc w:val="right"/>
              <w:rPr>
                <w:rFonts w:ascii="Arial" w:hAnsi="Arial" w:cs="Arial"/>
                <w:b/>
                <w:bCs/>
                <w:sz w:val="18"/>
                <w:szCs w:val="18"/>
                <w:lang w:eastAsia="hr-HR"/>
              </w:rPr>
            </w:pPr>
            <w:r w:rsidRPr="00093875">
              <w:rPr>
                <w:rFonts w:ascii="Arial" w:hAnsi="Arial" w:cs="Arial"/>
                <w:b/>
                <w:bCs/>
                <w:sz w:val="18"/>
                <w:szCs w:val="18"/>
                <w:lang w:eastAsia="hr-HR"/>
              </w:rPr>
              <w:t>627.143,50</w:t>
            </w:r>
          </w:p>
        </w:tc>
        <w:tc>
          <w:tcPr>
            <w:tcW w:w="1480" w:type="dxa"/>
            <w:tcBorders>
              <w:top w:val="nil"/>
              <w:left w:val="nil"/>
              <w:bottom w:val="nil"/>
              <w:right w:val="nil"/>
            </w:tcBorders>
            <w:shd w:val="clear" w:color="auto" w:fill="C6D9F1" w:themeFill="text2" w:themeFillTint="33"/>
            <w:noWrap/>
            <w:vAlign w:val="bottom"/>
            <w:hideMark/>
          </w:tcPr>
          <w:p w14:paraId="2188086F" w14:textId="77777777" w:rsidR="00093875" w:rsidRPr="00093875" w:rsidRDefault="00093875" w:rsidP="00093875">
            <w:pPr>
              <w:spacing w:after="0" w:line="240" w:lineRule="auto"/>
              <w:jc w:val="right"/>
              <w:rPr>
                <w:rFonts w:ascii="Arial" w:hAnsi="Arial" w:cs="Arial"/>
                <w:b/>
                <w:bCs/>
                <w:sz w:val="18"/>
                <w:szCs w:val="18"/>
                <w:lang w:eastAsia="hr-HR"/>
              </w:rPr>
            </w:pPr>
          </w:p>
        </w:tc>
        <w:tc>
          <w:tcPr>
            <w:tcW w:w="1160" w:type="dxa"/>
            <w:tcBorders>
              <w:top w:val="nil"/>
              <w:left w:val="nil"/>
              <w:bottom w:val="nil"/>
              <w:right w:val="nil"/>
            </w:tcBorders>
            <w:shd w:val="clear" w:color="auto" w:fill="C6D9F1" w:themeFill="text2" w:themeFillTint="33"/>
            <w:noWrap/>
            <w:vAlign w:val="bottom"/>
            <w:hideMark/>
          </w:tcPr>
          <w:p w14:paraId="7AB85A6B" w14:textId="77777777" w:rsidR="00093875" w:rsidRPr="00093875" w:rsidRDefault="00093875" w:rsidP="00093875">
            <w:pPr>
              <w:spacing w:after="0" w:line="240" w:lineRule="auto"/>
              <w:jc w:val="right"/>
              <w:rPr>
                <w:rFonts w:ascii="Arial" w:hAnsi="Arial" w:cs="Arial"/>
                <w:b/>
                <w:bCs/>
                <w:sz w:val="18"/>
                <w:szCs w:val="18"/>
                <w:lang w:eastAsia="hr-HR"/>
              </w:rPr>
            </w:pPr>
            <w:r w:rsidRPr="00093875">
              <w:rPr>
                <w:rFonts w:ascii="Arial" w:hAnsi="Arial" w:cs="Arial"/>
                <w:b/>
                <w:bCs/>
                <w:sz w:val="18"/>
                <w:szCs w:val="18"/>
                <w:lang w:eastAsia="hr-HR"/>
              </w:rPr>
              <w:t>85,58%</w:t>
            </w:r>
          </w:p>
        </w:tc>
      </w:tr>
      <w:tr w:rsidR="00093875" w:rsidRPr="00093875" w14:paraId="39F28145" w14:textId="77777777" w:rsidTr="00093875">
        <w:trPr>
          <w:trHeight w:val="255"/>
        </w:trPr>
        <w:tc>
          <w:tcPr>
            <w:tcW w:w="7404" w:type="dxa"/>
            <w:gridSpan w:val="7"/>
            <w:tcBorders>
              <w:top w:val="nil"/>
              <w:left w:val="nil"/>
              <w:bottom w:val="nil"/>
              <w:right w:val="nil"/>
            </w:tcBorders>
            <w:shd w:val="clear" w:color="auto" w:fill="auto"/>
            <w:noWrap/>
            <w:vAlign w:val="bottom"/>
            <w:hideMark/>
          </w:tcPr>
          <w:p w14:paraId="60226E10" w14:textId="77777777" w:rsidR="00093875" w:rsidRPr="00093875" w:rsidRDefault="00093875" w:rsidP="00093875">
            <w:pPr>
              <w:spacing w:after="0" w:line="240" w:lineRule="auto"/>
              <w:rPr>
                <w:rFonts w:ascii="Arial" w:hAnsi="Arial" w:cs="Arial"/>
                <w:b/>
                <w:bCs/>
                <w:sz w:val="18"/>
                <w:szCs w:val="18"/>
                <w:lang w:eastAsia="hr-HR"/>
              </w:rPr>
            </w:pPr>
            <w:r w:rsidRPr="00093875">
              <w:rPr>
                <w:rFonts w:ascii="Arial" w:hAnsi="Arial" w:cs="Arial"/>
                <w:b/>
                <w:bCs/>
                <w:sz w:val="18"/>
                <w:szCs w:val="18"/>
                <w:lang w:eastAsia="hr-HR"/>
              </w:rPr>
              <w:t xml:space="preserve">84 Primici od zaduživanja                                                                              </w:t>
            </w:r>
          </w:p>
        </w:tc>
        <w:tc>
          <w:tcPr>
            <w:tcW w:w="1500" w:type="dxa"/>
            <w:tcBorders>
              <w:top w:val="nil"/>
              <w:left w:val="nil"/>
              <w:bottom w:val="nil"/>
              <w:right w:val="nil"/>
            </w:tcBorders>
            <w:shd w:val="clear" w:color="auto" w:fill="auto"/>
            <w:noWrap/>
            <w:vAlign w:val="bottom"/>
            <w:hideMark/>
          </w:tcPr>
          <w:p w14:paraId="23E54610" w14:textId="77777777" w:rsidR="00093875" w:rsidRPr="00093875" w:rsidRDefault="00093875" w:rsidP="00093875">
            <w:pPr>
              <w:spacing w:after="0" w:line="240" w:lineRule="auto"/>
              <w:rPr>
                <w:rFonts w:ascii="Arial" w:hAnsi="Arial" w:cs="Arial"/>
                <w:b/>
                <w:bCs/>
                <w:sz w:val="18"/>
                <w:szCs w:val="18"/>
                <w:lang w:eastAsia="hr-HR"/>
              </w:rPr>
            </w:pPr>
          </w:p>
        </w:tc>
        <w:tc>
          <w:tcPr>
            <w:tcW w:w="1540" w:type="dxa"/>
            <w:tcBorders>
              <w:top w:val="nil"/>
              <w:left w:val="nil"/>
              <w:bottom w:val="nil"/>
              <w:right w:val="nil"/>
            </w:tcBorders>
            <w:shd w:val="clear" w:color="auto" w:fill="auto"/>
            <w:noWrap/>
            <w:vAlign w:val="bottom"/>
            <w:hideMark/>
          </w:tcPr>
          <w:p w14:paraId="2DBD9D05" w14:textId="77777777" w:rsidR="00093875" w:rsidRPr="00093875" w:rsidRDefault="00093875" w:rsidP="00093875">
            <w:pPr>
              <w:spacing w:after="0" w:line="240" w:lineRule="auto"/>
              <w:jc w:val="right"/>
              <w:rPr>
                <w:rFonts w:ascii="Arial" w:hAnsi="Arial" w:cs="Arial"/>
                <w:b/>
                <w:bCs/>
                <w:sz w:val="18"/>
                <w:szCs w:val="18"/>
                <w:lang w:eastAsia="hr-HR"/>
              </w:rPr>
            </w:pPr>
            <w:r w:rsidRPr="00093875">
              <w:rPr>
                <w:rFonts w:ascii="Arial" w:hAnsi="Arial" w:cs="Arial"/>
                <w:b/>
                <w:bCs/>
                <w:sz w:val="18"/>
                <w:szCs w:val="18"/>
                <w:lang w:eastAsia="hr-HR"/>
              </w:rPr>
              <w:t>732.831,00</w:t>
            </w:r>
          </w:p>
        </w:tc>
        <w:tc>
          <w:tcPr>
            <w:tcW w:w="1460" w:type="dxa"/>
            <w:tcBorders>
              <w:top w:val="nil"/>
              <w:left w:val="nil"/>
              <w:bottom w:val="nil"/>
              <w:right w:val="nil"/>
            </w:tcBorders>
            <w:shd w:val="clear" w:color="auto" w:fill="auto"/>
            <w:noWrap/>
            <w:vAlign w:val="bottom"/>
            <w:hideMark/>
          </w:tcPr>
          <w:p w14:paraId="5E3D8E0C" w14:textId="77777777" w:rsidR="00093875" w:rsidRPr="00093875" w:rsidRDefault="00093875" w:rsidP="00093875">
            <w:pPr>
              <w:spacing w:after="0" w:line="240" w:lineRule="auto"/>
              <w:jc w:val="right"/>
              <w:rPr>
                <w:rFonts w:ascii="Arial" w:hAnsi="Arial" w:cs="Arial"/>
                <w:b/>
                <w:bCs/>
                <w:sz w:val="18"/>
                <w:szCs w:val="18"/>
                <w:lang w:eastAsia="hr-HR"/>
              </w:rPr>
            </w:pPr>
            <w:r w:rsidRPr="00093875">
              <w:rPr>
                <w:rFonts w:ascii="Arial" w:hAnsi="Arial" w:cs="Arial"/>
                <w:b/>
                <w:bCs/>
                <w:sz w:val="18"/>
                <w:szCs w:val="18"/>
                <w:lang w:eastAsia="hr-HR"/>
              </w:rPr>
              <w:t>627.143,50</w:t>
            </w:r>
          </w:p>
        </w:tc>
        <w:tc>
          <w:tcPr>
            <w:tcW w:w="1480" w:type="dxa"/>
            <w:tcBorders>
              <w:top w:val="nil"/>
              <w:left w:val="nil"/>
              <w:bottom w:val="nil"/>
              <w:right w:val="nil"/>
            </w:tcBorders>
            <w:shd w:val="clear" w:color="auto" w:fill="auto"/>
            <w:noWrap/>
            <w:vAlign w:val="bottom"/>
            <w:hideMark/>
          </w:tcPr>
          <w:p w14:paraId="7A7F5C44" w14:textId="77777777" w:rsidR="00093875" w:rsidRPr="00093875" w:rsidRDefault="00093875" w:rsidP="00093875">
            <w:pPr>
              <w:spacing w:after="0" w:line="240" w:lineRule="auto"/>
              <w:jc w:val="right"/>
              <w:rPr>
                <w:rFonts w:ascii="Arial" w:hAnsi="Arial" w:cs="Arial"/>
                <w:b/>
                <w:bCs/>
                <w:sz w:val="18"/>
                <w:szCs w:val="18"/>
                <w:lang w:eastAsia="hr-HR"/>
              </w:rPr>
            </w:pPr>
          </w:p>
        </w:tc>
        <w:tc>
          <w:tcPr>
            <w:tcW w:w="1160" w:type="dxa"/>
            <w:tcBorders>
              <w:top w:val="nil"/>
              <w:left w:val="nil"/>
              <w:bottom w:val="nil"/>
              <w:right w:val="nil"/>
            </w:tcBorders>
            <w:shd w:val="clear" w:color="auto" w:fill="auto"/>
            <w:noWrap/>
            <w:vAlign w:val="bottom"/>
            <w:hideMark/>
          </w:tcPr>
          <w:p w14:paraId="03038ADA" w14:textId="77777777" w:rsidR="00093875" w:rsidRPr="00093875" w:rsidRDefault="00093875" w:rsidP="00093875">
            <w:pPr>
              <w:spacing w:after="0" w:line="240" w:lineRule="auto"/>
              <w:jc w:val="right"/>
              <w:rPr>
                <w:rFonts w:ascii="Arial" w:hAnsi="Arial" w:cs="Arial"/>
                <w:b/>
                <w:bCs/>
                <w:sz w:val="18"/>
                <w:szCs w:val="18"/>
                <w:lang w:eastAsia="hr-HR"/>
              </w:rPr>
            </w:pPr>
            <w:r w:rsidRPr="00093875">
              <w:rPr>
                <w:rFonts w:ascii="Arial" w:hAnsi="Arial" w:cs="Arial"/>
                <w:b/>
                <w:bCs/>
                <w:sz w:val="18"/>
                <w:szCs w:val="18"/>
                <w:lang w:eastAsia="hr-HR"/>
              </w:rPr>
              <w:t>85,58%</w:t>
            </w:r>
          </w:p>
        </w:tc>
      </w:tr>
      <w:tr w:rsidR="00093875" w:rsidRPr="00093875" w14:paraId="7DA980F6" w14:textId="77777777" w:rsidTr="00093875">
        <w:trPr>
          <w:trHeight w:val="255"/>
        </w:trPr>
        <w:tc>
          <w:tcPr>
            <w:tcW w:w="7404" w:type="dxa"/>
            <w:gridSpan w:val="7"/>
            <w:tcBorders>
              <w:top w:val="nil"/>
              <w:left w:val="nil"/>
              <w:bottom w:val="nil"/>
              <w:right w:val="nil"/>
            </w:tcBorders>
            <w:shd w:val="clear" w:color="auto" w:fill="auto"/>
            <w:noWrap/>
            <w:vAlign w:val="bottom"/>
            <w:hideMark/>
          </w:tcPr>
          <w:p w14:paraId="27561720" w14:textId="77777777" w:rsidR="00093875" w:rsidRPr="00093875" w:rsidRDefault="00093875" w:rsidP="00093875">
            <w:pPr>
              <w:spacing w:after="0" w:line="240" w:lineRule="auto"/>
              <w:rPr>
                <w:rFonts w:ascii="Arial" w:hAnsi="Arial" w:cs="Arial"/>
                <w:sz w:val="18"/>
                <w:szCs w:val="18"/>
                <w:lang w:eastAsia="hr-HR"/>
              </w:rPr>
            </w:pPr>
            <w:r w:rsidRPr="00093875">
              <w:rPr>
                <w:rFonts w:ascii="Arial" w:hAnsi="Arial" w:cs="Arial"/>
                <w:sz w:val="18"/>
                <w:szCs w:val="18"/>
                <w:lang w:eastAsia="hr-HR"/>
              </w:rPr>
              <w:t xml:space="preserve">844 Primljeni krediti i zajmovi od kreditnih i ostalih financijskih institucija izvan javnog sektora    </w:t>
            </w:r>
          </w:p>
        </w:tc>
        <w:tc>
          <w:tcPr>
            <w:tcW w:w="1500" w:type="dxa"/>
            <w:tcBorders>
              <w:top w:val="nil"/>
              <w:left w:val="nil"/>
              <w:bottom w:val="nil"/>
              <w:right w:val="nil"/>
            </w:tcBorders>
            <w:shd w:val="clear" w:color="auto" w:fill="auto"/>
            <w:noWrap/>
            <w:vAlign w:val="bottom"/>
            <w:hideMark/>
          </w:tcPr>
          <w:p w14:paraId="2CC1F60D" w14:textId="77777777" w:rsidR="00093875" w:rsidRPr="00093875" w:rsidRDefault="00093875" w:rsidP="00093875">
            <w:pPr>
              <w:spacing w:after="0" w:line="240" w:lineRule="auto"/>
              <w:rPr>
                <w:rFonts w:ascii="Arial" w:hAnsi="Arial" w:cs="Arial"/>
                <w:sz w:val="18"/>
                <w:szCs w:val="18"/>
                <w:lang w:eastAsia="hr-HR"/>
              </w:rPr>
            </w:pPr>
          </w:p>
        </w:tc>
        <w:tc>
          <w:tcPr>
            <w:tcW w:w="1540" w:type="dxa"/>
            <w:tcBorders>
              <w:top w:val="nil"/>
              <w:left w:val="nil"/>
              <w:bottom w:val="nil"/>
              <w:right w:val="nil"/>
            </w:tcBorders>
            <w:shd w:val="clear" w:color="auto" w:fill="auto"/>
            <w:noWrap/>
            <w:vAlign w:val="bottom"/>
            <w:hideMark/>
          </w:tcPr>
          <w:p w14:paraId="280918E1" w14:textId="77777777" w:rsidR="00093875" w:rsidRPr="00093875" w:rsidRDefault="00093875" w:rsidP="00093875">
            <w:pPr>
              <w:spacing w:after="0" w:line="240" w:lineRule="auto"/>
              <w:jc w:val="right"/>
              <w:rPr>
                <w:rFonts w:ascii="Times New Roman" w:hAnsi="Times New Roman" w:cs="Times New Roman"/>
                <w:sz w:val="20"/>
                <w:szCs w:val="20"/>
                <w:lang w:eastAsia="hr-HR"/>
              </w:rPr>
            </w:pPr>
          </w:p>
        </w:tc>
        <w:tc>
          <w:tcPr>
            <w:tcW w:w="1460" w:type="dxa"/>
            <w:tcBorders>
              <w:top w:val="nil"/>
              <w:left w:val="nil"/>
              <w:bottom w:val="nil"/>
              <w:right w:val="nil"/>
            </w:tcBorders>
            <w:shd w:val="clear" w:color="auto" w:fill="auto"/>
            <w:noWrap/>
            <w:vAlign w:val="bottom"/>
            <w:hideMark/>
          </w:tcPr>
          <w:p w14:paraId="000C4682" w14:textId="77777777" w:rsidR="00093875" w:rsidRPr="00093875" w:rsidRDefault="00093875" w:rsidP="00093875">
            <w:pPr>
              <w:spacing w:after="0" w:line="240" w:lineRule="auto"/>
              <w:jc w:val="right"/>
              <w:rPr>
                <w:rFonts w:ascii="Arial" w:hAnsi="Arial" w:cs="Arial"/>
                <w:sz w:val="18"/>
                <w:szCs w:val="18"/>
                <w:lang w:eastAsia="hr-HR"/>
              </w:rPr>
            </w:pPr>
            <w:r w:rsidRPr="00093875">
              <w:rPr>
                <w:rFonts w:ascii="Arial" w:hAnsi="Arial" w:cs="Arial"/>
                <w:sz w:val="18"/>
                <w:szCs w:val="18"/>
                <w:lang w:eastAsia="hr-HR"/>
              </w:rPr>
              <w:t>627.143,50</w:t>
            </w:r>
          </w:p>
        </w:tc>
        <w:tc>
          <w:tcPr>
            <w:tcW w:w="1480" w:type="dxa"/>
            <w:tcBorders>
              <w:top w:val="nil"/>
              <w:left w:val="nil"/>
              <w:bottom w:val="nil"/>
              <w:right w:val="nil"/>
            </w:tcBorders>
            <w:shd w:val="clear" w:color="auto" w:fill="auto"/>
            <w:noWrap/>
            <w:vAlign w:val="bottom"/>
            <w:hideMark/>
          </w:tcPr>
          <w:p w14:paraId="71F9A9BD" w14:textId="77777777" w:rsidR="00093875" w:rsidRPr="00093875" w:rsidRDefault="00093875" w:rsidP="00093875">
            <w:pPr>
              <w:spacing w:after="0" w:line="240" w:lineRule="auto"/>
              <w:jc w:val="right"/>
              <w:rPr>
                <w:rFonts w:ascii="Arial" w:hAnsi="Arial" w:cs="Arial"/>
                <w:sz w:val="18"/>
                <w:szCs w:val="18"/>
                <w:lang w:eastAsia="hr-HR"/>
              </w:rPr>
            </w:pPr>
          </w:p>
        </w:tc>
        <w:tc>
          <w:tcPr>
            <w:tcW w:w="1160" w:type="dxa"/>
            <w:tcBorders>
              <w:top w:val="nil"/>
              <w:left w:val="nil"/>
              <w:bottom w:val="nil"/>
              <w:right w:val="nil"/>
            </w:tcBorders>
            <w:shd w:val="clear" w:color="auto" w:fill="auto"/>
            <w:noWrap/>
            <w:vAlign w:val="bottom"/>
            <w:hideMark/>
          </w:tcPr>
          <w:p w14:paraId="11F1A090" w14:textId="77777777" w:rsidR="00093875" w:rsidRPr="00093875" w:rsidRDefault="00093875" w:rsidP="00093875">
            <w:pPr>
              <w:spacing w:after="0" w:line="240" w:lineRule="auto"/>
              <w:jc w:val="right"/>
              <w:rPr>
                <w:rFonts w:ascii="Times New Roman" w:hAnsi="Times New Roman" w:cs="Times New Roman"/>
                <w:sz w:val="20"/>
                <w:szCs w:val="20"/>
                <w:lang w:eastAsia="hr-HR"/>
              </w:rPr>
            </w:pPr>
          </w:p>
        </w:tc>
      </w:tr>
      <w:tr w:rsidR="00093875" w:rsidRPr="00093875" w14:paraId="276A2E41" w14:textId="77777777" w:rsidTr="00093875">
        <w:trPr>
          <w:trHeight w:val="255"/>
        </w:trPr>
        <w:tc>
          <w:tcPr>
            <w:tcW w:w="7404" w:type="dxa"/>
            <w:gridSpan w:val="7"/>
            <w:tcBorders>
              <w:top w:val="nil"/>
              <w:left w:val="nil"/>
              <w:bottom w:val="nil"/>
              <w:right w:val="nil"/>
            </w:tcBorders>
            <w:shd w:val="clear" w:color="auto" w:fill="auto"/>
            <w:noWrap/>
            <w:vAlign w:val="bottom"/>
            <w:hideMark/>
          </w:tcPr>
          <w:p w14:paraId="6AC55699" w14:textId="77777777" w:rsidR="00093875" w:rsidRPr="00093875" w:rsidRDefault="00093875" w:rsidP="00093875">
            <w:pPr>
              <w:spacing w:after="0" w:line="240" w:lineRule="auto"/>
              <w:rPr>
                <w:rFonts w:ascii="Arial" w:hAnsi="Arial" w:cs="Arial"/>
                <w:sz w:val="18"/>
                <w:szCs w:val="18"/>
                <w:lang w:eastAsia="hr-HR"/>
              </w:rPr>
            </w:pPr>
            <w:r w:rsidRPr="00093875">
              <w:rPr>
                <w:rFonts w:ascii="Arial" w:hAnsi="Arial" w:cs="Arial"/>
                <w:sz w:val="18"/>
                <w:szCs w:val="18"/>
                <w:lang w:eastAsia="hr-HR"/>
              </w:rPr>
              <w:t xml:space="preserve">8443 Primljeni krediti od tuzemnih kreditnih institucija izvan javnog sektora                            </w:t>
            </w:r>
          </w:p>
        </w:tc>
        <w:tc>
          <w:tcPr>
            <w:tcW w:w="1500" w:type="dxa"/>
            <w:tcBorders>
              <w:top w:val="nil"/>
              <w:left w:val="nil"/>
              <w:bottom w:val="nil"/>
              <w:right w:val="nil"/>
            </w:tcBorders>
            <w:shd w:val="clear" w:color="auto" w:fill="auto"/>
            <w:noWrap/>
            <w:vAlign w:val="bottom"/>
            <w:hideMark/>
          </w:tcPr>
          <w:p w14:paraId="2F9827E4" w14:textId="77777777" w:rsidR="00093875" w:rsidRPr="00093875" w:rsidRDefault="00093875" w:rsidP="00093875">
            <w:pPr>
              <w:spacing w:after="0" w:line="240" w:lineRule="auto"/>
              <w:rPr>
                <w:rFonts w:ascii="Arial" w:hAnsi="Arial" w:cs="Arial"/>
                <w:sz w:val="18"/>
                <w:szCs w:val="18"/>
                <w:lang w:eastAsia="hr-HR"/>
              </w:rPr>
            </w:pPr>
          </w:p>
        </w:tc>
        <w:tc>
          <w:tcPr>
            <w:tcW w:w="1540" w:type="dxa"/>
            <w:tcBorders>
              <w:top w:val="nil"/>
              <w:left w:val="nil"/>
              <w:bottom w:val="nil"/>
              <w:right w:val="nil"/>
            </w:tcBorders>
            <w:shd w:val="clear" w:color="auto" w:fill="auto"/>
            <w:noWrap/>
            <w:vAlign w:val="bottom"/>
            <w:hideMark/>
          </w:tcPr>
          <w:p w14:paraId="7B3F167D" w14:textId="77777777" w:rsidR="00093875" w:rsidRPr="00093875" w:rsidRDefault="00093875" w:rsidP="00093875">
            <w:pPr>
              <w:spacing w:after="0" w:line="240" w:lineRule="auto"/>
              <w:jc w:val="right"/>
              <w:rPr>
                <w:rFonts w:ascii="Times New Roman" w:hAnsi="Times New Roman" w:cs="Times New Roman"/>
                <w:sz w:val="20"/>
                <w:szCs w:val="20"/>
                <w:lang w:eastAsia="hr-HR"/>
              </w:rPr>
            </w:pPr>
          </w:p>
        </w:tc>
        <w:tc>
          <w:tcPr>
            <w:tcW w:w="1460" w:type="dxa"/>
            <w:tcBorders>
              <w:top w:val="nil"/>
              <w:left w:val="nil"/>
              <w:bottom w:val="nil"/>
              <w:right w:val="nil"/>
            </w:tcBorders>
            <w:shd w:val="clear" w:color="auto" w:fill="auto"/>
            <w:noWrap/>
            <w:vAlign w:val="bottom"/>
            <w:hideMark/>
          </w:tcPr>
          <w:p w14:paraId="3E4EB03F" w14:textId="77777777" w:rsidR="00093875" w:rsidRPr="00093875" w:rsidRDefault="00093875" w:rsidP="00093875">
            <w:pPr>
              <w:spacing w:after="0" w:line="240" w:lineRule="auto"/>
              <w:jc w:val="right"/>
              <w:rPr>
                <w:rFonts w:ascii="Arial" w:hAnsi="Arial" w:cs="Arial"/>
                <w:sz w:val="18"/>
                <w:szCs w:val="18"/>
                <w:lang w:eastAsia="hr-HR"/>
              </w:rPr>
            </w:pPr>
            <w:r w:rsidRPr="00093875">
              <w:rPr>
                <w:rFonts w:ascii="Arial" w:hAnsi="Arial" w:cs="Arial"/>
                <w:sz w:val="18"/>
                <w:szCs w:val="18"/>
                <w:lang w:eastAsia="hr-HR"/>
              </w:rPr>
              <w:t>627.143,50</w:t>
            </w:r>
          </w:p>
        </w:tc>
        <w:tc>
          <w:tcPr>
            <w:tcW w:w="1480" w:type="dxa"/>
            <w:tcBorders>
              <w:top w:val="nil"/>
              <w:left w:val="nil"/>
              <w:bottom w:val="nil"/>
              <w:right w:val="nil"/>
            </w:tcBorders>
            <w:shd w:val="clear" w:color="auto" w:fill="auto"/>
            <w:noWrap/>
            <w:vAlign w:val="bottom"/>
            <w:hideMark/>
          </w:tcPr>
          <w:p w14:paraId="6BCC3E05" w14:textId="77777777" w:rsidR="00093875" w:rsidRPr="00093875" w:rsidRDefault="00093875" w:rsidP="00093875">
            <w:pPr>
              <w:spacing w:after="0" w:line="240" w:lineRule="auto"/>
              <w:jc w:val="right"/>
              <w:rPr>
                <w:rFonts w:ascii="Arial" w:hAnsi="Arial" w:cs="Arial"/>
                <w:sz w:val="18"/>
                <w:szCs w:val="18"/>
                <w:lang w:eastAsia="hr-HR"/>
              </w:rPr>
            </w:pPr>
          </w:p>
        </w:tc>
        <w:tc>
          <w:tcPr>
            <w:tcW w:w="1160" w:type="dxa"/>
            <w:tcBorders>
              <w:top w:val="nil"/>
              <w:left w:val="nil"/>
              <w:bottom w:val="nil"/>
              <w:right w:val="nil"/>
            </w:tcBorders>
            <w:shd w:val="clear" w:color="auto" w:fill="auto"/>
            <w:noWrap/>
            <w:vAlign w:val="bottom"/>
            <w:hideMark/>
          </w:tcPr>
          <w:p w14:paraId="15743D8E" w14:textId="77777777" w:rsidR="00093875" w:rsidRPr="00093875" w:rsidRDefault="00093875" w:rsidP="00093875">
            <w:pPr>
              <w:spacing w:after="0" w:line="240" w:lineRule="auto"/>
              <w:jc w:val="right"/>
              <w:rPr>
                <w:rFonts w:ascii="Times New Roman" w:hAnsi="Times New Roman" w:cs="Times New Roman"/>
                <w:sz w:val="20"/>
                <w:szCs w:val="20"/>
                <w:lang w:eastAsia="hr-HR"/>
              </w:rPr>
            </w:pPr>
          </w:p>
        </w:tc>
      </w:tr>
      <w:tr w:rsidR="00093875" w:rsidRPr="00093875" w14:paraId="3C9D6C0F" w14:textId="77777777" w:rsidTr="00093875">
        <w:trPr>
          <w:trHeight w:val="255"/>
        </w:trPr>
        <w:tc>
          <w:tcPr>
            <w:tcW w:w="1059" w:type="dxa"/>
            <w:tcBorders>
              <w:top w:val="nil"/>
              <w:left w:val="nil"/>
              <w:bottom w:val="nil"/>
              <w:right w:val="nil"/>
            </w:tcBorders>
            <w:shd w:val="clear" w:color="auto" w:fill="auto"/>
            <w:noWrap/>
            <w:vAlign w:val="bottom"/>
            <w:hideMark/>
          </w:tcPr>
          <w:p w14:paraId="2F7D39E6" w14:textId="77777777" w:rsidR="00093875" w:rsidRPr="00093875" w:rsidRDefault="00093875" w:rsidP="00093875">
            <w:pPr>
              <w:spacing w:after="0" w:line="240" w:lineRule="auto"/>
              <w:jc w:val="right"/>
              <w:rPr>
                <w:rFonts w:ascii="Times New Roman" w:hAnsi="Times New Roman" w:cs="Times New Roman"/>
                <w:sz w:val="20"/>
                <w:szCs w:val="20"/>
                <w:lang w:eastAsia="hr-HR"/>
              </w:rPr>
            </w:pPr>
          </w:p>
        </w:tc>
        <w:tc>
          <w:tcPr>
            <w:tcW w:w="1059" w:type="dxa"/>
            <w:tcBorders>
              <w:top w:val="nil"/>
              <w:left w:val="nil"/>
              <w:bottom w:val="nil"/>
              <w:right w:val="nil"/>
            </w:tcBorders>
            <w:shd w:val="clear" w:color="auto" w:fill="auto"/>
            <w:noWrap/>
            <w:vAlign w:val="bottom"/>
            <w:hideMark/>
          </w:tcPr>
          <w:p w14:paraId="7222EE90" w14:textId="77777777" w:rsidR="00093875" w:rsidRPr="00093875" w:rsidRDefault="00093875" w:rsidP="00093875">
            <w:pPr>
              <w:spacing w:after="0" w:line="240" w:lineRule="auto"/>
              <w:rPr>
                <w:rFonts w:ascii="Times New Roman" w:hAnsi="Times New Roman" w:cs="Times New Roman"/>
                <w:sz w:val="20"/>
                <w:szCs w:val="20"/>
                <w:lang w:eastAsia="hr-HR"/>
              </w:rPr>
            </w:pPr>
          </w:p>
        </w:tc>
        <w:tc>
          <w:tcPr>
            <w:tcW w:w="1058" w:type="dxa"/>
            <w:tcBorders>
              <w:top w:val="nil"/>
              <w:left w:val="nil"/>
              <w:bottom w:val="nil"/>
              <w:right w:val="nil"/>
            </w:tcBorders>
            <w:shd w:val="clear" w:color="auto" w:fill="auto"/>
            <w:noWrap/>
            <w:vAlign w:val="bottom"/>
            <w:hideMark/>
          </w:tcPr>
          <w:p w14:paraId="41270B7D" w14:textId="77777777" w:rsidR="00093875" w:rsidRPr="00093875" w:rsidRDefault="00093875" w:rsidP="00093875">
            <w:pPr>
              <w:spacing w:after="0" w:line="240" w:lineRule="auto"/>
              <w:rPr>
                <w:rFonts w:ascii="Times New Roman" w:hAnsi="Times New Roman" w:cs="Times New Roman"/>
                <w:sz w:val="20"/>
                <w:szCs w:val="20"/>
                <w:lang w:eastAsia="hr-HR"/>
              </w:rPr>
            </w:pPr>
          </w:p>
        </w:tc>
        <w:tc>
          <w:tcPr>
            <w:tcW w:w="1057" w:type="dxa"/>
            <w:tcBorders>
              <w:top w:val="nil"/>
              <w:left w:val="nil"/>
              <w:bottom w:val="nil"/>
              <w:right w:val="nil"/>
            </w:tcBorders>
            <w:shd w:val="clear" w:color="auto" w:fill="auto"/>
            <w:noWrap/>
            <w:vAlign w:val="bottom"/>
            <w:hideMark/>
          </w:tcPr>
          <w:p w14:paraId="11F099F2" w14:textId="77777777" w:rsidR="00093875" w:rsidRPr="00093875" w:rsidRDefault="00093875" w:rsidP="00093875">
            <w:pPr>
              <w:spacing w:after="0" w:line="240" w:lineRule="auto"/>
              <w:rPr>
                <w:rFonts w:ascii="Times New Roman" w:hAnsi="Times New Roman" w:cs="Times New Roman"/>
                <w:sz w:val="20"/>
                <w:szCs w:val="20"/>
                <w:lang w:eastAsia="hr-HR"/>
              </w:rPr>
            </w:pPr>
          </w:p>
        </w:tc>
        <w:tc>
          <w:tcPr>
            <w:tcW w:w="1057" w:type="dxa"/>
            <w:tcBorders>
              <w:top w:val="nil"/>
              <w:left w:val="nil"/>
              <w:bottom w:val="nil"/>
              <w:right w:val="nil"/>
            </w:tcBorders>
            <w:shd w:val="clear" w:color="auto" w:fill="auto"/>
            <w:noWrap/>
            <w:vAlign w:val="bottom"/>
            <w:hideMark/>
          </w:tcPr>
          <w:p w14:paraId="564EA318" w14:textId="77777777" w:rsidR="00093875" w:rsidRPr="00093875" w:rsidRDefault="00093875" w:rsidP="00093875">
            <w:pPr>
              <w:spacing w:after="0" w:line="240" w:lineRule="auto"/>
              <w:rPr>
                <w:rFonts w:ascii="Times New Roman" w:hAnsi="Times New Roman" w:cs="Times New Roman"/>
                <w:sz w:val="20"/>
                <w:szCs w:val="20"/>
                <w:lang w:eastAsia="hr-HR"/>
              </w:rPr>
            </w:pPr>
          </w:p>
        </w:tc>
        <w:tc>
          <w:tcPr>
            <w:tcW w:w="1057" w:type="dxa"/>
            <w:tcBorders>
              <w:top w:val="nil"/>
              <w:left w:val="nil"/>
              <w:bottom w:val="nil"/>
              <w:right w:val="nil"/>
            </w:tcBorders>
            <w:shd w:val="clear" w:color="auto" w:fill="auto"/>
            <w:noWrap/>
            <w:vAlign w:val="bottom"/>
            <w:hideMark/>
          </w:tcPr>
          <w:p w14:paraId="21D3A2D1" w14:textId="77777777" w:rsidR="00093875" w:rsidRPr="00093875" w:rsidRDefault="00093875" w:rsidP="00093875">
            <w:pPr>
              <w:spacing w:after="0" w:line="240" w:lineRule="auto"/>
              <w:rPr>
                <w:rFonts w:ascii="Times New Roman" w:hAnsi="Times New Roman" w:cs="Times New Roman"/>
                <w:sz w:val="20"/>
                <w:szCs w:val="20"/>
                <w:lang w:eastAsia="hr-HR"/>
              </w:rPr>
            </w:pPr>
          </w:p>
        </w:tc>
        <w:tc>
          <w:tcPr>
            <w:tcW w:w="1057" w:type="dxa"/>
            <w:tcBorders>
              <w:top w:val="nil"/>
              <w:left w:val="nil"/>
              <w:bottom w:val="nil"/>
              <w:right w:val="nil"/>
            </w:tcBorders>
            <w:shd w:val="clear" w:color="auto" w:fill="auto"/>
            <w:noWrap/>
            <w:vAlign w:val="bottom"/>
            <w:hideMark/>
          </w:tcPr>
          <w:p w14:paraId="4F19F043" w14:textId="77777777" w:rsidR="00093875" w:rsidRPr="00093875" w:rsidRDefault="00093875" w:rsidP="00093875">
            <w:pPr>
              <w:spacing w:after="0" w:line="240" w:lineRule="auto"/>
              <w:rPr>
                <w:rFonts w:ascii="Times New Roman" w:hAnsi="Times New Roman" w:cs="Times New Roman"/>
                <w:sz w:val="20"/>
                <w:szCs w:val="20"/>
                <w:lang w:eastAsia="hr-HR"/>
              </w:rPr>
            </w:pPr>
          </w:p>
        </w:tc>
        <w:tc>
          <w:tcPr>
            <w:tcW w:w="1500" w:type="dxa"/>
            <w:tcBorders>
              <w:top w:val="nil"/>
              <w:left w:val="nil"/>
              <w:bottom w:val="nil"/>
              <w:right w:val="nil"/>
            </w:tcBorders>
            <w:shd w:val="clear" w:color="auto" w:fill="auto"/>
            <w:noWrap/>
            <w:vAlign w:val="bottom"/>
            <w:hideMark/>
          </w:tcPr>
          <w:p w14:paraId="312306FE" w14:textId="77777777" w:rsidR="00093875" w:rsidRPr="00093875" w:rsidRDefault="00093875" w:rsidP="00093875">
            <w:pPr>
              <w:spacing w:after="0" w:line="240" w:lineRule="auto"/>
              <w:rPr>
                <w:rFonts w:ascii="Times New Roman" w:hAnsi="Times New Roman" w:cs="Times New Roman"/>
                <w:sz w:val="20"/>
                <w:szCs w:val="20"/>
                <w:lang w:eastAsia="hr-HR"/>
              </w:rPr>
            </w:pPr>
          </w:p>
        </w:tc>
        <w:tc>
          <w:tcPr>
            <w:tcW w:w="1540" w:type="dxa"/>
            <w:tcBorders>
              <w:top w:val="nil"/>
              <w:left w:val="nil"/>
              <w:bottom w:val="nil"/>
              <w:right w:val="nil"/>
            </w:tcBorders>
            <w:shd w:val="clear" w:color="auto" w:fill="auto"/>
            <w:noWrap/>
            <w:vAlign w:val="bottom"/>
            <w:hideMark/>
          </w:tcPr>
          <w:p w14:paraId="27D01125" w14:textId="77777777" w:rsidR="00093875" w:rsidRPr="00093875" w:rsidRDefault="00093875" w:rsidP="00093875">
            <w:pPr>
              <w:spacing w:after="0" w:line="240" w:lineRule="auto"/>
              <w:jc w:val="right"/>
              <w:rPr>
                <w:rFonts w:ascii="Times New Roman" w:hAnsi="Times New Roman" w:cs="Times New Roman"/>
                <w:sz w:val="20"/>
                <w:szCs w:val="20"/>
                <w:lang w:eastAsia="hr-HR"/>
              </w:rPr>
            </w:pPr>
          </w:p>
        </w:tc>
        <w:tc>
          <w:tcPr>
            <w:tcW w:w="1460" w:type="dxa"/>
            <w:tcBorders>
              <w:top w:val="nil"/>
              <w:left w:val="nil"/>
              <w:bottom w:val="nil"/>
              <w:right w:val="nil"/>
            </w:tcBorders>
            <w:shd w:val="clear" w:color="auto" w:fill="auto"/>
            <w:noWrap/>
            <w:vAlign w:val="bottom"/>
            <w:hideMark/>
          </w:tcPr>
          <w:p w14:paraId="742E8E3B" w14:textId="77777777" w:rsidR="00093875" w:rsidRPr="00093875" w:rsidRDefault="00093875" w:rsidP="00093875">
            <w:pPr>
              <w:spacing w:after="0" w:line="240" w:lineRule="auto"/>
              <w:jc w:val="right"/>
              <w:rPr>
                <w:rFonts w:ascii="Times New Roman" w:hAnsi="Times New Roman" w:cs="Times New Roman"/>
                <w:sz w:val="20"/>
                <w:szCs w:val="20"/>
                <w:lang w:eastAsia="hr-HR"/>
              </w:rPr>
            </w:pPr>
          </w:p>
        </w:tc>
        <w:tc>
          <w:tcPr>
            <w:tcW w:w="1480" w:type="dxa"/>
            <w:tcBorders>
              <w:top w:val="nil"/>
              <w:left w:val="nil"/>
              <w:bottom w:val="nil"/>
              <w:right w:val="nil"/>
            </w:tcBorders>
            <w:shd w:val="clear" w:color="auto" w:fill="auto"/>
            <w:noWrap/>
            <w:vAlign w:val="bottom"/>
            <w:hideMark/>
          </w:tcPr>
          <w:p w14:paraId="39136CD0" w14:textId="77777777" w:rsidR="00093875" w:rsidRPr="00093875" w:rsidRDefault="00093875" w:rsidP="00093875">
            <w:pPr>
              <w:spacing w:after="0" w:line="240" w:lineRule="auto"/>
              <w:jc w:val="right"/>
              <w:rPr>
                <w:rFonts w:ascii="Times New Roman" w:hAnsi="Times New Roman" w:cs="Times New Roman"/>
                <w:sz w:val="20"/>
                <w:szCs w:val="20"/>
                <w:lang w:eastAsia="hr-HR"/>
              </w:rPr>
            </w:pPr>
          </w:p>
        </w:tc>
        <w:tc>
          <w:tcPr>
            <w:tcW w:w="1160" w:type="dxa"/>
            <w:tcBorders>
              <w:top w:val="nil"/>
              <w:left w:val="nil"/>
              <w:bottom w:val="nil"/>
              <w:right w:val="nil"/>
            </w:tcBorders>
            <w:shd w:val="clear" w:color="auto" w:fill="auto"/>
            <w:noWrap/>
            <w:vAlign w:val="bottom"/>
            <w:hideMark/>
          </w:tcPr>
          <w:p w14:paraId="3942394F" w14:textId="77777777" w:rsidR="00093875" w:rsidRPr="00093875" w:rsidRDefault="00093875" w:rsidP="00093875">
            <w:pPr>
              <w:spacing w:after="0" w:line="240" w:lineRule="auto"/>
              <w:jc w:val="right"/>
              <w:rPr>
                <w:rFonts w:ascii="Times New Roman" w:hAnsi="Times New Roman" w:cs="Times New Roman"/>
                <w:sz w:val="20"/>
                <w:szCs w:val="20"/>
                <w:lang w:eastAsia="hr-HR"/>
              </w:rPr>
            </w:pPr>
          </w:p>
        </w:tc>
      </w:tr>
      <w:tr w:rsidR="00093875" w:rsidRPr="00093875" w14:paraId="4682DC09" w14:textId="77777777" w:rsidTr="00093875">
        <w:trPr>
          <w:trHeight w:val="255"/>
        </w:trPr>
        <w:tc>
          <w:tcPr>
            <w:tcW w:w="7404" w:type="dxa"/>
            <w:gridSpan w:val="7"/>
            <w:tcBorders>
              <w:top w:val="nil"/>
              <w:left w:val="nil"/>
              <w:bottom w:val="nil"/>
              <w:right w:val="nil"/>
            </w:tcBorders>
            <w:shd w:val="clear" w:color="auto" w:fill="C6D9F1" w:themeFill="text2" w:themeFillTint="33"/>
            <w:noWrap/>
            <w:vAlign w:val="bottom"/>
            <w:hideMark/>
          </w:tcPr>
          <w:p w14:paraId="7E47458D" w14:textId="77777777" w:rsidR="00093875" w:rsidRPr="00093875" w:rsidRDefault="00093875" w:rsidP="00093875">
            <w:pPr>
              <w:spacing w:after="0" w:line="240" w:lineRule="auto"/>
              <w:rPr>
                <w:rFonts w:ascii="Arial" w:hAnsi="Arial" w:cs="Arial"/>
                <w:b/>
                <w:bCs/>
                <w:sz w:val="18"/>
                <w:szCs w:val="18"/>
                <w:lang w:eastAsia="hr-HR"/>
              </w:rPr>
            </w:pPr>
            <w:r w:rsidRPr="00093875">
              <w:rPr>
                <w:rFonts w:ascii="Arial" w:hAnsi="Arial" w:cs="Arial"/>
                <w:b/>
                <w:bCs/>
                <w:sz w:val="18"/>
                <w:szCs w:val="18"/>
                <w:lang w:eastAsia="hr-HR"/>
              </w:rPr>
              <w:t xml:space="preserve">5 Izdaci za financijsku imovinu i otplate zajmova                                                     </w:t>
            </w:r>
          </w:p>
        </w:tc>
        <w:tc>
          <w:tcPr>
            <w:tcW w:w="1500" w:type="dxa"/>
            <w:tcBorders>
              <w:top w:val="nil"/>
              <w:left w:val="nil"/>
              <w:bottom w:val="nil"/>
              <w:right w:val="nil"/>
            </w:tcBorders>
            <w:shd w:val="clear" w:color="auto" w:fill="C6D9F1" w:themeFill="text2" w:themeFillTint="33"/>
            <w:noWrap/>
            <w:vAlign w:val="bottom"/>
            <w:hideMark/>
          </w:tcPr>
          <w:p w14:paraId="0F4424B7" w14:textId="77777777" w:rsidR="00093875" w:rsidRPr="00093875" w:rsidRDefault="00093875" w:rsidP="00093875">
            <w:pPr>
              <w:spacing w:after="0" w:line="240" w:lineRule="auto"/>
              <w:jc w:val="right"/>
              <w:rPr>
                <w:rFonts w:ascii="Arial" w:hAnsi="Arial" w:cs="Arial"/>
                <w:b/>
                <w:bCs/>
                <w:sz w:val="18"/>
                <w:szCs w:val="18"/>
                <w:lang w:eastAsia="hr-HR"/>
              </w:rPr>
            </w:pPr>
            <w:r w:rsidRPr="00093875">
              <w:rPr>
                <w:rFonts w:ascii="Arial" w:hAnsi="Arial" w:cs="Arial"/>
                <w:b/>
                <w:bCs/>
                <w:sz w:val="18"/>
                <w:szCs w:val="18"/>
                <w:lang w:eastAsia="hr-HR"/>
              </w:rPr>
              <w:t>9.054,93</w:t>
            </w:r>
          </w:p>
        </w:tc>
        <w:tc>
          <w:tcPr>
            <w:tcW w:w="1540" w:type="dxa"/>
            <w:tcBorders>
              <w:top w:val="nil"/>
              <w:left w:val="nil"/>
              <w:bottom w:val="nil"/>
              <w:right w:val="nil"/>
            </w:tcBorders>
            <w:shd w:val="clear" w:color="auto" w:fill="C6D9F1" w:themeFill="text2" w:themeFillTint="33"/>
            <w:noWrap/>
            <w:vAlign w:val="bottom"/>
            <w:hideMark/>
          </w:tcPr>
          <w:p w14:paraId="444148F0" w14:textId="77777777" w:rsidR="00093875" w:rsidRPr="00093875" w:rsidRDefault="00093875" w:rsidP="00093875">
            <w:pPr>
              <w:spacing w:after="0" w:line="240" w:lineRule="auto"/>
              <w:jc w:val="right"/>
              <w:rPr>
                <w:rFonts w:ascii="Arial" w:hAnsi="Arial" w:cs="Arial"/>
                <w:b/>
                <w:bCs/>
                <w:sz w:val="18"/>
                <w:szCs w:val="18"/>
                <w:lang w:eastAsia="hr-HR"/>
              </w:rPr>
            </w:pPr>
            <w:r w:rsidRPr="00093875">
              <w:rPr>
                <w:rFonts w:ascii="Arial" w:hAnsi="Arial" w:cs="Arial"/>
                <w:b/>
                <w:bCs/>
                <w:sz w:val="18"/>
                <w:szCs w:val="18"/>
                <w:lang w:eastAsia="hr-HR"/>
              </w:rPr>
              <w:t>20.000,00</w:t>
            </w:r>
          </w:p>
        </w:tc>
        <w:tc>
          <w:tcPr>
            <w:tcW w:w="1460" w:type="dxa"/>
            <w:tcBorders>
              <w:top w:val="nil"/>
              <w:left w:val="nil"/>
              <w:bottom w:val="nil"/>
              <w:right w:val="nil"/>
            </w:tcBorders>
            <w:shd w:val="clear" w:color="auto" w:fill="C6D9F1" w:themeFill="text2" w:themeFillTint="33"/>
            <w:noWrap/>
            <w:vAlign w:val="bottom"/>
            <w:hideMark/>
          </w:tcPr>
          <w:p w14:paraId="1797EB78" w14:textId="77777777" w:rsidR="00093875" w:rsidRPr="00093875" w:rsidRDefault="00093875" w:rsidP="00093875">
            <w:pPr>
              <w:spacing w:after="0" w:line="240" w:lineRule="auto"/>
              <w:jc w:val="right"/>
              <w:rPr>
                <w:rFonts w:ascii="Arial" w:hAnsi="Arial" w:cs="Arial"/>
                <w:b/>
                <w:bCs/>
                <w:sz w:val="18"/>
                <w:szCs w:val="18"/>
                <w:lang w:eastAsia="hr-HR"/>
              </w:rPr>
            </w:pPr>
            <w:r w:rsidRPr="00093875">
              <w:rPr>
                <w:rFonts w:ascii="Arial" w:hAnsi="Arial" w:cs="Arial"/>
                <w:b/>
                <w:bCs/>
                <w:sz w:val="18"/>
                <w:szCs w:val="18"/>
                <w:lang w:eastAsia="hr-HR"/>
              </w:rPr>
              <w:t>20.000,00</w:t>
            </w:r>
          </w:p>
        </w:tc>
        <w:tc>
          <w:tcPr>
            <w:tcW w:w="1480" w:type="dxa"/>
            <w:tcBorders>
              <w:top w:val="nil"/>
              <w:left w:val="nil"/>
              <w:bottom w:val="nil"/>
              <w:right w:val="nil"/>
            </w:tcBorders>
            <w:shd w:val="clear" w:color="auto" w:fill="C6D9F1" w:themeFill="text2" w:themeFillTint="33"/>
            <w:noWrap/>
            <w:vAlign w:val="bottom"/>
            <w:hideMark/>
          </w:tcPr>
          <w:p w14:paraId="3A310AA0" w14:textId="77777777" w:rsidR="00093875" w:rsidRPr="00093875" w:rsidRDefault="00093875" w:rsidP="00093875">
            <w:pPr>
              <w:spacing w:after="0" w:line="240" w:lineRule="auto"/>
              <w:jc w:val="right"/>
              <w:rPr>
                <w:rFonts w:ascii="Arial" w:hAnsi="Arial" w:cs="Arial"/>
                <w:b/>
                <w:bCs/>
                <w:sz w:val="18"/>
                <w:szCs w:val="18"/>
                <w:lang w:eastAsia="hr-HR"/>
              </w:rPr>
            </w:pPr>
            <w:r w:rsidRPr="00093875">
              <w:rPr>
                <w:rFonts w:ascii="Arial" w:hAnsi="Arial" w:cs="Arial"/>
                <w:b/>
                <w:bCs/>
                <w:sz w:val="18"/>
                <w:szCs w:val="18"/>
                <w:lang w:eastAsia="hr-HR"/>
              </w:rPr>
              <w:t>220,87%</w:t>
            </w:r>
          </w:p>
        </w:tc>
        <w:tc>
          <w:tcPr>
            <w:tcW w:w="1160" w:type="dxa"/>
            <w:tcBorders>
              <w:top w:val="nil"/>
              <w:left w:val="nil"/>
              <w:bottom w:val="nil"/>
              <w:right w:val="nil"/>
            </w:tcBorders>
            <w:shd w:val="clear" w:color="auto" w:fill="C6D9F1" w:themeFill="text2" w:themeFillTint="33"/>
            <w:noWrap/>
            <w:vAlign w:val="bottom"/>
            <w:hideMark/>
          </w:tcPr>
          <w:p w14:paraId="0671602A" w14:textId="77777777" w:rsidR="00093875" w:rsidRPr="00093875" w:rsidRDefault="00093875" w:rsidP="00093875">
            <w:pPr>
              <w:spacing w:after="0" w:line="240" w:lineRule="auto"/>
              <w:jc w:val="right"/>
              <w:rPr>
                <w:rFonts w:ascii="Arial" w:hAnsi="Arial" w:cs="Arial"/>
                <w:b/>
                <w:bCs/>
                <w:sz w:val="18"/>
                <w:szCs w:val="18"/>
                <w:lang w:eastAsia="hr-HR"/>
              </w:rPr>
            </w:pPr>
            <w:r w:rsidRPr="00093875">
              <w:rPr>
                <w:rFonts w:ascii="Arial" w:hAnsi="Arial" w:cs="Arial"/>
                <w:b/>
                <w:bCs/>
                <w:sz w:val="18"/>
                <w:szCs w:val="18"/>
                <w:lang w:eastAsia="hr-HR"/>
              </w:rPr>
              <w:t>100,00%</w:t>
            </w:r>
          </w:p>
        </w:tc>
      </w:tr>
      <w:tr w:rsidR="00093875" w:rsidRPr="00093875" w14:paraId="71342598" w14:textId="77777777" w:rsidTr="00093875">
        <w:trPr>
          <w:trHeight w:val="255"/>
        </w:trPr>
        <w:tc>
          <w:tcPr>
            <w:tcW w:w="7404" w:type="dxa"/>
            <w:gridSpan w:val="7"/>
            <w:tcBorders>
              <w:top w:val="nil"/>
              <w:left w:val="nil"/>
              <w:bottom w:val="nil"/>
              <w:right w:val="nil"/>
            </w:tcBorders>
            <w:shd w:val="clear" w:color="auto" w:fill="auto"/>
            <w:noWrap/>
            <w:vAlign w:val="bottom"/>
            <w:hideMark/>
          </w:tcPr>
          <w:p w14:paraId="254028A0" w14:textId="77777777" w:rsidR="00093875" w:rsidRPr="00093875" w:rsidRDefault="00093875" w:rsidP="00093875">
            <w:pPr>
              <w:spacing w:after="0" w:line="240" w:lineRule="auto"/>
              <w:rPr>
                <w:rFonts w:ascii="Arial" w:hAnsi="Arial" w:cs="Arial"/>
                <w:b/>
                <w:bCs/>
                <w:sz w:val="18"/>
                <w:szCs w:val="18"/>
                <w:lang w:eastAsia="hr-HR"/>
              </w:rPr>
            </w:pPr>
            <w:r w:rsidRPr="00093875">
              <w:rPr>
                <w:rFonts w:ascii="Arial" w:hAnsi="Arial" w:cs="Arial"/>
                <w:b/>
                <w:bCs/>
                <w:sz w:val="18"/>
                <w:szCs w:val="18"/>
                <w:lang w:eastAsia="hr-HR"/>
              </w:rPr>
              <w:t xml:space="preserve">54 Izdaci za otplatu glavnice primljenih kredita i zajmova                                             </w:t>
            </w:r>
          </w:p>
        </w:tc>
        <w:tc>
          <w:tcPr>
            <w:tcW w:w="1500" w:type="dxa"/>
            <w:tcBorders>
              <w:top w:val="nil"/>
              <w:left w:val="nil"/>
              <w:bottom w:val="nil"/>
              <w:right w:val="nil"/>
            </w:tcBorders>
            <w:shd w:val="clear" w:color="auto" w:fill="auto"/>
            <w:noWrap/>
            <w:vAlign w:val="bottom"/>
            <w:hideMark/>
          </w:tcPr>
          <w:p w14:paraId="2963566C" w14:textId="77777777" w:rsidR="00093875" w:rsidRPr="00093875" w:rsidRDefault="00093875" w:rsidP="00093875">
            <w:pPr>
              <w:spacing w:after="0" w:line="240" w:lineRule="auto"/>
              <w:jc w:val="right"/>
              <w:rPr>
                <w:rFonts w:ascii="Arial" w:hAnsi="Arial" w:cs="Arial"/>
                <w:b/>
                <w:bCs/>
                <w:sz w:val="18"/>
                <w:szCs w:val="18"/>
                <w:lang w:eastAsia="hr-HR"/>
              </w:rPr>
            </w:pPr>
            <w:r w:rsidRPr="00093875">
              <w:rPr>
                <w:rFonts w:ascii="Arial" w:hAnsi="Arial" w:cs="Arial"/>
                <w:b/>
                <w:bCs/>
                <w:sz w:val="18"/>
                <w:szCs w:val="18"/>
                <w:lang w:eastAsia="hr-HR"/>
              </w:rPr>
              <w:t>9.054,93</w:t>
            </w:r>
          </w:p>
        </w:tc>
        <w:tc>
          <w:tcPr>
            <w:tcW w:w="1540" w:type="dxa"/>
            <w:tcBorders>
              <w:top w:val="nil"/>
              <w:left w:val="nil"/>
              <w:bottom w:val="nil"/>
              <w:right w:val="nil"/>
            </w:tcBorders>
            <w:shd w:val="clear" w:color="auto" w:fill="auto"/>
            <w:noWrap/>
            <w:vAlign w:val="bottom"/>
            <w:hideMark/>
          </w:tcPr>
          <w:p w14:paraId="62F72DF8" w14:textId="77777777" w:rsidR="00093875" w:rsidRPr="00093875" w:rsidRDefault="00093875" w:rsidP="00093875">
            <w:pPr>
              <w:spacing w:after="0" w:line="240" w:lineRule="auto"/>
              <w:jc w:val="right"/>
              <w:rPr>
                <w:rFonts w:ascii="Arial" w:hAnsi="Arial" w:cs="Arial"/>
                <w:b/>
                <w:bCs/>
                <w:sz w:val="18"/>
                <w:szCs w:val="18"/>
                <w:lang w:eastAsia="hr-HR"/>
              </w:rPr>
            </w:pPr>
            <w:r w:rsidRPr="00093875">
              <w:rPr>
                <w:rFonts w:ascii="Arial" w:hAnsi="Arial" w:cs="Arial"/>
                <w:b/>
                <w:bCs/>
                <w:sz w:val="18"/>
                <w:szCs w:val="18"/>
                <w:lang w:eastAsia="hr-HR"/>
              </w:rPr>
              <w:t>20.000,00</w:t>
            </w:r>
          </w:p>
        </w:tc>
        <w:tc>
          <w:tcPr>
            <w:tcW w:w="1460" w:type="dxa"/>
            <w:tcBorders>
              <w:top w:val="nil"/>
              <w:left w:val="nil"/>
              <w:bottom w:val="nil"/>
              <w:right w:val="nil"/>
            </w:tcBorders>
            <w:shd w:val="clear" w:color="auto" w:fill="auto"/>
            <w:noWrap/>
            <w:vAlign w:val="bottom"/>
            <w:hideMark/>
          </w:tcPr>
          <w:p w14:paraId="3FAB80E6" w14:textId="77777777" w:rsidR="00093875" w:rsidRPr="00093875" w:rsidRDefault="00093875" w:rsidP="00093875">
            <w:pPr>
              <w:spacing w:after="0" w:line="240" w:lineRule="auto"/>
              <w:jc w:val="right"/>
              <w:rPr>
                <w:rFonts w:ascii="Arial" w:hAnsi="Arial" w:cs="Arial"/>
                <w:b/>
                <w:bCs/>
                <w:sz w:val="18"/>
                <w:szCs w:val="18"/>
                <w:lang w:eastAsia="hr-HR"/>
              </w:rPr>
            </w:pPr>
            <w:r w:rsidRPr="00093875">
              <w:rPr>
                <w:rFonts w:ascii="Arial" w:hAnsi="Arial" w:cs="Arial"/>
                <w:b/>
                <w:bCs/>
                <w:sz w:val="18"/>
                <w:szCs w:val="18"/>
                <w:lang w:eastAsia="hr-HR"/>
              </w:rPr>
              <w:t>20.000,00</w:t>
            </w:r>
          </w:p>
        </w:tc>
        <w:tc>
          <w:tcPr>
            <w:tcW w:w="1480" w:type="dxa"/>
            <w:tcBorders>
              <w:top w:val="nil"/>
              <w:left w:val="nil"/>
              <w:bottom w:val="nil"/>
              <w:right w:val="nil"/>
            </w:tcBorders>
            <w:shd w:val="clear" w:color="auto" w:fill="auto"/>
            <w:noWrap/>
            <w:vAlign w:val="bottom"/>
            <w:hideMark/>
          </w:tcPr>
          <w:p w14:paraId="317CD06C" w14:textId="77777777" w:rsidR="00093875" w:rsidRPr="00093875" w:rsidRDefault="00093875" w:rsidP="00093875">
            <w:pPr>
              <w:spacing w:after="0" w:line="240" w:lineRule="auto"/>
              <w:jc w:val="right"/>
              <w:rPr>
                <w:rFonts w:ascii="Arial" w:hAnsi="Arial" w:cs="Arial"/>
                <w:b/>
                <w:bCs/>
                <w:sz w:val="18"/>
                <w:szCs w:val="18"/>
                <w:lang w:eastAsia="hr-HR"/>
              </w:rPr>
            </w:pPr>
            <w:r w:rsidRPr="00093875">
              <w:rPr>
                <w:rFonts w:ascii="Arial" w:hAnsi="Arial" w:cs="Arial"/>
                <w:b/>
                <w:bCs/>
                <w:sz w:val="18"/>
                <w:szCs w:val="18"/>
                <w:lang w:eastAsia="hr-HR"/>
              </w:rPr>
              <w:t>220,87%</w:t>
            </w:r>
          </w:p>
        </w:tc>
        <w:tc>
          <w:tcPr>
            <w:tcW w:w="1160" w:type="dxa"/>
            <w:tcBorders>
              <w:top w:val="nil"/>
              <w:left w:val="nil"/>
              <w:bottom w:val="nil"/>
              <w:right w:val="nil"/>
            </w:tcBorders>
            <w:shd w:val="clear" w:color="auto" w:fill="auto"/>
            <w:noWrap/>
            <w:vAlign w:val="bottom"/>
            <w:hideMark/>
          </w:tcPr>
          <w:p w14:paraId="1C54830C" w14:textId="77777777" w:rsidR="00093875" w:rsidRPr="00093875" w:rsidRDefault="00093875" w:rsidP="00093875">
            <w:pPr>
              <w:spacing w:after="0" w:line="240" w:lineRule="auto"/>
              <w:jc w:val="right"/>
              <w:rPr>
                <w:rFonts w:ascii="Arial" w:hAnsi="Arial" w:cs="Arial"/>
                <w:b/>
                <w:bCs/>
                <w:sz w:val="18"/>
                <w:szCs w:val="18"/>
                <w:lang w:eastAsia="hr-HR"/>
              </w:rPr>
            </w:pPr>
            <w:r w:rsidRPr="00093875">
              <w:rPr>
                <w:rFonts w:ascii="Arial" w:hAnsi="Arial" w:cs="Arial"/>
                <w:b/>
                <w:bCs/>
                <w:sz w:val="18"/>
                <w:szCs w:val="18"/>
                <w:lang w:eastAsia="hr-HR"/>
              </w:rPr>
              <w:t>100,00%</w:t>
            </w:r>
          </w:p>
        </w:tc>
      </w:tr>
      <w:tr w:rsidR="00093875" w:rsidRPr="00093875" w14:paraId="79594316" w14:textId="77777777" w:rsidTr="00093875">
        <w:trPr>
          <w:trHeight w:val="255"/>
        </w:trPr>
        <w:tc>
          <w:tcPr>
            <w:tcW w:w="7404" w:type="dxa"/>
            <w:gridSpan w:val="7"/>
            <w:tcBorders>
              <w:top w:val="nil"/>
              <w:left w:val="nil"/>
              <w:bottom w:val="nil"/>
              <w:right w:val="nil"/>
            </w:tcBorders>
            <w:shd w:val="clear" w:color="auto" w:fill="auto"/>
            <w:noWrap/>
            <w:vAlign w:val="bottom"/>
            <w:hideMark/>
          </w:tcPr>
          <w:p w14:paraId="789327EF" w14:textId="77777777" w:rsidR="00093875" w:rsidRPr="00093875" w:rsidRDefault="00093875" w:rsidP="00093875">
            <w:pPr>
              <w:spacing w:after="0" w:line="240" w:lineRule="auto"/>
              <w:rPr>
                <w:rFonts w:ascii="Arial" w:hAnsi="Arial" w:cs="Arial"/>
                <w:sz w:val="18"/>
                <w:szCs w:val="18"/>
                <w:lang w:eastAsia="hr-HR"/>
              </w:rPr>
            </w:pPr>
            <w:r w:rsidRPr="00093875">
              <w:rPr>
                <w:rFonts w:ascii="Arial" w:hAnsi="Arial" w:cs="Arial"/>
                <w:sz w:val="18"/>
                <w:szCs w:val="18"/>
                <w:lang w:eastAsia="hr-HR"/>
              </w:rPr>
              <w:t xml:space="preserve">547 Otplata glavnice primljenih zajmova od drugih razina vlasti                                         </w:t>
            </w:r>
          </w:p>
        </w:tc>
        <w:tc>
          <w:tcPr>
            <w:tcW w:w="1500" w:type="dxa"/>
            <w:tcBorders>
              <w:top w:val="nil"/>
              <w:left w:val="nil"/>
              <w:bottom w:val="nil"/>
              <w:right w:val="nil"/>
            </w:tcBorders>
            <w:shd w:val="clear" w:color="auto" w:fill="auto"/>
            <w:noWrap/>
            <w:vAlign w:val="bottom"/>
            <w:hideMark/>
          </w:tcPr>
          <w:p w14:paraId="406FF56F" w14:textId="77777777" w:rsidR="00093875" w:rsidRPr="00093875" w:rsidRDefault="00093875" w:rsidP="00093875">
            <w:pPr>
              <w:spacing w:after="0" w:line="240" w:lineRule="auto"/>
              <w:jc w:val="right"/>
              <w:rPr>
                <w:rFonts w:ascii="Arial" w:hAnsi="Arial" w:cs="Arial"/>
                <w:sz w:val="18"/>
                <w:szCs w:val="18"/>
                <w:lang w:eastAsia="hr-HR"/>
              </w:rPr>
            </w:pPr>
            <w:r w:rsidRPr="00093875">
              <w:rPr>
                <w:rFonts w:ascii="Arial" w:hAnsi="Arial" w:cs="Arial"/>
                <w:sz w:val="18"/>
                <w:szCs w:val="18"/>
                <w:lang w:eastAsia="hr-HR"/>
              </w:rPr>
              <w:t>9.054,93</w:t>
            </w:r>
          </w:p>
        </w:tc>
        <w:tc>
          <w:tcPr>
            <w:tcW w:w="1540" w:type="dxa"/>
            <w:tcBorders>
              <w:top w:val="nil"/>
              <w:left w:val="nil"/>
              <w:bottom w:val="nil"/>
              <w:right w:val="nil"/>
            </w:tcBorders>
            <w:shd w:val="clear" w:color="auto" w:fill="auto"/>
            <w:noWrap/>
            <w:vAlign w:val="bottom"/>
            <w:hideMark/>
          </w:tcPr>
          <w:p w14:paraId="222775AC" w14:textId="77777777" w:rsidR="00093875" w:rsidRPr="00093875" w:rsidRDefault="00093875" w:rsidP="00093875">
            <w:pPr>
              <w:spacing w:after="0" w:line="240" w:lineRule="auto"/>
              <w:jc w:val="right"/>
              <w:rPr>
                <w:rFonts w:ascii="Arial" w:hAnsi="Arial" w:cs="Arial"/>
                <w:sz w:val="18"/>
                <w:szCs w:val="18"/>
                <w:lang w:eastAsia="hr-HR"/>
              </w:rPr>
            </w:pPr>
          </w:p>
        </w:tc>
        <w:tc>
          <w:tcPr>
            <w:tcW w:w="1460" w:type="dxa"/>
            <w:tcBorders>
              <w:top w:val="nil"/>
              <w:left w:val="nil"/>
              <w:bottom w:val="nil"/>
              <w:right w:val="nil"/>
            </w:tcBorders>
            <w:shd w:val="clear" w:color="auto" w:fill="auto"/>
            <w:noWrap/>
            <w:vAlign w:val="bottom"/>
            <w:hideMark/>
          </w:tcPr>
          <w:p w14:paraId="5EDA12DC" w14:textId="77777777" w:rsidR="00093875" w:rsidRPr="00093875" w:rsidRDefault="00093875" w:rsidP="00093875">
            <w:pPr>
              <w:spacing w:after="0" w:line="240" w:lineRule="auto"/>
              <w:jc w:val="right"/>
              <w:rPr>
                <w:rFonts w:ascii="Arial" w:hAnsi="Arial" w:cs="Arial"/>
                <w:sz w:val="18"/>
                <w:szCs w:val="18"/>
                <w:lang w:eastAsia="hr-HR"/>
              </w:rPr>
            </w:pPr>
            <w:r w:rsidRPr="00093875">
              <w:rPr>
                <w:rFonts w:ascii="Arial" w:hAnsi="Arial" w:cs="Arial"/>
                <w:sz w:val="18"/>
                <w:szCs w:val="18"/>
                <w:lang w:eastAsia="hr-HR"/>
              </w:rPr>
              <w:t>20.000,00</w:t>
            </w:r>
          </w:p>
        </w:tc>
        <w:tc>
          <w:tcPr>
            <w:tcW w:w="1480" w:type="dxa"/>
            <w:tcBorders>
              <w:top w:val="nil"/>
              <w:left w:val="nil"/>
              <w:bottom w:val="nil"/>
              <w:right w:val="nil"/>
            </w:tcBorders>
            <w:shd w:val="clear" w:color="auto" w:fill="auto"/>
            <w:noWrap/>
            <w:vAlign w:val="bottom"/>
            <w:hideMark/>
          </w:tcPr>
          <w:p w14:paraId="6F1277C8" w14:textId="77777777" w:rsidR="00093875" w:rsidRPr="00093875" w:rsidRDefault="00093875" w:rsidP="00093875">
            <w:pPr>
              <w:spacing w:after="0" w:line="240" w:lineRule="auto"/>
              <w:jc w:val="right"/>
              <w:rPr>
                <w:rFonts w:ascii="Arial" w:hAnsi="Arial" w:cs="Arial"/>
                <w:sz w:val="18"/>
                <w:szCs w:val="18"/>
                <w:lang w:eastAsia="hr-HR"/>
              </w:rPr>
            </w:pPr>
            <w:r w:rsidRPr="00093875">
              <w:rPr>
                <w:rFonts w:ascii="Arial" w:hAnsi="Arial" w:cs="Arial"/>
                <w:sz w:val="18"/>
                <w:szCs w:val="18"/>
                <w:lang w:eastAsia="hr-HR"/>
              </w:rPr>
              <w:t>220,87%</w:t>
            </w:r>
          </w:p>
        </w:tc>
        <w:tc>
          <w:tcPr>
            <w:tcW w:w="1160" w:type="dxa"/>
            <w:tcBorders>
              <w:top w:val="nil"/>
              <w:left w:val="nil"/>
              <w:bottom w:val="nil"/>
              <w:right w:val="nil"/>
            </w:tcBorders>
            <w:shd w:val="clear" w:color="auto" w:fill="auto"/>
            <w:noWrap/>
            <w:vAlign w:val="bottom"/>
            <w:hideMark/>
          </w:tcPr>
          <w:p w14:paraId="328A2925" w14:textId="77777777" w:rsidR="00093875" w:rsidRPr="00093875" w:rsidRDefault="00093875" w:rsidP="00093875">
            <w:pPr>
              <w:spacing w:after="0" w:line="240" w:lineRule="auto"/>
              <w:jc w:val="right"/>
              <w:rPr>
                <w:rFonts w:ascii="Arial" w:hAnsi="Arial" w:cs="Arial"/>
                <w:sz w:val="18"/>
                <w:szCs w:val="18"/>
                <w:lang w:eastAsia="hr-HR"/>
              </w:rPr>
            </w:pPr>
          </w:p>
        </w:tc>
      </w:tr>
      <w:tr w:rsidR="00093875" w:rsidRPr="00093875" w14:paraId="382CFE4F" w14:textId="77777777" w:rsidTr="00093875">
        <w:trPr>
          <w:trHeight w:val="255"/>
        </w:trPr>
        <w:tc>
          <w:tcPr>
            <w:tcW w:w="7404" w:type="dxa"/>
            <w:gridSpan w:val="7"/>
            <w:tcBorders>
              <w:top w:val="nil"/>
              <w:left w:val="nil"/>
              <w:bottom w:val="nil"/>
              <w:right w:val="nil"/>
            </w:tcBorders>
            <w:shd w:val="clear" w:color="auto" w:fill="auto"/>
            <w:noWrap/>
            <w:vAlign w:val="bottom"/>
            <w:hideMark/>
          </w:tcPr>
          <w:p w14:paraId="706F8A3E" w14:textId="77777777" w:rsidR="00093875" w:rsidRPr="00093875" w:rsidRDefault="00093875" w:rsidP="00093875">
            <w:pPr>
              <w:spacing w:after="0" w:line="240" w:lineRule="auto"/>
              <w:rPr>
                <w:rFonts w:ascii="Arial" w:hAnsi="Arial" w:cs="Arial"/>
                <w:sz w:val="18"/>
                <w:szCs w:val="18"/>
                <w:lang w:eastAsia="hr-HR"/>
              </w:rPr>
            </w:pPr>
            <w:r w:rsidRPr="00093875">
              <w:rPr>
                <w:rFonts w:ascii="Arial" w:hAnsi="Arial" w:cs="Arial"/>
                <w:sz w:val="18"/>
                <w:szCs w:val="18"/>
                <w:lang w:eastAsia="hr-HR"/>
              </w:rPr>
              <w:t xml:space="preserve">5471 Otplata glavnice primljenih zajmova od državnog proračuna                                           </w:t>
            </w:r>
          </w:p>
        </w:tc>
        <w:tc>
          <w:tcPr>
            <w:tcW w:w="1500" w:type="dxa"/>
            <w:tcBorders>
              <w:top w:val="nil"/>
              <w:left w:val="nil"/>
              <w:bottom w:val="nil"/>
              <w:right w:val="nil"/>
            </w:tcBorders>
            <w:shd w:val="clear" w:color="auto" w:fill="auto"/>
            <w:noWrap/>
            <w:vAlign w:val="bottom"/>
            <w:hideMark/>
          </w:tcPr>
          <w:p w14:paraId="0217520E" w14:textId="77777777" w:rsidR="00093875" w:rsidRPr="00093875" w:rsidRDefault="00093875" w:rsidP="00093875">
            <w:pPr>
              <w:spacing w:after="0" w:line="240" w:lineRule="auto"/>
              <w:jc w:val="right"/>
              <w:rPr>
                <w:rFonts w:ascii="Arial" w:hAnsi="Arial" w:cs="Arial"/>
                <w:sz w:val="18"/>
                <w:szCs w:val="18"/>
                <w:lang w:eastAsia="hr-HR"/>
              </w:rPr>
            </w:pPr>
            <w:r w:rsidRPr="00093875">
              <w:rPr>
                <w:rFonts w:ascii="Arial" w:hAnsi="Arial" w:cs="Arial"/>
                <w:sz w:val="18"/>
                <w:szCs w:val="18"/>
                <w:lang w:eastAsia="hr-HR"/>
              </w:rPr>
              <w:t>9.054,93</w:t>
            </w:r>
          </w:p>
        </w:tc>
        <w:tc>
          <w:tcPr>
            <w:tcW w:w="1540" w:type="dxa"/>
            <w:tcBorders>
              <w:top w:val="nil"/>
              <w:left w:val="nil"/>
              <w:bottom w:val="nil"/>
              <w:right w:val="nil"/>
            </w:tcBorders>
            <w:shd w:val="clear" w:color="auto" w:fill="auto"/>
            <w:noWrap/>
            <w:vAlign w:val="bottom"/>
            <w:hideMark/>
          </w:tcPr>
          <w:p w14:paraId="53B39B5B" w14:textId="77777777" w:rsidR="00093875" w:rsidRPr="00093875" w:rsidRDefault="00093875" w:rsidP="00093875">
            <w:pPr>
              <w:spacing w:after="0" w:line="240" w:lineRule="auto"/>
              <w:jc w:val="right"/>
              <w:rPr>
                <w:rFonts w:ascii="Arial" w:hAnsi="Arial" w:cs="Arial"/>
                <w:sz w:val="18"/>
                <w:szCs w:val="18"/>
                <w:lang w:eastAsia="hr-HR"/>
              </w:rPr>
            </w:pPr>
          </w:p>
        </w:tc>
        <w:tc>
          <w:tcPr>
            <w:tcW w:w="1460" w:type="dxa"/>
            <w:tcBorders>
              <w:top w:val="nil"/>
              <w:left w:val="nil"/>
              <w:bottom w:val="nil"/>
              <w:right w:val="nil"/>
            </w:tcBorders>
            <w:shd w:val="clear" w:color="auto" w:fill="auto"/>
            <w:noWrap/>
            <w:vAlign w:val="bottom"/>
            <w:hideMark/>
          </w:tcPr>
          <w:p w14:paraId="2C5BDBB6" w14:textId="77777777" w:rsidR="00093875" w:rsidRPr="00093875" w:rsidRDefault="00093875" w:rsidP="00093875">
            <w:pPr>
              <w:spacing w:after="0" w:line="240" w:lineRule="auto"/>
              <w:jc w:val="right"/>
              <w:rPr>
                <w:rFonts w:ascii="Arial" w:hAnsi="Arial" w:cs="Arial"/>
                <w:sz w:val="18"/>
                <w:szCs w:val="18"/>
                <w:lang w:eastAsia="hr-HR"/>
              </w:rPr>
            </w:pPr>
            <w:r w:rsidRPr="00093875">
              <w:rPr>
                <w:rFonts w:ascii="Arial" w:hAnsi="Arial" w:cs="Arial"/>
                <w:sz w:val="18"/>
                <w:szCs w:val="18"/>
                <w:lang w:eastAsia="hr-HR"/>
              </w:rPr>
              <w:t>20.000,00</w:t>
            </w:r>
          </w:p>
        </w:tc>
        <w:tc>
          <w:tcPr>
            <w:tcW w:w="1480" w:type="dxa"/>
            <w:tcBorders>
              <w:top w:val="nil"/>
              <w:left w:val="nil"/>
              <w:bottom w:val="nil"/>
              <w:right w:val="nil"/>
            </w:tcBorders>
            <w:shd w:val="clear" w:color="auto" w:fill="auto"/>
            <w:noWrap/>
            <w:vAlign w:val="bottom"/>
            <w:hideMark/>
          </w:tcPr>
          <w:p w14:paraId="5B08A3F1" w14:textId="77777777" w:rsidR="00093875" w:rsidRPr="00093875" w:rsidRDefault="00093875" w:rsidP="00093875">
            <w:pPr>
              <w:spacing w:after="0" w:line="240" w:lineRule="auto"/>
              <w:jc w:val="right"/>
              <w:rPr>
                <w:rFonts w:ascii="Arial" w:hAnsi="Arial" w:cs="Arial"/>
                <w:sz w:val="18"/>
                <w:szCs w:val="18"/>
                <w:lang w:eastAsia="hr-HR"/>
              </w:rPr>
            </w:pPr>
            <w:r w:rsidRPr="00093875">
              <w:rPr>
                <w:rFonts w:ascii="Arial" w:hAnsi="Arial" w:cs="Arial"/>
                <w:sz w:val="18"/>
                <w:szCs w:val="18"/>
                <w:lang w:eastAsia="hr-HR"/>
              </w:rPr>
              <w:t>220,87%</w:t>
            </w:r>
          </w:p>
        </w:tc>
        <w:tc>
          <w:tcPr>
            <w:tcW w:w="1160" w:type="dxa"/>
            <w:tcBorders>
              <w:top w:val="nil"/>
              <w:left w:val="nil"/>
              <w:bottom w:val="nil"/>
              <w:right w:val="nil"/>
            </w:tcBorders>
            <w:shd w:val="clear" w:color="auto" w:fill="auto"/>
            <w:noWrap/>
            <w:vAlign w:val="bottom"/>
            <w:hideMark/>
          </w:tcPr>
          <w:p w14:paraId="758631AF" w14:textId="77777777" w:rsidR="00093875" w:rsidRPr="00093875" w:rsidRDefault="00093875" w:rsidP="00093875">
            <w:pPr>
              <w:spacing w:after="0" w:line="240" w:lineRule="auto"/>
              <w:jc w:val="right"/>
              <w:rPr>
                <w:rFonts w:ascii="Arial" w:hAnsi="Arial" w:cs="Arial"/>
                <w:sz w:val="18"/>
                <w:szCs w:val="18"/>
                <w:lang w:eastAsia="hr-HR"/>
              </w:rPr>
            </w:pPr>
          </w:p>
        </w:tc>
      </w:tr>
      <w:tr w:rsidR="00093875" w:rsidRPr="00093875" w14:paraId="630A0AD2" w14:textId="77777777" w:rsidTr="00093875">
        <w:trPr>
          <w:trHeight w:val="255"/>
        </w:trPr>
        <w:tc>
          <w:tcPr>
            <w:tcW w:w="7404" w:type="dxa"/>
            <w:gridSpan w:val="7"/>
            <w:tcBorders>
              <w:top w:val="nil"/>
              <w:left w:val="nil"/>
              <w:bottom w:val="nil"/>
              <w:right w:val="nil"/>
            </w:tcBorders>
            <w:shd w:val="clear" w:color="000000" w:fill="203764"/>
            <w:noWrap/>
            <w:vAlign w:val="bottom"/>
            <w:hideMark/>
          </w:tcPr>
          <w:p w14:paraId="312500BB" w14:textId="77777777" w:rsidR="00093875" w:rsidRPr="00093875" w:rsidRDefault="00093875" w:rsidP="00093875">
            <w:pPr>
              <w:spacing w:after="0" w:line="240" w:lineRule="auto"/>
              <w:rPr>
                <w:rFonts w:ascii="Arial" w:hAnsi="Arial" w:cs="Arial"/>
                <w:b/>
                <w:bCs/>
                <w:color w:val="FFFFFF"/>
                <w:sz w:val="18"/>
                <w:szCs w:val="18"/>
                <w:lang w:eastAsia="hr-HR"/>
              </w:rPr>
            </w:pPr>
            <w:r w:rsidRPr="00093875">
              <w:rPr>
                <w:rFonts w:ascii="Arial" w:hAnsi="Arial" w:cs="Arial"/>
                <w:b/>
                <w:bCs/>
                <w:color w:val="FFFFFF"/>
                <w:sz w:val="18"/>
                <w:szCs w:val="18"/>
                <w:lang w:eastAsia="hr-HR"/>
              </w:rPr>
              <w:t xml:space="preserve"> NETO FINANCIRANJE</w:t>
            </w:r>
          </w:p>
        </w:tc>
        <w:tc>
          <w:tcPr>
            <w:tcW w:w="1500" w:type="dxa"/>
            <w:tcBorders>
              <w:top w:val="nil"/>
              <w:left w:val="nil"/>
              <w:bottom w:val="nil"/>
              <w:right w:val="nil"/>
            </w:tcBorders>
            <w:shd w:val="clear" w:color="000000" w:fill="203764"/>
            <w:noWrap/>
            <w:vAlign w:val="bottom"/>
            <w:hideMark/>
          </w:tcPr>
          <w:p w14:paraId="7399CC37" w14:textId="77777777" w:rsidR="00093875" w:rsidRPr="00093875" w:rsidRDefault="00093875" w:rsidP="00093875">
            <w:pPr>
              <w:spacing w:after="0" w:line="240" w:lineRule="auto"/>
              <w:jc w:val="right"/>
              <w:rPr>
                <w:rFonts w:ascii="Arial" w:hAnsi="Arial" w:cs="Arial"/>
                <w:b/>
                <w:bCs/>
                <w:color w:val="FFFFFF"/>
                <w:sz w:val="18"/>
                <w:szCs w:val="18"/>
                <w:lang w:eastAsia="hr-HR"/>
              </w:rPr>
            </w:pPr>
            <w:r w:rsidRPr="00093875">
              <w:rPr>
                <w:rFonts w:ascii="Arial" w:hAnsi="Arial" w:cs="Arial"/>
                <w:b/>
                <w:bCs/>
                <w:color w:val="FFFFFF"/>
                <w:sz w:val="18"/>
                <w:szCs w:val="18"/>
                <w:lang w:eastAsia="hr-HR"/>
              </w:rPr>
              <w:t>-9.054,93</w:t>
            </w:r>
          </w:p>
        </w:tc>
        <w:tc>
          <w:tcPr>
            <w:tcW w:w="1540" w:type="dxa"/>
            <w:tcBorders>
              <w:top w:val="nil"/>
              <w:left w:val="nil"/>
              <w:bottom w:val="nil"/>
              <w:right w:val="nil"/>
            </w:tcBorders>
            <w:shd w:val="clear" w:color="000000" w:fill="203764"/>
            <w:noWrap/>
            <w:vAlign w:val="bottom"/>
            <w:hideMark/>
          </w:tcPr>
          <w:p w14:paraId="6E3C425A" w14:textId="77777777" w:rsidR="00093875" w:rsidRPr="00093875" w:rsidRDefault="00093875" w:rsidP="00093875">
            <w:pPr>
              <w:spacing w:after="0" w:line="240" w:lineRule="auto"/>
              <w:jc w:val="right"/>
              <w:rPr>
                <w:rFonts w:ascii="Arial" w:hAnsi="Arial" w:cs="Arial"/>
                <w:b/>
                <w:bCs/>
                <w:color w:val="FFFFFF"/>
                <w:sz w:val="18"/>
                <w:szCs w:val="18"/>
                <w:lang w:eastAsia="hr-HR"/>
              </w:rPr>
            </w:pPr>
            <w:r w:rsidRPr="00093875">
              <w:rPr>
                <w:rFonts w:ascii="Arial" w:hAnsi="Arial" w:cs="Arial"/>
                <w:b/>
                <w:bCs/>
                <w:color w:val="FFFFFF"/>
                <w:sz w:val="18"/>
                <w:szCs w:val="18"/>
                <w:lang w:eastAsia="hr-HR"/>
              </w:rPr>
              <w:t>1.593.816,29</w:t>
            </w:r>
          </w:p>
        </w:tc>
        <w:tc>
          <w:tcPr>
            <w:tcW w:w="1460" w:type="dxa"/>
            <w:tcBorders>
              <w:top w:val="nil"/>
              <w:left w:val="nil"/>
              <w:bottom w:val="nil"/>
              <w:right w:val="nil"/>
            </w:tcBorders>
            <w:shd w:val="clear" w:color="000000" w:fill="203764"/>
            <w:noWrap/>
            <w:vAlign w:val="bottom"/>
            <w:hideMark/>
          </w:tcPr>
          <w:p w14:paraId="18CA77F3" w14:textId="77777777" w:rsidR="00093875" w:rsidRPr="00093875" w:rsidRDefault="00093875" w:rsidP="00093875">
            <w:pPr>
              <w:spacing w:after="0" w:line="240" w:lineRule="auto"/>
              <w:jc w:val="right"/>
              <w:rPr>
                <w:rFonts w:ascii="Arial" w:hAnsi="Arial" w:cs="Arial"/>
                <w:b/>
                <w:bCs/>
                <w:color w:val="FFFFFF"/>
                <w:sz w:val="18"/>
                <w:szCs w:val="18"/>
                <w:lang w:eastAsia="hr-HR"/>
              </w:rPr>
            </w:pPr>
            <w:r w:rsidRPr="00093875">
              <w:rPr>
                <w:rFonts w:ascii="Arial" w:hAnsi="Arial" w:cs="Arial"/>
                <w:b/>
                <w:bCs/>
                <w:color w:val="FFFFFF"/>
                <w:sz w:val="18"/>
                <w:szCs w:val="18"/>
                <w:lang w:eastAsia="hr-HR"/>
              </w:rPr>
              <w:t>607.143,50</w:t>
            </w:r>
          </w:p>
        </w:tc>
        <w:tc>
          <w:tcPr>
            <w:tcW w:w="1480" w:type="dxa"/>
            <w:tcBorders>
              <w:top w:val="nil"/>
              <w:left w:val="nil"/>
              <w:bottom w:val="nil"/>
              <w:right w:val="nil"/>
            </w:tcBorders>
            <w:shd w:val="clear" w:color="000000" w:fill="203764"/>
            <w:noWrap/>
            <w:vAlign w:val="bottom"/>
            <w:hideMark/>
          </w:tcPr>
          <w:p w14:paraId="2A68657E" w14:textId="77777777" w:rsidR="00093875" w:rsidRPr="00093875" w:rsidRDefault="00093875" w:rsidP="00093875">
            <w:pPr>
              <w:spacing w:after="0" w:line="240" w:lineRule="auto"/>
              <w:jc w:val="right"/>
              <w:rPr>
                <w:rFonts w:ascii="Arial" w:hAnsi="Arial" w:cs="Arial"/>
                <w:b/>
                <w:bCs/>
                <w:color w:val="FFFFFF"/>
                <w:sz w:val="18"/>
                <w:szCs w:val="18"/>
                <w:lang w:eastAsia="hr-HR"/>
              </w:rPr>
            </w:pPr>
            <w:r w:rsidRPr="00093875">
              <w:rPr>
                <w:rFonts w:ascii="Arial" w:hAnsi="Arial" w:cs="Arial"/>
                <w:b/>
                <w:bCs/>
                <w:color w:val="FFFFFF"/>
                <w:sz w:val="18"/>
                <w:szCs w:val="18"/>
                <w:lang w:eastAsia="hr-HR"/>
              </w:rPr>
              <w:t>-6705,12%</w:t>
            </w:r>
          </w:p>
        </w:tc>
        <w:tc>
          <w:tcPr>
            <w:tcW w:w="1160" w:type="dxa"/>
            <w:tcBorders>
              <w:top w:val="nil"/>
              <w:left w:val="nil"/>
              <w:bottom w:val="nil"/>
              <w:right w:val="nil"/>
            </w:tcBorders>
            <w:shd w:val="clear" w:color="000000" w:fill="203764"/>
            <w:noWrap/>
            <w:vAlign w:val="bottom"/>
            <w:hideMark/>
          </w:tcPr>
          <w:p w14:paraId="020A5FCE" w14:textId="77777777" w:rsidR="00093875" w:rsidRPr="00093875" w:rsidRDefault="00093875" w:rsidP="00093875">
            <w:pPr>
              <w:spacing w:after="0" w:line="240" w:lineRule="auto"/>
              <w:jc w:val="right"/>
              <w:rPr>
                <w:rFonts w:ascii="Arial" w:hAnsi="Arial" w:cs="Arial"/>
                <w:b/>
                <w:bCs/>
                <w:color w:val="FFFFFF"/>
                <w:sz w:val="18"/>
                <w:szCs w:val="18"/>
                <w:lang w:eastAsia="hr-HR"/>
              </w:rPr>
            </w:pPr>
            <w:r w:rsidRPr="00093875">
              <w:rPr>
                <w:rFonts w:ascii="Arial" w:hAnsi="Arial" w:cs="Arial"/>
                <w:b/>
                <w:bCs/>
                <w:color w:val="FFFFFF"/>
                <w:sz w:val="18"/>
                <w:szCs w:val="18"/>
                <w:lang w:eastAsia="hr-HR"/>
              </w:rPr>
              <w:t>38,09%</w:t>
            </w:r>
          </w:p>
        </w:tc>
      </w:tr>
      <w:tr w:rsidR="00093875" w:rsidRPr="00093875" w14:paraId="546A27E2" w14:textId="77777777" w:rsidTr="00093875">
        <w:trPr>
          <w:trHeight w:val="255"/>
        </w:trPr>
        <w:tc>
          <w:tcPr>
            <w:tcW w:w="7404" w:type="dxa"/>
            <w:gridSpan w:val="7"/>
            <w:tcBorders>
              <w:top w:val="nil"/>
              <w:left w:val="nil"/>
              <w:bottom w:val="nil"/>
              <w:right w:val="nil"/>
            </w:tcBorders>
            <w:shd w:val="clear" w:color="auto" w:fill="auto"/>
            <w:noWrap/>
            <w:vAlign w:val="bottom"/>
            <w:hideMark/>
          </w:tcPr>
          <w:p w14:paraId="134E01D8" w14:textId="77777777" w:rsidR="00093875" w:rsidRPr="00093875" w:rsidRDefault="00093875" w:rsidP="00093875">
            <w:pPr>
              <w:spacing w:after="0" w:line="240" w:lineRule="auto"/>
              <w:jc w:val="right"/>
              <w:rPr>
                <w:rFonts w:ascii="Arial" w:hAnsi="Arial" w:cs="Arial"/>
                <w:b/>
                <w:bCs/>
                <w:color w:val="FFFFFF"/>
                <w:sz w:val="18"/>
                <w:szCs w:val="18"/>
                <w:lang w:eastAsia="hr-HR"/>
              </w:rPr>
            </w:pPr>
          </w:p>
        </w:tc>
        <w:tc>
          <w:tcPr>
            <w:tcW w:w="1500" w:type="dxa"/>
            <w:tcBorders>
              <w:top w:val="nil"/>
              <w:left w:val="nil"/>
              <w:bottom w:val="nil"/>
              <w:right w:val="nil"/>
            </w:tcBorders>
            <w:shd w:val="clear" w:color="auto" w:fill="auto"/>
            <w:noWrap/>
            <w:vAlign w:val="bottom"/>
            <w:hideMark/>
          </w:tcPr>
          <w:p w14:paraId="32A986FF" w14:textId="77777777" w:rsidR="00093875" w:rsidRPr="00093875" w:rsidRDefault="00093875" w:rsidP="00093875">
            <w:pPr>
              <w:spacing w:after="0" w:line="240" w:lineRule="auto"/>
              <w:rPr>
                <w:rFonts w:ascii="Times New Roman" w:hAnsi="Times New Roman" w:cs="Times New Roman"/>
                <w:sz w:val="20"/>
                <w:szCs w:val="20"/>
                <w:lang w:eastAsia="hr-HR"/>
              </w:rPr>
            </w:pPr>
          </w:p>
        </w:tc>
        <w:tc>
          <w:tcPr>
            <w:tcW w:w="1540" w:type="dxa"/>
            <w:tcBorders>
              <w:top w:val="nil"/>
              <w:left w:val="nil"/>
              <w:bottom w:val="nil"/>
              <w:right w:val="nil"/>
            </w:tcBorders>
            <w:shd w:val="clear" w:color="auto" w:fill="auto"/>
            <w:noWrap/>
            <w:vAlign w:val="bottom"/>
            <w:hideMark/>
          </w:tcPr>
          <w:p w14:paraId="2CACC213" w14:textId="77777777" w:rsidR="00093875" w:rsidRPr="00093875" w:rsidRDefault="00093875" w:rsidP="00093875">
            <w:pPr>
              <w:spacing w:after="0" w:line="240" w:lineRule="auto"/>
              <w:rPr>
                <w:rFonts w:ascii="Times New Roman" w:hAnsi="Times New Roman" w:cs="Times New Roman"/>
                <w:sz w:val="20"/>
                <w:szCs w:val="20"/>
                <w:lang w:eastAsia="hr-HR"/>
              </w:rPr>
            </w:pPr>
          </w:p>
        </w:tc>
        <w:tc>
          <w:tcPr>
            <w:tcW w:w="1460" w:type="dxa"/>
            <w:tcBorders>
              <w:top w:val="nil"/>
              <w:left w:val="nil"/>
              <w:bottom w:val="nil"/>
              <w:right w:val="nil"/>
            </w:tcBorders>
            <w:shd w:val="clear" w:color="auto" w:fill="auto"/>
            <w:noWrap/>
            <w:vAlign w:val="bottom"/>
            <w:hideMark/>
          </w:tcPr>
          <w:p w14:paraId="7A9E19C8" w14:textId="77777777" w:rsidR="00093875" w:rsidRPr="00093875" w:rsidRDefault="00093875" w:rsidP="00093875">
            <w:pPr>
              <w:spacing w:after="0" w:line="240" w:lineRule="auto"/>
              <w:rPr>
                <w:rFonts w:ascii="Times New Roman" w:hAnsi="Times New Roman" w:cs="Times New Roman"/>
                <w:sz w:val="20"/>
                <w:szCs w:val="20"/>
                <w:lang w:eastAsia="hr-HR"/>
              </w:rPr>
            </w:pPr>
          </w:p>
        </w:tc>
        <w:tc>
          <w:tcPr>
            <w:tcW w:w="1480" w:type="dxa"/>
            <w:tcBorders>
              <w:top w:val="nil"/>
              <w:left w:val="nil"/>
              <w:bottom w:val="nil"/>
              <w:right w:val="nil"/>
            </w:tcBorders>
            <w:shd w:val="clear" w:color="auto" w:fill="auto"/>
            <w:noWrap/>
            <w:vAlign w:val="bottom"/>
            <w:hideMark/>
          </w:tcPr>
          <w:p w14:paraId="1E50076B" w14:textId="77777777" w:rsidR="00093875" w:rsidRPr="00093875" w:rsidRDefault="00093875" w:rsidP="00093875">
            <w:pPr>
              <w:spacing w:after="0" w:line="240" w:lineRule="auto"/>
              <w:rPr>
                <w:rFonts w:ascii="Times New Roman" w:hAnsi="Times New Roman" w:cs="Times New Roman"/>
                <w:sz w:val="20"/>
                <w:szCs w:val="20"/>
                <w:lang w:eastAsia="hr-HR"/>
              </w:rPr>
            </w:pPr>
          </w:p>
        </w:tc>
        <w:tc>
          <w:tcPr>
            <w:tcW w:w="1160" w:type="dxa"/>
            <w:tcBorders>
              <w:top w:val="nil"/>
              <w:left w:val="nil"/>
              <w:bottom w:val="nil"/>
              <w:right w:val="nil"/>
            </w:tcBorders>
            <w:shd w:val="clear" w:color="auto" w:fill="auto"/>
            <w:noWrap/>
            <w:vAlign w:val="bottom"/>
            <w:hideMark/>
          </w:tcPr>
          <w:p w14:paraId="7F394DCA" w14:textId="77777777" w:rsidR="00093875" w:rsidRPr="00093875" w:rsidRDefault="00093875" w:rsidP="00093875">
            <w:pPr>
              <w:spacing w:after="0" w:line="240" w:lineRule="auto"/>
              <w:rPr>
                <w:rFonts w:ascii="Times New Roman" w:hAnsi="Times New Roman" w:cs="Times New Roman"/>
                <w:sz w:val="20"/>
                <w:szCs w:val="20"/>
                <w:lang w:eastAsia="hr-HR"/>
              </w:rPr>
            </w:pPr>
          </w:p>
        </w:tc>
      </w:tr>
      <w:tr w:rsidR="00093875" w:rsidRPr="00093875" w14:paraId="0969EE2A" w14:textId="77777777" w:rsidTr="00093875">
        <w:trPr>
          <w:trHeight w:val="255"/>
        </w:trPr>
        <w:tc>
          <w:tcPr>
            <w:tcW w:w="7404" w:type="dxa"/>
            <w:gridSpan w:val="7"/>
            <w:tcBorders>
              <w:top w:val="nil"/>
              <w:left w:val="nil"/>
              <w:bottom w:val="nil"/>
              <w:right w:val="nil"/>
            </w:tcBorders>
            <w:shd w:val="clear" w:color="auto" w:fill="C6D9F1" w:themeFill="text2" w:themeFillTint="33"/>
            <w:noWrap/>
            <w:vAlign w:val="bottom"/>
            <w:hideMark/>
          </w:tcPr>
          <w:p w14:paraId="0788D95B" w14:textId="77777777" w:rsidR="00093875" w:rsidRPr="00093875" w:rsidRDefault="00093875" w:rsidP="00093875">
            <w:pPr>
              <w:spacing w:after="0" w:line="240" w:lineRule="auto"/>
              <w:rPr>
                <w:rFonts w:ascii="Arial" w:hAnsi="Arial" w:cs="Arial"/>
                <w:b/>
                <w:bCs/>
                <w:sz w:val="18"/>
                <w:szCs w:val="18"/>
                <w:lang w:eastAsia="hr-HR"/>
              </w:rPr>
            </w:pPr>
            <w:r w:rsidRPr="00093875">
              <w:rPr>
                <w:rFonts w:ascii="Arial" w:hAnsi="Arial" w:cs="Arial"/>
                <w:b/>
                <w:bCs/>
                <w:sz w:val="18"/>
                <w:szCs w:val="18"/>
                <w:lang w:eastAsia="hr-HR"/>
              </w:rPr>
              <w:t xml:space="preserve">9 Vlastiti izvori                                                                                     </w:t>
            </w:r>
          </w:p>
        </w:tc>
        <w:tc>
          <w:tcPr>
            <w:tcW w:w="1500" w:type="dxa"/>
            <w:tcBorders>
              <w:top w:val="nil"/>
              <w:left w:val="nil"/>
              <w:bottom w:val="nil"/>
              <w:right w:val="nil"/>
            </w:tcBorders>
            <w:shd w:val="clear" w:color="auto" w:fill="C6D9F1" w:themeFill="text2" w:themeFillTint="33"/>
            <w:noWrap/>
            <w:vAlign w:val="bottom"/>
            <w:hideMark/>
          </w:tcPr>
          <w:p w14:paraId="280719C7" w14:textId="77777777" w:rsidR="00093875" w:rsidRPr="00093875" w:rsidRDefault="00093875" w:rsidP="00093875">
            <w:pPr>
              <w:spacing w:after="0" w:line="240" w:lineRule="auto"/>
              <w:rPr>
                <w:rFonts w:ascii="Arial" w:hAnsi="Arial" w:cs="Arial"/>
                <w:b/>
                <w:bCs/>
                <w:sz w:val="18"/>
                <w:szCs w:val="18"/>
                <w:lang w:eastAsia="hr-HR"/>
              </w:rPr>
            </w:pPr>
          </w:p>
        </w:tc>
        <w:tc>
          <w:tcPr>
            <w:tcW w:w="1540" w:type="dxa"/>
            <w:tcBorders>
              <w:top w:val="nil"/>
              <w:left w:val="nil"/>
              <w:bottom w:val="nil"/>
              <w:right w:val="nil"/>
            </w:tcBorders>
            <w:shd w:val="clear" w:color="auto" w:fill="C6D9F1" w:themeFill="text2" w:themeFillTint="33"/>
            <w:noWrap/>
            <w:vAlign w:val="bottom"/>
            <w:hideMark/>
          </w:tcPr>
          <w:p w14:paraId="3374B718" w14:textId="77777777" w:rsidR="00093875" w:rsidRPr="00093875" w:rsidRDefault="00093875" w:rsidP="00093875">
            <w:pPr>
              <w:spacing w:after="0" w:line="240" w:lineRule="auto"/>
              <w:jc w:val="right"/>
              <w:rPr>
                <w:rFonts w:ascii="Arial" w:hAnsi="Arial" w:cs="Arial"/>
                <w:b/>
                <w:bCs/>
                <w:sz w:val="18"/>
                <w:szCs w:val="18"/>
                <w:lang w:eastAsia="hr-HR"/>
              </w:rPr>
            </w:pPr>
            <w:r w:rsidRPr="00093875">
              <w:rPr>
                <w:rFonts w:ascii="Arial" w:hAnsi="Arial" w:cs="Arial"/>
                <w:b/>
                <w:bCs/>
                <w:sz w:val="18"/>
                <w:szCs w:val="18"/>
                <w:lang w:eastAsia="hr-HR"/>
              </w:rPr>
              <w:t>880.985,29</w:t>
            </w:r>
          </w:p>
        </w:tc>
        <w:tc>
          <w:tcPr>
            <w:tcW w:w="1460" w:type="dxa"/>
            <w:tcBorders>
              <w:top w:val="nil"/>
              <w:left w:val="nil"/>
              <w:bottom w:val="nil"/>
              <w:right w:val="nil"/>
            </w:tcBorders>
            <w:shd w:val="clear" w:color="auto" w:fill="C6D9F1" w:themeFill="text2" w:themeFillTint="33"/>
            <w:noWrap/>
            <w:vAlign w:val="bottom"/>
            <w:hideMark/>
          </w:tcPr>
          <w:p w14:paraId="1FA0D85B" w14:textId="77777777" w:rsidR="00093875" w:rsidRPr="00093875" w:rsidRDefault="00093875" w:rsidP="00093875">
            <w:pPr>
              <w:spacing w:after="0" w:line="240" w:lineRule="auto"/>
              <w:jc w:val="right"/>
              <w:rPr>
                <w:rFonts w:ascii="Arial" w:hAnsi="Arial" w:cs="Arial"/>
                <w:b/>
                <w:bCs/>
                <w:sz w:val="18"/>
                <w:szCs w:val="18"/>
                <w:lang w:eastAsia="hr-HR"/>
              </w:rPr>
            </w:pPr>
          </w:p>
        </w:tc>
        <w:tc>
          <w:tcPr>
            <w:tcW w:w="1480" w:type="dxa"/>
            <w:tcBorders>
              <w:top w:val="nil"/>
              <w:left w:val="nil"/>
              <w:bottom w:val="nil"/>
              <w:right w:val="nil"/>
            </w:tcBorders>
            <w:shd w:val="clear" w:color="auto" w:fill="auto"/>
            <w:noWrap/>
            <w:vAlign w:val="bottom"/>
            <w:hideMark/>
          </w:tcPr>
          <w:p w14:paraId="7898DD38" w14:textId="77777777" w:rsidR="00093875" w:rsidRPr="00093875" w:rsidRDefault="00093875" w:rsidP="00093875">
            <w:pPr>
              <w:spacing w:after="0" w:line="240" w:lineRule="auto"/>
              <w:jc w:val="right"/>
              <w:rPr>
                <w:rFonts w:ascii="Times New Roman" w:hAnsi="Times New Roman" w:cs="Times New Roman"/>
                <w:sz w:val="20"/>
                <w:szCs w:val="20"/>
                <w:lang w:eastAsia="hr-HR"/>
              </w:rPr>
            </w:pPr>
          </w:p>
        </w:tc>
        <w:tc>
          <w:tcPr>
            <w:tcW w:w="1160" w:type="dxa"/>
            <w:tcBorders>
              <w:top w:val="nil"/>
              <w:left w:val="nil"/>
              <w:bottom w:val="nil"/>
              <w:right w:val="nil"/>
            </w:tcBorders>
            <w:shd w:val="clear" w:color="auto" w:fill="auto"/>
            <w:noWrap/>
            <w:vAlign w:val="bottom"/>
            <w:hideMark/>
          </w:tcPr>
          <w:p w14:paraId="1B6B9619" w14:textId="77777777" w:rsidR="00093875" w:rsidRPr="00093875" w:rsidRDefault="00093875" w:rsidP="00093875">
            <w:pPr>
              <w:spacing w:after="0" w:line="240" w:lineRule="auto"/>
              <w:jc w:val="right"/>
              <w:rPr>
                <w:rFonts w:ascii="Times New Roman" w:hAnsi="Times New Roman" w:cs="Times New Roman"/>
                <w:sz w:val="20"/>
                <w:szCs w:val="20"/>
                <w:lang w:eastAsia="hr-HR"/>
              </w:rPr>
            </w:pPr>
          </w:p>
        </w:tc>
      </w:tr>
      <w:tr w:rsidR="00093875" w:rsidRPr="00093875" w14:paraId="1D676C99" w14:textId="77777777" w:rsidTr="00093875">
        <w:trPr>
          <w:trHeight w:val="255"/>
        </w:trPr>
        <w:tc>
          <w:tcPr>
            <w:tcW w:w="7404" w:type="dxa"/>
            <w:gridSpan w:val="7"/>
            <w:tcBorders>
              <w:top w:val="nil"/>
              <w:left w:val="nil"/>
              <w:bottom w:val="nil"/>
              <w:right w:val="nil"/>
            </w:tcBorders>
            <w:shd w:val="clear" w:color="auto" w:fill="auto"/>
            <w:noWrap/>
            <w:vAlign w:val="bottom"/>
            <w:hideMark/>
          </w:tcPr>
          <w:p w14:paraId="3FE273C3" w14:textId="77777777" w:rsidR="00093875" w:rsidRPr="00093875" w:rsidRDefault="00093875" w:rsidP="00093875">
            <w:pPr>
              <w:spacing w:after="0" w:line="240" w:lineRule="auto"/>
              <w:rPr>
                <w:rFonts w:ascii="Arial" w:hAnsi="Arial" w:cs="Arial"/>
                <w:b/>
                <w:bCs/>
                <w:sz w:val="18"/>
                <w:szCs w:val="18"/>
                <w:lang w:eastAsia="hr-HR"/>
              </w:rPr>
            </w:pPr>
            <w:r w:rsidRPr="00093875">
              <w:rPr>
                <w:rFonts w:ascii="Arial" w:hAnsi="Arial" w:cs="Arial"/>
                <w:b/>
                <w:bCs/>
                <w:sz w:val="18"/>
                <w:szCs w:val="18"/>
                <w:lang w:eastAsia="hr-HR"/>
              </w:rPr>
              <w:t xml:space="preserve">92 Rezultat poslovanja                                                                                 </w:t>
            </w:r>
          </w:p>
        </w:tc>
        <w:tc>
          <w:tcPr>
            <w:tcW w:w="1500" w:type="dxa"/>
            <w:tcBorders>
              <w:top w:val="nil"/>
              <w:left w:val="nil"/>
              <w:bottom w:val="nil"/>
              <w:right w:val="nil"/>
            </w:tcBorders>
            <w:shd w:val="clear" w:color="auto" w:fill="auto"/>
            <w:noWrap/>
            <w:vAlign w:val="bottom"/>
            <w:hideMark/>
          </w:tcPr>
          <w:p w14:paraId="6D7FC3A6" w14:textId="77777777" w:rsidR="00093875" w:rsidRPr="00093875" w:rsidRDefault="00093875" w:rsidP="00093875">
            <w:pPr>
              <w:spacing w:after="0" w:line="240" w:lineRule="auto"/>
              <w:rPr>
                <w:rFonts w:ascii="Arial" w:hAnsi="Arial" w:cs="Arial"/>
                <w:b/>
                <w:bCs/>
                <w:sz w:val="18"/>
                <w:szCs w:val="18"/>
                <w:lang w:eastAsia="hr-HR"/>
              </w:rPr>
            </w:pPr>
          </w:p>
        </w:tc>
        <w:tc>
          <w:tcPr>
            <w:tcW w:w="1540" w:type="dxa"/>
            <w:tcBorders>
              <w:top w:val="nil"/>
              <w:left w:val="nil"/>
              <w:bottom w:val="nil"/>
              <w:right w:val="nil"/>
            </w:tcBorders>
            <w:shd w:val="clear" w:color="auto" w:fill="auto"/>
            <w:noWrap/>
            <w:vAlign w:val="bottom"/>
            <w:hideMark/>
          </w:tcPr>
          <w:p w14:paraId="59819FE7" w14:textId="77777777" w:rsidR="00093875" w:rsidRPr="00093875" w:rsidRDefault="00093875" w:rsidP="00093875">
            <w:pPr>
              <w:spacing w:after="0" w:line="240" w:lineRule="auto"/>
              <w:jc w:val="right"/>
              <w:rPr>
                <w:rFonts w:ascii="Arial" w:hAnsi="Arial" w:cs="Arial"/>
                <w:b/>
                <w:bCs/>
                <w:sz w:val="18"/>
                <w:szCs w:val="18"/>
                <w:lang w:eastAsia="hr-HR"/>
              </w:rPr>
            </w:pPr>
            <w:r w:rsidRPr="00093875">
              <w:rPr>
                <w:rFonts w:ascii="Arial" w:hAnsi="Arial" w:cs="Arial"/>
                <w:b/>
                <w:bCs/>
                <w:sz w:val="18"/>
                <w:szCs w:val="18"/>
                <w:lang w:eastAsia="hr-HR"/>
              </w:rPr>
              <w:t>880.985,29</w:t>
            </w:r>
          </w:p>
        </w:tc>
        <w:tc>
          <w:tcPr>
            <w:tcW w:w="1460" w:type="dxa"/>
            <w:tcBorders>
              <w:top w:val="nil"/>
              <w:left w:val="nil"/>
              <w:bottom w:val="nil"/>
              <w:right w:val="nil"/>
            </w:tcBorders>
            <w:shd w:val="clear" w:color="auto" w:fill="auto"/>
            <w:noWrap/>
            <w:vAlign w:val="bottom"/>
            <w:hideMark/>
          </w:tcPr>
          <w:p w14:paraId="5CE050A2" w14:textId="77777777" w:rsidR="00093875" w:rsidRPr="00093875" w:rsidRDefault="00093875" w:rsidP="00093875">
            <w:pPr>
              <w:spacing w:after="0" w:line="240" w:lineRule="auto"/>
              <w:jc w:val="right"/>
              <w:rPr>
                <w:rFonts w:ascii="Arial" w:hAnsi="Arial" w:cs="Arial"/>
                <w:b/>
                <w:bCs/>
                <w:sz w:val="18"/>
                <w:szCs w:val="18"/>
                <w:lang w:eastAsia="hr-HR"/>
              </w:rPr>
            </w:pPr>
          </w:p>
        </w:tc>
        <w:tc>
          <w:tcPr>
            <w:tcW w:w="1480" w:type="dxa"/>
            <w:tcBorders>
              <w:top w:val="nil"/>
              <w:left w:val="nil"/>
              <w:bottom w:val="nil"/>
              <w:right w:val="nil"/>
            </w:tcBorders>
            <w:shd w:val="clear" w:color="auto" w:fill="auto"/>
            <w:noWrap/>
            <w:vAlign w:val="bottom"/>
            <w:hideMark/>
          </w:tcPr>
          <w:p w14:paraId="24825063" w14:textId="77777777" w:rsidR="00093875" w:rsidRPr="00093875" w:rsidRDefault="00093875" w:rsidP="00093875">
            <w:pPr>
              <w:spacing w:after="0" w:line="240" w:lineRule="auto"/>
              <w:jc w:val="right"/>
              <w:rPr>
                <w:rFonts w:ascii="Times New Roman" w:hAnsi="Times New Roman" w:cs="Times New Roman"/>
                <w:sz w:val="20"/>
                <w:szCs w:val="20"/>
                <w:lang w:eastAsia="hr-HR"/>
              </w:rPr>
            </w:pPr>
          </w:p>
        </w:tc>
        <w:tc>
          <w:tcPr>
            <w:tcW w:w="1160" w:type="dxa"/>
            <w:tcBorders>
              <w:top w:val="nil"/>
              <w:left w:val="nil"/>
              <w:bottom w:val="nil"/>
              <w:right w:val="nil"/>
            </w:tcBorders>
            <w:shd w:val="clear" w:color="auto" w:fill="auto"/>
            <w:noWrap/>
            <w:vAlign w:val="bottom"/>
            <w:hideMark/>
          </w:tcPr>
          <w:p w14:paraId="3652B145" w14:textId="77777777" w:rsidR="00093875" w:rsidRPr="00093875" w:rsidRDefault="00093875" w:rsidP="00093875">
            <w:pPr>
              <w:spacing w:after="0" w:line="240" w:lineRule="auto"/>
              <w:jc w:val="right"/>
              <w:rPr>
                <w:rFonts w:ascii="Times New Roman" w:hAnsi="Times New Roman" w:cs="Times New Roman"/>
                <w:sz w:val="20"/>
                <w:szCs w:val="20"/>
                <w:lang w:eastAsia="hr-HR"/>
              </w:rPr>
            </w:pPr>
          </w:p>
        </w:tc>
      </w:tr>
      <w:tr w:rsidR="00093875" w:rsidRPr="00093875" w14:paraId="14231034" w14:textId="77777777" w:rsidTr="00093875">
        <w:trPr>
          <w:trHeight w:val="255"/>
        </w:trPr>
        <w:tc>
          <w:tcPr>
            <w:tcW w:w="7404" w:type="dxa"/>
            <w:gridSpan w:val="7"/>
            <w:tcBorders>
              <w:top w:val="nil"/>
              <w:left w:val="nil"/>
              <w:bottom w:val="nil"/>
              <w:right w:val="nil"/>
            </w:tcBorders>
            <w:shd w:val="clear" w:color="000000" w:fill="203764"/>
            <w:noWrap/>
            <w:vAlign w:val="bottom"/>
            <w:hideMark/>
          </w:tcPr>
          <w:p w14:paraId="23BDFCD4" w14:textId="77777777" w:rsidR="00093875" w:rsidRPr="00093875" w:rsidRDefault="00093875" w:rsidP="00093875">
            <w:pPr>
              <w:spacing w:after="0" w:line="240" w:lineRule="auto"/>
              <w:rPr>
                <w:rFonts w:ascii="Arial" w:hAnsi="Arial" w:cs="Arial"/>
                <w:b/>
                <w:bCs/>
                <w:color w:val="FFFFFF"/>
                <w:sz w:val="18"/>
                <w:szCs w:val="18"/>
                <w:lang w:eastAsia="hr-HR"/>
              </w:rPr>
            </w:pPr>
            <w:r w:rsidRPr="00093875">
              <w:rPr>
                <w:rFonts w:ascii="Arial" w:hAnsi="Arial" w:cs="Arial"/>
                <w:b/>
                <w:bCs/>
                <w:color w:val="FFFFFF"/>
                <w:sz w:val="18"/>
                <w:szCs w:val="18"/>
                <w:lang w:eastAsia="hr-HR"/>
              </w:rPr>
              <w:t xml:space="preserve"> KORIŠTENJE SREDSTAVA IZ PRETHODNIH GODINA</w:t>
            </w:r>
          </w:p>
        </w:tc>
        <w:tc>
          <w:tcPr>
            <w:tcW w:w="1500" w:type="dxa"/>
            <w:tcBorders>
              <w:top w:val="nil"/>
              <w:left w:val="nil"/>
              <w:bottom w:val="nil"/>
              <w:right w:val="nil"/>
            </w:tcBorders>
            <w:shd w:val="clear" w:color="000000" w:fill="203764"/>
            <w:noWrap/>
            <w:vAlign w:val="bottom"/>
            <w:hideMark/>
          </w:tcPr>
          <w:p w14:paraId="4A992349" w14:textId="77777777" w:rsidR="00093875" w:rsidRPr="00093875" w:rsidRDefault="00093875" w:rsidP="00093875">
            <w:pPr>
              <w:spacing w:after="0" w:line="240" w:lineRule="auto"/>
              <w:jc w:val="right"/>
              <w:rPr>
                <w:rFonts w:ascii="Arial" w:hAnsi="Arial" w:cs="Arial"/>
                <w:b/>
                <w:bCs/>
                <w:color w:val="FFFFFF"/>
                <w:sz w:val="18"/>
                <w:szCs w:val="18"/>
                <w:lang w:eastAsia="hr-HR"/>
              </w:rPr>
            </w:pPr>
            <w:r w:rsidRPr="00093875">
              <w:rPr>
                <w:rFonts w:ascii="Arial" w:hAnsi="Arial" w:cs="Arial"/>
                <w:b/>
                <w:bCs/>
                <w:color w:val="FFFFFF"/>
                <w:sz w:val="18"/>
                <w:szCs w:val="18"/>
                <w:lang w:eastAsia="hr-HR"/>
              </w:rPr>
              <w:t> </w:t>
            </w:r>
          </w:p>
        </w:tc>
        <w:tc>
          <w:tcPr>
            <w:tcW w:w="1540" w:type="dxa"/>
            <w:tcBorders>
              <w:top w:val="nil"/>
              <w:left w:val="nil"/>
              <w:bottom w:val="nil"/>
              <w:right w:val="nil"/>
            </w:tcBorders>
            <w:shd w:val="clear" w:color="000000" w:fill="203764"/>
            <w:noWrap/>
            <w:vAlign w:val="bottom"/>
            <w:hideMark/>
          </w:tcPr>
          <w:p w14:paraId="6FEB924A" w14:textId="77777777" w:rsidR="00093875" w:rsidRPr="00093875" w:rsidRDefault="00093875" w:rsidP="00093875">
            <w:pPr>
              <w:spacing w:after="0" w:line="240" w:lineRule="auto"/>
              <w:jc w:val="right"/>
              <w:rPr>
                <w:rFonts w:ascii="Arial" w:hAnsi="Arial" w:cs="Arial"/>
                <w:b/>
                <w:bCs/>
                <w:color w:val="FFFFFF"/>
                <w:sz w:val="18"/>
                <w:szCs w:val="18"/>
                <w:lang w:eastAsia="hr-HR"/>
              </w:rPr>
            </w:pPr>
            <w:r w:rsidRPr="00093875">
              <w:rPr>
                <w:rFonts w:ascii="Arial" w:hAnsi="Arial" w:cs="Arial"/>
                <w:b/>
                <w:bCs/>
                <w:color w:val="FFFFFF"/>
                <w:sz w:val="18"/>
                <w:szCs w:val="18"/>
                <w:lang w:eastAsia="hr-HR"/>
              </w:rPr>
              <w:t>880.985,29</w:t>
            </w:r>
          </w:p>
        </w:tc>
        <w:tc>
          <w:tcPr>
            <w:tcW w:w="1460" w:type="dxa"/>
            <w:tcBorders>
              <w:top w:val="nil"/>
              <w:left w:val="nil"/>
              <w:bottom w:val="nil"/>
              <w:right w:val="nil"/>
            </w:tcBorders>
            <w:shd w:val="clear" w:color="000000" w:fill="203764"/>
            <w:noWrap/>
            <w:vAlign w:val="bottom"/>
            <w:hideMark/>
          </w:tcPr>
          <w:p w14:paraId="3B581ADE" w14:textId="77777777" w:rsidR="00093875" w:rsidRPr="00093875" w:rsidRDefault="00093875" w:rsidP="00093875">
            <w:pPr>
              <w:spacing w:after="0" w:line="240" w:lineRule="auto"/>
              <w:jc w:val="right"/>
              <w:rPr>
                <w:rFonts w:ascii="Arial" w:hAnsi="Arial" w:cs="Arial"/>
                <w:b/>
                <w:bCs/>
                <w:color w:val="FFFFFF"/>
                <w:sz w:val="18"/>
                <w:szCs w:val="18"/>
                <w:lang w:eastAsia="hr-HR"/>
              </w:rPr>
            </w:pPr>
            <w:r w:rsidRPr="00093875">
              <w:rPr>
                <w:rFonts w:ascii="Arial" w:hAnsi="Arial" w:cs="Arial"/>
                <w:b/>
                <w:bCs/>
                <w:color w:val="FFFFFF"/>
                <w:sz w:val="18"/>
                <w:szCs w:val="18"/>
                <w:lang w:eastAsia="hr-HR"/>
              </w:rPr>
              <w:t> </w:t>
            </w:r>
          </w:p>
        </w:tc>
        <w:tc>
          <w:tcPr>
            <w:tcW w:w="1480" w:type="dxa"/>
            <w:tcBorders>
              <w:top w:val="nil"/>
              <w:left w:val="nil"/>
              <w:bottom w:val="nil"/>
              <w:right w:val="nil"/>
            </w:tcBorders>
            <w:shd w:val="clear" w:color="000000" w:fill="203764"/>
            <w:noWrap/>
            <w:vAlign w:val="bottom"/>
            <w:hideMark/>
          </w:tcPr>
          <w:p w14:paraId="3E0B8566" w14:textId="77777777" w:rsidR="00093875" w:rsidRPr="00093875" w:rsidRDefault="00093875" w:rsidP="00093875">
            <w:pPr>
              <w:spacing w:after="0" w:line="240" w:lineRule="auto"/>
              <w:jc w:val="right"/>
              <w:rPr>
                <w:rFonts w:ascii="Arial" w:hAnsi="Arial" w:cs="Arial"/>
                <w:b/>
                <w:bCs/>
                <w:color w:val="FFFFFF"/>
                <w:sz w:val="18"/>
                <w:szCs w:val="18"/>
                <w:lang w:eastAsia="hr-HR"/>
              </w:rPr>
            </w:pPr>
            <w:r w:rsidRPr="00093875">
              <w:rPr>
                <w:rFonts w:ascii="Arial" w:hAnsi="Arial" w:cs="Arial"/>
                <w:b/>
                <w:bCs/>
                <w:color w:val="FFFFFF"/>
                <w:sz w:val="18"/>
                <w:szCs w:val="18"/>
                <w:lang w:eastAsia="hr-HR"/>
              </w:rPr>
              <w:t> </w:t>
            </w:r>
          </w:p>
        </w:tc>
        <w:tc>
          <w:tcPr>
            <w:tcW w:w="1160" w:type="dxa"/>
            <w:tcBorders>
              <w:top w:val="nil"/>
              <w:left w:val="nil"/>
              <w:bottom w:val="nil"/>
              <w:right w:val="nil"/>
            </w:tcBorders>
            <w:shd w:val="clear" w:color="000000" w:fill="203764"/>
            <w:noWrap/>
            <w:vAlign w:val="bottom"/>
            <w:hideMark/>
          </w:tcPr>
          <w:p w14:paraId="5B097039" w14:textId="77777777" w:rsidR="00093875" w:rsidRPr="00093875" w:rsidRDefault="00093875" w:rsidP="00093875">
            <w:pPr>
              <w:spacing w:after="0" w:line="240" w:lineRule="auto"/>
              <w:jc w:val="right"/>
              <w:rPr>
                <w:rFonts w:ascii="Arial" w:hAnsi="Arial" w:cs="Arial"/>
                <w:b/>
                <w:bCs/>
                <w:color w:val="FFFFFF"/>
                <w:sz w:val="18"/>
                <w:szCs w:val="18"/>
                <w:lang w:eastAsia="hr-HR"/>
              </w:rPr>
            </w:pPr>
            <w:r w:rsidRPr="00093875">
              <w:rPr>
                <w:rFonts w:ascii="Arial" w:hAnsi="Arial" w:cs="Arial"/>
                <w:b/>
                <w:bCs/>
                <w:color w:val="FFFFFF"/>
                <w:sz w:val="18"/>
                <w:szCs w:val="18"/>
                <w:lang w:eastAsia="hr-HR"/>
              </w:rPr>
              <w:t> </w:t>
            </w:r>
          </w:p>
        </w:tc>
      </w:tr>
    </w:tbl>
    <w:p w14:paraId="6F3A0986" w14:textId="77777777" w:rsidR="00093875" w:rsidRDefault="00093875" w:rsidP="00B247FF">
      <w:pPr>
        <w:spacing w:after="0" w:line="240" w:lineRule="auto"/>
        <w:jc w:val="center"/>
        <w:rPr>
          <w:rFonts w:ascii="Times New Roman" w:hAnsi="Times New Roman" w:cs="Times New Roman"/>
          <w:b/>
          <w:color w:val="000000"/>
          <w:sz w:val="24"/>
          <w:szCs w:val="24"/>
          <w:lang w:eastAsia="hr-HR"/>
        </w:rPr>
      </w:pPr>
    </w:p>
    <w:p w14:paraId="670C4B5C" w14:textId="77777777" w:rsidR="00B247FF" w:rsidRDefault="00B247FF" w:rsidP="00BC3810">
      <w:pPr>
        <w:spacing w:after="0" w:line="240" w:lineRule="auto"/>
        <w:rPr>
          <w:rFonts w:asciiTheme="minorHAnsi" w:hAnsiTheme="minorHAnsi" w:cstheme="minorHAnsi"/>
          <w:color w:val="000000"/>
          <w:lang w:eastAsia="hr-HR"/>
        </w:rPr>
      </w:pPr>
    </w:p>
    <w:p w14:paraId="0BE868D2" w14:textId="77777777" w:rsidR="007523DF" w:rsidRPr="00722358" w:rsidRDefault="007523DF" w:rsidP="00BC3810">
      <w:pPr>
        <w:spacing w:after="0" w:line="240" w:lineRule="auto"/>
        <w:rPr>
          <w:rFonts w:asciiTheme="minorHAnsi" w:hAnsiTheme="minorHAnsi" w:cstheme="minorHAnsi"/>
          <w:color w:val="000000"/>
          <w:lang w:eastAsia="hr-HR"/>
        </w:rPr>
      </w:pPr>
    </w:p>
    <w:p w14:paraId="15E794F8" w14:textId="366E6455" w:rsidR="00990DB3" w:rsidRDefault="00004BC8" w:rsidP="00830A63">
      <w:pPr>
        <w:spacing w:after="0" w:line="240" w:lineRule="auto"/>
        <w:jc w:val="center"/>
        <w:rPr>
          <w:rFonts w:ascii="Times New Roman" w:hAnsi="Times New Roman" w:cs="Times New Roman"/>
          <w:b/>
          <w:sz w:val="24"/>
          <w:szCs w:val="24"/>
          <w:lang w:eastAsia="hr-HR"/>
        </w:rPr>
      </w:pPr>
      <w:r w:rsidRPr="00722358">
        <w:rPr>
          <w:rFonts w:ascii="Times New Roman" w:hAnsi="Times New Roman" w:cs="Times New Roman"/>
          <w:b/>
          <w:sz w:val="24"/>
          <w:szCs w:val="24"/>
          <w:lang w:eastAsia="hr-HR"/>
        </w:rPr>
        <w:t xml:space="preserve">1.3.2. </w:t>
      </w:r>
      <w:r w:rsidR="0051341B" w:rsidRPr="00722358">
        <w:rPr>
          <w:rFonts w:ascii="Times New Roman" w:hAnsi="Times New Roman" w:cs="Times New Roman"/>
          <w:b/>
          <w:sz w:val="24"/>
          <w:szCs w:val="24"/>
          <w:lang w:eastAsia="hr-HR"/>
        </w:rPr>
        <w:t xml:space="preserve"> Račun financiranja prema izvorima financiranja</w:t>
      </w:r>
    </w:p>
    <w:p w14:paraId="1B78C04A" w14:textId="77777777" w:rsidR="00BC4DCA" w:rsidRDefault="00BC4DCA" w:rsidP="00830A63">
      <w:pPr>
        <w:spacing w:after="0" w:line="240" w:lineRule="auto"/>
        <w:jc w:val="center"/>
        <w:rPr>
          <w:rFonts w:asciiTheme="minorHAnsi" w:hAnsiTheme="minorHAnsi" w:cstheme="minorHAnsi"/>
          <w:b/>
          <w:color w:val="000000"/>
          <w:sz w:val="24"/>
          <w:szCs w:val="24"/>
          <w:lang w:eastAsia="hr-HR"/>
        </w:rPr>
      </w:pPr>
    </w:p>
    <w:p w14:paraId="0DE802BE" w14:textId="77777777" w:rsidR="007523DF" w:rsidRPr="00722358" w:rsidRDefault="007523DF" w:rsidP="00830A63">
      <w:pPr>
        <w:spacing w:after="0" w:line="240" w:lineRule="auto"/>
        <w:jc w:val="center"/>
        <w:rPr>
          <w:rFonts w:asciiTheme="minorHAnsi" w:hAnsiTheme="minorHAnsi" w:cstheme="minorHAnsi"/>
          <w:b/>
          <w:color w:val="000000"/>
          <w:sz w:val="24"/>
          <w:szCs w:val="24"/>
          <w:lang w:eastAsia="hr-HR"/>
        </w:rPr>
      </w:pPr>
    </w:p>
    <w:tbl>
      <w:tblPr>
        <w:tblW w:w="14600" w:type="dxa"/>
        <w:tblLook w:val="04A0" w:firstRow="1" w:lastRow="0" w:firstColumn="1" w:lastColumn="0" w:noHBand="0" w:noVBand="1"/>
      </w:tblPr>
      <w:tblGrid>
        <w:gridCol w:w="7513"/>
        <w:gridCol w:w="1420"/>
        <w:gridCol w:w="1698"/>
        <w:gridCol w:w="1418"/>
        <w:gridCol w:w="1320"/>
        <w:gridCol w:w="1231"/>
      </w:tblGrid>
      <w:tr w:rsidR="007523DF" w:rsidRPr="007523DF" w14:paraId="5BF3C7D6" w14:textId="77777777" w:rsidTr="007523DF">
        <w:trPr>
          <w:trHeight w:val="255"/>
        </w:trPr>
        <w:tc>
          <w:tcPr>
            <w:tcW w:w="7513" w:type="dxa"/>
            <w:tcBorders>
              <w:top w:val="nil"/>
              <w:left w:val="nil"/>
              <w:bottom w:val="nil"/>
              <w:right w:val="nil"/>
            </w:tcBorders>
            <w:shd w:val="clear" w:color="000000" w:fill="C0C0C0"/>
            <w:noWrap/>
            <w:vAlign w:val="bottom"/>
            <w:hideMark/>
          </w:tcPr>
          <w:p w14:paraId="63C49CEF" w14:textId="77777777" w:rsidR="007523DF" w:rsidRPr="007523DF" w:rsidRDefault="007523DF" w:rsidP="007523DF">
            <w:pPr>
              <w:spacing w:after="0" w:line="240" w:lineRule="auto"/>
              <w:jc w:val="center"/>
              <w:rPr>
                <w:rFonts w:ascii="Arial" w:hAnsi="Arial" w:cs="Arial"/>
                <w:b/>
                <w:bCs/>
                <w:sz w:val="18"/>
                <w:szCs w:val="18"/>
                <w:lang w:eastAsia="hr-HR"/>
              </w:rPr>
            </w:pPr>
            <w:r w:rsidRPr="007523DF">
              <w:rPr>
                <w:rFonts w:ascii="Arial" w:hAnsi="Arial" w:cs="Arial"/>
                <w:b/>
                <w:bCs/>
                <w:sz w:val="18"/>
                <w:szCs w:val="18"/>
                <w:lang w:eastAsia="hr-HR"/>
              </w:rPr>
              <w:t>Račun / opis</w:t>
            </w:r>
          </w:p>
        </w:tc>
        <w:tc>
          <w:tcPr>
            <w:tcW w:w="1420" w:type="dxa"/>
            <w:tcBorders>
              <w:top w:val="nil"/>
              <w:left w:val="nil"/>
              <w:bottom w:val="nil"/>
              <w:right w:val="nil"/>
            </w:tcBorders>
            <w:shd w:val="clear" w:color="000000" w:fill="C0C0C0"/>
            <w:noWrap/>
            <w:vAlign w:val="bottom"/>
            <w:hideMark/>
          </w:tcPr>
          <w:p w14:paraId="08C564AE" w14:textId="77777777" w:rsidR="007523DF" w:rsidRPr="007523DF" w:rsidRDefault="007523DF" w:rsidP="007523DF">
            <w:pPr>
              <w:spacing w:after="0" w:line="240" w:lineRule="auto"/>
              <w:jc w:val="center"/>
              <w:rPr>
                <w:rFonts w:ascii="Arial" w:hAnsi="Arial" w:cs="Arial"/>
                <w:b/>
                <w:bCs/>
                <w:sz w:val="18"/>
                <w:szCs w:val="18"/>
                <w:lang w:eastAsia="hr-HR"/>
              </w:rPr>
            </w:pPr>
            <w:r w:rsidRPr="007523DF">
              <w:rPr>
                <w:rFonts w:ascii="Arial" w:hAnsi="Arial" w:cs="Arial"/>
                <w:b/>
                <w:bCs/>
                <w:sz w:val="18"/>
                <w:szCs w:val="18"/>
                <w:lang w:eastAsia="hr-HR"/>
              </w:rPr>
              <w:t>Izvršenje 2023.</w:t>
            </w:r>
          </w:p>
        </w:tc>
        <w:tc>
          <w:tcPr>
            <w:tcW w:w="1698" w:type="dxa"/>
            <w:tcBorders>
              <w:top w:val="nil"/>
              <w:left w:val="nil"/>
              <w:bottom w:val="nil"/>
              <w:right w:val="nil"/>
            </w:tcBorders>
            <w:shd w:val="clear" w:color="000000" w:fill="C0C0C0"/>
            <w:noWrap/>
            <w:vAlign w:val="bottom"/>
            <w:hideMark/>
          </w:tcPr>
          <w:p w14:paraId="17B41140" w14:textId="77777777" w:rsidR="007523DF" w:rsidRPr="007523DF" w:rsidRDefault="007523DF" w:rsidP="007523DF">
            <w:pPr>
              <w:spacing w:after="0" w:line="240" w:lineRule="auto"/>
              <w:jc w:val="center"/>
              <w:rPr>
                <w:rFonts w:ascii="Arial" w:hAnsi="Arial" w:cs="Arial"/>
                <w:b/>
                <w:bCs/>
                <w:sz w:val="18"/>
                <w:szCs w:val="18"/>
                <w:lang w:eastAsia="hr-HR"/>
              </w:rPr>
            </w:pPr>
            <w:r w:rsidRPr="007523DF">
              <w:rPr>
                <w:rFonts w:ascii="Arial" w:hAnsi="Arial" w:cs="Arial"/>
                <w:b/>
                <w:bCs/>
                <w:sz w:val="18"/>
                <w:szCs w:val="18"/>
                <w:lang w:eastAsia="hr-HR"/>
              </w:rPr>
              <w:t>Rebalans 2024.</w:t>
            </w:r>
          </w:p>
        </w:tc>
        <w:tc>
          <w:tcPr>
            <w:tcW w:w="1418" w:type="dxa"/>
            <w:tcBorders>
              <w:top w:val="nil"/>
              <w:left w:val="nil"/>
              <w:bottom w:val="nil"/>
              <w:right w:val="nil"/>
            </w:tcBorders>
            <w:shd w:val="clear" w:color="000000" w:fill="C0C0C0"/>
            <w:noWrap/>
            <w:vAlign w:val="bottom"/>
            <w:hideMark/>
          </w:tcPr>
          <w:p w14:paraId="720673E7" w14:textId="77777777" w:rsidR="007523DF" w:rsidRPr="007523DF" w:rsidRDefault="007523DF" w:rsidP="007523DF">
            <w:pPr>
              <w:spacing w:after="0" w:line="240" w:lineRule="auto"/>
              <w:jc w:val="center"/>
              <w:rPr>
                <w:rFonts w:ascii="Arial" w:hAnsi="Arial" w:cs="Arial"/>
                <w:b/>
                <w:bCs/>
                <w:sz w:val="18"/>
                <w:szCs w:val="18"/>
                <w:lang w:eastAsia="hr-HR"/>
              </w:rPr>
            </w:pPr>
            <w:r w:rsidRPr="007523DF">
              <w:rPr>
                <w:rFonts w:ascii="Arial" w:hAnsi="Arial" w:cs="Arial"/>
                <w:b/>
                <w:bCs/>
                <w:sz w:val="18"/>
                <w:szCs w:val="18"/>
                <w:lang w:eastAsia="hr-HR"/>
              </w:rPr>
              <w:t>Izvršenje 2024.</w:t>
            </w:r>
          </w:p>
        </w:tc>
        <w:tc>
          <w:tcPr>
            <w:tcW w:w="1320" w:type="dxa"/>
            <w:tcBorders>
              <w:top w:val="nil"/>
              <w:left w:val="nil"/>
              <w:bottom w:val="nil"/>
              <w:right w:val="nil"/>
            </w:tcBorders>
            <w:shd w:val="clear" w:color="000000" w:fill="C0C0C0"/>
            <w:noWrap/>
            <w:vAlign w:val="bottom"/>
            <w:hideMark/>
          </w:tcPr>
          <w:p w14:paraId="7C9952D6" w14:textId="77777777" w:rsidR="007523DF" w:rsidRPr="007523DF" w:rsidRDefault="007523DF" w:rsidP="007523DF">
            <w:pPr>
              <w:spacing w:after="0" w:line="240" w:lineRule="auto"/>
              <w:jc w:val="center"/>
              <w:rPr>
                <w:rFonts w:ascii="Arial" w:hAnsi="Arial" w:cs="Arial"/>
                <w:b/>
                <w:bCs/>
                <w:sz w:val="18"/>
                <w:szCs w:val="18"/>
                <w:lang w:eastAsia="hr-HR"/>
              </w:rPr>
            </w:pPr>
            <w:r w:rsidRPr="007523DF">
              <w:rPr>
                <w:rFonts w:ascii="Arial" w:hAnsi="Arial" w:cs="Arial"/>
                <w:b/>
                <w:bCs/>
                <w:sz w:val="18"/>
                <w:szCs w:val="18"/>
                <w:lang w:eastAsia="hr-HR"/>
              </w:rPr>
              <w:t>Indeks  3/1</w:t>
            </w:r>
          </w:p>
        </w:tc>
        <w:tc>
          <w:tcPr>
            <w:tcW w:w="1231" w:type="dxa"/>
            <w:tcBorders>
              <w:top w:val="nil"/>
              <w:left w:val="nil"/>
              <w:bottom w:val="nil"/>
              <w:right w:val="nil"/>
            </w:tcBorders>
            <w:shd w:val="clear" w:color="000000" w:fill="C0C0C0"/>
            <w:noWrap/>
            <w:vAlign w:val="bottom"/>
            <w:hideMark/>
          </w:tcPr>
          <w:p w14:paraId="210BC791" w14:textId="77777777" w:rsidR="007523DF" w:rsidRPr="007523DF" w:rsidRDefault="007523DF" w:rsidP="007523DF">
            <w:pPr>
              <w:spacing w:after="0" w:line="240" w:lineRule="auto"/>
              <w:jc w:val="center"/>
              <w:rPr>
                <w:rFonts w:ascii="Arial" w:hAnsi="Arial" w:cs="Arial"/>
                <w:b/>
                <w:bCs/>
                <w:sz w:val="18"/>
                <w:szCs w:val="18"/>
                <w:lang w:eastAsia="hr-HR"/>
              </w:rPr>
            </w:pPr>
            <w:r w:rsidRPr="007523DF">
              <w:rPr>
                <w:rFonts w:ascii="Arial" w:hAnsi="Arial" w:cs="Arial"/>
                <w:b/>
                <w:bCs/>
                <w:sz w:val="18"/>
                <w:szCs w:val="18"/>
                <w:lang w:eastAsia="hr-HR"/>
              </w:rPr>
              <w:t>Indeks  3/2</w:t>
            </w:r>
          </w:p>
        </w:tc>
      </w:tr>
      <w:tr w:rsidR="007523DF" w:rsidRPr="007523DF" w14:paraId="67B9B2B3" w14:textId="77777777" w:rsidTr="007523DF">
        <w:trPr>
          <w:trHeight w:val="255"/>
        </w:trPr>
        <w:tc>
          <w:tcPr>
            <w:tcW w:w="7513" w:type="dxa"/>
            <w:tcBorders>
              <w:top w:val="nil"/>
              <w:left w:val="nil"/>
              <w:bottom w:val="nil"/>
              <w:right w:val="nil"/>
            </w:tcBorders>
            <w:shd w:val="clear" w:color="auto" w:fill="244061" w:themeFill="accent1" w:themeFillShade="80"/>
            <w:noWrap/>
            <w:vAlign w:val="bottom"/>
            <w:hideMark/>
          </w:tcPr>
          <w:p w14:paraId="3246457E" w14:textId="77777777" w:rsidR="007523DF" w:rsidRPr="007523DF" w:rsidRDefault="007523DF" w:rsidP="007523DF">
            <w:pPr>
              <w:spacing w:after="0" w:line="240" w:lineRule="auto"/>
              <w:jc w:val="center"/>
              <w:rPr>
                <w:rFonts w:ascii="Arial" w:hAnsi="Arial" w:cs="Arial"/>
                <w:b/>
                <w:bCs/>
                <w:color w:val="FFFFFF" w:themeColor="background1"/>
                <w:sz w:val="18"/>
                <w:szCs w:val="18"/>
                <w:lang w:eastAsia="hr-HR"/>
              </w:rPr>
            </w:pPr>
            <w:r w:rsidRPr="007523DF">
              <w:rPr>
                <w:rFonts w:ascii="Arial" w:hAnsi="Arial" w:cs="Arial"/>
                <w:b/>
                <w:bCs/>
                <w:color w:val="FFFFFF" w:themeColor="background1"/>
                <w:sz w:val="18"/>
                <w:szCs w:val="18"/>
                <w:lang w:eastAsia="hr-HR"/>
              </w:rPr>
              <w:t>B. RAČUN ZADUŽIVANJA FINANCIRANJA</w:t>
            </w:r>
          </w:p>
        </w:tc>
        <w:tc>
          <w:tcPr>
            <w:tcW w:w="1420" w:type="dxa"/>
            <w:tcBorders>
              <w:top w:val="nil"/>
              <w:left w:val="nil"/>
              <w:bottom w:val="nil"/>
              <w:right w:val="nil"/>
            </w:tcBorders>
            <w:shd w:val="clear" w:color="auto" w:fill="244061" w:themeFill="accent1" w:themeFillShade="80"/>
            <w:noWrap/>
            <w:vAlign w:val="bottom"/>
            <w:hideMark/>
          </w:tcPr>
          <w:p w14:paraId="4CE4CA10" w14:textId="77777777" w:rsidR="007523DF" w:rsidRPr="007523DF" w:rsidRDefault="007523DF" w:rsidP="007523DF">
            <w:pPr>
              <w:spacing w:after="0" w:line="240" w:lineRule="auto"/>
              <w:jc w:val="center"/>
              <w:rPr>
                <w:rFonts w:ascii="Arial" w:hAnsi="Arial" w:cs="Arial"/>
                <w:b/>
                <w:bCs/>
                <w:color w:val="FFFFFF" w:themeColor="background1"/>
                <w:sz w:val="18"/>
                <w:szCs w:val="18"/>
                <w:lang w:eastAsia="hr-HR"/>
              </w:rPr>
            </w:pPr>
            <w:r w:rsidRPr="007523DF">
              <w:rPr>
                <w:rFonts w:ascii="Arial" w:hAnsi="Arial" w:cs="Arial"/>
                <w:b/>
                <w:bCs/>
                <w:color w:val="FFFFFF" w:themeColor="background1"/>
                <w:sz w:val="18"/>
                <w:szCs w:val="18"/>
                <w:lang w:eastAsia="hr-HR"/>
              </w:rPr>
              <w:t>1</w:t>
            </w:r>
          </w:p>
        </w:tc>
        <w:tc>
          <w:tcPr>
            <w:tcW w:w="1698" w:type="dxa"/>
            <w:tcBorders>
              <w:top w:val="nil"/>
              <w:left w:val="nil"/>
              <w:bottom w:val="nil"/>
              <w:right w:val="nil"/>
            </w:tcBorders>
            <w:shd w:val="clear" w:color="auto" w:fill="244061" w:themeFill="accent1" w:themeFillShade="80"/>
            <w:noWrap/>
            <w:vAlign w:val="bottom"/>
            <w:hideMark/>
          </w:tcPr>
          <w:p w14:paraId="0028B91C" w14:textId="77777777" w:rsidR="007523DF" w:rsidRPr="007523DF" w:rsidRDefault="007523DF" w:rsidP="007523DF">
            <w:pPr>
              <w:spacing w:after="0" w:line="240" w:lineRule="auto"/>
              <w:jc w:val="center"/>
              <w:rPr>
                <w:rFonts w:ascii="Arial" w:hAnsi="Arial" w:cs="Arial"/>
                <w:b/>
                <w:bCs/>
                <w:color w:val="FFFFFF" w:themeColor="background1"/>
                <w:sz w:val="18"/>
                <w:szCs w:val="18"/>
                <w:lang w:eastAsia="hr-HR"/>
              </w:rPr>
            </w:pPr>
            <w:r w:rsidRPr="007523DF">
              <w:rPr>
                <w:rFonts w:ascii="Arial" w:hAnsi="Arial" w:cs="Arial"/>
                <w:b/>
                <w:bCs/>
                <w:color w:val="FFFFFF" w:themeColor="background1"/>
                <w:sz w:val="18"/>
                <w:szCs w:val="18"/>
                <w:lang w:eastAsia="hr-HR"/>
              </w:rPr>
              <w:t>2</w:t>
            </w:r>
          </w:p>
        </w:tc>
        <w:tc>
          <w:tcPr>
            <w:tcW w:w="1418" w:type="dxa"/>
            <w:tcBorders>
              <w:top w:val="nil"/>
              <w:left w:val="nil"/>
              <w:bottom w:val="nil"/>
              <w:right w:val="nil"/>
            </w:tcBorders>
            <w:shd w:val="clear" w:color="auto" w:fill="244061" w:themeFill="accent1" w:themeFillShade="80"/>
            <w:noWrap/>
            <w:vAlign w:val="bottom"/>
            <w:hideMark/>
          </w:tcPr>
          <w:p w14:paraId="35520CDD" w14:textId="77777777" w:rsidR="007523DF" w:rsidRPr="007523DF" w:rsidRDefault="007523DF" w:rsidP="007523DF">
            <w:pPr>
              <w:spacing w:after="0" w:line="240" w:lineRule="auto"/>
              <w:jc w:val="center"/>
              <w:rPr>
                <w:rFonts w:ascii="Arial" w:hAnsi="Arial" w:cs="Arial"/>
                <w:b/>
                <w:bCs/>
                <w:color w:val="FFFFFF" w:themeColor="background1"/>
                <w:sz w:val="18"/>
                <w:szCs w:val="18"/>
                <w:lang w:eastAsia="hr-HR"/>
              </w:rPr>
            </w:pPr>
            <w:r w:rsidRPr="007523DF">
              <w:rPr>
                <w:rFonts w:ascii="Arial" w:hAnsi="Arial" w:cs="Arial"/>
                <w:b/>
                <w:bCs/>
                <w:color w:val="FFFFFF" w:themeColor="background1"/>
                <w:sz w:val="18"/>
                <w:szCs w:val="18"/>
                <w:lang w:eastAsia="hr-HR"/>
              </w:rPr>
              <w:t>3</w:t>
            </w:r>
          </w:p>
        </w:tc>
        <w:tc>
          <w:tcPr>
            <w:tcW w:w="1320" w:type="dxa"/>
            <w:tcBorders>
              <w:top w:val="nil"/>
              <w:left w:val="nil"/>
              <w:bottom w:val="nil"/>
              <w:right w:val="nil"/>
            </w:tcBorders>
            <w:shd w:val="clear" w:color="auto" w:fill="244061" w:themeFill="accent1" w:themeFillShade="80"/>
            <w:noWrap/>
            <w:vAlign w:val="bottom"/>
            <w:hideMark/>
          </w:tcPr>
          <w:p w14:paraId="27C43BC7" w14:textId="77777777" w:rsidR="007523DF" w:rsidRPr="007523DF" w:rsidRDefault="007523DF" w:rsidP="007523DF">
            <w:pPr>
              <w:spacing w:after="0" w:line="240" w:lineRule="auto"/>
              <w:jc w:val="center"/>
              <w:rPr>
                <w:rFonts w:ascii="Arial" w:hAnsi="Arial" w:cs="Arial"/>
                <w:b/>
                <w:bCs/>
                <w:color w:val="FFFFFF" w:themeColor="background1"/>
                <w:sz w:val="18"/>
                <w:szCs w:val="18"/>
                <w:lang w:eastAsia="hr-HR"/>
              </w:rPr>
            </w:pPr>
            <w:r w:rsidRPr="007523DF">
              <w:rPr>
                <w:rFonts w:ascii="Arial" w:hAnsi="Arial" w:cs="Arial"/>
                <w:b/>
                <w:bCs/>
                <w:color w:val="FFFFFF" w:themeColor="background1"/>
                <w:sz w:val="18"/>
                <w:szCs w:val="18"/>
                <w:lang w:eastAsia="hr-HR"/>
              </w:rPr>
              <w:t>4</w:t>
            </w:r>
          </w:p>
        </w:tc>
        <w:tc>
          <w:tcPr>
            <w:tcW w:w="1231" w:type="dxa"/>
            <w:tcBorders>
              <w:top w:val="nil"/>
              <w:left w:val="nil"/>
              <w:bottom w:val="nil"/>
              <w:right w:val="nil"/>
            </w:tcBorders>
            <w:shd w:val="clear" w:color="auto" w:fill="244061" w:themeFill="accent1" w:themeFillShade="80"/>
            <w:noWrap/>
            <w:vAlign w:val="bottom"/>
            <w:hideMark/>
          </w:tcPr>
          <w:p w14:paraId="2E35F9B7" w14:textId="77777777" w:rsidR="007523DF" w:rsidRPr="007523DF" w:rsidRDefault="007523DF" w:rsidP="007523DF">
            <w:pPr>
              <w:spacing w:after="0" w:line="240" w:lineRule="auto"/>
              <w:jc w:val="center"/>
              <w:rPr>
                <w:rFonts w:ascii="Arial" w:hAnsi="Arial" w:cs="Arial"/>
                <w:b/>
                <w:bCs/>
                <w:color w:val="FFFFFF" w:themeColor="background1"/>
                <w:sz w:val="18"/>
                <w:szCs w:val="18"/>
                <w:lang w:eastAsia="hr-HR"/>
              </w:rPr>
            </w:pPr>
            <w:r w:rsidRPr="007523DF">
              <w:rPr>
                <w:rFonts w:ascii="Arial" w:hAnsi="Arial" w:cs="Arial"/>
                <w:b/>
                <w:bCs/>
                <w:color w:val="FFFFFF" w:themeColor="background1"/>
                <w:sz w:val="18"/>
                <w:szCs w:val="18"/>
                <w:lang w:eastAsia="hr-HR"/>
              </w:rPr>
              <w:t>5</w:t>
            </w:r>
          </w:p>
        </w:tc>
      </w:tr>
      <w:tr w:rsidR="007523DF" w:rsidRPr="007523DF" w14:paraId="3FF02AFA" w14:textId="77777777" w:rsidTr="007523DF">
        <w:trPr>
          <w:trHeight w:val="255"/>
        </w:trPr>
        <w:tc>
          <w:tcPr>
            <w:tcW w:w="7513" w:type="dxa"/>
            <w:tcBorders>
              <w:top w:val="nil"/>
              <w:left w:val="nil"/>
              <w:bottom w:val="nil"/>
              <w:right w:val="nil"/>
            </w:tcBorders>
            <w:shd w:val="clear" w:color="auto" w:fill="C6D9F1" w:themeFill="text2" w:themeFillTint="33"/>
            <w:noWrap/>
            <w:vAlign w:val="bottom"/>
            <w:hideMark/>
          </w:tcPr>
          <w:p w14:paraId="5A097955" w14:textId="77777777" w:rsidR="007523DF" w:rsidRPr="007523DF" w:rsidRDefault="007523DF" w:rsidP="007523DF">
            <w:pPr>
              <w:spacing w:after="0" w:line="240" w:lineRule="auto"/>
              <w:rPr>
                <w:rFonts w:ascii="Arial" w:hAnsi="Arial" w:cs="Arial"/>
                <w:b/>
                <w:bCs/>
                <w:sz w:val="18"/>
                <w:szCs w:val="18"/>
                <w:lang w:eastAsia="hr-HR"/>
              </w:rPr>
            </w:pPr>
            <w:r w:rsidRPr="007523DF">
              <w:rPr>
                <w:rFonts w:ascii="Arial" w:hAnsi="Arial" w:cs="Arial"/>
                <w:b/>
                <w:bCs/>
                <w:sz w:val="18"/>
                <w:szCs w:val="18"/>
                <w:lang w:eastAsia="hr-HR"/>
              </w:rPr>
              <w:t xml:space="preserve"> UKUPNI PRIMICI</w:t>
            </w:r>
          </w:p>
        </w:tc>
        <w:tc>
          <w:tcPr>
            <w:tcW w:w="1420" w:type="dxa"/>
            <w:tcBorders>
              <w:top w:val="nil"/>
              <w:left w:val="nil"/>
              <w:bottom w:val="nil"/>
              <w:right w:val="nil"/>
            </w:tcBorders>
            <w:shd w:val="clear" w:color="auto" w:fill="C6D9F1" w:themeFill="text2" w:themeFillTint="33"/>
            <w:noWrap/>
            <w:vAlign w:val="bottom"/>
            <w:hideMark/>
          </w:tcPr>
          <w:p w14:paraId="388098D5" w14:textId="77777777" w:rsidR="007523DF" w:rsidRPr="007523DF" w:rsidRDefault="007523DF" w:rsidP="007523DF">
            <w:pPr>
              <w:spacing w:after="0" w:line="240" w:lineRule="auto"/>
              <w:jc w:val="right"/>
              <w:rPr>
                <w:rFonts w:ascii="Arial" w:hAnsi="Arial" w:cs="Arial"/>
                <w:b/>
                <w:bCs/>
                <w:sz w:val="18"/>
                <w:szCs w:val="18"/>
                <w:lang w:eastAsia="hr-HR"/>
              </w:rPr>
            </w:pPr>
            <w:r w:rsidRPr="007523DF">
              <w:rPr>
                <w:rFonts w:ascii="Arial" w:hAnsi="Arial" w:cs="Arial"/>
                <w:b/>
                <w:bCs/>
                <w:sz w:val="18"/>
                <w:szCs w:val="18"/>
                <w:lang w:eastAsia="hr-HR"/>
              </w:rPr>
              <w:t> </w:t>
            </w:r>
          </w:p>
        </w:tc>
        <w:tc>
          <w:tcPr>
            <w:tcW w:w="1698" w:type="dxa"/>
            <w:tcBorders>
              <w:top w:val="nil"/>
              <w:left w:val="nil"/>
              <w:bottom w:val="nil"/>
              <w:right w:val="nil"/>
            </w:tcBorders>
            <w:shd w:val="clear" w:color="auto" w:fill="C6D9F1" w:themeFill="text2" w:themeFillTint="33"/>
            <w:noWrap/>
            <w:vAlign w:val="bottom"/>
            <w:hideMark/>
          </w:tcPr>
          <w:p w14:paraId="3873ECE2" w14:textId="77777777" w:rsidR="007523DF" w:rsidRPr="007523DF" w:rsidRDefault="007523DF" w:rsidP="007523DF">
            <w:pPr>
              <w:spacing w:after="0" w:line="240" w:lineRule="auto"/>
              <w:jc w:val="right"/>
              <w:rPr>
                <w:rFonts w:ascii="Arial" w:hAnsi="Arial" w:cs="Arial"/>
                <w:b/>
                <w:bCs/>
                <w:sz w:val="18"/>
                <w:szCs w:val="18"/>
                <w:lang w:eastAsia="hr-HR"/>
              </w:rPr>
            </w:pPr>
            <w:r w:rsidRPr="007523DF">
              <w:rPr>
                <w:rFonts w:ascii="Arial" w:hAnsi="Arial" w:cs="Arial"/>
                <w:b/>
                <w:bCs/>
                <w:sz w:val="18"/>
                <w:szCs w:val="18"/>
                <w:lang w:eastAsia="hr-HR"/>
              </w:rPr>
              <w:t>732.831,00</w:t>
            </w:r>
          </w:p>
        </w:tc>
        <w:tc>
          <w:tcPr>
            <w:tcW w:w="1418" w:type="dxa"/>
            <w:tcBorders>
              <w:top w:val="nil"/>
              <w:left w:val="nil"/>
              <w:bottom w:val="nil"/>
              <w:right w:val="nil"/>
            </w:tcBorders>
            <w:shd w:val="clear" w:color="auto" w:fill="C6D9F1" w:themeFill="text2" w:themeFillTint="33"/>
            <w:noWrap/>
            <w:vAlign w:val="bottom"/>
            <w:hideMark/>
          </w:tcPr>
          <w:p w14:paraId="52537B35" w14:textId="77777777" w:rsidR="007523DF" w:rsidRPr="007523DF" w:rsidRDefault="007523DF" w:rsidP="007523DF">
            <w:pPr>
              <w:spacing w:after="0" w:line="240" w:lineRule="auto"/>
              <w:jc w:val="right"/>
              <w:rPr>
                <w:rFonts w:ascii="Arial" w:hAnsi="Arial" w:cs="Arial"/>
                <w:b/>
                <w:bCs/>
                <w:sz w:val="18"/>
                <w:szCs w:val="18"/>
                <w:lang w:eastAsia="hr-HR"/>
              </w:rPr>
            </w:pPr>
            <w:r w:rsidRPr="007523DF">
              <w:rPr>
                <w:rFonts w:ascii="Arial" w:hAnsi="Arial" w:cs="Arial"/>
                <w:b/>
                <w:bCs/>
                <w:sz w:val="18"/>
                <w:szCs w:val="18"/>
                <w:lang w:eastAsia="hr-HR"/>
              </w:rPr>
              <w:t>627.143,50</w:t>
            </w:r>
          </w:p>
        </w:tc>
        <w:tc>
          <w:tcPr>
            <w:tcW w:w="1320" w:type="dxa"/>
            <w:tcBorders>
              <w:top w:val="nil"/>
              <w:left w:val="nil"/>
              <w:bottom w:val="nil"/>
              <w:right w:val="nil"/>
            </w:tcBorders>
            <w:shd w:val="clear" w:color="auto" w:fill="C6D9F1" w:themeFill="text2" w:themeFillTint="33"/>
            <w:noWrap/>
            <w:vAlign w:val="bottom"/>
            <w:hideMark/>
          </w:tcPr>
          <w:p w14:paraId="67AA89AD" w14:textId="77777777" w:rsidR="007523DF" w:rsidRPr="007523DF" w:rsidRDefault="007523DF" w:rsidP="007523DF">
            <w:pPr>
              <w:spacing w:after="0" w:line="240" w:lineRule="auto"/>
              <w:jc w:val="right"/>
              <w:rPr>
                <w:rFonts w:ascii="Arial" w:hAnsi="Arial" w:cs="Arial"/>
                <w:b/>
                <w:bCs/>
                <w:sz w:val="18"/>
                <w:szCs w:val="18"/>
                <w:lang w:eastAsia="hr-HR"/>
              </w:rPr>
            </w:pPr>
            <w:r w:rsidRPr="007523DF">
              <w:rPr>
                <w:rFonts w:ascii="Arial" w:hAnsi="Arial" w:cs="Arial"/>
                <w:b/>
                <w:bCs/>
                <w:sz w:val="18"/>
                <w:szCs w:val="18"/>
                <w:lang w:eastAsia="hr-HR"/>
              </w:rPr>
              <w:t> </w:t>
            </w:r>
          </w:p>
        </w:tc>
        <w:tc>
          <w:tcPr>
            <w:tcW w:w="1231" w:type="dxa"/>
            <w:tcBorders>
              <w:top w:val="nil"/>
              <w:left w:val="nil"/>
              <w:bottom w:val="nil"/>
              <w:right w:val="nil"/>
            </w:tcBorders>
            <w:shd w:val="clear" w:color="auto" w:fill="C6D9F1" w:themeFill="text2" w:themeFillTint="33"/>
            <w:noWrap/>
            <w:vAlign w:val="bottom"/>
            <w:hideMark/>
          </w:tcPr>
          <w:p w14:paraId="1470A17E" w14:textId="77777777" w:rsidR="007523DF" w:rsidRPr="007523DF" w:rsidRDefault="007523DF" w:rsidP="007523DF">
            <w:pPr>
              <w:spacing w:after="0" w:line="240" w:lineRule="auto"/>
              <w:jc w:val="right"/>
              <w:rPr>
                <w:rFonts w:ascii="Arial" w:hAnsi="Arial" w:cs="Arial"/>
                <w:b/>
                <w:bCs/>
                <w:sz w:val="18"/>
                <w:szCs w:val="18"/>
                <w:lang w:eastAsia="hr-HR"/>
              </w:rPr>
            </w:pPr>
            <w:r w:rsidRPr="007523DF">
              <w:rPr>
                <w:rFonts w:ascii="Arial" w:hAnsi="Arial" w:cs="Arial"/>
                <w:b/>
                <w:bCs/>
                <w:sz w:val="18"/>
                <w:szCs w:val="18"/>
                <w:lang w:eastAsia="hr-HR"/>
              </w:rPr>
              <w:t>85,58%</w:t>
            </w:r>
          </w:p>
        </w:tc>
      </w:tr>
      <w:tr w:rsidR="007523DF" w:rsidRPr="007523DF" w14:paraId="33A6006E" w14:textId="77777777" w:rsidTr="007523DF">
        <w:trPr>
          <w:trHeight w:val="255"/>
        </w:trPr>
        <w:tc>
          <w:tcPr>
            <w:tcW w:w="7513" w:type="dxa"/>
            <w:tcBorders>
              <w:top w:val="nil"/>
              <w:left w:val="nil"/>
              <w:bottom w:val="nil"/>
              <w:right w:val="nil"/>
            </w:tcBorders>
            <w:shd w:val="clear" w:color="auto" w:fill="auto"/>
            <w:noWrap/>
            <w:vAlign w:val="bottom"/>
            <w:hideMark/>
          </w:tcPr>
          <w:p w14:paraId="7BAD883E" w14:textId="77777777" w:rsidR="007523DF" w:rsidRPr="007523DF" w:rsidRDefault="007523DF" w:rsidP="007523DF">
            <w:pPr>
              <w:spacing w:after="0" w:line="240" w:lineRule="auto"/>
              <w:rPr>
                <w:rFonts w:ascii="Arial" w:hAnsi="Arial" w:cs="Arial"/>
                <w:b/>
                <w:bCs/>
                <w:sz w:val="18"/>
                <w:szCs w:val="18"/>
                <w:lang w:eastAsia="hr-HR"/>
              </w:rPr>
            </w:pPr>
            <w:r w:rsidRPr="007523DF">
              <w:rPr>
                <w:rFonts w:ascii="Arial" w:hAnsi="Arial" w:cs="Arial"/>
                <w:b/>
                <w:bCs/>
                <w:sz w:val="18"/>
                <w:szCs w:val="18"/>
                <w:lang w:eastAsia="hr-HR"/>
              </w:rPr>
              <w:t>8. Namjenski primici /od fin. imovine i zaduživanja</w:t>
            </w:r>
          </w:p>
        </w:tc>
        <w:tc>
          <w:tcPr>
            <w:tcW w:w="1420" w:type="dxa"/>
            <w:tcBorders>
              <w:top w:val="nil"/>
              <w:left w:val="nil"/>
              <w:bottom w:val="nil"/>
              <w:right w:val="nil"/>
            </w:tcBorders>
            <w:shd w:val="clear" w:color="auto" w:fill="auto"/>
            <w:noWrap/>
            <w:vAlign w:val="bottom"/>
            <w:hideMark/>
          </w:tcPr>
          <w:p w14:paraId="4B50A10B" w14:textId="77777777" w:rsidR="007523DF" w:rsidRPr="007523DF" w:rsidRDefault="007523DF" w:rsidP="007523DF">
            <w:pPr>
              <w:spacing w:after="0" w:line="240" w:lineRule="auto"/>
              <w:rPr>
                <w:rFonts w:ascii="Arial" w:hAnsi="Arial" w:cs="Arial"/>
                <w:b/>
                <w:bCs/>
                <w:sz w:val="18"/>
                <w:szCs w:val="18"/>
                <w:lang w:eastAsia="hr-HR"/>
              </w:rPr>
            </w:pPr>
          </w:p>
        </w:tc>
        <w:tc>
          <w:tcPr>
            <w:tcW w:w="1698" w:type="dxa"/>
            <w:tcBorders>
              <w:top w:val="nil"/>
              <w:left w:val="nil"/>
              <w:bottom w:val="nil"/>
              <w:right w:val="nil"/>
            </w:tcBorders>
            <w:shd w:val="clear" w:color="auto" w:fill="auto"/>
            <w:noWrap/>
            <w:vAlign w:val="bottom"/>
            <w:hideMark/>
          </w:tcPr>
          <w:p w14:paraId="6F3EF9D6" w14:textId="77777777" w:rsidR="007523DF" w:rsidRPr="007523DF" w:rsidRDefault="007523DF" w:rsidP="007523DF">
            <w:pPr>
              <w:spacing w:after="0" w:line="240" w:lineRule="auto"/>
              <w:jc w:val="right"/>
              <w:rPr>
                <w:rFonts w:ascii="Arial" w:hAnsi="Arial" w:cs="Arial"/>
                <w:b/>
                <w:bCs/>
                <w:sz w:val="18"/>
                <w:szCs w:val="18"/>
                <w:lang w:eastAsia="hr-HR"/>
              </w:rPr>
            </w:pPr>
            <w:r w:rsidRPr="007523DF">
              <w:rPr>
                <w:rFonts w:ascii="Arial" w:hAnsi="Arial" w:cs="Arial"/>
                <w:b/>
                <w:bCs/>
                <w:sz w:val="18"/>
                <w:szCs w:val="18"/>
                <w:lang w:eastAsia="hr-HR"/>
              </w:rPr>
              <w:t>732.831,00</w:t>
            </w:r>
          </w:p>
        </w:tc>
        <w:tc>
          <w:tcPr>
            <w:tcW w:w="1418" w:type="dxa"/>
            <w:tcBorders>
              <w:top w:val="nil"/>
              <w:left w:val="nil"/>
              <w:bottom w:val="nil"/>
              <w:right w:val="nil"/>
            </w:tcBorders>
            <w:shd w:val="clear" w:color="auto" w:fill="auto"/>
            <w:noWrap/>
            <w:vAlign w:val="bottom"/>
            <w:hideMark/>
          </w:tcPr>
          <w:p w14:paraId="5E037496" w14:textId="77777777" w:rsidR="007523DF" w:rsidRPr="007523DF" w:rsidRDefault="007523DF" w:rsidP="007523DF">
            <w:pPr>
              <w:spacing w:after="0" w:line="240" w:lineRule="auto"/>
              <w:jc w:val="right"/>
              <w:rPr>
                <w:rFonts w:ascii="Arial" w:hAnsi="Arial" w:cs="Arial"/>
                <w:b/>
                <w:bCs/>
                <w:sz w:val="18"/>
                <w:szCs w:val="18"/>
                <w:lang w:eastAsia="hr-HR"/>
              </w:rPr>
            </w:pPr>
            <w:r w:rsidRPr="007523DF">
              <w:rPr>
                <w:rFonts w:ascii="Arial" w:hAnsi="Arial" w:cs="Arial"/>
                <w:b/>
                <w:bCs/>
                <w:sz w:val="18"/>
                <w:szCs w:val="18"/>
                <w:lang w:eastAsia="hr-HR"/>
              </w:rPr>
              <w:t>627.143,50</w:t>
            </w:r>
          </w:p>
        </w:tc>
        <w:tc>
          <w:tcPr>
            <w:tcW w:w="1320" w:type="dxa"/>
            <w:tcBorders>
              <w:top w:val="nil"/>
              <w:left w:val="nil"/>
              <w:bottom w:val="nil"/>
              <w:right w:val="nil"/>
            </w:tcBorders>
            <w:shd w:val="clear" w:color="auto" w:fill="auto"/>
            <w:noWrap/>
            <w:vAlign w:val="bottom"/>
            <w:hideMark/>
          </w:tcPr>
          <w:p w14:paraId="459C836C" w14:textId="77777777" w:rsidR="007523DF" w:rsidRPr="007523DF" w:rsidRDefault="007523DF" w:rsidP="007523DF">
            <w:pPr>
              <w:spacing w:after="0" w:line="240" w:lineRule="auto"/>
              <w:jc w:val="right"/>
              <w:rPr>
                <w:rFonts w:ascii="Arial" w:hAnsi="Arial" w:cs="Arial"/>
                <w:b/>
                <w:bCs/>
                <w:sz w:val="18"/>
                <w:szCs w:val="18"/>
                <w:lang w:eastAsia="hr-HR"/>
              </w:rPr>
            </w:pPr>
          </w:p>
        </w:tc>
        <w:tc>
          <w:tcPr>
            <w:tcW w:w="1231" w:type="dxa"/>
            <w:tcBorders>
              <w:top w:val="nil"/>
              <w:left w:val="nil"/>
              <w:bottom w:val="nil"/>
              <w:right w:val="nil"/>
            </w:tcBorders>
            <w:shd w:val="clear" w:color="auto" w:fill="auto"/>
            <w:noWrap/>
            <w:vAlign w:val="bottom"/>
            <w:hideMark/>
          </w:tcPr>
          <w:p w14:paraId="206A936A" w14:textId="77777777" w:rsidR="007523DF" w:rsidRPr="007523DF" w:rsidRDefault="007523DF" w:rsidP="007523DF">
            <w:pPr>
              <w:spacing w:after="0" w:line="240" w:lineRule="auto"/>
              <w:jc w:val="right"/>
              <w:rPr>
                <w:rFonts w:ascii="Arial" w:hAnsi="Arial" w:cs="Arial"/>
                <w:b/>
                <w:bCs/>
                <w:sz w:val="18"/>
                <w:szCs w:val="18"/>
                <w:lang w:eastAsia="hr-HR"/>
              </w:rPr>
            </w:pPr>
            <w:r w:rsidRPr="007523DF">
              <w:rPr>
                <w:rFonts w:ascii="Arial" w:hAnsi="Arial" w:cs="Arial"/>
                <w:b/>
                <w:bCs/>
                <w:sz w:val="18"/>
                <w:szCs w:val="18"/>
                <w:lang w:eastAsia="hr-HR"/>
              </w:rPr>
              <w:t>85,58%</w:t>
            </w:r>
          </w:p>
        </w:tc>
      </w:tr>
      <w:tr w:rsidR="007523DF" w:rsidRPr="007523DF" w14:paraId="0C87C3E1" w14:textId="77777777" w:rsidTr="007523DF">
        <w:trPr>
          <w:trHeight w:val="255"/>
        </w:trPr>
        <w:tc>
          <w:tcPr>
            <w:tcW w:w="7513" w:type="dxa"/>
            <w:tcBorders>
              <w:top w:val="nil"/>
              <w:left w:val="nil"/>
              <w:bottom w:val="nil"/>
              <w:right w:val="nil"/>
            </w:tcBorders>
            <w:shd w:val="clear" w:color="auto" w:fill="auto"/>
            <w:noWrap/>
            <w:vAlign w:val="bottom"/>
            <w:hideMark/>
          </w:tcPr>
          <w:p w14:paraId="026B5B46" w14:textId="77777777" w:rsidR="007523DF" w:rsidRPr="007523DF" w:rsidRDefault="007523DF" w:rsidP="007523DF">
            <w:pPr>
              <w:spacing w:after="0" w:line="240" w:lineRule="auto"/>
              <w:rPr>
                <w:rFonts w:ascii="Arial" w:hAnsi="Arial" w:cs="Arial"/>
                <w:sz w:val="18"/>
                <w:szCs w:val="18"/>
                <w:lang w:eastAsia="hr-HR"/>
              </w:rPr>
            </w:pPr>
            <w:r w:rsidRPr="007523DF">
              <w:rPr>
                <w:rFonts w:ascii="Arial" w:hAnsi="Arial" w:cs="Arial"/>
                <w:sz w:val="18"/>
                <w:szCs w:val="18"/>
                <w:lang w:eastAsia="hr-HR"/>
              </w:rPr>
              <w:t xml:space="preserve">8.1. Namjenski primici /od fin. imovine i zaduživanja </w:t>
            </w:r>
          </w:p>
        </w:tc>
        <w:tc>
          <w:tcPr>
            <w:tcW w:w="1420" w:type="dxa"/>
            <w:tcBorders>
              <w:top w:val="nil"/>
              <w:left w:val="nil"/>
              <w:bottom w:val="nil"/>
              <w:right w:val="nil"/>
            </w:tcBorders>
            <w:shd w:val="clear" w:color="auto" w:fill="auto"/>
            <w:noWrap/>
            <w:vAlign w:val="bottom"/>
            <w:hideMark/>
          </w:tcPr>
          <w:p w14:paraId="6B9941B4" w14:textId="77777777" w:rsidR="007523DF" w:rsidRPr="007523DF" w:rsidRDefault="007523DF" w:rsidP="007523DF">
            <w:pPr>
              <w:spacing w:after="0" w:line="240" w:lineRule="auto"/>
              <w:rPr>
                <w:rFonts w:ascii="Arial" w:hAnsi="Arial" w:cs="Arial"/>
                <w:sz w:val="18"/>
                <w:szCs w:val="18"/>
                <w:lang w:eastAsia="hr-HR"/>
              </w:rPr>
            </w:pPr>
          </w:p>
        </w:tc>
        <w:tc>
          <w:tcPr>
            <w:tcW w:w="1698" w:type="dxa"/>
            <w:tcBorders>
              <w:top w:val="nil"/>
              <w:left w:val="nil"/>
              <w:bottom w:val="nil"/>
              <w:right w:val="nil"/>
            </w:tcBorders>
            <w:shd w:val="clear" w:color="auto" w:fill="auto"/>
            <w:noWrap/>
            <w:vAlign w:val="bottom"/>
            <w:hideMark/>
          </w:tcPr>
          <w:p w14:paraId="717A75D9" w14:textId="77777777" w:rsidR="007523DF" w:rsidRPr="007523DF" w:rsidRDefault="007523DF" w:rsidP="007523DF">
            <w:pPr>
              <w:spacing w:after="0" w:line="240" w:lineRule="auto"/>
              <w:jc w:val="right"/>
              <w:rPr>
                <w:rFonts w:ascii="Arial" w:hAnsi="Arial" w:cs="Arial"/>
                <w:sz w:val="18"/>
                <w:szCs w:val="18"/>
                <w:lang w:eastAsia="hr-HR"/>
              </w:rPr>
            </w:pPr>
            <w:r w:rsidRPr="007523DF">
              <w:rPr>
                <w:rFonts w:ascii="Arial" w:hAnsi="Arial" w:cs="Arial"/>
                <w:sz w:val="18"/>
                <w:szCs w:val="18"/>
                <w:lang w:eastAsia="hr-HR"/>
              </w:rPr>
              <w:t>732.831,00</w:t>
            </w:r>
          </w:p>
        </w:tc>
        <w:tc>
          <w:tcPr>
            <w:tcW w:w="1418" w:type="dxa"/>
            <w:tcBorders>
              <w:top w:val="nil"/>
              <w:left w:val="nil"/>
              <w:bottom w:val="nil"/>
              <w:right w:val="nil"/>
            </w:tcBorders>
            <w:shd w:val="clear" w:color="auto" w:fill="auto"/>
            <w:noWrap/>
            <w:vAlign w:val="bottom"/>
            <w:hideMark/>
          </w:tcPr>
          <w:p w14:paraId="0208067D" w14:textId="77777777" w:rsidR="007523DF" w:rsidRPr="007523DF" w:rsidRDefault="007523DF" w:rsidP="007523DF">
            <w:pPr>
              <w:spacing w:after="0" w:line="240" w:lineRule="auto"/>
              <w:jc w:val="right"/>
              <w:rPr>
                <w:rFonts w:ascii="Arial" w:hAnsi="Arial" w:cs="Arial"/>
                <w:sz w:val="18"/>
                <w:szCs w:val="18"/>
                <w:lang w:eastAsia="hr-HR"/>
              </w:rPr>
            </w:pPr>
            <w:r w:rsidRPr="007523DF">
              <w:rPr>
                <w:rFonts w:ascii="Arial" w:hAnsi="Arial" w:cs="Arial"/>
                <w:sz w:val="18"/>
                <w:szCs w:val="18"/>
                <w:lang w:eastAsia="hr-HR"/>
              </w:rPr>
              <w:t>627.143,50</w:t>
            </w:r>
          </w:p>
        </w:tc>
        <w:tc>
          <w:tcPr>
            <w:tcW w:w="1320" w:type="dxa"/>
            <w:tcBorders>
              <w:top w:val="nil"/>
              <w:left w:val="nil"/>
              <w:bottom w:val="nil"/>
              <w:right w:val="nil"/>
            </w:tcBorders>
            <w:shd w:val="clear" w:color="auto" w:fill="auto"/>
            <w:noWrap/>
            <w:vAlign w:val="bottom"/>
            <w:hideMark/>
          </w:tcPr>
          <w:p w14:paraId="08ED983E" w14:textId="77777777" w:rsidR="007523DF" w:rsidRPr="007523DF" w:rsidRDefault="007523DF" w:rsidP="007523DF">
            <w:pPr>
              <w:spacing w:after="0" w:line="240" w:lineRule="auto"/>
              <w:jc w:val="right"/>
              <w:rPr>
                <w:rFonts w:ascii="Arial" w:hAnsi="Arial" w:cs="Arial"/>
                <w:sz w:val="18"/>
                <w:szCs w:val="18"/>
                <w:lang w:eastAsia="hr-HR"/>
              </w:rPr>
            </w:pPr>
          </w:p>
        </w:tc>
        <w:tc>
          <w:tcPr>
            <w:tcW w:w="1231" w:type="dxa"/>
            <w:tcBorders>
              <w:top w:val="nil"/>
              <w:left w:val="nil"/>
              <w:bottom w:val="nil"/>
              <w:right w:val="nil"/>
            </w:tcBorders>
            <w:shd w:val="clear" w:color="auto" w:fill="auto"/>
            <w:noWrap/>
            <w:vAlign w:val="bottom"/>
            <w:hideMark/>
          </w:tcPr>
          <w:p w14:paraId="1DF64A29" w14:textId="77777777" w:rsidR="007523DF" w:rsidRPr="007523DF" w:rsidRDefault="007523DF" w:rsidP="007523DF">
            <w:pPr>
              <w:spacing w:after="0" w:line="240" w:lineRule="auto"/>
              <w:jc w:val="right"/>
              <w:rPr>
                <w:rFonts w:ascii="Arial" w:hAnsi="Arial" w:cs="Arial"/>
                <w:sz w:val="18"/>
                <w:szCs w:val="18"/>
                <w:lang w:eastAsia="hr-HR"/>
              </w:rPr>
            </w:pPr>
            <w:r w:rsidRPr="007523DF">
              <w:rPr>
                <w:rFonts w:ascii="Arial" w:hAnsi="Arial" w:cs="Arial"/>
                <w:sz w:val="18"/>
                <w:szCs w:val="18"/>
                <w:lang w:eastAsia="hr-HR"/>
              </w:rPr>
              <w:t>85,58%</w:t>
            </w:r>
          </w:p>
        </w:tc>
      </w:tr>
      <w:tr w:rsidR="007523DF" w:rsidRPr="007523DF" w14:paraId="402D9F86" w14:textId="77777777" w:rsidTr="007523DF">
        <w:trPr>
          <w:trHeight w:val="255"/>
        </w:trPr>
        <w:tc>
          <w:tcPr>
            <w:tcW w:w="7513" w:type="dxa"/>
            <w:tcBorders>
              <w:top w:val="nil"/>
              <w:left w:val="nil"/>
              <w:bottom w:val="nil"/>
              <w:right w:val="nil"/>
            </w:tcBorders>
            <w:shd w:val="clear" w:color="auto" w:fill="C6D9F1" w:themeFill="text2" w:themeFillTint="33"/>
            <w:noWrap/>
            <w:vAlign w:val="bottom"/>
            <w:hideMark/>
          </w:tcPr>
          <w:p w14:paraId="4F7253C9" w14:textId="77777777" w:rsidR="007523DF" w:rsidRPr="007523DF" w:rsidRDefault="007523DF" w:rsidP="007523DF">
            <w:pPr>
              <w:spacing w:after="0" w:line="240" w:lineRule="auto"/>
              <w:rPr>
                <w:rFonts w:ascii="Arial" w:hAnsi="Arial" w:cs="Arial"/>
                <w:b/>
                <w:bCs/>
                <w:sz w:val="18"/>
                <w:szCs w:val="18"/>
                <w:lang w:eastAsia="hr-HR"/>
              </w:rPr>
            </w:pPr>
            <w:r w:rsidRPr="007523DF">
              <w:rPr>
                <w:rFonts w:ascii="Arial" w:hAnsi="Arial" w:cs="Arial"/>
                <w:b/>
                <w:bCs/>
                <w:sz w:val="18"/>
                <w:szCs w:val="18"/>
                <w:lang w:eastAsia="hr-HR"/>
              </w:rPr>
              <w:t xml:space="preserve"> UKUPNI IZDACI</w:t>
            </w:r>
          </w:p>
        </w:tc>
        <w:tc>
          <w:tcPr>
            <w:tcW w:w="1420" w:type="dxa"/>
            <w:tcBorders>
              <w:top w:val="nil"/>
              <w:left w:val="nil"/>
              <w:bottom w:val="nil"/>
              <w:right w:val="nil"/>
            </w:tcBorders>
            <w:shd w:val="clear" w:color="auto" w:fill="C6D9F1" w:themeFill="text2" w:themeFillTint="33"/>
            <w:noWrap/>
            <w:vAlign w:val="bottom"/>
            <w:hideMark/>
          </w:tcPr>
          <w:p w14:paraId="70051B53" w14:textId="77777777" w:rsidR="007523DF" w:rsidRPr="007523DF" w:rsidRDefault="007523DF" w:rsidP="007523DF">
            <w:pPr>
              <w:spacing w:after="0" w:line="240" w:lineRule="auto"/>
              <w:jc w:val="right"/>
              <w:rPr>
                <w:rFonts w:ascii="Arial" w:hAnsi="Arial" w:cs="Arial"/>
                <w:b/>
                <w:bCs/>
                <w:sz w:val="18"/>
                <w:szCs w:val="18"/>
                <w:lang w:eastAsia="hr-HR"/>
              </w:rPr>
            </w:pPr>
            <w:r w:rsidRPr="007523DF">
              <w:rPr>
                <w:rFonts w:ascii="Arial" w:hAnsi="Arial" w:cs="Arial"/>
                <w:b/>
                <w:bCs/>
                <w:sz w:val="18"/>
                <w:szCs w:val="18"/>
                <w:lang w:eastAsia="hr-HR"/>
              </w:rPr>
              <w:t>9.054,93</w:t>
            </w:r>
          </w:p>
        </w:tc>
        <w:tc>
          <w:tcPr>
            <w:tcW w:w="1698" w:type="dxa"/>
            <w:tcBorders>
              <w:top w:val="nil"/>
              <w:left w:val="nil"/>
              <w:bottom w:val="nil"/>
              <w:right w:val="nil"/>
            </w:tcBorders>
            <w:shd w:val="clear" w:color="auto" w:fill="C6D9F1" w:themeFill="text2" w:themeFillTint="33"/>
            <w:noWrap/>
            <w:vAlign w:val="bottom"/>
            <w:hideMark/>
          </w:tcPr>
          <w:p w14:paraId="0EF62475" w14:textId="77777777" w:rsidR="007523DF" w:rsidRPr="007523DF" w:rsidRDefault="007523DF" w:rsidP="007523DF">
            <w:pPr>
              <w:spacing w:after="0" w:line="240" w:lineRule="auto"/>
              <w:jc w:val="right"/>
              <w:rPr>
                <w:rFonts w:ascii="Arial" w:hAnsi="Arial" w:cs="Arial"/>
                <w:b/>
                <w:bCs/>
                <w:sz w:val="18"/>
                <w:szCs w:val="18"/>
                <w:lang w:eastAsia="hr-HR"/>
              </w:rPr>
            </w:pPr>
            <w:r w:rsidRPr="007523DF">
              <w:rPr>
                <w:rFonts w:ascii="Arial" w:hAnsi="Arial" w:cs="Arial"/>
                <w:b/>
                <w:bCs/>
                <w:sz w:val="18"/>
                <w:szCs w:val="18"/>
                <w:lang w:eastAsia="hr-HR"/>
              </w:rPr>
              <w:t>20.000,00</w:t>
            </w:r>
          </w:p>
        </w:tc>
        <w:tc>
          <w:tcPr>
            <w:tcW w:w="1418" w:type="dxa"/>
            <w:tcBorders>
              <w:top w:val="nil"/>
              <w:left w:val="nil"/>
              <w:bottom w:val="nil"/>
              <w:right w:val="nil"/>
            </w:tcBorders>
            <w:shd w:val="clear" w:color="auto" w:fill="C6D9F1" w:themeFill="text2" w:themeFillTint="33"/>
            <w:noWrap/>
            <w:vAlign w:val="bottom"/>
            <w:hideMark/>
          </w:tcPr>
          <w:p w14:paraId="13E16629" w14:textId="77777777" w:rsidR="007523DF" w:rsidRPr="007523DF" w:rsidRDefault="007523DF" w:rsidP="007523DF">
            <w:pPr>
              <w:spacing w:after="0" w:line="240" w:lineRule="auto"/>
              <w:jc w:val="right"/>
              <w:rPr>
                <w:rFonts w:ascii="Arial" w:hAnsi="Arial" w:cs="Arial"/>
                <w:b/>
                <w:bCs/>
                <w:sz w:val="18"/>
                <w:szCs w:val="18"/>
                <w:lang w:eastAsia="hr-HR"/>
              </w:rPr>
            </w:pPr>
            <w:r w:rsidRPr="007523DF">
              <w:rPr>
                <w:rFonts w:ascii="Arial" w:hAnsi="Arial" w:cs="Arial"/>
                <w:b/>
                <w:bCs/>
                <w:sz w:val="18"/>
                <w:szCs w:val="18"/>
                <w:lang w:eastAsia="hr-HR"/>
              </w:rPr>
              <w:t>20.000,00</w:t>
            </w:r>
          </w:p>
        </w:tc>
        <w:tc>
          <w:tcPr>
            <w:tcW w:w="1320" w:type="dxa"/>
            <w:tcBorders>
              <w:top w:val="nil"/>
              <w:left w:val="nil"/>
              <w:bottom w:val="nil"/>
              <w:right w:val="nil"/>
            </w:tcBorders>
            <w:shd w:val="clear" w:color="auto" w:fill="C6D9F1" w:themeFill="text2" w:themeFillTint="33"/>
            <w:noWrap/>
            <w:vAlign w:val="bottom"/>
            <w:hideMark/>
          </w:tcPr>
          <w:p w14:paraId="4918FB93" w14:textId="77777777" w:rsidR="007523DF" w:rsidRPr="007523DF" w:rsidRDefault="007523DF" w:rsidP="007523DF">
            <w:pPr>
              <w:spacing w:after="0" w:line="240" w:lineRule="auto"/>
              <w:jc w:val="right"/>
              <w:rPr>
                <w:rFonts w:ascii="Arial" w:hAnsi="Arial" w:cs="Arial"/>
                <w:b/>
                <w:bCs/>
                <w:sz w:val="18"/>
                <w:szCs w:val="18"/>
                <w:lang w:eastAsia="hr-HR"/>
              </w:rPr>
            </w:pPr>
            <w:r w:rsidRPr="007523DF">
              <w:rPr>
                <w:rFonts w:ascii="Arial" w:hAnsi="Arial" w:cs="Arial"/>
                <w:b/>
                <w:bCs/>
                <w:sz w:val="18"/>
                <w:szCs w:val="18"/>
                <w:lang w:eastAsia="hr-HR"/>
              </w:rPr>
              <w:t>220,87%</w:t>
            </w:r>
          </w:p>
        </w:tc>
        <w:tc>
          <w:tcPr>
            <w:tcW w:w="1231" w:type="dxa"/>
            <w:tcBorders>
              <w:top w:val="nil"/>
              <w:left w:val="nil"/>
              <w:bottom w:val="nil"/>
              <w:right w:val="nil"/>
            </w:tcBorders>
            <w:shd w:val="clear" w:color="auto" w:fill="C6D9F1" w:themeFill="text2" w:themeFillTint="33"/>
            <w:noWrap/>
            <w:vAlign w:val="bottom"/>
            <w:hideMark/>
          </w:tcPr>
          <w:p w14:paraId="5E781795" w14:textId="77777777" w:rsidR="007523DF" w:rsidRPr="007523DF" w:rsidRDefault="007523DF" w:rsidP="007523DF">
            <w:pPr>
              <w:spacing w:after="0" w:line="240" w:lineRule="auto"/>
              <w:jc w:val="right"/>
              <w:rPr>
                <w:rFonts w:ascii="Arial" w:hAnsi="Arial" w:cs="Arial"/>
                <w:b/>
                <w:bCs/>
                <w:sz w:val="18"/>
                <w:szCs w:val="18"/>
                <w:lang w:eastAsia="hr-HR"/>
              </w:rPr>
            </w:pPr>
            <w:r w:rsidRPr="007523DF">
              <w:rPr>
                <w:rFonts w:ascii="Arial" w:hAnsi="Arial" w:cs="Arial"/>
                <w:b/>
                <w:bCs/>
                <w:sz w:val="18"/>
                <w:szCs w:val="18"/>
                <w:lang w:eastAsia="hr-HR"/>
              </w:rPr>
              <w:t>100,00%</w:t>
            </w:r>
          </w:p>
        </w:tc>
      </w:tr>
      <w:tr w:rsidR="007523DF" w:rsidRPr="007523DF" w14:paraId="2062237A" w14:textId="77777777" w:rsidTr="007523DF">
        <w:trPr>
          <w:trHeight w:val="255"/>
        </w:trPr>
        <w:tc>
          <w:tcPr>
            <w:tcW w:w="7513" w:type="dxa"/>
            <w:tcBorders>
              <w:top w:val="nil"/>
              <w:left w:val="nil"/>
              <w:bottom w:val="nil"/>
              <w:right w:val="nil"/>
            </w:tcBorders>
            <w:shd w:val="clear" w:color="auto" w:fill="auto"/>
            <w:noWrap/>
            <w:vAlign w:val="bottom"/>
            <w:hideMark/>
          </w:tcPr>
          <w:p w14:paraId="314D9CD7" w14:textId="77777777" w:rsidR="007523DF" w:rsidRPr="007523DF" w:rsidRDefault="007523DF" w:rsidP="007523DF">
            <w:pPr>
              <w:spacing w:after="0" w:line="240" w:lineRule="auto"/>
              <w:rPr>
                <w:rFonts w:ascii="Arial" w:hAnsi="Arial" w:cs="Arial"/>
                <w:b/>
                <w:bCs/>
                <w:sz w:val="18"/>
                <w:szCs w:val="18"/>
                <w:lang w:eastAsia="hr-HR"/>
              </w:rPr>
            </w:pPr>
            <w:r w:rsidRPr="007523DF">
              <w:rPr>
                <w:rFonts w:ascii="Arial" w:hAnsi="Arial" w:cs="Arial"/>
                <w:b/>
                <w:bCs/>
                <w:sz w:val="18"/>
                <w:szCs w:val="18"/>
                <w:lang w:eastAsia="hr-HR"/>
              </w:rPr>
              <w:t>1. Opći prihodi i primici</w:t>
            </w:r>
          </w:p>
        </w:tc>
        <w:tc>
          <w:tcPr>
            <w:tcW w:w="1420" w:type="dxa"/>
            <w:tcBorders>
              <w:top w:val="nil"/>
              <w:left w:val="nil"/>
              <w:bottom w:val="nil"/>
              <w:right w:val="nil"/>
            </w:tcBorders>
            <w:shd w:val="clear" w:color="auto" w:fill="auto"/>
            <w:noWrap/>
            <w:vAlign w:val="bottom"/>
            <w:hideMark/>
          </w:tcPr>
          <w:p w14:paraId="0986B0B0" w14:textId="77777777" w:rsidR="007523DF" w:rsidRPr="007523DF" w:rsidRDefault="007523DF" w:rsidP="007523DF">
            <w:pPr>
              <w:spacing w:after="0" w:line="240" w:lineRule="auto"/>
              <w:jc w:val="right"/>
              <w:rPr>
                <w:rFonts w:ascii="Arial" w:hAnsi="Arial" w:cs="Arial"/>
                <w:b/>
                <w:bCs/>
                <w:sz w:val="18"/>
                <w:szCs w:val="18"/>
                <w:lang w:eastAsia="hr-HR"/>
              </w:rPr>
            </w:pPr>
            <w:r w:rsidRPr="007523DF">
              <w:rPr>
                <w:rFonts w:ascii="Arial" w:hAnsi="Arial" w:cs="Arial"/>
                <w:b/>
                <w:bCs/>
                <w:sz w:val="18"/>
                <w:szCs w:val="18"/>
                <w:lang w:eastAsia="hr-HR"/>
              </w:rPr>
              <w:t>9.054,93</w:t>
            </w:r>
          </w:p>
        </w:tc>
        <w:tc>
          <w:tcPr>
            <w:tcW w:w="1698" w:type="dxa"/>
            <w:tcBorders>
              <w:top w:val="nil"/>
              <w:left w:val="nil"/>
              <w:bottom w:val="nil"/>
              <w:right w:val="nil"/>
            </w:tcBorders>
            <w:shd w:val="clear" w:color="auto" w:fill="auto"/>
            <w:noWrap/>
            <w:vAlign w:val="bottom"/>
            <w:hideMark/>
          </w:tcPr>
          <w:p w14:paraId="0F34F57B" w14:textId="77777777" w:rsidR="007523DF" w:rsidRPr="007523DF" w:rsidRDefault="007523DF" w:rsidP="007523DF">
            <w:pPr>
              <w:spacing w:after="0" w:line="240" w:lineRule="auto"/>
              <w:jc w:val="right"/>
              <w:rPr>
                <w:rFonts w:ascii="Arial" w:hAnsi="Arial" w:cs="Arial"/>
                <w:b/>
                <w:bCs/>
                <w:sz w:val="18"/>
                <w:szCs w:val="18"/>
                <w:lang w:eastAsia="hr-HR"/>
              </w:rPr>
            </w:pPr>
            <w:r w:rsidRPr="007523DF">
              <w:rPr>
                <w:rFonts w:ascii="Arial" w:hAnsi="Arial" w:cs="Arial"/>
                <w:b/>
                <w:bCs/>
                <w:sz w:val="18"/>
                <w:szCs w:val="18"/>
                <w:lang w:eastAsia="hr-HR"/>
              </w:rPr>
              <w:t>20.000,00</w:t>
            </w:r>
          </w:p>
        </w:tc>
        <w:tc>
          <w:tcPr>
            <w:tcW w:w="1418" w:type="dxa"/>
            <w:tcBorders>
              <w:top w:val="nil"/>
              <w:left w:val="nil"/>
              <w:bottom w:val="nil"/>
              <w:right w:val="nil"/>
            </w:tcBorders>
            <w:shd w:val="clear" w:color="auto" w:fill="auto"/>
            <w:noWrap/>
            <w:vAlign w:val="bottom"/>
            <w:hideMark/>
          </w:tcPr>
          <w:p w14:paraId="7DBA233B" w14:textId="77777777" w:rsidR="007523DF" w:rsidRPr="007523DF" w:rsidRDefault="007523DF" w:rsidP="007523DF">
            <w:pPr>
              <w:spacing w:after="0" w:line="240" w:lineRule="auto"/>
              <w:jc w:val="right"/>
              <w:rPr>
                <w:rFonts w:ascii="Arial" w:hAnsi="Arial" w:cs="Arial"/>
                <w:b/>
                <w:bCs/>
                <w:sz w:val="18"/>
                <w:szCs w:val="18"/>
                <w:lang w:eastAsia="hr-HR"/>
              </w:rPr>
            </w:pPr>
            <w:r w:rsidRPr="007523DF">
              <w:rPr>
                <w:rFonts w:ascii="Arial" w:hAnsi="Arial" w:cs="Arial"/>
                <w:b/>
                <w:bCs/>
                <w:sz w:val="18"/>
                <w:szCs w:val="18"/>
                <w:lang w:eastAsia="hr-HR"/>
              </w:rPr>
              <w:t>20.000,00</w:t>
            </w:r>
          </w:p>
        </w:tc>
        <w:tc>
          <w:tcPr>
            <w:tcW w:w="1320" w:type="dxa"/>
            <w:tcBorders>
              <w:top w:val="nil"/>
              <w:left w:val="nil"/>
              <w:bottom w:val="nil"/>
              <w:right w:val="nil"/>
            </w:tcBorders>
            <w:shd w:val="clear" w:color="auto" w:fill="auto"/>
            <w:noWrap/>
            <w:vAlign w:val="bottom"/>
            <w:hideMark/>
          </w:tcPr>
          <w:p w14:paraId="68E68D6F" w14:textId="77777777" w:rsidR="007523DF" w:rsidRPr="007523DF" w:rsidRDefault="007523DF" w:rsidP="007523DF">
            <w:pPr>
              <w:spacing w:after="0" w:line="240" w:lineRule="auto"/>
              <w:jc w:val="right"/>
              <w:rPr>
                <w:rFonts w:ascii="Arial" w:hAnsi="Arial" w:cs="Arial"/>
                <w:b/>
                <w:bCs/>
                <w:sz w:val="18"/>
                <w:szCs w:val="18"/>
                <w:lang w:eastAsia="hr-HR"/>
              </w:rPr>
            </w:pPr>
            <w:r w:rsidRPr="007523DF">
              <w:rPr>
                <w:rFonts w:ascii="Arial" w:hAnsi="Arial" w:cs="Arial"/>
                <w:b/>
                <w:bCs/>
                <w:sz w:val="18"/>
                <w:szCs w:val="18"/>
                <w:lang w:eastAsia="hr-HR"/>
              </w:rPr>
              <w:t>220,87%</w:t>
            </w:r>
          </w:p>
        </w:tc>
        <w:tc>
          <w:tcPr>
            <w:tcW w:w="1231" w:type="dxa"/>
            <w:tcBorders>
              <w:top w:val="nil"/>
              <w:left w:val="nil"/>
              <w:bottom w:val="nil"/>
              <w:right w:val="nil"/>
            </w:tcBorders>
            <w:shd w:val="clear" w:color="auto" w:fill="auto"/>
            <w:noWrap/>
            <w:vAlign w:val="bottom"/>
            <w:hideMark/>
          </w:tcPr>
          <w:p w14:paraId="6FCCD707" w14:textId="77777777" w:rsidR="007523DF" w:rsidRPr="007523DF" w:rsidRDefault="007523DF" w:rsidP="007523DF">
            <w:pPr>
              <w:spacing w:after="0" w:line="240" w:lineRule="auto"/>
              <w:jc w:val="right"/>
              <w:rPr>
                <w:rFonts w:ascii="Arial" w:hAnsi="Arial" w:cs="Arial"/>
                <w:b/>
                <w:bCs/>
                <w:sz w:val="18"/>
                <w:szCs w:val="18"/>
                <w:lang w:eastAsia="hr-HR"/>
              </w:rPr>
            </w:pPr>
            <w:r w:rsidRPr="007523DF">
              <w:rPr>
                <w:rFonts w:ascii="Arial" w:hAnsi="Arial" w:cs="Arial"/>
                <w:b/>
                <w:bCs/>
                <w:sz w:val="18"/>
                <w:szCs w:val="18"/>
                <w:lang w:eastAsia="hr-HR"/>
              </w:rPr>
              <w:t>100,00%</w:t>
            </w:r>
          </w:p>
        </w:tc>
      </w:tr>
      <w:tr w:rsidR="007523DF" w:rsidRPr="007523DF" w14:paraId="6C3BE348" w14:textId="77777777" w:rsidTr="007523DF">
        <w:trPr>
          <w:trHeight w:val="255"/>
        </w:trPr>
        <w:tc>
          <w:tcPr>
            <w:tcW w:w="7513" w:type="dxa"/>
            <w:tcBorders>
              <w:top w:val="nil"/>
              <w:left w:val="nil"/>
              <w:bottom w:val="nil"/>
              <w:right w:val="nil"/>
            </w:tcBorders>
            <w:shd w:val="clear" w:color="auto" w:fill="auto"/>
            <w:noWrap/>
            <w:vAlign w:val="bottom"/>
            <w:hideMark/>
          </w:tcPr>
          <w:p w14:paraId="6FF7C394" w14:textId="77777777" w:rsidR="007523DF" w:rsidRPr="007523DF" w:rsidRDefault="007523DF" w:rsidP="007523DF">
            <w:pPr>
              <w:spacing w:after="0" w:line="240" w:lineRule="auto"/>
              <w:rPr>
                <w:rFonts w:ascii="Arial" w:hAnsi="Arial" w:cs="Arial"/>
                <w:sz w:val="18"/>
                <w:szCs w:val="18"/>
                <w:lang w:eastAsia="hr-HR"/>
              </w:rPr>
            </w:pPr>
            <w:r w:rsidRPr="007523DF">
              <w:rPr>
                <w:rFonts w:ascii="Arial" w:hAnsi="Arial" w:cs="Arial"/>
                <w:sz w:val="18"/>
                <w:szCs w:val="18"/>
                <w:lang w:eastAsia="hr-HR"/>
              </w:rPr>
              <w:t>1.1. Opći prihodi i primici</w:t>
            </w:r>
          </w:p>
        </w:tc>
        <w:tc>
          <w:tcPr>
            <w:tcW w:w="1420" w:type="dxa"/>
            <w:tcBorders>
              <w:top w:val="nil"/>
              <w:left w:val="nil"/>
              <w:bottom w:val="nil"/>
              <w:right w:val="nil"/>
            </w:tcBorders>
            <w:shd w:val="clear" w:color="auto" w:fill="auto"/>
            <w:noWrap/>
            <w:vAlign w:val="bottom"/>
            <w:hideMark/>
          </w:tcPr>
          <w:p w14:paraId="0F16F0D1" w14:textId="77777777" w:rsidR="007523DF" w:rsidRPr="007523DF" w:rsidRDefault="007523DF" w:rsidP="007523DF">
            <w:pPr>
              <w:spacing w:after="0" w:line="240" w:lineRule="auto"/>
              <w:jc w:val="right"/>
              <w:rPr>
                <w:rFonts w:ascii="Arial" w:hAnsi="Arial" w:cs="Arial"/>
                <w:sz w:val="18"/>
                <w:szCs w:val="18"/>
                <w:lang w:eastAsia="hr-HR"/>
              </w:rPr>
            </w:pPr>
            <w:r w:rsidRPr="007523DF">
              <w:rPr>
                <w:rFonts w:ascii="Arial" w:hAnsi="Arial" w:cs="Arial"/>
                <w:sz w:val="18"/>
                <w:szCs w:val="18"/>
                <w:lang w:eastAsia="hr-HR"/>
              </w:rPr>
              <w:t>9.054,93</w:t>
            </w:r>
          </w:p>
        </w:tc>
        <w:tc>
          <w:tcPr>
            <w:tcW w:w="1698" w:type="dxa"/>
            <w:tcBorders>
              <w:top w:val="nil"/>
              <w:left w:val="nil"/>
              <w:bottom w:val="nil"/>
              <w:right w:val="nil"/>
            </w:tcBorders>
            <w:shd w:val="clear" w:color="auto" w:fill="auto"/>
            <w:noWrap/>
            <w:vAlign w:val="bottom"/>
            <w:hideMark/>
          </w:tcPr>
          <w:p w14:paraId="7E2132B3" w14:textId="77777777" w:rsidR="007523DF" w:rsidRPr="007523DF" w:rsidRDefault="007523DF" w:rsidP="007523DF">
            <w:pPr>
              <w:spacing w:after="0" w:line="240" w:lineRule="auto"/>
              <w:jc w:val="right"/>
              <w:rPr>
                <w:rFonts w:ascii="Arial" w:hAnsi="Arial" w:cs="Arial"/>
                <w:sz w:val="18"/>
                <w:szCs w:val="18"/>
                <w:lang w:eastAsia="hr-HR"/>
              </w:rPr>
            </w:pPr>
            <w:r w:rsidRPr="007523DF">
              <w:rPr>
                <w:rFonts w:ascii="Arial" w:hAnsi="Arial" w:cs="Arial"/>
                <w:sz w:val="18"/>
                <w:szCs w:val="18"/>
                <w:lang w:eastAsia="hr-HR"/>
              </w:rPr>
              <w:t>20.000,00</w:t>
            </w:r>
          </w:p>
        </w:tc>
        <w:tc>
          <w:tcPr>
            <w:tcW w:w="1418" w:type="dxa"/>
            <w:tcBorders>
              <w:top w:val="nil"/>
              <w:left w:val="nil"/>
              <w:bottom w:val="nil"/>
              <w:right w:val="nil"/>
            </w:tcBorders>
            <w:shd w:val="clear" w:color="auto" w:fill="auto"/>
            <w:noWrap/>
            <w:vAlign w:val="bottom"/>
            <w:hideMark/>
          </w:tcPr>
          <w:p w14:paraId="5AA306BF" w14:textId="77777777" w:rsidR="007523DF" w:rsidRPr="007523DF" w:rsidRDefault="007523DF" w:rsidP="007523DF">
            <w:pPr>
              <w:spacing w:after="0" w:line="240" w:lineRule="auto"/>
              <w:jc w:val="right"/>
              <w:rPr>
                <w:rFonts w:ascii="Arial" w:hAnsi="Arial" w:cs="Arial"/>
                <w:sz w:val="18"/>
                <w:szCs w:val="18"/>
                <w:lang w:eastAsia="hr-HR"/>
              </w:rPr>
            </w:pPr>
            <w:r w:rsidRPr="007523DF">
              <w:rPr>
                <w:rFonts w:ascii="Arial" w:hAnsi="Arial" w:cs="Arial"/>
                <w:sz w:val="18"/>
                <w:szCs w:val="18"/>
                <w:lang w:eastAsia="hr-HR"/>
              </w:rPr>
              <w:t>20.000,00</w:t>
            </w:r>
          </w:p>
        </w:tc>
        <w:tc>
          <w:tcPr>
            <w:tcW w:w="1320" w:type="dxa"/>
            <w:tcBorders>
              <w:top w:val="nil"/>
              <w:left w:val="nil"/>
              <w:bottom w:val="nil"/>
              <w:right w:val="nil"/>
            </w:tcBorders>
            <w:shd w:val="clear" w:color="auto" w:fill="auto"/>
            <w:noWrap/>
            <w:vAlign w:val="bottom"/>
            <w:hideMark/>
          </w:tcPr>
          <w:p w14:paraId="3B46A1D5" w14:textId="77777777" w:rsidR="007523DF" w:rsidRPr="007523DF" w:rsidRDefault="007523DF" w:rsidP="007523DF">
            <w:pPr>
              <w:spacing w:after="0" w:line="240" w:lineRule="auto"/>
              <w:jc w:val="right"/>
              <w:rPr>
                <w:rFonts w:ascii="Arial" w:hAnsi="Arial" w:cs="Arial"/>
                <w:sz w:val="18"/>
                <w:szCs w:val="18"/>
                <w:lang w:eastAsia="hr-HR"/>
              </w:rPr>
            </w:pPr>
            <w:r w:rsidRPr="007523DF">
              <w:rPr>
                <w:rFonts w:ascii="Arial" w:hAnsi="Arial" w:cs="Arial"/>
                <w:sz w:val="18"/>
                <w:szCs w:val="18"/>
                <w:lang w:eastAsia="hr-HR"/>
              </w:rPr>
              <w:t>220,87%</w:t>
            </w:r>
          </w:p>
        </w:tc>
        <w:tc>
          <w:tcPr>
            <w:tcW w:w="1231" w:type="dxa"/>
            <w:tcBorders>
              <w:top w:val="nil"/>
              <w:left w:val="nil"/>
              <w:bottom w:val="nil"/>
              <w:right w:val="nil"/>
            </w:tcBorders>
            <w:shd w:val="clear" w:color="auto" w:fill="auto"/>
            <w:noWrap/>
            <w:vAlign w:val="bottom"/>
            <w:hideMark/>
          </w:tcPr>
          <w:p w14:paraId="1FBB370E" w14:textId="77777777" w:rsidR="007523DF" w:rsidRPr="007523DF" w:rsidRDefault="007523DF" w:rsidP="007523DF">
            <w:pPr>
              <w:spacing w:after="0" w:line="240" w:lineRule="auto"/>
              <w:jc w:val="right"/>
              <w:rPr>
                <w:rFonts w:ascii="Arial" w:hAnsi="Arial" w:cs="Arial"/>
                <w:sz w:val="18"/>
                <w:szCs w:val="18"/>
                <w:lang w:eastAsia="hr-HR"/>
              </w:rPr>
            </w:pPr>
            <w:r w:rsidRPr="007523DF">
              <w:rPr>
                <w:rFonts w:ascii="Arial" w:hAnsi="Arial" w:cs="Arial"/>
                <w:sz w:val="18"/>
                <w:szCs w:val="18"/>
                <w:lang w:eastAsia="hr-HR"/>
              </w:rPr>
              <w:t>100,00%</w:t>
            </w:r>
          </w:p>
        </w:tc>
      </w:tr>
      <w:tr w:rsidR="007523DF" w:rsidRPr="007523DF" w14:paraId="0214E9C5" w14:textId="77777777" w:rsidTr="007523DF">
        <w:trPr>
          <w:trHeight w:val="255"/>
        </w:trPr>
        <w:tc>
          <w:tcPr>
            <w:tcW w:w="7513" w:type="dxa"/>
            <w:tcBorders>
              <w:top w:val="nil"/>
              <w:left w:val="nil"/>
              <w:bottom w:val="nil"/>
              <w:right w:val="nil"/>
            </w:tcBorders>
            <w:shd w:val="clear" w:color="auto" w:fill="C6D9F1" w:themeFill="text2" w:themeFillTint="33"/>
            <w:noWrap/>
            <w:vAlign w:val="bottom"/>
            <w:hideMark/>
          </w:tcPr>
          <w:p w14:paraId="508B4122" w14:textId="77777777" w:rsidR="007523DF" w:rsidRPr="007523DF" w:rsidRDefault="007523DF" w:rsidP="007523DF">
            <w:pPr>
              <w:spacing w:after="0" w:line="240" w:lineRule="auto"/>
              <w:rPr>
                <w:rFonts w:ascii="Arial" w:hAnsi="Arial" w:cs="Arial"/>
                <w:b/>
                <w:bCs/>
                <w:sz w:val="18"/>
                <w:szCs w:val="18"/>
                <w:lang w:eastAsia="hr-HR"/>
              </w:rPr>
            </w:pPr>
            <w:r w:rsidRPr="007523DF">
              <w:rPr>
                <w:rFonts w:ascii="Arial" w:hAnsi="Arial" w:cs="Arial"/>
                <w:b/>
                <w:bCs/>
                <w:sz w:val="18"/>
                <w:szCs w:val="18"/>
                <w:lang w:eastAsia="hr-HR"/>
              </w:rPr>
              <w:t xml:space="preserve"> NETO FINANCIRANJE</w:t>
            </w:r>
          </w:p>
        </w:tc>
        <w:tc>
          <w:tcPr>
            <w:tcW w:w="1420" w:type="dxa"/>
            <w:tcBorders>
              <w:top w:val="nil"/>
              <w:left w:val="nil"/>
              <w:bottom w:val="nil"/>
              <w:right w:val="nil"/>
            </w:tcBorders>
            <w:shd w:val="clear" w:color="auto" w:fill="C6D9F1" w:themeFill="text2" w:themeFillTint="33"/>
            <w:noWrap/>
            <w:vAlign w:val="bottom"/>
            <w:hideMark/>
          </w:tcPr>
          <w:p w14:paraId="094E987C" w14:textId="77777777" w:rsidR="007523DF" w:rsidRPr="007523DF" w:rsidRDefault="007523DF" w:rsidP="007523DF">
            <w:pPr>
              <w:spacing w:after="0" w:line="240" w:lineRule="auto"/>
              <w:jc w:val="right"/>
              <w:rPr>
                <w:rFonts w:ascii="Arial" w:hAnsi="Arial" w:cs="Arial"/>
                <w:b/>
                <w:bCs/>
                <w:sz w:val="18"/>
                <w:szCs w:val="18"/>
                <w:lang w:eastAsia="hr-HR"/>
              </w:rPr>
            </w:pPr>
            <w:r w:rsidRPr="007523DF">
              <w:rPr>
                <w:rFonts w:ascii="Arial" w:hAnsi="Arial" w:cs="Arial"/>
                <w:b/>
                <w:bCs/>
                <w:sz w:val="18"/>
                <w:szCs w:val="18"/>
                <w:lang w:eastAsia="hr-HR"/>
              </w:rPr>
              <w:t>-9.054,93</w:t>
            </w:r>
          </w:p>
        </w:tc>
        <w:tc>
          <w:tcPr>
            <w:tcW w:w="1698" w:type="dxa"/>
            <w:tcBorders>
              <w:top w:val="nil"/>
              <w:left w:val="nil"/>
              <w:bottom w:val="nil"/>
              <w:right w:val="nil"/>
            </w:tcBorders>
            <w:shd w:val="clear" w:color="auto" w:fill="C6D9F1" w:themeFill="text2" w:themeFillTint="33"/>
            <w:noWrap/>
            <w:vAlign w:val="bottom"/>
            <w:hideMark/>
          </w:tcPr>
          <w:p w14:paraId="273C8C70" w14:textId="77777777" w:rsidR="007523DF" w:rsidRPr="007523DF" w:rsidRDefault="007523DF" w:rsidP="007523DF">
            <w:pPr>
              <w:spacing w:after="0" w:line="240" w:lineRule="auto"/>
              <w:jc w:val="right"/>
              <w:rPr>
                <w:rFonts w:ascii="Arial" w:hAnsi="Arial" w:cs="Arial"/>
                <w:b/>
                <w:bCs/>
                <w:sz w:val="18"/>
                <w:szCs w:val="18"/>
                <w:lang w:eastAsia="hr-HR"/>
              </w:rPr>
            </w:pPr>
            <w:r w:rsidRPr="007523DF">
              <w:rPr>
                <w:rFonts w:ascii="Arial" w:hAnsi="Arial" w:cs="Arial"/>
                <w:b/>
                <w:bCs/>
                <w:sz w:val="18"/>
                <w:szCs w:val="18"/>
                <w:lang w:eastAsia="hr-HR"/>
              </w:rPr>
              <w:t>712.831,00</w:t>
            </w:r>
          </w:p>
        </w:tc>
        <w:tc>
          <w:tcPr>
            <w:tcW w:w="1418" w:type="dxa"/>
            <w:tcBorders>
              <w:top w:val="nil"/>
              <w:left w:val="nil"/>
              <w:bottom w:val="nil"/>
              <w:right w:val="nil"/>
            </w:tcBorders>
            <w:shd w:val="clear" w:color="auto" w:fill="C6D9F1" w:themeFill="text2" w:themeFillTint="33"/>
            <w:noWrap/>
            <w:vAlign w:val="bottom"/>
            <w:hideMark/>
          </w:tcPr>
          <w:p w14:paraId="58E471CA" w14:textId="77777777" w:rsidR="007523DF" w:rsidRPr="007523DF" w:rsidRDefault="007523DF" w:rsidP="007523DF">
            <w:pPr>
              <w:spacing w:after="0" w:line="240" w:lineRule="auto"/>
              <w:jc w:val="right"/>
              <w:rPr>
                <w:rFonts w:ascii="Arial" w:hAnsi="Arial" w:cs="Arial"/>
                <w:b/>
                <w:bCs/>
                <w:sz w:val="18"/>
                <w:szCs w:val="18"/>
                <w:lang w:eastAsia="hr-HR"/>
              </w:rPr>
            </w:pPr>
            <w:r w:rsidRPr="007523DF">
              <w:rPr>
                <w:rFonts w:ascii="Arial" w:hAnsi="Arial" w:cs="Arial"/>
                <w:b/>
                <w:bCs/>
                <w:sz w:val="18"/>
                <w:szCs w:val="18"/>
                <w:lang w:eastAsia="hr-HR"/>
              </w:rPr>
              <w:t>607.143,50</w:t>
            </w:r>
          </w:p>
        </w:tc>
        <w:tc>
          <w:tcPr>
            <w:tcW w:w="1320" w:type="dxa"/>
            <w:tcBorders>
              <w:top w:val="nil"/>
              <w:left w:val="nil"/>
              <w:bottom w:val="nil"/>
              <w:right w:val="nil"/>
            </w:tcBorders>
            <w:shd w:val="clear" w:color="auto" w:fill="C6D9F1" w:themeFill="text2" w:themeFillTint="33"/>
            <w:noWrap/>
            <w:vAlign w:val="bottom"/>
            <w:hideMark/>
          </w:tcPr>
          <w:p w14:paraId="4EEE28B3" w14:textId="77777777" w:rsidR="007523DF" w:rsidRPr="007523DF" w:rsidRDefault="007523DF" w:rsidP="007523DF">
            <w:pPr>
              <w:spacing w:after="0" w:line="240" w:lineRule="auto"/>
              <w:jc w:val="right"/>
              <w:rPr>
                <w:rFonts w:ascii="Arial" w:hAnsi="Arial" w:cs="Arial"/>
                <w:b/>
                <w:bCs/>
                <w:sz w:val="18"/>
                <w:szCs w:val="18"/>
                <w:lang w:eastAsia="hr-HR"/>
              </w:rPr>
            </w:pPr>
            <w:r w:rsidRPr="007523DF">
              <w:rPr>
                <w:rFonts w:ascii="Arial" w:hAnsi="Arial" w:cs="Arial"/>
                <w:b/>
                <w:bCs/>
                <w:sz w:val="18"/>
                <w:szCs w:val="18"/>
                <w:lang w:eastAsia="hr-HR"/>
              </w:rPr>
              <w:t> </w:t>
            </w:r>
          </w:p>
        </w:tc>
        <w:tc>
          <w:tcPr>
            <w:tcW w:w="1231" w:type="dxa"/>
            <w:tcBorders>
              <w:top w:val="nil"/>
              <w:left w:val="nil"/>
              <w:bottom w:val="nil"/>
              <w:right w:val="nil"/>
            </w:tcBorders>
            <w:shd w:val="clear" w:color="auto" w:fill="C6D9F1" w:themeFill="text2" w:themeFillTint="33"/>
            <w:noWrap/>
            <w:vAlign w:val="bottom"/>
            <w:hideMark/>
          </w:tcPr>
          <w:p w14:paraId="219C3E76" w14:textId="77777777" w:rsidR="007523DF" w:rsidRPr="007523DF" w:rsidRDefault="007523DF" w:rsidP="007523DF">
            <w:pPr>
              <w:spacing w:after="0" w:line="240" w:lineRule="auto"/>
              <w:jc w:val="right"/>
              <w:rPr>
                <w:rFonts w:ascii="Arial" w:hAnsi="Arial" w:cs="Arial"/>
                <w:b/>
                <w:bCs/>
                <w:sz w:val="18"/>
                <w:szCs w:val="18"/>
                <w:lang w:eastAsia="hr-HR"/>
              </w:rPr>
            </w:pPr>
            <w:r w:rsidRPr="007523DF">
              <w:rPr>
                <w:rFonts w:ascii="Arial" w:hAnsi="Arial" w:cs="Arial"/>
                <w:b/>
                <w:bCs/>
                <w:sz w:val="18"/>
                <w:szCs w:val="18"/>
                <w:lang w:eastAsia="hr-HR"/>
              </w:rPr>
              <w:t>85,17%</w:t>
            </w:r>
          </w:p>
        </w:tc>
      </w:tr>
      <w:tr w:rsidR="007523DF" w:rsidRPr="007523DF" w14:paraId="490757D0" w14:textId="77777777" w:rsidTr="007523DF">
        <w:trPr>
          <w:trHeight w:val="255"/>
        </w:trPr>
        <w:tc>
          <w:tcPr>
            <w:tcW w:w="7513" w:type="dxa"/>
            <w:tcBorders>
              <w:top w:val="nil"/>
              <w:left w:val="nil"/>
              <w:bottom w:val="nil"/>
              <w:right w:val="nil"/>
            </w:tcBorders>
            <w:shd w:val="clear" w:color="auto" w:fill="C6D9F1" w:themeFill="text2" w:themeFillTint="33"/>
            <w:noWrap/>
            <w:vAlign w:val="bottom"/>
            <w:hideMark/>
          </w:tcPr>
          <w:p w14:paraId="7758E72E" w14:textId="77777777" w:rsidR="007523DF" w:rsidRPr="007523DF" w:rsidRDefault="007523DF" w:rsidP="007523DF">
            <w:pPr>
              <w:spacing w:after="0" w:line="240" w:lineRule="auto"/>
              <w:rPr>
                <w:rFonts w:ascii="Arial" w:hAnsi="Arial" w:cs="Arial"/>
                <w:b/>
                <w:bCs/>
                <w:sz w:val="18"/>
                <w:szCs w:val="18"/>
                <w:lang w:eastAsia="hr-HR"/>
              </w:rPr>
            </w:pPr>
            <w:r w:rsidRPr="007523DF">
              <w:rPr>
                <w:rFonts w:ascii="Arial" w:hAnsi="Arial" w:cs="Arial"/>
                <w:b/>
                <w:bCs/>
                <w:sz w:val="18"/>
                <w:szCs w:val="18"/>
                <w:lang w:eastAsia="hr-HR"/>
              </w:rPr>
              <w:t xml:space="preserve"> KORIŠTENJE SREDSTAVA IZ PRETHODNIH GODINA</w:t>
            </w:r>
          </w:p>
        </w:tc>
        <w:tc>
          <w:tcPr>
            <w:tcW w:w="1420" w:type="dxa"/>
            <w:tcBorders>
              <w:top w:val="nil"/>
              <w:left w:val="nil"/>
              <w:bottom w:val="nil"/>
              <w:right w:val="nil"/>
            </w:tcBorders>
            <w:shd w:val="clear" w:color="auto" w:fill="C6D9F1" w:themeFill="text2" w:themeFillTint="33"/>
            <w:noWrap/>
            <w:vAlign w:val="bottom"/>
            <w:hideMark/>
          </w:tcPr>
          <w:p w14:paraId="28A9CDE5" w14:textId="77777777" w:rsidR="007523DF" w:rsidRPr="007523DF" w:rsidRDefault="007523DF" w:rsidP="007523DF">
            <w:pPr>
              <w:spacing w:after="0" w:line="240" w:lineRule="auto"/>
              <w:jc w:val="right"/>
              <w:rPr>
                <w:rFonts w:ascii="Arial" w:hAnsi="Arial" w:cs="Arial"/>
                <w:b/>
                <w:bCs/>
                <w:sz w:val="18"/>
                <w:szCs w:val="18"/>
                <w:lang w:eastAsia="hr-HR"/>
              </w:rPr>
            </w:pPr>
            <w:r w:rsidRPr="007523DF">
              <w:rPr>
                <w:rFonts w:ascii="Arial" w:hAnsi="Arial" w:cs="Arial"/>
                <w:b/>
                <w:bCs/>
                <w:sz w:val="18"/>
                <w:szCs w:val="18"/>
                <w:lang w:eastAsia="hr-HR"/>
              </w:rPr>
              <w:t> </w:t>
            </w:r>
          </w:p>
        </w:tc>
        <w:tc>
          <w:tcPr>
            <w:tcW w:w="1698" w:type="dxa"/>
            <w:tcBorders>
              <w:top w:val="nil"/>
              <w:left w:val="nil"/>
              <w:bottom w:val="nil"/>
              <w:right w:val="nil"/>
            </w:tcBorders>
            <w:shd w:val="clear" w:color="auto" w:fill="C6D9F1" w:themeFill="text2" w:themeFillTint="33"/>
            <w:noWrap/>
            <w:vAlign w:val="bottom"/>
            <w:hideMark/>
          </w:tcPr>
          <w:p w14:paraId="154C9041" w14:textId="77777777" w:rsidR="007523DF" w:rsidRPr="007523DF" w:rsidRDefault="007523DF" w:rsidP="007523DF">
            <w:pPr>
              <w:spacing w:after="0" w:line="240" w:lineRule="auto"/>
              <w:jc w:val="right"/>
              <w:rPr>
                <w:rFonts w:ascii="Arial" w:hAnsi="Arial" w:cs="Arial"/>
                <w:b/>
                <w:bCs/>
                <w:sz w:val="18"/>
                <w:szCs w:val="18"/>
                <w:lang w:eastAsia="hr-HR"/>
              </w:rPr>
            </w:pPr>
            <w:r w:rsidRPr="007523DF">
              <w:rPr>
                <w:rFonts w:ascii="Arial" w:hAnsi="Arial" w:cs="Arial"/>
                <w:b/>
                <w:bCs/>
                <w:sz w:val="18"/>
                <w:szCs w:val="18"/>
                <w:lang w:eastAsia="hr-HR"/>
              </w:rPr>
              <w:t>884.336,11</w:t>
            </w:r>
          </w:p>
        </w:tc>
        <w:tc>
          <w:tcPr>
            <w:tcW w:w="1418" w:type="dxa"/>
            <w:tcBorders>
              <w:top w:val="nil"/>
              <w:left w:val="nil"/>
              <w:bottom w:val="nil"/>
              <w:right w:val="nil"/>
            </w:tcBorders>
            <w:shd w:val="clear" w:color="auto" w:fill="C6D9F1" w:themeFill="text2" w:themeFillTint="33"/>
            <w:noWrap/>
            <w:vAlign w:val="bottom"/>
            <w:hideMark/>
          </w:tcPr>
          <w:p w14:paraId="3546BAB9" w14:textId="77777777" w:rsidR="007523DF" w:rsidRPr="007523DF" w:rsidRDefault="007523DF" w:rsidP="007523DF">
            <w:pPr>
              <w:spacing w:after="0" w:line="240" w:lineRule="auto"/>
              <w:jc w:val="right"/>
              <w:rPr>
                <w:rFonts w:ascii="Arial" w:hAnsi="Arial" w:cs="Arial"/>
                <w:b/>
                <w:bCs/>
                <w:sz w:val="18"/>
                <w:szCs w:val="18"/>
                <w:lang w:eastAsia="hr-HR"/>
              </w:rPr>
            </w:pPr>
            <w:r w:rsidRPr="007523DF">
              <w:rPr>
                <w:rFonts w:ascii="Arial" w:hAnsi="Arial" w:cs="Arial"/>
                <w:b/>
                <w:bCs/>
                <w:sz w:val="18"/>
                <w:szCs w:val="18"/>
                <w:lang w:eastAsia="hr-HR"/>
              </w:rPr>
              <w:t> </w:t>
            </w:r>
          </w:p>
        </w:tc>
        <w:tc>
          <w:tcPr>
            <w:tcW w:w="1320" w:type="dxa"/>
            <w:tcBorders>
              <w:top w:val="nil"/>
              <w:left w:val="nil"/>
              <w:bottom w:val="nil"/>
              <w:right w:val="nil"/>
            </w:tcBorders>
            <w:shd w:val="clear" w:color="auto" w:fill="C6D9F1" w:themeFill="text2" w:themeFillTint="33"/>
            <w:noWrap/>
            <w:vAlign w:val="bottom"/>
            <w:hideMark/>
          </w:tcPr>
          <w:p w14:paraId="75760C04" w14:textId="77777777" w:rsidR="007523DF" w:rsidRPr="007523DF" w:rsidRDefault="007523DF" w:rsidP="007523DF">
            <w:pPr>
              <w:spacing w:after="0" w:line="240" w:lineRule="auto"/>
              <w:jc w:val="right"/>
              <w:rPr>
                <w:rFonts w:ascii="Arial" w:hAnsi="Arial" w:cs="Arial"/>
                <w:b/>
                <w:bCs/>
                <w:sz w:val="18"/>
                <w:szCs w:val="18"/>
                <w:lang w:eastAsia="hr-HR"/>
              </w:rPr>
            </w:pPr>
            <w:r w:rsidRPr="007523DF">
              <w:rPr>
                <w:rFonts w:ascii="Arial" w:hAnsi="Arial" w:cs="Arial"/>
                <w:b/>
                <w:bCs/>
                <w:sz w:val="18"/>
                <w:szCs w:val="18"/>
                <w:lang w:eastAsia="hr-HR"/>
              </w:rPr>
              <w:t> </w:t>
            </w:r>
          </w:p>
        </w:tc>
        <w:tc>
          <w:tcPr>
            <w:tcW w:w="1231" w:type="dxa"/>
            <w:tcBorders>
              <w:top w:val="nil"/>
              <w:left w:val="nil"/>
              <w:bottom w:val="nil"/>
              <w:right w:val="nil"/>
            </w:tcBorders>
            <w:shd w:val="clear" w:color="auto" w:fill="C6D9F1" w:themeFill="text2" w:themeFillTint="33"/>
            <w:noWrap/>
            <w:vAlign w:val="bottom"/>
            <w:hideMark/>
          </w:tcPr>
          <w:p w14:paraId="4CB7FA3A" w14:textId="77777777" w:rsidR="007523DF" w:rsidRPr="007523DF" w:rsidRDefault="007523DF" w:rsidP="007523DF">
            <w:pPr>
              <w:spacing w:after="0" w:line="240" w:lineRule="auto"/>
              <w:jc w:val="right"/>
              <w:rPr>
                <w:rFonts w:ascii="Arial" w:hAnsi="Arial" w:cs="Arial"/>
                <w:b/>
                <w:bCs/>
                <w:sz w:val="18"/>
                <w:szCs w:val="18"/>
                <w:lang w:eastAsia="hr-HR"/>
              </w:rPr>
            </w:pPr>
            <w:r w:rsidRPr="007523DF">
              <w:rPr>
                <w:rFonts w:ascii="Arial" w:hAnsi="Arial" w:cs="Arial"/>
                <w:b/>
                <w:bCs/>
                <w:sz w:val="18"/>
                <w:szCs w:val="18"/>
                <w:lang w:eastAsia="hr-HR"/>
              </w:rPr>
              <w:t> </w:t>
            </w:r>
          </w:p>
        </w:tc>
      </w:tr>
      <w:tr w:rsidR="007523DF" w:rsidRPr="007523DF" w14:paraId="728CC4D2" w14:textId="77777777" w:rsidTr="007523DF">
        <w:trPr>
          <w:trHeight w:val="255"/>
        </w:trPr>
        <w:tc>
          <w:tcPr>
            <w:tcW w:w="7513" w:type="dxa"/>
            <w:tcBorders>
              <w:top w:val="nil"/>
              <w:left w:val="nil"/>
              <w:bottom w:val="nil"/>
              <w:right w:val="nil"/>
            </w:tcBorders>
            <w:shd w:val="clear" w:color="auto" w:fill="auto"/>
            <w:noWrap/>
            <w:vAlign w:val="bottom"/>
            <w:hideMark/>
          </w:tcPr>
          <w:p w14:paraId="39C0B11C" w14:textId="77777777" w:rsidR="007523DF" w:rsidRPr="007523DF" w:rsidRDefault="007523DF" w:rsidP="007523DF">
            <w:pPr>
              <w:spacing w:after="0" w:line="240" w:lineRule="auto"/>
              <w:rPr>
                <w:rFonts w:ascii="Arial" w:hAnsi="Arial" w:cs="Arial"/>
                <w:b/>
                <w:bCs/>
                <w:sz w:val="18"/>
                <w:szCs w:val="18"/>
                <w:lang w:eastAsia="hr-HR"/>
              </w:rPr>
            </w:pPr>
            <w:r w:rsidRPr="007523DF">
              <w:rPr>
                <w:rFonts w:ascii="Arial" w:hAnsi="Arial" w:cs="Arial"/>
                <w:b/>
                <w:bCs/>
                <w:sz w:val="18"/>
                <w:szCs w:val="18"/>
                <w:lang w:eastAsia="hr-HR"/>
              </w:rPr>
              <w:t>5. Pomoći</w:t>
            </w:r>
          </w:p>
        </w:tc>
        <w:tc>
          <w:tcPr>
            <w:tcW w:w="1420" w:type="dxa"/>
            <w:tcBorders>
              <w:top w:val="nil"/>
              <w:left w:val="nil"/>
              <w:bottom w:val="nil"/>
              <w:right w:val="nil"/>
            </w:tcBorders>
            <w:shd w:val="clear" w:color="auto" w:fill="auto"/>
            <w:noWrap/>
            <w:vAlign w:val="bottom"/>
            <w:hideMark/>
          </w:tcPr>
          <w:p w14:paraId="30576440" w14:textId="77777777" w:rsidR="007523DF" w:rsidRPr="007523DF" w:rsidRDefault="007523DF" w:rsidP="007523DF">
            <w:pPr>
              <w:spacing w:after="0" w:line="240" w:lineRule="auto"/>
              <w:rPr>
                <w:rFonts w:ascii="Arial" w:hAnsi="Arial" w:cs="Arial"/>
                <w:b/>
                <w:bCs/>
                <w:sz w:val="18"/>
                <w:szCs w:val="18"/>
                <w:lang w:eastAsia="hr-HR"/>
              </w:rPr>
            </w:pPr>
          </w:p>
        </w:tc>
        <w:tc>
          <w:tcPr>
            <w:tcW w:w="1698" w:type="dxa"/>
            <w:tcBorders>
              <w:top w:val="nil"/>
              <w:left w:val="nil"/>
              <w:bottom w:val="nil"/>
              <w:right w:val="nil"/>
            </w:tcBorders>
            <w:shd w:val="clear" w:color="auto" w:fill="auto"/>
            <w:noWrap/>
            <w:vAlign w:val="bottom"/>
            <w:hideMark/>
          </w:tcPr>
          <w:p w14:paraId="23ADC65D" w14:textId="77777777" w:rsidR="007523DF" w:rsidRPr="007523DF" w:rsidRDefault="007523DF" w:rsidP="007523DF">
            <w:pPr>
              <w:spacing w:after="0" w:line="240" w:lineRule="auto"/>
              <w:jc w:val="right"/>
              <w:rPr>
                <w:rFonts w:ascii="Arial" w:hAnsi="Arial" w:cs="Arial"/>
                <w:b/>
                <w:bCs/>
                <w:sz w:val="18"/>
                <w:szCs w:val="18"/>
                <w:lang w:eastAsia="hr-HR"/>
              </w:rPr>
            </w:pPr>
            <w:r w:rsidRPr="007523DF">
              <w:rPr>
                <w:rFonts w:ascii="Arial" w:hAnsi="Arial" w:cs="Arial"/>
                <w:b/>
                <w:bCs/>
                <w:sz w:val="18"/>
                <w:szCs w:val="18"/>
                <w:lang w:eastAsia="hr-HR"/>
              </w:rPr>
              <w:t>1.675,41</w:t>
            </w:r>
          </w:p>
        </w:tc>
        <w:tc>
          <w:tcPr>
            <w:tcW w:w="1418" w:type="dxa"/>
            <w:tcBorders>
              <w:top w:val="nil"/>
              <w:left w:val="nil"/>
              <w:bottom w:val="nil"/>
              <w:right w:val="nil"/>
            </w:tcBorders>
            <w:shd w:val="clear" w:color="auto" w:fill="auto"/>
            <w:noWrap/>
            <w:vAlign w:val="bottom"/>
            <w:hideMark/>
          </w:tcPr>
          <w:p w14:paraId="5C9FB2D4" w14:textId="77777777" w:rsidR="007523DF" w:rsidRPr="007523DF" w:rsidRDefault="007523DF" w:rsidP="007523DF">
            <w:pPr>
              <w:spacing w:after="0" w:line="240" w:lineRule="auto"/>
              <w:jc w:val="right"/>
              <w:rPr>
                <w:rFonts w:ascii="Arial" w:hAnsi="Arial" w:cs="Arial"/>
                <w:b/>
                <w:bCs/>
                <w:sz w:val="18"/>
                <w:szCs w:val="18"/>
                <w:lang w:eastAsia="hr-HR"/>
              </w:rPr>
            </w:pPr>
          </w:p>
        </w:tc>
        <w:tc>
          <w:tcPr>
            <w:tcW w:w="1320" w:type="dxa"/>
            <w:tcBorders>
              <w:top w:val="nil"/>
              <w:left w:val="nil"/>
              <w:bottom w:val="nil"/>
              <w:right w:val="nil"/>
            </w:tcBorders>
            <w:shd w:val="clear" w:color="auto" w:fill="auto"/>
            <w:noWrap/>
            <w:vAlign w:val="bottom"/>
            <w:hideMark/>
          </w:tcPr>
          <w:p w14:paraId="759C4F12" w14:textId="77777777" w:rsidR="007523DF" w:rsidRPr="007523DF" w:rsidRDefault="007523DF" w:rsidP="007523DF">
            <w:pPr>
              <w:spacing w:after="0" w:line="240" w:lineRule="auto"/>
              <w:jc w:val="right"/>
              <w:rPr>
                <w:rFonts w:ascii="Times New Roman" w:hAnsi="Times New Roman" w:cs="Times New Roman"/>
                <w:sz w:val="20"/>
                <w:szCs w:val="20"/>
                <w:lang w:eastAsia="hr-HR"/>
              </w:rPr>
            </w:pPr>
          </w:p>
        </w:tc>
        <w:tc>
          <w:tcPr>
            <w:tcW w:w="1231" w:type="dxa"/>
            <w:tcBorders>
              <w:top w:val="nil"/>
              <w:left w:val="nil"/>
              <w:bottom w:val="nil"/>
              <w:right w:val="nil"/>
            </w:tcBorders>
            <w:shd w:val="clear" w:color="auto" w:fill="auto"/>
            <w:noWrap/>
            <w:vAlign w:val="bottom"/>
            <w:hideMark/>
          </w:tcPr>
          <w:p w14:paraId="08926080" w14:textId="77777777" w:rsidR="007523DF" w:rsidRPr="007523DF" w:rsidRDefault="007523DF" w:rsidP="007523DF">
            <w:pPr>
              <w:spacing w:after="0" w:line="240" w:lineRule="auto"/>
              <w:jc w:val="right"/>
              <w:rPr>
                <w:rFonts w:ascii="Times New Roman" w:hAnsi="Times New Roman" w:cs="Times New Roman"/>
                <w:sz w:val="20"/>
                <w:szCs w:val="20"/>
                <w:lang w:eastAsia="hr-HR"/>
              </w:rPr>
            </w:pPr>
          </w:p>
        </w:tc>
      </w:tr>
      <w:tr w:rsidR="007523DF" w:rsidRPr="007523DF" w14:paraId="5AABE7FE" w14:textId="77777777" w:rsidTr="007523DF">
        <w:trPr>
          <w:trHeight w:val="255"/>
        </w:trPr>
        <w:tc>
          <w:tcPr>
            <w:tcW w:w="7513" w:type="dxa"/>
            <w:tcBorders>
              <w:top w:val="nil"/>
              <w:left w:val="nil"/>
              <w:bottom w:val="nil"/>
              <w:right w:val="nil"/>
            </w:tcBorders>
            <w:shd w:val="clear" w:color="auto" w:fill="auto"/>
            <w:noWrap/>
            <w:vAlign w:val="bottom"/>
            <w:hideMark/>
          </w:tcPr>
          <w:p w14:paraId="1D67A095" w14:textId="77777777" w:rsidR="007523DF" w:rsidRPr="007523DF" w:rsidRDefault="007523DF" w:rsidP="007523DF">
            <w:pPr>
              <w:spacing w:after="0" w:line="240" w:lineRule="auto"/>
              <w:rPr>
                <w:rFonts w:ascii="Arial" w:hAnsi="Arial" w:cs="Arial"/>
                <w:sz w:val="18"/>
                <w:szCs w:val="18"/>
                <w:lang w:eastAsia="hr-HR"/>
              </w:rPr>
            </w:pPr>
            <w:r w:rsidRPr="007523DF">
              <w:rPr>
                <w:rFonts w:ascii="Arial" w:hAnsi="Arial" w:cs="Arial"/>
                <w:sz w:val="18"/>
                <w:szCs w:val="18"/>
                <w:lang w:eastAsia="hr-HR"/>
              </w:rPr>
              <w:t>5.5. Općinski proračun</w:t>
            </w:r>
          </w:p>
        </w:tc>
        <w:tc>
          <w:tcPr>
            <w:tcW w:w="1420" w:type="dxa"/>
            <w:tcBorders>
              <w:top w:val="nil"/>
              <w:left w:val="nil"/>
              <w:bottom w:val="nil"/>
              <w:right w:val="nil"/>
            </w:tcBorders>
            <w:shd w:val="clear" w:color="auto" w:fill="auto"/>
            <w:noWrap/>
            <w:vAlign w:val="bottom"/>
            <w:hideMark/>
          </w:tcPr>
          <w:p w14:paraId="2B882402" w14:textId="77777777" w:rsidR="007523DF" w:rsidRPr="007523DF" w:rsidRDefault="007523DF" w:rsidP="007523DF">
            <w:pPr>
              <w:spacing w:after="0" w:line="240" w:lineRule="auto"/>
              <w:rPr>
                <w:rFonts w:ascii="Arial" w:hAnsi="Arial" w:cs="Arial"/>
                <w:sz w:val="18"/>
                <w:szCs w:val="18"/>
                <w:lang w:eastAsia="hr-HR"/>
              </w:rPr>
            </w:pPr>
          </w:p>
        </w:tc>
        <w:tc>
          <w:tcPr>
            <w:tcW w:w="1698" w:type="dxa"/>
            <w:tcBorders>
              <w:top w:val="nil"/>
              <w:left w:val="nil"/>
              <w:bottom w:val="nil"/>
              <w:right w:val="nil"/>
            </w:tcBorders>
            <w:shd w:val="clear" w:color="auto" w:fill="auto"/>
            <w:noWrap/>
            <w:vAlign w:val="bottom"/>
            <w:hideMark/>
          </w:tcPr>
          <w:p w14:paraId="20DA3D31" w14:textId="77777777" w:rsidR="007523DF" w:rsidRPr="007523DF" w:rsidRDefault="007523DF" w:rsidP="007523DF">
            <w:pPr>
              <w:spacing w:after="0" w:line="240" w:lineRule="auto"/>
              <w:jc w:val="right"/>
              <w:rPr>
                <w:rFonts w:ascii="Arial" w:hAnsi="Arial" w:cs="Arial"/>
                <w:sz w:val="18"/>
                <w:szCs w:val="18"/>
                <w:lang w:eastAsia="hr-HR"/>
              </w:rPr>
            </w:pPr>
            <w:r w:rsidRPr="007523DF">
              <w:rPr>
                <w:rFonts w:ascii="Arial" w:hAnsi="Arial" w:cs="Arial"/>
                <w:sz w:val="18"/>
                <w:szCs w:val="18"/>
                <w:lang w:eastAsia="hr-HR"/>
              </w:rPr>
              <w:t>1.675,41</w:t>
            </w:r>
          </w:p>
        </w:tc>
        <w:tc>
          <w:tcPr>
            <w:tcW w:w="1418" w:type="dxa"/>
            <w:tcBorders>
              <w:top w:val="nil"/>
              <w:left w:val="nil"/>
              <w:bottom w:val="nil"/>
              <w:right w:val="nil"/>
            </w:tcBorders>
            <w:shd w:val="clear" w:color="auto" w:fill="auto"/>
            <w:noWrap/>
            <w:vAlign w:val="bottom"/>
            <w:hideMark/>
          </w:tcPr>
          <w:p w14:paraId="6F6A39D2" w14:textId="77777777" w:rsidR="007523DF" w:rsidRPr="007523DF" w:rsidRDefault="007523DF" w:rsidP="007523DF">
            <w:pPr>
              <w:spacing w:after="0" w:line="240" w:lineRule="auto"/>
              <w:jc w:val="right"/>
              <w:rPr>
                <w:rFonts w:ascii="Arial" w:hAnsi="Arial" w:cs="Arial"/>
                <w:sz w:val="18"/>
                <w:szCs w:val="18"/>
                <w:lang w:eastAsia="hr-HR"/>
              </w:rPr>
            </w:pPr>
          </w:p>
        </w:tc>
        <w:tc>
          <w:tcPr>
            <w:tcW w:w="1320" w:type="dxa"/>
            <w:tcBorders>
              <w:top w:val="nil"/>
              <w:left w:val="nil"/>
              <w:bottom w:val="nil"/>
              <w:right w:val="nil"/>
            </w:tcBorders>
            <w:shd w:val="clear" w:color="auto" w:fill="auto"/>
            <w:noWrap/>
            <w:vAlign w:val="bottom"/>
            <w:hideMark/>
          </w:tcPr>
          <w:p w14:paraId="59390FE5" w14:textId="77777777" w:rsidR="007523DF" w:rsidRPr="007523DF" w:rsidRDefault="007523DF" w:rsidP="007523DF">
            <w:pPr>
              <w:spacing w:after="0" w:line="240" w:lineRule="auto"/>
              <w:jc w:val="right"/>
              <w:rPr>
                <w:rFonts w:ascii="Times New Roman" w:hAnsi="Times New Roman" w:cs="Times New Roman"/>
                <w:sz w:val="20"/>
                <w:szCs w:val="20"/>
                <w:lang w:eastAsia="hr-HR"/>
              </w:rPr>
            </w:pPr>
          </w:p>
        </w:tc>
        <w:tc>
          <w:tcPr>
            <w:tcW w:w="1231" w:type="dxa"/>
            <w:tcBorders>
              <w:top w:val="nil"/>
              <w:left w:val="nil"/>
              <w:bottom w:val="nil"/>
              <w:right w:val="nil"/>
            </w:tcBorders>
            <w:shd w:val="clear" w:color="auto" w:fill="auto"/>
            <w:noWrap/>
            <w:vAlign w:val="bottom"/>
            <w:hideMark/>
          </w:tcPr>
          <w:p w14:paraId="7D239F87" w14:textId="77777777" w:rsidR="007523DF" w:rsidRPr="007523DF" w:rsidRDefault="007523DF" w:rsidP="007523DF">
            <w:pPr>
              <w:spacing w:after="0" w:line="240" w:lineRule="auto"/>
              <w:jc w:val="right"/>
              <w:rPr>
                <w:rFonts w:ascii="Times New Roman" w:hAnsi="Times New Roman" w:cs="Times New Roman"/>
                <w:sz w:val="20"/>
                <w:szCs w:val="20"/>
                <w:lang w:eastAsia="hr-HR"/>
              </w:rPr>
            </w:pPr>
          </w:p>
        </w:tc>
      </w:tr>
      <w:tr w:rsidR="007523DF" w:rsidRPr="007523DF" w14:paraId="7847ABFF" w14:textId="77777777" w:rsidTr="007523DF">
        <w:trPr>
          <w:trHeight w:val="255"/>
        </w:trPr>
        <w:tc>
          <w:tcPr>
            <w:tcW w:w="7513" w:type="dxa"/>
            <w:tcBorders>
              <w:top w:val="nil"/>
              <w:left w:val="nil"/>
              <w:bottom w:val="nil"/>
              <w:right w:val="nil"/>
            </w:tcBorders>
            <w:shd w:val="clear" w:color="auto" w:fill="auto"/>
            <w:noWrap/>
            <w:vAlign w:val="bottom"/>
            <w:hideMark/>
          </w:tcPr>
          <w:p w14:paraId="0FEFCF1F" w14:textId="77777777" w:rsidR="007523DF" w:rsidRPr="007523DF" w:rsidRDefault="007523DF" w:rsidP="007523DF">
            <w:pPr>
              <w:spacing w:after="0" w:line="240" w:lineRule="auto"/>
              <w:rPr>
                <w:rFonts w:ascii="Arial" w:hAnsi="Arial" w:cs="Arial"/>
                <w:b/>
                <w:bCs/>
                <w:sz w:val="18"/>
                <w:szCs w:val="18"/>
                <w:lang w:eastAsia="hr-HR"/>
              </w:rPr>
            </w:pPr>
            <w:r w:rsidRPr="007523DF">
              <w:rPr>
                <w:rFonts w:ascii="Arial" w:hAnsi="Arial" w:cs="Arial"/>
                <w:b/>
                <w:bCs/>
                <w:sz w:val="18"/>
                <w:szCs w:val="18"/>
                <w:lang w:eastAsia="hr-HR"/>
              </w:rPr>
              <w:t>9. Višak iz prethodnih razdoblja</w:t>
            </w:r>
          </w:p>
        </w:tc>
        <w:tc>
          <w:tcPr>
            <w:tcW w:w="1420" w:type="dxa"/>
            <w:tcBorders>
              <w:top w:val="nil"/>
              <w:left w:val="nil"/>
              <w:bottom w:val="nil"/>
              <w:right w:val="nil"/>
            </w:tcBorders>
            <w:shd w:val="clear" w:color="auto" w:fill="auto"/>
            <w:noWrap/>
            <w:vAlign w:val="bottom"/>
            <w:hideMark/>
          </w:tcPr>
          <w:p w14:paraId="7DE9958D" w14:textId="77777777" w:rsidR="007523DF" w:rsidRPr="007523DF" w:rsidRDefault="007523DF" w:rsidP="007523DF">
            <w:pPr>
              <w:spacing w:after="0" w:line="240" w:lineRule="auto"/>
              <w:rPr>
                <w:rFonts w:ascii="Arial" w:hAnsi="Arial" w:cs="Arial"/>
                <w:b/>
                <w:bCs/>
                <w:sz w:val="18"/>
                <w:szCs w:val="18"/>
                <w:lang w:eastAsia="hr-HR"/>
              </w:rPr>
            </w:pPr>
          </w:p>
        </w:tc>
        <w:tc>
          <w:tcPr>
            <w:tcW w:w="1698" w:type="dxa"/>
            <w:tcBorders>
              <w:top w:val="nil"/>
              <w:left w:val="nil"/>
              <w:bottom w:val="nil"/>
              <w:right w:val="nil"/>
            </w:tcBorders>
            <w:shd w:val="clear" w:color="auto" w:fill="auto"/>
            <w:noWrap/>
            <w:vAlign w:val="bottom"/>
            <w:hideMark/>
          </w:tcPr>
          <w:p w14:paraId="051B3265" w14:textId="77777777" w:rsidR="007523DF" w:rsidRPr="007523DF" w:rsidRDefault="007523DF" w:rsidP="007523DF">
            <w:pPr>
              <w:spacing w:after="0" w:line="240" w:lineRule="auto"/>
              <w:jc w:val="right"/>
              <w:rPr>
                <w:rFonts w:ascii="Arial" w:hAnsi="Arial" w:cs="Arial"/>
                <w:b/>
                <w:bCs/>
                <w:sz w:val="18"/>
                <w:szCs w:val="18"/>
                <w:lang w:eastAsia="hr-HR"/>
              </w:rPr>
            </w:pPr>
            <w:r w:rsidRPr="007523DF">
              <w:rPr>
                <w:rFonts w:ascii="Arial" w:hAnsi="Arial" w:cs="Arial"/>
                <w:b/>
                <w:bCs/>
                <w:sz w:val="18"/>
                <w:szCs w:val="18"/>
                <w:lang w:eastAsia="hr-HR"/>
              </w:rPr>
              <w:t>882.660,70</w:t>
            </w:r>
          </w:p>
        </w:tc>
        <w:tc>
          <w:tcPr>
            <w:tcW w:w="1418" w:type="dxa"/>
            <w:tcBorders>
              <w:top w:val="nil"/>
              <w:left w:val="nil"/>
              <w:bottom w:val="nil"/>
              <w:right w:val="nil"/>
            </w:tcBorders>
            <w:shd w:val="clear" w:color="auto" w:fill="auto"/>
            <w:noWrap/>
            <w:vAlign w:val="bottom"/>
            <w:hideMark/>
          </w:tcPr>
          <w:p w14:paraId="7F68FD04" w14:textId="77777777" w:rsidR="007523DF" w:rsidRPr="007523DF" w:rsidRDefault="007523DF" w:rsidP="007523DF">
            <w:pPr>
              <w:spacing w:after="0" w:line="240" w:lineRule="auto"/>
              <w:jc w:val="right"/>
              <w:rPr>
                <w:rFonts w:ascii="Arial" w:hAnsi="Arial" w:cs="Arial"/>
                <w:b/>
                <w:bCs/>
                <w:sz w:val="18"/>
                <w:szCs w:val="18"/>
                <w:lang w:eastAsia="hr-HR"/>
              </w:rPr>
            </w:pPr>
          </w:p>
        </w:tc>
        <w:tc>
          <w:tcPr>
            <w:tcW w:w="1320" w:type="dxa"/>
            <w:tcBorders>
              <w:top w:val="nil"/>
              <w:left w:val="nil"/>
              <w:bottom w:val="nil"/>
              <w:right w:val="nil"/>
            </w:tcBorders>
            <w:shd w:val="clear" w:color="auto" w:fill="auto"/>
            <w:noWrap/>
            <w:vAlign w:val="bottom"/>
            <w:hideMark/>
          </w:tcPr>
          <w:p w14:paraId="79BF88B9" w14:textId="77777777" w:rsidR="007523DF" w:rsidRPr="007523DF" w:rsidRDefault="007523DF" w:rsidP="007523DF">
            <w:pPr>
              <w:spacing w:after="0" w:line="240" w:lineRule="auto"/>
              <w:jc w:val="right"/>
              <w:rPr>
                <w:rFonts w:ascii="Times New Roman" w:hAnsi="Times New Roman" w:cs="Times New Roman"/>
                <w:sz w:val="20"/>
                <w:szCs w:val="20"/>
                <w:lang w:eastAsia="hr-HR"/>
              </w:rPr>
            </w:pPr>
          </w:p>
        </w:tc>
        <w:tc>
          <w:tcPr>
            <w:tcW w:w="1231" w:type="dxa"/>
            <w:tcBorders>
              <w:top w:val="nil"/>
              <w:left w:val="nil"/>
              <w:bottom w:val="nil"/>
              <w:right w:val="nil"/>
            </w:tcBorders>
            <w:shd w:val="clear" w:color="auto" w:fill="auto"/>
            <w:noWrap/>
            <w:vAlign w:val="bottom"/>
            <w:hideMark/>
          </w:tcPr>
          <w:p w14:paraId="43ED0E3A" w14:textId="77777777" w:rsidR="007523DF" w:rsidRPr="007523DF" w:rsidRDefault="007523DF" w:rsidP="007523DF">
            <w:pPr>
              <w:spacing w:after="0" w:line="240" w:lineRule="auto"/>
              <w:jc w:val="right"/>
              <w:rPr>
                <w:rFonts w:ascii="Times New Roman" w:hAnsi="Times New Roman" w:cs="Times New Roman"/>
                <w:sz w:val="20"/>
                <w:szCs w:val="20"/>
                <w:lang w:eastAsia="hr-HR"/>
              </w:rPr>
            </w:pPr>
          </w:p>
        </w:tc>
      </w:tr>
      <w:tr w:rsidR="007523DF" w:rsidRPr="007523DF" w14:paraId="14759D53" w14:textId="77777777" w:rsidTr="007523DF">
        <w:trPr>
          <w:trHeight w:val="255"/>
        </w:trPr>
        <w:tc>
          <w:tcPr>
            <w:tcW w:w="7513" w:type="dxa"/>
            <w:tcBorders>
              <w:top w:val="nil"/>
              <w:left w:val="nil"/>
              <w:bottom w:val="nil"/>
              <w:right w:val="nil"/>
            </w:tcBorders>
            <w:shd w:val="clear" w:color="auto" w:fill="auto"/>
            <w:noWrap/>
            <w:vAlign w:val="bottom"/>
            <w:hideMark/>
          </w:tcPr>
          <w:p w14:paraId="709E492C" w14:textId="77777777" w:rsidR="007523DF" w:rsidRPr="007523DF" w:rsidRDefault="007523DF" w:rsidP="007523DF">
            <w:pPr>
              <w:spacing w:after="0" w:line="240" w:lineRule="auto"/>
              <w:rPr>
                <w:rFonts w:ascii="Arial" w:hAnsi="Arial" w:cs="Arial"/>
                <w:sz w:val="18"/>
                <w:szCs w:val="18"/>
                <w:lang w:eastAsia="hr-HR"/>
              </w:rPr>
            </w:pPr>
            <w:r w:rsidRPr="007523DF">
              <w:rPr>
                <w:rFonts w:ascii="Arial" w:hAnsi="Arial" w:cs="Arial"/>
                <w:sz w:val="18"/>
                <w:szCs w:val="18"/>
                <w:lang w:eastAsia="hr-HR"/>
              </w:rPr>
              <w:t>9.1. Višak iz prethodnih godina - Proračunski korisnici</w:t>
            </w:r>
          </w:p>
        </w:tc>
        <w:tc>
          <w:tcPr>
            <w:tcW w:w="1420" w:type="dxa"/>
            <w:tcBorders>
              <w:top w:val="nil"/>
              <w:left w:val="nil"/>
              <w:bottom w:val="nil"/>
              <w:right w:val="nil"/>
            </w:tcBorders>
            <w:shd w:val="clear" w:color="auto" w:fill="auto"/>
            <w:noWrap/>
            <w:vAlign w:val="bottom"/>
            <w:hideMark/>
          </w:tcPr>
          <w:p w14:paraId="036A20CA" w14:textId="77777777" w:rsidR="007523DF" w:rsidRPr="007523DF" w:rsidRDefault="007523DF" w:rsidP="007523DF">
            <w:pPr>
              <w:spacing w:after="0" w:line="240" w:lineRule="auto"/>
              <w:rPr>
                <w:rFonts w:ascii="Arial" w:hAnsi="Arial" w:cs="Arial"/>
                <w:sz w:val="18"/>
                <w:szCs w:val="18"/>
                <w:lang w:eastAsia="hr-HR"/>
              </w:rPr>
            </w:pPr>
          </w:p>
        </w:tc>
        <w:tc>
          <w:tcPr>
            <w:tcW w:w="1698" w:type="dxa"/>
            <w:tcBorders>
              <w:top w:val="nil"/>
              <w:left w:val="nil"/>
              <w:bottom w:val="nil"/>
              <w:right w:val="nil"/>
            </w:tcBorders>
            <w:shd w:val="clear" w:color="auto" w:fill="auto"/>
            <w:noWrap/>
            <w:vAlign w:val="bottom"/>
            <w:hideMark/>
          </w:tcPr>
          <w:p w14:paraId="197885FB" w14:textId="77777777" w:rsidR="007523DF" w:rsidRPr="007523DF" w:rsidRDefault="007523DF" w:rsidP="007523DF">
            <w:pPr>
              <w:spacing w:after="0" w:line="240" w:lineRule="auto"/>
              <w:jc w:val="right"/>
              <w:rPr>
                <w:rFonts w:ascii="Arial" w:hAnsi="Arial" w:cs="Arial"/>
                <w:sz w:val="18"/>
                <w:szCs w:val="18"/>
                <w:lang w:eastAsia="hr-HR"/>
              </w:rPr>
            </w:pPr>
            <w:r w:rsidRPr="007523DF">
              <w:rPr>
                <w:rFonts w:ascii="Arial" w:hAnsi="Arial" w:cs="Arial"/>
                <w:sz w:val="18"/>
                <w:szCs w:val="18"/>
                <w:lang w:eastAsia="hr-HR"/>
              </w:rPr>
              <w:t>67.584,19</w:t>
            </w:r>
          </w:p>
        </w:tc>
        <w:tc>
          <w:tcPr>
            <w:tcW w:w="1418" w:type="dxa"/>
            <w:tcBorders>
              <w:top w:val="nil"/>
              <w:left w:val="nil"/>
              <w:bottom w:val="nil"/>
              <w:right w:val="nil"/>
            </w:tcBorders>
            <w:shd w:val="clear" w:color="auto" w:fill="auto"/>
            <w:noWrap/>
            <w:vAlign w:val="bottom"/>
            <w:hideMark/>
          </w:tcPr>
          <w:p w14:paraId="3FB8A22F" w14:textId="77777777" w:rsidR="007523DF" w:rsidRPr="007523DF" w:rsidRDefault="007523DF" w:rsidP="007523DF">
            <w:pPr>
              <w:spacing w:after="0" w:line="240" w:lineRule="auto"/>
              <w:jc w:val="right"/>
              <w:rPr>
                <w:rFonts w:ascii="Arial" w:hAnsi="Arial" w:cs="Arial"/>
                <w:sz w:val="18"/>
                <w:szCs w:val="18"/>
                <w:lang w:eastAsia="hr-HR"/>
              </w:rPr>
            </w:pPr>
          </w:p>
        </w:tc>
        <w:tc>
          <w:tcPr>
            <w:tcW w:w="1320" w:type="dxa"/>
            <w:tcBorders>
              <w:top w:val="nil"/>
              <w:left w:val="nil"/>
              <w:bottom w:val="nil"/>
              <w:right w:val="nil"/>
            </w:tcBorders>
            <w:shd w:val="clear" w:color="auto" w:fill="auto"/>
            <w:noWrap/>
            <w:vAlign w:val="bottom"/>
            <w:hideMark/>
          </w:tcPr>
          <w:p w14:paraId="2932C12A" w14:textId="77777777" w:rsidR="007523DF" w:rsidRPr="007523DF" w:rsidRDefault="007523DF" w:rsidP="007523DF">
            <w:pPr>
              <w:spacing w:after="0" w:line="240" w:lineRule="auto"/>
              <w:jc w:val="right"/>
              <w:rPr>
                <w:rFonts w:ascii="Times New Roman" w:hAnsi="Times New Roman" w:cs="Times New Roman"/>
                <w:sz w:val="20"/>
                <w:szCs w:val="20"/>
                <w:lang w:eastAsia="hr-HR"/>
              </w:rPr>
            </w:pPr>
          </w:p>
        </w:tc>
        <w:tc>
          <w:tcPr>
            <w:tcW w:w="1231" w:type="dxa"/>
            <w:tcBorders>
              <w:top w:val="nil"/>
              <w:left w:val="nil"/>
              <w:bottom w:val="nil"/>
              <w:right w:val="nil"/>
            </w:tcBorders>
            <w:shd w:val="clear" w:color="auto" w:fill="auto"/>
            <w:noWrap/>
            <w:vAlign w:val="bottom"/>
            <w:hideMark/>
          </w:tcPr>
          <w:p w14:paraId="1B2924CD" w14:textId="77777777" w:rsidR="007523DF" w:rsidRPr="007523DF" w:rsidRDefault="007523DF" w:rsidP="007523DF">
            <w:pPr>
              <w:spacing w:after="0" w:line="240" w:lineRule="auto"/>
              <w:jc w:val="right"/>
              <w:rPr>
                <w:rFonts w:ascii="Times New Roman" w:hAnsi="Times New Roman" w:cs="Times New Roman"/>
                <w:sz w:val="20"/>
                <w:szCs w:val="20"/>
                <w:lang w:eastAsia="hr-HR"/>
              </w:rPr>
            </w:pPr>
          </w:p>
        </w:tc>
      </w:tr>
      <w:tr w:rsidR="007523DF" w:rsidRPr="007523DF" w14:paraId="25315612" w14:textId="77777777" w:rsidTr="007523DF">
        <w:trPr>
          <w:trHeight w:val="255"/>
        </w:trPr>
        <w:tc>
          <w:tcPr>
            <w:tcW w:w="7513" w:type="dxa"/>
            <w:tcBorders>
              <w:top w:val="nil"/>
              <w:left w:val="nil"/>
              <w:bottom w:val="nil"/>
              <w:right w:val="nil"/>
            </w:tcBorders>
            <w:shd w:val="clear" w:color="auto" w:fill="auto"/>
            <w:noWrap/>
            <w:vAlign w:val="bottom"/>
            <w:hideMark/>
          </w:tcPr>
          <w:p w14:paraId="7F212C40" w14:textId="77777777" w:rsidR="007523DF" w:rsidRPr="007523DF" w:rsidRDefault="007523DF" w:rsidP="007523DF">
            <w:pPr>
              <w:spacing w:after="0" w:line="240" w:lineRule="auto"/>
              <w:rPr>
                <w:rFonts w:ascii="Arial" w:hAnsi="Arial" w:cs="Arial"/>
                <w:sz w:val="18"/>
                <w:szCs w:val="18"/>
                <w:lang w:eastAsia="hr-HR"/>
              </w:rPr>
            </w:pPr>
            <w:r w:rsidRPr="007523DF">
              <w:rPr>
                <w:rFonts w:ascii="Arial" w:hAnsi="Arial" w:cs="Arial"/>
                <w:sz w:val="18"/>
                <w:szCs w:val="18"/>
                <w:lang w:eastAsia="hr-HR"/>
              </w:rPr>
              <w:t>9.2. Višak iz prethodnih godina - Grad</w:t>
            </w:r>
          </w:p>
        </w:tc>
        <w:tc>
          <w:tcPr>
            <w:tcW w:w="1420" w:type="dxa"/>
            <w:tcBorders>
              <w:top w:val="nil"/>
              <w:left w:val="nil"/>
              <w:bottom w:val="nil"/>
              <w:right w:val="nil"/>
            </w:tcBorders>
            <w:shd w:val="clear" w:color="auto" w:fill="auto"/>
            <w:noWrap/>
            <w:vAlign w:val="bottom"/>
            <w:hideMark/>
          </w:tcPr>
          <w:p w14:paraId="36AB8ECF" w14:textId="77777777" w:rsidR="007523DF" w:rsidRPr="007523DF" w:rsidRDefault="007523DF" w:rsidP="007523DF">
            <w:pPr>
              <w:spacing w:after="0" w:line="240" w:lineRule="auto"/>
              <w:rPr>
                <w:rFonts w:ascii="Arial" w:hAnsi="Arial" w:cs="Arial"/>
                <w:sz w:val="18"/>
                <w:szCs w:val="18"/>
                <w:lang w:eastAsia="hr-HR"/>
              </w:rPr>
            </w:pPr>
          </w:p>
        </w:tc>
        <w:tc>
          <w:tcPr>
            <w:tcW w:w="1698" w:type="dxa"/>
            <w:tcBorders>
              <w:top w:val="nil"/>
              <w:left w:val="nil"/>
              <w:bottom w:val="nil"/>
              <w:right w:val="nil"/>
            </w:tcBorders>
            <w:shd w:val="clear" w:color="auto" w:fill="auto"/>
            <w:noWrap/>
            <w:vAlign w:val="bottom"/>
            <w:hideMark/>
          </w:tcPr>
          <w:p w14:paraId="6E9262E7" w14:textId="77777777" w:rsidR="007523DF" w:rsidRPr="007523DF" w:rsidRDefault="007523DF" w:rsidP="007523DF">
            <w:pPr>
              <w:spacing w:after="0" w:line="240" w:lineRule="auto"/>
              <w:jc w:val="right"/>
              <w:rPr>
                <w:rFonts w:ascii="Arial" w:hAnsi="Arial" w:cs="Arial"/>
                <w:sz w:val="18"/>
                <w:szCs w:val="18"/>
                <w:lang w:eastAsia="hr-HR"/>
              </w:rPr>
            </w:pPr>
            <w:r w:rsidRPr="007523DF">
              <w:rPr>
                <w:rFonts w:ascii="Arial" w:hAnsi="Arial" w:cs="Arial"/>
                <w:sz w:val="18"/>
                <w:szCs w:val="18"/>
                <w:lang w:eastAsia="hr-HR"/>
              </w:rPr>
              <w:t>815.076,51</w:t>
            </w:r>
          </w:p>
        </w:tc>
        <w:tc>
          <w:tcPr>
            <w:tcW w:w="1418" w:type="dxa"/>
            <w:tcBorders>
              <w:top w:val="nil"/>
              <w:left w:val="nil"/>
              <w:bottom w:val="nil"/>
              <w:right w:val="nil"/>
            </w:tcBorders>
            <w:shd w:val="clear" w:color="auto" w:fill="auto"/>
            <w:noWrap/>
            <w:vAlign w:val="bottom"/>
            <w:hideMark/>
          </w:tcPr>
          <w:p w14:paraId="00E9319B" w14:textId="77777777" w:rsidR="007523DF" w:rsidRPr="007523DF" w:rsidRDefault="007523DF" w:rsidP="007523DF">
            <w:pPr>
              <w:spacing w:after="0" w:line="240" w:lineRule="auto"/>
              <w:jc w:val="right"/>
              <w:rPr>
                <w:rFonts w:ascii="Arial" w:hAnsi="Arial" w:cs="Arial"/>
                <w:sz w:val="18"/>
                <w:szCs w:val="18"/>
                <w:lang w:eastAsia="hr-HR"/>
              </w:rPr>
            </w:pPr>
          </w:p>
        </w:tc>
        <w:tc>
          <w:tcPr>
            <w:tcW w:w="1320" w:type="dxa"/>
            <w:tcBorders>
              <w:top w:val="nil"/>
              <w:left w:val="nil"/>
              <w:bottom w:val="nil"/>
              <w:right w:val="nil"/>
            </w:tcBorders>
            <w:shd w:val="clear" w:color="auto" w:fill="auto"/>
            <w:noWrap/>
            <w:vAlign w:val="bottom"/>
            <w:hideMark/>
          </w:tcPr>
          <w:p w14:paraId="0D20BA30" w14:textId="77777777" w:rsidR="007523DF" w:rsidRPr="007523DF" w:rsidRDefault="007523DF" w:rsidP="007523DF">
            <w:pPr>
              <w:spacing w:after="0" w:line="240" w:lineRule="auto"/>
              <w:jc w:val="right"/>
              <w:rPr>
                <w:rFonts w:ascii="Times New Roman" w:hAnsi="Times New Roman" w:cs="Times New Roman"/>
                <w:sz w:val="20"/>
                <w:szCs w:val="20"/>
                <w:lang w:eastAsia="hr-HR"/>
              </w:rPr>
            </w:pPr>
          </w:p>
        </w:tc>
        <w:tc>
          <w:tcPr>
            <w:tcW w:w="1231" w:type="dxa"/>
            <w:tcBorders>
              <w:top w:val="nil"/>
              <w:left w:val="nil"/>
              <w:bottom w:val="nil"/>
              <w:right w:val="nil"/>
            </w:tcBorders>
            <w:shd w:val="clear" w:color="auto" w:fill="auto"/>
            <w:noWrap/>
            <w:vAlign w:val="bottom"/>
            <w:hideMark/>
          </w:tcPr>
          <w:p w14:paraId="3B9383BA" w14:textId="77777777" w:rsidR="007523DF" w:rsidRPr="007523DF" w:rsidRDefault="007523DF" w:rsidP="007523DF">
            <w:pPr>
              <w:spacing w:after="0" w:line="240" w:lineRule="auto"/>
              <w:jc w:val="right"/>
              <w:rPr>
                <w:rFonts w:ascii="Times New Roman" w:hAnsi="Times New Roman" w:cs="Times New Roman"/>
                <w:sz w:val="20"/>
                <w:szCs w:val="20"/>
                <w:lang w:eastAsia="hr-HR"/>
              </w:rPr>
            </w:pPr>
          </w:p>
        </w:tc>
      </w:tr>
    </w:tbl>
    <w:p w14:paraId="5E9D591E" w14:textId="77777777" w:rsidR="00AA3C67" w:rsidRPr="00722358" w:rsidRDefault="00AA3C67" w:rsidP="002B70CF">
      <w:pPr>
        <w:spacing w:after="0" w:line="240" w:lineRule="auto"/>
        <w:rPr>
          <w:rFonts w:asciiTheme="minorHAnsi" w:hAnsiTheme="minorHAnsi" w:cstheme="minorHAnsi"/>
          <w:b/>
          <w:color w:val="000000"/>
          <w:sz w:val="24"/>
          <w:szCs w:val="24"/>
          <w:lang w:eastAsia="hr-HR"/>
        </w:rPr>
      </w:pPr>
    </w:p>
    <w:p w14:paraId="3C6CAA76" w14:textId="77777777" w:rsidR="00602A45" w:rsidRDefault="00602A45" w:rsidP="00BC3810">
      <w:pPr>
        <w:spacing w:after="0" w:line="240" w:lineRule="auto"/>
        <w:rPr>
          <w:rFonts w:asciiTheme="minorHAnsi" w:hAnsiTheme="minorHAnsi" w:cstheme="minorHAnsi"/>
          <w:color w:val="000000"/>
          <w:lang w:eastAsia="hr-HR"/>
        </w:rPr>
      </w:pPr>
    </w:p>
    <w:p w14:paraId="143BFEBF" w14:textId="77777777" w:rsidR="002B70CF" w:rsidRPr="00722358" w:rsidRDefault="002B70CF" w:rsidP="00BC3810">
      <w:pPr>
        <w:spacing w:after="0" w:line="240" w:lineRule="auto"/>
        <w:rPr>
          <w:rFonts w:asciiTheme="minorHAnsi" w:hAnsiTheme="minorHAnsi" w:cstheme="minorHAnsi"/>
          <w:color w:val="000000"/>
          <w:lang w:eastAsia="hr-HR"/>
        </w:rPr>
      </w:pPr>
    </w:p>
    <w:p w14:paraId="2D26C9EA" w14:textId="231A28B0" w:rsidR="00B21CC2" w:rsidRPr="00AA3C67" w:rsidRDefault="00AA3C67" w:rsidP="003734CB">
      <w:pPr>
        <w:pStyle w:val="Odlomakpopisa"/>
        <w:numPr>
          <w:ilvl w:val="0"/>
          <w:numId w:val="5"/>
        </w:numPr>
        <w:jc w:val="center"/>
        <w:rPr>
          <w:b/>
          <w:color w:val="000000"/>
        </w:rPr>
      </w:pPr>
      <w:r w:rsidRPr="00AA3C67">
        <w:rPr>
          <w:b/>
          <w:color w:val="000000"/>
        </w:rPr>
        <w:t>Izvještaj o izvršenju posebnog dijela proračuna</w:t>
      </w:r>
    </w:p>
    <w:p w14:paraId="7FC641F9" w14:textId="77777777" w:rsidR="00AA3C67" w:rsidRPr="00AA3C67" w:rsidRDefault="00AA3C67" w:rsidP="00AA3C67">
      <w:pPr>
        <w:pStyle w:val="Odlomakpopisa"/>
        <w:ind w:left="360"/>
        <w:rPr>
          <w:rFonts w:asciiTheme="minorHAnsi" w:hAnsiTheme="minorHAnsi" w:cstheme="minorHAnsi"/>
          <w:b/>
          <w:color w:val="000000"/>
        </w:rPr>
      </w:pPr>
    </w:p>
    <w:p w14:paraId="2494B03B" w14:textId="5C96152B" w:rsidR="00E16B4C" w:rsidRDefault="003E658E" w:rsidP="003734CB">
      <w:pPr>
        <w:pStyle w:val="Odlomakpopisa"/>
        <w:numPr>
          <w:ilvl w:val="1"/>
          <w:numId w:val="5"/>
        </w:numPr>
        <w:jc w:val="center"/>
        <w:rPr>
          <w:b/>
          <w:color w:val="000000"/>
        </w:rPr>
      </w:pPr>
      <w:r w:rsidRPr="00722358">
        <w:rPr>
          <w:b/>
          <w:color w:val="000000"/>
        </w:rPr>
        <w:t xml:space="preserve"> </w:t>
      </w:r>
      <w:r w:rsidR="00AA3C67" w:rsidRPr="00722358">
        <w:rPr>
          <w:b/>
          <w:color w:val="000000"/>
        </w:rPr>
        <w:t>Izvršenje po organizacijskoj klasifikacij</w:t>
      </w:r>
      <w:r w:rsidR="00AA3C67">
        <w:rPr>
          <w:b/>
          <w:color w:val="000000"/>
        </w:rPr>
        <w:t>i</w:t>
      </w:r>
    </w:p>
    <w:p w14:paraId="598F2362" w14:textId="77777777" w:rsidR="001E3079" w:rsidRDefault="001E3079" w:rsidP="001E3079">
      <w:pPr>
        <w:jc w:val="center"/>
        <w:rPr>
          <w:b/>
          <w:color w:val="000000"/>
        </w:rPr>
      </w:pPr>
    </w:p>
    <w:tbl>
      <w:tblPr>
        <w:tblW w:w="14354" w:type="dxa"/>
        <w:tblLook w:val="04A0" w:firstRow="1" w:lastRow="0" w:firstColumn="1" w:lastColumn="0" w:noHBand="0" w:noVBand="1"/>
      </w:tblPr>
      <w:tblGrid>
        <w:gridCol w:w="2251"/>
        <w:gridCol w:w="729"/>
        <w:gridCol w:w="6234"/>
        <w:gridCol w:w="1720"/>
        <w:gridCol w:w="1880"/>
        <w:gridCol w:w="1540"/>
      </w:tblGrid>
      <w:tr w:rsidR="001E3079" w:rsidRPr="001E3079" w14:paraId="03459381" w14:textId="77777777" w:rsidTr="001E3079">
        <w:trPr>
          <w:trHeight w:val="255"/>
        </w:trPr>
        <w:tc>
          <w:tcPr>
            <w:tcW w:w="2980" w:type="dxa"/>
            <w:gridSpan w:val="2"/>
            <w:tcBorders>
              <w:top w:val="nil"/>
              <w:left w:val="nil"/>
              <w:bottom w:val="nil"/>
              <w:right w:val="nil"/>
            </w:tcBorders>
            <w:shd w:val="clear" w:color="000000" w:fill="969696"/>
            <w:noWrap/>
            <w:vAlign w:val="bottom"/>
            <w:hideMark/>
          </w:tcPr>
          <w:p w14:paraId="4D8A0FCB" w14:textId="77777777" w:rsidR="001E3079" w:rsidRPr="001E3079" w:rsidRDefault="001E3079" w:rsidP="001E3079">
            <w:pPr>
              <w:spacing w:after="0" w:line="240" w:lineRule="auto"/>
              <w:jc w:val="center"/>
              <w:rPr>
                <w:rFonts w:ascii="Arial" w:hAnsi="Arial" w:cs="Arial"/>
                <w:b/>
                <w:bCs/>
                <w:sz w:val="18"/>
                <w:szCs w:val="18"/>
                <w:lang w:eastAsia="hr-HR"/>
              </w:rPr>
            </w:pPr>
            <w:r w:rsidRPr="001E3079">
              <w:rPr>
                <w:rFonts w:ascii="Arial" w:hAnsi="Arial" w:cs="Arial"/>
                <w:b/>
                <w:bCs/>
                <w:sz w:val="18"/>
                <w:szCs w:val="18"/>
                <w:lang w:eastAsia="hr-HR"/>
              </w:rPr>
              <w:t>RGP</w:t>
            </w:r>
          </w:p>
        </w:tc>
        <w:tc>
          <w:tcPr>
            <w:tcW w:w="6234" w:type="dxa"/>
            <w:tcBorders>
              <w:top w:val="nil"/>
              <w:left w:val="nil"/>
              <w:bottom w:val="nil"/>
              <w:right w:val="nil"/>
            </w:tcBorders>
            <w:shd w:val="clear" w:color="000000" w:fill="969696"/>
            <w:noWrap/>
            <w:vAlign w:val="bottom"/>
            <w:hideMark/>
          </w:tcPr>
          <w:p w14:paraId="448CAE18" w14:textId="77777777" w:rsidR="001E3079" w:rsidRPr="001E3079" w:rsidRDefault="001E3079" w:rsidP="001E3079">
            <w:pPr>
              <w:spacing w:after="0" w:line="240" w:lineRule="auto"/>
              <w:jc w:val="center"/>
              <w:rPr>
                <w:rFonts w:ascii="Arial" w:hAnsi="Arial" w:cs="Arial"/>
                <w:b/>
                <w:bCs/>
                <w:sz w:val="18"/>
                <w:szCs w:val="18"/>
                <w:lang w:eastAsia="hr-HR"/>
              </w:rPr>
            </w:pPr>
            <w:r w:rsidRPr="001E3079">
              <w:rPr>
                <w:rFonts w:ascii="Arial" w:hAnsi="Arial" w:cs="Arial"/>
                <w:b/>
                <w:bCs/>
                <w:sz w:val="18"/>
                <w:szCs w:val="18"/>
                <w:lang w:eastAsia="hr-HR"/>
              </w:rPr>
              <w:t>Opis</w:t>
            </w:r>
          </w:p>
        </w:tc>
        <w:tc>
          <w:tcPr>
            <w:tcW w:w="1720" w:type="dxa"/>
            <w:tcBorders>
              <w:top w:val="nil"/>
              <w:left w:val="nil"/>
              <w:bottom w:val="nil"/>
              <w:right w:val="nil"/>
            </w:tcBorders>
            <w:shd w:val="clear" w:color="000000" w:fill="969696"/>
            <w:noWrap/>
            <w:vAlign w:val="bottom"/>
            <w:hideMark/>
          </w:tcPr>
          <w:p w14:paraId="63FFB645" w14:textId="77777777" w:rsidR="001E3079" w:rsidRPr="001E3079" w:rsidRDefault="001E3079" w:rsidP="001E3079">
            <w:pPr>
              <w:spacing w:after="0" w:line="240" w:lineRule="auto"/>
              <w:jc w:val="center"/>
              <w:rPr>
                <w:rFonts w:ascii="Arial" w:hAnsi="Arial" w:cs="Arial"/>
                <w:b/>
                <w:bCs/>
                <w:sz w:val="18"/>
                <w:szCs w:val="18"/>
                <w:lang w:eastAsia="hr-HR"/>
              </w:rPr>
            </w:pPr>
            <w:r w:rsidRPr="001E3079">
              <w:rPr>
                <w:rFonts w:ascii="Arial" w:hAnsi="Arial" w:cs="Arial"/>
                <w:b/>
                <w:bCs/>
                <w:sz w:val="18"/>
                <w:szCs w:val="18"/>
                <w:lang w:eastAsia="hr-HR"/>
              </w:rPr>
              <w:t>Rebalans 2024</w:t>
            </w:r>
          </w:p>
        </w:tc>
        <w:tc>
          <w:tcPr>
            <w:tcW w:w="1880" w:type="dxa"/>
            <w:tcBorders>
              <w:top w:val="nil"/>
              <w:left w:val="nil"/>
              <w:bottom w:val="nil"/>
              <w:right w:val="nil"/>
            </w:tcBorders>
            <w:shd w:val="clear" w:color="000000" w:fill="969696"/>
            <w:noWrap/>
            <w:vAlign w:val="bottom"/>
            <w:hideMark/>
          </w:tcPr>
          <w:p w14:paraId="64004FF4" w14:textId="77777777" w:rsidR="001E3079" w:rsidRPr="001E3079" w:rsidRDefault="001E3079" w:rsidP="001E3079">
            <w:pPr>
              <w:spacing w:after="0" w:line="240" w:lineRule="auto"/>
              <w:jc w:val="center"/>
              <w:rPr>
                <w:rFonts w:ascii="Arial" w:hAnsi="Arial" w:cs="Arial"/>
                <w:b/>
                <w:bCs/>
                <w:sz w:val="18"/>
                <w:szCs w:val="18"/>
                <w:lang w:eastAsia="hr-HR"/>
              </w:rPr>
            </w:pPr>
            <w:r w:rsidRPr="001E3079">
              <w:rPr>
                <w:rFonts w:ascii="Arial" w:hAnsi="Arial" w:cs="Arial"/>
                <w:b/>
                <w:bCs/>
                <w:sz w:val="18"/>
                <w:szCs w:val="18"/>
                <w:lang w:eastAsia="hr-HR"/>
              </w:rPr>
              <w:t>Izvršenje 2024</w:t>
            </w:r>
          </w:p>
        </w:tc>
        <w:tc>
          <w:tcPr>
            <w:tcW w:w="1540" w:type="dxa"/>
            <w:tcBorders>
              <w:top w:val="nil"/>
              <w:left w:val="nil"/>
              <w:bottom w:val="nil"/>
              <w:right w:val="nil"/>
            </w:tcBorders>
            <w:shd w:val="clear" w:color="000000" w:fill="969696"/>
            <w:noWrap/>
            <w:vAlign w:val="bottom"/>
            <w:hideMark/>
          </w:tcPr>
          <w:p w14:paraId="7B082A24" w14:textId="77777777" w:rsidR="001E3079" w:rsidRPr="001E3079" w:rsidRDefault="001E3079" w:rsidP="001E3079">
            <w:pPr>
              <w:spacing w:after="0" w:line="240" w:lineRule="auto"/>
              <w:jc w:val="center"/>
              <w:rPr>
                <w:rFonts w:ascii="Arial" w:hAnsi="Arial" w:cs="Arial"/>
                <w:b/>
                <w:bCs/>
                <w:sz w:val="18"/>
                <w:szCs w:val="18"/>
                <w:lang w:eastAsia="hr-HR"/>
              </w:rPr>
            </w:pPr>
            <w:r w:rsidRPr="001E3079">
              <w:rPr>
                <w:rFonts w:ascii="Arial" w:hAnsi="Arial" w:cs="Arial"/>
                <w:b/>
                <w:bCs/>
                <w:sz w:val="18"/>
                <w:szCs w:val="18"/>
                <w:lang w:eastAsia="hr-HR"/>
              </w:rPr>
              <w:t>Indeks 2/1</w:t>
            </w:r>
          </w:p>
        </w:tc>
      </w:tr>
      <w:tr w:rsidR="001E3079" w:rsidRPr="001E3079" w14:paraId="2D7726A8" w14:textId="77777777" w:rsidTr="001E3079">
        <w:trPr>
          <w:trHeight w:val="255"/>
        </w:trPr>
        <w:tc>
          <w:tcPr>
            <w:tcW w:w="2980" w:type="dxa"/>
            <w:gridSpan w:val="2"/>
            <w:tcBorders>
              <w:top w:val="nil"/>
              <w:left w:val="nil"/>
              <w:bottom w:val="nil"/>
              <w:right w:val="nil"/>
            </w:tcBorders>
            <w:shd w:val="clear" w:color="000000" w:fill="969696"/>
            <w:noWrap/>
            <w:vAlign w:val="bottom"/>
            <w:hideMark/>
          </w:tcPr>
          <w:p w14:paraId="1F38690C" w14:textId="77777777" w:rsidR="001E3079" w:rsidRPr="001E3079" w:rsidRDefault="001E3079" w:rsidP="001E3079">
            <w:pPr>
              <w:spacing w:after="0" w:line="240" w:lineRule="auto"/>
              <w:jc w:val="center"/>
              <w:rPr>
                <w:rFonts w:ascii="Arial" w:hAnsi="Arial" w:cs="Arial"/>
                <w:b/>
                <w:bCs/>
                <w:sz w:val="18"/>
                <w:szCs w:val="18"/>
                <w:lang w:eastAsia="hr-HR"/>
              </w:rPr>
            </w:pPr>
            <w:r w:rsidRPr="001E3079">
              <w:rPr>
                <w:rFonts w:ascii="Arial" w:hAnsi="Arial" w:cs="Arial"/>
                <w:b/>
                <w:bCs/>
                <w:sz w:val="18"/>
                <w:szCs w:val="18"/>
                <w:lang w:eastAsia="hr-HR"/>
              </w:rPr>
              <w:t> </w:t>
            </w:r>
          </w:p>
        </w:tc>
        <w:tc>
          <w:tcPr>
            <w:tcW w:w="6234" w:type="dxa"/>
            <w:tcBorders>
              <w:top w:val="nil"/>
              <w:left w:val="nil"/>
              <w:bottom w:val="nil"/>
              <w:right w:val="nil"/>
            </w:tcBorders>
            <w:shd w:val="clear" w:color="000000" w:fill="969696"/>
            <w:noWrap/>
            <w:vAlign w:val="bottom"/>
            <w:hideMark/>
          </w:tcPr>
          <w:p w14:paraId="5222B924" w14:textId="77777777" w:rsidR="001E3079" w:rsidRPr="001E3079" w:rsidRDefault="001E3079" w:rsidP="001E3079">
            <w:pPr>
              <w:spacing w:after="0" w:line="240" w:lineRule="auto"/>
              <w:jc w:val="center"/>
              <w:rPr>
                <w:rFonts w:ascii="Arial" w:hAnsi="Arial" w:cs="Arial"/>
                <w:b/>
                <w:bCs/>
                <w:sz w:val="18"/>
                <w:szCs w:val="18"/>
                <w:lang w:eastAsia="hr-HR"/>
              </w:rPr>
            </w:pPr>
            <w:r w:rsidRPr="001E3079">
              <w:rPr>
                <w:rFonts w:ascii="Arial" w:hAnsi="Arial" w:cs="Arial"/>
                <w:b/>
                <w:bCs/>
                <w:sz w:val="18"/>
                <w:szCs w:val="18"/>
                <w:lang w:eastAsia="hr-HR"/>
              </w:rPr>
              <w:t> </w:t>
            </w:r>
          </w:p>
        </w:tc>
        <w:tc>
          <w:tcPr>
            <w:tcW w:w="1720" w:type="dxa"/>
            <w:tcBorders>
              <w:top w:val="nil"/>
              <w:left w:val="nil"/>
              <w:bottom w:val="nil"/>
              <w:right w:val="nil"/>
            </w:tcBorders>
            <w:shd w:val="clear" w:color="000000" w:fill="969696"/>
            <w:noWrap/>
            <w:vAlign w:val="bottom"/>
            <w:hideMark/>
          </w:tcPr>
          <w:p w14:paraId="19258B5F" w14:textId="77777777" w:rsidR="001E3079" w:rsidRPr="001E3079" w:rsidRDefault="001E3079" w:rsidP="001E3079">
            <w:pPr>
              <w:spacing w:after="0" w:line="240" w:lineRule="auto"/>
              <w:jc w:val="center"/>
              <w:rPr>
                <w:rFonts w:ascii="Arial" w:hAnsi="Arial" w:cs="Arial"/>
                <w:b/>
                <w:bCs/>
                <w:sz w:val="18"/>
                <w:szCs w:val="18"/>
                <w:lang w:eastAsia="hr-HR"/>
              </w:rPr>
            </w:pPr>
            <w:r w:rsidRPr="001E3079">
              <w:rPr>
                <w:rFonts w:ascii="Arial" w:hAnsi="Arial" w:cs="Arial"/>
                <w:b/>
                <w:bCs/>
                <w:sz w:val="18"/>
                <w:szCs w:val="18"/>
                <w:lang w:eastAsia="hr-HR"/>
              </w:rPr>
              <w:t>1</w:t>
            </w:r>
          </w:p>
        </w:tc>
        <w:tc>
          <w:tcPr>
            <w:tcW w:w="1880" w:type="dxa"/>
            <w:tcBorders>
              <w:top w:val="nil"/>
              <w:left w:val="nil"/>
              <w:bottom w:val="nil"/>
              <w:right w:val="nil"/>
            </w:tcBorders>
            <w:shd w:val="clear" w:color="000000" w:fill="969696"/>
            <w:noWrap/>
            <w:vAlign w:val="bottom"/>
            <w:hideMark/>
          </w:tcPr>
          <w:p w14:paraId="50608790" w14:textId="77777777" w:rsidR="001E3079" w:rsidRPr="001E3079" w:rsidRDefault="001E3079" w:rsidP="001E3079">
            <w:pPr>
              <w:spacing w:after="0" w:line="240" w:lineRule="auto"/>
              <w:jc w:val="center"/>
              <w:rPr>
                <w:rFonts w:ascii="Arial" w:hAnsi="Arial" w:cs="Arial"/>
                <w:b/>
                <w:bCs/>
                <w:sz w:val="18"/>
                <w:szCs w:val="18"/>
                <w:lang w:eastAsia="hr-HR"/>
              </w:rPr>
            </w:pPr>
            <w:r w:rsidRPr="001E3079">
              <w:rPr>
                <w:rFonts w:ascii="Arial" w:hAnsi="Arial" w:cs="Arial"/>
                <w:b/>
                <w:bCs/>
                <w:sz w:val="18"/>
                <w:szCs w:val="18"/>
                <w:lang w:eastAsia="hr-HR"/>
              </w:rPr>
              <w:t>2</w:t>
            </w:r>
          </w:p>
        </w:tc>
        <w:tc>
          <w:tcPr>
            <w:tcW w:w="1540" w:type="dxa"/>
            <w:tcBorders>
              <w:top w:val="nil"/>
              <w:left w:val="nil"/>
              <w:bottom w:val="nil"/>
              <w:right w:val="nil"/>
            </w:tcBorders>
            <w:shd w:val="clear" w:color="000000" w:fill="969696"/>
            <w:noWrap/>
            <w:vAlign w:val="bottom"/>
            <w:hideMark/>
          </w:tcPr>
          <w:p w14:paraId="223D872A" w14:textId="77777777" w:rsidR="001E3079" w:rsidRPr="001E3079" w:rsidRDefault="001E3079" w:rsidP="001E3079">
            <w:pPr>
              <w:spacing w:after="0" w:line="240" w:lineRule="auto"/>
              <w:jc w:val="center"/>
              <w:rPr>
                <w:rFonts w:ascii="Arial" w:hAnsi="Arial" w:cs="Arial"/>
                <w:b/>
                <w:bCs/>
                <w:sz w:val="18"/>
                <w:szCs w:val="18"/>
                <w:lang w:eastAsia="hr-HR"/>
              </w:rPr>
            </w:pPr>
            <w:r w:rsidRPr="001E3079">
              <w:rPr>
                <w:rFonts w:ascii="Arial" w:hAnsi="Arial" w:cs="Arial"/>
                <w:b/>
                <w:bCs/>
                <w:sz w:val="18"/>
                <w:szCs w:val="18"/>
                <w:lang w:eastAsia="hr-HR"/>
              </w:rPr>
              <w:t>3</w:t>
            </w:r>
          </w:p>
        </w:tc>
      </w:tr>
      <w:tr w:rsidR="001E3079" w:rsidRPr="001E3079" w14:paraId="4851773A" w14:textId="77777777" w:rsidTr="001E3079">
        <w:trPr>
          <w:trHeight w:val="255"/>
        </w:trPr>
        <w:tc>
          <w:tcPr>
            <w:tcW w:w="2980" w:type="dxa"/>
            <w:gridSpan w:val="2"/>
            <w:tcBorders>
              <w:top w:val="nil"/>
              <w:left w:val="nil"/>
              <w:bottom w:val="nil"/>
              <w:right w:val="nil"/>
            </w:tcBorders>
            <w:shd w:val="clear" w:color="000000" w:fill="C0C0C0"/>
            <w:noWrap/>
            <w:vAlign w:val="bottom"/>
            <w:hideMark/>
          </w:tcPr>
          <w:p w14:paraId="4F12D10C" w14:textId="77777777" w:rsidR="001E3079" w:rsidRPr="001E3079" w:rsidRDefault="001E3079" w:rsidP="001E3079">
            <w:pPr>
              <w:spacing w:after="0" w:line="240" w:lineRule="auto"/>
              <w:rPr>
                <w:rFonts w:ascii="Arial" w:hAnsi="Arial" w:cs="Arial"/>
                <w:b/>
                <w:bCs/>
                <w:sz w:val="18"/>
                <w:szCs w:val="18"/>
                <w:lang w:eastAsia="hr-HR"/>
              </w:rPr>
            </w:pPr>
            <w:r w:rsidRPr="001E3079">
              <w:rPr>
                <w:rFonts w:ascii="Arial" w:hAnsi="Arial" w:cs="Arial"/>
                <w:b/>
                <w:bCs/>
                <w:sz w:val="18"/>
                <w:szCs w:val="18"/>
                <w:lang w:eastAsia="hr-HR"/>
              </w:rPr>
              <w:t> </w:t>
            </w:r>
          </w:p>
        </w:tc>
        <w:tc>
          <w:tcPr>
            <w:tcW w:w="6234" w:type="dxa"/>
            <w:tcBorders>
              <w:top w:val="nil"/>
              <w:left w:val="nil"/>
              <w:bottom w:val="nil"/>
              <w:right w:val="nil"/>
            </w:tcBorders>
            <w:shd w:val="clear" w:color="000000" w:fill="C0C0C0"/>
            <w:noWrap/>
            <w:vAlign w:val="bottom"/>
            <w:hideMark/>
          </w:tcPr>
          <w:p w14:paraId="1FEAA748" w14:textId="77777777" w:rsidR="001E3079" w:rsidRPr="001E3079" w:rsidRDefault="001E3079" w:rsidP="001E3079">
            <w:pPr>
              <w:spacing w:after="0" w:line="240" w:lineRule="auto"/>
              <w:rPr>
                <w:rFonts w:ascii="Arial" w:hAnsi="Arial" w:cs="Arial"/>
                <w:b/>
                <w:bCs/>
                <w:sz w:val="18"/>
                <w:szCs w:val="18"/>
                <w:lang w:eastAsia="hr-HR"/>
              </w:rPr>
            </w:pPr>
            <w:r w:rsidRPr="001E3079">
              <w:rPr>
                <w:rFonts w:ascii="Arial" w:hAnsi="Arial" w:cs="Arial"/>
                <w:b/>
                <w:bCs/>
                <w:sz w:val="18"/>
                <w:szCs w:val="18"/>
                <w:lang w:eastAsia="hr-HR"/>
              </w:rPr>
              <w:t>UKUPNO RASHODI I IZDATCI</w:t>
            </w:r>
          </w:p>
        </w:tc>
        <w:tc>
          <w:tcPr>
            <w:tcW w:w="1720" w:type="dxa"/>
            <w:tcBorders>
              <w:top w:val="nil"/>
              <w:left w:val="nil"/>
              <w:bottom w:val="nil"/>
              <w:right w:val="nil"/>
            </w:tcBorders>
            <w:shd w:val="clear" w:color="000000" w:fill="C0C0C0"/>
            <w:noWrap/>
            <w:vAlign w:val="bottom"/>
            <w:hideMark/>
          </w:tcPr>
          <w:p w14:paraId="08203A8B" w14:textId="77777777" w:rsidR="001E3079" w:rsidRPr="001E3079" w:rsidRDefault="001E3079" w:rsidP="001E3079">
            <w:pPr>
              <w:spacing w:after="0" w:line="240" w:lineRule="auto"/>
              <w:jc w:val="right"/>
              <w:rPr>
                <w:rFonts w:ascii="Arial" w:hAnsi="Arial" w:cs="Arial"/>
                <w:b/>
                <w:bCs/>
                <w:sz w:val="18"/>
                <w:szCs w:val="18"/>
                <w:lang w:eastAsia="hr-HR"/>
              </w:rPr>
            </w:pPr>
            <w:r w:rsidRPr="001E3079">
              <w:rPr>
                <w:rFonts w:ascii="Arial" w:hAnsi="Arial" w:cs="Arial"/>
                <w:b/>
                <w:bCs/>
                <w:sz w:val="18"/>
                <w:szCs w:val="18"/>
                <w:lang w:eastAsia="hr-HR"/>
              </w:rPr>
              <w:t>13.923.867,52</w:t>
            </w:r>
          </w:p>
        </w:tc>
        <w:tc>
          <w:tcPr>
            <w:tcW w:w="1880" w:type="dxa"/>
            <w:tcBorders>
              <w:top w:val="nil"/>
              <w:left w:val="nil"/>
              <w:bottom w:val="nil"/>
              <w:right w:val="nil"/>
            </w:tcBorders>
            <w:shd w:val="clear" w:color="000000" w:fill="C0C0C0"/>
            <w:noWrap/>
            <w:vAlign w:val="bottom"/>
            <w:hideMark/>
          </w:tcPr>
          <w:p w14:paraId="5772A19D" w14:textId="7A9D6228" w:rsidR="001E3079" w:rsidRPr="001E3079" w:rsidRDefault="001E3079" w:rsidP="001E3079">
            <w:pPr>
              <w:spacing w:after="0" w:line="240" w:lineRule="auto"/>
              <w:jc w:val="right"/>
              <w:rPr>
                <w:rFonts w:ascii="Arial" w:hAnsi="Arial" w:cs="Arial"/>
                <w:b/>
                <w:bCs/>
                <w:sz w:val="18"/>
                <w:szCs w:val="18"/>
                <w:lang w:eastAsia="hr-HR"/>
              </w:rPr>
            </w:pPr>
            <w:r w:rsidRPr="001E3079">
              <w:rPr>
                <w:rFonts w:ascii="Arial" w:hAnsi="Arial" w:cs="Arial"/>
                <w:b/>
                <w:bCs/>
                <w:sz w:val="18"/>
                <w:szCs w:val="18"/>
                <w:lang w:eastAsia="hr-HR"/>
              </w:rPr>
              <w:t>12.</w:t>
            </w:r>
            <w:r w:rsidR="00F05B0E">
              <w:rPr>
                <w:rFonts w:ascii="Arial" w:hAnsi="Arial" w:cs="Arial"/>
                <w:b/>
                <w:bCs/>
                <w:sz w:val="18"/>
                <w:szCs w:val="18"/>
                <w:lang w:eastAsia="hr-HR"/>
              </w:rPr>
              <w:t>812.977,94</w:t>
            </w:r>
          </w:p>
        </w:tc>
        <w:tc>
          <w:tcPr>
            <w:tcW w:w="1540" w:type="dxa"/>
            <w:tcBorders>
              <w:top w:val="nil"/>
              <w:left w:val="nil"/>
              <w:bottom w:val="nil"/>
              <w:right w:val="nil"/>
            </w:tcBorders>
            <w:shd w:val="clear" w:color="000000" w:fill="C0C0C0"/>
            <w:noWrap/>
            <w:vAlign w:val="bottom"/>
            <w:hideMark/>
          </w:tcPr>
          <w:p w14:paraId="63AEE9F0" w14:textId="4CB49AD7" w:rsidR="001E3079" w:rsidRPr="001E3079" w:rsidRDefault="001E3079" w:rsidP="001E3079">
            <w:pPr>
              <w:spacing w:after="0" w:line="240" w:lineRule="auto"/>
              <w:jc w:val="right"/>
              <w:rPr>
                <w:rFonts w:ascii="Arial" w:hAnsi="Arial" w:cs="Arial"/>
                <w:b/>
                <w:bCs/>
                <w:sz w:val="18"/>
                <w:szCs w:val="18"/>
                <w:lang w:eastAsia="hr-HR"/>
              </w:rPr>
            </w:pPr>
            <w:r w:rsidRPr="001E3079">
              <w:rPr>
                <w:rFonts w:ascii="Arial" w:hAnsi="Arial" w:cs="Arial"/>
                <w:b/>
                <w:bCs/>
                <w:sz w:val="18"/>
                <w:szCs w:val="18"/>
                <w:lang w:eastAsia="hr-HR"/>
              </w:rPr>
              <w:t>9</w:t>
            </w:r>
            <w:r w:rsidR="00F05B0E">
              <w:rPr>
                <w:rFonts w:ascii="Arial" w:hAnsi="Arial" w:cs="Arial"/>
                <w:b/>
                <w:bCs/>
                <w:sz w:val="18"/>
                <w:szCs w:val="18"/>
                <w:lang w:eastAsia="hr-HR"/>
              </w:rPr>
              <w:t>2,02</w:t>
            </w:r>
            <w:r w:rsidRPr="001E3079">
              <w:rPr>
                <w:rFonts w:ascii="Arial" w:hAnsi="Arial" w:cs="Arial"/>
                <w:b/>
                <w:bCs/>
                <w:sz w:val="18"/>
                <w:szCs w:val="18"/>
                <w:lang w:eastAsia="hr-HR"/>
              </w:rPr>
              <w:t>%</w:t>
            </w:r>
          </w:p>
        </w:tc>
      </w:tr>
      <w:tr w:rsidR="001E3079" w:rsidRPr="001E3079" w14:paraId="4626AB1E" w14:textId="77777777" w:rsidTr="001E3079">
        <w:trPr>
          <w:trHeight w:val="255"/>
        </w:trPr>
        <w:tc>
          <w:tcPr>
            <w:tcW w:w="2251" w:type="dxa"/>
            <w:tcBorders>
              <w:top w:val="nil"/>
              <w:left w:val="nil"/>
              <w:bottom w:val="nil"/>
              <w:right w:val="nil"/>
            </w:tcBorders>
            <w:shd w:val="clear" w:color="000000" w:fill="203764"/>
            <w:noWrap/>
            <w:vAlign w:val="bottom"/>
            <w:hideMark/>
          </w:tcPr>
          <w:p w14:paraId="7857BA24" w14:textId="77777777" w:rsidR="001E3079" w:rsidRPr="001E3079" w:rsidRDefault="001E3079" w:rsidP="001E3079">
            <w:pPr>
              <w:spacing w:after="0" w:line="240" w:lineRule="auto"/>
              <w:rPr>
                <w:rFonts w:ascii="Arial" w:hAnsi="Arial" w:cs="Arial"/>
                <w:b/>
                <w:bCs/>
                <w:color w:val="FFFFFF"/>
                <w:sz w:val="18"/>
                <w:szCs w:val="18"/>
                <w:lang w:eastAsia="hr-HR"/>
              </w:rPr>
            </w:pPr>
            <w:r w:rsidRPr="001E3079">
              <w:rPr>
                <w:rFonts w:ascii="Arial" w:hAnsi="Arial" w:cs="Arial"/>
                <w:b/>
                <w:bCs/>
                <w:color w:val="FFFFFF"/>
                <w:sz w:val="18"/>
                <w:szCs w:val="18"/>
                <w:lang w:eastAsia="hr-HR"/>
              </w:rPr>
              <w:t>Razdjel</w:t>
            </w:r>
          </w:p>
        </w:tc>
        <w:tc>
          <w:tcPr>
            <w:tcW w:w="729" w:type="dxa"/>
            <w:tcBorders>
              <w:top w:val="nil"/>
              <w:left w:val="nil"/>
              <w:bottom w:val="nil"/>
              <w:right w:val="nil"/>
            </w:tcBorders>
            <w:shd w:val="clear" w:color="000000" w:fill="203764"/>
            <w:noWrap/>
            <w:vAlign w:val="bottom"/>
            <w:hideMark/>
          </w:tcPr>
          <w:p w14:paraId="588D019F" w14:textId="77777777" w:rsidR="001E3079" w:rsidRPr="001E3079" w:rsidRDefault="001E3079" w:rsidP="001E3079">
            <w:pPr>
              <w:spacing w:after="0" w:line="240" w:lineRule="auto"/>
              <w:rPr>
                <w:rFonts w:ascii="Arial" w:hAnsi="Arial" w:cs="Arial"/>
                <w:b/>
                <w:bCs/>
                <w:color w:val="FFFFFF"/>
                <w:sz w:val="18"/>
                <w:szCs w:val="18"/>
                <w:lang w:eastAsia="hr-HR"/>
              </w:rPr>
            </w:pPr>
            <w:r w:rsidRPr="001E3079">
              <w:rPr>
                <w:rFonts w:ascii="Arial" w:hAnsi="Arial" w:cs="Arial"/>
                <w:b/>
                <w:bCs/>
                <w:color w:val="FFFFFF"/>
                <w:sz w:val="18"/>
                <w:szCs w:val="18"/>
                <w:lang w:eastAsia="hr-HR"/>
              </w:rPr>
              <w:t>001</w:t>
            </w:r>
          </w:p>
        </w:tc>
        <w:tc>
          <w:tcPr>
            <w:tcW w:w="6234" w:type="dxa"/>
            <w:tcBorders>
              <w:top w:val="nil"/>
              <w:left w:val="nil"/>
              <w:bottom w:val="nil"/>
              <w:right w:val="nil"/>
            </w:tcBorders>
            <w:shd w:val="clear" w:color="000000" w:fill="203764"/>
            <w:noWrap/>
            <w:vAlign w:val="bottom"/>
            <w:hideMark/>
          </w:tcPr>
          <w:p w14:paraId="3484050F" w14:textId="77777777" w:rsidR="001E3079" w:rsidRPr="001E3079" w:rsidRDefault="001E3079" w:rsidP="001E3079">
            <w:pPr>
              <w:spacing w:after="0" w:line="240" w:lineRule="auto"/>
              <w:rPr>
                <w:rFonts w:ascii="Arial" w:hAnsi="Arial" w:cs="Arial"/>
                <w:b/>
                <w:bCs/>
                <w:color w:val="FFFFFF"/>
                <w:sz w:val="18"/>
                <w:szCs w:val="18"/>
                <w:lang w:eastAsia="hr-HR"/>
              </w:rPr>
            </w:pPr>
            <w:r w:rsidRPr="001E3079">
              <w:rPr>
                <w:rFonts w:ascii="Arial" w:hAnsi="Arial" w:cs="Arial"/>
                <w:b/>
                <w:bCs/>
                <w:color w:val="FFFFFF"/>
                <w:sz w:val="18"/>
                <w:szCs w:val="18"/>
                <w:lang w:eastAsia="hr-HR"/>
              </w:rPr>
              <w:t>GRADSKO VIJEĆE I URED GRADONAČELNIKA</w:t>
            </w:r>
          </w:p>
        </w:tc>
        <w:tc>
          <w:tcPr>
            <w:tcW w:w="1720" w:type="dxa"/>
            <w:tcBorders>
              <w:top w:val="nil"/>
              <w:left w:val="nil"/>
              <w:bottom w:val="nil"/>
              <w:right w:val="nil"/>
            </w:tcBorders>
            <w:shd w:val="clear" w:color="000000" w:fill="203764"/>
            <w:noWrap/>
            <w:vAlign w:val="bottom"/>
            <w:hideMark/>
          </w:tcPr>
          <w:p w14:paraId="47C2D130" w14:textId="77777777" w:rsidR="001E3079" w:rsidRPr="001E3079" w:rsidRDefault="001E3079" w:rsidP="001E3079">
            <w:pPr>
              <w:spacing w:after="0" w:line="240" w:lineRule="auto"/>
              <w:jc w:val="right"/>
              <w:rPr>
                <w:rFonts w:ascii="Arial" w:hAnsi="Arial" w:cs="Arial"/>
                <w:b/>
                <w:bCs/>
                <w:color w:val="FFFFFF"/>
                <w:sz w:val="18"/>
                <w:szCs w:val="18"/>
                <w:lang w:eastAsia="hr-HR"/>
              </w:rPr>
            </w:pPr>
            <w:r w:rsidRPr="001E3079">
              <w:rPr>
                <w:rFonts w:ascii="Arial" w:hAnsi="Arial" w:cs="Arial"/>
                <w:b/>
                <w:bCs/>
                <w:color w:val="FFFFFF"/>
                <w:sz w:val="18"/>
                <w:szCs w:val="18"/>
                <w:lang w:eastAsia="hr-HR"/>
              </w:rPr>
              <w:t>217.410,00</w:t>
            </w:r>
          </w:p>
        </w:tc>
        <w:tc>
          <w:tcPr>
            <w:tcW w:w="1880" w:type="dxa"/>
            <w:tcBorders>
              <w:top w:val="nil"/>
              <w:left w:val="nil"/>
              <w:bottom w:val="nil"/>
              <w:right w:val="nil"/>
            </w:tcBorders>
            <w:shd w:val="clear" w:color="000000" w:fill="203764"/>
            <w:noWrap/>
            <w:vAlign w:val="bottom"/>
            <w:hideMark/>
          </w:tcPr>
          <w:p w14:paraId="17DFF5E2" w14:textId="77777777" w:rsidR="001E3079" w:rsidRPr="001E3079" w:rsidRDefault="001E3079" w:rsidP="001E3079">
            <w:pPr>
              <w:spacing w:after="0" w:line="240" w:lineRule="auto"/>
              <w:jc w:val="right"/>
              <w:rPr>
                <w:rFonts w:ascii="Arial" w:hAnsi="Arial" w:cs="Arial"/>
                <w:b/>
                <w:bCs/>
                <w:color w:val="FFFFFF"/>
                <w:sz w:val="18"/>
                <w:szCs w:val="18"/>
                <w:lang w:eastAsia="hr-HR"/>
              </w:rPr>
            </w:pPr>
            <w:r w:rsidRPr="001E3079">
              <w:rPr>
                <w:rFonts w:ascii="Arial" w:hAnsi="Arial" w:cs="Arial"/>
                <w:b/>
                <w:bCs/>
                <w:color w:val="FFFFFF"/>
                <w:sz w:val="18"/>
                <w:szCs w:val="18"/>
                <w:lang w:eastAsia="hr-HR"/>
              </w:rPr>
              <w:t>169.534,47</w:t>
            </w:r>
          </w:p>
        </w:tc>
        <w:tc>
          <w:tcPr>
            <w:tcW w:w="1540" w:type="dxa"/>
            <w:tcBorders>
              <w:top w:val="nil"/>
              <w:left w:val="nil"/>
              <w:bottom w:val="nil"/>
              <w:right w:val="nil"/>
            </w:tcBorders>
            <w:shd w:val="clear" w:color="000000" w:fill="203764"/>
            <w:noWrap/>
            <w:vAlign w:val="bottom"/>
            <w:hideMark/>
          </w:tcPr>
          <w:p w14:paraId="05E8919B" w14:textId="77777777" w:rsidR="001E3079" w:rsidRPr="001E3079" w:rsidRDefault="001E3079" w:rsidP="001E3079">
            <w:pPr>
              <w:spacing w:after="0" w:line="240" w:lineRule="auto"/>
              <w:jc w:val="right"/>
              <w:rPr>
                <w:rFonts w:ascii="Arial" w:hAnsi="Arial" w:cs="Arial"/>
                <w:b/>
                <w:bCs/>
                <w:color w:val="FFFFFF"/>
                <w:sz w:val="18"/>
                <w:szCs w:val="18"/>
                <w:lang w:eastAsia="hr-HR"/>
              </w:rPr>
            </w:pPr>
            <w:r w:rsidRPr="001E3079">
              <w:rPr>
                <w:rFonts w:ascii="Arial" w:hAnsi="Arial" w:cs="Arial"/>
                <w:b/>
                <w:bCs/>
                <w:color w:val="FFFFFF"/>
                <w:sz w:val="18"/>
                <w:szCs w:val="18"/>
                <w:lang w:eastAsia="hr-HR"/>
              </w:rPr>
              <w:t>77,98%</w:t>
            </w:r>
          </w:p>
        </w:tc>
      </w:tr>
      <w:tr w:rsidR="001E3079" w:rsidRPr="001E3079" w14:paraId="05B82822" w14:textId="77777777" w:rsidTr="001E3079">
        <w:trPr>
          <w:trHeight w:val="255"/>
        </w:trPr>
        <w:tc>
          <w:tcPr>
            <w:tcW w:w="2251" w:type="dxa"/>
            <w:tcBorders>
              <w:top w:val="nil"/>
              <w:left w:val="nil"/>
              <w:bottom w:val="nil"/>
              <w:right w:val="nil"/>
            </w:tcBorders>
            <w:shd w:val="clear" w:color="auto" w:fill="C6D9F1" w:themeFill="text2" w:themeFillTint="33"/>
            <w:noWrap/>
            <w:vAlign w:val="bottom"/>
            <w:hideMark/>
          </w:tcPr>
          <w:p w14:paraId="547F867F" w14:textId="77777777" w:rsidR="001E3079" w:rsidRPr="001E3079" w:rsidRDefault="001E3079" w:rsidP="001E3079">
            <w:pPr>
              <w:spacing w:after="0" w:line="240" w:lineRule="auto"/>
              <w:rPr>
                <w:rFonts w:ascii="Arial" w:hAnsi="Arial" w:cs="Arial"/>
                <w:b/>
                <w:bCs/>
                <w:sz w:val="18"/>
                <w:szCs w:val="18"/>
                <w:lang w:eastAsia="hr-HR"/>
              </w:rPr>
            </w:pPr>
            <w:r w:rsidRPr="001E3079">
              <w:rPr>
                <w:rFonts w:ascii="Arial" w:hAnsi="Arial" w:cs="Arial"/>
                <w:b/>
                <w:bCs/>
                <w:sz w:val="18"/>
                <w:szCs w:val="18"/>
                <w:lang w:eastAsia="hr-HR"/>
              </w:rPr>
              <w:t>Glava</w:t>
            </w:r>
          </w:p>
        </w:tc>
        <w:tc>
          <w:tcPr>
            <w:tcW w:w="729" w:type="dxa"/>
            <w:tcBorders>
              <w:top w:val="nil"/>
              <w:left w:val="nil"/>
              <w:bottom w:val="nil"/>
              <w:right w:val="nil"/>
            </w:tcBorders>
            <w:shd w:val="clear" w:color="auto" w:fill="C6D9F1" w:themeFill="text2" w:themeFillTint="33"/>
            <w:noWrap/>
            <w:vAlign w:val="bottom"/>
            <w:hideMark/>
          </w:tcPr>
          <w:p w14:paraId="3B57A5DB" w14:textId="77777777" w:rsidR="001E3079" w:rsidRPr="001E3079" w:rsidRDefault="001E3079" w:rsidP="001E3079">
            <w:pPr>
              <w:spacing w:after="0" w:line="240" w:lineRule="auto"/>
              <w:rPr>
                <w:rFonts w:ascii="Arial" w:hAnsi="Arial" w:cs="Arial"/>
                <w:b/>
                <w:bCs/>
                <w:sz w:val="18"/>
                <w:szCs w:val="18"/>
                <w:lang w:eastAsia="hr-HR"/>
              </w:rPr>
            </w:pPr>
            <w:r w:rsidRPr="001E3079">
              <w:rPr>
                <w:rFonts w:ascii="Arial" w:hAnsi="Arial" w:cs="Arial"/>
                <w:b/>
                <w:bCs/>
                <w:sz w:val="18"/>
                <w:szCs w:val="18"/>
                <w:lang w:eastAsia="hr-HR"/>
              </w:rPr>
              <w:t>00101</w:t>
            </w:r>
          </w:p>
        </w:tc>
        <w:tc>
          <w:tcPr>
            <w:tcW w:w="6234" w:type="dxa"/>
            <w:tcBorders>
              <w:top w:val="nil"/>
              <w:left w:val="nil"/>
              <w:bottom w:val="nil"/>
              <w:right w:val="nil"/>
            </w:tcBorders>
            <w:shd w:val="clear" w:color="auto" w:fill="C6D9F1" w:themeFill="text2" w:themeFillTint="33"/>
            <w:noWrap/>
            <w:vAlign w:val="bottom"/>
            <w:hideMark/>
          </w:tcPr>
          <w:p w14:paraId="2C8295BB" w14:textId="77777777" w:rsidR="001E3079" w:rsidRPr="001E3079" w:rsidRDefault="001E3079" w:rsidP="001E3079">
            <w:pPr>
              <w:spacing w:after="0" w:line="240" w:lineRule="auto"/>
              <w:rPr>
                <w:rFonts w:ascii="Arial" w:hAnsi="Arial" w:cs="Arial"/>
                <w:b/>
                <w:bCs/>
                <w:sz w:val="18"/>
                <w:szCs w:val="18"/>
                <w:lang w:eastAsia="hr-HR"/>
              </w:rPr>
            </w:pPr>
            <w:r w:rsidRPr="001E3079">
              <w:rPr>
                <w:rFonts w:ascii="Arial" w:hAnsi="Arial" w:cs="Arial"/>
                <w:b/>
                <w:bCs/>
                <w:sz w:val="18"/>
                <w:szCs w:val="18"/>
                <w:lang w:eastAsia="hr-HR"/>
              </w:rPr>
              <w:t>GRADSKO VIJEĆE</w:t>
            </w:r>
          </w:p>
        </w:tc>
        <w:tc>
          <w:tcPr>
            <w:tcW w:w="1720" w:type="dxa"/>
            <w:tcBorders>
              <w:top w:val="nil"/>
              <w:left w:val="nil"/>
              <w:bottom w:val="nil"/>
              <w:right w:val="nil"/>
            </w:tcBorders>
            <w:shd w:val="clear" w:color="auto" w:fill="C6D9F1" w:themeFill="text2" w:themeFillTint="33"/>
            <w:noWrap/>
            <w:vAlign w:val="bottom"/>
            <w:hideMark/>
          </w:tcPr>
          <w:p w14:paraId="28B6F23D" w14:textId="77777777" w:rsidR="001E3079" w:rsidRPr="001E3079" w:rsidRDefault="001E3079" w:rsidP="001E3079">
            <w:pPr>
              <w:spacing w:after="0" w:line="240" w:lineRule="auto"/>
              <w:jc w:val="right"/>
              <w:rPr>
                <w:rFonts w:ascii="Arial" w:hAnsi="Arial" w:cs="Arial"/>
                <w:b/>
                <w:bCs/>
                <w:sz w:val="18"/>
                <w:szCs w:val="18"/>
                <w:lang w:eastAsia="hr-HR"/>
              </w:rPr>
            </w:pPr>
            <w:r w:rsidRPr="001E3079">
              <w:rPr>
                <w:rFonts w:ascii="Arial" w:hAnsi="Arial" w:cs="Arial"/>
                <w:b/>
                <w:bCs/>
                <w:sz w:val="18"/>
                <w:szCs w:val="18"/>
                <w:lang w:eastAsia="hr-HR"/>
              </w:rPr>
              <w:t>103.320,00</w:t>
            </w:r>
          </w:p>
        </w:tc>
        <w:tc>
          <w:tcPr>
            <w:tcW w:w="1880" w:type="dxa"/>
            <w:tcBorders>
              <w:top w:val="nil"/>
              <w:left w:val="nil"/>
              <w:bottom w:val="nil"/>
              <w:right w:val="nil"/>
            </w:tcBorders>
            <w:shd w:val="clear" w:color="auto" w:fill="C6D9F1" w:themeFill="text2" w:themeFillTint="33"/>
            <w:noWrap/>
            <w:vAlign w:val="bottom"/>
            <w:hideMark/>
          </w:tcPr>
          <w:p w14:paraId="0D77D6B2" w14:textId="77777777" w:rsidR="001E3079" w:rsidRPr="001E3079" w:rsidRDefault="001E3079" w:rsidP="001E3079">
            <w:pPr>
              <w:spacing w:after="0" w:line="240" w:lineRule="auto"/>
              <w:jc w:val="right"/>
              <w:rPr>
                <w:rFonts w:ascii="Arial" w:hAnsi="Arial" w:cs="Arial"/>
                <w:b/>
                <w:bCs/>
                <w:sz w:val="18"/>
                <w:szCs w:val="18"/>
                <w:lang w:eastAsia="hr-HR"/>
              </w:rPr>
            </w:pPr>
            <w:r w:rsidRPr="001E3079">
              <w:rPr>
                <w:rFonts w:ascii="Arial" w:hAnsi="Arial" w:cs="Arial"/>
                <w:b/>
                <w:bCs/>
                <w:sz w:val="18"/>
                <w:szCs w:val="18"/>
                <w:lang w:eastAsia="hr-HR"/>
              </w:rPr>
              <w:t>69.468,09</w:t>
            </w:r>
          </w:p>
        </w:tc>
        <w:tc>
          <w:tcPr>
            <w:tcW w:w="1540" w:type="dxa"/>
            <w:tcBorders>
              <w:top w:val="nil"/>
              <w:left w:val="nil"/>
              <w:bottom w:val="nil"/>
              <w:right w:val="nil"/>
            </w:tcBorders>
            <w:shd w:val="clear" w:color="auto" w:fill="C6D9F1" w:themeFill="text2" w:themeFillTint="33"/>
            <w:noWrap/>
            <w:vAlign w:val="bottom"/>
            <w:hideMark/>
          </w:tcPr>
          <w:p w14:paraId="4974178C" w14:textId="77777777" w:rsidR="001E3079" w:rsidRPr="001E3079" w:rsidRDefault="001E3079" w:rsidP="001E3079">
            <w:pPr>
              <w:spacing w:after="0" w:line="240" w:lineRule="auto"/>
              <w:jc w:val="right"/>
              <w:rPr>
                <w:rFonts w:ascii="Arial" w:hAnsi="Arial" w:cs="Arial"/>
                <w:b/>
                <w:bCs/>
                <w:sz w:val="18"/>
                <w:szCs w:val="18"/>
                <w:lang w:eastAsia="hr-HR"/>
              </w:rPr>
            </w:pPr>
            <w:r w:rsidRPr="001E3079">
              <w:rPr>
                <w:rFonts w:ascii="Arial" w:hAnsi="Arial" w:cs="Arial"/>
                <w:b/>
                <w:bCs/>
                <w:sz w:val="18"/>
                <w:szCs w:val="18"/>
                <w:lang w:eastAsia="hr-HR"/>
              </w:rPr>
              <w:t>67,24%</w:t>
            </w:r>
          </w:p>
        </w:tc>
      </w:tr>
      <w:tr w:rsidR="001E3079" w:rsidRPr="001E3079" w14:paraId="10151ADC" w14:textId="77777777" w:rsidTr="001E3079">
        <w:trPr>
          <w:trHeight w:val="255"/>
        </w:trPr>
        <w:tc>
          <w:tcPr>
            <w:tcW w:w="2251" w:type="dxa"/>
            <w:tcBorders>
              <w:top w:val="nil"/>
              <w:left w:val="nil"/>
              <w:bottom w:val="nil"/>
              <w:right w:val="nil"/>
            </w:tcBorders>
            <w:shd w:val="clear" w:color="auto" w:fill="auto"/>
            <w:noWrap/>
            <w:vAlign w:val="bottom"/>
            <w:hideMark/>
          </w:tcPr>
          <w:p w14:paraId="04E864C4" w14:textId="77777777" w:rsidR="001E3079" w:rsidRPr="001E3079" w:rsidRDefault="001E3079" w:rsidP="001E3079">
            <w:pPr>
              <w:spacing w:after="0" w:line="240" w:lineRule="auto"/>
              <w:rPr>
                <w:rFonts w:ascii="Arial" w:hAnsi="Arial" w:cs="Arial"/>
                <w:sz w:val="18"/>
                <w:szCs w:val="18"/>
                <w:lang w:eastAsia="hr-HR"/>
              </w:rPr>
            </w:pPr>
            <w:r w:rsidRPr="001E3079">
              <w:rPr>
                <w:rFonts w:ascii="Arial" w:hAnsi="Arial" w:cs="Arial"/>
                <w:sz w:val="18"/>
                <w:szCs w:val="18"/>
                <w:lang w:eastAsia="hr-HR"/>
              </w:rPr>
              <w:t>Proračunski korisnik</w:t>
            </w:r>
          </w:p>
        </w:tc>
        <w:tc>
          <w:tcPr>
            <w:tcW w:w="729" w:type="dxa"/>
            <w:tcBorders>
              <w:top w:val="nil"/>
              <w:left w:val="nil"/>
              <w:bottom w:val="nil"/>
              <w:right w:val="nil"/>
            </w:tcBorders>
            <w:shd w:val="clear" w:color="auto" w:fill="auto"/>
            <w:noWrap/>
            <w:vAlign w:val="bottom"/>
            <w:hideMark/>
          </w:tcPr>
          <w:p w14:paraId="626E6075" w14:textId="77777777" w:rsidR="001E3079" w:rsidRPr="001E3079" w:rsidRDefault="001E3079" w:rsidP="001E3079">
            <w:pPr>
              <w:spacing w:after="0" w:line="240" w:lineRule="auto"/>
              <w:rPr>
                <w:rFonts w:ascii="Arial" w:hAnsi="Arial" w:cs="Arial"/>
                <w:sz w:val="18"/>
                <w:szCs w:val="18"/>
                <w:lang w:eastAsia="hr-HR"/>
              </w:rPr>
            </w:pPr>
            <w:r w:rsidRPr="001E3079">
              <w:rPr>
                <w:rFonts w:ascii="Arial" w:hAnsi="Arial" w:cs="Arial"/>
                <w:sz w:val="18"/>
                <w:szCs w:val="18"/>
                <w:lang w:eastAsia="hr-HR"/>
              </w:rPr>
              <w:t>01</w:t>
            </w:r>
          </w:p>
        </w:tc>
        <w:tc>
          <w:tcPr>
            <w:tcW w:w="6234" w:type="dxa"/>
            <w:tcBorders>
              <w:top w:val="nil"/>
              <w:left w:val="nil"/>
              <w:bottom w:val="nil"/>
              <w:right w:val="nil"/>
            </w:tcBorders>
            <w:shd w:val="clear" w:color="auto" w:fill="auto"/>
            <w:noWrap/>
            <w:vAlign w:val="bottom"/>
            <w:hideMark/>
          </w:tcPr>
          <w:p w14:paraId="3F775D9E" w14:textId="77777777" w:rsidR="001E3079" w:rsidRPr="001E3079" w:rsidRDefault="001E3079" w:rsidP="001E3079">
            <w:pPr>
              <w:spacing w:after="0" w:line="240" w:lineRule="auto"/>
              <w:rPr>
                <w:rFonts w:ascii="Arial" w:hAnsi="Arial" w:cs="Arial"/>
                <w:sz w:val="18"/>
                <w:szCs w:val="18"/>
                <w:lang w:eastAsia="hr-HR"/>
              </w:rPr>
            </w:pPr>
            <w:r w:rsidRPr="001E3079">
              <w:rPr>
                <w:rFonts w:ascii="Arial" w:hAnsi="Arial" w:cs="Arial"/>
                <w:sz w:val="18"/>
                <w:szCs w:val="18"/>
                <w:lang w:eastAsia="hr-HR"/>
              </w:rPr>
              <w:t>GRADSKO VIJEĆE</w:t>
            </w:r>
          </w:p>
        </w:tc>
        <w:tc>
          <w:tcPr>
            <w:tcW w:w="1720" w:type="dxa"/>
            <w:tcBorders>
              <w:top w:val="nil"/>
              <w:left w:val="nil"/>
              <w:bottom w:val="nil"/>
              <w:right w:val="nil"/>
            </w:tcBorders>
            <w:shd w:val="clear" w:color="auto" w:fill="auto"/>
            <w:noWrap/>
            <w:vAlign w:val="bottom"/>
            <w:hideMark/>
          </w:tcPr>
          <w:p w14:paraId="614F4C90" w14:textId="77777777" w:rsidR="001E3079" w:rsidRPr="001E3079" w:rsidRDefault="001E3079" w:rsidP="001E3079">
            <w:pPr>
              <w:spacing w:after="0" w:line="240" w:lineRule="auto"/>
              <w:jc w:val="right"/>
              <w:rPr>
                <w:rFonts w:ascii="Arial" w:hAnsi="Arial" w:cs="Arial"/>
                <w:sz w:val="18"/>
                <w:szCs w:val="18"/>
                <w:lang w:eastAsia="hr-HR"/>
              </w:rPr>
            </w:pPr>
            <w:r w:rsidRPr="001E3079">
              <w:rPr>
                <w:rFonts w:ascii="Arial" w:hAnsi="Arial" w:cs="Arial"/>
                <w:sz w:val="18"/>
                <w:szCs w:val="18"/>
                <w:lang w:eastAsia="hr-HR"/>
              </w:rPr>
              <w:t>103.320,00</w:t>
            </w:r>
          </w:p>
        </w:tc>
        <w:tc>
          <w:tcPr>
            <w:tcW w:w="1880" w:type="dxa"/>
            <w:tcBorders>
              <w:top w:val="nil"/>
              <w:left w:val="nil"/>
              <w:bottom w:val="nil"/>
              <w:right w:val="nil"/>
            </w:tcBorders>
            <w:shd w:val="clear" w:color="auto" w:fill="auto"/>
            <w:noWrap/>
            <w:vAlign w:val="bottom"/>
            <w:hideMark/>
          </w:tcPr>
          <w:p w14:paraId="3A392C2B" w14:textId="77777777" w:rsidR="001E3079" w:rsidRPr="001E3079" w:rsidRDefault="001E3079" w:rsidP="001E3079">
            <w:pPr>
              <w:spacing w:after="0" w:line="240" w:lineRule="auto"/>
              <w:jc w:val="right"/>
              <w:rPr>
                <w:rFonts w:ascii="Arial" w:hAnsi="Arial" w:cs="Arial"/>
                <w:sz w:val="18"/>
                <w:szCs w:val="18"/>
                <w:lang w:eastAsia="hr-HR"/>
              </w:rPr>
            </w:pPr>
            <w:r w:rsidRPr="001E3079">
              <w:rPr>
                <w:rFonts w:ascii="Arial" w:hAnsi="Arial" w:cs="Arial"/>
                <w:sz w:val="18"/>
                <w:szCs w:val="18"/>
                <w:lang w:eastAsia="hr-HR"/>
              </w:rPr>
              <w:t>69.468,09</w:t>
            </w:r>
          </w:p>
        </w:tc>
        <w:tc>
          <w:tcPr>
            <w:tcW w:w="1540" w:type="dxa"/>
            <w:tcBorders>
              <w:top w:val="nil"/>
              <w:left w:val="nil"/>
              <w:bottom w:val="nil"/>
              <w:right w:val="nil"/>
            </w:tcBorders>
            <w:shd w:val="clear" w:color="auto" w:fill="auto"/>
            <w:noWrap/>
            <w:vAlign w:val="bottom"/>
            <w:hideMark/>
          </w:tcPr>
          <w:p w14:paraId="3E605120" w14:textId="77777777" w:rsidR="001E3079" w:rsidRPr="001E3079" w:rsidRDefault="001E3079" w:rsidP="001E3079">
            <w:pPr>
              <w:spacing w:after="0" w:line="240" w:lineRule="auto"/>
              <w:jc w:val="right"/>
              <w:rPr>
                <w:rFonts w:ascii="Arial" w:hAnsi="Arial" w:cs="Arial"/>
                <w:sz w:val="18"/>
                <w:szCs w:val="18"/>
                <w:lang w:eastAsia="hr-HR"/>
              </w:rPr>
            </w:pPr>
            <w:r w:rsidRPr="001E3079">
              <w:rPr>
                <w:rFonts w:ascii="Arial" w:hAnsi="Arial" w:cs="Arial"/>
                <w:sz w:val="18"/>
                <w:szCs w:val="18"/>
                <w:lang w:eastAsia="hr-HR"/>
              </w:rPr>
              <w:t>67,24%</w:t>
            </w:r>
          </w:p>
        </w:tc>
      </w:tr>
      <w:tr w:rsidR="001E3079" w:rsidRPr="001E3079" w14:paraId="4DB9118E" w14:textId="77777777" w:rsidTr="001E3079">
        <w:trPr>
          <w:trHeight w:val="255"/>
        </w:trPr>
        <w:tc>
          <w:tcPr>
            <w:tcW w:w="2251" w:type="dxa"/>
            <w:tcBorders>
              <w:top w:val="nil"/>
              <w:left w:val="nil"/>
              <w:bottom w:val="nil"/>
              <w:right w:val="nil"/>
            </w:tcBorders>
            <w:shd w:val="clear" w:color="auto" w:fill="auto"/>
            <w:noWrap/>
            <w:vAlign w:val="bottom"/>
            <w:hideMark/>
          </w:tcPr>
          <w:p w14:paraId="14B4226C" w14:textId="77777777" w:rsidR="001E3079" w:rsidRPr="001E3079" w:rsidRDefault="001E3079" w:rsidP="001E3079">
            <w:pPr>
              <w:spacing w:after="0" w:line="240" w:lineRule="auto"/>
              <w:rPr>
                <w:rFonts w:ascii="Arial" w:hAnsi="Arial" w:cs="Arial"/>
                <w:b/>
                <w:bCs/>
                <w:sz w:val="18"/>
                <w:szCs w:val="18"/>
                <w:lang w:eastAsia="hr-HR"/>
              </w:rPr>
            </w:pPr>
            <w:r w:rsidRPr="001E3079">
              <w:rPr>
                <w:rFonts w:ascii="Arial" w:hAnsi="Arial" w:cs="Arial"/>
                <w:b/>
                <w:bCs/>
                <w:sz w:val="18"/>
                <w:szCs w:val="18"/>
                <w:lang w:eastAsia="hr-HR"/>
              </w:rPr>
              <w:t>Glava</w:t>
            </w:r>
          </w:p>
        </w:tc>
        <w:tc>
          <w:tcPr>
            <w:tcW w:w="729" w:type="dxa"/>
            <w:tcBorders>
              <w:top w:val="nil"/>
              <w:left w:val="nil"/>
              <w:bottom w:val="nil"/>
              <w:right w:val="nil"/>
            </w:tcBorders>
            <w:shd w:val="clear" w:color="auto" w:fill="auto"/>
            <w:noWrap/>
            <w:vAlign w:val="bottom"/>
            <w:hideMark/>
          </w:tcPr>
          <w:p w14:paraId="5D993B0F" w14:textId="77777777" w:rsidR="001E3079" w:rsidRPr="001E3079" w:rsidRDefault="001E3079" w:rsidP="001E3079">
            <w:pPr>
              <w:spacing w:after="0" w:line="240" w:lineRule="auto"/>
              <w:rPr>
                <w:rFonts w:ascii="Arial" w:hAnsi="Arial" w:cs="Arial"/>
                <w:b/>
                <w:bCs/>
                <w:sz w:val="18"/>
                <w:szCs w:val="18"/>
                <w:lang w:eastAsia="hr-HR"/>
              </w:rPr>
            </w:pPr>
            <w:r w:rsidRPr="001E3079">
              <w:rPr>
                <w:rFonts w:ascii="Arial" w:hAnsi="Arial" w:cs="Arial"/>
                <w:b/>
                <w:bCs/>
                <w:sz w:val="18"/>
                <w:szCs w:val="18"/>
                <w:lang w:eastAsia="hr-HR"/>
              </w:rPr>
              <w:t>00102</w:t>
            </w:r>
          </w:p>
        </w:tc>
        <w:tc>
          <w:tcPr>
            <w:tcW w:w="6234" w:type="dxa"/>
            <w:tcBorders>
              <w:top w:val="nil"/>
              <w:left w:val="nil"/>
              <w:bottom w:val="nil"/>
              <w:right w:val="nil"/>
            </w:tcBorders>
            <w:shd w:val="clear" w:color="auto" w:fill="auto"/>
            <w:noWrap/>
            <w:vAlign w:val="bottom"/>
            <w:hideMark/>
          </w:tcPr>
          <w:p w14:paraId="5A7BA6A2" w14:textId="77777777" w:rsidR="001E3079" w:rsidRPr="001E3079" w:rsidRDefault="001E3079" w:rsidP="001E3079">
            <w:pPr>
              <w:spacing w:after="0" w:line="240" w:lineRule="auto"/>
              <w:rPr>
                <w:rFonts w:ascii="Arial" w:hAnsi="Arial" w:cs="Arial"/>
                <w:b/>
                <w:bCs/>
                <w:sz w:val="18"/>
                <w:szCs w:val="18"/>
                <w:lang w:eastAsia="hr-HR"/>
              </w:rPr>
            </w:pPr>
            <w:r w:rsidRPr="001E3079">
              <w:rPr>
                <w:rFonts w:ascii="Arial" w:hAnsi="Arial" w:cs="Arial"/>
                <w:b/>
                <w:bCs/>
                <w:sz w:val="18"/>
                <w:szCs w:val="18"/>
                <w:lang w:eastAsia="hr-HR"/>
              </w:rPr>
              <w:t>URED GRADONAČELNIKA</w:t>
            </w:r>
          </w:p>
        </w:tc>
        <w:tc>
          <w:tcPr>
            <w:tcW w:w="1720" w:type="dxa"/>
            <w:tcBorders>
              <w:top w:val="nil"/>
              <w:left w:val="nil"/>
              <w:bottom w:val="nil"/>
              <w:right w:val="nil"/>
            </w:tcBorders>
            <w:shd w:val="clear" w:color="auto" w:fill="auto"/>
            <w:noWrap/>
            <w:vAlign w:val="bottom"/>
            <w:hideMark/>
          </w:tcPr>
          <w:p w14:paraId="54B47C2D" w14:textId="77777777" w:rsidR="001E3079" w:rsidRPr="001E3079" w:rsidRDefault="001E3079" w:rsidP="001E3079">
            <w:pPr>
              <w:spacing w:after="0" w:line="240" w:lineRule="auto"/>
              <w:jc w:val="right"/>
              <w:rPr>
                <w:rFonts w:ascii="Arial" w:hAnsi="Arial" w:cs="Arial"/>
                <w:b/>
                <w:bCs/>
                <w:sz w:val="18"/>
                <w:szCs w:val="18"/>
                <w:lang w:eastAsia="hr-HR"/>
              </w:rPr>
            </w:pPr>
            <w:r w:rsidRPr="001E3079">
              <w:rPr>
                <w:rFonts w:ascii="Arial" w:hAnsi="Arial" w:cs="Arial"/>
                <w:b/>
                <w:bCs/>
                <w:sz w:val="18"/>
                <w:szCs w:val="18"/>
                <w:lang w:eastAsia="hr-HR"/>
              </w:rPr>
              <w:t>114.090,00</w:t>
            </w:r>
          </w:p>
        </w:tc>
        <w:tc>
          <w:tcPr>
            <w:tcW w:w="1880" w:type="dxa"/>
            <w:tcBorders>
              <w:top w:val="nil"/>
              <w:left w:val="nil"/>
              <w:bottom w:val="nil"/>
              <w:right w:val="nil"/>
            </w:tcBorders>
            <w:shd w:val="clear" w:color="auto" w:fill="auto"/>
            <w:noWrap/>
            <w:vAlign w:val="bottom"/>
            <w:hideMark/>
          </w:tcPr>
          <w:p w14:paraId="2B0CB6B2" w14:textId="77777777" w:rsidR="001E3079" w:rsidRPr="001E3079" w:rsidRDefault="001E3079" w:rsidP="001E3079">
            <w:pPr>
              <w:spacing w:after="0" w:line="240" w:lineRule="auto"/>
              <w:jc w:val="right"/>
              <w:rPr>
                <w:rFonts w:ascii="Arial" w:hAnsi="Arial" w:cs="Arial"/>
                <w:b/>
                <w:bCs/>
                <w:sz w:val="18"/>
                <w:szCs w:val="18"/>
                <w:lang w:eastAsia="hr-HR"/>
              </w:rPr>
            </w:pPr>
            <w:r w:rsidRPr="001E3079">
              <w:rPr>
                <w:rFonts w:ascii="Arial" w:hAnsi="Arial" w:cs="Arial"/>
                <w:b/>
                <w:bCs/>
                <w:sz w:val="18"/>
                <w:szCs w:val="18"/>
                <w:lang w:eastAsia="hr-HR"/>
              </w:rPr>
              <w:t>100.066,38</w:t>
            </w:r>
          </w:p>
        </w:tc>
        <w:tc>
          <w:tcPr>
            <w:tcW w:w="1540" w:type="dxa"/>
            <w:tcBorders>
              <w:top w:val="nil"/>
              <w:left w:val="nil"/>
              <w:bottom w:val="nil"/>
              <w:right w:val="nil"/>
            </w:tcBorders>
            <w:shd w:val="clear" w:color="auto" w:fill="auto"/>
            <w:noWrap/>
            <w:vAlign w:val="bottom"/>
            <w:hideMark/>
          </w:tcPr>
          <w:p w14:paraId="21C9972B" w14:textId="77777777" w:rsidR="001E3079" w:rsidRPr="001E3079" w:rsidRDefault="001E3079" w:rsidP="001E3079">
            <w:pPr>
              <w:spacing w:after="0" w:line="240" w:lineRule="auto"/>
              <w:jc w:val="right"/>
              <w:rPr>
                <w:rFonts w:ascii="Arial" w:hAnsi="Arial" w:cs="Arial"/>
                <w:b/>
                <w:bCs/>
                <w:sz w:val="18"/>
                <w:szCs w:val="18"/>
                <w:lang w:eastAsia="hr-HR"/>
              </w:rPr>
            </w:pPr>
            <w:r w:rsidRPr="001E3079">
              <w:rPr>
                <w:rFonts w:ascii="Arial" w:hAnsi="Arial" w:cs="Arial"/>
                <w:b/>
                <w:bCs/>
                <w:sz w:val="18"/>
                <w:szCs w:val="18"/>
                <w:lang w:eastAsia="hr-HR"/>
              </w:rPr>
              <w:t>87,71%</w:t>
            </w:r>
          </w:p>
        </w:tc>
      </w:tr>
      <w:tr w:rsidR="001E3079" w:rsidRPr="001E3079" w14:paraId="2FEC297D" w14:textId="77777777" w:rsidTr="001E3079">
        <w:trPr>
          <w:trHeight w:val="255"/>
        </w:trPr>
        <w:tc>
          <w:tcPr>
            <w:tcW w:w="2251" w:type="dxa"/>
            <w:tcBorders>
              <w:top w:val="nil"/>
              <w:left w:val="nil"/>
              <w:bottom w:val="nil"/>
              <w:right w:val="nil"/>
            </w:tcBorders>
            <w:shd w:val="clear" w:color="auto" w:fill="auto"/>
            <w:noWrap/>
            <w:vAlign w:val="bottom"/>
            <w:hideMark/>
          </w:tcPr>
          <w:p w14:paraId="4FE3529F" w14:textId="77777777" w:rsidR="001E3079" w:rsidRPr="001E3079" w:rsidRDefault="001E3079" w:rsidP="001E3079">
            <w:pPr>
              <w:spacing w:after="0" w:line="240" w:lineRule="auto"/>
              <w:rPr>
                <w:rFonts w:ascii="Arial" w:hAnsi="Arial" w:cs="Arial"/>
                <w:sz w:val="18"/>
                <w:szCs w:val="18"/>
                <w:lang w:eastAsia="hr-HR"/>
              </w:rPr>
            </w:pPr>
            <w:r w:rsidRPr="001E3079">
              <w:rPr>
                <w:rFonts w:ascii="Arial" w:hAnsi="Arial" w:cs="Arial"/>
                <w:sz w:val="18"/>
                <w:szCs w:val="18"/>
                <w:lang w:eastAsia="hr-HR"/>
              </w:rPr>
              <w:t>Proračunski korisnik</w:t>
            </w:r>
          </w:p>
        </w:tc>
        <w:tc>
          <w:tcPr>
            <w:tcW w:w="729" w:type="dxa"/>
            <w:tcBorders>
              <w:top w:val="nil"/>
              <w:left w:val="nil"/>
              <w:bottom w:val="nil"/>
              <w:right w:val="nil"/>
            </w:tcBorders>
            <w:shd w:val="clear" w:color="auto" w:fill="auto"/>
            <w:noWrap/>
            <w:vAlign w:val="bottom"/>
            <w:hideMark/>
          </w:tcPr>
          <w:p w14:paraId="5EE57607" w14:textId="77777777" w:rsidR="001E3079" w:rsidRPr="001E3079" w:rsidRDefault="001E3079" w:rsidP="001E3079">
            <w:pPr>
              <w:spacing w:after="0" w:line="240" w:lineRule="auto"/>
              <w:rPr>
                <w:rFonts w:ascii="Arial" w:hAnsi="Arial" w:cs="Arial"/>
                <w:sz w:val="18"/>
                <w:szCs w:val="18"/>
                <w:lang w:eastAsia="hr-HR"/>
              </w:rPr>
            </w:pPr>
            <w:r w:rsidRPr="001E3079">
              <w:rPr>
                <w:rFonts w:ascii="Arial" w:hAnsi="Arial" w:cs="Arial"/>
                <w:sz w:val="18"/>
                <w:szCs w:val="18"/>
                <w:lang w:eastAsia="hr-HR"/>
              </w:rPr>
              <w:t>02</w:t>
            </w:r>
          </w:p>
        </w:tc>
        <w:tc>
          <w:tcPr>
            <w:tcW w:w="6234" w:type="dxa"/>
            <w:tcBorders>
              <w:top w:val="nil"/>
              <w:left w:val="nil"/>
              <w:bottom w:val="nil"/>
              <w:right w:val="nil"/>
            </w:tcBorders>
            <w:shd w:val="clear" w:color="auto" w:fill="auto"/>
            <w:noWrap/>
            <w:vAlign w:val="bottom"/>
            <w:hideMark/>
          </w:tcPr>
          <w:p w14:paraId="23EDC356" w14:textId="77777777" w:rsidR="001E3079" w:rsidRPr="001E3079" w:rsidRDefault="001E3079" w:rsidP="001E3079">
            <w:pPr>
              <w:spacing w:after="0" w:line="240" w:lineRule="auto"/>
              <w:rPr>
                <w:rFonts w:ascii="Arial" w:hAnsi="Arial" w:cs="Arial"/>
                <w:sz w:val="18"/>
                <w:szCs w:val="18"/>
                <w:lang w:eastAsia="hr-HR"/>
              </w:rPr>
            </w:pPr>
            <w:r w:rsidRPr="001E3079">
              <w:rPr>
                <w:rFonts w:ascii="Arial" w:hAnsi="Arial" w:cs="Arial"/>
                <w:sz w:val="18"/>
                <w:szCs w:val="18"/>
                <w:lang w:eastAsia="hr-HR"/>
              </w:rPr>
              <w:t>URED GRADONAČELNIKA</w:t>
            </w:r>
          </w:p>
        </w:tc>
        <w:tc>
          <w:tcPr>
            <w:tcW w:w="1720" w:type="dxa"/>
            <w:tcBorders>
              <w:top w:val="nil"/>
              <w:left w:val="nil"/>
              <w:bottom w:val="nil"/>
              <w:right w:val="nil"/>
            </w:tcBorders>
            <w:shd w:val="clear" w:color="auto" w:fill="auto"/>
            <w:noWrap/>
            <w:vAlign w:val="bottom"/>
            <w:hideMark/>
          </w:tcPr>
          <w:p w14:paraId="736B7715" w14:textId="77777777" w:rsidR="001E3079" w:rsidRPr="001E3079" w:rsidRDefault="001E3079" w:rsidP="001E3079">
            <w:pPr>
              <w:spacing w:after="0" w:line="240" w:lineRule="auto"/>
              <w:jc w:val="right"/>
              <w:rPr>
                <w:rFonts w:ascii="Arial" w:hAnsi="Arial" w:cs="Arial"/>
                <w:sz w:val="18"/>
                <w:szCs w:val="18"/>
                <w:lang w:eastAsia="hr-HR"/>
              </w:rPr>
            </w:pPr>
            <w:r w:rsidRPr="001E3079">
              <w:rPr>
                <w:rFonts w:ascii="Arial" w:hAnsi="Arial" w:cs="Arial"/>
                <w:sz w:val="18"/>
                <w:szCs w:val="18"/>
                <w:lang w:eastAsia="hr-HR"/>
              </w:rPr>
              <w:t>114.090,00</w:t>
            </w:r>
          </w:p>
        </w:tc>
        <w:tc>
          <w:tcPr>
            <w:tcW w:w="1880" w:type="dxa"/>
            <w:tcBorders>
              <w:top w:val="nil"/>
              <w:left w:val="nil"/>
              <w:bottom w:val="nil"/>
              <w:right w:val="nil"/>
            </w:tcBorders>
            <w:shd w:val="clear" w:color="auto" w:fill="auto"/>
            <w:noWrap/>
            <w:vAlign w:val="bottom"/>
            <w:hideMark/>
          </w:tcPr>
          <w:p w14:paraId="7CC44D59" w14:textId="77777777" w:rsidR="001E3079" w:rsidRPr="001E3079" w:rsidRDefault="001E3079" w:rsidP="001E3079">
            <w:pPr>
              <w:spacing w:after="0" w:line="240" w:lineRule="auto"/>
              <w:jc w:val="right"/>
              <w:rPr>
                <w:rFonts w:ascii="Arial" w:hAnsi="Arial" w:cs="Arial"/>
                <w:sz w:val="18"/>
                <w:szCs w:val="18"/>
                <w:lang w:eastAsia="hr-HR"/>
              </w:rPr>
            </w:pPr>
            <w:r w:rsidRPr="001E3079">
              <w:rPr>
                <w:rFonts w:ascii="Arial" w:hAnsi="Arial" w:cs="Arial"/>
                <w:sz w:val="18"/>
                <w:szCs w:val="18"/>
                <w:lang w:eastAsia="hr-HR"/>
              </w:rPr>
              <w:t>100.066,38</w:t>
            </w:r>
          </w:p>
        </w:tc>
        <w:tc>
          <w:tcPr>
            <w:tcW w:w="1540" w:type="dxa"/>
            <w:tcBorders>
              <w:top w:val="nil"/>
              <w:left w:val="nil"/>
              <w:bottom w:val="nil"/>
              <w:right w:val="nil"/>
            </w:tcBorders>
            <w:shd w:val="clear" w:color="auto" w:fill="auto"/>
            <w:noWrap/>
            <w:vAlign w:val="bottom"/>
            <w:hideMark/>
          </w:tcPr>
          <w:p w14:paraId="11D83EC1" w14:textId="77777777" w:rsidR="001E3079" w:rsidRPr="001E3079" w:rsidRDefault="001E3079" w:rsidP="001E3079">
            <w:pPr>
              <w:spacing w:after="0" w:line="240" w:lineRule="auto"/>
              <w:jc w:val="right"/>
              <w:rPr>
                <w:rFonts w:ascii="Arial" w:hAnsi="Arial" w:cs="Arial"/>
                <w:sz w:val="18"/>
                <w:szCs w:val="18"/>
                <w:lang w:eastAsia="hr-HR"/>
              </w:rPr>
            </w:pPr>
            <w:r w:rsidRPr="001E3079">
              <w:rPr>
                <w:rFonts w:ascii="Arial" w:hAnsi="Arial" w:cs="Arial"/>
                <w:sz w:val="18"/>
                <w:szCs w:val="18"/>
                <w:lang w:eastAsia="hr-HR"/>
              </w:rPr>
              <w:t>87,71%</w:t>
            </w:r>
          </w:p>
        </w:tc>
      </w:tr>
      <w:tr w:rsidR="001E3079" w:rsidRPr="001E3079" w14:paraId="4FDE65AF" w14:textId="77777777" w:rsidTr="001E3079">
        <w:trPr>
          <w:trHeight w:val="255"/>
        </w:trPr>
        <w:tc>
          <w:tcPr>
            <w:tcW w:w="2251" w:type="dxa"/>
            <w:tcBorders>
              <w:top w:val="nil"/>
              <w:left w:val="nil"/>
              <w:bottom w:val="nil"/>
              <w:right w:val="nil"/>
            </w:tcBorders>
            <w:shd w:val="clear" w:color="000000" w:fill="203764"/>
            <w:noWrap/>
            <w:vAlign w:val="bottom"/>
            <w:hideMark/>
          </w:tcPr>
          <w:p w14:paraId="12005CCE" w14:textId="77777777" w:rsidR="001E3079" w:rsidRPr="001E3079" w:rsidRDefault="001E3079" w:rsidP="001E3079">
            <w:pPr>
              <w:spacing w:after="0" w:line="240" w:lineRule="auto"/>
              <w:rPr>
                <w:rFonts w:ascii="Arial" w:hAnsi="Arial" w:cs="Arial"/>
                <w:b/>
                <w:bCs/>
                <w:color w:val="FFFFFF"/>
                <w:sz w:val="18"/>
                <w:szCs w:val="18"/>
                <w:lang w:eastAsia="hr-HR"/>
              </w:rPr>
            </w:pPr>
            <w:r w:rsidRPr="001E3079">
              <w:rPr>
                <w:rFonts w:ascii="Arial" w:hAnsi="Arial" w:cs="Arial"/>
                <w:b/>
                <w:bCs/>
                <w:color w:val="FFFFFF"/>
                <w:sz w:val="18"/>
                <w:szCs w:val="18"/>
                <w:lang w:eastAsia="hr-HR"/>
              </w:rPr>
              <w:lastRenderedPageBreak/>
              <w:t>Razdjel</w:t>
            </w:r>
          </w:p>
        </w:tc>
        <w:tc>
          <w:tcPr>
            <w:tcW w:w="729" w:type="dxa"/>
            <w:tcBorders>
              <w:top w:val="nil"/>
              <w:left w:val="nil"/>
              <w:bottom w:val="nil"/>
              <w:right w:val="nil"/>
            </w:tcBorders>
            <w:shd w:val="clear" w:color="000000" w:fill="203764"/>
            <w:noWrap/>
            <w:vAlign w:val="bottom"/>
            <w:hideMark/>
          </w:tcPr>
          <w:p w14:paraId="32F50DBF" w14:textId="77777777" w:rsidR="001E3079" w:rsidRPr="001E3079" w:rsidRDefault="001E3079" w:rsidP="001E3079">
            <w:pPr>
              <w:spacing w:after="0" w:line="240" w:lineRule="auto"/>
              <w:rPr>
                <w:rFonts w:ascii="Arial" w:hAnsi="Arial" w:cs="Arial"/>
                <w:b/>
                <w:bCs/>
                <w:color w:val="FFFFFF"/>
                <w:sz w:val="18"/>
                <w:szCs w:val="18"/>
                <w:lang w:eastAsia="hr-HR"/>
              </w:rPr>
            </w:pPr>
            <w:r w:rsidRPr="001E3079">
              <w:rPr>
                <w:rFonts w:ascii="Arial" w:hAnsi="Arial" w:cs="Arial"/>
                <w:b/>
                <w:bCs/>
                <w:color w:val="FFFFFF"/>
                <w:sz w:val="18"/>
                <w:szCs w:val="18"/>
                <w:lang w:eastAsia="hr-HR"/>
              </w:rPr>
              <w:t>002</w:t>
            </w:r>
          </w:p>
        </w:tc>
        <w:tc>
          <w:tcPr>
            <w:tcW w:w="6234" w:type="dxa"/>
            <w:tcBorders>
              <w:top w:val="nil"/>
              <w:left w:val="nil"/>
              <w:bottom w:val="nil"/>
              <w:right w:val="nil"/>
            </w:tcBorders>
            <w:shd w:val="clear" w:color="000000" w:fill="203764"/>
            <w:noWrap/>
            <w:vAlign w:val="bottom"/>
            <w:hideMark/>
          </w:tcPr>
          <w:p w14:paraId="7E1D3A17" w14:textId="77777777" w:rsidR="001E3079" w:rsidRPr="001E3079" w:rsidRDefault="001E3079" w:rsidP="001E3079">
            <w:pPr>
              <w:spacing w:after="0" w:line="240" w:lineRule="auto"/>
              <w:rPr>
                <w:rFonts w:ascii="Arial" w:hAnsi="Arial" w:cs="Arial"/>
                <w:b/>
                <w:bCs/>
                <w:color w:val="FFFFFF"/>
                <w:sz w:val="18"/>
                <w:szCs w:val="18"/>
                <w:lang w:eastAsia="hr-HR"/>
              </w:rPr>
            </w:pPr>
            <w:r w:rsidRPr="001E3079">
              <w:rPr>
                <w:rFonts w:ascii="Arial" w:hAnsi="Arial" w:cs="Arial"/>
                <w:b/>
                <w:bCs/>
                <w:color w:val="FFFFFF"/>
                <w:sz w:val="18"/>
                <w:szCs w:val="18"/>
                <w:lang w:eastAsia="hr-HR"/>
              </w:rPr>
              <w:t>UPRAVNI ODJEL ZA DRUŠTVENE DJELATNOSTI, IMOVINU I OPĆE POSLOVE</w:t>
            </w:r>
          </w:p>
        </w:tc>
        <w:tc>
          <w:tcPr>
            <w:tcW w:w="1720" w:type="dxa"/>
            <w:tcBorders>
              <w:top w:val="nil"/>
              <w:left w:val="nil"/>
              <w:bottom w:val="nil"/>
              <w:right w:val="nil"/>
            </w:tcBorders>
            <w:shd w:val="clear" w:color="000000" w:fill="203764"/>
            <w:noWrap/>
            <w:vAlign w:val="bottom"/>
            <w:hideMark/>
          </w:tcPr>
          <w:p w14:paraId="424A7F2A" w14:textId="77777777" w:rsidR="001E3079" w:rsidRPr="001E3079" w:rsidRDefault="001E3079" w:rsidP="001E3079">
            <w:pPr>
              <w:spacing w:after="0" w:line="240" w:lineRule="auto"/>
              <w:jc w:val="right"/>
              <w:rPr>
                <w:rFonts w:ascii="Arial" w:hAnsi="Arial" w:cs="Arial"/>
                <w:b/>
                <w:bCs/>
                <w:color w:val="FFFFFF"/>
                <w:sz w:val="18"/>
                <w:szCs w:val="18"/>
                <w:lang w:eastAsia="hr-HR"/>
              </w:rPr>
            </w:pPr>
            <w:r w:rsidRPr="001E3079">
              <w:rPr>
                <w:rFonts w:ascii="Arial" w:hAnsi="Arial" w:cs="Arial"/>
                <w:b/>
                <w:bCs/>
                <w:color w:val="FFFFFF"/>
                <w:sz w:val="18"/>
                <w:szCs w:val="18"/>
                <w:lang w:eastAsia="hr-HR"/>
              </w:rPr>
              <w:t>9.082.125,38</w:t>
            </w:r>
          </w:p>
        </w:tc>
        <w:tc>
          <w:tcPr>
            <w:tcW w:w="1880" w:type="dxa"/>
            <w:tcBorders>
              <w:top w:val="nil"/>
              <w:left w:val="nil"/>
              <w:bottom w:val="nil"/>
              <w:right w:val="nil"/>
            </w:tcBorders>
            <w:shd w:val="clear" w:color="000000" w:fill="203764"/>
            <w:noWrap/>
            <w:vAlign w:val="bottom"/>
            <w:hideMark/>
          </w:tcPr>
          <w:p w14:paraId="3EFD3D02" w14:textId="24E8B650" w:rsidR="001E3079" w:rsidRPr="001E3079" w:rsidRDefault="001E3079" w:rsidP="001E3079">
            <w:pPr>
              <w:spacing w:after="0" w:line="240" w:lineRule="auto"/>
              <w:jc w:val="right"/>
              <w:rPr>
                <w:rFonts w:ascii="Arial" w:hAnsi="Arial" w:cs="Arial"/>
                <w:b/>
                <w:bCs/>
                <w:color w:val="FFFFFF"/>
                <w:sz w:val="18"/>
                <w:szCs w:val="18"/>
                <w:lang w:eastAsia="hr-HR"/>
              </w:rPr>
            </w:pPr>
            <w:r w:rsidRPr="001E3079">
              <w:rPr>
                <w:rFonts w:ascii="Arial" w:hAnsi="Arial" w:cs="Arial"/>
                <w:b/>
                <w:bCs/>
                <w:color w:val="FFFFFF"/>
                <w:sz w:val="18"/>
                <w:szCs w:val="18"/>
                <w:lang w:eastAsia="hr-HR"/>
              </w:rPr>
              <w:t>8.57</w:t>
            </w:r>
            <w:r w:rsidR="00F05B0E">
              <w:rPr>
                <w:rFonts w:ascii="Arial" w:hAnsi="Arial" w:cs="Arial"/>
                <w:b/>
                <w:bCs/>
                <w:color w:val="FFFFFF"/>
                <w:sz w:val="18"/>
                <w:szCs w:val="18"/>
                <w:lang w:eastAsia="hr-HR"/>
              </w:rPr>
              <w:t>8.848,13</w:t>
            </w:r>
          </w:p>
        </w:tc>
        <w:tc>
          <w:tcPr>
            <w:tcW w:w="1540" w:type="dxa"/>
            <w:tcBorders>
              <w:top w:val="nil"/>
              <w:left w:val="nil"/>
              <w:bottom w:val="nil"/>
              <w:right w:val="nil"/>
            </w:tcBorders>
            <w:shd w:val="clear" w:color="000000" w:fill="203764"/>
            <w:noWrap/>
            <w:vAlign w:val="bottom"/>
            <w:hideMark/>
          </w:tcPr>
          <w:p w14:paraId="141A4BE6" w14:textId="325F3E03" w:rsidR="001E3079" w:rsidRPr="001E3079" w:rsidRDefault="001E3079" w:rsidP="001E3079">
            <w:pPr>
              <w:spacing w:after="0" w:line="240" w:lineRule="auto"/>
              <w:jc w:val="right"/>
              <w:rPr>
                <w:rFonts w:ascii="Arial" w:hAnsi="Arial" w:cs="Arial"/>
                <w:b/>
                <w:bCs/>
                <w:color w:val="FFFFFF"/>
                <w:sz w:val="18"/>
                <w:szCs w:val="18"/>
                <w:lang w:eastAsia="hr-HR"/>
              </w:rPr>
            </w:pPr>
            <w:r w:rsidRPr="001E3079">
              <w:rPr>
                <w:rFonts w:ascii="Arial" w:hAnsi="Arial" w:cs="Arial"/>
                <w:b/>
                <w:bCs/>
                <w:color w:val="FFFFFF"/>
                <w:sz w:val="18"/>
                <w:szCs w:val="18"/>
                <w:lang w:eastAsia="hr-HR"/>
              </w:rPr>
              <w:t>94,</w:t>
            </w:r>
            <w:r w:rsidR="00F05B0E">
              <w:rPr>
                <w:rFonts w:ascii="Arial" w:hAnsi="Arial" w:cs="Arial"/>
                <w:b/>
                <w:bCs/>
                <w:color w:val="FFFFFF"/>
                <w:sz w:val="18"/>
                <w:szCs w:val="18"/>
                <w:lang w:eastAsia="hr-HR"/>
              </w:rPr>
              <w:t>4</w:t>
            </w:r>
            <w:r w:rsidRPr="001E3079">
              <w:rPr>
                <w:rFonts w:ascii="Arial" w:hAnsi="Arial" w:cs="Arial"/>
                <w:b/>
                <w:bCs/>
                <w:color w:val="FFFFFF"/>
                <w:sz w:val="18"/>
                <w:szCs w:val="18"/>
                <w:lang w:eastAsia="hr-HR"/>
              </w:rPr>
              <w:t>6%</w:t>
            </w:r>
          </w:p>
        </w:tc>
      </w:tr>
      <w:tr w:rsidR="001E3079" w:rsidRPr="001E3079" w14:paraId="545A2A85" w14:textId="77777777" w:rsidTr="001E3079">
        <w:trPr>
          <w:trHeight w:val="255"/>
        </w:trPr>
        <w:tc>
          <w:tcPr>
            <w:tcW w:w="2251" w:type="dxa"/>
            <w:tcBorders>
              <w:top w:val="nil"/>
              <w:left w:val="nil"/>
              <w:bottom w:val="nil"/>
              <w:right w:val="nil"/>
            </w:tcBorders>
            <w:shd w:val="clear" w:color="auto" w:fill="C6D9F1" w:themeFill="text2" w:themeFillTint="33"/>
            <w:noWrap/>
            <w:vAlign w:val="bottom"/>
            <w:hideMark/>
          </w:tcPr>
          <w:p w14:paraId="21EFCE15" w14:textId="77777777" w:rsidR="001E3079" w:rsidRPr="001E3079" w:rsidRDefault="001E3079" w:rsidP="001E3079">
            <w:pPr>
              <w:spacing w:after="0" w:line="240" w:lineRule="auto"/>
              <w:rPr>
                <w:rFonts w:ascii="Arial" w:hAnsi="Arial" w:cs="Arial"/>
                <w:b/>
                <w:bCs/>
                <w:sz w:val="18"/>
                <w:szCs w:val="18"/>
                <w:lang w:eastAsia="hr-HR"/>
              </w:rPr>
            </w:pPr>
            <w:r w:rsidRPr="001E3079">
              <w:rPr>
                <w:rFonts w:ascii="Arial" w:hAnsi="Arial" w:cs="Arial"/>
                <w:b/>
                <w:bCs/>
                <w:sz w:val="18"/>
                <w:szCs w:val="18"/>
                <w:lang w:eastAsia="hr-HR"/>
              </w:rPr>
              <w:t>Glava</w:t>
            </w:r>
          </w:p>
        </w:tc>
        <w:tc>
          <w:tcPr>
            <w:tcW w:w="729" w:type="dxa"/>
            <w:tcBorders>
              <w:top w:val="nil"/>
              <w:left w:val="nil"/>
              <w:bottom w:val="nil"/>
              <w:right w:val="nil"/>
            </w:tcBorders>
            <w:shd w:val="clear" w:color="auto" w:fill="C6D9F1" w:themeFill="text2" w:themeFillTint="33"/>
            <w:noWrap/>
            <w:vAlign w:val="bottom"/>
            <w:hideMark/>
          </w:tcPr>
          <w:p w14:paraId="07C1B780" w14:textId="77777777" w:rsidR="001E3079" w:rsidRPr="001E3079" w:rsidRDefault="001E3079" w:rsidP="001E3079">
            <w:pPr>
              <w:spacing w:after="0" w:line="240" w:lineRule="auto"/>
              <w:rPr>
                <w:rFonts w:ascii="Arial" w:hAnsi="Arial" w:cs="Arial"/>
                <w:b/>
                <w:bCs/>
                <w:sz w:val="18"/>
                <w:szCs w:val="18"/>
                <w:lang w:eastAsia="hr-HR"/>
              </w:rPr>
            </w:pPr>
            <w:r w:rsidRPr="001E3079">
              <w:rPr>
                <w:rFonts w:ascii="Arial" w:hAnsi="Arial" w:cs="Arial"/>
                <w:b/>
                <w:bCs/>
                <w:sz w:val="18"/>
                <w:szCs w:val="18"/>
                <w:lang w:eastAsia="hr-HR"/>
              </w:rPr>
              <w:t>00201</w:t>
            </w:r>
          </w:p>
        </w:tc>
        <w:tc>
          <w:tcPr>
            <w:tcW w:w="6234" w:type="dxa"/>
            <w:tcBorders>
              <w:top w:val="nil"/>
              <w:left w:val="nil"/>
              <w:bottom w:val="nil"/>
              <w:right w:val="nil"/>
            </w:tcBorders>
            <w:shd w:val="clear" w:color="auto" w:fill="C6D9F1" w:themeFill="text2" w:themeFillTint="33"/>
            <w:noWrap/>
            <w:vAlign w:val="bottom"/>
            <w:hideMark/>
          </w:tcPr>
          <w:p w14:paraId="2DA961FF" w14:textId="77777777" w:rsidR="001E3079" w:rsidRPr="001E3079" w:rsidRDefault="001E3079" w:rsidP="001E3079">
            <w:pPr>
              <w:spacing w:after="0" w:line="240" w:lineRule="auto"/>
              <w:rPr>
                <w:rFonts w:ascii="Arial" w:hAnsi="Arial" w:cs="Arial"/>
                <w:b/>
                <w:bCs/>
                <w:sz w:val="18"/>
                <w:szCs w:val="18"/>
                <w:lang w:eastAsia="hr-HR"/>
              </w:rPr>
            </w:pPr>
            <w:r w:rsidRPr="001E3079">
              <w:rPr>
                <w:rFonts w:ascii="Arial" w:hAnsi="Arial" w:cs="Arial"/>
                <w:b/>
                <w:bCs/>
                <w:sz w:val="18"/>
                <w:szCs w:val="18"/>
                <w:lang w:eastAsia="hr-HR"/>
              </w:rPr>
              <w:t>UPRAVNI ODJEL ZA DRUŠTVENE DJELATNOSTI, IMOVINU I OPĆE POSLOVE</w:t>
            </w:r>
          </w:p>
        </w:tc>
        <w:tc>
          <w:tcPr>
            <w:tcW w:w="1720" w:type="dxa"/>
            <w:tcBorders>
              <w:top w:val="nil"/>
              <w:left w:val="nil"/>
              <w:bottom w:val="nil"/>
              <w:right w:val="nil"/>
            </w:tcBorders>
            <w:shd w:val="clear" w:color="auto" w:fill="C6D9F1" w:themeFill="text2" w:themeFillTint="33"/>
            <w:noWrap/>
            <w:vAlign w:val="bottom"/>
            <w:hideMark/>
          </w:tcPr>
          <w:p w14:paraId="56214BD4" w14:textId="77777777" w:rsidR="001E3079" w:rsidRPr="001E3079" w:rsidRDefault="001E3079" w:rsidP="001E3079">
            <w:pPr>
              <w:spacing w:after="0" w:line="240" w:lineRule="auto"/>
              <w:jc w:val="right"/>
              <w:rPr>
                <w:rFonts w:ascii="Arial" w:hAnsi="Arial" w:cs="Arial"/>
                <w:b/>
                <w:bCs/>
                <w:sz w:val="18"/>
                <w:szCs w:val="18"/>
                <w:lang w:eastAsia="hr-HR"/>
              </w:rPr>
            </w:pPr>
            <w:r w:rsidRPr="001E3079">
              <w:rPr>
                <w:rFonts w:ascii="Arial" w:hAnsi="Arial" w:cs="Arial"/>
                <w:b/>
                <w:bCs/>
                <w:sz w:val="18"/>
                <w:szCs w:val="18"/>
                <w:lang w:eastAsia="hr-HR"/>
              </w:rPr>
              <w:t>2.339.910,00</w:t>
            </w:r>
          </w:p>
        </w:tc>
        <w:tc>
          <w:tcPr>
            <w:tcW w:w="1880" w:type="dxa"/>
            <w:tcBorders>
              <w:top w:val="nil"/>
              <w:left w:val="nil"/>
              <w:bottom w:val="nil"/>
              <w:right w:val="nil"/>
            </w:tcBorders>
            <w:shd w:val="clear" w:color="auto" w:fill="C6D9F1" w:themeFill="text2" w:themeFillTint="33"/>
            <w:noWrap/>
            <w:vAlign w:val="bottom"/>
            <w:hideMark/>
          </w:tcPr>
          <w:p w14:paraId="5666D5D6" w14:textId="77777777" w:rsidR="001E3079" w:rsidRPr="001E3079" w:rsidRDefault="001E3079" w:rsidP="001E3079">
            <w:pPr>
              <w:spacing w:after="0" w:line="240" w:lineRule="auto"/>
              <w:jc w:val="right"/>
              <w:rPr>
                <w:rFonts w:ascii="Arial" w:hAnsi="Arial" w:cs="Arial"/>
                <w:b/>
                <w:bCs/>
                <w:sz w:val="18"/>
                <w:szCs w:val="18"/>
                <w:lang w:eastAsia="hr-HR"/>
              </w:rPr>
            </w:pPr>
            <w:r w:rsidRPr="001E3079">
              <w:rPr>
                <w:rFonts w:ascii="Arial" w:hAnsi="Arial" w:cs="Arial"/>
                <w:b/>
                <w:bCs/>
                <w:sz w:val="18"/>
                <w:szCs w:val="18"/>
                <w:lang w:eastAsia="hr-HR"/>
              </w:rPr>
              <w:t>2.137.609,24</w:t>
            </w:r>
          </w:p>
        </w:tc>
        <w:tc>
          <w:tcPr>
            <w:tcW w:w="1540" w:type="dxa"/>
            <w:tcBorders>
              <w:top w:val="nil"/>
              <w:left w:val="nil"/>
              <w:bottom w:val="nil"/>
              <w:right w:val="nil"/>
            </w:tcBorders>
            <w:shd w:val="clear" w:color="auto" w:fill="C6D9F1" w:themeFill="text2" w:themeFillTint="33"/>
            <w:noWrap/>
            <w:vAlign w:val="bottom"/>
            <w:hideMark/>
          </w:tcPr>
          <w:p w14:paraId="42265A12" w14:textId="77777777" w:rsidR="001E3079" w:rsidRPr="001E3079" w:rsidRDefault="001E3079" w:rsidP="001E3079">
            <w:pPr>
              <w:spacing w:after="0" w:line="240" w:lineRule="auto"/>
              <w:jc w:val="right"/>
              <w:rPr>
                <w:rFonts w:ascii="Arial" w:hAnsi="Arial" w:cs="Arial"/>
                <w:b/>
                <w:bCs/>
                <w:sz w:val="18"/>
                <w:szCs w:val="18"/>
                <w:lang w:eastAsia="hr-HR"/>
              </w:rPr>
            </w:pPr>
            <w:r w:rsidRPr="001E3079">
              <w:rPr>
                <w:rFonts w:ascii="Arial" w:hAnsi="Arial" w:cs="Arial"/>
                <w:b/>
                <w:bCs/>
                <w:sz w:val="18"/>
                <w:szCs w:val="18"/>
                <w:lang w:eastAsia="hr-HR"/>
              </w:rPr>
              <w:t>91,35%</w:t>
            </w:r>
          </w:p>
        </w:tc>
      </w:tr>
      <w:tr w:rsidR="001E3079" w:rsidRPr="001E3079" w14:paraId="282989F2" w14:textId="77777777" w:rsidTr="001E3079">
        <w:trPr>
          <w:trHeight w:val="255"/>
        </w:trPr>
        <w:tc>
          <w:tcPr>
            <w:tcW w:w="2251" w:type="dxa"/>
            <w:tcBorders>
              <w:top w:val="nil"/>
              <w:left w:val="nil"/>
              <w:bottom w:val="nil"/>
              <w:right w:val="nil"/>
            </w:tcBorders>
            <w:shd w:val="clear" w:color="auto" w:fill="auto"/>
            <w:noWrap/>
            <w:vAlign w:val="bottom"/>
            <w:hideMark/>
          </w:tcPr>
          <w:p w14:paraId="221E232F" w14:textId="77777777" w:rsidR="001E3079" w:rsidRPr="001E3079" w:rsidRDefault="001E3079" w:rsidP="001E3079">
            <w:pPr>
              <w:spacing w:after="0" w:line="240" w:lineRule="auto"/>
              <w:rPr>
                <w:rFonts w:ascii="Arial" w:hAnsi="Arial" w:cs="Arial"/>
                <w:sz w:val="18"/>
                <w:szCs w:val="18"/>
                <w:lang w:eastAsia="hr-HR"/>
              </w:rPr>
            </w:pPr>
            <w:r w:rsidRPr="001E3079">
              <w:rPr>
                <w:rFonts w:ascii="Arial" w:hAnsi="Arial" w:cs="Arial"/>
                <w:sz w:val="18"/>
                <w:szCs w:val="18"/>
                <w:lang w:eastAsia="hr-HR"/>
              </w:rPr>
              <w:t>Proračunski korisnik</w:t>
            </w:r>
          </w:p>
        </w:tc>
        <w:tc>
          <w:tcPr>
            <w:tcW w:w="729" w:type="dxa"/>
            <w:tcBorders>
              <w:top w:val="nil"/>
              <w:left w:val="nil"/>
              <w:bottom w:val="nil"/>
              <w:right w:val="nil"/>
            </w:tcBorders>
            <w:shd w:val="clear" w:color="auto" w:fill="auto"/>
            <w:noWrap/>
            <w:vAlign w:val="bottom"/>
            <w:hideMark/>
          </w:tcPr>
          <w:p w14:paraId="79388701" w14:textId="77777777" w:rsidR="001E3079" w:rsidRPr="001E3079" w:rsidRDefault="001E3079" w:rsidP="001E3079">
            <w:pPr>
              <w:spacing w:after="0" w:line="240" w:lineRule="auto"/>
              <w:rPr>
                <w:rFonts w:ascii="Arial" w:hAnsi="Arial" w:cs="Arial"/>
                <w:sz w:val="18"/>
                <w:szCs w:val="18"/>
                <w:lang w:eastAsia="hr-HR"/>
              </w:rPr>
            </w:pPr>
            <w:r w:rsidRPr="001E3079">
              <w:rPr>
                <w:rFonts w:ascii="Arial" w:hAnsi="Arial" w:cs="Arial"/>
                <w:sz w:val="18"/>
                <w:szCs w:val="18"/>
                <w:lang w:eastAsia="hr-HR"/>
              </w:rPr>
              <w:t>00001</w:t>
            </w:r>
          </w:p>
        </w:tc>
        <w:tc>
          <w:tcPr>
            <w:tcW w:w="6234" w:type="dxa"/>
            <w:tcBorders>
              <w:top w:val="nil"/>
              <w:left w:val="nil"/>
              <w:bottom w:val="nil"/>
              <w:right w:val="nil"/>
            </w:tcBorders>
            <w:shd w:val="clear" w:color="auto" w:fill="auto"/>
            <w:noWrap/>
            <w:vAlign w:val="bottom"/>
            <w:hideMark/>
          </w:tcPr>
          <w:p w14:paraId="08A035C4" w14:textId="77777777" w:rsidR="001E3079" w:rsidRPr="001E3079" w:rsidRDefault="001E3079" w:rsidP="001E3079">
            <w:pPr>
              <w:spacing w:after="0" w:line="240" w:lineRule="auto"/>
              <w:rPr>
                <w:rFonts w:ascii="Arial" w:hAnsi="Arial" w:cs="Arial"/>
                <w:sz w:val="18"/>
                <w:szCs w:val="18"/>
                <w:lang w:eastAsia="hr-HR"/>
              </w:rPr>
            </w:pPr>
            <w:r w:rsidRPr="001E3079">
              <w:rPr>
                <w:rFonts w:ascii="Arial" w:hAnsi="Arial" w:cs="Arial"/>
                <w:sz w:val="18"/>
                <w:szCs w:val="18"/>
                <w:lang w:eastAsia="hr-HR"/>
              </w:rPr>
              <w:t>UPRAVNI ODJEL ZA DRUŠTVENE DJELATNOSTI, IMOVINU I OPĆE POSLOVE</w:t>
            </w:r>
          </w:p>
        </w:tc>
        <w:tc>
          <w:tcPr>
            <w:tcW w:w="1720" w:type="dxa"/>
            <w:tcBorders>
              <w:top w:val="nil"/>
              <w:left w:val="nil"/>
              <w:bottom w:val="nil"/>
              <w:right w:val="nil"/>
            </w:tcBorders>
            <w:shd w:val="clear" w:color="auto" w:fill="auto"/>
            <w:noWrap/>
            <w:vAlign w:val="bottom"/>
            <w:hideMark/>
          </w:tcPr>
          <w:p w14:paraId="053B522F" w14:textId="77777777" w:rsidR="001E3079" w:rsidRPr="001E3079" w:rsidRDefault="001E3079" w:rsidP="001E3079">
            <w:pPr>
              <w:spacing w:after="0" w:line="240" w:lineRule="auto"/>
              <w:jc w:val="right"/>
              <w:rPr>
                <w:rFonts w:ascii="Arial" w:hAnsi="Arial" w:cs="Arial"/>
                <w:sz w:val="18"/>
                <w:szCs w:val="18"/>
                <w:lang w:eastAsia="hr-HR"/>
              </w:rPr>
            </w:pPr>
            <w:r w:rsidRPr="001E3079">
              <w:rPr>
                <w:rFonts w:ascii="Arial" w:hAnsi="Arial" w:cs="Arial"/>
                <w:sz w:val="18"/>
                <w:szCs w:val="18"/>
                <w:lang w:eastAsia="hr-HR"/>
              </w:rPr>
              <w:t>2.339.910,00</w:t>
            </w:r>
          </w:p>
        </w:tc>
        <w:tc>
          <w:tcPr>
            <w:tcW w:w="1880" w:type="dxa"/>
            <w:tcBorders>
              <w:top w:val="nil"/>
              <w:left w:val="nil"/>
              <w:bottom w:val="nil"/>
              <w:right w:val="nil"/>
            </w:tcBorders>
            <w:shd w:val="clear" w:color="auto" w:fill="auto"/>
            <w:noWrap/>
            <w:vAlign w:val="bottom"/>
            <w:hideMark/>
          </w:tcPr>
          <w:p w14:paraId="4FCC8E78" w14:textId="77777777" w:rsidR="001E3079" w:rsidRPr="001E3079" w:rsidRDefault="001E3079" w:rsidP="001E3079">
            <w:pPr>
              <w:spacing w:after="0" w:line="240" w:lineRule="auto"/>
              <w:jc w:val="right"/>
              <w:rPr>
                <w:rFonts w:ascii="Arial" w:hAnsi="Arial" w:cs="Arial"/>
                <w:sz w:val="18"/>
                <w:szCs w:val="18"/>
                <w:lang w:eastAsia="hr-HR"/>
              </w:rPr>
            </w:pPr>
            <w:r w:rsidRPr="001E3079">
              <w:rPr>
                <w:rFonts w:ascii="Arial" w:hAnsi="Arial" w:cs="Arial"/>
                <w:sz w:val="18"/>
                <w:szCs w:val="18"/>
                <w:lang w:eastAsia="hr-HR"/>
              </w:rPr>
              <w:t>2.137.609,24</w:t>
            </w:r>
          </w:p>
        </w:tc>
        <w:tc>
          <w:tcPr>
            <w:tcW w:w="1540" w:type="dxa"/>
            <w:tcBorders>
              <w:top w:val="nil"/>
              <w:left w:val="nil"/>
              <w:bottom w:val="nil"/>
              <w:right w:val="nil"/>
            </w:tcBorders>
            <w:shd w:val="clear" w:color="auto" w:fill="auto"/>
            <w:noWrap/>
            <w:vAlign w:val="bottom"/>
            <w:hideMark/>
          </w:tcPr>
          <w:p w14:paraId="758270AD" w14:textId="77777777" w:rsidR="001E3079" w:rsidRPr="001E3079" w:rsidRDefault="001E3079" w:rsidP="001E3079">
            <w:pPr>
              <w:spacing w:after="0" w:line="240" w:lineRule="auto"/>
              <w:jc w:val="right"/>
              <w:rPr>
                <w:rFonts w:ascii="Arial" w:hAnsi="Arial" w:cs="Arial"/>
                <w:sz w:val="18"/>
                <w:szCs w:val="18"/>
                <w:lang w:eastAsia="hr-HR"/>
              </w:rPr>
            </w:pPr>
            <w:r w:rsidRPr="001E3079">
              <w:rPr>
                <w:rFonts w:ascii="Arial" w:hAnsi="Arial" w:cs="Arial"/>
                <w:sz w:val="18"/>
                <w:szCs w:val="18"/>
                <w:lang w:eastAsia="hr-HR"/>
              </w:rPr>
              <w:t>91,35%</w:t>
            </w:r>
          </w:p>
        </w:tc>
      </w:tr>
      <w:tr w:rsidR="001E3079" w:rsidRPr="001E3079" w14:paraId="53B6B2F3" w14:textId="77777777" w:rsidTr="001E3079">
        <w:trPr>
          <w:trHeight w:val="255"/>
        </w:trPr>
        <w:tc>
          <w:tcPr>
            <w:tcW w:w="2251" w:type="dxa"/>
            <w:tcBorders>
              <w:top w:val="nil"/>
              <w:left w:val="nil"/>
              <w:bottom w:val="nil"/>
              <w:right w:val="nil"/>
            </w:tcBorders>
            <w:shd w:val="clear" w:color="auto" w:fill="C6D9F1" w:themeFill="text2" w:themeFillTint="33"/>
            <w:noWrap/>
            <w:vAlign w:val="bottom"/>
            <w:hideMark/>
          </w:tcPr>
          <w:p w14:paraId="5C9DCE5F" w14:textId="77777777" w:rsidR="001E3079" w:rsidRPr="001E3079" w:rsidRDefault="001E3079" w:rsidP="001E3079">
            <w:pPr>
              <w:spacing w:after="0" w:line="240" w:lineRule="auto"/>
              <w:rPr>
                <w:rFonts w:ascii="Arial" w:hAnsi="Arial" w:cs="Arial"/>
                <w:b/>
                <w:bCs/>
                <w:sz w:val="18"/>
                <w:szCs w:val="18"/>
                <w:lang w:eastAsia="hr-HR"/>
              </w:rPr>
            </w:pPr>
            <w:r w:rsidRPr="001E3079">
              <w:rPr>
                <w:rFonts w:ascii="Arial" w:hAnsi="Arial" w:cs="Arial"/>
                <w:b/>
                <w:bCs/>
                <w:sz w:val="18"/>
                <w:szCs w:val="18"/>
                <w:lang w:eastAsia="hr-HR"/>
              </w:rPr>
              <w:t>Glava</w:t>
            </w:r>
          </w:p>
        </w:tc>
        <w:tc>
          <w:tcPr>
            <w:tcW w:w="729" w:type="dxa"/>
            <w:tcBorders>
              <w:top w:val="nil"/>
              <w:left w:val="nil"/>
              <w:bottom w:val="nil"/>
              <w:right w:val="nil"/>
            </w:tcBorders>
            <w:shd w:val="clear" w:color="auto" w:fill="C6D9F1" w:themeFill="text2" w:themeFillTint="33"/>
            <w:noWrap/>
            <w:vAlign w:val="bottom"/>
            <w:hideMark/>
          </w:tcPr>
          <w:p w14:paraId="2D02FAF7" w14:textId="77777777" w:rsidR="001E3079" w:rsidRPr="001E3079" w:rsidRDefault="001E3079" w:rsidP="001E3079">
            <w:pPr>
              <w:spacing w:after="0" w:line="240" w:lineRule="auto"/>
              <w:rPr>
                <w:rFonts w:ascii="Arial" w:hAnsi="Arial" w:cs="Arial"/>
                <w:b/>
                <w:bCs/>
                <w:sz w:val="18"/>
                <w:szCs w:val="18"/>
                <w:lang w:eastAsia="hr-HR"/>
              </w:rPr>
            </w:pPr>
            <w:r w:rsidRPr="001E3079">
              <w:rPr>
                <w:rFonts w:ascii="Arial" w:hAnsi="Arial" w:cs="Arial"/>
                <w:b/>
                <w:bCs/>
                <w:sz w:val="18"/>
                <w:szCs w:val="18"/>
                <w:lang w:eastAsia="hr-HR"/>
              </w:rPr>
              <w:t>00202</w:t>
            </w:r>
          </w:p>
        </w:tc>
        <w:tc>
          <w:tcPr>
            <w:tcW w:w="6234" w:type="dxa"/>
            <w:tcBorders>
              <w:top w:val="nil"/>
              <w:left w:val="nil"/>
              <w:bottom w:val="nil"/>
              <w:right w:val="nil"/>
            </w:tcBorders>
            <w:shd w:val="clear" w:color="auto" w:fill="C6D9F1" w:themeFill="text2" w:themeFillTint="33"/>
            <w:noWrap/>
            <w:vAlign w:val="bottom"/>
            <w:hideMark/>
          </w:tcPr>
          <w:p w14:paraId="66629126" w14:textId="77777777" w:rsidR="001E3079" w:rsidRPr="001E3079" w:rsidRDefault="001E3079" w:rsidP="001E3079">
            <w:pPr>
              <w:spacing w:after="0" w:line="240" w:lineRule="auto"/>
              <w:rPr>
                <w:rFonts w:ascii="Arial" w:hAnsi="Arial" w:cs="Arial"/>
                <w:b/>
                <w:bCs/>
                <w:sz w:val="18"/>
                <w:szCs w:val="18"/>
                <w:lang w:eastAsia="hr-HR"/>
              </w:rPr>
            </w:pPr>
            <w:r w:rsidRPr="001E3079">
              <w:rPr>
                <w:rFonts w:ascii="Arial" w:hAnsi="Arial" w:cs="Arial"/>
                <w:b/>
                <w:bCs/>
                <w:sz w:val="18"/>
                <w:szCs w:val="18"/>
                <w:lang w:eastAsia="hr-HR"/>
              </w:rPr>
              <w:t>VATROGASNE POSTROJBE</w:t>
            </w:r>
          </w:p>
        </w:tc>
        <w:tc>
          <w:tcPr>
            <w:tcW w:w="1720" w:type="dxa"/>
            <w:tcBorders>
              <w:top w:val="nil"/>
              <w:left w:val="nil"/>
              <w:bottom w:val="nil"/>
              <w:right w:val="nil"/>
            </w:tcBorders>
            <w:shd w:val="clear" w:color="auto" w:fill="C6D9F1" w:themeFill="text2" w:themeFillTint="33"/>
            <w:noWrap/>
            <w:vAlign w:val="bottom"/>
            <w:hideMark/>
          </w:tcPr>
          <w:p w14:paraId="6E673A37" w14:textId="77777777" w:rsidR="001E3079" w:rsidRPr="001E3079" w:rsidRDefault="001E3079" w:rsidP="001E3079">
            <w:pPr>
              <w:spacing w:after="0" w:line="240" w:lineRule="auto"/>
              <w:jc w:val="right"/>
              <w:rPr>
                <w:rFonts w:ascii="Arial" w:hAnsi="Arial" w:cs="Arial"/>
                <w:b/>
                <w:bCs/>
                <w:sz w:val="18"/>
                <w:szCs w:val="18"/>
                <w:lang w:eastAsia="hr-HR"/>
              </w:rPr>
            </w:pPr>
            <w:r w:rsidRPr="001E3079">
              <w:rPr>
                <w:rFonts w:ascii="Arial" w:hAnsi="Arial" w:cs="Arial"/>
                <w:b/>
                <w:bCs/>
                <w:sz w:val="18"/>
                <w:szCs w:val="18"/>
                <w:lang w:eastAsia="hr-HR"/>
              </w:rPr>
              <w:t>936.526,20</w:t>
            </w:r>
          </w:p>
        </w:tc>
        <w:tc>
          <w:tcPr>
            <w:tcW w:w="1880" w:type="dxa"/>
            <w:tcBorders>
              <w:top w:val="nil"/>
              <w:left w:val="nil"/>
              <w:bottom w:val="nil"/>
              <w:right w:val="nil"/>
            </w:tcBorders>
            <w:shd w:val="clear" w:color="auto" w:fill="C6D9F1" w:themeFill="text2" w:themeFillTint="33"/>
            <w:noWrap/>
            <w:vAlign w:val="bottom"/>
            <w:hideMark/>
          </w:tcPr>
          <w:p w14:paraId="093140E7" w14:textId="77777777" w:rsidR="001E3079" w:rsidRPr="001E3079" w:rsidRDefault="001E3079" w:rsidP="001E3079">
            <w:pPr>
              <w:spacing w:after="0" w:line="240" w:lineRule="auto"/>
              <w:jc w:val="right"/>
              <w:rPr>
                <w:rFonts w:ascii="Arial" w:hAnsi="Arial" w:cs="Arial"/>
                <w:b/>
                <w:bCs/>
                <w:sz w:val="18"/>
                <w:szCs w:val="18"/>
                <w:lang w:eastAsia="hr-HR"/>
              </w:rPr>
            </w:pPr>
            <w:r w:rsidRPr="001E3079">
              <w:rPr>
                <w:rFonts w:ascii="Arial" w:hAnsi="Arial" w:cs="Arial"/>
                <w:b/>
                <w:bCs/>
                <w:sz w:val="18"/>
                <w:szCs w:val="18"/>
                <w:lang w:eastAsia="hr-HR"/>
              </w:rPr>
              <w:t>922.771,34</w:t>
            </w:r>
          </w:p>
        </w:tc>
        <w:tc>
          <w:tcPr>
            <w:tcW w:w="1540" w:type="dxa"/>
            <w:tcBorders>
              <w:top w:val="nil"/>
              <w:left w:val="nil"/>
              <w:bottom w:val="nil"/>
              <w:right w:val="nil"/>
            </w:tcBorders>
            <w:shd w:val="clear" w:color="auto" w:fill="C6D9F1" w:themeFill="text2" w:themeFillTint="33"/>
            <w:noWrap/>
            <w:vAlign w:val="bottom"/>
            <w:hideMark/>
          </w:tcPr>
          <w:p w14:paraId="41938734" w14:textId="77777777" w:rsidR="001E3079" w:rsidRPr="001E3079" w:rsidRDefault="001E3079" w:rsidP="001E3079">
            <w:pPr>
              <w:spacing w:after="0" w:line="240" w:lineRule="auto"/>
              <w:jc w:val="right"/>
              <w:rPr>
                <w:rFonts w:ascii="Arial" w:hAnsi="Arial" w:cs="Arial"/>
                <w:b/>
                <w:bCs/>
                <w:sz w:val="18"/>
                <w:szCs w:val="18"/>
                <w:lang w:eastAsia="hr-HR"/>
              </w:rPr>
            </w:pPr>
            <w:r w:rsidRPr="001E3079">
              <w:rPr>
                <w:rFonts w:ascii="Arial" w:hAnsi="Arial" w:cs="Arial"/>
                <w:b/>
                <w:bCs/>
                <w:sz w:val="18"/>
                <w:szCs w:val="18"/>
                <w:lang w:eastAsia="hr-HR"/>
              </w:rPr>
              <w:t>98,53%</w:t>
            </w:r>
          </w:p>
        </w:tc>
      </w:tr>
      <w:tr w:rsidR="001E3079" w:rsidRPr="001E3079" w14:paraId="044C3850" w14:textId="77777777" w:rsidTr="001E3079">
        <w:trPr>
          <w:trHeight w:val="255"/>
        </w:trPr>
        <w:tc>
          <w:tcPr>
            <w:tcW w:w="2251" w:type="dxa"/>
            <w:tcBorders>
              <w:top w:val="nil"/>
              <w:left w:val="nil"/>
              <w:bottom w:val="nil"/>
              <w:right w:val="nil"/>
            </w:tcBorders>
            <w:shd w:val="clear" w:color="auto" w:fill="auto"/>
            <w:noWrap/>
            <w:vAlign w:val="bottom"/>
            <w:hideMark/>
          </w:tcPr>
          <w:p w14:paraId="22FC050C" w14:textId="77777777" w:rsidR="001E3079" w:rsidRPr="001E3079" w:rsidRDefault="001E3079" w:rsidP="001E3079">
            <w:pPr>
              <w:spacing w:after="0" w:line="240" w:lineRule="auto"/>
              <w:rPr>
                <w:rFonts w:ascii="Arial" w:hAnsi="Arial" w:cs="Arial"/>
                <w:sz w:val="18"/>
                <w:szCs w:val="18"/>
                <w:lang w:eastAsia="hr-HR"/>
              </w:rPr>
            </w:pPr>
            <w:r w:rsidRPr="001E3079">
              <w:rPr>
                <w:rFonts w:ascii="Arial" w:hAnsi="Arial" w:cs="Arial"/>
                <w:sz w:val="18"/>
                <w:szCs w:val="18"/>
                <w:lang w:eastAsia="hr-HR"/>
              </w:rPr>
              <w:t>Proračunski korisnik</w:t>
            </w:r>
          </w:p>
        </w:tc>
        <w:tc>
          <w:tcPr>
            <w:tcW w:w="729" w:type="dxa"/>
            <w:tcBorders>
              <w:top w:val="nil"/>
              <w:left w:val="nil"/>
              <w:bottom w:val="nil"/>
              <w:right w:val="nil"/>
            </w:tcBorders>
            <w:shd w:val="clear" w:color="auto" w:fill="auto"/>
            <w:noWrap/>
            <w:vAlign w:val="bottom"/>
            <w:hideMark/>
          </w:tcPr>
          <w:p w14:paraId="395A5EFF" w14:textId="77777777" w:rsidR="001E3079" w:rsidRPr="001E3079" w:rsidRDefault="001E3079" w:rsidP="001E3079">
            <w:pPr>
              <w:spacing w:after="0" w:line="240" w:lineRule="auto"/>
              <w:rPr>
                <w:rFonts w:ascii="Arial" w:hAnsi="Arial" w:cs="Arial"/>
                <w:sz w:val="18"/>
                <w:szCs w:val="18"/>
                <w:lang w:eastAsia="hr-HR"/>
              </w:rPr>
            </w:pPr>
            <w:r w:rsidRPr="001E3079">
              <w:rPr>
                <w:rFonts w:ascii="Arial" w:hAnsi="Arial" w:cs="Arial"/>
                <w:sz w:val="18"/>
                <w:szCs w:val="18"/>
                <w:lang w:eastAsia="hr-HR"/>
              </w:rPr>
              <w:t>34709</w:t>
            </w:r>
          </w:p>
        </w:tc>
        <w:tc>
          <w:tcPr>
            <w:tcW w:w="6234" w:type="dxa"/>
            <w:tcBorders>
              <w:top w:val="nil"/>
              <w:left w:val="nil"/>
              <w:bottom w:val="nil"/>
              <w:right w:val="nil"/>
            </w:tcBorders>
            <w:shd w:val="clear" w:color="auto" w:fill="auto"/>
            <w:noWrap/>
            <w:vAlign w:val="bottom"/>
            <w:hideMark/>
          </w:tcPr>
          <w:p w14:paraId="5AFB3AF8" w14:textId="77777777" w:rsidR="001E3079" w:rsidRPr="001E3079" w:rsidRDefault="001E3079" w:rsidP="001E3079">
            <w:pPr>
              <w:spacing w:after="0" w:line="240" w:lineRule="auto"/>
              <w:rPr>
                <w:rFonts w:ascii="Arial" w:hAnsi="Arial" w:cs="Arial"/>
                <w:sz w:val="18"/>
                <w:szCs w:val="18"/>
                <w:lang w:eastAsia="hr-HR"/>
              </w:rPr>
            </w:pPr>
            <w:r w:rsidRPr="001E3079">
              <w:rPr>
                <w:rFonts w:ascii="Arial" w:hAnsi="Arial" w:cs="Arial"/>
                <w:sz w:val="18"/>
                <w:szCs w:val="18"/>
                <w:lang w:eastAsia="hr-HR"/>
              </w:rPr>
              <w:t>JAVNA VATROGASNA POSTROJBA</w:t>
            </w:r>
          </w:p>
        </w:tc>
        <w:tc>
          <w:tcPr>
            <w:tcW w:w="1720" w:type="dxa"/>
            <w:tcBorders>
              <w:top w:val="nil"/>
              <w:left w:val="nil"/>
              <w:bottom w:val="nil"/>
              <w:right w:val="nil"/>
            </w:tcBorders>
            <w:shd w:val="clear" w:color="auto" w:fill="auto"/>
            <w:noWrap/>
            <w:vAlign w:val="bottom"/>
            <w:hideMark/>
          </w:tcPr>
          <w:p w14:paraId="7312303B" w14:textId="77777777" w:rsidR="001E3079" w:rsidRPr="001E3079" w:rsidRDefault="001E3079" w:rsidP="001E3079">
            <w:pPr>
              <w:spacing w:after="0" w:line="240" w:lineRule="auto"/>
              <w:jc w:val="right"/>
              <w:rPr>
                <w:rFonts w:ascii="Arial" w:hAnsi="Arial" w:cs="Arial"/>
                <w:sz w:val="18"/>
                <w:szCs w:val="18"/>
                <w:lang w:eastAsia="hr-HR"/>
              </w:rPr>
            </w:pPr>
            <w:r w:rsidRPr="001E3079">
              <w:rPr>
                <w:rFonts w:ascii="Arial" w:hAnsi="Arial" w:cs="Arial"/>
                <w:sz w:val="18"/>
                <w:szCs w:val="18"/>
                <w:lang w:eastAsia="hr-HR"/>
              </w:rPr>
              <w:t>936.526,20</w:t>
            </w:r>
          </w:p>
        </w:tc>
        <w:tc>
          <w:tcPr>
            <w:tcW w:w="1880" w:type="dxa"/>
            <w:tcBorders>
              <w:top w:val="nil"/>
              <w:left w:val="nil"/>
              <w:bottom w:val="nil"/>
              <w:right w:val="nil"/>
            </w:tcBorders>
            <w:shd w:val="clear" w:color="auto" w:fill="auto"/>
            <w:noWrap/>
            <w:vAlign w:val="bottom"/>
            <w:hideMark/>
          </w:tcPr>
          <w:p w14:paraId="1BD1361B" w14:textId="77777777" w:rsidR="001E3079" w:rsidRPr="001E3079" w:rsidRDefault="001E3079" w:rsidP="001E3079">
            <w:pPr>
              <w:spacing w:after="0" w:line="240" w:lineRule="auto"/>
              <w:jc w:val="right"/>
              <w:rPr>
                <w:rFonts w:ascii="Arial" w:hAnsi="Arial" w:cs="Arial"/>
                <w:sz w:val="18"/>
                <w:szCs w:val="18"/>
                <w:lang w:eastAsia="hr-HR"/>
              </w:rPr>
            </w:pPr>
            <w:r w:rsidRPr="001E3079">
              <w:rPr>
                <w:rFonts w:ascii="Arial" w:hAnsi="Arial" w:cs="Arial"/>
                <w:sz w:val="18"/>
                <w:szCs w:val="18"/>
                <w:lang w:eastAsia="hr-HR"/>
              </w:rPr>
              <w:t>922.771,34</w:t>
            </w:r>
          </w:p>
        </w:tc>
        <w:tc>
          <w:tcPr>
            <w:tcW w:w="1540" w:type="dxa"/>
            <w:tcBorders>
              <w:top w:val="nil"/>
              <w:left w:val="nil"/>
              <w:bottom w:val="nil"/>
              <w:right w:val="nil"/>
            </w:tcBorders>
            <w:shd w:val="clear" w:color="auto" w:fill="auto"/>
            <w:noWrap/>
            <w:vAlign w:val="bottom"/>
            <w:hideMark/>
          </w:tcPr>
          <w:p w14:paraId="44156839" w14:textId="77777777" w:rsidR="001E3079" w:rsidRPr="001E3079" w:rsidRDefault="001E3079" w:rsidP="001E3079">
            <w:pPr>
              <w:spacing w:after="0" w:line="240" w:lineRule="auto"/>
              <w:jc w:val="right"/>
              <w:rPr>
                <w:rFonts w:ascii="Arial" w:hAnsi="Arial" w:cs="Arial"/>
                <w:sz w:val="18"/>
                <w:szCs w:val="18"/>
                <w:lang w:eastAsia="hr-HR"/>
              </w:rPr>
            </w:pPr>
            <w:r w:rsidRPr="001E3079">
              <w:rPr>
                <w:rFonts w:ascii="Arial" w:hAnsi="Arial" w:cs="Arial"/>
                <w:sz w:val="18"/>
                <w:szCs w:val="18"/>
                <w:lang w:eastAsia="hr-HR"/>
              </w:rPr>
              <w:t>98,53%</w:t>
            </w:r>
          </w:p>
        </w:tc>
      </w:tr>
      <w:tr w:rsidR="001E3079" w:rsidRPr="001E3079" w14:paraId="7DCDC48D" w14:textId="77777777" w:rsidTr="001E3079">
        <w:trPr>
          <w:trHeight w:val="255"/>
        </w:trPr>
        <w:tc>
          <w:tcPr>
            <w:tcW w:w="2251" w:type="dxa"/>
            <w:tcBorders>
              <w:top w:val="nil"/>
              <w:left w:val="nil"/>
              <w:bottom w:val="nil"/>
              <w:right w:val="nil"/>
            </w:tcBorders>
            <w:shd w:val="clear" w:color="auto" w:fill="C6D9F1" w:themeFill="text2" w:themeFillTint="33"/>
            <w:noWrap/>
            <w:vAlign w:val="bottom"/>
            <w:hideMark/>
          </w:tcPr>
          <w:p w14:paraId="7B191439" w14:textId="77777777" w:rsidR="001E3079" w:rsidRPr="001E3079" w:rsidRDefault="001E3079" w:rsidP="001E3079">
            <w:pPr>
              <w:spacing w:after="0" w:line="240" w:lineRule="auto"/>
              <w:rPr>
                <w:rFonts w:ascii="Arial" w:hAnsi="Arial" w:cs="Arial"/>
                <w:b/>
                <w:bCs/>
                <w:sz w:val="18"/>
                <w:szCs w:val="18"/>
                <w:lang w:eastAsia="hr-HR"/>
              </w:rPr>
            </w:pPr>
            <w:r w:rsidRPr="001E3079">
              <w:rPr>
                <w:rFonts w:ascii="Arial" w:hAnsi="Arial" w:cs="Arial"/>
                <w:b/>
                <w:bCs/>
                <w:sz w:val="18"/>
                <w:szCs w:val="18"/>
                <w:lang w:eastAsia="hr-HR"/>
              </w:rPr>
              <w:t>Glava</w:t>
            </w:r>
          </w:p>
        </w:tc>
        <w:tc>
          <w:tcPr>
            <w:tcW w:w="729" w:type="dxa"/>
            <w:tcBorders>
              <w:top w:val="nil"/>
              <w:left w:val="nil"/>
              <w:bottom w:val="nil"/>
              <w:right w:val="nil"/>
            </w:tcBorders>
            <w:shd w:val="clear" w:color="auto" w:fill="C6D9F1" w:themeFill="text2" w:themeFillTint="33"/>
            <w:noWrap/>
            <w:vAlign w:val="bottom"/>
            <w:hideMark/>
          </w:tcPr>
          <w:p w14:paraId="0C29D3A2" w14:textId="77777777" w:rsidR="001E3079" w:rsidRPr="001E3079" w:rsidRDefault="001E3079" w:rsidP="001E3079">
            <w:pPr>
              <w:spacing w:after="0" w:line="240" w:lineRule="auto"/>
              <w:rPr>
                <w:rFonts w:ascii="Arial" w:hAnsi="Arial" w:cs="Arial"/>
                <w:b/>
                <w:bCs/>
                <w:sz w:val="18"/>
                <w:szCs w:val="18"/>
                <w:lang w:eastAsia="hr-HR"/>
              </w:rPr>
            </w:pPr>
            <w:r w:rsidRPr="001E3079">
              <w:rPr>
                <w:rFonts w:ascii="Arial" w:hAnsi="Arial" w:cs="Arial"/>
                <w:b/>
                <w:bCs/>
                <w:sz w:val="18"/>
                <w:szCs w:val="18"/>
                <w:lang w:eastAsia="hr-HR"/>
              </w:rPr>
              <w:t>00203</w:t>
            </w:r>
          </w:p>
        </w:tc>
        <w:tc>
          <w:tcPr>
            <w:tcW w:w="6234" w:type="dxa"/>
            <w:tcBorders>
              <w:top w:val="nil"/>
              <w:left w:val="nil"/>
              <w:bottom w:val="nil"/>
              <w:right w:val="nil"/>
            </w:tcBorders>
            <w:shd w:val="clear" w:color="auto" w:fill="C6D9F1" w:themeFill="text2" w:themeFillTint="33"/>
            <w:noWrap/>
            <w:vAlign w:val="bottom"/>
            <w:hideMark/>
          </w:tcPr>
          <w:p w14:paraId="3BA8AA52" w14:textId="77777777" w:rsidR="001E3079" w:rsidRPr="001E3079" w:rsidRDefault="001E3079" w:rsidP="001E3079">
            <w:pPr>
              <w:spacing w:after="0" w:line="240" w:lineRule="auto"/>
              <w:rPr>
                <w:rFonts w:ascii="Arial" w:hAnsi="Arial" w:cs="Arial"/>
                <w:b/>
                <w:bCs/>
                <w:sz w:val="18"/>
                <w:szCs w:val="18"/>
                <w:lang w:eastAsia="hr-HR"/>
              </w:rPr>
            </w:pPr>
            <w:r w:rsidRPr="001E3079">
              <w:rPr>
                <w:rFonts w:ascii="Arial" w:hAnsi="Arial" w:cs="Arial"/>
                <w:b/>
                <w:bCs/>
                <w:sz w:val="18"/>
                <w:szCs w:val="18"/>
                <w:lang w:eastAsia="hr-HR"/>
              </w:rPr>
              <w:t>PREDŠKOLSKI ODGOJ</w:t>
            </w:r>
          </w:p>
        </w:tc>
        <w:tc>
          <w:tcPr>
            <w:tcW w:w="1720" w:type="dxa"/>
            <w:tcBorders>
              <w:top w:val="nil"/>
              <w:left w:val="nil"/>
              <w:bottom w:val="nil"/>
              <w:right w:val="nil"/>
            </w:tcBorders>
            <w:shd w:val="clear" w:color="auto" w:fill="C6D9F1" w:themeFill="text2" w:themeFillTint="33"/>
            <w:noWrap/>
            <w:vAlign w:val="bottom"/>
            <w:hideMark/>
          </w:tcPr>
          <w:p w14:paraId="509AD5AB" w14:textId="77777777" w:rsidR="001E3079" w:rsidRPr="001E3079" w:rsidRDefault="001E3079" w:rsidP="001E3079">
            <w:pPr>
              <w:spacing w:after="0" w:line="240" w:lineRule="auto"/>
              <w:jc w:val="right"/>
              <w:rPr>
                <w:rFonts w:ascii="Arial" w:hAnsi="Arial" w:cs="Arial"/>
                <w:b/>
                <w:bCs/>
                <w:sz w:val="18"/>
                <w:szCs w:val="18"/>
                <w:lang w:eastAsia="hr-HR"/>
              </w:rPr>
            </w:pPr>
            <w:r w:rsidRPr="001E3079">
              <w:rPr>
                <w:rFonts w:ascii="Arial" w:hAnsi="Arial" w:cs="Arial"/>
                <w:b/>
                <w:bCs/>
                <w:sz w:val="18"/>
                <w:szCs w:val="18"/>
                <w:lang w:eastAsia="hr-HR"/>
              </w:rPr>
              <w:t>1.881.528,62</w:t>
            </w:r>
          </w:p>
        </w:tc>
        <w:tc>
          <w:tcPr>
            <w:tcW w:w="1880" w:type="dxa"/>
            <w:tcBorders>
              <w:top w:val="nil"/>
              <w:left w:val="nil"/>
              <w:bottom w:val="nil"/>
              <w:right w:val="nil"/>
            </w:tcBorders>
            <w:shd w:val="clear" w:color="auto" w:fill="C6D9F1" w:themeFill="text2" w:themeFillTint="33"/>
            <w:noWrap/>
            <w:vAlign w:val="bottom"/>
            <w:hideMark/>
          </w:tcPr>
          <w:p w14:paraId="5F03DEB4" w14:textId="77777777" w:rsidR="001E3079" w:rsidRPr="001E3079" w:rsidRDefault="001E3079" w:rsidP="001E3079">
            <w:pPr>
              <w:spacing w:after="0" w:line="240" w:lineRule="auto"/>
              <w:jc w:val="right"/>
              <w:rPr>
                <w:rFonts w:ascii="Arial" w:hAnsi="Arial" w:cs="Arial"/>
                <w:b/>
                <w:bCs/>
                <w:sz w:val="18"/>
                <w:szCs w:val="18"/>
                <w:lang w:eastAsia="hr-HR"/>
              </w:rPr>
            </w:pPr>
            <w:r w:rsidRPr="001E3079">
              <w:rPr>
                <w:rFonts w:ascii="Arial" w:hAnsi="Arial" w:cs="Arial"/>
                <w:b/>
                <w:bCs/>
                <w:sz w:val="18"/>
                <w:szCs w:val="18"/>
                <w:lang w:eastAsia="hr-HR"/>
              </w:rPr>
              <w:t>1.762.947,50</w:t>
            </w:r>
          </w:p>
        </w:tc>
        <w:tc>
          <w:tcPr>
            <w:tcW w:w="1540" w:type="dxa"/>
            <w:tcBorders>
              <w:top w:val="nil"/>
              <w:left w:val="nil"/>
              <w:bottom w:val="nil"/>
              <w:right w:val="nil"/>
            </w:tcBorders>
            <w:shd w:val="clear" w:color="auto" w:fill="C6D9F1" w:themeFill="text2" w:themeFillTint="33"/>
            <w:noWrap/>
            <w:vAlign w:val="bottom"/>
            <w:hideMark/>
          </w:tcPr>
          <w:p w14:paraId="32839A93" w14:textId="77777777" w:rsidR="001E3079" w:rsidRPr="001E3079" w:rsidRDefault="001E3079" w:rsidP="001E3079">
            <w:pPr>
              <w:spacing w:after="0" w:line="240" w:lineRule="auto"/>
              <w:jc w:val="right"/>
              <w:rPr>
                <w:rFonts w:ascii="Arial" w:hAnsi="Arial" w:cs="Arial"/>
                <w:b/>
                <w:bCs/>
                <w:sz w:val="18"/>
                <w:szCs w:val="18"/>
                <w:lang w:eastAsia="hr-HR"/>
              </w:rPr>
            </w:pPr>
            <w:r w:rsidRPr="001E3079">
              <w:rPr>
                <w:rFonts w:ascii="Arial" w:hAnsi="Arial" w:cs="Arial"/>
                <w:b/>
                <w:bCs/>
                <w:sz w:val="18"/>
                <w:szCs w:val="18"/>
                <w:lang w:eastAsia="hr-HR"/>
              </w:rPr>
              <w:t>93,70%</w:t>
            </w:r>
          </w:p>
        </w:tc>
      </w:tr>
      <w:tr w:rsidR="001E3079" w:rsidRPr="001E3079" w14:paraId="5C6764C8" w14:textId="77777777" w:rsidTr="001E3079">
        <w:trPr>
          <w:trHeight w:val="255"/>
        </w:trPr>
        <w:tc>
          <w:tcPr>
            <w:tcW w:w="2251" w:type="dxa"/>
            <w:tcBorders>
              <w:top w:val="nil"/>
              <w:left w:val="nil"/>
              <w:bottom w:val="nil"/>
              <w:right w:val="nil"/>
            </w:tcBorders>
            <w:shd w:val="clear" w:color="auto" w:fill="auto"/>
            <w:noWrap/>
            <w:vAlign w:val="bottom"/>
            <w:hideMark/>
          </w:tcPr>
          <w:p w14:paraId="59FA5C8B" w14:textId="77777777" w:rsidR="001E3079" w:rsidRPr="001E3079" w:rsidRDefault="001E3079" w:rsidP="001E3079">
            <w:pPr>
              <w:spacing w:after="0" w:line="240" w:lineRule="auto"/>
              <w:rPr>
                <w:rFonts w:ascii="Arial" w:hAnsi="Arial" w:cs="Arial"/>
                <w:sz w:val="18"/>
                <w:szCs w:val="18"/>
                <w:lang w:eastAsia="hr-HR"/>
              </w:rPr>
            </w:pPr>
            <w:r w:rsidRPr="001E3079">
              <w:rPr>
                <w:rFonts w:ascii="Arial" w:hAnsi="Arial" w:cs="Arial"/>
                <w:sz w:val="18"/>
                <w:szCs w:val="18"/>
                <w:lang w:eastAsia="hr-HR"/>
              </w:rPr>
              <w:t>Proračunski korisnik</w:t>
            </w:r>
          </w:p>
        </w:tc>
        <w:tc>
          <w:tcPr>
            <w:tcW w:w="729" w:type="dxa"/>
            <w:tcBorders>
              <w:top w:val="nil"/>
              <w:left w:val="nil"/>
              <w:bottom w:val="nil"/>
              <w:right w:val="nil"/>
            </w:tcBorders>
            <w:shd w:val="clear" w:color="auto" w:fill="auto"/>
            <w:noWrap/>
            <w:vAlign w:val="bottom"/>
            <w:hideMark/>
          </w:tcPr>
          <w:p w14:paraId="74BD1C21" w14:textId="77777777" w:rsidR="001E3079" w:rsidRPr="001E3079" w:rsidRDefault="001E3079" w:rsidP="001E3079">
            <w:pPr>
              <w:spacing w:after="0" w:line="240" w:lineRule="auto"/>
              <w:rPr>
                <w:rFonts w:ascii="Arial" w:hAnsi="Arial" w:cs="Arial"/>
                <w:sz w:val="18"/>
                <w:szCs w:val="18"/>
                <w:lang w:eastAsia="hr-HR"/>
              </w:rPr>
            </w:pPr>
            <w:r w:rsidRPr="001E3079">
              <w:rPr>
                <w:rFonts w:ascii="Arial" w:hAnsi="Arial" w:cs="Arial"/>
                <w:sz w:val="18"/>
                <w:szCs w:val="18"/>
                <w:lang w:eastAsia="hr-HR"/>
              </w:rPr>
              <w:t>34694</w:t>
            </w:r>
          </w:p>
        </w:tc>
        <w:tc>
          <w:tcPr>
            <w:tcW w:w="6234" w:type="dxa"/>
            <w:tcBorders>
              <w:top w:val="nil"/>
              <w:left w:val="nil"/>
              <w:bottom w:val="nil"/>
              <w:right w:val="nil"/>
            </w:tcBorders>
            <w:shd w:val="clear" w:color="auto" w:fill="auto"/>
            <w:noWrap/>
            <w:vAlign w:val="bottom"/>
            <w:hideMark/>
          </w:tcPr>
          <w:p w14:paraId="15ED23D0" w14:textId="77777777" w:rsidR="001E3079" w:rsidRPr="001E3079" w:rsidRDefault="001E3079" w:rsidP="001E3079">
            <w:pPr>
              <w:spacing w:after="0" w:line="240" w:lineRule="auto"/>
              <w:rPr>
                <w:rFonts w:ascii="Arial" w:hAnsi="Arial" w:cs="Arial"/>
                <w:sz w:val="18"/>
                <w:szCs w:val="18"/>
                <w:lang w:eastAsia="hr-HR"/>
              </w:rPr>
            </w:pPr>
            <w:r w:rsidRPr="001E3079">
              <w:rPr>
                <w:rFonts w:ascii="Arial" w:hAnsi="Arial" w:cs="Arial"/>
                <w:sz w:val="18"/>
                <w:szCs w:val="18"/>
                <w:lang w:eastAsia="hr-HR"/>
              </w:rPr>
              <w:t>DJEČJI VRTIĆ MASLAČAK</w:t>
            </w:r>
          </w:p>
        </w:tc>
        <w:tc>
          <w:tcPr>
            <w:tcW w:w="1720" w:type="dxa"/>
            <w:tcBorders>
              <w:top w:val="nil"/>
              <w:left w:val="nil"/>
              <w:bottom w:val="nil"/>
              <w:right w:val="nil"/>
            </w:tcBorders>
            <w:shd w:val="clear" w:color="auto" w:fill="auto"/>
            <w:noWrap/>
            <w:vAlign w:val="bottom"/>
            <w:hideMark/>
          </w:tcPr>
          <w:p w14:paraId="4583A5EC" w14:textId="77777777" w:rsidR="001E3079" w:rsidRPr="001E3079" w:rsidRDefault="001E3079" w:rsidP="001E3079">
            <w:pPr>
              <w:spacing w:after="0" w:line="240" w:lineRule="auto"/>
              <w:jc w:val="right"/>
              <w:rPr>
                <w:rFonts w:ascii="Arial" w:hAnsi="Arial" w:cs="Arial"/>
                <w:sz w:val="18"/>
                <w:szCs w:val="18"/>
                <w:lang w:eastAsia="hr-HR"/>
              </w:rPr>
            </w:pPr>
            <w:r w:rsidRPr="001E3079">
              <w:rPr>
                <w:rFonts w:ascii="Arial" w:hAnsi="Arial" w:cs="Arial"/>
                <w:sz w:val="18"/>
                <w:szCs w:val="18"/>
                <w:lang w:eastAsia="hr-HR"/>
              </w:rPr>
              <w:t>1.881.528,62</w:t>
            </w:r>
          </w:p>
        </w:tc>
        <w:tc>
          <w:tcPr>
            <w:tcW w:w="1880" w:type="dxa"/>
            <w:tcBorders>
              <w:top w:val="nil"/>
              <w:left w:val="nil"/>
              <w:bottom w:val="nil"/>
              <w:right w:val="nil"/>
            </w:tcBorders>
            <w:shd w:val="clear" w:color="auto" w:fill="auto"/>
            <w:noWrap/>
            <w:vAlign w:val="bottom"/>
            <w:hideMark/>
          </w:tcPr>
          <w:p w14:paraId="668133E3" w14:textId="77777777" w:rsidR="001E3079" w:rsidRPr="001E3079" w:rsidRDefault="001E3079" w:rsidP="001E3079">
            <w:pPr>
              <w:spacing w:after="0" w:line="240" w:lineRule="auto"/>
              <w:jc w:val="right"/>
              <w:rPr>
                <w:rFonts w:ascii="Arial" w:hAnsi="Arial" w:cs="Arial"/>
                <w:sz w:val="18"/>
                <w:szCs w:val="18"/>
                <w:lang w:eastAsia="hr-HR"/>
              </w:rPr>
            </w:pPr>
            <w:r w:rsidRPr="001E3079">
              <w:rPr>
                <w:rFonts w:ascii="Arial" w:hAnsi="Arial" w:cs="Arial"/>
                <w:sz w:val="18"/>
                <w:szCs w:val="18"/>
                <w:lang w:eastAsia="hr-HR"/>
              </w:rPr>
              <w:t>1.762.947,50</w:t>
            </w:r>
          </w:p>
        </w:tc>
        <w:tc>
          <w:tcPr>
            <w:tcW w:w="1540" w:type="dxa"/>
            <w:tcBorders>
              <w:top w:val="nil"/>
              <w:left w:val="nil"/>
              <w:bottom w:val="nil"/>
              <w:right w:val="nil"/>
            </w:tcBorders>
            <w:shd w:val="clear" w:color="auto" w:fill="auto"/>
            <w:noWrap/>
            <w:vAlign w:val="bottom"/>
            <w:hideMark/>
          </w:tcPr>
          <w:p w14:paraId="05B06D8D" w14:textId="77777777" w:rsidR="001E3079" w:rsidRPr="001E3079" w:rsidRDefault="001E3079" w:rsidP="001E3079">
            <w:pPr>
              <w:spacing w:after="0" w:line="240" w:lineRule="auto"/>
              <w:jc w:val="right"/>
              <w:rPr>
                <w:rFonts w:ascii="Arial" w:hAnsi="Arial" w:cs="Arial"/>
                <w:sz w:val="18"/>
                <w:szCs w:val="18"/>
                <w:lang w:eastAsia="hr-HR"/>
              </w:rPr>
            </w:pPr>
            <w:r w:rsidRPr="001E3079">
              <w:rPr>
                <w:rFonts w:ascii="Arial" w:hAnsi="Arial" w:cs="Arial"/>
                <w:sz w:val="18"/>
                <w:szCs w:val="18"/>
                <w:lang w:eastAsia="hr-HR"/>
              </w:rPr>
              <w:t>93,70%</w:t>
            </w:r>
          </w:p>
        </w:tc>
      </w:tr>
      <w:tr w:rsidR="001E3079" w:rsidRPr="001E3079" w14:paraId="797FE81C" w14:textId="77777777" w:rsidTr="001E3079">
        <w:trPr>
          <w:trHeight w:val="255"/>
        </w:trPr>
        <w:tc>
          <w:tcPr>
            <w:tcW w:w="2251" w:type="dxa"/>
            <w:tcBorders>
              <w:top w:val="nil"/>
              <w:left w:val="nil"/>
              <w:bottom w:val="nil"/>
              <w:right w:val="nil"/>
            </w:tcBorders>
            <w:shd w:val="clear" w:color="auto" w:fill="C6D9F1" w:themeFill="text2" w:themeFillTint="33"/>
            <w:noWrap/>
            <w:vAlign w:val="bottom"/>
            <w:hideMark/>
          </w:tcPr>
          <w:p w14:paraId="05922D18" w14:textId="77777777" w:rsidR="001E3079" w:rsidRPr="001E3079" w:rsidRDefault="001E3079" w:rsidP="001E3079">
            <w:pPr>
              <w:spacing w:after="0" w:line="240" w:lineRule="auto"/>
              <w:rPr>
                <w:rFonts w:ascii="Arial" w:hAnsi="Arial" w:cs="Arial"/>
                <w:b/>
                <w:bCs/>
                <w:sz w:val="18"/>
                <w:szCs w:val="18"/>
                <w:lang w:eastAsia="hr-HR"/>
              </w:rPr>
            </w:pPr>
            <w:r w:rsidRPr="001E3079">
              <w:rPr>
                <w:rFonts w:ascii="Arial" w:hAnsi="Arial" w:cs="Arial"/>
                <w:b/>
                <w:bCs/>
                <w:sz w:val="18"/>
                <w:szCs w:val="18"/>
                <w:lang w:eastAsia="hr-HR"/>
              </w:rPr>
              <w:t>Glava</w:t>
            </w:r>
          </w:p>
        </w:tc>
        <w:tc>
          <w:tcPr>
            <w:tcW w:w="729" w:type="dxa"/>
            <w:tcBorders>
              <w:top w:val="nil"/>
              <w:left w:val="nil"/>
              <w:bottom w:val="nil"/>
              <w:right w:val="nil"/>
            </w:tcBorders>
            <w:shd w:val="clear" w:color="auto" w:fill="C6D9F1" w:themeFill="text2" w:themeFillTint="33"/>
            <w:noWrap/>
            <w:vAlign w:val="bottom"/>
            <w:hideMark/>
          </w:tcPr>
          <w:p w14:paraId="53D89C6D" w14:textId="77777777" w:rsidR="001E3079" w:rsidRPr="001E3079" w:rsidRDefault="001E3079" w:rsidP="001E3079">
            <w:pPr>
              <w:spacing w:after="0" w:line="240" w:lineRule="auto"/>
              <w:rPr>
                <w:rFonts w:ascii="Arial" w:hAnsi="Arial" w:cs="Arial"/>
                <w:b/>
                <w:bCs/>
                <w:sz w:val="18"/>
                <w:szCs w:val="18"/>
                <w:lang w:eastAsia="hr-HR"/>
              </w:rPr>
            </w:pPr>
            <w:r w:rsidRPr="001E3079">
              <w:rPr>
                <w:rFonts w:ascii="Arial" w:hAnsi="Arial" w:cs="Arial"/>
                <w:b/>
                <w:bCs/>
                <w:sz w:val="18"/>
                <w:szCs w:val="18"/>
                <w:lang w:eastAsia="hr-HR"/>
              </w:rPr>
              <w:t>00204</w:t>
            </w:r>
          </w:p>
        </w:tc>
        <w:tc>
          <w:tcPr>
            <w:tcW w:w="6234" w:type="dxa"/>
            <w:tcBorders>
              <w:top w:val="nil"/>
              <w:left w:val="nil"/>
              <w:bottom w:val="nil"/>
              <w:right w:val="nil"/>
            </w:tcBorders>
            <w:shd w:val="clear" w:color="auto" w:fill="C6D9F1" w:themeFill="text2" w:themeFillTint="33"/>
            <w:noWrap/>
            <w:vAlign w:val="bottom"/>
            <w:hideMark/>
          </w:tcPr>
          <w:p w14:paraId="37F5EFF8" w14:textId="77777777" w:rsidR="001E3079" w:rsidRPr="001E3079" w:rsidRDefault="001E3079" w:rsidP="001E3079">
            <w:pPr>
              <w:spacing w:after="0" w:line="240" w:lineRule="auto"/>
              <w:rPr>
                <w:rFonts w:ascii="Arial" w:hAnsi="Arial" w:cs="Arial"/>
                <w:b/>
                <w:bCs/>
                <w:sz w:val="18"/>
                <w:szCs w:val="18"/>
                <w:lang w:eastAsia="hr-HR"/>
              </w:rPr>
            </w:pPr>
            <w:r w:rsidRPr="001E3079">
              <w:rPr>
                <w:rFonts w:ascii="Arial" w:hAnsi="Arial" w:cs="Arial"/>
                <w:b/>
                <w:bCs/>
                <w:sz w:val="18"/>
                <w:szCs w:val="18"/>
                <w:lang w:eastAsia="hr-HR"/>
              </w:rPr>
              <w:t>USTANOVE KULTURE</w:t>
            </w:r>
          </w:p>
        </w:tc>
        <w:tc>
          <w:tcPr>
            <w:tcW w:w="1720" w:type="dxa"/>
            <w:tcBorders>
              <w:top w:val="nil"/>
              <w:left w:val="nil"/>
              <w:bottom w:val="nil"/>
              <w:right w:val="nil"/>
            </w:tcBorders>
            <w:shd w:val="clear" w:color="auto" w:fill="C6D9F1" w:themeFill="text2" w:themeFillTint="33"/>
            <w:noWrap/>
            <w:vAlign w:val="bottom"/>
            <w:hideMark/>
          </w:tcPr>
          <w:p w14:paraId="7103C5EC" w14:textId="77777777" w:rsidR="001E3079" w:rsidRPr="001E3079" w:rsidRDefault="001E3079" w:rsidP="001E3079">
            <w:pPr>
              <w:spacing w:after="0" w:line="240" w:lineRule="auto"/>
              <w:jc w:val="right"/>
              <w:rPr>
                <w:rFonts w:ascii="Arial" w:hAnsi="Arial" w:cs="Arial"/>
                <w:b/>
                <w:bCs/>
                <w:sz w:val="18"/>
                <w:szCs w:val="18"/>
                <w:lang w:eastAsia="hr-HR"/>
              </w:rPr>
            </w:pPr>
            <w:r w:rsidRPr="001E3079">
              <w:rPr>
                <w:rFonts w:ascii="Arial" w:hAnsi="Arial" w:cs="Arial"/>
                <w:b/>
                <w:bCs/>
                <w:sz w:val="18"/>
                <w:szCs w:val="18"/>
                <w:lang w:eastAsia="hr-HR"/>
              </w:rPr>
              <w:t>165.900,00</w:t>
            </w:r>
          </w:p>
        </w:tc>
        <w:tc>
          <w:tcPr>
            <w:tcW w:w="1880" w:type="dxa"/>
            <w:tcBorders>
              <w:top w:val="nil"/>
              <w:left w:val="nil"/>
              <w:bottom w:val="nil"/>
              <w:right w:val="nil"/>
            </w:tcBorders>
            <w:shd w:val="clear" w:color="auto" w:fill="C6D9F1" w:themeFill="text2" w:themeFillTint="33"/>
            <w:noWrap/>
            <w:vAlign w:val="bottom"/>
            <w:hideMark/>
          </w:tcPr>
          <w:p w14:paraId="38CCDDDB" w14:textId="77777777" w:rsidR="001E3079" w:rsidRPr="001E3079" w:rsidRDefault="001E3079" w:rsidP="001E3079">
            <w:pPr>
              <w:spacing w:after="0" w:line="240" w:lineRule="auto"/>
              <w:jc w:val="right"/>
              <w:rPr>
                <w:rFonts w:ascii="Arial" w:hAnsi="Arial" w:cs="Arial"/>
                <w:b/>
                <w:bCs/>
                <w:sz w:val="18"/>
                <w:szCs w:val="18"/>
                <w:lang w:eastAsia="hr-HR"/>
              </w:rPr>
            </w:pPr>
            <w:r w:rsidRPr="001E3079">
              <w:rPr>
                <w:rFonts w:ascii="Arial" w:hAnsi="Arial" w:cs="Arial"/>
                <w:b/>
                <w:bCs/>
                <w:sz w:val="18"/>
                <w:szCs w:val="18"/>
                <w:lang w:eastAsia="hr-HR"/>
              </w:rPr>
              <w:t>161.463,32</w:t>
            </w:r>
          </w:p>
        </w:tc>
        <w:tc>
          <w:tcPr>
            <w:tcW w:w="1540" w:type="dxa"/>
            <w:tcBorders>
              <w:top w:val="nil"/>
              <w:left w:val="nil"/>
              <w:bottom w:val="nil"/>
              <w:right w:val="nil"/>
            </w:tcBorders>
            <w:shd w:val="clear" w:color="auto" w:fill="C6D9F1" w:themeFill="text2" w:themeFillTint="33"/>
            <w:noWrap/>
            <w:vAlign w:val="bottom"/>
            <w:hideMark/>
          </w:tcPr>
          <w:p w14:paraId="2667DC6C" w14:textId="77777777" w:rsidR="001E3079" w:rsidRPr="001E3079" w:rsidRDefault="001E3079" w:rsidP="001E3079">
            <w:pPr>
              <w:spacing w:after="0" w:line="240" w:lineRule="auto"/>
              <w:jc w:val="right"/>
              <w:rPr>
                <w:rFonts w:ascii="Arial" w:hAnsi="Arial" w:cs="Arial"/>
                <w:b/>
                <w:bCs/>
                <w:sz w:val="18"/>
                <w:szCs w:val="18"/>
                <w:lang w:eastAsia="hr-HR"/>
              </w:rPr>
            </w:pPr>
            <w:r w:rsidRPr="001E3079">
              <w:rPr>
                <w:rFonts w:ascii="Arial" w:hAnsi="Arial" w:cs="Arial"/>
                <w:b/>
                <w:bCs/>
                <w:sz w:val="18"/>
                <w:szCs w:val="18"/>
                <w:lang w:eastAsia="hr-HR"/>
              </w:rPr>
              <w:t>97,33%</w:t>
            </w:r>
          </w:p>
        </w:tc>
      </w:tr>
      <w:tr w:rsidR="001E3079" w:rsidRPr="001E3079" w14:paraId="715E8C2C" w14:textId="77777777" w:rsidTr="001E3079">
        <w:trPr>
          <w:trHeight w:val="255"/>
        </w:trPr>
        <w:tc>
          <w:tcPr>
            <w:tcW w:w="2251" w:type="dxa"/>
            <w:tcBorders>
              <w:top w:val="nil"/>
              <w:left w:val="nil"/>
              <w:bottom w:val="nil"/>
              <w:right w:val="nil"/>
            </w:tcBorders>
            <w:shd w:val="clear" w:color="auto" w:fill="auto"/>
            <w:noWrap/>
            <w:vAlign w:val="bottom"/>
            <w:hideMark/>
          </w:tcPr>
          <w:p w14:paraId="3AF861F3" w14:textId="77777777" w:rsidR="001E3079" w:rsidRPr="001E3079" w:rsidRDefault="001E3079" w:rsidP="001E3079">
            <w:pPr>
              <w:spacing w:after="0" w:line="240" w:lineRule="auto"/>
              <w:rPr>
                <w:rFonts w:ascii="Arial" w:hAnsi="Arial" w:cs="Arial"/>
                <w:sz w:val="18"/>
                <w:szCs w:val="18"/>
                <w:lang w:eastAsia="hr-HR"/>
              </w:rPr>
            </w:pPr>
            <w:r w:rsidRPr="001E3079">
              <w:rPr>
                <w:rFonts w:ascii="Arial" w:hAnsi="Arial" w:cs="Arial"/>
                <w:sz w:val="18"/>
                <w:szCs w:val="18"/>
                <w:lang w:eastAsia="hr-HR"/>
              </w:rPr>
              <w:t>Proračunski korisnik</w:t>
            </w:r>
          </w:p>
        </w:tc>
        <w:tc>
          <w:tcPr>
            <w:tcW w:w="729" w:type="dxa"/>
            <w:tcBorders>
              <w:top w:val="nil"/>
              <w:left w:val="nil"/>
              <w:bottom w:val="nil"/>
              <w:right w:val="nil"/>
            </w:tcBorders>
            <w:shd w:val="clear" w:color="auto" w:fill="auto"/>
            <w:noWrap/>
            <w:vAlign w:val="bottom"/>
            <w:hideMark/>
          </w:tcPr>
          <w:p w14:paraId="65D270C8" w14:textId="77777777" w:rsidR="001E3079" w:rsidRPr="001E3079" w:rsidRDefault="001E3079" w:rsidP="001E3079">
            <w:pPr>
              <w:spacing w:after="0" w:line="240" w:lineRule="auto"/>
              <w:rPr>
                <w:rFonts w:ascii="Arial" w:hAnsi="Arial" w:cs="Arial"/>
                <w:sz w:val="18"/>
                <w:szCs w:val="18"/>
                <w:lang w:eastAsia="hr-HR"/>
              </w:rPr>
            </w:pPr>
            <w:r w:rsidRPr="001E3079">
              <w:rPr>
                <w:rFonts w:ascii="Arial" w:hAnsi="Arial" w:cs="Arial"/>
                <w:sz w:val="18"/>
                <w:szCs w:val="18"/>
                <w:lang w:eastAsia="hr-HR"/>
              </w:rPr>
              <w:t>34686</w:t>
            </w:r>
          </w:p>
        </w:tc>
        <w:tc>
          <w:tcPr>
            <w:tcW w:w="6234" w:type="dxa"/>
            <w:tcBorders>
              <w:top w:val="nil"/>
              <w:left w:val="nil"/>
              <w:bottom w:val="nil"/>
              <w:right w:val="nil"/>
            </w:tcBorders>
            <w:shd w:val="clear" w:color="auto" w:fill="auto"/>
            <w:noWrap/>
            <w:vAlign w:val="bottom"/>
            <w:hideMark/>
          </w:tcPr>
          <w:p w14:paraId="553D89C3" w14:textId="77777777" w:rsidR="001E3079" w:rsidRPr="001E3079" w:rsidRDefault="001E3079" w:rsidP="001E3079">
            <w:pPr>
              <w:spacing w:after="0" w:line="240" w:lineRule="auto"/>
              <w:rPr>
                <w:rFonts w:ascii="Arial" w:hAnsi="Arial" w:cs="Arial"/>
                <w:sz w:val="18"/>
                <w:szCs w:val="18"/>
                <w:lang w:eastAsia="hr-HR"/>
              </w:rPr>
            </w:pPr>
            <w:r w:rsidRPr="001E3079">
              <w:rPr>
                <w:rFonts w:ascii="Arial" w:hAnsi="Arial" w:cs="Arial"/>
                <w:sz w:val="18"/>
                <w:szCs w:val="18"/>
                <w:lang w:eastAsia="hr-HR"/>
              </w:rPr>
              <w:t>HRVATSKA KNJIŽNICA I ČITAONICA "ĐURO SUDETA"</w:t>
            </w:r>
          </w:p>
        </w:tc>
        <w:tc>
          <w:tcPr>
            <w:tcW w:w="1720" w:type="dxa"/>
            <w:tcBorders>
              <w:top w:val="nil"/>
              <w:left w:val="nil"/>
              <w:bottom w:val="nil"/>
              <w:right w:val="nil"/>
            </w:tcBorders>
            <w:shd w:val="clear" w:color="auto" w:fill="auto"/>
            <w:noWrap/>
            <w:vAlign w:val="bottom"/>
            <w:hideMark/>
          </w:tcPr>
          <w:p w14:paraId="34DAE744" w14:textId="77777777" w:rsidR="001E3079" w:rsidRPr="001E3079" w:rsidRDefault="001E3079" w:rsidP="001E3079">
            <w:pPr>
              <w:spacing w:after="0" w:line="240" w:lineRule="auto"/>
              <w:jc w:val="right"/>
              <w:rPr>
                <w:rFonts w:ascii="Arial" w:hAnsi="Arial" w:cs="Arial"/>
                <w:sz w:val="18"/>
                <w:szCs w:val="18"/>
                <w:lang w:eastAsia="hr-HR"/>
              </w:rPr>
            </w:pPr>
            <w:r w:rsidRPr="001E3079">
              <w:rPr>
                <w:rFonts w:ascii="Arial" w:hAnsi="Arial" w:cs="Arial"/>
                <w:sz w:val="18"/>
                <w:szCs w:val="18"/>
                <w:lang w:eastAsia="hr-HR"/>
              </w:rPr>
              <w:t>165.900,00</w:t>
            </w:r>
          </w:p>
        </w:tc>
        <w:tc>
          <w:tcPr>
            <w:tcW w:w="1880" w:type="dxa"/>
            <w:tcBorders>
              <w:top w:val="nil"/>
              <w:left w:val="nil"/>
              <w:bottom w:val="nil"/>
              <w:right w:val="nil"/>
            </w:tcBorders>
            <w:shd w:val="clear" w:color="auto" w:fill="auto"/>
            <w:noWrap/>
            <w:vAlign w:val="bottom"/>
            <w:hideMark/>
          </w:tcPr>
          <w:p w14:paraId="4CE6E4FC" w14:textId="77777777" w:rsidR="001E3079" w:rsidRPr="001E3079" w:rsidRDefault="001E3079" w:rsidP="001E3079">
            <w:pPr>
              <w:spacing w:after="0" w:line="240" w:lineRule="auto"/>
              <w:jc w:val="right"/>
              <w:rPr>
                <w:rFonts w:ascii="Arial" w:hAnsi="Arial" w:cs="Arial"/>
                <w:sz w:val="18"/>
                <w:szCs w:val="18"/>
                <w:lang w:eastAsia="hr-HR"/>
              </w:rPr>
            </w:pPr>
            <w:r w:rsidRPr="001E3079">
              <w:rPr>
                <w:rFonts w:ascii="Arial" w:hAnsi="Arial" w:cs="Arial"/>
                <w:sz w:val="18"/>
                <w:szCs w:val="18"/>
                <w:lang w:eastAsia="hr-HR"/>
              </w:rPr>
              <w:t>161.463,32</w:t>
            </w:r>
          </w:p>
        </w:tc>
        <w:tc>
          <w:tcPr>
            <w:tcW w:w="1540" w:type="dxa"/>
            <w:tcBorders>
              <w:top w:val="nil"/>
              <w:left w:val="nil"/>
              <w:bottom w:val="nil"/>
              <w:right w:val="nil"/>
            </w:tcBorders>
            <w:shd w:val="clear" w:color="auto" w:fill="auto"/>
            <w:noWrap/>
            <w:vAlign w:val="bottom"/>
            <w:hideMark/>
          </w:tcPr>
          <w:p w14:paraId="50EB63C0" w14:textId="77777777" w:rsidR="001E3079" w:rsidRPr="001E3079" w:rsidRDefault="001E3079" w:rsidP="001E3079">
            <w:pPr>
              <w:spacing w:after="0" w:line="240" w:lineRule="auto"/>
              <w:jc w:val="right"/>
              <w:rPr>
                <w:rFonts w:ascii="Arial" w:hAnsi="Arial" w:cs="Arial"/>
                <w:sz w:val="18"/>
                <w:szCs w:val="18"/>
                <w:lang w:eastAsia="hr-HR"/>
              </w:rPr>
            </w:pPr>
            <w:r w:rsidRPr="001E3079">
              <w:rPr>
                <w:rFonts w:ascii="Arial" w:hAnsi="Arial" w:cs="Arial"/>
                <w:sz w:val="18"/>
                <w:szCs w:val="18"/>
                <w:lang w:eastAsia="hr-HR"/>
              </w:rPr>
              <w:t>97,33%</w:t>
            </w:r>
          </w:p>
        </w:tc>
      </w:tr>
      <w:tr w:rsidR="001E3079" w:rsidRPr="001E3079" w14:paraId="588E7F63" w14:textId="77777777" w:rsidTr="001E3079">
        <w:trPr>
          <w:trHeight w:val="255"/>
        </w:trPr>
        <w:tc>
          <w:tcPr>
            <w:tcW w:w="2251" w:type="dxa"/>
            <w:tcBorders>
              <w:top w:val="nil"/>
              <w:left w:val="nil"/>
              <w:bottom w:val="nil"/>
              <w:right w:val="nil"/>
            </w:tcBorders>
            <w:shd w:val="clear" w:color="auto" w:fill="C6D9F1" w:themeFill="text2" w:themeFillTint="33"/>
            <w:noWrap/>
            <w:vAlign w:val="bottom"/>
            <w:hideMark/>
          </w:tcPr>
          <w:p w14:paraId="53346281" w14:textId="77777777" w:rsidR="001E3079" w:rsidRPr="001E3079" w:rsidRDefault="001E3079" w:rsidP="001E3079">
            <w:pPr>
              <w:spacing w:after="0" w:line="240" w:lineRule="auto"/>
              <w:rPr>
                <w:rFonts w:ascii="Arial" w:hAnsi="Arial" w:cs="Arial"/>
                <w:b/>
                <w:bCs/>
                <w:sz w:val="18"/>
                <w:szCs w:val="18"/>
                <w:lang w:eastAsia="hr-HR"/>
              </w:rPr>
            </w:pPr>
            <w:r w:rsidRPr="001E3079">
              <w:rPr>
                <w:rFonts w:ascii="Arial" w:hAnsi="Arial" w:cs="Arial"/>
                <w:b/>
                <w:bCs/>
                <w:sz w:val="18"/>
                <w:szCs w:val="18"/>
                <w:lang w:eastAsia="hr-HR"/>
              </w:rPr>
              <w:t>Glava</w:t>
            </w:r>
          </w:p>
        </w:tc>
        <w:tc>
          <w:tcPr>
            <w:tcW w:w="729" w:type="dxa"/>
            <w:tcBorders>
              <w:top w:val="nil"/>
              <w:left w:val="nil"/>
              <w:bottom w:val="nil"/>
              <w:right w:val="nil"/>
            </w:tcBorders>
            <w:shd w:val="clear" w:color="auto" w:fill="C6D9F1" w:themeFill="text2" w:themeFillTint="33"/>
            <w:noWrap/>
            <w:vAlign w:val="bottom"/>
            <w:hideMark/>
          </w:tcPr>
          <w:p w14:paraId="1BB3C5B5" w14:textId="77777777" w:rsidR="001E3079" w:rsidRPr="001E3079" w:rsidRDefault="001E3079" w:rsidP="001E3079">
            <w:pPr>
              <w:spacing w:after="0" w:line="240" w:lineRule="auto"/>
              <w:rPr>
                <w:rFonts w:ascii="Arial" w:hAnsi="Arial" w:cs="Arial"/>
                <w:b/>
                <w:bCs/>
                <w:sz w:val="18"/>
                <w:szCs w:val="18"/>
                <w:lang w:eastAsia="hr-HR"/>
              </w:rPr>
            </w:pPr>
            <w:r w:rsidRPr="001E3079">
              <w:rPr>
                <w:rFonts w:ascii="Arial" w:hAnsi="Arial" w:cs="Arial"/>
                <w:b/>
                <w:bCs/>
                <w:sz w:val="18"/>
                <w:szCs w:val="18"/>
                <w:lang w:eastAsia="hr-HR"/>
              </w:rPr>
              <w:t>00205</w:t>
            </w:r>
          </w:p>
        </w:tc>
        <w:tc>
          <w:tcPr>
            <w:tcW w:w="6234" w:type="dxa"/>
            <w:tcBorders>
              <w:top w:val="nil"/>
              <w:left w:val="nil"/>
              <w:bottom w:val="nil"/>
              <w:right w:val="nil"/>
            </w:tcBorders>
            <w:shd w:val="clear" w:color="auto" w:fill="C6D9F1" w:themeFill="text2" w:themeFillTint="33"/>
            <w:noWrap/>
            <w:vAlign w:val="bottom"/>
            <w:hideMark/>
          </w:tcPr>
          <w:p w14:paraId="5AB4783C" w14:textId="77777777" w:rsidR="001E3079" w:rsidRPr="001E3079" w:rsidRDefault="001E3079" w:rsidP="001E3079">
            <w:pPr>
              <w:spacing w:after="0" w:line="240" w:lineRule="auto"/>
              <w:rPr>
                <w:rFonts w:ascii="Arial" w:hAnsi="Arial" w:cs="Arial"/>
                <w:b/>
                <w:bCs/>
                <w:sz w:val="18"/>
                <w:szCs w:val="18"/>
                <w:lang w:eastAsia="hr-HR"/>
              </w:rPr>
            </w:pPr>
            <w:r w:rsidRPr="001E3079">
              <w:rPr>
                <w:rFonts w:ascii="Arial" w:hAnsi="Arial" w:cs="Arial"/>
                <w:b/>
                <w:bCs/>
                <w:sz w:val="18"/>
                <w:szCs w:val="18"/>
                <w:lang w:eastAsia="hr-HR"/>
              </w:rPr>
              <w:t xml:space="preserve">JAVNA USTANOVA </w:t>
            </w:r>
          </w:p>
        </w:tc>
        <w:tc>
          <w:tcPr>
            <w:tcW w:w="1720" w:type="dxa"/>
            <w:tcBorders>
              <w:top w:val="nil"/>
              <w:left w:val="nil"/>
              <w:bottom w:val="nil"/>
              <w:right w:val="nil"/>
            </w:tcBorders>
            <w:shd w:val="clear" w:color="auto" w:fill="C6D9F1" w:themeFill="text2" w:themeFillTint="33"/>
            <w:noWrap/>
            <w:vAlign w:val="bottom"/>
            <w:hideMark/>
          </w:tcPr>
          <w:p w14:paraId="58757A93" w14:textId="77777777" w:rsidR="001E3079" w:rsidRPr="001E3079" w:rsidRDefault="001E3079" w:rsidP="001E3079">
            <w:pPr>
              <w:spacing w:after="0" w:line="240" w:lineRule="auto"/>
              <w:jc w:val="right"/>
              <w:rPr>
                <w:rFonts w:ascii="Arial" w:hAnsi="Arial" w:cs="Arial"/>
                <w:b/>
                <w:bCs/>
                <w:sz w:val="18"/>
                <w:szCs w:val="18"/>
                <w:lang w:eastAsia="hr-HR"/>
              </w:rPr>
            </w:pPr>
            <w:r w:rsidRPr="001E3079">
              <w:rPr>
                <w:rFonts w:ascii="Arial" w:hAnsi="Arial" w:cs="Arial"/>
                <w:b/>
                <w:bCs/>
                <w:sz w:val="18"/>
                <w:szCs w:val="18"/>
                <w:lang w:eastAsia="hr-HR"/>
              </w:rPr>
              <w:t>166.570,00</w:t>
            </w:r>
          </w:p>
        </w:tc>
        <w:tc>
          <w:tcPr>
            <w:tcW w:w="1880" w:type="dxa"/>
            <w:tcBorders>
              <w:top w:val="nil"/>
              <w:left w:val="nil"/>
              <w:bottom w:val="nil"/>
              <w:right w:val="nil"/>
            </w:tcBorders>
            <w:shd w:val="clear" w:color="auto" w:fill="C6D9F1" w:themeFill="text2" w:themeFillTint="33"/>
            <w:noWrap/>
            <w:vAlign w:val="bottom"/>
            <w:hideMark/>
          </w:tcPr>
          <w:p w14:paraId="2DEC3F02" w14:textId="77777777" w:rsidR="001E3079" w:rsidRPr="001E3079" w:rsidRDefault="001E3079" w:rsidP="001E3079">
            <w:pPr>
              <w:spacing w:after="0" w:line="240" w:lineRule="auto"/>
              <w:jc w:val="right"/>
              <w:rPr>
                <w:rFonts w:ascii="Arial" w:hAnsi="Arial" w:cs="Arial"/>
                <w:b/>
                <w:bCs/>
                <w:sz w:val="18"/>
                <w:szCs w:val="18"/>
                <w:lang w:eastAsia="hr-HR"/>
              </w:rPr>
            </w:pPr>
            <w:r w:rsidRPr="001E3079">
              <w:rPr>
                <w:rFonts w:ascii="Arial" w:hAnsi="Arial" w:cs="Arial"/>
                <w:b/>
                <w:bCs/>
                <w:sz w:val="18"/>
                <w:szCs w:val="18"/>
                <w:lang w:eastAsia="hr-HR"/>
              </w:rPr>
              <w:t>150.198,45</w:t>
            </w:r>
          </w:p>
        </w:tc>
        <w:tc>
          <w:tcPr>
            <w:tcW w:w="1540" w:type="dxa"/>
            <w:tcBorders>
              <w:top w:val="nil"/>
              <w:left w:val="nil"/>
              <w:bottom w:val="nil"/>
              <w:right w:val="nil"/>
            </w:tcBorders>
            <w:shd w:val="clear" w:color="auto" w:fill="C6D9F1" w:themeFill="text2" w:themeFillTint="33"/>
            <w:noWrap/>
            <w:vAlign w:val="bottom"/>
            <w:hideMark/>
          </w:tcPr>
          <w:p w14:paraId="5B39EEE4" w14:textId="77777777" w:rsidR="001E3079" w:rsidRPr="001E3079" w:rsidRDefault="001E3079" w:rsidP="001E3079">
            <w:pPr>
              <w:spacing w:after="0" w:line="240" w:lineRule="auto"/>
              <w:jc w:val="right"/>
              <w:rPr>
                <w:rFonts w:ascii="Arial" w:hAnsi="Arial" w:cs="Arial"/>
                <w:b/>
                <w:bCs/>
                <w:sz w:val="18"/>
                <w:szCs w:val="18"/>
                <w:lang w:eastAsia="hr-HR"/>
              </w:rPr>
            </w:pPr>
            <w:r w:rsidRPr="001E3079">
              <w:rPr>
                <w:rFonts w:ascii="Arial" w:hAnsi="Arial" w:cs="Arial"/>
                <w:b/>
                <w:bCs/>
                <w:sz w:val="18"/>
                <w:szCs w:val="18"/>
                <w:lang w:eastAsia="hr-HR"/>
              </w:rPr>
              <w:t>90,17%</w:t>
            </w:r>
          </w:p>
        </w:tc>
      </w:tr>
      <w:tr w:rsidR="001E3079" w:rsidRPr="001E3079" w14:paraId="46D69097" w14:textId="77777777" w:rsidTr="001E3079">
        <w:trPr>
          <w:trHeight w:val="255"/>
        </w:trPr>
        <w:tc>
          <w:tcPr>
            <w:tcW w:w="2251" w:type="dxa"/>
            <w:tcBorders>
              <w:top w:val="nil"/>
              <w:left w:val="nil"/>
              <w:bottom w:val="nil"/>
              <w:right w:val="nil"/>
            </w:tcBorders>
            <w:shd w:val="clear" w:color="auto" w:fill="auto"/>
            <w:noWrap/>
            <w:vAlign w:val="bottom"/>
            <w:hideMark/>
          </w:tcPr>
          <w:p w14:paraId="6DB9DBA5" w14:textId="77777777" w:rsidR="001E3079" w:rsidRPr="001E3079" w:rsidRDefault="001E3079" w:rsidP="001E3079">
            <w:pPr>
              <w:spacing w:after="0" w:line="240" w:lineRule="auto"/>
              <w:rPr>
                <w:rFonts w:ascii="Arial" w:hAnsi="Arial" w:cs="Arial"/>
                <w:sz w:val="18"/>
                <w:szCs w:val="18"/>
                <w:lang w:eastAsia="hr-HR"/>
              </w:rPr>
            </w:pPr>
            <w:r w:rsidRPr="001E3079">
              <w:rPr>
                <w:rFonts w:ascii="Arial" w:hAnsi="Arial" w:cs="Arial"/>
                <w:sz w:val="18"/>
                <w:szCs w:val="18"/>
                <w:lang w:eastAsia="hr-HR"/>
              </w:rPr>
              <w:t>Proračunski korisnik</w:t>
            </w:r>
          </w:p>
        </w:tc>
        <w:tc>
          <w:tcPr>
            <w:tcW w:w="729" w:type="dxa"/>
            <w:tcBorders>
              <w:top w:val="nil"/>
              <w:left w:val="nil"/>
              <w:bottom w:val="nil"/>
              <w:right w:val="nil"/>
            </w:tcBorders>
            <w:shd w:val="clear" w:color="auto" w:fill="auto"/>
            <w:noWrap/>
            <w:vAlign w:val="bottom"/>
            <w:hideMark/>
          </w:tcPr>
          <w:p w14:paraId="0E2C2B40" w14:textId="77777777" w:rsidR="001E3079" w:rsidRPr="001E3079" w:rsidRDefault="001E3079" w:rsidP="001E3079">
            <w:pPr>
              <w:spacing w:after="0" w:line="240" w:lineRule="auto"/>
              <w:rPr>
                <w:rFonts w:ascii="Arial" w:hAnsi="Arial" w:cs="Arial"/>
                <w:sz w:val="18"/>
                <w:szCs w:val="18"/>
                <w:lang w:eastAsia="hr-HR"/>
              </w:rPr>
            </w:pPr>
            <w:r w:rsidRPr="001E3079">
              <w:rPr>
                <w:rFonts w:ascii="Arial" w:hAnsi="Arial" w:cs="Arial"/>
                <w:sz w:val="18"/>
                <w:szCs w:val="18"/>
                <w:lang w:eastAsia="hr-HR"/>
              </w:rPr>
              <w:t>52581</w:t>
            </w:r>
          </w:p>
        </w:tc>
        <w:tc>
          <w:tcPr>
            <w:tcW w:w="6234" w:type="dxa"/>
            <w:tcBorders>
              <w:top w:val="nil"/>
              <w:left w:val="nil"/>
              <w:bottom w:val="nil"/>
              <w:right w:val="nil"/>
            </w:tcBorders>
            <w:shd w:val="clear" w:color="auto" w:fill="auto"/>
            <w:noWrap/>
            <w:vAlign w:val="bottom"/>
            <w:hideMark/>
          </w:tcPr>
          <w:p w14:paraId="4F83F5B7" w14:textId="77777777" w:rsidR="001E3079" w:rsidRPr="001E3079" w:rsidRDefault="001E3079" w:rsidP="001E3079">
            <w:pPr>
              <w:spacing w:after="0" w:line="240" w:lineRule="auto"/>
              <w:rPr>
                <w:rFonts w:ascii="Arial" w:hAnsi="Arial" w:cs="Arial"/>
                <w:sz w:val="18"/>
                <w:szCs w:val="18"/>
                <w:lang w:eastAsia="hr-HR"/>
              </w:rPr>
            </w:pPr>
            <w:r w:rsidRPr="001E3079">
              <w:rPr>
                <w:rFonts w:ascii="Arial" w:hAnsi="Arial" w:cs="Arial"/>
                <w:sz w:val="18"/>
                <w:szCs w:val="18"/>
                <w:lang w:eastAsia="hr-HR"/>
              </w:rPr>
              <w:t>JAVNA USTANOVA GAREŠNICA</w:t>
            </w:r>
          </w:p>
        </w:tc>
        <w:tc>
          <w:tcPr>
            <w:tcW w:w="1720" w:type="dxa"/>
            <w:tcBorders>
              <w:top w:val="nil"/>
              <w:left w:val="nil"/>
              <w:bottom w:val="nil"/>
              <w:right w:val="nil"/>
            </w:tcBorders>
            <w:shd w:val="clear" w:color="auto" w:fill="auto"/>
            <w:noWrap/>
            <w:vAlign w:val="bottom"/>
            <w:hideMark/>
          </w:tcPr>
          <w:p w14:paraId="1476418E" w14:textId="77777777" w:rsidR="001E3079" w:rsidRPr="001E3079" w:rsidRDefault="001E3079" w:rsidP="001E3079">
            <w:pPr>
              <w:spacing w:after="0" w:line="240" w:lineRule="auto"/>
              <w:jc w:val="right"/>
              <w:rPr>
                <w:rFonts w:ascii="Arial" w:hAnsi="Arial" w:cs="Arial"/>
                <w:sz w:val="18"/>
                <w:szCs w:val="18"/>
                <w:lang w:eastAsia="hr-HR"/>
              </w:rPr>
            </w:pPr>
            <w:r w:rsidRPr="001E3079">
              <w:rPr>
                <w:rFonts w:ascii="Arial" w:hAnsi="Arial" w:cs="Arial"/>
                <w:sz w:val="18"/>
                <w:szCs w:val="18"/>
                <w:lang w:eastAsia="hr-HR"/>
              </w:rPr>
              <w:t>166.570,00</w:t>
            </w:r>
          </w:p>
        </w:tc>
        <w:tc>
          <w:tcPr>
            <w:tcW w:w="1880" w:type="dxa"/>
            <w:tcBorders>
              <w:top w:val="nil"/>
              <w:left w:val="nil"/>
              <w:bottom w:val="nil"/>
              <w:right w:val="nil"/>
            </w:tcBorders>
            <w:shd w:val="clear" w:color="auto" w:fill="auto"/>
            <w:noWrap/>
            <w:vAlign w:val="bottom"/>
            <w:hideMark/>
          </w:tcPr>
          <w:p w14:paraId="17BD906C" w14:textId="77777777" w:rsidR="001E3079" w:rsidRPr="001E3079" w:rsidRDefault="001E3079" w:rsidP="001E3079">
            <w:pPr>
              <w:spacing w:after="0" w:line="240" w:lineRule="auto"/>
              <w:jc w:val="right"/>
              <w:rPr>
                <w:rFonts w:ascii="Arial" w:hAnsi="Arial" w:cs="Arial"/>
                <w:sz w:val="18"/>
                <w:szCs w:val="18"/>
                <w:lang w:eastAsia="hr-HR"/>
              </w:rPr>
            </w:pPr>
            <w:r w:rsidRPr="001E3079">
              <w:rPr>
                <w:rFonts w:ascii="Arial" w:hAnsi="Arial" w:cs="Arial"/>
                <w:sz w:val="18"/>
                <w:szCs w:val="18"/>
                <w:lang w:eastAsia="hr-HR"/>
              </w:rPr>
              <w:t>150.198,45</w:t>
            </w:r>
          </w:p>
        </w:tc>
        <w:tc>
          <w:tcPr>
            <w:tcW w:w="1540" w:type="dxa"/>
            <w:tcBorders>
              <w:top w:val="nil"/>
              <w:left w:val="nil"/>
              <w:bottom w:val="nil"/>
              <w:right w:val="nil"/>
            </w:tcBorders>
            <w:shd w:val="clear" w:color="auto" w:fill="auto"/>
            <w:noWrap/>
            <w:vAlign w:val="bottom"/>
            <w:hideMark/>
          </w:tcPr>
          <w:p w14:paraId="5E5A3CAD" w14:textId="77777777" w:rsidR="001E3079" w:rsidRPr="001E3079" w:rsidRDefault="001E3079" w:rsidP="001E3079">
            <w:pPr>
              <w:spacing w:after="0" w:line="240" w:lineRule="auto"/>
              <w:jc w:val="right"/>
              <w:rPr>
                <w:rFonts w:ascii="Arial" w:hAnsi="Arial" w:cs="Arial"/>
                <w:sz w:val="18"/>
                <w:szCs w:val="18"/>
                <w:lang w:eastAsia="hr-HR"/>
              </w:rPr>
            </w:pPr>
            <w:r w:rsidRPr="001E3079">
              <w:rPr>
                <w:rFonts w:ascii="Arial" w:hAnsi="Arial" w:cs="Arial"/>
                <w:sz w:val="18"/>
                <w:szCs w:val="18"/>
                <w:lang w:eastAsia="hr-HR"/>
              </w:rPr>
              <w:t>90,17%</w:t>
            </w:r>
          </w:p>
        </w:tc>
      </w:tr>
      <w:tr w:rsidR="001E3079" w:rsidRPr="001E3079" w14:paraId="33179C13" w14:textId="77777777" w:rsidTr="001E3079">
        <w:trPr>
          <w:trHeight w:val="255"/>
        </w:trPr>
        <w:tc>
          <w:tcPr>
            <w:tcW w:w="2251" w:type="dxa"/>
            <w:tcBorders>
              <w:top w:val="nil"/>
              <w:left w:val="nil"/>
              <w:bottom w:val="nil"/>
              <w:right w:val="nil"/>
            </w:tcBorders>
            <w:shd w:val="clear" w:color="auto" w:fill="C6D9F1" w:themeFill="text2" w:themeFillTint="33"/>
            <w:noWrap/>
            <w:vAlign w:val="bottom"/>
            <w:hideMark/>
          </w:tcPr>
          <w:p w14:paraId="3075BF3B" w14:textId="77777777" w:rsidR="001E3079" w:rsidRPr="001E3079" w:rsidRDefault="001E3079" w:rsidP="001E3079">
            <w:pPr>
              <w:spacing w:after="0" w:line="240" w:lineRule="auto"/>
              <w:rPr>
                <w:rFonts w:ascii="Arial" w:hAnsi="Arial" w:cs="Arial"/>
                <w:b/>
                <w:bCs/>
                <w:sz w:val="18"/>
                <w:szCs w:val="18"/>
                <w:lang w:eastAsia="hr-HR"/>
              </w:rPr>
            </w:pPr>
            <w:r w:rsidRPr="001E3079">
              <w:rPr>
                <w:rFonts w:ascii="Arial" w:hAnsi="Arial" w:cs="Arial"/>
                <w:b/>
                <w:bCs/>
                <w:sz w:val="18"/>
                <w:szCs w:val="18"/>
                <w:lang w:eastAsia="hr-HR"/>
              </w:rPr>
              <w:t>Glava</w:t>
            </w:r>
          </w:p>
        </w:tc>
        <w:tc>
          <w:tcPr>
            <w:tcW w:w="729" w:type="dxa"/>
            <w:tcBorders>
              <w:top w:val="nil"/>
              <w:left w:val="nil"/>
              <w:bottom w:val="nil"/>
              <w:right w:val="nil"/>
            </w:tcBorders>
            <w:shd w:val="clear" w:color="auto" w:fill="C6D9F1" w:themeFill="text2" w:themeFillTint="33"/>
            <w:noWrap/>
            <w:vAlign w:val="bottom"/>
            <w:hideMark/>
          </w:tcPr>
          <w:p w14:paraId="30361420" w14:textId="77777777" w:rsidR="001E3079" w:rsidRPr="001E3079" w:rsidRDefault="001E3079" w:rsidP="001E3079">
            <w:pPr>
              <w:spacing w:after="0" w:line="240" w:lineRule="auto"/>
              <w:rPr>
                <w:rFonts w:ascii="Arial" w:hAnsi="Arial" w:cs="Arial"/>
                <w:b/>
                <w:bCs/>
                <w:sz w:val="18"/>
                <w:szCs w:val="18"/>
                <w:lang w:eastAsia="hr-HR"/>
              </w:rPr>
            </w:pPr>
            <w:r w:rsidRPr="001E3079">
              <w:rPr>
                <w:rFonts w:ascii="Arial" w:hAnsi="Arial" w:cs="Arial"/>
                <w:b/>
                <w:bCs/>
                <w:sz w:val="18"/>
                <w:szCs w:val="18"/>
                <w:lang w:eastAsia="hr-HR"/>
              </w:rPr>
              <w:t>00206</w:t>
            </w:r>
          </w:p>
        </w:tc>
        <w:tc>
          <w:tcPr>
            <w:tcW w:w="6234" w:type="dxa"/>
            <w:tcBorders>
              <w:top w:val="nil"/>
              <w:left w:val="nil"/>
              <w:bottom w:val="nil"/>
              <w:right w:val="nil"/>
            </w:tcBorders>
            <w:shd w:val="clear" w:color="auto" w:fill="C6D9F1" w:themeFill="text2" w:themeFillTint="33"/>
            <w:noWrap/>
            <w:vAlign w:val="bottom"/>
            <w:hideMark/>
          </w:tcPr>
          <w:p w14:paraId="25AED35D" w14:textId="77777777" w:rsidR="001E3079" w:rsidRPr="001E3079" w:rsidRDefault="001E3079" w:rsidP="001E3079">
            <w:pPr>
              <w:spacing w:after="0" w:line="240" w:lineRule="auto"/>
              <w:rPr>
                <w:rFonts w:ascii="Arial" w:hAnsi="Arial" w:cs="Arial"/>
                <w:b/>
                <w:bCs/>
                <w:sz w:val="18"/>
                <w:szCs w:val="18"/>
                <w:lang w:eastAsia="hr-HR"/>
              </w:rPr>
            </w:pPr>
            <w:r w:rsidRPr="001E3079">
              <w:rPr>
                <w:rFonts w:ascii="Arial" w:hAnsi="Arial" w:cs="Arial"/>
                <w:b/>
                <w:bCs/>
                <w:sz w:val="18"/>
                <w:szCs w:val="18"/>
                <w:lang w:eastAsia="hr-HR"/>
              </w:rPr>
              <w:t>OSNOVNO ŠKOLSTVO</w:t>
            </w:r>
          </w:p>
        </w:tc>
        <w:tc>
          <w:tcPr>
            <w:tcW w:w="1720" w:type="dxa"/>
            <w:tcBorders>
              <w:top w:val="nil"/>
              <w:left w:val="nil"/>
              <w:bottom w:val="nil"/>
              <w:right w:val="nil"/>
            </w:tcBorders>
            <w:shd w:val="clear" w:color="auto" w:fill="C6D9F1" w:themeFill="text2" w:themeFillTint="33"/>
            <w:noWrap/>
            <w:vAlign w:val="bottom"/>
            <w:hideMark/>
          </w:tcPr>
          <w:p w14:paraId="3EEF520E" w14:textId="77777777" w:rsidR="001E3079" w:rsidRPr="001E3079" w:rsidRDefault="001E3079" w:rsidP="001E3079">
            <w:pPr>
              <w:spacing w:after="0" w:line="240" w:lineRule="auto"/>
              <w:jc w:val="right"/>
              <w:rPr>
                <w:rFonts w:ascii="Arial" w:hAnsi="Arial" w:cs="Arial"/>
                <w:b/>
                <w:bCs/>
                <w:sz w:val="18"/>
                <w:szCs w:val="18"/>
                <w:lang w:eastAsia="hr-HR"/>
              </w:rPr>
            </w:pPr>
            <w:r w:rsidRPr="001E3079">
              <w:rPr>
                <w:rFonts w:ascii="Arial" w:hAnsi="Arial" w:cs="Arial"/>
                <w:b/>
                <w:bCs/>
                <w:sz w:val="18"/>
                <w:szCs w:val="18"/>
                <w:lang w:eastAsia="hr-HR"/>
              </w:rPr>
              <w:t>3.591.690,56</w:t>
            </w:r>
          </w:p>
        </w:tc>
        <w:tc>
          <w:tcPr>
            <w:tcW w:w="1880" w:type="dxa"/>
            <w:tcBorders>
              <w:top w:val="nil"/>
              <w:left w:val="nil"/>
              <w:bottom w:val="nil"/>
              <w:right w:val="nil"/>
            </w:tcBorders>
            <w:shd w:val="clear" w:color="auto" w:fill="C6D9F1" w:themeFill="text2" w:themeFillTint="33"/>
            <w:noWrap/>
            <w:vAlign w:val="bottom"/>
            <w:hideMark/>
          </w:tcPr>
          <w:p w14:paraId="7E2BB08F" w14:textId="76F66143" w:rsidR="001E3079" w:rsidRPr="001E3079" w:rsidRDefault="001E3079" w:rsidP="001E3079">
            <w:pPr>
              <w:spacing w:after="0" w:line="240" w:lineRule="auto"/>
              <w:jc w:val="right"/>
              <w:rPr>
                <w:rFonts w:ascii="Arial" w:hAnsi="Arial" w:cs="Arial"/>
                <w:b/>
                <w:bCs/>
                <w:sz w:val="18"/>
                <w:szCs w:val="18"/>
                <w:lang w:eastAsia="hr-HR"/>
              </w:rPr>
            </w:pPr>
            <w:r w:rsidRPr="001E3079">
              <w:rPr>
                <w:rFonts w:ascii="Arial" w:hAnsi="Arial" w:cs="Arial"/>
                <w:b/>
                <w:bCs/>
                <w:sz w:val="18"/>
                <w:szCs w:val="18"/>
                <w:lang w:eastAsia="hr-HR"/>
              </w:rPr>
              <w:t>3.4</w:t>
            </w:r>
            <w:r w:rsidR="00F05B0E">
              <w:rPr>
                <w:rFonts w:ascii="Arial" w:hAnsi="Arial" w:cs="Arial"/>
                <w:b/>
                <w:bCs/>
                <w:sz w:val="18"/>
                <w:szCs w:val="18"/>
                <w:lang w:eastAsia="hr-HR"/>
              </w:rPr>
              <w:t>43.858,28</w:t>
            </w:r>
          </w:p>
        </w:tc>
        <w:tc>
          <w:tcPr>
            <w:tcW w:w="1540" w:type="dxa"/>
            <w:tcBorders>
              <w:top w:val="nil"/>
              <w:left w:val="nil"/>
              <w:bottom w:val="nil"/>
              <w:right w:val="nil"/>
            </w:tcBorders>
            <w:shd w:val="clear" w:color="auto" w:fill="C6D9F1" w:themeFill="text2" w:themeFillTint="33"/>
            <w:noWrap/>
            <w:vAlign w:val="bottom"/>
            <w:hideMark/>
          </w:tcPr>
          <w:p w14:paraId="6D21571B" w14:textId="7CAECD4E" w:rsidR="001E3079" w:rsidRPr="001E3079" w:rsidRDefault="001E3079" w:rsidP="001E3079">
            <w:pPr>
              <w:spacing w:after="0" w:line="240" w:lineRule="auto"/>
              <w:jc w:val="right"/>
              <w:rPr>
                <w:rFonts w:ascii="Arial" w:hAnsi="Arial" w:cs="Arial"/>
                <w:b/>
                <w:bCs/>
                <w:sz w:val="18"/>
                <w:szCs w:val="18"/>
                <w:lang w:eastAsia="hr-HR"/>
              </w:rPr>
            </w:pPr>
            <w:r w:rsidRPr="001E3079">
              <w:rPr>
                <w:rFonts w:ascii="Arial" w:hAnsi="Arial" w:cs="Arial"/>
                <w:b/>
                <w:bCs/>
                <w:sz w:val="18"/>
                <w:szCs w:val="18"/>
                <w:lang w:eastAsia="hr-HR"/>
              </w:rPr>
              <w:t>95,</w:t>
            </w:r>
            <w:r w:rsidR="00F05B0E">
              <w:rPr>
                <w:rFonts w:ascii="Arial" w:hAnsi="Arial" w:cs="Arial"/>
                <w:b/>
                <w:bCs/>
                <w:sz w:val="18"/>
                <w:szCs w:val="18"/>
                <w:lang w:eastAsia="hr-HR"/>
              </w:rPr>
              <w:t>88</w:t>
            </w:r>
            <w:r w:rsidRPr="001E3079">
              <w:rPr>
                <w:rFonts w:ascii="Arial" w:hAnsi="Arial" w:cs="Arial"/>
                <w:b/>
                <w:bCs/>
                <w:sz w:val="18"/>
                <w:szCs w:val="18"/>
                <w:lang w:eastAsia="hr-HR"/>
              </w:rPr>
              <w:t>%</w:t>
            </w:r>
          </w:p>
        </w:tc>
      </w:tr>
      <w:tr w:rsidR="001E3079" w:rsidRPr="001E3079" w14:paraId="000EEF0A" w14:textId="77777777" w:rsidTr="001E3079">
        <w:trPr>
          <w:trHeight w:val="255"/>
        </w:trPr>
        <w:tc>
          <w:tcPr>
            <w:tcW w:w="2251" w:type="dxa"/>
            <w:tcBorders>
              <w:top w:val="nil"/>
              <w:left w:val="nil"/>
              <w:bottom w:val="nil"/>
              <w:right w:val="nil"/>
            </w:tcBorders>
            <w:shd w:val="clear" w:color="auto" w:fill="auto"/>
            <w:noWrap/>
            <w:vAlign w:val="bottom"/>
            <w:hideMark/>
          </w:tcPr>
          <w:p w14:paraId="2BCB42B8" w14:textId="77777777" w:rsidR="001E3079" w:rsidRPr="001E3079" w:rsidRDefault="001E3079" w:rsidP="001E3079">
            <w:pPr>
              <w:spacing w:after="0" w:line="240" w:lineRule="auto"/>
              <w:rPr>
                <w:rFonts w:ascii="Arial" w:hAnsi="Arial" w:cs="Arial"/>
                <w:sz w:val="18"/>
                <w:szCs w:val="18"/>
                <w:lang w:eastAsia="hr-HR"/>
              </w:rPr>
            </w:pPr>
            <w:r w:rsidRPr="001E3079">
              <w:rPr>
                <w:rFonts w:ascii="Arial" w:hAnsi="Arial" w:cs="Arial"/>
                <w:sz w:val="18"/>
                <w:szCs w:val="18"/>
                <w:lang w:eastAsia="hr-HR"/>
              </w:rPr>
              <w:t>Proračunski korisnik</w:t>
            </w:r>
          </w:p>
        </w:tc>
        <w:tc>
          <w:tcPr>
            <w:tcW w:w="729" w:type="dxa"/>
            <w:tcBorders>
              <w:top w:val="nil"/>
              <w:left w:val="nil"/>
              <w:bottom w:val="nil"/>
              <w:right w:val="nil"/>
            </w:tcBorders>
            <w:shd w:val="clear" w:color="auto" w:fill="auto"/>
            <w:noWrap/>
            <w:vAlign w:val="bottom"/>
            <w:hideMark/>
          </w:tcPr>
          <w:p w14:paraId="2FCB6111" w14:textId="77777777" w:rsidR="001E3079" w:rsidRPr="001E3079" w:rsidRDefault="001E3079" w:rsidP="001E3079">
            <w:pPr>
              <w:spacing w:after="0" w:line="240" w:lineRule="auto"/>
              <w:rPr>
                <w:rFonts w:ascii="Arial" w:hAnsi="Arial" w:cs="Arial"/>
                <w:sz w:val="18"/>
                <w:szCs w:val="18"/>
                <w:lang w:eastAsia="hr-HR"/>
              </w:rPr>
            </w:pPr>
            <w:r w:rsidRPr="001E3079">
              <w:rPr>
                <w:rFonts w:ascii="Arial" w:hAnsi="Arial" w:cs="Arial"/>
                <w:sz w:val="18"/>
                <w:szCs w:val="18"/>
                <w:lang w:eastAsia="hr-HR"/>
              </w:rPr>
              <w:t>08424</w:t>
            </w:r>
          </w:p>
        </w:tc>
        <w:tc>
          <w:tcPr>
            <w:tcW w:w="6234" w:type="dxa"/>
            <w:tcBorders>
              <w:top w:val="nil"/>
              <w:left w:val="nil"/>
              <w:bottom w:val="nil"/>
              <w:right w:val="nil"/>
            </w:tcBorders>
            <w:shd w:val="clear" w:color="auto" w:fill="auto"/>
            <w:noWrap/>
            <w:vAlign w:val="bottom"/>
            <w:hideMark/>
          </w:tcPr>
          <w:p w14:paraId="285782F3" w14:textId="77777777" w:rsidR="001E3079" w:rsidRPr="001E3079" w:rsidRDefault="001E3079" w:rsidP="001E3079">
            <w:pPr>
              <w:spacing w:after="0" w:line="240" w:lineRule="auto"/>
              <w:rPr>
                <w:rFonts w:ascii="Arial" w:hAnsi="Arial" w:cs="Arial"/>
                <w:sz w:val="18"/>
                <w:szCs w:val="18"/>
                <w:lang w:eastAsia="hr-HR"/>
              </w:rPr>
            </w:pPr>
            <w:r w:rsidRPr="001E3079">
              <w:rPr>
                <w:rFonts w:ascii="Arial" w:hAnsi="Arial" w:cs="Arial"/>
                <w:sz w:val="18"/>
                <w:szCs w:val="18"/>
                <w:lang w:eastAsia="hr-HR"/>
              </w:rPr>
              <w:t>OSNOVNA ŠKOLA GAREŠNICA</w:t>
            </w:r>
          </w:p>
        </w:tc>
        <w:tc>
          <w:tcPr>
            <w:tcW w:w="1720" w:type="dxa"/>
            <w:tcBorders>
              <w:top w:val="nil"/>
              <w:left w:val="nil"/>
              <w:bottom w:val="nil"/>
              <w:right w:val="nil"/>
            </w:tcBorders>
            <w:shd w:val="clear" w:color="auto" w:fill="auto"/>
            <w:noWrap/>
            <w:vAlign w:val="bottom"/>
            <w:hideMark/>
          </w:tcPr>
          <w:p w14:paraId="4047597A" w14:textId="77777777" w:rsidR="001E3079" w:rsidRPr="001E3079" w:rsidRDefault="001E3079" w:rsidP="001E3079">
            <w:pPr>
              <w:spacing w:after="0" w:line="240" w:lineRule="auto"/>
              <w:jc w:val="right"/>
              <w:rPr>
                <w:rFonts w:ascii="Arial" w:hAnsi="Arial" w:cs="Arial"/>
                <w:sz w:val="18"/>
                <w:szCs w:val="18"/>
                <w:lang w:eastAsia="hr-HR"/>
              </w:rPr>
            </w:pPr>
            <w:r w:rsidRPr="001E3079">
              <w:rPr>
                <w:rFonts w:ascii="Arial" w:hAnsi="Arial" w:cs="Arial"/>
                <w:sz w:val="18"/>
                <w:szCs w:val="18"/>
                <w:lang w:eastAsia="hr-HR"/>
              </w:rPr>
              <w:t>2.808.252,01</w:t>
            </w:r>
          </w:p>
        </w:tc>
        <w:tc>
          <w:tcPr>
            <w:tcW w:w="1880" w:type="dxa"/>
            <w:tcBorders>
              <w:top w:val="nil"/>
              <w:left w:val="nil"/>
              <w:bottom w:val="nil"/>
              <w:right w:val="nil"/>
            </w:tcBorders>
            <w:shd w:val="clear" w:color="auto" w:fill="auto"/>
            <w:noWrap/>
            <w:vAlign w:val="bottom"/>
            <w:hideMark/>
          </w:tcPr>
          <w:p w14:paraId="0C4075D0" w14:textId="21F3FC1F" w:rsidR="001E3079" w:rsidRPr="001E3079" w:rsidRDefault="001E3079" w:rsidP="001E3079">
            <w:pPr>
              <w:spacing w:after="0" w:line="240" w:lineRule="auto"/>
              <w:jc w:val="right"/>
              <w:rPr>
                <w:rFonts w:ascii="Arial" w:hAnsi="Arial" w:cs="Arial"/>
                <w:sz w:val="18"/>
                <w:szCs w:val="18"/>
                <w:lang w:eastAsia="hr-HR"/>
              </w:rPr>
            </w:pPr>
            <w:r w:rsidRPr="001E3079">
              <w:rPr>
                <w:rFonts w:ascii="Arial" w:hAnsi="Arial" w:cs="Arial"/>
                <w:sz w:val="18"/>
                <w:szCs w:val="18"/>
                <w:lang w:eastAsia="hr-HR"/>
              </w:rPr>
              <w:t>2.7</w:t>
            </w:r>
            <w:r w:rsidR="00F05B0E">
              <w:rPr>
                <w:rFonts w:ascii="Arial" w:hAnsi="Arial" w:cs="Arial"/>
                <w:sz w:val="18"/>
                <w:szCs w:val="18"/>
                <w:lang w:eastAsia="hr-HR"/>
              </w:rPr>
              <w:t>87.727,29</w:t>
            </w:r>
          </w:p>
        </w:tc>
        <w:tc>
          <w:tcPr>
            <w:tcW w:w="1540" w:type="dxa"/>
            <w:tcBorders>
              <w:top w:val="nil"/>
              <w:left w:val="nil"/>
              <w:bottom w:val="nil"/>
              <w:right w:val="nil"/>
            </w:tcBorders>
            <w:shd w:val="clear" w:color="auto" w:fill="auto"/>
            <w:noWrap/>
            <w:vAlign w:val="bottom"/>
            <w:hideMark/>
          </w:tcPr>
          <w:p w14:paraId="1FF473E6" w14:textId="7EC92AAF" w:rsidR="001E3079" w:rsidRPr="001E3079" w:rsidRDefault="001E3079" w:rsidP="001E3079">
            <w:pPr>
              <w:spacing w:after="0" w:line="240" w:lineRule="auto"/>
              <w:jc w:val="right"/>
              <w:rPr>
                <w:rFonts w:ascii="Arial" w:hAnsi="Arial" w:cs="Arial"/>
                <w:sz w:val="18"/>
                <w:szCs w:val="18"/>
                <w:lang w:eastAsia="hr-HR"/>
              </w:rPr>
            </w:pPr>
            <w:r w:rsidRPr="001E3079">
              <w:rPr>
                <w:rFonts w:ascii="Arial" w:hAnsi="Arial" w:cs="Arial"/>
                <w:sz w:val="18"/>
                <w:szCs w:val="18"/>
                <w:lang w:eastAsia="hr-HR"/>
              </w:rPr>
              <w:t>9</w:t>
            </w:r>
            <w:r w:rsidR="00F05B0E">
              <w:rPr>
                <w:rFonts w:ascii="Arial" w:hAnsi="Arial" w:cs="Arial"/>
                <w:sz w:val="18"/>
                <w:szCs w:val="18"/>
                <w:lang w:eastAsia="hr-HR"/>
              </w:rPr>
              <w:t>9,27</w:t>
            </w:r>
            <w:r w:rsidRPr="001E3079">
              <w:rPr>
                <w:rFonts w:ascii="Arial" w:hAnsi="Arial" w:cs="Arial"/>
                <w:sz w:val="18"/>
                <w:szCs w:val="18"/>
                <w:lang w:eastAsia="hr-HR"/>
              </w:rPr>
              <w:t>%</w:t>
            </w:r>
          </w:p>
        </w:tc>
      </w:tr>
      <w:tr w:rsidR="001E3079" w:rsidRPr="001E3079" w14:paraId="465938B3" w14:textId="77777777" w:rsidTr="001E3079">
        <w:trPr>
          <w:trHeight w:val="255"/>
        </w:trPr>
        <w:tc>
          <w:tcPr>
            <w:tcW w:w="2251" w:type="dxa"/>
            <w:tcBorders>
              <w:top w:val="nil"/>
              <w:left w:val="nil"/>
              <w:bottom w:val="nil"/>
              <w:right w:val="nil"/>
            </w:tcBorders>
            <w:shd w:val="clear" w:color="auto" w:fill="auto"/>
            <w:noWrap/>
            <w:vAlign w:val="bottom"/>
            <w:hideMark/>
          </w:tcPr>
          <w:p w14:paraId="57F4F3C0" w14:textId="77777777" w:rsidR="001E3079" w:rsidRPr="001E3079" w:rsidRDefault="001E3079" w:rsidP="001E3079">
            <w:pPr>
              <w:spacing w:after="0" w:line="240" w:lineRule="auto"/>
              <w:rPr>
                <w:rFonts w:ascii="Arial" w:hAnsi="Arial" w:cs="Arial"/>
                <w:sz w:val="18"/>
                <w:szCs w:val="18"/>
                <w:lang w:eastAsia="hr-HR"/>
              </w:rPr>
            </w:pPr>
            <w:r w:rsidRPr="001E3079">
              <w:rPr>
                <w:rFonts w:ascii="Arial" w:hAnsi="Arial" w:cs="Arial"/>
                <w:sz w:val="18"/>
                <w:szCs w:val="18"/>
                <w:lang w:eastAsia="hr-HR"/>
              </w:rPr>
              <w:t>Proračunski korisnik</w:t>
            </w:r>
          </w:p>
        </w:tc>
        <w:tc>
          <w:tcPr>
            <w:tcW w:w="729" w:type="dxa"/>
            <w:tcBorders>
              <w:top w:val="nil"/>
              <w:left w:val="nil"/>
              <w:bottom w:val="nil"/>
              <w:right w:val="nil"/>
            </w:tcBorders>
            <w:shd w:val="clear" w:color="auto" w:fill="auto"/>
            <w:noWrap/>
            <w:vAlign w:val="bottom"/>
            <w:hideMark/>
          </w:tcPr>
          <w:p w14:paraId="6B37F187" w14:textId="77777777" w:rsidR="001E3079" w:rsidRPr="001E3079" w:rsidRDefault="001E3079" w:rsidP="001E3079">
            <w:pPr>
              <w:spacing w:after="0" w:line="240" w:lineRule="auto"/>
              <w:rPr>
                <w:rFonts w:ascii="Arial" w:hAnsi="Arial" w:cs="Arial"/>
                <w:sz w:val="18"/>
                <w:szCs w:val="18"/>
                <w:lang w:eastAsia="hr-HR"/>
              </w:rPr>
            </w:pPr>
            <w:r w:rsidRPr="001E3079">
              <w:rPr>
                <w:rFonts w:ascii="Arial" w:hAnsi="Arial" w:cs="Arial"/>
                <w:sz w:val="18"/>
                <w:szCs w:val="18"/>
                <w:lang w:eastAsia="hr-HR"/>
              </w:rPr>
              <w:t>08457</w:t>
            </w:r>
          </w:p>
        </w:tc>
        <w:tc>
          <w:tcPr>
            <w:tcW w:w="6234" w:type="dxa"/>
            <w:tcBorders>
              <w:top w:val="nil"/>
              <w:left w:val="nil"/>
              <w:bottom w:val="nil"/>
              <w:right w:val="nil"/>
            </w:tcBorders>
            <w:shd w:val="clear" w:color="auto" w:fill="auto"/>
            <w:noWrap/>
            <w:vAlign w:val="bottom"/>
            <w:hideMark/>
          </w:tcPr>
          <w:p w14:paraId="5C39BB48" w14:textId="77777777" w:rsidR="001E3079" w:rsidRPr="001E3079" w:rsidRDefault="001E3079" w:rsidP="001E3079">
            <w:pPr>
              <w:spacing w:after="0" w:line="240" w:lineRule="auto"/>
              <w:rPr>
                <w:rFonts w:ascii="Arial" w:hAnsi="Arial" w:cs="Arial"/>
                <w:sz w:val="18"/>
                <w:szCs w:val="18"/>
                <w:lang w:eastAsia="hr-HR"/>
              </w:rPr>
            </w:pPr>
            <w:r w:rsidRPr="001E3079">
              <w:rPr>
                <w:rFonts w:ascii="Arial" w:hAnsi="Arial" w:cs="Arial"/>
                <w:sz w:val="18"/>
                <w:szCs w:val="18"/>
                <w:lang w:eastAsia="hr-HR"/>
              </w:rPr>
              <w:t>OSNOVNA ŠKOLA TRNOVITIČKI POPOVAC</w:t>
            </w:r>
          </w:p>
        </w:tc>
        <w:tc>
          <w:tcPr>
            <w:tcW w:w="1720" w:type="dxa"/>
            <w:tcBorders>
              <w:top w:val="nil"/>
              <w:left w:val="nil"/>
              <w:bottom w:val="nil"/>
              <w:right w:val="nil"/>
            </w:tcBorders>
            <w:shd w:val="clear" w:color="auto" w:fill="auto"/>
            <w:noWrap/>
            <w:vAlign w:val="bottom"/>
            <w:hideMark/>
          </w:tcPr>
          <w:p w14:paraId="2DD2A115" w14:textId="77777777" w:rsidR="001E3079" w:rsidRPr="001E3079" w:rsidRDefault="001E3079" w:rsidP="001E3079">
            <w:pPr>
              <w:spacing w:after="0" w:line="240" w:lineRule="auto"/>
              <w:jc w:val="right"/>
              <w:rPr>
                <w:rFonts w:ascii="Arial" w:hAnsi="Arial" w:cs="Arial"/>
                <w:sz w:val="18"/>
                <w:szCs w:val="18"/>
                <w:lang w:eastAsia="hr-HR"/>
              </w:rPr>
            </w:pPr>
            <w:r w:rsidRPr="001E3079">
              <w:rPr>
                <w:rFonts w:ascii="Arial" w:hAnsi="Arial" w:cs="Arial"/>
                <w:sz w:val="18"/>
                <w:szCs w:val="18"/>
                <w:lang w:eastAsia="hr-HR"/>
              </w:rPr>
              <w:t>783.438,55</w:t>
            </w:r>
          </w:p>
        </w:tc>
        <w:tc>
          <w:tcPr>
            <w:tcW w:w="1880" w:type="dxa"/>
            <w:tcBorders>
              <w:top w:val="nil"/>
              <w:left w:val="nil"/>
              <w:bottom w:val="nil"/>
              <w:right w:val="nil"/>
            </w:tcBorders>
            <w:shd w:val="clear" w:color="auto" w:fill="auto"/>
            <w:noWrap/>
            <w:vAlign w:val="bottom"/>
            <w:hideMark/>
          </w:tcPr>
          <w:p w14:paraId="047A7A00" w14:textId="77777777" w:rsidR="001E3079" w:rsidRPr="001E3079" w:rsidRDefault="001E3079" w:rsidP="001E3079">
            <w:pPr>
              <w:spacing w:after="0" w:line="240" w:lineRule="auto"/>
              <w:jc w:val="right"/>
              <w:rPr>
                <w:rFonts w:ascii="Arial" w:hAnsi="Arial" w:cs="Arial"/>
                <w:sz w:val="18"/>
                <w:szCs w:val="18"/>
                <w:lang w:eastAsia="hr-HR"/>
              </w:rPr>
            </w:pPr>
            <w:r w:rsidRPr="001E3079">
              <w:rPr>
                <w:rFonts w:ascii="Arial" w:hAnsi="Arial" w:cs="Arial"/>
                <w:sz w:val="18"/>
                <w:szCs w:val="18"/>
                <w:lang w:eastAsia="hr-HR"/>
              </w:rPr>
              <w:t>656.130,99</w:t>
            </w:r>
          </w:p>
        </w:tc>
        <w:tc>
          <w:tcPr>
            <w:tcW w:w="1540" w:type="dxa"/>
            <w:tcBorders>
              <w:top w:val="nil"/>
              <w:left w:val="nil"/>
              <w:bottom w:val="nil"/>
              <w:right w:val="nil"/>
            </w:tcBorders>
            <w:shd w:val="clear" w:color="auto" w:fill="auto"/>
            <w:noWrap/>
            <w:vAlign w:val="bottom"/>
            <w:hideMark/>
          </w:tcPr>
          <w:p w14:paraId="69A6FD88" w14:textId="77777777" w:rsidR="001E3079" w:rsidRPr="001E3079" w:rsidRDefault="001E3079" w:rsidP="001E3079">
            <w:pPr>
              <w:spacing w:after="0" w:line="240" w:lineRule="auto"/>
              <w:jc w:val="right"/>
              <w:rPr>
                <w:rFonts w:ascii="Arial" w:hAnsi="Arial" w:cs="Arial"/>
                <w:sz w:val="18"/>
                <w:szCs w:val="18"/>
                <w:lang w:eastAsia="hr-HR"/>
              </w:rPr>
            </w:pPr>
            <w:r w:rsidRPr="001E3079">
              <w:rPr>
                <w:rFonts w:ascii="Arial" w:hAnsi="Arial" w:cs="Arial"/>
                <w:sz w:val="18"/>
                <w:szCs w:val="18"/>
                <w:lang w:eastAsia="hr-HR"/>
              </w:rPr>
              <w:t>83,75%</w:t>
            </w:r>
          </w:p>
        </w:tc>
      </w:tr>
      <w:tr w:rsidR="001E3079" w:rsidRPr="001E3079" w14:paraId="63A6FF94" w14:textId="77777777" w:rsidTr="001E3079">
        <w:trPr>
          <w:trHeight w:val="255"/>
        </w:trPr>
        <w:tc>
          <w:tcPr>
            <w:tcW w:w="2251" w:type="dxa"/>
            <w:tcBorders>
              <w:top w:val="nil"/>
              <w:left w:val="nil"/>
              <w:bottom w:val="nil"/>
              <w:right w:val="nil"/>
            </w:tcBorders>
            <w:shd w:val="clear" w:color="000000" w:fill="203764"/>
            <w:noWrap/>
            <w:vAlign w:val="bottom"/>
            <w:hideMark/>
          </w:tcPr>
          <w:p w14:paraId="67E11340" w14:textId="77777777" w:rsidR="001E3079" w:rsidRPr="001E3079" w:rsidRDefault="001E3079" w:rsidP="001E3079">
            <w:pPr>
              <w:spacing w:after="0" w:line="240" w:lineRule="auto"/>
              <w:rPr>
                <w:rFonts w:ascii="Arial" w:hAnsi="Arial" w:cs="Arial"/>
                <w:b/>
                <w:bCs/>
                <w:color w:val="FFFFFF"/>
                <w:sz w:val="18"/>
                <w:szCs w:val="18"/>
                <w:lang w:eastAsia="hr-HR"/>
              </w:rPr>
            </w:pPr>
            <w:r w:rsidRPr="001E3079">
              <w:rPr>
                <w:rFonts w:ascii="Arial" w:hAnsi="Arial" w:cs="Arial"/>
                <w:b/>
                <w:bCs/>
                <w:color w:val="FFFFFF"/>
                <w:sz w:val="18"/>
                <w:szCs w:val="18"/>
                <w:lang w:eastAsia="hr-HR"/>
              </w:rPr>
              <w:t>Razdjel</w:t>
            </w:r>
          </w:p>
        </w:tc>
        <w:tc>
          <w:tcPr>
            <w:tcW w:w="729" w:type="dxa"/>
            <w:tcBorders>
              <w:top w:val="nil"/>
              <w:left w:val="nil"/>
              <w:bottom w:val="nil"/>
              <w:right w:val="nil"/>
            </w:tcBorders>
            <w:shd w:val="clear" w:color="000000" w:fill="203764"/>
            <w:noWrap/>
            <w:vAlign w:val="bottom"/>
            <w:hideMark/>
          </w:tcPr>
          <w:p w14:paraId="40AC717D" w14:textId="77777777" w:rsidR="001E3079" w:rsidRPr="001E3079" w:rsidRDefault="001E3079" w:rsidP="001E3079">
            <w:pPr>
              <w:spacing w:after="0" w:line="240" w:lineRule="auto"/>
              <w:rPr>
                <w:rFonts w:ascii="Arial" w:hAnsi="Arial" w:cs="Arial"/>
                <w:b/>
                <w:bCs/>
                <w:color w:val="FFFFFF"/>
                <w:sz w:val="18"/>
                <w:szCs w:val="18"/>
                <w:lang w:eastAsia="hr-HR"/>
              </w:rPr>
            </w:pPr>
            <w:r w:rsidRPr="001E3079">
              <w:rPr>
                <w:rFonts w:ascii="Arial" w:hAnsi="Arial" w:cs="Arial"/>
                <w:b/>
                <w:bCs/>
                <w:color w:val="FFFFFF"/>
                <w:sz w:val="18"/>
                <w:szCs w:val="18"/>
                <w:lang w:eastAsia="hr-HR"/>
              </w:rPr>
              <w:t>003</w:t>
            </w:r>
          </w:p>
        </w:tc>
        <w:tc>
          <w:tcPr>
            <w:tcW w:w="6234" w:type="dxa"/>
            <w:tcBorders>
              <w:top w:val="nil"/>
              <w:left w:val="nil"/>
              <w:bottom w:val="nil"/>
              <w:right w:val="nil"/>
            </w:tcBorders>
            <w:shd w:val="clear" w:color="000000" w:fill="203764"/>
            <w:noWrap/>
            <w:vAlign w:val="bottom"/>
            <w:hideMark/>
          </w:tcPr>
          <w:p w14:paraId="328AB030" w14:textId="77777777" w:rsidR="001E3079" w:rsidRPr="001E3079" w:rsidRDefault="001E3079" w:rsidP="001E3079">
            <w:pPr>
              <w:spacing w:after="0" w:line="240" w:lineRule="auto"/>
              <w:rPr>
                <w:rFonts w:ascii="Arial" w:hAnsi="Arial" w:cs="Arial"/>
                <w:b/>
                <w:bCs/>
                <w:color w:val="FFFFFF"/>
                <w:sz w:val="18"/>
                <w:szCs w:val="18"/>
                <w:lang w:eastAsia="hr-HR"/>
              </w:rPr>
            </w:pPr>
            <w:r w:rsidRPr="001E3079">
              <w:rPr>
                <w:rFonts w:ascii="Arial" w:hAnsi="Arial" w:cs="Arial"/>
                <w:b/>
                <w:bCs/>
                <w:color w:val="FFFFFF"/>
                <w:sz w:val="18"/>
                <w:szCs w:val="18"/>
                <w:lang w:eastAsia="hr-HR"/>
              </w:rPr>
              <w:t>UPRAVNI ODJEL ZA FINANCIJE</w:t>
            </w:r>
          </w:p>
        </w:tc>
        <w:tc>
          <w:tcPr>
            <w:tcW w:w="1720" w:type="dxa"/>
            <w:tcBorders>
              <w:top w:val="nil"/>
              <w:left w:val="nil"/>
              <w:bottom w:val="nil"/>
              <w:right w:val="nil"/>
            </w:tcBorders>
            <w:shd w:val="clear" w:color="000000" w:fill="203764"/>
            <w:noWrap/>
            <w:vAlign w:val="bottom"/>
            <w:hideMark/>
          </w:tcPr>
          <w:p w14:paraId="0D95EADF" w14:textId="77777777" w:rsidR="001E3079" w:rsidRPr="001E3079" w:rsidRDefault="001E3079" w:rsidP="001E3079">
            <w:pPr>
              <w:spacing w:after="0" w:line="240" w:lineRule="auto"/>
              <w:jc w:val="right"/>
              <w:rPr>
                <w:rFonts w:ascii="Arial" w:hAnsi="Arial" w:cs="Arial"/>
                <w:b/>
                <w:bCs/>
                <w:color w:val="FFFFFF"/>
                <w:sz w:val="18"/>
                <w:szCs w:val="18"/>
                <w:lang w:eastAsia="hr-HR"/>
              </w:rPr>
            </w:pPr>
            <w:r w:rsidRPr="001E3079">
              <w:rPr>
                <w:rFonts w:ascii="Arial" w:hAnsi="Arial" w:cs="Arial"/>
                <w:b/>
                <w:bCs/>
                <w:color w:val="FFFFFF"/>
                <w:sz w:val="18"/>
                <w:szCs w:val="18"/>
                <w:lang w:eastAsia="hr-HR"/>
              </w:rPr>
              <w:t>272.556,86</w:t>
            </w:r>
          </w:p>
        </w:tc>
        <w:tc>
          <w:tcPr>
            <w:tcW w:w="1880" w:type="dxa"/>
            <w:tcBorders>
              <w:top w:val="nil"/>
              <w:left w:val="nil"/>
              <w:bottom w:val="nil"/>
              <w:right w:val="nil"/>
            </w:tcBorders>
            <w:shd w:val="clear" w:color="000000" w:fill="203764"/>
            <w:noWrap/>
            <w:vAlign w:val="bottom"/>
            <w:hideMark/>
          </w:tcPr>
          <w:p w14:paraId="4B6020C9" w14:textId="77777777" w:rsidR="001E3079" w:rsidRPr="001E3079" w:rsidRDefault="001E3079" w:rsidP="001E3079">
            <w:pPr>
              <w:spacing w:after="0" w:line="240" w:lineRule="auto"/>
              <w:jc w:val="right"/>
              <w:rPr>
                <w:rFonts w:ascii="Arial" w:hAnsi="Arial" w:cs="Arial"/>
                <w:b/>
                <w:bCs/>
                <w:color w:val="FFFFFF"/>
                <w:sz w:val="18"/>
                <w:szCs w:val="18"/>
                <w:lang w:eastAsia="hr-HR"/>
              </w:rPr>
            </w:pPr>
            <w:r w:rsidRPr="001E3079">
              <w:rPr>
                <w:rFonts w:ascii="Arial" w:hAnsi="Arial" w:cs="Arial"/>
                <w:b/>
                <w:bCs/>
                <w:color w:val="FFFFFF"/>
                <w:sz w:val="18"/>
                <w:szCs w:val="18"/>
                <w:lang w:eastAsia="hr-HR"/>
              </w:rPr>
              <w:t>247.280,00</w:t>
            </w:r>
          </w:p>
        </w:tc>
        <w:tc>
          <w:tcPr>
            <w:tcW w:w="1540" w:type="dxa"/>
            <w:tcBorders>
              <w:top w:val="nil"/>
              <w:left w:val="nil"/>
              <w:bottom w:val="nil"/>
              <w:right w:val="nil"/>
            </w:tcBorders>
            <w:shd w:val="clear" w:color="000000" w:fill="203764"/>
            <w:noWrap/>
            <w:vAlign w:val="bottom"/>
            <w:hideMark/>
          </w:tcPr>
          <w:p w14:paraId="41D6AC91" w14:textId="77777777" w:rsidR="001E3079" w:rsidRPr="001E3079" w:rsidRDefault="001E3079" w:rsidP="001E3079">
            <w:pPr>
              <w:spacing w:after="0" w:line="240" w:lineRule="auto"/>
              <w:jc w:val="right"/>
              <w:rPr>
                <w:rFonts w:ascii="Arial" w:hAnsi="Arial" w:cs="Arial"/>
                <w:b/>
                <w:bCs/>
                <w:color w:val="FFFFFF"/>
                <w:sz w:val="18"/>
                <w:szCs w:val="18"/>
                <w:lang w:eastAsia="hr-HR"/>
              </w:rPr>
            </w:pPr>
            <w:r w:rsidRPr="001E3079">
              <w:rPr>
                <w:rFonts w:ascii="Arial" w:hAnsi="Arial" w:cs="Arial"/>
                <w:b/>
                <w:bCs/>
                <w:color w:val="FFFFFF"/>
                <w:sz w:val="18"/>
                <w:szCs w:val="18"/>
                <w:lang w:eastAsia="hr-HR"/>
              </w:rPr>
              <w:t>90,73%</w:t>
            </w:r>
          </w:p>
        </w:tc>
      </w:tr>
      <w:tr w:rsidR="001E3079" w:rsidRPr="001E3079" w14:paraId="3D7F3C05" w14:textId="77777777" w:rsidTr="001E3079">
        <w:trPr>
          <w:trHeight w:val="255"/>
        </w:trPr>
        <w:tc>
          <w:tcPr>
            <w:tcW w:w="2251" w:type="dxa"/>
            <w:tcBorders>
              <w:top w:val="nil"/>
              <w:left w:val="nil"/>
              <w:bottom w:val="nil"/>
              <w:right w:val="nil"/>
            </w:tcBorders>
            <w:shd w:val="clear" w:color="auto" w:fill="C6D9F1" w:themeFill="text2" w:themeFillTint="33"/>
            <w:noWrap/>
            <w:vAlign w:val="bottom"/>
            <w:hideMark/>
          </w:tcPr>
          <w:p w14:paraId="18A7C6DB" w14:textId="77777777" w:rsidR="001E3079" w:rsidRPr="001E3079" w:rsidRDefault="001E3079" w:rsidP="001E3079">
            <w:pPr>
              <w:spacing w:after="0" w:line="240" w:lineRule="auto"/>
              <w:rPr>
                <w:rFonts w:ascii="Arial" w:hAnsi="Arial" w:cs="Arial"/>
                <w:b/>
                <w:bCs/>
                <w:sz w:val="18"/>
                <w:szCs w:val="18"/>
                <w:lang w:eastAsia="hr-HR"/>
              </w:rPr>
            </w:pPr>
            <w:r w:rsidRPr="001E3079">
              <w:rPr>
                <w:rFonts w:ascii="Arial" w:hAnsi="Arial" w:cs="Arial"/>
                <w:b/>
                <w:bCs/>
                <w:sz w:val="18"/>
                <w:szCs w:val="18"/>
                <w:lang w:eastAsia="hr-HR"/>
              </w:rPr>
              <w:t>Glava</w:t>
            </w:r>
          </w:p>
        </w:tc>
        <w:tc>
          <w:tcPr>
            <w:tcW w:w="729" w:type="dxa"/>
            <w:tcBorders>
              <w:top w:val="nil"/>
              <w:left w:val="nil"/>
              <w:bottom w:val="nil"/>
              <w:right w:val="nil"/>
            </w:tcBorders>
            <w:shd w:val="clear" w:color="auto" w:fill="C6D9F1" w:themeFill="text2" w:themeFillTint="33"/>
            <w:noWrap/>
            <w:vAlign w:val="bottom"/>
            <w:hideMark/>
          </w:tcPr>
          <w:p w14:paraId="77847D39" w14:textId="77777777" w:rsidR="001E3079" w:rsidRPr="001E3079" w:rsidRDefault="001E3079" w:rsidP="001E3079">
            <w:pPr>
              <w:spacing w:after="0" w:line="240" w:lineRule="auto"/>
              <w:rPr>
                <w:rFonts w:ascii="Arial" w:hAnsi="Arial" w:cs="Arial"/>
                <w:b/>
                <w:bCs/>
                <w:sz w:val="18"/>
                <w:szCs w:val="18"/>
                <w:lang w:eastAsia="hr-HR"/>
              </w:rPr>
            </w:pPr>
            <w:r w:rsidRPr="001E3079">
              <w:rPr>
                <w:rFonts w:ascii="Arial" w:hAnsi="Arial" w:cs="Arial"/>
                <w:b/>
                <w:bCs/>
                <w:sz w:val="18"/>
                <w:szCs w:val="18"/>
                <w:lang w:eastAsia="hr-HR"/>
              </w:rPr>
              <w:t>00301</w:t>
            </w:r>
          </w:p>
        </w:tc>
        <w:tc>
          <w:tcPr>
            <w:tcW w:w="6234" w:type="dxa"/>
            <w:tcBorders>
              <w:top w:val="nil"/>
              <w:left w:val="nil"/>
              <w:bottom w:val="nil"/>
              <w:right w:val="nil"/>
            </w:tcBorders>
            <w:shd w:val="clear" w:color="auto" w:fill="C6D9F1" w:themeFill="text2" w:themeFillTint="33"/>
            <w:noWrap/>
            <w:vAlign w:val="bottom"/>
            <w:hideMark/>
          </w:tcPr>
          <w:p w14:paraId="30C4E05B" w14:textId="77777777" w:rsidR="001E3079" w:rsidRPr="001E3079" w:rsidRDefault="001E3079" w:rsidP="001E3079">
            <w:pPr>
              <w:spacing w:after="0" w:line="240" w:lineRule="auto"/>
              <w:rPr>
                <w:rFonts w:ascii="Arial" w:hAnsi="Arial" w:cs="Arial"/>
                <w:b/>
                <w:bCs/>
                <w:sz w:val="18"/>
                <w:szCs w:val="18"/>
                <w:lang w:eastAsia="hr-HR"/>
              </w:rPr>
            </w:pPr>
            <w:r w:rsidRPr="001E3079">
              <w:rPr>
                <w:rFonts w:ascii="Arial" w:hAnsi="Arial" w:cs="Arial"/>
                <w:b/>
                <w:bCs/>
                <w:sz w:val="18"/>
                <w:szCs w:val="18"/>
                <w:lang w:eastAsia="hr-HR"/>
              </w:rPr>
              <w:t>UPRAVNI ODJEL ZA FINANCIJE</w:t>
            </w:r>
          </w:p>
        </w:tc>
        <w:tc>
          <w:tcPr>
            <w:tcW w:w="1720" w:type="dxa"/>
            <w:tcBorders>
              <w:top w:val="nil"/>
              <w:left w:val="nil"/>
              <w:bottom w:val="nil"/>
              <w:right w:val="nil"/>
            </w:tcBorders>
            <w:shd w:val="clear" w:color="auto" w:fill="C6D9F1" w:themeFill="text2" w:themeFillTint="33"/>
            <w:noWrap/>
            <w:vAlign w:val="bottom"/>
            <w:hideMark/>
          </w:tcPr>
          <w:p w14:paraId="0BDFC539" w14:textId="77777777" w:rsidR="001E3079" w:rsidRPr="001E3079" w:rsidRDefault="001E3079" w:rsidP="001E3079">
            <w:pPr>
              <w:spacing w:after="0" w:line="240" w:lineRule="auto"/>
              <w:jc w:val="right"/>
              <w:rPr>
                <w:rFonts w:ascii="Arial" w:hAnsi="Arial" w:cs="Arial"/>
                <w:b/>
                <w:bCs/>
                <w:sz w:val="18"/>
                <w:szCs w:val="18"/>
                <w:lang w:eastAsia="hr-HR"/>
              </w:rPr>
            </w:pPr>
            <w:r w:rsidRPr="001E3079">
              <w:rPr>
                <w:rFonts w:ascii="Arial" w:hAnsi="Arial" w:cs="Arial"/>
                <w:b/>
                <w:bCs/>
                <w:sz w:val="18"/>
                <w:szCs w:val="18"/>
                <w:lang w:eastAsia="hr-HR"/>
              </w:rPr>
              <w:t>272.556,86</w:t>
            </w:r>
          </w:p>
        </w:tc>
        <w:tc>
          <w:tcPr>
            <w:tcW w:w="1880" w:type="dxa"/>
            <w:tcBorders>
              <w:top w:val="nil"/>
              <w:left w:val="nil"/>
              <w:bottom w:val="nil"/>
              <w:right w:val="nil"/>
            </w:tcBorders>
            <w:shd w:val="clear" w:color="auto" w:fill="C6D9F1" w:themeFill="text2" w:themeFillTint="33"/>
            <w:noWrap/>
            <w:vAlign w:val="bottom"/>
            <w:hideMark/>
          </w:tcPr>
          <w:p w14:paraId="229DDE18" w14:textId="77777777" w:rsidR="001E3079" w:rsidRPr="001E3079" w:rsidRDefault="001E3079" w:rsidP="001E3079">
            <w:pPr>
              <w:spacing w:after="0" w:line="240" w:lineRule="auto"/>
              <w:jc w:val="right"/>
              <w:rPr>
                <w:rFonts w:ascii="Arial" w:hAnsi="Arial" w:cs="Arial"/>
                <w:b/>
                <w:bCs/>
                <w:sz w:val="18"/>
                <w:szCs w:val="18"/>
                <w:lang w:eastAsia="hr-HR"/>
              </w:rPr>
            </w:pPr>
            <w:r w:rsidRPr="001E3079">
              <w:rPr>
                <w:rFonts w:ascii="Arial" w:hAnsi="Arial" w:cs="Arial"/>
                <w:b/>
                <w:bCs/>
                <w:sz w:val="18"/>
                <w:szCs w:val="18"/>
                <w:lang w:eastAsia="hr-HR"/>
              </w:rPr>
              <w:t>247.280,00</w:t>
            </w:r>
          </w:p>
        </w:tc>
        <w:tc>
          <w:tcPr>
            <w:tcW w:w="1540" w:type="dxa"/>
            <w:tcBorders>
              <w:top w:val="nil"/>
              <w:left w:val="nil"/>
              <w:bottom w:val="nil"/>
              <w:right w:val="nil"/>
            </w:tcBorders>
            <w:shd w:val="clear" w:color="auto" w:fill="C6D9F1" w:themeFill="text2" w:themeFillTint="33"/>
            <w:noWrap/>
            <w:vAlign w:val="bottom"/>
            <w:hideMark/>
          </w:tcPr>
          <w:p w14:paraId="1D5E1603" w14:textId="77777777" w:rsidR="001E3079" w:rsidRPr="001E3079" w:rsidRDefault="001E3079" w:rsidP="001E3079">
            <w:pPr>
              <w:spacing w:after="0" w:line="240" w:lineRule="auto"/>
              <w:jc w:val="right"/>
              <w:rPr>
                <w:rFonts w:ascii="Arial" w:hAnsi="Arial" w:cs="Arial"/>
                <w:b/>
                <w:bCs/>
                <w:sz w:val="18"/>
                <w:szCs w:val="18"/>
                <w:lang w:eastAsia="hr-HR"/>
              </w:rPr>
            </w:pPr>
            <w:r w:rsidRPr="001E3079">
              <w:rPr>
                <w:rFonts w:ascii="Arial" w:hAnsi="Arial" w:cs="Arial"/>
                <w:b/>
                <w:bCs/>
                <w:sz w:val="18"/>
                <w:szCs w:val="18"/>
                <w:lang w:eastAsia="hr-HR"/>
              </w:rPr>
              <w:t>90,73%</w:t>
            </w:r>
          </w:p>
        </w:tc>
      </w:tr>
      <w:tr w:rsidR="001E3079" w:rsidRPr="001E3079" w14:paraId="6C9DA96F" w14:textId="77777777" w:rsidTr="001E3079">
        <w:trPr>
          <w:trHeight w:val="255"/>
        </w:trPr>
        <w:tc>
          <w:tcPr>
            <w:tcW w:w="2251" w:type="dxa"/>
            <w:tcBorders>
              <w:top w:val="nil"/>
              <w:left w:val="nil"/>
              <w:bottom w:val="nil"/>
              <w:right w:val="nil"/>
            </w:tcBorders>
            <w:shd w:val="clear" w:color="auto" w:fill="auto"/>
            <w:noWrap/>
            <w:vAlign w:val="bottom"/>
            <w:hideMark/>
          </w:tcPr>
          <w:p w14:paraId="552E57DE" w14:textId="77777777" w:rsidR="001E3079" w:rsidRPr="001E3079" w:rsidRDefault="001E3079" w:rsidP="001E3079">
            <w:pPr>
              <w:spacing w:after="0" w:line="240" w:lineRule="auto"/>
              <w:rPr>
                <w:rFonts w:ascii="Arial" w:hAnsi="Arial" w:cs="Arial"/>
                <w:sz w:val="18"/>
                <w:szCs w:val="18"/>
                <w:lang w:eastAsia="hr-HR"/>
              </w:rPr>
            </w:pPr>
            <w:r w:rsidRPr="001E3079">
              <w:rPr>
                <w:rFonts w:ascii="Arial" w:hAnsi="Arial" w:cs="Arial"/>
                <w:sz w:val="18"/>
                <w:szCs w:val="18"/>
                <w:lang w:eastAsia="hr-HR"/>
              </w:rPr>
              <w:t>Proračunski korisnik</w:t>
            </w:r>
          </w:p>
        </w:tc>
        <w:tc>
          <w:tcPr>
            <w:tcW w:w="729" w:type="dxa"/>
            <w:tcBorders>
              <w:top w:val="nil"/>
              <w:left w:val="nil"/>
              <w:bottom w:val="nil"/>
              <w:right w:val="nil"/>
            </w:tcBorders>
            <w:shd w:val="clear" w:color="auto" w:fill="auto"/>
            <w:noWrap/>
            <w:vAlign w:val="bottom"/>
            <w:hideMark/>
          </w:tcPr>
          <w:p w14:paraId="6DEDC77F" w14:textId="77777777" w:rsidR="001E3079" w:rsidRPr="001E3079" w:rsidRDefault="001E3079" w:rsidP="001E3079">
            <w:pPr>
              <w:spacing w:after="0" w:line="240" w:lineRule="auto"/>
              <w:rPr>
                <w:rFonts w:ascii="Arial" w:hAnsi="Arial" w:cs="Arial"/>
                <w:sz w:val="18"/>
                <w:szCs w:val="18"/>
                <w:lang w:eastAsia="hr-HR"/>
              </w:rPr>
            </w:pPr>
            <w:r w:rsidRPr="001E3079">
              <w:rPr>
                <w:rFonts w:ascii="Arial" w:hAnsi="Arial" w:cs="Arial"/>
                <w:sz w:val="18"/>
                <w:szCs w:val="18"/>
                <w:lang w:eastAsia="hr-HR"/>
              </w:rPr>
              <w:t>00001</w:t>
            </w:r>
          </w:p>
        </w:tc>
        <w:tc>
          <w:tcPr>
            <w:tcW w:w="6234" w:type="dxa"/>
            <w:tcBorders>
              <w:top w:val="nil"/>
              <w:left w:val="nil"/>
              <w:bottom w:val="nil"/>
              <w:right w:val="nil"/>
            </w:tcBorders>
            <w:shd w:val="clear" w:color="auto" w:fill="auto"/>
            <w:noWrap/>
            <w:vAlign w:val="bottom"/>
            <w:hideMark/>
          </w:tcPr>
          <w:p w14:paraId="560B49E6" w14:textId="77777777" w:rsidR="001E3079" w:rsidRPr="001E3079" w:rsidRDefault="001E3079" w:rsidP="001E3079">
            <w:pPr>
              <w:spacing w:after="0" w:line="240" w:lineRule="auto"/>
              <w:rPr>
                <w:rFonts w:ascii="Arial" w:hAnsi="Arial" w:cs="Arial"/>
                <w:sz w:val="18"/>
                <w:szCs w:val="18"/>
                <w:lang w:eastAsia="hr-HR"/>
              </w:rPr>
            </w:pPr>
            <w:r w:rsidRPr="001E3079">
              <w:rPr>
                <w:rFonts w:ascii="Arial" w:hAnsi="Arial" w:cs="Arial"/>
                <w:sz w:val="18"/>
                <w:szCs w:val="18"/>
                <w:lang w:eastAsia="hr-HR"/>
              </w:rPr>
              <w:t>UPRAVNI ODJEL ZA FINANCIJE</w:t>
            </w:r>
          </w:p>
        </w:tc>
        <w:tc>
          <w:tcPr>
            <w:tcW w:w="1720" w:type="dxa"/>
            <w:tcBorders>
              <w:top w:val="nil"/>
              <w:left w:val="nil"/>
              <w:bottom w:val="nil"/>
              <w:right w:val="nil"/>
            </w:tcBorders>
            <w:shd w:val="clear" w:color="auto" w:fill="auto"/>
            <w:noWrap/>
            <w:vAlign w:val="bottom"/>
            <w:hideMark/>
          </w:tcPr>
          <w:p w14:paraId="0A1ED2A7" w14:textId="77777777" w:rsidR="001E3079" w:rsidRPr="001E3079" w:rsidRDefault="001E3079" w:rsidP="001E3079">
            <w:pPr>
              <w:spacing w:after="0" w:line="240" w:lineRule="auto"/>
              <w:jc w:val="right"/>
              <w:rPr>
                <w:rFonts w:ascii="Arial" w:hAnsi="Arial" w:cs="Arial"/>
                <w:sz w:val="18"/>
                <w:szCs w:val="18"/>
                <w:lang w:eastAsia="hr-HR"/>
              </w:rPr>
            </w:pPr>
            <w:r w:rsidRPr="001E3079">
              <w:rPr>
                <w:rFonts w:ascii="Arial" w:hAnsi="Arial" w:cs="Arial"/>
                <w:sz w:val="18"/>
                <w:szCs w:val="18"/>
                <w:lang w:eastAsia="hr-HR"/>
              </w:rPr>
              <w:t>272.556,86</w:t>
            </w:r>
          </w:p>
        </w:tc>
        <w:tc>
          <w:tcPr>
            <w:tcW w:w="1880" w:type="dxa"/>
            <w:tcBorders>
              <w:top w:val="nil"/>
              <w:left w:val="nil"/>
              <w:bottom w:val="nil"/>
              <w:right w:val="nil"/>
            </w:tcBorders>
            <w:shd w:val="clear" w:color="auto" w:fill="auto"/>
            <w:noWrap/>
            <w:vAlign w:val="bottom"/>
            <w:hideMark/>
          </w:tcPr>
          <w:p w14:paraId="5B83F8D4" w14:textId="77777777" w:rsidR="001E3079" w:rsidRPr="001E3079" w:rsidRDefault="001E3079" w:rsidP="001E3079">
            <w:pPr>
              <w:spacing w:after="0" w:line="240" w:lineRule="auto"/>
              <w:jc w:val="right"/>
              <w:rPr>
                <w:rFonts w:ascii="Arial" w:hAnsi="Arial" w:cs="Arial"/>
                <w:sz w:val="18"/>
                <w:szCs w:val="18"/>
                <w:lang w:eastAsia="hr-HR"/>
              </w:rPr>
            </w:pPr>
            <w:r w:rsidRPr="001E3079">
              <w:rPr>
                <w:rFonts w:ascii="Arial" w:hAnsi="Arial" w:cs="Arial"/>
                <w:sz w:val="18"/>
                <w:szCs w:val="18"/>
                <w:lang w:eastAsia="hr-HR"/>
              </w:rPr>
              <w:t>247.280,00</w:t>
            </w:r>
          </w:p>
        </w:tc>
        <w:tc>
          <w:tcPr>
            <w:tcW w:w="1540" w:type="dxa"/>
            <w:tcBorders>
              <w:top w:val="nil"/>
              <w:left w:val="nil"/>
              <w:bottom w:val="nil"/>
              <w:right w:val="nil"/>
            </w:tcBorders>
            <w:shd w:val="clear" w:color="auto" w:fill="auto"/>
            <w:noWrap/>
            <w:vAlign w:val="bottom"/>
            <w:hideMark/>
          </w:tcPr>
          <w:p w14:paraId="70EDC4A4" w14:textId="77777777" w:rsidR="001E3079" w:rsidRPr="001E3079" w:rsidRDefault="001E3079" w:rsidP="001E3079">
            <w:pPr>
              <w:spacing w:after="0" w:line="240" w:lineRule="auto"/>
              <w:jc w:val="right"/>
              <w:rPr>
                <w:rFonts w:ascii="Arial" w:hAnsi="Arial" w:cs="Arial"/>
                <w:sz w:val="18"/>
                <w:szCs w:val="18"/>
                <w:lang w:eastAsia="hr-HR"/>
              </w:rPr>
            </w:pPr>
            <w:r w:rsidRPr="001E3079">
              <w:rPr>
                <w:rFonts w:ascii="Arial" w:hAnsi="Arial" w:cs="Arial"/>
                <w:sz w:val="18"/>
                <w:szCs w:val="18"/>
                <w:lang w:eastAsia="hr-HR"/>
              </w:rPr>
              <w:t>90,73%</w:t>
            </w:r>
          </w:p>
        </w:tc>
      </w:tr>
      <w:tr w:rsidR="001E3079" w:rsidRPr="001E3079" w14:paraId="64EC518A" w14:textId="77777777" w:rsidTr="001E3079">
        <w:trPr>
          <w:trHeight w:val="255"/>
        </w:trPr>
        <w:tc>
          <w:tcPr>
            <w:tcW w:w="2251" w:type="dxa"/>
            <w:tcBorders>
              <w:top w:val="nil"/>
              <w:left w:val="nil"/>
              <w:bottom w:val="nil"/>
              <w:right w:val="nil"/>
            </w:tcBorders>
            <w:shd w:val="clear" w:color="000000" w:fill="203764"/>
            <w:noWrap/>
            <w:vAlign w:val="bottom"/>
            <w:hideMark/>
          </w:tcPr>
          <w:p w14:paraId="7779E9DA" w14:textId="77777777" w:rsidR="001E3079" w:rsidRPr="001E3079" w:rsidRDefault="001E3079" w:rsidP="001E3079">
            <w:pPr>
              <w:spacing w:after="0" w:line="240" w:lineRule="auto"/>
              <w:rPr>
                <w:rFonts w:ascii="Arial" w:hAnsi="Arial" w:cs="Arial"/>
                <w:b/>
                <w:bCs/>
                <w:color w:val="FFFFFF"/>
                <w:sz w:val="18"/>
                <w:szCs w:val="18"/>
                <w:lang w:eastAsia="hr-HR"/>
              </w:rPr>
            </w:pPr>
            <w:r w:rsidRPr="001E3079">
              <w:rPr>
                <w:rFonts w:ascii="Arial" w:hAnsi="Arial" w:cs="Arial"/>
                <w:b/>
                <w:bCs/>
                <w:color w:val="FFFFFF"/>
                <w:sz w:val="18"/>
                <w:szCs w:val="18"/>
                <w:lang w:eastAsia="hr-HR"/>
              </w:rPr>
              <w:t>Razdjel</w:t>
            </w:r>
          </w:p>
        </w:tc>
        <w:tc>
          <w:tcPr>
            <w:tcW w:w="729" w:type="dxa"/>
            <w:tcBorders>
              <w:top w:val="nil"/>
              <w:left w:val="nil"/>
              <w:bottom w:val="nil"/>
              <w:right w:val="nil"/>
            </w:tcBorders>
            <w:shd w:val="clear" w:color="000000" w:fill="203764"/>
            <w:noWrap/>
            <w:vAlign w:val="bottom"/>
            <w:hideMark/>
          </w:tcPr>
          <w:p w14:paraId="1B0D4B01" w14:textId="77777777" w:rsidR="001E3079" w:rsidRPr="001E3079" w:rsidRDefault="001E3079" w:rsidP="001E3079">
            <w:pPr>
              <w:spacing w:after="0" w:line="240" w:lineRule="auto"/>
              <w:rPr>
                <w:rFonts w:ascii="Arial" w:hAnsi="Arial" w:cs="Arial"/>
                <w:b/>
                <w:bCs/>
                <w:color w:val="FFFFFF"/>
                <w:sz w:val="18"/>
                <w:szCs w:val="18"/>
                <w:lang w:eastAsia="hr-HR"/>
              </w:rPr>
            </w:pPr>
            <w:r w:rsidRPr="001E3079">
              <w:rPr>
                <w:rFonts w:ascii="Arial" w:hAnsi="Arial" w:cs="Arial"/>
                <w:b/>
                <w:bCs/>
                <w:color w:val="FFFFFF"/>
                <w:sz w:val="18"/>
                <w:szCs w:val="18"/>
                <w:lang w:eastAsia="hr-HR"/>
              </w:rPr>
              <w:t>004</w:t>
            </w:r>
          </w:p>
        </w:tc>
        <w:tc>
          <w:tcPr>
            <w:tcW w:w="6234" w:type="dxa"/>
            <w:tcBorders>
              <w:top w:val="nil"/>
              <w:left w:val="nil"/>
              <w:bottom w:val="nil"/>
              <w:right w:val="nil"/>
            </w:tcBorders>
            <w:shd w:val="clear" w:color="000000" w:fill="203764"/>
            <w:noWrap/>
            <w:vAlign w:val="bottom"/>
            <w:hideMark/>
          </w:tcPr>
          <w:p w14:paraId="6803341C" w14:textId="77777777" w:rsidR="001E3079" w:rsidRPr="001E3079" w:rsidRDefault="001E3079" w:rsidP="001E3079">
            <w:pPr>
              <w:spacing w:after="0" w:line="240" w:lineRule="auto"/>
              <w:rPr>
                <w:rFonts w:ascii="Arial" w:hAnsi="Arial" w:cs="Arial"/>
                <w:b/>
                <w:bCs/>
                <w:color w:val="FFFFFF"/>
                <w:sz w:val="18"/>
                <w:szCs w:val="18"/>
                <w:lang w:eastAsia="hr-HR"/>
              </w:rPr>
            </w:pPr>
            <w:r w:rsidRPr="001E3079">
              <w:rPr>
                <w:rFonts w:ascii="Arial" w:hAnsi="Arial" w:cs="Arial"/>
                <w:b/>
                <w:bCs/>
                <w:color w:val="FFFFFF"/>
                <w:sz w:val="18"/>
                <w:szCs w:val="18"/>
                <w:lang w:eastAsia="hr-HR"/>
              </w:rPr>
              <w:t>UPRAVNI ODJEL ZA GOSPODARSTVO I KOMUNALNI SUSTAV</w:t>
            </w:r>
          </w:p>
        </w:tc>
        <w:tc>
          <w:tcPr>
            <w:tcW w:w="1720" w:type="dxa"/>
            <w:tcBorders>
              <w:top w:val="nil"/>
              <w:left w:val="nil"/>
              <w:bottom w:val="nil"/>
              <w:right w:val="nil"/>
            </w:tcBorders>
            <w:shd w:val="clear" w:color="000000" w:fill="203764"/>
            <w:noWrap/>
            <w:vAlign w:val="bottom"/>
            <w:hideMark/>
          </w:tcPr>
          <w:p w14:paraId="5DF312B4" w14:textId="77777777" w:rsidR="001E3079" w:rsidRPr="001E3079" w:rsidRDefault="001E3079" w:rsidP="001E3079">
            <w:pPr>
              <w:spacing w:after="0" w:line="240" w:lineRule="auto"/>
              <w:jc w:val="right"/>
              <w:rPr>
                <w:rFonts w:ascii="Arial" w:hAnsi="Arial" w:cs="Arial"/>
                <w:b/>
                <w:bCs/>
                <w:color w:val="FFFFFF"/>
                <w:sz w:val="18"/>
                <w:szCs w:val="18"/>
                <w:lang w:eastAsia="hr-HR"/>
              </w:rPr>
            </w:pPr>
            <w:r w:rsidRPr="001E3079">
              <w:rPr>
                <w:rFonts w:ascii="Arial" w:hAnsi="Arial" w:cs="Arial"/>
                <w:b/>
                <w:bCs/>
                <w:color w:val="FFFFFF"/>
                <w:sz w:val="18"/>
                <w:szCs w:val="18"/>
                <w:lang w:eastAsia="hr-HR"/>
              </w:rPr>
              <w:t>4.351.775,28</w:t>
            </w:r>
          </w:p>
        </w:tc>
        <w:tc>
          <w:tcPr>
            <w:tcW w:w="1880" w:type="dxa"/>
            <w:tcBorders>
              <w:top w:val="nil"/>
              <w:left w:val="nil"/>
              <w:bottom w:val="nil"/>
              <w:right w:val="nil"/>
            </w:tcBorders>
            <w:shd w:val="clear" w:color="000000" w:fill="203764"/>
            <w:noWrap/>
            <w:vAlign w:val="bottom"/>
            <w:hideMark/>
          </w:tcPr>
          <w:p w14:paraId="512158E2" w14:textId="77777777" w:rsidR="001E3079" w:rsidRPr="001E3079" w:rsidRDefault="001E3079" w:rsidP="001E3079">
            <w:pPr>
              <w:spacing w:after="0" w:line="240" w:lineRule="auto"/>
              <w:jc w:val="right"/>
              <w:rPr>
                <w:rFonts w:ascii="Arial" w:hAnsi="Arial" w:cs="Arial"/>
                <w:b/>
                <w:bCs/>
                <w:color w:val="FFFFFF"/>
                <w:sz w:val="18"/>
                <w:szCs w:val="18"/>
                <w:lang w:eastAsia="hr-HR"/>
              </w:rPr>
            </w:pPr>
            <w:r w:rsidRPr="001E3079">
              <w:rPr>
                <w:rFonts w:ascii="Arial" w:hAnsi="Arial" w:cs="Arial"/>
                <w:b/>
                <w:bCs/>
                <w:color w:val="FFFFFF"/>
                <w:sz w:val="18"/>
                <w:szCs w:val="18"/>
                <w:lang w:eastAsia="hr-HR"/>
              </w:rPr>
              <w:t>3.817.315,34</w:t>
            </w:r>
          </w:p>
        </w:tc>
        <w:tc>
          <w:tcPr>
            <w:tcW w:w="1540" w:type="dxa"/>
            <w:tcBorders>
              <w:top w:val="nil"/>
              <w:left w:val="nil"/>
              <w:bottom w:val="nil"/>
              <w:right w:val="nil"/>
            </w:tcBorders>
            <w:shd w:val="clear" w:color="000000" w:fill="203764"/>
            <w:noWrap/>
            <w:vAlign w:val="bottom"/>
            <w:hideMark/>
          </w:tcPr>
          <w:p w14:paraId="075BB99C" w14:textId="77777777" w:rsidR="001E3079" w:rsidRPr="001E3079" w:rsidRDefault="001E3079" w:rsidP="001E3079">
            <w:pPr>
              <w:spacing w:after="0" w:line="240" w:lineRule="auto"/>
              <w:jc w:val="right"/>
              <w:rPr>
                <w:rFonts w:ascii="Arial" w:hAnsi="Arial" w:cs="Arial"/>
                <w:b/>
                <w:bCs/>
                <w:color w:val="FFFFFF"/>
                <w:sz w:val="18"/>
                <w:szCs w:val="18"/>
                <w:lang w:eastAsia="hr-HR"/>
              </w:rPr>
            </w:pPr>
            <w:r w:rsidRPr="001E3079">
              <w:rPr>
                <w:rFonts w:ascii="Arial" w:hAnsi="Arial" w:cs="Arial"/>
                <w:b/>
                <w:bCs/>
                <w:color w:val="FFFFFF"/>
                <w:sz w:val="18"/>
                <w:szCs w:val="18"/>
                <w:lang w:eastAsia="hr-HR"/>
              </w:rPr>
              <w:t>87,72%</w:t>
            </w:r>
          </w:p>
        </w:tc>
      </w:tr>
      <w:tr w:rsidR="001E3079" w:rsidRPr="001E3079" w14:paraId="7A06F8CC" w14:textId="77777777" w:rsidTr="001E3079">
        <w:trPr>
          <w:trHeight w:val="255"/>
        </w:trPr>
        <w:tc>
          <w:tcPr>
            <w:tcW w:w="2251" w:type="dxa"/>
            <w:tcBorders>
              <w:top w:val="nil"/>
              <w:left w:val="nil"/>
              <w:bottom w:val="nil"/>
              <w:right w:val="nil"/>
            </w:tcBorders>
            <w:shd w:val="clear" w:color="auto" w:fill="C6D9F1" w:themeFill="text2" w:themeFillTint="33"/>
            <w:noWrap/>
            <w:vAlign w:val="bottom"/>
            <w:hideMark/>
          </w:tcPr>
          <w:p w14:paraId="5900F9FE" w14:textId="77777777" w:rsidR="001E3079" w:rsidRPr="001E3079" w:rsidRDefault="001E3079" w:rsidP="001E3079">
            <w:pPr>
              <w:spacing w:after="0" w:line="240" w:lineRule="auto"/>
              <w:rPr>
                <w:rFonts w:ascii="Arial" w:hAnsi="Arial" w:cs="Arial"/>
                <w:b/>
                <w:bCs/>
                <w:sz w:val="18"/>
                <w:szCs w:val="18"/>
                <w:lang w:eastAsia="hr-HR"/>
              </w:rPr>
            </w:pPr>
            <w:r w:rsidRPr="001E3079">
              <w:rPr>
                <w:rFonts w:ascii="Arial" w:hAnsi="Arial" w:cs="Arial"/>
                <w:b/>
                <w:bCs/>
                <w:sz w:val="18"/>
                <w:szCs w:val="18"/>
                <w:lang w:eastAsia="hr-HR"/>
              </w:rPr>
              <w:t>Glava</w:t>
            </w:r>
          </w:p>
        </w:tc>
        <w:tc>
          <w:tcPr>
            <w:tcW w:w="729" w:type="dxa"/>
            <w:tcBorders>
              <w:top w:val="nil"/>
              <w:left w:val="nil"/>
              <w:bottom w:val="nil"/>
              <w:right w:val="nil"/>
            </w:tcBorders>
            <w:shd w:val="clear" w:color="auto" w:fill="C6D9F1" w:themeFill="text2" w:themeFillTint="33"/>
            <w:noWrap/>
            <w:vAlign w:val="bottom"/>
            <w:hideMark/>
          </w:tcPr>
          <w:p w14:paraId="15835D78" w14:textId="77777777" w:rsidR="001E3079" w:rsidRPr="001E3079" w:rsidRDefault="001E3079" w:rsidP="001E3079">
            <w:pPr>
              <w:spacing w:after="0" w:line="240" w:lineRule="auto"/>
              <w:rPr>
                <w:rFonts w:ascii="Arial" w:hAnsi="Arial" w:cs="Arial"/>
                <w:b/>
                <w:bCs/>
                <w:sz w:val="18"/>
                <w:szCs w:val="18"/>
                <w:lang w:eastAsia="hr-HR"/>
              </w:rPr>
            </w:pPr>
            <w:r w:rsidRPr="001E3079">
              <w:rPr>
                <w:rFonts w:ascii="Arial" w:hAnsi="Arial" w:cs="Arial"/>
                <w:b/>
                <w:bCs/>
                <w:sz w:val="18"/>
                <w:szCs w:val="18"/>
                <w:lang w:eastAsia="hr-HR"/>
              </w:rPr>
              <w:t>00401</w:t>
            </w:r>
          </w:p>
        </w:tc>
        <w:tc>
          <w:tcPr>
            <w:tcW w:w="6234" w:type="dxa"/>
            <w:tcBorders>
              <w:top w:val="nil"/>
              <w:left w:val="nil"/>
              <w:bottom w:val="nil"/>
              <w:right w:val="nil"/>
            </w:tcBorders>
            <w:shd w:val="clear" w:color="auto" w:fill="C6D9F1" w:themeFill="text2" w:themeFillTint="33"/>
            <w:noWrap/>
            <w:vAlign w:val="bottom"/>
            <w:hideMark/>
          </w:tcPr>
          <w:p w14:paraId="6BA5700D" w14:textId="77777777" w:rsidR="001E3079" w:rsidRPr="001E3079" w:rsidRDefault="001E3079" w:rsidP="001E3079">
            <w:pPr>
              <w:spacing w:after="0" w:line="240" w:lineRule="auto"/>
              <w:rPr>
                <w:rFonts w:ascii="Arial" w:hAnsi="Arial" w:cs="Arial"/>
                <w:b/>
                <w:bCs/>
                <w:sz w:val="18"/>
                <w:szCs w:val="18"/>
                <w:lang w:eastAsia="hr-HR"/>
              </w:rPr>
            </w:pPr>
            <w:r w:rsidRPr="001E3079">
              <w:rPr>
                <w:rFonts w:ascii="Arial" w:hAnsi="Arial" w:cs="Arial"/>
                <w:b/>
                <w:bCs/>
                <w:sz w:val="18"/>
                <w:szCs w:val="18"/>
                <w:lang w:eastAsia="hr-HR"/>
              </w:rPr>
              <w:t>UPRAVNI ODJEL ZA GOSPODARSTVO I KOMUNALNI SUSTAV</w:t>
            </w:r>
          </w:p>
        </w:tc>
        <w:tc>
          <w:tcPr>
            <w:tcW w:w="1720" w:type="dxa"/>
            <w:tcBorders>
              <w:top w:val="nil"/>
              <w:left w:val="nil"/>
              <w:bottom w:val="nil"/>
              <w:right w:val="nil"/>
            </w:tcBorders>
            <w:shd w:val="clear" w:color="auto" w:fill="C6D9F1" w:themeFill="text2" w:themeFillTint="33"/>
            <w:noWrap/>
            <w:vAlign w:val="bottom"/>
            <w:hideMark/>
          </w:tcPr>
          <w:p w14:paraId="44C88A0C" w14:textId="77777777" w:rsidR="001E3079" w:rsidRPr="001E3079" w:rsidRDefault="001E3079" w:rsidP="001E3079">
            <w:pPr>
              <w:spacing w:after="0" w:line="240" w:lineRule="auto"/>
              <w:jc w:val="right"/>
              <w:rPr>
                <w:rFonts w:ascii="Arial" w:hAnsi="Arial" w:cs="Arial"/>
                <w:b/>
                <w:bCs/>
                <w:sz w:val="18"/>
                <w:szCs w:val="18"/>
                <w:lang w:eastAsia="hr-HR"/>
              </w:rPr>
            </w:pPr>
            <w:r w:rsidRPr="001E3079">
              <w:rPr>
                <w:rFonts w:ascii="Arial" w:hAnsi="Arial" w:cs="Arial"/>
                <w:b/>
                <w:bCs/>
                <w:sz w:val="18"/>
                <w:szCs w:val="18"/>
                <w:lang w:eastAsia="hr-HR"/>
              </w:rPr>
              <w:t>4.351.775,28</w:t>
            </w:r>
          </w:p>
        </w:tc>
        <w:tc>
          <w:tcPr>
            <w:tcW w:w="1880" w:type="dxa"/>
            <w:tcBorders>
              <w:top w:val="nil"/>
              <w:left w:val="nil"/>
              <w:bottom w:val="nil"/>
              <w:right w:val="nil"/>
            </w:tcBorders>
            <w:shd w:val="clear" w:color="auto" w:fill="C6D9F1" w:themeFill="text2" w:themeFillTint="33"/>
            <w:noWrap/>
            <w:vAlign w:val="bottom"/>
            <w:hideMark/>
          </w:tcPr>
          <w:p w14:paraId="5C64DAC7" w14:textId="77777777" w:rsidR="001E3079" w:rsidRPr="001E3079" w:rsidRDefault="001E3079" w:rsidP="001E3079">
            <w:pPr>
              <w:spacing w:after="0" w:line="240" w:lineRule="auto"/>
              <w:jc w:val="right"/>
              <w:rPr>
                <w:rFonts w:ascii="Arial" w:hAnsi="Arial" w:cs="Arial"/>
                <w:b/>
                <w:bCs/>
                <w:sz w:val="18"/>
                <w:szCs w:val="18"/>
                <w:lang w:eastAsia="hr-HR"/>
              </w:rPr>
            </w:pPr>
            <w:r w:rsidRPr="001E3079">
              <w:rPr>
                <w:rFonts w:ascii="Arial" w:hAnsi="Arial" w:cs="Arial"/>
                <w:b/>
                <w:bCs/>
                <w:sz w:val="18"/>
                <w:szCs w:val="18"/>
                <w:lang w:eastAsia="hr-HR"/>
              </w:rPr>
              <w:t>3.817.315,34</w:t>
            </w:r>
          </w:p>
        </w:tc>
        <w:tc>
          <w:tcPr>
            <w:tcW w:w="1540" w:type="dxa"/>
            <w:tcBorders>
              <w:top w:val="nil"/>
              <w:left w:val="nil"/>
              <w:bottom w:val="nil"/>
              <w:right w:val="nil"/>
            </w:tcBorders>
            <w:shd w:val="clear" w:color="auto" w:fill="C6D9F1" w:themeFill="text2" w:themeFillTint="33"/>
            <w:noWrap/>
            <w:vAlign w:val="bottom"/>
            <w:hideMark/>
          </w:tcPr>
          <w:p w14:paraId="2429FE21" w14:textId="77777777" w:rsidR="001E3079" w:rsidRPr="001E3079" w:rsidRDefault="001E3079" w:rsidP="001E3079">
            <w:pPr>
              <w:spacing w:after="0" w:line="240" w:lineRule="auto"/>
              <w:jc w:val="right"/>
              <w:rPr>
                <w:rFonts w:ascii="Arial" w:hAnsi="Arial" w:cs="Arial"/>
                <w:b/>
                <w:bCs/>
                <w:sz w:val="18"/>
                <w:szCs w:val="18"/>
                <w:lang w:eastAsia="hr-HR"/>
              </w:rPr>
            </w:pPr>
            <w:r w:rsidRPr="001E3079">
              <w:rPr>
                <w:rFonts w:ascii="Arial" w:hAnsi="Arial" w:cs="Arial"/>
                <w:b/>
                <w:bCs/>
                <w:sz w:val="18"/>
                <w:szCs w:val="18"/>
                <w:lang w:eastAsia="hr-HR"/>
              </w:rPr>
              <w:t>87,72%</w:t>
            </w:r>
          </w:p>
        </w:tc>
      </w:tr>
      <w:tr w:rsidR="001E3079" w:rsidRPr="001E3079" w14:paraId="04845ADF" w14:textId="77777777" w:rsidTr="001E3079">
        <w:trPr>
          <w:trHeight w:val="255"/>
        </w:trPr>
        <w:tc>
          <w:tcPr>
            <w:tcW w:w="2251" w:type="dxa"/>
            <w:tcBorders>
              <w:top w:val="nil"/>
              <w:left w:val="nil"/>
              <w:bottom w:val="nil"/>
              <w:right w:val="nil"/>
            </w:tcBorders>
            <w:shd w:val="clear" w:color="auto" w:fill="auto"/>
            <w:noWrap/>
            <w:vAlign w:val="bottom"/>
            <w:hideMark/>
          </w:tcPr>
          <w:p w14:paraId="7883AEE1" w14:textId="77777777" w:rsidR="001E3079" w:rsidRPr="001E3079" w:rsidRDefault="001E3079" w:rsidP="001E3079">
            <w:pPr>
              <w:spacing w:after="0" w:line="240" w:lineRule="auto"/>
              <w:rPr>
                <w:rFonts w:ascii="Arial" w:hAnsi="Arial" w:cs="Arial"/>
                <w:sz w:val="18"/>
                <w:szCs w:val="18"/>
                <w:lang w:eastAsia="hr-HR"/>
              </w:rPr>
            </w:pPr>
            <w:r w:rsidRPr="001E3079">
              <w:rPr>
                <w:rFonts w:ascii="Arial" w:hAnsi="Arial" w:cs="Arial"/>
                <w:sz w:val="18"/>
                <w:szCs w:val="18"/>
                <w:lang w:eastAsia="hr-HR"/>
              </w:rPr>
              <w:t>Proračunski korisnik</w:t>
            </w:r>
          </w:p>
        </w:tc>
        <w:tc>
          <w:tcPr>
            <w:tcW w:w="729" w:type="dxa"/>
            <w:tcBorders>
              <w:top w:val="nil"/>
              <w:left w:val="nil"/>
              <w:bottom w:val="nil"/>
              <w:right w:val="nil"/>
            </w:tcBorders>
            <w:shd w:val="clear" w:color="auto" w:fill="auto"/>
            <w:noWrap/>
            <w:vAlign w:val="bottom"/>
            <w:hideMark/>
          </w:tcPr>
          <w:p w14:paraId="6ED8E8D8" w14:textId="77777777" w:rsidR="001E3079" w:rsidRPr="001E3079" w:rsidRDefault="001E3079" w:rsidP="001E3079">
            <w:pPr>
              <w:spacing w:after="0" w:line="240" w:lineRule="auto"/>
              <w:rPr>
                <w:rFonts w:ascii="Arial" w:hAnsi="Arial" w:cs="Arial"/>
                <w:sz w:val="18"/>
                <w:szCs w:val="18"/>
                <w:lang w:eastAsia="hr-HR"/>
              </w:rPr>
            </w:pPr>
            <w:r w:rsidRPr="001E3079">
              <w:rPr>
                <w:rFonts w:ascii="Arial" w:hAnsi="Arial" w:cs="Arial"/>
                <w:sz w:val="18"/>
                <w:szCs w:val="18"/>
                <w:lang w:eastAsia="hr-HR"/>
              </w:rPr>
              <w:t>00001</w:t>
            </w:r>
          </w:p>
        </w:tc>
        <w:tc>
          <w:tcPr>
            <w:tcW w:w="6234" w:type="dxa"/>
            <w:tcBorders>
              <w:top w:val="nil"/>
              <w:left w:val="nil"/>
              <w:bottom w:val="nil"/>
              <w:right w:val="nil"/>
            </w:tcBorders>
            <w:shd w:val="clear" w:color="auto" w:fill="auto"/>
            <w:noWrap/>
            <w:vAlign w:val="bottom"/>
            <w:hideMark/>
          </w:tcPr>
          <w:p w14:paraId="12699118" w14:textId="77777777" w:rsidR="001E3079" w:rsidRPr="001E3079" w:rsidRDefault="001E3079" w:rsidP="001E3079">
            <w:pPr>
              <w:spacing w:after="0" w:line="240" w:lineRule="auto"/>
              <w:rPr>
                <w:rFonts w:ascii="Arial" w:hAnsi="Arial" w:cs="Arial"/>
                <w:sz w:val="18"/>
                <w:szCs w:val="18"/>
                <w:lang w:eastAsia="hr-HR"/>
              </w:rPr>
            </w:pPr>
            <w:r w:rsidRPr="001E3079">
              <w:rPr>
                <w:rFonts w:ascii="Arial" w:hAnsi="Arial" w:cs="Arial"/>
                <w:sz w:val="18"/>
                <w:szCs w:val="18"/>
                <w:lang w:eastAsia="hr-HR"/>
              </w:rPr>
              <w:t>UPRAVNI ODJEL ZA GOSPODARSTVO I KOMUNALNI SUSTAV</w:t>
            </w:r>
          </w:p>
        </w:tc>
        <w:tc>
          <w:tcPr>
            <w:tcW w:w="1720" w:type="dxa"/>
            <w:tcBorders>
              <w:top w:val="nil"/>
              <w:left w:val="nil"/>
              <w:bottom w:val="nil"/>
              <w:right w:val="nil"/>
            </w:tcBorders>
            <w:shd w:val="clear" w:color="auto" w:fill="auto"/>
            <w:noWrap/>
            <w:vAlign w:val="bottom"/>
            <w:hideMark/>
          </w:tcPr>
          <w:p w14:paraId="76F00B79" w14:textId="77777777" w:rsidR="001E3079" w:rsidRPr="001E3079" w:rsidRDefault="001E3079" w:rsidP="001E3079">
            <w:pPr>
              <w:spacing w:after="0" w:line="240" w:lineRule="auto"/>
              <w:jc w:val="right"/>
              <w:rPr>
                <w:rFonts w:ascii="Arial" w:hAnsi="Arial" w:cs="Arial"/>
                <w:sz w:val="18"/>
                <w:szCs w:val="18"/>
                <w:lang w:eastAsia="hr-HR"/>
              </w:rPr>
            </w:pPr>
            <w:r w:rsidRPr="001E3079">
              <w:rPr>
                <w:rFonts w:ascii="Arial" w:hAnsi="Arial" w:cs="Arial"/>
                <w:sz w:val="18"/>
                <w:szCs w:val="18"/>
                <w:lang w:eastAsia="hr-HR"/>
              </w:rPr>
              <w:t>4.351.775,28</w:t>
            </w:r>
          </w:p>
        </w:tc>
        <w:tc>
          <w:tcPr>
            <w:tcW w:w="1880" w:type="dxa"/>
            <w:tcBorders>
              <w:top w:val="nil"/>
              <w:left w:val="nil"/>
              <w:bottom w:val="nil"/>
              <w:right w:val="nil"/>
            </w:tcBorders>
            <w:shd w:val="clear" w:color="auto" w:fill="auto"/>
            <w:noWrap/>
            <w:vAlign w:val="bottom"/>
            <w:hideMark/>
          </w:tcPr>
          <w:p w14:paraId="71F52547" w14:textId="77777777" w:rsidR="001E3079" w:rsidRPr="001E3079" w:rsidRDefault="001E3079" w:rsidP="001E3079">
            <w:pPr>
              <w:spacing w:after="0" w:line="240" w:lineRule="auto"/>
              <w:jc w:val="right"/>
              <w:rPr>
                <w:rFonts w:ascii="Arial" w:hAnsi="Arial" w:cs="Arial"/>
                <w:sz w:val="18"/>
                <w:szCs w:val="18"/>
                <w:lang w:eastAsia="hr-HR"/>
              </w:rPr>
            </w:pPr>
            <w:r w:rsidRPr="001E3079">
              <w:rPr>
                <w:rFonts w:ascii="Arial" w:hAnsi="Arial" w:cs="Arial"/>
                <w:sz w:val="18"/>
                <w:szCs w:val="18"/>
                <w:lang w:eastAsia="hr-HR"/>
              </w:rPr>
              <w:t>3.817.315,34</w:t>
            </w:r>
          </w:p>
        </w:tc>
        <w:tc>
          <w:tcPr>
            <w:tcW w:w="1540" w:type="dxa"/>
            <w:tcBorders>
              <w:top w:val="nil"/>
              <w:left w:val="nil"/>
              <w:bottom w:val="nil"/>
              <w:right w:val="nil"/>
            </w:tcBorders>
            <w:shd w:val="clear" w:color="auto" w:fill="auto"/>
            <w:noWrap/>
            <w:vAlign w:val="bottom"/>
            <w:hideMark/>
          </w:tcPr>
          <w:p w14:paraId="64A40C9A" w14:textId="77777777" w:rsidR="001E3079" w:rsidRPr="001E3079" w:rsidRDefault="001E3079" w:rsidP="001E3079">
            <w:pPr>
              <w:spacing w:after="0" w:line="240" w:lineRule="auto"/>
              <w:jc w:val="right"/>
              <w:rPr>
                <w:rFonts w:ascii="Arial" w:hAnsi="Arial" w:cs="Arial"/>
                <w:sz w:val="18"/>
                <w:szCs w:val="18"/>
                <w:lang w:eastAsia="hr-HR"/>
              </w:rPr>
            </w:pPr>
            <w:r w:rsidRPr="001E3079">
              <w:rPr>
                <w:rFonts w:ascii="Arial" w:hAnsi="Arial" w:cs="Arial"/>
                <w:sz w:val="18"/>
                <w:szCs w:val="18"/>
                <w:lang w:eastAsia="hr-HR"/>
              </w:rPr>
              <w:t>87,72%</w:t>
            </w:r>
          </w:p>
        </w:tc>
      </w:tr>
    </w:tbl>
    <w:p w14:paraId="75F17D07" w14:textId="77777777" w:rsidR="00AA3C67" w:rsidRDefault="00AA3C67" w:rsidP="00BC3810">
      <w:pPr>
        <w:spacing w:after="0" w:line="240" w:lineRule="auto"/>
        <w:rPr>
          <w:rFonts w:asciiTheme="minorHAnsi" w:hAnsiTheme="minorHAnsi" w:cstheme="minorHAnsi"/>
          <w:color w:val="000000"/>
          <w:lang w:eastAsia="hr-HR"/>
        </w:rPr>
      </w:pPr>
    </w:p>
    <w:p w14:paraId="29271235" w14:textId="77777777" w:rsidR="00AA3C67" w:rsidRPr="00722358" w:rsidRDefault="00AA3C67" w:rsidP="00BC3810">
      <w:pPr>
        <w:spacing w:after="0" w:line="240" w:lineRule="auto"/>
        <w:rPr>
          <w:rFonts w:asciiTheme="minorHAnsi" w:hAnsiTheme="minorHAnsi" w:cstheme="minorHAnsi"/>
          <w:color w:val="000000"/>
          <w:lang w:eastAsia="hr-HR"/>
        </w:rPr>
      </w:pPr>
    </w:p>
    <w:p w14:paraId="53FA7D10" w14:textId="35DFEDD1" w:rsidR="0013643F" w:rsidRDefault="003E658E" w:rsidP="002B70CF">
      <w:pPr>
        <w:pStyle w:val="Odlomakpopisa"/>
        <w:numPr>
          <w:ilvl w:val="1"/>
          <w:numId w:val="5"/>
        </w:numPr>
        <w:jc w:val="center"/>
        <w:rPr>
          <w:b/>
          <w:color w:val="000000"/>
        </w:rPr>
      </w:pPr>
      <w:r w:rsidRPr="00722358">
        <w:rPr>
          <w:b/>
          <w:color w:val="000000"/>
        </w:rPr>
        <w:t xml:space="preserve"> </w:t>
      </w:r>
      <w:r w:rsidR="00134B6F" w:rsidRPr="00722358">
        <w:rPr>
          <w:b/>
          <w:color w:val="000000"/>
        </w:rPr>
        <w:t>I</w:t>
      </w:r>
      <w:r w:rsidR="00AA3C67">
        <w:rPr>
          <w:b/>
          <w:color w:val="000000"/>
        </w:rPr>
        <w:t>zvršenje po programskoj klasifikaciji</w:t>
      </w:r>
    </w:p>
    <w:p w14:paraId="4E24E39E" w14:textId="77777777" w:rsidR="002B70CF" w:rsidRDefault="002B70CF" w:rsidP="002B70CF">
      <w:pPr>
        <w:pStyle w:val="Odlomakpopisa"/>
        <w:ind w:left="540"/>
        <w:rPr>
          <w:b/>
          <w:color w:val="000000"/>
        </w:rPr>
      </w:pPr>
    </w:p>
    <w:p w14:paraId="55CFE8E5" w14:textId="77777777" w:rsidR="002B70CF" w:rsidRPr="002B70CF" w:rsidRDefault="002B70CF" w:rsidP="002B70CF">
      <w:pPr>
        <w:pStyle w:val="Odlomakpopisa"/>
        <w:ind w:left="540"/>
        <w:rPr>
          <w:b/>
          <w:color w:val="000000"/>
        </w:rPr>
      </w:pPr>
    </w:p>
    <w:tbl>
      <w:tblPr>
        <w:tblW w:w="14466" w:type="dxa"/>
        <w:tblLook w:val="04A0" w:firstRow="1" w:lastRow="0" w:firstColumn="1" w:lastColumn="0" w:noHBand="0" w:noVBand="1"/>
      </w:tblPr>
      <w:tblGrid>
        <w:gridCol w:w="1697"/>
        <w:gridCol w:w="8509"/>
        <w:gridCol w:w="1480"/>
        <w:gridCol w:w="1380"/>
        <w:gridCol w:w="1400"/>
      </w:tblGrid>
      <w:tr w:rsidR="00A360DB" w:rsidRPr="00A360DB" w14:paraId="6E2B6D34" w14:textId="77777777" w:rsidTr="00A360DB">
        <w:trPr>
          <w:trHeight w:val="240"/>
        </w:trPr>
        <w:tc>
          <w:tcPr>
            <w:tcW w:w="10206" w:type="dxa"/>
            <w:gridSpan w:val="2"/>
            <w:tcBorders>
              <w:top w:val="nil"/>
              <w:left w:val="nil"/>
              <w:bottom w:val="nil"/>
              <w:right w:val="nil"/>
            </w:tcBorders>
            <w:shd w:val="clear" w:color="000000" w:fill="BFBFBF"/>
            <w:noWrap/>
            <w:vAlign w:val="bottom"/>
            <w:hideMark/>
          </w:tcPr>
          <w:p w14:paraId="014EC713"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Organizacijska klasifikacija</w:t>
            </w:r>
          </w:p>
        </w:tc>
        <w:tc>
          <w:tcPr>
            <w:tcW w:w="1480" w:type="dxa"/>
            <w:tcBorders>
              <w:top w:val="nil"/>
              <w:left w:val="nil"/>
              <w:bottom w:val="nil"/>
              <w:right w:val="nil"/>
            </w:tcBorders>
            <w:shd w:val="clear" w:color="000000" w:fill="BFBFBF"/>
            <w:noWrap/>
            <w:vAlign w:val="bottom"/>
            <w:hideMark/>
          </w:tcPr>
          <w:p w14:paraId="4637D49B" w14:textId="77777777" w:rsidR="00A360DB" w:rsidRPr="00A360DB" w:rsidRDefault="00A360DB" w:rsidP="00A360DB">
            <w:pPr>
              <w:spacing w:after="0" w:line="240" w:lineRule="auto"/>
              <w:jc w:val="center"/>
              <w:rPr>
                <w:rFonts w:ascii="Arial" w:hAnsi="Arial" w:cs="Arial"/>
                <w:b/>
                <w:bCs/>
                <w:sz w:val="18"/>
                <w:szCs w:val="18"/>
                <w:lang w:eastAsia="hr-HR"/>
              </w:rPr>
            </w:pPr>
            <w:r w:rsidRPr="00A360DB">
              <w:rPr>
                <w:rFonts w:ascii="Arial" w:hAnsi="Arial" w:cs="Arial"/>
                <w:b/>
                <w:bCs/>
                <w:sz w:val="18"/>
                <w:szCs w:val="18"/>
                <w:lang w:eastAsia="hr-HR"/>
              </w:rPr>
              <w:t> </w:t>
            </w:r>
          </w:p>
        </w:tc>
        <w:tc>
          <w:tcPr>
            <w:tcW w:w="1380" w:type="dxa"/>
            <w:tcBorders>
              <w:top w:val="nil"/>
              <w:left w:val="nil"/>
              <w:bottom w:val="nil"/>
              <w:right w:val="nil"/>
            </w:tcBorders>
            <w:shd w:val="clear" w:color="000000" w:fill="BFBFBF"/>
            <w:noWrap/>
            <w:vAlign w:val="bottom"/>
            <w:hideMark/>
          </w:tcPr>
          <w:p w14:paraId="66E41AB2" w14:textId="77777777" w:rsidR="00A360DB" w:rsidRPr="00A360DB" w:rsidRDefault="00A360DB" w:rsidP="00A360DB">
            <w:pPr>
              <w:spacing w:after="0" w:line="240" w:lineRule="auto"/>
              <w:jc w:val="center"/>
              <w:rPr>
                <w:rFonts w:ascii="Arial" w:hAnsi="Arial" w:cs="Arial"/>
                <w:b/>
                <w:bCs/>
                <w:sz w:val="18"/>
                <w:szCs w:val="18"/>
                <w:lang w:eastAsia="hr-HR"/>
              </w:rPr>
            </w:pPr>
            <w:r w:rsidRPr="00A360DB">
              <w:rPr>
                <w:rFonts w:ascii="Arial" w:hAnsi="Arial" w:cs="Arial"/>
                <w:b/>
                <w:bCs/>
                <w:sz w:val="18"/>
                <w:szCs w:val="18"/>
                <w:lang w:eastAsia="hr-HR"/>
              </w:rPr>
              <w:t> </w:t>
            </w:r>
          </w:p>
        </w:tc>
        <w:tc>
          <w:tcPr>
            <w:tcW w:w="1400" w:type="dxa"/>
            <w:tcBorders>
              <w:top w:val="nil"/>
              <w:left w:val="nil"/>
              <w:bottom w:val="nil"/>
              <w:right w:val="nil"/>
            </w:tcBorders>
            <w:shd w:val="clear" w:color="000000" w:fill="BFBFBF"/>
            <w:noWrap/>
            <w:vAlign w:val="bottom"/>
            <w:hideMark/>
          </w:tcPr>
          <w:p w14:paraId="57E1028B" w14:textId="77777777" w:rsidR="00A360DB" w:rsidRPr="00A360DB" w:rsidRDefault="00A360DB" w:rsidP="00A360DB">
            <w:pPr>
              <w:spacing w:after="0" w:line="240" w:lineRule="auto"/>
              <w:jc w:val="center"/>
              <w:rPr>
                <w:rFonts w:ascii="Arial" w:hAnsi="Arial" w:cs="Arial"/>
                <w:b/>
                <w:bCs/>
                <w:sz w:val="18"/>
                <w:szCs w:val="18"/>
                <w:lang w:eastAsia="hr-HR"/>
              </w:rPr>
            </w:pPr>
            <w:r w:rsidRPr="00A360DB">
              <w:rPr>
                <w:rFonts w:ascii="Arial" w:hAnsi="Arial" w:cs="Arial"/>
                <w:b/>
                <w:bCs/>
                <w:sz w:val="18"/>
                <w:szCs w:val="18"/>
                <w:lang w:eastAsia="hr-HR"/>
              </w:rPr>
              <w:t> </w:t>
            </w:r>
          </w:p>
        </w:tc>
      </w:tr>
      <w:tr w:rsidR="00A360DB" w:rsidRPr="00A360DB" w14:paraId="61E201BE" w14:textId="77777777" w:rsidTr="00A360DB">
        <w:trPr>
          <w:trHeight w:val="240"/>
        </w:trPr>
        <w:tc>
          <w:tcPr>
            <w:tcW w:w="10206" w:type="dxa"/>
            <w:gridSpan w:val="2"/>
            <w:tcBorders>
              <w:top w:val="nil"/>
              <w:left w:val="nil"/>
              <w:bottom w:val="nil"/>
              <w:right w:val="nil"/>
            </w:tcBorders>
            <w:shd w:val="clear" w:color="000000" w:fill="BFBFBF"/>
            <w:noWrap/>
            <w:vAlign w:val="bottom"/>
            <w:hideMark/>
          </w:tcPr>
          <w:p w14:paraId="13095483"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Izvori</w:t>
            </w:r>
          </w:p>
        </w:tc>
        <w:tc>
          <w:tcPr>
            <w:tcW w:w="1480" w:type="dxa"/>
            <w:tcBorders>
              <w:top w:val="nil"/>
              <w:left w:val="nil"/>
              <w:bottom w:val="nil"/>
              <w:right w:val="nil"/>
            </w:tcBorders>
            <w:shd w:val="clear" w:color="000000" w:fill="BFBFBF"/>
            <w:noWrap/>
            <w:vAlign w:val="bottom"/>
            <w:hideMark/>
          </w:tcPr>
          <w:p w14:paraId="67FBD95D" w14:textId="77777777" w:rsidR="00A360DB" w:rsidRPr="00A360DB" w:rsidRDefault="00A360DB" w:rsidP="00A360DB">
            <w:pPr>
              <w:spacing w:after="0" w:line="240" w:lineRule="auto"/>
              <w:jc w:val="center"/>
              <w:rPr>
                <w:rFonts w:ascii="Arial" w:hAnsi="Arial" w:cs="Arial"/>
                <w:b/>
                <w:bCs/>
                <w:sz w:val="18"/>
                <w:szCs w:val="18"/>
                <w:lang w:eastAsia="hr-HR"/>
              </w:rPr>
            </w:pPr>
            <w:r w:rsidRPr="00A360DB">
              <w:rPr>
                <w:rFonts w:ascii="Arial" w:hAnsi="Arial" w:cs="Arial"/>
                <w:b/>
                <w:bCs/>
                <w:sz w:val="18"/>
                <w:szCs w:val="18"/>
                <w:lang w:eastAsia="hr-HR"/>
              </w:rPr>
              <w:t> </w:t>
            </w:r>
          </w:p>
        </w:tc>
        <w:tc>
          <w:tcPr>
            <w:tcW w:w="1380" w:type="dxa"/>
            <w:tcBorders>
              <w:top w:val="nil"/>
              <w:left w:val="nil"/>
              <w:bottom w:val="nil"/>
              <w:right w:val="nil"/>
            </w:tcBorders>
            <w:shd w:val="clear" w:color="000000" w:fill="BFBFBF"/>
            <w:noWrap/>
            <w:vAlign w:val="bottom"/>
            <w:hideMark/>
          </w:tcPr>
          <w:p w14:paraId="43CEB255" w14:textId="77777777" w:rsidR="00A360DB" w:rsidRPr="00A360DB" w:rsidRDefault="00A360DB" w:rsidP="00A360DB">
            <w:pPr>
              <w:spacing w:after="0" w:line="240" w:lineRule="auto"/>
              <w:jc w:val="center"/>
              <w:rPr>
                <w:rFonts w:ascii="Arial" w:hAnsi="Arial" w:cs="Arial"/>
                <w:b/>
                <w:bCs/>
                <w:sz w:val="18"/>
                <w:szCs w:val="18"/>
                <w:lang w:eastAsia="hr-HR"/>
              </w:rPr>
            </w:pPr>
            <w:r w:rsidRPr="00A360DB">
              <w:rPr>
                <w:rFonts w:ascii="Arial" w:hAnsi="Arial" w:cs="Arial"/>
                <w:b/>
                <w:bCs/>
                <w:sz w:val="18"/>
                <w:szCs w:val="18"/>
                <w:lang w:eastAsia="hr-HR"/>
              </w:rPr>
              <w:t> </w:t>
            </w:r>
          </w:p>
        </w:tc>
        <w:tc>
          <w:tcPr>
            <w:tcW w:w="1400" w:type="dxa"/>
            <w:tcBorders>
              <w:top w:val="nil"/>
              <w:left w:val="nil"/>
              <w:bottom w:val="nil"/>
              <w:right w:val="nil"/>
            </w:tcBorders>
            <w:shd w:val="clear" w:color="000000" w:fill="BFBFBF"/>
            <w:noWrap/>
            <w:vAlign w:val="bottom"/>
            <w:hideMark/>
          </w:tcPr>
          <w:p w14:paraId="6B9C2FC8" w14:textId="77777777" w:rsidR="00A360DB" w:rsidRPr="00A360DB" w:rsidRDefault="00A360DB" w:rsidP="00A360DB">
            <w:pPr>
              <w:spacing w:after="0" w:line="240" w:lineRule="auto"/>
              <w:jc w:val="center"/>
              <w:rPr>
                <w:rFonts w:ascii="Arial" w:hAnsi="Arial" w:cs="Arial"/>
                <w:b/>
                <w:bCs/>
                <w:sz w:val="18"/>
                <w:szCs w:val="18"/>
                <w:lang w:eastAsia="hr-HR"/>
              </w:rPr>
            </w:pPr>
            <w:r w:rsidRPr="00A360DB">
              <w:rPr>
                <w:rFonts w:ascii="Arial" w:hAnsi="Arial" w:cs="Arial"/>
                <w:b/>
                <w:bCs/>
                <w:sz w:val="18"/>
                <w:szCs w:val="18"/>
                <w:lang w:eastAsia="hr-HR"/>
              </w:rPr>
              <w:t> </w:t>
            </w:r>
          </w:p>
        </w:tc>
      </w:tr>
      <w:tr w:rsidR="00A360DB" w:rsidRPr="00A360DB" w14:paraId="75E39BE0" w14:textId="77777777" w:rsidTr="00A360DB">
        <w:trPr>
          <w:trHeight w:val="240"/>
        </w:trPr>
        <w:tc>
          <w:tcPr>
            <w:tcW w:w="1697" w:type="dxa"/>
            <w:tcBorders>
              <w:top w:val="nil"/>
              <w:left w:val="nil"/>
              <w:bottom w:val="nil"/>
              <w:right w:val="nil"/>
            </w:tcBorders>
            <w:shd w:val="clear" w:color="000000" w:fill="BFBFBF"/>
            <w:noWrap/>
            <w:vAlign w:val="bottom"/>
            <w:hideMark/>
          </w:tcPr>
          <w:p w14:paraId="3669BA0E"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Projekt/Aktivnost</w:t>
            </w:r>
          </w:p>
        </w:tc>
        <w:tc>
          <w:tcPr>
            <w:tcW w:w="8509" w:type="dxa"/>
            <w:tcBorders>
              <w:top w:val="nil"/>
              <w:left w:val="nil"/>
              <w:bottom w:val="nil"/>
              <w:right w:val="nil"/>
            </w:tcBorders>
            <w:shd w:val="clear" w:color="000000" w:fill="BFBFBF"/>
            <w:noWrap/>
            <w:vAlign w:val="bottom"/>
            <w:hideMark/>
          </w:tcPr>
          <w:p w14:paraId="1113715F" w14:textId="77777777" w:rsidR="00A360DB" w:rsidRPr="00A360DB" w:rsidRDefault="00A360DB" w:rsidP="00A360DB">
            <w:pPr>
              <w:spacing w:after="0" w:line="240" w:lineRule="auto"/>
              <w:jc w:val="center"/>
              <w:rPr>
                <w:rFonts w:ascii="Arial" w:hAnsi="Arial" w:cs="Arial"/>
                <w:b/>
                <w:bCs/>
                <w:sz w:val="18"/>
                <w:szCs w:val="18"/>
                <w:lang w:eastAsia="hr-HR"/>
              </w:rPr>
            </w:pPr>
            <w:r w:rsidRPr="00A360DB">
              <w:rPr>
                <w:rFonts w:ascii="Arial" w:hAnsi="Arial" w:cs="Arial"/>
                <w:b/>
                <w:bCs/>
                <w:sz w:val="18"/>
                <w:szCs w:val="18"/>
                <w:lang w:eastAsia="hr-HR"/>
              </w:rPr>
              <w:t>VRSTA RASHODA I IZDATAKA</w:t>
            </w:r>
          </w:p>
        </w:tc>
        <w:tc>
          <w:tcPr>
            <w:tcW w:w="1480" w:type="dxa"/>
            <w:tcBorders>
              <w:top w:val="nil"/>
              <w:left w:val="nil"/>
              <w:bottom w:val="nil"/>
              <w:right w:val="nil"/>
            </w:tcBorders>
            <w:shd w:val="clear" w:color="000000" w:fill="BFBFBF"/>
            <w:noWrap/>
            <w:vAlign w:val="bottom"/>
            <w:hideMark/>
          </w:tcPr>
          <w:p w14:paraId="31F10B86" w14:textId="77777777" w:rsidR="00A360DB" w:rsidRPr="00A360DB" w:rsidRDefault="00A360DB" w:rsidP="00A360DB">
            <w:pPr>
              <w:spacing w:after="0" w:line="240" w:lineRule="auto"/>
              <w:jc w:val="center"/>
              <w:rPr>
                <w:rFonts w:ascii="Arial" w:hAnsi="Arial" w:cs="Arial"/>
                <w:b/>
                <w:bCs/>
                <w:sz w:val="18"/>
                <w:szCs w:val="18"/>
                <w:lang w:eastAsia="hr-HR"/>
              </w:rPr>
            </w:pPr>
            <w:r w:rsidRPr="00A360DB">
              <w:rPr>
                <w:rFonts w:ascii="Arial" w:hAnsi="Arial" w:cs="Arial"/>
                <w:b/>
                <w:bCs/>
                <w:sz w:val="18"/>
                <w:szCs w:val="18"/>
                <w:lang w:eastAsia="hr-HR"/>
              </w:rPr>
              <w:t>Rebalans 2024</w:t>
            </w:r>
          </w:p>
        </w:tc>
        <w:tc>
          <w:tcPr>
            <w:tcW w:w="1380" w:type="dxa"/>
            <w:tcBorders>
              <w:top w:val="nil"/>
              <w:left w:val="nil"/>
              <w:bottom w:val="nil"/>
              <w:right w:val="nil"/>
            </w:tcBorders>
            <w:shd w:val="clear" w:color="000000" w:fill="BFBFBF"/>
            <w:noWrap/>
            <w:vAlign w:val="bottom"/>
            <w:hideMark/>
          </w:tcPr>
          <w:p w14:paraId="0753EE7F" w14:textId="77777777" w:rsidR="00A360DB" w:rsidRPr="00A360DB" w:rsidRDefault="00A360DB" w:rsidP="00A360DB">
            <w:pPr>
              <w:spacing w:after="0" w:line="240" w:lineRule="auto"/>
              <w:jc w:val="center"/>
              <w:rPr>
                <w:rFonts w:ascii="Arial" w:hAnsi="Arial" w:cs="Arial"/>
                <w:b/>
                <w:bCs/>
                <w:sz w:val="18"/>
                <w:szCs w:val="18"/>
                <w:lang w:eastAsia="hr-HR"/>
              </w:rPr>
            </w:pPr>
            <w:r w:rsidRPr="00A360DB">
              <w:rPr>
                <w:rFonts w:ascii="Arial" w:hAnsi="Arial" w:cs="Arial"/>
                <w:b/>
                <w:bCs/>
                <w:sz w:val="18"/>
                <w:szCs w:val="18"/>
                <w:lang w:eastAsia="hr-HR"/>
              </w:rPr>
              <w:t>Izvršenje 2024</w:t>
            </w:r>
          </w:p>
        </w:tc>
        <w:tc>
          <w:tcPr>
            <w:tcW w:w="1400" w:type="dxa"/>
            <w:tcBorders>
              <w:top w:val="nil"/>
              <w:left w:val="nil"/>
              <w:bottom w:val="nil"/>
              <w:right w:val="nil"/>
            </w:tcBorders>
            <w:shd w:val="clear" w:color="000000" w:fill="BFBFBF"/>
            <w:noWrap/>
            <w:vAlign w:val="bottom"/>
            <w:hideMark/>
          </w:tcPr>
          <w:p w14:paraId="39F1374F" w14:textId="77777777" w:rsidR="00A360DB" w:rsidRPr="00A360DB" w:rsidRDefault="00A360DB" w:rsidP="00A360DB">
            <w:pPr>
              <w:spacing w:after="0" w:line="240" w:lineRule="auto"/>
              <w:jc w:val="center"/>
              <w:rPr>
                <w:rFonts w:ascii="Arial" w:hAnsi="Arial" w:cs="Arial"/>
                <w:b/>
                <w:bCs/>
                <w:sz w:val="18"/>
                <w:szCs w:val="18"/>
                <w:lang w:eastAsia="hr-HR"/>
              </w:rPr>
            </w:pPr>
            <w:r w:rsidRPr="00A360DB">
              <w:rPr>
                <w:rFonts w:ascii="Arial" w:hAnsi="Arial" w:cs="Arial"/>
                <w:b/>
                <w:bCs/>
                <w:sz w:val="18"/>
                <w:szCs w:val="18"/>
                <w:lang w:eastAsia="hr-HR"/>
              </w:rPr>
              <w:t>Indeks 2/1</w:t>
            </w:r>
          </w:p>
        </w:tc>
      </w:tr>
      <w:tr w:rsidR="00A360DB" w:rsidRPr="00A360DB" w14:paraId="3CB6CC85" w14:textId="77777777" w:rsidTr="00A360DB">
        <w:trPr>
          <w:trHeight w:val="240"/>
        </w:trPr>
        <w:tc>
          <w:tcPr>
            <w:tcW w:w="10206" w:type="dxa"/>
            <w:gridSpan w:val="2"/>
            <w:tcBorders>
              <w:top w:val="nil"/>
              <w:left w:val="nil"/>
              <w:bottom w:val="nil"/>
              <w:right w:val="nil"/>
            </w:tcBorders>
            <w:shd w:val="clear" w:color="000000" w:fill="BFBFBF"/>
            <w:noWrap/>
            <w:vAlign w:val="bottom"/>
            <w:hideMark/>
          </w:tcPr>
          <w:p w14:paraId="37DFD9D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w:t>
            </w:r>
          </w:p>
        </w:tc>
        <w:tc>
          <w:tcPr>
            <w:tcW w:w="1480" w:type="dxa"/>
            <w:tcBorders>
              <w:top w:val="nil"/>
              <w:left w:val="nil"/>
              <w:bottom w:val="nil"/>
              <w:right w:val="nil"/>
            </w:tcBorders>
            <w:shd w:val="clear" w:color="000000" w:fill="BFBFBF"/>
            <w:noWrap/>
            <w:vAlign w:val="bottom"/>
            <w:hideMark/>
          </w:tcPr>
          <w:p w14:paraId="21B4AB27" w14:textId="77777777" w:rsidR="00A360DB" w:rsidRPr="00A360DB" w:rsidRDefault="00A360DB" w:rsidP="00A360DB">
            <w:pPr>
              <w:spacing w:after="0" w:line="240" w:lineRule="auto"/>
              <w:jc w:val="center"/>
              <w:rPr>
                <w:rFonts w:ascii="Arial" w:hAnsi="Arial" w:cs="Arial"/>
                <w:b/>
                <w:bCs/>
                <w:sz w:val="18"/>
                <w:szCs w:val="18"/>
                <w:lang w:eastAsia="hr-HR"/>
              </w:rPr>
            </w:pPr>
            <w:r w:rsidRPr="00A360DB">
              <w:rPr>
                <w:rFonts w:ascii="Arial" w:hAnsi="Arial" w:cs="Arial"/>
                <w:b/>
                <w:bCs/>
                <w:sz w:val="18"/>
                <w:szCs w:val="18"/>
                <w:lang w:eastAsia="hr-HR"/>
              </w:rPr>
              <w:t>1</w:t>
            </w:r>
          </w:p>
        </w:tc>
        <w:tc>
          <w:tcPr>
            <w:tcW w:w="1380" w:type="dxa"/>
            <w:tcBorders>
              <w:top w:val="nil"/>
              <w:left w:val="nil"/>
              <w:bottom w:val="nil"/>
              <w:right w:val="nil"/>
            </w:tcBorders>
            <w:shd w:val="clear" w:color="000000" w:fill="BFBFBF"/>
            <w:noWrap/>
            <w:vAlign w:val="bottom"/>
            <w:hideMark/>
          </w:tcPr>
          <w:p w14:paraId="2B16CACA" w14:textId="77777777" w:rsidR="00A360DB" w:rsidRPr="00A360DB" w:rsidRDefault="00A360DB" w:rsidP="00A360DB">
            <w:pPr>
              <w:spacing w:after="0" w:line="240" w:lineRule="auto"/>
              <w:jc w:val="center"/>
              <w:rPr>
                <w:rFonts w:ascii="Arial" w:hAnsi="Arial" w:cs="Arial"/>
                <w:b/>
                <w:bCs/>
                <w:sz w:val="18"/>
                <w:szCs w:val="18"/>
                <w:lang w:eastAsia="hr-HR"/>
              </w:rPr>
            </w:pPr>
            <w:r w:rsidRPr="00A360DB">
              <w:rPr>
                <w:rFonts w:ascii="Arial" w:hAnsi="Arial" w:cs="Arial"/>
                <w:b/>
                <w:bCs/>
                <w:sz w:val="18"/>
                <w:szCs w:val="18"/>
                <w:lang w:eastAsia="hr-HR"/>
              </w:rPr>
              <w:t>2</w:t>
            </w:r>
          </w:p>
        </w:tc>
        <w:tc>
          <w:tcPr>
            <w:tcW w:w="1400" w:type="dxa"/>
            <w:tcBorders>
              <w:top w:val="nil"/>
              <w:left w:val="nil"/>
              <w:bottom w:val="nil"/>
              <w:right w:val="nil"/>
            </w:tcBorders>
            <w:shd w:val="clear" w:color="000000" w:fill="BFBFBF"/>
            <w:noWrap/>
            <w:vAlign w:val="bottom"/>
            <w:hideMark/>
          </w:tcPr>
          <w:p w14:paraId="246E7622" w14:textId="77777777" w:rsidR="00A360DB" w:rsidRPr="00A360DB" w:rsidRDefault="00A360DB" w:rsidP="00A360DB">
            <w:pPr>
              <w:spacing w:after="0" w:line="240" w:lineRule="auto"/>
              <w:jc w:val="center"/>
              <w:rPr>
                <w:rFonts w:ascii="Arial" w:hAnsi="Arial" w:cs="Arial"/>
                <w:b/>
                <w:bCs/>
                <w:sz w:val="18"/>
                <w:szCs w:val="18"/>
                <w:lang w:eastAsia="hr-HR"/>
              </w:rPr>
            </w:pPr>
            <w:r w:rsidRPr="00A360DB">
              <w:rPr>
                <w:rFonts w:ascii="Arial" w:hAnsi="Arial" w:cs="Arial"/>
                <w:b/>
                <w:bCs/>
                <w:sz w:val="18"/>
                <w:szCs w:val="18"/>
                <w:lang w:eastAsia="hr-HR"/>
              </w:rPr>
              <w:t>3</w:t>
            </w:r>
          </w:p>
        </w:tc>
      </w:tr>
      <w:tr w:rsidR="00A360DB" w:rsidRPr="00A360DB" w14:paraId="6A39DFF3" w14:textId="77777777" w:rsidTr="00A360DB">
        <w:trPr>
          <w:trHeight w:val="240"/>
        </w:trPr>
        <w:tc>
          <w:tcPr>
            <w:tcW w:w="10206" w:type="dxa"/>
            <w:gridSpan w:val="2"/>
            <w:tcBorders>
              <w:top w:val="nil"/>
              <w:left w:val="nil"/>
              <w:bottom w:val="nil"/>
              <w:right w:val="nil"/>
            </w:tcBorders>
            <w:shd w:val="clear" w:color="000000" w:fill="3A3838"/>
            <w:noWrap/>
            <w:vAlign w:val="bottom"/>
            <w:hideMark/>
          </w:tcPr>
          <w:p w14:paraId="4BD0DFCF" w14:textId="77777777" w:rsidR="00A360DB" w:rsidRPr="00A360DB" w:rsidRDefault="00A360DB" w:rsidP="00A360DB">
            <w:pPr>
              <w:spacing w:after="0" w:line="240" w:lineRule="auto"/>
              <w:rPr>
                <w:rFonts w:ascii="Arial" w:hAnsi="Arial" w:cs="Arial"/>
                <w:b/>
                <w:bCs/>
                <w:color w:val="FFFFFF"/>
                <w:sz w:val="18"/>
                <w:szCs w:val="18"/>
                <w:lang w:eastAsia="hr-HR"/>
              </w:rPr>
            </w:pPr>
            <w:r w:rsidRPr="00A360DB">
              <w:rPr>
                <w:rFonts w:ascii="Arial" w:hAnsi="Arial" w:cs="Arial"/>
                <w:b/>
                <w:bCs/>
                <w:color w:val="FFFFFF"/>
                <w:sz w:val="18"/>
                <w:szCs w:val="18"/>
                <w:lang w:eastAsia="hr-HR"/>
              </w:rPr>
              <w:t>UKUPNO RASHODI I IZDATCI</w:t>
            </w:r>
          </w:p>
        </w:tc>
        <w:tc>
          <w:tcPr>
            <w:tcW w:w="1480" w:type="dxa"/>
            <w:tcBorders>
              <w:top w:val="nil"/>
              <w:left w:val="nil"/>
              <w:bottom w:val="nil"/>
              <w:right w:val="nil"/>
            </w:tcBorders>
            <w:shd w:val="clear" w:color="000000" w:fill="3A3838"/>
            <w:noWrap/>
            <w:vAlign w:val="bottom"/>
            <w:hideMark/>
          </w:tcPr>
          <w:p w14:paraId="2726EBB5"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13.923.867,52</w:t>
            </w:r>
          </w:p>
        </w:tc>
        <w:tc>
          <w:tcPr>
            <w:tcW w:w="1380" w:type="dxa"/>
            <w:tcBorders>
              <w:top w:val="nil"/>
              <w:left w:val="nil"/>
              <w:bottom w:val="nil"/>
              <w:right w:val="nil"/>
            </w:tcBorders>
            <w:shd w:val="clear" w:color="000000" w:fill="3A3838"/>
            <w:noWrap/>
            <w:vAlign w:val="bottom"/>
            <w:hideMark/>
          </w:tcPr>
          <w:p w14:paraId="1B2D3AA0"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12.804.160,09</w:t>
            </w:r>
          </w:p>
        </w:tc>
        <w:tc>
          <w:tcPr>
            <w:tcW w:w="1400" w:type="dxa"/>
            <w:tcBorders>
              <w:top w:val="nil"/>
              <w:left w:val="nil"/>
              <w:bottom w:val="nil"/>
              <w:right w:val="nil"/>
            </w:tcBorders>
            <w:shd w:val="clear" w:color="000000" w:fill="3A3838"/>
            <w:noWrap/>
            <w:vAlign w:val="bottom"/>
            <w:hideMark/>
          </w:tcPr>
          <w:p w14:paraId="312EC49F"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91,96%</w:t>
            </w:r>
          </w:p>
        </w:tc>
      </w:tr>
      <w:tr w:rsidR="00A360DB" w:rsidRPr="00A360DB" w14:paraId="6E8128A2" w14:textId="77777777" w:rsidTr="00A360DB">
        <w:trPr>
          <w:trHeight w:val="240"/>
        </w:trPr>
        <w:tc>
          <w:tcPr>
            <w:tcW w:w="10206" w:type="dxa"/>
            <w:gridSpan w:val="2"/>
            <w:tcBorders>
              <w:top w:val="nil"/>
              <w:left w:val="nil"/>
              <w:bottom w:val="nil"/>
              <w:right w:val="nil"/>
            </w:tcBorders>
            <w:shd w:val="clear" w:color="000000" w:fill="1300A2"/>
            <w:noWrap/>
            <w:vAlign w:val="bottom"/>
            <w:hideMark/>
          </w:tcPr>
          <w:p w14:paraId="49516576" w14:textId="77777777" w:rsidR="00A360DB" w:rsidRPr="00A360DB" w:rsidRDefault="00A360DB" w:rsidP="00A360DB">
            <w:pPr>
              <w:spacing w:after="0" w:line="240" w:lineRule="auto"/>
              <w:rPr>
                <w:rFonts w:ascii="Arial" w:hAnsi="Arial" w:cs="Arial"/>
                <w:b/>
                <w:bCs/>
                <w:color w:val="FFFFFF"/>
                <w:sz w:val="18"/>
                <w:szCs w:val="18"/>
                <w:lang w:eastAsia="hr-HR"/>
              </w:rPr>
            </w:pPr>
            <w:r w:rsidRPr="00A360DB">
              <w:rPr>
                <w:rFonts w:ascii="Arial" w:hAnsi="Arial" w:cs="Arial"/>
                <w:b/>
                <w:bCs/>
                <w:color w:val="FFFFFF"/>
                <w:sz w:val="18"/>
                <w:szCs w:val="18"/>
                <w:lang w:eastAsia="hr-HR"/>
              </w:rPr>
              <w:t>RAZDJEL 001 GRADSKO VIJEĆE I URED GRADONAČELNIKA</w:t>
            </w:r>
          </w:p>
        </w:tc>
        <w:tc>
          <w:tcPr>
            <w:tcW w:w="1480" w:type="dxa"/>
            <w:tcBorders>
              <w:top w:val="nil"/>
              <w:left w:val="nil"/>
              <w:bottom w:val="nil"/>
              <w:right w:val="nil"/>
            </w:tcBorders>
            <w:shd w:val="clear" w:color="000000" w:fill="1300A2"/>
            <w:noWrap/>
            <w:vAlign w:val="bottom"/>
            <w:hideMark/>
          </w:tcPr>
          <w:p w14:paraId="52AE4731"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217.410,00</w:t>
            </w:r>
          </w:p>
        </w:tc>
        <w:tc>
          <w:tcPr>
            <w:tcW w:w="1380" w:type="dxa"/>
            <w:tcBorders>
              <w:top w:val="nil"/>
              <w:left w:val="nil"/>
              <w:bottom w:val="nil"/>
              <w:right w:val="nil"/>
            </w:tcBorders>
            <w:shd w:val="clear" w:color="000000" w:fill="1300A2"/>
            <w:noWrap/>
            <w:vAlign w:val="bottom"/>
            <w:hideMark/>
          </w:tcPr>
          <w:p w14:paraId="02EE0F27"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169.534,47</w:t>
            </w:r>
          </w:p>
        </w:tc>
        <w:tc>
          <w:tcPr>
            <w:tcW w:w="1400" w:type="dxa"/>
            <w:tcBorders>
              <w:top w:val="nil"/>
              <w:left w:val="nil"/>
              <w:bottom w:val="nil"/>
              <w:right w:val="nil"/>
            </w:tcBorders>
            <w:shd w:val="clear" w:color="000000" w:fill="1300A2"/>
            <w:noWrap/>
            <w:vAlign w:val="bottom"/>
            <w:hideMark/>
          </w:tcPr>
          <w:p w14:paraId="01C7F150"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77,98%</w:t>
            </w:r>
          </w:p>
        </w:tc>
      </w:tr>
      <w:tr w:rsidR="00A360DB" w:rsidRPr="00A360DB" w14:paraId="09482ED2" w14:textId="77777777" w:rsidTr="00A360DB">
        <w:trPr>
          <w:trHeight w:val="240"/>
        </w:trPr>
        <w:tc>
          <w:tcPr>
            <w:tcW w:w="10206" w:type="dxa"/>
            <w:gridSpan w:val="2"/>
            <w:tcBorders>
              <w:top w:val="nil"/>
              <w:left w:val="nil"/>
              <w:bottom w:val="nil"/>
              <w:right w:val="nil"/>
            </w:tcBorders>
            <w:shd w:val="clear" w:color="000000" w:fill="8994FB"/>
            <w:noWrap/>
            <w:vAlign w:val="bottom"/>
            <w:hideMark/>
          </w:tcPr>
          <w:p w14:paraId="6C00C3E2"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GLAVA 00101 GRADSKO VIJEĆE</w:t>
            </w:r>
          </w:p>
        </w:tc>
        <w:tc>
          <w:tcPr>
            <w:tcW w:w="1480" w:type="dxa"/>
            <w:tcBorders>
              <w:top w:val="nil"/>
              <w:left w:val="nil"/>
              <w:bottom w:val="nil"/>
              <w:right w:val="nil"/>
            </w:tcBorders>
            <w:shd w:val="clear" w:color="000000" w:fill="8994FB"/>
            <w:noWrap/>
            <w:vAlign w:val="bottom"/>
            <w:hideMark/>
          </w:tcPr>
          <w:p w14:paraId="7467A32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103.320,00</w:t>
            </w:r>
          </w:p>
        </w:tc>
        <w:tc>
          <w:tcPr>
            <w:tcW w:w="1380" w:type="dxa"/>
            <w:tcBorders>
              <w:top w:val="nil"/>
              <w:left w:val="nil"/>
              <w:bottom w:val="nil"/>
              <w:right w:val="nil"/>
            </w:tcBorders>
            <w:shd w:val="clear" w:color="000000" w:fill="8994FB"/>
            <w:noWrap/>
            <w:vAlign w:val="bottom"/>
            <w:hideMark/>
          </w:tcPr>
          <w:p w14:paraId="46EBA26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69.468,09</w:t>
            </w:r>
          </w:p>
        </w:tc>
        <w:tc>
          <w:tcPr>
            <w:tcW w:w="1400" w:type="dxa"/>
            <w:tcBorders>
              <w:top w:val="nil"/>
              <w:left w:val="nil"/>
              <w:bottom w:val="nil"/>
              <w:right w:val="nil"/>
            </w:tcBorders>
            <w:shd w:val="clear" w:color="000000" w:fill="8994FB"/>
            <w:noWrap/>
            <w:vAlign w:val="bottom"/>
            <w:hideMark/>
          </w:tcPr>
          <w:p w14:paraId="58C1438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67,24%</w:t>
            </w:r>
          </w:p>
        </w:tc>
      </w:tr>
      <w:tr w:rsidR="00A360DB" w:rsidRPr="00A360DB" w14:paraId="5CB1AC5A" w14:textId="77777777" w:rsidTr="00A360DB">
        <w:trPr>
          <w:trHeight w:val="240"/>
        </w:trPr>
        <w:tc>
          <w:tcPr>
            <w:tcW w:w="10206" w:type="dxa"/>
            <w:gridSpan w:val="2"/>
            <w:tcBorders>
              <w:top w:val="nil"/>
              <w:left w:val="nil"/>
              <w:bottom w:val="nil"/>
              <w:right w:val="nil"/>
            </w:tcBorders>
            <w:shd w:val="clear" w:color="000000" w:fill="8994FB"/>
            <w:noWrap/>
            <w:vAlign w:val="bottom"/>
            <w:hideMark/>
          </w:tcPr>
          <w:p w14:paraId="3138D82D"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PROR. KORISNIK 01 GRADSKO VIJEĆE</w:t>
            </w:r>
          </w:p>
        </w:tc>
        <w:tc>
          <w:tcPr>
            <w:tcW w:w="1480" w:type="dxa"/>
            <w:tcBorders>
              <w:top w:val="nil"/>
              <w:left w:val="nil"/>
              <w:bottom w:val="nil"/>
              <w:right w:val="nil"/>
            </w:tcBorders>
            <w:shd w:val="clear" w:color="000000" w:fill="8994FB"/>
            <w:noWrap/>
            <w:vAlign w:val="bottom"/>
            <w:hideMark/>
          </w:tcPr>
          <w:p w14:paraId="6CC9FE6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103.320,00</w:t>
            </w:r>
          </w:p>
        </w:tc>
        <w:tc>
          <w:tcPr>
            <w:tcW w:w="1380" w:type="dxa"/>
            <w:tcBorders>
              <w:top w:val="nil"/>
              <w:left w:val="nil"/>
              <w:bottom w:val="nil"/>
              <w:right w:val="nil"/>
            </w:tcBorders>
            <w:shd w:val="clear" w:color="000000" w:fill="8994FB"/>
            <w:noWrap/>
            <w:vAlign w:val="bottom"/>
            <w:hideMark/>
          </w:tcPr>
          <w:p w14:paraId="1C3291C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69.468,09</w:t>
            </w:r>
          </w:p>
        </w:tc>
        <w:tc>
          <w:tcPr>
            <w:tcW w:w="1400" w:type="dxa"/>
            <w:tcBorders>
              <w:top w:val="nil"/>
              <w:left w:val="nil"/>
              <w:bottom w:val="nil"/>
              <w:right w:val="nil"/>
            </w:tcBorders>
            <w:shd w:val="clear" w:color="000000" w:fill="8994FB"/>
            <w:noWrap/>
            <w:vAlign w:val="bottom"/>
            <w:hideMark/>
          </w:tcPr>
          <w:p w14:paraId="5B0EAA8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67,24%</w:t>
            </w:r>
          </w:p>
        </w:tc>
      </w:tr>
      <w:tr w:rsidR="00A360DB" w:rsidRPr="00A360DB" w14:paraId="348B74AF" w14:textId="77777777" w:rsidTr="00A360DB">
        <w:trPr>
          <w:trHeight w:val="240"/>
        </w:trPr>
        <w:tc>
          <w:tcPr>
            <w:tcW w:w="10206" w:type="dxa"/>
            <w:gridSpan w:val="2"/>
            <w:tcBorders>
              <w:top w:val="nil"/>
              <w:left w:val="nil"/>
              <w:bottom w:val="nil"/>
              <w:right w:val="nil"/>
            </w:tcBorders>
            <w:shd w:val="clear" w:color="000000" w:fill="FFFFFF"/>
            <w:noWrap/>
            <w:vAlign w:val="bottom"/>
            <w:hideMark/>
          </w:tcPr>
          <w:p w14:paraId="272DDD53"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000000" w:fill="FFFFFF"/>
            <w:noWrap/>
            <w:vAlign w:val="bottom"/>
            <w:hideMark/>
          </w:tcPr>
          <w:p w14:paraId="259090D2"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24.320,00</w:t>
            </w:r>
          </w:p>
        </w:tc>
        <w:tc>
          <w:tcPr>
            <w:tcW w:w="1380" w:type="dxa"/>
            <w:tcBorders>
              <w:top w:val="nil"/>
              <w:left w:val="nil"/>
              <w:bottom w:val="nil"/>
              <w:right w:val="nil"/>
            </w:tcBorders>
            <w:shd w:val="clear" w:color="000000" w:fill="FFFFFF"/>
            <w:noWrap/>
            <w:vAlign w:val="bottom"/>
            <w:hideMark/>
          </w:tcPr>
          <w:p w14:paraId="36108FB2"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20.620,47</w:t>
            </w:r>
          </w:p>
        </w:tc>
        <w:tc>
          <w:tcPr>
            <w:tcW w:w="1400" w:type="dxa"/>
            <w:tcBorders>
              <w:top w:val="nil"/>
              <w:left w:val="nil"/>
              <w:bottom w:val="nil"/>
              <w:right w:val="nil"/>
            </w:tcBorders>
            <w:shd w:val="clear" w:color="000000" w:fill="FFFFFF"/>
            <w:noWrap/>
            <w:vAlign w:val="bottom"/>
            <w:hideMark/>
          </w:tcPr>
          <w:p w14:paraId="34657D7A"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84,79%</w:t>
            </w:r>
          </w:p>
        </w:tc>
      </w:tr>
      <w:tr w:rsidR="00A360DB" w:rsidRPr="00A360DB" w14:paraId="23C59509" w14:textId="77777777" w:rsidTr="00A360DB">
        <w:trPr>
          <w:trHeight w:val="240"/>
        </w:trPr>
        <w:tc>
          <w:tcPr>
            <w:tcW w:w="10206" w:type="dxa"/>
            <w:gridSpan w:val="2"/>
            <w:tcBorders>
              <w:top w:val="nil"/>
              <w:left w:val="nil"/>
              <w:bottom w:val="nil"/>
              <w:right w:val="nil"/>
            </w:tcBorders>
            <w:shd w:val="clear" w:color="000000" w:fill="FFFFFF"/>
            <w:noWrap/>
            <w:vAlign w:val="bottom"/>
            <w:hideMark/>
          </w:tcPr>
          <w:p w14:paraId="65081C5D"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000000" w:fill="FFFFFF"/>
            <w:noWrap/>
            <w:vAlign w:val="bottom"/>
            <w:hideMark/>
          </w:tcPr>
          <w:p w14:paraId="0334FDDF"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24.320,00</w:t>
            </w:r>
          </w:p>
        </w:tc>
        <w:tc>
          <w:tcPr>
            <w:tcW w:w="1380" w:type="dxa"/>
            <w:tcBorders>
              <w:top w:val="nil"/>
              <w:left w:val="nil"/>
              <w:bottom w:val="nil"/>
              <w:right w:val="nil"/>
            </w:tcBorders>
            <w:shd w:val="clear" w:color="000000" w:fill="FFFFFF"/>
            <w:noWrap/>
            <w:vAlign w:val="bottom"/>
            <w:hideMark/>
          </w:tcPr>
          <w:p w14:paraId="22FBFE93"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20.620,47</w:t>
            </w:r>
          </w:p>
        </w:tc>
        <w:tc>
          <w:tcPr>
            <w:tcW w:w="1400" w:type="dxa"/>
            <w:tcBorders>
              <w:top w:val="nil"/>
              <w:left w:val="nil"/>
              <w:bottom w:val="nil"/>
              <w:right w:val="nil"/>
            </w:tcBorders>
            <w:shd w:val="clear" w:color="000000" w:fill="FFFFFF"/>
            <w:noWrap/>
            <w:vAlign w:val="bottom"/>
            <w:hideMark/>
          </w:tcPr>
          <w:p w14:paraId="3862077A"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84,79%</w:t>
            </w:r>
          </w:p>
        </w:tc>
      </w:tr>
      <w:tr w:rsidR="00A360DB" w:rsidRPr="00A360DB" w14:paraId="1F0BA221" w14:textId="77777777" w:rsidTr="00A360DB">
        <w:trPr>
          <w:trHeight w:val="240"/>
        </w:trPr>
        <w:tc>
          <w:tcPr>
            <w:tcW w:w="10206" w:type="dxa"/>
            <w:gridSpan w:val="2"/>
            <w:tcBorders>
              <w:top w:val="nil"/>
              <w:left w:val="nil"/>
              <w:bottom w:val="nil"/>
              <w:right w:val="nil"/>
            </w:tcBorders>
            <w:shd w:val="clear" w:color="000000" w:fill="FFFFFF"/>
            <w:noWrap/>
            <w:vAlign w:val="bottom"/>
            <w:hideMark/>
          </w:tcPr>
          <w:p w14:paraId="6DF33935"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lastRenderedPageBreak/>
              <w:t>Izvor 5. Pomoći</w:t>
            </w:r>
          </w:p>
        </w:tc>
        <w:tc>
          <w:tcPr>
            <w:tcW w:w="1480" w:type="dxa"/>
            <w:tcBorders>
              <w:top w:val="nil"/>
              <w:left w:val="nil"/>
              <w:bottom w:val="nil"/>
              <w:right w:val="nil"/>
            </w:tcBorders>
            <w:shd w:val="clear" w:color="000000" w:fill="FFFFFF"/>
            <w:noWrap/>
            <w:vAlign w:val="bottom"/>
            <w:hideMark/>
          </w:tcPr>
          <w:p w14:paraId="26E69646"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79.000,00</w:t>
            </w:r>
          </w:p>
        </w:tc>
        <w:tc>
          <w:tcPr>
            <w:tcW w:w="1380" w:type="dxa"/>
            <w:tcBorders>
              <w:top w:val="nil"/>
              <w:left w:val="nil"/>
              <w:bottom w:val="nil"/>
              <w:right w:val="nil"/>
            </w:tcBorders>
            <w:shd w:val="clear" w:color="000000" w:fill="FFFFFF"/>
            <w:noWrap/>
            <w:vAlign w:val="bottom"/>
            <w:hideMark/>
          </w:tcPr>
          <w:p w14:paraId="771FC42F"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48.847,62</w:t>
            </w:r>
          </w:p>
        </w:tc>
        <w:tc>
          <w:tcPr>
            <w:tcW w:w="1400" w:type="dxa"/>
            <w:tcBorders>
              <w:top w:val="nil"/>
              <w:left w:val="nil"/>
              <w:bottom w:val="nil"/>
              <w:right w:val="nil"/>
            </w:tcBorders>
            <w:shd w:val="clear" w:color="000000" w:fill="FFFFFF"/>
            <w:noWrap/>
            <w:vAlign w:val="bottom"/>
            <w:hideMark/>
          </w:tcPr>
          <w:p w14:paraId="18B6273A"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61,83%</w:t>
            </w:r>
          </w:p>
        </w:tc>
      </w:tr>
      <w:tr w:rsidR="00A360DB" w:rsidRPr="00A360DB" w14:paraId="58B37A69" w14:textId="77777777" w:rsidTr="00A360DB">
        <w:trPr>
          <w:trHeight w:val="240"/>
        </w:trPr>
        <w:tc>
          <w:tcPr>
            <w:tcW w:w="10206" w:type="dxa"/>
            <w:gridSpan w:val="2"/>
            <w:tcBorders>
              <w:top w:val="nil"/>
              <w:left w:val="nil"/>
              <w:bottom w:val="nil"/>
              <w:right w:val="nil"/>
            </w:tcBorders>
            <w:shd w:val="clear" w:color="000000" w:fill="FFFFFF"/>
            <w:noWrap/>
            <w:vAlign w:val="bottom"/>
            <w:hideMark/>
          </w:tcPr>
          <w:p w14:paraId="1C579F76"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5.2. Državni proračun</w:t>
            </w:r>
          </w:p>
        </w:tc>
        <w:tc>
          <w:tcPr>
            <w:tcW w:w="1480" w:type="dxa"/>
            <w:tcBorders>
              <w:top w:val="nil"/>
              <w:left w:val="nil"/>
              <w:bottom w:val="nil"/>
              <w:right w:val="nil"/>
            </w:tcBorders>
            <w:shd w:val="clear" w:color="000000" w:fill="FFFFFF"/>
            <w:noWrap/>
            <w:vAlign w:val="bottom"/>
            <w:hideMark/>
          </w:tcPr>
          <w:p w14:paraId="688D32AE"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79.000,00</w:t>
            </w:r>
          </w:p>
        </w:tc>
        <w:tc>
          <w:tcPr>
            <w:tcW w:w="1380" w:type="dxa"/>
            <w:tcBorders>
              <w:top w:val="nil"/>
              <w:left w:val="nil"/>
              <w:bottom w:val="nil"/>
              <w:right w:val="nil"/>
            </w:tcBorders>
            <w:shd w:val="clear" w:color="000000" w:fill="FFFFFF"/>
            <w:noWrap/>
            <w:vAlign w:val="bottom"/>
            <w:hideMark/>
          </w:tcPr>
          <w:p w14:paraId="0BDE1BA0"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48.847,62</w:t>
            </w:r>
          </w:p>
        </w:tc>
        <w:tc>
          <w:tcPr>
            <w:tcW w:w="1400" w:type="dxa"/>
            <w:tcBorders>
              <w:top w:val="nil"/>
              <w:left w:val="nil"/>
              <w:bottom w:val="nil"/>
              <w:right w:val="nil"/>
            </w:tcBorders>
            <w:shd w:val="clear" w:color="000000" w:fill="FFFFFF"/>
            <w:noWrap/>
            <w:vAlign w:val="bottom"/>
            <w:hideMark/>
          </w:tcPr>
          <w:p w14:paraId="62D67781"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61,83%</w:t>
            </w:r>
          </w:p>
        </w:tc>
      </w:tr>
      <w:tr w:rsidR="00A360DB" w:rsidRPr="00A360DB" w14:paraId="2CD1FD58" w14:textId="77777777" w:rsidTr="00A360DB">
        <w:trPr>
          <w:trHeight w:val="240"/>
        </w:trPr>
        <w:tc>
          <w:tcPr>
            <w:tcW w:w="1697" w:type="dxa"/>
            <w:tcBorders>
              <w:top w:val="nil"/>
              <w:left w:val="nil"/>
              <w:bottom w:val="nil"/>
              <w:right w:val="nil"/>
            </w:tcBorders>
            <w:shd w:val="clear" w:color="000000" w:fill="1D4BB3"/>
            <w:noWrap/>
            <w:vAlign w:val="bottom"/>
            <w:hideMark/>
          </w:tcPr>
          <w:p w14:paraId="786BF338" w14:textId="77777777" w:rsidR="00A360DB" w:rsidRPr="00A360DB" w:rsidRDefault="00A360DB" w:rsidP="00A360DB">
            <w:pPr>
              <w:spacing w:after="0" w:line="240" w:lineRule="auto"/>
              <w:rPr>
                <w:rFonts w:ascii="Arial" w:hAnsi="Arial" w:cs="Arial"/>
                <w:b/>
                <w:bCs/>
                <w:color w:val="FFFFFF"/>
                <w:sz w:val="18"/>
                <w:szCs w:val="18"/>
                <w:lang w:eastAsia="hr-HR"/>
              </w:rPr>
            </w:pPr>
            <w:r w:rsidRPr="00A360DB">
              <w:rPr>
                <w:rFonts w:ascii="Arial" w:hAnsi="Arial" w:cs="Arial"/>
                <w:b/>
                <w:bCs/>
                <w:color w:val="FFFFFF"/>
                <w:sz w:val="18"/>
                <w:szCs w:val="18"/>
                <w:lang w:eastAsia="hr-HR"/>
              </w:rPr>
              <w:t>1001</w:t>
            </w:r>
          </w:p>
        </w:tc>
        <w:tc>
          <w:tcPr>
            <w:tcW w:w="8509" w:type="dxa"/>
            <w:tcBorders>
              <w:top w:val="nil"/>
              <w:left w:val="nil"/>
              <w:bottom w:val="nil"/>
              <w:right w:val="nil"/>
            </w:tcBorders>
            <w:shd w:val="clear" w:color="000000" w:fill="1D4BB3"/>
            <w:noWrap/>
            <w:vAlign w:val="bottom"/>
            <w:hideMark/>
          </w:tcPr>
          <w:p w14:paraId="605EACD1" w14:textId="77777777" w:rsidR="00A360DB" w:rsidRPr="00A360DB" w:rsidRDefault="00A360DB" w:rsidP="00A360DB">
            <w:pPr>
              <w:spacing w:after="0" w:line="240" w:lineRule="auto"/>
              <w:rPr>
                <w:rFonts w:ascii="Arial" w:hAnsi="Arial" w:cs="Arial"/>
                <w:b/>
                <w:bCs/>
                <w:color w:val="FFFFFF"/>
                <w:sz w:val="18"/>
                <w:szCs w:val="18"/>
                <w:lang w:eastAsia="hr-HR"/>
              </w:rPr>
            </w:pPr>
            <w:r w:rsidRPr="00A360DB">
              <w:rPr>
                <w:rFonts w:ascii="Arial" w:hAnsi="Arial" w:cs="Arial"/>
                <w:b/>
                <w:bCs/>
                <w:color w:val="FFFFFF"/>
                <w:sz w:val="18"/>
                <w:szCs w:val="18"/>
                <w:lang w:eastAsia="hr-HR"/>
              </w:rPr>
              <w:t>Program: Donošenje akata i mjera iz djelokruga predstavničkog i izvršnog tijela</w:t>
            </w:r>
          </w:p>
        </w:tc>
        <w:tc>
          <w:tcPr>
            <w:tcW w:w="1480" w:type="dxa"/>
            <w:tcBorders>
              <w:top w:val="nil"/>
              <w:left w:val="nil"/>
              <w:bottom w:val="nil"/>
              <w:right w:val="nil"/>
            </w:tcBorders>
            <w:shd w:val="clear" w:color="000000" w:fill="1D4BB3"/>
            <w:noWrap/>
            <w:vAlign w:val="bottom"/>
            <w:hideMark/>
          </w:tcPr>
          <w:p w14:paraId="2B18C956"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16.000,00</w:t>
            </w:r>
          </w:p>
        </w:tc>
        <w:tc>
          <w:tcPr>
            <w:tcW w:w="1380" w:type="dxa"/>
            <w:tcBorders>
              <w:top w:val="nil"/>
              <w:left w:val="nil"/>
              <w:bottom w:val="nil"/>
              <w:right w:val="nil"/>
            </w:tcBorders>
            <w:shd w:val="clear" w:color="000000" w:fill="1D4BB3"/>
            <w:noWrap/>
            <w:vAlign w:val="bottom"/>
            <w:hideMark/>
          </w:tcPr>
          <w:p w14:paraId="70F0A1EF"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12.975,05</w:t>
            </w:r>
          </w:p>
        </w:tc>
        <w:tc>
          <w:tcPr>
            <w:tcW w:w="1400" w:type="dxa"/>
            <w:tcBorders>
              <w:top w:val="nil"/>
              <w:left w:val="nil"/>
              <w:bottom w:val="nil"/>
              <w:right w:val="nil"/>
            </w:tcBorders>
            <w:shd w:val="clear" w:color="000000" w:fill="1D4BB3"/>
            <w:noWrap/>
            <w:vAlign w:val="bottom"/>
            <w:hideMark/>
          </w:tcPr>
          <w:p w14:paraId="5A8148C8"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81,09%</w:t>
            </w:r>
          </w:p>
        </w:tc>
      </w:tr>
      <w:tr w:rsidR="00A360DB" w:rsidRPr="00A360DB" w14:paraId="44EB3484" w14:textId="77777777" w:rsidTr="00A360DB">
        <w:trPr>
          <w:trHeight w:val="240"/>
        </w:trPr>
        <w:tc>
          <w:tcPr>
            <w:tcW w:w="1697" w:type="dxa"/>
            <w:tcBorders>
              <w:top w:val="nil"/>
              <w:left w:val="nil"/>
              <w:bottom w:val="nil"/>
              <w:right w:val="nil"/>
            </w:tcBorders>
            <w:shd w:val="clear" w:color="000000" w:fill="B4C6E7"/>
            <w:noWrap/>
            <w:vAlign w:val="bottom"/>
            <w:hideMark/>
          </w:tcPr>
          <w:p w14:paraId="0EF0E6E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A100101</w:t>
            </w:r>
          </w:p>
        </w:tc>
        <w:tc>
          <w:tcPr>
            <w:tcW w:w="8509" w:type="dxa"/>
            <w:tcBorders>
              <w:top w:val="nil"/>
              <w:left w:val="nil"/>
              <w:bottom w:val="nil"/>
              <w:right w:val="nil"/>
            </w:tcBorders>
            <w:shd w:val="clear" w:color="000000" w:fill="B4C6E7"/>
            <w:noWrap/>
            <w:vAlign w:val="bottom"/>
            <w:hideMark/>
          </w:tcPr>
          <w:p w14:paraId="4AD6B56F"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Redovan rad predstavničkog tijela</w:t>
            </w:r>
          </w:p>
        </w:tc>
        <w:tc>
          <w:tcPr>
            <w:tcW w:w="1480" w:type="dxa"/>
            <w:tcBorders>
              <w:top w:val="nil"/>
              <w:left w:val="nil"/>
              <w:bottom w:val="nil"/>
              <w:right w:val="nil"/>
            </w:tcBorders>
            <w:shd w:val="clear" w:color="000000" w:fill="B4C6E7"/>
            <w:noWrap/>
            <w:vAlign w:val="bottom"/>
            <w:hideMark/>
          </w:tcPr>
          <w:p w14:paraId="29FB3FC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16.000,00</w:t>
            </w:r>
          </w:p>
        </w:tc>
        <w:tc>
          <w:tcPr>
            <w:tcW w:w="1380" w:type="dxa"/>
            <w:tcBorders>
              <w:top w:val="nil"/>
              <w:left w:val="nil"/>
              <w:bottom w:val="nil"/>
              <w:right w:val="nil"/>
            </w:tcBorders>
            <w:shd w:val="clear" w:color="000000" w:fill="B4C6E7"/>
            <w:noWrap/>
            <w:vAlign w:val="bottom"/>
            <w:hideMark/>
          </w:tcPr>
          <w:p w14:paraId="26CAE16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12.975,05</w:t>
            </w:r>
          </w:p>
        </w:tc>
        <w:tc>
          <w:tcPr>
            <w:tcW w:w="1400" w:type="dxa"/>
            <w:tcBorders>
              <w:top w:val="nil"/>
              <w:left w:val="nil"/>
              <w:bottom w:val="nil"/>
              <w:right w:val="nil"/>
            </w:tcBorders>
            <w:shd w:val="clear" w:color="000000" w:fill="B4C6E7"/>
            <w:noWrap/>
            <w:vAlign w:val="bottom"/>
            <w:hideMark/>
          </w:tcPr>
          <w:p w14:paraId="50360F0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81,09%</w:t>
            </w:r>
          </w:p>
        </w:tc>
      </w:tr>
      <w:tr w:rsidR="00A360DB" w:rsidRPr="00A360DB" w14:paraId="7EF516D5"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E4A95E8"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5E65929D"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16.000,00</w:t>
            </w:r>
          </w:p>
        </w:tc>
        <w:tc>
          <w:tcPr>
            <w:tcW w:w="1380" w:type="dxa"/>
            <w:tcBorders>
              <w:top w:val="nil"/>
              <w:left w:val="nil"/>
              <w:bottom w:val="nil"/>
              <w:right w:val="nil"/>
            </w:tcBorders>
            <w:shd w:val="clear" w:color="auto" w:fill="auto"/>
            <w:noWrap/>
            <w:vAlign w:val="bottom"/>
            <w:hideMark/>
          </w:tcPr>
          <w:p w14:paraId="79B666C0"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12.975,05</w:t>
            </w:r>
          </w:p>
        </w:tc>
        <w:tc>
          <w:tcPr>
            <w:tcW w:w="1400" w:type="dxa"/>
            <w:tcBorders>
              <w:top w:val="nil"/>
              <w:left w:val="nil"/>
              <w:bottom w:val="nil"/>
              <w:right w:val="nil"/>
            </w:tcBorders>
            <w:shd w:val="clear" w:color="auto" w:fill="auto"/>
            <w:noWrap/>
            <w:vAlign w:val="bottom"/>
            <w:hideMark/>
          </w:tcPr>
          <w:p w14:paraId="6590CC28"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81,09%</w:t>
            </w:r>
          </w:p>
        </w:tc>
      </w:tr>
      <w:tr w:rsidR="00A360DB" w:rsidRPr="00A360DB" w14:paraId="1F82CE66"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1B79F6B2"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30F9D452"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16.000,00</w:t>
            </w:r>
          </w:p>
        </w:tc>
        <w:tc>
          <w:tcPr>
            <w:tcW w:w="1380" w:type="dxa"/>
            <w:tcBorders>
              <w:top w:val="nil"/>
              <w:left w:val="nil"/>
              <w:bottom w:val="nil"/>
              <w:right w:val="nil"/>
            </w:tcBorders>
            <w:shd w:val="clear" w:color="auto" w:fill="auto"/>
            <w:noWrap/>
            <w:vAlign w:val="bottom"/>
            <w:hideMark/>
          </w:tcPr>
          <w:p w14:paraId="7B531677"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12.975,05</w:t>
            </w:r>
          </w:p>
        </w:tc>
        <w:tc>
          <w:tcPr>
            <w:tcW w:w="1400" w:type="dxa"/>
            <w:tcBorders>
              <w:top w:val="nil"/>
              <w:left w:val="nil"/>
              <w:bottom w:val="nil"/>
              <w:right w:val="nil"/>
            </w:tcBorders>
            <w:shd w:val="clear" w:color="auto" w:fill="auto"/>
            <w:noWrap/>
            <w:vAlign w:val="bottom"/>
            <w:hideMark/>
          </w:tcPr>
          <w:p w14:paraId="3D91DAC7"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81,09%</w:t>
            </w:r>
          </w:p>
        </w:tc>
      </w:tr>
      <w:tr w:rsidR="00A360DB" w:rsidRPr="00A360DB" w14:paraId="20070956" w14:textId="77777777" w:rsidTr="00A360DB">
        <w:trPr>
          <w:trHeight w:val="240"/>
        </w:trPr>
        <w:tc>
          <w:tcPr>
            <w:tcW w:w="1697" w:type="dxa"/>
            <w:tcBorders>
              <w:top w:val="nil"/>
              <w:left w:val="nil"/>
              <w:bottom w:val="nil"/>
              <w:right w:val="nil"/>
            </w:tcBorders>
            <w:shd w:val="clear" w:color="auto" w:fill="auto"/>
            <w:noWrap/>
            <w:vAlign w:val="bottom"/>
            <w:hideMark/>
          </w:tcPr>
          <w:p w14:paraId="7834EB2E"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212F3288"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2AB257C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16.000,00</w:t>
            </w:r>
          </w:p>
        </w:tc>
        <w:tc>
          <w:tcPr>
            <w:tcW w:w="1380" w:type="dxa"/>
            <w:tcBorders>
              <w:top w:val="nil"/>
              <w:left w:val="nil"/>
              <w:bottom w:val="nil"/>
              <w:right w:val="nil"/>
            </w:tcBorders>
            <w:shd w:val="clear" w:color="auto" w:fill="auto"/>
            <w:noWrap/>
            <w:vAlign w:val="bottom"/>
            <w:hideMark/>
          </w:tcPr>
          <w:p w14:paraId="16DD8AD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12.975,05</w:t>
            </w:r>
          </w:p>
        </w:tc>
        <w:tc>
          <w:tcPr>
            <w:tcW w:w="1400" w:type="dxa"/>
            <w:tcBorders>
              <w:top w:val="nil"/>
              <w:left w:val="nil"/>
              <w:bottom w:val="nil"/>
              <w:right w:val="nil"/>
            </w:tcBorders>
            <w:shd w:val="clear" w:color="auto" w:fill="auto"/>
            <w:noWrap/>
            <w:vAlign w:val="bottom"/>
            <w:hideMark/>
          </w:tcPr>
          <w:p w14:paraId="4C241A0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81,09%</w:t>
            </w:r>
          </w:p>
        </w:tc>
      </w:tr>
      <w:tr w:rsidR="00A360DB" w:rsidRPr="00A360DB" w14:paraId="0CC066DE" w14:textId="77777777" w:rsidTr="00A360DB">
        <w:trPr>
          <w:trHeight w:val="240"/>
        </w:trPr>
        <w:tc>
          <w:tcPr>
            <w:tcW w:w="1697" w:type="dxa"/>
            <w:tcBorders>
              <w:top w:val="nil"/>
              <w:left w:val="nil"/>
              <w:bottom w:val="nil"/>
              <w:right w:val="nil"/>
            </w:tcBorders>
            <w:shd w:val="clear" w:color="auto" w:fill="auto"/>
            <w:noWrap/>
            <w:vAlign w:val="bottom"/>
            <w:hideMark/>
          </w:tcPr>
          <w:p w14:paraId="48FDE1B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3291</w:t>
            </w:r>
          </w:p>
        </w:tc>
        <w:tc>
          <w:tcPr>
            <w:tcW w:w="8509" w:type="dxa"/>
            <w:tcBorders>
              <w:top w:val="nil"/>
              <w:left w:val="nil"/>
              <w:bottom w:val="nil"/>
              <w:right w:val="nil"/>
            </w:tcBorders>
            <w:shd w:val="clear" w:color="auto" w:fill="auto"/>
            <w:noWrap/>
            <w:vAlign w:val="bottom"/>
            <w:hideMark/>
          </w:tcPr>
          <w:p w14:paraId="4EC8E92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Naknade za rad predstavničkih i izvršnih tijela, povjerenstava i slično                             </w:t>
            </w:r>
          </w:p>
        </w:tc>
        <w:tc>
          <w:tcPr>
            <w:tcW w:w="1480" w:type="dxa"/>
            <w:tcBorders>
              <w:top w:val="nil"/>
              <w:left w:val="nil"/>
              <w:bottom w:val="nil"/>
              <w:right w:val="nil"/>
            </w:tcBorders>
            <w:shd w:val="clear" w:color="auto" w:fill="auto"/>
            <w:noWrap/>
            <w:vAlign w:val="bottom"/>
            <w:hideMark/>
          </w:tcPr>
          <w:p w14:paraId="0CA5FF99"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574B566A"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12.975,05</w:t>
            </w:r>
          </w:p>
        </w:tc>
        <w:tc>
          <w:tcPr>
            <w:tcW w:w="1400" w:type="dxa"/>
            <w:tcBorders>
              <w:top w:val="nil"/>
              <w:left w:val="nil"/>
              <w:bottom w:val="nil"/>
              <w:right w:val="nil"/>
            </w:tcBorders>
            <w:shd w:val="clear" w:color="auto" w:fill="auto"/>
            <w:noWrap/>
            <w:vAlign w:val="bottom"/>
            <w:hideMark/>
          </w:tcPr>
          <w:p w14:paraId="003F0571"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5C35E11" w14:textId="77777777" w:rsidTr="00A360DB">
        <w:trPr>
          <w:trHeight w:val="240"/>
        </w:trPr>
        <w:tc>
          <w:tcPr>
            <w:tcW w:w="1697" w:type="dxa"/>
            <w:tcBorders>
              <w:top w:val="nil"/>
              <w:left w:val="nil"/>
              <w:bottom w:val="nil"/>
              <w:right w:val="nil"/>
            </w:tcBorders>
            <w:shd w:val="clear" w:color="000000" w:fill="1D4BB3"/>
            <w:noWrap/>
            <w:vAlign w:val="bottom"/>
            <w:hideMark/>
          </w:tcPr>
          <w:p w14:paraId="4C370992" w14:textId="77777777" w:rsidR="00A360DB" w:rsidRPr="00A360DB" w:rsidRDefault="00A360DB" w:rsidP="00A360DB">
            <w:pPr>
              <w:spacing w:after="0" w:line="240" w:lineRule="auto"/>
              <w:rPr>
                <w:rFonts w:ascii="Arial" w:hAnsi="Arial" w:cs="Arial"/>
                <w:b/>
                <w:bCs/>
                <w:color w:val="FFFFFF"/>
                <w:sz w:val="18"/>
                <w:szCs w:val="18"/>
                <w:lang w:eastAsia="hr-HR"/>
              </w:rPr>
            </w:pPr>
            <w:r w:rsidRPr="00A360DB">
              <w:rPr>
                <w:rFonts w:ascii="Arial" w:hAnsi="Arial" w:cs="Arial"/>
                <w:b/>
                <w:bCs/>
                <w:color w:val="FFFFFF"/>
                <w:sz w:val="18"/>
                <w:szCs w:val="18"/>
                <w:lang w:eastAsia="hr-HR"/>
              </w:rPr>
              <w:t>1002</w:t>
            </w:r>
          </w:p>
        </w:tc>
        <w:tc>
          <w:tcPr>
            <w:tcW w:w="8509" w:type="dxa"/>
            <w:tcBorders>
              <w:top w:val="nil"/>
              <w:left w:val="nil"/>
              <w:bottom w:val="nil"/>
              <w:right w:val="nil"/>
            </w:tcBorders>
            <w:shd w:val="clear" w:color="000000" w:fill="1D4BB3"/>
            <w:noWrap/>
            <w:vAlign w:val="bottom"/>
            <w:hideMark/>
          </w:tcPr>
          <w:p w14:paraId="767713B9" w14:textId="77777777" w:rsidR="00A360DB" w:rsidRPr="00A360DB" w:rsidRDefault="00A360DB" w:rsidP="00A360DB">
            <w:pPr>
              <w:spacing w:after="0" w:line="240" w:lineRule="auto"/>
              <w:rPr>
                <w:rFonts w:ascii="Arial" w:hAnsi="Arial" w:cs="Arial"/>
                <w:b/>
                <w:bCs/>
                <w:color w:val="FFFFFF"/>
                <w:sz w:val="18"/>
                <w:szCs w:val="18"/>
                <w:lang w:eastAsia="hr-HR"/>
              </w:rPr>
            </w:pPr>
            <w:r w:rsidRPr="00A360DB">
              <w:rPr>
                <w:rFonts w:ascii="Arial" w:hAnsi="Arial" w:cs="Arial"/>
                <w:b/>
                <w:bCs/>
                <w:color w:val="FFFFFF"/>
                <w:sz w:val="18"/>
                <w:szCs w:val="18"/>
                <w:lang w:eastAsia="hr-HR"/>
              </w:rPr>
              <w:t xml:space="preserve">Program: Razvoj civilnog društva </w:t>
            </w:r>
          </w:p>
        </w:tc>
        <w:tc>
          <w:tcPr>
            <w:tcW w:w="1480" w:type="dxa"/>
            <w:tcBorders>
              <w:top w:val="nil"/>
              <w:left w:val="nil"/>
              <w:bottom w:val="nil"/>
              <w:right w:val="nil"/>
            </w:tcBorders>
            <w:shd w:val="clear" w:color="000000" w:fill="1D4BB3"/>
            <w:noWrap/>
            <w:vAlign w:val="bottom"/>
            <w:hideMark/>
          </w:tcPr>
          <w:p w14:paraId="513C8E20"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87.320,00</w:t>
            </w:r>
          </w:p>
        </w:tc>
        <w:tc>
          <w:tcPr>
            <w:tcW w:w="1380" w:type="dxa"/>
            <w:tcBorders>
              <w:top w:val="nil"/>
              <w:left w:val="nil"/>
              <w:bottom w:val="nil"/>
              <w:right w:val="nil"/>
            </w:tcBorders>
            <w:shd w:val="clear" w:color="000000" w:fill="1D4BB3"/>
            <w:noWrap/>
            <w:vAlign w:val="bottom"/>
            <w:hideMark/>
          </w:tcPr>
          <w:p w14:paraId="1B254D73"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56.493,04</w:t>
            </w:r>
          </w:p>
        </w:tc>
        <w:tc>
          <w:tcPr>
            <w:tcW w:w="1400" w:type="dxa"/>
            <w:tcBorders>
              <w:top w:val="nil"/>
              <w:left w:val="nil"/>
              <w:bottom w:val="nil"/>
              <w:right w:val="nil"/>
            </w:tcBorders>
            <w:shd w:val="clear" w:color="000000" w:fill="1D4BB3"/>
            <w:noWrap/>
            <w:vAlign w:val="bottom"/>
            <w:hideMark/>
          </w:tcPr>
          <w:p w14:paraId="0118F6DE"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64,70%</w:t>
            </w:r>
          </w:p>
        </w:tc>
      </w:tr>
      <w:tr w:rsidR="00A360DB" w:rsidRPr="00A360DB" w14:paraId="4D38B933" w14:textId="77777777" w:rsidTr="00A360DB">
        <w:trPr>
          <w:trHeight w:val="240"/>
        </w:trPr>
        <w:tc>
          <w:tcPr>
            <w:tcW w:w="1697" w:type="dxa"/>
            <w:tcBorders>
              <w:top w:val="nil"/>
              <w:left w:val="nil"/>
              <w:bottom w:val="nil"/>
              <w:right w:val="nil"/>
            </w:tcBorders>
            <w:shd w:val="clear" w:color="000000" w:fill="B4C6E7"/>
            <w:noWrap/>
            <w:vAlign w:val="bottom"/>
            <w:hideMark/>
          </w:tcPr>
          <w:p w14:paraId="22FC8D97"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A100201</w:t>
            </w:r>
          </w:p>
        </w:tc>
        <w:tc>
          <w:tcPr>
            <w:tcW w:w="8509" w:type="dxa"/>
            <w:tcBorders>
              <w:top w:val="nil"/>
              <w:left w:val="nil"/>
              <w:bottom w:val="nil"/>
              <w:right w:val="nil"/>
            </w:tcBorders>
            <w:shd w:val="clear" w:color="000000" w:fill="B4C6E7"/>
            <w:noWrap/>
            <w:vAlign w:val="bottom"/>
            <w:hideMark/>
          </w:tcPr>
          <w:p w14:paraId="4DD0AFDF"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Osnovne funkcije političkih stranaka</w:t>
            </w:r>
          </w:p>
        </w:tc>
        <w:tc>
          <w:tcPr>
            <w:tcW w:w="1480" w:type="dxa"/>
            <w:tcBorders>
              <w:top w:val="nil"/>
              <w:left w:val="nil"/>
              <w:bottom w:val="nil"/>
              <w:right w:val="nil"/>
            </w:tcBorders>
            <w:shd w:val="clear" w:color="000000" w:fill="B4C6E7"/>
            <w:noWrap/>
            <w:vAlign w:val="bottom"/>
            <w:hideMark/>
          </w:tcPr>
          <w:p w14:paraId="59F7EBE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4.500,00</w:t>
            </w:r>
          </w:p>
        </w:tc>
        <w:tc>
          <w:tcPr>
            <w:tcW w:w="1380" w:type="dxa"/>
            <w:tcBorders>
              <w:top w:val="nil"/>
              <w:left w:val="nil"/>
              <w:bottom w:val="nil"/>
              <w:right w:val="nil"/>
            </w:tcBorders>
            <w:shd w:val="clear" w:color="000000" w:fill="B4C6E7"/>
            <w:noWrap/>
            <w:vAlign w:val="bottom"/>
            <w:hideMark/>
          </w:tcPr>
          <w:p w14:paraId="1722F53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4.355,84</w:t>
            </w:r>
          </w:p>
        </w:tc>
        <w:tc>
          <w:tcPr>
            <w:tcW w:w="1400" w:type="dxa"/>
            <w:tcBorders>
              <w:top w:val="nil"/>
              <w:left w:val="nil"/>
              <w:bottom w:val="nil"/>
              <w:right w:val="nil"/>
            </w:tcBorders>
            <w:shd w:val="clear" w:color="000000" w:fill="B4C6E7"/>
            <w:noWrap/>
            <w:vAlign w:val="bottom"/>
            <w:hideMark/>
          </w:tcPr>
          <w:p w14:paraId="3325D3B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96,80%</w:t>
            </w:r>
          </w:p>
        </w:tc>
      </w:tr>
      <w:tr w:rsidR="00A360DB" w:rsidRPr="00A360DB" w14:paraId="13140659"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1425B491"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058CECC1"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4.500,00</w:t>
            </w:r>
          </w:p>
        </w:tc>
        <w:tc>
          <w:tcPr>
            <w:tcW w:w="1380" w:type="dxa"/>
            <w:tcBorders>
              <w:top w:val="nil"/>
              <w:left w:val="nil"/>
              <w:bottom w:val="nil"/>
              <w:right w:val="nil"/>
            </w:tcBorders>
            <w:shd w:val="clear" w:color="auto" w:fill="auto"/>
            <w:noWrap/>
            <w:vAlign w:val="bottom"/>
            <w:hideMark/>
          </w:tcPr>
          <w:p w14:paraId="0A6365EF"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4.355,84</w:t>
            </w:r>
          </w:p>
        </w:tc>
        <w:tc>
          <w:tcPr>
            <w:tcW w:w="1400" w:type="dxa"/>
            <w:tcBorders>
              <w:top w:val="nil"/>
              <w:left w:val="nil"/>
              <w:bottom w:val="nil"/>
              <w:right w:val="nil"/>
            </w:tcBorders>
            <w:shd w:val="clear" w:color="auto" w:fill="auto"/>
            <w:noWrap/>
            <w:vAlign w:val="bottom"/>
            <w:hideMark/>
          </w:tcPr>
          <w:p w14:paraId="224A2FAF"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96,80%</w:t>
            </w:r>
          </w:p>
        </w:tc>
      </w:tr>
      <w:tr w:rsidR="00A360DB" w:rsidRPr="00A360DB" w14:paraId="51BFF97A"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2443989"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0E5FEEE6"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4.500,00</w:t>
            </w:r>
          </w:p>
        </w:tc>
        <w:tc>
          <w:tcPr>
            <w:tcW w:w="1380" w:type="dxa"/>
            <w:tcBorders>
              <w:top w:val="nil"/>
              <w:left w:val="nil"/>
              <w:bottom w:val="nil"/>
              <w:right w:val="nil"/>
            </w:tcBorders>
            <w:shd w:val="clear" w:color="auto" w:fill="auto"/>
            <w:noWrap/>
            <w:vAlign w:val="bottom"/>
            <w:hideMark/>
          </w:tcPr>
          <w:p w14:paraId="115CB4E4"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4.355,84</w:t>
            </w:r>
          </w:p>
        </w:tc>
        <w:tc>
          <w:tcPr>
            <w:tcW w:w="1400" w:type="dxa"/>
            <w:tcBorders>
              <w:top w:val="nil"/>
              <w:left w:val="nil"/>
              <w:bottom w:val="nil"/>
              <w:right w:val="nil"/>
            </w:tcBorders>
            <w:shd w:val="clear" w:color="auto" w:fill="auto"/>
            <w:noWrap/>
            <w:vAlign w:val="bottom"/>
            <w:hideMark/>
          </w:tcPr>
          <w:p w14:paraId="2C945650"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96,80%</w:t>
            </w:r>
          </w:p>
        </w:tc>
      </w:tr>
      <w:tr w:rsidR="00A360DB" w:rsidRPr="00A360DB" w14:paraId="30E90A46" w14:textId="77777777" w:rsidTr="00A360DB">
        <w:trPr>
          <w:trHeight w:val="240"/>
        </w:trPr>
        <w:tc>
          <w:tcPr>
            <w:tcW w:w="1697" w:type="dxa"/>
            <w:tcBorders>
              <w:top w:val="nil"/>
              <w:left w:val="nil"/>
              <w:bottom w:val="nil"/>
              <w:right w:val="nil"/>
            </w:tcBorders>
            <w:shd w:val="clear" w:color="auto" w:fill="auto"/>
            <w:noWrap/>
            <w:vAlign w:val="bottom"/>
            <w:hideMark/>
          </w:tcPr>
          <w:p w14:paraId="4CD2A2EC"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38</w:t>
            </w:r>
          </w:p>
        </w:tc>
        <w:tc>
          <w:tcPr>
            <w:tcW w:w="8509" w:type="dxa"/>
            <w:tcBorders>
              <w:top w:val="nil"/>
              <w:left w:val="nil"/>
              <w:bottom w:val="nil"/>
              <w:right w:val="nil"/>
            </w:tcBorders>
            <w:shd w:val="clear" w:color="auto" w:fill="auto"/>
            <w:noWrap/>
            <w:vAlign w:val="bottom"/>
            <w:hideMark/>
          </w:tcPr>
          <w:p w14:paraId="47C11D43"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Ostali rashodi                                                                                      </w:t>
            </w:r>
          </w:p>
        </w:tc>
        <w:tc>
          <w:tcPr>
            <w:tcW w:w="1480" w:type="dxa"/>
            <w:tcBorders>
              <w:top w:val="nil"/>
              <w:left w:val="nil"/>
              <w:bottom w:val="nil"/>
              <w:right w:val="nil"/>
            </w:tcBorders>
            <w:shd w:val="clear" w:color="auto" w:fill="auto"/>
            <w:noWrap/>
            <w:vAlign w:val="bottom"/>
            <w:hideMark/>
          </w:tcPr>
          <w:p w14:paraId="568C71E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4.500,00</w:t>
            </w:r>
          </w:p>
        </w:tc>
        <w:tc>
          <w:tcPr>
            <w:tcW w:w="1380" w:type="dxa"/>
            <w:tcBorders>
              <w:top w:val="nil"/>
              <w:left w:val="nil"/>
              <w:bottom w:val="nil"/>
              <w:right w:val="nil"/>
            </w:tcBorders>
            <w:shd w:val="clear" w:color="auto" w:fill="auto"/>
            <w:noWrap/>
            <w:vAlign w:val="bottom"/>
            <w:hideMark/>
          </w:tcPr>
          <w:p w14:paraId="64FA673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4.355,84</w:t>
            </w:r>
          </w:p>
        </w:tc>
        <w:tc>
          <w:tcPr>
            <w:tcW w:w="1400" w:type="dxa"/>
            <w:tcBorders>
              <w:top w:val="nil"/>
              <w:left w:val="nil"/>
              <w:bottom w:val="nil"/>
              <w:right w:val="nil"/>
            </w:tcBorders>
            <w:shd w:val="clear" w:color="auto" w:fill="auto"/>
            <w:noWrap/>
            <w:vAlign w:val="bottom"/>
            <w:hideMark/>
          </w:tcPr>
          <w:p w14:paraId="75574B1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96,80%</w:t>
            </w:r>
          </w:p>
        </w:tc>
      </w:tr>
      <w:tr w:rsidR="00A360DB" w:rsidRPr="00A360DB" w14:paraId="45132966" w14:textId="77777777" w:rsidTr="00A360DB">
        <w:trPr>
          <w:trHeight w:val="240"/>
        </w:trPr>
        <w:tc>
          <w:tcPr>
            <w:tcW w:w="1697" w:type="dxa"/>
            <w:tcBorders>
              <w:top w:val="nil"/>
              <w:left w:val="nil"/>
              <w:bottom w:val="nil"/>
              <w:right w:val="nil"/>
            </w:tcBorders>
            <w:shd w:val="clear" w:color="auto" w:fill="auto"/>
            <w:noWrap/>
            <w:vAlign w:val="bottom"/>
            <w:hideMark/>
          </w:tcPr>
          <w:p w14:paraId="773BF39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3811</w:t>
            </w:r>
          </w:p>
        </w:tc>
        <w:tc>
          <w:tcPr>
            <w:tcW w:w="8509" w:type="dxa"/>
            <w:tcBorders>
              <w:top w:val="nil"/>
              <w:left w:val="nil"/>
              <w:bottom w:val="nil"/>
              <w:right w:val="nil"/>
            </w:tcBorders>
            <w:shd w:val="clear" w:color="auto" w:fill="auto"/>
            <w:noWrap/>
            <w:vAlign w:val="bottom"/>
            <w:hideMark/>
          </w:tcPr>
          <w:p w14:paraId="51FC279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Tekuće donacije u novcu                                                                             </w:t>
            </w:r>
          </w:p>
        </w:tc>
        <w:tc>
          <w:tcPr>
            <w:tcW w:w="1480" w:type="dxa"/>
            <w:tcBorders>
              <w:top w:val="nil"/>
              <w:left w:val="nil"/>
              <w:bottom w:val="nil"/>
              <w:right w:val="nil"/>
            </w:tcBorders>
            <w:shd w:val="clear" w:color="auto" w:fill="auto"/>
            <w:noWrap/>
            <w:vAlign w:val="bottom"/>
            <w:hideMark/>
          </w:tcPr>
          <w:p w14:paraId="5186C582"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A53F248"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4.355,84</w:t>
            </w:r>
          </w:p>
        </w:tc>
        <w:tc>
          <w:tcPr>
            <w:tcW w:w="1400" w:type="dxa"/>
            <w:tcBorders>
              <w:top w:val="nil"/>
              <w:left w:val="nil"/>
              <w:bottom w:val="nil"/>
              <w:right w:val="nil"/>
            </w:tcBorders>
            <w:shd w:val="clear" w:color="auto" w:fill="auto"/>
            <w:noWrap/>
            <w:vAlign w:val="bottom"/>
            <w:hideMark/>
          </w:tcPr>
          <w:p w14:paraId="418276C5"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4FC1E3C" w14:textId="77777777" w:rsidTr="00A360DB">
        <w:trPr>
          <w:trHeight w:val="240"/>
        </w:trPr>
        <w:tc>
          <w:tcPr>
            <w:tcW w:w="1697" w:type="dxa"/>
            <w:tcBorders>
              <w:top w:val="nil"/>
              <w:left w:val="nil"/>
              <w:bottom w:val="nil"/>
              <w:right w:val="nil"/>
            </w:tcBorders>
            <w:shd w:val="clear" w:color="000000" w:fill="B4C6E7"/>
            <w:noWrap/>
            <w:vAlign w:val="bottom"/>
            <w:hideMark/>
          </w:tcPr>
          <w:p w14:paraId="0B2812FD"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A100202</w:t>
            </w:r>
          </w:p>
        </w:tc>
        <w:tc>
          <w:tcPr>
            <w:tcW w:w="8509" w:type="dxa"/>
            <w:tcBorders>
              <w:top w:val="nil"/>
              <w:left w:val="nil"/>
              <w:bottom w:val="nil"/>
              <w:right w:val="nil"/>
            </w:tcBorders>
            <w:shd w:val="clear" w:color="000000" w:fill="B4C6E7"/>
            <w:noWrap/>
            <w:vAlign w:val="bottom"/>
            <w:hideMark/>
          </w:tcPr>
          <w:p w14:paraId="1B6D1ABA"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Vijeće srpske nacionalne manjine</w:t>
            </w:r>
          </w:p>
        </w:tc>
        <w:tc>
          <w:tcPr>
            <w:tcW w:w="1480" w:type="dxa"/>
            <w:tcBorders>
              <w:top w:val="nil"/>
              <w:left w:val="nil"/>
              <w:bottom w:val="nil"/>
              <w:right w:val="nil"/>
            </w:tcBorders>
            <w:shd w:val="clear" w:color="000000" w:fill="B4C6E7"/>
            <w:noWrap/>
            <w:vAlign w:val="bottom"/>
            <w:hideMark/>
          </w:tcPr>
          <w:p w14:paraId="43A7087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3.000,00</w:t>
            </w:r>
          </w:p>
        </w:tc>
        <w:tc>
          <w:tcPr>
            <w:tcW w:w="1380" w:type="dxa"/>
            <w:tcBorders>
              <w:top w:val="nil"/>
              <w:left w:val="nil"/>
              <w:bottom w:val="nil"/>
              <w:right w:val="nil"/>
            </w:tcBorders>
            <w:shd w:val="clear" w:color="000000" w:fill="B4C6E7"/>
            <w:noWrap/>
            <w:vAlign w:val="bottom"/>
            <w:hideMark/>
          </w:tcPr>
          <w:p w14:paraId="79FDA91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3.000,00</w:t>
            </w:r>
          </w:p>
        </w:tc>
        <w:tc>
          <w:tcPr>
            <w:tcW w:w="1400" w:type="dxa"/>
            <w:tcBorders>
              <w:top w:val="nil"/>
              <w:left w:val="nil"/>
              <w:bottom w:val="nil"/>
              <w:right w:val="nil"/>
            </w:tcBorders>
            <w:shd w:val="clear" w:color="000000" w:fill="B4C6E7"/>
            <w:noWrap/>
            <w:vAlign w:val="bottom"/>
            <w:hideMark/>
          </w:tcPr>
          <w:p w14:paraId="134C664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r>
      <w:tr w:rsidR="00A360DB" w:rsidRPr="00A360DB" w14:paraId="4B333EFC"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720D458"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117EE0DB"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3.000,00</w:t>
            </w:r>
          </w:p>
        </w:tc>
        <w:tc>
          <w:tcPr>
            <w:tcW w:w="1380" w:type="dxa"/>
            <w:tcBorders>
              <w:top w:val="nil"/>
              <w:left w:val="nil"/>
              <w:bottom w:val="nil"/>
              <w:right w:val="nil"/>
            </w:tcBorders>
            <w:shd w:val="clear" w:color="auto" w:fill="auto"/>
            <w:noWrap/>
            <w:vAlign w:val="bottom"/>
            <w:hideMark/>
          </w:tcPr>
          <w:p w14:paraId="4B84DD77"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3.000,00</w:t>
            </w:r>
          </w:p>
        </w:tc>
        <w:tc>
          <w:tcPr>
            <w:tcW w:w="1400" w:type="dxa"/>
            <w:tcBorders>
              <w:top w:val="nil"/>
              <w:left w:val="nil"/>
              <w:bottom w:val="nil"/>
              <w:right w:val="nil"/>
            </w:tcBorders>
            <w:shd w:val="clear" w:color="auto" w:fill="auto"/>
            <w:noWrap/>
            <w:vAlign w:val="bottom"/>
            <w:hideMark/>
          </w:tcPr>
          <w:p w14:paraId="43310901"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w:t>
            </w:r>
          </w:p>
        </w:tc>
      </w:tr>
      <w:tr w:rsidR="00A360DB" w:rsidRPr="00A360DB" w14:paraId="66D584E9"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804184D"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2024F1C7"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3.000,00</w:t>
            </w:r>
          </w:p>
        </w:tc>
        <w:tc>
          <w:tcPr>
            <w:tcW w:w="1380" w:type="dxa"/>
            <w:tcBorders>
              <w:top w:val="nil"/>
              <w:left w:val="nil"/>
              <w:bottom w:val="nil"/>
              <w:right w:val="nil"/>
            </w:tcBorders>
            <w:shd w:val="clear" w:color="auto" w:fill="auto"/>
            <w:noWrap/>
            <w:vAlign w:val="bottom"/>
            <w:hideMark/>
          </w:tcPr>
          <w:p w14:paraId="445C34C9"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3.000,00</w:t>
            </w:r>
          </w:p>
        </w:tc>
        <w:tc>
          <w:tcPr>
            <w:tcW w:w="1400" w:type="dxa"/>
            <w:tcBorders>
              <w:top w:val="nil"/>
              <w:left w:val="nil"/>
              <w:bottom w:val="nil"/>
              <w:right w:val="nil"/>
            </w:tcBorders>
            <w:shd w:val="clear" w:color="auto" w:fill="auto"/>
            <w:noWrap/>
            <w:vAlign w:val="bottom"/>
            <w:hideMark/>
          </w:tcPr>
          <w:p w14:paraId="2061E687"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w:t>
            </w:r>
          </w:p>
        </w:tc>
      </w:tr>
      <w:tr w:rsidR="00A360DB" w:rsidRPr="00A360DB" w14:paraId="32083268" w14:textId="77777777" w:rsidTr="00A360DB">
        <w:trPr>
          <w:trHeight w:val="240"/>
        </w:trPr>
        <w:tc>
          <w:tcPr>
            <w:tcW w:w="1697" w:type="dxa"/>
            <w:tcBorders>
              <w:top w:val="nil"/>
              <w:left w:val="nil"/>
              <w:bottom w:val="nil"/>
              <w:right w:val="nil"/>
            </w:tcBorders>
            <w:shd w:val="clear" w:color="auto" w:fill="auto"/>
            <w:noWrap/>
            <w:vAlign w:val="bottom"/>
            <w:hideMark/>
          </w:tcPr>
          <w:p w14:paraId="2858BD81"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6F6AD60D"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70A2A8E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2.545,00</w:t>
            </w:r>
          </w:p>
        </w:tc>
        <w:tc>
          <w:tcPr>
            <w:tcW w:w="1380" w:type="dxa"/>
            <w:tcBorders>
              <w:top w:val="nil"/>
              <w:left w:val="nil"/>
              <w:bottom w:val="nil"/>
              <w:right w:val="nil"/>
            </w:tcBorders>
            <w:shd w:val="clear" w:color="auto" w:fill="auto"/>
            <w:noWrap/>
            <w:vAlign w:val="bottom"/>
            <w:hideMark/>
          </w:tcPr>
          <w:p w14:paraId="2B36B39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2.250,83</w:t>
            </w:r>
          </w:p>
        </w:tc>
        <w:tc>
          <w:tcPr>
            <w:tcW w:w="1400" w:type="dxa"/>
            <w:tcBorders>
              <w:top w:val="nil"/>
              <w:left w:val="nil"/>
              <w:bottom w:val="nil"/>
              <w:right w:val="nil"/>
            </w:tcBorders>
            <w:shd w:val="clear" w:color="auto" w:fill="auto"/>
            <w:noWrap/>
            <w:vAlign w:val="bottom"/>
            <w:hideMark/>
          </w:tcPr>
          <w:p w14:paraId="6C952DB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88,44%</w:t>
            </w:r>
          </w:p>
        </w:tc>
      </w:tr>
      <w:tr w:rsidR="00A360DB" w:rsidRPr="00A360DB" w14:paraId="3D20CCAC" w14:textId="77777777" w:rsidTr="00A360DB">
        <w:trPr>
          <w:trHeight w:val="240"/>
        </w:trPr>
        <w:tc>
          <w:tcPr>
            <w:tcW w:w="1697" w:type="dxa"/>
            <w:tcBorders>
              <w:top w:val="nil"/>
              <w:left w:val="nil"/>
              <w:bottom w:val="nil"/>
              <w:right w:val="nil"/>
            </w:tcBorders>
            <w:shd w:val="clear" w:color="auto" w:fill="auto"/>
            <w:noWrap/>
            <w:vAlign w:val="bottom"/>
            <w:hideMark/>
          </w:tcPr>
          <w:p w14:paraId="7F8280BE"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3221</w:t>
            </w:r>
          </w:p>
        </w:tc>
        <w:tc>
          <w:tcPr>
            <w:tcW w:w="8509" w:type="dxa"/>
            <w:tcBorders>
              <w:top w:val="nil"/>
              <w:left w:val="nil"/>
              <w:bottom w:val="nil"/>
              <w:right w:val="nil"/>
            </w:tcBorders>
            <w:shd w:val="clear" w:color="auto" w:fill="auto"/>
            <w:noWrap/>
            <w:vAlign w:val="bottom"/>
            <w:hideMark/>
          </w:tcPr>
          <w:p w14:paraId="4C91E55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Uredski materijal i ostali materijalni rashodi                                                      </w:t>
            </w:r>
          </w:p>
        </w:tc>
        <w:tc>
          <w:tcPr>
            <w:tcW w:w="1480" w:type="dxa"/>
            <w:tcBorders>
              <w:top w:val="nil"/>
              <w:left w:val="nil"/>
              <w:bottom w:val="nil"/>
              <w:right w:val="nil"/>
            </w:tcBorders>
            <w:shd w:val="clear" w:color="auto" w:fill="auto"/>
            <w:noWrap/>
            <w:vAlign w:val="bottom"/>
            <w:hideMark/>
          </w:tcPr>
          <w:p w14:paraId="14193A2B"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26D93021"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79,21</w:t>
            </w:r>
          </w:p>
        </w:tc>
        <w:tc>
          <w:tcPr>
            <w:tcW w:w="1400" w:type="dxa"/>
            <w:tcBorders>
              <w:top w:val="nil"/>
              <w:left w:val="nil"/>
              <w:bottom w:val="nil"/>
              <w:right w:val="nil"/>
            </w:tcBorders>
            <w:shd w:val="clear" w:color="auto" w:fill="auto"/>
            <w:noWrap/>
            <w:vAlign w:val="bottom"/>
            <w:hideMark/>
          </w:tcPr>
          <w:p w14:paraId="751837C7"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81507F2" w14:textId="77777777" w:rsidTr="00A360DB">
        <w:trPr>
          <w:trHeight w:val="240"/>
        </w:trPr>
        <w:tc>
          <w:tcPr>
            <w:tcW w:w="1697" w:type="dxa"/>
            <w:tcBorders>
              <w:top w:val="nil"/>
              <w:left w:val="nil"/>
              <w:bottom w:val="nil"/>
              <w:right w:val="nil"/>
            </w:tcBorders>
            <w:shd w:val="clear" w:color="auto" w:fill="auto"/>
            <w:noWrap/>
            <w:vAlign w:val="bottom"/>
            <w:hideMark/>
          </w:tcPr>
          <w:p w14:paraId="2E58B43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3231</w:t>
            </w:r>
          </w:p>
        </w:tc>
        <w:tc>
          <w:tcPr>
            <w:tcW w:w="8509" w:type="dxa"/>
            <w:tcBorders>
              <w:top w:val="nil"/>
              <w:left w:val="nil"/>
              <w:bottom w:val="nil"/>
              <w:right w:val="nil"/>
            </w:tcBorders>
            <w:shd w:val="clear" w:color="auto" w:fill="auto"/>
            <w:noWrap/>
            <w:vAlign w:val="bottom"/>
            <w:hideMark/>
          </w:tcPr>
          <w:p w14:paraId="1C071BC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Usluge telefona, pošte i prijevoza                                                                  </w:t>
            </w:r>
          </w:p>
        </w:tc>
        <w:tc>
          <w:tcPr>
            <w:tcW w:w="1480" w:type="dxa"/>
            <w:tcBorders>
              <w:top w:val="nil"/>
              <w:left w:val="nil"/>
              <w:bottom w:val="nil"/>
              <w:right w:val="nil"/>
            </w:tcBorders>
            <w:shd w:val="clear" w:color="auto" w:fill="auto"/>
            <w:noWrap/>
            <w:vAlign w:val="bottom"/>
            <w:hideMark/>
          </w:tcPr>
          <w:p w14:paraId="57C204D9"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940EB52"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306,90</w:t>
            </w:r>
          </w:p>
        </w:tc>
        <w:tc>
          <w:tcPr>
            <w:tcW w:w="1400" w:type="dxa"/>
            <w:tcBorders>
              <w:top w:val="nil"/>
              <w:left w:val="nil"/>
              <w:bottom w:val="nil"/>
              <w:right w:val="nil"/>
            </w:tcBorders>
            <w:shd w:val="clear" w:color="auto" w:fill="auto"/>
            <w:noWrap/>
            <w:vAlign w:val="bottom"/>
            <w:hideMark/>
          </w:tcPr>
          <w:p w14:paraId="5A90979B"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9608D74" w14:textId="77777777" w:rsidTr="00A360DB">
        <w:trPr>
          <w:trHeight w:val="240"/>
        </w:trPr>
        <w:tc>
          <w:tcPr>
            <w:tcW w:w="1697" w:type="dxa"/>
            <w:tcBorders>
              <w:top w:val="nil"/>
              <w:left w:val="nil"/>
              <w:bottom w:val="nil"/>
              <w:right w:val="nil"/>
            </w:tcBorders>
            <w:shd w:val="clear" w:color="auto" w:fill="auto"/>
            <w:noWrap/>
            <w:vAlign w:val="bottom"/>
            <w:hideMark/>
          </w:tcPr>
          <w:p w14:paraId="59DECBA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3237</w:t>
            </w:r>
          </w:p>
        </w:tc>
        <w:tc>
          <w:tcPr>
            <w:tcW w:w="8509" w:type="dxa"/>
            <w:tcBorders>
              <w:top w:val="nil"/>
              <w:left w:val="nil"/>
              <w:bottom w:val="nil"/>
              <w:right w:val="nil"/>
            </w:tcBorders>
            <w:shd w:val="clear" w:color="auto" w:fill="auto"/>
            <w:noWrap/>
            <w:vAlign w:val="bottom"/>
            <w:hideMark/>
          </w:tcPr>
          <w:p w14:paraId="53384998"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Intelektualne i osobne usluge                                                                       </w:t>
            </w:r>
          </w:p>
        </w:tc>
        <w:tc>
          <w:tcPr>
            <w:tcW w:w="1480" w:type="dxa"/>
            <w:tcBorders>
              <w:top w:val="nil"/>
              <w:left w:val="nil"/>
              <w:bottom w:val="nil"/>
              <w:right w:val="nil"/>
            </w:tcBorders>
            <w:shd w:val="clear" w:color="auto" w:fill="auto"/>
            <w:noWrap/>
            <w:vAlign w:val="bottom"/>
            <w:hideMark/>
          </w:tcPr>
          <w:p w14:paraId="316C2A54"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1DA0B7C0"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75,00</w:t>
            </w:r>
          </w:p>
        </w:tc>
        <w:tc>
          <w:tcPr>
            <w:tcW w:w="1400" w:type="dxa"/>
            <w:tcBorders>
              <w:top w:val="nil"/>
              <w:left w:val="nil"/>
              <w:bottom w:val="nil"/>
              <w:right w:val="nil"/>
            </w:tcBorders>
            <w:shd w:val="clear" w:color="auto" w:fill="auto"/>
            <w:noWrap/>
            <w:vAlign w:val="bottom"/>
            <w:hideMark/>
          </w:tcPr>
          <w:p w14:paraId="39B6156B"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75E390C" w14:textId="77777777" w:rsidTr="00A360DB">
        <w:trPr>
          <w:trHeight w:val="240"/>
        </w:trPr>
        <w:tc>
          <w:tcPr>
            <w:tcW w:w="1697" w:type="dxa"/>
            <w:tcBorders>
              <w:top w:val="nil"/>
              <w:left w:val="nil"/>
              <w:bottom w:val="nil"/>
              <w:right w:val="nil"/>
            </w:tcBorders>
            <w:shd w:val="clear" w:color="auto" w:fill="auto"/>
            <w:noWrap/>
            <w:vAlign w:val="bottom"/>
            <w:hideMark/>
          </w:tcPr>
          <w:p w14:paraId="281F5DF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3291</w:t>
            </w:r>
          </w:p>
        </w:tc>
        <w:tc>
          <w:tcPr>
            <w:tcW w:w="8509" w:type="dxa"/>
            <w:tcBorders>
              <w:top w:val="nil"/>
              <w:left w:val="nil"/>
              <w:bottom w:val="nil"/>
              <w:right w:val="nil"/>
            </w:tcBorders>
            <w:shd w:val="clear" w:color="auto" w:fill="auto"/>
            <w:noWrap/>
            <w:vAlign w:val="bottom"/>
            <w:hideMark/>
          </w:tcPr>
          <w:p w14:paraId="56651A8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Naknade za rad predstavničkih i izvršnih tijela, povjerenstava i slično                             </w:t>
            </w:r>
          </w:p>
        </w:tc>
        <w:tc>
          <w:tcPr>
            <w:tcW w:w="1480" w:type="dxa"/>
            <w:tcBorders>
              <w:top w:val="nil"/>
              <w:left w:val="nil"/>
              <w:bottom w:val="nil"/>
              <w:right w:val="nil"/>
            </w:tcBorders>
            <w:shd w:val="clear" w:color="auto" w:fill="auto"/>
            <w:noWrap/>
            <w:vAlign w:val="bottom"/>
            <w:hideMark/>
          </w:tcPr>
          <w:p w14:paraId="7FB8B883"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C8B6E40"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1.203,16</w:t>
            </w:r>
          </w:p>
        </w:tc>
        <w:tc>
          <w:tcPr>
            <w:tcW w:w="1400" w:type="dxa"/>
            <w:tcBorders>
              <w:top w:val="nil"/>
              <w:left w:val="nil"/>
              <w:bottom w:val="nil"/>
              <w:right w:val="nil"/>
            </w:tcBorders>
            <w:shd w:val="clear" w:color="auto" w:fill="auto"/>
            <w:noWrap/>
            <w:vAlign w:val="bottom"/>
            <w:hideMark/>
          </w:tcPr>
          <w:p w14:paraId="3C118669"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7E7A916" w14:textId="77777777" w:rsidTr="00A360DB">
        <w:trPr>
          <w:trHeight w:val="240"/>
        </w:trPr>
        <w:tc>
          <w:tcPr>
            <w:tcW w:w="1697" w:type="dxa"/>
            <w:tcBorders>
              <w:top w:val="nil"/>
              <w:left w:val="nil"/>
              <w:bottom w:val="nil"/>
              <w:right w:val="nil"/>
            </w:tcBorders>
            <w:shd w:val="clear" w:color="auto" w:fill="auto"/>
            <w:noWrap/>
            <w:vAlign w:val="bottom"/>
            <w:hideMark/>
          </w:tcPr>
          <w:p w14:paraId="44BF3F1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3293</w:t>
            </w:r>
          </w:p>
        </w:tc>
        <w:tc>
          <w:tcPr>
            <w:tcW w:w="8509" w:type="dxa"/>
            <w:tcBorders>
              <w:top w:val="nil"/>
              <w:left w:val="nil"/>
              <w:bottom w:val="nil"/>
              <w:right w:val="nil"/>
            </w:tcBorders>
            <w:shd w:val="clear" w:color="auto" w:fill="auto"/>
            <w:noWrap/>
            <w:vAlign w:val="bottom"/>
            <w:hideMark/>
          </w:tcPr>
          <w:p w14:paraId="77E495B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Reprezentacija                                                                                      </w:t>
            </w:r>
          </w:p>
        </w:tc>
        <w:tc>
          <w:tcPr>
            <w:tcW w:w="1480" w:type="dxa"/>
            <w:tcBorders>
              <w:top w:val="nil"/>
              <w:left w:val="nil"/>
              <w:bottom w:val="nil"/>
              <w:right w:val="nil"/>
            </w:tcBorders>
            <w:shd w:val="clear" w:color="auto" w:fill="auto"/>
            <w:noWrap/>
            <w:vAlign w:val="bottom"/>
            <w:hideMark/>
          </w:tcPr>
          <w:p w14:paraId="174FB1EC"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7695FB5"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536,56</w:t>
            </w:r>
          </w:p>
        </w:tc>
        <w:tc>
          <w:tcPr>
            <w:tcW w:w="1400" w:type="dxa"/>
            <w:tcBorders>
              <w:top w:val="nil"/>
              <w:left w:val="nil"/>
              <w:bottom w:val="nil"/>
              <w:right w:val="nil"/>
            </w:tcBorders>
            <w:shd w:val="clear" w:color="auto" w:fill="auto"/>
            <w:noWrap/>
            <w:vAlign w:val="bottom"/>
            <w:hideMark/>
          </w:tcPr>
          <w:p w14:paraId="50898CB4"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0D48858" w14:textId="77777777" w:rsidTr="00A360DB">
        <w:trPr>
          <w:trHeight w:val="240"/>
        </w:trPr>
        <w:tc>
          <w:tcPr>
            <w:tcW w:w="1697" w:type="dxa"/>
            <w:tcBorders>
              <w:top w:val="nil"/>
              <w:left w:val="nil"/>
              <w:bottom w:val="nil"/>
              <w:right w:val="nil"/>
            </w:tcBorders>
            <w:shd w:val="clear" w:color="auto" w:fill="auto"/>
            <w:noWrap/>
            <w:vAlign w:val="bottom"/>
            <w:hideMark/>
          </w:tcPr>
          <w:p w14:paraId="1D4E86B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3299</w:t>
            </w:r>
          </w:p>
        </w:tc>
        <w:tc>
          <w:tcPr>
            <w:tcW w:w="8509" w:type="dxa"/>
            <w:tcBorders>
              <w:top w:val="nil"/>
              <w:left w:val="nil"/>
              <w:bottom w:val="nil"/>
              <w:right w:val="nil"/>
            </w:tcBorders>
            <w:shd w:val="clear" w:color="auto" w:fill="auto"/>
            <w:noWrap/>
            <w:vAlign w:val="bottom"/>
            <w:hideMark/>
          </w:tcPr>
          <w:p w14:paraId="6892C62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Ostali nespomenuti rashodi poslovanja                                                               </w:t>
            </w:r>
          </w:p>
        </w:tc>
        <w:tc>
          <w:tcPr>
            <w:tcW w:w="1480" w:type="dxa"/>
            <w:tcBorders>
              <w:top w:val="nil"/>
              <w:left w:val="nil"/>
              <w:bottom w:val="nil"/>
              <w:right w:val="nil"/>
            </w:tcBorders>
            <w:shd w:val="clear" w:color="auto" w:fill="auto"/>
            <w:noWrap/>
            <w:vAlign w:val="bottom"/>
            <w:hideMark/>
          </w:tcPr>
          <w:p w14:paraId="61C90F20"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9561E9B"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50,00</w:t>
            </w:r>
          </w:p>
        </w:tc>
        <w:tc>
          <w:tcPr>
            <w:tcW w:w="1400" w:type="dxa"/>
            <w:tcBorders>
              <w:top w:val="nil"/>
              <w:left w:val="nil"/>
              <w:bottom w:val="nil"/>
              <w:right w:val="nil"/>
            </w:tcBorders>
            <w:shd w:val="clear" w:color="auto" w:fill="auto"/>
            <w:noWrap/>
            <w:vAlign w:val="bottom"/>
            <w:hideMark/>
          </w:tcPr>
          <w:p w14:paraId="77E1144B"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25B6DAA" w14:textId="77777777" w:rsidTr="00A360DB">
        <w:trPr>
          <w:trHeight w:val="240"/>
        </w:trPr>
        <w:tc>
          <w:tcPr>
            <w:tcW w:w="1697" w:type="dxa"/>
            <w:tcBorders>
              <w:top w:val="nil"/>
              <w:left w:val="nil"/>
              <w:bottom w:val="nil"/>
              <w:right w:val="nil"/>
            </w:tcBorders>
            <w:shd w:val="clear" w:color="auto" w:fill="auto"/>
            <w:noWrap/>
            <w:vAlign w:val="bottom"/>
            <w:hideMark/>
          </w:tcPr>
          <w:p w14:paraId="447F5EA0"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34</w:t>
            </w:r>
          </w:p>
        </w:tc>
        <w:tc>
          <w:tcPr>
            <w:tcW w:w="8509" w:type="dxa"/>
            <w:tcBorders>
              <w:top w:val="nil"/>
              <w:left w:val="nil"/>
              <w:bottom w:val="nil"/>
              <w:right w:val="nil"/>
            </w:tcBorders>
            <w:shd w:val="clear" w:color="auto" w:fill="auto"/>
            <w:noWrap/>
            <w:vAlign w:val="bottom"/>
            <w:hideMark/>
          </w:tcPr>
          <w:p w14:paraId="655E04FA"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Financijski rashodi                                                                                 </w:t>
            </w:r>
          </w:p>
        </w:tc>
        <w:tc>
          <w:tcPr>
            <w:tcW w:w="1480" w:type="dxa"/>
            <w:tcBorders>
              <w:top w:val="nil"/>
              <w:left w:val="nil"/>
              <w:bottom w:val="nil"/>
              <w:right w:val="nil"/>
            </w:tcBorders>
            <w:shd w:val="clear" w:color="auto" w:fill="auto"/>
            <w:noWrap/>
            <w:vAlign w:val="bottom"/>
            <w:hideMark/>
          </w:tcPr>
          <w:p w14:paraId="62F1D76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140,00</w:t>
            </w:r>
          </w:p>
        </w:tc>
        <w:tc>
          <w:tcPr>
            <w:tcW w:w="1380" w:type="dxa"/>
            <w:tcBorders>
              <w:top w:val="nil"/>
              <w:left w:val="nil"/>
              <w:bottom w:val="nil"/>
              <w:right w:val="nil"/>
            </w:tcBorders>
            <w:shd w:val="clear" w:color="auto" w:fill="auto"/>
            <w:noWrap/>
            <w:vAlign w:val="bottom"/>
            <w:hideMark/>
          </w:tcPr>
          <w:p w14:paraId="72E0F8B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137,42</w:t>
            </w:r>
          </w:p>
        </w:tc>
        <w:tc>
          <w:tcPr>
            <w:tcW w:w="1400" w:type="dxa"/>
            <w:tcBorders>
              <w:top w:val="nil"/>
              <w:left w:val="nil"/>
              <w:bottom w:val="nil"/>
              <w:right w:val="nil"/>
            </w:tcBorders>
            <w:shd w:val="clear" w:color="auto" w:fill="auto"/>
            <w:noWrap/>
            <w:vAlign w:val="bottom"/>
            <w:hideMark/>
          </w:tcPr>
          <w:p w14:paraId="3BB3233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98,16%</w:t>
            </w:r>
          </w:p>
        </w:tc>
      </w:tr>
      <w:tr w:rsidR="00A360DB" w:rsidRPr="00A360DB" w14:paraId="1DAD2234" w14:textId="77777777" w:rsidTr="00A360DB">
        <w:trPr>
          <w:trHeight w:val="240"/>
        </w:trPr>
        <w:tc>
          <w:tcPr>
            <w:tcW w:w="1697" w:type="dxa"/>
            <w:tcBorders>
              <w:top w:val="nil"/>
              <w:left w:val="nil"/>
              <w:bottom w:val="nil"/>
              <w:right w:val="nil"/>
            </w:tcBorders>
            <w:shd w:val="clear" w:color="auto" w:fill="auto"/>
            <w:noWrap/>
            <w:vAlign w:val="bottom"/>
            <w:hideMark/>
          </w:tcPr>
          <w:p w14:paraId="688B0DC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3431</w:t>
            </w:r>
          </w:p>
        </w:tc>
        <w:tc>
          <w:tcPr>
            <w:tcW w:w="8509" w:type="dxa"/>
            <w:tcBorders>
              <w:top w:val="nil"/>
              <w:left w:val="nil"/>
              <w:bottom w:val="nil"/>
              <w:right w:val="nil"/>
            </w:tcBorders>
            <w:shd w:val="clear" w:color="auto" w:fill="auto"/>
            <w:noWrap/>
            <w:vAlign w:val="bottom"/>
            <w:hideMark/>
          </w:tcPr>
          <w:p w14:paraId="399CE1F7"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Bankarske usluge i usluge platnog prometa                                                           </w:t>
            </w:r>
          </w:p>
        </w:tc>
        <w:tc>
          <w:tcPr>
            <w:tcW w:w="1480" w:type="dxa"/>
            <w:tcBorders>
              <w:top w:val="nil"/>
              <w:left w:val="nil"/>
              <w:bottom w:val="nil"/>
              <w:right w:val="nil"/>
            </w:tcBorders>
            <w:shd w:val="clear" w:color="auto" w:fill="auto"/>
            <w:noWrap/>
            <w:vAlign w:val="bottom"/>
            <w:hideMark/>
          </w:tcPr>
          <w:p w14:paraId="52958391"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CE52C6A"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137,42</w:t>
            </w:r>
          </w:p>
        </w:tc>
        <w:tc>
          <w:tcPr>
            <w:tcW w:w="1400" w:type="dxa"/>
            <w:tcBorders>
              <w:top w:val="nil"/>
              <w:left w:val="nil"/>
              <w:bottom w:val="nil"/>
              <w:right w:val="nil"/>
            </w:tcBorders>
            <w:shd w:val="clear" w:color="auto" w:fill="auto"/>
            <w:noWrap/>
            <w:vAlign w:val="bottom"/>
            <w:hideMark/>
          </w:tcPr>
          <w:p w14:paraId="0EE5B714"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4AE1BF2" w14:textId="77777777" w:rsidTr="00A360DB">
        <w:trPr>
          <w:trHeight w:val="240"/>
        </w:trPr>
        <w:tc>
          <w:tcPr>
            <w:tcW w:w="1697" w:type="dxa"/>
            <w:tcBorders>
              <w:top w:val="nil"/>
              <w:left w:val="nil"/>
              <w:bottom w:val="nil"/>
              <w:right w:val="nil"/>
            </w:tcBorders>
            <w:shd w:val="clear" w:color="auto" w:fill="auto"/>
            <w:noWrap/>
            <w:vAlign w:val="bottom"/>
            <w:hideMark/>
          </w:tcPr>
          <w:p w14:paraId="1605F79D"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38</w:t>
            </w:r>
          </w:p>
        </w:tc>
        <w:tc>
          <w:tcPr>
            <w:tcW w:w="8509" w:type="dxa"/>
            <w:tcBorders>
              <w:top w:val="nil"/>
              <w:left w:val="nil"/>
              <w:bottom w:val="nil"/>
              <w:right w:val="nil"/>
            </w:tcBorders>
            <w:shd w:val="clear" w:color="auto" w:fill="auto"/>
            <w:noWrap/>
            <w:vAlign w:val="bottom"/>
            <w:hideMark/>
          </w:tcPr>
          <w:p w14:paraId="7DF909E3"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Ostali rashodi                                                                                      </w:t>
            </w:r>
          </w:p>
        </w:tc>
        <w:tc>
          <w:tcPr>
            <w:tcW w:w="1480" w:type="dxa"/>
            <w:tcBorders>
              <w:top w:val="nil"/>
              <w:left w:val="nil"/>
              <w:bottom w:val="nil"/>
              <w:right w:val="nil"/>
            </w:tcBorders>
            <w:shd w:val="clear" w:color="auto" w:fill="auto"/>
            <w:noWrap/>
            <w:vAlign w:val="bottom"/>
            <w:hideMark/>
          </w:tcPr>
          <w:p w14:paraId="55FD511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315,00</w:t>
            </w:r>
          </w:p>
        </w:tc>
        <w:tc>
          <w:tcPr>
            <w:tcW w:w="1380" w:type="dxa"/>
            <w:tcBorders>
              <w:top w:val="nil"/>
              <w:left w:val="nil"/>
              <w:bottom w:val="nil"/>
              <w:right w:val="nil"/>
            </w:tcBorders>
            <w:shd w:val="clear" w:color="auto" w:fill="auto"/>
            <w:noWrap/>
            <w:vAlign w:val="bottom"/>
            <w:hideMark/>
          </w:tcPr>
          <w:p w14:paraId="721C8A2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611,75</w:t>
            </w:r>
          </w:p>
        </w:tc>
        <w:tc>
          <w:tcPr>
            <w:tcW w:w="1400" w:type="dxa"/>
            <w:tcBorders>
              <w:top w:val="nil"/>
              <w:left w:val="nil"/>
              <w:bottom w:val="nil"/>
              <w:right w:val="nil"/>
            </w:tcBorders>
            <w:shd w:val="clear" w:color="auto" w:fill="auto"/>
            <w:noWrap/>
            <w:vAlign w:val="bottom"/>
            <w:hideMark/>
          </w:tcPr>
          <w:p w14:paraId="4BEC560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194,21%</w:t>
            </w:r>
          </w:p>
        </w:tc>
      </w:tr>
      <w:tr w:rsidR="00A360DB" w:rsidRPr="00A360DB" w14:paraId="11053425" w14:textId="77777777" w:rsidTr="00A360DB">
        <w:trPr>
          <w:trHeight w:val="240"/>
        </w:trPr>
        <w:tc>
          <w:tcPr>
            <w:tcW w:w="1697" w:type="dxa"/>
            <w:tcBorders>
              <w:top w:val="nil"/>
              <w:left w:val="nil"/>
              <w:bottom w:val="nil"/>
              <w:right w:val="nil"/>
            </w:tcBorders>
            <w:shd w:val="clear" w:color="auto" w:fill="auto"/>
            <w:noWrap/>
            <w:vAlign w:val="bottom"/>
            <w:hideMark/>
          </w:tcPr>
          <w:p w14:paraId="6672E9F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3811</w:t>
            </w:r>
          </w:p>
        </w:tc>
        <w:tc>
          <w:tcPr>
            <w:tcW w:w="8509" w:type="dxa"/>
            <w:tcBorders>
              <w:top w:val="nil"/>
              <w:left w:val="nil"/>
              <w:bottom w:val="nil"/>
              <w:right w:val="nil"/>
            </w:tcBorders>
            <w:shd w:val="clear" w:color="auto" w:fill="auto"/>
            <w:noWrap/>
            <w:vAlign w:val="bottom"/>
            <w:hideMark/>
          </w:tcPr>
          <w:p w14:paraId="61871E9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Tekuće donacije u novcu                                                                             </w:t>
            </w:r>
          </w:p>
        </w:tc>
        <w:tc>
          <w:tcPr>
            <w:tcW w:w="1480" w:type="dxa"/>
            <w:tcBorders>
              <w:top w:val="nil"/>
              <w:left w:val="nil"/>
              <w:bottom w:val="nil"/>
              <w:right w:val="nil"/>
            </w:tcBorders>
            <w:shd w:val="clear" w:color="auto" w:fill="auto"/>
            <w:noWrap/>
            <w:vAlign w:val="bottom"/>
            <w:hideMark/>
          </w:tcPr>
          <w:p w14:paraId="17AC9F75"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546E0BDE"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611,75</w:t>
            </w:r>
          </w:p>
        </w:tc>
        <w:tc>
          <w:tcPr>
            <w:tcW w:w="1400" w:type="dxa"/>
            <w:tcBorders>
              <w:top w:val="nil"/>
              <w:left w:val="nil"/>
              <w:bottom w:val="nil"/>
              <w:right w:val="nil"/>
            </w:tcBorders>
            <w:shd w:val="clear" w:color="auto" w:fill="auto"/>
            <w:noWrap/>
            <w:vAlign w:val="bottom"/>
            <w:hideMark/>
          </w:tcPr>
          <w:p w14:paraId="1CCA1E9D"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F0C2D74" w14:textId="77777777" w:rsidTr="00A360DB">
        <w:trPr>
          <w:trHeight w:val="240"/>
        </w:trPr>
        <w:tc>
          <w:tcPr>
            <w:tcW w:w="1697" w:type="dxa"/>
            <w:tcBorders>
              <w:top w:val="nil"/>
              <w:left w:val="nil"/>
              <w:bottom w:val="nil"/>
              <w:right w:val="nil"/>
            </w:tcBorders>
            <w:shd w:val="clear" w:color="000000" w:fill="B4C6E7"/>
            <w:noWrap/>
            <w:vAlign w:val="bottom"/>
            <w:hideMark/>
          </w:tcPr>
          <w:p w14:paraId="0FAE3162"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A100203</w:t>
            </w:r>
          </w:p>
        </w:tc>
        <w:tc>
          <w:tcPr>
            <w:tcW w:w="8509" w:type="dxa"/>
            <w:tcBorders>
              <w:top w:val="nil"/>
              <w:left w:val="nil"/>
              <w:bottom w:val="nil"/>
              <w:right w:val="nil"/>
            </w:tcBorders>
            <w:shd w:val="clear" w:color="000000" w:fill="B4C6E7"/>
            <w:noWrap/>
            <w:vAlign w:val="bottom"/>
            <w:hideMark/>
          </w:tcPr>
          <w:p w14:paraId="28A92A1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Predstavnik češke nacionalne manjine</w:t>
            </w:r>
          </w:p>
        </w:tc>
        <w:tc>
          <w:tcPr>
            <w:tcW w:w="1480" w:type="dxa"/>
            <w:tcBorders>
              <w:top w:val="nil"/>
              <w:left w:val="nil"/>
              <w:bottom w:val="nil"/>
              <w:right w:val="nil"/>
            </w:tcBorders>
            <w:shd w:val="clear" w:color="000000" w:fill="B4C6E7"/>
            <w:noWrap/>
            <w:vAlign w:val="bottom"/>
            <w:hideMark/>
          </w:tcPr>
          <w:p w14:paraId="7CC04B4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320,00</w:t>
            </w:r>
          </w:p>
        </w:tc>
        <w:tc>
          <w:tcPr>
            <w:tcW w:w="1380" w:type="dxa"/>
            <w:tcBorders>
              <w:top w:val="nil"/>
              <w:left w:val="nil"/>
              <w:bottom w:val="nil"/>
              <w:right w:val="nil"/>
            </w:tcBorders>
            <w:shd w:val="clear" w:color="000000" w:fill="B4C6E7"/>
            <w:noWrap/>
            <w:vAlign w:val="bottom"/>
            <w:hideMark/>
          </w:tcPr>
          <w:p w14:paraId="7814F95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289,58</w:t>
            </w:r>
          </w:p>
        </w:tc>
        <w:tc>
          <w:tcPr>
            <w:tcW w:w="1400" w:type="dxa"/>
            <w:tcBorders>
              <w:top w:val="nil"/>
              <w:left w:val="nil"/>
              <w:bottom w:val="nil"/>
              <w:right w:val="nil"/>
            </w:tcBorders>
            <w:shd w:val="clear" w:color="000000" w:fill="B4C6E7"/>
            <w:noWrap/>
            <w:vAlign w:val="bottom"/>
            <w:hideMark/>
          </w:tcPr>
          <w:p w14:paraId="57ADBBD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90,49%</w:t>
            </w:r>
          </w:p>
        </w:tc>
      </w:tr>
      <w:tr w:rsidR="00A360DB" w:rsidRPr="00A360DB" w14:paraId="1FEDD6F0"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513888C4"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00E3A7F1"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320,00</w:t>
            </w:r>
          </w:p>
        </w:tc>
        <w:tc>
          <w:tcPr>
            <w:tcW w:w="1380" w:type="dxa"/>
            <w:tcBorders>
              <w:top w:val="nil"/>
              <w:left w:val="nil"/>
              <w:bottom w:val="nil"/>
              <w:right w:val="nil"/>
            </w:tcBorders>
            <w:shd w:val="clear" w:color="auto" w:fill="auto"/>
            <w:noWrap/>
            <w:vAlign w:val="bottom"/>
            <w:hideMark/>
          </w:tcPr>
          <w:p w14:paraId="38AE68C5"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289,58</w:t>
            </w:r>
          </w:p>
        </w:tc>
        <w:tc>
          <w:tcPr>
            <w:tcW w:w="1400" w:type="dxa"/>
            <w:tcBorders>
              <w:top w:val="nil"/>
              <w:left w:val="nil"/>
              <w:bottom w:val="nil"/>
              <w:right w:val="nil"/>
            </w:tcBorders>
            <w:shd w:val="clear" w:color="auto" w:fill="auto"/>
            <w:noWrap/>
            <w:vAlign w:val="bottom"/>
            <w:hideMark/>
          </w:tcPr>
          <w:p w14:paraId="15F62B75"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90,49%</w:t>
            </w:r>
          </w:p>
        </w:tc>
      </w:tr>
      <w:tr w:rsidR="00A360DB" w:rsidRPr="00A360DB" w14:paraId="68DA02B6"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25B67D8"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07AB74DB"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320,00</w:t>
            </w:r>
          </w:p>
        </w:tc>
        <w:tc>
          <w:tcPr>
            <w:tcW w:w="1380" w:type="dxa"/>
            <w:tcBorders>
              <w:top w:val="nil"/>
              <w:left w:val="nil"/>
              <w:bottom w:val="nil"/>
              <w:right w:val="nil"/>
            </w:tcBorders>
            <w:shd w:val="clear" w:color="auto" w:fill="auto"/>
            <w:noWrap/>
            <w:vAlign w:val="bottom"/>
            <w:hideMark/>
          </w:tcPr>
          <w:p w14:paraId="57AEAF8E"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289,58</w:t>
            </w:r>
          </w:p>
        </w:tc>
        <w:tc>
          <w:tcPr>
            <w:tcW w:w="1400" w:type="dxa"/>
            <w:tcBorders>
              <w:top w:val="nil"/>
              <w:left w:val="nil"/>
              <w:bottom w:val="nil"/>
              <w:right w:val="nil"/>
            </w:tcBorders>
            <w:shd w:val="clear" w:color="auto" w:fill="auto"/>
            <w:noWrap/>
            <w:vAlign w:val="bottom"/>
            <w:hideMark/>
          </w:tcPr>
          <w:p w14:paraId="6391BBAF"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90,49%</w:t>
            </w:r>
          </w:p>
        </w:tc>
      </w:tr>
      <w:tr w:rsidR="00A360DB" w:rsidRPr="00A360DB" w14:paraId="3078655E" w14:textId="77777777" w:rsidTr="00A360DB">
        <w:trPr>
          <w:trHeight w:val="240"/>
        </w:trPr>
        <w:tc>
          <w:tcPr>
            <w:tcW w:w="1697" w:type="dxa"/>
            <w:tcBorders>
              <w:top w:val="nil"/>
              <w:left w:val="nil"/>
              <w:bottom w:val="nil"/>
              <w:right w:val="nil"/>
            </w:tcBorders>
            <w:shd w:val="clear" w:color="auto" w:fill="auto"/>
            <w:noWrap/>
            <w:vAlign w:val="bottom"/>
            <w:hideMark/>
          </w:tcPr>
          <w:p w14:paraId="0EA6EDAA"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34F85BAA"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36E1587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270,00</w:t>
            </w:r>
          </w:p>
        </w:tc>
        <w:tc>
          <w:tcPr>
            <w:tcW w:w="1380" w:type="dxa"/>
            <w:tcBorders>
              <w:top w:val="nil"/>
              <w:left w:val="nil"/>
              <w:bottom w:val="nil"/>
              <w:right w:val="nil"/>
            </w:tcBorders>
            <w:shd w:val="clear" w:color="auto" w:fill="auto"/>
            <w:noWrap/>
            <w:vAlign w:val="bottom"/>
            <w:hideMark/>
          </w:tcPr>
          <w:p w14:paraId="7E0C4AB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268,39</w:t>
            </w:r>
          </w:p>
        </w:tc>
        <w:tc>
          <w:tcPr>
            <w:tcW w:w="1400" w:type="dxa"/>
            <w:tcBorders>
              <w:top w:val="nil"/>
              <w:left w:val="nil"/>
              <w:bottom w:val="nil"/>
              <w:right w:val="nil"/>
            </w:tcBorders>
            <w:shd w:val="clear" w:color="auto" w:fill="auto"/>
            <w:noWrap/>
            <w:vAlign w:val="bottom"/>
            <w:hideMark/>
          </w:tcPr>
          <w:p w14:paraId="389B14C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99,40%</w:t>
            </w:r>
          </w:p>
        </w:tc>
      </w:tr>
      <w:tr w:rsidR="00A360DB" w:rsidRPr="00A360DB" w14:paraId="1A4CDD62" w14:textId="77777777" w:rsidTr="00A360DB">
        <w:trPr>
          <w:trHeight w:val="240"/>
        </w:trPr>
        <w:tc>
          <w:tcPr>
            <w:tcW w:w="1697" w:type="dxa"/>
            <w:tcBorders>
              <w:top w:val="nil"/>
              <w:left w:val="nil"/>
              <w:bottom w:val="nil"/>
              <w:right w:val="nil"/>
            </w:tcBorders>
            <w:shd w:val="clear" w:color="auto" w:fill="auto"/>
            <w:noWrap/>
            <w:vAlign w:val="bottom"/>
            <w:hideMark/>
          </w:tcPr>
          <w:p w14:paraId="15D5898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3223</w:t>
            </w:r>
          </w:p>
        </w:tc>
        <w:tc>
          <w:tcPr>
            <w:tcW w:w="8509" w:type="dxa"/>
            <w:tcBorders>
              <w:top w:val="nil"/>
              <w:left w:val="nil"/>
              <w:bottom w:val="nil"/>
              <w:right w:val="nil"/>
            </w:tcBorders>
            <w:shd w:val="clear" w:color="auto" w:fill="auto"/>
            <w:noWrap/>
            <w:vAlign w:val="bottom"/>
            <w:hideMark/>
          </w:tcPr>
          <w:p w14:paraId="3C0A241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Energija                                                                                            </w:t>
            </w:r>
          </w:p>
        </w:tc>
        <w:tc>
          <w:tcPr>
            <w:tcW w:w="1480" w:type="dxa"/>
            <w:tcBorders>
              <w:top w:val="nil"/>
              <w:left w:val="nil"/>
              <w:bottom w:val="nil"/>
              <w:right w:val="nil"/>
            </w:tcBorders>
            <w:shd w:val="clear" w:color="auto" w:fill="auto"/>
            <w:noWrap/>
            <w:vAlign w:val="bottom"/>
            <w:hideMark/>
          </w:tcPr>
          <w:p w14:paraId="6C1644BD"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2D57F914"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60,78</w:t>
            </w:r>
          </w:p>
        </w:tc>
        <w:tc>
          <w:tcPr>
            <w:tcW w:w="1400" w:type="dxa"/>
            <w:tcBorders>
              <w:top w:val="nil"/>
              <w:left w:val="nil"/>
              <w:bottom w:val="nil"/>
              <w:right w:val="nil"/>
            </w:tcBorders>
            <w:shd w:val="clear" w:color="auto" w:fill="auto"/>
            <w:noWrap/>
            <w:vAlign w:val="bottom"/>
            <w:hideMark/>
          </w:tcPr>
          <w:p w14:paraId="22FB35D4"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26510F89" w14:textId="77777777" w:rsidTr="00A360DB">
        <w:trPr>
          <w:trHeight w:val="240"/>
        </w:trPr>
        <w:tc>
          <w:tcPr>
            <w:tcW w:w="1697" w:type="dxa"/>
            <w:tcBorders>
              <w:top w:val="nil"/>
              <w:left w:val="nil"/>
              <w:bottom w:val="nil"/>
              <w:right w:val="nil"/>
            </w:tcBorders>
            <w:shd w:val="clear" w:color="auto" w:fill="auto"/>
            <w:noWrap/>
            <w:vAlign w:val="bottom"/>
            <w:hideMark/>
          </w:tcPr>
          <w:p w14:paraId="11D5CA8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3231</w:t>
            </w:r>
          </w:p>
        </w:tc>
        <w:tc>
          <w:tcPr>
            <w:tcW w:w="8509" w:type="dxa"/>
            <w:tcBorders>
              <w:top w:val="nil"/>
              <w:left w:val="nil"/>
              <w:bottom w:val="nil"/>
              <w:right w:val="nil"/>
            </w:tcBorders>
            <w:shd w:val="clear" w:color="auto" w:fill="auto"/>
            <w:noWrap/>
            <w:vAlign w:val="bottom"/>
            <w:hideMark/>
          </w:tcPr>
          <w:p w14:paraId="51C6586E"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Usluge telefona, pošte i prijevoza                                                                  </w:t>
            </w:r>
          </w:p>
        </w:tc>
        <w:tc>
          <w:tcPr>
            <w:tcW w:w="1480" w:type="dxa"/>
            <w:tcBorders>
              <w:top w:val="nil"/>
              <w:left w:val="nil"/>
              <w:bottom w:val="nil"/>
              <w:right w:val="nil"/>
            </w:tcBorders>
            <w:shd w:val="clear" w:color="auto" w:fill="auto"/>
            <w:noWrap/>
            <w:vAlign w:val="bottom"/>
            <w:hideMark/>
          </w:tcPr>
          <w:p w14:paraId="413B5C30"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1D4C6A51"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50,00</w:t>
            </w:r>
          </w:p>
        </w:tc>
        <w:tc>
          <w:tcPr>
            <w:tcW w:w="1400" w:type="dxa"/>
            <w:tcBorders>
              <w:top w:val="nil"/>
              <w:left w:val="nil"/>
              <w:bottom w:val="nil"/>
              <w:right w:val="nil"/>
            </w:tcBorders>
            <w:shd w:val="clear" w:color="auto" w:fill="auto"/>
            <w:noWrap/>
            <w:vAlign w:val="bottom"/>
            <w:hideMark/>
          </w:tcPr>
          <w:p w14:paraId="179766D7"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9AD650D" w14:textId="77777777" w:rsidTr="00A360DB">
        <w:trPr>
          <w:trHeight w:val="240"/>
        </w:trPr>
        <w:tc>
          <w:tcPr>
            <w:tcW w:w="1697" w:type="dxa"/>
            <w:tcBorders>
              <w:top w:val="nil"/>
              <w:left w:val="nil"/>
              <w:bottom w:val="nil"/>
              <w:right w:val="nil"/>
            </w:tcBorders>
            <w:shd w:val="clear" w:color="auto" w:fill="auto"/>
            <w:noWrap/>
            <w:vAlign w:val="bottom"/>
            <w:hideMark/>
          </w:tcPr>
          <w:p w14:paraId="0ECDD4E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3291</w:t>
            </w:r>
          </w:p>
        </w:tc>
        <w:tc>
          <w:tcPr>
            <w:tcW w:w="8509" w:type="dxa"/>
            <w:tcBorders>
              <w:top w:val="nil"/>
              <w:left w:val="nil"/>
              <w:bottom w:val="nil"/>
              <w:right w:val="nil"/>
            </w:tcBorders>
            <w:shd w:val="clear" w:color="auto" w:fill="auto"/>
            <w:noWrap/>
            <w:vAlign w:val="bottom"/>
            <w:hideMark/>
          </w:tcPr>
          <w:p w14:paraId="096DB5D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Naknade za rad predstavničkih i izvršnih tijela, povjerenstava i slično                             </w:t>
            </w:r>
          </w:p>
        </w:tc>
        <w:tc>
          <w:tcPr>
            <w:tcW w:w="1480" w:type="dxa"/>
            <w:tcBorders>
              <w:top w:val="nil"/>
              <w:left w:val="nil"/>
              <w:bottom w:val="nil"/>
              <w:right w:val="nil"/>
            </w:tcBorders>
            <w:shd w:val="clear" w:color="auto" w:fill="auto"/>
            <w:noWrap/>
            <w:vAlign w:val="bottom"/>
            <w:hideMark/>
          </w:tcPr>
          <w:p w14:paraId="50E54EEC"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8118376"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157,61</w:t>
            </w:r>
          </w:p>
        </w:tc>
        <w:tc>
          <w:tcPr>
            <w:tcW w:w="1400" w:type="dxa"/>
            <w:tcBorders>
              <w:top w:val="nil"/>
              <w:left w:val="nil"/>
              <w:bottom w:val="nil"/>
              <w:right w:val="nil"/>
            </w:tcBorders>
            <w:shd w:val="clear" w:color="auto" w:fill="auto"/>
            <w:noWrap/>
            <w:vAlign w:val="bottom"/>
            <w:hideMark/>
          </w:tcPr>
          <w:p w14:paraId="22ED0389"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3477EB1" w14:textId="77777777" w:rsidTr="00A360DB">
        <w:trPr>
          <w:trHeight w:val="240"/>
        </w:trPr>
        <w:tc>
          <w:tcPr>
            <w:tcW w:w="1697" w:type="dxa"/>
            <w:tcBorders>
              <w:top w:val="nil"/>
              <w:left w:val="nil"/>
              <w:bottom w:val="nil"/>
              <w:right w:val="nil"/>
            </w:tcBorders>
            <w:shd w:val="clear" w:color="auto" w:fill="auto"/>
            <w:noWrap/>
            <w:vAlign w:val="bottom"/>
            <w:hideMark/>
          </w:tcPr>
          <w:p w14:paraId="0C0A8C1A"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34</w:t>
            </w:r>
          </w:p>
        </w:tc>
        <w:tc>
          <w:tcPr>
            <w:tcW w:w="8509" w:type="dxa"/>
            <w:tcBorders>
              <w:top w:val="nil"/>
              <w:left w:val="nil"/>
              <w:bottom w:val="nil"/>
              <w:right w:val="nil"/>
            </w:tcBorders>
            <w:shd w:val="clear" w:color="auto" w:fill="auto"/>
            <w:noWrap/>
            <w:vAlign w:val="bottom"/>
            <w:hideMark/>
          </w:tcPr>
          <w:p w14:paraId="0BAD75F9"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Financijski rashodi                                                                                 </w:t>
            </w:r>
          </w:p>
        </w:tc>
        <w:tc>
          <w:tcPr>
            <w:tcW w:w="1480" w:type="dxa"/>
            <w:tcBorders>
              <w:top w:val="nil"/>
              <w:left w:val="nil"/>
              <w:bottom w:val="nil"/>
              <w:right w:val="nil"/>
            </w:tcBorders>
            <w:shd w:val="clear" w:color="auto" w:fill="auto"/>
            <w:noWrap/>
            <w:vAlign w:val="bottom"/>
            <w:hideMark/>
          </w:tcPr>
          <w:p w14:paraId="1893919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50,00</w:t>
            </w:r>
          </w:p>
        </w:tc>
        <w:tc>
          <w:tcPr>
            <w:tcW w:w="1380" w:type="dxa"/>
            <w:tcBorders>
              <w:top w:val="nil"/>
              <w:left w:val="nil"/>
              <w:bottom w:val="nil"/>
              <w:right w:val="nil"/>
            </w:tcBorders>
            <w:shd w:val="clear" w:color="auto" w:fill="auto"/>
            <w:noWrap/>
            <w:vAlign w:val="bottom"/>
            <w:hideMark/>
          </w:tcPr>
          <w:p w14:paraId="704560A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21,19</w:t>
            </w:r>
          </w:p>
        </w:tc>
        <w:tc>
          <w:tcPr>
            <w:tcW w:w="1400" w:type="dxa"/>
            <w:tcBorders>
              <w:top w:val="nil"/>
              <w:left w:val="nil"/>
              <w:bottom w:val="nil"/>
              <w:right w:val="nil"/>
            </w:tcBorders>
            <w:shd w:val="clear" w:color="auto" w:fill="auto"/>
            <w:noWrap/>
            <w:vAlign w:val="bottom"/>
            <w:hideMark/>
          </w:tcPr>
          <w:p w14:paraId="3099470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42,38%</w:t>
            </w:r>
          </w:p>
        </w:tc>
      </w:tr>
      <w:tr w:rsidR="00A360DB" w:rsidRPr="00A360DB" w14:paraId="7C60D046" w14:textId="77777777" w:rsidTr="00A360DB">
        <w:trPr>
          <w:trHeight w:val="240"/>
        </w:trPr>
        <w:tc>
          <w:tcPr>
            <w:tcW w:w="1697" w:type="dxa"/>
            <w:tcBorders>
              <w:top w:val="nil"/>
              <w:left w:val="nil"/>
              <w:bottom w:val="nil"/>
              <w:right w:val="nil"/>
            </w:tcBorders>
            <w:shd w:val="clear" w:color="auto" w:fill="auto"/>
            <w:noWrap/>
            <w:vAlign w:val="bottom"/>
            <w:hideMark/>
          </w:tcPr>
          <w:p w14:paraId="68D3EBE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3431</w:t>
            </w:r>
          </w:p>
        </w:tc>
        <w:tc>
          <w:tcPr>
            <w:tcW w:w="8509" w:type="dxa"/>
            <w:tcBorders>
              <w:top w:val="nil"/>
              <w:left w:val="nil"/>
              <w:bottom w:val="nil"/>
              <w:right w:val="nil"/>
            </w:tcBorders>
            <w:shd w:val="clear" w:color="auto" w:fill="auto"/>
            <w:noWrap/>
            <w:vAlign w:val="bottom"/>
            <w:hideMark/>
          </w:tcPr>
          <w:p w14:paraId="250E893E"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Bankarske usluge i usluge platnog prometa                                                           </w:t>
            </w:r>
          </w:p>
        </w:tc>
        <w:tc>
          <w:tcPr>
            <w:tcW w:w="1480" w:type="dxa"/>
            <w:tcBorders>
              <w:top w:val="nil"/>
              <w:left w:val="nil"/>
              <w:bottom w:val="nil"/>
              <w:right w:val="nil"/>
            </w:tcBorders>
            <w:shd w:val="clear" w:color="auto" w:fill="auto"/>
            <w:noWrap/>
            <w:vAlign w:val="bottom"/>
            <w:hideMark/>
          </w:tcPr>
          <w:p w14:paraId="39B3C519"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09D250D"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21,19</w:t>
            </w:r>
          </w:p>
        </w:tc>
        <w:tc>
          <w:tcPr>
            <w:tcW w:w="1400" w:type="dxa"/>
            <w:tcBorders>
              <w:top w:val="nil"/>
              <w:left w:val="nil"/>
              <w:bottom w:val="nil"/>
              <w:right w:val="nil"/>
            </w:tcBorders>
            <w:shd w:val="clear" w:color="auto" w:fill="auto"/>
            <w:noWrap/>
            <w:vAlign w:val="bottom"/>
            <w:hideMark/>
          </w:tcPr>
          <w:p w14:paraId="67A33CCF"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2A57C05C" w14:textId="77777777" w:rsidTr="00A360DB">
        <w:trPr>
          <w:trHeight w:val="240"/>
        </w:trPr>
        <w:tc>
          <w:tcPr>
            <w:tcW w:w="1697" w:type="dxa"/>
            <w:tcBorders>
              <w:top w:val="nil"/>
              <w:left w:val="nil"/>
              <w:bottom w:val="nil"/>
              <w:right w:val="nil"/>
            </w:tcBorders>
            <w:shd w:val="clear" w:color="000000" w:fill="B4C6E7"/>
            <w:noWrap/>
            <w:vAlign w:val="bottom"/>
            <w:hideMark/>
          </w:tcPr>
          <w:p w14:paraId="29231008"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A100207</w:t>
            </w:r>
          </w:p>
        </w:tc>
        <w:tc>
          <w:tcPr>
            <w:tcW w:w="8509" w:type="dxa"/>
            <w:tcBorders>
              <w:top w:val="nil"/>
              <w:left w:val="nil"/>
              <w:bottom w:val="nil"/>
              <w:right w:val="nil"/>
            </w:tcBorders>
            <w:shd w:val="clear" w:color="000000" w:fill="B4C6E7"/>
            <w:noWrap/>
            <w:vAlign w:val="bottom"/>
            <w:hideMark/>
          </w:tcPr>
          <w:p w14:paraId="412ACD7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Predsjednički izbori</w:t>
            </w:r>
          </w:p>
        </w:tc>
        <w:tc>
          <w:tcPr>
            <w:tcW w:w="1480" w:type="dxa"/>
            <w:tcBorders>
              <w:top w:val="nil"/>
              <w:left w:val="nil"/>
              <w:bottom w:val="nil"/>
              <w:right w:val="nil"/>
            </w:tcBorders>
            <w:shd w:val="clear" w:color="000000" w:fill="B4C6E7"/>
            <w:noWrap/>
            <w:vAlign w:val="bottom"/>
            <w:hideMark/>
          </w:tcPr>
          <w:p w14:paraId="2218F77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30.000,00</w:t>
            </w:r>
          </w:p>
        </w:tc>
        <w:tc>
          <w:tcPr>
            <w:tcW w:w="1380" w:type="dxa"/>
            <w:tcBorders>
              <w:top w:val="nil"/>
              <w:left w:val="nil"/>
              <w:bottom w:val="nil"/>
              <w:right w:val="nil"/>
            </w:tcBorders>
            <w:shd w:val="clear" w:color="000000" w:fill="B4C6E7"/>
            <w:noWrap/>
            <w:vAlign w:val="bottom"/>
            <w:hideMark/>
          </w:tcPr>
          <w:p w14:paraId="32D9802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c>
          <w:tcPr>
            <w:tcW w:w="1400" w:type="dxa"/>
            <w:tcBorders>
              <w:top w:val="nil"/>
              <w:left w:val="nil"/>
              <w:bottom w:val="nil"/>
              <w:right w:val="nil"/>
            </w:tcBorders>
            <w:shd w:val="clear" w:color="000000" w:fill="B4C6E7"/>
            <w:noWrap/>
            <w:vAlign w:val="bottom"/>
            <w:hideMark/>
          </w:tcPr>
          <w:p w14:paraId="5D15D9F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r>
      <w:tr w:rsidR="00A360DB" w:rsidRPr="00A360DB" w14:paraId="726B94F3"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37B44EB"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5. Pomoći</w:t>
            </w:r>
          </w:p>
        </w:tc>
        <w:tc>
          <w:tcPr>
            <w:tcW w:w="1480" w:type="dxa"/>
            <w:tcBorders>
              <w:top w:val="nil"/>
              <w:left w:val="nil"/>
              <w:bottom w:val="nil"/>
              <w:right w:val="nil"/>
            </w:tcBorders>
            <w:shd w:val="clear" w:color="auto" w:fill="auto"/>
            <w:noWrap/>
            <w:vAlign w:val="bottom"/>
            <w:hideMark/>
          </w:tcPr>
          <w:p w14:paraId="2B0FA76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30.000,00</w:t>
            </w:r>
          </w:p>
        </w:tc>
        <w:tc>
          <w:tcPr>
            <w:tcW w:w="1380" w:type="dxa"/>
            <w:tcBorders>
              <w:top w:val="nil"/>
              <w:left w:val="nil"/>
              <w:bottom w:val="nil"/>
              <w:right w:val="nil"/>
            </w:tcBorders>
            <w:shd w:val="clear" w:color="auto" w:fill="auto"/>
            <w:noWrap/>
            <w:vAlign w:val="bottom"/>
            <w:hideMark/>
          </w:tcPr>
          <w:p w14:paraId="12956DC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0,00</w:t>
            </w:r>
          </w:p>
        </w:tc>
        <w:tc>
          <w:tcPr>
            <w:tcW w:w="1400" w:type="dxa"/>
            <w:tcBorders>
              <w:top w:val="nil"/>
              <w:left w:val="nil"/>
              <w:bottom w:val="nil"/>
              <w:right w:val="nil"/>
            </w:tcBorders>
            <w:shd w:val="clear" w:color="auto" w:fill="auto"/>
            <w:noWrap/>
            <w:vAlign w:val="bottom"/>
            <w:hideMark/>
          </w:tcPr>
          <w:p w14:paraId="09A0A1CB"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0,00%</w:t>
            </w:r>
          </w:p>
        </w:tc>
      </w:tr>
      <w:tr w:rsidR="00A360DB" w:rsidRPr="00A360DB" w14:paraId="0E007385"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243E34ED"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5.2. Državni proračun</w:t>
            </w:r>
          </w:p>
        </w:tc>
        <w:tc>
          <w:tcPr>
            <w:tcW w:w="1480" w:type="dxa"/>
            <w:tcBorders>
              <w:top w:val="nil"/>
              <w:left w:val="nil"/>
              <w:bottom w:val="nil"/>
              <w:right w:val="nil"/>
            </w:tcBorders>
            <w:shd w:val="clear" w:color="auto" w:fill="auto"/>
            <w:noWrap/>
            <w:vAlign w:val="bottom"/>
            <w:hideMark/>
          </w:tcPr>
          <w:p w14:paraId="01812B50"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30.000,00</w:t>
            </w:r>
          </w:p>
        </w:tc>
        <w:tc>
          <w:tcPr>
            <w:tcW w:w="1380" w:type="dxa"/>
            <w:tcBorders>
              <w:top w:val="nil"/>
              <w:left w:val="nil"/>
              <w:bottom w:val="nil"/>
              <w:right w:val="nil"/>
            </w:tcBorders>
            <w:shd w:val="clear" w:color="auto" w:fill="auto"/>
            <w:noWrap/>
            <w:vAlign w:val="bottom"/>
            <w:hideMark/>
          </w:tcPr>
          <w:p w14:paraId="53674CEA"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0,00</w:t>
            </w:r>
          </w:p>
        </w:tc>
        <w:tc>
          <w:tcPr>
            <w:tcW w:w="1400" w:type="dxa"/>
            <w:tcBorders>
              <w:top w:val="nil"/>
              <w:left w:val="nil"/>
              <w:bottom w:val="nil"/>
              <w:right w:val="nil"/>
            </w:tcBorders>
            <w:shd w:val="clear" w:color="auto" w:fill="auto"/>
            <w:noWrap/>
            <w:vAlign w:val="bottom"/>
            <w:hideMark/>
          </w:tcPr>
          <w:p w14:paraId="3CFE975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0,00%</w:t>
            </w:r>
          </w:p>
        </w:tc>
      </w:tr>
      <w:tr w:rsidR="00A360DB" w:rsidRPr="00A360DB" w14:paraId="24CDA6EC" w14:textId="77777777" w:rsidTr="00A360DB">
        <w:trPr>
          <w:trHeight w:val="240"/>
        </w:trPr>
        <w:tc>
          <w:tcPr>
            <w:tcW w:w="1697" w:type="dxa"/>
            <w:tcBorders>
              <w:top w:val="nil"/>
              <w:left w:val="nil"/>
              <w:bottom w:val="nil"/>
              <w:right w:val="nil"/>
            </w:tcBorders>
            <w:shd w:val="clear" w:color="auto" w:fill="auto"/>
            <w:noWrap/>
            <w:vAlign w:val="bottom"/>
            <w:hideMark/>
          </w:tcPr>
          <w:p w14:paraId="425C6E69"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lastRenderedPageBreak/>
              <w:t>32</w:t>
            </w:r>
          </w:p>
        </w:tc>
        <w:tc>
          <w:tcPr>
            <w:tcW w:w="8509" w:type="dxa"/>
            <w:tcBorders>
              <w:top w:val="nil"/>
              <w:left w:val="nil"/>
              <w:bottom w:val="nil"/>
              <w:right w:val="nil"/>
            </w:tcBorders>
            <w:shd w:val="clear" w:color="auto" w:fill="auto"/>
            <w:noWrap/>
            <w:vAlign w:val="bottom"/>
            <w:hideMark/>
          </w:tcPr>
          <w:p w14:paraId="6F049BB7"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1ED6B91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30.000,00</w:t>
            </w:r>
          </w:p>
        </w:tc>
        <w:tc>
          <w:tcPr>
            <w:tcW w:w="1380" w:type="dxa"/>
            <w:tcBorders>
              <w:top w:val="nil"/>
              <w:left w:val="nil"/>
              <w:bottom w:val="nil"/>
              <w:right w:val="nil"/>
            </w:tcBorders>
            <w:shd w:val="clear" w:color="auto" w:fill="auto"/>
            <w:noWrap/>
            <w:vAlign w:val="bottom"/>
            <w:hideMark/>
          </w:tcPr>
          <w:p w14:paraId="2E865EC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c>
          <w:tcPr>
            <w:tcW w:w="1400" w:type="dxa"/>
            <w:tcBorders>
              <w:top w:val="nil"/>
              <w:left w:val="nil"/>
              <w:bottom w:val="nil"/>
              <w:right w:val="nil"/>
            </w:tcBorders>
            <w:shd w:val="clear" w:color="auto" w:fill="auto"/>
            <w:noWrap/>
            <w:vAlign w:val="bottom"/>
            <w:hideMark/>
          </w:tcPr>
          <w:p w14:paraId="73EEA21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r>
      <w:tr w:rsidR="00A360DB" w:rsidRPr="00A360DB" w14:paraId="509B78AA" w14:textId="77777777" w:rsidTr="00A360DB">
        <w:trPr>
          <w:trHeight w:val="240"/>
        </w:trPr>
        <w:tc>
          <w:tcPr>
            <w:tcW w:w="1697" w:type="dxa"/>
            <w:tcBorders>
              <w:top w:val="nil"/>
              <w:left w:val="nil"/>
              <w:bottom w:val="nil"/>
              <w:right w:val="nil"/>
            </w:tcBorders>
            <w:shd w:val="clear" w:color="000000" w:fill="B4C6E7"/>
            <w:noWrap/>
            <w:vAlign w:val="bottom"/>
            <w:hideMark/>
          </w:tcPr>
          <w:p w14:paraId="00897FBC"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A100208</w:t>
            </w:r>
          </w:p>
        </w:tc>
        <w:tc>
          <w:tcPr>
            <w:tcW w:w="8509" w:type="dxa"/>
            <w:tcBorders>
              <w:top w:val="nil"/>
              <w:left w:val="nil"/>
              <w:bottom w:val="nil"/>
              <w:right w:val="nil"/>
            </w:tcBorders>
            <w:shd w:val="clear" w:color="000000" w:fill="B4C6E7"/>
            <w:noWrap/>
            <w:vAlign w:val="bottom"/>
            <w:hideMark/>
          </w:tcPr>
          <w:p w14:paraId="35F5F42A"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Savjet mladih Grada Garešnice</w:t>
            </w:r>
          </w:p>
        </w:tc>
        <w:tc>
          <w:tcPr>
            <w:tcW w:w="1480" w:type="dxa"/>
            <w:tcBorders>
              <w:top w:val="nil"/>
              <w:left w:val="nil"/>
              <w:bottom w:val="nil"/>
              <w:right w:val="nil"/>
            </w:tcBorders>
            <w:shd w:val="clear" w:color="000000" w:fill="B4C6E7"/>
            <w:noWrap/>
            <w:vAlign w:val="bottom"/>
            <w:hideMark/>
          </w:tcPr>
          <w:p w14:paraId="37A4B0D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500,00</w:t>
            </w:r>
          </w:p>
        </w:tc>
        <w:tc>
          <w:tcPr>
            <w:tcW w:w="1380" w:type="dxa"/>
            <w:tcBorders>
              <w:top w:val="nil"/>
              <w:left w:val="nil"/>
              <w:bottom w:val="nil"/>
              <w:right w:val="nil"/>
            </w:tcBorders>
            <w:shd w:val="clear" w:color="000000" w:fill="B4C6E7"/>
            <w:noWrap/>
            <w:vAlign w:val="bottom"/>
            <w:hideMark/>
          </w:tcPr>
          <w:p w14:paraId="44204B1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c>
          <w:tcPr>
            <w:tcW w:w="1400" w:type="dxa"/>
            <w:tcBorders>
              <w:top w:val="nil"/>
              <w:left w:val="nil"/>
              <w:bottom w:val="nil"/>
              <w:right w:val="nil"/>
            </w:tcBorders>
            <w:shd w:val="clear" w:color="000000" w:fill="B4C6E7"/>
            <w:noWrap/>
            <w:vAlign w:val="bottom"/>
            <w:hideMark/>
          </w:tcPr>
          <w:p w14:paraId="25EEAE2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r>
      <w:tr w:rsidR="00A360DB" w:rsidRPr="00A360DB" w14:paraId="5C1D41C6"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770E693"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414A86EB"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500,00</w:t>
            </w:r>
          </w:p>
        </w:tc>
        <w:tc>
          <w:tcPr>
            <w:tcW w:w="1380" w:type="dxa"/>
            <w:tcBorders>
              <w:top w:val="nil"/>
              <w:left w:val="nil"/>
              <w:bottom w:val="nil"/>
              <w:right w:val="nil"/>
            </w:tcBorders>
            <w:shd w:val="clear" w:color="auto" w:fill="auto"/>
            <w:noWrap/>
            <w:vAlign w:val="bottom"/>
            <w:hideMark/>
          </w:tcPr>
          <w:p w14:paraId="6326C667"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0,00</w:t>
            </w:r>
          </w:p>
        </w:tc>
        <w:tc>
          <w:tcPr>
            <w:tcW w:w="1400" w:type="dxa"/>
            <w:tcBorders>
              <w:top w:val="nil"/>
              <w:left w:val="nil"/>
              <w:bottom w:val="nil"/>
              <w:right w:val="nil"/>
            </w:tcBorders>
            <w:shd w:val="clear" w:color="auto" w:fill="auto"/>
            <w:noWrap/>
            <w:vAlign w:val="bottom"/>
            <w:hideMark/>
          </w:tcPr>
          <w:p w14:paraId="61963FDF"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0,00%</w:t>
            </w:r>
          </w:p>
        </w:tc>
      </w:tr>
      <w:tr w:rsidR="00A360DB" w:rsidRPr="00A360DB" w14:paraId="58005F87"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9713B1E"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37F5E73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500,00</w:t>
            </w:r>
          </w:p>
        </w:tc>
        <w:tc>
          <w:tcPr>
            <w:tcW w:w="1380" w:type="dxa"/>
            <w:tcBorders>
              <w:top w:val="nil"/>
              <w:left w:val="nil"/>
              <w:bottom w:val="nil"/>
              <w:right w:val="nil"/>
            </w:tcBorders>
            <w:shd w:val="clear" w:color="auto" w:fill="auto"/>
            <w:noWrap/>
            <w:vAlign w:val="bottom"/>
            <w:hideMark/>
          </w:tcPr>
          <w:p w14:paraId="6FB3B903"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0,00</w:t>
            </w:r>
          </w:p>
        </w:tc>
        <w:tc>
          <w:tcPr>
            <w:tcW w:w="1400" w:type="dxa"/>
            <w:tcBorders>
              <w:top w:val="nil"/>
              <w:left w:val="nil"/>
              <w:bottom w:val="nil"/>
              <w:right w:val="nil"/>
            </w:tcBorders>
            <w:shd w:val="clear" w:color="auto" w:fill="auto"/>
            <w:noWrap/>
            <w:vAlign w:val="bottom"/>
            <w:hideMark/>
          </w:tcPr>
          <w:p w14:paraId="5CCDA358"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0,00%</w:t>
            </w:r>
          </w:p>
        </w:tc>
      </w:tr>
      <w:tr w:rsidR="00A360DB" w:rsidRPr="00A360DB" w14:paraId="37484BCA" w14:textId="77777777" w:rsidTr="00A360DB">
        <w:trPr>
          <w:trHeight w:val="240"/>
        </w:trPr>
        <w:tc>
          <w:tcPr>
            <w:tcW w:w="1697" w:type="dxa"/>
            <w:tcBorders>
              <w:top w:val="nil"/>
              <w:left w:val="nil"/>
              <w:bottom w:val="nil"/>
              <w:right w:val="nil"/>
            </w:tcBorders>
            <w:shd w:val="clear" w:color="auto" w:fill="auto"/>
            <w:noWrap/>
            <w:vAlign w:val="bottom"/>
            <w:hideMark/>
          </w:tcPr>
          <w:p w14:paraId="215DA1DA"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2016D993"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27A5AAC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500,00</w:t>
            </w:r>
          </w:p>
        </w:tc>
        <w:tc>
          <w:tcPr>
            <w:tcW w:w="1380" w:type="dxa"/>
            <w:tcBorders>
              <w:top w:val="nil"/>
              <w:left w:val="nil"/>
              <w:bottom w:val="nil"/>
              <w:right w:val="nil"/>
            </w:tcBorders>
            <w:shd w:val="clear" w:color="auto" w:fill="auto"/>
            <w:noWrap/>
            <w:vAlign w:val="bottom"/>
            <w:hideMark/>
          </w:tcPr>
          <w:p w14:paraId="19956DF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c>
          <w:tcPr>
            <w:tcW w:w="1400" w:type="dxa"/>
            <w:tcBorders>
              <w:top w:val="nil"/>
              <w:left w:val="nil"/>
              <w:bottom w:val="nil"/>
              <w:right w:val="nil"/>
            </w:tcBorders>
            <w:shd w:val="clear" w:color="auto" w:fill="auto"/>
            <w:noWrap/>
            <w:vAlign w:val="bottom"/>
            <w:hideMark/>
          </w:tcPr>
          <w:p w14:paraId="14A9204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r>
      <w:tr w:rsidR="00A360DB" w:rsidRPr="00A360DB" w14:paraId="54563C7D" w14:textId="77777777" w:rsidTr="00A360DB">
        <w:trPr>
          <w:trHeight w:val="240"/>
        </w:trPr>
        <w:tc>
          <w:tcPr>
            <w:tcW w:w="1697" w:type="dxa"/>
            <w:tcBorders>
              <w:top w:val="nil"/>
              <w:left w:val="nil"/>
              <w:bottom w:val="nil"/>
              <w:right w:val="nil"/>
            </w:tcBorders>
            <w:shd w:val="clear" w:color="000000" w:fill="B4C6E7"/>
            <w:noWrap/>
            <w:vAlign w:val="bottom"/>
            <w:hideMark/>
          </w:tcPr>
          <w:p w14:paraId="6B9051DB"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A100209</w:t>
            </w:r>
          </w:p>
        </w:tc>
        <w:tc>
          <w:tcPr>
            <w:tcW w:w="8509" w:type="dxa"/>
            <w:tcBorders>
              <w:top w:val="nil"/>
              <w:left w:val="nil"/>
              <w:bottom w:val="nil"/>
              <w:right w:val="nil"/>
            </w:tcBorders>
            <w:shd w:val="clear" w:color="000000" w:fill="B4C6E7"/>
            <w:noWrap/>
            <w:vAlign w:val="bottom"/>
            <w:hideMark/>
          </w:tcPr>
          <w:p w14:paraId="1AA137B8"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Izbori zastupnika u Hrvatski sabor</w:t>
            </w:r>
          </w:p>
        </w:tc>
        <w:tc>
          <w:tcPr>
            <w:tcW w:w="1480" w:type="dxa"/>
            <w:tcBorders>
              <w:top w:val="nil"/>
              <w:left w:val="nil"/>
              <w:bottom w:val="nil"/>
              <w:right w:val="nil"/>
            </w:tcBorders>
            <w:shd w:val="clear" w:color="000000" w:fill="B4C6E7"/>
            <w:noWrap/>
            <w:vAlign w:val="bottom"/>
            <w:hideMark/>
          </w:tcPr>
          <w:p w14:paraId="35E35CB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27.600,00</w:t>
            </w:r>
          </w:p>
        </w:tc>
        <w:tc>
          <w:tcPr>
            <w:tcW w:w="1380" w:type="dxa"/>
            <w:tcBorders>
              <w:top w:val="nil"/>
              <w:left w:val="nil"/>
              <w:bottom w:val="nil"/>
              <w:right w:val="nil"/>
            </w:tcBorders>
            <w:shd w:val="clear" w:color="000000" w:fill="B4C6E7"/>
            <w:noWrap/>
            <w:vAlign w:val="bottom"/>
            <w:hideMark/>
          </w:tcPr>
          <w:p w14:paraId="6E69C92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27.525,11</w:t>
            </w:r>
          </w:p>
        </w:tc>
        <w:tc>
          <w:tcPr>
            <w:tcW w:w="1400" w:type="dxa"/>
            <w:tcBorders>
              <w:top w:val="nil"/>
              <w:left w:val="nil"/>
              <w:bottom w:val="nil"/>
              <w:right w:val="nil"/>
            </w:tcBorders>
            <w:shd w:val="clear" w:color="000000" w:fill="B4C6E7"/>
            <w:noWrap/>
            <w:vAlign w:val="bottom"/>
            <w:hideMark/>
          </w:tcPr>
          <w:p w14:paraId="6B55C43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99,73%</w:t>
            </w:r>
          </w:p>
        </w:tc>
      </w:tr>
      <w:tr w:rsidR="00A360DB" w:rsidRPr="00A360DB" w14:paraId="586DAD46"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B5B69A5"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5. Pomoći</w:t>
            </w:r>
          </w:p>
        </w:tc>
        <w:tc>
          <w:tcPr>
            <w:tcW w:w="1480" w:type="dxa"/>
            <w:tcBorders>
              <w:top w:val="nil"/>
              <w:left w:val="nil"/>
              <w:bottom w:val="nil"/>
              <w:right w:val="nil"/>
            </w:tcBorders>
            <w:shd w:val="clear" w:color="auto" w:fill="auto"/>
            <w:noWrap/>
            <w:vAlign w:val="bottom"/>
            <w:hideMark/>
          </w:tcPr>
          <w:p w14:paraId="4CF09770"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27.600,00</w:t>
            </w:r>
          </w:p>
        </w:tc>
        <w:tc>
          <w:tcPr>
            <w:tcW w:w="1380" w:type="dxa"/>
            <w:tcBorders>
              <w:top w:val="nil"/>
              <w:left w:val="nil"/>
              <w:bottom w:val="nil"/>
              <w:right w:val="nil"/>
            </w:tcBorders>
            <w:shd w:val="clear" w:color="auto" w:fill="auto"/>
            <w:noWrap/>
            <w:vAlign w:val="bottom"/>
            <w:hideMark/>
          </w:tcPr>
          <w:p w14:paraId="44EE7BE1"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27.525,11</w:t>
            </w:r>
          </w:p>
        </w:tc>
        <w:tc>
          <w:tcPr>
            <w:tcW w:w="1400" w:type="dxa"/>
            <w:tcBorders>
              <w:top w:val="nil"/>
              <w:left w:val="nil"/>
              <w:bottom w:val="nil"/>
              <w:right w:val="nil"/>
            </w:tcBorders>
            <w:shd w:val="clear" w:color="auto" w:fill="auto"/>
            <w:noWrap/>
            <w:vAlign w:val="bottom"/>
            <w:hideMark/>
          </w:tcPr>
          <w:p w14:paraId="0C133890"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99,73%</w:t>
            </w:r>
          </w:p>
        </w:tc>
      </w:tr>
      <w:tr w:rsidR="00A360DB" w:rsidRPr="00A360DB" w14:paraId="0CD6BE79"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29D42C8"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5.2. Državni proračun</w:t>
            </w:r>
          </w:p>
        </w:tc>
        <w:tc>
          <w:tcPr>
            <w:tcW w:w="1480" w:type="dxa"/>
            <w:tcBorders>
              <w:top w:val="nil"/>
              <w:left w:val="nil"/>
              <w:bottom w:val="nil"/>
              <w:right w:val="nil"/>
            </w:tcBorders>
            <w:shd w:val="clear" w:color="auto" w:fill="auto"/>
            <w:noWrap/>
            <w:vAlign w:val="bottom"/>
            <w:hideMark/>
          </w:tcPr>
          <w:p w14:paraId="661798CB"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27.600,00</w:t>
            </w:r>
          </w:p>
        </w:tc>
        <w:tc>
          <w:tcPr>
            <w:tcW w:w="1380" w:type="dxa"/>
            <w:tcBorders>
              <w:top w:val="nil"/>
              <w:left w:val="nil"/>
              <w:bottom w:val="nil"/>
              <w:right w:val="nil"/>
            </w:tcBorders>
            <w:shd w:val="clear" w:color="auto" w:fill="auto"/>
            <w:noWrap/>
            <w:vAlign w:val="bottom"/>
            <w:hideMark/>
          </w:tcPr>
          <w:p w14:paraId="324D8F0C"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27.525,11</w:t>
            </w:r>
          </w:p>
        </w:tc>
        <w:tc>
          <w:tcPr>
            <w:tcW w:w="1400" w:type="dxa"/>
            <w:tcBorders>
              <w:top w:val="nil"/>
              <w:left w:val="nil"/>
              <w:bottom w:val="nil"/>
              <w:right w:val="nil"/>
            </w:tcBorders>
            <w:shd w:val="clear" w:color="auto" w:fill="auto"/>
            <w:noWrap/>
            <w:vAlign w:val="bottom"/>
            <w:hideMark/>
          </w:tcPr>
          <w:p w14:paraId="64758E08"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99,73%</w:t>
            </w:r>
          </w:p>
        </w:tc>
      </w:tr>
      <w:tr w:rsidR="00A360DB" w:rsidRPr="00A360DB" w14:paraId="763CD60B" w14:textId="77777777" w:rsidTr="00A360DB">
        <w:trPr>
          <w:trHeight w:val="240"/>
        </w:trPr>
        <w:tc>
          <w:tcPr>
            <w:tcW w:w="1697" w:type="dxa"/>
            <w:tcBorders>
              <w:top w:val="nil"/>
              <w:left w:val="nil"/>
              <w:bottom w:val="nil"/>
              <w:right w:val="nil"/>
            </w:tcBorders>
            <w:shd w:val="clear" w:color="auto" w:fill="auto"/>
            <w:noWrap/>
            <w:vAlign w:val="bottom"/>
            <w:hideMark/>
          </w:tcPr>
          <w:p w14:paraId="2555DB3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69C76362"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213C8C5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27.600,00</w:t>
            </w:r>
          </w:p>
        </w:tc>
        <w:tc>
          <w:tcPr>
            <w:tcW w:w="1380" w:type="dxa"/>
            <w:tcBorders>
              <w:top w:val="nil"/>
              <w:left w:val="nil"/>
              <w:bottom w:val="nil"/>
              <w:right w:val="nil"/>
            </w:tcBorders>
            <w:shd w:val="clear" w:color="auto" w:fill="auto"/>
            <w:noWrap/>
            <w:vAlign w:val="bottom"/>
            <w:hideMark/>
          </w:tcPr>
          <w:p w14:paraId="2AE14C2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27.525,11</w:t>
            </w:r>
          </w:p>
        </w:tc>
        <w:tc>
          <w:tcPr>
            <w:tcW w:w="1400" w:type="dxa"/>
            <w:tcBorders>
              <w:top w:val="nil"/>
              <w:left w:val="nil"/>
              <w:bottom w:val="nil"/>
              <w:right w:val="nil"/>
            </w:tcBorders>
            <w:shd w:val="clear" w:color="auto" w:fill="auto"/>
            <w:noWrap/>
            <w:vAlign w:val="bottom"/>
            <w:hideMark/>
          </w:tcPr>
          <w:p w14:paraId="2033973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99,73%</w:t>
            </w:r>
          </w:p>
        </w:tc>
      </w:tr>
      <w:tr w:rsidR="00A360DB" w:rsidRPr="00A360DB" w14:paraId="2A4CD22E" w14:textId="77777777" w:rsidTr="00A360DB">
        <w:trPr>
          <w:trHeight w:val="240"/>
        </w:trPr>
        <w:tc>
          <w:tcPr>
            <w:tcW w:w="1697" w:type="dxa"/>
            <w:tcBorders>
              <w:top w:val="nil"/>
              <w:left w:val="nil"/>
              <w:bottom w:val="nil"/>
              <w:right w:val="nil"/>
            </w:tcBorders>
            <w:shd w:val="clear" w:color="auto" w:fill="auto"/>
            <w:noWrap/>
            <w:vAlign w:val="bottom"/>
            <w:hideMark/>
          </w:tcPr>
          <w:p w14:paraId="16EC65A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3291</w:t>
            </w:r>
          </w:p>
        </w:tc>
        <w:tc>
          <w:tcPr>
            <w:tcW w:w="8509" w:type="dxa"/>
            <w:tcBorders>
              <w:top w:val="nil"/>
              <w:left w:val="nil"/>
              <w:bottom w:val="nil"/>
              <w:right w:val="nil"/>
            </w:tcBorders>
            <w:shd w:val="clear" w:color="auto" w:fill="auto"/>
            <w:noWrap/>
            <w:vAlign w:val="bottom"/>
            <w:hideMark/>
          </w:tcPr>
          <w:p w14:paraId="060367E5"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Naknade za rad predstavničkih i izvršnih tijela, povjerenstava i slično                             </w:t>
            </w:r>
          </w:p>
        </w:tc>
        <w:tc>
          <w:tcPr>
            <w:tcW w:w="1480" w:type="dxa"/>
            <w:tcBorders>
              <w:top w:val="nil"/>
              <w:left w:val="nil"/>
              <w:bottom w:val="nil"/>
              <w:right w:val="nil"/>
            </w:tcBorders>
            <w:shd w:val="clear" w:color="auto" w:fill="auto"/>
            <w:noWrap/>
            <w:vAlign w:val="bottom"/>
            <w:hideMark/>
          </w:tcPr>
          <w:p w14:paraId="4BB57B95"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C52D03C"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27.525,11</w:t>
            </w:r>
          </w:p>
        </w:tc>
        <w:tc>
          <w:tcPr>
            <w:tcW w:w="1400" w:type="dxa"/>
            <w:tcBorders>
              <w:top w:val="nil"/>
              <w:left w:val="nil"/>
              <w:bottom w:val="nil"/>
              <w:right w:val="nil"/>
            </w:tcBorders>
            <w:shd w:val="clear" w:color="auto" w:fill="auto"/>
            <w:noWrap/>
            <w:vAlign w:val="bottom"/>
            <w:hideMark/>
          </w:tcPr>
          <w:p w14:paraId="600B3DC0"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52062C3" w14:textId="77777777" w:rsidTr="00A360DB">
        <w:trPr>
          <w:trHeight w:val="240"/>
        </w:trPr>
        <w:tc>
          <w:tcPr>
            <w:tcW w:w="1697" w:type="dxa"/>
            <w:tcBorders>
              <w:top w:val="nil"/>
              <w:left w:val="nil"/>
              <w:bottom w:val="nil"/>
              <w:right w:val="nil"/>
            </w:tcBorders>
            <w:shd w:val="clear" w:color="000000" w:fill="B4C6E7"/>
            <w:noWrap/>
            <w:vAlign w:val="bottom"/>
            <w:hideMark/>
          </w:tcPr>
          <w:p w14:paraId="602809F9"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A100210</w:t>
            </w:r>
          </w:p>
        </w:tc>
        <w:tc>
          <w:tcPr>
            <w:tcW w:w="8509" w:type="dxa"/>
            <w:tcBorders>
              <w:top w:val="nil"/>
              <w:left w:val="nil"/>
              <w:bottom w:val="nil"/>
              <w:right w:val="nil"/>
            </w:tcBorders>
            <w:shd w:val="clear" w:color="000000" w:fill="B4C6E7"/>
            <w:noWrap/>
            <w:vAlign w:val="bottom"/>
            <w:hideMark/>
          </w:tcPr>
          <w:p w14:paraId="7B13786F"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Izbori članova u Europski parlament</w:t>
            </w:r>
          </w:p>
        </w:tc>
        <w:tc>
          <w:tcPr>
            <w:tcW w:w="1480" w:type="dxa"/>
            <w:tcBorders>
              <w:top w:val="nil"/>
              <w:left w:val="nil"/>
              <w:bottom w:val="nil"/>
              <w:right w:val="nil"/>
            </w:tcBorders>
            <w:shd w:val="clear" w:color="000000" w:fill="B4C6E7"/>
            <w:noWrap/>
            <w:vAlign w:val="bottom"/>
            <w:hideMark/>
          </w:tcPr>
          <w:p w14:paraId="3500388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21.400,00</w:t>
            </w:r>
          </w:p>
        </w:tc>
        <w:tc>
          <w:tcPr>
            <w:tcW w:w="1380" w:type="dxa"/>
            <w:tcBorders>
              <w:top w:val="nil"/>
              <w:left w:val="nil"/>
              <w:bottom w:val="nil"/>
              <w:right w:val="nil"/>
            </w:tcBorders>
            <w:shd w:val="clear" w:color="000000" w:fill="B4C6E7"/>
            <w:noWrap/>
            <w:vAlign w:val="bottom"/>
            <w:hideMark/>
          </w:tcPr>
          <w:p w14:paraId="6484823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21.322,51</w:t>
            </w:r>
          </w:p>
        </w:tc>
        <w:tc>
          <w:tcPr>
            <w:tcW w:w="1400" w:type="dxa"/>
            <w:tcBorders>
              <w:top w:val="nil"/>
              <w:left w:val="nil"/>
              <w:bottom w:val="nil"/>
              <w:right w:val="nil"/>
            </w:tcBorders>
            <w:shd w:val="clear" w:color="000000" w:fill="B4C6E7"/>
            <w:noWrap/>
            <w:vAlign w:val="bottom"/>
            <w:hideMark/>
          </w:tcPr>
          <w:p w14:paraId="4A8400D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99,64%</w:t>
            </w:r>
          </w:p>
        </w:tc>
      </w:tr>
      <w:tr w:rsidR="00A360DB" w:rsidRPr="00A360DB" w14:paraId="14B43ECA"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679B0F4"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5. Pomoći</w:t>
            </w:r>
          </w:p>
        </w:tc>
        <w:tc>
          <w:tcPr>
            <w:tcW w:w="1480" w:type="dxa"/>
            <w:tcBorders>
              <w:top w:val="nil"/>
              <w:left w:val="nil"/>
              <w:bottom w:val="nil"/>
              <w:right w:val="nil"/>
            </w:tcBorders>
            <w:shd w:val="clear" w:color="auto" w:fill="auto"/>
            <w:noWrap/>
            <w:vAlign w:val="bottom"/>
            <w:hideMark/>
          </w:tcPr>
          <w:p w14:paraId="0586398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21.400,00</w:t>
            </w:r>
          </w:p>
        </w:tc>
        <w:tc>
          <w:tcPr>
            <w:tcW w:w="1380" w:type="dxa"/>
            <w:tcBorders>
              <w:top w:val="nil"/>
              <w:left w:val="nil"/>
              <w:bottom w:val="nil"/>
              <w:right w:val="nil"/>
            </w:tcBorders>
            <w:shd w:val="clear" w:color="auto" w:fill="auto"/>
            <w:noWrap/>
            <w:vAlign w:val="bottom"/>
            <w:hideMark/>
          </w:tcPr>
          <w:p w14:paraId="09592B43"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21.322,51</w:t>
            </w:r>
          </w:p>
        </w:tc>
        <w:tc>
          <w:tcPr>
            <w:tcW w:w="1400" w:type="dxa"/>
            <w:tcBorders>
              <w:top w:val="nil"/>
              <w:left w:val="nil"/>
              <w:bottom w:val="nil"/>
              <w:right w:val="nil"/>
            </w:tcBorders>
            <w:shd w:val="clear" w:color="auto" w:fill="auto"/>
            <w:noWrap/>
            <w:vAlign w:val="bottom"/>
            <w:hideMark/>
          </w:tcPr>
          <w:p w14:paraId="3CDD668F"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99,64%</w:t>
            </w:r>
          </w:p>
        </w:tc>
      </w:tr>
      <w:tr w:rsidR="00A360DB" w:rsidRPr="00A360DB" w14:paraId="3DFC5C9B"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1D97FC2"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5.2. Državni proračun</w:t>
            </w:r>
          </w:p>
        </w:tc>
        <w:tc>
          <w:tcPr>
            <w:tcW w:w="1480" w:type="dxa"/>
            <w:tcBorders>
              <w:top w:val="nil"/>
              <w:left w:val="nil"/>
              <w:bottom w:val="nil"/>
              <w:right w:val="nil"/>
            </w:tcBorders>
            <w:shd w:val="clear" w:color="auto" w:fill="auto"/>
            <w:noWrap/>
            <w:vAlign w:val="bottom"/>
            <w:hideMark/>
          </w:tcPr>
          <w:p w14:paraId="70070E0A"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21.400,00</w:t>
            </w:r>
          </w:p>
        </w:tc>
        <w:tc>
          <w:tcPr>
            <w:tcW w:w="1380" w:type="dxa"/>
            <w:tcBorders>
              <w:top w:val="nil"/>
              <w:left w:val="nil"/>
              <w:bottom w:val="nil"/>
              <w:right w:val="nil"/>
            </w:tcBorders>
            <w:shd w:val="clear" w:color="auto" w:fill="auto"/>
            <w:noWrap/>
            <w:vAlign w:val="bottom"/>
            <w:hideMark/>
          </w:tcPr>
          <w:p w14:paraId="59B28A4C"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21.322,51</w:t>
            </w:r>
          </w:p>
        </w:tc>
        <w:tc>
          <w:tcPr>
            <w:tcW w:w="1400" w:type="dxa"/>
            <w:tcBorders>
              <w:top w:val="nil"/>
              <w:left w:val="nil"/>
              <w:bottom w:val="nil"/>
              <w:right w:val="nil"/>
            </w:tcBorders>
            <w:shd w:val="clear" w:color="auto" w:fill="auto"/>
            <w:noWrap/>
            <w:vAlign w:val="bottom"/>
            <w:hideMark/>
          </w:tcPr>
          <w:p w14:paraId="31705868"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99,64%</w:t>
            </w:r>
          </w:p>
        </w:tc>
      </w:tr>
      <w:tr w:rsidR="00A360DB" w:rsidRPr="00A360DB" w14:paraId="18A169F6" w14:textId="77777777" w:rsidTr="00A360DB">
        <w:trPr>
          <w:trHeight w:val="240"/>
        </w:trPr>
        <w:tc>
          <w:tcPr>
            <w:tcW w:w="1697" w:type="dxa"/>
            <w:tcBorders>
              <w:top w:val="nil"/>
              <w:left w:val="nil"/>
              <w:bottom w:val="nil"/>
              <w:right w:val="nil"/>
            </w:tcBorders>
            <w:shd w:val="clear" w:color="auto" w:fill="auto"/>
            <w:noWrap/>
            <w:vAlign w:val="bottom"/>
            <w:hideMark/>
          </w:tcPr>
          <w:p w14:paraId="15798373"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71B47DC9"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344A6BE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21.400,00</w:t>
            </w:r>
          </w:p>
        </w:tc>
        <w:tc>
          <w:tcPr>
            <w:tcW w:w="1380" w:type="dxa"/>
            <w:tcBorders>
              <w:top w:val="nil"/>
              <w:left w:val="nil"/>
              <w:bottom w:val="nil"/>
              <w:right w:val="nil"/>
            </w:tcBorders>
            <w:shd w:val="clear" w:color="auto" w:fill="auto"/>
            <w:noWrap/>
            <w:vAlign w:val="bottom"/>
            <w:hideMark/>
          </w:tcPr>
          <w:p w14:paraId="261A355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21.322,51</w:t>
            </w:r>
          </w:p>
        </w:tc>
        <w:tc>
          <w:tcPr>
            <w:tcW w:w="1400" w:type="dxa"/>
            <w:tcBorders>
              <w:top w:val="nil"/>
              <w:left w:val="nil"/>
              <w:bottom w:val="nil"/>
              <w:right w:val="nil"/>
            </w:tcBorders>
            <w:shd w:val="clear" w:color="auto" w:fill="auto"/>
            <w:noWrap/>
            <w:vAlign w:val="bottom"/>
            <w:hideMark/>
          </w:tcPr>
          <w:p w14:paraId="567D1BD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99,64%</w:t>
            </w:r>
          </w:p>
        </w:tc>
      </w:tr>
      <w:tr w:rsidR="00A360DB" w:rsidRPr="00A360DB" w14:paraId="5368AA9A" w14:textId="77777777" w:rsidTr="00A360DB">
        <w:trPr>
          <w:trHeight w:val="240"/>
        </w:trPr>
        <w:tc>
          <w:tcPr>
            <w:tcW w:w="1697" w:type="dxa"/>
            <w:tcBorders>
              <w:top w:val="nil"/>
              <w:left w:val="nil"/>
              <w:bottom w:val="nil"/>
              <w:right w:val="nil"/>
            </w:tcBorders>
            <w:shd w:val="clear" w:color="auto" w:fill="auto"/>
            <w:noWrap/>
            <w:vAlign w:val="bottom"/>
            <w:hideMark/>
          </w:tcPr>
          <w:p w14:paraId="036AC2F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3291</w:t>
            </w:r>
          </w:p>
        </w:tc>
        <w:tc>
          <w:tcPr>
            <w:tcW w:w="8509" w:type="dxa"/>
            <w:tcBorders>
              <w:top w:val="nil"/>
              <w:left w:val="nil"/>
              <w:bottom w:val="nil"/>
              <w:right w:val="nil"/>
            </w:tcBorders>
            <w:shd w:val="clear" w:color="auto" w:fill="auto"/>
            <w:noWrap/>
            <w:vAlign w:val="bottom"/>
            <w:hideMark/>
          </w:tcPr>
          <w:p w14:paraId="31C5FA8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Naknade za rad predstavničkih i izvršnih tijela, povjerenstava i slično                             </w:t>
            </w:r>
          </w:p>
        </w:tc>
        <w:tc>
          <w:tcPr>
            <w:tcW w:w="1480" w:type="dxa"/>
            <w:tcBorders>
              <w:top w:val="nil"/>
              <w:left w:val="nil"/>
              <w:bottom w:val="nil"/>
              <w:right w:val="nil"/>
            </w:tcBorders>
            <w:shd w:val="clear" w:color="auto" w:fill="auto"/>
            <w:noWrap/>
            <w:vAlign w:val="bottom"/>
            <w:hideMark/>
          </w:tcPr>
          <w:p w14:paraId="13282E56"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7865C4F"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21.322,51</w:t>
            </w:r>
          </w:p>
        </w:tc>
        <w:tc>
          <w:tcPr>
            <w:tcW w:w="1400" w:type="dxa"/>
            <w:tcBorders>
              <w:top w:val="nil"/>
              <w:left w:val="nil"/>
              <w:bottom w:val="nil"/>
              <w:right w:val="nil"/>
            </w:tcBorders>
            <w:shd w:val="clear" w:color="auto" w:fill="auto"/>
            <w:noWrap/>
            <w:vAlign w:val="bottom"/>
            <w:hideMark/>
          </w:tcPr>
          <w:p w14:paraId="488FE59E"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28A42A66" w14:textId="77777777" w:rsidTr="00A360DB">
        <w:trPr>
          <w:trHeight w:val="240"/>
        </w:trPr>
        <w:tc>
          <w:tcPr>
            <w:tcW w:w="10206" w:type="dxa"/>
            <w:gridSpan w:val="2"/>
            <w:tcBorders>
              <w:top w:val="nil"/>
              <w:left w:val="nil"/>
              <w:bottom w:val="nil"/>
              <w:right w:val="nil"/>
            </w:tcBorders>
            <w:shd w:val="clear" w:color="000000" w:fill="8994FB"/>
            <w:noWrap/>
            <w:vAlign w:val="bottom"/>
            <w:hideMark/>
          </w:tcPr>
          <w:p w14:paraId="7165A55E"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GLAVA 00102 URED GRADONAČELNIKA</w:t>
            </w:r>
          </w:p>
        </w:tc>
        <w:tc>
          <w:tcPr>
            <w:tcW w:w="1480" w:type="dxa"/>
            <w:tcBorders>
              <w:top w:val="nil"/>
              <w:left w:val="nil"/>
              <w:bottom w:val="nil"/>
              <w:right w:val="nil"/>
            </w:tcBorders>
            <w:shd w:val="clear" w:color="000000" w:fill="8994FB"/>
            <w:noWrap/>
            <w:vAlign w:val="bottom"/>
            <w:hideMark/>
          </w:tcPr>
          <w:p w14:paraId="6385F5A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114.090,00</w:t>
            </w:r>
          </w:p>
        </w:tc>
        <w:tc>
          <w:tcPr>
            <w:tcW w:w="1380" w:type="dxa"/>
            <w:tcBorders>
              <w:top w:val="nil"/>
              <w:left w:val="nil"/>
              <w:bottom w:val="nil"/>
              <w:right w:val="nil"/>
            </w:tcBorders>
            <w:shd w:val="clear" w:color="000000" w:fill="8994FB"/>
            <w:noWrap/>
            <w:vAlign w:val="bottom"/>
            <w:hideMark/>
          </w:tcPr>
          <w:p w14:paraId="252E77F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100.066,38</w:t>
            </w:r>
          </w:p>
        </w:tc>
        <w:tc>
          <w:tcPr>
            <w:tcW w:w="1400" w:type="dxa"/>
            <w:tcBorders>
              <w:top w:val="nil"/>
              <w:left w:val="nil"/>
              <w:bottom w:val="nil"/>
              <w:right w:val="nil"/>
            </w:tcBorders>
            <w:shd w:val="clear" w:color="000000" w:fill="8994FB"/>
            <w:noWrap/>
            <w:vAlign w:val="bottom"/>
            <w:hideMark/>
          </w:tcPr>
          <w:p w14:paraId="02BD063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87,71%</w:t>
            </w:r>
          </w:p>
        </w:tc>
      </w:tr>
      <w:tr w:rsidR="00A360DB" w:rsidRPr="00A360DB" w14:paraId="59C356E9" w14:textId="77777777" w:rsidTr="00A360DB">
        <w:trPr>
          <w:trHeight w:val="240"/>
        </w:trPr>
        <w:tc>
          <w:tcPr>
            <w:tcW w:w="10206" w:type="dxa"/>
            <w:gridSpan w:val="2"/>
            <w:tcBorders>
              <w:top w:val="nil"/>
              <w:left w:val="nil"/>
              <w:bottom w:val="nil"/>
              <w:right w:val="nil"/>
            </w:tcBorders>
            <w:shd w:val="clear" w:color="000000" w:fill="8994FB"/>
            <w:noWrap/>
            <w:vAlign w:val="bottom"/>
            <w:hideMark/>
          </w:tcPr>
          <w:p w14:paraId="3CFB4A4C"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PROR. KORISNIK 02 URED GRADONAČELNIKA</w:t>
            </w:r>
          </w:p>
        </w:tc>
        <w:tc>
          <w:tcPr>
            <w:tcW w:w="1480" w:type="dxa"/>
            <w:tcBorders>
              <w:top w:val="nil"/>
              <w:left w:val="nil"/>
              <w:bottom w:val="nil"/>
              <w:right w:val="nil"/>
            </w:tcBorders>
            <w:shd w:val="clear" w:color="000000" w:fill="8994FB"/>
            <w:noWrap/>
            <w:vAlign w:val="bottom"/>
            <w:hideMark/>
          </w:tcPr>
          <w:p w14:paraId="0F5E1BC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114.090,00</w:t>
            </w:r>
          </w:p>
        </w:tc>
        <w:tc>
          <w:tcPr>
            <w:tcW w:w="1380" w:type="dxa"/>
            <w:tcBorders>
              <w:top w:val="nil"/>
              <w:left w:val="nil"/>
              <w:bottom w:val="nil"/>
              <w:right w:val="nil"/>
            </w:tcBorders>
            <w:shd w:val="clear" w:color="000000" w:fill="8994FB"/>
            <w:noWrap/>
            <w:vAlign w:val="bottom"/>
            <w:hideMark/>
          </w:tcPr>
          <w:p w14:paraId="285C76C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100.066,38</w:t>
            </w:r>
          </w:p>
        </w:tc>
        <w:tc>
          <w:tcPr>
            <w:tcW w:w="1400" w:type="dxa"/>
            <w:tcBorders>
              <w:top w:val="nil"/>
              <w:left w:val="nil"/>
              <w:bottom w:val="nil"/>
              <w:right w:val="nil"/>
            </w:tcBorders>
            <w:shd w:val="clear" w:color="000000" w:fill="8994FB"/>
            <w:noWrap/>
            <w:vAlign w:val="bottom"/>
            <w:hideMark/>
          </w:tcPr>
          <w:p w14:paraId="7E45E08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87,71%</w:t>
            </w:r>
          </w:p>
        </w:tc>
      </w:tr>
      <w:tr w:rsidR="00A360DB" w:rsidRPr="00A360DB" w14:paraId="3B9C4EF8"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35EA0794"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6E3197EC"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114.090,00</w:t>
            </w:r>
          </w:p>
        </w:tc>
        <w:tc>
          <w:tcPr>
            <w:tcW w:w="1380" w:type="dxa"/>
            <w:tcBorders>
              <w:top w:val="nil"/>
              <w:left w:val="nil"/>
              <w:bottom w:val="nil"/>
              <w:right w:val="nil"/>
            </w:tcBorders>
            <w:shd w:val="clear" w:color="auto" w:fill="auto"/>
            <w:noWrap/>
            <w:vAlign w:val="bottom"/>
            <w:hideMark/>
          </w:tcPr>
          <w:p w14:paraId="7F9E2CCB"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100.066,38</w:t>
            </w:r>
          </w:p>
        </w:tc>
        <w:tc>
          <w:tcPr>
            <w:tcW w:w="1400" w:type="dxa"/>
            <w:tcBorders>
              <w:top w:val="nil"/>
              <w:left w:val="nil"/>
              <w:bottom w:val="nil"/>
              <w:right w:val="nil"/>
            </w:tcBorders>
            <w:shd w:val="clear" w:color="auto" w:fill="auto"/>
            <w:noWrap/>
            <w:vAlign w:val="bottom"/>
            <w:hideMark/>
          </w:tcPr>
          <w:p w14:paraId="722975E2"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87,71%</w:t>
            </w:r>
          </w:p>
        </w:tc>
      </w:tr>
      <w:tr w:rsidR="00A360DB" w:rsidRPr="00A360DB" w14:paraId="57AD5621"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68E6146"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4F36AAD2"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114.090,00</w:t>
            </w:r>
          </w:p>
        </w:tc>
        <w:tc>
          <w:tcPr>
            <w:tcW w:w="1380" w:type="dxa"/>
            <w:tcBorders>
              <w:top w:val="nil"/>
              <w:left w:val="nil"/>
              <w:bottom w:val="nil"/>
              <w:right w:val="nil"/>
            </w:tcBorders>
            <w:shd w:val="clear" w:color="auto" w:fill="auto"/>
            <w:noWrap/>
            <w:vAlign w:val="bottom"/>
            <w:hideMark/>
          </w:tcPr>
          <w:p w14:paraId="7F4425CF"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100.066,38</w:t>
            </w:r>
          </w:p>
        </w:tc>
        <w:tc>
          <w:tcPr>
            <w:tcW w:w="1400" w:type="dxa"/>
            <w:tcBorders>
              <w:top w:val="nil"/>
              <w:left w:val="nil"/>
              <w:bottom w:val="nil"/>
              <w:right w:val="nil"/>
            </w:tcBorders>
            <w:shd w:val="clear" w:color="auto" w:fill="auto"/>
            <w:noWrap/>
            <w:vAlign w:val="bottom"/>
            <w:hideMark/>
          </w:tcPr>
          <w:p w14:paraId="746B6923"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87,71%</w:t>
            </w:r>
          </w:p>
        </w:tc>
      </w:tr>
      <w:tr w:rsidR="00A360DB" w:rsidRPr="00A360DB" w14:paraId="1B83E0AF" w14:textId="77777777" w:rsidTr="00A360DB">
        <w:trPr>
          <w:trHeight w:val="240"/>
        </w:trPr>
        <w:tc>
          <w:tcPr>
            <w:tcW w:w="1697" w:type="dxa"/>
            <w:tcBorders>
              <w:top w:val="nil"/>
              <w:left w:val="nil"/>
              <w:bottom w:val="nil"/>
              <w:right w:val="nil"/>
            </w:tcBorders>
            <w:shd w:val="clear" w:color="000000" w:fill="1D4BB3"/>
            <w:noWrap/>
            <w:vAlign w:val="bottom"/>
            <w:hideMark/>
          </w:tcPr>
          <w:p w14:paraId="2FCE17EA" w14:textId="77777777" w:rsidR="00A360DB" w:rsidRPr="00A360DB" w:rsidRDefault="00A360DB" w:rsidP="00A360DB">
            <w:pPr>
              <w:spacing w:after="0" w:line="240" w:lineRule="auto"/>
              <w:rPr>
                <w:rFonts w:ascii="Arial" w:hAnsi="Arial" w:cs="Arial"/>
                <w:b/>
                <w:bCs/>
                <w:color w:val="FFFFFF"/>
                <w:sz w:val="18"/>
                <w:szCs w:val="18"/>
                <w:lang w:eastAsia="hr-HR"/>
              </w:rPr>
            </w:pPr>
            <w:r w:rsidRPr="00A360DB">
              <w:rPr>
                <w:rFonts w:ascii="Arial" w:hAnsi="Arial" w:cs="Arial"/>
                <w:b/>
                <w:bCs/>
                <w:color w:val="FFFFFF"/>
                <w:sz w:val="18"/>
                <w:szCs w:val="18"/>
                <w:lang w:eastAsia="hr-HR"/>
              </w:rPr>
              <w:t>1001</w:t>
            </w:r>
          </w:p>
        </w:tc>
        <w:tc>
          <w:tcPr>
            <w:tcW w:w="8509" w:type="dxa"/>
            <w:tcBorders>
              <w:top w:val="nil"/>
              <w:left w:val="nil"/>
              <w:bottom w:val="nil"/>
              <w:right w:val="nil"/>
            </w:tcBorders>
            <w:shd w:val="clear" w:color="000000" w:fill="1D4BB3"/>
            <w:noWrap/>
            <w:vAlign w:val="bottom"/>
            <w:hideMark/>
          </w:tcPr>
          <w:p w14:paraId="10784361" w14:textId="77777777" w:rsidR="00A360DB" w:rsidRPr="00A360DB" w:rsidRDefault="00A360DB" w:rsidP="00A360DB">
            <w:pPr>
              <w:spacing w:after="0" w:line="240" w:lineRule="auto"/>
              <w:rPr>
                <w:rFonts w:ascii="Arial" w:hAnsi="Arial" w:cs="Arial"/>
                <w:b/>
                <w:bCs/>
                <w:color w:val="FFFFFF"/>
                <w:sz w:val="18"/>
                <w:szCs w:val="18"/>
                <w:lang w:eastAsia="hr-HR"/>
              </w:rPr>
            </w:pPr>
            <w:r w:rsidRPr="00A360DB">
              <w:rPr>
                <w:rFonts w:ascii="Arial" w:hAnsi="Arial" w:cs="Arial"/>
                <w:b/>
                <w:bCs/>
                <w:color w:val="FFFFFF"/>
                <w:sz w:val="18"/>
                <w:szCs w:val="18"/>
                <w:lang w:eastAsia="hr-HR"/>
              </w:rPr>
              <w:t>Program: Donošenje akata i mjera iz djelokruga predstavničkog i izvršnog tijela</w:t>
            </w:r>
          </w:p>
        </w:tc>
        <w:tc>
          <w:tcPr>
            <w:tcW w:w="1480" w:type="dxa"/>
            <w:tcBorders>
              <w:top w:val="nil"/>
              <w:left w:val="nil"/>
              <w:bottom w:val="nil"/>
              <w:right w:val="nil"/>
            </w:tcBorders>
            <w:shd w:val="clear" w:color="000000" w:fill="1D4BB3"/>
            <w:noWrap/>
            <w:vAlign w:val="bottom"/>
            <w:hideMark/>
          </w:tcPr>
          <w:p w14:paraId="70BD8BC5"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114.090,00</w:t>
            </w:r>
          </w:p>
        </w:tc>
        <w:tc>
          <w:tcPr>
            <w:tcW w:w="1380" w:type="dxa"/>
            <w:tcBorders>
              <w:top w:val="nil"/>
              <w:left w:val="nil"/>
              <w:bottom w:val="nil"/>
              <w:right w:val="nil"/>
            </w:tcBorders>
            <w:shd w:val="clear" w:color="000000" w:fill="1D4BB3"/>
            <w:noWrap/>
            <w:vAlign w:val="bottom"/>
            <w:hideMark/>
          </w:tcPr>
          <w:p w14:paraId="32A7F2DD"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100.066,38</w:t>
            </w:r>
          </w:p>
        </w:tc>
        <w:tc>
          <w:tcPr>
            <w:tcW w:w="1400" w:type="dxa"/>
            <w:tcBorders>
              <w:top w:val="nil"/>
              <w:left w:val="nil"/>
              <w:bottom w:val="nil"/>
              <w:right w:val="nil"/>
            </w:tcBorders>
            <w:shd w:val="clear" w:color="000000" w:fill="1D4BB3"/>
            <w:noWrap/>
            <w:vAlign w:val="bottom"/>
            <w:hideMark/>
          </w:tcPr>
          <w:p w14:paraId="701CCA25"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87,71%</w:t>
            </w:r>
          </w:p>
        </w:tc>
      </w:tr>
      <w:tr w:rsidR="00A360DB" w:rsidRPr="00A360DB" w14:paraId="634AF873" w14:textId="77777777" w:rsidTr="00A360DB">
        <w:trPr>
          <w:trHeight w:val="240"/>
        </w:trPr>
        <w:tc>
          <w:tcPr>
            <w:tcW w:w="1697" w:type="dxa"/>
            <w:tcBorders>
              <w:top w:val="nil"/>
              <w:left w:val="nil"/>
              <w:bottom w:val="nil"/>
              <w:right w:val="nil"/>
            </w:tcBorders>
            <w:shd w:val="clear" w:color="000000" w:fill="B4C6E7"/>
            <w:noWrap/>
            <w:vAlign w:val="bottom"/>
            <w:hideMark/>
          </w:tcPr>
          <w:p w14:paraId="2D4F5B23"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A100102</w:t>
            </w:r>
          </w:p>
        </w:tc>
        <w:tc>
          <w:tcPr>
            <w:tcW w:w="8509" w:type="dxa"/>
            <w:tcBorders>
              <w:top w:val="nil"/>
              <w:left w:val="nil"/>
              <w:bottom w:val="nil"/>
              <w:right w:val="nil"/>
            </w:tcBorders>
            <w:shd w:val="clear" w:color="000000" w:fill="B4C6E7"/>
            <w:noWrap/>
            <w:vAlign w:val="bottom"/>
            <w:hideMark/>
          </w:tcPr>
          <w:p w14:paraId="58682514"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Redovan rad ureda gradonačelnika</w:t>
            </w:r>
          </w:p>
        </w:tc>
        <w:tc>
          <w:tcPr>
            <w:tcW w:w="1480" w:type="dxa"/>
            <w:tcBorders>
              <w:top w:val="nil"/>
              <w:left w:val="nil"/>
              <w:bottom w:val="nil"/>
              <w:right w:val="nil"/>
            </w:tcBorders>
            <w:shd w:val="clear" w:color="000000" w:fill="B4C6E7"/>
            <w:noWrap/>
            <w:vAlign w:val="bottom"/>
            <w:hideMark/>
          </w:tcPr>
          <w:p w14:paraId="2E63688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59.400,00</w:t>
            </w:r>
          </w:p>
        </w:tc>
        <w:tc>
          <w:tcPr>
            <w:tcW w:w="1380" w:type="dxa"/>
            <w:tcBorders>
              <w:top w:val="nil"/>
              <w:left w:val="nil"/>
              <w:bottom w:val="nil"/>
              <w:right w:val="nil"/>
            </w:tcBorders>
            <w:shd w:val="clear" w:color="000000" w:fill="B4C6E7"/>
            <w:noWrap/>
            <w:vAlign w:val="bottom"/>
            <w:hideMark/>
          </w:tcPr>
          <w:p w14:paraId="36ADCAF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57.269,96</w:t>
            </w:r>
          </w:p>
        </w:tc>
        <w:tc>
          <w:tcPr>
            <w:tcW w:w="1400" w:type="dxa"/>
            <w:tcBorders>
              <w:top w:val="nil"/>
              <w:left w:val="nil"/>
              <w:bottom w:val="nil"/>
              <w:right w:val="nil"/>
            </w:tcBorders>
            <w:shd w:val="clear" w:color="000000" w:fill="B4C6E7"/>
            <w:noWrap/>
            <w:vAlign w:val="bottom"/>
            <w:hideMark/>
          </w:tcPr>
          <w:p w14:paraId="44509AA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96,41%</w:t>
            </w:r>
          </w:p>
        </w:tc>
      </w:tr>
      <w:tr w:rsidR="00A360DB" w:rsidRPr="00A360DB" w14:paraId="0CBA9954"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E2A3B8D"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453B800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59.400,00</w:t>
            </w:r>
          </w:p>
        </w:tc>
        <w:tc>
          <w:tcPr>
            <w:tcW w:w="1380" w:type="dxa"/>
            <w:tcBorders>
              <w:top w:val="nil"/>
              <w:left w:val="nil"/>
              <w:bottom w:val="nil"/>
              <w:right w:val="nil"/>
            </w:tcBorders>
            <w:shd w:val="clear" w:color="auto" w:fill="auto"/>
            <w:noWrap/>
            <w:vAlign w:val="bottom"/>
            <w:hideMark/>
          </w:tcPr>
          <w:p w14:paraId="16AAF398"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57.269,96</w:t>
            </w:r>
          </w:p>
        </w:tc>
        <w:tc>
          <w:tcPr>
            <w:tcW w:w="1400" w:type="dxa"/>
            <w:tcBorders>
              <w:top w:val="nil"/>
              <w:left w:val="nil"/>
              <w:bottom w:val="nil"/>
              <w:right w:val="nil"/>
            </w:tcBorders>
            <w:shd w:val="clear" w:color="auto" w:fill="auto"/>
            <w:noWrap/>
            <w:vAlign w:val="bottom"/>
            <w:hideMark/>
          </w:tcPr>
          <w:p w14:paraId="374FD567"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96,41%</w:t>
            </w:r>
          </w:p>
        </w:tc>
      </w:tr>
      <w:tr w:rsidR="00A360DB" w:rsidRPr="00A360DB" w14:paraId="3A0F654B"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D98D4E0"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1B2B7968"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59.400,00</w:t>
            </w:r>
          </w:p>
        </w:tc>
        <w:tc>
          <w:tcPr>
            <w:tcW w:w="1380" w:type="dxa"/>
            <w:tcBorders>
              <w:top w:val="nil"/>
              <w:left w:val="nil"/>
              <w:bottom w:val="nil"/>
              <w:right w:val="nil"/>
            </w:tcBorders>
            <w:shd w:val="clear" w:color="auto" w:fill="auto"/>
            <w:noWrap/>
            <w:vAlign w:val="bottom"/>
            <w:hideMark/>
          </w:tcPr>
          <w:p w14:paraId="6DDD5123"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57.269,96</w:t>
            </w:r>
          </w:p>
        </w:tc>
        <w:tc>
          <w:tcPr>
            <w:tcW w:w="1400" w:type="dxa"/>
            <w:tcBorders>
              <w:top w:val="nil"/>
              <w:left w:val="nil"/>
              <w:bottom w:val="nil"/>
              <w:right w:val="nil"/>
            </w:tcBorders>
            <w:shd w:val="clear" w:color="auto" w:fill="auto"/>
            <w:noWrap/>
            <w:vAlign w:val="bottom"/>
            <w:hideMark/>
          </w:tcPr>
          <w:p w14:paraId="5E7E9B0F"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96,41%</w:t>
            </w:r>
          </w:p>
        </w:tc>
      </w:tr>
      <w:tr w:rsidR="00A360DB" w:rsidRPr="00A360DB" w14:paraId="4A90A17F" w14:textId="77777777" w:rsidTr="00A360DB">
        <w:trPr>
          <w:trHeight w:val="240"/>
        </w:trPr>
        <w:tc>
          <w:tcPr>
            <w:tcW w:w="1697" w:type="dxa"/>
            <w:tcBorders>
              <w:top w:val="nil"/>
              <w:left w:val="nil"/>
              <w:bottom w:val="nil"/>
              <w:right w:val="nil"/>
            </w:tcBorders>
            <w:shd w:val="clear" w:color="auto" w:fill="auto"/>
            <w:noWrap/>
            <w:vAlign w:val="bottom"/>
            <w:hideMark/>
          </w:tcPr>
          <w:p w14:paraId="7BADB5B9"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31</w:t>
            </w:r>
          </w:p>
        </w:tc>
        <w:tc>
          <w:tcPr>
            <w:tcW w:w="8509" w:type="dxa"/>
            <w:tcBorders>
              <w:top w:val="nil"/>
              <w:left w:val="nil"/>
              <w:bottom w:val="nil"/>
              <w:right w:val="nil"/>
            </w:tcBorders>
            <w:shd w:val="clear" w:color="auto" w:fill="auto"/>
            <w:noWrap/>
            <w:vAlign w:val="bottom"/>
            <w:hideMark/>
          </w:tcPr>
          <w:p w14:paraId="52218559"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zaposlene                                                                                </w:t>
            </w:r>
          </w:p>
        </w:tc>
        <w:tc>
          <w:tcPr>
            <w:tcW w:w="1480" w:type="dxa"/>
            <w:tcBorders>
              <w:top w:val="nil"/>
              <w:left w:val="nil"/>
              <w:bottom w:val="nil"/>
              <w:right w:val="nil"/>
            </w:tcBorders>
            <w:shd w:val="clear" w:color="auto" w:fill="auto"/>
            <w:noWrap/>
            <w:vAlign w:val="bottom"/>
            <w:hideMark/>
          </w:tcPr>
          <w:p w14:paraId="6B058D0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51.200,00</w:t>
            </w:r>
          </w:p>
        </w:tc>
        <w:tc>
          <w:tcPr>
            <w:tcW w:w="1380" w:type="dxa"/>
            <w:tcBorders>
              <w:top w:val="nil"/>
              <w:left w:val="nil"/>
              <w:bottom w:val="nil"/>
              <w:right w:val="nil"/>
            </w:tcBorders>
            <w:shd w:val="clear" w:color="auto" w:fill="auto"/>
            <w:noWrap/>
            <w:vAlign w:val="bottom"/>
            <w:hideMark/>
          </w:tcPr>
          <w:p w14:paraId="4EFF723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50.201,32</w:t>
            </w:r>
          </w:p>
        </w:tc>
        <w:tc>
          <w:tcPr>
            <w:tcW w:w="1400" w:type="dxa"/>
            <w:tcBorders>
              <w:top w:val="nil"/>
              <w:left w:val="nil"/>
              <w:bottom w:val="nil"/>
              <w:right w:val="nil"/>
            </w:tcBorders>
            <w:shd w:val="clear" w:color="auto" w:fill="auto"/>
            <w:noWrap/>
            <w:vAlign w:val="bottom"/>
            <w:hideMark/>
          </w:tcPr>
          <w:p w14:paraId="38CDCF2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98,05%</w:t>
            </w:r>
          </w:p>
        </w:tc>
      </w:tr>
      <w:tr w:rsidR="00A360DB" w:rsidRPr="00A360DB" w14:paraId="100CBA47" w14:textId="77777777" w:rsidTr="00A360DB">
        <w:trPr>
          <w:trHeight w:val="240"/>
        </w:trPr>
        <w:tc>
          <w:tcPr>
            <w:tcW w:w="1697" w:type="dxa"/>
            <w:tcBorders>
              <w:top w:val="nil"/>
              <w:left w:val="nil"/>
              <w:bottom w:val="nil"/>
              <w:right w:val="nil"/>
            </w:tcBorders>
            <w:shd w:val="clear" w:color="auto" w:fill="auto"/>
            <w:noWrap/>
            <w:vAlign w:val="bottom"/>
            <w:hideMark/>
          </w:tcPr>
          <w:p w14:paraId="299063E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3111</w:t>
            </w:r>
          </w:p>
        </w:tc>
        <w:tc>
          <w:tcPr>
            <w:tcW w:w="8509" w:type="dxa"/>
            <w:tcBorders>
              <w:top w:val="nil"/>
              <w:left w:val="nil"/>
              <w:bottom w:val="nil"/>
              <w:right w:val="nil"/>
            </w:tcBorders>
            <w:shd w:val="clear" w:color="auto" w:fill="auto"/>
            <w:noWrap/>
            <w:vAlign w:val="bottom"/>
            <w:hideMark/>
          </w:tcPr>
          <w:p w14:paraId="235625F5"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Plaće za redovan rad                                                                                </w:t>
            </w:r>
          </w:p>
        </w:tc>
        <w:tc>
          <w:tcPr>
            <w:tcW w:w="1480" w:type="dxa"/>
            <w:tcBorders>
              <w:top w:val="nil"/>
              <w:left w:val="nil"/>
              <w:bottom w:val="nil"/>
              <w:right w:val="nil"/>
            </w:tcBorders>
            <w:shd w:val="clear" w:color="auto" w:fill="auto"/>
            <w:noWrap/>
            <w:vAlign w:val="bottom"/>
            <w:hideMark/>
          </w:tcPr>
          <w:p w14:paraId="3AFAFDF3"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9ED13DE"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43.091,23</w:t>
            </w:r>
          </w:p>
        </w:tc>
        <w:tc>
          <w:tcPr>
            <w:tcW w:w="1400" w:type="dxa"/>
            <w:tcBorders>
              <w:top w:val="nil"/>
              <w:left w:val="nil"/>
              <w:bottom w:val="nil"/>
              <w:right w:val="nil"/>
            </w:tcBorders>
            <w:shd w:val="clear" w:color="auto" w:fill="auto"/>
            <w:noWrap/>
            <w:vAlign w:val="bottom"/>
            <w:hideMark/>
          </w:tcPr>
          <w:p w14:paraId="271FF528"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968F27F" w14:textId="77777777" w:rsidTr="00A360DB">
        <w:trPr>
          <w:trHeight w:val="240"/>
        </w:trPr>
        <w:tc>
          <w:tcPr>
            <w:tcW w:w="1697" w:type="dxa"/>
            <w:tcBorders>
              <w:top w:val="nil"/>
              <w:left w:val="nil"/>
              <w:bottom w:val="nil"/>
              <w:right w:val="nil"/>
            </w:tcBorders>
            <w:shd w:val="clear" w:color="auto" w:fill="auto"/>
            <w:noWrap/>
            <w:vAlign w:val="bottom"/>
            <w:hideMark/>
          </w:tcPr>
          <w:p w14:paraId="5352F8D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3132</w:t>
            </w:r>
          </w:p>
        </w:tc>
        <w:tc>
          <w:tcPr>
            <w:tcW w:w="8509" w:type="dxa"/>
            <w:tcBorders>
              <w:top w:val="nil"/>
              <w:left w:val="nil"/>
              <w:bottom w:val="nil"/>
              <w:right w:val="nil"/>
            </w:tcBorders>
            <w:shd w:val="clear" w:color="auto" w:fill="auto"/>
            <w:noWrap/>
            <w:vAlign w:val="bottom"/>
            <w:hideMark/>
          </w:tcPr>
          <w:p w14:paraId="3121B2D7"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Doprinosi za obvezno zdravstveno osiguranje                                                         </w:t>
            </w:r>
          </w:p>
        </w:tc>
        <w:tc>
          <w:tcPr>
            <w:tcW w:w="1480" w:type="dxa"/>
            <w:tcBorders>
              <w:top w:val="nil"/>
              <w:left w:val="nil"/>
              <w:bottom w:val="nil"/>
              <w:right w:val="nil"/>
            </w:tcBorders>
            <w:shd w:val="clear" w:color="auto" w:fill="auto"/>
            <w:noWrap/>
            <w:vAlign w:val="bottom"/>
            <w:hideMark/>
          </w:tcPr>
          <w:p w14:paraId="74D6AE4E"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AE9DC1F"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7.110,09</w:t>
            </w:r>
          </w:p>
        </w:tc>
        <w:tc>
          <w:tcPr>
            <w:tcW w:w="1400" w:type="dxa"/>
            <w:tcBorders>
              <w:top w:val="nil"/>
              <w:left w:val="nil"/>
              <w:bottom w:val="nil"/>
              <w:right w:val="nil"/>
            </w:tcBorders>
            <w:shd w:val="clear" w:color="auto" w:fill="auto"/>
            <w:noWrap/>
            <w:vAlign w:val="bottom"/>
            <w:hideMark/>
          </w:tcPr>
          <w:p w14:paraId="28AE7FC8"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22472B79" w14:textId="77777777" w:rsidTr="00A360DB">
        <w:trPr>
          <w:trHeight w:val="240"/>
        </w:trPr>
        <w:tc>
          <w:tcPr>
            <w:tcW w:w="1697" w:type="dxa"/>
            <w:tcBorders>
              <w:top w:val="nil"/>
              <w:left w:val="nil"/>
              <w:bottom w:val="nil"/>
              <w:right w:val="nil"/>
            </w:tcBorders>
            <w:shd w:val="clear" w:color="auto" w:fill="auto"/>
            <w:noWrap/>
            <w:vAlign w:val="bottom"/>
            <w:hideMark/>
          </w:tcPr>
          <w:p w14:paraId="5A2BDFFB"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603C84F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0CC5B6F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8.200,00</w:t>
            </w:r>
          </w:p>
        </w:tc>
        <w:tc>
          <w:tcPr>
            <w:tcW w:w="1380" w:type="dxa"/>
            <w:tcBorders>
              <w:top w:val="nil"/>
              <w:left w:val="nil"/>
              <w:bottom w:val="nil"/>
              <w:right w:val="nil"/>
            </w:tcBorders>
            <w:shd w:val="clear" w:color="auto" w:fill="auto"/>
            <w:noWrap/>
            <w:vAlign w:val="bottom"/>
            <w:hideMark/>
          </w:tcPr>
          <w:p w14:paraId="18092DA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7.068,64</w:t>
            </w:r>
          </w:p>
        </w:tc>
        <w:tc>
          <w:tcPr>
            <w:tcW w:w="1400" w:type="dxa"/>
            <w:tcBorders>
              <w:top w:val="nil"/>
              <w:left w:val="nil"/>
              <w:bottom w:val="nil"/>
              <w:right w:val="nil"/>
            </w:tcBorders>
            <w:shd w:val="clear" w:color="auto" w:fill="auto"/>
            <w:noWrap/>
            <w:vAlign w:val="bottom"/>
            <w:hideMark/>
          </w:tcPr>
          <w:p w14:paraId="33280B5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86,20%</w:t>
            </w:r>
          </w:p>
        </w:tc>
      </w:tr>
      <w:tr w:rsidR="00A360DB" w:rsidRPr="00A360DB" w14:paraId="561DCC31" w14:textId="77777777" w:rsidTr="00A360DB">
        <w:trPr>
          <w:trHeight w:val="240"/>
        </w:trPr>
        <w:tc>
          <w:tcPr>
            <w:tcW w:w="1697" w:type="dxa"/>
            <w:tcBorders>
              <w:top w:val="nil"/>
              <w:left w:val="nil"/>
              <w:bottom w:val="nil"/>
              <w:right w:val="nil"/>
            </w:tcBorders>
            <w:shd w:val="clear" w:color="auto" w:fill="auto"/>
            <w:noWrap/>
            <w:vAlign w:val="bottom"/>
            <w:hideMark/>
          </w:tcPr>
          <w:p w14:paraId="1F5B7CE7"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3211</w:t>
            </w:r>
          </w:p>
        </w:tc>
        <w:tc>
          <w:tcPr>
            <w:tcW w:w="8509" w:type="dxa"/>
            <w:tcBorders>
              <w:top w:val="nil"/>
              <w:left w:val="nil"/>
              <w:bottom w:val="nil"/>
              <w:right w:val="nil"/>
            </w:tcBorders>
            <w:shd w:val="clear" w:color="auto" w:fill="auto"/>
            <w:noWrap/>
            <w:vAlign w:val="bottom"/>
            <w:hideMark/>
          </w:tcPr>
          <w:p w14:paraId="13D3696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Službena putovanja                                                                                  </w:t>
            </w:r>
          </w:p>
        </w:tc>
        <w:tc>
          <w:tcPr>
            <w:tcW w:w="1480" w:type="dxa"/>
            <w:tcBorders>
              <w:top w:val="nil"/>
              <w:left w:val="nil"/>
              <w:bottom w:val="nil"/>
              <w:right w:val="nil"/>
            </w:tcBorders>
            <w:shd w:val="clear" w:color="auto" w:fill="auto"/>
            <w:noWrap/>
            <w:vAlign w:val="bottom"/>
            <w:hideMark/>
          </w:tcPr>
          <w:p w14:paraId="307EA8AC"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619A0AF"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437,20</w:t>
            </w:r>
          </w:p>
        </w:tc>
        <w:tc>
          <w:tcPr>
            <w:tcW w:w="1400" w:type="dxa"/>
            <w:tcBorders>
              <w:top w:val="nil"/>
              <w:left w:val="nil"/>
              <w:bottom w:val="nil"/>
              <w:right w:val="nil"/>
            </w:tcBorders>
            <w:shd w:val="clear" w:color="auto" w:fill="auto"/>
            <w:noWrap/>
            <w:vAlign w:val="bottom"/>
            <w:hideMark/>
          </w:tcPr>
          <w:p w14:paraId="20361705"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70DF91E" w14:textId="77777777" w:rsidTr="00A360DB">
        <w:trPr>
          <w:trHeight w:val="240"/>
        </w:trPr>
        <w:tc>
          <w:tcPr>
            <w:tcW w:w="1697" w:type="dxa"/>
            <w:tcBorders>
              <w:top w:val="nil"/>
              <w:left w:val="nil"/>
              <w:bottom w:val="nil"/>
              <w:right w:val="nil"/>
            </w:tcBorders>
            <w:shd w:val="clear" w:color="auto" w:fill="auto"/>
            <w:noWrap/>
            <w:vAlign w:val="bottom"/>
            <w:hideMark/>
          </w:tcPr>
          <w:p w14:paraId="502F688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3212</w:t>
            </w:r>
          </w:p>
        </w:tc>
        <w:tc>
          <w:tcPr>
            <w:tcW w:w="8509" w:type="dxa"/>
            <w:tcBorders>
              <w:top w:val="nil"/>
              <w:left w:val="nil"/>
              <w:bottom w:val="nil"/>
              <w:right w:val="nil"/>
            </w:tcBorders>
            <w:shd w:val="clear" w:color="auto" w:fill="auto"/>
            <w:noWrap/>
            <w:vAlign w:val="bottom"/>
            <w:hideMark/>
          </w:tcPr>
          <w:p w14:paraId="45CA4FD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Naknade za prijevoz, za rad na terenu i odvojeni život                                              </w:t>
            </w:r>
          </w:p>
        </w:tc>
        <w:tc>
          <w:tcPr>
            <w:tcW w:w="1480" w:type="dxa"/>
            <w:tcBorders>
              <w:top w:val="nil"/>
              <w:left w:val="nil"/>
              <w:bottom w:val="nil"/>
              <w:right w:val="nil"/>
            </w:tcBorders>
            <w:shd w:val="clear" w:color="auto" w:fill="auto"/>
            <w:noWrap/>
            <w:vAlign w:val="bottom"/>
            <w:hideMark/>
          </w:tcPr>
          <w:p w14:paraId="7D651562"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29F25899"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686,40</w:t>
            </w:r>
          </w:p>
        </w:tc>
        <w:tc>
          <w:tcPr>
            <w:tcW w:w="1400" w:type="dxa"/>
            <w:tcBorders>
              <w:top w:val="nil"/>
              <w:left w:val="nil"/>
              <w:bottom w:val="nil"/>
              <w:right w:val="nil"/>
            </w:tcBorders>
            <w:shd w:val="clear" w:color="auto" w:fill="auto"/>
            <w:noWrap/>
            <w:vAlign w:val="bottom"/>
            <w:hideMark/>
          </w:tcPr>
          <w:p w14:paraId="513DB322"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E086DDF" w14:textId="77777777" w:rsidTr="00A360DB">
        <w:trPr>
          <w:trHeight w:val="240"/>
        </w:trPr>
        <w:tc>
          <w:tcPr>
            <w:tcW w:w="1697" w:type="dxa"/>
            <w:tcBorders>
              <w:top w:val="nil"/>
              <w:left w:val="nil"/>
              <w:bottom w:val="nil"/>
              <w:right w:val="nil"/>
            </w:tcBorders>
            <w:shd w:val="clear" w:color="auto" w:fill="auto"/>
            <w:noWrap/>
            <w:vAlign w:val="bottom"/>
            <w:hideMark/>
          </w:tcPr>
          <w:p w14:paraId="7E1ABE9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3291</w:t>
            </w:r>
          </w:p>
        </w:tc>
        <w:tc>
          <w:tcPr>
            <w:tcW w:w="8509" w:type="dxa"/>
            <w:tcBorders>
              <w:top w:val="nil"/>
              <w:left w:val="nil"/>
              <w:bottom w:val="nil"/>
              <w:right w:val="nil"/>
            </w:tcBorders>
            <w:shd w:val="clear" w:color="auto" w:fill="auto"/>
            <w:noWrap/>
            <w:vAlign w:val="bottom"/>
            <w:hideMark/>
          </w:tcPr>
          <w:p w14:paraId="630EF77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Naknade za rad predstavničkih i izvršnih tijela, povjerenstava i slično                             </w:t>
            </w:r>
          </w:p>
        </w:tc>
        <w:tc>
          <w:tcPr>
            <w:tcW w:w="1480" w:type="dxa"/>
            <w:tcBorders>
              <w:top w:val="nil"/>
              <w:left w:val="nil"/>
              <w:bottom w:val="nil"/>
              <w:right w:val="nil"/>
            </w:tcBorders>
            <w:shd w:val="clear" w:color="auto" w:fill="auto"/>
            <w:noWrap/>
            <w:vAlign w:val="bottom"/>
            <w:hideMark/>
          </w:tcPr>
          <w:p w14:paraId="5038115B"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11FE9F56"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5.945,04</w:t>
            </w:r>
          </w:p>
        </w:tc>
        <w:tc>
          <w:tcPr>
            <w:tcW w:w="1400" w:type="dxa"/>
            <w:tcBorders>
              <w:top w:val="nil"/>
              <w:left w:val="nil"/>
              <w:bottom w:val="nil"/>
              <w:right w:val="nil"/>
            </w:tcBorders>
            <w:shd w:val="clear" w:color="auto" w:fill="auto"/>
            <w:noWrap/>
            <w:vAlign w:val="bottom"/>
            <w:hideMark/>
          </w:tcPr>
          <w:p w14:paraId="70336075"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24F9F3F3" w14:textId="77777777" w:rsidTr="00A360DB">
        <w:trPr>
          <w:trHeight w:val="240"/>
        </w:trPr>
        <w:tc>
          <w:tcPr>
            <w:tcW w:w="1697" w:type="dxa"/>
            <w:tcBorders>
              <w:top w:val="nil"/>
              <w:left w:val="nil"/>
              <w:bottom w:val="nil"/>
              <w:right w:val="nil"/>
            </w:tcBorders>
            <w:shd w:val="clear" w:color="000000" w:fill="B4C6E7"/>
            <w:noWrap/>
            <w:vAlign w:val="bottom"/>
            <w:hideMark/>
          </w:tcPr>
          <w:p w14:paraId="246C1081"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A100103</w:t>
            </w:r>
          </w:p>
        </w:tc>
        <w:tc>
          <w:tcPr>
            <w:tcW w:w="8509" w:type="dxa"/>
            <w:tcBorders>
              <w:top w:val="nil"/>
              <w:left w:val="nil"/>
              <w:bottom w:val="nil"/>
              <w:right w:val="nil"/>
            </w:tcBorders>
            <w:shd w:val="clear" w:color="000000" w:fill="B4C6E7"/>
            <w:noWrap/>
            <w:vAlign w:val="bottom"/>
            <w:hideMark/>
          </w:tcPr>
          <w:p w14:paraId="60C1EE84"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Tekuća zaliha proračuna</w:t>
            </w:r>
          </w:p>
        </w:tc>
        <w:tc>
          <w:tcPr>
            <w:tcW w:w="1480" w:type="dxa"/>
            <w:tcBorders>
              <w:top w:val="nil"/>
              <w:left w:val="nil"/>
              <w:bottom w:val="nil"/>
              <w:right w:val="nil"/>
            </w:tcBorders>
            <w:shd w:val="clear" w:color="000000" w:fill="B4C6E7"/>
            <w:noWrap/>
            <w:vAlign w:val="bottom"/>
            <w:hideMark/>
          </w:tcPr>
          <w:p w14:paraId="0AE82D0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4.000,00</w:t>
            </w:r>
          </w:p>
        </w:tc>
        <w:tc>
          <w:tcPr>
            <w:tcW w:w="1380" w:type="dxa"/>
            <w:tcBorders>
              <w:top w:val="nil"/>
              <w:left w:val="nil"/>
              <w:bottom w:val="nil"/>
              <w:right w:val="nil"/>
            </w:tcBorders>
            <w:shd w:val="clear" w:color="000000" w:fill="B4C6E7"/>
            <w:noWrap/>
            <w:vAlign w:val="bottom"/>
            <w:hideMark/>
          </w:tcPr>
          <w:p w14:paraId="081313D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c>
          <w:tcPr>
            <w:tcW w:w="1400" w:type="dxa"/>
            <w:tcBorders>
              <w:top w:val="nil"/>
              <w:left w:val="nil"/>
              <w:bottom w:val="nil"/>
              <w:right w:val="nil"/>
            </w:tcBorders>
            <w:shd w:val="clear" w:color="000000" w:fill="B4C6E7"/>
            <w:noWrap/>
            <w:vAlign w:val="bottom"/>
            <w:hideMark/>
          </w:tcPr>
          <w:p w14:paraId="5EEC295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r>
      <w:tr w:rsidR="00A360DB" w:rsidRPr="00A360DB" w14:paraId="675A0BE1"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24107DDB"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27B90676"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4.000,00</w:t>
            </w:r>
          </w:p>
        </w:tc>
        <w:tc>
          <w:tcPr>
            <w:tcW w:w="1380" w:type="dxa"/>
            <w:tcBorders>
              <w:top w:val="nil"/>
              <w:left w:val="nil"/>
              <w:bottom w:val="nil"/>
              <w:right w:val="nil"/>
            </w:tcBorders>
            <w:shd w:val="clear" w:color="auto" w:fill="auto"/>
            <w:noWrap/>
            <w:vAlign w:val="bottom"/>
            <w:hideMark/>
          </w:tcPr>
          <w:p w14:paraId="0039B6C9"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0,00</w:t>
            </w:r>
          </w:p>
        </w:tc>
        <w:tc>
          <w:tcPr>
            <w:tcW w:w="1400" w:type="dxa"/>
            <w:tcBorders>
              <w:top w:val="nil"/>
              <w:left w:val="nil"/>
              <w:bottom w:val="nil"/>
              <w:right w:val="nil"/>
            </w:tcBorders>
            <w:shd w:val="clear" w:color="auto" w:fill="auto"/>
            <w:noWrap/>
            <w:vAlign w:val="bottom"/>
            <w:hideMark/>
          </w:tcPr>
          <w:p w14:paraId="4125EF4C"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0,00%</w:t>
            </w:r>
          </w:p>
        </w:tc>
      </w:tr>
      <w:tr w:rsidR="00A360DB" w:rsidRPr="00A360DB" w14:paraId="493F3906"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48693BA"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39DE0A02"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4.000,00</w:t>
            </w:r>
          </w:p>
        </w:tc>
        <w:tc>
          <w:tcPr>
            <w:tcW w:w="1380" w:type="dxa"/>
            <w:tcBorders>
              <w:top w:val="nil"/>
              <w:left w:val="nil"/>
              <w:bottom w:val="nil"/>
              <w:right w:val="nil"/>
            </w:tcBorders>
            <w:shd w:val="clear" w:color="auto" w:fill="auto"/>
            <w:noWrap/>
            <w:vAlign w:val="bottom"/>
            <w:hideMark/>
          </w:tcPr>
          <w:p w14:paraId="1632B47D"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0,00</w:t>
            </w:r>
          </w:p>
        </w:tc>
        <w:tc>
          <w:tcPr>
            <w:tcW w:w="1400" w:type="dxa"/>
            <w:tcBorders>
              <w:top w:val="nil"/>
              <w:left w:val="nil"/>
              <w:bottom w:val="nil"/>
              <w:right w:val="nil"/>
            </w:tcBorders>
            <w:shd w:val="clear" w:color="auto" w:fill="auto"/>
            <w:noWrap/>
            <w:vAlign w:val="bottom"/>
            <w:hideMark/>
          </w:tcPr>
          <w:p w14:paraId="3242D702"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0,00%</w:t>
            </w:r>
          </w:p>
        </w:tc>
      </w:tr>
      <w:tr w:rsidR="00A360DB" w:rsidRPr="00A360DB" w14:paraId="055DADCD" w14:textId="77777777" w:rsidTr="00A360DB">
        <w:trPr>
          <w:trHeight w:val="240"/>
        </w:trPr>
        <w:tc>
          <w:tcPr>
            <w:tcW w:w="1697" w:type="dxa"/>
            <w:tcBorders>
              <w:top w:val="nil"/>
              <w:left w:val="nil"/>
              <w:bottom w:val="nil"/>
              <w:right w:val="nil"/>
            </w:tcBorders>
            <w:shd w:val="clear" w:color="auto" w:fill="auto"/>
            <w:noWrap/>
            <w:vAlign w:val="bottom"/>
            <w:hideMark/>
          </w:tcPr>
          <w:p w14:paraId="197B7818"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38</w:t>
            </w:r>
          </w:p>
        </w:tc>
        <w:tc>
          <w:tcPr>
            <w:tcW w:w="8509" w:type="dxa"/>
            <w:tcBorders>
              <w:top w:val="nil"/>
              <w:left w:val="nil"/>
              <w:bottom w:val="nil"/>
              <w:right w:val="nil"/>
            </w:tcBorders>
            <w:shd w:val="clear" w:color="auto" w:fill="auto"/>
            <w:noWrap/>
            <w:vAlign w:val="bottom"/>
            <w:hideMark/>
          </w:tcPr>
          <w:p w14:paraId="30BAED30"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Ostali rashodi                                                                                      </w:t>
            </w:r>
          </w:p>
        </w:tc>
        <w:tc>
          <w:tcPr>
            <w:tcW w:w="1480" w:type="dxa"/>
            <w:tcBorders>
              <w:top w:val="nil"/>
              <w:left w:val="nil"/>
              <w:bottom w:val="nil"/>
              <w:right w:val="nil"/>
            </w:tcBorders>
            <w:shd w:val="clear" w:color="auto" w:fill="auto"/>
            <w:noWrap/>
            <w:vAlign w:val="bottom"/>
            <w:hideMark/>
          </w:tcPr>
          <w:p w14:paraId="0E2A145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4.000,00</w:t>
            </w:r>
          </w:p>
        </w:tc>
        <w:tc>
          <w:tcPr>
            <w:tcW w:w="1380" w:type="dxa"/>
            <w:tcBorders>
              <w:top w:val="nil"/>
              <w:left w:val="nil"/>
              <w:bottom w:val="nil"/>
              <w:right w:val="nil"/>
            </w:tcBorders>
            <w:shd w:val="clear" w:color="auto" w:fill="auto"/>
            <w:noWrap/>
            <w:vAlign w:val="bottom"/>
            <w:hideMark/>
          </w:tcPr>
          <w:p w14:paraId="7F5A450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c>
          <w:tcPr>
            <w:tcW w:w="1400" w:type="dxa"/>
            <w:tcBorders>
              <w:top w:val="nil"/>
              <w:left w:val="nil"/>
              <w:bottom w:val="nil"/>
              <w:right w:val="nil"/>
            </w:tcBorders>
            <w:shd w:val="clear" w:color="auto" w:fill="auto"/>
            <w:noWrap/>
            <w:vAlign w:val="bottom"/>
            <w:hideMark/>
          </w:tcPr>
          <w:p w14:paraId="451658E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r>
      <w:tr w:rsidR="00A360DB" w:rsidRPr="00A360DB" w14:paraId="5EF46248" w14:textId="77777777" w:rsidTr="00A360DB">
        <w:trPr>
          <w:trHeight w:val="240"/>
        </w:trPr>
        <w:tc>
          <w:tcPr>
            <w:tcW w:w="1697" w:type="dxa"/>
            <w:tcBorders>
              <w:top w:val="nil"/>
              <w:left w:val="nil"/>
              <w:bottom w:val="nil"/>
              <w:right w:val="nil"/>
            </w:tcBorders>
            <w:shd w:val="clear" w:color="000000" w:fill="B4C6E7"/>
            <w:noWrap/>
            <w:vAlign w:val="bottom"/>
            <w:hideMark/>
          </w:tcPr>
          <w:p w14:paraId="75E14C10"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A100104</w:t>
            </w:r>
          </w:p>
        </w:tc>
        <w:tc>
          <w:tcPr>
            <w:tcW w:w="8509" w:type="dxa"/>
            <w:tcBorders>
              <w:top w:val="nil"/>
              <w:left w:val="nil"/>
              <w:bottom w:val="nil"/>
              <w:right w:val="nil"/>
            </w:tcBorders>
            <w:shd w:val="clear" w:color="000000" w:fill="B4C6E7"/>
            <w:noWrap/>
            <w:vAlign w:val="bottom"/>
            <w:hideMark/>
          </w:tcPr>
          <w:p w14:paraId="5F3003A9"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Obilježavanje dana Grada Garešnica</w:t>
            </w:r>
          </w:p>
        </w:tc>
        <w:tc>
          <w:tcPr>
            <w:tcW w:w="1480" w:type="dxa"/>
            <w:tcBorders>
              <w:top w:val="nil"/>
              <w:left w:val="nil"/>
              <w:bottom w:val="nil"/>
              <w:right w:val="nil"/>
            </w:tcBorders>
            <w:shd w:val="clear" w:color="000000" w:fill="B4C6E7"/>
            <w:noWrap/>
            <w:vAlign w:val="bottom"/>
            <w:hideMark/>
          </w:tcPr>
          <w:p w14:paraId="5009625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17.690,00</w:t>
            </w:r>
          </w:p>
        </w:tc>
        <w:tc>
          <w:tcPr>
            <w:tcW w:w="1380" w:type="dxa"/>
            <w:tcBorders>
              <w:top w:val="nil"/>
              <w:left w:val="nil"/>
              <w:bottom w:val="nil"/>
              <w:right w:val="nil"/>
            </w:tcBorders>
            <w:shd w:val="clear" w:color="000000" w:fill="B4C6E7"/>
            <w:noWrap/>
            <w:vAlign w:val="bottom"/>
            <w:hideMark/>
          </w:tcPr>
          <w:p w14:paraId="130F0F7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17.447,97</w:t>
            </w:r>
          </w:p>
        </w:tc>
        <w:tc>
          <w:tcPr>
            <w:tcW w:w="1400" w:type="dxa"/>
            <w:tcBorders>
              <w:top w:val="nil"/>
              <w:left w:val="nil"/>
              <w:bottom w:val="nil"/>
              <w:right w:val="nil"/>
            </w:tcBorders>
            <w:shd w:val="clear" w:color="000000" w:fill="B4C6E7"/>
            <w:noWrap/>
            <w:vAlign w:val="bottom"/>
            <w:hideMark/>
          </w:tcPr>
          <w:p w14:paraId="43D1B40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98,63%</w:t>
            </w:r>
          </w:p>
        </w:tc>
      </w:tr>
      <w:tr w:rsidR="00A360DB" w:rsidRPr="00A360DB" w14:paraId="542E28E3"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06B5A04"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116940F2"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17.690,00</w:t>
            </w:r>
          </w:p>
        </w:tc>
        <w:tc>
          <w:tcPr>
            <w:tcW w:w="1380" w:type="dxa"/>
            <w:tcBorders>
              <w:top w:val="nil"/>
              <w:left w:val="nil"/>
              <w:bottom w:val="nil"/>
              <w:right w:val="nil"/>
            </w:tcBorders>
            <w:shd w:val="clear" w:color="auto" w:fill="auto"/>
            <w:noWrap/>
            <w:vAlign w:val="bottom"/>
            <w:hideMark/>
          </w:tcPr>
          <w:p w14:paraId="0DED3033"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17.447,97</w:t>
            </w:r>
          </w:p>
        </w:tc>
        <w:tc>
          <w:tcPr>
            <w:tcW w:w="1400" w:type="dxa"/>
            <w:tcBorders>
              <w:top w:val="nil"/>
              <w:left w:val="nil"/>
              <w:bottom w:val="nil"/>
              <w:right w:val="nil"/>
            </w:tcBorders>
            <w:shd w:val="clear" w:color="auto" w:fill="auto"/>
            <w:noWrap/>
            <w:vAlign w:val="bottom"/>
            <w:hideMark/>
          </w:tcPr>
          <w:p w14:paraId="5F5ED56A"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98,63%</w:t>
            </w:r>
          </w:p>
        </w:tc>
      </w:tr>
      <w:tr w:rsidR="00A360DB" w:rsidRPr="00A360DB" w14:paraId="42A27BBC"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9E35D17"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7276FFE9"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17.690,00</w:t>
            </w:r>
          </w:p>
        </w:tc>
        <w:tc>
          <w:tcPr>
            <w:tcW w:w="1380" w:type="dxa"/>
            <w:tcBorders>
              <w:top w:val="nil"/>
              <w:left w:val="nil"/>
              <w:bottom w:val="nil"/>
              <w:right w:val="nil"/>
            </w:tcBorders>
            <w:shd w:val="clear" w:color="auto" w:fill="auto"/>
            <w:noWrap/>
            <w:vAlign w:val="bottom"/>
            <w:hideMark/>
          </w:tcPr>
          <w:p w14:paraId="5A449590"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17.447,97</w:t>
            </w:r>
          </w:p>
        </w:tc>
        <w:tc>
          <w:tcPr>
            <w:tcW w:w="1400" w:type="dxa"/>
            <w:tcBorders>
              <w:top w:val="nil"/>
              <w:left w:val="nil"/>
              <w:bottom w:val="nil"/>
              <w:right w:val="nil"/>
            </w:tcBorders>
            <w:shd w:val="clear" w:color="auto" w:fill="auto"/>
            <w:noWrap/>
            <w:vAlign w:val="bottom"/>
            <w:hideMark/>
          </w:tcPr>
          <w:p w14:paraId="142AA256"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98,63%</w:t>
            </w:r>
          </w:p>
        </w:tc>
      </w:tr>
      <w:tr w:rsidR="00A360DB" w:rsidRPr="00A360DB" w14:paraId="05CDA0AA" w14:textId="77777777" w:rsidTr="00A360DB">
        <w:trPr>
          <w:trHeight w:val="240"/>
        </w:trPr>
        <w:tc>
          <w:tcPr>
            <w:tcW w:w="1697" w:type="dxa"/>
            <w:tcBorders>
              <w:top w:val="nil"/>
              <w:left w:val="nil"/>
              <w:bottom w:val="nil"/>
              <w:right w:val="nil"/>
            </w:tcBorders>
            <w:shd w:val="clear" w:color="auto" w:fill="auto"/>
            <w:noWrap/>
            <w:vAlign w:val="bottom"/>
            <w:hideMark/>
          </w:tcPr>
          <w:p w14:paraId="6E71A181"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184DB34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77E33CF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17.690,00</w:t>
            </w:r>
          </w:p>
        </w:tc>
        <w:tc>
          <w:tcPr>
            <w:tcW w:w="1380" w:type="dxa"/>
            <w:tcBorders>
              <w:top w:val="nil"/>
              <w:left w:val="nil"/>
              <w:bottom w:val="nil"/>
              <w:right w:val="nil"/>
            </w:tcBorders>
            <w:shd w:val="clear" w:color="auto" w:fill="auto"/>
            <w:noWrap/>
            <w:vAlign w:val="bottom"/>
            <w:hideMark/>
          </w:tcPr>
          <w:p w14:paraId="63A8082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17.447,97</w:t>
            </w:r>
          </w:p>
        </w:tc>
        <w:tc>
          <w:tcPr>
            <w:tcW w:w="1400" w:type="dxa"/>
            <w:tcBorders>
              <w:top w:val="nil"/>
              <w:left w:val="nil"/>
              <w:bottom w:val="nil"/>
              <w:right w:val="nil"/>
            </w:tcBorders>
            <w:shd w:val="clear" w:color="auto" w:fill="auto"/>
            <w:noWrap/>
            <w:vAlign w:val="bottom"/>
            <w:hideMark/>
          </w:tcPr>
          <w:p w14:paraId="404DDAB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98,63%</w:t>
            </w:r>
          </w:p>
        </w:tc>
      </w:tr>
      <w:tr w:rsidR="00A360DB" w:rsidRPr="00A360DB" w14:paraId="3ABC0B35" w14:textId="77777777" w:rsidTr="00A360DB">
        <w:trPr>
          <w:trHeight w:val="240"/>
        </w:trPr>
        <w:tc>
          <w:tcPr>
            <w:tcW w:w="1697" w:type="dxa"/>
            <w:tcBorders>
              <w:top w:val="nil"/>
              <w:left w:val="nil"/>
              <w:bottom w:val="nil"/>
              <w:right w:val="nil"/>
            </w:tcBorders>
            <w:shd w:val="clear" w:color="auto" w:fill="auto"/>
            <w:noWrap/>
            <w:vAlign w:val="bottom"/>
            <w:hideMark/>
          </w:tcPr>
          <w:p w14:paraId="3C9953F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3239</w:t>
            </w:r>
          </w:p>
        </w:tc>
        <w:tc>
          <w:tcPr>
            <w:tcW w:w="8509" w:type="dxa"/>
            <w:tcBorders>
              <w:top w:val="nil"/>
              <w:left w:val="nil"/>
              <w:bottom w:val="nil"/>
              <w:right w:val="nil"/>
            </w:tcBorders>
            <w:shd w:val="clear" w:color="auto" w:fill="auto"/>
            <w:noWrap/>
            <w:vAlign w:val="bottom"/>
            <w:hideMark/>
          </w:tcPr>
          <w:p w14:paraId="61377CD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Ostale usluge                                                                                       </w:t>
            </w:r>
          </w:p>
        </w:tc>
        <w:tc>
          <w:tcPr>
            <w:tcW w:w="1480" w:type="dxa"/>
            <w:tcBorders>
              <w:top w:val="nil"/>
              <w:left w:val="nil"/>
              <w:bottom w:val="nil"/>
              <w:right w:val="nil"/>
            </w:tcBorders>
            <w:shd w:val="clear" w:color="auto" w:fill="auto"/>
            <w:noWrap/>
            <w:vAlign w:val="bottom"/>
            <w:hideMark/>
          </w:tcPr>
          <w:p w14:paraId="28BCB725"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ACAD005"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3.612,47</w:t>
            </w:r>
          </w:p>
        </w:tc>
        <w:tc>
          <w:tcPr>
            <w:tcW w:w="1400" w:type="dxa"/>
            <w:tcBorders>
              <w:top w:val="nil"/>
              <w:left w:val="nil"/>
              <w:bottom w:val="nil"/>
              <w:right w:val="nil"/>
            </w:tcBorders>
            <w:shd w:val="clear" w:color="auto" w:fill="auto"/>
            <w:noWrap/>
            <w:vAlign w:val="bottom"/>
            <w:hideMark/>
          </w:tcPr>
          <w:p w14:paraId="019B37E5"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05D3F43" w14:textId="77777777" w:rsidTr="00A360DB">
        <w:trPr>
          <w:trHeight w:val="240"/>
        </w:trPr>
        <w:tc>
          <w:tcPr>
            <w:tcW w:w="1697" w:type="dxa"/>
            <w:tcBorders>
              <w:top w:val="nil"/>
              <w:left w:val="nil"/>
              <w:bottom w:val="nil"/>
              <w:right w:val="nil"/>
            </w:tcBorders>
            <w:shd w:val="clear" w:color="auto" w:fill="auto"/>
            <w:noWrap/>
            <w:vAlign w:val="bottom"/>
            <w:hideMark/>
          </w:tcPr>
          <w:p w14:paraId="5B06C0E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3293</w:t>
            </w:r>
          </w:p>
        </w:tc>
        <w:tc>
          <w:tcPr>
            <w:tcW w:w="8509" w:type="dxa"/>
            <w:tcBorders>
              <w:top w:val="nil"/>
              <w:left w:val="nil"/>
              <w:bottom w:val="nil"/>
              <w:right w:val="nil"/>
            </w:tcBorders>
            <w:shd w:val="clear" w:color="auto" w:fill="auto"/>
            <w:noWrap/>
            <w:vAlign w:val="bottom"/>
            <w:hideMark/>
          </w:tcPr>
          <w:p w14:paraId="2D2247C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Reprezentacija                                                                                      </w:t>
            </w:r>
          </w:p>
        </w:tc>
        <w:tc>
          <w:tcPr>
            <w:tcW w:w="1480" w:type="dxa"/>
            <w:tcBorders>
              <w:top w:val="nil"/>
              <w:left w:val="nil"/>
              <w:bottom w:val="nil"/>
              <w:right w:val="nil"/>
            </w:tcBorders>
            <w:shd w:val="clear" w:color="auto" w:fill="auto"/>
            <w:noWrap/>
            <w:vAlign w:val="bottom"/>
            <w:hideMark/>
          </w:tcPr>
          <w:p w14:paraId="1727DD62"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F64AE66"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13.165,50</w:t>
            </w:r>
          </w:p>
        </w:tc>
        <w:tc>
          <w:tcPr>
            <w:tcW w:w="1400" w:type="dxa"/>
            <w:tcBorders>
              <w:top w:val="nil"/>
              <w:left w:val="nil"/>
              <w:bottom w:val="nil"/>
              <w:right w:val="nil"/>
            </w:tcBorders>
            <w:shd w:val="clear" w:color="auto" w:fill="auto"/>
            <w:noWrap/>
            <w:vAlign w:val="bottom"/>
            <w:hideMark/>
          </w:tcPr>
          <w:p w14:paraId="048368EF"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AD470E4" w14:textId="77777777" w:rsidTr="00A360DB">
        <w:trPr>
          <w:trHeight w:val="240"/>
        </w:trPr>
        <w:tc>
          <w:tcPr>
            <w:tcW w:w="1697" w:type="dxa"/>
            <w:tcBorders>
              <w:top w:val="nil"/>
              <w:left w:val="nil"/>
              <w:bottom w:val="nil"/>
              <w:right w:val="nil"/>
            </w:tcBorders>
            <w:shd w:val="clear" w:color="auto" w:fill="auto"/>
            <w:noWrap/>
            <w:vAlign w:val="bottom"/>
            <w:hideMark/>
          </w:tcPr>
          <w:p w14:paraId="5450CE25"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lastRenderedPageBreak/>
              <w:t>3299</w:t>
            </w:r>
          </w:p>
        </w:tc>
        <w:tc>
          <w:tcPr>
            <w:tcW w:w="8509" w:type="dxa"/>
            <w:tcBorders>
              <w:top w:val="nil"/>
              <w:left w:val="nil"/>
              <w:bottom w:val="nil"/>
              <w:right w:val="nil"/>
            </w:tcBorders>
            <w:shd w:val="clear" w:color="auto" w:fill="auto"/>
            <w:noWrap/>
            <w:vAlign w:val="bottom"/>
            <w:hideMark/>
          </w:tcPr>
          <w:p w14:paraId="3B01555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Ostali nespomenuti rashodi poslovanja                                                               </w:t>
            </w:r>
          </w:p>
        </w:tc>
        <w:tc>
          <w:tcPr>
            <w:tcW w:w="1480" w:type="dxa"/>
            <w:tcBorders>
              <w:top w:val="nil"/>
              <w:left w:val="nil"/>
              <w:bottom w:val="nil"/>
              <w:right w:val="nil"/>
            </w:tcBorders>
            <w:shd w:val="clear" w:color="auto" w:fill="auto"/>
            <w:noWrap/>
            <w:vAlign w:val="bottom"/>
            <w:hideMark/>
          </w:tcPr>
          <w:p w14:paraId="3D345DD3"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1D00325C"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670,00</w:t>
            </w:r>
          </w:p>
        </w:tc>
        <w:tc>
          <w:tcPr>
            <w:tcW w:w="1400" w:type="dxa"/>
            <w:tcBorders>
              <w:top w:val="nil"/>
              <w:left w:val="nil"/>
              <w:bottom w:val="nil"/>
              <w:right w:val="nil"/>
            </w:tcBorders>
            <w:shd w:val="clear" w:color="auto" w:fill="auto"/>
            <w:noWrap/>
            <w:vAlign w:val="bottom"/>
            <w:hideMark/>
          </w:tcPr>
          <w:p w14:paraId="2B98AA92"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2FF6F182" w14:textId="77777777" w:rsidTr="00A360DB">
        <w:trPr>
          <w:trHeight w:val="240"/>
        </w:trPr>
        <w:tc>
          <w:tcPr>
            <w:tcW w:w="1697" w:type="dxa"/>
            <w:tcBorders>
              <w:top w:val="nil"/>
              <w:left w:val="nil"/>
              <w:bottom w:val="nil"/>
              <w:right w:val="nil"/>
            </w:tcBorders>
            <w:shd w:val="clear" w:color="000000" w:fill="B4C6E7"/>
            <w:noWrap/>
            <w:vAlign w:val="bottom"/>
            <w:hideMark/>
          </w:tcPr>
          <w:p w14:paraId="62FBAA1A"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A100105</w:t>
            </w:r>
          </w:p>
        </w:tc>
        <w:tc>
          <w:tcPr>
            <w:tcW w:w="8509" w:type="dxa"/>
            <w:tcBorders>
              <w:top w:val="nil"/>
              <w:left w:val="nil"/>
              <w:bottom w:val="nil"/>
              <w:right w:val="nil"/>
            </w:tcBorders>
            <w:shd w:val="clear" w:color="000000" w:fill="B4C6E7"/>
            <w:noWrap/>
            <w:vAlign w:val="bottom"/>
            <w:hideMark/>
          </w:tcPr>
          <w:p w14:paraId="6BB98807"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Obilježavanje prigodnih datuma, obljetnica, događanja i sl.</w:t>
            </w:r>
          </w:p>
        </w:tc>
        <w:tc>
          <w:tcPr>
            <w:tcW w:w="1480" w:type="dxa"/>
            <w:tcBorders>
              <w:top w:val="nil"/>
              <w:left w:val="nil"/>
              <w:bottom w:val="nil"/>
              <w:right w:val="nil"/>
            </w:tcBorders>
            <w:shd w:val="clear" w:color="000000" w:fill="B4C6E7"/>
            <w:noWrap/>
            <w:vAlign w:val="bottom"/>
            <w:hideMark/>
          </w:tcPr>
          <w:p w14:paraId="47A4538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33.000,00</w:t>
            </w:r>
          </w:p>
        </w:tc>
        <w:tc>
          <w:tcPr>
            <w:tcW w:w="1380" w:type="dxa"/>
            <w:tcBorders>
              <w:top w:val="nil"/>
              <w:left w:val="nil"/>
              <w:bottom w:val="nil"/>
              <w:right w:val="nil"/>
            </w:tcBorders>
            <w:shd w:val="clear" w:color="000000" w:fill="B4C6E7"/>
            <w:noWrap/>
            <w:vAlign w:val="bottom"/>
            <w:hideMark/>
          </w:tcPr>
          <w:p w14:paraId="06262E5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25.348,45</w:t>
            </w:r>
          </w:p>
        </w:tc>
        <w:tc>
          <w:tcPr>
            <w:tcW w:w="1400" w:type="dxa"/>
            <w:tcBorders>
              <w:top w:val="nil"/>
              <w:left w:val="nil"/>
              <w:bottom w:val="nil"/>
              <w:right w:val="nil"/>
            </w:tcBorders>
            <w:shd w:val="clear" w:color="000000" w:fill="B4C6E7"/>
            <w:noWrap/>
            <w:vAlign w:val="bottom"/>
            <w:hideMark/>
          </w:tcPr>
          <w:p w14:paraId="01CCFC4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76,81%</w:t>
            </w:r>
          </w:p>
        </w:tc>
      </w:tr>
      <w:tr w:rsidR="00A360DB" w:rsidRPr="00A360DB" w14:paraId="4222DE5B"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2F9BC72C"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06349D48"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33.000,00</w:t>
            </w:r>
          </w:p>
        </w:tc>
        <w:tc>
          <w:tcPr>
            <w:tcW w:w="1380" w:type="dxa"/>
            <w:tcBorders>
              <w:top w:val="nil"/>
              <w:left w:val="nil"/>
              <w:bottom w:val="nil"/>
              <w:right w:val="nil"/>
            </w:tcBorders>
            <w:shd w:val="clear" w:color="auto" w:fill="auto"/>
            <w:noWrap/>
            <w:vAlign w:val="bottom"/>
            <w:hideMark/>
          </w:tcPr>
          <w:p w14:paraId="2B8292C6"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25.348,45</w:t>
            </w:r>
          </w:p>
        </w:tc>
        <w:tc>
          <w:tcPr>
            <w:tcW w:w="1400" w:type="dxa"/>
            <w:tcBorders>
              <w:top w:val="nil"/>
              <w:left w:val="nil"/>
              <w:bottom w:val="nil"/>
              <w:right w:val="nil"/>
            </w:tcBorders>
            <w:shd w:val="clear" w:color="auto" w:fill="auto"/>
            <w:noWrap/>
            <w:vAlign w:val="bottom"/>
            <w:hideMark/>
          </w:tcPr>
          <w:p w14:paraId="4B457192"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76,81%</w:t>
            </w:r>
          </w:p>
        </w:tc>
      </w:tr>
      <w:tr w:rsidR="00A360DB" w:rsidRPr="00A360DB" w14:paraId="761CA44F"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EB92D9D"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3117B0BC"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33.000,00</w:t>
            </w:r>
          </w:p>
        </w:tc>
        <w:tc>
          <w:tcPr>
            <w:tcW w:w="1380" w:type="dxa"/>
            <w:tcBorders>
              <w:top w:val="nil"/>
              <w:left w:val="nil"/>
              <w:bottom w:val="nil"/>
              <w:right w:val="nil"/>
            </w:tcBorders>
            <w:shd w:val="clear" w:color="auto" w:fill="auto"/>
            <w:noWrap/>
            <w:vAlign w:val="bottom"/>
            <w:hideMark/>
          </w:tcPr>
          <w:p w14:paraId="74E3E7D2"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25.348,45</w:t>
            </w:r>
          </w:p>
        </w:tc>
        <w:tc>
          <w:tcPr>
            <w:tcW w:w="1400" w:type="dxa"/>
            <w:tcBorders>
              <w:top w:val="nil"/>
              <w:left w:val="nil"/>
              <w:bottom w:val="nil"/>
              <w:right w:val="nil"/>
            </w:tcBorders>
            <w:shd w:val="clear" w:color="auto" w:fill="auto"/>
            <w:noWrap/>
            <w:vAlign w:val="bottom"/>
            <w:hideMark/>
          </w:tcPr>
          <w:p w14:paraId="66416716"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76,81%</w:t>
            </w:r>
          </w:p>
        </w:tc>
      </w:tr>
      <w:tr w:rsidR="00A360DB" w:rsidRPr="00A360DB" w14:paraId="734813F1" w14:textId="77777777" w:rsidTr="00A360DB">
        <w:trPr>
          <w:trHeight w:val="240"/>
        </w:trPr>
        <w:tc>
          <w:tcPr>
            <w:tcW w:w="1697" w:type="dxa"/>
            <w:tcBorders>
              <w:top w:val="nil"/>
              <w:left w:val="nil"/>
              <w:bottom w:val="nil"/>
              <w:right w:val="nil"/>
            </w:tcBorders>
            <w:shd w:val="clear" w:color="auto" w:fill="auto"/>
            <w:noWrap/>
            <w:vAlign w:val="bottom"/>
            <w:hideMark/>
          </w:tcPr>
          <w:p w14:paraId="43D86B6D"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609E10D5"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2AF8AC3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33.000,00</w:t>
            </w:r>
          </w:p>
        </w:tc>
        <w:tc>
          <w:tcPr>
            <w:tcW w:w="1380" w:type="dxa"/>
            <w:tcBorders>
              <w:top w:val="nil"/>
              <w:left w:val="nil"/>
              <w:bottom w:val="nil"/>
              <w:right w:val="nil"/>
            </w:tcBorders>
            <w:shd w:val="clear" w:color="auto" w:fill="auto"/>
            <w:noWrap/>
            <w:vAlign w:val="bottom"/>
            <w:hideMark/>
          </w:tcPr>
          <w:p w14:paraId="20F3CF5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25.348,45</w:t>
            </w:r>
          </w:p>
        </w:tc>
        <w:tc>
          <w:tcPr>
            <w:tcW w:w="1400" w:type="dxa"/>
            <w:tcBorders>
              <w:top w:val="nil"/>
              <w:left w:val="nil"/>
              <w:bottom w:val="nil"/>
              <w:right w:val="nil"/>
            </w:tcBorders>
            <w:shd w:val="clear" w:color="auto" w:fill="auto"/>
            <w:noWrap/>
            <w:vAlign w:val="bottom"/>
            <w:hideMark/>
          </w:tcPr>
          <w:p w14:paraId="44650A4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76,81%</w:t>
            </w:r>
          </w:p>
        </w:tc>
      </w:tr>
      <w:tr w:rsidR="00A360DB" w:rsidRPr="00A360DB" w14:paraId="1B5855B6" w14:textId="77777777" w:rsidTr="00A360DB">
        <w:trPr>
          <w:trHeight w:val="240"/>
        </w:trPr>
        <w:tc>
          <w:tcPr>
            <w:tcW w:w="1697" w:type="dxa"/>
            <w:tcBorders>
              <w:top w:val="nil"/>
              <w:left w:val="nil"/>
              <w:bottom w:val="nil"/>
              <w:right w:val="nil"/>
            </w:tcBorders>
            <w:shd w:val="clear" w:color="auto" w:fill="auto"/>
            <w:noWrap/>
            <w:vAlign w:val="bottom"/>
            <w:hideMark/>
          </w:tcPr>
          <w:p w14:paraId="2F31EFB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3222</w:t>
            </w:r>
          </w:p>
        </w:tc>
        <w:tc>
          <w:tcPr>
            <w:tcW w:w="8509" w:type="dxa"/>
            <w:tcBorders>
              <w:top w:val="nil"/>
              <w:left w:val="nil"/>
              <w:bottom w:val="nil"/>
              <w:right w:val="nil"/>
            </w:tcBorders>
            <w:shd w:val="clear" w:color="auto" w:fill="auto"/>
            <w:noWrap/>
            <w:vAlign w:val="bottom"/>
            <w:hideMark/>
          </w:tcPr>
          <w:p w14:paraId="29C57647"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Materijal i sirovine                                                                                </w:t>
            </w:r>
          </w:p>
        </w:tc>
        <w:tc>
          <w:tcPr>
            <w:tcW w:w="1480" w:type="dxa"/>
            <w:tcBorders>
              <w:top w:val="nil"/>
              <w:left w:val="nil"/>
              <w:bottom w:val="nil"/>
              <w:right w:val="nil"/>
            </w:tcBorders>
            <w:shd w:val="clear" w:color="auto" w:fill="auto"/>
            <w:noWrap/>
            <w:vAlign w:val="bottom"/>
            <w:hideMark/>
          </w:tcPr>
          <w:p w14:paraId="175749E0"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AB9E62D"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3.548,19</w:t>
            </w:r>
          </w:p>
        </w:tc>
        <w:tc>
          <w:tcPr>
            <w:tcW w:w="1400" w:type="dxa"/>
            <w:tcBorders>
              <w:top w:val="nil"/>
              <w:left w:val="nil"/>
              <w:bottom w:val="nil"/>
              <w:right w:val="nil"/>
            </w:tcBorders>
            <w:shd w:val="clear" w:color="auto" w:fill="auto"/>
            <w:noWrap/>
            <w:vAlign w:val="bottom"/>
            <w:hideMark/>
          </w:tcPr>
          <w:p w14:paraId="18C010FC"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B27F640" w14:textId="77777777" w:rsidTr="00A360DB">
        <w:trPr>
          <w:trHeight w:val="240"/>
        </w:trPr>
        <w:tc>
          <w:tcPr>
            <w:tcW w:w="1697" w:type="dxa"/>
            <w:tcBorders>
              <w:top w:val="nil"/>
              <w:left w:val="nil"/>
              <w:bottom w:val="nil"/>
              <w:right w:val="nil"/>
            </w:tcBorders>
            <w:shd w:val="clear" w:color="auto" w:fill="auto"/>
            <w:noWrap/>
            <w:vAlign w:val="bottom"/>
            <w:hideMark/>
          </w:tcPr>
          <w:p w14:paraId="26DCE98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3231</w:t>
            </w:r>
          </w:p>
        </w:tc>
        <w:tc>
          <w:tcPr>
            <w:tcW w:w="8509" w:type="dxa"/>
            <w:tcBorders>
              <w:top w:val="nil"/>
              <w:left w:val="nil"/>
              <w:bottom w:val="nil"/>
              <w:right w:val="nil"/>
            </w:tcBorders>
            <w:shd w:val="clear" w:color="auto" w:fill="auto"/>
            <w:noWrap/>
            <w:vAlign w:val="bottom"/>
            <w:hideMark/>
          </w:tcPr>
          <w:p w14:paraId="03F6D12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Usluge telefona, pošte i prijevoza                                                                  </w:t>
            </w:r>
          </w:p>
        </w:tc>
        <w:tc>
          <w:tcPr>
            <w:tcW w:w="1480" w:type="dxa"/>
            <w:tcBorders>
              <w:top w:val="nil"/>
              <w:left w:val="nil"/>
              <w:bottom w:val="nil"/>
              <w:right w:val="nil"/>
            </w:tcBorders>
            <w:shd w:val="clear" w:color="auto" w:fill="auto"/>
            <w:noWrap/>
            <w:vAlign w:val="bottom"/>
            <w:hideMark/>
          </w:tcPr>
          <w:p w14:paraId="2EC2B676"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EDE98EA"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1.180,00</w:t>
            </w:r>
          </w:p>
        </w:tc>
        <w:tc>
          <w:tcPr>
            <w:tcW w:w="1400" w:type="dxa"/>
            <w:tcBorders>
              <w:top w:val="nil"/>
              <w:left w:val="nil"/>
              <w:bottom w:val="nil"/>
              <w:right w:val="nil"/>
            </w:tcBorders>
            <w:shd w:val="clear" w:color="auto" w:fill="auto"/>
            <w:noWrap/>
            <w:vAlign w:val="bottom"/>
            <w:hideMark/>
          </w:tcPr>
          <w:p w14:paraId="3C9D5739"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54D5880" w14:textId="77777777" w:rsidTr="00A360DB">
        <w:trPr>
          <w:trHeight w:val="240"/>
        </w:trPr>
        <w:tc>
          <w:tcPr>
            <w:tcW w:w="1697" w:type="dxa"/>
            <w:tcBorders>
              <w:top w:val="nil"/>
              <w:left w:val="nil"/>
              <w:bottom w:val="nil"/>
              <w:right w:val="nil"/>
            </w:tcBorders>
            <w:shd w:val="clear" w:color="auto" w:fill="auto"/>
            <w:noWrap/>
            <w:vAlign w:val="bottom"/>
            <w:hideMark/>
          </w:tcPr>
          <w:p w14:paraId="471EFF9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3233</w:t>
            </w:r>
          </w:p>
        </w:tc>
        <w:tc>
          <w:tcPr>
            <w:tcW w:w="8509" w:type="dxa"/>
            <w:tcBorders>
              <w:top w:val="nil"/>
              <w:left w:val="nil"/>
              <w:bottom w:val="nil"/>
              <w:right w:val="nil"/>
            </w:tcBorders>
            <w:shd w:val="clear" w:color="auto" w:fill="auto"/>
            <w:noWrap/>
            <w:vAlign w:val="bottom"/>
            <w:hideMark/>
          </w:tcPr>
          <w:p w14:paraId="0B3F438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Usluge promidžbe i informiranja                                                                     </w:t>
            </w:r>
          </w:p>
        </w:tc>
        <w:tc>
          <w:tcPr>
            <w:tcW w:w="1480" w:type="dxa"/>
            <w:tcBorders>
              <w:top w:val="nil"/>
              <w:left w:val="nil"/>
              <w:bottom w:val="nil"/>
              <w:right w:val="nil"/>
            </w:tcBorders>
            <w:shd w:val="clear" w:color="auto" w:fill="auto"/>
            <w:noWrap/>
            <w:vAlign w:val="bottom"/>
            <w:hideMark/>
          </w:tcPr>
          <w:p w14:paraId="150D7FF0"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1F1C605"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500,00</w:t>
            </w:r>
          </w:p>
        </w:tc>
        <w:tc>
          <w:tcPr>
            <w:tcW w:w="1400" w:type="dxa"/>
            <w:tcBorders>
              <w:top w:val="nil"/>
              <w:left w:val="nil"/>
              <w:bottom w:val="nil"/>
              <w:right w:val="nil"/>
            </w:tcBorders>
            <w:shd w:val="clear" w:color="auto" w:fill="auto"/>
            <w:noWrap/>
            <w:vAlign w:val="bottom"/>
            <w:hideMark/>
          </w:tcPr>
          <w:p w14:paraId="7346919E"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CC2173D" w14:textId="77777777" w:rsidTr="00A360DB">
        <w:trPr>
          <w:trHeight w:val="240"/>
        </w:trPr>
        <w:tc>
          <w:tcPr>
            <w:tcW w:w="1697" w:type="dxa"/>
            <w:tcBorders>
              <w:top w:val="nil"/>
              <w:left w:val="nil"/>
              <w:bottom w:val="nil"/>
              <w:right w:val="nil"/>
            </w:tcBorders>
            <w:shd w:val="clear" w:color="auto" w:fill="auto"/>
            <w:noWrap/>
            <w:vAlign w:val="bottom"/>
            <w:hideMark/>
          </w:tcPr>
          <w:p w14:paraId="33491B5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3239</w:t>
            </w:r>
          </w:p>
        </w:tc>
        <w:tc>
          <w:tcPr>
            <w:tcW w:w="8509" w:type="dxa"/>
            <w:tcBorders>
              <w:top w:val="nil"/>
              <w:left w:val="nil"/>
              <w:bottom w:val="nil"/>
              <w:right w:val="nil"/>
            </w:tcBorders>
            <w:shd w:val="clear" w:color="auto" w:fill="auto"/>
            <w:noWrap/>
            <w:vAlign w:val="bottom"/>
            <w:hideMark/>
          </w:tcPr>
          <w:p w14:paraId="16A9ACC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Ostale usluge                                                                                       </w:t>
            </w:r>
          </w:p>
        </w:tc>
        <w:tc>
          <w:tcPr>
            <w:tcW w:w="1480" w:type="dxa"/>
            <w:tcBorders>
              <w:top w:val="nil"/>
              <w:left w:val="nil"/>
              <w:bottom w:val="nil"/>
              <w:right w:val="nil"/>
            </w:tcBorders>
            <w:shd w:val="clear" w:color="auto" w:fill="auto"/>
            <w:noWrap/>
            <w:vAlign w:val="bottom"/>
            <w:hideMark/>
          </w:tcPr>
          <w:p w14:paraId="0656D4B2"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C2A682F"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4.363,57</w:t>
            </w:r>
          </w:p>
        </w:tc>
        <w:tc>
          <w:tcPr>
            <w:tcW w:w="1400" w:type="dxa"/>
            <w:tcBorders>
              <w:top w:val="nil"/>
              <w:left w:val="nil"/>
              <w:bottom w:val="nil"/>
              <w:right w:val="nil"/>
            </w:tcBorders>
            <w:shd w:val="clear" w:color="auto" w:fill="auto"/>
            <w:noWrap/>
            <w:vAlign w:val="bottom"/>
            <w:hideMark/>
          </w:tcPr>
          <w:p w14:paraId="11EBC3C5"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9517804" w14:textId="77777777" w:rsidTr="00A360DB">
        <w:trPr>
          <w:trHeight w:val="240"/>
        </w:trPr>
        <w:tc>
          <w:tcPr>
            <w:tcW w:w="1697" w:type="dxa"/>
            <w:tcBorders>
              <w:top w:val="nil"/>
              <w:left w:val="nil"/>
              <w:bottom w:val="nil"/>
              <w:right w:val="nil"/>
            </w:tcBorders>
            <w:shd w:val="clear" w:color="auto" w:fill="auto"/>
            <w:noWrap/>
            <w:vAlign w:val="bottom"/>
            <w:hideMark/>
          </w:tcPr>
          <w:p w14:paraId="5D023B4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3293</w:t>
            </w:r>
          </w:p>
        </w:tc>
        <w:tc>
          <w:tcPr>
            <w:tcW w:w="8509" w:type="dxa"/>
            <w:tcBorders>
              <w:top w:val="nil"/>
              <w:left w:val="nil"/>
              <w:bottom w:val="nil"/>
              <w:right w:val="nil"/>
            </w:tcBorders>
            <w:shd w:val="clear" w:color="auto" w:fill="auto"/>
            <w:noWrap/>
            <w:vAlign w:val="bottom"/>
            <w:hideMark/>
          </w:tcPr>
          <w:p w14:paraId="39A7FA0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Reprezentacija                                                                                      </w:t>
            </w:r>
          </w:p>
        </w:tc>
        <w:tc>
          <w:tcPr>
            <w:tcW w:w="1480" w:type="dxa"/>
            <w:tcBorders>
              <w:top w:val="nil"/>
              <w:left w:val="nil"/>
              <w:bottom w:val="nil"/>
              <w:right w:val="nil"/>
            </w:tcBorders>
            <w:shd w:val="clear" w:color="auto" w:fill="auto"/>
            <w:noWrap/>
            <w:vAlign w:val="bottom"/>
            <w:hideMark/>
          </w:tcPr>
          <w:p w14:paraId="7C2F3747"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A68981A"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12.865,61</w:t>
            </w:r>
          </w:p>
        </w:tc>
        <w:tc>
          <w:tcPr>
            <w:tcW w:w="1400" w:type="dxa"/>
            <w:tcBorders>
              <w:top w:val="nil"/>
              <w:left w:val="nil"/>
              <w:bottom w:val="nil"/>
              <w:right w:val="nil"/>
            </w:tcBorders>
            <w:shd w:val="clear" w:color="auto" w:fill="auto"/>
            <w:noWrap/>
            <w:vAlign w:val="bottom"/>
            <w:hideMark/>
          </w:tcPr>
          <w:p w14:paraId="599FFA48"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21520252" w14:textId="77777777" w:rsidTr="00A360DB">
        <w:trPr>
          <w:trHeight w:val="240"/>
        </w:trPr>
        <w:tc>
          <w:tcPr>
            <w:tcW w:w="1697" w:type="dxa"/>
            <w:tcBorders>
              <w:top w:val="nil"/>
              <w:left w:val="nil"/>
              <w:bottom w:val="nil"/>
              <w:right w:val="nil"/>
            </w:tcBorders>
            <w:shd w:val="clear" w:color="auto" w:fill="auto"/>
            <w:noWrap/>
            <w:vAlign w:val="bottom"/>
            <w:hideMark/>
          </w:tcPr>
          <w:p w14:paraId="757625D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3299</w:t>
            </w:r>
          </w:p>
        </w:tc>
        <w:tc>
          <w:tcPr>
            <w:tcW w:w="8509" w:type="dxa"/>
            <w:tcBorders>
              <w:top w:val="nil"/>
              <w:left w:val="nil"/>
              <w:bottom w:val="nil"/>
              <w:right w:val="nil"/>
            </w:tcBorders>
            <w:shd w:val="clear" w:color="auto" w:fill="auto"/>
            <w:noWrap/>
            <w:vAlign w:val="bottom"/>
            <w:hideMark/>
          </w:tcPr>
          <w:p w14:paraId="5095A02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Ostali nespomenuti rashodi poslovanja                                                               </w:t>
            </w:r>
          </w:p>
        </w:tc>
        <w:tc>
          <w:tcPr>
            <w:tcW w:w="1480" w:type="dxa"/>
            <w:tcBorders>
              <w:top w:val="nil"/>
              <w:left w:val="nil"/>
              <w:bottom w:val="nil"/>
              <w:right w:val="nil"/>
            </w:tcBorders>
            <w:shd w:val="clear" w:color="auto" w:fill="auto"/>
            <w:noWrap/>
            <w:vAlign w:val="bottom"/>
            <w:hideMark/>
          </w:tcPr>
          <w:p w14:paraId="172D370F"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CA5F3D8"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2.891,08</w:t>
            </w:r>
          </w:p>
        </w:tc>
        <w:tc>
          <w:tcPr>
            <w:tcW w:w="1400" w:type="dxa"/>
            <w:tcBorders>
              <w:top w:val="nil"/>
              <w:left w:val="nil"/>
              <w:bottom w:val="nil"/>
              <w:right w:val="nil"/>
            </w:tcBorders>
            <w:shd w:val="clear" w:color="auto" w:fill="auto"/>
            <w:noWrap/>
            <w:vAlign w:val="bottom"/>
            <w:hideMark/>
          </w:tcPr>
          <w:p w14:paraId="4588848E"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D4F31C6" w14:textId="77777777" w:rsidTr="00A360DB">
        <w:trPr>
          <w:trHeight w:val="240"/>
        </w:trPr>
        <w:tc>
          <w:tcPr>
            <w:tcW w:w="10206" w:type="dxa"/>
            <w:gridSpan w:val="2"/>
            <w:tcBorders>
              <w:top w:val="nil"/>
              <w:left w:val="nil"/>
              <w:bottom w:val="nil"/>
              <w:right w:val="nil"/>
            </w:tcBorders>
            <w:shd w:val="clear" w:color="000000" w:fill="1300A2"/>
            <w:noWrap/>
            <w:vAlign w:val="bottom"/>
            <w:hideMark/>
          </w:tcPr>
          <w:p w14:paraId="622FC93F" w14:textId="77777777" w:rsidR="00A360DB" w:rsidRPr="00A360DB" w:rsidRDefault="00A360DB" w:rsidP="00A360DB">
            <w:pPr>
              <w:spacing w:after="0" w:line="240" w:lineRule="auto"/>
              <w:rPr>
                <w:rFonts w:ascii="Arial" w:hAnsi="Arial" w:cs="Arial"/>
                <w:b/>
                <w:bCs/>
                <w:color w:val="FFFFFF"/>
                <w:sz w:val="18"/>
                <w:szCs w:val="18"/>
                <w:lang w:eastAsia="hr-HR"/>
              </w:rPr>
            </w:pPr>
            <w:r w:rsidRPr="00A360DB">
              <w:rPr>
                <w:rFonts w:ascii="Arial" w:hAnsi="Arial" w:cs="Arial"/>
                <w:b/>
                <w:bCs/>
                <w:color w:val="FFFFFF"/>
                <w:sz w:val="18"/>
                <w:szCs w:val="18"/>
                <w:lang w:eastAsia="hr-HR"/>
              </w:rPr>
              <w:t>RAZDJEL 002 UPRAVNI ODJEL ZA DRUŠTVENE DJELATNOSTI, IMOVINU I OPĆE POSLOVE</w:t>
            </w:r>
          </w:p>
        </w:tc>
        <w:tc>
          <w:tcPr>
            <w:tcW w:w="1480" w:type="dxa"/>
            <w:tcBorders>
              <w:top w:val="nil"/>
              <w:left w:val="nil"/>
              <w:bottom w:val="nil"/>
              <w:right w:val="nil"/>
            </w:tcBorders>
            <w:shd w:val="clear" w:color="000000" w:fill="1300A2"/>
            <w:noWrap/>
            <w:vAlign w:val="bottom"/>
            <w:hideMark/>
          </w:tcPr>
          <w:p w14:paraId="5E485E56"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9.082.125,38</w:t>
            </w:r>
          </w:p>
        </w:tc>
        <w:tc>
          <w:tcPr>
            <w:tcW w:w="1380" w:type="dxa"/>
            <w:tcBorders>
              <w:top w:val="nil"/>
              <w:left w:val="nil"/>
              <w:bottom w:val="nil"/>
              <w:right w:val="nil"/>
            </w:tcBorders>
            <w:shd w:val="clear" w:color="000000" w:fill="1300A2"/>
            <w:noWrap/>
            <w:vAlign w:val="bottom"/>
            <w:hideMark/>
          </w:tcPr>
          <w:p w14:paraId="1957EB07" w14:textId="3B06133A"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8.57</w:t>
            </w:r>
            <w:r w:rsidR="00B46E7B">
              <w:rPr>
                <w:rFonts w:ascii="Arial" w:hAnsi="Arial" w:cs="Arial"/>
                <w:b/>
                <w:bCs/>
                <w:color w:val="FFFFFF"/>
                <w:sz w:val="18"/>
                <w:szCs w:val="18"/>
                <w:lang w:eastAsia="hr-HR"/>
              </w:rPr>
              <w:t>8.848,13</w:t>
            </w:r>
          </w:p>
        </w:tc>
        <w:tc>
          <w:tcPr>
            <w:tcW w:w="1400" w:type="dxa"/>
            <w:tcBorders>
              <w:top w:val="nil"/>
              <w:left w:val="nil"/>
              <w:bottom w:val="nil"/>
              <w:right w:val="nil"/>
            </w:tcBorders>
            <w:shd w:val="clear" w:color="000000" w:fill="1300A2"/>
            <w:noWrap/>
            <w:vAlign w:val="bottom"/>
            <w:hideMark/>
          </w:tcPr>
          <w:p w14:paraId="5CE02097" w14:textId="1C8D0253" w:rsidR="00A360DB" w:rsidRPr="00A360DB" w:rsidRDefault="00B46E7B" w:rsidP="00A360DB">
            <w:pPr>
              <w:spacing w:after="0" w:line="240" w:lineRule="auto"/>
              <w:jc w:val="right"/>
              <w:rPr>
                <w:rFonts w:ascii="Arial" w:hAnsi="Arial" w:cs="Arial"/>
                <w:b/>
                <w:bCs/>
                <w:color w:val="FFFFFF"/>
                <w:sz w:val="18"/>
                <w:szCs w:val="18"/>
                <w:lang w:eastAsia="hr-HR"/>
              </w:rPr>
            </w:pPr>
            <w:r>
              <w:rPr>
                <w:rFonts w:ascii="Arial" w:hAnsi="Arial" w:cs="Arial"/>
                <w:b/>
                <w:bCs/>
                <w:color w:val="FFFFFF"/>
                <w:sz w:val="18"/>
                <w:szCs w:val="18"/>
                <w:lang w:eastAsia="hr-HR"/>
              </w:rPr>
              <w:t>94,46%</w:t>
            </w:r>
          </w:p>
        </w:tc>
      </w:tr>
      <w:tr w:rsidR="00A360DB" w:rsidRPr="00A360DB" w14:paraId="0CA95B47" w14:textId="77777777" w:rsidTr="00A360DB">
        <w:trPr>
          <w:trHeight w:val="240"/>
        </w:trPr>
        <w:tc>
          <w:tcPr>
            <w:tcW w:w="10206" w:type="dxa"/>
            <w:gridSpan w:val="2"/>
            <w:tcBorders>
              <w:top w:val="nil"/>
              <w:left w:val="nil"/>
              <w:bottom w:val="nil"/>
              <w:right w:val="nil"/>
            </w:tcBorders>
            <w:shd w:val="clear" w:color="000000" w:fill="8994FB"/>
            <w:noWrap/>
            <w:vAlign w:val="bottom"/>
            <w:hideMark/>
          </w:tcPr>
          <w:p w14:paraId="02354882"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GLAVA 00201 UPRAVNI ODJEL ZA DRUŠTVENE DJELATNOSTI, IMOVINU I OPĆE POSLOVE</w:t>
            </w:r>
          </w:p>
        </w:tc>
        <w:tc>
          <w:tcPr>
            <w:tcW w:w="1480" w:type="dxa"/>
            <w:tcBorders>
              <w:top w:val="nil"/>
              <w:left w:val="nil"/>
              <w:bottom w:val="nil"/>
              <w:right w:val="nil"/>
            </w:tcBorders>
            <w:shd w:val="clear" w:color="000000" w:fill="8994FB"/>
            <w:noWrap/>
            <w:vAlign w:val="bottom"/>
            <w:hideMark/>
          </w:tcPr>
          <w:p w14:paraId="512B52F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2.339.910,00</w:t>
            </w:r>
          </w:p>
        </w:tc>
        <w:tc>
          <w:tcPr>
            <w:tcW w:w="1380" w:type="dxa"/>
            <w:tcBorders>
              <w:top w:val="nil"/>
              <w:left w:val="nil"/>
              <w:bottom w:val="nil"/>
              <w:right w:val="nil"/>
            </w:tcBorders>
            <w:shd w:val="clear" w:color="000000" w:fill="8994FB"/>
            <w:noWrap/>
            <w:vAlign w:val="bottom"/>
            <w:hideMark/>
          </w:tcPr>
          <w:p w14:paraId="061A4F8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2.137.609,24</w:t>
            </w:r>
          </w:p>
        </w:tc>
        <w:tc>
          <w:tcPr>
            <w:tcW w:w="1400" w:type="dxa"/>
            <w:tcBorders>
              <w:top w:val="nil"/>
              <w:left w:val="nil"/>
              <w:bottom w:val="nil"/>
              <w:right w:val="nil"/>
            </w:tcBorders>
            <w:shd w:val="clear" w:color="000000" w:fill="8994FB"/>
            <w:noWrap/>
            <w:vAlign w:val="bottom"/>
            <w:hideMark/>
          </w:tcPr>
          <w:p w14:paraId="3A69ECA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91,35%</w:t>
            </w:r>
          </w:p>
        </w:tc>
      </w:tr>
      <w:tr w:rsidR="00A360DB" w:rsidRPr="00A360DB" w14:paraId="53C5B927" w14:textId="77777777" w:rsidTr="00A360DB">
        <w:trPr>
          <w:trHeight w:val="240"/>
        </w:trPr>
        <w:tc>
          <w:tcPr>
            <w:tcW w:w="10206" w:type="dxa"/>
            <w:gridSpan w:val="2"/>
            <w:tcBorders>
              <w:top w:val="nil"/>
              <w:left w:val="nil"/>
              <w:bottom w:val="nil"/>
              <w:right w:val="nil"/>
            </w:tcBorders>
            <w:shd w:val="clear" w:color="000000" w:fill="8994FB"/>
            <w:noWrap/>
            <w:vAlign w:val="bottom"/>
            <w:hideMark/>
          </w:tcPr>
          <w:p w14:paraId="581F6FA2"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PROR. KORISNIK 00001 UPRAVNI ODJEL ZA DRUŠTVENE DJELATNOSTI, IMOVINU I OPĆE POSLOVE</w:t>
            </w:r>
          </w:p>
        </w:tc>
        <w:tc>
          <w:tcPr>
            <w:tcW w:w="1480" w:type="dxa"/>
            <w:tcBorders>
              <w:top w:val="nil"/>
              <w:left w:val="nil"/>
              <w:bottom w:val="nil"/>
              <w:right w:val="nil"/>
            </w:tcBorders>
            <w:shd w:val="clear" w:color="000000" w:fill="8994FB"/>
            <w:noWrap/>
            <w:vAlign w:val="bottom"/>
            <w:hideMark/>
          </w:tcPr>
          <w:p w14:paraId="490A869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2.339.910,00</w:t>
            </w:r>
          </w:p>
        </w:tc>
        <w:tc>
          <w:tcPr>
            <w:tcW w:w="1380" w:type="dxa"/>
            <w:tcBorders>
              <w:top w:val="nil"/>
              <w:left w:val="nil"/>
              <w:bottom w:val="nil"/>
              <w:right w:val="nil"/>
            </w:tcBorders>
            <w:shd w:val="clear" w:color="000000" w:fill="8994FB"/>
            <w:noWrap/>
            <w:vAlign w:val="bottom"/>
            <w:hideMark/>
          </w:tcPr>
          <w:p w14:paraId="33D97E6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2.137.609,24</w:t>
            </w:r>
          </w:p>
        </w:tc>
        <w:tc>
          <w:tcPr>
            <w:tcW w:w="1400" w:type="dxa"/>
            <w:tcBorders>
              <w:top w:val="nil"/>
              <w:left w:val="nil"/>
              <w:bottom w:val="nil"/>
              <w:right w:val="nil"/>
            </w:tcBorders>
            <w:shd w:val="clear" w:color="000000" w:fill="8994FB"/>
            <w:noWrap/>
            <w:vAlign w:val="bottom"/>
            <w:hideMark/>
          </w:tcPr>
          <w:p w14:paraId="39D24C4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91,35%</w:t>
            </w:r>
          </w:p>
        </w:tc>
      </w:tr>
      <w:tr w:rsidR="00A360DB" w:rsidRPr="00A360DB" w14:paraId="52361F4B"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35CFA30"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00F6E84C"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1.182.360,00</w:t>
            </w:r>
          </w:p>
        </w:tc>
        <w:tc>
          <w:tcPr>
            <w:tcW w:w="1380" w:type="dxa"/>
            <w:tcBorders>
              <w:top w:val="nil"/>
              <w:left w:val="nil"/>
              <w:bottom w:val="nil"/>
              <w:right w:val="nil"/>
            </w:tcBorders>
            <w:shd w:val="clear" w:color="auto" w:fill="auto"/>
            <w:noWrap/>
            <w:vAlign w:val="bottom"/>
            <w:hideMark/>
          </w:tcPr>
          <w:p w14:paraId="1B3A4B75"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1.080.115,00</w:t>
            </w:r>
          </w:p>
        </w:tc>
        <w:tc>
          <w:tcPr>
            <w:tcW w:w="1400" w:type="dxa"/>
            <w:tcBorders>
              <w:top w:val="nil"/>
              <w:left w:val="nil"/>
              <w:bottom w:val="nil"/>
              <w:right w:val="nil"/>
            </w:tcBorders>
            <w:shd w:val="clear" w:color="auto" w:fill="auto"/>
            <w:noWrap/>
            <w:vAlign w:val="bottom"/>
            <w:hideMark/>
          </w:tcPr>
          <w:p w14:paraId="266D828D"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91,35%</w:t>
            </w:r>
          </w:p>
        </w:tc>
      </w:tr>
      <w:tr w:rsidR="00A360DB" w:rsidRPr="00A360DB" w14:paraId="016AFC83"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15B6E0F"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2B99DD2A"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1.182.360,00</w:t>
            </w:r>
          </w:p>
        </w:tc>
        <w:tc>
          <w:tcPr>
            <w:tcW w:w="1380" w:type="dxa"/>
            <w:tcBorders>
              <w:top w:val="nil"/>
              <w:left w:val="nil"/>
              <w:bottom w:val="nil"/>
              <w:right w:val="nil"/>
            </w:tcBorders>
            <w:shd w:val="clear" w:color="auto" w:fill="auto"/>
            <w:noWrap/>
            <w:vAlign w:val="bottom"/>
            <w:hideMark/>
          </w:tcPr>
          <w:p w14:paraId="48C65213"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1.080.115,00</w:t>
            </w:r>
          </w:p>
        </w:tc>
        <w:tc>
          <w:tcPr>
            <w:tcW w:w="1400" w:type="dxa"/>
            <w:tcBorders>
              <w:top w:val="nil"/>
              <w:left w:val="nil"/>
              <w:bottom w:val="nil"/>
              <w:right w:val="nil"/>
            </w:tcBorders>
            <w:shd w:val="clear" w:color="auto" w:fill="auto"/>
            <w:noWrap/>
            <w:vAlign w:val="bottom"/>
            <w:hideMark/>
          </w:tcPr>
          <w:p w14:paraId="7B47829F"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91,35%</w:t>
            </w:r>
          </w:p>
        </w:tc>
      </w:tr>
      <w:tr w:rsidR="00A360DB" w:rsidRPr="00A360DB" w14:paraId="44FEC13A"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065CCB0"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4. Prihodi za posebne namjene</w:t>
            </w:r>
          </w:p>
        </w:tc>
        <w:tc>
          <w:tcPr>
            <w:tcW w:w="1480" w:type="dxa"/>
            <w:tcBorders>
              <w:top w:val="nil"/>
              <w:left w:val="nil"/>
              <w:bottom w:val="nil"/>
              <w:right w:val="nil"/>
            </w:tcBorders>
            <w:shd w:val="clear" w:color="auto" w:fill="auto"/>
            <w:noWrap/>
            <w:vAlign w:val="bottom"/>
            <w:hideMark/>
          </w:tcPr>
          <w:p w14:paraId="5C6A3E06"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10.000,00</w:t>
            </w:r>
          </w:p>
        </w:tc>
        <w:tc>
          <w:tcPr>
            <w:tcW w:w="1380" w:type="dxa"/>
            <w:tcBorders>
              <w:top w:val="nil"/>
              <w:left w:val="nil"/>
              <w:bottom w:val="nil"/>
              <w:right w:val="nil"/>
            </w:tcBorders>
            <w:shd w:val="clear" w:color="auto" w:fill="auto"/>
            <w:noWrap/>
            <w:vAlign w:val="bottom"/>
            <w:hideMark/>
          </w:tcPr>
          <w:p w14:paraId="72DA5975"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6.860,52</w:t>
            </w:r>
          </w:p>
        </w:tc>
        <w:tc>
          <w:tcPr>
            <w:tcW w:w="1400" w:type="dxa"/>
            <w:tcBorders>
              <w:top w:val="nil"/>
              <w:left w:val="nil"/>
              <w:bottom w:val="nil"/>
              <w:right w:val="nil"/>
            </w:tcBorders>
            <w:shd w:val="clear" w:color="auto" w:fill="auto"/>
            <w:noWrap/>
            <w:vAlign w:val="bottom"/>
            <w:hideMark/>
          </w:tcPr>
          <w:p w14:paraId="3DA6D9CF"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68,61%</w:t>
            </w:r>
          </w:p>
        </w:tc>
      </w:tr>
      <w:tr w:rsidR="00A360DB" w:rsidRPr="00A360DB" w14:paraId="66C063AF"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C479E8A"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4.1. Prihodi za posebne namjene</w:t>
            </w:r>
          </w:p>
        </w:tc>
        <w:tc>
          <w:tcPr>
            <w:tcW w:w="1480" w:type="dxa"/>
            <w:tcBorders>
              <w:top w:val="nil"/>
              <w:left w:val="nil"/>
              <w:bottom w:val="nil"/>
              <w:right w:val="nil"/>
            </w:tcBorders>
            <w:shd w:val="clear" w:color="auto" w:fill="auto"/>
            <w:noWrap/>
            <w:vAlign w:val="bottom"/>
            <w:hideMark/>
          </w:tcPr>
          <w:p w14:paraId="629A177B"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10.000,00</w:t>
            </w:r>
          </w:p>
        </w:tc>
        <w:tc>
          <w:tcPr>
            <w:tcW w:w="1380" w:type="dxa"/>
            <w:tcBorders>
              <w:top w:val="nil"/>
              <w:left w:val="nil"/>
              <w:bottom w:val="nil"/>
              <w:right w:val="nil"/>
            </w:tcBorders>
            <w:shd w:val="clear" w:color="auto" w:fill="auto"/>
            <w:noWrap/>
            <w:vAlign w:val="bottom"/>
            <w:hideMark/>
          </w:tcPr>
          <w:p w14:paraId="4C83B38F"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6.860,52</w:t>
            </w:r>
          </w:p>
        </w:tc>
        <w:tc>
          <w:tcPr>
            <w:tcW w:w="1400" w:type="dxa"/>
            <w:tcBorders>
              <w:top w:val="nil"/>
              <w:left w:val="nil"/>
              <w:bottom w:val="nil"/>
              <w:right w:val="nil"/>
            </w:tcBorders>
            <w:shd w:val="clear" w:color="auto" w:fill="auto"/>
            <w:noWrap/>
            <w:vAlign w:val="bottom"/>
            <w:hideMark/>
          </w:tcPr>
          <w:p w14:paraId="738C41AC"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68,61%</w:t>
            </w:r>
          </w:p>
        </w:tc>
      </w:tr>
      <w:tr w:rsidR="00A360DB" w:rsidRPr="00A360DB" w14:paraId="1B7B2A3F"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DBD28AE"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5. Pomoći</w:t>
            </w:r>
          </w:p>
        </w:tc>
        <w:tc>
          <w:tcPr>
            <w:tcW w:w="1480" w:type="dxa"/>
            <w:tcBorders>
              <w:top w:val="nil"/>
              <w:left w:val="nil"/>
              <w:bottom w:val="nil"/>
              <w:right w:val="nil"/>
            </w:tcBorders>
            <w:shd w:val="clear" w:color="auto" w:fill="auto"/>
            <w:noWrap/>
            <w:vAlign w:val="bottom"/>
            <w:hideMark/>
          </w:tcPr>
          <w:p w14:paraId="5CCEA1EE"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658.550,00</w:t>
            </w:r>
          </w:p>
        </w:tc>
        <w:tc>
          <w:tcPr>
            <w:tcW w:w="1380" w:type="dxa"/>
            <w:tcBorders>
              <w:top w:val="nil"/>
              <w:left w:val="nil"/>
              <w:bottom w:val="nil"/>
              <w:right w:val="nil"/>
            </w:tcBorders>
            <w:shd w:val="clear" w:color="auto" w:fill="auto"/>
            <w:noWrap/>
            <w:vAlign w:val="bottom"/>
            <w:hideMark/>
          </w:tcPr>
          <w:p w14:paraId="7E271813"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633.048,37</w:t>
            </w:r>
          </w:p>
        </w:tc>
        <w:tc>
          <w:tcPr>
            <w:tcW w:w="1400" w:type="dxa"/>
            <w:tcBorders>
              <w:top w:val="nil"/>
              <w:left w:val="nil"/>
              <w:bottom w:val="nil"/>
              <w:right w:val="nil"/>
            </w:tcBorders>
            <w:shd w:val="clear" w:color="auto" w:fill="auto"/>
            <w:noWrap/>
            <w:vAlign w:val="bottom"/>
            <w:hideMark/>
          </w:tcPr>
          <w:p w14:paraId="3CD3915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96,13%</w:t>
            </w:r>
          </w:p>
        </w:tc>
      </w:tr>
      <w:tr w:rsidR="00A360DB" w:rsidRPr="00A360DB" w14:paraId="6B73EA28"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5F10677C"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5.2. Državni proračun</w:t>
            </w:r>
          </w:p>
        </w:tc>
        <w:tc>
          <w:tcPr>
            <w:tcW w:w="1480" w:type="dxa"/>
            <w:tcBorders>
              <w:top w:val="nil"/>
              <w:left w:val="nil"/>
              <w:bottom w:val="nil"/>
              <w:right w:val="nil"/>
            </w:tcBorders>
            <w:shd w:val="clear" w:color="auto" w:fill="auto"/>
            <w:noWrap/>
            <w:vAlign w:val="bottom"/>
            <w:hideMark/>
          </w:tcPr>
          <w:p w14:paraId="135EED8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348.980,00</w:t>
            </w:r>
          </w:p>
        </w:tc>
        <w:tc>
          <w:tcPr>
            <w:tcW w:w="1380" w:type="dxa"/>
            <w:tcBorders>
              <w:top w:val="nil"/>
              <w:left w:val="nil"/>
              <w:bottom w:val="nil"/>
              <w:right w:val="nil"/>
            </w:tcBorders>
            <w:shd w:val="clear" w:color="auto" w:fill="auto"/>
            <w:noWrap/>
            <w:vAlign w:val="bottom"/>
            <w:hideMark/>
          </w:tcPr>
          <w:p w14:paraId="3BCAC941"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346.987,74</w:t>
            </w:r>
          </w:p>
        </w:tc>
        <w:tc>
          <w:tcPr>
            <w:tcW w:w="1400" w:type="dxa"/>
            <w:tcBorders>
              <w:top w:val="nil"/>
              <w:left w:val="nil"/>
              <w:bottom w:val="nil"/>
              <w:right w:val="nil"/>
            </w:tcBorders>
            <w:shd w:val="clear" w:color="auto" w:fill="auto"/>
            <w:noWrap/>
            <w:vAlign w:val="bottom"/>
            <w:hideMark/>
          </w:tcPr>
          <w:p w14:paraId="6D97967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99,43%</w:t>
            </w:r>
          </w:p>
        </w:tc>
      </w:tr>
      <w:tr w:rsidR="00A360DB" w:rsidRPr="00A360DB" w14:paraId="61158228"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58EAF0D9"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5.3. Izvanproračunski korisnici</w:t>
            </w:r>
          </w:p>
        </w:tc>
        <w:tc>
          <w:tcPr>
            <w:tcW w:w="1480" w:type="dxa"/>
            <w:tcBorders>
              <w:top w:val="nil"/>
              <w:left w:val="nil"/>
              <w:bottom w:val="nil"/>
              <w:right w:val="nil"/>
            </w:tcBorders>
            <w:shd w:val="clear" w:color="auto" w:fill="auto"/>
            <w:noWrap/>
            <w:vAlign w:val="bottom"/>
            <w:hideMark/>
          </w:tcPr>
          <w:p w14:paraId="48269976"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6.170,00</w:t>
            </w:r>
          </w:p>
        </w:tc>
        <w:tc>
          <w:tcPr>
            <w:tcW w:w="1380" w:type="dxa"/>
            <w:tcBorders>
              <w:top w:val="nil"/>
              <w:left w:val="nil"/>
              <w:bottom w:val="nil"/>
              <w:right w:val="nil"/>
            </w:tcBorders>
            <w:shd w:val="clear" w:color="auto" w:fill="auto"/>
            <w:noWrap/>
            <w:vAlign w:val="bottom"/>
            <w:hideMark/>
          </w:tcPr>
          <w:p w14:paraId="0BDA1B89"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6.160,11</w:t>
            </w:r>
          </w:p>
        </w:tc>
        <w:tc>
          <w:tcPr>
            <w:tcW w:w="1400" w:type="dxa"/>
            <w:tcBorders>
              <w:top w:val="nil"/>
              <w:left w:val="nil"/>
              <w:bottom w:val="nil"/>
              <w:right w:val="nil"/>
            </w:tcBorders>
            <w:shd w:val="clear" w:color="auto" w:fill="auto"/>
            <w:noWrap/>
            <w:vAlign w:val="bottom"/>
            <w:hideMark/>
          </w:tcPr>
          <w:p w14:paraId="495F1E2D"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99,84%</w:t>
            </w:r>
          </w:p>
        </w:tc>
      </w:tr>
      <w:tr w:rsidR="00A360DB" w:rsidRPr="00A360DB" w14:paraId="78B8E17B"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112F2242"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5.4. Institucije i tijela EU</w:t>
            </w:r>
          </w:p>
        </w:tc>
        <w:tc>
          <w:tcPr>
            <w:tcW w:w="1480" w:type="dxa"/>
            <w:tcBorders>
              <w:top w:val="nil"/>
              <w:left w:val="nil"/>
              <w:bottom w:val="nil"/>
              <w:right w:val="nil"/>
            </w:tcBorders>
            <w:shd w:val="clear" w:color="auto" w:fill="auto"/>
            <w:noWrap/>
            <w:vAlign w:val="bottom"/>
            <w:hideMark/>
          </w:tcPr>
          <w:p w14:paraId="5841FCC4"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303.400,00</w:t>
            </w:r>
          </w:p>
        </w:tc>
        <w:tc>
          <w:tcPr>
            <w:tcW w:w="1380" w:type="dxa"/>
            <w:tcBorders>
              <w:top w:val="nil"/>
              <w:left w:val="nil"/>
              <w:bottom w:val="nil"/>
              <w:right w:val="nil"/>
            </w:tcBorders>
            <w:shd w:val="clear" w:color="auto" w:fill="auto"/>
            <w:noWrap/>
            <w:vAlign w:val="bottom"/>
            <w:hideMark/>
          </w:tcPr>
          <w:p w14:paraId="768ACD48"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279.900,52</w:t>
            </w:r>
          </w:p>
        </w:tc>
        <w:tc>
          <w:tcPr>
            <w:tcW w:w="1400" w:type="dxa"/>
            <w:tcBorders>
              <w:top w:val="nil"/>
              <w:left w:val="nil"/>
              <w:bottom w:val="nil"/>
              <w:right w:val="nil"/>
            </w:tcBorders>
            <w:shd w:val="clear" w:color="auto" w:fill="auto"/>
            <w:noWrap/>
            <w:vAlign w:val="bottom"/>
            <w:hideMark/>
          </w:tcPr>
          <w:p w14:paraId="45F23A71"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92,25%</w:t>
            </w:r>
          </w:p>
        </w:tc>
      </w:tr>
      <w:tr w:rsidR="00A360DB" w:rsidRPr="00A360DB" w14:paraId="75F5AA41"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7AF231E"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6. Donacije</w:t>
            </w:r>
          </w:p>
        </w:tc>
        <w:tc>
          <w:tcPr>
            <w:tcW w:w="1480" w:type="dxa"/>
            <w:tcBorders>
              <w:top w:val="nil"/>
              <w:left w:val="nil"/>
              <w:bottom w:val="nil"/>
              <w:right w:val="nil"/>
            </w:tcBorders>
            <w:shd w:val="clear" w:color="auto" w:fill="auto"/>
            <w:noWrap/>
            <w:vAlign w:val="bottom"/>
            <w:hideMark/>
          </w:tcPr>
          <w:p w14:paraId="44E3246B"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110.000,00</w:t>
            </w:r>
          </w:p>
        </w:tc>
        <w:tc>
          <w:tcPr>
            <w:tcW w:w="1380" w:type="dxa"/>
            <w:tcBorders>
              <w:top w:val="nil"/>
              <w:left w:val="nil"/>
              <w:bottom w:val="nil"/>
              <w:right w:val="nil"/>
            </w:tcBorders>
            <w:shd w:val="clear" w:color="auto" w:fill="auto"/>
            <w:noWrap/>
            <w:vAlign w:val="bottom"/>
            <w:hideMark/>
          </w:tcPr>
          <w:p w14:paraId="58F8F3A3"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114.017,10</w:t>
            </w:r>
          </w:p>
        </w:tc>
        <w:tc>
          <w:tcPr>
            <w:tcW w:w="1400" w:type="dxa"/>
            <w:tcBorders>
              <w:top w:val="nil"/>
              <w:left w:val="nil"/>
              <w:bottom w:val="nil"/>
              <w:right w:val="nil"/>
            </w:tcBorders>
            <w:shd w:val="clear" w:color="auto" w:fill="auto"/>
            <w:noWrap/>
            <w:vAlign w:val="bottom"/>
            <w:hideMark/>
          </w:tcPr>
          <w:p w14:paraId="61A79B17"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103,65%</w:t>
            </w:r>
          </w:p>
        </w:tc>
      </w:tr>
      <w:tr w:rsidR="00A360DB" w:rsidRPr="00A360DB" w14:paraId="678E9C94"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C9164D7"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6.1. Donacije</w:t>
            </w:r>
          </w:p>
        </w:tc>
        <w:tc>
          <w:tcPr>
            <w:tcW w:w="1480" w:type="dxa"/>
            <w:tcBorders>
              <w:top w:val="nil"/>
              <w:left w:val="nil"/>
              <w:bottom w:val="nil"/>
              <w:right w:val="nil"/>
            </w:tcBorders>
            <w:shd w:val="clear" w:color="auto" w:fill="auto"/>
            <w:noWrap/>
            <w:vAlign w:val="bottom"/>
            <w:hideMark/>
          </w:tcPr>
          <w:p w14:paraId="20D6753B"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110.000,00</w:t>
            </w:r>
          </w:p>
        </w:tc>
        <w:tc>
          <w:tcPr>
            <w:tcW w:w="1380" w:type="dxa"/>
            <w:tcBorders>
              <w:top w:val="nil"/>
              <w:left w:val="nil"/>
              <w:bottom w:val="nil"/>
              <w:right w:val="nil"/>
            </w:tcBorders>
            <w:shd w:val="clear" w:color="auto" w:fill="auto"/>
            <w:noWrap/>
            <w:vAlign w:val="bottom"/>
            <w:hideMark/>
          </w:tcPr>
          <w:p w14:paraId="5E5C2C47"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114.017,10</w:t>
            </w:r>
          </w:p>
        </w:tc>
        <w:tc>
          <w:tcPr>
            <w:tcW w:w="1400" w:type="dxa"/>
            <w:tcBorders>
              <w:top w:val="nil"/>
              <w:left w:val="nil"/>
              <w:bottom w:val="nil"/>
              <w:right w:val="nil"/>
            </w:tcBorders>
            <w:shd w:val="clear" w:color="auto" w:fill="auto"/>
            <w:noWrap/>
            <w:vAlign w:val="bottom"/>
            <w:hideMark/>
          </w:tcPr>
          <w:p w14:paraId="111B8373"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103,65%</w:t>
            </w:r>
          </w:p>
        </w:tc>
      </w:tr>
      <w:tr w:rsidR="00A360DB" w:rsidRPr="00A360DB" w14:paraId="6F1DDD4C"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519D6BE"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7. Prihodi od prodaje nefin. imovine</w:t>
            </w:r>
          </w:p>
        </w:tc>
        <w:tc>
          <w:tcPr>
            <w:tcW w:w="1480" w:type="dxa"/>
            <w:tcBorders>
              <w:top w:val="nil"/>
              <w:left w:val="nil"/>
              <w:bottom w:val="nil"/>
              <w:right w:val="nil"/>
            </w:tcBorders>
            <w:shd w:val="clear" w:color="auto" w:fill="auto"/>
            <w:noWrap/>
            <w:vAlign w:val="bottom"/>
            <w:hideMark/>
          </w:tcPr>
          <w:p w14:paraId="2B50365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67.000,00</w:t>
            </w:r>
          </w:p>
        </w:tc>
        <w:tc>
          <w:tcPr>
            <w:tcW w:w="1380" w:type="dxa"/>
            <w:tcBorders>
              <w:top w:val="nil"/>
              <w:left w:val="nil"/>
              <w:bottom w:val="nil"/>
              <w:right w:val="nil"/>
            </w:tcBorders>
            <w:shd w:val="clear" w:color="auto" w:fill="auto"/>
            <w:noWrap/>
            <w:vAlign w:val="bottom"/>
            <w:hideMark/>
          </w:tcPr>
          <w:p w14:paraId="3F40FF4B"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6.182,56</w:t>
            </w:r>
          </w:p>
        </w:tc>
        <w:tc>
          <w:tcPr>
            <w:tcW w:w="1400" w:type="dxa"/>
            <w:tcBorders>
              <w:top w:val="nil"/>
              <w:left w:val="nil"/>
              <w:bottom w:val="nil"/>
              <w:right w:val="nil"/>
            </w:tcBorders>
            <w:shd w:val="clear" w:color="auto" w:fill="auto"/>
            <w:noWrap/>
            <w:vAlign w:val="bottom"/>
            <w:hideMark/>
          </w:tcPr>
          <w:p w14:paraId="3B8EC4BA"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9,23%</w:t>
            </w:r>
          </w:p>
        </w:tc>
      </w:tr>
      <w:tr w:rsidR="00A360DB" w:rsidRPr="00A360DB" w14:paraId="7231FA87"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7BFA29F"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 xml:space="preserve">Izvor 7.1. Prihodi od prodaje </w:t>
            </w:r>
            <w:proofErr w:type="spellStart"/>
            <w:r w:rsidRPr="00A360DB">
              <w:rPr>
                <w:rFonts w:ascii="Arial" w:hAnsi="Arial" w:cs="Arial"/>
                <w:color w:val="333333"/>
                <w:sz w:val="18"/>
                <w:szCs w:val="18"/>
                <w:lang w:eastAsia="hr-HR"/>
              </w:rPr>
              <w:t>nef</w:t>
            </w:r>
            <w:proofErr w:type="spellEnd"/>
            <w:r w:rsidRPr="00A360DB">
              <w:rPr>
                <w:rFonts w:ascii="Arial" w:hAnsi="Arial" w:cs="Arial"/>
                <w:color w:val="333333"/>
                <w:sz w:val="18"/>
                <w:szCs w:val="18"/>
                <w:lang w:eastAsia="hr-HR"/>
              </w:rPr>
              <w:t>. imovine</w:t>
            </w:r>
          </w:p>
        </w:tc>
        <w:tc>
          <w:tcPr>
            <w:tcW w:w="1480" w:type="dxa"/>
            <w:tcBorders>
              <w:top w:val="nil"/>
              <w:left w:val="nil"/>
              <w:bottom w:val="nil"/>
              <w:right w:val="nil"/>
            </w:tcBorders>
            <w:shd w:val="clear" w:color="auto" w:fill="auto"/>
            <w:noWrap/>
            <w:vAlign w:val="bottom"/>
            <w:hideMark/>
          </w:tcPr>
          <w:p w14:paraId="3DCE8AE6"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67.000,00</w:t>
            </w:r>
          </w:p>
        </w:tc>
        <w:tc>
          <w:tcPr>
            <w:tcW w:w="1380" w:type="dxa"/>
            <w:tcBorders>
              <w:top w:val="nil"/>
              <w:left w:val="nil"/>
              <w:bottom w:val="nil"/>
              <w:right w:val="nil"/>
            </w:tcBorders>
            <w:shd w:val="clear" w:color="auto" w:fill="auto"/>
            <w:noWrap/>
            <w:vAlign w:val="bottom"/>
            <w:hideMark/>
          </w:tcPr>
          <w:p w14:paraId="37B36AED"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6.182,56</w:t>
            </w:r>
          </w:p>
        </w:tc>
        <w:tc>
          <w:tcPr>
            <w:tcW w:w="1400" w:type="dxa"/>
            <w:tcBorders>
              <w:top w:val="nil"/>
              <w:left w:val="nil"/>
              <w:bottom w:val="nil"/>
              <w:right w:val="nil"/>
            </w:tcBorders>
            <w:shd w:val="clear" w:color="auto" w:fill="auto"/>
            <w:noWrap/>
            <w:vAlign w:val="bottom"/>
            <w:hideMark/>
          </w:tcPr>
          <w:p w14:paraId="7919E9F9"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9,23%</w:t>
            </w:r>
          </w:p>
        </w:tc>
      </w:tr>
      <w:tr w:rsidR="00A360DB" w:rsidRPr="00A360DB" w14:paraId="109B23C1"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264FDAA"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8. Namjenski primici /od fin. imovine i zaduživanja</w:t>
            </w:r>
          </w:p>
        </w:tc>
        <w:tc>
          <w:tcPr>
            <w:tcW w:w="1480" w:type="dxa"/>
            <w:tcBorders>
              <w:top w:val="nil"/>
              <w:left w:val="nil"/>
              <w:bottom w:val="nil"/>
              <w:right w:val="nil"/>
            </w:tcBorders>
            <w:shd w:val="clear" w:color="auto" w:fill="auto"/>
            <w:noWrap/>
            <w:vAlign w:val="bottom"/>
            <w:hideMark/>
          </w:tcPr>
          <w:p w14:paraId="77641688"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295.000,00</w:t>
            </w:r>
          </w:p>
        </w:tc>
        <w:tc>
          <w:tcPr>
            <w:tcW w:w="1380" w:type="dxa"/>
            <w:tcBorders>
              <w:top w:val="nil"/>
              <w:left w:val="nil"/>
              <w:bottom w:val="nil"/>
              <w:right w:val="nil"/>
            </w:tcBorders>
            <w:shd w:val="clear" w:color="auto" w:fill="auto"/>
            <w:noWrap/>
            <w:vAlign w:val="bottom"/>
            <w:hideMark/>
          </w:tcPr>
          <w:p w14:paraId="55C14CF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281.312,50</w:t>
            </w:r>
          </w:p>
        </w:tc>
        <w:tc>
          <w:tcPr>
            <w:tcW w:w="1400" w:type="dxa"/>
            <w:tcBorders>
              <w:top w:val="nil"/>
              <w:left w:val="nil"/>
              <w:bottom w:val="nil"/>
              <w:right w:val="nil"/>
            </w:tcBorders>
            <w:shd w:val="clear" w:color="auto" w:fill="auto"/>
            <w:noWrap/>
            <w:vAlign w:val="bottom"/>
            <w:hideMark/>
          </w:tcPr>
          <w:p w14:paraId="73B20C9F"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95,36%</w:t>
            </w:r>
          </w:p>
        </w:tc>
      </w:tr>
      <w:tr w:rsidR="00A360DB" w:rsidRPr="00A360DB" w14:paraId="6C0626EC"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2AB75D7C"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 xml:space="preserve">Izvor 8.1. Namjenski primici /od fin. imovine i zaduživanja </w:t>
            </w:r>
          </w:p>
        </w:tc>
        <w:tc>
          <w:tcPr>
            <w:tcW w:w="1480" w:type="dxa"/>
            <w:tcBorders>
              <w:top w:val="nil"/>
              <w:left w:val="nil"/>
              <w:bottom w:val="nil"/>
              <w:right w:val="nil"/>
            </w:tcBorders>
            <w:shd w:val="clear" w:color="auto" w:fill="auto"/>
            <w:noWrap/>
            <w:vAlign w:val="bottom"/>
            <w:hideMark/>
          </w:tcPr>
          <w:p w14:paraId="578A24A1"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295.000,00</w:t>
            </w:r>
          </w:p>
        </w:tc>
        <w:tc>
          <w:tcPr>
            <w:tcW w:w="1380" w:type="dxa"/>
            <w:tcBorders>
              <w:top w:val="nil"/>
              <w:left w:val="nil"/>
              <w:bottom w:val="nil"/>
              <w:right w:val="nil"/>
            </w:tcBorders>
            <w:shd w:val="clear" w:color="auto" w:fill="auto"/>
            <w:noWrap/>
            <w:vAlign w:val="bottom"/>
            <w:hideMark/>
          </w:tcPr>
          <w:p w14:paraId="69AC125F"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281.312,50</w:t>
            </w:r>
          </w:p>
        </w:tc>
        <w:tc>
          <w:tcPr>
            <w:tcW w:w="1400" w:type="dxa"/>
            <w:tcBorders>
              <w:top w:val="nil"/>
              <w:left w:val="nil"/>
              <w:bottom w:val="nil"/>
              <w:right w:val="nil"/>
            </w:tcBorders>
            <w:shd w:val="clear" w:color="auto" w:fill="auto"/>
            <w:noWrap/>
            <w:vAlign w:val="bottom"/>
            <w:hideMark/>
          </w:tcPr>
          <w:p w14:paraId="0949B73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95,36%</w:t>
            </w:r>
          </w:p>
        </w:tc>
      </w:tr>
      <w:tr w:rsidR="00A360DB" w:rsidRPr="00A360DB" w14:paraId="1760608D"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3100E31"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9. Višak iz prethodnih razdoblja</w:t>
            </w:r>
          </w:p>
        </w:tc>
        <w:tc>
          <w:tcPr>
            <w:tcW w:w="1480" w:type="dxa"/>
            <w:tcBorders>
              <w:top w:val="nil"/>
              <w:left w:val="nil"/>
              <w:bottom w:val="nil"/>
              <w:right w:val="nil"/>
            </w:tcBorders>
            <w:shd w:val="clear" w:color="auto" w:fill="auto"/>
            <w:noWrap/>
            <w:vAlign w:val="bottom"/>
            <w:hideMark/>
          </w:tcPr>
          <w:p w14:paraId="59FD3B5A"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17.000,00</w:t>
            </w:r>
          </w:p>
        </w:tc>
        <w:tc>
          <w:tcPr>
            <w:tcW w:w="1380" w:type="dxa"/>
            <w:tcBorders>
              <w:top w:val="nil"/>
              <w:left w:val="nil"/>
              <w:bottom w:val="nil"/>
              <w:right w:val="nil"/>
            </w:tcBorders>
            <w:shd w:val="clear" w:color="auto" w:fill="auto"/>
            <w:noWrap/>
            <w:vAlign w:val="bottom"/>
            <w:hideMark/>
          </w:tcPr>
          <w:p w14:paraId="62DAC575"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16.073,19</w:t>
            </w:r>
          </w:p>
        </w:tc>
        <w:tc>
          <w:tcPr>
            <w:tcW w:w="1400" w:type="dxa"/>
            <w:tcBorders>
              <w:top w:val="nil"/>
              <w:left w:val="nil"/>
              <w:bottom w:val="nil"/>
              <w:right w:val="nil"/>
            </w:tcBorders>
            <w:shd w:val="clear" w:color="auto" w:fill="auto"/>
            <w:noWrap/>
            <w:vAlign w:val="bottom"/>
            <w:hideMark/>
          </w:tcPr>
          <w:p w14:paraId="7DD60A91"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94,55%</w:t>
            </w:r>
          </w:p>
        </w:tc>
      </w:tr>
      <w:tr w:rsidR="00A360DB" w:rsidRPr="00A360DB" w14:paraId="6347FBB8"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764CF12"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9.2. Višak iz prethodnih godina - Grad</w:t>
            </w:r>
          </w:p>
        </w:tc>
        <w:tc>
          <w:tcPr>
            <w:tcW w:w="1480" w:type="dxa"/>
            <w:tcBorders>
              <w:top w:val="nil"/>
              <w:left w:val="nil"/>
              <w:bottom w:val="nil"/>
              <w:right w:val="nil"/>
            </w:tcBorders>
            <w:shd w:val="clear" w:color="auto" w:fill="auto"/>
            <w:noWrap/>
            <w:vAlign w:val="bottom"/>
            <w:hideMark/>
          </w:tcPr>
          <w:p w14:paraId="2168DB2E"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17.000,00</w:t>
            </w:r>
          </w:p>
        </w:tc>
        <w:tc>
          <w:tcPr>
            <w:tcW w:w="1380" w:type="dxa"/>
            <w:tcBorders>
              <w:top w:val="nil"/>
              <w:left w:val="nil"/>
              <w:bottom w:val="nil"/>
              <w:right w:val="nil"/>
            </w:tcBorders>
            <w:shd w:val="clear" w:color="auto" w:fill="auto"/>
            <w:noWrap/>
            <w:vAlign w:val="bottom"/>
            <w:hideMark/>
          </w:tcPr>
          <w:p w14:paraId="4EAD2DEE"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16.073,19</w:t>
            </w:r>
          </w:p>
        </w:tc>
        <w:tc>
          <w:tcPr>
            <w:tcW w:w="1400" w:type="dxa"/>
            <w:tcBorders>
              <w:top w:val="nil"/>
              <w:left w:val="nil"/>
              <w:bottom w:val="nil"/>
              <w:right w:val="nil"/>
            </w:tcBorders>
            <w:shd w:val="clear" w:color="auto" w:fill="auto"/>
            <w:noWrap/>
            <w:vAlign w:val="bottom"/>
            <w:hideMark/>
          </w:tcPr>
          <w:p w14:paraId="64C7E278"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94,55%</w:t>
            </w:r>
          </w:p>
        </w:tc>
      </w:tr>
      <w:tr w:rsidR="00A360DB" w:rsidRPr="00A360DB" w14:paraId="0259B392" w14:textId="77777777" w:rsidTr="00A360DB">
        <w:trPr>
          <w:trHeight w:val="240"/>
        </w:trPr>
        <w:tc>
          <w:tcPr>
            <w:tcW w:w="1697" w:type="dxa"/>
            <w:tcBorders>
              <w:top w:val="nil"/>
              <w:left w:val="nil"/>
              <w:bottom w:val="nil"/>
              <w:right w:val="nil"/>
            </w:tcBorders>
            <w:shd w:val="clear" w:color="000000" w:fill="1D4BB3"/>
            <w:noWrap/>
            <w:vAlign w:val="bottom"/>
            <w:hideMark/>
          </w:tcPr>
          <w:p w14:paraId="5B90B1C9" w14:textId="77777777" w:rsidR="00A360DB" w:rsidRPr="00A360DB" w:rsidRDefault="00A360DB" w:rsidP="00A360DB">
            <w:pPr>
              <w:spacing w:after="0" w:line="240" w:lineRule="auto"/>
              <w:rPr>
                <w:rFonts w:ascii="Arial" w:hAnsi="Arial" w:cs="Arial"/>
                <w:b/>
                <w:bCs/>
                <w:color w:val="FFFFFF"/>
                <w:sz w:val="18"/>
                <w:szCs w:val="18"/>
                <w:lang w:eastAsia="hr-HR"/>
              </w:rPr>
            </w:pPr>
            <w:r w:rsidRPr="00A360DB">
              <w:rPr>
                <w:rFonts w:ascii="Arial" w:hAnsi="Arial" w:cs="Arial"/>
                <w:b/>
                <w:bCs/>
                <w:color w:val="FFFFFF"/>
                <w:sz w:val="18"/>
                <w:szCs w:val="18"/>
                <w:lang w:eastAsia="hr-HR"/>
              </w:rPr>
              <w:t>1003</w:t>
            </w:r>
          </w:p>
        </w:tc>
        <w:tc>
          <w:tcPr>
            <w:tcW w:w="8509" w:type="dxa"/>
            <w:tcBorders>
              <w:top w:val="nil"/>
              <w:left w:val="nil"/>
              <w:bottom w:val="nil"/>
              <w:right w:val="nil"/>
            </w:tcBorders>
            <w:shd w:val="clear" w:color="000000" w:fill="1D4BB3"/>
            <w:noWrap/>
            <w:vAlign w:val="bottom"/>
            <w:hideMark/>
          </w:tcPr>
          <w:p w14:paraId="59015418" w14:textId="77777777" w:rsidR="00A360DB" w:rsidRPr="00A360DB" w:rsidRDefault="00A360DB" w:rsidP="00A360DB">
            <w:pPr>
              <w:spacing w:after="0" w:line="240" w:lineRule="auto"/>
              <w:rPr>
                <w:rFonts w:ascii="Arial" w:hAnsi="Arial" w:cs="Arial"/>
                <w:b/>
                <w:bCs/>
                <w:color w:val="FFFFFF"/>
                <w:sz w:val="18"/>
                <w:szCs w:val="18"/>
                <w:lang w:eastAsia="hr-HR"/>
              </w:rPr>
            </w:pPr>
            <w:r w:rsidRPr="00A360DB">
              <w:rPr>
                <w:rFonts w:ascii="Arial" w:hAnsi="Arial" w:cs="Arial"/>
                <w:b/>
                <w:bCs/>
                <w:color w:val="FFFFFF"/>
                <w:sz w:val="18"/>
                <w:szCs w:val="18"/>
                <w:lang w:eastAsia="hr-HR"/>
              </w:rPr>
              <w:t>Program: Priprema i donošenje akata iz djelokruga tijela</w:t>
            </w:r>
          </w:p>
        </w:tc>
        <w:tc>
          <w:tcPr>
            <w:tcW w:w="1480" w:type="dxa"/>
            <w:tcBorders>
              <w:top w:val="nil"/>
              <w:left w:val="nil"/>
              <w:bottom w:val="nil"/>
              <w:right w:val="nil"/>
            </w:tcBorders>
            <w:shd w:val="clear" w:color="000000" w:fill="1D4BB3"/>
            <w:noWrap/>
            <w:vAlign w:val="bottom"/>
            <w:hideMark/>
          </w:tcPr>
          <w:p w14:paraId="23040206"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512.300,00</w:t>
            </w:r>
          </w:p>
        </w:tc>
        <w:tc>
          <w:tcPr>
            <w:tcW w:w="1380" w:type="dxa"/>
            <w:tcBorders>
              <w:top w:val="nil"/>
              <w:left w:val="nil"/>
              <w:bottom w:val="nil"/>
              <w:right w:val="nil"/>
            </w:tcBorders>
            <w:shd w:val="clear" w:color="000000" w:fill="1D4BB3"/>
            <w:noWrap/>
            <w:vAlign w:val="bottom"/>
            <w:hideMark/>
          </w:tcPr>
          <w:p w14:paraId="6BCE69D5"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447.777,43</w:t>
            </w:r>
          </w:p>
        </w:tc>
        <w:tc>
          <w:tcPr>
            <w:tcW w:w="1400" w:type="dxa"/>
            <w:tcBorders>
              <w:top w:val="nil"/>
              <w:left w:val="nil"/>
              <w:bottom w:val="nil"/>
              <w:right w:val="nil"/>
            </w:tcBorders>
            <w:shd w:val="clear" w:color="000000" w:fill="1D4BB3"/>
            <w:noWrap/>
            <w:vAlign w:val="bottom"/>
            <w:hideMark/>
          </w:tcPr>
          <w:p w14:paraId="68BEFF6C"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87,41%</w:t>
            </w:r>
          </w:p>
        </w:tc>
      </w:tr>
      <w:tr w:rsidR="00A360DB" w:rsidRPr="00A360DB" w14:paraId="54E84389" w14:textId="77777777" w:rsidTr="00A360DB">
        <w:trPr>
          <w:trHeight w:val="240"/>
        </w:trPr>
        <w:tc>
          <w:tcPr>
            <w:tcW w:w="1697" w:type="dxa"/>
            <w:tcBorders>
              <w:top w:val="nil"/>
              <w:left w:val="nil"/>
              <w:bottom w:val="nil"/>
              <w:right w:val="nil"/>
            </w:tcBorders>
            <w:shd w:val="clear" w:color="000000" w:fill="B4C6E7"/>
            <w:noWrap/>
            <w:vAlign w:val="bottom"/>
            <w:hideMark/>
          </w:tcPr>
          <w:p w14:paraId="464A99A4"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A100301</w:t>
            </w:r>
          </w:p>
        </w:tc>
        <w:tc>
          <w:tcPr>
            <w:tcW w:w="8509" w:type="dxa"/>
            <w:tcBorders>
              <w:top w:val="nil"/>
              <w:left w:val="nil"/>
              <w:bottom w:val="nil"/>
              <w:right w:val="nil"/>
            </w:tcBorders>
            <w:shd w:val="clear" w:color="000000" w:fill="B4C6E7"/>
            <w:noWrap/>
            <w:vAlign w:val="bottom"/>
            <w:hideMark/>
          </w:tcPr>
          <w:p w14:paraId="36F50BDD"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Redovan rad upravnog tijela</w:t>
            </w:r>
          </w:p>
        </w:tc>
        <w:tc>
          <w:tcPr>
            <w:tcW w:w="1480" w:type="dxa"/>
            <w:tcBorders>
              <w:top w:val="nil"/>
              <w:left w:val="nil"/>
              <w:bottom w:val="nil"/>
              <w:right w:val="nil"/>
            </w:tcBorders>
            <w:shd w:val="clear" w:color="000000" w:fill="B4C6E7"/>
            <w:noWrap/>
            <w:vAlign w:val="bottom"/>
            <w:hideMark/>
          </w:tcPr>
          <w:p w14:paraId="71D4DB4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415.300,00</w:t>
            </w:r>
          </w:p>
        </w:tc>
        <w:tc>
          <w:tcPr>
            <w:tcW w:w="1380" w:type="dxa"/>
            <w:tcBorders>
              <w:top w:val="nil"/>
              <w:left w:val="nil"/>
              <w:bottom w:val="nil"/>
              <w:right w:val="nil"/>
            </w:tcBorders>
            <w:shd w:val="clear" w:color="000000" w:fill="B4C6E7"/>
            <w:noWrap/>
            <w:vAlign w:val="bottom"/>
            <w:hideMark/>
          </w:tcPr>
          <w:p w14:paraId="0DEC086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372.077,77</w:t>
            </w:r>
          </w:p>
        </w:tc>
        <w:tc>
          <w:tcPr>
            <w:tcW w:w="1400" w:type="dxa"/>
            <w:tcBorders>
              <w:top w:val="nil"/>
              <w:left w:val="nil"/>
              <w:bottom w:val="nil"/>
              <w:right w:val="nil"/>
            </w:tcBorders>
            <w:shd w:val="clear" w:color="000000" w:fill="B4C6E7"/>
            <w:noWrap/>
            <w:vAlign w:val="bottom"/>
            <w:hideMark/>
          </w:tcPr>
          <w:p w14:paraId="330B55D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89,59%</w:t>
            </w:r>
          </w:p>
        </w:tc>
      </w:tr>
      <w:tr w:rsidR="00A360DB" w:rsidRPr="00A360DB" w14:paraId="0EC8C312"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D73CE56"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0EBFA4D8"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415.300,00</w:t>
            </w:r>
          </w:p>
        </w:tc>
        <w:tc>
          <w:tcPr>
            <w:tcW w:w="1380" w:type="dxa"/>
            <w:tcBorders>
              <w:top w:val="nil"/>
              <w:left w:val="nil"/>
              <w:bottom w:val="nil"/>
              <w:right w:val="nil"/>
            </w:tcBorders>
            <w:shd w:val="clear" w:color="auto" w:fill="auto"/>
            <w:noWrap/>
            <w:vAlign w:val="bottom"/>
            <w:hideMark/>
          </w:tcPr>
          <w:p w14:paraId="69239FA6"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372.077,77</w:t>
            </w:r>
          </w:p>
        </w:tc>
        <w:tc>
          <w:tcPr>
            <w:tcW w:w="1400" w:type="dxa"/>
            <w:tcBorders>
              <w:top w:val="nil"/>
              <w:left w:val="nil"/>
              <w:bottom w:val="nil"/>
              <w:right w:val="nil"/>
            </w:tcBorders>
            <w:shd w:val="clear" w:color="auto" w:fill="auto"/>
            <w:noWrap/>
            <w:vAlign w:val="bottom"/>
            <w:hideMark/>
          </w:tcPr>
          <w:p w14:paraId="16B0917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89,59%</w:t>
            </w:r>
          </w:p>
        </w:tc>
      </w:tr>
      <w:tr w:rsidR="00A360DB" w:rsidRPr="00A360DB" w14:paraId="13EDBAB8"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6F0384B"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08AC7C47"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415.300,00</w:t>
            </w:r>
          </w:p>
        </w:tc>
        <w:tc>
          <w:tcPr>
            <w:tcW w:w="1380" w:type="dxa"/>
            <w:tcBorders>
              <w:top w:val="nil"/>
              <w:left w:val="nil"/>
              <w:bottom w:val="nil"/>
              <w:right w:val="nil"/>
            </w:tcBorders>
            <w:shd w:val="clear" w:color="auto" w:fill="auto"/>
            <w:noWrap/>
            <w:vAlign w:val="bottom"/>
            <w:hideMark/>
          </w:tcPr>
          <w:p w14:paraId="5C2859E7"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372.077,77</w:t>
            </w:r>
          </w:p>
        </w:tc>
        <w:tc>
          <w:tcPr>
            <w:tcW w:w="1400" w:type="dxa"/>
            <w:tcBorders>
              <w:top w:val="nil"/>
              <w:left w:val="nil"/>
              <w:bottom w:val="nil"/>
              <w:right w:val="nil"/>
            </w:tcBorders>
            <w:shd w:val="clear" w:color="auto" w:fill="auto"/>
            <w:noWrap/>
            <w:vAlign w:val="bottom"/>
            <w:hideMark/>
          </w:tcPr>
          <w:p w14:paraId="130DCFE8"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89,59%</w:t>
            </w:r>
          </w:p>
        </w:tc>
      </w:tr>
      <w:tr w:rsidR="00A360DB" w:rsidRPr="00A360DB" w14:paraId="6FD4362A" w14:textId="77777777" w:rsidTr="00A360DB">
        <w:trPr>
          <w:trHeight w:val="240"/>
        </w:trPr>
        <w:tc>
          <w:tcPr>
            <w:tcW w:w="1697" w:type="dxa"/>
            <w:tcBorders>
              <w:top w:val="nil"/>
              <w:left w:val="nil"/>
              <w:bottom w:val="nil"/>
              <w:right w:val="nil"/>
            </w:tcBorders>
            <w:shd w:val="clear" w:color="auto" w:fill="auto"/>
            <w:noWrap/>
            <w:vAlign w:val="bottom"/>
            <w:hideMark/>
          </w:tcPr>
          <w:p w14:paraId="2220EA9B"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31</w:t>
            </w:r>
          </w:p>
        </w:tc>
        <w:tc>
          <w:tcPr>
            <w:tcW w:w="8509" w:type="dxa"/>
            <w:tcBorders>
              <w:top w:val="nil"/>
              <w:left w:val="nil"/>
              <w:bottom w:val="nil"/>
              <w:right w:val="nil"/>
            </w:tcBorders>
            <w:shd w:val="clear" w:color="auto" w:fill="auto"/>
            <w:noWrap/>
            <w:vAlign w:val="bottom"/>
            <w:hideMark/>
          </w:tcPr>
          <w:p w14:paraId="63D4F3E7"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zaposlene                                                                                </w:t>
            </w:r>
          </w:p>
        </w:tc>
        <w:tc>
          <w:tcPr>
            <w:tcW w:w="1480" w:type="dxa"/>
            <w:tcBorders>
              <w:top w:val="nil"/>
              <w:left w:val="nil"/>
              <w:bottom w:val="nil"/>
              <w:right w:val="nil"/>
            </w:tcBorders>
            <w:shd w:val="clear" w:color="auto" w:fill="auto"/>
            <w:noWrap/>
            <w:vAlign w:val="bottom"/>
            <w:hideMark/>
          </w:tcPr>
          <w:p w14:paraId="7B9DDC9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200.500,00</w:t>
            </w:r>
          </w:p>
        </w:tc>
        <w:tc>
          <w:tcPr>
            <w:tcW w:w="1380" w:type="dxa"/>
            <w:tcBorders>
              <w:top w:val="nil"/>
              <w:left w:val="nil"/>
              <w:bottom w:val="nil"/>
              <w:right w:val="nil"/>
            </w:tcBorders>
            <w:shd w:val="clear" w:color="auto" w:fill="auto"/>
            <w:noWrap/>
            <w:vAlign w:val="bottom"/>
            <w:hideMark/>
          </w:tcPr>
          <w:p w14:paraId="7223F6A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187.429,54</w:t>
            </w:r>
          </w:p>
        </w:tc>
        <w:tc>
          <w:tcPr>
            <w:tcW w:w="1400" w:type="dxa"/>
            <w:tcBorders>
              <w:top w:val="nil"/>
              <w:left w:val="nil"/>
              <w:bottom w:val="nil"/>
              <w:right w:val="nil"/>
            </w:tcBorders>
            <w:shd w:val="clear" w:color="auto" w:fill="auto"/>
            <w:noWrap/>
            <w:vAlign w:val="bottom"/>
            <w:hideMark/>
          </w:tcPr>
          <w:p w14:paraId="68BB2DA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93,48%</w:t>
            </w:r>
          </w:p>
        </w:tc>
      </w:tr>
      <w:tr w:rsidR="00A360DB" w:rsidRPr="00A360DB" w14:paraId="714EDD60" w14:textId="77777777" w:rsidTr="00A360DB">
        <w:trPr>
          <w:trHeight w:val="240"/>
        </w:trPr>
        <w:tc>
          <w:tcPr>
            <w:tcW w:w="1697" w:type="dxa"/>
            <w:tcBorders>
              <w:top w:val="nil"/>
              <w:left w:val="nil"/>
              <w:bottom w:val="nil"/>
              <w:right w:val="nil"/>
            </w:tcBorders>
            <w:shd w:val="clear" w:color="auto" w:fill="auto"/>
            <w:noWrap/>
            <w:vAlign w:val="bottom"/>
            <w:hideMark/>
          </w:tcPr>
          <w:p w14:paraId="3B2ECDD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3111</w:t>
            </w:r>
          </w:p>
        </w:tc>
        <w:tc>
          <w:tcPr>
            <w:tcW w:w="8509" w:type="dxa"/>
            <w:tcBorders>
              <w:top w:val="nil"/>
              <w:left w:val="nil"/>
              <w:bottom w:val="nil"/>
              <w:right w:val="nil"/>
            </w:tcBorders>
            <w:shd w:val="clear" w:color="auto" w:fill="auto"/>
            <w:noWrap/>
            <w:vAlign w:val="bottom"/>
            <w:hideMark/>
          </w:tcPr>
          <w:p w14:paraId="0D9A756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Plaće za redovan rad                                                                                </w:t>
            </w:r>
          </w:p>
        </w:tc>
        <w:tc>
          <w:tcPr>
            <w:tcW w:w="1480" w:type="dxa"/>
            <w:tcBorders>
              <w:top w:val="nil"/>
              <w:left w:val="nil"/>
              <w:bottom w:val="nil"/>
              <w:right w:val="nil"/>
            </w:tcBorders>
            <w:shd w:val="clear" w:color="auto" w:fill="auto"/>
            <w:noWrap/>
            <w:vAlign w:val="bottom"/>
            <w:hideMark/>
          </w:tcPr>
          <w:p w14:paraId="7997169B"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44B33DE"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106.832,05</w:t>
            </w:r>
          </w:p>
        </w:tc>
        <w:tc>
          <w:tcPr>
            <w:tcW w:w="1400" w:type="dxa"/>
            <w:tcBorders>
              <w:top w:val="nil"/>
              <w:left w:val="nil"/>
              <w:bottom w:val="nil"/>
              <w:right w:val="nil"/>
            </w:tcBorders>
            <w:shd w:val="clear" w:color="auto" w:fill="auto"/>
            <w:noWrap/>
            <w:vAlign w:val="bottom"/>
            <w:hideMark/>
          </w:tcPr>
          <w:p w14:paraId="4411935B"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A1003D7" w14:textId="77777777" w:rsidTr="00A360DB">
        <w:trPr>
          <w:trHeight w:val="240"/>
        </w:trPr>
        <w:tc>
          <w:tcPr>
            <w:tcW w:w="1697" w:type="dxa"/>
            <w:tcBorders>
              <w:top w:val="nil"/>
              <w:left w:val="nil"/>
              <w:bottom w:val="nil"/>
              <w:right w:val="nil"/>
            </w:tcBorders>
            <w:shd w:val="clear" w:color="auto" w:fill="auto"/>
            <w:noWrap/>
            <w:vAlign w:val="bottom"/>
            <w:hideMark/>
          </w:tcPr>
          <w:p w14:paraId="798FAB7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3121</w:t>
            </w:r>
          </w:p>
        </w:tc>
        <w:tc>
          <w:tcPr>
            <w:tcW w:w="8509" w:type="dxa"/>
            <w:tcBorders>
              <w:top w:val="nil"/>
              <w:left w:val="nil"/>
              <w:bottom w:val="nil"/>
              <w:right w:val="nil"/>
            </w:tcBorders>
            <w:shd w:val="clear" w:color="auto" w:fill="auto"/>
            <w:noWrap/>
            <w:vAlign w:val="bottom"/>
            <w:hideMark/>
          </w:tcPr>
          <w:p w14:paraId="17B24E0D"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Ostali rashodi za zaposlene                                                                         </w:t>
            </w:r>
          </w:p>
        </w:tc>
        <w:tc>
          <w:tcPr>
            <w:tcW w:w="1480" w:type="dxa"/>
            <w:tcBorders>
              <w:top w:val="nil"/>
              <w:left w:val="nil"/>
              <w:bottom w:val="nil"/>
              <w:right w:val="nil"/>
            </w:tcBorders>
            <w:shd w:val="clear" w:color="auto" w:fill="auto"/>
            <w:noWrap/>
            <w:vAlign w:val="bottom"/>
            <w:hideMark/>
          </w:tcPr>
          <w:p w14:paraId="2E68FD66"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CCE0022"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65.479,93</w:t>
            </w:r>
          </w:p>
        </w:tc>
        <w:tc>
          <w:tcPr>
            <w:tcW w:w="1400" w:type="dxa"/>
            <w:tcBorders>
              <w:top w:val="nil"/>
              <w:left w:val="nil"/>
              <w:bottom w:val="nil"/>
              <w:right w:val="nil"/>
            </w:tcBorders>
            <w:shd w:val="clear" w:color="auto" w:fill="auto"/>
            <w:noWrap/>
            <w:vAlign w:val="bottom"/>
            <w:hideMark/>
          </w:tcPr>
          <w:p w14:paraId="55E7D62B"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24D892F" w14:textId="77777777" w:rsidTr="00A360DB">
        <w:trPr>
          <w:trHeight w:val="240"/>
        </w:trPr>
        <w:tc>
          <w:tcPr>
            <w:tcW w:w="1697" w:type="dxa"/>
            <w:tcBorders>
              <w:top w:val="nil"/>
              <w:left w:val="nil"/>
              <w:bottom w:val="nil"/>
              <w:right w:val="nil"/>
            </w:tcBorders>
            <w:shd w:val="clear" w:color="auto" w:fill="auto"/>
            <w:noWrap/>
            <w:vAlign w:val="bottom"/>
            <w:hideMark/>
          </w:tcPr>
          <w:p w14:paraId="13702F3E"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3132</w:t>
            </w:r>
          </w:p>
        </w:tc>
        <w:tc>
          <w:tcPr>
            <w:tcW w:w="8509" w:type="dxa"/>
            <w:tcBorders>
              <w:top w:val="nil"/>
              <w:left w:val="nil"/>
              <w:bottom w:val="nil"/>
              <w:right w:val="nil"/>
            </w:tcBorders>
            <w:shd w:val="clear" w:color="auto" w:fill="auto"/>
            <w:noWrap/>
            <w:vAlign w:val="bottom"/>
            <w:hideMark/>
          </w:tcPr>
          <w:p w14:paraId="51D112B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Doprinosi za obvezno zdravstveno osiguranje                                                         </w:t>
            </w:r>
          </w:p>
        </w:tc>
        <w:tc>
          <w:tcPr>
            <w:tcW w:w="1480" w:type="dxa"/>
            <w:tcBorders>
              <w:top w:val="nil"/>
              <w:left w:val="nil"/>
              <w:bottom w:val="nil"/>
              <w:right w:val="nil"/>
            </w:tcBorders>
            <w:shd w:val="clear" w:color="auto" w:fill="auto"/>
            <w:noWrap/>
            <w:vAlign w:val="bottom"/>
            <w:hideMark/>
          </w:tcPr>
          <w:p w14:paraId="5CC81BB2"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3DB695D"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15.117,56</w:t>
            </w:r>
          </w:p>
        </w:tc>
        <w:tc>
          <w:tcPr>
            <w:tcW w:w="1400" w:type="dxa"/>
            <w:tcBorders>
              <w:top w:val="nil"/>
              <w:left w:val="nil"/>
              <w:bottom w:val="nil"/>
              <w:right w:val="nil"/>
            </w:tcBorders>
            <w:shd w:val="clear" w:color="auto" w:fill="auto"/>
            <w:noWrap/>
            <w:vAlign w:val="bottom"/>
            <w:hideMark/>
          </w:tcPr>
          <w:p w14:paraId="1365C544"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A69ACDE" w14:textId="77777777" w:rsidTr="00A360DB">
        <w:trPr>
          <w:trHeight w:val="240"/>
        </w:trPr>
        <w:tc>
          <w:tcPr>
            <w:tcW w:w="1697" w:type="dxa"/>
            <w:tcBorders>
              <w:top w:val="nil"/>
              <w:left w:val="nil"/>
              <w:bottom w:val="nil"/>
              <w:right w:val="nil"/>
            </w:tcBorders>
            <w:shd w:val="clear" w:color="auto" w:fill="auto"/>
            <w:noWrap/>
            <w:vAlign w:val="bottom"/>
            <w:hideMark/>
          </w:tcPr>
          <w:p w14:paraId="3394B4DB"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6AEAF4CC"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52BE1BA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211.700,00</w:t>
            </w:r>
          </w:p>
        </w:tc>
        <w:tc>
          <w:tcPr>
            <w:tcW w:w="1380" w:type="dxa"/>
            <w:tcBorders>
              <w:top w:val="nil"/>
              <w:left w:val="nil"/>
              <w:bottom w:val="nil"/>
              <w:right w:val="nil"/>
            </w:tcBorders>
            <w:shd w:val="clear" w:color="auto" w:fill="auto"/>
            <w:noWrap/>
            <w:vAlign w:val="bottom"/>
            <w:hideMark/>
          </w:tcPr>
          <w:p w14:paraId="62371AD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184.587,96</w:t>
            </w:r>
          </w:p>
        </w:tc>
        <w:tc>
          <w:tcPr>
            <w:tcW w:w="1400" w:type="dxa"/>
            <w:tcBorders>
              <w:top w:val="nil"/>
              <w:left w:val="nil"/>
              <w:bottom w:val="nil"/>
              <w:right w:val="nil"/>
            </w:tcBorders>
            <w:shd w:val="clear" w:color="auto" w:fill="auto"/>
            <w:noWrap/>
            <w:vAlign w:val="bottom"/>
            <w:hideMark/>
          </w:tcPr>
          <w:p w14:paraId="770DE07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87,19%</w:t>
            </w:r>
          </w:p>
        </w:tc>
      </w:tr>
      <w:tr w:rsidR="00A360DB" w:rsidRPr="00A360DB" w14:paraId="69C92945" w14:textId="77777777" w:rsidTr="00A360DB">
        <w:trPr>
          <w:trHeight w:val="240"/>
        </w:trPr>
        <w:tc>
          <w:tcPr>
            <w:tcW w:w="1697" w:type="dxa"/>
            <w:tcBorders>
              <w:top w:val="nil"/>
              <w:left w:val="nil"/>
              <w:bottom w:val="nil"/>
              <w:right w:val="nil"/>
            </w:tcBorders>
            <w:shd w:val="clear" w:color="auto" w:fill="auto"/>
            <w:noWrap/>
            <w:vAlign w:val="bottom"/>
            <w:hideMark/>
          </w:tcPr>
          <w:p w14:paraId="7319A6E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3211</w:t>
            </w:r>
          </w:p>
        </w:tc>
        <w:tc>
          <w:tcPr>
            <w:tcW w:w="8509" w:type="dxa"/>
            <w:tcBorders>
              <w:top w:val="nil"/>
              <w:left w:val="nil"/>
              <w:bottom w:val="nil"/>
              <w:right w:val="nil"/>
            </w:tcBorders>
            <w:shd w:val="clear" w:color="auto" w:fill="auto"/>
            <w:noWrap/>
            <w:vAlign w:val="bottom"/>
            <w:hideMark/>
          </w:tcPr>
          <w:p w14:paraId="3A25A99D"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Službena putovanja                                                                                  </w:t>
            </w:r>
          </w:p>
        </w:tc>
        <w:tc>
          <w:tcPr>
            <w:tcW w:w="1480" w:type="dxa"/>
            <w:tcBorders>
              <w:top w:val="nil"/>
              <w:left w:val="nil"/>
              <w:bottom w:val="nil"/>
              <w:right w:val="nil"/>
            </w:tcBorders>
            <w:shd w:val="clear" w:color="auto" w:fill="auto"/>
            <w:noWrap/>
            <w:vAlign w:val="bottom"/>
            <w:hideMark/>
          </w:tcPr>
          <w:p w14:paraId="51E8CBDE"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AE1E9B3"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67,60</w:t>
            </w:r>
          </w:p>
        </w:tc>
        <w:tc>
          <w:tcPr>
            <w:tcW w:w="1400" w:type="dxa"/>
            <w:tcBorders>
              <w:top w:val="nil"/>
              <w:left w:val="nil"/>
              <w:bottom w:val="nil"/>
              <w:right w:val="nil"/>
            </w:tcBorders>
            <w:shd w:val="clear" w:color="auto" w:fill="auto"/>
            <w:noWrap/>
            <w:vAlign w:val="bottom"/>
            <w:hideMark/>
          </w:tcPr>
          <w:p w14:paraId="77CF6100"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230EF326" w14:textId="77777777" w:rsidTr="00A360DB">
        <w:trPr>
          <w:trHeight w:val="240"/>
        </w:trPr>
        <w:tc>
          <w:tcPr>
            <w:tcW w:w="1697" w:type="dxa"/>
            <w:tcBorders>
              <w:top w:val="nil"/>
              <w:left w:val="nil"/>
              <w:bottom w:val="nil"/>
              <w:right w:val="nil"/>
            </w:tcBorders>
            <w:shd w:val="clear" w:color="auto" w:fill="auto"/>
            <w:noWrap/>
            <w:vAlign w:val="bottom"/>
            <w:hideMark/>
          </w:tcPr>
          <w:p w14:paraId="6541280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lastRenderedPageBreak/>
              <w:t>3212</w:t>
            </w:r>
          </w:p>
        </w:tc>
        <w:tc>
          <w:tcPr>
            <w:tcW w:w="8509" w:type="dxa"/>
            <w:tcBorders>
              <w:top w:val="nil"/>
              <w:left w:val="nil"/>
              <w:bottom w:val="nil"/>
              <w:right w:val="nil"/>
            </w:tcBorders>
            <w:shd w:val="clear" w:color="auto" w:fill="auto"/>
            <w:noWrap/>
            <w:vAlign w:val="bottom"/>
            <w:hideMark/>
          </w:tcPr>
          <w:p w14:paraId="0FA9D7A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Naknade za prijevoz, za rad na terenu i odvojeni život                                              </w:t>
            </w:r>
          </w:p>
        </w:tc>
        <w:tc>
          <w:tcPr>
            <w:tcW w:w="1480" w:type="dxa"/>
            <w:tcBorders>
              <w:top w:val="nil"/>
              <w:left w:val="nil"/>
              <w:bottom w:val="nil"/>
              <w:right w:val="nil"/>
            </w:tcBorders>
            <w:shd w:val="clear" w:color="auto" w:fill="auto"/>
            <w:noWrap/>
            <w:vAlign w:val="bottom"/>
            <w:hideMark/>
          </w:tcPr>
          <w:p w14:paraId="01C32193"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5EBBA34"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2.816,34</w:t>
            </w:r>
          </w:p>
        </w:tc>
        <w:tc>
          <w:tcPr>
            <w:tcW w:w="1400" w:type="dxa"/>
            <w:tcBorders>
              <w:top w:val="nil"/>
              <w:left w:val="nil"/>
              <w:bottom w:val="nil"/>
              <w:right w:val="nil"/>
            </w:tcBorders>
            <w:shd w:val="clear" w:color="auto" w:fill="auto"/>
            <w:noWrap/>
            <w:vAlign w:val="bottom"/>
            <w:hideMark/>
          </w:tcPr>
          <w:p w14:paraId="2F532068"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3CA8414" w14:textId="77777777" w:rsidTr="00A360DB">
        <w:trPr>
          <w:trHeight w:val="240"/>
        </w:trPr>
        <w:tc>
          <w:tcPr>
            <w:tcW w:w="1697" w:type="dxa"/>
            <w:tcBorders>
              <w:top w:val="nil"/>
              <w:left w:val="nil"/>
              <w:bottom w:val="nil"/>
              <w:right w:val="nil"/>
            </w:tcBorders>
            <w:shd w:val="clear" w:color="auto" w:fill="auto"/>
            <w:noWrap/>
            <w:vAlign w:val="bottom"/>
            <w:hideMark/>
          </w:tcPr>
          <w:p w14:paraId="0F92C995"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3213</w:t>
            </w:r>
          </w:p>
        </w:tc>
        <w:tc>
          <w:tcPr>
            <w:tcW w:w="8509" w:type="dxa"/>
            <w:tcBorders>
              <w:top w:val="nil"/>
              <w:left w:val="nil"/>
              <w:bottom w:val="nil"/>
              <w:right w:val="nil"/>
            </w:tcBorders>
            <w:shd w:val="clear" w:color="auto" w:fill="auto"/>
            <w:noWrap/>
            <w:vAlign w:val="bottom"/>
            <w:hideMark/>
          </w:tcPr>
          <w:p w14:paraId="0D4C054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Stručno usavršavanje zaposlenika                                                                    </w:t>
            </w:r>
          </w:p>
        </w:tc>
        <w:tc>
          <w:tcPr>
            <w:tcW w:w="1480" w:type="dxa"/>
            <w:tcBorders>
              <w:top w:val="nil"/>
              <w:left w:val="nil"/>
              <w:bottom w:val="nil"/>
              <w:right w:val="nil"/>
            </w:tcBorders>
            <w:shd w:val="clear" w:color="auto" w:fill="auto"/>
            <w:noWrap/>
            <w:vAlign w:val="bottom"/>
            <w:hideMark/>
          </w:tcPr>
          <w:p w14:paraId="3872B4A8"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2389584A"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101,54</w:t>
            </w:r>
          </w:p>
        </w:tc>
        <w:tc>
          <w:tcPr>
            <w:tcW w:w="1400" w:type="dxa"/>
            <w:tcBorders>
              <w:top w:val="nil"/>
              <w:left w:val="nil"/>
              <w:bottom w:val="nil"/>
              <w:right w:val="nil"/>
            </w:tcBorders>
            <w:shd w:val="clear" w:color="auto" w:fill="auto"/>
            <w:noWrap/>
            <w:vAlign w:val="bottom"/>
            <w:hideMark/>
          </w:tcPr>
          <w:p w14:paraId="670CDEC1"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82B84CF" w14:textId="77777777" w:rsidTr="00A360DB">
        <w:trPr>
          <w:trHeight w:val="240"/>
        </w:trPr>
        <w:tc>
          <w:tcPr>
            <w:tcW w:w="1697" w:type="dxa"/>
            <w:tcBorders>
              <w:top w:val="nil"/>
              <w:left w:val="nil"/>
              <w:bottom w:val="nil"/>
              <w:right w:val="nil"/>
            </w:tcBorders>
            <w:shd w:val="clear" w:color="auto" w:fill="auto"/>
            <w:noWrap/>
            <w:vAlign w:val="bottom"/>
            <w:hideMark/>
          </w:tcPr>
          <w:p w14:paraId="3B39D7A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3221</w:t>
            </w:r>
          </w:p>
        </w:tc>
        <w:tc>
          <w:tcPr>
            <w:tcW w:w="8509" w:type="dxa"/>
            <w:tcBorders>
              <w:top w:val="nil"/>
              <w:left w:val="nil"/>
              <w:bottom w:val="nil"/>
              <w:right w:val="nil"/>
            </w:tcBorders>
            <w:shd w:val="clear" w:color="auto" w:fill="auto"/>
            <w:noWrap/>
            <w:vAlign w:val="bottom"/>
            <w:hideMark/>
          </w:tcPr>
          <w:p w14:paraId="3513A43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Uredski materijal i ostali materijalni rashodi                                                      </w:t>
            </w:r>
          </w:p>
        </w:tc>
        <w:tc>
          <w:tcPr>
            <w:tcW w:w="1480" w:type="dxa"/>
            <w:tcBorders>
              <w:top w:val="nil"/>
              <w:left w:val="nil"/>
              <w:bottom w:val="nil"/>
              <w:right w:val="nil"/>
            </w:tcBorders>
            <w:shd w:val="clear" w:color="auto" w:fill="auto"/>
            <w:noWrap/>
            <w:vAlign w:val="bottom"/>
            <w:hideMark/>
          </w:tcPr>
          <w:p w14:paraId="4D90D8A8"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8D481B8"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15.799,74</w:t>
            </w:r>
          </w:p>
        </w:tc>
        <w:tc>
          <w:tcPr>
            <w:tcW w:w="1400" w:type="dxa"/>
            <w:tcBorders>
              <w:top w:val="nil"/>
              <w:left w:val="nil"/>
              <w:bottom w:val="nil"/>
              <w:right w:val="nil"/>
            </w:tcBorders>
            <w:shd w:val="clear" w:color="auto" w:fill="auto"/>
            <w:noWrap/>
            <w:vAlign w:val="bottom"/>
            <w:hideMark/>
          </w:tcPr>
          <w:p w14:paraId="1B813DC6"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10EB2DC" w14:textId="77777777" w:rsidTr="00A360DB">
        <w:trPr>
          <w:trHeight w:val="240"/>
        </w:trPr>
        <w:tc>
          <w:tcPr>
            <w:tcW w:w="1697" w:type="dxa"/>
            <w:tcBorders>
              <w:top w:val="nil"/>
              <w:left w:val="nil"/>
              <w:bottom w:val="nil"/>
              <w:right w:val="nil"/>
            </w:tcBorders>
            <w:shd w:val="clear" w:color="auto" w:fill="auto"/>
            <w:noWrap/>
            <w:vAlign w:val="bottom"/>
            <w:hideMark/>
          </w:tcPr>
          <w:p w14:paraId="4892D5A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3222</w:t>
            </w:r>
          </w:p>
        </w:tc>
        <w:tc>
          <w:tcPr>
            <w:tcW w:w="8509" w:type="dxa"/>
            <w:tcBorders>
              <w:top w:val="nil"/>
              <w:left w:val="nil"/>
              <w:bottom w:val="nil"/>
              <w:right w:val="nil"/>
            </w:tcBorders>
            <w:shd w:val="clear" w:color="auto" w:fill="auto"/>
            <w:noWrap/>
            <w:vAlign w:val="bottom"/>
            <w:hideMark/>
          </w:tcPr>
          <w:p w14:paraId="441B93C7"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Materijal i sirovine                                                                                </w:t>
            </w:r>
          </w:p>
        </w:tc>
        <w:tc>
          <w:tcPr>
            <w:tcW w:w="1480" w:type="dxa"/>
            <w:tcBorders>
              <w:top w:val="nil"/>
              <w:left w:val="nil"/>
              <w:bottom w:val="nil"/>
              <w:right w:val="nil"/>
            </w:tcBorders>
            <w:shd w:val="clear" w:color="auto" w:fill="auto"/>
            <w:noWrap/>
            <w:vAlign w:val="bottom"/>
            <w:hideMark/>
          </w:tcPr>
          <w:p w14:paraId="71011BE5"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529821E4"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1.931,47</w:t>
            </w:r>
          </w:p>
        </w:tc>
        <w:tc>
          <w:tcPr>
            <w:tcW w:w="1400" w:type="dxa"/>
            <w:tcBorders>
              <w:top w:val="nil"/>
              <w:left w:val="nil"/>
              <w:bottom w:val="nil"/>
              <w:right w:val="nil"/>
            </w:tcBorders>
            <w:shd w:val="clear" w:color="auto" w:fill="auto"/>
            <w:noWrap/>
            <w:vAlign w:val="bottom"/>
            <w:hideMark/>
          </w:tcPr>
          <w:p w14:paraId="315911DA"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EED751E" w14:textId="77777777" w:rsidTr="00A360DB">
        <w:trPr>
          <w:trHeight w:val="240"/>
        </w:trPr>
        <w:tc>
          <w:tcPr>
            <w:tcW w:w="1697" w:type="dxa"/>
            <w:tcBorders>
              <w:top w:val="nil"/>
              <w:left w:val="nil"/>
              <w:bottom w:val="nil"/>
              <w:right w:val="nil"/>
            </w:tcBorders>
            <w:shd w:val="clear" w:color="auto" w:fill="auto"/>
            <w:noWrap/>
            <w:vAlign w:val="bottom"/>
            <w:hideMark/>
          </w:tcPr>
          <w:p w14:paraId="6BF0738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3231</w:t>
            </w:r>
          </w:p>
        </w:tc>
        <w:tc>
          <w:tcPr>
            <w:tcW w:w="8509" w:type="dxa"/>
            <w:tcBorders>
              <w:top w:val="nil"/>
              <w:left w:val="nil"/>
              <w:bottom w:val="nil"/>
              <w:right w:val="nil"/>
            </w:tcBorders>
            <w:shd w:val="clear" w:color="auto" w:fill="auto"/>
            <w:noWrap/>
            <w:vAlign w:val="bottom"/>
            <w:hideMark/>
          </w:tcPr>
          <w:p w14:paraId="028C87BE"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Usluge telefona, pošte i prijevoza                                                                  </w:t>
            </w:r>
          </w:p>
        </w:tc>
        <w:tc>
          <w:tcPr>
            <w:tcW w:w="1480" w:type="dxa"/>
            <w:tcBorders>
              <w:top w:val="nil"/>
              <w:left w:val="nil"/>
              <w:bottom w:val="nil"/>
              <w:right w:val="nil"/>
            </w:tcBorders>
            <w:shd w:val="clear" w:color="auto" w:fill="auto"/>
            <w:noWrap/>
            <w:vAlign w:val="bottom"/>
            <w:hideMark/>
          </w:tcPr>
          <w:p w14:paraId="64403001"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D7E881C"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19.528,98</w:t>
            </w:r>
          </w:p>
        </w:tc>
        <w:tc>
          <w:tcPr>
            <w:tcW w:w="1400" w:type="dxa"/>
            <w:tcBorders>
              <w:top w:val="nil"/>
              <w:left w:val="nil"/>
              <w:bottom w:val="nil"/>
              <w:right w:val="nil"/>
            </w:tcBorders>
            <w:shd w:val="clear" w:color="auto" w:fill="auto"/>
            <w:noWrap/>
            <w:vAlign w:val="bottom"/>
            <w:hideMark/>
          </w:tcPr>
          <w:p w14:paraId="4A385A4F"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541F9CC4" w14:textId="77777777" w:rsidTr="00A360DB">
        <w:trPr>
          <w:trHeight w:val="240"/>
        </w:trPr>
        <w:tc>
          <w:tcPr>
            <w:tcW w:w="1697" w:type="dxa"/>
            <w:tcBorders>
              <w:top w:val="nil"/>
              <w:left w:val="nil"/>
              <w:bottom w:val="nil"/>
              <w:right w:val="nil"/>
            </w:tcBorders>
            <w:shd w:val="clear" w:color="auto" w:fill="auto"/>
            <w:noWrap/>
            <w:vAlign w:val="bottom"/>
            <w:hideMark/>
          </w:tcPr>
          <w:p w14:paraId="26B2F9B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3233</w:t>
            </w:r>
          </w:p>
        </w:tc>
        <w:tc>
          <w:tcPr>
            <w:tcW w:w="8509" w:type="dxa"/>
            <w:tcBorders>
              <w:top w:val="nil"/>
              <w:left w:val="nil"/>
              <w:bottom w:val="nil"/>
              <w:right w:val="nil"/>
            </w:tcBorders>
            <w:shd w:val="clear" w:color="auto" w:fill="auto"/>
            <w:noWrap/>
            <w:vAlign w:val="bottom"/>
            <w:hideMark/>
          </w:tcPr>
          <w:p w14:paraId="3B23624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Usluge promidžbe i informiranja                                                                     </w:t>
            </w:r>
          </w:p>
        </w:tc>
        <w:tc>
          <w:tcPr>
            <w:tcW w:w="1480" w:type="dxa"/>
            <w:tcBorders>
              <w:top w:val="nil"/>
              <w:left w:val="nil"/>
              <w:bottom w:val="nil"/>
              <w:right w:val="nil"/>
            </w:tcBorders>
            <w:shd w:val="clear" w:color="auto" w:fill="auto"/>
            <w:noWrap/>
            <w:vAlign w:val="bottom"/>
            <w:hideMark/>
          </w:tcPr>
          <w:p w14:paraId="577D6A52"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164BEA9"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77.178,25</w:t>
            </w:r>
          </w:p>
        </w:tc>
        <w:tc>
          <w:tcPr>
            <w:tcW w:w="1400" w:type="dxa"/>
            <w:tcBorders>
              <w:top w:val="nil"/>
              <w:left w:val="nil"/>
              <w:bottom w:val="nil"/>
              <w:right w:val="nil"/>
            </w:tcBorders>
            <w:shd w:val="clear" w:color="auto" w:fill="auto"/>
            <w:noWrap/>
            <w:vAlign w:val="bottom"/>
            <w:hideMark/>
          </w:tcPr>
          <w:p w14:paraId="10F2F7F8"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D44499B" w14:textId="77777777" w:rsidTr="00A360DB">
        <w:trPr>
          <w:trHeight w:val="240"/>
        </w:trPr>
        <w:tc>
          <w:tcPr>
            <w:tcW w:w="1697" w:type="dxa"/>
            <w:tcBorders>
              <w:top w:val="nil"/>
              <w:left w:val="nil"/>
              <w:bottom w:val="nil"/>
              <w:right w:val="nil"/>
            </w:tcBorders>
            <w:shd w:val="clear" w:color="auto" w:fill="auto"/>
            <w:noWrap/>
            <w:vAlign w:val="bottom"/>
            <w:hideMark/>
          </w:tcPr>
          <w:p w14:paraId="5BCDEEF8"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3236</w:t>
            </w:r>
          </w:p>
        </w:tc>
        <w:tc>
          <w:tcPr>
            <w:tcW w:w="8509" w:type="dxa"/>
            <w:tcBorders>
              <w:top w:val="nil"/>
              <w:left w:val="nil"/>
              <w:bottom w:val="nil"/>
              <w:right w:val="nil"/>
            </w:tcBorders>
            <w:shd w:val="clear" w:color="auto" w:fill="auto"/>
            <w:noWrap/>
            <w:vAlign w:val="bottom"/>
            <w:hideMark/>
          </w:tcPr>
          <w:p w14:paraId="0655878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Zdravstvene i veterinarske usluge                                                                   </w:t>
            </w:r>
          </w:p>
        </w:tc>
        <w:tc>
          <w:tcPr>
            <w:tcW w:w="1480" w:type="dxa"/>
            <w:tcBorders>
              <w:top w:val="nil"/>
              <w:left w:val="nil"/>
              <w:bottom w:val="nil"/>
              <w:right w:val="nil"/>
            </w:tcBorders>
            <w:shd w:val="clear" w:color="auto" w:fill="auto"/>
            <w:noWrap/>
            <w:vAlign w:val="bottom"/>
            <w:hideMark/>
          </w:tcPr>
          <w:p w14:paraId="1A3BE017"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6109ABD"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5.019,15</w:t>
            </w:r>
          </w:p>
        </w:tc>
        <w:tc>
          <w:tcPr>
            <w:tcW w:w="1400" w:type="dxa"/>
            <w:tcBorders>
              <w:top w:val="nil"/>
              <w:left w:val="nil"/>
              <w:bottom w:val="nil"/>
              <w:right w:val="nil"/>
            </w:tcBorders>
            <w:shd w:val="clear" w:color="auto" w:fill="auto"/>
            <w:noWrap/>
            <w:vAlign w:val="bottom"/>
            <w:hideMark/>
          </w:tcPr>
          <w:p w14:paraId="460D09F8"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546F059" w14:textId="77777777" w:rsidTr="00A360DB">
        <w:trPr>
          <w:trHeight w:val="240"/>
        </w:trPr>
        <w:tc>
          <w:tcPr>
            <w:tcW w:w="1697" w:type="dxa"/>
            <w:tcBorders>
              <w:top w:val="nil"/>
              <w:left w:val="nil"/>
              <w:bottom w:val="nil"/>
              <w:right w:val="nil"/>
            </w:tcBorders>
            <w:shd w:val="clear" w:color="auto" w:fill="auto"/>
            <w:noWrap/>
            <w:vAlign w:val="bottom"/>
            <w:hideMark/>
          </w:tcPr>
          <w:p w14:paraId="3FC8A955"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3237</w:t>
            </w:r>
          </w:p>
        </w:tc>
        <w:tc>
          <w:tcPr>
            <w:tcW w:w="8509" w:type="dxa"/>
            <w:tcBorders>
              <w:top w:val="nil"/>
              <w:left w:val="nil"/>
              <w:bottom w:val="nil"/>
              <w:right w:val="nil"/>
            </w:tcBorders>
            <w:shd w:val="clear" w:color="auto" w:fill="auto"/>
            <w:noWrap/>
            <w:vAlign w:val="bottom"/>
            <w:hideMark/>
          </w:tcPr>
          <w:p w14:paraId="1014FC9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Intelektualne i osobne usluge                                                                       </w:t>
            </w:r>
          </w:p>
        </w:tc>
        <w:tc>
          <w:tcPr>
            <w:tcW w:w="1480" w:type="dxa"/>
            <w:tcBorders>
              <w:top w:val="nil"/>
              <w:left w:val="nil"/>
              <w:bottom w:val="nil"/>
              <w:right w:val="nil"/>
            </w:tcBorders>
            <w:shd w:val="clear" w:color="auto" w:fill="auto"/>
            <w:noWrap/>
            <w:vAlign w:val="bottom"/>
            <w:hideMark/>
          </w:tcPr>
          <w:p w14:paraId="102C11F8"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5B9FF09"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10.527,06</w:t>
            </w:r>
          </w:p>
        </w:tc>
        <w:tc>
          <w:tcPr>
            <w:tcW w:w="1400" w:type="dxa"/>
            <w:tcBorders>
              <w:top w:val="nil"/>
              <w:left w:val="nil"/>
              <w:bottom w:val="nil"/>
              <w:right w:val="nil"/>
            </w:tcBorders>
            <w:shd w:val="clear" w:color="auto" w:fill="auto"/>
            <w:noWrap/>
            <w:vAlign w:val="bottom"/>
            <w:hideMark/>
          </w:tcPr>
          <w:p w14:paraId="4B79A8A0"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3D93D40" w14:textId="77777777" w:rsidTr="00A360DB">
        <w:trPr>
          <w:trHeight w:val="240"/>
        </w:trPr>
        <w:tc>
          <w:tcPr>
            <w:tcW w:w="1697" w:type="dxa"/>
            <w:tcBorders>
              <w:top w:val="nil"/>
              <w:left w:val="nil"/>
              <w:bottom w:val="nil"/>
              <w:right w:val="nil"/>
            </w:tcBorders>
            <w:shd w:val="clear" w:color="auto" w:fill="auto"/>
            <w:noWrap/>
            <w:vAlign w:val="bottom"/>
            <w:hideMark/>
          </w:tcPr>
          <w:p w14:paraId="5D7F413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3239</w:t>
            </w:r>
          </w:p>
        </w:tc>
        <w:tc>
          <w:tcPr>
            <w:tcW w:w="8509" w:type="dxa"/>
            <w:tcBorders>
              <w:top w:val="nil"/>
              <w:left w:val="nil"/>
              <w:bottom w:val="nil"/>
              <w:right w:val="nil"/>
            </w:tcBorders>
            <w:shd w:val="clear" w:color="auto" w:fill="auto"/>
            <w:noWrap/>
            <w:vAlign w:val="bottom"/>
            <w:hideMark/>
          </w:tcPr>
          <w:p w14:paraId="75F61F1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Ostale usluge                                                                                       </w:t>
            </w:r>
          </w:p>
        </w:tc>
        <w:tc>
          <w:tcPr>
            <w:tcW w:w="1480" w:type="dxa"/>
            <w:tcBorders>
              <w:top w:val="nil"/>
              <w:left w:val="nil"/>
              <w:bottom w:val="nil"/>
              <w:right w:val="nil"/>
            </w:tcBorders>
            <w:shd w:val="clear" w:color="auto" w:fill="auto"/>
            <w:noWrap/>
            <w:vAlign w:val="bottom"/>
            <w:hideMark/>
          </w:tcPr>
          <w:p w14:paraId="7E12B693"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2EF318B8"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32.727,51</w:t>
            </w:r>
          </w:p>
        </w:tc>
        <w:tc>
          <w:tcPr>
            <w:tcW w:w="1400" w:type="dxa"/>
            <w:tcBorders>
              <w:top w:val="nil"/>
              <w:left w:val="nil"/>
              <w:bottom w:val="nil"/>
              <w:right w:val="nil"/>
            </w:tcBorders>
            <w:shd w:val="clear" w:color="auto" w:fill="auto"/>
            <w:noWrap/>
            <w:vAlign w:val="bottom"/>
            <w:hideMark/>
          </w:tcPr>
          <w:p w14:paraId="3F08134D"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1387AAD" w14:textId="77777777" w:rsidTr="00A360DB">
        <w:trPr>
          <w:trHeight w:val="240"/>
        </w:trPr>
        <w:tc>
          <w:tcPr>
            <w:tcW w:w="1697" w:type="dxa"/>
            <w:tcBorders>
              <w:top w:val="nil"/>
              <w:left w:val="nil"/>
              <w:bottom w:val="nil"/>
              <w:right w:val="nil"/>
            </w:tcBorders>
            <w:shd w:val="clear" w:color="auto" w:fill="auto"/>
            <w:noWrap/>
            <w:vAlign w:val="bottom"/>
            <w:hideMark/>
          </w:tcPr>
          <w:p w14:paraId="300F96A5"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3292</w:t>
            </w:r>
          </w:p>
        </w:tc>
        <w:tc>
          <w:tcPr>
            <w:tcW w:w="8509" w:type="dxa"/>
            <w:tcBorders>
              <w:top w:val="nil"/>
              <w:left w:val="nil"/>
              <w:bottom w:val="nil"/>
              <w:right w:val="nil"/>
            </w:tcBorders>
            <w:shd w:val="clear" w:color="auto" w:fill="auto"/>
            <w:noWrap/>
            <w:vAlign w:val="bottom"/>
            <w:hideMark/>
          </w:tcPr>
          <w:p w14:paraId="6112FBF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Premije osiguranja                                                                                  </w:t>
            </w:r>
          </w:p>
        </w:tc>
        <w:tc>
          <w:tcPr>
            <w:tcW w:w="1480" w:type="dxa"/>
            <w:tcBorders>
              <w:top w:val="nil"/>
              <w:left w:val="nil"/>
              <w:bottom w:val="nil"/>
              <w:right w:val="nil"/>
            </w:tcBorders>
            <w:shd w:val="clear" w:color="auto" w:fill="auto"/>
            <w:noWrap/>
            <w:vAlign w:val="bottom"/>
            <w:hideMark/>
          </w:tcPr>
          <w:p w14:paraId="30597CF7"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41BCCB8"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7.771,53</w:t>
            </w:r>
          </w:p>
        </w:tc>
        <w:tc>
          <w:tcPr>
            <w:tcW w:w="1400" w:type="dxa"/>
            <w:tcBorders>
              <w:top w:val="nil"/>
              <w:left w:val="nil"/>
              <w:bottom w:val="nil"/>
              <w:right w:val="nil"/>
            </w:tcBorders>
            <w:shd w:val="clear" w:color="auto" w:fill="auto"/>
            <w:noWrap/>
            <w:vAlign w:val="bottom"/>
            <w:hideMark/>
          </w:tcPr>
          <w:p w14:paraId="6989A980"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9CD013C" w14:textId="77777777" w:rsidTr="00A360DB">
        <w:trPr>
          <w:trHeight w:val="240"/>
        </w:trPr>
        <w:tc>
          <w:tcPr>
            <w:tcW w:w="1697" w:type="dxa"/>
            <w:tcBorders>
              <w:top w:val="nil"/>
              <w:left w:val="nil"/>
              <w:bottom w:val="nil"/>
              <w:right w:val="nil"/>
            </w:tcBorders>
            <w:shd w:val="clear" w:color="auto" w:fill="auto"/>
            <w:noWrap/>
            <w:vAlign w:val="bottom"/>
            <w:hideMark/>
          </w:tcPr>
          <w:p w14:paraId="4EC71D4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3294</w:t>
            </w:r>
          </w:p>
        </w:tc>
        <w:tc>
          <w:tcPr>
            <w:tcW w:w="8509" w:type="dxa"/>
            <w:tcBorders>
              <w:top w:val="nil"/>
              <w:left w:val="nil"/>
              <w:bottom w:val="nil"/>
              <w:right w:val="nil"/>
            </w:tcBorders>
            <w:shd w:val="clear" w:color="auto" w:fill="auto"/>
            <w:noWrap/>
            <w:vAlign w:val="bottom"/>
            <w:hideMark/>
          </w:tcPr>
          <w:p w14:paraId="47BA41B8"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Članarine</w:t>
            </w:r>
          </w:p>
        </w:tc>
        <w:tc>
          <w:tcPr>
            <w:tcW w:w="1480" w:type="dxa"/>
            <w:tcBorders>
              <w:top w:val="nil"/>
              <w:left w:val="nil"/>
              <w:bottom w:val="nil"/>
              <w:right w:val="nil"/>
            </w:tcBorders>
            <w:shd w:val="clear" w:color="auto" w:fill="auto"/>
            <w:noWrap/>
            <w:vAlign w:val="bottom"/>
            <w:hideMark/>
          </w:tcPr>
          <w:p w14:paraId="4F781A64"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D995368"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5.075,14</w:t>
            </w:r>
          </w:p>
        </w:tc>
        <w:tc>
          <w:tcPr>
            <w:tcW w:w="1400" w:type="dxa"/>
            <w:tcBorders>
              <w:top w:val="nil"/>
              <w:left w:val="nil"/>
              <w:bottom w:val="nil"/>
              <w:right w:val="nil"/>
            </w:tcBorders>
            <w:shd w:val="clear" w:color="auto" w:fill="auto"/>
            <w:noWrap/>
            <w:vAlign w:val="bottom"/>
            <w:hideMark/>
          </w:tcPr>
          <w:p w14:paraId="0E2197E6"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22B71525" w14:textId="77777777" w:rsidTr="00A360DB">
        <w:trPr>
          <w:trHeight w:val="240"/>
        </w:trPr>
        <w:tc>
          <w:tcPr>
            <w:tcW w:w="1697" w:type="dxa"/>
            <w:tcBorders>
              <w:top w:val="nil"/>
              <w:left w:val="nil"/>
              <w:bottom w:val="nil"/>
              <w:right w:val="nil"/>
            </w:tcBorders>
            <w:shd w:val="clear" w:color="auto" w:fill="auto"/>
            <w:noWrap/>
            <w:vAlign w:val="bottom"/>
            <w:hideMark/>
          </w:tcPr>
          <w:p w14:paraId="08B53AD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3295</w:t>
            </w:r>
          </w:p>
        </w:tc>
        <w:tc>
          <w:tcPr>
            <w:tcW w:w="8509" w:type="dxa"/>
            <w:tcBorders>
              <w:top w:val="nil"/>
              <w:left w:val="nil"/>
              <w:bottom w:val="nil"/>
              <w:right w:val="nil"/>
            </w:tcBorders>
            <w:shd w:val="clear" w:color="auto" w:fill="auto"/>
            <w:noWrap/>
            <w:vAlign w:val="bottom"/>
            <w:hideMark/>
          </w:tcPr>
          <w:p w14:paraId="2B9FB827"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Pristojbe i naknade                                                                                 </w:t>
            </w:r>
          </w:p>
        </w:tc>
        <w:tc>
          <w:tcPr>
            <w:tcW w:w="1480" w:type="dxa"/>
            <w:tcBorders>
              <w:top w:val="nil"/>
              <w:left w:val="nil"/>
              <w:bottom w:val="nil"/>
              <w:right w:val="nil"/>
            </w:tcBorders>
            <w:shd w:val="clear" w:color="auto" w:fill="auto"/>
            <w:noWrap/>
            <w:vAlign w:val="bottom"/>
            <w:hideMark/>
          </w:tcPr>
          <w:p w14:paraId="29688CC8"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2AED9B9D"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4.541,30</w:t>
            </w:r>
          </w:p>
        </w:tc>
        <w:tc>
          <w:tcPr>
            <w:tcW w:w="1400" w:type="dxa"/>
            <w:tcBorders>
              <w:top w:val="nil"/>
              <w:left w:val="nil"/>
              <w:bottom w:val="nil"/>
              <w:right w:val="nil"/>
            </w:tcBorders>
            <w:shd w:val="clear" w:color="auto" w:fill="auto"/>
            <w:noWrap/>
            <w:vAlign w:val="bottom"/>
            <w:hideMark/>
          </w:tcPr>
          <w:p w14:paraId="7877B065"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50DBB826" w14:textId="77777777" w:rsidTr="00A360DB">
        <w:trPr>
          <w:trHeight w:val="240"/>
        </w:trPr>
        <w:tc>
          <w:tcPr>
            <w:tcW w:w="1697" w:type="dxa"/>
            <w:tcBorders>
              <w:top w:val="nil"/>
              <w:left w:val="nil"/>
              <w:bottom w:val="nil"/>
              <w:right w:val="nil"/>
            </w:tcBorders>
            <w:shd w:val="clear" w:color="auto" w:fill="auto"/>
            <w:noWrap/>
            <w:vAlign w:val="bottom"/>
            <w:hideMark/>
          </w:tcPr>
          <w:p w14:paraId="64B2E90E"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3296</w:t>
            </w:r>
          </w:p>
        </w:tc>
        <w:tc>
          <w:tcPr>
            <w:tcW w:w="8509" w:type="dxa"/>
            <w:tcBorders>
              <w:top w:val="nil"/>
              <w:left w:val="nil"/>
              <w:bottom w:val="nil"/>
              <w:right w:val="nil"/>
            </w:tcBorders>
            <w:shd w:val="clear" w:color="auto" w:fill="auto"/>
            <w:noWrap/>
            <w:vAlign w:val="bottom"/>
            <w:hideMark/>
          </w:tcPr>
          <w:p w14:paraId="3EA3BC4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Troškovi sudskih postupaka</w:t>
            </w:r>
          </w:p>
        </w:tc>
        <w:tc>
          <w:tcPr>
            <w:tcW w:w="1480" w:type="dxa"/>
            <w:tcBorders>
              <w:top w:val="nil"/>
              <w:left w:val="nil"/>
              <w:bottom w:val="nil"/>
              <w:right w:val="nil"/>
            </w:tcBorders>
            <w:shd w:val="clear" w:color="auto" w:fill="auto"/>
            <w:noWrap/>
            <w:vAlign w:val="bottom"/>
            <w:hideMark/>
          </w:tcPr>
          <w:p w14:paraId="2A7A520C"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1AA6BEE"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804,66</w:t>
            </w:r>
          </w:p>
        </w:tc>
        <w:tc>
          <w:tcPr>
            <w:tcW w:w="1400" w:type="dxa"/>
            <w:tcBorders>
              <w:top w:val="nil"/>
              <w:left w:val="nil"/>
              <w:bottom w:val="nil"/>
              <w:right w:val="nil"/>
            </w:tcBorders>
            <w:shd w:val="clear" w:color="auto" w:fill="auto"/>
            <w:noWrap/>
            <w:vAlign w:val="bottom"/>
            <w:hideMark/>
          </w:tcPr>
          <w:p w14:paraId="71FB4D91"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AF23206" w14:textId="77777777" w:rsidTr="00A360DB">
        <w:trPr>
          <w:trHeight w:val="240"/>
        </w:trPr>
        <w:tc>
          <w:tcPr>
            <w:tcW w:w="1697" w:type="dxa"/>
            <w:tcBorders>
              <w:top w:val="nil"/>
              <w:left w:val="nil"/>
              <w:bottom w:val="nil"/>
              <w:right w:val="nil"/>
            </w:tcBorders>
            <w:shd w:val="clear" w:color="auto" w:fill="auto"/>
            <w:noWrap/>
            <w:vAlign w:val="bottom"/>
            <w:hideMark/>
          </w:tcPr>
          <w:p w14:paraId="1834690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3299</w:t>
            </w:r>
          </w:p>
        </w:tc>
        <w:tc>
          <w:tcPr>
            <w:tcW w:w="8509" w:type="dxa"/>
            <w:tcBorders>
              <w:top w:val="nil"/>
              <w:left w:val="nil"/>
              <w:bottom w:val="nil"/>
              <w:right w:val="nil"/>
            </w:tcBorders>
            <w:shd w:val="clear" w:color="auto" w:fill="auto"/>
            <w:noWrap/>
            <w:vAlign w:val="bottom"/>
            <w:hideMark/>
          </w:tcPr>
          <w:p w14:paraId="2DAE794E"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Ostali nespomenuti rashodi poslovanja                                                               </w:t>
            </w:r>
          </w:p>
        </w:tc>
        <w:tc>
          <w:tcPr>
            <w:tcW w:w="1480" w:type="dxa"/>
            <w:tcBorders>
              <w:top w:val="nil"/>
              <w:left w:val="nil"/>
              <w:bottom w:val="nil"/>
              <w:right w:val="nil"/>
            </w:tcBorders>
            <w:shd w:val="clear" w:color="auto" w:fill="auto"/>
            <w:noWrap/>
            <w:vAlign w:val="bottom"/>
            <w:hideMark/>
          </w:tcPr>
          <w:p w14:paraId="1970628E"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781A46D"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697,69</w:t>
            </w:r>
          </w:p>
        </w:tc>
        <w:tc>
          <w:tcPr>
            <w:tcW w:w="1400" w:type="dxa"/>
            <w:tcBorders>
              <w:top w:val="nil"/>
              <w:left w:val="nil"/>
              <w:bottom w:val="nil"/>
              <w:right w:val="nil"/>
            </w:tcBorders>
            <w:shd w:val="clear" w:color="auto" w:fill="auto"/>
            <w:noWrap/>
            <w:vAlign w:val="bottom"/>
            <w:hideMark/>
          </w:tcPr>
          <w:p w14:paraId="138D9DFA"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143081E" w14:textId="77777777" w:rsidTr="00A360DB">
        <w:trPr>
          <w:trHeight w:val="240"/>
        </w:trPr>
        <w:tc>
          <w:tcPr>
            <w:tcW w:w="1697" w:type="dxa"/>
            <w:tcBorders>
              <w:top w:val="nil"/>
              <w:left w:val="nil"/>
              <w:bottom w:val="nil"/>
              <w:right w:val="nil"/>
            </w:tcBorders>
            <w:shd w:val="clear" w:color="auto" w:fill="auto"/>
            <w:noWrap/>
            <w:vAlign w:val="bottom"/>
            <w:hideMark/>
          </w:tcPr>
          <w:p w14:paraId="7875DE7A"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34</w:t>
            </w:r>
          </w:p>
        </w:tc>
        <w:tc>
          <w:tcPr>
            <w:tcW w:w="8509" w:type="dxa"/>
            <w:tcBorders>
              <w:top w:val="nil"/>
              <w:left w:val="nil"/>
              <w:bottom w:val="nil"/>
              <w:right w:val="nil"/>
            </w:tcBorders>
            <w:shd w:val="clear" w:color="auto" w:fill="auto"/>
            <w:noWrap/>
            <w:vAlign w:val="bottom"/>
            <w:hideMark/>
          </w:tcPr>
          <w:p w14:paraId="5CE4E767"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Financijski rashodi                                                                                 </w:t>
            </w:r>
          </w:p>
        </w:tc>
        <w:tc>
          <w:tcPr>
            <w:tcW w:w="1480" w:type="dxa"/>
            <w:tcBorders>
              <w:top w:val="nil"/>
              <w:left w:val="nil"/>
              <w:bottom w:val="nil"/>
              <w:right w:val="nil"/>
            </w:tcBorders>
            <w:shd w:val="clear" w:color="auto" w:fill="auto"/>
            <w:noWrap/>
            <w:vAlign w:val="bottom"/>
            <w:hideMark/>
          </w:tcPr>
          <w:p w14:paraId="548E48A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2.000,00</w:t>
            </w:r>
          </w:p>
        </w:tc>
        <w:tc>
          <w:tcPr>
            <w:tcW w:w="1380" w:type="dxa"/>
            <w:tcBorders>
              <w:top w:val="nil"/>
              <w:left w:val="nil"/>
              <w:bottom w:val="nil"/>
              <w:right w:val="nil"/>
            </w:tcBorders>
            <w:shd w:val="clear" w:color="auto" w:fill="auto"/>
            <w:noWrap/>
            <w:vAlign w:val="bottom"/>
            <w:hideMark/>
          </w:tcPr>
          <w:p w14:paraId="7185767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60,27</w:t>
            </w:r>
          </w:p>
        </w:tc>
        <w:tc>
          <w:tcPr>
            <w:tcW w:w="1400" w:type="dxa"/>
            <w:tcBorders>
              <w:top w:val="nil"/>
              <w:left w:val="nil"/>
              <w:bottom w:val="nil"/>
              <w:right w:val="nil"/>
            </w:tcBorders>
            <w:shd w:val="clear" w:color="auto" w:fill="auto"/>
            <w:noWrap/>
            <w:vAlign w:val="bottom"/>
            <w:hideMark/>
          </w:tcPr>
          <w:p w14:paraId="281ED0F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3,01%</w:t>
            </w:r>
          </w:p>
        </w:tc>
      </w:tr>
      <w:tr w:rsidR="00A360DB" w:rsidRPr="00A360DB" w14:paraId="1D8BEA3E" w14:textId="77777777" w:rsidTr="00A360DB">
        <w:trPr>
          <w:trHeight w:val="240"/>
        </w:trPr>
        <w:tc>
          <w:tcPr>
            <w:tcW w:w="1697" w:type="dxa"/>
            <w:tcBorders>
              <w:top w:val="nil"/>
              <w:left w:val="nil"/>
              <w:bottom w:val="nil"/>
              <w:right w:val="nil"/>
            </w:tcBorders>
            <w:shd w:val="clear" w:color="auto" w:fill="auto"/>
            <w:noWrap/>
            <w:vAlign w:val="bottom"/>
            <w:hideMark/>
          </w:tcPr>
          <w:p w14:paraId="439B3AD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3433</w:t>
            </w:r>
          </w:p>
        </w:tc>
        <w:tc>
          <w:tcPr>
            <w:tcW w:w="8509" w:type="dxa"/>
            <w:tcBorders>
              <w:top w:val="nil"/>
              <w:left w:val="nil"/>
              <w:bottom w:val="nil"/>
              <w:right w:val="nil"/>
            </w:tcBorders>
            <w:shd w:val="clear" w:color="auto" w:fill="auto"/>
            <w:noWrap/>
            <w:vAlign w:val="bottom"/>
            <w:hideMark/>
          </w:tcPr>
          <w:p w14:paraId="352C4E8D"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Zatezne kamate                                                                                      </w:t>
            </w:r>
          </w:p>
        </w:tc>
        <w:tc>
          <w:tcPr>
            <w:tcW w:w="1480" w:type="dxa"/>
            <w:tcBorders>
              <w:top w:val="nil"/>
              <w:left w:val="nil"/>
              <w:bottom w:val="nil"/>
              <w:right w:val="nil"/>
            </w:tcBorders>
            <w:shd w:val="clear" w:color="auto" w:fill="auto"/>
            <w:noWrap/>
            <w:vAlign w:val="bottom"/>
            <w:hideMark/>
          </w:tcPr>
          <w:p w14:paraId="7FCE3CE7"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26036746"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60,27</w:t>
            </w:r>
          </w:p>
        </w:tc>
        <w:tc>
          <w:tcPr>
            <w:tcW w:w="1400" w:type="dxa"/>
            <w:tcBorders>
              <w:top w:val="nil"/>
              <w:left w:val="nil"/>
              <w:bottom w:val="nil"/>
              <w:right w:val="nil"/>
            </w:tcBorders>
            <w:shd w:val="clear" w:color="auto" w:fill="auto"/>
            <w:noWrap/>
            <w:vAlign w:val="bottom"/>
            <w:hideMark/>
          </w:tcPr>
          <w:p w14:paraId="6B9DBDEC"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AC73A88" w14:textId="77777777" w:rsidTr="00A360DB">
        <w:trPr>
          <w:trHeight w:val="240"/>
        </w:trPr>
        <w:tc>
          <w:tcPr>
            <w:tcW w:w="1697" w:type="dxa"/>
            <w:tcBorders>
              <w:top w:val="nil"/>
              <w:left w:val="nil"/>
              <w:bottom w:val="nil"/>
              <w:right w:val="nil"/>
            </w:tcBorders>
            <w:shd w:val="clear" w:color="auto" w:fill="auto"/>
            <w:noWrap/>
            <w:vAlign w:val="bottom"/>
            <w:hideMark/>
          </w:tcPr>
          <w:p w14:paraId="1BA60865"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38</w:t>
            </w:r>
          </w:p>
        </w:tc>
        <w:tc>
          <w:tcPr>
            <w:tcW w:w="8509" w:type="dxa"/>
            <w:tcBorders>
              <w:top w:val="nil"/>
              <w:left w:val="nil"/>
              <w:bottom w:val="nil"/>
              <w:right w:val="nil"/>
            </w:tcBorders>
            <w:shd w:val="clear" w:color="auto" w:fill="auto"/>
            <w:noWrap/>
            <w:vAlign w:val="bottom"/>
            <w:hideMark/>
          </w:tcPr>
          <w:p w14:paraId="4B9CC330"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Ostali rashodi                                                                                      </w:t>
            </w:r>
          </w:p>
        </w:tc>
        <w:tc>
          <w:tcPr>
            <w:tcW w:w="1480" w:type="dxa"/>
            <w:tcBorders>
              <w:top w:val="nil"/>
              <w:left w:val="nil"/>
              <w:bottom w:val="nil"/>
              <w:right w:val="nil"/>
            </w:tcBorders>
            <w:shd w:val="clear" w:color="auto" w:fill="auto"/>
            <w:noWrap/>
            <w:vAlign w:val="bottom"/>
            <w:hideMark/>
          </w:tcPr>
          <w:p w14:paraId="57F8E0A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1.100,00</w:t>
            </w:r>
          </w:p>
        </w:tc>
        <w:tc>
          <w:tcPr>
            <w:tcW w:w="1380" w:type="dxa"/>
            <w:tcBorders>
              <w:top w:val="nil"/>
              <w:left w:val="nil"/>
              <w:bottom w:val="nil"/>
              <w:right w:val="nil"/>
            </w:tcBorders>
            <w:shd w:val="clear" w:color="auto" w:fill="auto"/>
            <w:noWrap/>
            <w:vAlign w:val="bottom"/>
            <w:hideMark/>
          </w:tcPr>
          <w:p w14:paraId="01CE525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c>
          <w:tcPr>
            <w:tcW w:w="1400" w:type="dxa"/>
            <w:tcBorders>
              <w:top w:val="nil"/>
              <w:left w:val="nil"/>
              <w:bottom w:val="nil"/>
              <w:right w:val="nil"/>
            </w:tcBorders>
            <w:shd w:val="clear" w:color="auto" w:fill="auto"/>
            <w:noWrap/>
            <w:vAlign w:val="bottom"/>
            <w:hideMark/>
          </w:tcPr>
          <w:p w14:paraId="6338880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r>
      <w:tr w:rsidR="00A360DB" w:rsidRPr="00A360DB" w14:paraId="640AA329" w14:textId="77777777" w:rsidTr="00A360DB">
        <w:trPr>
          <w:trHeight w:val="240"/>
        </w:trPr>
        <w:tc>
          <w:tcPr>
            <w:tcW w:w="1697" w:type="dxa"/>
            <w:tcBorders>
              <w:top w:val="nil"/>
              <w:left w:val="nil"/>
              <w:bottom w:val="nil"/>
              <w:right w:val="nil"/>
            </w:tcBorders>
            <w:shd w:val="clear" w:color="000000" w:fill="B4C6E7"/>
            <w:noWrap/>
            <w:vAlign w:val="bottom"/>
            <w:hideMark/>
          </w:tcPr>
          <w:p w14:paraId="181D308D"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K100311</w:t>
            </w:r>
          </w:p>
        </w:tc>
        <w:tc>
          <w:tcPr>
            <w:tcW w:w="8509" w:type="dxa"/>
            <w:tcBorders>
              <w:top w:val="nil"/>
              <w:left w:val="nil"/>
              <w:bottom w:val="nil"/>
              <w:right w:val="nil"/>
            </w:tcBorders>
            <w:shd w:val="clear" w:color="000000" w:fill="B4C6E7"/>
            <w:noWrap/>
            <w:vAlign w:val="bottom"/>
            <w:hideMark/>
          </w:tcPr>
          <w:p w14:paraId="32DC4D17"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Kapitalni projekt: Kupnja zemljišta</w:t>
            </w:r>
          </w:p>
        </w:tc>
        <w:tc>
          <w:tcPr>
            <w:tcW w:w="1480" w:type="dxa"/>
            <w:tcBorders>
              <w:top w:val="nil"/>
              <w:left w:val="nil"/>
              <w:bottom w:val="nil"/>
              <w:right w:val="nil"/>
            </w:tcBorders>
            <w:shd w:val="clear" w:color="000000" w:fill="B4C6E7"/>
            <w:noWrap/>
            <w:vAlign w:val="bottom"/>
            <w:hideMark/>
          </w:tcPr>
          <w:p w14:paraId="48864A3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97.000,00</w:t>
            </w:r>
          </w:p>
        </w:tc>
        <w:tc>
          <w:tcPr>
            <w:tcW w:w="1380" w:type="dxa"/>
            <w:tcBorders>
              <w:top w:val="nil"/>
              <w:left w:val="nil"/>
              <w:bottom w:val="nil"/>
              <w:right w:val="nil"/>
            </w:tcBorders>
            <w:shd w:val="clear" w:color="000000" w:fill="B4C6E7"/>
            <w:noWrap/>
            <w:vAlign w:val="bottom"/>
            <w:hideMark/>
          </w:tcPr>
          <w:p w14:paraId="62D9F82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75.699,66</w:t>
            </w:r>
          </w:p>
        </w:tc>
        <w:tc>
          <w:tcPr>
            <w:tcW w:w="1400" w:type="dxa"/>
            <w:tcBorders>
              <w:top w:val="nil"/>
              <w:left w:val="nil"/>
              <w:bottom w:val="nil"/>
              <w:right w:val="nil"/>
            </w:tcBorders>
            <w:shd w:val="clear" w:color="000000" w:fill="B4C6E7"/>
            <w:noWrap/>
            <w:vAlign w:val="bottom"/>
            <w:hideMark/>
          </w:tcPr>
          <w:p w14:paraId="5F1281C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78,04%</w:t>
            </w:r>
          </w:p>
        </w:tc>
      </w:tr>
      <w:tr w:rsidR="00A360DB" w:rsidRPr="00A360DB" w14:paraId="51909D53"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722483F"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6. Donacije</w:t>
            </w:r>
          </w:p>
        </w:tc>
        <w:tc>
          <w:tcPr>
            <w:tcW w:w="1480" w:type="dxa"/>
            <w:tcBorders>
              <w:top w:val="nil"/>
              <w:left w:val="nil"/>
              <w:bottom w:val="nil"/>
              <w:right w:val="nil"/>
            </w:tcBorders>
            <w:shd w:val="clear" w:color="auto" w:fill="auto"/>
            <w:noWrap/>
            <w:vAlign w:val="bottom"/>
            <w:hideMark/>
          </w:tcPr>
          <w:p w14:paraId="493A3F06"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65.000,00</w:t>
            </w:r>
          </w:p>
        </w:tc>
        <w:tc>
          <w:tcPr>
            <w:tcW w:w="1380" w:type="dxa"/>
            <w:tcBorders>
              <w:top w:val="nil"/>
              <w:left w:val="nil"/>
              <w:bottom w:val="nil"/>
              <w:right w:val="nil"/>
            </w:tcBorders>
            <w:shd w:val="clear" w:color="auto" w:fill="auto"/>
            <w:noWrap/>
            <w:vAlign w:val="bottom"/>
            <w:hideMark/>
          </w:tcPr>
          <w:p w14:paraId="5A90B47A"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69.517,10</w:t>
            </w:r>
          </w:p>
        </w:tc>
        <w:tc>
          <w:tcPr>
            <w:tcW w:w="1400" w:type="dxa"/>
            <w:tcBorders>
              <w:top w:val="nil"/>
              <w:left w:val="nil"/>
              <w:bottom w:val="nil"/>
              <w:right w:val="nil"/>
            </w:tcBorders>
            <w:shd w:val="clear" w:color="auto" w:fill="auto"/>
            <w:noWrap/>
            <w:vAlign w:val="bottom"/>
            <w:hideMark/>
          </w:tcPr>
          <w:p w14:paraId="7C688A5A"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106,95%</w:t>
            </w:r>
          </w:p>
        </w:tc>
      </w:tr>
      <w:tr w:rsidR="00A360DB" w:rsidRPr="00A360DB" w14:paraId="182229A4"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33F05218"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6.1. Donacije</w:t>
            </w:r>
          </w:p>
        </w:tc>
        <w:tc>
          <w:tcPr>
            <w:tcW w:w="1480" w:type="dxa"/>
            <w:tcBorders>
              <w:top w:val="nil"/>
              <w:left w:val="nil"/>
              <w:bottom w:val="nil"/>
              <w:right w:val="nil"/>
            </w:tcBorders>
            <w:shd w:val="clear" w:color="auto" w:fill="auto"/>
            <w:noWrap/>
            <w:vAlign w:val="bottom"/>
            <w:hideMark/>
          </w:tcPr>
          <w:p w14:paraId="258A2D80"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65.000,00</w:t>
            </w:r>
          </w:p>
        </w:tc>
        <w:tc>
          <w:tcPr>
            <w:tcW w:w="1380" w:type="dxa"/>
            <w:tcBorders>
              <w:top w:val="nil"/>
              <w:left w:val="nil"/>
              <w:bottom w:val="nil"/>
              <w:right w:val="nil"/>
            </w:tcBorders>
            <w:shd w:val="clear" w:color="auto" w:fill="auto"/>
            <w:noWrap/>
            <w:vAlign w:val="bottom"/>
            <w:hideMark/>
          </w:tcPr>
          <w:p w14:paraId="4100459E"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69.517,10</w:t>
            </w:r>
          </w:p>
        </w:tc>
        <w:tc>
          <w:tcPr>
            <w:tcW w:w="1400" w:type="dxa"/>
            <w:tcBorders>
              <w:top w:val="nil"/>
              <w:left w:val="nil"/>
              <w:bottom w:val="nil"/>
              <w:right w:val="nil"/>
            </w:tcBorders>
            <w:shd w:val="clear" w:color="auto" w:fill="auto"/>
            <w:noWrap/>
            <w:vAlign w:val="bottom"/>
            <w:hideMark/>
          </w:tcPr>
          <w:p w14:paraId="427B8821"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106,95%</w:t>
            </w:r>
          </w:p>
        </w:tc>
      </w:tr>
      <w:tr w:rsidR="00A360DB" w:rsidRPr="00A360DB" w14:paraId="4EB09325" w14:textId="77777777" w:rsidTr="00A360DB">
        <w:trPr>
          <w:trHeight w:val="240"/>
        </w:trPr>
        <w:tc>
          <w:tcPr>
            <w:tcW w:w="1697" w:type="dxa"/>
            <w:tcBorders>
              <w:top w:val="nil"/>
              <w:left w:val="nil"/>
              <w:bottom w:val="nil"/>
              <w:right w:val="nil"/>
            </w:tcBorders>
            <w:shd w:val="clear" w:color="auto" w:fill="auto"/>
            <w:noWrap/>
            <w:vAlign w:val="bottom"/>
            <w:hideMark/>
          </w:tcPr>
          <w:p w14:paraId="71A42F4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41</w:t>
            </w:r>
          </w:p>
        </w:tc>
        <w:tc>
          <w:tcPr>
            <w:tcW w:w="8509" w:type="dxa"/>
            <w:tcBorders>
              <w:top w:val="nil"/>
              <w:left w:val="nil"/>
              <w:bottom w:val="nil"/>
              <w:right w:val="nil"/>
            </w:tcBorders>
            <w:shd w:val="clear" w:color="auto" w:fill="auto"/>
            <w:noWrap/>
            <w:vAlign w:val="bottom"/>
            <w:hideMark/>
          </w:tcPr>
          <w:p w14:paraId="42B68132"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nabavu </w:t>
            </w:r>
            <w:proofErr w:type="spellStart"/>
            <w:r w:rsidRPr="00A360DB">
              <w:rPr>
                <w:rFonts w:ascii="Arial" w:hAnsi="Arial" w:cs="Arial"/>
                <w:b/>
                <w:bCs/>
                <w:sz w:val="18"/>
                <w:szCs w:val="18"/>
                <w:lang w:eastAsia="hr-HR"/>
              </w:rPr>
              <w:t>neproizvedene</w:t>
            </w:r>
            <w:proofErr w:type="spellEnd"/>
            <w:r w:rsidRPr="00A360DB">
              <w:rPr>
                <w:rFonts w:ascii="Arial" w:hAnsi="Arial" w:cs="Arial"/>
                <w:b/>
                <w:bCs/>
                <w:sz w:val="18"/>
                <w:szCs w:val="18"/>
                <w:lang w:eastAsia="hr-HR"/>
              </w:rPr>
              <w:t xml:space="preserve"> dugotrajne imovine                                                  </w:t>
            </w:r>
          </w:p>
        </w:tc>
        <w:tc>
          <w:tcPr>
            <w:tcW w:w="1480" w:type="dxa"/>
            <w:tcBorders>
              <w:top w:val="nil"/>
              <w:left w:val="nil"/>
              <w:bottom w:val="nil"/>
              <w:right w:val="nil"/>
            </w:tcBorders>
            <w:shd w:val="clear" w:color="auto" w:fill="auto"/>
            <w:noWrap/>
            <w:vAlign w:val="bottom"/>
            <w:hideMark/>
          </w:tcPr>
          <w:p w14:paraId="6E87433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65.000,00</w:t>
            </w:r>
          </w:p>
        </w:tc>
        <w:tc>
          <w:tcPr>
            <w:tcW w:w="1380" w:type="dxa"/>
            <w:tcBorders>
              <w:top w:val="nil"/>
              <w:left w:val="nil"/>
              <w:bottom w:val="nil"/>
              <w:right w:val="nil"/>
            </w:tcBorders>
            <w:shd w:val="clear" w:color="auto" w:fill="auto"/>
            <w:noWrap/>
            <w:vAlign w:val="bottom"/>
            <w:hideMark/>
          </w:tcPr>
          <w:p w14:paraId="562B607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69.517,10</w:t>
            </w:r>
          </w:p>
        </w:tc>
        <w:tc>
          <w:tcPr>
            <w:tcW w:w="1400" w:type="dxa"/>
            <w:tcBorders>
              <w:top w:val="nil"/>
              <w:left w:val="nil"/>
              <w:bottom w:val="nil"/>
              <w:right w:val="nil"/>
            </w:tcBorders>
            <w:shd w:val="clear" w:color="auto" w:fill="auto"/>
            <w:noWrap/>
            <w:vAlign w:val="bottom"/>
            <w:hideMark/>
          </w:tcPr>
          <w:p w14:paraId="59207EE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106,95%</w:t>
            </w:r>
          </w:p>
        </w:tc>
      </w:tr>
      <w:tr w:rsidR="00A360DB" w:rsidRPr="00A360DB" w14:paraId="39CF05E1" w14:textId="77777777" w:rsidTr="00A360DB">
        <w:trPr>
          <w:trHeight w:val="240"/>
        </w:trPr>
        <w:tc>
          <w:tcPr>
            <w:tcW w:w="1697" w:type="dxa"/>
            <w:tcBorders>
              <w:top w:val="nil"/>
              <w:left w:val="nil"/>
              <w:bottom w:val="nil"/>
              <w:right w:val="nil"/>
            </w:tcBorders>
            <w:shd w:val="clear" w:color="auto" w:fill="auto"/>
            <w:noWrap/>
            <w:vAlign w:val="bottom"/>
            <w:hideMark/>
          </w:tcPr>
          <w:p w14:paraId="6709D39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4111</w:t>
            </w:r>
          </w:p>
        </w:tc>
        <w:tc>
          <w:tcPr>
            <w:tcW w:w="8509" w:type="dxa"/>
            <w:tcBorders>
              <w:top w:val="nil"/>
              <w:left w:val="nil"/>
              <w:bottom w:val="nil"/>
              <w:right w:val="nil"/>
            </w:tcBorders>
            <w:shd w:val="clear" w:color="auto" w:fill="auto"/>
            <w:noWrap/>
            <w:vAlign w:val="bottom"/>
            <w:hideMark/>
          </w:tcPr>
          <w:p w14:paraId="7F086B27"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Zemljište                                                                                           </w:t>
            </w:r>
          </w:p>
        </w:tc>
        <w:tc>
          <w:tcPr>
            <w:tcW w:w="1480" w:type="dxa"/>
            <w:tcBorders>
              <w:top w:val="nil"/>
              <w:left w:val="nil"/>
              <w:bottom w:val="nil"/>
              <w:right w:val="nil"/>
            </w:tcBorders>
            <w:shd w:val="clear" w:color="auto" w:fill="auto"/>
            <w:noWrap/>
            <w:vAlign w:val="bottom"/>
            <w:hideMark/>
          </w:tcPr>
          <w:p w14:paraId="0103A2B2"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3852CF5"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69.517,10</w:t>
            </w:r>
          </w:p>
        </w:tc>
        <w:tc>
          <w:tcPr>
            <w:tcW w:w="1400" w:type="dxa"/>
            <w:tcBorders>
              <w:top w:val="nil"/>
              <w:left w:val="nil"/>
              <w:bottom w:val="nil"/>
              <w:right w:val="nil"/>
            </w:tcBorders>
            <w:shd w:val="clear" w:color="auto" w:fill="auto"/>
            <w:noWrap/>
            <w:vAlign w:val="bottom"/>
            <w:hideMark/>
          </w:tcPr>
          <w:p w14:paraId="271A5F84"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DEE955E"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562168C2"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7. Prihodi od prodaje nefin. imovine</w:t>
            </w:r>
          </w:p>
        </w:tc>
        <w:tc>
          <w:tcPr>
            <w:tcW w:w="1480" w:type="dxa"/>
            <w:tcBorders>
              <w:top w:val="nil"/>
              <w:left w:val="nil"/>
              <w:bottom w:val="nil"/>
              <w:right w:val="nil"/>
            </w:tcBorders>
            <w:shd w:val="clear" w:color="auto" w:fill="auto"/>
            <w:noWrap/>
            <w:vAlign w:val="bottom"/>
            <w:hideMark/>
          </w:tcPr>
          <w:p w14:paraId="5ABCBEBB"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32.000,00</w:t>
            </w:r>
          </w:p>
        </w:tc>
        <w:tc>
          <w:tcPr>
            <w:tcW w:w="1380" w:type="dxa"/>
            <w:tcBorders>
              <w:top w:val="nil"/>
              <w:left w:val="nil"/>
              <w:bottom w:val="nil"/>
              <w:right w:val="nil"/>
            </w:tcBorders>
            <w:shd w:val="clear" w:color="auto" w:fill="auto"/>
            <w:noWrap/>
            <w:vAlign w:val="bottom"/>
            <w:hideMark/>
          </w:tcPr>
          <w:p w14:paraId="15EDE720"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6.182,56</w:t>
            </w:r>
          </w:p>
        </w:tc>
        <w:tc>
          <w:tcPr>
            <w:tcW w:w="1400" w:type="dxa"/>
            <w:tcBorders>
              <w:top w:val="nil"/>
              <w:left w:val="nil"/>
              <w:bottom w:val="nil"/>
              <w:right w:val="nil"/>
            </w:tcBorders>
            <w:shd w:val="clear" w:color="auto" w:fill="auto"/>
            <w:noWrap/>
            <w:vAlign w:val="bottom"/>
            <w:hideMark/>
          </w:tcPr>
          <w:p w14:paraId="62C86C46"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19,32%</w:t>
            </w:r>
          </w:p>
        </w:tc>
      </w:tr>
      <w:tr w:rsidR="00A360DB" w:rsidRPr="00A360DB" w14:paraId="70764943"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4E50C1F"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 xml:space="preserve">Izvor 7.1. Prihodi od prodaje </w:t>
            </w:r>
            <w:proofErr w:type="spellStart"/>
            <w:r w:rsidRPr="00A360DB">
              <w:rPr>
                <w:rFonts w:ascii="Arial" w:hAnsi="Arial" w:cs="Arial"/>
                <w:color w:val="333333"/>
                <w:sz w:val="18"/>
                <w:szCs w:val="18"/>
                <w:lang w:eastAsia="hr-HR"/>
              </w:rPr>
              <w:t>nef</w:t>
            </w:r>
            <w:proofErr w:type="spellEnd"/>
            <w:r w:rsidRPr="00A360DB">
              <w:rPr>
                <w:rFonts w:ascii="Arial" w:hAnsi="Arial" w:cs="Arial"/>
                <w:color w:val="333333"/>
                <w:sz w:val="18"/>
                <w:szCs w:val="18"/>
                <w:lang w:eastAsia="hr-HR"/>
              </w:rPr>
              <w:t>. imovine</w:t>
            </w:r>
          </w:p>
        </w:tc>
        <w:tc>
          <w:tcPr>
            <w:tcW w:w="1480" w:type="dxa"/>
            <w:tcBorders>
              <w:top w:val="nil"/>
              <w:left w:val="nil"/>
              <w:bottom w:val="nil"/>
              <w:right w:val="nil"/>
            </w:tcBorders>
            <w:shd w:val="clear" w:color="auto" w:fill="auto"/>
            <w:noWrap/>
            <w:vAlign w:val="bottom"/>
            <w:hideMark/>
          </w:tcPr>
          <w:p w14:paraId="620EB3FD"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32.000,00</w:t>
            </w:r>
          </w:p>
        </w:tc>
        <w:tc>
          <w:tcPr>
            <w:tcW w:w="1380" w:type="dxa"/>
            <w:tcBorders>
              <w:top w:val="nil"/>
              <w:left w:val="nil"/>
              <w:bottom w:val="nil"/>
              <w:right w:val="nil"/>
            </w:tcBorders>
            <w:shd w:val="clear" w:color="auto" w:fill="auto"/>
            <w:noWrap/>
            <w:vAlign w:val="bottom"/>
            <w:hideMark/>
          </w:tcPr>
          <w:p w14:paraId="691BC9A0"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6.182,56</w:t>
            </w:r>
          </w:p>
        </w:tc>
        <w:tc>
          <w:tcPr>
            <w:tcW w:w="1400" w:type="dxa"/>
            <w:tcBorders>
              <w:top w:val="nil"/>
              <w:left w:val="nil"/>
              <w:bottom w:val="nil"/>
              <w:right w:val="nil"/>
            </w:tcBorders>
            <w:shd w:val="clear" w:color="auto" w:fill="auto"/>
            <w:noWrap/>
            <w:vAlign w:val="bottom"/>
            <w:hideMark/>
          </w:tcPr>
          <w:p w14:paraId="6A12DB5C"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19,32%</w:t>
            </w:r>
          </w:p>
        </w:tc>
      </w:tr>
      <w:tr w:rsidR="00A360DB" w:rsidRPr="00A360DB" w14:paraId="5186A793" w14:textId="77777777" w:rsidTr="00A360DB">
        <w:trPr>
          <w:trHeight w:val="240"/>
        </w:trPr>
        <w:tc>
          <w:tcPr>
            <w:tcW w:w="1697" w:type="dxa"/>
            <w:tcBorders>
              <w:top w:val="nil"/>
              <w:left w:val="nil"/>
              <w:bottom w:val="nil"/>
              <w:right w:val="nil"/>
            </w:tcBorders>
            <w:shd w:val="clear" w:color="auto" w:fill="auto"/>
            <w:noWrap/>
            <w:vAlign w:val="bottom"/>
            <w:hideMark/>
          </w:tcPr>
          <w:p w14:paraId="04E57E50"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41</w:t>
            </w:r>
          </w:p>
        </w:tc>
        <w:tc>
          <w:tcPr>
            <w:tcW w:w="8509" w:type="dxa"/>
            <w:tcBorders>
              <w:top w:val="nil"/>
              <w:left w:val="nil"/>
              <w:bottom w:val="nil"/>
              <w:right w:val="nil"/>
            </w:tcBorders>
            <w:shd w:val="clear" w:color="auto" w:fill="auto"/>
            <w:noWrap/>
            <w:vAlign w:val="bottom"/>
            <w:hideMark/>
          </w:tcPr>
          <w:p w14:paraId="732B76FC"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nabavu </w:t>
            </w:r>
            <w:proofErr w:type="spellStart"/>
            <w:r w:rsidRPr="00A360DB">
              <w:rPr>
                <w:rFonts w:ascii="Arial" w:hAnsi="Arial" w:cs="Arial"/>
                <w:b/>
                <w:bCs/>
                <w:sz w:val="18"/>
                <w:szCs w:val="18"/>
                <w:lang w:eastAsia="hr-HR"/>
              </w:rPr>
              <w:t>neproizvedene</w:t>
            </w:r>
            <w:proofErr w:type="spellEnd"/>
            <w:r w:rsidRPr="00A360DB">
              <w:rPr>
                <w:rFonts w:ascii="Arial" w:hAnsi="Arial" w:cs="Arial"/>
                <w:b/>
                <w:bCs/>
                <w:sz w:val="18"/>
                <w:szCs w:val="18"/>
                <w:lang w:eastAsia="hr-HR"/>
              </w:rPr>
              <w:t xml:space="preserve"> dugotrajne imovine                                                  </w:t>
            </w:r>
          </w:p>
        </w:tc>
        <w:tc>
          <w:tcPr>
            <w:tcW w:w="1480" w:type="dxa"/>
            <w:tcBorders>
              <w:top w:val="nil"/>
              <w:left w:val="nil"/>
              <w:bottom w:val="nil"/>
              <w:right w:val="nil"/>
            </w:tcBorders>
            <w:shd w:val="clear" w:color="auto" w:fill="auto"/>
            <w:noWrap/>
            <w:vAlign w:val="bottom"/>
            <w:hideMark/>
          </w:tcPr>
          <w:p w14:paraId="65809D0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32.000,00</w:t>
            </w:r>
          </w:p>
        </w:tc>
        <w:tc>
          <w:tcPr>
            <w:tcW w:w="1380" w:type="dxa"/>
            <w:tcBorders>
              <w:top w:val="nil"/>
              <w:left w:val="nil"/>
              <w:bottom w:val="nil"/>
              <w:right w:val="nil"/>
            </w:tcBorders>
            <w:shd w:val="clear" w:color="auto" w:fill="auto"/>
            <w:noWrap/>
            <w:vAlign w:val="bottom"/>
            <w:hideMark/>
          </w:tcPr>
          <w:p w14:paraId="1214FC9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6.182,56</w:t>
            </w:r>
          </w:p>
        </w:tc>
        <w:tc>
          <w:tcPr>
            <w:tcW w:w="1400" w:type="dxa"/>
            <w:tcBorders>
              <w:top w:val="nil"/>
              <w:left w:val="nil"/>
              <w:bottom w:val="nil"/>
              <w:right w:val="nil"/>
            </w:tcBorders>
            <w:shd w:val="clear" w:color="auto" w:fill="auto"/>
            <w:noWrap/>
            <w:vAlign w:val="bottom"/>
            <w:hideMark/>
          </w:tcPr>
          <w:p w14:paraId="4A2A3D8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19,32%</w:t>
            </w:r>
          </w:p>
        </w:tc>
      </w:tr>
      <w:tr w:rsidR="00A360DB" w:rsidRPr="00A360DB" w14:paraId="4E1FFD79" w14:textId="77777777" w:rsidTr="00A360DB">
        <w:trPr>
          <w:trHeight w:val="240"/>
        </w:trPr>
        <w:tc>
          <w:tcPr>
            <w:tcW w:w="1697" w:type="dxa"/>
            <w:tcBorders>
              <w:top w:val="nil"/>
              <w:left w:val="nil"/>
              <w:bottom w:val="nil"/>
              <w:right w:val="nil"/>
            </w:tcBorders>
            <w:shd w:val="clear" w:color="auto" w:fill="auto"/>
            <w:noWrap/>
            <w:vAlign w:val="bottom"/>
            <w:hideMark/>
          </w:tcPr>
          <w:p w14:paraId="35D79C3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4111</w:t>
            </w:r>
          </w:p>
        </w:tc>
        <w:tc>
          <w:tcPr>
            <w:tcW w:w="8509" w:type="dxa"/>
            <w:tcBorders>
              <w:top w:val="nil"/>
              <w:left w:val="nil"/>
              <w:bottom w:val="nil"/>
              <w:right w:val="nil"/>
            </w:tcBorders>
            <w:shd w:val="clear" w:color="auto" w:fill="auto"/>
            <w:noWrap/>
            <w:vAlign w:val="bottom"/>
            <w:hideMark/>
          </w:tcPr>
          <w:p w14:paraId="2B903CA7"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Zemljište                                                                                           </w:t>
            </w:r>
          </w:p>
        </w:tc>
        <w:tc>
          <w:tcPr>
            <w:tcW w:w="1480" w:type="dxa"/>
            <w:tcBorders>
              <w:top w:val="nil"/>
              <w:left w:val="nil"/>
              <w:bottom w:val="nil"/>
              <w:right w:val="nil"/>
            </w:tcBorders>
            <w:shd w:val="clear" w:color="auto" w:fill="auto"/>
            <w:noWrap/>
            <w:vAlign w:val="bottom"/>
            <w:hideMark/>
          </w:tcPr>
          <w:p w14:paraId="57738A43"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68C2401"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6.182,56</w:t>
            </w:r>
          </w:p>
        </w:tc>
        <w:tc>
          <w:tcPr>
            <w:tcW w:w="1400" w:type="dxa"/>
            <w:tcBorders>
              <w:top w:val="nil"/>
              <w:left w:val="nil"/>
              <w:bottom w:val="nil"/>
              <w:right w:val="nil"/>
            </w:tcBorders>
            <w:shd w:val="clear" w:color="auto" w:fill="auto"/>
            <w:noWrap/>
            <w:vAlign w:val="bottom"/>
            <w:hideMark/>
          </w:tcPr>
          <w:p w14:paraId="494DF0E9"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9BCBAE4" w14:textId="77777777" w:rsidTr="00A360DB">
        <w:trPr>
          <w:trHeight w:val="240"/>
        </w:trPr>
        <w:tc>
          <w:tcPr>
            <w:tcW w:w="1697" w:type="dxa"/>
            <w:tcBorders>
              <w:top w:val="nil"/>
              <w:left w:val="nil"/>
              <w:bottom w:val="nil"/>
              <w:right w:val="nil"/>
            </w:tcBorders>
            <w:shd w:val="clear" w:color="000000" w:fill="1D4BB3"/>
            <w:noWrap/>
            <w:vAlign w:val="bottom"/>
            <w:hideMark/>
          </w:tcPr>
          <w:p w14:paraId="3C4BFB33" w14:textId="77777777" w:rsidR="00A360DB" w:rsidRPr="00A360DB" w:rsidRDefault="00A360DB" w:rsidP="00A360DB">
            <w:pPr>
              <w:spacing w:after="0" w:line="240" w:lineRule="auto"/>
              <w:rPr>
                <w:rFonts w:ascii="Arial" w:hAnsi="Arial" w:cs="Arial"/>
                <w:b/>
                <w:bCs/>
                <w:color w:val="FFFFFF"/>
                <w:sz w:val="18"/>
                <w:szCs w:val="18"/>
                <w:lang w:eastAsia="hr-HR"/>
              </w:rPr>
            </w:pPr>
            <w:r w:rsidRPr="00A360DB">
              <w:rPr>
                <w:rFonts w:ascii="Arial" w:hAnsi="Arial" w:cs="Arial"/>
                <w:b/>
                <w:bCs/>
                <w:color w:val="FFFFFF"/>
                <w:sz w:val="18"/>
                <w:szCs w:val="18"/>
                <w:lang w:eastAsia="hr-HR"/>
              </w:rPr>
              <w:t>1005</w:t>
            </w:r>
          </w:p>
        </w:tc>
        <w:tc>
          <w:tcPr>
            <w:tcW w:w="8509" w:type="dxa"/>
            <w:tcBorders>
              <w:top w:val="nil"/>
              <w:left w:val="nil"/>
              <w:bottom w:val="nil"/>
              <w:right w:val="nil"/>
            </w:tcBorders>
            <w:shd w:val="clear" w:color="000000" w:fill="1D4BB3"/>
            <w:noWrap/>
            <w:vAlign w:val="bottom"/>
            <w:hideMark/>
          </w:tcPr>
          <w:p w14:paraId="49F0B11D" w14:textId="77777777" w:rsidR="00A360DB" w:rsidRPr="00A360DB" w:rsidRDefault="00A360DB" w:rsidP="00A360DB">
            <w:pPr>
              <w:spacing w:after="0" w:line="240" w:lineRule="auto"/>
              <w:rPr>
                <w:rFonts w:ascii="Arial" w:hAnsi="Arial" w:cs="Arial"/>
                <w:b/>
                <w:bCs/>
                <w:color w:val="FFFFFF"/>
                <w:sz w:val="18"/>
                <w:szCs w:val="18"/>
                <w:lang w:eastAsia="hr-HR"/>
              </w:rPr>
            </w:pPr>
            <w:r w:rsidRPr="00A360DB">
              <w:rPr>
                <w:rFonts w:ascii="Arial" w:hAnsi="Arial" w:cs="Arial"/>
                <w:b/>
                <w:bCs/>
                <w:color w:val="FFFFFF"/>
                <w:sz w:val="18"/>
                <w:szCs w:val="18"/>
                <w:lang w:eastAsia="hr-HR"/>
              </w:rPr>
              <w:t>Program: Zaštita od požara i civilna zaštita</w:t>
            </w:r>
          </w:p>
        </w:tc>
        <w:tc>
          <w:tcPr>
            <w:tcW w:w="1480" w:type="dxa"/>
            <w:tcBorders>
              <w:top w:val="nil"/>
              <w:left w:val="nil"/>
              <w:bottom w:val="nil"/>
              <w:right w:val="nil"/>
            </w:tcBorders>
            <w:shd w:val="clear" w:color="000000" w:fill="1D4BB3"/>
            <w:noWrap/>
            <w:vAlign w:val="bottom"/>
            <w:hideMark/>
          </w:tcPr>
          <w:p w14:paraId="31C77A5B"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114.500,00</w:t>
            </w:r>
          </w:p>
        </w:tc>
        <w:tc>
          <w:tcPr>
            <w:tcW w:w="1380" w:type="dxa"/>
            <w:tcBorders>
              <w:top w:val="nil"/>
              <w:left w:val="nil"/>
              <w:bottom w:val="nil"/>
              <w:right w:val="nil"/>
            </w:tcBorders>
            <w:shd w:val="clear" w:color="000000" w:fill="1D4BB3"/>
            <w:noWrap/>
            <w:vAlign w:val="bottom"/>
            <w:hideMark/>
          </w:tcPr>
          <w:p w14:paraId="4CADC036"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107.622,51</w:t>
            </w:r>
          </w:p>
        </w:tc>
        <w:tc>
          <w:tcPr>
            <w:tcW w:w="1400" w:type="dxa"/>
            <w:tcBorders>
              <w:top w:val="nil"/>
              <w:left w:val="nil"/>
              <w:bottom w:val="nil"/>
              <w:right w:val="nil"/>
            </w:tcBorders>
            <w:shd w:val="clear" w:color="000000" w:fill="1D4BB3"/>
            <w:noWrap/>
            <w:vAlign w:val="bottom"/>
            <w:hideMark/>
          </w:tcPr>
          <w:p w14:paraId="40B3B893"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93,99%</w:t>
            </w:r>
          </w:p>
        </w:tc>
      </w:tr>
      <w:tr w:rsidR="00A360DB" w:rsidRPr="00A360DB" w14:paraId="4B4ED67B" w14:textId="77777777" w:rsidTr="00A360DB">
        <w:trPr>
          <w:trHeight w:val="240"/>
        </w:trPr>
        <w:tc>
          <w:tcPr>
            <w:tcW w:w="1697" w:type="dxa"/>
            <w:tcBorders>
              <w:top w:val="nil"/>
              <w:left w:val="nil"/>
              <w:bottom w:val="nil"/>
              <w:right w:val="nil"/>
            </w:tcBorders>
            <w:shd w:val="clear" w:color="000000" w:fill="B4C6E7"/>
            <w:noWrap/>
            <w:vAlign w:val="bottom"/>
            <w:hideMark/>
          </w:tcPr>
          <w:p w14:paraId="685A8E59"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A100502</w:t>
            </w:r>
          </w:p>
        </w:tc>
        <w:tc>
          <w:tcPr>
            <w:tcW w:w="8509" w:type="dxa"/>
            <w:tcBorders>
              <w:top w:val="nil"/>
              <w:left w:val="nil"/>
              <w:bottom w:val="nil"/>
              <w:right w:val="nil"/>
            </w:tcBorders>
            <w:shd w:val="clear" w:color="000000" w:fill="B4C6E7"/>
            <w:noWrap/>
            <w:vAlign w:val="bottom"/>
            <w:hideMark/>
          </w:tcPr>
          <w:p w14:paraId="7513DE25"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Financiranje Vatrogasne zajednice grada</w:t>
            </w:r>
          </w:p>
        </w:tc>
        <w:tc>
          <w:tcPr>
            <w:tcW w:w="1480" w:type="dxa"/>
            <w:tcBorders>
              <w:top w:val="nil"/>
              <w:left w:val="nil"/>
              <w:bottom w:val="nil"/>
              <w:right w:val="nil"/>
            </w:tcBorders>
            <w:shd w:val="clear" w:color="000000" w:fill="B4C6E7"/>
            <w:noWrap/>
            <w:vAlign w:val="bottom"/>
            <w:hideMark/>
          </w:tcPr>
          <w:p w14:paraId="163E2E4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100.000,00</w:t>
            </w:r>
          </w:p>
        </w:tc>
        <w:tc>
          <w:tcPr>
            <w:tcW w:w="1380" w:type="dxa"/>
            <w:tcBorders>
              <w:top w:val="nil"/>
              <w:left w:val="nil"/>
              <w:bottom w:val="nil"/>
              <w:right w:val="nil"/>
            </w:tcBorders>
            <w:shd w:val="clear" w:color="000000" w:fill="B4C6E7"/>
            <w:noWrap/>
            <w:vAlign w:val="bottom"/>
            <w:hideMark/>
          </w:tcPr>
          <w:p w14:paraId="6A81FE9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100.000,00</w:t>
            </w:r>
          </w:p>
        </w:tc>
        <w:tc>
          <w:tcPr>
            <w:tcW w:w="1400" w:type="dxa"/>
            <w:tcBorders>
              <w:top w:val="nil"/>
              <w:left w:val="nil"/>
              <w:bottom w:val="nil"/>
              <w:right w:val="nil"/>
            </w:tcBorders>
            <w:shd w:val="clear" w:color="000000" w:fill="B4C6E7"/>
            <w:noWrap/>
            <w:vAlign w:val="bottom"/>
            <w:hideMark/>
          </w:tcPr>
          <w:p w14:paraId="18107B1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r>
      <w:tr w:rsidR="00A360DB" w:rsidRPr="00A360DB" w14:paraId="70332A23"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2A86FE35"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17D302B6"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100.000,00</w:t>
            </w:r>
          </w:p>
        </w:tc>
        <w:tc>
          <w:tcPr>
            <w:tcW w:w="1380" w:type="dxa"/>
            <w:tcBorders>
              <w:top w:val="nil"/>
              <w:left w:val="nil"/>
              <w:bottom w:val="nil"/>
              <w:right w:val="nil"/>
            </w:tcBorders>
            <w:shd w:val="clear" w:color="auto" w:fill="auto"/>
            <w:noWrap/>
            <w:vAlign w:val="bottom"/>
            <w:hideMark/>
          </w:tcPr>
          <w:p w14:paraId="151BB039"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100.000,00</w:t>
            </w:r>
          </w:p>
        </w:tc>
        <w:tc>
          <w:tcPr>
            <w:tcW w:w="1400" w:type="dxa"/>
            <w:tcBorders>
              <w:top w:val="nil"/>
              <w:left w:val="nil"/>
              <w:bottom w:val="nil"/>
              <w:right w:val="nil"/>
            </w:tcBorders>
            <w:shd w:val="clear" w:color="auto" w:fill="auto"/>
            <w:noWrap/>
            <w:vAlign w:val="bottom"/>
            <w:hideMark/>
          </w:tcPr>
          <w:p w14:paraId="624445B5"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w:t>
            </w:r>
          </w:p>
        </w:tc>
      </w:tr>
      <w:tr w:rsidR="00A360DB" w:rsidRPr="00A360DB" w14:paraId="0573256F"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5E46471"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55EE3A43"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100.000,00</w:t>
            </w:r>
          </w:p>
        </w:tc>
        <w:tc>
          <w:tcPr>
            <w:tcW w:w="1380" w:type="dxa"/>
            <w:tcBorders>
              <w:top w:val="nil"/>
              <w:left w:val="nil"/>
              <w:bottom w:val="nil"/>
              <w:right w:val="nil"/>
            </w:tcBorders>
            <w:shd w:val="clear" w:color="auto" w:fill="auto"/>
            <w:noWrap/>
            <w:vAlign w:val="bottom"/>
            <w:hideMark/>
          </w:tcPr>
          <w:p w14:paraId="2F3DF5E1"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100.000,00</w:t>
            </w:r>
          </w:p>
        </w:tc>
        <w:tc>
          <w:tcPr>
            <w:tcW w:w="1400" w:type="dxa"/>
            <w:tcBorders>
              <w:top w:val="nil"/>
              <w:left w:val="nil"/>
              <w:bottom w:val="nil"/>
              <w:right w:val="nil"/>
            </w:tcBorders>
            <w:shd w:val="clear" w:color="auto" w:fill="auto"/>
            <w:noWrap/>
            <w:vAlign w:val="bottom"/>
            <w:hideMark/>
          </w:tcPr>
          <w:p w14:paraId="770E94E6"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w:t>
            </w:r>
          </w:p>
        </w:tc>
      </w:tr>
      <w:tr w:rsidR="00A360DB" w:rsidRPr="00A360DB" w14:paraId="7AAA1311" w14:textId="77777777" w:rsidTr="00A360DB">
        <w:trPr>
          <w:trHeight w:val="240"/>
        </w:trPr>
        <w:tc>
          <w:tcPr>
            <w:tcW w:w="1697" w:type="dxa"/>
            <w:tcBorders>
              <w:top w:val="nil"/>
              <w:left w:val="nil"/>
              <w:bottom w:val="nil"/>
              <w:right w:val="nil"/>
            </w:tcBorders>
            <w:shd w:val="clear" w:color="auto" w:fill="auto"/>
            <w:noWrap/>
            <w:vAlign w:val="bottom"/>
            <w:hideMark/>
          </w:tcPr>
          <w:p w14:paraId="2D6FB9C4"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36</w:t>
            </w:r>
          </w:p>
        </w:tc>
        <w:tc>
          <w:tcPr>
            <w:tcW w:w="8509" w:type="dxa"/>
            <w:tcBorders>
              <w:top w:val="nil"/>
              <w:left w:val="nil"/>
              <w:bottom w:val="nil"/>
              <w:right w:val="nil"/>
            </w:tcBorders>
            <w:shd w:val="clear" w:color="auto" w:fill="auto"/>
            <w:noWrap/>
            <w:vAlign w:val="bottom"/>
            <w:hideMark/>
          </w:tcPr>
          <w:p w14:paraId="32364EA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Pomoći dane u inozemstvo i unutar opće države</w:t>
            </w:r>
          </w:p>
        </w:tc>
        <w:tc>
          <w:tcPr>
            <w:tcW w:w="1480" w:type="dxa"/>
            <w:tcBorders>
              <w:top w:val="nil"/>
              <w:left w:val="nil"/>
              <w:bottom w:val="nil"/>
              <w:right w:val="nil"/>
            </w:tcBorders>
            <w:shd w:val="clear" w:color="auto" w:fill="auto"/>
            <w:noWrap/>
            <w:vAlign w:val="bottom"/>
            <w:hideMark/>
          </w:tcPr>
          <w:p w14:paraId="687403D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100.000,00</w:t>
            </w:r>
          </w:p>
        </w:tc>
        <w:tc>
          <w:tcPr>
            <w:tcW w:w="1380" w:type="dxa"/>
            <w:tcBorders>
              <w:top w:val="nil"/>
              <w:left w:val="nil"/>
              <w:bottom w:val="nil"/>
              <w:right w:val="nil"/>
            </w:tcBorders>
            <w:shd w:val="clear" w:color="auto" w:fill="auto"/>
            <w:noWrap/>
            <w:vAlign w:val="bottom"/>
            <w:hideMark/>
          </w:tcPr>
          <w:p w14:paraId="45C4C25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100.000,00</w:t>
            </w:r>
          </w:p>
        </w:tc>
        <w:tc>
          <w:tcPr>
            <w:tcW w:w="1400" w:type="dxa"/>
            <w:tcBorders>
              <w:top w:val="nil"/>
              <w:left w:val="nil"/>
              <w:bottom w:val="nil"/>
              <w:right w:val="nil"/>
            </w:tcBorders>
            <w:shd w:val="clear" w:color="auto" w:fill="auto"/>
            <w:noWrap/>
            <w:vAlign w:val="bottom"/>
            <w:hideMark/>
          </w:tcPr>
          <w:p w14:paraId="285FB4D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r>
      <w:tr w:rsidR="00A360DB" w:rsidRPr="00A360DB" w14:paraId="30890825" w14:textId="77777777" w:rsidTr="00A360DB">
        <w:trPr>
          <w:trHeight w:val="240"/>
        </w:trPr>
        <w:tc>
          <w:tcPr>
            <w:tcW w:w="1697" w:type="dxa"/>
            <w:tcBorders>
              <w:top w:val="nil"/>
              <w:left w:val="nil"/>
              <w:bottom w:val="nil"/>
              <w:right w:val="nil"/>
            </w:tcBorders>
            <w:shd w:val="clear" w:color="auto" w:fill="auto"/>
            <w:noWrap/>
            <w:vAlign w:val="bottom"/>
            <w:hideMark/>
          </w:tcPr>
          <w:p w14:paraId="69AA676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3631</w:t>
            </w:r>
          </w:p>
        </w:tc>
        <w:tc>
          <w:tcPr>
            <w:tcW w:w="8509" w:type="dxa"/>
            <w:tcBorders>
              <w:top w:val="nil"/>
              <w:left w:val="nil"/>
              <w:bottom w:val="nil"/>
              <w:right w:val="nil"/>
            </w:tcBorders>
            <w:shd w:val="clear" w:color="auto" w:fill="auto"/>
            <w:noWrap/>
            <w:vAlign w:val="bottom"/>
            <w:hideMark/>
          </w:tcPr>
          <w:p w14:paraId="494D36AD"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Tekuće pomoći unutar općeg proračuna                                                                </w:t>
            </w:r>
          </w:p>
        </w:tc>
        <w:tc>
          <w:tcPr>
            <w:tcW w:w="1480" w:type="dxa"/>
            <w:tcBorders>
              <w:top w:val="nil"/>
              <w:left w:val="nil"/>
              <w:bottom w:val="nil"/>
              <w:right w:val="nil"/>
            </w:tcBorders>
            <w:shd w:val="clear" w:color="auto" w:fill="auto"/>
            <w:noWrap/>
            <w:vAlign w:val="bottom"/>
            <w:hideMark/>
          </w:tcPr>
          <w:p w14:paraId="32377266"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142C8DF2"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100.000,00</w:t>
            </w:r>
          </w:p>
        </w:tc>
        <w:tc>
          <w:tcPr>
            <w:tcW w:w="1400" w:type="dxa"/>
            <w:tcBorders>
              <w:top w:val="nil"/>
              <w:left w:val="nil"/>
              <w:bottom w:val="nil"/>
              <w:right w:val="nil"/>
            </w:tcBorders>
            <w:shd w:val="clear" w:color="auto" w:fill="auto"/>
            <w:noWrap/>
            <w:vAlign w:val="bottom"/>
            <w:hideMark/>
          </w:tcPr>
          <w:p w14:paraId="0C4E3D0E"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0A2299D" w14:textId="77777777" w:rsidTr="00A360DB">
        <w:trPr>
          <w:trHeight w:val="240"/>
        </w:trPr>
        <w:tc>
          <w:tcPr>
            <w:tcW w:w="1697" w:type="dxa"/>
            <w:tcBorders>
              <w:top w:val="nil"/>
              <w:left w:val="nil"/>
              <w:bottom w:val="nil"/>
              <w:right w:val="nil"/>
            </w:tcBorders>
            <w:shd w:val="clear" w:color="000000" w:fill="B4C6E7"/>
            <w:noWrap/>
            <w:vAlign w:val="bottom"/>
            <w:hideMark/>
          </w:tcPr>
          <w:p w14:paraId="140A46EA"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A100503</w:t>
            </w:r>
          </w:p>
        </w:tc>
        <w:tc>
          <w:tcPr>
            <w:tcW w:w="8509" w:type="dxa"/>
            <w:tcBorders>
              <w:top w:val="nil"/>
              <w:left w:val="nil"/>
              <w:bottom w:val="nil"/>
              <w:right w:val="nil"/>
            </w:tcBorders>
            <w:shd w:val="clear" w:color="000000" w:fill="B4C6E7"/>
            <w:noWrap/>
            <w:vAlign w:val="bottom"/>
            <w:hideMark/>
          </w:tcPr>
          <w:p w14:paraId="694F3FD2"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Civilna zaštita i spašavanje</w:t>
            </w:r>
          </w:p>
        </w:tc>
        <w:tc>
          <w:tcPr>
            <w:tcW w:w="1480" w:type="dxa"/>
            <w:tcBorders>
              <w:top w:val="nil"/>
              <w:left w:val="nil"/>
              <w:bottom w:val="nil"/>
              <w:right w:val="nil"/>
            </w:tcBorders>
            <w:shd w:val="clear" w:color="000000" w:fill="B4C6E7"/>
            <w:noWrap/>
            <w:vAlign w:val="bottom"/>
            <w:hideMark/>
          </w:tcPr>
          <w:p w14:paraId="205039B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14.500,00</w:t>
            </w:r>
          </w:p>
        </w:tc>
        <w:tc>
          <w:tcPr>
            <w:tcW w:w="1380" w:type="dxa"/>
            <w:tcBorders>
              <w:top w:val="nil"/>
              <w:left w:val="nil"/>
              <w:bottom w:val="nil"/>
              <w:right w:val="nil"/>
            </w:tcBorders>
            <w:shd w:val="clear" w:color="000000" w:fill="B4C6E7"/>
            <w:noWrap/>
            <w:vAlign w:val="bottom"/>
            <w:hideMark/>
          </w:tcPr>
          <w:p w14:paraId="40C25CC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7.622,51</w:t>
            </w:r>
          </w:p>
        </w:tc>
        <w:tc>
          <w:tcPr>
            <w:tcW w:w="1400" w:type="dxa"/>
            <w:tcBorders>
              <w:top w:val="nil"/>
              <w:left w:val="nil"/>
              <w:bottom w:val="nil"/>
              <w:right w:val="nil"/>
            </w:tcBorders>
            <w:shd w:val="clear" w:color="000000" w:fill="B4C6E7"/>
            <w:noWrap/>
            <w:vAlign w:val="bottom"/>
            <w:hideMark/>
          </w:tcPr>
          <w:p w14:paraId="7B6DDC1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52,57%</w:t>
            </w:r>
          </w:p>
        </w:tc>
      </w:tr>
      <w:tr w:rsidR="00A360DB" w:rsidRPr="00A360DB" w14:paraId="398F7F16"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2823473A"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6C7031B7"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14.500,00</w:t>
            </w:r>
          </w:p>
        </w:tc>
        <w:tc>
          <w:tcPr>
            <w:tcW w:w="1380" w:type="dxa"/>
            <w:tcBorders>
              <w:top w:val="nil"/>
              <w:left w:val="nil"/>
              <w:bottom w:val="nil"/>
              <w:right w:val="nil"/>
            </w:tcBorders>
            <w:shd w:val="clear" w:color="auto" w:fill="auto"/>
            <w:noWrap/>
            <w:vAlign w:val="bottom"/>
            <w:hideMark/>
          </w:tcPr>
          <w:p w14:paraId="27303BC8"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7.622,51</w:t>
            </w:r>
          </w:p>
        </w:tc>
        <w:tc>
          <w:tcPr>
            <w:tcW w:w="1400" w:type="dxa"/>
            <w:tcBorders>
              <w:top w:val="nil"/>
              <w:left w:val="nil"/>
              <w:bottom w:val="nil"/>
              <w:right w:val="nil"/>
            </w:tcBorders>
            <w:shd w:val="clear" w:color="auto" w:fill="auto"/>
            <w:noWrap/>
            <w:vAlign w:val="bottom"/>
            <w:hideMark/>
          </w:tcPr>
          <w:p w14:paraId="00723CB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52,57%</w:t>
            </w:r>
          </w:p>
        </w:tc>
      </w:tr>
      <w:tr w:rsidR="00A360DB" w:rsidRPr="00A360DB" w14:paraId="7A9982C8"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510B4396"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382CB992"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14.500,00</w:t>
            </w:r>
          </w:p>
        </w:tc>
        <w:tc>
          <w:tcPr>
            <w:tcW w:w="1380" w:type="dxa"/>
            <w:tcBorders>
              <w:top w:val="nil"/>
              <w:left w:val="nil"/>
              <w:bottom w:val="nil"/>
              <w:right w:val="nil"/>
            </w:tcBorders>
            <w:shd w:val="clear" w:color="auto" w:fill="auto"/>
            <w:noWrap/>
            <w:vAlign w:val="bottom"/>
            <w:hideMark/>
          </w:tcPr>
          <w:p w14:paraId="26D7D4FB"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7.622,51</w:t>
            </w:r>
          </w:p>
        </w:tc>
        <w:tc>
          <w:tcPr>
            <w:tcW w:w="1400" w:type="dxa"/>
            <w:tcBorders>
              <w:top w:val="nil"/>
              <w:left w:val="nil"/>
              <w:bottom w:val="nil"/>
              <w:right w:val="nil"/>
            </w:tcBorders>
            <w:shd w:val="clear" w:color="auto" w:fill="auto"/>
            <w:noWrap/>
            <w:vAlign w:val="bottom"/>
            <w:hideMark/>
          </w:tcPr>
          <w:p w14:paraId="41126AD7"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52,57%</w:t>
            </w:r>
          </w:p>
        </w:tc>
      </w:tr>
      <w:tr w:rsidR="00A360DB" w:rsidRPr="00A360DB" w14:paraId="0064C8F9" w14:textId="77777777" w:rsidTr="00A360DB">
        <w:trPr>
          <w:trHeight w:val="240"/>
        </w:trPr>
        <w:tc>
          <w:tcPr>
            <w:tcW w:w="1697" w:type="dxa"/>
            <w:tcBorders>
              <w:top w:val="nil"/>
              <w:left w:val="nil"/>
              <w:bottom w:val="nil"/>
              <w:right w:val="nil"/>
            </w:tcBorders>
            <w:shd w:val="clear" w:color="auto" w:fill="auto"/>
            <w:noWrap/>
            <w:vAlign w:val="bottom"/>
            <w:hideMark/>
          </w:tcPr>
          <w:p w14:paraId="6E3B3A33"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7134A6FE"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0BF750D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6.200,00</w:t>
            </w:r>
          </w:p>
        </w:tc>
        <w:tc>
          <w:tcPr>
            <w:tcW w:w="1380" w:type="dxa"/>
            <w:tcBorders>
              <w:top w:val="nil"/>
              <w:left w:val="nil"/>
              <w:bottom w:val="nil"/>
              <w:right w:val="nil"/>
            </w:tcBorders>
            <w:shd w:val="clear" w:color="auto" w:fill="auto"/>
            <w:noWrap/>
            <w:vAlign w:val="bottom"/>
            <w:hideMark/>
          </w:tcPr>
          <w:p w14:paraId="29E5179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2.500,00</w:t>
            </w:r>
          </w:p>
        </w:tc>
        <w:tc>
          <w:tcPr>
            <w:tcW w:w="1400" w:type="dxa"/>
            <w:tcBorders>
              <w:top w:val="nil"/>
              <w:left w:val="nil"/>
              <w:bottom w:val="nil"/>
              <w:right w:val="nil"/>
            </w:tcBorders>
            <w:shd w:val="clear" w:color="auto" w:fill="auto"/>
            <w:noWrap/>
            <w:vAlign w:val="bottom"/>
            <w:hideMark/>
          </w:tcPr>
          <w:p w14:paraId="54C7646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40,32%</w:t>
            </w:r>
          </w:p>
        </w:tc>
      </w:tr>
      <w:tr w:rsidR="00A360DB" w:rsidRPr="00A360DB" w14:paraId="0E139474" w14:textId="77777777" w:rsidTr="00A360DB">
        <w:trPr>
          <w:trHeight w:val="240"/>
        </w:trPr>
        <w:tc>
          <w:tcPr>
            <w:tcW w:w="1697" w:type="dxa"/>
            <w:tcBorders>
              <w:top w:val="nil"/>
              <w:left w:val="nil"/>
              <w:bottom w:val="nil"/>
              <w:right w:val="nil"/>
            </w:tcBorders>
            <w:shd w:val="clear" w:color="auto" w:fill="auto"/>
            <w:noWrap/>
            <w:vAlign w:val="bottom"/>
            <w:hideMark/>
          </w:tcPr>
          <w:p w14:paraId="357EB95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3237</w:t>
            </w:r>
          </w:p>
        </w:tc>
        <w:tc>
          <w:tcPr>
            <w:tcW w:w="8509" w:type="dxa"/>
            <w:tcBorders>
              <w:top w:val="nil"/>
              <w:left w:val="nil"/>
              <w:bottom w:val="nil"/>
              <w:right w:val="nil"/>
            </w:tcBorders>
            <w:shd w:val="clear" w:color="auto" w:fill="auto"/>
            <w:noWrap/>
            <w:vAlign w:val="bottom"/>
            <w:hideMark/>
          </w:tcPr>
          <w:p w14:paraId="59994A5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Intelektualne i osobne usluge                                                                       </w:t>
            </w:r>
          </w:p>
        </w:tc>
        <w:tc>
          <w:tcPr>
            <w:tcW w:w="1480" w:type="dxa"/>
            <w:tcBorders>
              <w:top w:val="nil"/>
              <w:left w:val="nil"/>
              <w:bottom w:val="nil"/>
              <w:right w:val="nil"/>
            </w:tcBorders>
            <w:shd w:val="clear" w:color="auto" w:fill="auto"/>
            <w:noWrap/>
            <w:vAlign w:val="bottom"/>
            <w:hideMark/>
          </w:tcPr>
          <w:p w14:paraId="68C61757"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127A4ABC"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2.500,00</w:t>
            </w:r>
          </w:p>
        </w:tc>
        <w:tc>
          <w:tcPr>
            <w:tcW w:w="1400" w:type="dxa"/>
            <w:tcBorders>
              <w:top w:val="nil"/>
              <w:left w:val="nil"/>
              <w:bottom w:val="nil"/>
              <w:right w:val="nil"/>
            </w:tcBorders>
            <w:shd w:val="clear" w:color="auto" w:fill="auto"/>
            <w:noWrap/>
            <w:vAlign w:val="bottom"/>
            <w:hideMark/>
          </w:tcPr>
          <w:p w14:paraId="7891D7E0"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92D73B0" w14:textId="77777777" w:rsidTr="00A360DB">
        <w:trPr>
          <w:trHeight w:val="240"/>
        </w:trPr>
        <w:tc>
          <w:tcPr>
            <w:tcW w:w="1697" w:type="dxa"/>
            <w:tcBorders>
              <w:top w:val="nil"/>
              <w:left w:val="nil"/>
              <w:bottom w:val="nil"/>
              <w:right w:val="nil"/>
            </w:tcBorders>
            <w:shd w:val="clear" w:color="auto" w:fill="auto"/>
            <w:noWrap/>
            <w:vAlign w:val="bottom"/>
            <w:hideMark/>
          </w:tcPr>
          <w:p w14:paraId="2032E528"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36</w:t>
            </w:r>
          </w:p>
        </w:tc>
        <w:tc>
          <w:tcPr>
            <w:tcW w:w="8509" w:type="dxa"/>
            <w:tcBorders>
              <w:top w:val="nil"/>
              <w:left w:val="nil"/>
              <w:bottom w:val="nil"/>
              <w:right w:val="nil"/>
            </w:tcBorders>
            <w:shd w:val="clear" w:color="auto" w:fill="auto"/>
            <w:noWrap/>
            <w:vAlign w:val="bottom"/>
            <w:hideMark/>
          </w:tcPr>
          <w:p w14:paraId="5B8E0027"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Pomoći dane u inozemstvo i unutar opće države</w:t>
            </w:r>
          </w:p>
        </w:tc>
        <w:tc>
          <w:tcPr>
            <w:tcW w:w="1480" w:type="dxa"/>
            <w:tcBorders>
              <w:top w:val="nil"/>
              <w:left w:val="nil"/>
              <w:bottom w:val="nil"/>
              <w:right w:val="nil"/>
            </w:tcBorders>
            <w:shd w:val="clear" w:color="auto" w:fill="auto"/>
            <w:noWrap/>
            <w:vAlign w:val="bottom"/>
            <w:hideMark/>
          </w:tcPr>
          <w:p w14:paraId="71A8C31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3.000,00</w:t>
            </w:r>
          </w:p>
        </w:tc>
        <w:tc>
          <w:tcPr>
            <w:tcW w:w="1380" w:type="dxa"/>
            <w:tcBorders>
              <w:top w:val="nil"/>
              <w:left w:val="nil"/>
              <w:bottom w:val="nil"/>
              <w:right w:val="nil"/>
            </w:tcBorders>
            <w:shd w:val="clear" w:color="auto" w:fill="auto"/>
            <w:noWrap/>
            <w:vAlign w:val="bottom"/>
            <w:hideMark/>
          </w:tcPr>
          <w:p w14:paraId="72512AE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2.422,51</w:t>
            </w:r>
          </w:p>
        </w:tc>
        <w:tc>
          <w:tcPr>
            <w:tcW w:w="1400" w:type="dxa"/>
            <w:tcBorders>
              <w:top w:val="nil"/>
              <w:left w:val="nil"/>
              <w:bottom w:val="nil"/>
              <w:right w:val="nil"/>
            </w:tcBorders>
            <w:shd w:val="clear" w:color="auto" w:fill="auto"/>
            <w:noWrap/>
            <w:vAlign w:val="bottom"/>
            <w:hideMark/>
          </w:tcPr>
          <w:p w14:paraId="2EE819A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80,75%</w:t>
            </w:r>
          </w:p>
        </w:tc>
      </w:tr>
      <w:tr w:rsidR="00A360DB" w:rsidRPr="00A360DB" w14:paraId="7506F63F" w14:textId="77777777" w:rsidTr="00A360DB">
        <w:trPr>
          <w:trHeight w:val="240"/>
        </w:trPr>
        <w:tc>
          <w:tcPr>
            <w:tcW w:w="1697" w:type="dxa"/>
            <w:tcBorders>
              <w:top w:val="nil"/>
              <w:left w:val="nil"/>
              <w:bottom w:val="nil"/>
              <w:right w:val="nil"/>
            </w:tcBorders>
            <w:shd w:val="clear" w:color="auto" w:fill="auto"/>
            <w:noWrap/>
            <w:vAlign w:val="bottom"/>
            <w:hideMark/>
          </w:tcPr>
          <w:p w14:paraId="7FBBF41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3631</w:t>
            </w:r>
          </w:p>
        </w:tc>
        <w:tc>
          <w:tcPr>
            <w:tcW w:w="8509" w:type="dxa"/>
            <w:tcBorders>
              <w:top w:val="nil"/>
              <w:left w:val="nil"/>
              <w:bottom w:val="nil"/>
              <w:right w:val="nil"/>
            </w:tcBorders>
            <w:shd w:val="clear" w:color="auto" w:fill="auto"/>
            <w:noWrap/>
            <w:vAlign w:val="bottom"/>
            <w:hideMark/>
          </w:tcPr>
          <w:p w14:paraId="6890D9D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Tekuće pomoći unutar općeg proračuna                                                                </w:t>
            </w:r>
          </w:p>
        </w:tc>
        <w:tc>
          <w:tcPr>
            <w:tcW w:w="1480" w:type="dxa"/>
            <w:tcBorders>
              <w:top w:val="nil"/>
              <w:left w:val="nil"/>
              <w:bottom w:val="nil"/>
              <w:right w:val="nil"/>
            </w:tcBorders>
            <w:shd w:val="clear" w:color="auto" w:fill="auto"/>
            <w:noWrap/>
            <w:vAlign w:val="bottom"/>
            <w:hideMark/>
          </w:tcPr>
          <w:p w14:paraId="18012CAD"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01BA518"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2.422,51</w:t>
            </w:r>
          </w:p>
        </w:tc>
        <w:tc>
          <w:tcPr>
            <w:tcW w:w="1400" w:type="dxa"/>
            <w:tcBorders>
              <w:top w:val="nil"/>
              <w:left w:val="nil"/>
              <w:bottom w:val="nil"/>
              <w:right w:val="nil"/>
            </w:tcBorders>
            <w:shd w:val="clear" w:color="auto" w:fill="auto"/>
            <w:noWrap/>
            <w:vAlign w:val="bottom"/>
            <w:hideMark/>
          </w:tcPr>
          <w:p w14:paraId="3F993EB2"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26F12860" w14:textId="77777777" w:rsidTr="00A360DB">
        <w:trPr>
          <w:trHeight w:val="240"/>
        </w:trPr>
        <w:tc>
          <w:tcPr>
            <w:tcW w:w="1697" w:type="dxa"/>
            <w:tcBorders>
              <w:top w:val="nil"/>
              <w:left w:val="nil"/>
              <w:bottom w:val="nil"/>
              <w:right w:val="nil"/>
            </w:tcBorders>
            <w:shd w:val="clear" w:color="auto" w:fill="auto"/>
            <w:noWrap/>
            <w:vAlign w:val="bottom"/>
            <w:hideMark/>
          </w:tcPr>
          <w:p w14:paraId="2721D755"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38</w:t>
            </w:r>
          </w:p>
        </w:tc>
        <w:tc>
          <w:tcPr>
            <w:tcW w:w="8509" w:type="dxa"/>
            <w:tcBorders>
              <w:top w:val="nil"/>
              <w:left w:val="nil"/>
              <w:bottom w:val="nil"/>
              <w:right w:val="nil"/>
            </w:tcBorders>
            <w:shd w:val="clear" w:color="auto" w:fill="auto"/>
            <w:noWrap/>
            <w:vAlign w:val="bottom"/>
            <w:hideMark/>
          </w:tcPr>
          <w:p w14:paraId="584EA8E0"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Ostali rashodi                                                                                      </w:t>
            </w:r>
          </w:p>
        </w:tc>
        <w:tc>
          <w:tcPr>
            <w:tcW w:w="1480" w:type="dxa"/>
            <w:tcBorders>
              <w:top w:val="nil"/>
              <w:left w:val="nil"/>
              <w:bottom w:val="nil"/>
              <w:right w:val="nil"/>
            </w:tcBorders>
            <w:shd w:val="clear" w:color="auto" w:fill="auto"/>
            <w:noWrap/>
            <w:vAlign w:val="bottom"/>
            <w:hideMark/>
          </w:tcPr>
          <w:p w14:paraId="5CB180C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5.300,00</w:t>
            </w:r>
          </w:p>
        </w:tc>
        <w:tc>
          <w:tcPr>
            <w:tcW w:w="1380" w:type="dxa"/>
            <w:tcBorders>
              <w:top w:val="nil"/>
              <w:left w:val="nil"/>
              <w:bottom w:val="nil"/>
              <w:right w:val="nil"/>
            </w:tcBorders>
            <w:shd w:val="clear" w:color="auto" w:fill="auto"/>
            <w:noWrap/>
            <w:vAlign w:val="bottom"/>
            <w:hideMark/>
          </w:tcPr>
          <w:p w14:paraId="20A61F3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2.700,00</w:t>
            </w:r>
          </w:p>
        </w:tc>
        <w:tc>
          <w:tcPr>
            <w:tcW w:w="1400" w:type="dxa"/>
            <w:tcBorders>
              <w:top w:val="nil"/>
              <w:left w:val="nil"/>
              <w:bottom w:val="nil"/>
              <w:right w:val="nil"/>
            </w:tcBorders>
            <w:shd w:val="clear" w:color="auto" w:fill="auto"/>
            <w:noWrap/>
            <w:vAlign w:val="bottom"/>
            <w:hideMark/>
          </w:tcPr>
          <w:p w14:paraId="20097C4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50,94%</w:t>
            </w:r>
          </w:p>
        </w:tc>
      </w:tr>
      <w:tr w:rsidR="00A360DB" w:rsidRPr="00A360DB" w14:paraId="1FBDA45D" w14:textId="77777777" w:rsidTr="00A360DB">
        <w:trPr>
          <w:trHeight w:val="240"/>
        </w:trPr>
        <w:tc>
          <w:tcPr>
            <w:tcW w:w="1697" w:type="dxa"/>
            <w:tcBorders>
              <w:top w:val="nil"/>
              <w:left w:val="nil"/>
              <w:bottom w:val="nil"/>
              <w:right w:val="nil"/>
            </w:tcBorders>
            <w:shd w:val="clear" w:color="auto" w:fill="auto"/>
            <w:noWrap/>
            <w:vAlign w:val="bottom"/>
            <w:hideMark/>
          </w:tcPr>
          <w:p w14:paraId="0CA6C56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lastRenderedPageBreak/>
              <w:t>3811</w:t>
            </w:r>
          </w:p>
        </w:tc>
        <w:tc>
          <w:tcPr>
            <w:tcW w:w="8509" w:type="dxa"/>
            <w:tcBorders>
              <w:top w:val="nil"/>
              <w:left w:val="nil"/>
              <w:bottom w:val="nil"/>
              <w:right w:val="nil"/>
            </w:tcBorders>
            <w:shd w:val="clear" w:color="auto" w:fill="auto"/>
            <w:noWrap/>
            <w:vAlign w:val="bottom"/>
            <w:hideMark/>
          </w:tcPr>
          <w:p w14:paraId="74EF50F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Tekuće donacije u novcu                                                                             </w:t>
            </w:r>
          </w:p>
        </w:tc>
        <w:tc>
          <w:tcPr>
            <w:tcW w:w="1480" w:type="dxa"/>
            <w:tcBorders>
              <w:top w:val="nil"/>
              <w:left w:val="nil"/>
              <w:bottom w:val="nil"/>
              <w:right w:val="nil"/>
            </w:tcBorders>
            <w:shd w:val="clear" w:color="auto" w:fill="auto"/>
            <w:noWrap/>
            <w:vAlign w:val="bottom"/>
            <w:hideMark/>
          </w:tcPr>
          <w:p w14:paraId="1C02D493"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3A1DD26"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2.700,00</w:t>
            </w:r>
          </w:p>
        </w:tc>
        <w:tc>
          <w:tcPr>
            <w:tcW w:w="1400" w:type="dxa"/>
            <w:tcBorders>
              <w:top w:val="nil"/>
              <w:left w:val="nil"/>
              <w:bottom w:val="nil"/>
              <w:right w:val="nil"/>
            </w:tcBorders>
            <w:shd w:val="clear" w:color="auto" w:fill="auto"/>
            <w:noWrap/>
            <w:vAlign w:val="bottom"/>
            <w:hideMark/>
          </w:tcPr>
          <w:p w14:paraId="63ADDB29"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DA54E40" w14:textId="77777777" w:rsidTr="00A360DB">
        <w:trPr>
          <w:trHeight w:val="240"/>
        </w:trPr>
        <w:tc>
          <w:tcPr>
            <w:tcW w:w="1697" w:type="dxa"/>
            <w:tcBorders>
              <w:top w:val="nil"/>
              <w:left w:val="nil"/>
              <w:bottom w:val="nil"/>
              <w:right w:val="nil"/>
            </w:tcBorders>
            <w:shd w:val="clear" w:color="000000" w:fill="1D4BB3"/>
            <w:noWrap/>
            <w:vAlign w:val="bottom"/>
            <w:hideMark/>
          </w:tcPr>
          <w:p w14:paraId="49574FE9" w14:textId="77777777" w:rsidR="00A360DB" w:rsidRPr="00A360DB" w:rsidRDefault="00A360DB" w:rsidP="00A360DB">
            <w:pPr>
              <w:spacing w:after="0" w:line="240" w:lineRule="auto"/>
              <w:rPr>
                <w:rFonts w:ascii="Arial" w:hAnsi="Arial" w:cs="Arial"/>
                <w:b/>
                <w:bCs/>
                <w:color w:val="FFFFFF"/>
                <w:sz w:val="18"/>
                <w:szCs w:val="18"/>
                <w:lang w:eastAsia="hr-HR"/>
              </w:rPr>
            </w:pPr>
            <w:r w:rsidRPr="00A360DB">
              <w:rPr>
                <w:rFonts w:ascii="Arial" w:hAnsi="Arial" w:cs="Arial"/>
                <w:b/>
                <w:bCs/>
                <w:color w:val="FFFFFF"/>
                <w:sz w:val="18"/>
                <w:szCs w:val="18"/>
                <w:lang w:eastAsia="hr-HR"/>
              </w:rPr>
              <w:t>1006</w:t>
            </w:r>
          </w:p>
        </w:tc>
        <w:tc>
          <w:tcPr>
            <w:tcW w:w="8509" w:type="dxa"/>
            <w:tcBorders>
              <w:top w:val="nil"/>
              <w:left w:val="nil"/>
              <w:bottom w:val="nil"/>
              <w:right w:val="nil"/>
            </w:tcBorders>
            <w:shd w:val="clear" w:color="000000" w:fill="1D4BB3"/>
            <w:noWrap/>
            <w:vAlign w:val="bottom"/>
            <w:hideMark/>
          </w:tcPr>
          <w:p w14:paraId="35A18C77" w14:textId="77777777" w:rsidR="00A360DB" w:rsidRPr="00A360DB" w:rsidRDefault="00A360DB" w:rsidP="00A360DB">
            <w:pPr>
              <w:spacing w:after="0" w:line="240" w:lineRule="auto"/>
              <w:rPr>
                <w:rFonts w:ascii="Arial" w:hAnsi="Arial" w:cs="Arial"/>
                <w:b/>
                <w:bCs/>
                <w:color w:val="FFFFFF"/>
                <w:sz w:val="18"/>
                <w:szCs w:val="18"/>
                <w:lang w:eastAsia="hr-HR"/>
              </w:rPr>
            </w:pPr>
            <w:r w:rsidRPr="00A360DB">
              <w:rPr>
                <w:rFonts w:ascii="Arial" w:hAnsi="Arial" w:cs="Arial"/>
                <w:b/>
                <w:bCs/>
                <w:color w:val="FFFFFF"/>
                <w:sz w:val="18"/>
                <w:szCs w:val="18"/>
                <w:lang w:eastAsia="hr-HR"/>
              </w:rPr>
              <w:t>Program: Javne potrebe u kulturi</w:t>
            </w:r>
          </w:p>
        </w:tc>
        <w:tc>
          <w:tcPr>
            <w:tcW w:w="1480" w:type="dxa"/>
            <w:tcBorders>
              <w:top w:val="nil"/>
              <w:left w:val="nil"/>
              <w:bottom w:val="nil"/>
              <w:right w:val="nil"/>
            </w:tcBorders>
            <w:shd w:val="clear" w:color="000000" w:fill="1D4BB3"/>
            <w:noWrap/>
            <w:vAlign w:val="bottom"/>
            <w:hideMark/>
          </w:tcPr>
          <w:p w14:paraId="11967D83"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24.900,00</w:t>
            </w:r>
          </w:p>
        </w:tc>
        <w:tc>
          <w:tcPr>
            <w:tcW w:w="1380" w:type="dxa"/>
            <w:tcBorders>
              <w:top w:val="nil"/>
              <w:left w:val="nil"/>
              <w:bottom w:val="nil"/>
              <w:right w:val="nil"/>
            </w:tcBorders>
            <w:shd w:val="clear" w:color="000000" w:fill="1D4BB3"/>
            <w:noWrap/>
            <w:vAlign w:val="bottom"/>
            <w:hideMark/>
          </w:tcPr>
          <w:p w14:paraId="5559BA9E"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22.300,00</w:t>
            </w:r>
          </w:p>
        </w:tc>
        <w:tc>
          <w:tcPr>
            <w:tcW w:w="1400" w:type="dxa"/>
            <w:tcBorders>
              <w:top w:val="nil"/>
              <w:left w:val="nil"/>
              <w:bottom w:val="nil"/>
              <w:right w:val="nil"/>
            </w:tcBorders>
            <w:shd w:val="clear" w:color="000000" w:fill="1D4BB3"/>
            <w:noWrap/>
            <w:vAlign w:val="bottom"/>
            <w:hideMark/>
          </w:tcPr>
          <w:p w14:paraId="6E5929CB"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89,56%</w:t>
            </w:r>
          </w:p>
        </w:tc>
      </w:tr>
      <w:tr w:rsidR="00A360DB" w:rsidRPr="00A360DB" w14:paraId="6864C4E4" w14:textId="77777777" w:rsidTr="00A360DB">
        <w:trPr>
          <w:trHeight w:val="240"/>
        </w:trPr>
        <w:tc>
          <w:tcPr>
            <w:tcW w:w="1697" w:type="dxa"/>
            <w:tcBorders>
              <w:top w:val="nil"/>
              <w:left w:val="nil"/>
              <w:bottom w:val="nil"/>
              <w:right w:val="nil"/>
            </w:tcBorders>
            <w:shd w:val="clear" w:color="000000" w:fill="B4C6E7"/>
            <w:noWrap/>
            <w:vAlign w:val="bottom"/>
            <w:hideMark/>
          </w:tcPr>
          <w:p w14:paraId="79B7D0AD"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A100604</w:t>
            </w:r>
          </w:p>
        </w:tc>
        <w:tc>
          <w:tcPr>
            <w:tcW w:w="8509" w:type="dxa"/>
            <w:tcBorders>
              <w:top w:val="nil"/>
              <w:left w:val="nil"/>
              <w:bottom w:val="nil"/>
              <w:right w:val="nil"/>
            </w:tcBorders>
            <w:shd w:val="clear" w:color="000000" w:fill="B4C6E7"/>
            <w:noWrap/>
            <w:vAlign w:val="bottom"/>
            <w:hideMark/>
          </w:tcPr>
          <w:p w14:paraId="1BCD7E8D"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Poticanje kulturno-umjetničkog amaterizma</w:t>
            </w:r>
          </w:p>
        </w:tc>
        <w:tc>
          <w:tcPr>
            <w:tcW w:w="1480" w:type="dxa"/>
            <w:tcBorders>
              <w:top w:val="nil"/>
              <w:left w:val="nil"/>
              <w:bottom w:val="nil"/>
              <w:right w:val="nil"/>
            </w:tcBorders>
            <w:shd w:val="clear" w:color="000000" w:fill="B4C6E7"/>
            <w:noWrap/>
            <w:vAlign w:val="bottom"/>
            <w:hideMark/>
          </w:tcPr>
          <w:p w14:paraId="357CAAE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12.600,00</w:t>
            </w:r>
          </w:p>
        </w:tc>
        <w:tc>
          <w:tcPr>
            <w:tcW w:w="1380" w:type="dxa"/>
            <w:tcBorders>
              <w:top w:val="nil"/>
              <w:left w:val="nil"/>
              <w:bottom w:val="nil"/>
              <w:right w:val="nil"/>
            </w:tcBorders>
            <w:shd w:val="clear" w:color="000000" w:fill="B4C6E7"/>
            <w:noWrap/>
            <w:vAlign w:val="bottom"/>
            <w:hideMark/>
          </w:tcPr>
          <w:p w14:paraId="0AB47AC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10.700,00</w:t>
            </w:r>
          </w:p>
        </w:tc>
        <w:tc>
          <w:tcPr>
            <w:tcW w:w="1400" w:type="dxa"/>
            <w:tcBorders>
              <w:top w:val="nil"/>
              <w:left w:val="nil"/>
              <w:bottom w:val="nil"/>
              <w:right w:val="nil"/>
            </w:tcBorders>
            <w:shd w:val="clear" w:color="000000" w:fill="B4C6E7"/>
            <w:noWrap/>
            <w:vAlign w:val="bottom"/>
            <w:hideMark/>
          </w:tcPr>
          <w:p w14:paraId="48D682C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84,92%</w:t>
            </w:r>
          </w:p>
        </w:tc>
      </w:tr>
      <w:tr w:rsidR="00A360DB" w:rsidRPr="00A360DB" w14:paraId="1418CF44"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CE25789"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1245148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12.600,00</w:t>
            </w:r>
          </w:p>
        </w:tc>
        <w:tc>
          <w:tcPr>
            <w:tcW w:w="1380" w:type="dxa"/>
            <w:tcBorders>
              <w:top w:val="nil"/>
              <w:left w:val="nil"/>
              <w:bottom w:val="nil"/>
              <w:right w:val="nil"/>
            </w:tcBorders>
            <w:shd w:val="clear" w:color="auto" w:fill="auto"/>
            <w:noWrap/>
            <w:vAlign w:val="bottom"/>
            <w:hideMark/>
          </w:tcPr>
          <w:p w14:paraId="7F30B53C"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10.700,00</w:t>
            </w:r>
          </w:p>
        </w:tc>
        <w:tc>
          <w:tcPr>
            <w:tcW w:w="1400" w:type="dxa"/>
            <w:tcBorders>
              <w:top w:val="nil"/>
              <w:left w:val="nil"/>
              <w:bottom w:val="nil"/>
              <w:right w:val="nil"/>
            </w:tcBorders>
            <w:shd w:val="clear" w:color="auto" w:fill="auto"/>
            <w:noWrap/>
            <w:vAlign w:val="bottom"/>
            <w:hideMark/>
          </w:tcPr>
          <w:p w14:paraId="0AA5C23A"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84,92%</w:t>
            </w:r>
          </w:p>
        </w:tc>
      </w:tr>
      <w:tr w:rsidR="00A360DB" w:rsidRPr="00A360DB" w14:paraId="597B7BB3"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16D40CEB"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60004319"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12.600,00</w:t>
            </w:r>
          </w:p>
        </w:tc>
        <w:tc>
          <w:tcPr>
            <w:tcW w:w="1380" w:type="dxa"/>
            <w:tcBorders>
              <w:top w:val="nil"/>
              <w:left w:val="nil"/>
              <w:bottom w:val="nil"/>
              <w:right w:val="nil"/>
            </w:tcBorders>
            <w:shd w:val="clear" w:color="auto" w:fill="auto"/>
            <w:noWrap/>
            <w:vAlign w:val="bottom"/>
            <w:hideMark/>
          </w:tcPr>
          <w:p w14:paraId="051B0AF9"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10.700,00</w:t>
            </w:r>
          </w:p>
        </w:tc>
        <w:tc>
          <w:tcPr>
            <w:tcW w:w="1400" w:type="dxa"/>
            <w:tcBorders>
              <w:top w:val="nil"/>
              <w:left w:val="nil"/>
              <w:bottom w:val="nil"/>
              <w:right w:val="nil"/>
            </w:tcBorders>
            <w:shd w:val="clear" w:color="auto" w:fill="auto"/>
            <w:noWrap/>
            <w:vAlign w:val="bottom"/>
            <w:hideMark/>
          </w:tcPr>
          <w:p w14:paraId="7980B3B7"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84,92%</w:t>
            </w:r>
          </w:p>
        </w:tc>
      </w:tr>
      <w:tr w:rsidR="00A360DB" w:rsidRPr="00A360DB" w14:paraId="4DDBFB15" w14:textId="77777777" w:rsidTr="00A360DB">
        <w:trPr>
          <w:trHeight w:val="240"/>
        </w:trPr>
        <w:tc>
          <w:tcPr>
            <w:tcW w:w="1697" w:type="dxa"/>
            <w:tcBorders>
              <w:top w:val="nil"/>
              <w:left w:val="nil"/>
              <w:bottom w:val="nil"/>
              <w:right w:val="nil"/>
            </w:tcBorders>
            <w:shd w:val="clear" w:color="auto" w:fill="auto"/>
            <w:noWrap/>
            <w:vAlign w:val="bottom"/>
            <w:hideMark/>
          </w:tcPr>
          <w:p w14:paraId="7145648E"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38</w:t>
            </w:r>
          </w:p>
        </w:tc>
        <w:tc>
          <w:tcPr>
            <w:tcW w:w="8509" w:type="dxa"/>
            <w:tcBorders>
              <w:top w:val="nil"/>
              <w:left w:val="nil"/>
              <w:bottom w:val="nil"/>
              <w:right w:val="nil"/>
            </w:tcBorders>
            <w:shd w:val="clear" w:color="auto" w:fill="auto"/>
            <w:noWrap/>
            <w:vAlign w:val="bottom"/>
            <w:hideMark/>
          </w:tcPr>
          <w:p w14:paraId="0E2F9652"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Ostali rashodi                                                                                      </w:t>
            </w:r>
          </w:p>
        </w:tc>
        <w:tc>
          <w:tcPr>
            <w:tcW w:w="1480" w:type="dxa"/>
            <w:tcBorders>
              <w:top w:val="nil"/>
              <w:left w:val="nil"/>
              <w:bottom w:val="nil"/>
              <w:right w:val="nil"/>
            </w:tcBorders>
            <w:shd w:val="clear" w:color="auto" w:fill="auto"/>
            <w:noWrap/>
            <w:vAlign w:val="bottom"/>
            <w:hideMark/>
          </w:tcPr>
          <w:p w14:paraId="52A68FA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12.600,00</w:t>
            </w:r>
          </w:p>
        </w:tc>
        <w:tc>
          <w:tcPr>
            <w:tcW w:w="1380" w:type="dxa"/>
            <w:tcBorders>
              <w:top w:val="nil"/>
              <w:left w:val="nil"/>
              <w:bottom w:val="nil"/>
              <w:right w:val="nil"/>
            </w:tcBorders>
            <w:shd w:val="clear" w:color="auto" w:fill="auto"/>
            <w:noWrap/>
            <w:vAlign w:val="bottom"/>
            <w:hideMark/>
          </w:tcPr>
          <w:p w14:paraId="5AE18E3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10.700,00</w:t>
            </w:r>
          </w:p>
        </w:tc>
        <w:tc>
          <w:tcPr>
            <w:tcW w:w="1400" w:type="dxa"/>
            <w:tcBorders>
              <w:top w:val="nil"/>
              <w:left w:val="nil"/>
              <w:bottom w:val="nil"/>
              <w:right w:val="nil"/>
            </w:tcBorders>
            <w:shd w:val="clear" w:color="auto" w:fill="auto"/>
            <w:noWrap/>
            <w:vAlign w:val="bottom"/>
            <w:hideMark/>
          </w:tcPr>
          <w:p w14:paraId="1A190B8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84,92%</w:t>
            </w:r>
          </w:p>
        </w:tc>
      </w:tr>
      <w:tr w:rsidR="00A360DB" w:rsidRPr="00A360DB" w14:paraId="5F0E3D31" w14:textId="77777777" w:rsidTr="00A360DB">
        <w:trPr>
          <w:trHeight w:val="240"/>
        </w:trPr>
        <w:tc>
          <w:tcPr>
            <w:tcW w:w="1697" w:type="dxa"/>
            <w:tcBorders>
              <w:top w:val="nil"/>
              <w:left w:val="nil"/>
              <w:bottom w:val="nil"/>
              <w:right w:val="nil"/>
            </w:tcBorders>
            <w:shd w:val="clear" w:color="auto" w:fill="auto"/>
            <w:noWrap/>
            <w:vAlign w:val="bottom"/>
            <w:hideMark/>
          </w:tcPr>
          <w:p w14:paraId="0B3C2195"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3811</w:t>
            </w:r>
          </w:p>
        </w:tc>
        <w:tc>
          <w:tcPr>
            <w:tcW w:w="8509" w:type="dxa"/>
            <w:tcBorders>
              <w:top w:val="nil"/>
              <w:left w:val="nil"/>
              <w:bottom w:val="nil"/>
              <w:right w:val="nil"/>
            </w:tcBorders>
            <w:shd w:val="clear" w:color="auto" w:fill="auto"/>
            <w:noWrap/>
            <w:vAlign w:val="bottom"/>
            <w:hideMark/>
          </w:tcPr>
          <w:p w14:paraId="1CE1198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Tekuće donacije u novcu                                                                             </w:t>
            </w:r>
          </w:p>
        </w:tc>
        <w:tc>
          <w:tcPr>
            <w:tcW w:w="1480" w:type="dxa"/>
            <w:tcBorders>
              <w:top w:val="nil"/>
              <w:left w:val="nil"/>
              <w:bottom w:val="nil"/>
              <w:right w:val="nil"/>
            </w:tcBorders>
            <w:shd w:val="clear" w:color="auto" w:fill="auto"/>
            <w:noWrap/>
            <w:vAlign w:val="bottom"/>
            <w:hideMark/>
          </w:tcPr>
          <w:p w14:paraId="029C7BE7"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84A0111"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10.700,00</w:t>
            </w:r>
          </w:p>
        </w:tc>
        <w:tc>
          <w:tcPr>
            <w:tcW w:w="1400" w:type="dxa"/>
            <w:tcBorders>
              <w:top w:val="nil"/>
              <w:left w:val="nil"/>
              <w:bottom w:val="nil"/>
              <w:right w:val="nil"/>
            </w:tcBorders>
            <w:shd w:val="clear" w:color="auto" w:fill="auto"/>
            <w:noWrap/>
            <w:vAlign w:val="bottom"/>
            <w:hideMark/>
          </w:tcPr>
          <w:p w14:paraId="5A17D333"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282DBF8B" w14:textId="77777777" w:rsidTr="00A360DB">
        <w:trPr>
          <w:trHeight w:val="240"/>
        </w:trPr>
        <w:tc>
          <w:tcPr>
            <w:tcW w:w="1697" w:type="dxa"/>
            <w:tcBorders>
              <w:top w:val="nil"/>
              <w:left w:val="nil"/>
              <w:bottom w:val="nil"/>
              <w:right w:val="nil"/>
            </w:tcBorders>
            <w:shd w:val="clear" w:color="000000" w:fill="B4C6E7"/>
            <w:noWrap/>
            <w:vAlign w:val="bottom"/>
            <w:hideMark/>
          </w:tcPr>
          <w:p w14:paraId="404E6FB2"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A100605</w:t>
            </w:r>
          </w:p>
        </w:tc>
        <w:tc>
          <w:tcPr>
            <w:tcW w:w="8509" w:type="dxa"/>
            <w:tcBorders>
              <w:top w:val="nil"/>
              <w:left w:val="nil"/>
              <w:bottom w:val="nil"/>
              <w:right w:val="nil"/>
            </w:tcBorders>
            <w:shd w:val="clear" w:color="000000" w:fill="B4C6E7"/>
            <w:noWrap/>
            <w:vAlign w:val="bottom"/>
            <w:hideMark/>
          </w:tcPr>
          <w:p w14:paraId="1C1FD2E9"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Poticanje održavanja manifestacija u kulturi</w:t>
            </w:r>
          </w:p>
        </w:tc>
        <w:tc>
          <w:tcPr>
            <w:tcW w:w="1480" w:type="dxa"/>
            <w:tcBorders>
              <w:top w:val="nil"/>
              <w:left w:val="nil"/>
              <w:bottom w:val="nil"/>
              <w:right w:val="nil"/>
            </w:tcBorders>
            <w:shd w:val="clear" w:color="000000" w:fill="B4C6E7"/>
            <w:noWrap/>
            <w:vAlign w:val="bottom"/>
            <w:hideMark/>
          </w:tcPr>
          <w:p w14:paraId="0BEB06E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12.300,00</w:t>
            </w:r>
          </w:p>
        </w:tc>
        <w:tc>
          <w:tcPr>
            <w:tcW w:w="1380" w:type="dxa"/>
            <w:tcBorders>
              <w:top w:val="nil"/>
              <w:left w:val="nil"/>
              <w:bottom w:val="nil"/>
              <w:right w:val="nil"/>
            </w:tcBorders>
            <w:shd w:val="clear" w:color="000000" w:fill="B4C6E7"/>
            <w:noWrap/>
            <w:vAlign w:val="bottom"/>
            <w:hideMark/>
          </w:tcPr>
          <w:p w14:paraId="527529C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11.600,00</w:t>
            </w:r>
          </w:p>
        </w:tc>
        <w:tc>
          <w:tcPr>
            <w:tcW w:w="1400" w:type="dxa"/>
            <w:tcBorders>
              <w:top w:val="nil"/>
              <w:left w:val="nil"/>
              <w:bottom w:val="nil"/>
              <w:right w:val="nil"/>
            </w:tcBorders>
            <w:shd w:val="clear" w:color="000000" w:fill="B4C6E7"/>
            <w:noWrap/>
            <w:vAlign w:val="bottom"/>
            <w:hideMark/>
          </w:tcPr>
          <w:p w14:paraId="73D0B14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94,31%</w:t>
            </w:r>
          </w:p>
        </w:tc>
      </w:tr>
      <w:tr w:rsidR="00A360DB" w:rsidRPr="00A360DB" w14:paraId="14BA81FB"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E1A0DBC"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488DE81F"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12.300,00</w:t>
            </w:r>
          </w:p>
        </w:tc>
        <w:tc>
          <w:tcPr>
            <w:tcW w:w="1380" w:type="dxa"/>
            <w:tcBorders>
              <w:top w:val="nil"/>
              <w:left w:val="nil"/>
              <w:bottom w:val="nil"/>
              <w:right w:val="nil"/>
            </w:tcBorders>
            <w:shd w:val="clear" w:color="auto" w:fill="auto"/>
            <w:noWrap/>
            <w:vAlign w:val="bottom"/>
            <w:hideMark/>
          </w:tcPr>
          <w:p w14:paraId="070ECCCD"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11.600,00</w:t>
            </w:r>
          </w:p>
        </w:tc>
        <w:tc>
          <w:tcPr>
            <w:tcW w:w="1400" w:type="dxa"/>
            <w:tcBorders>
              <w:top w:val="nil"/>
              <w:left w:val="nil"/>
              <w:bottom w:val="nil"/>
              <w:right w:val="nil"/>
            </w:tcBorders>
            <w:shd w:val="clear" w:color="auto" w:fill="auto"/>
            <w:noWrap/>
            <w:vAlign w:val="bottom"/>
            <w:hideMark/>
          </w:tcPr>
          <w:p w14:paraId="5DD37849"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94,31%</w:t>
            </w:r>
          </w:p>
        </w:tc>
      </w:tr>
      <w:tr w:rsidR="00A360DB" w:rsidRPr="00A360DB" w14:paraId="7D3EDEB1"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52193E84"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2D8040F8"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12.300,00</w:t>
            </w:r>
          </w:p>
        </w:tc>
        <w:tc>
          <w:tcPr>
            <w:tcW w:w="1380" w:type="dxa"/>
            <w:tcBorders>
              <w:top w:val="nil"/>
              <w:left w:val="nil"/>
              <w:bottom w:val="nil"/>
              <w:right w:val="nil"/>
            </w:tcBorders>
            <w:shd w:val="clear" w:color="auto" w:fill="auto"/>
            <w:noWrap/>
            <w:vAlign w:val="bottom"/>
            <w:hideMark/>
          </w:tcPr>
          <w:p w14:paraId="2C493CF7"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11.600,00</w:t>
            </w:r>
          </w:p>
        </w:tc>
        <w:tc>
          <w:tcPr>
            <w:tcW w:w="1400" w:type="dxa"/>
            <w:tcBorders>
              <w:top w:val="nil"/>
              <w:left w:val="nil"/>
              <w:bottom w:val="nil"/>
              <w:right w:val="nil"/>
            </w:tcBorders>
            <w:shd w:val="clear" w:color="auto" w:fill="auto"/>
            <w:noWrap/>
            <w:vAlign w:val="bottom"/>
            <w:hideMark/>
          </w:tcPr>
          <w:p w14:paraId="10B4A587"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94,31%</w:t>
            </w:r>
          </w:p>
        </w:tc>
      </w:tr>
      <w:tr w:rsidR="00A360DB" w:rsidRPr="00A360DB" w14:paraId="58B4D22E" w14:textId="77777777" w:rsidTr="00A360DB">
        <w:trPr>
          <w:trHeight w:val="240"/>
        </w:trPr>
        <w:tc>
          <w:tcPr>
            <w:tcW w:w="1697" w:type="dxa"/>
            <w:tcBorders>
              <w:top w:val="nil"/>
              <w:left w:val="nil"/>
              <w:bottom w:val="nil"/>
              <w:right w:val="nil"/>
            </w:tcBorders>
            <w:shd w:val="clear" w:color="auto" w:fill="auto"/>
            <w:noWrap/>
            <w:vAlign w:val="bottom"/>
            <w:hideMark/>
          </w:tcPr>
          <w:p w14:paraId="6FF22469"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38</w:t>
            </w:r>
          </w:p>
        </w:tc>
        <w:tc>
          <w:tcPr>
            <w:tcW w:w="8509" w:type="dxa"/>
            <w:tcBorders>
              <w:top w:val="nil"/>
              <w:left w:val="nil"/>
              <w:bottom w:val="nil"/>
              <w:right w:val="nil"/>
            </w:tcBorders>
            <w:shd w:val="clear" w:color="auto" w:fill="auto"/>
            <w:noWrap/>
            <w:vAlign w:val="bottom"/>
            <w:hideMark/>
          </w:tcPr>
          <w:p w14:paraId="376BB094"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Ostali rashodi                                                                                      </w:t>
            </w:r>
          </w:p>
        </w:tc>
        <w:tc>
          <w:tcPr>
            <w:tcW w:w="1480" w:type="dxa"/>
            <w:tcBorders>
              <w:top w:val="nil"/>
              <w:left w:val="nil"/>
              <w:bottom w:val="nil"/>
              <w:right w:val="nil"/>
            </w:tcBorders>
            <w:shd w:val="clear" w:color="auto" w:fill="auto"/>
            <w:noWrap/>
            <w:vAlign w:val="bottom"/>
            <w:hideMark/>
          </w:tcPr>
          <w:p w14:paraId="3961EEE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12.300,00</w:t>
            </w:r>
          </w:p>
        </w:tc>
        <w:tc>
          <w:tcPr>
            <w:tcW w:w="1380" w:type="dxa"/>
            <w:tcBorders>
              <w:top w:val="nil"/>
              <w:left w:val="nil"/>
              <w:bottom w:val="nil"/>
              <w:right w:val="nil"/>
            </w:tcBorders>
            <w:shd w:val="clear" w:color="auto" w:fill="auto"/>
            <w:noWrap/>
            <w:vAlign w:val="bottom"/>
            <w:hideMark/>
          </w:tcPr>
          <w:p w14:paraId="7D1755F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11.600,00</w:t>
            </w:r>
          </w:p>
        </w:tc>
        <w:tc>
          <w:tcPr>
            <w:tcW w:w="1400" w:type="dxa"/>
            <w:tcBorders>
              <w:top w:val="nil"/>
              <w:left w:val="nil"/>
              <w:bottom w:val="nil"/>
              <w:right w:val="nil"/>
            </w:tcBorders>
            <w:shd w:val="clear" w:color="auto" w:fill="auto"/>
            <w:noWrap/>
            <w:vAlign w:val="bottom"/>
            <w:hideMark/>
          </w:tcPr>
          <w:p w14:paraId="034A694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94,31%</w:t>
            </w:r>
          </w:p>
        </w:tc>
      </w:tr>
      <w:tr w:rsidR="00A360DB" w:rsidRPr="00A360DB" w14:paraId="673FA2A5" w14:textId="77777777" w:rsidTr="00A360DB">
        <w:trPr>
          <w:trHeight w:val="240"/>
        </w:trPr>
        <w:tc>
          <w:tcPr>
            <w:tcW w:w="1697" w:type="dxa"/>
            <w:tcBorders>
              <w:top w:val="nil"/>
              <w:left w:val="nil"/>
              <w:bottom w:val="nil"/>
              <w:right w:val="nil"/>
            </w:tcBorders>
            <w:shd w:val="clear" w:color="auto" w:fill="auto"/>
            <w:noWrap/>
            <w:vAlign w:val="bottom"/>
            <w:hideMark/>
          </w:tcPr>
          <w:p w14:paraId="2BF01A5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3811</w:t>
            </w:r>
          </w:p>
        </w:tc>
        <w:tc>
          <w:tcPr>
            <w:tcW w:w="8509" w:type="dxa"/>
            <w:tcBorders>
              <w:top w:val="nil"/>
              <w:left w:val="nil"/>
              <w:bottom w:val="nil"/>
              <w:right w:val="nil"/>
            </w:tcBorders>
            <w:shd w:val="clear" w:color="auto" w:fill="auto"/>
            <w:noWrap/>
            <w:vAlign w:val="bottom"/>
            <w:hideMark/>
          </w:tcPr>
          <w:p w14:paraId="352E334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Tekuće donacije u novcu                                                                             </w:t>
            </w:r>
          </w:p>
        </w:tc>
        <w:tc>
          <w:tcPr>
            <w:tcW w:w="1480" w:type="dxa"/>
            <w:tcBorders>
              <w:top w:val="nil"/>
              <w:left w:val="nil"/>
              <w:bottom w:val="nil"/>
              <w:right w:val="nil"/>
            </w:tcBorders>
            <w:shd w:val="clear" w:color="auto" w:fill="auto"/>
            <w:noWrap/>
            <w:vAlign w:val="bottom"/>
            <w:hideMark/>
          </w:tcPr>
          <w:p w14:paraId="4870DCF7"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2CD9CAD8"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11.600,00</w:t>
            </w:r>
          </w:p>
        </w:tc>
        <w:tc>
          <w:tcPr>
            <w:tcW w:w="1400" w:type="dxa"/>
            <w:tcBorders>
              <w:top w:val="nil"/>
              <w:left w:val="nil"/>
              <w:bottom w:val="nil"/>
              <w:right w:val="nil"/>
            </w:tcBorders>
            <w:shd w:val="clear" w:color="auto" w:fill="auto"/>
            <w:noWrap/>
            <w:vAlign w:val="bottom"/>
            <w:hideMark/>
          </w:tcPr>
          <w:p w14:paraId="3A479583"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34965B3" w14:textId="77777777" w:rsidTr="00A360DB">
        <w:trPr>
          <w:trHeight w:val="240"/>
        </w:trPr>
        <w:tc>
          <w:tcPr>
            <w:tcW w:w="1697" w:type="dxa"/>
            <w:tcBorders>
              <w:top w:val="nil"/>
              <w:left w:val="nil"/>
              <w:bottom w:val="nil"/>
              <w:right w:val="nil"/>
            </w:tcBorders>
            <w:shd w:val="clear" w:color="000000" w:fill="1D4BB3"/>
            <w:noWrap/>
            <w:vAlign w:val="bottom"/>
            <w:hideMark/>
          </w:tcPr>
          <w:p w14:paraId="0F4F8EE7" w14:textId="77777777" w:rsidR="00A360DB" w:rsidRPr="00A360DB" w:rsidRDefault="00A360DB" w:rsidP="00A360DB">
            <w:pPr>
              <w:spacing w:after="0" w:line="240" w:lineRule="auto"/>
              <w:rPr>
                <w:rFonts w:ascii="Arial" w:hAnsi="Arial" w:cs="Arial"/>
                <w:b/>
                <w:bCs/>
                <w:color w:val="FFFFFF"/>
                <w:sz w:val="18"/>
                <w:szCs w:val="18"/>
                <w:lang w:eastAsia="hr-HR"/>
              </w:rPr>
            </w:pPr>
            <w:r w:rsidRPr="00A360DB">
              <w:rPr>
                <w:rFonts w:ascii="Arial" w:hAnsi="Arial" w:cs="Arial"/>
                <w:b/>
                <w:bCs/>
                <w:color w:val="FFFFFF"/>
                <w:sz w:val="18"/>
                <w:szCs w:val="18"/>
                <w:lang w:eastAsia="hr-HR"/>
              </w:rPr>
              <w:t>1007</w:t>
            </w:r>
          </w:p>
        </w:tc>
        <w:tc>
          <w:tcPr>
            <w:tcW w:w="8509" w:type="dxa"/>
            <w:tcBorders>
              <w:top w:val="nil"/>
              <w:left w:val="nil"/>
              <w:bottom w:val="nil"/>
              <w:right w:val="nil"/>
            </w:tcBorders>
            <w:shd w:val="clear" w:color="000000" w:fill="1D4BB3"/>
            <w:noWrap/>
            <w:vAlign w:val="bottom"/>
            <w:hideMark/>
          </w:tcPr>
          <w:p w14:paraId="7A29EA2A" w14:textId="77777777" w:rsidR="00A360DB" w:rsidRPr="00A360DB" w:rsidRDefault="00A360DB" w:rsidP="00A360DB">
            <w:pPr>
              <w:spacing w:after="0" w:line="240" w:lineRule="auto"/>
              <w:rPr>
                <w:rFonts w:ascii="Arial" w:hAnsi="Arial" w:cs="Arial"/>
                <w:b/>
                <w:bCs/>
                <w:color w:val="FFFFFF"/>
                <w:sz w:val="18"/>
                <w:szCs w:val="18"/>
                <w:lang w:eastAsia="hr-HR"/>
              </w:rPr>
            </w:pPr>
            <w:r w:rsidRPr="00A360DB">
              <w:rPr>
                <w:rFonts w:ascii="Arial" w:hAnsi="Arial" w:cs="Arial"/>
                <w:b/>
                <w:bCs/>
                <w:color w:val="FFFFFF"/>
                <w:sz w:val="18"/>
                <w:szCs w:val="18"/>
                <w:lang w:eastAsia="hr-HR"/>
              </w:rPr>
              <w:t>Program: Javne potrebe u tehničkoj kulturi</w:t>
            </w:r>
          </w:p>
        </w:tc>
        <w:tc>
          <w:tcPr>
            <w:tcW w:w="1480" w:type="dxa"/>
            <w:tcBorders>
              <w:top w:val="nil"/>
              <w:left w:val="nil"/>
              <w:bottom w:val="nil"/>
              <w:right w:val="nil"/>
            </w:tcBorders>
            <w:shd w:val="clear" w:color="000000" w:fill="1D4BB3"/>
            <w:noWrap/>
            <w:vAlign w:val="bottom"/>
            <w:hideMark/>
          </w:tcPr>
          <w:p w14:paraId="35093A94"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13.300,00</w:t>
            </w:r>
          </w:p>
        </w:tc>
        <w:tc>
          <w:tcPr>
            <w:tcW w:w="1380" w:type="dxa"/>
            <w:tcBorders>
              <w:top w:val="nil"/>
              <w:left w:val="nil"/>
              <w:bottom w:val="nil"/>
              <w:right w:val="nil"/>
            </w:tcBorders>
            <w:shd w:val="clear" w:color="000000" w:fill="1D4BB3"/>
            <w:noWrap/>
            <w:vAlign w:val="bottom"/>
            <w:hideMark/>
          </w:tcPr>
          <w:p w14:paraId="3E191A34"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13.300,00</w:t>
            </w:r>
          </w:p>
        </w:tc>
        <w:tc>
          <w:tcPr>
            <w:tcW w:w="1400" w:type="dxa"/>
            <w:tcBorders>
              <w:top w:val="nil"/>
              <w:left w:val="nil"/>
              <w:bottom w:val="nil"/>
              <w:right w:val="nil"/>
            </w:tcBorders>
            <w:shd w:val="clear" w:color="000000" w:fill="1D4BB3"/>
            <w:noWrap/>
            <w:vAlign w:val="bottom"/>
            <w:hideMark/>
          </w:tcPr>
          <w:p w14:paraId="640F1FF2"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100,00%</w:t>
            </w:r>
          </w:p>
        </w:tc>
      </w:tr>
      <w:tr w:rsidR="00A360DB" w:rsidRPr="00A360DB" w14:paraId="1838D54A" w14:textId="77777777" w:rsidTr="00A360DB">
        <w:trPr>
          <w:trHeight w:val="240"/>
        </w:trPr>
        <w:tc>
          <w:tcPr>
            <w:tcW w:w="1697" w:type="dxa"/>
            <w:tcBorders>
              <w:top w:val="nil"/>
              <w:left w:val="nil"/>
              <w:bottom w:val="nil"/>
              <w:right w:val="nil"/>
            </w:tcBorders>
            <w:shd w:val="clear" w:color="000000" w:fill="B4C6E7"/>
            <w:noWrap/>
            <w:vAlign w:val="bottom"/>
            <w:hideMark/>
          </w:tcPr>
          <w:p w14:paraId="21CF5540"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A100701</w:t>
            </w:r>
          </w:p>
        </w:tc>
        <w:tc>
          <w:tcPr>
            <w:tcW w:w="8509" w:type="dxa"/>
            <w:tcBorders>
              <w:top w:val="nil"/>
              <w:left w:val="nil"/>
              <w:bottom w:val="nil"/>
              <w:right w:val="nil"/>
            </w:tcBorders>
            <w:shd w:val="clear" w:color="000000" w:fill="B4C6E7"/>
            <w:noWrap/>
            <w:vAlign w:val="bottom"/>
            <w:hideMark/>
          </w:tcPr>
          <w:p w14:paraId="2A064E32"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Djelatnost zajednice tehničke kulture</w:t>
            </w:r>
          </w:p>
        </w:tc>
        <w:tc>
          <w:tcPr>
            <w:tcW w:w="1480" w:type="dxa"/>
            <w:tcBorders>
              <w:top w:val="nil"/>
              <w:left w:val="nil"/>
              <w:bottom w:val="nil"/>
              <w:right w:val="nil"/>
            </w:tcBorders>
            <w:shd w:val="clear" w:color="000000" w:fill="B4C6E7"/>
            <w:noWrap/>
            <w:vAlign w:val="bottom"/>
            <w:hideMark/>
          </w:tcPr>
          <w:p w14:paraId="4EF294C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13.300,00</w:t>
            </w:r>
          </w:p>
        </w:tc>
        <w:tc>
          <w:tcPr>
            <w:tcW w:w="1380" w:type="dxa"/>
            <w:tcBorders>
              <w:top w:val="nil"/>
              <w:left w:val="nil"/>
              <w:bottom w:val="nil"/>
              <w:right w:val="nil"/>
            </w:tcBorders>
            <w:shd w:val="clear" w:color="000000" w:fill="B4C6E7"/>
            <w:noWrap/>
            <w:vAlign w:val="bottom"/>
            <w:hideMark/>
          </w:tcPr>
          <w:p w14:paraId="4B41799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13.300,00</w:t>
            </w:r>
          </w:p>
        </w:tc>
        <w:tc>
          <w:tcPr>
            <w:tcW w:w="1400" w:type="dxa"/>
            <w:tcBorders>
              <w:top w:val="nil"/>
              <w:left w:val="nil"/>
              <w:bottom w:val="nil"/>
              <w:right w:val="nil"/>
            </w:tcBorders>
            <w:shd w:val="clear" w:color="000000" w:fill="B4C6E7"/>
            <w:noWrap/>
            <w:vAlign w:val="bottom"/>
            <w:hideMark/>
          </w:tcPr>
          <w:p w14:paraId="29E3838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r>
      <w:tr w:rsidR="00A360DB" w:rsidRPr="00A360DB" w14:paraId="6289892F"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575B4129"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62DFB475"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13.300,00</w:t>
            </w:r>
          </w:p>
        </w:tc>
        <w:tc>
          <w:tcPr>
            <w:tcW w:w="1380" w:type="dxa"/>
            <w:tcBorders>
              <w:top w:val="nil"/>
              <w:left w:val="nil"/>
              <w:bottom w:val="nil"/>
              <w:right w:val="nil"/>
            </w:tcBorders>
            <w:shd w:val="clear" w:color="auto" w:fill="auto"/>
            <w:noWrap/>
            <w:vAlign w:val="bottom"/>
            <w:hideMark/>
          </w:tcPr>
          <w:p w14:paraId="3B1AE24B"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13.300,00</w:t>
            </w:r>
          </w:p>
        </w:tc>
        <w:tc>
          <w:tcPr>
            <w:tcW w:w="1400" w:type="dxa"/>
            <w:tcBorders>
              <w:top w:val="nil"/>
              <w:left w:val="nil"/>
              <w:bottom w:val="nil"/>
              <w:right w:val="nil"/>
            </w:tcBorders>
            <w:shd w:val="clear" w:color="auto" w:fill="auto"/>
            <w:noWrap/>
            <w:vAlign w:val="bottom"/>
            <w:hideMark/>
          </w:tcPr>
          <w:p w14:paraId="11681F68"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w:t>
            </w:r>
          </w:p>
        </w:tc>
      </w:tr>
      <w:tr w:rsidR="00A360DB" w:rsidRPr="00A360DB" w14:paraId="182E8EF2"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5160B6F3"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0657712E"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13.300,00</w:t>
            </w:r>
          </w:p>
        </w:tc>
        <w:tc>
          <w:tcPr>
            <w:tcW w:w="1380" w:type="dxa"/>
            <w:tcBorders>
              <w:top w:val="nil"/>
              <w:left w:val="nil"/>
              <w:bottom w:val="nil"/>
              <w:right w:val="nil"/>
            </w:tcBorders>
            <w:shd w:val="clear" w:color="auto" w:fill="auto"/>
            <w:noWrap/>
            <w:vAlign w:val="bottom"/>
            <w:hideMark/>
          </w:tcPr>
          <w:p w14:paraId="639DB093"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13.300,00</w:t>
            </w:r>
          </w:p>
        </w:tc>
        <w:tc>
          <w:tcPr>
            <w:tcW w:w="1400" w:type="dxa"/>
            <w:tcBorders>
              <w:top w:val="nil"/>
              <w:left w:val="nil"/>
              <w:bottom w:val="nil"/>
              <w:right w:val="nil"/>
            </w:tcBorders>
            <w:shd w:val="clear" w:color="auto" w:fill="auto"/>
            <w:noWrap/>
            <w:vAlign w:val="bottom"/>
            <w:hideMark/>
          </w:tcPr>
          <w:p w14:paraId="338BE074"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w:t>
            </w:r>
          </w:p>
        </w:tc>
      </w:tr>
      <w:tr w:rsidR="00A360DB" w:rsidRPr="00A360DB" w14:paraId="4C6898E2" w14:textId="77777777" w:rsidTr="00A360DB">
        <w:trPr>
          <w:trHeight w:val="240"/>
        </w:trPr>
        <w:tc>
          <w:tcPr>
            <w:tcW w:w="1697" w:type="dxa"/>
            <w:tcBorders>
              <w:top w:val="nil"/>
              <w:left w:val="nil"/>
              <w:bottom w:val="nil"/>
              <w:right w:val="nil"/>
            </w:tcBorders>
            <w:shd w:val="clear" w:color="auto" w:fill="auto"/>
            <w:noWrap/>
            <w:vAlign w:val="bottom"/>
            <w:hideMark/>
          </w:tcPr>
          <w:p w14:paraId="4D2E945C"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38</w:t>
            </w:r>
          </w:p>
        </w:tc>
        <w:tc>
          <w:tcPr>
            <w:tcW w:w="8509" w:type="dxa"/>
            <w:tcBorders>
              <w:top w:val="nil"/>
              <w:left w:val="nil"/>
              <w:bottom w:val="nil"/>
              <w:right w:val="nil"/>
            </w:tcBorders>
            <w:shd w:val="clear" w:color="auto" w:fill="auto"/>
            <w:noWrap/>
            <w:vAlign w:val="bottom"/>
            <w:hideMark/>
          </w:tcPr>
          <w:p w14:paraId="0EFE5AFA"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Ostali rashodi                                                                                      </w:t>
            </w:r>
          </w:p>
        </w:tc>
        <w:tc>
          <w:tcPr>
            <w:tcW w:w="1480" w:type="dxa"/>
            <w:tcBorders>
              <w:top w:val="nil"/>
              <w:left w:val="nil"/>
              <w:bottom w:val="nil"/>
              <w:right w:val="nil"/>
            </w:tcBorders>
            <w:shd w:val="clear" w:color="auto" w:fill="auto"/>
            <w:noWrap/>
            <w:vAlign w:val="bottom"/>
            <w:hideMark/>
          </w:tcPr>
          <w:p w14:paraId="4EF4DC3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13.300,00</w:t>
            </w:r>
          </w:p>
        </w:tc>
        <w:tc>
          <w:tcPr>
            <w:tcW w:w="1380" w:type="dxa"/>
            <w:tcBorders>
              <w:top w:val="nil"/>
              <w:left w:val="nil"/>
              <w:bottom w:val="nil"/>
              <w:right w:val="nil"/>
            </w:tcBorders>
            <w:shd w:val="clear" w:color="auto" w:fill="auto"/>
            <w:noWrap/>
            <w:vAlign w:val="bottom"/>
            <w:hideMark/>
          </w:tcPr>
          <w:p w14:paraId="22B1416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13.300,00</w:t>
            </w:r>
          </w:p>
        </w:tc>
        <w:tc>
          <w:tcPr>
            <w:tcW w:w="1400" w:type="dxa"/>
            <w:tcBorders>
              <w:top w:val="nil"/>
              <w:left w:val="nil"/>
              <w:bottom w:val="nil"/>
              <w:right w:val="nil"/>
            </w:tcBorders>
            <w:shd w:val="clear" w:color="auto" w:fill="auto"/>
            <w:noWrap/>
            <w:vAlign w:val="bottom"/>
            <w:hideMark/>
          </w:tcPr>
          <w:p w14:paraId="052736A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r>
      <w:tr w:rsidR="00A360DB" w:rsidRPr="00A360DB" w14:paraId="16E33976" w14:textId="77777777" w:rsidTr="00A360DB">
        <w:trPr>
          <w:trHeight w:val="240"/>
        </w:trPr>
        <w:tc>
          <w:tcPr>
            <w:tcW w:w="1697" w:type="dxa"/>
            <w:tcBorders>
              <w:top w:val="nil"/>
              <w:left w:val="nil"/>
              <w:bottom w:val="nil"/>
              <w:right w:val="nil"/>
            </w:tcBorders>
            <w:shd w:val="clear" w:color="000000" w:fill="1D4BB3"/>
            <w:noWrap/>
            <w:vAlign w:val="bottom"/>
            <w:hideMark/>
          </w:tcPr>
          <w:p w14:paraId="63BDE560" w14:textId="77777777" w:rsidR="00A360DB" w:rsidRPr="00A360DB" w:rsidRDefault="00A360DB" w:rsidP="00A360DB">
            <w:pPr>
              <w:spacing w:after="0" w:line="240" w:lineRule="auto"/>
              <w:rPr>
                <w:rFonts w:ascii="Arial" w:hAnsi="Arial" w:cs="Arial"/>
                <w:color w:val="FFFFFF"/>
                <w:sz w:val="18"/>
                <w:szCs w:val="18"/>
                <w:lang w:eastAsia="hr-HR"/>
              </w:rPr>
            </w:pPr>
            <w:r w:rsidRPr="00A360DB">
              <w:rPr>
                <w:rFonts w:ascii="Arial" w:hAnsi="Arial" w:cs="Arial"/>
                <w:color w:val="FFFFFF"/>
                <w:sz w:val="18"/>
                <w:szCs w:val="18"/>
                <w:lang w:eastAsia="hr-HR"/>
              </w:rPr>
              <w:t>3811</w:t>
            </w:r>
          </w:p>
        </w:tc>
        <w:tc>
          <w:tcPr>
            <w:tcW w:w="8509" w:type="dxa"/>
            <w:tcBorders>
              <w:top w:val="nil"/>
              <w:left w:val="nil"/>
              <w:bottom w:val="nil"/>
              <w:right w:val="nil"/>
            </w:tcBorders>
            <w:shd w:val="clear" w:color="000000" w:fill="1D4BB3"/>
            <w:noWrap/>
            <w:vAlign w:val="bottom"/>
            <w:hideMark/>
          </w:tcPr>
          <w:p w14:paraId="07157476" w14:textId="77777777" w:rsidR="00A360DB" w:rsidRPr="00A360DB" w:rsidRDefault="00A360DB" w:rsidP="00A360DB">
            <w:pPr>
              <w:spacing w:after="0" w:line="240" w:lineRule="auto"/>
              <w:rPr>
                <w:rFonts w:ascii="Arial" w:hAnsi="Arial" w:cs="Arial"/>
                <w:color w:val="FFFFFF"/>
                <w:sz w:val="18"/>
                <w:szCs w:val="18"/>
                <w:lang w:eastAsia="hr-HR"/>
              </w:rPr>
            </w:pPr>
            <w:r w:rsidRPr="00A360DB">
              <w:rPr>
                <w:rFonts w:ascii="Arial" w:hAnsi="Arial" w:cs="Arial"/>
                <w:color w:val="FFFFFF"/>
                <w:sz w:val="18"/>
                <w:szCs w:val="18"/>
                <w:lang w:eastAsia="hr-HR"/>
              </w:rPr>
              <w:t xml:space="preserve">Tekuće donacije u novcu                                                                             </w:t>
            </w:r>
          </w:p>
        </w:tc>
        <w:tc>
          <w:tcPr>
            <w:tcW w:w="1480" w:type="dxa"/>
            <w:tcBorders>
              <w:top w:val="nil"/>
              <w:left w:val="nil"/>
              <w:bottom w:val="nil"/>
              <w:right w:val="nil"/>
            </w:tcBorders>
            <w:shd w:val="clear" w:color="000000" w:fill="1D4BB3"/>
            <w:noWrap/>
            <w:vAlign w:val="bottom"/>
            <w:hideMark/>
          </w:tcPr>
          <w:p w14:paraId="5D218B83" w14:textId="77777777" w:rsidR="00A360DB" w:rsidRPr="00A360DB" w:rsidRDefault="00A360DB" w:rsidP="00A360DB">
            <w:pPr>
              <w:spacing w:after="0" w:line="240" w:lineRule="auto"/>
              <w:jc w:val="right"/>
              <w:rPr>
                <w:rFonts w:ascii="Arial" w:hAnsi="Arial" w:cs="Arial"/>
                <w:color w:val="FFFFFF"/>
                <w:sz w:val="18"/>
                <w:szCs w:val="18"/>
                <w:lang w:eastAsia="hr-HR"/>
              </w:rPr>
            </w:pPr>
            <w:r w:rsidRPr="00A360DB">
              <w:rPr>
                <w:rFonts w:ascii="Arial" w:hAnsi="Arial" w:cs="Arial"/>
                <w:color w:val="FFFFFF"/>
                <w:sz w:val="18"/>
                <w:szCs w:val="18"/>
                <w:lang w:eastAsia="hr-HR"/>
              </w:rPr>
              <w:t> </w:t>
            </w:r>
          </w:p>
        </w:tc>
        <w:tc>
          <w:tcPr>
            <w:tcW w:w="1380" w:type="dxa"/>
            <w:tcBorders>
              <w:top w:val="nil"/>
              <w:left w:val="nil"/>
              <w:bottom w:val="nil"/>
              <w:right w:val="nil"/>
            </w:tcBorders>
            <w:shd w:val="clear" w:color="000000" w:fill="1D4BB3"/>
            <w:noWrap/>
            <w:vAlign w:val="bottom"/>
            <w:hideMark/>
          </w:tcPr>
          <w:p w14:paraId="6AF206B7" w14:textId="77777777" w:rsidR="00A360DB" w:rsidRPr="00A360DB" w:rsidRDefault="00A360DB" w:rsidP="00A360DB">
            <w:pPr>
              <w:spacing w:after="0" w:line="240" w:lineRule="auto"/>
              <w:jc w:val="right"/>
              <w:rPr>
                <w:rFonts w:ascii="Arial" w:hAnsi="Arial" w:cs="Arial"/>
                <w:color w:val="FFFFFF"/>
                <w:sz w:val="18"/>
                <w:szCs w:val="18"/>
                <w:lang w:eastAsia="hr-HR"/>
              </w:rPr>
            </w:pPr>
            <w:r w:rsidRPr="00A360DB">
              <w:rPr>
                <w:rFonts w:ascii="Arial" w:hAnsi="Arial" w:cs="Arial"/>
                <w:color w:val="FFFFFF"/>
                <w:sz w:val="18"/>
                <w:szCs w:val="18"/>
                <w:lang w:eastAsia="hr-HR"/>
              </w:rPr>
              <w:t>13.300,00</w:t>
            </w:r>
          </w:p>
        </w:tc>
        <w:tc>
          <w:tcPr>
            <w:tcW w:w="1400" w:type="dxa"/>
            <w:tcBorders>
              <w:top w:val="nil"/>
              <w:left w:val="nil"/>
              <w:bottom w:val="nil"/>
              <w:right w:val="nil"/>
            </w:tcBorders>
            <w:shd w:val="clear" w:color="000000" w:fill="1D4BB3"/>
            <w:noWrap/>
            <w:vAlign w:val="bottom"/>
            <w:hideMark/>
          </w:tcPr>
          <w:p w14:paraId="61F88A6C" w14:textId="77777777" w:rsidR="00A360DB" w:rsidRPr="00A360DB" w:rsidRDefault="00A360DB" w:rsidP="00A360DB">
            <w:pPr>
              <w:spacing w:after="0" w:line="240" w:lineRule="auto"/>
              <w:jc w:val="right"/>
              <w:rPr>
                <w:rFonts w:ascii="Arial" w:hAnsi="Arial" w:cs="Arial"/>
                <w:color w:val="FFFFFF"/>
                <w:sz w:val="18"/>
                <w:szCs w:val="18"/>
                <w:lang w:eastAsia="hr-HR"/>
              </w:rPr>
            </w:pPr>
            <w:r w:rsidRPr="00A360DB">
              <w:rPr>
                <w:rFonts w:ascii="Arial" w:hAnsi="Arial" w:cs="Arial"/>
                <w:color w:val="FFFFFF"/>
                <w:sz w:val="18"/>
                <w:szCs w:val="18"/>
                <w:lang w:eastAsia="hr-HR"/>
              </w:rPr>
              <w:t> </w:t>
            </w:r>
          </w:p>
        </w:tc>
      </w:tr>
      <w:tr w:rsidR="00A360DB" w:rsidRPr="00A360DB" w14:paraId="4F70CAC2" w14:textId="77777777" w:rsidTr="00A360DB">
        <w:trPr>
          <w:trHeight w:val="240"/>
        </w:trPr>
        <w:tc>
          <w:tcPr>
            <w:tcW w:w="1697" w:type="dxa"/>
            <w:tcBorders>
              <w:top w:val="nil"/>
              <w:left w:val="nil"/>
              <w:bottom w:val="nil"/>
              <w:right w:val="nil"/>
            </w:tcBorders>
            <w:shd w:val="clear" w:color="000000" w:fill="1D4BB3"/>
            <w:noWrap/>
            <w:vAlign w:val="bottom"/>
            <w:hideMark/>
          </w:tcPr>
          <w:p w14:paraId="262030BF" w14:textId="77777777" w:rsidR="00A360DB" w:rsidRPr="00A360DB" w:rsidRDefault="00A360DB" w:rsidP="00A360DB">
            <w:pPr>
              <w:spacing w:after="0" w:line="240" w:lineRule="auto"/>
              <w:rPr>
                <w:rFonts w:ascii="Arial" w:hAnsi="Arial" w:cs="Arial"/>
                <w:b/>
                <w:bCs/>
                <w:color w:val="FFFFFF"/>
                <w:sz w:val="18"/>
                <w:szCs w:val="18"/>
                <w:lang w:eastAsia="hr-HR"/>
              </w:rPr>
            </w:pPr>
            <w:r w:rsidRPr="00A360DB">
              <w:rPr>
                <w:rFonts w:ascii="Arial" w:hAnsi="Arial" w:cs="Arial"/>
                <w:b/>
                <w:bCs/>
                <w:color w:val="FFFFFF"/>
                <w:sz w:val="18"/>
                <w:szCs w:val="18"/>
                <w:lang w:eastAsia="hr-HR"/>
              </w:rPr>
              <w:t>1008</w:t>
            </w:r>
          </w:p>
        </w:tc>
        <w:tc>
          <w:tcPr>
            <w:tcW w:w="8509" w:type="dxa"/>
            <w:tcBorders>
              <w:top w:val="nil"/>
              <w:left w:val="nil"/>
              <w:bottom w:val="nil"/>
              <w:right w:val="nil"/>
            </w:tcBorders>
            <w:shd w:val="clear" w:color="000000" w:fill="1D4BB3"/>
            <w:noWrap/>
            <w:vAlign w:val="bottom"/>
            <w:hideMark/>
          </w:tcPr>
          <w:p w14:paraId="3BFAD0CD" w14:textId="77777777" w:rsidR="00A360DB" w:rsidRPr="00A360DB" w:rsidRDefault="00A360DB" w:rsidP="00A360DB">
            <w:pPr>
              <w:spacing w:after="0" w:line="240" w:lineRule="auto"/>
              <w:rPr>
                <w:rFonts w:ascii="Arial" w:hAnsi="Arial" w:cs="Arial"/>
                <w:b/>
                <w:bCs/>
                <w:color w:val="FFFFFF"/>
                <w:sz w:val="18"/>
                <w:szCs w:val="18"/>
                <w:lang w:eastAsia="hr-HR"/>
              </w:rPr>
            </w:pPr>
            <w:r w:rsidRPr="00A360DB">
              <w:rPr>
                <w:rFonts w:ascii="Arial" w:hAnsi="Arial" w:cs="Arial"/>
                <w:b/>
                <w:bCs/>
                <w:color w:val="FFFFFF"/>
                <w:sz w:val="18"/>
                <w:szCs w:val="18"/>
                <w:lang w:eastAsia="hr-HR"/>
              </w:rPr>
              <w:t>Program: Javne potrebe u sportu</w:t>
            </w:r>
          </w:p>
        </w:tc>
        <w:tc>
          <w:tcPr>
            <w:tcW w:w="1480" w:type="dxa"/>
            <w:tcBorders>
              <w:top w:val="nil"/>
              <w:left w:val="nil"/>
              <w:bottom w:val="nil"/>
              <w:right w:val="nil"/>
            </w:tcBorders>
            <w:shd w:val="clear" w:color="000000" w:fill="1D4BB3"/>
            <w:noWrap/>
            <w:vAlign w:val="bottom"/>
            <w:hideMark/>
          </w:tcPr>
          <w:p w14:paraId="202911E8"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161.500,00</w:t>
            </w:r>
          </w:p>
        </w:tc>
        <w:tc>
          <w:tcPr>
            <w:tcW w:w="1380" w:type="dxa"/>
            <w:tcBorders>
              <w:top w:val="nil"/>
              <w:left w:val="nil"/>
              <w:bottom w:val="nil"/>
              <w:right w:val="nil"/>
            </w:tcBorders>
            <w:shd w:val="clear" w:color="000000" w:fill="1D4BB3"/>
            <w:noWrap/>
            <w:vAlign w:val="bottom"/>
            <w:hideMark/>
          </w:tcPr>
          <w:p w14:paraId="62A0A50E"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160.680,00</w:t>
            </w:r>
          </w:p>
        </w:tc>
        <w:tc>
          <w:tcPr>
            <w:tcW w:w="1400" w:type="dxa"/>
            <w:tcBorders>
              <w:top w:val="nil"/>
              <w:left w:val="nil"/>
              <w:bottom w:val="nil"/>
              <w:right w:val="nil"/>
            </w:tcBorders>
            <w:shd w:val="clear" w:color="000000" w:fill="1D4BB3"/>
            <w:noWrap/>
            <w:vAlign w:val="bottom"/>
            <w:hideMark/>
          </w:tcPr>
          <w:p w14:paraId="47E8F7A2"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99,49%</w:t>
            </w:r>
          </w:p>
        </w:tc>
      </w:tr>
      <w:tr w:rsidR="00A360DB" w:rsidRPr="00A360DB" w14:paraId="26FBA9A0" w14:textId="77777777" w:rsidTr="00A360DB">
        <w:trPr>
          <w:trHeight w:val="240"/>
        </w:trPr>
        <w:tc>
          <w:tcPr>
            <w:tcW w:w="1697" w:type="dxa"/>
            <w:tcBorders>
              <w:top w:val="nil"/>
              <w:left w:val="nil"/>
              <w:bottom w:val="nil"/>
              <w:right w:val="nil"/>
            </w:tcBorders>
            <w:shd w:val="clear" w:color="000000" w:fill="B4C6E7"/>
            <w:noWrap/>
            <w:vAlign w:val="bottom"/>
            <w:hideMark/>
          </w:tcPr>
          <w:p w14:paraId="351F4434"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A100801</w:t>
            </w:r>
          </w:p>
        </w:tc>
        <w:tc>
          <w:tcPr>
            <w:tcW w:w="8509" w:type="dxa"/>
            <w:tcBorders>
              <w:top w:val="nil"/>
              <w:left w:val="nil"/>
              <w:bottom w:val="nil"/>
              <w:right w:val="nil"/>
            </w:tcBorders>
            <w:shd w:val="clear" w:color="000000" w:fill="B4C6E7"/>
            <w:noWrap/>
            <w:vAlign w:val="bottom"/>
            <w:hideMark/>
          </w:tcPr>
          <w:p w14:paraId="0B883C8F"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Djelatnost sportske zajednice</w:t>
            </w:r>
          </w:p>
        </w:tc>
        <w:tc>
          <w:tcPr>
            <w:tcW w:w="1480" w:type="dxa"/>
            <w:tcBorders>
              <w:top w:val="nil"/>
              <w:left w:val="nil"/>
              <w:bottom w:val="nil"/>
              <w:right w:val="nil"/>
            </w:tcBorders>
            <w:shd w:val="clear" w:color="000000" w:fill="B4C6E7"/>
            <w:noWrap/>
            <w:vAlign w:val="bottom"/>
            <w:hideMark/>
          </w:tcPr>
          <w:p w14:paraId="0488003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115.000,00</w:t>
            </w:r>
          </w:p>
        </w:tc>
        <w:tc>
          <w:tcPr>
            <w:tcW w:w="1380" w:type="dxa"/>
            <w:tcBorders>
              <w:top w:val="nil"/>
              <w:left w:val="nil"/>
              <w:bottom w:val="nil"/>
              <w:right w:val="nil"/>
            </w:tcBorders>
            <w:shd w:val="clear" w:color="000000" w:fill="B4C6E7"/>
            <w:noWrap/>
            <w:vAlign w:val="bottom"/>
            <w:hideMark/>
          </w:tcPr>
          <w:p w14:paraId="707DBFC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115.000,00</w:t>
            </w:r>
          </w:p>
        </w:tc>
        <w:tc>
          <w:tcPr>
            <w:tcW w:w="1400" w:type="dxa"/>
            <w:tcBorders>
              <w:top w:val="nil"/>
              <w:left w:val="nil"/>
              <w:bottom w:val="nil"/>
              <w:right w:val="nil"/>
            </w:tcBorders>
            <w:shd w:val="clear" w:color="000000" w:fill="B4C6E7"/>
            <w:noWrap/>
            <w:vAlign w:val="bottom"/>
            <w:hideMark/>
          </w:tcPr>
          <w:p w14:paraId="2334430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r>
      <w:tr w:rsidR="00A360DB" w:rsidRPr="00A360DB" w14:paraId="18D55D4F"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1FA7294E"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6AE8686E"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115.000,00</w:t>
            </w:r>
          </w:p>
        </w:tc>
        <w:tc>
          <w:tcPr>
            <w:tcW w:w="1380" w:type="dxa"/>
            <w:tcBorders>
              <w:top w:val="nil"/>
              <w:left w:val="nil"/>
              <w:bottom w:val="nil"/>
              <w:right w:val="nil"/>
            </w:tcBorders>
            <w:shd w:val="clear" w:color="auto" w:fill="auto"/>
            <w:noWrap/>
            <w:vAlign w:val="bottom"/>
            <w:hideMark/>
          </w:tcPr>
          <w:p w14:paraId="70FB2EA8"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115.000,00</w:t>
            </w:r>
          </w:p>
        </w:tc>
        <w:tc>
          <w:tcPr>
            <w:tcW w:w="1400" w:type="dxa"/>
            <w:tcBorders>
              <w:top w:val="nil"/>
              <w:left w:val="nil"/>
              <w:bottom w:val="nil"/>
              <w:right w:val="nil"/>
            </w:tcBorders>
            <w:shd w:val="clear" w:color="auto" w:fill="auto"/>
            <w:noWrap/>
            <w:vAlign w:val="bottom"/>
            <w:hideMark/>
          </w:tcPr>
          <w:p w14:paraId="6F39D60B"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w:t>
            </w:r>
          </w:p>
        </w:tc>
      </w:tr>
      <w:tr w:rsidR="00A360DB" w:rsidRPr="00A360DB" w14:paraId="200A0696"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C69562C"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001BB1DA"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115.000,00</w:t>
            </w:r>
          </w:p>
        </w:tc>
        <w:tc>
          <w:tcPr>
            <w:tcW w:w="1380" w:type="dxa"/>
            <w:tcBorders>
              <w:top w:val="nil"/>
              <w:left w:val="nil"/>
              <w:bottom w:val="nil"/>
              <w:right w:val="nil"/>
            </w:tcBorders>
            <w:shd w:val="clear" w:color="auto" w:fill="auto"/>
            <w:noWrap/>
            <w:vAlign w:val="bottom"/>
            <w:hideMark/>
          </w:tcPr>
          <w:p w14:paraId="41829FD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115.000,00</w:t>
            </w:r>
          </w:p>
        </w:tc>
        <w:tc>
          <w:tcPr>
            <w:tcW w:w="1400" w:type="dxa"/>
            <w:tcBorders>
              <w:top w:val="nil"/>
              <w:left w:val="nil"/>
              <w:bottom w:val="nil"/>
              <w:right w:val="nil"/>
            </w:tcBorders>
            <w:shd w:val="clear" w:color="auto" w:fill="auto"/>
            <w:noWrap/>
            <w:vAlign w:val="bottom"/>
            <w:hideMark/>
          </w:tcPr>
          <w:p w14:paraId="4B3A8B97"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w:t>
            </w:r>
          </w:p>
        </w:tc>
      </w:tr>
      <w:tr w:rsidR="00A360DB" w:rsidRPr="00A360DB" w14:paraId="2B182559" w14:textId="77777777" w:rsidTr="00A360DB">
        <w:trPr>
          <w:trHeight w:val="240"/>
        </w:trPr>
        <w:tc>
          <w:tcPr>
            <w:tcW w:w="1697" w:type="dxa"/>
            <w:tcBorders>
              <w:top w:val="nil"/>
              <w:left w:val="nil"/>
              <w:bottom w:val="nil"/>
              <w:right w:val="nil"/>
            </w:tcBorders>
            <w:shd w:val="clear" w:color="auto" w:fill="auto"/>
            <w:noWrap/>
            <w:vAlign w:val="bottom"/>
            <w:hideMark/>
          </w:tcPr>
          <w:p w14:paraId="3BAB5D18"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38</w:t>
            </w:r>
          </w:p>
        </w:tc>
        <w:tc>
          <w:tcPr>
            <w:tcW w:w="8509" w:type="dxa"/>
            <w:tcBorders>
              <w:top w:val="nil"/>
              <w:left w:val="nil"/>
              <w:bottom w:val="nil"/>
              <w:right w:val="nil"/>
            </w:tcBorders>
            <w:shd w:val="clear" w:color="auto" w:fill="auto"/>
            <w:noWrap/>
            <w:vAlign w:val="bottom"/>
            <w:hideMark/>
          </w:tcPr>
          <w:p w14:paraId="381F28D4"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Ostali rashodi                                                                                      </w:t>
            </w:r>
          </w:p>
        </w:tc>
        <w:tc>
          <w:tcPr>
            <w:tcW w:w="1480" w:type="dxa"/>
            <w:tcBorders>
              <w:top w:val="nil"/>
              <w:left w:val="nil"/>
              <w:bottom w:val="nil"/>
              <w:right w:val="nil"/>
            </w:tcBorders>
            <w:shd w:val="clear" w:color="auto" w:fill="auto"/>
            <w:noWrap/>
            <w:vAlign w:val="bottom"/>
            <w:hideMark/>
          </w:tcPr>
          <w:p w14:paraId="1E6E0EF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115.000,00</w:t>
            </w:r>
          </w:p>
        </w:tc>
        <w:tc>
          <w:tcPr>
            <w:tcW w:w="1380" w:type="dxa"/>
            <w:tcBorders>
              <w:top w:val="nil"/>
              <w:left w:val="nil"/>
              <w:bottom w:val="nil"/>
              <w:right w:val="nil"/>
            </w:tcBorders>
            <w:shd w:val="clear" w:color="auto" w:fill="auto"/>
            <w:noWrap/>
            <w:vAlign w:val="bottom"/>
            <w:hideMark/>
          </w:tcPr>
          <w:p w14:paraId="7F407A7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115.000,00</w:t>
            </w:r>
          </w:p>
        </w:tc>
        <w:tc>
          <w:tcPr>
            <w:tcW w:w="1400" w:type="dxa"/>
            <w:tcBorders>
              <w:top w:val="nil"/>
              <w:left w:val="nil"/>
              <w:bottom w:val="nil"/>
              <w:right w:val="nil"/>
            </w:tcBorders>
            <w:shd w:val="clear" w:color="auto" w:fill="auto"/>
            <w:noWrap/>
            <w:vAlign w:val="bottom"/>
            <w:hideMark/>
          </w:tcPr>
          <w:p w14:paraId="67A7CAB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r>
      <w:tr w:rsidR="00A360DB" w:rsidRPr="00A360DB" w14:paraId="4AEAEA22" w14:textId="77777777" w:rsidTr="00A360DB">
        <w:trPr>
          <w:trHeight w:val="240"/>
        </w:trPr>
        <w:tc>
          <w:tcPr>
            <w:tcW w:w="1697" w:type="dxa"/>
            <w:tcBorders>
              <w:top w:val="nil"/>
              <w:left w:val="nil"/>
              <w:bottom w:val="nil"/>
              <w:right w:val="nil"/>
            </w:tcBorders>
            <w:shd w:val="clear" w:color="auto" w:fill="auto"/>
            <w:noWrap/>
            <w:vAlign w:val="bottom"/>
            <w:hideMark/>
          </w:tcPr>
          <w:p w14:paraId="585D8585"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3811</w:t>
            </w:r>
          </w:p>
        </w:tc>
        <w:tc>
          <w:tcPr>
            <w:tcW w:w="8509" w:type="dxa"/>
            <w:tcBorders>
              <w:top w:val="nil"/>
              <w:left w:val="nil"/>
              <w:bottom w:val="nil"/>
              <w:right w:val="nil"/>
            </w:tcBorders>
            <w:shd w:val="clear" w:color="auto" w:fill="auto"/>
            <w:noWrap/>
            <w:vAlign w:val="bottom"/>
            <w:hideMark/>
          </w:tcPr>
          <w:p w14:paraId="16D8366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Tekuće donacije u novcu                                                                             </w:t>
            </w:r>
          </w:p>
        </w:tc>
        <w:tc>
          <w:tcPr>
            <w:tcW w:w="1480" w:type="dxa"/>
            <w:tcBorders>
              <w:top w:val="nil"/>
              <w:left w:val="nil"/>
              <w:bottom w:val="nil"/>
              <w:right w:val="nil"/>
            </w:tcBorders>
            <w:shd w:val="clear" w:color="auto" w:fill="auto"/>
            <w:noWrap/>
            <w:vAlign w:val="bottom"/>
            <w:hideMark/>
          </w:tcPr>
          <w:p w14:paraId="7FAAF2C3"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5C3026A3"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115.000,00</w:t>
            </w:r>
          </w:p>
        </w:tc>
        <w:tc>
          <w:tcPr>
            <w:tcW w:w="1400" w:type="dxa"/>
            <w:tcBorders>
              <w:top w:val="nil"/>
              <w:left w:val="nil"/>
              <w:bottom w:val="nil"/>
              <w:right w:val="nil"/>
            </w:tcBorders>
            <w:shd w:val="clear" w:color="auto" w:fill="auto"/>
            <w:noWrap/>
            <w:vAlign w:val="bottom"/>
            <w:hideMark/>
          </w:tcPr>
          <w:p w14:paraId="3E472889"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54764373" w14:textId="77777777" w:rsidTr="00A360DB">
        <w:trPr>
          <w:trHeight w:val="240"/>
        </w:trPr>
        <w:tc>
          <w:tcPr>
            <w:tcW w:w="1697" w:type="dxa"/>
            <w:tcBorders>
              <w:top w:val="nil"/>
              <w:left w:val="nil"/>
              <w:bottom w:val="nil"/>
              <w:right w:val="nil"/>
            </w:tcBorders>
            <w:shd w:val="clear" w:color="000000" w:fill="B4C6E7"/>
            <w:noWrap/>
            <w:vAlign w:val="bottom"/>
            <w:hideMark/>
          </w:tcPr>
          <w:p w14:paraId="3124F671"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K100802</w:t>
            </w:r>
          </w:p>
        </w:tc>
        <w:tc>
          <w:tcPr>
            <w:tcW w:w="8509" w:type="dxa"/>
            <w:tcBorders>
              <w:top w:val="nil"/>
              <w:left w:val="nil"/>
              <w:bottom w:val="nil"/>
              <w:right w:val="nil"/>
            </w:tcBorders>
            <w:shd w:val="clear" w:color="000000" w:fill="B4C6E7"/>
            <w:noWrap/>
            <w:vAlign w:val="bottom"/>
            <w:hideMark/>
          </w:tcPr>
          <w:p w14:paraId="720F0997"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Kapitalni projekt: Nogometna igrališta</w:t>
            </w:r>
          </w:p>
        </w:tc>
        <w:tc>
          <w:tcPr>
            <w:tcW w:w="1480" w:type="dxa"/>
            <w:tcBorders>
              <w:top w:val="nil"/>
              <w:left w:val="nil"/>
              <w:bottom w:val="nil"/>
              <w:right w:val="nil"/>
            </w:tcBorders>
            <w:shd w:val="clear" w:color="000000" w:fill="B4C6E7"/>
            <w:noWrap/>
            <w:vAlign w:val="bottom"/>
            <w:hideMark/>
          </w:tcPr>
          <w:p w14:paraId="45EFDD1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46.500,00</w:t>
            </w:r>
          </w:p>
        </w:tc>
        <w:tc>
          <w:tcPr>
            <w:tcW w:w="1380" w:type="dxa"/>
            <w:tcBorders>
              <w:top w:val="nil"/>
              <w:left w:val="nil"/>
              <w:bottom w:val="nil"/>
              <w:right w:val="nil"/>
            </w:tcBorders>
            <w:shd w:val="clear" w:color="000000" w:fill="B4C6E7"/>
            <w:noWrap/>
            <w:vAlign w:val="bottom"/>
            <w:hideMark/>
          </w:tcPr>
          <w:p w14:paraId="1E00AEB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45.680,00</w:t>
            </w:r>
          </w:p>
        </w:tc>
        <w:tc>
          <w:tcPr>
            <w:tcW w:w="1400" w:type="dxa"/>
            <w:tcBorders>
              <w:top w:val="nil"/>
              <w:left w:val="nil"/>
              <w:bottom w:val="nil"/>
              <w:right w:val="nil"/>
            </w:tcBorders>
            <w:shd w:val="clear" w:color="000000" w:fill="B4C6E7"/>
            <w:noWrap/>
            <w:vAlign w:val="bottom"/>
            <w:hideMark/>
          </w:tcPr>
          <w:p w14:paraId="1B3B7EA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98,24%</w:t>
            </w:r>
          </w:p>
        </w:tc>
      </w:tr>
      <w:tr w:rsidR="00A360DB" w:rsidRPr="00A360DB" w14:paraId="7FC2111D"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580685DE"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6. Donacije</w:t>
            </w:r>
          </w:p>
        </w:tc>
        <w:tc>
          <w:tcPr>
            <w:tcW w:w="1480" w:type="dxa"/>
            <w:tcBorders>
              <w:top w:val="nil"/>
              <w:left w:val="nil"/>
              <w:bottom w:val="nil"/>
              <w:right w:val="nil"/>
            </w:tcBorders>
            <w:shd w:val="clear" w:color="auto" w:fill="auto"/>
            <w:noWrap/>
            <w:vAlign w:val="bottom"/>
            <w:hideMark/>
          </w:tcPr>
          <w:p w14:paraId="0D4A6F7E"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45.000,00</w:t>
            </w:r>
          </w:p>
        </w:tc>
        <w:tc>
          <w:tcPr>
            <w:tcW w:w="1380" w:type="dxa"/>
            <w:tcBorders>
              <w:top w:val="nil"/>
              <w:left w:val="nil"/>
              <w:bottom w:val="nil"/>
              <w:right w:val="nil"/>
            </w:tcBorders>
            <w:shd w:val="clear" w:color="auto" w:fill="auto"/>
            <w:noWrap/>
            <w:vAlign w:val="bottom"/>
            <w:hideMark/>
          </w:tcPr>
          <w:p w14:paraId="7BA3E01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44.500,00</w:t>
            </w:r>
          </w:p>
        </w:tc>
        <w:tc>
          <w:tcPr>
            <w:tcW w:w="1400" w:type="dxa"/>
            <w:tcBorders>
              <w:top w:val="nil"/>
              <w:left w:val="nil"/>
              <w:bottom w:val="nil"/>
              <w:right w:val="nil"/>
            </w:tcBorders>
            <w:shd w:val="clear" w:color="auto" w:fill="auto"/>
            <w:noWrap/>
            <w:vAlign w:val="bottom"/>
            <w:hideMark/>
          </w:tcPr>
          <w:p w14:paraId="58D85F0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98,89%</w:t>
            </w:r>
          </w:p>
        </w:tc>
      </w:tr>
      <w:tr w:rsidR="00A360DB" w:rsidRPr="00A360DB" w14:paraId="45C79D05"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53177E9E"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6.1. Donacije</w:t>
            </w:r>
          </w:p>
        </w:tc>
        <w:tc>
          <w:tcPr>
            <w:tcW w:w="1480" w:type="dxa"/>
            <w:tcBorders>
              <w:top w:val="nil"/>
              <w:left w:val="nil"/>
              <w:bottom w:val="nil"/>
              <w:right w:val="nil"/>
            </w:tcBorders>
            <w:shd w:val="clear" w:color="auto" w:fill="auto"/>
            <w:noWrap/>
            <w:vAlign w:val="bottom"/>
            <w:hideMark/>
          </w:tcPr>
          <w:p w14:paraId="4761619E"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45.000,00</w:t>
            </w:r>
          </w:p>
        </w:tc>
        <w:tc>
          <w:tcPr>
            <w:tcW w:w="1380" w:type="dxa"/>
            <w:tcBorders>
              <w:top w:val="nil"/>
              <w:left w:val="nil"/>
              <w:bottom w:val="nil"/>
              <w:right w:val="nil"/>
            </w:tcBorders>
            <w:shd w:val="clear" w:color="auto" w:fill="auto"/>
            <w:noWrap/>
            <w:vAlign w:val="bottom"/>
            <w:hideMark/>
          </w:tcPr>
          <w:p w14:paraId="7DEACBA7"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44.500,00</w:t>
            </w:r>
          </w:p>
        </w:tc>
        <w:tc>
          <w:tcPr>
            <w:tcW w:w="1400" w:type="dxa"/>
            <w:tcBorders>
              <w:top w:val="nil"/>
              <w:left w:val="nil"/>
              <w:bottom w:val="nil"/>
              <w:right w:val="nil"/>
            </w:tcBorders>
            <w:shd w:val="clear" w:color="auto" w:fill="auto"/>
            <w:noWrap/>
            <w:vAlign w:val="bottom"/>
            <w:hideMark/>
          </w:tcPr>
          <w:p w14:paraId="3393BD08"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98,89%</w:t>
            </w:r>
          </w:p>
        </w:tc>
      </w:tr>
      <w:tr w:rsidR="00A360DB" w:rsidRPr="00A360DB" w14:paraId="377A44EE" w14:textId="77777777" w:rsidTr="00A360DB">
        <w:trPr>
          <w:trHeight w:val="240"/>
        </w:trPr>
        <w:tc>
          <w:tcPr>
            <w:tcW w:w="1697" w:type="dxa"/>
            <w:tcBorders>
              <w:top w:val="nil"/>
              <w:left w:val="nil"/>
              <w:bottom w:val="nil"/>
              <w:right w:val="nil"/>
            </w:tcBorders>
            <w:shd w:val="clear" w:color="auto" w:fill="auto"/>
            <w:noWrap/>
            <w:vAlign w:val="bottom"/>
            <w:hideMark/>
          </w:tcPr>
          <w:p w14:paraId="15DF9CBD"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42</w:t>
            </w:r>
          </w:p>
        </w:tc>
        <w:tc>
          <w:tcPr>
            <w:tcW w:w="8509" w:type="dxa"/>
            <w:tcBorders>
              <w:top w:val="nil"/>
              <w:left w:val="nil"/>
              <w:bottom w:val="nil"/>
              <w:right w:val="nil"/>
            </w:tcBorders>
            <w:shd w:val="clear" w:color="auto" w:fill="auto"/>
            <w:noWrap/>
            <w:vAlign w:val="bottom"/>
            <w:hideMark/>
          </w:tcPr>
          <w:p w14:paraId="3E8CC2EC"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nabavu proizvedene dugotrajne imovine                                                    </w:t>
            </w:r>
          </w:p>
        </w:tc>
        <w:tc>
          <w:tcPr>
            <w:tcW w:w="1480" w:type="dxa"/>
            <w:tcBorders>
              <w:top w:val="nil"/>
              <w:left w:val="nil"/>
              <w:bottom w:val="nil"/>
              <w:right w:val="nil"/>
            </w:tcBorders>
            <w:shd w:val="clear" w:color="auto" w:fill="auto"/>
            <w:noWrap/>
            <w:vAlign w:val="bottom"/>
            <w:hideMark/>
          </w:tcPr>
          <w:p w14:paraId="391E9D6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45.000,00</w:t>
            </w:r>
          </w:p>
        </w:tc>
        <w:tc>
          <w:tcPr>
            <w:tcW w:w="1380" w:type="dxa"/>
            <w:tcBorders>
              <w:top w:val="nil"/>
              <w:left w:val="nil"/>
              <w:bottom w:val="nil"/>
              <w:right w:val="nil"/>
            </w:tcBorders>
            <w:shd w:val="clear" w:color="auto" w:fill="auto"/>
            <w:noWrap/>
            <w:vAlign w:val="bottom"/>
            <w:hideMark/>
          </w:tcPr>
          <w:p w14:paraId="6689E8D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44.500,00</w:t>
            </w:r>
          </w:p>
        </w:tc>
        <w:tc>
          <w:tcPr>
            <w:tcW w:w="1400" w:type="dxa"/>
            <w:tcBorders>
              <w:top w:val="nil"/>
              <w:left w:val="nil"/>
              <w:bottom w:val="nil"/>
              <w:right w:val="nil"/>
            </w:tcBorders>
            <w:shd w:val="clear" w:color="auto" w:fill="auto"/>
            <w:noWrap/>
            <w:vAlign w:val="bottom"/>
            <w:hideMark/>
          </w:tcPr>
          <w:p w14:paraId="53B73BB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98,89%</w:t>
            </w:r>
          </w:p>
        </w:tc>
      </w:tr>
      <w:tr w:rsidR="00A360DB" w:rsidRPr="00A360DB" w14:paraId="282575B8" w14:textId="77777777" w:rsidTr="00A360DB">
        <w:trPr>
          <w:trHeight w:val="240"/>
        </w:trPr>
        <w:tc>
          <w:tcPr>
            <w:tcW w:w="1697" w:type="dxa"/>
            <w:tcBorders>
              <w:top w:val="nil"/>
              <w:left w:val="nil"/>
              <w:bottom w:val="nil"/>
              <w:right w:val="nil"/>
            </w:tcBorders>
            <w:shd w:val="clear" w:color="auto" w:fill="auto"/>
            <w:noWrap/>
            <w:vAlign w:val="bottom"/>
            <w:hideMark/>
          </w:tcPr>
          <w:p w14:paraId="68B31E7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4214</w:t>
            </w:r>
          </w:p>
        </w:tc>
        <w:tc>
          <w:tcPr>
            <w:tcW w:w="8509" w:type="dxa"/>
            <w:tcBorders>
              <w:top w:val="nil"/>
              <w:left w:val="nil"/>
              <w:bottom w:val="nil"/>
              <w:right w:val="nil"/>
            </w:tcBorders>
            <w:shd w:val="clear" w:color="auto" w:fill="auto"/>
            <w:noWrap/>
            <w:vAlign w:val="bottom"/>
            <w:hideMark/>
          </w:tcPr>
          <w:p w14:paraId="3AA4004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Ostali građevinski objekti                                                                          </w:t>
            </w:r>
          </w:p>
        </w:tc>
        <w:tc>
          <w:tcPr>
            <w:tcW w:w="1480" w:type="dxa"/>
            <w:tcBorders>
              <w:top w:val="nil"/>
              <w:left w:val="nil"/>
              <w:bottom w:val="nil"/>
              <w:right w:val="nil"/>
            </w:tcBorders>
            <w:shd w:val="clear" w:color="auto" w:fill="auto"/>
            <w:noWrap/>
            <w:vAlign w:val="bottom"/>
            <w:hideMark/>
          </w:tcPr>
          <w:p w14:paraId="40AAE60D"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7486726"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44.500,00</w:t>
            </w:r>
          </w:p>
        </w:tc>
        <w:tc>
          <w:tcPr>
            <w:tcW w:w="1400" w:type="dxa"/>
            <w:tcBorders>
              <w:top w:val="nil"/>
              <w:left w:val="nil"/>
              <w:bottom w:val="nil"/>
              <w:right w:val="nil"/>
            </w:tcBorders>
            <w:shd w:val="clear" w:color="auto" w:fill="auto"/>
            <w:noWrap/>
            <w:vAlign w:val="bottom"/>
            <w:hideMark/>
          </w:tcPr>
          <w:p w14:paraId="2FAA0242"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21E80C1D"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021E238"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9. Višak iz prethodnih razdoblja</w:t>
            </w:r>
          </w:p>
        </w:tc>
        <w:tc>
          <w:tcPr>
            <w:tcW w:w="1480" w:type="dxa"/>
            <w:tcBorders>
              <w:top w:val="nil"/>
              <w:left w:val="nil"/>
              <w:bottom w:val="nil"/>
              <w:right w:val="nil"/>
            </w:tcBorders>
            <w:shd w:val="clear" w:color="auto" w:fill="auto"/>
            <w:noWrap/>
            <w:vAlign w:val="bottom"/>
            <w:hideMark/>
          </w:tcPr>
          <w:p w14:paraId="6EF05808"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1.500,00</w:t>
            </w:r>
          </w:p>
        </w:tc>
        <w:tc>
          <w:tcPr>
            <w:tcW w:w="1380" w:type="dxa"/>
            <w:tcBorders>
              <w:top w:val="nil"/>
              <w:left w:val="nil"/>
              <w:bottom w:val="nil"/>
              <w:right w:val="nil"/>
            </w:tcBorders>
            <w:shd w:val="clear" w:color="auto" w:fill="auto"/>
            <w:noWrap/>
            <w:vAlign w:val="bottom"/>
            <w:hideMark/>
          </w:tcPr>
          <w:p w14:paraId="156E1502"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1.180,00</w:t>
            </w:r>
          </w:p>
        </w:tc>
        <w:tc>
          <w:tcPr>
            <w:tcW w:w="1400" w:type="dxa"/>
            <w:tcBorders>
              <w:top w:val="nil"/>
              <w:left w:val="nil"/>
              <w:bottom w:val="nil"/>
              <w:right w:val="nil"/>
            </w:tcBorders>
            <w:shd w:val="clear" w:color="auto" w:fill="auto"/>
            <w:noWrap/>
            <w:vAlign w:val="bottom"/>
            <w:hideMark/>
          </w:tcPr>
          <w:p w14:paraId="3B28A8FF"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78,67%</w:t>
            </w:r>
          </w:p>
        </w:tc>
      </w:tr>
      <w:tr w:rsidR="00A360DB" w:rsidRPr="00A360DB" w14:paraId="26371664"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5E258754"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9.2. Višak iz prethodnih godina - Grad</w:t>
            </w:r>
          </w:p>
        </w:tc>
        <w:tc>
          <w:tcPr>
            <w:tcW w:w="1480" w:type="dxa"/>
            <w:tcBorders>
              <w:top w:val="nil"/>
              <w:left w:val="nil"/>
              <w:bottom w:val="nil"/>
              <w:right w:val="nil"/>
            </w:tcBorders>
            <w:shd w:val="clear" w:color="auto" w:fill="auto"/>
            <w:noWrap/>
            <w:vAlign w:val="bottom"/>
            <w:hideMark/>
          </w:tcPr>
          <w:p w14:paraId="60C596B4"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1.500,00</w:t>
            </w:r>
          </w:p>
        </w:tc>
        <w:tc>
          <w:tcPr>
            <w:tcW w:w="1380" w:type="dxa"/>
            <w:tcBorders>
              <w:top w:val="nil"/>
              <w:left w:val="nil"/>
              <w:bottom w:val="nil"/>
              <w:right w:val="nil"/>
            </w:tcBorders>
            <w:shd w:val="clear" w:color="auto" w:fill="auto"/>
            <w:noWrap/>
            <w:vAlign w:val="bottom"/>
            <w:hideMark/>
          </w:tcPr>
          <w:p w14:paraId="17335488"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1.180,00</w:t>
            </w:r>
          </w:p>
        </w:tc>
        <w:tc>
          <w:tcPr>
            <w:tcW w:w="1400" w:type="dxa"/>
            <w:tcBorders>
              <w:top w:val="nil"/>
              <w:left w:val="nil"/>
              <w:bottom w:val="nil"/>
              <w:right w:val="nil"/>
            </w:tcBorders>
            <w:shd w:val="clear" w:color="auto" w:fill="auto"/>
            <w:noWrap/>
            <w:vAlign w:val="bottom"/>
            <w:hideMark/>
          </w:tcPr>
          <w:p w14:paraId="273E906B"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78,67%</w:t>
            </w:r>
          </w:p>
        </w:tc>
      </w:tr>
      <w:tr w:rsidR="00A360DB" w:rsidRPr="00A360DB" w14:paraId="645521A2" w14:textId="77777777" w:rsidTr="00A360DB">
        <w:trPr>
          <w:trHeight w:val="240"/>
        </w:trPr>
        <w:tc>
          <w:tcPr>
            <w:tcW w:w="1697" w:type="dxa"/>
            <w:tcBorders>
              <w:top w:val="nil"/>
              <w:left w:val="nil"/>
              <w:bottom w:val="nil"/>
              <w:right w:val="nil"/>
            </w:tcBorders>
            <w:shd w:val="clear" w:color="auto" w:fill="auto"/>
            <w:noWrap/>
            <w:vAlign w:val="bottom"/>
            <w:hideMark/>
          </w:tcPr>
          <w:p w14:paraId="2A62B2AD"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42</w:t>
            </w:r>
          </w:p>
        </w:tc>
        <w:tc>
          <w:tcPr>
            <w:tcW w:w="8509" w:type="dxa"/>
            <w:tcBorders>
              <w:top w:val="nil"/>
              <w:left w:val="nil"/>
              <w:bottom w:val="nil"/>
              <w:right w:val="nil"/>
            </w:tcBorders>
            <w:shd w:val="clear" w:color="auto" w:fill="auto"/>
            <w:noWrap/>
            <w:vAlign w:val="bottom"/>
            <w:hideMark/>
          </w:tcPr>
          <w:p w14:paraId="276D611A"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nabavu proizvedene dugotrajne imovine                                                    </w:t>
            </w:r>
          </w:p>
        </w:tc>
        <w:tc>
          <w:tcPr>
            <w:tcW w:w="1480" w:type="dxa"/>
            <w:tcBorders>
              <w:top w:val="nil"/>
              <w:left w:val="nil"/>
              <w:bottom w:val="nil"/>
              <w:right w:val="nil"/>
            </w:tcBorders>
            <w:shd w:val="clear" w:color="auto" w:fill="auto"/>
            <w:noWrap/>
            <w:vAlign w:val="bottom"/>
            <w:hideMark/>
          </w:tcPr>
          <w:p w14:paraId="2A32FC8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1.500,00</w:t>
            </w:r>
          </w:p>
        </w:tc>
        <w:tc>
          <w:tcPr>
            <w:tcW w:w="1380" w:type="dxa"/>
            <w:tcBorders>
              <w:top w:val="nil"/>
              <w:left w:val="nil"/>
              <w:bottom w:val="nil"/>
              <w:right w:val="nil"/>
            </w:tcBorders>
            <w:shd w:val="clear" w:color="auto" w:fill="auto"/>
            <w:noWrap/>
            <w:vAlign w:val="bottom"/>
            <w:hideMark/>
          </w:tcPr>
          <w:p w14:paraId="010DEDC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1.180,00</w:t>
            </w:r>
          </w:p>
        </w:tc>
        <w:tc>
          <w:tcPr>
            <w:tcW w:w="1400" w:type="dxa"/>
            <w:tcBorders>
              <w:top w:val="nil"/>
              <w:left w:val="nil"/>
              <w:bottom w:val="nil"/>
              <w:right w:val="nil"/>
            </w:tcBorders>
            <w:shd w:val="clear" w:color="auto" w:fill="auto"/>
            <w:noWrap/>
            <w:vAlign w:val="bottom"/>
            <w:hideMark/>
          </w:tcPr>
          <w:p w14:paraId="0E68C4D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78,67%</w:t>
            </w:r>
          </w:p>
        </w:tc>
      </w:tr>
      <w:tr w:rsidR="00A360DB" w:rsidRPr="00A360DB" w14:paraId="2F45F434" w14:textId="77777777" w:rsidTr="00A360DB">
        <w:trPr>
          <w:trHeight w:val="240"/>
        </w:trPr>
        <w:tc>
          <w:tcPr>
            <w:tcW w:w="1697" w:type="dxa"/>
            <w:tcBorders>
              <w:top w:val="nil"/>
              <w:left w:val="nil"/>
              <w:bottom w:val="nil"/>
              <w:right w:val="nil"/>
            </w:tcBorders>
            <w:shd w:val="clear" w:color="auto" w:fill="auto"/>
            <w:noWrap/>
            <w:vAlign w:val="bottom"/>
            <w:hideMark/>
          </w:tcPr>
          <w:p w14:paraId="30F836E8"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4214</w:t>
            </w:r>
          </w:p>
        </w:tc>
        <w:tc>
          <w:tcPr>
            <w:tcW w:w="8509" w:type="dxa"/>
            <w:tcBorders>
              <w:top w:val="nil"/>
              <w:left w:val="nil"/>
              <w:bottom w:val="nil"/>
              <w:right w:val="nil"/>
            </w:tcBorders>
            <w:shd w:val="clear" w:color="auto" w:fill="auto"/>
            <w:noWrap/>
            <w:vAlign w:val="bottom"/>
            <w:hideMark/>
          </w:tcPr>
          <w:p w14:paraId="3D5F256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Ostali građevinski objekti                                                                          </w:t>
            </w:r>
          </w:p>
        </w:tc>
        <w:tc>
          <w:tcPr>
            <w:tcW w:w="1480" w:type="dxa"/>
            <w:tcBorders>
              <w:top w:val="nil"/>
              <w:left w:val="nil"/>
              <w:bottom w:val="nil"/>
              <w:right w:val="nil"/>
            </w:tcBorders>
            <w:shd w:val="clear" w:color="auto" w:fill="auto"/>
            <w:noWrap/>
            <w:vAlign w:val="bottom"/>
            <w:hideMark/>
          </w:tcPr>
          <w:p w14:paraId="062B4A20"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5C74F58"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1.180,00</w:t>
            </w:r>
          </w:p>
        </w:tc>
        <w:tc>
          <w:tcPr>
            <w:tcW w:w="1400" w:type="dxa"/>
            <w:tcBorders>
              <w:top w:val="nil"/>
              <w:left w:val="nil"/>
              <w:bottom w:val="nil"/>
              <w:right w:val="nil"/>
            </w:tcBorders>
            <w:shd w:val="clear" w:color="auto" w:fill="auto"/>
            <w:noWrap/>
            <w:vAlign w:val="bottom"/>
            <w:hideMark/>
          </w:tcPr>
          <w:p w14:paraId="0A3BB2C5"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46607B0" w14:textId="77777777" w:rsidTr="00A360DB">
        <w:trPr>
          <w:trHeight w:val="240"/>
        </w:trPr>
        <w:tc>
          <w:tcPr>
            <w:tcW w:w="1697" w:type="dxa"/>
            <w:tcBorders>
              <w:top w:val="nil"/>
              <w:left w:val="nil"/>
              <w:bottom w:val="nil"/>
              <w:right w:val="nil"/>
            </w:tcBorders>
            <w:shd w:val="clear" w:color="000000" w:fill="1D4BB3"/>
            <w:noWrap/>
            <w:vAlign w:val="bottom"/>
            <w:hideMark/>
          </w:tcPr>
          <w:p w14:paraId="29B6310E" w14:textId="77777777" w:rsidR="00A360DB" w:rsidRPr="00A360DB" w:rsidRDefault="00A360DB" w:rsidP="00A360DB">
            <w:pPr>
              <w:spacing w:after="0" w:line="240" w:lineRule="auto"/>
              <w:rPr>
                <w:rFonts w:ascii="Arial" w:hAnsi="Arial" w:cs="Arial"/>
                <w:b/>
                <w:bCs/>
                <w:color w:val="FFFFFF"/>
                <w:sz w:val="18"/>
                <w:szCs w:val="18"/>
                <w:lang w:eastAsia="hr-HR"/>
              </w:rPr>
            </w:pPr>
            <w:r w:rsidRPr="00A360DB">
              <w:rPr>
                <w:rFonts w:ascii="Arial" w:hAnsi="Arial" w:cs="Arial"/>
                <w:b/>
                <w:bCs/>
                <w:color w:val="FFFFFF"/>
                <w:sz w:val="18"/>
                <w:szCs w:val="18"/>
                <w:lang w:eastAsia="hr-HR"/>
              </w:rPr>
              <w:t>1013</w:t>
            </w:r>
          </w:p>
        </w:tc>
        <w:tc>
          <w:tcPr>
            <w:tcW w:w="8509" w:type="dxa"/>
            <w:tcBorders>
              <w:top w:val="nil"/>
              <w:left w:val="nil"/>
              <w:bottom w:val="nil"/>
              <w:right w:val="nil"/>
            </w:tcBorders>
            <w:shd w:val="clear" w:color="000000" w:fill="1D4BB3"/>
            <w:noWrap/>
            <w:vAlign w:val="bottom"/>
            <w:hideMark/>
          </w:tcPr>
          <w:p w14:paraId="4D84A879" w14:textId="77777777" w:rsidR="00A360DB" w:rsidRPr="00A360DB" w:rsidRDefault="00A360DB" w:rsidP="00A360DB">
            <w:pPr>
              <w:spacing w:after="0" w:line="240" w:lineRule="auto"/>
              <w:rPr>
                <w:rFonts w:ascii="Arial" w:hAnsi="Arial" w:cs="Arial"/>
                <w:b/>
                <w:bCs/>
                <w:color w:val="FFFFFF"/>
                <w:sz w:val="18"/>
                <w:szCs w:val="18"/>
                <w:lang w:eastAsia="hr-HR"/>
              </w:rPr>
            </w:pPr>
            <w:r w:rsidRPr="00A360DB">
              <w:rPr>
                <w:rFonts w:ascii="Arial" w:hAnsi="Arial" w:cs="Arial"/>
                <w:b/>
                <w:bCs/>
                <w:color w:val="FFFFFF"/>
                <w:sz w:val="18"/>
                <w:szCs w:val="18"/>
                <w:lang w:eastAsia="hr-HR"/>
              </w:rPr>
              <w:t>Program: Javne potrebe u zdravstvu</w:t>
            </w:r>
          </w:p>
        </w:tc>
        <w:tc>
          <w:tcPr>
            <w:tcW w:w="1480" w:type="dxa"/>
            <w:tcBorders>
              <w:top w:val="nil"/>
              <w:left w:val="nil"/>
              <w:bottom w:val="nil"/>
              <w:right w:val="nil"/>
            </w:tcBorders>
            <w:shd w:val="clear" w:color="000000" w:fill="1D4BB3"/>
            <w:noWrap/>
            <w:vAlign w:val="bottom"/>
            <w:hideMark/>
          </w:tcPr>
          <w:p w14:paraId="7540013F"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7.150,00</w:t>
            </w:r>
          </w:p>
        </w:tc>
        <w:tc>
          <w:tcPr>
            <w:tcW w:w="1380" w:type="dxa"/>
            <w:tcBorders>
              <w:top w:val="nil"/>
              <w:left w:val="nil"/>
              <w:bottom w:val="nil"/>
              <w:right w:val="nil"/>
            </w:tcBorders>
            <w:shd w:val="clear" w:color="000000" w:fill="1D4BB3"/>
            <w:noWrap/>
            <w:vAlign w:val="bottom"/>
            <w:hideMark/>
          </w:tcPr>
          <w:p w14:paraId="337CBF2E"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6.135,50</w:t>
            </w:r>
          </w:p>
        </w:tc>
        <w:tc>
          <w:tcPr>
            <w:tcW w:w="1400" w:type="dxa"/>
            <w:tcBorders>
              <w:top w:val="nil"/>
              <w:left w:val="nil"/>
              <w:bottom w:val="nil"/>
              <w:right w:val="nil"/>
            </w:tcBorders>
            <w:shd w:val="clear" w:color="000000" w:fill="1D4BB3"/>
            <w:noWrap/>
            <w:vAlign w:val="bottom"/>
            <w:hideMark/>
          </w:tcPr>
          <w:p w14:paraId="53BF13C3"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85,81%</w:t>
            </w:r>
          </w:p>
        </w:tc>
      </w:tr>
      <w:tr w:rsidR="00A360DB" w:rsidRPr="00A360DB" w14:paraId="1C342720" w14:textId="77777777" w:rsidTr="00A360DB">
        <w:trPr>
          <w:trHeight w:val="240"/>
        </w:trPr>
        <w:tc>
          <w:tcPr>
            <w:tcW w:w="1697" w:type="dxa"/>
            <w:tcBorders>
              <w:top w:val="nil"/>
              <w:left w:val="nil"/>
              <w:bottom w:val="nil"/>
              <w:right w:val="nil"/>
            </w:tcBorders>
            <w:shd w:val="clear" w:color="000000" w:fill="B4C6E7"/>
            <w:noWrap/>
            <w:vAlign w:val="bottom"/>
            <w:hideMark/>
          </w:tcPr>
          <w:p w14:paraId="3941E1B3"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A101303</w:t>
            </w:r>
          </w:p>
        </w:tc>
        <w:tc>
          <w:tcPr>
            <w:tcW w:w="8509" w:type="dxa"/>
            <w:tcBorders>
              <w:top w:val="nil"/>
              <w:left w:val="nil"/>
              <w:bottom w:val="nil"/>
              <w:right w:val="nil"/>
            </w:tcBorders>
            <w:shd w:val="clear" w:color="000000" w:fill="B4C6E7"/>
            <w:noWrap/>
            <w:vAlign w:val="bottom"/>
            <w:hideMark/>
          </w:tcPr>
          <w:p w14:paraId="2F7C660C"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Stipendije za deficitarna zanimanja - liječnici</w:t>
            </w:r>
          </w:p>
        </w:tc>
        <w:tc>
          <w:tcPr>
            <w:tcW w:w="1480" w:type="dxa"/>
            <w:tcBorders>
              <w:top w:val="nil"/>
              <w:left w:val="nil"/>
              <w:bottom w:val="nil"/>
              <w:right w:val="nil"/>
            </w:tcBorders>
            <w:shd w:val="clear" w:color="000000" w:fill="B4C6E7"/>
            <w:noWrap/>
            <w:vAlign w:val="bottom"/>
            <w:hideMark/>
          </w:tcPr>
          <w:p w14:paraId="5263A1E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2.600,00</w:t>
            </w:r>
          </w:p>
        </w:tc>
        <w:tc>
          <w:tcPr>
            <w:tcW w:w="1380" w:type="dxa"/>
            <w:tcBorders>
              <w:top w:val="nil"/>
              <w:left w:val="nil"/>
              <w:bottom w:val="nil"/>
              <w:right w:val="nil"/>
            </w:tcBorders>
            <w:shd w:val="clear" w:color="000000" w:fill="B4C6E7"/>
            <w:noWrap/>
            <w:vAlign w:val="bottom"/>
            <w:hideMark/>
          </w:tcPr>
          <w:p w14:paraId="534779C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1.600,00</w:t>
            </w:r>
          </w:p>
        </w:tc>
        <w:tc>
          <w:tcPr>
            <w:tcW w:w="1400" w:type="dxa"/>
            <w:tcBorders>
              <w:top w:val="nil"/>
              <w:left w:val="nil"/>
              <w:bottom w:val="nil"/>
              <w:right w:val="nil"/>
            </w:tcBorders>
            <w:shd w:val="clear" w:color="000000" w:fill="B4C6E7"/>
            <w:noWrap/>
            <w:vAlign w:val="bottom"/>
            <w:hideMark/>
          </w:tcPr>
          <w:p w14:paraId="7816C29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61,54%</w:t>
            </w:r>
          </w:p>
        </w:tc>
      </w:tr>
      <w:tr w:rsidR="00A360DB" w:rsidRPr="00A360DB" w14:paraId="78FA19D3"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17CDAB4D"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4831770C"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2.600,00</w:t>
            </w:r>
          </w:p>
        </w:tc>
        <w:tc>
          <w:tcPr>
            <w:tcW w:w="1380" w:type="dxa"/>
            <w:tcBorders>
              <w:top w:val="nil"/>
              <w:left w:val="nil"/>
              <w:bottom w:val="nil"/>
              <w:right w:val="nil"/>
            </w:tcBorders>
            <w:shd w:val="clear" w:color="auto" w:fill="auto"/>
            <w:noWrap/>
            <w:vAlign w:val="bottom"/>
            <w:hideMark/>
          </w:tcPr>
          <w:p w14:paraId="2CB0EB8A"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1.600,00</w:t>
            </w:r>
          </w:p>
        </w:tc>
        <w:tc>
          <w:tcPr>
            <w:tcW w:w="1400" w:type="dxa"/>
            <w:tcBorders>
              <w:top w:val="nil"/>
              <w:left w:val="nil"/>
              <w:bottom w:val="nil"/>
              <w:right w:val="nil"/>
            </w:tcBorders>
            <w:shd w:val="clear" w:color="auto" w:fill="auto"/>
            <w:noWrap/>
            <w:vAlign w:val="bottom"/>
            <w:hideMark/>
          </w:tcPr>
          <w:p w14:paraId="1A48E15B"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61,54%</w:t>
            </w:r>
          </w:p>
        </w:tc>
      </w:tr>
      <w:tr w:rsidR="00A360DB" w:rsidRPr="00A360DB" w14:paraId="5B7D3B62"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2DBDB594"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61EBC767"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2.600,00</w:t>
            </w:r>
          </w:p>
        </w:tc>
        <w:tc>
          <w:tcPr>
            <w:tcW w:w="1380" w:type="dxa"/>
            <w:tcBorders>
              <w:top w:val="nil"/>
              <w:left w:val="nil"/>
              <w:bottom w:val="nil"/>
              <w:right w:val="nil"/>
            </w:tcBorders>
            <w:shd w:val="clear" w:color="auto" w:fill="auto"/>
            <w:noWrap/>
            <w:vAlign w:val="bottom"/>
            <w:hideMark/>
          </w:tcPr>
          <w:p w14:paraId="2D4DB60D"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1.600,00</w:t>
            </w:r>
          </w:p>
        </w:tc>
        <w:tc>
          <w:tcPr>
            <w:tcW w:w="1400" w:type="dxa"/>
            <w:tcBorders>
              <w:top w:val="nil"/>
              <w:left w:val="nil"/>
              <w:bottom w:val="nil"/>
              <w:right w:val="nil"/>
            </w:tcBorders>
            <w:shd w:val="clear" w:color="auto" w:fill="auto"/>
            <w:noWrap/>
            <w:vAlign w:val="bottom"/>
            <w:hideMark/>
          </w:tcPr>
          <w:p w14:paraId="194DDF53"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61,54%</w:t>
            </w:r>
          </w:p>
        </w:tc>
      </w:tr>
      <w:tr w:rsidR="00A360DB" w:rsidRPr="00A360DB" w14:paraId="5C202928" w14:textId="77777777" w:rsidTr="00A360DB">
        <w:trPr>
          <w:trHeight w:val="240"/>
        </w:trPr>
        <w:tc>
          <w:tcPr>
            <w:tcW w:w="1697" w:type="dxa"/>
            <w:tcBorders>
              <w:top w:val="nil"/>
              <w:left w:val="nil"/>
              <w:bottom w:val="nil"/>
              <w:right w:val="nil"/>
            </w:tcBorders>
            <w:shd w:val="clear" w:color="auto" w:fill="auto"/>
            <w:noWrap/>
            <w:vAlign w:val="bottom"/>
            <w:hideMark/>
          </w:tcPr>
          <w:p w14:paraId="6E5BFC5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37</w:t>
            </w:r>
          </w:p>
        </w:tc>
        <w:tc>
          <w:tcPr>
            <w:tcW w:w="8509" w:type="dxa"/>
            <w:tcBorders>
              <w:top w:val="nil"/>
              <w:left w:val="nil"/>
              <w:bottom w:val="nil"/>
              <w:right w:val="nil"/>
            </w:tcBorders>
            <w:shd w:val="clear" w:color="auto" w:fill="auto"/>
            <w:noWrap/>
            <w:vAlign w:val="bottom"/>
            <w:hideMark/>
          </w:tcPr>
          <w:p w14:paraId="59EC51FF"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Naknade građanima i kućanstvima na temelju osiguranja i druge naknade                               </w:t>
            </w:r>
          </w:p>
        </w:tc>
        <w:tc>
          <w:tcPr>
            <w:tcW w:w="1480" w:type="dxa"/>
            <w:tcBorders>
              <w:top w:val="nil"/>
              <w:left w:val="nil"/>
              <w:bottom w:val="nil"/>
              <w:right w:val="nil"/>
            </w:tcBorders>
            <w:shd w:val="clear" w:color="auto" w:fill="auto"/>
            <w:noWrap/>
            <w:vAlign w:val="bottom"/>
            <w:hideMark/>
          </w:tcPr>
          <w:p w14:paraId="5A128D0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2.600,00</w:t>
            </w:r>
          </w:p>
        </w:tc>
        <w:tc>
          <w:tcPr>
            <w:tcW w:w="1380" w:type="dxa"/>
            <w:tcBorders>
              <w:top w:val="nil"/>
              <w:left w:val="nil"/>
              <w:bottom w:val="nil"/>
              <w:right w:val="nil"/>
            </w:tcBorders>
            <w:shd w:val="clear" w:color="auto" w:fill="auto"/>
            <w:noWrap/>
            <w:vAlign w:val="bottom"/>
            <w:hideMark/>
          </w:tcPr>
          <w:p w14:paraId="14BA681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1.600,00</w:t>
            </w:r>
          </w:p>
        </w:tc>
        <w:tc>
          <w:tcPr>
            <w:tcW w:w="1400" w:type="dxa"/>
            <w:tcBorders>
              <w:top w:val="nil"/>
              <w:left w:val="nil"/>
              <w:bottom w:val="nil"/>
              <w:right w:val="nil"/>
            </w:tcBorders>
            <w:shd w:val="clear" w:color="auto" w:fill="auto"/>
            <w:noWrap/>
            <w:vAlign w:val="bottom"/>
            <w:hideMark/>
          </w:tcPr>
          <w:p w14:paraId="4E382CE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61,54%</w:t>
            </w:r>
          </w:p>
        </w:tc>
      </w:tr>
      <w:tr w:rsidR="00A360DB" w:rsidRPr="00A360DB" w14:paraId="6FFA2C21" w14:textId="77777777" w:rsidTr="00A360DB">
        <w:trPr>
          <w:trHeight w:val="240"/>
        </w:trPr>
        <w:tc>
          <w:tcPr>
            <w:tcW w:w="1697" w:type="dxa"/>
            <w:tcBorders>
              <w:top w:val="nil"/>
              <w:left w:val="nil"/>
              <w:bottom w:val="nil"/>
              <w:right w:val="nil"/>
            </w:tcBorders>
            <w:shd w:val="clear" w:color="auto" w:fill="auto"/>
            <w:noWrap/>
            <w:vAlign w:val="bottom"/>
            <w:hideMark/>
          </w:tcPr>
          <w:p w14:paraId="58D7D20D"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3721</w:t>
            </w:r>
          </w:p>
        </w:tc>
        <w:tc>
          <w:tcPr>
            <w:tcW w:w="8509" w:type="dxa"/>
            <w:tcBorders>
              <w:top w:val="nil"/>
              <w:left w:val="nil"/>
              <w:bottom w:val="nil"/>
              <w:right w:val="nil"/>
            </w:tcBorders>
            <w:shd w:val="clear" w:color="auto" w:fill="auto"/>
            <w:noWrap/>
            <w:vAlign w:val="bottom"/>
            <w:hideMark/>
          </w:tcPr>
          <w:p w14:paraId="6AA2137D"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Naknade građanima i kućanstvima u novcu                                                             </w:t>
            </w:r>
          </w:p>
        </w:tc>
        <w:tc>
          <w:tcPr>
            <w:tcW w:w="1480" w:type="dxa"/>
            <w:tcBorders>
              <w:top w:val="nil"/>
              <w:left w:val="nil"/>
              <w:bottom w:val="nil"/>
              <w:right w:val="nil"/>
            </w:tcBorders>
            <w:shd w:val="clear" w:color="auto" w:fill="auto"/>
            <w:noWrap/>
            <w:vAlign w:val="bottom"/>
            <w:hideMark/>
          </w:tcPr>
          <w:p w14:paraId="66D28949"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5E99E6C"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1.600,00</w:t>
            </w:r>
          </w:p>
        </w:tc>
        <w:tc>
          <w:tcPr>
            <w:tcW w:w="1400" w:type="dxa"/>
            <w:tcBorders>
              <w:top w:val="nil"/>
              <w:left w:val="nil"/>
              <w:bottom w:val="nil"/>
              <w:right w:val="nil"/>
            </w:tcBorders>
            <w:shd w:val="clear" w:color="auto" w:fill="auto"/>
            <w:noWrap/>
            <w:vAlign w:val="bottom"/>
            <w:hideMark/>
          </w:tcPr>
          <w:p w14:paraId="5E6F5419"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CBD2239" w14:textId="77777777" w:rsidTr="00A360DB">
        <w:trPr>
          <w:trHeight w:val="240"/>
        </w:trPr>
        <w:tc>
          <w:tcPr>
            <w:tcW w:w="1697" w:type="dxa"/>
            <w:tcBorders>
              <w:top w:val="nil"/>
              <w:left w:val="nil"/>
              <w:bottom w:val="nil"/>
              <w:right w:val="nil"/>
            </w:tcBorders>
            <w:shd w:val="clear" w:color="000000" w:fill="B4C6E7"/>
            <w:noWrap/>
            <w:vAlign w:val="bottom"/>
            <w:hideMark/>
          </w:tcPr>
          <w:p w14:paraId="6B7BE127"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A101304</w:t>
            </w:r>
          </w:p>
        </w:tc>
        <w:tc>
          <w:tcPr>
            <w:tcW w:w="8509" w:type="dxa"/>
            <w:tcBorders>
              <w:top w:val="nil"/>
              <w:left w:val="nil"/>
              <w:bottom w:val="nil"/>
              <w:right w:val="nil"/>
            </w:tcBorders>
            <w:shd w:val="clear" w:color="000000" w:fill="B4C6E7"/>
            <w:noWrap/>
            <w:vAlign w:val="bottom"/>
            <w:hideMark/>
          </w:tcPr>
          <w:p w14:paraId="0A79760E"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Financiranje smještaja za liječnika opće medicine</w:t>
            </w:r>
          </w:p>
        </w:tc>
        <w:tc>
          <w:tcPr>
            <w:tcW w:w="1480" w:type="dxa"/>
            <w:tcBorders>
              <w:top w:val="nil"/>
              <w:left w:val="nil"/>
              <w:bottom w:val="nil"/>
              <w:right w:val="nil"/>
            </w:tcBorders>
            <w:shd w:val="clear" w:color="000000" w:fill="B4C6E7"/>
            <w:noWrap/>
            <w:vAlign w:val="bottom"/>
            <w:hideMark/>
          </w:tcPr>
          <w:p w14:paraId="70B2A55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1.550,00</w:t>
            </w:r>
          </w:p>
        </w:tc>
        <w:tc>
          <w:tcPr>
            <w:tcW w:w="1380" w:type="dxa"/>
            <w:tcBorders>
              <w:top w:val="nil"/>
              <w:left w:val="nil"/>
              <w:bottom w:val="nil"/>
              <w:right w:val="nil"/>
            </w:tcBorders>
            <w:shd w:val="clear" w:color="000000" w:fill="B4C6E7"/>
            <w:noWrap/>
            <w:vAlign w:val="bottom"/>
            <w:hideMark/>
          </w:tcPr>
          <w:p w14:paraId="107CF10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1.535,50</w:t>
            </w:r>
          </w:p>
        </w:tc>
        <w:tc>
          <w:tcPr>
            <w:tcW w:w="1400" w:type="dxa"/>
            <w:tcBorders>
              <w:top w:val="nil"/>
              <w:left w:val="nil"/>
              <w:bottom w:val="nil"/>
              <w:right w:val="nil"/>
            </w:tcBorders>
            <w:shd w:val="clear" w:color="000000" w:fill="B4C6E7"/>
            <w:noWrap/>
            <w:vAlign w:val="bottom"/>
            <w:hideMark/>
          </w:tcPr>
          <w:p w14:paraId="2437D39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99,06%</w:t>
            </w:r>
          </w:p>
        </w:tc>
      </w:tr>
      <w:tr w:rsidR="00A360DB" w:rsidRPr="00A360DB" w14:paraId="20FAB324"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ED69A6E"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lastRenderedPageBreak/>
              <w:t>Izvor 1. Opći prihodi i primici</w:t>
            </w:r>
          </w:p>
        </w:tc>
        <w:tc>
          <w:tcPr>
            <w:tcW w:w="1480" w:type="dxa"/>
            <w:tcBorders>
              <w:top w:val="nil"/>
              <w:left w:val="nil"/>
              <w:bottom w:val="nil"/>
              <w:right w:val="nil"/>
            </w:tcBorders>
            <w:shd w:val="clear" w:color="auto" w:fill="auto"/>
            <w:noWrap/>
            <w:vAlign w:val="bottom"/>
            <w:hideMark/>
          </w:tcPr>
          <w:p w14:paraId="19EF50DE"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1.550,00</w:t>
            </w:r>
          </w:p>
        </w:tc>
        <w:tc>
          <w:tcPr>
            <w:tcW w:w="1380" w:type="dxa"/>
            <w:tcBorders>
              <w:top w:val="nil"/>
              <w:left w:val="nil"/>
              <w:bottom w:val="nil"/>
              <w:right w:val="nil"/>
            </w:tcBorders>
            <w:shd w:val="clear" w:color="auto" w:fill="auto"/>
            <w:noWrap/>
            <w:vAlign w:val="bottom"/>
            <w:hideMark/>
          </w:tcPr>
          <w:p w14:paraId="0CFE2580"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1.535,50</w:t>
            </w:r>
          </w:p>
        </w:tc>
        <w:tc>
          <w:tcPr>
            <w:tcW w:w="1400" w:type="dxa"/>
            <w:tcBorders>
              <w:top w:val="nil"/>
              <w:left w:val="nil"/>
              <w:bottom w:val="nil"/>
              <w:right w:val="nil"/>
            </w:tcBorders>
            <w:shd w:val="clear" w:color="auto" w:fill="auto"/>
            <w:noWrap/>
            <w:vAlign w:val="bottom"/>
            <w:hideMark/>
          </w:tcPr>
          <w:p w14:paraId="0CF1529B"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99,06%</w:t>
            </w:r>
          </w:p>
        </w:tc>
      </w:tr>
      <w:tr w:rsidR="00A360DB" w:rsidRPr="00A360DB" w14:paraId="6F4981F6"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CB733B6"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2B479979"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1.550,00</w:t>
            </w:r>
          </w:p>
        </w:tc>
        <w:tc>
          <w:tcPr>
            <w:tcW w:w="1380" w:type="dxa"/>
            <w:tcBorders>
              <w:top w:val="nil"/>
              <w:left w:val="nil"/>
              <w:bottom w:val="nil"/>
              <w:right w:val="nil"/>
            </w:tcBorders>
            <w:shd w:val="clear" w:color="auto" w:fill="auto"/>
            <w:noWrap/>
            <w:vAlign w:val="bottom"/>
            <w:hideMark/>
          </w:tcPr>
          <w:p w14:paraId="74D76DF4"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1.535,50</w:t>
            </w:r>
          </w:p>
        </w:tc>
        <w:tc>
          <w:tcPr>
            <w:tcW w:w="1400" w:type="dxa"/>
            <w:tcBorders>
              <w:top w:val="nil"/>
              <w:left w:val="nil"/>
              <w:bottom w:val="nil"/>
              <w:right w:val="nil"/>
            </w:tcBorders>
            <w:shd w:val="clear" w:color="auto" w:fill="auto"/>
            <w:noWrap/>
            <w:vAlign w:val="bottom"/>
            <w:hideMark/>
          </w:tcPr>
          <w:p w14:paraId="07A20FEC"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99,06%</w:t>
            </w:r>
          </w:p>
        </w:tc>
      </w:tr>
      <w:tr w:rsidR="00A360DB" w:rsidRPr="00A360DB" w14:paraId="14589D2A" w14:textId="77777777" w:rsidTr="00A360DB">
        <w:trPr>
          <w:trHeight w:val="240"/>
        </w:trPr>
        <w:tc>
          <w:tcPr>
            <w:tcW w:w="1697" w:type="dxa"/>
            <w:tcBorders>
              <w:top w:val="nil"/>
              <w:left w:val="nil"/>
              <w:bottom w:val="nil"/>
              <w:right w:val="nil"/>
            </w:tcBorders>
            <w:shd w:val="clear" w:color="auto" w:fill="auto"/>
            <w:noWrap/>
            <w:vAlign w:val="bottom"/>
            <w:hideMark/>
          </w:tcPr>
          <w:p w14:paraId="720BA12B"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37</w:t>
            </w:r>
          </w:p>
        </w:tc>
        <w:tc>
          <w:tcPr>
            <w:tcW w:w="8509" w:type="dxa"/>
            <w:tcBorders>
              <w:top w:val="nil"/>
              <w:left w:val="nil"/>
              <w:bottom w:val="nil"/>
              <w:right w:val="nil"/>
            </w:tcBorders>
            <w:shd w:val="clear" w:color="auto" w:fill="auto"/>
            <w:noWrap/>
            <w:vAlign w:val="bottom"/>
            <w:hideMark/>
          </w:tcPr>
          <w:p w14:paraId="4332D08D"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Naknade građanima i kućanstvima na temelju osiguranja i druge naknade                               </w:t>
            </w:r>
          </w:p>
        </w:tc>
        <w:tc>
          <w:tcPr>
            <w:tcW w:w="1480" w:type="dxa"/>
            <w:tcBorders>
              <w:top w:val="nil"/>
              <w:left w:val="nil"/>
              <w:bottom w:val="nil"/>
              <w:right w:val="nil"/>
            </w:tcBorders>
            <w:shd w:val="clear" w:color="auto" w:fill="auto"/>
            <w:noWrap/>
            <w:vAlign w:val="bottom"/>
            <w:hideMark/>
          </w:tcPr>
          <w:p w14:paraId="0F779AA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1.550,00</w:t>
            </w:r>
          </w:p>
        </w:tc>
        <w:tc>
          <w:tcPr>
            <w:tcW w:w="1380" w:type="dxa"/>
            <w:tcBorders>
              <w:top w:val="nil"/>
              <w:left w:val="nil"/>
              <w:bottom w:val="nil"/>
              <w:right w:val="nil"/>
            </w:tcBorders>
            <w:shd w:val="clear" w:color="auto" w:fill="auto"/>
            <w:noWrap/>
            <w:vAlign w:val="bottom"/>
            <w:hideMark/>
          </w:tcPr>
          <w:p w14:paraId="7A749B9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1.535,50</w:t>
            </w:r>
          </w:p>
        </w:tc>
        <w:tc>
          <w:tcPr>
            <w:tcW w:w="1400" w:type="dxa"/>
            <w:tcBorders>
              <w:top w:val="nil"/>
              <w:left w:val="nil"/>
              <w:bottom w:val="nil"/>
              <w:right w:val="nil"/>
            </w:tcBorders>
            <w:shd w:val="clear" w:color="auto" w:fill="auto"/>
            <w:noWrap/>
            <w:vAlign w:val="bottom"/>
            <w:hideMark/>
          </w:tcPr>
          <w:p w14:paraId="668195B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99,06%</w:t>
            </w:r>
          </w:p>
        </w:tc>
      </w:tr>
      <w:tr w:rsidR="00A360DB" w:rsidRPr="00A360DB" w14:paraId="29699E88" w14:textId="77777777" w:rsidTr="00A360DB">
        <w:trPr>
          <w:trHeight w:val="240"/>
        </w:trPr>
        <w:tc>
          <w:tcPr>
            <w:tcW w:w="1697" w:type="dxa"/>
            <w:tcBorders>
              <w:top w:val="nil"/>
              <w:left w:val="nil"/>
              <w:bottom w:val="nil"/>
              <w:right w:val="nil"/>
            </w:tcBorders>
            <w:shd w:val="clear" w:color="auto" w:fill="auto"/>
            <w:noWrap/>
            <w:vAlign w:val="bottom"/>
            <w:hideMark/>
          </w:tcPr>
          <w:p w14:paraId="2692236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3721</w:t>
            </w:r>
          </w:p>
        </w:tc>
        <w:tc>
          <w:tcPr>
            <w:tcW w:w="8509" w:type="dxa"/>
            <w:tcBorders>
              <w:top w:val="nil"/>
              <w:left w:val="nil"/>
              <w:bottom w:val="nil"/>
              <w:right w:val="nil"/>
            </w:tcBorders>
            <w:shd w:val="clear" w:color="auto" w:fill="auto"/>
            <w:noWrap/>
            <w:vAlign w:val="bottom"/>
            <w:hideMark/>
          </w:tcPr>
          <w:p w14:paraId="4F64393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Naknade građanima i kućanstvima u novcu                                                             </w:t>
            </w:r>
          </w:p>
        </w:tc>
        <w:tc>
          <w:tcPr>
            <w:tcW w:w="1480" w:type="dxa"/>
            <w:tcBorders>
              <w:top w:val="nil"/>
              <w:left w:val="nil"/>
              <w:bottom w:val="nil"/>
              <w:right w:val="nil"/>
            </w:tcBorders>
            <w:shd w:val="clear" w:color="auto" w:fill="auto"/>
            <w:noWrap/>
            <w:vAlign w:val="bottom"/>
            <w:hideMark/>
          </w:tcPr>
          <w:p w14:paraId="52F50D23"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1E05DD18"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1.535,50</w:t>
            </w:r>
          </w:p>
        </w:tc>
        <w:tc>
          <w:tcPr>
            <w:tcW w:w="1400" w:type="dxa"/>
            <w:tcBorders>
              <w:top w:val="nil"/>
              <w:left w:val="nil"/>
              <w:bottom w:val="nil"/>
              <w:right w:val="nil"/>
            </w:tcBorders>
            <w:shd w:val="clear" w:color="auto" w:fill="auto"/>
            <w:noWrap/>
            <w:vAlign w:val="bottom"/>
            <w:hideMark/>
          </w:tcPr>
          <w:p w14:paraId="61FFB257"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CC67B76" w14:textId="77777777" w:rsidTr="00A360DB">
        <w:trPr>
          <w:trHeight w:val="240"/>
        </w:trPr>
        <w:tc>
          <w:tcPr>
            <w:tcW w:w="1697" w:type="dxa"/>
            <w:tcBorders>
              <w:top w:val="nil"/>
              <w:left w:val="nil"/>
              <w:bottom w:val="nil"/>
              <w:right w:val="nil"/>
            </w:tcBorders>
            <w:shd w:val="clear" w:color="000000" w:fill="B4C6E7"/>
            <w:noWrap/>
            <w:vAlign w:val="bottom"/>
            <w:hideMark/>
          </w:tcPr>
          <w:p w14:paraId="53F38299"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A101305</w:t>
            </w:r>
          </w:p>
        </w:tc>
        <w:tc>
          <w:tcPr>
            <w:tcW w:w="8509" w:type="dxa"/>
            <w:tcBorders>
              <w:top w:val="nil"/>
              <w:left w:val="nil"/>
              <w:bottom w:val="nil"/>
              <w:right w:val="nil"/>
            </w:tcBorders>
            <w:shd w:val="clear" w:color="000000" w:fill="B4C6E7"/>
            <w:noWrap/>
            <w:vAlign w:val="bottom"/>
            <w:hideMark/>
          </w:tcPr>
          <w:p w14:paraId="3FE61474"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Jednokratna nagrada liječnicima u prvoj godini rada na području Grada Garešnice</w:t>
            </w:r>
          </w:p>
        </w:tc>
        <w:tc>
          <w:tcPr>
            <w:tcW w:w="1480" w:type="dxa"/>
            <w:tcBorders>
              <w:top w:val="nil"/>
              <w:left w:val="nil"/>
              <w:bottom w:val="nil"/>
              <w:right w:val="nil"/>
            </w:tcBorders>
            <w:shd w:val="clear" w:color="000000" w:fill="B4C6E7"/>
            <w:noWrap/>
            <w:vAlign w:val="bottom"/>
            <w:hideMark/>
          </w:tcPr>
          <w:p w14:paraId="78AB7D0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3.000,00</w:t>
            </w:r>
          </w:p>
        </w:tc>
        <w:tc>
          <w:tcPr>
            <w:tcW w:w="1380" w:type="dxa"/>
            <w:tcBorders>
              <w:top w:val="nil"/>
              <w:left w:val="nil"/>
              <w:bottom w:val="nil"/>
              <w:right w:val="nil"/>
            </w:tcBorders>
            <w:shd w:val="clear" w:color="000000" w:fill="B4C6E7"/>
            <w:noWrap/>
            <w:vAlign w:val="bottom"/>
            <w:hideMark/>
          </w:tcPr>
          <w:p w14:paraId="65E976E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3.000,00</w:t>
            </w:r>
          </w:p>
        </w:tc>
        <w:tc>
          <w:tcPr>
            <w:tcW w:w="1400" w:type="dxa"/>
            <w:tcBorders>
              <w:top w:val="nil"/>
              <w:left w:val="nil"/>
              <w:bottom w:val="nil"/>
              <w:right w:val="nil"/>
            </w:tcBorders>
            <w:shd w:val="clear" w:color="000000" w:fill="B4C6E7"/>
            <w:noWrap/>
            <w:vAlign w:val="bottom"/>
            <w:hideMark/>
          </w:tcPr>
          <w:p w14:paraId="4883364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r>
      <w:tr w:rsidR="00A360DB" w:rsidRPr="00A360DB" w14:paraId="315F1786"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157B621E"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396FE34E"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3.000,00</w:t>
            </w:r>
          </w:p>
        </w:tc>
        <w:tc>
          <w:tcPr>
            <w:tcW w:w="1380" w:type="dxa"/>
            <w:tcBorders>
              <w:top w:val="nil"/>
              <w:left w:val="nil"/>
              <w:bottom w:val="nil"/>
              <w:right w:val="nil"/>
            </w:tcBorders>
            <w:shd w:val="clear" w:color="auto" w:fill="auto"/>
            <w:noWrap/>
            <w:vAlign w:val="bottom"/>
            <w:hideMark/>
          </w:tcPr>
          <w:p w14:paraId="146FE8FA"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3.000,00</w:t>
            </w:r>
          </w:p>
        </w:tc>
        <w:tc>
          <w:tcPr>
            <w:tcW w:w="1400" w:type="dxa"/>
            <w:tcBorders>
              <w:top w:val="nil"/>
              <w:left w:val="nil"/>
              <w:bottom w:val="nil"/>
              <w:right w:val="nil"/>
            </w:tcBorders>
            <w:shd w:val="clear" w:color="auto" w:fill="auto"/>
            <w:noWrap/>
            <w:vAlign w:val="bottom"/>
            <w:hideMark/>
          </w:tcPr>
          <w:p w14:paraId="244976CB"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w:t>
            </w:r>
          </w:p>
        </w:tc>
      </w:tr>
      <w:tr w:rsidR="00A360DB" w:rsidRPr="00A360DB" w14:paraId="2E38DACF"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281637FD"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776EA33F"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3.000,00</w:t>
            </w:r>
          </w:p>
        </w:tc>
        <w:tc>
          <w:tcPr>
            <w:tcW w:w="1380" w:type="dxa"/>
            <w:tcBorders>
              <w:top w:val="nil"/>
              <w:left w:val="nil"/>
              <w:bottom w:val="nil"/>
              <w:right w:val="nil"/>
            </w:tcBorders>
            <w:shd w:val="clear" w:color="auto" w:fill="auto"/>
            <w:noWrap/>
            <w:vAlign w:val="bottom"/>
            <w:hideMark/>
          </w:tcPr>
          <w:p w14:paraId="6A79ACE2"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3.000,00</w:t>
            </w:r>
          </w:p>
        </w:tc>
        <w:tc>
          <w:tcPr>
            <w:tcW w:w="1400" w:type="dxa"/>
            <w:tcBorders>
              <w:top w:val="nil"/>
              <w:left w:val="nil"/>
              <w:bottom w:val="nil"/>
              <w:right w:val="nil"/>
            </w:tcBorders>
            <w:shd w:val="clear" w:color="auto" w:fill="auto"/>
            <w:noWrap/>
            <w:vAlign w:val="bottom"/>
            <w:hideMark/>
          </w:tcPr>
          <w:p w14:paraId="58EA43D3"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w:t>
            </w:r>
          </w:p>
        </w:tc>
      </w:tr>
      <w:tr w:rsidR="00A360DB" w:rsidRPr="00A360DB" w14:paraId="25AEC29E" w14:textId="77777777" w:rsidTr="00A360DB">
        <w:trPr>
          <w:trHeight w:val="240"/>
        </w:trPr>
        <w:tc>
          <w:tcPr>
            <w:tcW w:w="1697" w:type="dxa"/>
            <w:tcBorders>
              <w:top w:val="nil"/>
              <w:left w:val="nil"/>
              <w:bottom w:val="nil"/>
              <w:right w:val="nil"/>
            </w:tcBorders>
            <w:shd w:val="clear" w:color="auto" w:fill="auto"/>
            <w:noWrap/>
            <w:vAlign w:val="bottom"/>
            <w:hideMark/>
          </w:tcPr>
          <w:p w14:paraId="562EF2EB"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37</w:t>
            </w:r>
          </w:p>
        </w:tc>
        <w:tc>
          <w:tcPr>
            <w:tcW w:w="8509" w:type="dxa"/>
            <w:tcBorders>
              <w:top w:val="nil"/>
              <w:left w:val="nil"/>
              <w:bottom w:val="nil"/>
              <w:right w:val="nil"/>
            </w:tcBorders>
            <w:shd w:val="clear" w:color="auto" w:fill="auto"/>
            <w:noWrap/>
            <w:vAlign w:val="bottom"/>
            <w:hideMark/>
          </w:tcPr>
          <w:p w14:paraId="6229F24B"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Naknade građanima i kućanstvima na temelju osiguranja i druge naknade                               </w:t>
            </w:r>
          </w:p>
        </w:tc>
        <w:tc>
          <w:tcPr>
            <w:tcW w:w="1480" w:type="dxa"/>
            <w:tcBorders>
              <w:top w:val="nil"/>
              <w:left w:val="nil"/>
              <w:bottom w:val="nil"/>
              <w:right w:val="nil"/>
            </w:tcBorders>
            <w:shd w:val="clear" w:color="auto" w:fill="auto"/>
            <w:noWrap/>
            <w:vAlign w:val="bottom"/>
            <w:hideMark/>
          </w:tcPr>
          <w:p w14:paraId="7E4107A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3.000,00</w:t>
            </w:r>
          </w:p>
        </w:tc>
        <w:tc>
          <w:tcPr>
            <w:tcW w:w="1380" w:type="dxa"/>
            <w:tcBorders>
              <w:top w:val="nil"/>
              <w:left w:val="nil"/>
              <w:bottom w:val="nil"/>
              <w:right w:val="nil"/>
            </w:tcBorders>
            <w:shd w:val="clear" w:color="auto" w:fill="auto"/>
            <w:noWrap/>
            <w:vAlign w:val="bottom"/>
            <w:hideMark/>
          </w:tcPr>
          <w:p w14:paraId="1FD06F4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3.000,00</w:t>
            </w:r>
          </w:p>
        </w:tc>
        <w:tc>
          <w:tcPr>
            <w:tcW w:w="1400" w:type="dxa"/>
            <w:tcBorders>
              <w:top w:val="nil"/>
              <w:left w:val="nil"/>
              <w:bottom w:val="nil"/>
              <w:right w:val="nil"/>
            </w:tcBorders>
            <w:shd w:val="clear" w:color="auto" w:fill="auto"/>
            <w:noWrap/>
            <w:vAlign w:val="bottom"/>
            <w:hideMark/>
          </w:tcPr>
          <w:p w14:paraId="1A4A0BA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r>
      <w:tr w:rsidR="00A360DB" w:rsidRPr="00A360DB" w14:paraId="18A0901A" w14:textId="77777777" w:rsidTr="00A360DB">
        <w:trPr>
          <w:trHeight w:val="240"/>
        </w:trPr>
        <w:tc>
          <w:tcPr>
            <w:tcW w:w="1697" w:type="dxa"/>
            <w:tcBorders>
              <w:top w:val="nil"/>
              <w:left w:val="nil"/>
              <w:bottom w:val="nil"/>
              <w:right w:val="nil"/>
            </w:tcBorders>
            <w:shd w:val="clear" w:color="auto" w:fill="auto"/>
            <w:noWrap/>
            <w:vAlign w:val="bottom"/>
            <w:hideMark/>
          </w:tcPr>
          <w:p w14:paraId="3C6CE7E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3721</w:t>
            </w:r>
          </w:p>
        </w:tc>
        <w:tc>
          <w:tcPr>
            <w:tcW w:w="8509" w:type="dxa"/>
            <w:tcBorders>
              <w:top w:val="nil"/>
              <w:left w:val="nil"/>
              <w:bottom w:val="nil"/>
              <w:right w:val="nil"/>
            </w:tcBorders>
            <w:shd w:val="clear" w:color="auto" w:fill="auto"/>
            <w:noWrap/>
            <w:vAlign w:val="bottom"/>
            <w:hideMark/>
          </w:tcPr>
          <w:p w14:paraId="3909BE8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Naknade građanima i kućanstvima u novcu                                                             </w:t>
            </w:r>
          </w:p>
        </w:tc>
        <w:tc>
          <w:tcPr>
            <w:tcW w:w="1480" w:type="dxa"/>
            <w:tcBorders>
              <w:top w:val="nil"/>
              <w:left w:val="nil"/>
              <w:bottom w:val="nil"/>
              <w:right w:val="nil"/>
            </w:tcBorders>
            <w:shd w:val="clear" w:color="auto" w:fill="auto"/>
            <w:noWrap/>
            <w:vAlign w:val="bottom"/>
            <w:hideMark/>
          </w:tcPr>
          <w:p w14:paraId="45DFBFB9"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3CB0542"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3.000,00</w:t>
            </w:r>
          </w:p>
        </w:tc>
        <w:tc>
          <w:tcPr>
            <w:tcW w:w="1400" w:type="dxa"/>
            <w:tcBorders>
              <w:top w:val="nil"/>
              <w:left w:val="nil"/>
              <w:bottom w:val="nil"/>
              <w:right w:val="nil"/>
            </w:tcBorders>
            <w:shd w:val="clear" w:color="auto" w:fill="auto"/>
            <w:noWrap/>
            <w:vAlign w:val="bottom"/>
            <w:hideMark/>
          </w:tcPr>
          <w:p w14:paraId="0E9581C8"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01FDAEF" w14:textId="77777777" w:rsidTr="00A360DB">
        <w:trPr>
          <w:trHeight w:val="240"/>
        </w:trPr>
        <w:tc>
          <w:tcPr>
            <w:tcW w:w="1697" w:type="dxa"/>
            <w:tcBorders>
              <w:top w:val="nil"/>
              <w:left w:val="nil"/>
              <w:bottom w:val="nil"/>
              <w:right w:val="nil"/>
            </w:tcBorders>
            <w:shd w:val="clear" w:color="000000" w:fill="1D4BB3"/>
            <w:noWrap/>
            <w:vAlign w:val="bottom"/>
            <w:hideMark/>
          </w:tcPr>
          <w:p w14:paraId="62C502FF" w14:textId="77777777" w:rsidR="00A360DB" w:rsidRPr="00A360DB" w:rsidRDefault="00A360DB" w:rsidP="00A360DB">
            <w:pPr>
              <w:spacing w:after="0" w:line="240" w:lineRule="auto"/>
              <w:rPr>
                <w:rFonts w:ascii="Arial" w:hAnsi="Arial" w:cs="Arial"/>
                <w:b/>
                <w:bCs/>
                <w:color w:val="FFFFFF"/>
                <w:sz w:val="18"/>
                <w:szCs w:val="18"/>
                <w:lang w:eastAsia="hr-HR"/>
              </w:rPr>
            </w:pPr>
            <w:r w:rsidRPr="00A360DB">
              <w:rPr>
                <w:rFonts w:ascii="Arial" w:hAnsi="Arial" w:cs="Arial"/>
                <w:b/>
                <w:bCs/>
                <w:color w:val="FFFFFF"/>
                <w:sz w:val="18"/>
                <w:szCs w:val="18"/>
                <w:lang w:eastAsia="hr-HR"/>
              </w:rPr>
              <w:t>1014</w:t>
            </w:r>
          </w:p>
        </w:tc>
        <w:tc>
          <w:tcPr>
            <w:tcW w:w="8509" w:type="dxa"/>
            <w:tcBorders>
              <w:top w:val="nil"/>
              <w:left w:val="nil"/>
              <w:bottom w:val="nil"/>
              <w:right w:val="nil"/>
            </w:tcBorders>
            <w:shd w:val="clear" w:color="000000" w:fill="1D4BB3"/>
            <w:noWrap/>
            <w:vAlign w:val="bottom"/>
            <w:hideMark/>
          </w:tcPr>
          <w:p w14:paraId="3B10CA67" w14:textId="77777777" w:rsidR="00A360DB" w:rsidRPr="00A360DB" w:rsidRDefault="00A360DB" w:rsidP="00A360DB">
            <w:pPr>
              <w:spacing w:after="0" w:line="240" w:lineRule="auto"/>
              <w:rPr>
                <w:rFonts w:ascii="Arial" w:hAnsi="Arial" w:cs="Arial"/>
                <w:b/>
                <w:bCs/>
                <w:color w:val="FFFFFF"/>
                <w:sz w:val="18"/>
                <w:szCs w:val="18"/>
                <w:lang w:eastAsia="hr-HR"/>
              </w:rPr>
            </w:pPr>
            <w:r w:rsidRPr="00A360DB">
              <w:rPr>
                <w:rFonts w:ascii="Arial" w:hAnsi="Arial" w:cs="Arial"/>
                <w:b/>
                <w:bCs/>
                <w:color w:val="FFFFFF"/>
                <w:sz w:val="18"/>
                <w:szCs w:val="18"/>
                <w:lang w:eastAsia="hr-HR"/>
              </w:rPr>
              <w:t>Program: Poticanje razvoja turizma i zajednice</w:t>
            </w:r>
          </w:p>
        </w:tc>
        <w:tc>
          <w:tcPr>
            <w:tcW w:w="1480" w:type="dxa"/>
            <w:tcBorders>
              <w:top w:val="nil"/>
              <w:left w:val="nil"/>
              <w:bottom w:val="nil"/>
              <w:right w:val="nil"/>
            </w:tcBorders>
            <w:shd w:val="clear" w:color="000000" w:fill="1D4BB3"/>
            <w:noWrap/>
            <w:vAlign w:val="bottom"/>
            <w:hideMark/>
          </w:tcPr>
          <w:p w14:paraId="0E319C20"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66.700,00</w:t>
            </w:r>
          </w:p>
        </w:tc>
        <w:tc>
          <w:tcPr>
            <w:tcW w:w="1380" w:type="dxa"/>
            <w:tcBorders>
              <w:top w:val="nil"/>
              <w:left w:val="nil"/>
              <w:bottom w:val="nil"/>
              <w:right w:val="nil"/>
            </w:tcBorders>
            <w:shd w:val="clear" w:color="000000" w:fill="1D4BB3"/>
            <w:noWrap/>
            <w:vAlign w:val="bottom"/>
            <w:hideMark/>
          </w:tcPr>
          <w:p w14:paraId="203F2EC6"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66.700,00</w:t>
            </w:r>
          </w:p>
        </w:tc>
        <w:tc>
          <w:tcPr>
            <w:tcW w:w="1400" w:type="dxa"/>
            <w:tcBorders>
              <w:top w:val="nil"/>
              <w:left w:val="nil"/>
              <w:bottom w:val="nil"/>
              <w:right w:val="nil"/>
            </w:tcBorders>
            <w:shd w:val="clear" w:color="000000" w:fill="1D4BB3"/>
            <w:noWrap/>
            <w:vAlign w:val="bottom"/>
            <w:hideMark/>
          </w:tcPr>
          <w:p w14:paraId="32F22FC8"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100,00%</w:t>
            </w:r>
          </w:p>
        </w:tc>
      </w:tr>
      <w:tr w:rsidR="00A360DB" w:rsidRPr="00A360DB" w14:paraId="5167442A" w14:textId="77777777" w:rsidTr="00A360DB">
        <w:trPr>
          <w:trHeight w:val="240"/>
        </w:trPr>
        <w:tc>
          <w:tcPr>
            <w:tcW w:w="1697" w:type="dxa"/>
            <w:tcBorders>
              <w:top w:val="nil"/>
              <w:left w:val="nil"/>
              <w:bottom w:val="nil"/>
              <w:right w:val="nil"/>
            </w:tcBorders>
            <w:shd w:val="clear" w:color="000000" w:fill="B4C6E7"/>
            <w:noWrap/>
            <w:vAlign w:val="bottom"/>
            <w:hideMark/>
          </w:tcPr>
          <w:p w14:paraId="311EBD0B"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A101401</w:t>
            </w:r>
          </w:p>
        </w:tc>
        <w:tc>
          <w:tcPr>
            <w:tcW w:w="8509" w:type="dxa"/>
            <w:tcBorders>
              <w:top w:val="nil"/>
              <w:left w:val="nil"/>
              <w:bottom w:val="nil"/>
              <w:right w:val="nil"/>
            </w:tcBorders>
            <w:shd w:val="clear" w:color="000000" w:fill="B4C6E7"/>
            <w:noWrap/>
            <w:vAlign w:val="bottom"/>
            <w:hideMark/>
          </w:tcPr>
          <w:p w14:paraId="03472E02"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Redovna djelatnost Turističke zajednice</w:t>
            </w:r>
          </w:p>
        </w:tc>
        <w:tc>
          <w:tcPr>
            <w:tcW w:w="1480" w:type="dxa"/>
            <w:tcBorders>
              <w:top w:val="nil"/>
              <w:left w:val="nil"/>
              <w:bottom w:val="nil"/>
              <w:right w:val="nil"/>
            </w:tcBorders>
            <w:shd w:val="clear" w:color="000000" w:fill="B4C6E7"/>
            <w:noWrap/>
            <w:vAlign w:val="bottom"/>
            <w:hideMark/>
          </w:tcPr>
          <w:p w14:paraId="5CBCC27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66.700,00</w:t>
            </w:r>
          </w:p>
        </w:tc>
        <w:tc>
          <w:tcPr>
            <w:tcW w:w="1380" w:type="dxa"/>
            <w:tcBorders>
              <w:top w:val="nil"/>
              <w:left w:val="nil"/>
              <w:bottom w:val="nil"/>
              <w:right w:val="nil"/>
            </w:tcBorders>
            <w:shd w:val="clear" w:color="000000" w:fill="B4C6E7"/>
            <w:noWrap/>
            <w:vAlign w:val="bottom"/>
            <w:hideMark/>
          </w:tcPr>
          <w:p w14:paraId="507E255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66.700,00</w:t>
            </w:r>
          </w:p>
        </w:tc>
        <w:tc>
          <w:tcPr>
            <w:tcW w:w="1400" w:type="dxa"/>
            <w:tcBorders>
              <w:top w:val="nil"/>
              <w:left w:val="nil"/>
              <w:bottom w:val="nil"/>
              <w:right w:val="nil"/>
            </w:tcBorders>
            <w:shd w:val="clear" w:color="000000" w:fill="B4C6E7"/>
            <w:noWrap/>
            <w:vAlign w:val="bottom"/>
            <w:hideMark/>
          </w:tcPr>
          <w:p w14:paraId="126BECC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r>
      <w:tr w:rsidR="00A360DB" w:rsidRPr="00A360DB" w14:paraId="576159D6"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1AEF01B"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2F3DDE0D"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63.500,00</w:t>
            </w:r>
          </w:p>
        </w:tc>
        <w:tc>
          <w:tcPr>
            <w:tcW w:w="1380" w:type="dxa"/>
            <w:tcBorders>
              <w:top w:val="nil"/>
              <w:left w:val="nil"/>
              <w:bottom w:val="nil"/>
              <w:right w:val="nil"/>
            </w:tcBorders>
            <w:shd w:val="clear" w:color="auto" w:fill="auto"/>
            <w:noWrap/>
            <w:vAlign w:val="bottom"/>
            <w:hideMark/>
          </w:tcPr>
          <w:p w14:paraId="737C72F0"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63.500,00</w:t>
            </w:r>
          </w:p>
        </w:tc>
        <w:tc>
          <w:tcPr>
            <w:tcW w:w="1400" w:type="dxa"/>
            <w:tcBorders>
              <w:top w:val="nil"/>
              <w:left w:val="nil"/>
              <w:bottom w:val="nil"/>
              <w:right w:val="nil"/>
            </w:tcBorders>
            <w:shd w:val="clear" w:color="auto" w:fill="auto"/>
            <w:noWrap/>
            <w:vAlign w:val="bottom"/>
            <w:hideMark/>
          </w:tcPr>
          <w:p w14:paraId="08524658"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w:t>
            </w:r>
          </w:p>
        </w:tc>
      </w:tr>
      <w:tr w:rsidR="00A360DB" w:rsidRPr="00A360DB" w14:paraId="347D5924"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CC0459A"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073AFD24"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63.500,00</w:t>
            </w:r>
          </w:p>
        </w:tc>
        <w:tc>
          <w:tcPr>
            <w:tcW w:w="1380" w:type="dxa"/>
            <w:tcBorders>
              <w:top w:val="nil"/>
              <w:left w:val="nil"/>
              <w:bottom w:val="nil"/>
              <w:right w:val="nil"/>
            </w:tcBorders>
            <w:shd w:val="clear" w:color="auto" w:fill="auto"/>
            <w:noWrap/>
            <w:vAlign w:val="bottom"/>
            <w:hideMark/>
          </w:tcPr>
          <w:p w14:paraId="7D0DF988"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63.500,00</w:t>
            </w:r>
          </w:p>
        </w:tc>
        <w:tc>
          <w:tcPr>
            <w:tcW w:w="1400" w:type="dxa"/>
            <w:tcBorders>
              <w:top w:val="nil"/>
              <w:left w:val="nil"/>
              <w:bottom w:val="nil"/>
              <w:right w:val="nil"/>
            </w:tcBorders>
            <w:shd w:val="clear" w:color="auto" w:fill="auto"/>
            <w:noWrap/>
            <w:vAlign w:val="bottom"/>
            <w:hideMark/>
          </w:tcPr>
          <w:p w14:paraId="1C2AE419"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w:t>
            </w:r>
          </w:p>
        </w:tc>
      </w:tr>
      <w:tr w:rsidR="00A360DB" w:rsidRPr="00A360DB" w14:paraId="6DC84283" w14:textId="77777777" w:rsidTr="00A360DB">
        <w:trPr>
          <w:trHeight w:val="240"/>
        </w:trPr>
        <w:tc>
          <w:tcPr>
            <w:tcW w:w="1697" w:type="dxa"/>
            <w:tcBorders>
              <w:top w:val="nil"/>
              <w:left w:val="nil"/>
              <w:bottom w:val="nil"/>
              <w:right w:val="nil"/>
            </w:tcBorders>
            <w:shd w:val="clear" w:color="auto" w:fill="auto"/>
            <w:noWrap/>
            <w:vAlign w:val="bottom"/>
            <w:hideMark/>
          </w:tcPr>
          <w:p w14:paraId="47D18D8C"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38</w:t>
            </w:r>
          </w:p>
        </w:tc>
        <w:tc>
          <w:tcPr>
            <w:tcW w:w="8509" w:type="dxa"/>
            <w:tcBorders>
              <w:top w:val="nil"/>
              <w:left w:val="nil"/>
              <w:bottom w:val="nil"/>
              <w:right w:val="nil"/>
            </w:tcBorders>
            <w:shd w:val="clear" w:color="auto" w:fill="auto"/>
            <w:noWrap/>
            <w:vAlign w:val="bottom"/>
            <w:hideMark/>
          </w:tcPr>
          <w:p w14:paraId="4D301B09"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Ostali rashodi                                                                                      </w:t>
            </w:r>
          </w:p>
        </w:tc>
        <w:tc>
          <w:tcPr>
            <w:tcW w:w="1480" w:type="dxa"/>
            <w:tcBorders>
              <w:top w:val="nil"/>
              <w:left w:val="nil"/>
              <w:bottom w:val="nil"/>
              <w:right w:val="nil"/>
            </w:tcBorders>
            <w:shd w:val="clear" w:color="auto" w:fill="auto"/>
            <w:noWrap/>
            <w:vAlign w:val="bottom"/>
            <w:hideMark/>
          </w:tcPr>
          <w:p w14:paraId="498A06A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63.500,00</w:t>
            </w:r>
          </w:p>
        </w:tc>
        <w:tc>
          <w:tcPr>
            <w:tcW w:w="1380" w:type="dxa"/>
            <w:tcBorders>
              <w:top w:val="nil"/>
              <w:left w:val="nil"/>
              <w:bottom w:val="nil"/>
              <w:right w:val="nil"/>
            </w:tcBorders>
            <w:shd w:val="clear" w:color="auto" w:fill="auto"/>
            <w:noWrap/>
            <w:vAlign w:val="bottom"/>
            <w:hideMark/>
          </w:tcPr>
          <w:p w14:paraId="4F2F15F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63.500,00</w:t>
            </w:r>
          </w:p>
        </w:tc>
        <w:tc>
          <w:tcPr>
            <w:tcW w:w="1400" w:type="dxa"/>
            <w:tcBorders>
              <w:top w:val="nil"/>
              <w:left w:val="nil"/>
              <w:bottom w:val="nil"/>
              <w:right w:val="nil"/>
            </w:tcBorders>
            <w:shd w:val="clear" w:color="auto" w:fill="auto"/>
            <w:noWrap/>
            <w:vAlign w:val="bottom"/>
            <w:hideMark/>
          </w:tcPr>
          <w:p w14:paraId="5C6A1C3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r>
      <w:tr w:rsidR="00A360DB" w:rsidRPr="00A360DB" w14:paraId="7B55B558" w14:textId="77777777" w:rsidTr="00A360DB">
        <w:trPr>
          <w:trHeight w:val="240"/>
        </w:trPr>
        <w:tc>
          <w:tcPr>
            <w:tcW w:w="1697" w:type="dxa"/>
            <w:tcBorders>
              <w:top w:val="nil"/>
              <w:left w:val="nil"/>
              <w:bottom w:val="nil"/>
              <w:right w:val="nil"/>
            </w:tcBorders>
            <w:shd w:val="clear" w:color="auto" w:fill="auto"/>
            <w:noWrap/>
            <w:vAlign w:val="bottom"/>
            <w:hideMark/>
          </w:tcPr>
          <w:p w14:paraId="36AC9D1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3811</w:t>
            </w:r>
          </w:p>
        </w:tc>
        <w:tc>
          <w:tcPr>
            <w:tcW w:w="8509" w:type="dxa"/>
            <w:tcBorders>
              <w:top w:val="nil"/>
              <w:left w:val="nil"/>
              <w:bottom w:val="nil"/>
              <w:right w:val="nil"/>
            </w:tcBorders>
            <w:shd w:val="clear" w:color="auto" w:fill="auto"/>
            <w:noWrap/>
            <w:vAlign w:val="bottom"/>
            <w:hideMark/>
          </w:tcPr>
          <w:p w14:paraId="17126A3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Tekuće donacije u novcu                                                                             </w:t>
            </w:r>
          </w:p>
        </w:tc>
        <w:tc>
          <w:tcPr>
            <w:tcW w:w="1480" w:type="dxa"/>
            <w:tcBorders>
              <w:top w:val="nil"/>
              <w:left w:val="nil"/>
              <w:bottom w:val="nil"/>
              <w:right w:val="nil"/>
            </w:tcBorders>
            <w:shd w:val="clear" w:color="auto" w:fill="auto"/>
            <w:noWrap/>
            <w:vAlign w:val="bottom"/>
            <w:hideMark/>
          </w:tcPr>
          <w:p w14:paraId="3881C667"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5A53203"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63.500,00</w:t>
            </w:r>
          </w:p>
        </w:tc>
        <w:tc>
          <w:tcPr>
            <w:tcW w:w="1400" w:type="dxa"/>
            <w:tcBorders>
              <w:top w:val="nil"/>
              <w:left w:val="nil"/>
              <w:bottom w:val="nil"/>
              <w:right w:val="nil"/>
            </w:tcBorders>
            <w:shd w:val="clear" w:color="auto" w:fill="auto"/>
            <w:noWrap/>
            <w:vAlign w:val="bottom"/>
            <w:hideMark/>
          </w:tcPr>
          <w:p w14:paraId="0D7C79B4"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5FE02B59"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221AF1B3"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9. Višak iz prethodnih razdoblja</w:t>
            </w:r>
          </w:p>
        </w:tc>
        <w:tc>
          <w:tcPr>
            <w:tcW w:w="1480" w:type="dxa"/>
            <w:tcBorders>
              <w:top w:val="nil"/>
              <w:left w:val="nil"/>
              <w:bottom w:val="nil"/>
              <w:right w:val="nil"/>
            </w:tcBorders>
            <w:shd w:val="clear" w:color="auto" w:fill="auto"/>
            <w:noWrap/>
            <w:vAlign w:val="bottom"/>
            <w:hideMark/>
          </w:tcPr>
          <w:p w14:paraId="7EB715E6"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3.200,00</w:t>
            </w:r>
          </w:p>
        </w:tc>
        <w:tc>
          <w:tcPr>
            <w:tcW w:w="1380" w:type="dxa"/>
            <w:tcBorders>
              <w:top w:val="nil"/>
              <w:left w:val="nil"/>
              <w:bottom w:val="nil"/>
              <w:right w:val="nil"/>
            </w:tcBorders>
            <w:shd w:val="clear" w:color="auto" w:fill="auto"/>
            <w:noWrap/>
            <w:vAlign w:val="bottom"/>
            <w:hideMark/>
          </w:tcPr>
          <w:p w14:paraId="50D00965"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3.200,00</w:t>
            </w:r>
          </w:p>
        </w:tc>
        <w:tc>
          <w:tcPr>
            <w:tcW w:w="1400" w:type="dxa"/>
            <w:tcBorders>
              <w:top w:val="nil"/>
              <w:left w:val="nil"/>
              <w:bottom w:val="nil"/>
              <w:right w:val="nil"/>
            </w:tcBorders>
            <w:shd w:val="clear" w:color="auto" w:fill="auto"/>
            <w:noWrap/>
            <w:vAlign w:val="bottom"/>
            <w:hideMark/>
          </w:tcPr>
          <w:p w14:paraId="580556CF"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w:t>
            </w:r>
          </w:p>
        </w:tc>
      </w:tr>
      <w:tr w:rsidR="00A360DB" w:rsidRPr="00A360DB" w14:paraId="00421A66"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35EBE19B"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9.2. Višak iz prethodnih godina - Grad</w:t>
            </w:r>
          </w:p>
        </w:tc>
        <w:tc>
          <w:tcPr>
            <w:tcW w:w="1480" w:type="dxa"/>
            <w:tcBorders>
              <w:top w:val="nil"/>
              <w:left w:val="nil"/>
              <w:bottom w:val="nil"/>
              <w:right w:val="nil"/>
            </w:tcBorders>
            <w:shd w:val="clear" w:color="auto" w:fill="auto"/>
            <w:noWrap/>
            <w:vAlign w:val="bottom"/>
            <w:hideMark/>
          </w:tcPr>
          <w:p w14:paraId="353ABCD8"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3.200,00</w:t>
            </w:r>
          </w:p>
        </w:tc>
        <w:tc>
          <w:tcPr>
            <w:tcW w:w="1380" w:type="dxa"/>
            <w:tcBorders>
              <w:top w:val="nil"/>
              <w:left w:val="nil"/>
              <w:bottom w:val="nil"/>
              <w:right w:val="nil"/>
            </w:tcBorders>
            <w:shd w:val="clear" w:color="auto" w:fill="auto"/>
            <w:noWrap/>
            <w:vAlign w:val="bottom"/>
            <w:hideMark/>
          </w:tcPr>
          <w:p w14:paraId="296B7387"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3.200,00</w:t>
            </w:r>
          </w:p>
        </w:tc>
        <w:tc>
          <w:tcPr>
            <w:tcW w:w="1400" w:type="dxa"/>
            <w:tcBorders>
              <w:top w:val="nil"/>
              <w:left w:val="nil"/>
              <w:bottom w:val="nil"/>
              <w:right w:val="nil"/>
            </w:tcBorders>
            <w:shd w:val="clear" w:color="auto" w:fill="auto"/>
            <w:noWrap/>
            <w:vAlign w:val="bottom"/>
            <w:hideMark/>
          </w:tcPr>
          <w:p w14:paraId="1A3BB958"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w:t>
            </w:r>
          </w:p>
        </w:tc>
      </w:tr>
      <w:tr w:rsidR="00A360DB" w:rsidRPr="00A360DB" w14:paraId="20C7320D" w14:textId="77777777" w:rsidTr="00A360DB">
        <w:trPr>
          <w:trHeight w:val="240"/>
        </w:trPr>
        <w:tc>
          <w:tcPr>
            <w:tcW w:w="1697" w:type="dxa"/>
            <w:tcBorders>
              <w:top w:val="nil"/>
              <w:left w:val="nil"/>
              <w:bottom w:val="nil"/>
              <w:right w:val="nil"/>
            </w:tcBorders>
            <w:shd w:val="clear" w:color="auto" w:fill="auto"/>
            <w:noWrap/>
            <w:vAlign w:val="bottom"/>
            <w:hideMark/>
          </w:tcPr>
          <w:p w14:paraId="02FB5BBA"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38</w:t>
            </w:r>
          </w:p>
        </w:tc>
        <w:tc>
          <w:tcPr>
            <w:tcW w:w="8509" w:type="dxa"/>
            <w:tcBorders>
              <w:top w:val="nil"/>
              <w:left w:val="nil"/>
              <w:bottom w:val="nil"/>
              <w:right w:val="nil"/>
            </w:tcBorders>
            <w:shd w:val="clear" w:color="auto" w:fill="auto"/>
            <w:noWrap/>
            <w:vAlign w:val="bottom"/>
            <w:hideMark/>
          </w:tcPr>
          <w:p w14:paraId="7FFAA989"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Ostali rashodi                                                                                      </w:t>
            </w:r>
          </w:p>
        </w:tc>
        <w:tc>
          <w:tcPr>
            <w:tcW w:w="1480" w:type="dxa"/>
            <w:tcBorders>
              <w:top w:val="nil"/>
              <w:left w:val="nil"/>
              <w:bottom w:val="nil"/>
              <w:right w:val="nil"/>
            </w:tcBorders>
            <w:shd w:val="clear" w:color="auto" w:fill="auto"/>
            <w:noWrap/>
            <w:vAlign w:val="bottom"/>
            <w:hideMark/>
          </w:tcPr>
          <w:p w14:paraId="4E46F97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3.200,00</w:t>
            </w:r>
          </w:p>
        </w:tc>
        <w:tc>
          <w:tcPr>
            <w:tcW w:w="1380" w:type="dxa"/>
            <w:tcBorders>
              <w:top w:val="nil"/>
              <w:left w:val="nil"/>
              <w:bottom w:val="nil"/>
              <w:right w:val="nil"/>
            </w:tcBorders>
            <w:shd w:val="clear" w:color="auto" w:fill="auto"/>
            <w:noWrap/>
            <w:vAlign w:val="bottom"/>
            <w:hideMark/>
          </w:tcPr>
          <w:p w14:paraId="13DD759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3.200,00</w:t>
            </w:r>
          </w:p>
        </w:tc>
        <w:tc>
          <w:tcPr>
            <w:tcW w:w="1400" w:type="dxa"/>
            <w:tcBorders>
              <w:top w:val="nil"/>
              <w:left w:val="nil"/>
              <w:bottom w:val="nil"/>
              <w:right w:val="nil"/>
            </w:tcBorders>
            <w:shd w:val="clear" w:color="auto" w:fill="auto"/>
            <w:noWrap/>
            <w:vAlign w:val="bottom"/>
            <w:hideMark/>
          </w:tcPr>
          <w:p w14:paraId="31F50B8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r>
      <w:tr w:rsidR="00A360DB" w:rsidRPr="00A360DB" w14:paraId="45A327BA" w14:textId="77777777" w:rsidTr="00A360DB">
        <w:trPr>
          <w:trHeight w:val="240"/>
        </w:trPr>
        <w:tc>
          <w:tcPr>
            <w:tcW w:w="1697" w:type="dxa"/>
            <w:tcBorders>
              <w:top w:val="nil"/>
              <w:left w:val="nil"/>
              <w:bottom w:val="nil"/>
              <w:right w:val="nil"/>
            </w:tcBorders>
            <w:shd w:val="clear" w:color="auto" w:fill="auto"/>
            <w:noWrap/>
            <w:vAlign w:val="bottom"/>
            <w:hideMark/>
          </w:tcPr>
          <w:p w14:paraId="14D7DC9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3811</w:t>
            </w:r>
          </w:p>
        </w:tc>
        <w:tc>
          <w:tcPr>
            <w:tcW w:w="8509" w:type="dxa"/>
            <w:tcBorders>
              <w:top w:val="nil"/>
              <w:left w:val="nil"/>
              <w:bottom w:val="nil"/>
              <w:right w:val="nil"/>
            </w:tcBorders>
            <w:shd w:val="clear" w:color="auto" w:fill="auto"/>
            <w:noWrap/>
            <w:vAlign w:val="bottom"/>
            <w:hideMark/>
          </w:tcPr>
          <w:p w14:paraId="383550D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Tekuće donacije u novcu                                                                             </w:t>
            </w:r>
          </w:p>
        </w:tc>
        <w:tc>
          <w:tcPr>
            <w:tcW w:w="1480" w:type="dxa"/>
            <w:tcBorders>
              <w:top w:val="nil"/>
              <w:left w:val="nil"/>
              <w:bottom w:val="nil"/>
              <w:right w:val="nil"/>
            </w:tcBorders>
            <w:shd w:val="clear" w:color="auto" w:fill="auto"/>
            <w:noWrap/>
            <w:vAlign w:val="bottom"/>
            <w:hideMark/>
          </w:tcPr>
          <w:p w14:paraId="706BEBE0"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744D60D"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2.000,00</w:t>
            </w:r>
          </w:p>
        </w:tc>
        <w:tc>
          <w:tcPr>
            <w:tcW w:w="1400" w:type="dxa"/>
            <w:tcBorders>
              <w:top w:val="nil"/>
              <w:left w:val="nil"/>
              <w:bottom w:val="nil"/>
              <w:right w:val="nil"/>
            </w:tcBorders>
            <w:shd w:val="clear" w:color="auto" w:fill="auto"/>
            <w:noWrap/>
            <w:vAlign w:val="bottom"/>
            <w:hideMark/>
          </w:tcPr>
          <w:p w14:paraId="26D49D4C"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0887A05" w14:textId="77777777" w:rsidTr="00A360DB">
        <w:trPr>
          <w:trHeight w:val="240"/>
        </w:trPr>
        <w:tc>
          <w:tcPr>
            <w:tcW w:w="1697" w:type="dxa"/>
            <w:tcBorders>
              <w:top w:val="nil"/>
              <w:left w:val="nil"/>
              <w:bottom w:val="nil"/>
              <w:right w:val="nil"/>
            </w:tcBorders>
            <w:shd w:val="clear" w:color="auto" w:fill="auto"/>
            <w:noWrap/>
            <w:vAlign w:val="bottom"/>
            <w:hideMark/>
          </w:tcPr>
          <w:p w14:paraId="1F37F07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3821</w:t>
            </w:r>
          </w:p>
        </w:tc>
        <w:tc>
          <w:tcPr>
            <w:tcW w:w="8509" w:type="dxa"/>
            <w:tcBorders>
              <w:top w:val="nil"/>
              <w:left w:val="nil"/>
              <w:bottom w:val="nil"/>
              <w:right w:val="nil"/>
            </w:tcBorders>
            <w:shd w:val="clear" w:color="auto" w:fill="auto"/>
            <w:noWrap/>
            <w:vAlign w:val="bottom"/>
            <w:hideMark/>
          </w:tcPr>
          <w:p w14:paraId="40112CF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Kapitalne donacije neprofitnim organizacijama                                                       </w:t>
            </w:r>
          </w:p>
        </w:tc>
        <w:tc>
          <w:tcPr>
            <w:tcW w:w="1480" w:type="dxa"/>
            <w:tcBorders>
              <w:top w:val="nil"/>
              <w:left w:val="nil"/>
              <w:bottom w:val="nil"/>
              <w:right w:val="nil"/>
            </w:tcBorders>
            <w:shd w:val="clear" w:color="auto" w:fill="auto"/>
            <w:noWrap/>
            <w:vAlign w:val="bottom"/>
            <w:hideMark/>
          </w:tcPr>
          <w:p w14:paraId="6DF800B6"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5E402A4B"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1.200,00</w:t>
            </w:r>
          </w:p>
        </w:tc>
        <w:tc>
          <w:tcPr>
            <w:tcW w:w="1400" w:type="dxa"/>
            <w:tcBorders>
              <w:top w:val="nil"/>
              <w:left w:val="nil"/>
              <w:bottom w:val="nil"/>
              <w:right w:val="nil"/>
            </w:tcBorders>
            <w:shd w:val="clear" w:color="auto" w:fill="auto"/>
            <w:noWrap/>
            <w:vAlign w:val="bottom"/>
            <w:hideMark/>
          </w:tcPr>
          <w:p w14:paraId="5EA379E7"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3A6229C" w14:textId="77777777" w:rsidTr="00A360DB">
        <w:trPr>
          <w:trHeight w:val="240"/>
        </w:trPr>
        <w:tc>
          <w:tcPr>
            <w:tcW w:w="1697" w:type="dxa"/>
            <w:tcBorders>
              <w:top w:val="nil"/>
              <w:left w:val="nil"/>
              <w:bottom w:val="nil"/>
              <w:right w:val="nil"/>
            </w:tcBorders>
            <w:shd w:val="clear" w:color="000000" w:fill="1D4BB3"/>
            <w:noWrap/>
            <w:vAlign w:val="bottom"/>
            <w:hideMark/>
          </w:tcPr>
          <w:p w14:paraId="4EBDE942" w14:textId="77777777" w:rsidR="00A360DB" w:rsidRPr="00A360DB" w:rsidRDefault="00A360DB" w:rsidP="00A360DB">
            <w:pPr>
              <w:spacing w:after="0" w:line="240" w:lineRule="auto"/>
              <w:rPr>
                <w:rFonts w:ascii="Arial" w:hAnsi="Arial" w:cs="Arial"/>
                <w:b/>
                <w:bCs/>
                <w:color w:val="FFFFFF"/>
                <w:sz w:val="18"/>
                <w:szCs w:val="18"/>
                <w:lang w:eastAsia="hr-HR"/>
              </w:rPr>
            </w:pPr>
            <w:r w:rsidRPr="00A360DB">
              <w:rPr>
                <w:rFonts w:ascii="Arial" w:hAnsi="Arial" w:cs="Arial"/>
                <w:b/>
                <w:bCs/>
                <w:color w:val="FFFFFF"/>
                <w:sz w:val="18"/>
                <w:szCs w:val="18"/>
                <w:lang w:eastAsia="hr-HR"/>
              </w:rPr>
              <w:t>1016</w:t>
            </w:r>
          </w:p>
        </w:tc>
        <w:tc>
          <w:tcPr>
            <w:tcW w:w="8509" w:type="dxa"/>
            <w:tcBorders>
              <w:top w:val="nil"/>
              <w:left w:val="nil"/>
              <w:bottom w:val="nil"/>
              <w:right w:val="nil"/>
            </w:tcBorders>
            <w:shd w:val="clear" w:color="000000" w:fill="1D4BB3"/>
            <w:noWrap/>
            <w:vAlign w:val="bottom"/>
            <w:hideMark/>
          </w:tcPr>
          <w:p w14:paraId="66AA61D7" w14:textId="77777777" w:rsidR="00A360DB" w:rsidRPr="00A360DB" w:rsidRDefault="00A360DB" w:rsidP="00A360DB">
            <w:pPr>
              <w:spacing w:after="0" w:line="240" w:lineRule="auto"/>
              <w:rPr>
                <w:rFonts w:ascii="Arial" w:hAnsi="Arial" w:cs="Arial"/>
                <w:b/>
                <w:bCs/>
                <w:color w:val="FFFFFF"/>
                <w:sz w:val="18"/>
                <w:szCs w:val="18"/>
                <w:lang w:eastAsia="hr-HR"/>
              </w:rPr>
            </w:pPr>
            <w:r w:rsidRPr="00A360DB">
              <w:rPr>
                <w:rFonts w:ascii="Arial" w:hAnsi="Arial" w:cs="Arial"/>
                <w:b/>
                <w:bCs/>
                <w:color w:val="FFFFFF"/>
                <w:sz w:val="18"/>
                <w:szCs w:val="18"/>
                <w:lang w:eastAsia="hr-HR"/>
              </w:rPr>
              <w:t>Program: Predškolsko obrazovanje</w:t>
            </w:r>
          </w:p>
        </w:tc>
        <w:tc>
          <w:tcPr>
            <w:tcW w:w="1480" w:type="dxa"/>
            <w:tcBorders>
              <w:top w:val="nil"/>
              <w:left w:val="nil"/>
              <w:bottom w:val="nil"/>
              <w:right w:val="nil"/>
            </w:tcBorders>
            <w:shd w:val="clear" w:color="000000" w:fill="1D4BB3"/>
            <w:noWrap/>
            <w:vAlign w:val="bottom"/>
            <w:hideMark/>
          </w:tcPr>
          <w:p w14:paraId="31785F48"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449.100,00</w:t>
            </w:r>
          </w:p>
        </w:tc>
        <w:tc>
          <w:tcPr>
            <w:tcW w:w="1380" w:type="dxa"/>
            <w:tcBorders>
              <w:top w:val="nil"/>
              <w:left w:val="nil"/>
              <w:bottom w:val="nil"/>
              <w:right w:val="nil"/>
            </w:tcBorders>
            <w:shd w:val="clear" w:color="000000" w:fill="1D4BB3"/>
            <w:noWrap/>
            <w:vAlign w:val="bottom"/>
            <w:hideMark/>
          </w:tcPr>
          <w:p w14:paraId="71EC0F64"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396.391,04</w:t>
            </w:r>
          </w:p>
        </w:tc>
        <w:tc>
          <w:tcPr>
            <w:tcW w:w="1400" w:type="dxa"/>
            <w:tcBorders>
              <w:top w:val="nil"/>
              <w:left w:val="nil"/>
              <w:bottom w:val="nil"/>
              <w:right w:val="nil"/>
            </w:tcBorders>
            <w:shd w:val="clear" w:color="000000" w:fill="1D4BB3"/>
            <w:noWrap/>
            <w:vAlign w:val="bottom"/>
            <w:hideMark/>
          </w:tcPr>
          <w:p w14:paraId="08175F0D"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88,26%</w:t>
            </w:r>
          </w:p>
        </w:tc>
      </w:tr>
      <w:tr w:rsidR="00A360DB" w:rsidRPr="00A360DB" w14:paraId="44E65081" w14:textId="77777777" w:rsidTr="00A360DB">
        <w:trPr>
          <w:trHeight w:val="240"/>
        </w:trPr>
        <w:tc>
          <w:tcPr>
            <w:tcW w:w="1697" w:type="dxa"/>
            <w:tcBorders>
              <w:top w:val="nil"/>
              <w:left w:val="nil"/>
              <w:bottom w:val="nil"/>
              <w:right w:val="nil"/>
            </w:tcBorders>
            <w:shd w:val="clear" w:color="000000" w:fill="B4C6E7"/>
            <w:noWrap/>
            <w:vAlign w:val="bottom"/>
            <w:hideMark/>
          </w:tcPr>
          <w:p w14:paraId="178A6695"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K101605</w:t>
            </w:r>
          </w:p>
        </w:tc>
        <w:tc>
          <w:tcPr>
            <w:tcW w:w="8509" w:type="dxa"/>
            <w:tcBorders>
              <w:top w:val="nil"/>
              <w:left w:val="nil"/>
              <w:bottom w:val="nil"/>
              <w:right w:val="nil"/>
            </w:tcBorders>
            <w:shd w:val="clear" w:color="000000" w:fill="B4C6E7"/>
            <w:noWrap/>
            <w:vAlign w:val="bottom"/>
            <w:hideMark/>
          </w:tcPr>
          <w:p w14:paraId="338E268A"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Kapitalni projekt: Dogradnja dječjeg vrtića "Maslačak"</w:t>
            </w:r>
          </w:p>
        </w:tc>
        <w:tc>
          <w:tcPr>
            <w:tcW w:w="1480" w:type="dxa"/>
            <w:tcBorders>
              <w:top w:val="nil"/>
              <w:left w:val="nil"/>
              <w:bottom w:val="nil"/>
              <w:right w:val="nil"/>
            </w:tcBorders>
            <w:shd w:val="clear" w:color="000000" w:fill="B4C6E7"/>
            <w:noWrap/>
            <w:vAlign w:val="bottom"/>
            <w:hideMark/>
          </w:tcPr>
          <w:p w14:paraId="6F694FC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85.000,00</w:t>
            </w:r>
          </w:p>
        </w:tc>
        <w:tc>
          <w:tcPr>
            <w:tcW w:w="1380" w:type="dxa"/>
            <w:tcBorders>
              <w:top w:val="nil"/>
              <w:left w:val="nil"/>
              <w:bottom w:val="nil"/>
              <w:right w:val="nil"/>
            </w:tcBorders>
            <w:shd w:val="clear" w:color="000000" w:fill="B4C6E7"/>
            <w:noWrap/>
            <w:vAlign w:val="bottom"/>
            <w:hideMark/>
          </w:tcPr>
          <w:p w14:paraId="36256DD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36.312,50</w:t>
            </w:r>
          </w:p>
        </w:tc>
        <w:tc>
          <w:tcPr>
            <w:tcW w:w="1400" w:type="dxa"/>
            <w:tcBorders>
              <w:top w:val="nil"/>
              <w:left w:val="nil"/>
              <w:bottom w:val="nil"/>
              <w:right w:val="nil"/>
            </w:tcBorders>
            <w:shd w:val="clear" w:color="000000" w:fill="B4C6E7"/>
            <w:noWrap/>
            <w:vAlign w:val="bottom"/>
            <w:hideMark/>
          </w:tcPr>
          <w:p w14:paraId="54F48D8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42,72%</w:t>
            </w:r>
          </w:p>
        </w:tc>
      </w:tr>
      <w:tr w:rsidR="00A360DB" w:rsidRPr="00A360DB" w14:paraId="7F5B2CF4"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52AB443F"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7. Prihodi od prodaje nefin. imovine</w:t>
            </w:r>
          </w:p>
        </w:tc>
        <w:tc>
          <w:tcPr>
            <w:tcW w:w="1480" w:type="dxa"/>
            <w:tcBorders>
              <w:top w:val="nil"/>
              <w:left w:val="nil"/>
              <w:bottom w:val="nil"/>
              <w:right w:val="nil"/>
            </w:tcBorders>
            <w:shd w:val="clear" w:color="auto" w:fill="auto"/>
            <w:noWrap/>
            <w:vAlign w:val="bottom"/>
            <w:hideMark/>
          </w:tcPr>
          <w:p w14:paraId="0F66077F"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35.000,00</w:t>
            </w:r>
          </w:p>
        </w:tc>
        <w:tc>
          <w:tcPr>
            <w:tcW w:w="1380" w:type="dxa"/>
            <w:tcBorders>
              <w:top w:val="nil"/>
              <w:left w:val="nil"/>
              <w:bottom w:val="nil"/>
              <w:right w:val="nil"/>
            </w:tcBorders>
            <w:shd w:val="clear" w:color="auto" w:fill="auto"/>
            <w:noWrap/>
            <w:vAlign w:val="bottom"/>
            <w:hideMark/>
          </w:tcPr>
          <w:p w14:paraId="583A481C"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0,00</w:t>
            </w:r>
          </w:p>
        </w:tc>
        <w:tc>
          <w:tcPr>
            <w:tcW w:w="1400" w:type="dxa"/>
            <w:tcBorders>
              <w:top w:val="nil"/>
              <w:left w:val="nil"/>
              <w:bottom w:val="nil"/>
              <w:right w:val="nil"/>
            </w:tcBorders>
            <w:shd w:val="clear" w:color="auto" w:fill="auto"/>
            <w:noWrap/>
            <w:vAlign w:val="bottom"/>
            <w:hideMark/>
          </w:tcPr>
          <w:p w14:paraId="4EED441F"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0,00%</w:t>
            </w:r>
          </w:p>
        </w:tc>
      </w:tr>
      <w:tr w:rsidR="00A360DB" w:rsidRPr="00A360DB" w14:paraId="6341AD7C"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7D888B8"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 xml:space="preserve">Izvor 7.1. Prihodi od prodaje </w:t>
            </w:r>
            <w:proofErr w:type="spellStart"/>
            <w:r w:rsidRPr="00A360DB">
              <w:rPr>
                <w:rFonts w:ascii="Arial" w:hAnsi="Arial" w:cs="Arial"/>
                <w:color w:val="333333"/>
                <w:sz w:val="18"/>
                <w:szCs w:val="18"/>
                <w:lang w:eastAsia="hr-HR"/>
              </w:rPr>
              <w:t>nef</w:t>
            </w:r>
            <w:proofErr w:type="spellEnd"/>
            <w:r w:rsidRPr="00A360DB">
              <w:rPr>
                <w:rFonts w:ascii="Arial" w:hAnsi="Arial" w:cs="Arial"/>
                <w:color w:val="333333"/>
                <w:sz w:val="18"/>
                <w:szCs w:val="18"/>
                <w:lang w:eastAsia="hr-HR"/>
              </w:rPr>
              <w:t>. imovine</w:t>
            </w:r>
          </w:p>
        </w:tc>
        <w:tc>
          <w:tcPr>
            <w:tcW w:w="1480" w:type="dxa"/>
            <w:tcBorders>
              <w:top w:val="nil"/>
              <w:left w:val="nil"/>
              <w:bottom w:val="nil"/>
              <w:right w:val="nil"/>
            </w:tcBorders>
            <w:shd w:val="clear" w:color="auto" w:fill="auto"/>
            <w:noWrap/>
            <w:vAlign w:val="bottom"/>
            <w:hideMark/>
          </w:tcPr>
          <w:p w14:paraId="7901F340"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35.000,00</w:t>
            </w:r>
          </w:p>
        </w:tc>
        <w:tc>
          <w:tcPr>
            <w:tcW w:w="1380" w:type="dxa"/>
            <w:tcBorders>
              <w:top w:val="nil"/>
              <w:left w:val="nil"/>
              <w:bottom w:val="nil"/>
              <w:right w:val="nil"/>
            </w:tcBorders>
            <w:shd w:val="clear" w:color="auto" w:fill="auto"/>
            <w:noWrap/>
            <w:vAlign w:val="bottom"/>
            <w:hideMark/>
          </w:tcPr>
          <w:p w14:paraId="5ADDDA7B"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0,00</w:t>
            </w:r>
          </w:p>
        </w:tc>
        <w:tc>
          <w:tcPr>
            <w:tcW w:w="1400" w:type="dxa"/>
            <w:tcBorders>
              <w:top w:val="nil"/>
              <w:left w:val="nil"/>
              <w:bottom w:val="nil"/>
              <w:right w:val="nil"/>
            </w:tcBorders>
            <w:shd w:val="clear" w:color="auto" w:fill="auto"/>
            <w:noWrap/>
            <w:vAlign w:val="bottom"/>
            <w:hideMark/>
          </w:tcPr>
          <w:p w14:paraId="0C1380D2"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0,00%</w:t>
            </w:r>
          </w:p>
        </w:tc>
      </w:tr>
      <w:tr w:rsidR="00A360DB" w:rsidRPr="00A360DB" w14:paraId="347D51F1" w14:textId="77777777" w:rsidTr="00A360DB">
        <w:trPr>
          <w:trHeight w:val="240"/>
        </w:trPr>
        <w:tc>
          <w:tcPr>
            <w:tcW w:w="1697" w:type="dxa"/>
            <w:tcBorders>
              <w:top w:val="nil"/>
              <w:left w:val="nil"/>
              <w:bottom w:val="nil"/>
              <w:right w:val="nil"/>
            </w:tcBorders>
            <w:shd w:val="clear" w:color="auto" w:fill="auto"/>
            <w:noWrap/>
            <w:vAlign w:val="bottom"/>
            <w:hideMark/>
          </w:tcPr>
          <w:p w14:paraId="69A96CE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41</w:t>
            </w:r>
          </w:p>
        </w:tc>
        <w:tc>
          <w:tcPr>
            <w:tcW w:w="8509" w:type="dxa"/>
            <w:tcBorders>
              <w:top w:val="nil"/>
              <w:left w:val="nil"/>
              <w:bottom w:val="nil"/>
              <w:right w:val="nil"/>
            </w:tcBorders>
            <w:shd w:val="clear" w:color="auto" w:fill="auto"/>
            <w:noWrap/>
            <w:vAlign w:val="bottom"/>
            <w:hideMark/>
          </w:tcPr>
          <w:p w14:paraId="23C3A140"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nabavu </w:t>
            </w:r>
            <w:proofErr w:type="spellStart"/>
            <w:r w:rsidRPr="00A360DB">
              <w:rPr>
                <w:rFonts w:ascii="Arial" w:hAnsi="Arial" w:cs="Arial"/>
                <w:b/>
                <w:bCs/>
                <w:sz w:val="18"/>
                <w:szCs w:val="18"/>
                <w:lang w:eastAsia="hr-HR"/>
              </w:rPr>
              <w:t>neproizvedene</w:t>
            </w:r>
            <w:proofErr w:type="spellEnd"/>
            <w:r w:rsidRPr="00A360DB">
              <w:rPr>
                <w:rFonts w:ascii="Arial" w:hAnsi="Arial" w:cs="Arial"/>
                <w:b/>
                <w:bCs/>
                <w:sz w:val="18"/>
                <w:szCs w:val="18"/>
                <w:lang w:eastAsia="hr-HR"/>
              </w:rPr>
              <w:t xml:space="preserve"> dugotrajne imovine                                                  </w:t>
            </w:r>
          </w:p>
        </w:tc>
        <w:tc>
          <w:tcPr>
            <w:tcW w:w="1480" w:type="dxa"/>
            <w:tcBorders>
              <w:top w:val="nil"/>
              <w:left w:val="nil"/>
              <w:bottom w:val="nil"/>
              <w:right w:val="nil"/>
            </w:tcBorders>
            <w:shd w:val="clear" w:color="auto" w:fill="auto"/>
            <w:noWrap/>
            <w:vAlign w:val="bottom"/>
            <w:hideMark/>
          </w:tcPr>
          <w:p w14:paraId="230DEB1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35.000,00</w:t>
            </w:r>
          </w:p>
        </w:tc>
        <w:tc>
          <w:tcPr>
            <w:tcW w:w="1380" w:type="dxa"/>
            <w:tcBorders>
              <w:top w:val="nil"/>
              <w:left w:val="nil"/>
              <w:bottom w:val="nil"/>
              <w:right w:val="nil"/>
            </w:tcBorders>
            <w:shd w:val="clear" w:color="auto" w:fill="auto"/>
            <w:noWrap/>
            <w:vAlign w:val="bottom"/>
            <w:hideMark/>
          </w:tcPr>
          <w:p w14:paraId="6800BF3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c>
          <w:tcPr>
            <w:tcW w:w="1400" w:type="dxa"/>
            <w:tcBorders>
              <w:top w:val="nil"/>
              <w:left w:val="nil"/>
              <w:bottom w:val="nil"/>
              <w:right w:val="nil"/>
            </w:tcBorders>
            <w:shd w:val="clear" w:color="auto" w:fill="auto"/>
            <w:noWrap/>
            <w:vAlign w:val="bottom"/>
            <w:hideMark/>
          </w:tcPr>
          <w:p w14:paraId="7FB3EC4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r>
      <w:tr w:rsidR="00A360DB" w:rsidRPr="00A360DB" w14:paraId="7B2C00F9"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6BD49B7"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8. Namjenski primici /od fin. imovine i zaduživanja</w:t>
            </w:r>
          </w:p>
        </w:tc>
        <w:tc>
          <w:tcPr>
            <w:tcW w:w="1480" w:type="dxa"/>
            <w:tcBorders>
              <w:top w:val="nil"/>
              <w:left w:val="nil"/>
              <w:bottom w:val="nil"/>
              <w:right w:val="nil"/>
            </w:tcBorders>
            <w:shd w:val="clear" w:color="auto" w:fill="auto"/>
            <w:noWrap/>
            <w:vAlign w:val="bottom"/>
            <w:hideMark/>
          </w:tcPr>
          <w:p w14:paraId="66C1D00A"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50.000,00</w:t>
            </w:r>
          </w:p>
        </w:tc>
        <w:tc>
          <w:tcPr>
            <w:tcW w:w="1380" w:type="dxa"/>
            <w:tcBorders>
              <w:top w:val="nil"/>
              <w:left w:val="nil"/>
              <w:bottom w:val="nil"/>
              <w:right w:val="nil"/>
            </w:tcBorders>
            <w:shd w:val="clear" w:color="auto" w:fill="auto"/>
            <w:noWrap/>
            <w:vAlign w:val="bottom"/>
            <w:hideMark/>
          </w:tcPr>
          <w:p w14:paraId="3456F250"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36.312,50</w:t>
            </w:r>
          </w:p>
        </w:tc>
        <w:tc>
          <w:tcPr>
            <w:tcW w:w="1400" w:type="dxa"/>
            <w:tcBorders>
              <w:top w:val="nil"/>
              <w:left w:val="nil"/>
              <w:bottom w:val="nil"/>
              <w:right w:val="nil"/>
            </w:tcBorders>
            <w:shd w:val="clear" w:color="auto" w:fill="auto"/>
            <w:noWrap/>
            <w:vAlign w:val="bottom"/>
            <w:hideMark/>
          </w:tcPr>
          <w:p w14:paraId="069AC95F"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72,63%</w:t>
            </w:r>
          </w:p>
        </w:tc>
      </w:tr>
      <w:tr w:rsidR="00A360DB" w:rsidRPr="00A360DB" w14:paraId="347000BD"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22E4AE3"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 xml:space="preserve">Izvor 8.1. Namjenski primici /od fin. imovine i zaduživanja </w:t>
            </w:r>
          </w:p>
        </w:tc>
        <w:tc>
          <w:tcPr>
            <w:tcW w:w="1480" w:type="dxa"/>
            <w:tcBorders>
              <w:top w:val="nil"/>
              <w:left w:val="nil"/>
              <w:bottom w:val="nil"/>
              <w:right w:val="nil"/>
            </w:tcBorders>
            <w:shd w:val="clear" w:color="auto" w:fill="auto"/>
            <w:noWrap/>
            <w:vAlign w:val="bottom"/>
            <w:hideMark/>
          </w:tcPr>
          <w:p w14:paraId="24FBDF2D"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50.000,00</w:t>
            </w:r>
          </w:p>
        </w:tc>
        <w:tc>
          <w:tcPr>
            <w:tcW w:w="1380" w:type="dxa"/>
            <w:tcBorders>
              <w:top w:val="nil"/>
              <w:left w:val="nil"/>
              <w:bottom w:val="nil"/>
              <w:right w:val="nil"/>
            </w:tcBorders>
            <w:shd w:val="clear" w:color="auto" w:fill="auto"/>
            <w:noWrap/>
            <w:vAlign w:val="bottom"/>
            <w:hideMark/>
          </w:tcPr>
          <w:p w14:paraId="6DAD8CB9"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36.312,50</w:t>
            </w:r>
          </w:p>
        </w:tc>
        <w:tc>
          <w:tcPr>
            <w:tcW w:w="1400" w:type="dxa"/>
            <w:tcBorders>
              <w:top w:val="nil"/>
              <w:left w:val="nil"/>
              <w:bottom w:val="nil"/>
              <w:right w:val="nil"/>
            </w:tcBorders>
            <w:shd w:val="clear" w:color="auto" w:fill="auto"/>
            <w:noWrap/>
            <w:vAlign w:val="bottom"/>
            <w:hideMark/>
          </w:tcPr>
          <w:p w14:paraId="35FC8B12"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72,63%</w:t>
            </w:r>
          </w:p>
        </w:tc>
      </w:tr>
      <w:tr w:rsidR="00A360DB" w:rsidRPr="00A360DB" w14:paraId="20751271" w14:textId="77777777" w:rsidTr="00A360DB">
        <w:trPr>
          <w:trHeight w:val="240"/>
        </w:trPr>
        <w:tc>
          <w:tcPr>
            <w:tcW w:w="1697" w:type="dxa"/>
            <w:tcBorders>
              <w:top w:val="nil"/>
              <w:left w:val="nil"/>
              <w:bottom w:val="nil"/>
              <w:right w:val="nil"/>
            </w:tcBorders>
            <w:shd w:val="clear" w:color="auto" w:fill="auto"/>
            <w:noWrap/>
            <w:vAlign w:val="bottom"/>
            <w:hideMark/>
          </w:tcPr>
          <w:p w14:paraId="47D92C4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41</w:t>
            </w:r>
          </w:p>
        </w:tc>
        <w:tc>
          <w:tcPr>
            <w:tcW w:w="8509" w:type="dxa"/>
            <w:tcBorders>
              <w:top w:val="nil"/>
              <w:left w:val="nil"/>
              <w:bottom w:val="nil"/>
              <w:right w:val="nil"/>
            </w:tcBorders>
            <w:shd w:val="clear" w:color="auto" w:fill="auto"/>
            <w:noWrap/>
            <w:vAlign w:val="bottom"/>
            <w:hideMark/>
          </w:tcPr>
          <w:p w14:paraId="71845C8F"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nabavu </w:t>
            </w:r>
            <w:proofErr w:type="spellStart"/>
            <w:r w:rsidRPr="00A360DB">
              <w:rPr>
                <w:rFonts w:ascii="Arial" w:hAnsi="Arial" w:cs="Arial"/>
                <w:b/>
                <w:bCs/>
                <w:sz w:val="18"/>
                <w:szCs w:val="18"/>
                <w:lang w:eastAsia="hr-HR"/>
              </w:rPr>
              <w:t>neproizvedene</w:t>
            </w:r>
            <w:proofErr w:type="spellEnd"/>
            <w:r w:rsidRPr="00A360DB">
              <w:rPr>
                <w:rFonts w:ascii="Arial" w:hAnsi="Arial" w:cs="Arial"/>
                <w:b/>
                <w:bCs/>
                <w:sz w:val="18"/>
                <w:szCs w:val="18"/>
                <w:lang w:eastAsia="hr-HR"/>
              </w:rPr>
              <w:t xml:space="preserve"> dugotrajne imovine                                                  </w:t>
            </w:r>
          </w:p>
        </w:tc>
        <w:tc>
          <w:tcPr>
            <w:tcW w:w="1480" w:type="dxa"/>
            <w:tcBorders>
              <w:top w:val="nil"/>
              <w:left w:val="nil"/>
              <w:bottom w:val="nil"/>
              <w:right w:val="nil"/>
            </w:tcBorders>
            <w:shd w:val="clear" w:color="auto" w:fill="auto"/>
            <w:noWrap/>
            <w:vAlign w:val="bottom"/>
            <w:hideMark/>
          </w:tcPr>
          <w:p w14:paraId="7DDFBFB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50.000,00</w:t>
            </w:r>
          </w:p>
        </w:tc>
        <w:tc>
          <w:tcPr>
            <w:tcW w:w="1380" w:type="dxa"/>
            <w:tcBorders>
              <w:top w:val="nil"/>
              <w:left w:val="nil"/>
              <w:bottom w:val="nil"/>
              <w:right w:val="nil"/>
            </w:tcBorders>
            <w:shd w:val="clear" w:color="auto" w:fill="auto"/>
            <w:noWrap/>
            <w:vAlign w:val="bottom"/>
            <w:hideMark/>
          </w:tcPr>
          <w:p w14:paraId="0BCA29A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36.312,50</w:t>
            </w:r>
          </w:p>
        </w:tc>
        <w:tc>
          <w:tcPr>
            <w:tcW w:w="1400" w:type="dxa"/>
            <w:tcBorders>
              <w:top w:val="nil"/>
              <w:left w:val="nil"/>
              <w:bottom w:val="nil"/>
              <w:right w:val="nil"/>
            </w:tcBorders>
            <w:shd w:val="clear" w:color="auto" w:fill="auto"/>
            <w:noWrap/>
            <w:vAlign w:val="bottom"/>
            <w:hideMark/>
          </w:tcPr>
          <w:p w14:paraId="65AC5CE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72,63%</w:t>
            </w:r>
          </w:p>
        </w:tc>
      </w:tr>
      <w:tr w:rsidR="00A360DB" w:rsidRPr="00A360DB" w14:paraId="4394866B" w14:textId="77777777" w:rsidTr="00A360DB">
        <w:trPr>
          <w:trHeight w:val="240"/>
        </w:trPr>
        <w:tc>
          <w:tcPr>
            <w:tcW w:w="1697" w:type="dxa"/>
            <w:tcBorders>
              <w:top w:val="nil"/>
              <w:left w:val="nil"/>
              <w:bottom w:val="nil"/>
              <w:right w:val="nil"/>
            </w:tcBorders>
            <w:shd w:val="clear" w:color="auto" w:fill="auto"/>
            <w:noWrap/>
            <w:vAlign w:val="bottom"/>
            <w:hideMark/>
          </w:tcPr>
          <w:p w14:paraId="46512A9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4124</w:t>
            </w:r>
          </w:p>
        </w:tc>
        <w:tc>
          <w:tcPr>
            <w:tcW w:w="8509" w:type="dxa"/>
            <w:tcBorders>
              <w:top w:val="nil"/>
              <w:left w:val="nil"/>
              <w:bottom w:val="nil"/>
              <w:right w:val="nil"/>
            </w:tcBorders>
            <w:shd w:val="clear" w:color="auto" w:fill="auto"/>
            <w:noWrap/>
            <w:vAlign w:val="bottom"/>
            <w:hideMark/>
          </w:tcPr>
          <w:p w14:paraId="32DB4C1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Ostala prava                                                                                        </w:t>
            </w:r>
          </w:p>
        </w:tc>
        <w:tc>
          <w:tcPr>
            <w:tcW w:w="1480" w:type="dxa"/>
            <w:tcBorders>
              <w:top w:val="nil"/>
              <w:left w:val="nil"/>
              <w:bottom w:val="nil"/>
              <w:right w:val="nil"/>
            </w:tcBorders>
            <w:shd w:val="clear" w:color="auto" w:fill="auto"/>
            <w:noWrap/>
            <w:vAlign w:val="bottom"/>
            <w:hideMark/>
          </w:tcPr>
          <w:p w14:paraId="22026CB7"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52116CF7"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36.312,50</w:t>
            </w:r>
          </w:p>
        </w:tc>
        <w:tc>
          <w:tcPr>
            <w:tcW w:w="1400" w:type="dxa"/>
            <w:tcBorders>
              <w:top w:val="nil"/>
              <w:left w:val="nil"/>
              <w:bottom w:val="nil"/>
              <w:right w:val="nil"/>
            </w:tcBorders>
            <w:shd w:val="clear" w:color="auto" w:fill="auto"/>
            <w:noWrap/>
            <w:vAlign w:val="bottom"/>
            <w:hideMark/>
          </w:tcPr>
          <w:p w14:paraId="018E1A53"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0C6AC51" w14:textId="77777777" w:rsidTr="00A360DB">
        <w:trPr>
          <w:trHeight w:val="240"/>
        </w:trPr>
        <w:tc>
          <w:tcPr>
            <w:tcW w:w="1697" w:type="dxa"/>
            <w:tcBorders>
              <w:top w:val="nil"/>
              <w:left w:val="nil"/>
              <w:bottom w:val="nil"/>
              <w:right w:val="nil"/>
            </w:tcBorders>
            <w:shd w:val="clear" w:color="000000" w:fill="B4C6E7"/>
            <w:noWrap/>
            <w:vAlign w:val="bottom"/>
            <w:hideMark/>
          </w:tcPr>
          <w:p w14:paraId="33F58D6A"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K101606</w:t>
            </w:r>
          </w:p>
        </w:tc>
        <w:tc>
          <w:tcPr>
            <w:tcW w:w="8509" w:type="dxa"/>
            <w:tcBorders>
              <w:top w:val="nil"/>
              <w:left w:val="nil"/>
              <w:bottom w:val="nil"/>
              <w:right w:val="nil"/>
            </w:tcBorders>
            <w:shd w:val="clear" w:color="000000" w:fill="B4C6E7"/>
            <w:noWrap/>
            <w:vAlign w:val="bottom"/>
            <w:hideMark/>
          </w:tcPr>
          <w:p w14:paraId="6E3EF8F1"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Kapitalni projekt: Obnova dječjeg vrtića "Maslačak"  - objekt na adresi Petra Svačića 11D, Garešnica - Faza I</w:t>
            </w:r>
          </w:p>
        </w:tc>
        <w:tc>
          <w:tcPr>
            <w:tcW w:w="1480" w:type="dxa"/>
            <w:tcBorders>
              <w:top w:val="nil"/>
              <w:left w:val="nil"/>
              <w:bottom w:val="nil"/>
              <w:right w:val="nil"/>
            </w:tcBorders>
            <w:shd w:val="clear" w:color="000000" w:fill="B4C6E7"/>
            <w:noWrap/>
            <w:vAlign w:val="bottom"/>
            <w:hideMark/>
          </w:tcPr>
          <w:p w14:paraId="00E122C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364.100,00</w:t>
            </w:r>
          </w:p>
        </w:tc>
        <w:tc>
          <w:tcPr>
            <w:tcW w:w="1380" w:type="dxa"/>
            <w:tcBorders>
              <w:top w:val="nil"/>
              <w:left w:val="nil"/>
              <w:bottom w:val="nil"/>
              <w:right w:val="nil"/>
            </w:tcBorders>
            <w:shd w:val="clear" w:color="000000" w:fill="B4C6E7"/>
            <w:noWrap/>
            <w:vAlign w:val="bottom"/>
            <w:hideMark/>
          </w:tcPr>
          <w:p w14:paraId="5800BFA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360.078,54</w:t>
            </w:r>
          </w:p>
        </w:tc>
        <w:tc>
          <w:tcPr>
            <w:tcW w:w="1400" w:type="dxa"/>
            <w:tcBorders>
              <w:top w:val="nil"/>
              <w:left w:val="nil"/>
              <w:bottom w:val="nil"/>
              <w:right w:val="nil"/>
            </w:tcBorders>
            <w:shd w:val="clear" w:color="000000" w:fill="B4C6E7"/>
            <w:noWrap/>
            <w:vAlign w:val="bottom"/>
            <w:hideMark/>
          </w:tcPr>
          <w:p w14:paraId="2FC557D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98,90%</w:t>
            </w:r>
          </w:p>
        </w:tc>
      </w:tr>
      <w:tr w:rsidR="00A360DB" w:rsidRPr="00A360DB" w14:paraId="578FA67C"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20CD6C87"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03C94D5D"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49.100,00</w:t>
            </w:r>
          </w:p>
        </w:tc>
        <w:tc>
          <w:tcPr>
            <w:tcW w:w="1380" w:type="dxa"/>
            <w:tcBorders>
              <w:top w:val="nil"/>
              <w:left w:val="nil"/>
              <w:bottom w:val="nil"/>
              <w:right w:val="nil"/>
            </w:tcBorders>
            <w:shd w:val="clear" w:color="auto" w:fill="auto"/>
            <w:noWrap/>
            <w:vAlign w:val="bottom"/>
            <w:hideMark/>
          </w:tcPr>
          <w:p w14:paraId="5CA9A5DA"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45.361,18</w:t>
            </w:r>
          </w:p>
        </w:tc>
        <w:tc>
          <w:tcPr>
            <w:tcW w:w="1400" w:type="dxa"/>
            <w:tcBorders>
              <w:top w:val="nil"/>
              <w:left w:val="nil"/>
              <w:bottom w:val="nil"/>
              <w:right w:val="nil"/>
            </w:tcBorders>
            <w:shd w:val="clear" w:color="auto" w:fill="auto"/>
            <w:noWrap/>
            <w:vAlign w:val="bottom"/>
            <w:hideMark/>
          </w:tcPr>
          <w:p w14:paraId="734C7775"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92,39%</w:t>
            </w:r>
          </w:p>
        </w:tc>
      </w:tr>
      <w:tr w:rsidR="00A360DB" w:rsidRPr="00A360DB" w14:paraId="3609F96E"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3CF2BAF0"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46FA6580"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49.100,00</w:t>
            </w:r>
          </w:p>
        </w:tc>
        <w:tc>
          <w:tcPr>
            <w:tcW w:w="1380" w:type="dxa"/>
            <w:tcBorders>
              <w:top w:val="nil"/>
              <w:left w:val="nil"/>
              <w:bottom w:val="nil"/>
              <w:right w:val="nil"/>
            </w:tcBorders>
            <w:shd w:val="clear" w:color="auto" w:fill="auto"/>
            <w:noWrap/>
            <w:vAlign w:val="bottom"/>
            <w:hideMark/>
          </w:tcPr>
          <w:p w14:paraId="0F14B0F3"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45.361,18</w:t>
            </w:r>
          </w:p>
        </w:tc>
        <w:tc>
          <w:tcPr>
            <w:tcW w:w="1400" w:type="dxa"/>
            <w:tcBorders>
              <w:top w:val="nil"/>
              <w:left w:val="nil"/>
              <w:bottom w:val="nil"/>
              <w:right w:val="nil"/>
            </w:tcBorders>
            <w:shd w:val="clear" w:color="auto" w:fill="auto"/>
            <w:noWrap/>
            <w:vAlign w:val="bottom"/>
            <w:hideMark/>
          </w:tcPr>
          <w:p w14:paraId="27D51EC3"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92,39%</w:t>
            </w:r>
          </w:p>
        </w:tc>
      </w:tr>
      <w:tr w:rsidR="00A360DB" w:rsidRPr="00A360DB" w14:paraId="361212A7" w14:textId="77777777" w:rsidTr="00A360DB">
        <w:trPr>
          <w:trHeight w:val="240"/>
        </w:trPr>
        <w:tc>
          <w:tcPr>
            <w:tcW w:w="1697" w:type="dxa"/>
            <w:tcBorders>
              <w:top w:val="nil"/>
              <w:left w:val="nil"/>
              <w:bottom w:val="nil"/>
              <w:right w:val="nil"/>
            </w:tcBorders>
            <w:shd w:val="clear" w:color="auto" w:fill="auto"/>
            <w:noWrap/>
            <w:vAlign w:val="bottom"/>
            <w:hideMark/>
          </w:tcPr>
          <w:p w14:paraId="37B2BB97"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41</w:t>
            </w:r>
          </w:p>
        </w:tc>
        <w:tc>
          <w:tcPr>
            <w:tcW w:w="8509" w:type="dxa"/>
            <w:tcBorders>
              <w:top w:val="nil"/>
              <w:left w:val="nil"/>
              <w:bottom w:val="nil"/>
              <w:right w:val="nil"/>
            </w:tcBorders>
            <w:shd w:val="clear" w:color="auto" w:fill="auto"/>
            <w:noWrap/>
            <w:vAlign w:val="bottom"/>
            <w:hideMark/>
          </w:tcPr>
          <w:p w14:paraId="5ED36665"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nabavu </w:t>
            </w:r>
            <w:proofErr w:type="spellStart"/>
            <w:r w:rsidRPr="00A360DB">
              <w:rPr>
                <w:rFonts w:ascii="Arial" w:hAnsi="Arial" w:cs="Arial"/>
                <w:b/>
                <w:bCs/>
                <w:sz w:val="18"/>
                <w:szCs w:val="18"/>
                <w:lang w:eastAsia="hr-HR"/>
              </w:rPr>
              <w:t>neproizvedene</w:t>
            </w:r>
            <w:proofErr w:type="spellEnd"/>
            <w:r w:rsidRPr="00A360DB">
              <w:rPr>
                <w:rFonts w:ascii="Arial" w:hAnsi="Arial" w:cs="Arial"/>
                <w:b/>
                <w:bCs/>
                <w:sz w:val="18"/>
                <w:szCs w:val="18"/>
                <w:lang w:eastAsia="hr-HR"/>
              </w:rPr>
              <w:t xml:space="preserve"> dugotrajne imovine                                                  </w:t>
            </w:r>
          </w:p>
        </w:tc>
        <w:tc>
          <w:tcPr>
            <w:tcW w:w="1480" w:type="dxa"/>
            <w:tcBorders>
              <w:top w:val="nil"/>
              <w:left w:val="nil"/>
              <w:bottom w:val="nil"/>
              <w:right w:val="nil"/>
            </w:tcBorders>
            <w:shd w:val="clear" w:color="auto" w:fill="auto"/>
            <w:noWrap/>
            <w:vAlign w:val="bottom"/>
            <w:hideMark/>
          </w:tcPr>
          <w:p w14:paraId="6F0C290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49.100,00</w:t>
            </w:r>
          </w:p>
        </w:tc>
        <w:tc>
          <w:tcPr>
            <w:tcW w:w="1380" w:type="dxa"/>
            <w:tcBorders>
              <w:top w:val="nil"/>
              <w:left w:val="nil"/>
              <w:bottom w:val="nil"/>
              <w:right w:val="nil"/>
            </w:tcBorders>
            <w:shd w:val="clear" w:color="auto" w:fill="auto"/>
            <w:noWrap/>
            <w:vAlign w:val="bottom"/>
            <w:hideMark/>
          </w:tcPr>
          <w:p w14:paraId="408EC07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45.361,18</w:t>
            </w:r>
          </w:p>
        </w:tc>
        <w:tc>
          <w:tcPr>
            <w:tcW w:w="1400" w:type="dxa"/>
            <w:tcBorders>
              <w:top w:val="nil"/>
              <w:left w:val="nil"/>
              <w:bottom w:val="nil"/>
              <w:right w:val="nil"/>
            </w:tcBorders>
            <w:shd w:val="clear" w:color="auto" w:fill="auto"/>
            <w:noWrap/>
            <w:vAlign w:val="bottom"/>
            <w:hideMark/>
          </w:tcPr>
          <w:p w14:paraId="3F79933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92,39%</w:t>
            </w:r>
          </w:p>
        </w:tc>
      </w:tr>
      <w:tr w:rsidR="00A360DB" w:rsidRPr="00A360DB" w14:paraId="03329BE8" w14:textId="77777777" w:rsidTr="00A360DB">
        <w:trPr>
          <w:trHeight w:val="240"/>
        </w:trPr>
        <w:tc>
          <w:tcPr>
            <w:tcW w:w="1697" w:type="dxa"/>
            <w:tcBorders>
              <w:top w:val="nil"/>
              <w:left w:val="nil"/>
              <w:bottom w:val="nil"/>
              <w:right w:val="nil"/>
            </w:tcBorders>
            <w:shd w:val="clear" w:color="auto" w:fill="auto"/>
            <w:noWrap/>
            <w:vAlign w:val="bottom"/>
            <w:hideMark/>
          </w:tcPr>
          <w:p w14:paraId="6E6270C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4124</w:t>
            </w:r>
          </w:p>
        </w:tc>
        <w:tc>
          <w:tcPr>
            <w:tcW w:w="8509" w:type="dxa"/>
            <w:tcBorders>
              <w:top w:val="nil"/>
              <w:left w:val="nil"/>
              <w:bottom w:val="nil"/>
              <w:right w:val="nil"/>
            </w:tcBorders>
            <w:shd w:val="clear" w:color="auto" w:fill="auto"/>
            <w:noWrap/>
            <w:vAlign w:val="bottom"/>
            <w:hideMark/>
          </w:tcPr>
          <w:p w14:paraId="518E440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Ostala prava                                                                                        </w:t>
            </w:r>
          </w:p>
        </w:tc>
        <w:tc>
          <w:tcPr>
            <w:tcW w:w="1480" w:type="dxa"/>
            <w:tcBorders>
              <w:top w:val="nil"/>
              <w:left w:val="nil"/>
              <w:bottom w:val="nil"/>
              <w:right w:val="nil"/>
            </w:tcBorders>
            <w:shd w:val="clear" w:color="auto" w:fill="auto"/>
            <w:noWrap/>
            <w:vAlign w:val="bottom"/>
            <w:hideMark/>
          </w:tcPr>
          <w:p w14:paraId="59D4E5E9"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5784F0E9"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45.361,18</w:t>
            </w:r>
          </w:p>
        </w:tc>
        <w:tc>
          <w:tcPr>
            <w:tcW w:w="1400" w:type="dxa"/>
            <w:tcBorders>
              <w:top w:val="nil"/>
              <w:left w:val="nil"/>
              <w:bottom w:val="nil"/>
              <w:right w:val="nil"/>
            </w:tcBorders>
            <w:shd w:val="clear" w:color="auto" w:fill="auto"/>
            <w:noWrap/>
            <w:vAlign w:val="bottom"/>
            <w:hideMark/>
          </w:tcPr>
          <w:p w14:paraId="221B0F9C"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54E5CB5"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793CAA7"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5. Pomoći</w:t>
            </w:r>
          </w:p>
        </w:tc>
        <w:tc>
          <w:tcPr>
            <w:tcW w:w="1480" w:type="dxa"/>
            <w:tcBorders>
              <w:top w:val="nil"/>
              <w:left w:val="nil"/>
              <w:bottom w:val="nil"/>
              <w:right w:val="nil"/>
            </w:tcBorders>
            <w:shd w:val="clear" w:color="auto" w:fill="auto"/>
            <w:noWrap/>
            <w:vAlign w:val="bottom"/>
            <w:hideMark/>
          </w:tcPr>
          <w:p w14:paraId="0BD24B6E"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70.000,00</w:t>
            </w:r>
          </w:p>
        </w:tc>
        <w:tc>
          <w:tcPr>
            <w:tcW w:w="1380" w:type="dxa"/>
            <w:tcBorders>
              <w:top w:val="nil"/>
              <w:left w:val="nil"/>
              <w:bottom w:val="nil"/>
              <w:right w:val="nil"/>
            </w:tcBorders>
            <w:shd w:val="clear" w:color="auto" w:fill="auto"/>
            <w:noWrap/>
            <w:vAlign w:val="bottom"/>
            <w:hideMark/>
          </w:tcPr>
          <w:p w14:paraId="1DA46E8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69.717,36</w:t>
            </w:r>
          </w:p>
        </w:tc>
        <w:tc>
          <w:tcPr>
            <w:tcW w:w="1400" w:type="dxa"/>
            <w:tcBorders>
              <w:top w:val="nil"/>
              <w:left w:val="nil"/>
              <w:bottom w:val="nil"/>
              <w:right w:val="nil"/>
            </w:tcBorders>
            <w:shd w:val="clear" w:color="auto" w:fill="auto"/>
            <w:noWrap/>
            <w:vAlign w:val="bottom"/>
            <w:hideMark/>
          </w:tcPr>
          <w:p w14:paraId="4830703B"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99,60%</w:t>
            </w:r>
          </w:p>
        </w:tc>
      </w:tr>
      <w:tr w:rsidR="00A360DB" w:rsidRPr="00A360DB" w14:paraId="79917983"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2A4733FE"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5.2. Državni proračun</w:t>
            </w:r>
          </w:p>
        </w:tc>
        <w:tc>
          <w:tcPr>
            <w:tcW w:w="1480" w:type="dxa"/>
            <w:tcBorders>
              <w:top w:val="nil"/>
              <w:left w:val="nil"/>
              <w:bottom w:val="nil"/>
              <w:right w:val="nil"/>
            </w:tcBorders>
            <w:shd w:val="clear" w:color="auto" w:fill="auto"/>
            <w:noWrap/>
            <w:vAlign w:val="bottom"/>
            <w:hideMark/>
          </w:tcPr>
          <w:p w14:paraId="08A25F82"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70.000,00</w:t>
            </w:r>
          </w:p>
        </w:tc>
        <w:tc>
          <w:tcPr>
            <w:tcW w:w="1380" w:type="dxa"/>
            <w:tcBorders>
              <w:top w:val="nil"/>
              <w:left w:val="nil"/>
              <w:bottom w:val="nil"/>
              <w:right w:val="nil"/>
            </w:tcBorders>
            <w:shd w:val="clear" w:color="auto" w:fill="auto"/>
            <w:noWrap/>
            <w:vAlign w:val="bottom"/>
            <w:hideMark/>
          </w:tcPr>
          <w:p w14:paraId="5836B599"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69.717,36</w:t>
            </w:r>
          </w:p>
        </w:tc>
        <w:tc>
          <w:tcPr>
            <w:tcW w:w="1400" w:type="dxa"/>
            <w:tcBorders>
              <w:top w:val="nil"/>
              <w:left w:val="nil"/>
              <w:bottom w:val="nil"/>
              <w:right w:val="nil"/>
            </w:tcBorders>
            <w:shd w:val="clear" w:color="auto" w:fill="auto"/>
            <w:noWrap/>
            <w:vAlign w:val="bottom"/>
            <w:hideMark/>
          </w:tcPr>
          <w:p w14:paraId="45E19156"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99,60%</w:t>
            </w:r>
          </w:p>
        </w:tc>
      </w:tr>
      <w:tr w:rsidR="00A360DB" w:rsidRPr="00A360DB" w14:paraId="715FE80B" w14:textId="77777777" w:rsidTr="00A360DB">
        <w:trPr>
          <w:trHeight w:val="240"/>
        </w:trPr>
        <w:tc>
          <w:tcPr>
            <w:tcW w:w="1697" w:type="dxa"/>
            <w:tcBorders>
              <w:top w:val="nil"/>
              <w:left w:val="nil"/>
              <w:bottom w:val="nil"/>
              <w:right w:val="nil"/>
            </w:tcBorders>
            <w:shd w:val="clear" w:color="auto" w:fill="auto"/>
            <w:noWrap/>
            <w:vAlign w:val="bottom"/>
            <w:hideMark/>
          </w:tcPr>
          <w:p w14:paraId="5CEF9EA8"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41</w:t>
            </w:r>
          </w:p>
        </w:tc>
        <w:tc>
          <w:tcPr>
            <w:tcW w:w="8509" w:type="dxa"/>
            <w:tcBorders>
              <w:top w:val="nil"/>
              <w:left w:val="nil"/>
              <w:bottom w:val="nil"/>
              <w:right w:val="nil"/>
            </w:tcBorders>
            <w:shd w:val="clear" w:color="auto" w:fill="auto"/>
            <w:noWrap/>
            <w:vAlign w:val="bottom"/>
            <w:hideMark/>
          </w:tcPr>
          <w:p w14:paraId="6FA68DD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nabavu </w:t>
            </w:r>
            <w:proofErr w:type="spellStart"/>
            <w:r w:rsidRPr="00A360DB">
              <w:rPr>
                <w:rFonts w:ascii="Arial" w:hAnsi="Arial" w:cs="Arial"/>
                <w:b/>
                <w:bCs/>
                <w:sz w:val="18"/>
                <w:szCs w:val="18"/>
                <w:lang w:eastAsia="hr-HR"/>
              </w:rPr>
              <w:t>neproizvedene</w:t>
            </w:r>
            <w:proofErr w:type="spellEnd"/>
            <w:r w:rsidRPr="00A360DB">
              <w:rPr>
                <w:rFonts w:ascii="Arial" w:hAnsi="Arial" w:cs="Arial"/>
                <w:b/>
                <w:bCs/>
                <w:sz w:val="18"/>
                <w:szCs w:val="18"/>
                <w:lang w:eastAsia="hr-HR"/>
              </w:rPr>
              <w:t xml:space="preserve"> dugotrajne imovine                                                  </w:t>
            </w:r>
          </w:p>
        </w:tc>
        <w:tc>
          <w:tcPr>
            <w:tcW w:w="1480" w:type="dxa"/>
            <w:tcBorders>
              <w:top w:val="nil"/>
              <w:left w:val="nil"/>
              <w:bottom w:val="nil"/>
              <w:right w:val="nil"/>
            </w:tcBorders>
            <w:shd w:val="clear" w:color="auto" w:fill="auto"/>
            <w:noWrap/>
            <w:vAlign w:val="bottom"/>
            <w:hideMark/>
          </w:tcPr>
          <w:p w14:paraId="639C3FC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70.000,00</w:t>
            </w:r>
          </w:p>
        </w:tc>
        <w:tc>
          <w:tcPr>
            <w:tcW w:w="1380" w:type="dxa"/>
            <w:tcBorders>
              <w:top w:val="nil"/>
              <w:left w:val="nil"/>
              <w:bottom w:val="nil"/>
              <w:right w:val="nil"/>
            </w:tcBorders>
            <w:shd w:val="clear" w:color="auto" w:fill="auto"/>
            <w:noWrap/>
            <w:vAlign w:val="bottom"/>
            <w:hideMark/>
          </w:tcPr>
          <w:p w14:paraId="7C47AB0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69.717,36</w:t>
            </w:r>
          </w:p>
        </w:tc>
        <w:tc>
          <w:tcPr>
            <w:tcW w:w="1400" w:type="dxa"/>
            <w:tcBorders>
              <w:top w:val="nil"/>
              <w:left w:val="nil"/>
              <w:bottom w:val="nil"/>
              <w:right w:val="nil"/>
            </w:tcBorders>
            <w:shd w:val="clear" w:color="auto" w:fill="auto"/>
            <w:noWrap/>
            <w:vAlign w:val="bottom"/>
            <w:hideMark/>
          </w:tcPr>
          <w:p w14:paraId="64782CE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99,60%</w:t>
            </w:r>
          </w:p>
        </w:tc>
      </w:tr>
      <w:tr w:rsidR="00A360DB" w:rsidRPr="00A360DB" w14:paraId="430B94A5" w14:textId="77777777" w:rsidTr="00A360DB">
        <w:trPr>
          <w:trHeight w:val="240"/>
        </w:trPr>
        <w:tc>
          <w:tcPr>
            <w:tcW w:w="1697" w:type="dxa"/>
            <w:tcBorders>
              <w:top w:val="nil"/>
              <w:left w:val="nil"/>
              <w:bottom w:val="nil"/>
              <w:right w:val="nil"/>
            </w:tcBorders>
            <w:shd w:val="clear" w:color="auto" w:fill="auto"/>
            <w:noWrap/>
            <w:vAlign w:val="bottom"/>
            <w:hideMark/>
          </w:tcPr>
          <w:p w14:paraId="0755E27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4124</w:t>
            </w:r>
          </w:p>
        </w:tc>
        <w:tc>
          <w:tcPr>
            <w:tcW w:w="8509" w:type="dxa"/>
            <w:tcBorders>
              <w:top w:val="nil"/>
              <w:left w:val="nil"/>
              <w:bottom w:val="nil"/>
              <w:right w:val="nil"/>
            </w:tcBorders>
            <w:shd w:val="clear" w:color="auto" w:fill="auto"/>
            <w:noWrap/>
            <w:vAlign w:val="bottom"/>
            <w:hideMark/>
          </w:tcPr>
          <w:p w14:paraId="04DCA0A8"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Ostala prava                                                                                        </w:t>
            </w:r>
          </w:p>
        </w:tc>
        <w:tc>
          <w:tcPr>
            <w:tcW w:w="1480" w:type="dxa"/>
            <w:tcBorders>
              <w:top w:val="nil"/>
              <w:left w:val="nil"/>
              <w:bottom w:val="nil"/>
              <w:right w:val="nil"/>
            </w:tcBorders>
            <w:shd w:val="clear" w:color="auto" w:fill="auto"/>
            <w:noWrap/>
            <w:vAlign w:val="bottom"/>
            <w:hideMark/>
          </w:tcPr>
          <w:p w14:paraId="1F0C08D4"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2BBB5E8B"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69.717,36</w:t>
            </w:r>
          </w:p>
        </w:tc>
        <w:tc>
          <w:tcPr>
            <w:tcW w:w="1400" w:type="dxa"/>
            <w:tcBorders>
              <w:top w:val="nil"/>
              <w:left w:val="nil"/>
              <w:bottom w:val="nil"/>
              <w:right w:val="nil"/>
            </w:tcBorders>
            <w:shd w:val="clear" w:color="auto" w:fill="auto"/>
            <w:noWrap/>
            <w:vAlign w:val="bottom"/>
            <w:hideMark/>
          </w:tcPr>
          <w:p w14:paraId="4E26D6CF"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07E69BF"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2E5268CA"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8. Namjenski primici /od fin. imovine i zaduživanja</w:t>
            </w:r>
          </w:p>
        </w:tc>
        <w:tc>
          <w:tcPr>
            <w:tcW w:w="1480" w:type="dxa"/>
            <w:tcBorders>
              <w:top w:val="nil"/>
              <w:left w:val="nil"/>
              <w:bottom w:val="nil"/>
              <w:right w:val="nil"/>
            </w:tcBorders>
            <w:shd w:val="clear" w:color="auto" w:fill="auto"/>
            <w:noWrap/>
            <w:vAlign w:val="bottom"/>
            <w:hideMark/>
          </w:tcPr>
          <w:p w14:paraId="2A8AE7F9"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245.000,00</w:t>
            </w:r>
          </w:p>
        </w:tc>
        <w:tc>
          <w:tcPr>
            <w:tcW w:w="1380" w:type="dxa"/>
            <w:tcBorders>
              <w:top w:val="nil"/>
              <w:left w:val="nil"/>
              <w:bottom w:val="nil"/>
              <w:right w:val="nil"/>
            </w:tcBorders>
            <w:shd w:val="clear" w:color="auto" w:fill="auto"/>
            <w:noWrap/>
            <w:vAlign w:val="bottom"/>
            <w:hideMark/>
          </w:tcPr>
          <w:p w14:paraId="2DF20616"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245.000,00</w:t>
            </w:r>
          </w:p>
        </w:tc>
        <w:tc>
          <w:tcPr>
            <w:tcW w:w="1400" w:type="dxa"/>
            <w:tcBorders>
              <w:top w:val="nil"/>
              <w:left w:val="nil"/>
              <w:bottom w:val="nil"/>
              <w:right w:val="nil"/>
            </w:tcBorders>
            <w:shd w:val="clear" w:color="auto" w:fill="auto"/>
            <w:noWrap/>
            <w:vAlign w:val="bottom"/>
            <w:hideMark/>
          </w:tcPr>
          <w:p w14:paraId="38E05089"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w:t>
            </w:r>
          </w:p>
        </w:tc>
      </w:tr>
      <w:tr w:rsidR="00A360DB" w:rsidRPr="00A360DB" w14:paraId="1FF04141"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5CAB6CEC"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lastRenderedPageBreak/>
              <w:t xml:space="preserve">Izvor 8.1. Namjenski primici /od fin. imovine i zaduživanja </w:t>
            </w:r>
          </w:p>
        </w:tc>
        <w:tc>
          <w:tcPr>
            <w:tcW w:w="1480" w:type="dxa"/>
            <w:tcBorders>
              <w:top w:val="nil"/>
              <w:left w:val="nil"/>
              <w:bottom w:val="nil"/>
              <w:right w:val="nil"/>
            </w:tcBorders>
            <w:shd w:val="clear" w:color="auto" w:fill="auto"/>
            <w:noWrap/>
            <w:vAlign w:val="bottom"/>
            <w:hideMark/>
          </w:tcPr>
          <w:p w14:paraId="377E7DD7"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245.000,00</w:t>
            </w:r>
          </w:p>
        </w:tc>
        <w:tc>
          <w:tcPr>
            <w:tcW w:w="1380" w:type="dxa"/>
            <w:tcBorders>
              <w:top w:val="nil"/>
              <w:left w:val="nil"/>
              <w:bottom w:val="nil"/>
              <w:right w:val="nil"/>
            </w:tcBorders>
            <w:shd w:val="clear" w:color="auto" w:fill="auto"/>
            <w:noWrap/>
            <w:vAlign w:val="bottom"/>
            <w:hideMark/>
          </w:tcPr>
          <w:p w14:paraId="0AAE6E5C"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245.000,00</w:t>
            </w:r>
          </w:p>
        </w:tc>
        <w:tc>
          <w:tcPr>
            <w:tcW w:w="1400" w:type="dxa"/>
            <w:tcBorders>
              <w:top w:val="nil"/>
              <w:left w:val="nil"/>
              <w:bottom w:val="nil"/>
              <w:right w:val="nil"/>
            </w:tcBorders>
            <w:shd w:val="clear" w:color="auto" w:fill="auto"/>
            <w:noWrap/>
            <w:vAlign w:val="bottom"/>
            <w:hideMark/>
          </w:tcPr>
          <w:p w14:paraId="60CC7D50"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w:t>
            </w:r>
          </w:p>
        </w:tc>
      </w:tr>
      <w:tr w:rsidR="00A360DB" w:rsidRPr="00A360DB" w14:paraId="6CAD7895" w14:textId="77777777" w:rsidTr="00A360DB">
        <w:trPr>
          <w:trHeight w:val="240"/>
        </w:trPr>
        <w:tc>
          <w:tcPr>
            <w:tcW w:w="1697" w:type="dxa"/>
            <w:tcBorders>
              <w:top w:val="nil"/>
              <w:left w:val="nil"/>
              <w:bottom w:val="nil"/>
              <w:right w:val="nil"/>
            </w:tcBorders>
            <w:shd w:val="clear" w:color="auto" w:fill="auto"/>
            <w:noWrap/>
            <w:vAlign w:val="bottom"/>
            <w:hideMark/>
          </w:tcPr>
          <w:p w14:paraId="5F041043"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41</w:t>
            </w:r>
          </w:p>
        </w:tc>
        <w:tc>
          <w:tcPr>
            <w:tcW w:w="8509" w:type="dxa"/>
            <w:tcBorders>
              <w:top w:val="nil"/>
              <w:left w:val="nil"/>
              <w:bottom w:val="nil"/>
              <w:right w:val="nil"/>
            </w:tcBorders>
            <w:shd w:val="clear" w:color="auto" w:fill="auto"/>
            <w:noWrap/>
            <w:vAlign w:val="bottom"/>
            <w:hideMark/>
          </w:tcPr>
          <w:p w14:paraId="39F0B647"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nabavu </w:t>
            </w:r>
            <w:proofErr w:type="spellStart"/>
            <w:r w:rsidRPr="00A360DB">
              <w:rPr>
                <w:rFonts w:ascii="Arial" w:hAnsi="Arial" w:cs="Arial"/>
                <w:b/>
                <w:bCs/>
                <w:sz w:val="18"/>
                <w:szCs w:val="18"/>
                <w:lang w:eastAsia="hr-HR"/>
              </w:rPr>
              <w:t>neproizvedene</w:t>
            </w:r>
            <w:proofErr w:type="spellEnd"/>
            <w:r w:rsidRPr="00A360DB">
              <w:rPr>
                <w:rFonts w:ascii="Arial" w:hAnsi="Arial" w:cs="Arial"/>
                <w:b/>
                <w:bCs/>
                <w:sz w:val="18"/>
                <w:szCs w:val="18"/>
                <w:lang w:eastAsia="hr-HR"/>
              </w:rPr>
              <w:t xml:space="preserve"> dugotrajne imovine                                                  </w:t>
            </w:r>
          </w:p>
        </w:tc>
        <w:tc>
          <w:tcPr>
            <w:tcW w:w="1480" w:type="dxa"/>
            <w:tcBorders>
              <w:top w:val="nil"/>
              <w:left w:val="nil"/>
              <w:bottom w:val="nil"/>
              <w:right w:val="nil"/>
            </w:tcBorders>
            <w:shd w:val="clear" w:color="auto" w:fill="auto"/>
            <w:noWrap/>
            <w:vAlign w:val="bottom"/>
            <w:hideMark/>
          </w:tcPr>
          <w:p w14:paraId="628D96C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245.000,00</w:t>
            </w:r>
          </w:p>
        </w:tc>
        <w:tc>
          <w:tcPr>
            <w:tcW w:w="1380" w:type="dxa"/>
            <w:tcBorders>
              <w:top w:val="nil"/>
              <w:left w:val="nil"/>
              <w:bottom w:val="nil"/>
              <w:right w:val="nil"/>
            </w:tcBorders>
            <w:shd w:val="clear" w:color="auto" w:fill="auto"/>
            <w:noWrap/>
            <w:vAlign w:val="bottom"/>
            <w:hideMark/>
          </w:tcPr>
          <w:p w14:paraId="6CDD8FE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245.000,00</w:t>
            </w:r>
          </w:p>
        </w:tc>
        <w:tc>
          <w:tcPr>
            <w:tcW w:w="1400" w:type="dxa"/>
            <w:tcBorders>
              <w:top w:val="nil"/>
              <w:left w:val="nil"/>
              <w:bottom w:val="nil"/>
              <w:right w:val="nil"/>
            </w:tcBorders>
            <w:shd w:val="clear" w:color="auto" w:fill="auto"/>
            <w:noWrap/>
            <w:vAlign w:val="bottom"/>
            <w:hideMark/>
          </w:tcPr>
          <w:p w14:paraId="0AE7762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r>
      <w:tr w:rsidR="00A360DB" w:rsidRPr="00A360DB" w14:paraId="4F94469D" w14:textId="77777777" w:rsidTr="00A360DB">
        <w:trPr>
          <w:trHeight w:val="240"/>
        </w:trPr>
        <w:tc>
          <w:tcPr>
            <w:tcW w:w="1697" w:type="dxa"/>
            <w:tcBorders>
              <w:top w:val="nil"/>
              <w:left w:val="nil"/>
              <w:bottom w:val="nil"/>
              <w:right w:val="nil"/>
            </w:tcBorders>
            <w:shd w:val="clear" w:color="auto" w:fill="auto"/>
            <w:noWrap/>
            <w:vAlign w:val="bottom"/>
            <w:hideMark/>
          </w:tcPr>
          <w:p w14:paraId="55F7DCF8"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4124</w:t>
            </w:r>
          </w:p>
        </w:tc>
        <w:tc>
          <w:tcPr>
            <w:tcW w:w="8509" w:type="dxa"/>
            <w:tcBorders>
              <w:top w:val="nil"/>
              <w:left w:val="nil"/>
              <w:bottom w:val="nil"/>
              <w:right w:val="nil"/>
            </w:tcBorders>
            <w:shd w:val="clear" w:color="auto" w:fill="auto"/>
            <w:noWrap/>
            <w:vAlign w:val="bottom"/>
            <w:hideMark/>
          </w:tcPr>
          <w:p w14:paraId="20E50537"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Ostala prava                                                                                        </w:t>
            </w:r>
          </w:p>
        </w:tc>
        <w:tc>
          <w:tcPr>
            <w:tcW w:w="1480" w:type="dxa"/>
            <w:tcBorders>
              <w:top w:val="nil"/>
              <w:left w:val="nil"/>
              <w:bottom w:val="nil"/>
              <w:right w:val="nil"/>
            </w:tcBorders>
            <w:shd w:val="clear" w:color="auto" w:fill="auto"/>
            <w:noWrap/>
            <w:vAlign w:val="bottom"/>
            <w:hideMark/>
          </w:tcPr>
          <w:p w14:paraId="0D05D0C5"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326DB7A"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245.000,00</w:t>
            </w:r>
          </w:p>
        </w:tc>
        <w:tc>
          <w:tcPr>
            <w:tcW w:w="1400" w:type="dxa"/>
            <w:tcBorders>
              <w:top w:val="nil"/>
              <w:left w:val="nil"/>
              <w:bottom w:val="nil"/>
              <w:right w:val="nil"/>
            </w:tcBorders>
            <w:shd w:val="clear" w:color="auto" w:fill="auto"/>
            <w:noWrap/>
            <w:vAlign w:val="bottom"/>
            <w:hideMark/>
          </w:tcPr>
          <w:p w14:paraId="74BE9CDA"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E8E9184" w14:textId="77777777" w:rsidTr="00A360DB">
        <w:trPr>
          <w:trHeight w:val="240"/>
        </w:trPr>
        <w:tc>
          <w:tcPr>
            <w:tcW w:w="1697" w:type="dxa"/>
            <w:tcBorders>
              <w:top w:val="nil"/>
              <w:left w:val="nil"/>
              <w:bottom w:val="nil"/>
              <w:right w:val="nil"/>
            </w:tcBorders>
            <w:shd w:val="clear" w:color="000000" w:fill="1D4BB3"/>
            <w:noWrap/>
            <w:vAlign w:val="bottom"/>
            <w:hideMark/>
          </w:tcPr>
          <w:p w14:paraId="0665D2C6" w14:textId="77777777" w:rsidR="00A360DB" w:rsidRPr="00A360DB" w:rsidRDefault="00A360DB" w:rsidP="00A360DB">
            <w:pPr>
              <w:spacing w:after="0" w:line="240" w:lineRule="auto"/>
              <w:rPr>
                <w:rFonts w:ascii="Arial" w:hAnsi="Arial" w:cs="Arial"/>
                <w:b/>
                <w:bCs/>
                <w:color w:val="FFFFFF"/>
                <w:sz w:val="18"/>
                <w:szCs w:val="18"/>
                <w:lang w:eastAsia="hr-HR"/>
              </w:rPr>
            </w:pPr>
            <w:r w:rsidRPr="00A360DB">
              <w:rPr>
                <w:rFonts w:ascii="Arial" w:hAnsi="Arial" w:cs="Arial"/>
                <w:b/>
                <w:bCs/>
                <w:color w:val="FFFFFF"/>
                <w:sz w:val="18"/>
                <w:szCs w:val="18"/>
                <w:lang w:eastAsia="hr-HR"/>
              </w:rPr>
              <w:t>1017</w:t>
            </w:r>
          </w:p>
        </w:tc>
        <w:tc>
          <w:tcPr>
            <w:tcW w:w="8509" w:type="dxa"/>
            <w:tcBorders>
              <w:top w:val="nil"/>
              <w:left w:val="nil"/>
              <w:bottom w:val="nil"/>
              <w:right w:val="nil"/>
            </w:tcBorders>
            <w:shd w:val="clear" w:color="000000" w:fill="1D4BB3"/>
            <w:noWrap/>
            <w:vAlign w:val="bottom"/>
            <w:hideMark/>
          </w:tcPr>
          <w:p w14:paraId="0B53B253" w14:textId="77777777" w:rsidR="00A360DB" w:rsidRPr="00A360DB" w:rsidRDefault="00A360DB" w:rsidP="00A360DB">
            <w:pPr>
              <w:spacing w:after="0" w:line="240" w:lineRule="auto"/>
              <w:rPr>
                <w:rFonts w:ascii="Arial" w:hAnsi="Arial" w:cs="Arial"/>
                <w:b/>
                <w:bCs/>
                <w:color w:val="FFFFFF"/>
                <w:sz w:val="18"/>
                <w:szCs w:val="18"/>
                <w:lang w:eastAsia="hr-HR"/>
              </w:rPr>
            </w:pPr>
            <w:r w:rsidRPr="00A360DB">
              <w:rPr>
                <w:rFonts w:ascii="Arial" w:hAnsi="Arial" w:cs="Arial"/>
                <w:b/>
                <w:bCs/>
                <w:color w:val="FFFFFF"/>
                <w:sz w:val="18"/>
                <w:szCs w:val="18"/>
                <w:lang w:eastAsia="hr-HR"/>
              </w:rPr>
              <w:t>Program: Poticajne mjere demografske obnove</w:t>
            </w:r>
          </w:p>
        </w:tc>
        <w:tc>
          <w:tcPr>
            <w:tcW w:w="1480" w:type="dxa"/>
            <w:tcBorders>
              <w:top w:val="nil"/>
              <w:left w:val="nil"/>
              <w:bottom w:val="nil"/>
              <w:right w:val="nil"/>
            </w:tcBorders>
            <w:shd w:val="clear" w:color="000000" w:fill="1D4BB3"/>
            <w:noWrap/>
            <w:vAlign w:val="bottom"/>
            <w:hideMark/>
          </w:tcPr>
          <w:p w14:paraId="24ECDD11"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30.600,00</w:t>
            </w:r>
          </w:p>
        </w:tc>
        <w:tc>
          <w:tcPr>
            <w:tcW w:w="1380" w:type="dxa"/>
            <w:tcBorders>
              <w:top w:val="nil"/>
              <w:left w:val="nil"/>
              <w:bottom w:val="nil"/>
              <w:right w:val="nil"/>
            </w:tcBorders>
            <w:shd w:val="clear" w:color="000000" w:fill="1D4BB3"/>
            <w:noWrap/>
            <w:vAlign w:val="bottom"/>
            <w:hideMark/>
          </w:tcPr>
          <w:p w14:paraId="2DE99085"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27.072,80</w:t>
            </w:r>
          </w:p>
        </w:tc>
        <w:tc>
          <w:tcPr>
            <w:tcW w:w="1400" w:type="dxa"/>
            <w:tcBorders>
              <w:top w:val="nil"/>
              <w:left w:val="nil"/>
              <w:bottom w:val="nil"/>
              <w:right w:val="nil"/>
            </w:tcBorders>
            <w:shd w:val="clear" w:color="000000" w:fill="1D4BB3"/>
            <w:noWrap/>
            <w:vAlign w:val="bottom"/>
            <w:hideMark/>
          </w:tcPr>
          <w:p w14:paraId="745A12C2"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88,47%</w:t>
            </w:r>
          </w:p>
        </w:tc>
      </w:tr>
      <w:tr w:rsidR="00A360DB" w:rsidRPr="00A360DB" w14:paraId="29C50485" w14:textId="77777777" w:rsidTr="00A360DB">
        <w:trPr>
          <w:trHeight w:val="240"/>
        </w:trPr>
        <w:tc>
          <w:tcPr>
            <w:tcW w:w="1697" w:type="dxa"/>
            <w:tcBorders>
              <w:top w:val="nil"/>
              <w:left w:val="nil"/>
              <w:bottom w:val="nil"/>
              <w:right w:val="nil"/>
            </w:tcBorders>
            <w:shd w:val="clear" w:color="000000" w:fill="B4C6E7"/>
            <w:noWrap/>
            <w:vAlign w:val="bottom"/>
            <w:hideMark/>
          </w:tcPr>
          <w:p w14:paraId="7E71444C"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A101701</w:t>
            </w:r>
          </w:p>
        </w:tc>
        <w:tc>
          <w:tcPr>
            <w:tcW w:w="8509" w:type="dxa"/>
            <w:tcBorders>
              <w:top w:val="nil"/>
              <w:left w:val="nil"/>
              <w:bottom w:val="nil"/>
              <w:right w:val="nil"/>
            </w:tcBorders>
            <w:shd w:val="clear" w:color="000000" w:fill="B4C6E7"/>
            <w:noWrap/>
            <w:vAlign w:val="bottom"/>
            <w:hideMark/>
          </w:tcPr>
          <w:p w14:paraId="5A56258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Potpore za novorođeno dijete</w:t>
            </w:r>
          </w:p>
        </w:tc>
        <w:tc>
          <w:tcPr>
            <w:tcW w:w="1480" w:type="dxa"/>
            <w:tcBorders>
              <w:top w:val="nil"/>
              <w:left w:val="nil"/>
              <w:bottom w:val="nil"/>
              <w:right w:val="nil"/>
            </w:tcBorders>
            <w:shd w:val="clear" w:color="000000" w:fill="B4C6E7"/>
            <w:noWrap/>
            <w:vAlign w:val="bottom"/>
            <w:hideMark/>
          </w:tcPr>
          <w:p w14:paraId="35EA60B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14.600,00</w:t>
            </w:r>
          </w:p>
        </w:tc>
        <w:tc>
          <w:tcPr>
            <w:tcW w:w="1380" w:type="dxa"/>
            <w:tcBorders>
              <w:top w:val="nil"/>
              <w:left w:val="nil"/>
              <w:bottom w:val="nil"/>
              <w:right w:val="nil"/>
            </w:tcBorders>
            <w:shd w:val="clear" w:color="000000" w:fill="B4C6E7"/>
            <w:noWrap/>
            <w:vAlign w:val="bottom"/>
            <w:hideMark/>
          </w:tcPr>
          <w:p w14:paraId="7B8D40E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14.200,00</w:t>
            </w:r>
          </w:p>
        </w:tc>
        <w:tc>
          <w:tcPr>
            <w:tcW w:w="1400" w:type="dxa"/>
            <w:tcBorders>
              <w:top w:val="nil"/>
              <w:left w:val="nil"/>
              <w:bottom w:val="nil"/>
              <w:right w:val="nil"/>
            </w:tcBorders>
            <w:shd w:val="clear" w:color="000000" w:fill="B4C6E7"/>
            <w:noWrap/>
            <w:vAlign w:val="bottom"/>
            <w:hideMark/>
          </w:tcPr>
          <w:p w14:paraId="75005B8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97,26%</w:t>
            </w:r>
          </w:p>
        </w:tc>
      </w:tr>
      <w:tr w:rsidR="00A360DB" w:rsidRPr="00A360DB" w14:paraId="3C1B861C"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64B2322"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0B8F8767"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14.600,00</w:t>
            </w:r>
          </w:p>
        </w:tc>
        <w:tc>
          <w:tcPr>
            <w:tcW w:w="1380" w:type="dxa"/>
            <w:tcBorders>
              <w:top w:val="nil"/>
              <w:left w:val="nil"/>
              <w:bottom w:val="nil"/>
              <w:right w:val="nil"/>
            </w:tcBorders>
            <w:shd w:val="clear" w:color="auto" w:fill="auto"/>
            <w:noWrap/>
            <w:vAlign w:val="bottom"/>
            <w:hideMark/>
          </w:tcPr>
          <w:p w14:paraId="1C4A28CD"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14.200,00</w:t>
            </w:r>
          </w:p>
        </w:tc>
        <w:tc>
          <w:tcPr>
            <w:tcW w:w="1400" w:type="dxa"/>
            <w:tcBorders>
              <w:top w:val="nil"/>
              <w:left w:val="nil"/>
              <w:bottom w:val="nil"/>
              <w:right w:val="nil"/>
            </w:tcBorders>
            <w:shd w:val="clear" w:color="auto" w:fill="auto"/>
            <w:noWrap/>
            <w:vAlign w:val="bottom"/>
            <w:hideMark/>
          </w:tcPr>
          <w:p w14:paraId="640C04A8"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97,26%</w:t>
            </w:r>
          </w:p>
        </w:tc>
      </w:tr>
      <w:tr w:rsidR="00A360DB" w:rsidRPr="00A360DB" w14:paraId="3F8B6D29"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6F4BB4A"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75C1B48F"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14.600,00</w:t>
            </w:r>
          </w:p>
        </w:tc>
        <w:tc>
          <w:tcPr>
            <w:tcW w:w="1380" w:type="dxa"/>
            <w:tcBorders>
              <w:top w:val="nil"/>
              <w:left w:val="nil"/>
              <w:bottom w:val="nil"/>
              <w:right w:val="nil"/>
            </w:tcBorders>
            <w:shd w:val="clear" w:color="auto" w:fill="auto"/>
            <w:noWrap/>
            <w:vAlign w:val="bottom"/>
            <w:hideMark/>
          </w:tcPr>
          <w:p w14:paraId="2338D85F"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14.200,00</w:t>
            </w:r>
          </w:p>
        </w:tc>
        <w:tc>
          <w:tcPr>
            <w:tcW w:w="1400" w:type="dxa"/>
            <w:tcBorders>
              <w:top w:val="nil"/>
              <w:left w:val="nil"/>
              <w:bottom w:val="nil"/>
              <w:right w:val="nil"/>
            </w:tcBorders>
            <w:shd w:val="clear" w:color="auto" w:fill="auto"/>
            <w:noWrap/>
            <w:vAlign w:val="bottom"/>
            <w:hideMark/>
          </w:tcPr>
          <w:p w14:paraId="56D18941"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97,26%</w:t>
            </w:r>
          </w:p>
        </w:tc>
      </w:tr>
      <w:tr w:rsidR="00A360DB" w:rsidRPr="00A360DB" w14:paraId="392DFBC8" w14:textId="77777777" w:rsidTr="00A360DB">
        <w:trPr>
          <w:trHeight w:val="240"/>
        </w:trPr>
        <w:tc>
          <w:tcPr>
            <w:tcW w:w="1697" w:type="dxa"/>
            <w:tcBorders>
              <w:top w:val="nil"/>
              <w:left w:val="nil"/>
              <w:bottom w:val="nil"/>
              <w:right w:val="nil"/>
            </w:tcBorders>
            <w:shd w:val="clear" w:color="auto" w:fill="auto"/>
            <w:noWrap/>
            <w:vAlign w:val="bottom"/>
            <w:hideMark/>
          </w:tcPr>
          <w:p w14:paraId="62E7A2F9"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37</w:t>
            </w:r>
          </w:p>
        </w:tc>
        <w:tc>
          <w:tcPr>
            <w:tcW w:w="8509" w:type="dxa"/>
            <w:tcBorders>
              <w:top w:val="nil"/>
              <w:left w:val="nil"/>
              <w:bottom w:val="nil"/>
              <w:right w:val="nil"/>
            </w:tcBorders>
            <w:shd w:val="clear" w:color="auto" w:fill="auto"/>
            <w:noWrap/>
            <w:vAlign w:val="bottom"/>
            <w:hideMark/>
          </w:tcPr>
          <w:p w14:paraId="6B640591"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Naknade građanima i kućanstvima na temelju osiguranja i druge naknade                               </w:t>
            </w:r>
          </w:p>
        </w:tc>
        <w:tc>
          <w:tcPr>
            <w:tcW w:w="1480" w:type="dxa"/>
            <w:tcBorders>
              <w:top w:val="nil"/>
              <w:left w:val="nil"/>
              <w:bottom w:val="nil"/>
              <w:right w:val="nil"/>
            </w:tcBorders>
            <w:shd w:val="clear" w:color="auto" w:fill="auto"/>
            <w:noWrap/>
            <w:vAlign w:val="bottom"/>
            <w:hideMark/>
          </w:tcPr>
          <w:p w14:paraId="7736871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14.600,00</w:t>
            </w:r>
          </w:p>
        </w:tc>
        <w:tc>
          <w:tcPr>
            <w:tcW w:w="1380" w:type="dxa"/>
            <w:tcBorders>
              <w:top w:val="nil"/>
              <w:left w:val="nil"/>
              <w:bottom w:val="nil"/>
              <w:right w:val="nil"/>
            </w:tcBorders>
            <w:shd w:val="clear" w:color="auto" w:fill="auto"/>
            <w:noWrap/>
            <w:vAlign w:val="bottom"/>
            <w:hideMark/>
          </w:tcPr>
          <w:p w14:paraId="01E910C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14.200,00</w:t>
            </w:r>
          </w:p>
        </w:tc>
        <w:tc>
          <w:tcPr>
            <w:tcW w:w="1400" w:type="dxa"/>
            <w:tcBorders>
              <w:top w:val="nil"/>
              <w:left w:val="nil"/>
              <w:bottom w:val="nil"/>
              <w:right w:val="nil"/>
            </w:tcBorders>
            <w:shd w:val="clear" w:color="auto" w:fill="auto"/>
            <w:noWrap/>
            <w:vAlign w:val="bottom"/>
            <w:hideMark/>
          </w:tcPr>
          <w:p w14:paraId="6534E47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97,26%</w:t>
            </w:r>
          </w:p>
        </w:tc>
      </w:tr>
      <w:tr w:rsidR="00A360DB" w:rsidRPr="00A360DB" w14:paraId="66E1BDE4" w14:textId="77777777" w:rsidTr="00A360DB">
        <w:trPr>
          <w:trHeight w:val="240"/>
        </w:trPr>
        <w:tc>
          <w:tcPr>
            <w:tcW w:w="1697" w:type="dxa"/>
            <w:tcBorders>
              <w:top w:val="nil"/>
              <w:left w:val="nil"/>
              <w:bottom w:val="nil"/>
              <w:right w:val="nil"/>
            </w:tcBorders>
            <w:shd w:val="clear" w:color="auto" w:fill="auto"/>
            <w:noWrap/>
            <w:vAlign w:val="bottom"/>
            <w:hideMark/>
          </w:tcPr>
          <w:p w14:paraId="342101D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3721</w:t>
            </w:r>
          </w:p>
        </w:tc>
        <w:tc>
          <w:tcPr>
            <w:tcW w:w="8509" w:type="dxa"/>
            <w:tcBorders>
              <w:top w:val="nil"/>
              <w:left w:val="nil"/>
              <w:bottom w:val="nil"/>
              <w:right w:val="nil"/>
            </w:tcBorders>
            <w:shd w:val="clear" w:color="auto" w:fill="auto"/>
            <w:noWrap/>
            <w:vAlign w:val="bottom"/>
            <w:hideMark/>
          </w:tcPr>
          <w:p w14:paraId="7151962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Naknade građanima i kućanstvima u novcu                                                             </w:t>
            </w:r>
          </w:p>
        </w:tc>
        <w:tc>
          <w:tcPr>
            <w:tcW w:w="1480" w:type="dxa"/>
            <w:tcBorders>
              <w:top w:val="nil"/>
              <w:left w:val="nil"/>
              <w:bottom w:val="nil"/>
              <w:right w:val="nil"/>
            </w:tcBorders>
            <w:shd w:val="clear" w:color="auto" w:fill="auto"/>
            <w:noWrap/>
            <w:vAlign w:val="bottom"/>
            <w:hideMark/>
          </w:tcPr>
          <w:p w14:paraId="61FA8E0A"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4280C3E"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14.200,00</w:t>
            </w:r>
          </w:p>
        </w:tc>
        <w:tc>
          <w:tcPr>
            <w:tcW w:w="1400" w:type="dxa"/>
            <w:tcBorders>
              <w:top w:val="nil"/>
              <w:left w:val="nil"/>
              <w:bottom w:val="nil"/>
              <w:right w:val="nil"/>
            </w:tcBorders>
            <w:shd w:val="clear" w:color="auto" w:fill="auto"/>
            <w:noWrap/>
            <w:vAlign w:val="bottom"/>
            <w:hideMark/>
          </w:tcPr>
          <w:p w14:paraId="6F6A94F7"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74FB68E" w14:textId="77777777" w:rsidTr="00A360DB">
        <w:trPr>
          <w:trHeight w:val="240"/>
        </w:trPr>
        <w:tc>
          <w:tcPr>
            <w:tcW w:w="1697" w:type="dxa"/>
            <w:tcBorders>
              <w:top w:val="nil"/>
              <w:left w:val="nil"/>
              <w:bottom w:val="nil"/>
              <w:right w:val="nil"/>
            </w:tcBorders>
            <w:shd w:val="clear" w:color="000000" w:fill="B4C6E7"/>
            <w:noWrap/>
            <w:vAlign w:val="bottom"/>
            <w:hideMark/>
          </w:tcPr>
          <w:p w14:paraId="7D3EBEE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A101702</w:t>
            </w:r>
          </w:p>
        </w:tc>
        <w:tc>
          <w:tcPr>
            <w:tcW w:w="8509" w:type="dxa"/>
            <w:tcBorders>
              <w:top w:val="nil"/>
              <w:left w:val="nil"/>
              <w:bottom w:val="nil"/>
              <w:right w:val="nil"/>
            </w:tcBorders>
            <w:shd w:val="clear" w:color="000000" w:fill="B4C6E7"/>
            <w:noWrap/>
            <w:vAlign w:val="bottom"/>
            <w:hideMark/>
          </w:tcPr>
          <w:p w14:paraId="6B2E6D0C"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Pomoć mladim obiteljima kod rješavanja stambenih pitanja</w:t>
            </w:r>
          </w:p>
        </w:tc>
        <w:tc>
          <w:tcPr>
            <w:tcW w:w="1480" w:type="dxa"/>
            <w:tcBorders>
              <w:top w:val="nil"/>
              <w:left w:val="nil"/>
              <w:bottom w:val="nil"/>
              <w:right w:val="nil"/>
            </w:tcBorders>
            <w:shd w:val="clear" w:color="000000" w:fill="B4C6E7"/>
            <w:noWrap/>
            <w:vAlign w:val="bottom"/>
            <w:hideMark/>
          </w:tcPr>
          <w:p w14:paraId="6F1A49F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15.000,00</w:t>
            </w:r>
          </w:p>
        </w:tc>
        <w:tc>
          <w:tcPr>
            <w:tcW w:w="1380" w:type="dxa"/>
            <w:tcBorders>
              <w:top w:val="nil"/>
              <w:left w:val="nil"/>
              <w:bottom w:val="nil"/>
              <w:right w:val="nil"/>
            </w:tcBorders>
            <w:shd w:val="clear" w:color="000000" w:fill="B4C6E7"/>
            <w:noWrap/>
            <w:vAlign w:val="bottom"/>
            <w:hideMark/>
          </w:tcPr>
          <w:p w14:paraId="5E9546A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12.872,80</w:t>
            </w:r>
          </w:p>
        </w:tc>
        <w:tc>
          <w:tcPr>
            <w:tcW w:w="1400" w:type="dxa"/>
            <w:tcBorders>
              <w:top w:val="nil"/>
              <w:left w:val="nil"/>
              <w:bottom w:val="nil"/>
              <w:right w:val="nil"/>
            </w:tcBorders>
            <w:shd w:val="clear" w:color="000000" w:fill="B4C6E7"/>
            <w:noWrap/>
            <w:vAlign w:val="bottom"/>
            <w:hideMark/>
          </w:tcPr>
          <w:p w14:paraId="1FC4431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85,82%</w:t>
            </w:r>
          </w:p>
        </w:tc>
      </w:tr>
      <w:tr w:rsidR="00A360DB" w:rsidRPr="00A360DB" w14:paraId="13003B77"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581B4B90"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2A2EB552"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15.000,00</w:t>
            </w:r>
          </w:p>
        </w:tc>
        <w:tc>
          <w:tcPr>
            <w:tcW w:w="1380" w:type="dxa"/>
            <w:tcBorders>
              <w:top w:val="nil"/>
              <w:left w:val="nil"/>
              <w:bottom w:val="nil"/>
              <w:right w:val="nil"/>
            </w:tcBorders>
            <w:shd w:val="clear" w:color="auto" w:fill="auto"/>
            <w:noWrap/>
            <w:vAlign w:val="bottom"/>
            <w:hideMark/>
          </w:tcPr>
          <w:p w14:paraId="5CEED4BE"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12.872,80</w:t>
            </w:r>
          </w:p>
        </w:tc>
        <w:tc>
          <w:tcPr>
            <w:tcW w:w="1400" w:type="dxa"/>
            <w:tcBorders>
              <w:top w:val="nil"/>
              <w:left w:val="nil"/>
              <w:bottom w:val="nil"/>
              <w:right w:val="nil"/>
            </w:tcBorders>
            <w:shd w:val="clear" w:color="auto" w:fill="auto"/>
            <w:noWrap/>
            <w:vAlign w:val="bottom"/>
            <w:hideMark/>
          </w:tcPr>
          <w:p w14:paraId="5164619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85,82%</w:t>
            </w:r>
          </w:p>
        </w:tc>
      </w:tr>
      <w:tr w:rsidR="00A360DB" w:rsidRPr="00A360DB" w14:paraId="229B69EB"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AF60FC3"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1CC762EA"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15.000,00</w:t>
            </w:r>
          </w:p>
        </w:tc>
        <w:tc>
          <w:tcPr>
            <w:tcW w:w="1380" w:type="dxa"/>
            <w:tcBorders>
              <w:top w:val="nil"/>
              <w:left w:val="nil"/>
              <w:bottom w:val="nil"/>
              <w:right w:val="nil"/>
            </w:tcBorders>
            <w:shd w:val="clear" w:color="auto" w:fill="auto"/>
            <w:noWrap/>
            <w:vAlign w:val="bottom"/>
            <w:hideMark/>
          </w:tcPr>
          <w:p w14:paraId="282A71E4"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12.872,80</w:t>
            </w:r>
          </w:p>
        </w:tc>
        <w:tc>
          <w:tcPr>
            <w:tcW w:w="1400" w:type="dxa"/>
            <w:tcBorders>
              <w:top w:val="nil"/>
              <w:left w:val="nil"/>
              <w:bottom w:val="nil"/>
              <w:right w:val="nil"/>
            </w:tcBorders>
            <w:shd w:val="clear" w:color="auto" w:fill="auto"/>
            <w:noWrap/>
            <w:vAlign w:val="bottom"/>
            <w:hideMark/>
          </w:tcPr>
          <w:p w14:paraId="7F600B38"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85,82%</w:t>
            </w:r>
          </w:p>
        </w:tc>
      </w:tr>
      <w:tr w:rsidR="00A360DB" w:rsidRPr="00A360DB" w14:paraId="73814E1E" w14:textId="77777777" w:rsidTr="00A360DB">
        <w:trPr>
          <w:trHeight w:val="240"/>
        </w:trPr>
        <w:tc>
          <w:tcPr>
            <w:tcW w:w="1697" w:type="dxa"/>
            <w:tcBorders>
              <w:top w:val="nil"/>
              <w:left w:val="nil"/>
              <w:bottom w:val="nil"/>
              <w:right w:val="nil"/>
            </w:tcBorders>
            <w:shd w:val="clear" w:color="auto" w:fill="auto"/>
            <w:noWrap/>
            <w:vAlign w:val="bottom"/>
            <w:hideMark/>
          </w:tcPr>
          <w:p w14:paraId="3F3B188A"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37</w:t>
            </w:r>
          </w:p>
        </w:tc>
        <w:tc>
          <w:tcPr>
            <w:tcW w:w="8509" w:type="dxa"/>
            <w:tcBorders>
              <w:top w:val="nil"/>
              <w:left w:val="nil"/>
              <w:bottom w:val="nil"/>
              <w:right w:val="nil"/>
            </w:tcBorders>
            <w:shd w:val="clear" w:color="auto" w:fill="auto"/>
            <w:noWrap/>
            <w:vAlign w:val="bottom"/>
            <w:hideMark/>
          </w:tcPr>
          <w:p w14:paraId="59293A80"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Naknade građanima i kućanstvima na temelju osiguranja i druge naknade                               </w:t>
            </w:r>
          </w:p>
        </w:tc>
        <w:tc>
          <w:tcPr>
            <w:tcW w:w="1480" w:type="dxa"/>
            <w:tcBorders>
              <w:top w:val="nil"/>
              <w:left w:val="nil"/>
              <w:bottom w:val="nil"/>
              <w:right w:val="nil"/>
            </w:tcBorders>
            <w:shd w:val="clear" w:color="auto" w:fill="auto"/>
            <w:noWrap/>
            <w:vAlign w:val="bottom"/>
            <w:hideMark/>
          </w:tcPr>
          <w:p w14:paraId="1DB62E9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15.000,00</w:t>
            </w:r>
          </w:p>
        </w:tc>
        <w:tc>
          <w:tcPr>
            <w:tcW w:w="1380" w:type="dxa"/>
            <w:tcBorders>
              <w:top w:val="nil"/>
              <w:left w:val="nil"/>
              <w:bottom w:val="nil"/>
              <w:right w:val="nil"/>
            </w:tcBorders>
            <w:shd w:val="clear" w:color="auto" w:fill="auto"/>
            <w:noWrap/>
            <w:vAlign w:val="bottom"/>
            <w:hideMark/>
          </w:tcPr>
          <w:p w14:paraId="71256A5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12.872,80</w:t>
            </w:r>
          </w:p>
        </w:tc>
        <w:tc>
          <w:tcPr>
            <w:tcW w:w="1400" w:type="dxa"/>
            <w:tcBorders>
              <w:top w:val="nil"/>
              <w:left w:val="nil"/>
              <w:bottom w:val="nil"/>
              <w:right w:val="nil"/>
            </w:tcBorders>
            <w:shd w:val="clear" w:color="auto" w:fill="auto"/>
            <w:noWrap/>
            <w:vAlign w:val="bottom"/>
            <w:hideMark/>
          </w:tcPr>
          <w:p w14:paraId="436E24A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85,82%</w:t>
            </w:r>
          </w:p>
        </w:tc>
      </w:tr>
      <w:tr w:rsidR="00A360DB" w:rsidRPr="00A360DB" w14:paraId="6BD1F068" w14:textId="77777777" w:rsidTr="00A360DB">
        <w:trPr>
          <w:trHeight w:val="240"/>
        </w:trPr>
        <w:tc>
          <w:tcPr>
            <w:tcW w:w="1697" w:type="dxa"/>
            <w:tcBorders>
              <w:top w:val="nil"/>
              <w:left w:val="nil"/>
              <w:bottom w:val="nil"/>
              <w:right w:val="nil"/>
            </w:tcBorders>
            <w:shd w:val="clear" w:color="auto" w:fill="auto"/>
            <w:noWrap/>
            <w:vAlign w:val="bottom"/>
            <w:hideMark/>
          </w:tcPr>
          <w:p w14:paraId="429ED63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3721</w:t>
            </w:r>
          </w:p>
        </w:tc>
        <w:tc>
          <w:tcPr>
            <w:tcW w:w="8509" w:type="dxa"/>
            <w:tcBorders>
              <w:top w:val="nil"/>
              <w:left w:val="nil"/>
              <w:bottom w:val="nil"/>
              <w:right w:val="nil"/>
            </w:tcBorders>
            <w:shd w:val="clear" w:color="auto" w:fill="auto"/>
            <w:noWrap/>
            <w:vAlign w:val="bottom"/>
            <w:hideMark/>
          </w:tcPr>
          <w:p w14:paraId="628D365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Naknade građanima i kućanstvima u novcu                                                             </w:t>
            </w:r>
          </w:p>
        </w:tc>
        <w:tc>
          <w:tcPr>
            <w:tcW w:w="1480" w:type="dxa"/>
            <w:tcBorders>
              <w:top w:val="nil"/>
              <w:left w:val="nil"/>
              <w:bottom w:val="nil"/>
              <w:right w:val="nil"/>
            </w:tcBorders>
            <w:shd w:val="clear" w:color="auto" w:fill="auto"/>
            <w:noWrap/>
            <w:vAlign w:val="bottom"/>
            <w:hideMark/>
          </w:tcPr>
          <w:p w14:paraId="5E6A0463"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24373BEF"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12.872,80</w:t>
            </w:r>
          </w:p>
        </w:tc>
        <w:tc>
          <w:tcPr>
            <w:tcW w:w="1400" w:type="dxa"/>
            <w:tcBorders>
              <w:top w:val="nil"/>
              <w:left w:val="nil"/>
              <w:bottom w:val="nil"/>
              <w:right w:val="nil"/>
            </w:tcBorders>
            <w:shd w:val="clear" w:color="auto" w:fill="auto"/>
            <w:noWrap/>
            <w:vAlign w:val="bottom"/>
            <w:hideMark/>
          </w:tcPr>
          <w:p w14:paraId="7602FDDD"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6B88E5C" w14:textId="77777777" w:rsidTr="00A360DB">
        <w:trPr>
          <w:trHeight w:val="240"/>
        </w:trPr>
        <w:tc>
          <w:tcPr>
            <w:tcW w:w="1697" w:type="dxa"/>
            <w:tcBorders>
              <w:top w:val="nil"/>
              <w:left w:val="nil"/>
              <w:bottom w:val="nil"/>
              <w:right w:val="nil"/>
            </w:tcBorders>
            <w:shd w:val="clear" w:color="000000" w:fill="B4C6E7"/>
            <w:noWrap/>
            <w:vAlign w:val="bottom"/>
            <w:hideMark/>
          </w:tcPr>
          <w:p w14:paraId="7000BFFD"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A101703</w:t>
            </w:r>
          </w:p>
        </w:tc>
        <w:tc>
          <w:tcPr>
            <w:tcW w:w="8509" w:type="dxa"/>
            <w:tcBorders>
              <w:top w:val="nil"/>
              <w:left w:val="nil"/>
              <w:bottom w:val="nil"/>
              <w:right w:val="nil"/>
            </w:tcBorders>
            <w:shd w:val="clear" w:color="000000" w:fill="B4C6E7"/>
            <w:noWrap/>
            <w:vAlign w:val="bottom"/>
            <w:hideMark/>
          </w:tcPr>
          <w:p w14:paraId="67D230A3"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Pomoć mladim obiteljima oslobođenjem od plaćanja komunalnog doprinosa</w:t>
            </w:r>
          </w:p>
        </w:tc>
        <w:tc>
          <w:tcPr>
            <w:tcW w:w="1480" w:type="dxa"/>
            <w:tcBorders>
              <w:top w:val="nil"/>
              <w:left w:val="nil"/>
              <w:bottom w:val="nil"/>
              <w:right w:val="nil"/>
            </w:tcBorders>
            <w:shd w:val="clear" w:color="000000" w:fill="B4C6E7"/>
            <w:noWrap/>
            <w:vAlign w:val="bottom"/>
            <w:hideMark/>
          </w:tcPr>
          <w:p w14:paraId="05A0D46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1.000,00</w:t>
            </w:r>
          </w:p>
        </w:tc>
        <w:tc>
          <w:tcPr>
            <w:tcW w:w="1380" w:type="dxa"/>
            <w:tcBorders>
              <w:top w:val="nil"/>
              <w:left w:val="nil"/>
              <w:bottom w:val="nil"/>
              <w:right w:val="nil"/>
            </w:tcBorders>
            <w:shd w:val="clear" w:color="000000" w:fill="B4C6E7"/>
            <w:noWrap/>
            <w:vAlign w:val="bottom"/>
            <w:hideMark/>
          </w:tcPr>
          <w:p w14:paraId="0602331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c>
          <w:tcPr>
            <w:tcW w:w="1400" w:type="dxa"/>
            <w:tcBorders>
              <w:top w:val="nil"/>
              <w:left w:val="nil"/>
              <w:bottom w:val="nil"/>
              <w:right w:val="nil"/>
            </w:tcBorders>
            <w:shd w:val="clear" w:color="000000" w:fill="B4C6E7"/>
            <w:noWrap/>
            <w:vAlign w:val="bottom"/>
            <w:hideMark/>
          </w:tcPr>
          <w:p w14:paraId="1D6DC20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r>
      <w:tr w:rsidR="00A360DB" w:rsidRPr="00A360DB" w14:paraId="36B274D9"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13A2BC6"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6FAE284A"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1.000,00</w:t>
            </w:r>
          </w:p>
        </w:tc>
        <w:tc>
          <w:tcPr>
            <w:tcW w:w="1380" w:type="dxa"/>
            <w:tcBorders>
              <w:top w:val="nil"/>
              <w:left w:val="nil"/>
              <w:bottom w:val="nil"/>
              <w:right w:val="nil"/>
            </w:tcBorders>
            <w:shd w:val="clear" w:color="auto" w:fill="auto"/>
            <w:noWrap/>
            <w:vAlign w:val="bottom"/>
            <w:hideMark/>
          </w:tcPr>
          <w:p w14:paraId="074C852A"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0,00</w:t>
            </w:r>
          </w:p>
        </w:tc>
        <w:tc>
          <w:tcPr>
            <w:tcW w:w="1400" w:type="dxa"/>
            <w:tcBorders>
              <w:top w:val="nil"/>
              <w:left w:val="nil"/>
              <w:bottom w:val="nil"/>
              <w:right w:val="nil"/>
            </w:tcBorders>
            <w:shd w:val="clear" w:color="auto" w:fill="auto"/>
            <w:noWrap/>
            <w:vAlign w:val="bottom"/>
            <w:hideMark/>
          </w:tcPr>
          <w:p w14:paraId="1D9D4D7D"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0,00%</w:t>
            </w:r>
          </w:p>
        </w:tc>
      </w:tr>
      <w:tr w:rsidR="00A360DB" w:rsidRPr="00A360DB" w14:paraId="0DC5C0A0"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7398AC3"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758D4430"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1.000,00</w:t>
            </w:r>
          </w:p>
        </w:tc>
        <w:tc>
          <w:tcPr>
            <w:tcW w:w="1380" w:type="dxa"/>
            <w:tcBorders>
              <w:top w:val="nil"/>
              <w:left w:val="nil"/>
              <w:bottom w:val="nil"/>
              <w:right w:val="nil"/>
            </w:tcBorders>
            <w:shd w:val="clear" w:color="auto" w:fill="auto"/>
            <w:noWrap/>
            <w:vAlign w:val="bottom"/>
            <w:hideMark/>
          </w:tcPr>
          <w:p w14:paraId="477DCE43"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0,00</w:t>
            </w:r>
          </w:p>
        </w:tc>
        <w:tc>
          <w:tcPr>
            <w:tcW w:w="1400" w:type="dxa"/>
            <w:tcBorders>
              <w:top w:val="nil"/>
              <w:left w:val="nil"/>
              <w:bottom w:val="nil"/>
              <w:right w:val="nil"/>
            </w:tcBorders>
            <w:shd w:val="clear" w:color="auto" w:fill="auto"/>
            <w:noWrap/>
            <w:vAlign w:val="bottom"/>
            <w:hideMark/>
          </w:tcPr>
          <w:p w14:paraId="405EBEAD"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0,00%</w:t>
            </w:r>
          </w:p>
        </w:tc>
      </w:tr>
      <w:tr w:rsidR="00A360DB" w:rsidRPr="00A360DB" w14:paraId="581C9674" w14:textId="77777777" w:rsidTr="00A360DB">
        <w:trPr>
          <w:trHeight w:val="240"/>
        </w:trPr>
        <w:tc>
          <w:tcPr>
            <w:tcW w:w="1697" w:type="dxa"/>
            <w:tcBorders>
              <w:top w:val="nil"/>
              <w:left w:val="nil"/>
              <w:bottom w:val="nil"/>
              <w:right w:val="nil"/>
            </w:tcBorders>
            <w:shd w:val="clear" w:color="auto" w:fill="auto"/>
            <w:noWrap/>
            <w:vAlign w:val="bottom"/>
            <w:hideMark/>
          </w:tcPr>
          <w:p w14:paraId="767B826E"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37</w:t>
            </w:r>
          </w:p>
        </w:tc>
        <w:tc>
          <w:tcPr>
            <w:tcW w:w="8509" w:type="dxa"/>
            <w:tcBorders>
              <w:top w:val="nil"/>
              <w:left w:val="nil"/>
              <w:bottom w:val="nil"/>
              <w:right w:val="nil"/>
            </w:tcBorders>
            <w:shd w:val="clear" w:color="auto" w:fill="auto"/>
            <w:noWrap/>
            <w:vAlign w:val="bottom"/>
            <w:hideMark/>
          </w:tcPr>
          <w:p w14:paraId="7B479AA9"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Naknade građanima i kućanstvima na temelju osiguranja i druge naknade                               </w:t>
            </w:r>
          </w:p>
        </w:tc>
        <w:tc>
          <w:tcPr>
            <w:tcW w:w="1480" w:type="dxa"/>
            <w:tcBorders>
              <w:top w:val="nil"/>
              <w:left w:val="nil"/>
              <w:bottom w:val="nil"/>
              <w:right w:val="nil"/>
            </w:tcBorders>
            <w:shd w:val="clear" w:color="auto" w:fill="auto"/>
            <w:noWrap/>
            <w:vAlign w:val="bottom"/>
            <w:hideMark/>
          </w:tcPr>
          <w:p w14:paraId="05054A6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1.000,00</w:t>
            </w:r>
          </w:p>
        </w:tc>
        <w:tc>
          <w:tcPr>
            <w:tcW w:w="1380" w:type="dxa"/>
            <w:tcBorders>
              <w:top w:val="nil"/>
              <w:left w:val="nil"/>
              <w:bottom w:val="nil"/>
              <w:right w:val="nil"/>
            </w:tcBorders>
            <w:shd w:val="clear" w:color="auto" w:fill="auto"/>
            <w:noWrap/>
            <w:vAlign w:val="bottom"/>
            <w:hideMark/>
          </w:tcPr>
          <w:p w14:paraId="3703C80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c>
          <w:tcPr>
            <w:tcW w:w="1400" w:type="dxa"/>
            <w:tcBorders>
              <w:top w:val="nil"/>
              <w:left w:val="nil"/>
              <w:bottom w:val="nil"/>
              <w:right w:val="nil"/>
            </w:tcBorders>
            <w:shd w:val="clear" w:color="auto" w:fill="auto"/>
            <w:noWrap/>
            <w:vAlign w:val="bottom"/>
            <w:hideMark/>
          </w:tcPr>
          <w:p w14:paraId="271E7FE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r>
      <w:tr w:rsidR="00A360DB" w:rsidRPr="00A360DB" w14:paraId="13A72C9C" w14:textId="77777777" w:rsidTr="00A360DB">
        <w:trPr>
          <w:trHeight w:val="240"/>
        </w:trPr>
        <w:tc>
          <w:tcPr>
            <w:tcW w:w="1697" w:type="dxa"/>
            <w:tcBorders>
              <w:top w:val="nil"/>
              <w:left w:val="nil"/>
              <w:bottom w:val="nil"/>
              <w:right w:val="nil"/>
            </w:tcBorders>
            <w:shd w:val="clear" w:color="000000" w:fill="1D4BB3"/>
            <w:noWrap/>
            <w:vAlign w:val="bottom"/>
            <w:hideMark/>
          </w:tcPr>
          <w:p w14:paraId="5BC4D76D" w14:textId="77777777" w:rsidR="00A360DB" w:rsidRPr="00A360DB" w:rsidRDefault="00A360DB" w:rsidP="00A360DB">
            <w:pPr>
              <w:spacing w:after="0" w:line="240" w:lineRule="auto"/>
              <w:rPr>
                <w:rFonts w:ascii="Arial" w:hAnsi="Arial" w:cs="Arial"/>
                <w:b/>
                <w:bCs/>
                <w:color w:val="FFFFFF"/>
                <w:sz w:val="18"/>
                <w:szCs w:val="18"/>
                <w:lang w:eastAsia="hr-HR"/>
              </w:rPr>
            </w:pPr>
            <w:r w:rsidRPr="00A360DB">
              <w:rPr>
                <w:rFonts w:ascii="Arial" w:hAnsi="Arial" w:cs="Arial"/>
                <w:b/>
                <w:bCs/>
                <w:color w:val="FFFFFF"/>
                <w:sz w:val="18"/>
                <w:szCs w:val="18"/>
                <w:lang w:eastAsia="hr-HR"/>
              </w:rPr>
              <w:t>1018</w:t>
            </w:r>
          </w:p>
        </w:tc>
        <w:tc>
          <w:tcPr>
            <w:tcW w:w="8509" w:type="dxa"/>
            <w:tcBorders>
              <w:top w:val="nil"/>
              <w:left w:val="nil"/>
              <w:bottom w:val="nil"/>
              <w:right w:val="nil"/>
            </w:tcBorders>
            <w:shd w:val="clear" w:color="000000" w:fill="1D4BB3"/>
            <w:noWrap/>
            <w:vAlign w:val="bottom"/>
            <w:hideMark/>
          </w:tcPr>
          <w:p w14:paraId="29895108" w14:textId="77777777" w:rsidR="00A360DB" w:rsidRPr="00A360DB" w:rsidRDefault="00A360DB" w:rsidP="00A360DB">
            <w:pPr>
              <w:spacing w:after="0" w:line="240" w:lineRule="auto"/>
              <w:rPr>
                <w:rFonts w:ascii="Arial" w:hAnsi="Arial" w:cs="Arial"/>
                <w:b/>
                <w:bCs/>
                <w:color w:val="FFFFFF"/>
                <w:sz w:val="18"/>
                <w:szCs w:val="18"/>
                <w:lang w:eastAsia="hr-HR"/>
              </w:rPr>
            </w:pPr>
            <w:r w:rsidRPr="00A360DB">
              <w:rPr>
                <w:rFonts w:ascii="Arial" w:hAnsi="Arial" w:cs="Arial"/>
                <w:b/>
                <w:bCs/>
                <w:color w:val="FFFFFF"/>
                <w:sz w:val="18"/>
                <w:szCs w:val="18"/>
                <w:lang w:eastAsia="hr-HR"/>
              </w:rPr>
              <w:t>Program: Socijalna skrb</w:t>
            </w:r>
          </w:p>
        </w:tc>
        <w:tc>
          <w:tcPr>
            <w:tcW w:w="1480" w:type="dxa"/>
            <w:tcBorders>
              <w:top w:val="nil"/>
              <w:left w:val="nil"/>
              <w:bottom w:val="nil"/>
              <w:right w:val="nil"/>
            </w:tcBorders>
            <w:shd w:val="clear" w:color="000000" w:fill="1D4BB3"/>
            <w:noWrap/>
            <w:vAlign w:val="bottom"/>
            <w:hideMark/>
          </w:tcPr>
          <w:p w14:paraId="13F670FB"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102.930,00</w:t>
            </w:r>
          </w:p>
        </w:tc>
        <w:tc>
          <w:tcPr>
            <w:tcW w:w="1380" w:type="dxa"/>
            <w:tcBorders>
              <w:top w:val="nil"/>
              <w:left w:val="nil"/>
              <w:bottom w:val="nil"/>
              <w:right w:val="nil"/>
            </w:tcBorders>
            <w:shd w:val="clear" w:color="000000" w:fill="1D4BB3"/>
            <w:noWrap/>
            <w:vAlign w:val="bottom"/>
            <w:hideMark/>
          </w:tcPr>
          <w:p w14:paraId="70591530"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86.939,27</w:t>
            </w:r>
          </w:p>
        </w:tc>
        <w:tc>
          <w:tcPr>
            <w:tcW w:w="1400" w:type="dxa"/>
            <w:tcBorders>
              <w:top w:val="nil"/>
              <w:left w:val="nil"/>
              <w:bottom w:val="nil"/>
              <w:right w:val="nil"/>
            </w:tcBorders>
            <w:shd w:val="clear" w:color="000000" w:fill="1D4BB3"/>
            <w:noWrap/>
            <w:vAlign w:val="bottom"/>
            <w:hideMark/>
          </w:tcPr>
          <w:p w14:paraId="248EC1A2"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84,46%</w:t>
            </w:r>
          </w:p>
        </w:tc>
      </w:tr>
      <w:tr w:rsidR="00A360DB" w:rsidRPr="00A360DB" w14:paraId="7734339C" w14:textId="77777777" w:rsidTr="00A360DB">
        <w:trPr>
          <w:trHeight w:val="240"/>
        </w:trPr>
        <w:tc>
          <w:tcPr>
            <w:tcW w:w="1697" w:type="dxa"/>
            <w:tcBorders>
              <w:top w:val="nil"/>
              <w:left w:val="nil"/>
              <w:bottom w:val="nil"/>
              <w:right w:val="nil"/>
            </w:tcBorders>
            <w:shd w:val="clear" w:color="000000" w:fill="B4C6E7"/>
            <w:noWrap/>
            <w:vAlign w:val="bottom"/>
            <w:hideMark/>
          </w:tcPr>
          <w:p w14:paraId="0F671E7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A101801</w:t>
            </w:r>
          </w:p>
        </w:tc>
        <w:tc>
          <w:tcPr>
            <w:tcW w:w="8509" w:type="dxa"/>
            <w:tcBorders>
              <w:top w:val="nil"/>
              <w:left w:val="nil"/>
              <w:bottom w:val="nil"/>
              <w:right w:val="nil"/>
            </w:tcBorders>
            <w:shd w:val="clear" w:color="000000" w:fill="B4C6E7"/>
            <w:noWrap/>
            <w:vAlign w:val="bottom"/>
            <w:hideMark/>
          </w:tcPr>
          <w:p w14:paraId="02085AC8"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Stipendije i školarine prema socijalnom programu</w:t>
            </w:r>
          </w:p>
        </w:tc>
        <w:tc>
          <w:tcPr>
            <w:tcW w:w="1480" w:type="dxa"/>
            <w:tcBorders>
              <w:top w:val="nil"/>
              <w:left w:val="nil"/>
              <w:bottom w:val="nil"/>
              <w:right w:val="nil"/>
            </w:tcBorders>
            <w:shd w:val="clear" w:color="000000" w:fill="B4C6E7"/>
            <w:noWrap/>
            <w:vAlign w:val="bottom"/>
            <w:hideMark/>
          </w:tcPr>
          <w:p w14:paraId="158F49D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31.000,00</w:t>
            </w:r>
          </w:p>
        </w:tc>
        <w:tc>
          <w:tcPr>
            <w:tcW w:w="1380" w:type="dxa"/>
            <w:tcBorders>
              <w:top w:val="nil"/>
              <w:left w:val="nil"/>
              <w:bottom w:val="nil"/>
              <w:right w:val="nil"/>
            </w:tcBorders>
            <w:shd w:val="clear" w:color="000000" w:fill="B4C6E7"/>
            <w:noWrap/>
            <w:vAlign w:val="bottom"/>
            <w:hideMark/>
          </w:tcPr>
          <w:p w14:paraId="3510131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33.300,00</w:t>
            </w:r>
          </w:p>
        </w:tc>
        <w:tc>
          <w:tcPr>
            <w:tcW w:w="1400" w:type="dxa"/>
            <w:tcBorders>
              <w:top w:val="nil"/>
              <w:left w:val="nil"/>
              <w:bottom w:val="nil"/>
              <w:right w:val="nil"/>
            </w:tcBorders>
            <w:shd w:val="clear" w:color="000000" w:fill="B4C6E7"/>
            <w:noWrap/>
            <w:vAlign w:val="bottom"/>
            <w:hideMark/>
          </w:tcPr>
          <w:p w14:paraId="44B88E3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107,42%</w:t>
            </w:r>
          </w:p>
        </w:tc>
      </w:tr>
      <w:tr w:rsidR="00A360DB" w:rsidRPr="00A360DB" w14:paraId="1F4B244B"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28ACD5E5"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09966D2A"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31.000,00</w:t>
            </w:r>
          </w:p>
        </w:tc>
        <w:tc>
          <w:tcPr>
            <w:tcW w:w="1380" w:type="dxa"/>
            <w:tcBorders>
              <w:top w:val="nil"/>
              <w:left w:val="nil"/>
              <w:bottom w:val="nil"/>
              <w:right w:val="nil"/>
            </w:tcBorders>
            <w:shd w:val="clear" w:color="auto" w:fill="auto"/>
            <w:noWrap/>
            <w:vAlign w:val="bottom"/>
            <w:hideMark/>
          </w:tcPr>
          <w:p w14:paraId="6AE695DC"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33.300,00</w:t>
            </w:r>
          </w:p>
        </w:tc>
        <w:tc>
          <w:tcPr>
            <w:tcW w:w="1400" w:type="dxa"/>
            <w:tcBorders>
              <w:top w:val="nil"/>
              <w:left w:val="nil"/>
              <w:bottom w:val="nil"/>
              <w:right w:val="nil"/>
            </w:tcBorders>
            <w:shd w:val="clear" w:color="auto" w:fill="auto"/>
            <w:noWrap/>
            <w:vAlign w:val="bottom"/>
            <w:hideMark/>
          </w:tcPr>
          <w:p w14:paraId="2B0FFC3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107,42%</w:t>
            </w:r>
          </w:p>
        </w:tc>
      </w:tr>
      <w:tr w:rsidR="00A360DB" w:rsidRPr="00A360DB" w14:paraId="3591C379"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20BC1D13"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6BB434D8"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31.000,00</w:t>
            </w:r>
          </w:p>
        </w:tc>
        <w:tc>
          <w:tcPr>
            <w:tcW w:w="1380" w:type="dxa"/>
            <w:tcBorders>
              <w:top w:val="nil"/>
              <w:left w:val="nil"/>
              <w:bottom w:val="nil"/>
              <w:right w:val="nil"/>
            </w:tcBorders>
            <w:shd w:val="clear" w:color="auto" w:fill="auto"/>
            <w:noWrap/>
            <w:vAlign w:val="bottom"/>
            <w:hideMark/>
          </w:tcPr>
          <w:p w14:paraId="7B5C4597"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33.300,00</w:t>
            </w:r>
          </w:p>
        </w:tc>
        <w:tc>
          <w:tcPr>
            <w:tcW w:w="1400" w:type="dxa"/>
            <w:tcBorders>
              <w:top w:val="nil"/>
              <w:left w:val="nil"/>
              <w:bottom w:val="nil"/>
              <w:right w:val="nil"/>
            </w:tcBorders>
            <w:shd w:val="clear" w:color="auto" w:fill="auto"/>
            <w:noWrap/>
            <w:vAlign w:val="bottom"/>
            <w:hideMark/>
          </w:tcPr>
          <w:p w14:paraId="1DE6AD44"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107,42%</w:t>
            </w:r>
          </w:p>
        </w:tc>
      </w:tr>
      <w:tr w:rsidR="00A360DB" w:rsidRPr="00A360DB" w14:paraId="2478EEB7" w14:textId="77777777" w:rsidTr="00A360DB">
        <w:trPr>
          <w:trHeight w:val="240"/>
        </w:trPr>
        <w:tc>
          <w:tcPr>
            <w:tcW w:w="1697" w:type="dxa"/>
            <w:tcBorders>
              <w:top w:val="nil"/>
              <w:left w:val="nil"/>
              <w:bottom w:val="nil"/>
              <w:right w:val="nil"/>
            </w:tcBorders>
            <w:shd w:val="clear" w:color="auto" w:fill="auto"/>
            <w:noWrap/>
            <w:vAlign w:val="bottom"/>
            <w:hideMark/>
          </w:tcPr>
          <w:p w14:paraId="3404D485"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37</w:t>
            </w:r>
          </w:p>
        </w:tc>
        <w:tc>
          <w:tcPr>
            <w:tcW w:w="8509" w:type="dxa"/>
            <w:tcBorders>
              <w:top w:val="nil"/>
              <w:left w:val="nil"/>
              <w:bottom w:val="nil"/>
              <w:right w:val="nil"/>
            </w:tcBorders>
            <w:shd w:val="clear" w:color="auto" w:fill="auto"/>
            <w:noWrap/>
            <w:vAlign w:val="bottom"/>
            <w:hideMark/>
          </w:tcPr>
          <w:p w14:paraId="3859CACF"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Naknade građanima i kućanstvima na temelju osiguranja i druge naknade                               </w:t>
            </w:r>
          </w:p>
        </w:tc>
        <w:tc>
          <w:tcPr>
            <w:tcW w:w="1480" w:type="dxa"/>
            <w:tcBorders>
              <w:top w:val="nil"/>
              <w:left w:val="nil"/>
              <w:bottom w:val="nil"/>
              <w:right w:val="nil"/>
            </w:tcBorders>
            <w:shd w:val="clear" w:color="auto" w:fill="auto"/>
            <w:noWrap/>
            <w:vAlign w:val="bottom"/>
            <w:hideMark/>
          </w:tcPr>
          <w:p w14:paraId="67C62E8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31.000,00</w:t>
            </w:r>
          </w:p>
        </w:tc>
        <w:tc>
          <w:tcPr>
            <w:tcW w:w="1380" w:type="dxa"/>
            <w:tcBorders>
              <w:top w:val="nil"/>
              <w:left w:val="nil"/>
              <w:bottom w:val="nil"/>
              <w:right w:val="nil"/>
            </w:tcBorders>
            <w:shd w:val="clear" w:color="auto" w:fill="auto"/>
            <w:noWrap/>
            <w:vAlign w:val="bottom"/>
            <w:hideMark/>
          </w:tcPr>
          <w:p w14:paraId="38F3EE4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33.300,00</w:t>
            </w:r>
          </w:p>
        </w:tc>
        <w:tc>
          <w:tcPr>
            <w:tcW w:w="1400" w:type="dxa"/>
            <w:tcBorders>
              <w:top w:val="nil"/>
              <w:left w:val="nil"/>
              <w:bottom w:val="nil"/>
              <w:right w:val="nil"/>
            </w:tcBorders>
            <w:shd w:val="clear" w:color="auto" w:fill="auto"/>
            <w:noWrap/>
            <w:vAlign w:val="bottom"/>
            <w:hideMark/>
          </w:tcPr>
          <w:p w14:paraId="0107D4B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107,42%</w:t>
            </w:r>
          </w:p>
        </w:tc>
      </w:tr>
      <w:tr w:rsidR="00A360DB" w:rsidRPr="00A360DB" w14:paraId="5C09DC28" w14:textId="77777777" w:rsidTr="00A360DB">
        <w:trPr>
          <w:trHeight w:val="240"/>
        </w:trPr>
        <w:tc>
          <w:tcPr>
            <w:tcW w:w="1697" w:type="dxa"/>
            <w:tcBorders>
              <w:top w:val="nil"/>
              <w:left w:val="nil"/>
              <w:bottom w:val="nil"/>
              <w:right w:val="nil"/>
            </w:tcBorders>
            <w:shd w:val="clear" w:color="auto" w:fill="auto"/>
            <w:noWrap/>
            <w:vAlign w:val="bottom"/>
            <w:hideMark/>
          </w:tcPr>
          <w:p w14:paraId="4E6AA1B8"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3721</w:t>
            </w:r>
          </w:p>
        </w:tc>
        <w:tc>
          <w:tcPr>
            <w:tcW w:w="8509" w:type="dxa"/>
            <w:tcBorders>
              <w:top w:val="nil"/>
              <w:left w:val="nil"/>
              <w:bottom w:val="nil"/>
              <w:right w:val="nil"/>
            </w:tcBorders>
            <w:shd w:val="clear" w:color="auto" w:fill="auto"/>
            <w:noWrap/>
            <w:vAlign w:val="bottom"/>
            <w:hideMark/>
          </w:tcPr>
          <w:p w14:paraId="6BCB00D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Naknade građanima i kućanstvima u novcu                                                             </w:t>
            </w:r>
          </w:p>
        </w:tc>
        <w:tc>
          <w:tcPr>
            <w:tcW w:w="1480" w:type="dxa"/>
            <w:tcBorders>
              <w:top w:val="nil"/>
              <w:left w:val="nil"/>
              <w:bottom w:val="nil"/>
              <w:right w:val="nil"/>
            </w:tcBorders>
            <w:shd w:val="clear" w:color="auto" w:fill="auto"/>
            <w:noWrap/>
            <w:vAlign w:val="bottom"/>
            <w:hideMark/>
          </w:tcPr>
          <w:p w14:paraId="65ED5841"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5D5FAF85"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33.300,00</w:t>
            </w:r>
          </w:p>
        </w:tc>
        <w:tc>
          <w:tcPr>
            <w:tcW w:w="1400" w:type="dxa"/>
            <w:tcBorders>
              <w:top w:val="nil"/>
              <w:left w:val="nil"/>
              <w:bottom w:val="nil"/>
              <w:right w:val="nil"/>
            </w:tcBorders>
            <w:shd w:val="clear" w:color="auto" w:fill="auto"/>
            <w:noWrap/>
            <w:vAlign w:val="bottom"/>
            <w:hideMark/>
          </w:tcPr>
          <w:p w14:paraId="3ADD6F76"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530A0E2" w14:textId="77777777" w:rsidTr="00A360DB">
        <w:trPr>
          <w:trHeight w:val="240"/>
        </w:trPr>
        <w:tc>
          <w:tcPr>
            <w:tcW w:w="1697" w:type="dxa"/>
            <w:tcBorders>
              <w:top w:val="nil"/>
              <w:left w:val="nil"/>
              <w:bottom w:val="nil"/>
              <w:right w:val="nil"/>
            </w:tcBorders>
            <w:shd w:val="clear" w:color="000000" w:fill="B4C6E7"/>
            <w:noWrap/>
            <w:vAlign w:val="bottom"/>
            <w:hideMark/>
          </w:tcPr>
          <w:p w14:paraId="014FBFA7"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A101802</w:t>
            </w:r>
          </w:p>
        </w:tc>
        <w:tc>
          <w:tcPr>
            <w:tcW w:w="8509" w:type="dxa"/>
            <w:tcBorders>
              <w:top w:val="nil"/>
              <w:left w:val="nil"/>
              <w:bottom w:val="nil"/>
              <w:right w:val="nil"/>
            </w:tcBorders>
            <w:shd w:val="clear" w:color="000000" w:fill="B4C6E7"/>
            <w:noWrap/>
            <w:vAlign w:val="bottom"/>
            <w:hideMark/>
          </w:tcPr>
          <w:p w14:paraId="6B782A54"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Pomoć u novcu socijalno ugroženim obiteljima koji nisu korisnici ZMN</w:t>
            </w:r>
          </w:p>
        </w:tc>
        <w:tc>
          <w:tcPr>
            <w:tcW w:w="1480" w:type="dxa"/>
            <w:tcBorders>
              <w:top w:val="nil"/>
              <w:left w:val="nil"/>
              <w:bottom w:val="nil"/>
              <w:right w:val="nil"/>
            </w:tcBorders>
            <w:shd w:val="clear" w:color="000000" w:fill="B4C6E7"/>
            <w:noWrap/>
            <w:vAlign w:val="bottom"/>
            <w:hideMark/>
          </w:tcPr>
          <w:p w14:paraId="7BFCCF5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45.500,00</w:t>
            </w:r>
          </w:p>
        </w:tc>
        <w:tc>
          <w:tcPr>
            <w:tcW w:w="1380" w:type="dxa"/>
            <w:tcBorders>
              <w:top w:val="nil"/>
              <w:left w:val="nil"/>
              <w:bottom w:val="nil"/>
              <w:right w:val="nil"/>
            </w:tcBorders>
            <w:shd w:val="clear" w:color="000000" w:fill="B4C6E7"/>
            <w:noWrap/>
            <w:vAlign w:val="bottom"/>
            <w:hideMark/>
          </w:tcPr>
          <w:p w14:paraId="2CAB983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34.587,63</w:t>
            </w:r>
          </w:p>
        </w:tc>
        <w:tc>
          <w:tcPr>
            <w:tcW w:w="1400" w:type="dxa"/>
            <w:tcBorders>
              <w:top w:val="nil"/>
              <w:left w:val="nil"/>
              <w:bottom w:val="nil"/>
              <w:right w:val="nil"/>
            </w:tcBorders>
            <w:shd w:val="clear" w:color="000000" w:fill="B4C6E7"/>
            <w:noWrap/>
            <w:vAlign w:val="bottom"/>
            <w:hideMark/>
          </w:tcPr>
          <w:p w14:paraId="4DFB852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76,02%</w:t>
            </w:r>
          </w:p>
        </w:tc>
      </w:tr>
      <w:tr w:rsidR="00A360DB" w:rsidRPr="00A360DB" w14:paraId="1C08ED32"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598C4E8"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00C6EB13"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45.500,00</w:t>
            </w:r>
          </w:p>
        </w:tc>
        <w:tc>
          <w:tcPr>
            <w:tcW w:w="1380" w:type="dxa"/>
            <w:tcBorders>
              <w:top w:val="nil"/>
              <w:left w:val="nil"/>
              <w:bottom w:val="nil"/>
              <w:right w:val="nil"/>
            </w:tcBorders>
            <w:shd w:val="clear" w:color="auto" w:fill="auto"/>
            <w:noWrap/>
            <w:vAlign w:val="bottom"/>
            <w:hideMark/>
          </w:tcPr>
          <w:p w14:paraId="6A34F5DE"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34.587,63</w:t>
            </w:r>
          </w:p>
        </w:tc>
        <w:tc>
          <w:tcPr>
            <w:tcW w:w="1400" w:type="dxa"/>
            <w:tcBorders>
              <w:top w:val="nil"/>
              <w:left w:val="nil"/>
              <w:bottom w:val="nil"/>
              <w:right w:val="nil"/>
            </w:tcBorders>
            <w:shd w:val="clear" w:color="auto" w:fill="auto"/>
            <w:noWrap/>
            <w:vAlign w:val="bottom"/>
            <w:hideMark/>
          </w:tcPr>
          <w:p w14:paraId="0CC927CF"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76,02%</w:t>
            </w:r>
          </w:p>
        </w:tc>
      </w:tr>
      <w:tr w:rsidR="00A360DB" w:rsidRPr="00A360DB" w14:paraId="701AF948"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1D804519"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5CE790D2"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45.500,00</w:t>
            </w:r>
          </w:p>
        </w:tc>
        <w:tc>
          <w:tcPr>
            <w:tcW w:w="1380" w:type="dxa"/>
            <w:tcBorders>
              <w:top w:val="nil"/>
              <w:left w:val="nil"/>
              <w:bottom w:val="nil"/>
              <w:right w:val="nil"/>
            </w:tcBorders>
            <w:shd w:val="clear" w:color="auto" w:fill="auto"/>
            <w:noWrap/>
            <w:vAlign w:val="bottom"/>
            <w:hideMark/>
          </w:tcPr>
          <w:p w14:paraId="3AAB9FBB"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34.587,63</w:t>
            </w:r>
          </w:p>
        </w:tc>
        <w:tc>
          <w:tcPr>
            <w:tcW w:w="1400" w:type="dxa"/>
            <w:tcBorders>
              <w:top w:val="nil"/>
              <w:left w:val="nil"/>
              <w:bottom w:val="nil"/>
              <w:right w:val="nil"/>
            </w:tcBorders>
            <w:shd w:val="clear" w:color="auto" w:fill="auto"/>
            <w:noWrap/>
            <w:vAlign w:val="bottom"/>
            <w:hideMark/>
          </w:tcPr>
          <w:p w14:paraId="651BA1CC"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76,02%</w:t>
            </w:r>
          </w:p>
        </w:tc>
      </w:tr>
      <w:tr w:rsidR="00A360DB" w:rsidRPr="00A360DB" w14:paraId="75A3D9A5" w14:textId="77777777" w:rsidTr="00A360DB">
        <w:trPr>
          <w:trHeight w:val="240"/>
        </w:trPr>
        <w:tc>
          <w:tcPr>
            <w:tcW w:w="1697" w:type="dxa"/>
            <w:tcBorders>
              <w:top w:val="nil"/>
              <w:left w:val="nil"/>
              <w:bottom w:val="nil"/>
              <w:right w:val="nil"/>
            </w:tcBorders>
            <w:shd w:val="clear" w:color="auto" w:fill="auto"/>
            <w:noWrap/>
            <w:vAlign w:val="bottom"/>
            <w:hideMark/>
          </w:tcPr>
          <w:p w14:paraId="55DA27C1"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37</w:t>
            </w:r>
          </w:p>
        </w:tc>
        <w:tc>
          <w:tcPr>
            <w:tcW w:w="8509" w:type="dxa"/>
            <w:tcBorders>
              <w:top w:val="nil"/>
              <w:left w:val="nil"/>
              <w:bottom w:val="nil"/>
              <w:right w:val="nil"/>
            </w:tcBorders>
            <w:shd w:val="clear" w:color="auto" w:fill="auto"/>
            <w:noWrap/>
            <w:vAlign w:val="bottom"/>
            <w:hideMark/>
          </w:tcPr>
          <w:p w14:paraId="2D3406D5"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Naknade građanima i kućanstvima na temelju osiguranja i druge naknade                               </w:t>
            </w:r>
          </w:p>
        </w:tc>
        <w:tc>
          <w:tcPr>
            <w:tcW w:w="1480" w:type="dxa"/>
            <w:tcBorders>
              <w:top w:val="nil"/>
              <w:left w:val="nil"/>
              <w:bottom w:val="nil"/>
              <w:right w:val="nil"/>
            </w:tcBorders>
            <w:shd w:val="clear" w:color="auto" w:fill="auto"/>
            <w:noWrap/>
            <w:vAlign w:val="bottom"/>
            <w:hideMark/>
          </w:tcPr>
          <w:p w14:paraId="3FF6EC8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45.500,00</w:t>
            </w:r>
          </w:p>
        </w:tc>
        <w:tc>
          <w:tcPr>
            <w:tcW w:w="1380" w:type="dxa"/>
            <w:tcBorders>
              <w:top w:val="nil"/>
              <w:left w:val="nil"/>
              <w:bottom w:val="nil"/>
              <w:right w:val="nil"/>
            </w:tcBorders>
            <w:shd w:val="clear" w:color="auto" w:fill="auto"/>
            <w:noWrap/>
            <w:vAlign w:val="bottom"/>
            <w:hideMark/>
          </w:tcPr>
          <w:p w14:paraId="7EDDA88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34.587,63</w:t>
            </w:r>
          </w:p>
        </w:tc>
        <w:tc>
          <w:tcPr>
            <w:tcW w:w="1400" w:type="dxa"/>
            <w:tcBorders>
              <w:top w:val="nil"/>
              <w:left w:val="nil"/>
              <w:bottom w:val="nil"/>
              <w:right w:val="nil"/>
            </w:tcBorders>
            <w:shd w:val="clear" w:color="auto" w:fill="auto"/>
            <w:noWrap/>
            <w:vAlign w:val="bottom"/>
            <w:hideMark/>
          </w:tcPr>
          <w:p w14:paraId="18970B9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76,02%</w:t>
            </w:r>
          </w:p>
        </w:tc>
      </w:tr>
      <w:tr w:rsidR="00A360DB" w:rsidRPr="00A360DB" w14:paraId="755BEF71" w14:textId="77777777" w:rsidTr="00A360DB">
        <w:trPr>
          <w:trHeight w:val="240"/>
        </w:trPr>
        <w:tc>
          <w:tcPr>
            <w:tcW w:w="1697" w:type="dxa"/>
            <w:tcBorders>
              <w:top w:val="nil"/>
              <w:left w:val="nil"/>
              <w:bottom w:val="nil"/>
              <w:right w:val="nil"/>
            </w:tcBorders>
            <w:shd w:val="clear" w:color="auto" w:fill="auto"/>
            <w:noWrap/>
            <w:vAlign w:val="bottom"/>
            <w:hideMark/>
          </w:tcPr>
          <w:p w14:paraId="29E1879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3721</w:t>
            </w:r>
          </w:p>
        </w:tc>
        <w:tc>
          <w:tcPr>
            <w:tcW w:w="8509" w:type="dxa"/>
            <w:tcBorders>
              <w:top w:val="nil"/>
              <w:left w:val="nil"/>
              <w:bottom w:val="nil"/>
              <w:right w:val="nil"/>
            </w:tcBorders>
            <w:shd w:val="clear" w:color="auto" w:fill="auto"/>
            <w:noWrap/>
            <w:vAlign w:val="bottom"/>
            <w:hideMark/>
          </w:tcPr>
          <w:p w14:paraId="4C1AFD5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Naknade građanima i kućanstvima u novcu                                                             </w:t>
            </w:r>
          </w:p>
        </w:tc>
        <w:tc>
          <w:tcPr>
            <w:tcW w:w="1480" w:type="dxa"/>
            <w:tcBorders>
              <w:top w:val="nil"/>
              <w:left w:val="nil"/>
              <w:bottom w:val="nil"/>
              <w:right w:val="nil"/>
            </w:tcBorders>
            <w:shd w:val="clear" w:color="auto" w:fill="auto"/>
            <w:noWrap/>
            <w:vAlign w:val="bottom"/>
            <w:hideMark/>
          </w:tcPr>
          <w:p w14:paraId="42753AB6"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265A1EA0"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34.587,63</w:t>
            </w:r>
          </w:p>
        </w:tc>
        <w:tc>
          <w:tcPr>
            <w:tcW w:w="1400" w:type="dxa"/>
            <w:tcBorders>
              <w:top w:val="nil"/>
              <w:left w:val="nil"/>
              <w:bottom w:val="nil"/>
              <w:right w:val="nil"/>
            </w:tcBorders>
            <w:shd w:val="clear" w:color="auto" w:fill="auto"/>
            <w:noWrap/>
            <w:vAlign w:val="bottom"/>
            <w:hideMark/>
          </w:tcPr>
          <w:p w14:paraId="6A55B70A"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2FB9FE68" w14:textId="77777777" w:rsidTr="00A360DB">
        <w:trPr>
          <w:trHeight w:val="240"/>
        </w:trPr>
        <w:tc>
          <w:tcPr>
            <w:tcW w:w="1697" w:type="dxa"/>
            <w:tcBorders>
              <w:top w:val="nil"/>
              <w:left w:val="nil"/>
              <w:bottom w:val="nil"/>
              <w:right w:val="nil"/>
            </w:tcBorders>
            <w:shd w:val="clear" w:color="000000" w:fill="B4C6E7"/>
            <w:noWrap/>
            <w:vAlign w:val="bottom"/>
            <w:hideMark/>
          </w:tcPr>
          <w:p w14:paraId="62FDC912"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A101803</w:t>
            </w:r>
          </w:p>
        </w:tc>
        <w:tc>
          <w:tcPr>
            <w:tcW w:w="8509" w:type="dxa"/>
            <w:tcBorders>
              <w:top w:val="nil"/>
              <w:left w:val="nil"/>
              <w:bottom w:val="nil"/>
              <w:right w:val="nil"/>
            </w:tcBorders>
            <w:shd w:val="clear" w:color="000000" w:fill="B4C6E7"/>
            <w:noWrap/>
            <w:vAlign w:val="bottom"/>
            <w:hideMark/>
          </w:tcPr>
          <w:p w14:paraId="3D179DAB"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Pomoć za podmirenje troškova stanovanja</w:t>
            </w:r>
          </w:p>
        </w:tc>
        <w:tc>
          <w:tcPr>
            <w:tcW w:w="1480" w:type="dxa"/>
            <w:tcBorders>
              <w:top w:val="nil"/>
              <w:left w:val="nil"/>
              <w:bottom w:val="nil"/>
              <w:right w:val="nil"/>
            </w:tcBorders>
            <w:shd w:val="clear" w:color="000000" w:fill="B4C6E7"/>
            <w:noWrap/>
            <w:vAlign w:val="bottom"/>
            <w:hideMark/>
          </w:tcPr>
          <w:p w14:paraId="4E0872B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13.000,00</w:t>
            </w:r>
          </w:p>
        </w:tc>
        <w:tc>
          <w:tcPr>
            <w:tcW w:w="1380" w:type="dxa"/>
            <w:tcBorders>
              <w:top w:val="nil"/>
              <w:left w:val="nil"/>
              <w:bottom w:val="nil"/>
              <w:right w:val="nil"/>
            </w:tcBorders>
            <w:shd w:val="clear" w:color="000000" w:fill="B4C6E7"/>
            <w:noWrap/>
            <w:vAlign w:val="bottom"/>
            <w:hideMark/>
          </w:tcPr>
          <w:p w14:paraId="3525251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8.051,64</w:t>
            </w:r>
          </w:p>
        </w:tc>
        <w:tc>
          <w:tcPr>
            <w:tcW w:w="1400" w:type="dxa"/>
            <w:tcBorders>
              <w:top w:val="nil"/>
              <w:left w:val="nil"/>
              <w:bottom w:val="nil"/>
              <w:right w:val="nil"/>
            </w:tcBorders>
            <w:shd w:val="clear" w:color="000000" w:fill="B4C6E7"/>
            <w:noWrap/>
            <w:vAlign w:val="bottom"/>
            <w:hideMark/>
          </w:tcPr>
          <w:p w14:paraId="6D0D3BB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61,94%</w:t>
            </w:r>
          </w:p>
        </w:tc>
      </w:tr>
      <w:tr w:rsidR="00A360DB" w:rsidRPr="00A360DB" w14:paraId="614F9E3F"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D61A48A"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75F203EB"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3.000,00</w:t>
            </w:r>
          </w:p>
        </w:tc>
        <w:tc>
          <w:tcPr>
            <w:tcW w:w="1380" w:type="dxa"/>
            <w:tcBorders>
              <w:top w:val="nil"/>
              <w:left w:val="nil"/>
              <w:bottom w:val="nil"/>
              <w:right w:val="nil"/>
            </w:tcBorders>
            <w:shd w:val="clear" w:color="auto" w:fill="auto"/>
            <w:noWrap/>
            <w:vAlign w:val="bottom"/>
            <w:hideMark/>
          </w:tcPr>
          <w:p w14:paraId="608D3AA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1.191,12</w:t>
            </w:r>
          </w:p>
        </w:tc>
        <w:tc>
          <w:tcPr>
            <w:tcW w:w="1400" w:type="dxa"/>
            <w:tcBorders>
              <w:top w:val="nil"/>
              <w:left w:val="nil"/>
              <w:bottom w:val="nil"/>
              <w:right w:val="nil"/>
            </w:tcBorders>
            <w:shd w:val="clear" w:color="auto" w:fill="auto"/>
            <w:noWrap/>
            <w:vAlign w:val="bottom"/>
            <w:hideMark/>
          </w:tcPr>
          <w:p w14:paraId="250F918D"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39,70%</w:t>
            </w:r>
          </w:p>
        </w:tc>
      </w:tr>
      <w:tr w:rsidR="00A360DB" w:rsidRPr="00A360DB" w14:paraId="32120F13"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676B06D"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525B21C2"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3.000,00</w:t>
            </w:r>
          </w:p>
        </w:tc>
        <w:tc>
          <w:tcPr>
            <w:tcW w:w="1380" w:type="dxa"/>
            <w:tcBorders>
              <w:top w:val="nil"/>
              <w:left w:val="nil"/>
              <w:bottom w:val="nil"/>
              <w:right w:val="nil"/>
            </w:tcBorders>
            <w:shd w:val="clear" w:color="auto" w:fill="auto"/>
            <w:noWrap/>
            <w:vAlign w:val="bottom"/>
            <w:hideMark/>
          </w:tcPr>
          <w:p w14:paraId="0D2AF95B"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1.191,12</w:t>
            </w:r>
          </w:p>
        </w:tc>
        <w:tc>
          <w:tcPr>
            <w:tcW w:w="1400" w:type="dxa"/>
            <w:tcBorders>
              <w:top w:val="nil"/>
              <w:left w:val="nil"/>
              <w:bottom w:val="nil"/>
              <w:right w:val="nil"/>
            </w:tcBorders>
            <w:shd w:val="clear" w:color="auto" w:fill="auto"/>
            <w:noWrap/>
            <w:vAlign w:val="bottom"/>
            <w:hideMark/>
          </w:tcPr>
          <w:p w14:paraId="44ACBE6C"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39,70%</w:t>
            </w:r>
          </w:p>
        </w:tc>
      </w:tr>
      <w:tr w:rsidR="00A360DB" w:rsidRPr="00A360DB" w14:paraId="38014161" w14:textId="77777777" w:rsidTr="00A360DB">
        <w:trPr>
          <w:trHeight w:val="240"/>
        </w:trPr>
        <w:tc>
          <w:tcPr>
            <w:tcW w:w="1697" w:type="dxa"/>
            <w:tcBorders>
              <w:top w:val="nil"/>
              <w:left w:val="nil"/>
              <w:bottom w:val="nil"/>
              <w:right w:val="nil"/>
            </w:tcBorders>
            <w:shd w:val="clear" w:color="auto" w:fill="auto"/>
            <w:noWrap/>
            <w:vAlign w:val="bottom"/>
            <w:hideMark/>
          </w:tcPr>
          <w:p w14:paraId="79D91D92"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37</w:t>
            </w:r>
          </w:p>
        </w:tc>
        <w:tc>
          <w:tcPr>
            <w:tcW w:w="8509" w:type="dxa"/>
            <w:tcBorders>
              <w:top w:val="nil"/>
              <w:left w:val="nil"/>
              <w:bottom w:val="nil"/>
              <w:right w:val="nil"/>
            </w:tcBorders>
            <w:shd w:val="clear" w:color="auto" w:fill="auto"/>
            <w:noWrap/>
            <w:vAlign w:val="bottom"/>
            <w:hideMark/>
          </w:tcPr>
          <w:p w14:paraId="195069CB"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Naknade građanima i kućanstvima na temelju osiguranja i druge naknade                               </w:t>
            </w:r>
          </w:p>
        </w:tc>
        <w:tc>
          <w:tcPr>
            <w:tcW w:w="1480" w:type="dxa"/>
            <w:tcBorders>
              <w:top w:val="nil"/>
              <w:left w:val="nil"/>
              <w:bottom w:val="nil"/>
              <w:right w:val="nil"/>
            </w:tcBorders>
            <w:shd w:val="clear" w:color="auto" w:fill="auto"/>
            <w:noWrap/>
            <w:vAlign w:val="bottom"/>
            <w:hideMark/>
          </w:tcPr>
          <w:p w14:paraId="3CF75F0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3.000,00</w:t>
            </w:r>
          </w:p>
        </w:tc>
        <w:tc>
          <w:tcPr>
            <w:tcW w:w="1380" w:type="dxa"/>
            <w:tcBorders>
              <w:top w:val="nil"/>
              <w:left w:val="nil"/>
              <w:bottom w:val="nil"/>
              <w:right w:val="nil"/>
            </w:tcBorders>
            <w:shd w:val="clear" w:color="auto" w:fill="auto"/>
            <w:noWrap/>
            <w:vAlign w:val="bottom"/>
            <w:hideMark/>
          </w:tcPr>
          <w:p w14:paraId="7906221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1.191,12</w:t>
            </w:r>
          </w:p>
        </w:tc>
        <w:tc>
          <w:tcPr>
            <w:tcW w:w="1400" w:type="dxa"/>
            <w:tcBorders>
              <w:top w:val="nil"/>
              <w:left w:val="nil"/>
              <w:bottom w:val="nil"/>
              <w:right w:val="nil"/>
            </w:tcBorders>
            <w:shd w:val="clear" w:color="auto" w:fill="auto"/>
            <w:noWrap/>
            <w:vAlign w:val="bottom"/>
            <w:hideMark/>
          </w:tcPr>
          <w:p w14:paraId="7B56477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39,70%</w:t>
            </w:r>
          </w:p>
        </w:tc>
      </w:tr>
      <w:tr w:rsidR="00A360DB" w:rsidRPr="00A360DB" w14:paraId="766A71C3" w14:textId="77777777" w:rsidTr="00A360DB">
        <w:trPr>
          <w:trHeight w:val="240"/>
        </w:trPr>
        <w:tc>
          <w:tcPr>
            <w:tcW w:w="1697" w:type="dxa"/>
            <w:tcBorders>
              <w:top w:val="nil"/>
              <w:left w:val="nil"/>
              <w:bottom w:val="nil"/>
              <w:right w:val="nil"/>
            </w:tcBorders>
            <w:shd w:val="clear" w:color="auto" w:fill="auto"/>
            <w:noWrap/>
            <w:vAlign w:val="bottom"/>
            <w:hideMark/>
          </w:tcPr>
          <w:p w14:paraId="2335FE48"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3721</w:t>
            </w:r>
          </w:p>
        </w:tc>
        <w:tc>
          <w:tcPr>
            <w:tcW w:w="8509" w:type="dxa"/>
            <w:tcBorders>
              <w:top w:val="nil"/>
              <w:left w:val="nil"/>
              <w:bottom w:val="nil"/>
              <w:right w:val="nil"/>
            </w:tcBorders>
            <w:shd w:val="clear" w:color="auto" w:fill="auto"/>
            <w:noWrap/>
            <w:vAlign w:val="bottom"/>
            <w:hideMark/>
          </w:tcPr>
          <w:p w14:paraId="6968D40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Naknade građanima i kućanstvima u novcu                                                             </w:t>
            </w:r>
          </w:p>
        </w:tc>
        <w:tc>
          <w:tcPr>
            <w:tcW w:w="1480" w:type="dxa"/>
            <w:tcBorders>
              <w:top w:val="nil"/>
              <w:left w:val="nil"/>
              <w:bottom w:val="nil"/>
              <w:right w:val="nil"/>
            </w:tcBorders>
            <w:shd w:val="clear" w:color="auto" w:fill="auto"/>
            <w:noWrap/>
            <w:vAlign w:val="bottom"/>
            <w:hideMark/>
          </w:tcPr>
          <w:p w14:paraId="759B7333"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79F571F"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1.191,12</w:t>
            </w:r>
          </w:p>
        </w:tc>
        <w:tc>
          <w:tcPr>
            <w:tcW w:w="1400" w:type="dxa"/>
            <w:tcBorders>
              <w:top w:val="nil"/>
              <w:left w:val="nil"/>
              <w:bottom w:val="nil"/>
              <w:right w:val="nil"/>
            </w:tcBorders>
            <w:shd w:val="clear" w:color="auto" w:fill="auto"/>
            <w:noWrap/>
            <w:vAlign w:val="bottom"/>
            <w:hideMark/>
          </w:tcPr>
          <w:p w14:paraId="66DE3A2B"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2C7EB0FD"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C9B467D"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4. Prihodi za posebne namjene</w:t>
            </w:r>
          </w:p>
        </w:tc>
        <w:tc>
          <w:tcPr>
            <w:tcW w:w="1480" w:type="dxa"/>
            <w:tcBorders>
              <w:top w:val="nil"/>
              <w:left w:val="nil"/>
              <w:bottom w:val="nil"/>
              <w:right w:val="nil"/>
            </w:tcBorders>
            <w:shd w:val="clear" w:color="auto" w:fill="auto"/>
            <w:noWrap/>
            <w:vAlign w:val="bottom"/>
            <w:hideMark/>
          </w:tcPr>
          <w:p w14:paraId="1BEC24F8"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10.000,00</w:t>
            </w:r>
          </w:p>
        </w:tc>
        <w:tc>
          <w:tcPr>
            <w:tcW w:w="1380" w:type="dxa"/>
            <w:tcBorders>
              <w:top w:val="nil"/>
              <w:left w:val="nil"/>
              <w:bottom w:val="nil"/>
              <w:right w:val="nil"/>
            </w:tcBorders>
            <w:shd w:val="clear" w:color="auto" w:fill="auto"/>
            <w:noWrap/>
            <w:vAlign w:val="bottom"/>
            <w:hideMark/>
          </w:tcPr>
          <w:p w14:paraId="4D5305CD"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6.860,52</w:t>
            </w:r>
          </w:p>
        </w:tc>
        <w:tc>
          <w:tcPr>
            <w:tcW w:w="1400" w:type="dxa"/>
            <w:tcBorders>
              <w:top w:val="nil"/>
              <w:left w:val="nil"/>
              <w:bottom w:val="nil"/>
              <w:right w:val="nil"/>
            </w:tcBorders>
            <w:shd w:val="clear" w:color="auto" w:fill="auto"/>
            <w:noWrap/>
            <w:vAlign w:val="bottom"/>
            <w:hideMark/>
          </w:tcPr>
          <w:p w14:paraId="05125CCC"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68,61%</w:t>
            </w:r>
          </w:p>
        </w:tc>
      </w:tr>
      <w:tr w:rsidR="00A360DB" w:rsidRPr="00A360DB" w14:paraId="1FD26DB3"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13589A34"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4.1. Prihodi za posebne namjene</w:t>
            </w:r>
          </w:p>
        </w:tc>
        <w:tc>
          <w:tcPr>
            <w:tcW w:w="1480" w:type="dxa"/>
            <w:tcBorders>
              <w:top w:val="nil"/>
              <w:left w:val="nil"/>
              <w:bottom w:val="nil"/>
              <w:right w:val="nil"/>
            </w:tcBorders>
            <w:shd w:val="clear" w:color="auto" w:fill="auto"/>
            <w:noWrap/>
            <w:vAlign w:val="bottom"/>
            <w:hideMark/>
          </w:tcPr>
          <w:p w14:paraId="49206A86"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10.000,00</w:t>
            </w:r>
          </w:p>
        </w:tc>
        <w:tc>
          <w:tcPr>
            <w:tcW w:w="1380" w:type="dxa"/>
            <w:tcBorders>
              <w:top w:val="nil"/>
              <w:left w:val="nil"/>
              <w:bottom w:val="nil"/>
              <w:right w:val="nil"/>
            </w:tcBorders>
            <w:shd w:val="clear" w:color="auto" w:fill="auto"/>
            <w:noWrap/>
            <w:vAlign w:val="bottom"/>
            <w:hideMark/>
          </w:tcPr>
          <w:p w14:paraId="7BA361E8"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6.860,52</w:t>
            </w:r>
          </w:p>
        </w:tc>
        <w:tc>
          <w:tcPr>
            <w:tcW w:w="1400" w:type="dxa"/>
            <w:tcBorders>
              <w:top w:val="nil"/>
              <w:left w:val="nil"/>
              <w:bottom w:val="nil"/>
              <w:right w:val="nil"/>
            </w:tcBorders>
            <w:shd w:val="clear" w:color="auto" w:fill="auto"/>
            <w:noWrap/>
            <w:vAlign w:val="bottom"/>
            <w:hideMark/>
          </w:tcPr>
          <w:p w14:paraId="45EFE93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68,61%</w:t>
            </w:r>
          </w:p>
        </w:tc>
      </w:tr>
      <w:tr w:rsidR="00A360DB" w:rsidRPr="00A360DB" w14:paraId="3C565585" w14:textId="77777777" w:rsidTr="00A360DB">
        <w:trPr>
          <w:trHeight w:val="240"/>
        </w:trPr>
        <w:tc>
          <w:tcPr>
            <w:tcW w:w="1697" w:type="dxa"/>
            <w:tcBorders>
              <w:top w:val="nil"/>
              <w:left w:val="nil"/>
              <w:bottom w:val="nil"/>
              <w:right w:val="nil"/>
            </w:tcBorders>
            <w:shd w:val="clear" w:color="auto" w:fill="auto"/>
            <w:noWrap/>
            <w:vAlign w:val="bottom"/>
            <w:hideMark/>
          </w:tcPr>
          <w:p w14:paraId="66C71E87"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37</w:t>
            </w:r>
          </w:p>
        </w:tc>
        <w:tc>
          <w:tcPr>
            <w:tcW w:w="8509" w:type="dxa"/>
            <w:tcBorders>
              <w:top w:val="nil"/>
              <w:left w:val="nil"/>
              <w:bottom w:val="nil"/>
              <w:right w:val="nil"/>
            </w:tcBorders>
            <w:shd w:val="clear" w:color="auto" w:fill="auto"/>
            <w:noWrap/>
            <w:vAlign w:val="bottom"/>
            <w:hideMark/>
          </w:tcPr>
          <w:p w14:paraId="7FEB0B3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Naknade građanima i kućanstvima na temelju osiguranja i druge naknade                               </w:t>
            </w:r>
          </w:p>
        </w:tc>
        <w:tc>
          <w:tcPr>
            <w:tcW w:w="1480" w:type="dxa"/>
            <w:tcBorders>
              <w:top w:val="nil"/>
              <w:left w:val="nil"/>
              <w:bottom w:val="nil"/>
              <w:right w:val="nil"/>
            </w:tcBorders>
            <w:shd w:val="clear" w:color="auto" w:fill="auto"/>
            <w:noWrap/>
            <w:vAlign w:val="bottom"/>
            <w:hideMark/>
          </w:tcPr>
          <w:p w14:paraId="771A259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10.000,00</w:t>
            </w:r>
          </w:p>
        </w:tc>
        <w:tc>
          <w:tcPr>
            <w:tcW w:w="1380" w:type="dxa"/>
            <w:tcBorders>
              <w:top w:val="nil"/>
              <w:left w:val="nil"/>
              <w:bottom w:val="nil"/>
              <w:right w:val="nil"/>
            </w:tcBorders>
            <w:shd w:val="clear" w:color="auto" w:fill="auto"/>
            <w:noWrap/>
            <w:vAlign w:val="bottom"/>
            <w:hideMark/>
          </w:tcPr>
          <w:p w14:paraId="41208E7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6.860,52</w:t>
            </w:r>
          </w:p>
        </w:tc>
        <w:tc>
          <w:tcPr>
            <w:tcW w:w="1400" w:type="dxa"/>
            <w:tcBorders>
              <w:top w:val="nil"/>
              <w:left w:val="nil"/>
              <w:bottom w:val="nil"/>
              <w:right w:val="nil"/>
            </w:tcBorders>
            <w:shd w:val="clear" w:color="auto" w:fill="auto"/>
            <w:noWrap/>
            <w:vAlign w:val="bottom"/>
            <w:hideMark/>
          </w:tcPr>
          <w:p w14:paraId="1906FE4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68,61%</w:t>
            </w:r>
          </w:p>
        </w:tc>
      </w:tr>
      <w:tr w:rsidR="00A360DB" w:rsidRPr="00A360DB" w14:paraId="1127EF8A" w14:textId="77777777" w:rsidTr="00A360DB">
        <w:trPr>
          <w:trHeight w:val="240"/>
        </w:trPr>
        <w:tc>
          <w:tcPr>
            <w:tcW w:w="1697" w:type="dxa"/>
            <w:tcBorders>
              <w:top w:val="nil"/>
              <w:left w:val="nil"/>
              <w:bottom w:val="nil"/>
              <w:right w:val="nil"/>
            </w:tcBorders>
            <w:shd w:val="clear" w:color="auto" w:fill="auto"/>
            <w:noWrap/>
            <w:vAlign w:val="bottom"/>
            <w:hideMark/>
          </w:tcPr>
          <w:p w14:paraId="571B93B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3721</w:t>
            </w:r>
          </w:p>
        </w:tc>
        <w:tc>
          <w:tcPr>
            <w:tcW w:w="8509" w:type="dxa"/>
            <w:tcBorders>
              <w:top w:val="nil"/>
              <w:left w:val="nil"/>
              <w:bottom w:val="nil"/>
              <w:right w:val="nil"/>
            </w:tcBorders>
            <w:shd w:val="clear" w:color="auto" w:fill="auto"/>
            <w:noWrap/>
            <w:vAlign w:val="bottom"/>
            <w:hideMark/>
          </w:tcPr>
          <w:p w14:paraId="57FF1A3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Naknade građanima i kućanstvima u novcu                                                             </w:t>
            </w:r>
          </w:p>
        </w:tc>
        <w:tc>
          <w:tcPr>
            <w:tcW w:w="1480" w:type="dxa"/>
            <w:tcBorders>
              <w:top w:val="nil"/>
              <w:left w:val="nil"/>
              <w:bottom w:val="nil"/>
              <w:right w:val="nil"/>
            </w:tcBorders>
            <w:shd w:val="clear" w:color="auto" w:fill="auto"/>
            <w:noWrap/>
            <w:vAlign w:val="bottom"/>
            <w:hideMark/>
          </w:tcPr>
          <w:p w14:paraId="709C988C"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2952F64"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6.860,52</w:t>
            </w:r>
          </w:p>
        </w:tc>
        <w:tc>
          <w:tcPr>
            <w:tcW w:w="1400" w:type="dxa"/>
            <w:tcBorders>
              <w:top w:val="nil"/>
              <w:left w:val="nil"/>
              <w:bottom w:val="nil"/>
              <w:right w:val="nil"/>
            </w:tcBorders>
            <w:shd w:val="clear" w:color="auto" w:fill="auto"/>
            <w:noWrap/>
            <w:vAlign w:val="bottom"/>
            <w:hideMark/>
          </w:tcPr>
          <w:p w14:paraId="7047E4F8"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5EA9450D" w14:textId="77777777" w:rsidTr="00A360DB">
        <w:trPr>
          <w:trHeight w:val="240"/>
        </w:trPr>
        <w:tc>
          <w:tcPr>
            <w:tcW w:w="1697" w:type="dxa"/>
            <w:tcBorders>
              <w:top w:val="nil"/>
              <w:left w:val="nil"/>
              <w:bottom w:val="nil"/>
              <w:right w:val="nil"/>
            </w:tcBorders>
            <w:shd w:val="clear" w:color="000000" w:fill="B4C6E7"/>
            <w:noWrap/>
            <w:vAlign w:val="bottom"/>
            <w:hideMark/>
          </w:tcPr>
          <w:p w14:paraId="441D34E9"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A101806</w:t>
            </w:r>
          </w:p>
        </w:tc>
        <w:tc>
          <w:tcPr>
            <w:tcW w:w="8509" w:type="dxa"/>
            <w:tcBorders>
              <w:top w:val="nil"/>
              <w:left w:val="nil"/>
              <w:bottom w:val="nil"/>
              <w:right w:val="nil"/>
            </w:tcBorders>
            <w:shd w:val="clear" w:color="000000" w:fill="B4C6E7"/>
            <w:noWrap/>
            <w:vAlign w:val="bottom"/>
            <w:hideMark/>
          </w:tcPr>
          <w:p w14:paraId="2F8395D4"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Naknada za troškove osnovnoškolskog obrazovanja za učenike s teškoćama u razvoju</w:t>
            </w:r>
          </w:p>
        </w:tc>
        <w:tc>
          <w:tcPr>
            <w:tcW w:w="1480" w:type="dxa"/>
            <w:tcBorders>
              <w:top w:val="nil"/>
              <w:left w:val="nil"/>
              <w:bottom w:val="nil"/>
              <w:right w:val="nil"/>
            </w:tcBorders>
            <w:shd w:val="clear" w:color="000000" w:fill="B4C6E7"/>
            <w:noWrap/>
            <w:vAlign w:val="bottom"/>
            <w:hideMark/>
          </w:tcPr>
          <w:p w14:paraId="6617AEE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2.600,00</w:t>
            </w:r>
          </w:p>
        </w:tc>
        <w:tc>
          <w:tcPr>
            <w:tcW w:w="1380" w:type="dxa"/>
            <w:tcBorders>
              <w:top w:val="nil"/>
              <w:left w:val="nil"/>
              <w:bottom w:val="nil"/>
              <w:right w:val="nil"/>
            </w:tcBorders>
            <w:shd w:val="clear" w:color="000000" w:fill="B4C6E7"/>
            <w:noWrap/>
            <w:vAlign w:val="bottom"/>
            <w:hideMark/>
          </w:tcPr>
          <w:p w14:paraId="359E637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2.389,00</w:t>
            </w:r>
          </w:p>
        </w:tc>
        <w:tc>
          <w:tcPr>
            <w:tcW w:w="1400" w:type="dxa"/>
            <w:tcBorders>
              <w:top w:val="nil"/>
              <w:left w:val="nil"/>
              <w:bottom w:val="nil"/>
              <w:right w:val="nil"/>
            </w:tcBorders>
            <w:shd w:val="clear" w:color="000000" w:fill="B4C6E7"/>
            <w:noWrap/>
            <w:vAlign w:val="bottom"/>
            <w:hideMark/>
          </w:tcPr>
          <w:p w14:paraId="185A638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91,88%</w:t>
            </w:r>
          </w:p>
        </w:tc>
      </w:tr>
      <w:tr w:rsidR="00A360DB" w:rsidRPr="00A360DB" w14:paraId="62FB56FE"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1ECAEC1A"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lastRenderedPageBreak/>
              <w:t>Izvor 1. Opći prihodi i primici</w:t>
            </w:r>
          </w:p>
        </w:tc>
        <w:tc>
          <w:tcPr>
            <w:tcW w:w="1480" w:type="dxa"/>
            <w:tcBorders>
              <w:top w:val="nil"/>
              <w:left w:val="nil"/>
              <w:bottom w:val="nil"/>
              <w:right w:val="nil"/>
            </w:tcBorders>
            <w:shd w:val="clear" w:color="auto" w:fill="auto"/>
            <w:noWrap/>
            <w:vAlign w:val="bottom"/>
            <w:hideMark/>
          </w:tcPr>
          <w:p w14:paraId="69D055E5"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2.600,00</w:t>
            </w:r>
          </w:p>
        </w:tc>
        <w:tc>
          <w:tcPr>
            <w:tcW w:w="1380" w:type="dxa"/>
            <w:tcBorders>
              <w:top w:val="nil"/>
              <w:left w:val="nil"/>
              <w:bottom w:val="nil"/>
              <w:right w:val="nil"/>
            </w:tcBorders>
            <w:shd w:val="clear" w:color="auto" w:fill="auto"/>
            <w:noWrap/>
            <w:vAlign w:val="bottom"/>
            <w:hideMark/>
          </w:tcPr>
          <w:p w14:paraId="787C11B9"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2.389,00</w:t>
            </w:r>
          </w:p>
        </w:tc>
        <w:tc>
          <w:tcPr>
            <w:tcW w:w="1400" w:type="dxa"/>
            <w:tcBorders>
              <w:top w:val="nil"/>
              <w:left w:val="nil"/>
              <w:bottom w:val="nil"/>
              <w:right w:val="nil"/>
            </w:tcBorders>
            <w:shd w:val="clear" w:color="auto" w:fill="auto"/>
            <w:noWrap/>
            <w:vAlign w:val="bottom"/>
            <w:hideMark/>
          </w:tcPr>
          <w:p w14:paraId="4AC0D6C0"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91,88%</w:t>
            </w:r>
          </w:p>
        </w:tc>
      </w:tr>
      <w:tr w:rsidR="00A360DB" w:rsidRPr="00A360DB" w14:paraId="29477E08"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5F4546E8"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7FBE1D0D"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2.600,00</w:t>
            </w:r>
          </w:p>
        </w:tc>
        <w:tc>
          <w:tcPr>
            <w:tcW w:w="1380" w:type="dxa"/>
            <w:tcBorders>
              <w:top w:val="nil"/>
              <w:left w:val="nil"/>
              <w:bottom w:val="nil"/>
              <w:right w:val="nil"/>
            </w:tcBorders>
            <w:shd w:val="clear" w:color="auto" w:fill="auto"/>
            <w:noWrap/>
            <w:vAlign w:val="bottom"/>
            <w:hideMark/>
          </w:tcPr>
          <w:p w14:paraId="3B6D75B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2.389,00</w:t>
            </w:r>
          </w:p>
        </w:tc>
        <w:tc>
          <w:tcPr>
            <w:tcW w:w="1400" w:type="dxa"/>
            <w:tcBorders>
              <w:top w:val="nil"/>
              <w:left w:val="nil"/>
              <w:bottom w:val="nil"/>
              <w:right w:val="nil"/>
            </w:tcBorders>
            <w:shd w:val="clear" w:color="auto" w:fill="auto"/>
            <w:noWrap/>
            <w:vAlign w:val="bottom"/>
            <w:hideMark/>
          </w:tcPr>
          <w:p w14:paraId="71496F80"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91,88%</w:t>
            </w:r>
          </w:p>
        </w:tc>
      </w:tr>
      <w:tr w:rsidR="00A360DB" w:rsidRPr="00A360DB" w14:paraId="2188B112" w14:textId="77777777" w:rsidTr="00A360DB">
        <w:trPr>
          <w:trHeight w:val="240"/>
        </w:trPr>
        <w:tc>
          <w:tcPr>
            <w:tcW w:w="1697" w:type="dxa"/>
            <w:tcBorders>
              <w:top w:val="nil"/>
              <w:left w:val="nil"/>
              <w:bottom w:val="nil"/>
              <w:right w:val="nil"/>
            </w:tcBorders>
            <w:shd w:val="clear" w:color="auto" w:fill="auto"/>
            <w:noWrap/>
            <w:vAlign w:val="bottom"/>
            <w:hideMark/>
          </w:tcPr>
          <w:p w14:paraId="36BACE8D"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37</w:t>
            </w:r>
          </w:p>
        </w:tc>
        <w:tc>
          <w:tcPr>
            <w:tcW w:w="8509" w:type="dxa"/>
            <w:tcBorders>
              <w:top w:val="nil"/>
              <w:left w:val="nil"/>
              <w:bottom w:val="nil"/>
              <w:right w:val="nil"/>
            </w:tcBorders>
            <w:shd w:val="clear" w:color="auto" w:fill="auto"/>
            <w:noWrap/>
            <w:vAlign w:val="bottom"/>
            <w:hideMark/>
          </w:tcPr>
          <w:p w14:paraId="3792C24D"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Naknade građanima i kućanstvima na temelju osiguranja i druge naknade                               </w:t>
            </w:r>
          </w:p>
        </w:tc>
        <w:tc>
          <w:tcPr>
            <w:tcW w:w="1480" w:type="dxa"/>
            <w:tcBorders>
              <w:top w:val="nil"/>
              <w:left w:val="nil"/>
              <w:bottom w:val="nil"/>
              <w:right w:val="nil"/>
            </w:tcBorders>
            <w:shd w:val="clear" w:color="auto" w:fill="auto"/>
            <w:noWrap/>
            <w:vAlign w:val="bottom"/>
            <w:hideMark/>
          </w:tcPr>
          <w:p w14:paraId="1434DDF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2.600,00</w:t>
            </w:r>
          </w:p>
        </w:tc>
        <w:tc>
          <w:tcPr>
            <w:tcW w:w="1380" w:type="dxa"/>
            <w:tcBorders>
              <w:top w:val="nil"/>
              <w:left w:val="nil"/>
              <w:bottom w:val="nil"/>
              <w:right w:val="nil"/>
            </w:tcBorders>
            <w:shd w:val="clear" w:color="auto" w:fill="auto"/>
            <w:noWrap/>
            <w:vAlign w:val="bottom"/>
            <w:hideMark/>
          </w:tcPr>
          <w:p w14:paraId="4B3405F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2.389,00</w:t>
            </w:r>
          </w:p>
        </w:tc>
        <w:tc>
          <w:tcPr>
            <w:tcW w:w="1400" w:type="dxa"/>
            <w:tcBorders>
              <w:top w:val="nil"/>
              <w:left w:val="nil"/>
              <w:bottom w:val="nil"/>
              <w:right w:val="nil"/>
            </w:tcBorders>
            <w:shd w:val="clear" w:color="auto" w:fill="auto"/>
            <w:noWrap/>
            <w:vAlign w:val="bottom"/>
            <w:hideMark/>
          </w:tcPr>
          <w:p w14:paraId="25D618F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91,88%</w:t>
            </w:r>
          </w:p>
        </w:tc>
      </w:tr>
      <w:tr w:rsidR="00A360DB" w:rsidRPr="00A360DB" w14:paraId="6B49BC30" w14:textId="77777777" w:rsidTr="00A360DB">
        <w:trPr>
          <w:trHeight w:val="240"/>
        </w:trPr>
        <w:tc>
          <w:tcPr>
            <w:tcW w:w="1697" w:type="dxa"/>
            <w:tcBorders>
              <w:top w:val="nil"/>
              <w:left w:val="nil"/>
              <w:bottom w:val="nil"/>
              <w:right w:val="nil"/>
            </w:tcBorders>
            <w:shd w:val="clear" w:color="auto" w:fill="auto"/>
            <w:noWrap/>
            <w:vAlign w:val="bottom"/>
            <w:hideMark/>
          </w:tcPr>
          <w:p w14:paraId="13FDC44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3721</w:t>
            </w:r>
          </w:p>
        </w:tc>
        <w:tc>
          <w:tcPr>
            <w:tcW w:w="8509" w:type="dxa"/>
            <w:tcBorders>
              <w:top w:val="nil"/>
              <w:left w:val="nil"/>
              <w:bottom w:val="nil"/>
              <w:right w:val="nil"/>
            </w:tcBorders>
            <w:shd w:val="clear" w:color="auto" w:fill="auto"/>
            <w:noWrap/>
            <w:vAlign w:val="bottom"/>
            <w:hideMark/>
          </w:tcPr>
          <w:p w14:paraId="095E946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Naknade građanima i kućanstvima u novcu                                                             </w:t>
            </w:r>
          </w:p>
        </w:tc>
        <w:tc>
          <w:tcPr>
            <w:tcW w:w="1480" w:type="dxa"/>
            <w:tcBorders>
              <w:top w:val="nil"/>
              <w:left w:val="nil"/>
              <w:bottom w:val="nil"/>
              <w:right w:val="nil"/>
            </w:tcBorders>
            <w:shd w:val="clear" w:color="auto" w:fill="auto"/>
            <w:noWrap/>
            <w:vAlign w:val="bottom"/>
            <w:hideMark/>
          </w:tcPr>
          <w:p w14:paraId="0C6F31DF"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20D8E951"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2.389,00</w:t>
            </w:r>
          </w:p>
        </w:tc>
        <w:tc>
          <w:tcPr>
            <w:tcW w:w="1400" w:type="dxa"/>
            <w:tcBorders>
              <w:top w:val="nil"/>
              <w:left w:val="nil"/>
              <w:bottom w:val="nil"/>
              <w:right w:val="nil"/>
            </w:tcBorders>
            <w:shd w:val="clear" w:color="auto" w:fill="auto"/>
            <w:noWrap/>
            <w:vAlign w:val="bottom"/>
            <w:hideMark/>
          </w:tcPr>
          <w:p w14:paraId="3C7B8FD5"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2B82545" w14:textId="77777777" w:rsidTr="00A360DB">
        <w:trPr>
          <w:trHeight w:val="240"/>
        </w:trPr>
        <w:tc>
          <w:tcPr>
            <w:tcW w:w="1697" w:type="dxa"/>
            <w:tcBorders>
              <w:top w:val="nil"/>
              <w:left w:val="nil"/>
              <w:bottom w:val="nil"/>
              <w:right w:val="nil"/>
            </w:tcBorders>
            <w:shd w:val="clear" w:color="000000" w:fill="B4C6E7"/>
            <w:noWrap/>
            <w:vAlign w:val="bottom"/>
            <w:hideMark/>
          </w:tcPr>
          <w:p w14:paraId="06C5672A"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A101807</w:t>
            </w:r>
          </w:p>
        </w:tc>
        <w:tc>
          <w:tcPr>
            <w:tcW w:w="8509" w:type="dxa"/>
            <w:tcBorders>
              <w:top w:val="nil"/>
              <w:left w:val="nil"/>
              <w:bottom w:val="nil"/>
              <w:right w:val="nil"/>
            </w:tcBorders>
            <w:shd w:val="clear" w:color="000000" w:fill="B4C6E7"/>
            <w:noWrap/>
            <w:vAlign w:val="bottom"/>
            <w:hideMark/>
          </w:tcPr>
          <w:p w14:paraId="5E13751F"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Jednokratna potpora učenicima i studentima</w:t>
            </w:r>
          </w:p>
        </w:tc>
        <w:tc>
          <w:tcPr>
            <w:tcW w:w="1480" w:type="dxa"/>
            <w:tcBorders>
              <w:top w:val="nil"/>
              <w:left w:val="nil"/>
              <w:bottom w:val="nil"/>
              <w:right w:val="nil"/>
            </w:tcBorders>
            <w:shd w:val="clear" w:color="000000" w:fill="B4C6E7"/>
            <w:noWrap/>
            <w:vAlign w:val="bottom"/>
            <w:hideMark/>
          </w:tcPr>
          <w:p w14:paraId="2B810F5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1.330,00</w:t>
            </w:r>
          </w:p>
        </w:tc>
        <w:tc>
          <w:tcPr>
            <w:tcW w:w="1380" w:type="dxa"/>
            <w:tcBorders>
              <w:top w:val="nil"/>
              <w:left w:val="nil"/>
              <w:bottom w:val="nil"/>
              <w:right w:val="nil"/>
            </w:tcBorders>
            <w:shd w:val="clear" w:color="000000" w:fill="B4C6E7"/>
            <w:noWrap/>
            <w:vAlign w:val="bottom"/>
            <w:hideMark/>
          </w:tcPr>
          <w:p w14:paraId="11353CD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700,00</w:t>
            </w:r>
          </w:p>
        </w:tc>
        <w:tc>
          <w:tcPr>
            <w:tcW w:w="1400" w:type="dxa"/>
            <w:tcBorders>
              <w:top w:val="nil"/>
              <w:left w:val="nil"/>
              <w:bottom w:val="nil"/>
              <w:right w:val="nil"/>
            </w:tcBorders>
            <w:shd w:val="clear" w:color="000000" w:fill="B4C6E7"/>
            <w:noWrap/>
            <w:vAlign w:val="bottom"/>
            <w:hideMark/>
          </w:tcPr>
          <w:p w14:paraId="426CCB1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52,63%</w:t>
            </w:r>
          </w:p>
        </w:tc>
      </w:tr>
      <w:tr w:rsidR="00A360DB" w:rsidRPr="00A360DB" w14:paraId="22F5FDBD"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D7AA1D4"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749F331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1.330,00</w:t>
            </w:r>
          </w:p>
        </w:tc>
        <w:tc>
          <w:tcPr>
            <w:tcW w:w="1380" w:type="dxa"/>
            <w:tcBorders>
              <w:top w:val="nil"/>
              <w:left w:val="nil"/>
              <w:bottom w:val="nil"/>
              <w:right w:val="nil"/>
            </w:tcBorders>
            <w:shd w:val="clear" w:color="auto" w:fill="auto"/>
            <w:noWrap/>
            <w:vAlign w:val="bottom"/>
            <w:hideMark/>
          </w:tcPr>
          <w:p w14:paraId="1A778A2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700,00</w:t>
            </w:r>
          </w:p>
        </w:tc>
        <w:tc>
          <w:tcPr>
            <w:tcW w:w="1400" w:type="dxa"/>
            <w:tcBorders>
              <w:top w:val="nil"/>
              <w:left w:val="nil"/>
              <w:bottom w:val="nil"/>
              <w:right w:val="nil"/>
            </w:tcBorders>
            <w:shd w:val="clear" w:color="auto" w:fill="auto"/>
            <w:noWrap/>
            <w:vAlign w:val="bottom"/>
            <w:hideMark/>
          </w:tcPr>
          <w:p w14:paraId="76FB54ED"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52,63%</w:t>
            </w:r>
          </w:p>
        </w:tc>
      </w:tr>
      <w:tr w:rsidR="00A360DB" w:rsidRPr="00A360DB" w14:paraId="477F0538"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5213F607"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62D2577D"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1.330,00</w:t>
            </w:r>
          </w:p>
        </w:tc>
        <w:tc>
          <w:tcPr>
            <w:tcW w:w="1380" w:type="dxa"/>
            <w:tcBorders>
              <w:top w:val="nil"/>
              <w:left w:val="nil"/>
              <w:bottom w:val="nil"/>
              <w:right w:val="nil"/>
            </w:tcBorders>
            <w:shd w:val="clear" w:color="auto" w:fill="auto"/>
            <w:noWrap/>
            <w:vAlign w:val="bottom"/>
            <w:hideMark/>
          </w:tcPr>
          <w:p w14:paraId="3A73344C"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700,00</w:t>
            </w:r>
          </w:p>
        </w:tc>
        <w:tc>
          <w:tcPr>
            <w:tcW w:w="1400" w:type="dxa"/>
            <w:tcBorders>
              <w:top w:val="nil"/>
              <w:left w:val="nil"/>
              <w:bottom w:val="nil"/>
              <w:right w:val="nil"/>
            </w:tcBorders>
            <w:shd w:val="clear" w:color="auto" w:fill="auto"/>
            <w:noWrap/>
            <w:vAlign w:val="bottom"/>
            <w:hideMark/>
          </w:tcPr>
          <w:p w14:paraId="70AA11F0"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52,63%</w:t>
            </w:r>
          </w:p>
        </w:tc>
      </w:tr>
      <w:tr w:rsidR="00A360DB" w:rsidRPr="00A360DB" w14:paraId="5A097912" w14:textId="77777777" w:rsidTr="00A360DB">
        <w:trPr>
          <w:trHeight w:val="240"/>
        </w:trPr>
        <w:tc>
          <w:tcPr>
            <w:tcW w:w="1697" w:type="dxa"/>
            <w:tcBorders>
              <w:top w:val="nil"/>
              <w:left w:val="nil"/>
              <w:bottom w:val="nil"/>
              <w:right w:val="nil"/>
            </w:tcBorders>
            <w:shd w:val="clear" w:color="auto" w:fill="auto"/>
            <w:noWrap/>
            <w:vAlign w:val="bottom"/>
            <w:hideMark/>
          </w:tcPr>
          <w:p w14:paraId="6EF817DF"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37</w:t>
            </w:r>
          </w:p>
        </w:tc>
        <w:tc>
          <w:tcPr>
            <w:tcW w:w="8509" w:type="dxa"/>
            <w:tcBorders>
              <w:top w:val="nil"/>
              <w:left w:val="nil"/>
              <w:bottom w:val="nil"/>
              <w:right w:val="nil"/>
            </w:tcBorders>
            <w:shd w:val="clear" w:color="auto" w:fill="auto"/>
            <w:noWrap/>
            <w:vAlign w:val="bottom"/>
            <w:hideMark/>
          </w:tcPr>
          <w:p w14:paraId="3EB8C0BF"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Naknade građanima i kućanstvima na temelju osiguranja i druge naknade                               </w:t>
            </w:r>
          </w:p>
        </w:tc>
        <w:tc>
          <w:tcPr>
            <w:tcW w:w="1480" w:type="dxa"/>
            <w:tcBorders>
              <w:top w:val="nil"/>
              <w:left w:val="nil"/>
              <w:bottom w:val="nil"/>
              <w:right w:val="nil"/>
            </w:tcBorders>
            <w:shd w:val="clear" w:color="auto" w:fill="auto"/>
            <w:noWrap/>
            <w:vAlign w:val="bottom"/>
            <w:hideMark/>
          </w:tcPr>
          <w:p w14:paraId="50C7273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1.330,00</w:t>
            </w:r>
          </w:p>
        </w:tc>
        <w:tc>
          <w:tcPr>
            <w:tcW w:w="1380" w:type="dxa"/>
            <w:tcBorders>
              <w:top w:val="nil"/>
              <w:left w:val="nil"/>
              <w:bottom w:val="nil"/>
              <w:right w:val="nil"/>
            </w:tcBorders>
            <w:shd w:val="clear" w:color="auto" w:fill="auto"/>
            <w:noWrap/>
            <w:vAlign w:val="bottom"/>
            <w:hideMark/>
          </w:tcPr>
          <w:p w14:paraId="033956C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700,00</w:t>
            </w:r>
          </w:p>
        </w:tc>
        <w:tc>
          <w:tcPr>
            <w:tcW w:w="1400" w:type="dxa"/>
            <w:tcBorders>
              <w:top w:val="nil"/>
              <w:left w:val="nil"/>
              <w:bottom w:val="nil"/>
              <w:right w:val="nil"/>
            </w:tcBorders>
            <w:shd w:val="clear" w:color="auto" w:fill="auto"/>
            <w:noWrap/>
            <w:vAlign w:val="bottom"/>
            <w:hideMark/>
          </w:tcPr>
          <w:p w14:paraId="49C307A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52,63%</w:t>
            </w:r>
          </w:p>
        </w:tc>
      </w:tr>
      <w:tr w:rsidR="00A360DB" w:rsidRPr="00A360DB" w14:paraId="68F04053" w14:textId="77777777" w:rsidTr="00A360DB">
        <w:trPr>
          <w:trHeight w:val="240"/>
        </w:trPr>
        <w:tc>
          <w:tcPr>
            <w:tcW w:w="1697" w:type="dxa"/>
            <w:tcBorders>
              <w:top w:val="nil"/>
              <w:left w:val="nil"/>
              <w:bottom w:val="nil"/>
              <w:right w:val="nil"/>
            </w:tcBorders>
            <w:shd w:val="clear" w:color="auto" w:fill="auto"/>
            <w:noWrap/>
            <w:vAlign w:val="bottom"/>
            <w:hideMark/>
          </w:tcPr>
          <w:p w14:paraId="38768B7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3721</w:t>
            </w:r>
          </w:p>
        </w:tc>
        <w:tc>
          <w:tcPr>
            <w:tcW w:w="8509" w:type="dxa"/>
            <w:tcBorders>
              <w:top w:val="nil"/>
              <w:left w:val="nil"/>
              <w:bottom w:val="nil"/>
              <w:right w:val="nil"/>
            </w:tcBorders>
            <w:shd w:val="clear" w:color="auto" w:fill="auto"/>
            <w:noWrap/>
            <w:vAlign w:val="bottom"/>
            <w:hideMark/>
          </w:tcPr>
          <w:p w14:paraId="36D2467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Naknade građanima i kućanstvima u novcu                                                             </w:t>
            </w:r>
          </w:p>
        </w:tc>
        <w:tc>
          <w:tcPr>
            <w:tcW w:w="1480" w:type="dxa"/>
            <w:tcBorders>
              <w:top w:val="nil"/>
              <w:left w:val="nil"/>
              <w:bottom w:val="nil"/>
              <w:right w:val="nil"/>
            </w:tcBorders>
            <w:shd w:val="clear" w:color="auto" w:fill="auto"/>
            <w:noWrap/>
            <w:vAlign w:val="bottom"/>
            <w:hideMark/>
          </w:tcPr>
          <w:p w14:paraId="3BE59646"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1C2D5DE"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700,00</w:t>
            </w:r>
          </w:p>
        </w:tc>
        <w:tc>
          <w:tcPr>
            <w:tcW w:w="1400" w:type="dxa"/>
            <w:tcBorders>
              <w:top w:val="nil"/>
              <w:left w:val="nil"/>
              <w:bottom w:val="nil"/>
              <w:right w:val="nil"/>
            </w:tcBorders>
            <w:shd w:val="clear" w:color="auto" w:fill="auto"/>
            <w:noWrap/>
            <w:vAlign w:val="bottom"/>
            <w:hideMark/>
          </w:tcPr>
          <w:p w14:paraId="5A9388B4"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692CB83" w14:textId="77777777" w:rsidTr="00A360DB">
        <w:trPr>
          <w:trHeight w:val="240"/>
        </w:trPr>
        <w:tc>
          <w:tcPr>
            <w:tcW w:w="1697" w:type="dxa"/>
            <w:tcBorders>
              <w:top w:val="nil"/>
              <w:left w:val="nil"/>
              <w:bottom w:val="nil"/>
              <w:right w:val="nil"/>
            </w:tcBorders>
            <w:shd w:val="clear" w:color="000000" w:fill="B4C6E7"/>
            <w:noWrap/>
            <w:vAlign w:val="bottom"/>
            <w:hideMark/>
          </w:tcPr>
          <w:p w14:paraId="63E08F4F"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A101808</w:t>
            </w:r>
          </w:p>
        </w:tc>
        <w:tc>
          <w:tcPr>
            <w:tcW w:w="8509" w:type="dxa"/>
            <w:tcBorders>
              <w:top w:val="nil"/>
              <w:left w:val="nil"/>
              <w:bottom w:val="nil"/>
              <w:right w:val="nil"/>
            </w:tcBorders>
            <w:shd w:val="clear" w:color="000000" w:fill="B4C6E7"/>
            <w:noWrap/>
            <w:vAlign w:val="bottom"/>
            <w:hideMark/>
          </w:tcPr>
          <w:p w14:paraId="38E6BDC4"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Sufinanciranje troškova odvoza komunalnog otpada</w:t>
            </w:r>
          </w:p>
        </w:tc>
        <w:tc>
          <w:tcPr>
            <w:tcW w:w="1480" w:type="dxa"/>
            <w:tcBorders>
              <w:top w:val="nil"/>
              <w:left w:val="nil"/>
              <w:bottom w:val="nil"/>
              <w:right w:val="nil"/>
            </w:tcBorders>
            <w:shd w:val="clear" w:color="000000" w:fill="B4C6E7"/>
            <w:noWrap/>
            <w:vAlign w:val="bottom"/>
            <w:hideMark/>
          </w:tcPr>
          <w:p w14:paraId="070AC98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7.500,00</w:t>
            </w:r>
          </w:p>
        </w:tc>
        <w:tc>
          <w:tcPr>
            <w:tcW w:w="1380" w:type="dxa"/>
            <w:tcBorders>
              <w:top w:val="nil"/>
              <w:left w:val="nil"/>
              <w:bottom w:val="nil"/>
              <w:right w:val="nil"/>
            </w:tcBorders>
            <w:shd w:val="clear" w:color="000000" w:fill="B4C6E7"/>
            <w:noWrap/>
            <w:vAlign w:val="bottom"/>
            <w:hideMark/>
          </w:tcPr>
          <w:p w14:paraId="43E29BF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7.911,00</w:t>
            </w:r>
          </w:p>
        </w:tc>
        <w:tc>
          <w:tcPr>
            <w:tcW w:w="1400" w:type="dxa"/>
            <w:tcBorders>
              <w:top w:val="nil"/>
              <w:left w:val="nil"/>
              <w:bottom w:val="nil"/>
              <w:right w:val="nil"/>
            </w:tcBorders>
            <w:shd w:val="clear" w:color="000000" w:fill="B4C6E7"/>
            <w:noWrap/>
            <w:vAlign w:val="bottom"/>
            <w:hideMark/>
          </w:tcPr>
          <w:p w14:paraId="6785E44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105,48%</w:t>
            </w:r>
          </w:p>
        </w:tc>
      </w:tr>
      <w:tr w:rsidR="00A360DB" w:rsidRPr="00A360DB" w14:paraId="56C5AD74"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18962D05"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5449D6C8"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7.500,00</w:t>
            </w:r>
          </w:p>
        </w:tc>
        <w:tc>
          <w:tcPr>
            <w:tcW w:w="1380" w:type="dxa"/>
            <w:tcBorders>
              <w:top w:val="nil"/>
              <w:left w:val="nil"/>
              <w:bottom w:val="nil"/>
              <w:right w:val="nil"/>
            </w:tcBorders>
            <w:shd w:val="clear" w:color="auto" w:fill="auto"/>
            <w:noWrap/>
            <w:vAlign w:val="bottom"/>
            <w:hideMark/>
          </w:tcPr>
          <w:p w14:paraId="2FC198D0"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7.911,00</w:t>
            </w:r>
          </w:p>
        </w:tc>
        <w:tc>
          <w:tcPr>
            <w:tcW w:w="1400" w:type="dxa"/>
            <w:tcBorders>
              <w:top w:val="nil"/>
              <w:left w:val="nil"/>
              <w:bottom w:val="nil"/>
              <w:right w:val="nil"/>
            </w:tcBorders>
            <w:shd w:val="clear" w:color="auto" w:fill="auto"/>
            <w:noWrap/>
            <w:vAlign w:val="bottom"/>
            <w:hideMark/>
          </w:tcPr>
          <w:p w14:paraId="31103B7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105,48%</w:t>
            </w:r>
          </w:p>
        </w:tc>
      </w:tr>
      <w:tr w:rsidR="00A360DB" w:rsidRPr="00A360DB" w14:paraId="7F410711"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89C0C96"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159BC158"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7.500,00</w:t>
            </w:r>
          </w:p>
        </w:tc>
        <w:tc>
          <w:tcPr>
            <w:tcW w:w="1380" w:type="dxa"/>
            <w:tcBorders>
              <w:top w:val="nil"/>
              <w:left w:val="nil"/>
              <w:bottom w:val="nil"/>
              <w:right w:val="nil"/>
            </w:tcBorders>
            <w:shd w:val="clear" w:color="auto" w:fill="auto"/>
            <w:noWrap/>
            <w:vAlign w:val="bottom"/>
            <w:hideMark/>
          </w:tcPr>
          <w:p w14:paraId="13550159"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7.911,00</w:t>
            </w:r>
          </w:p>
        </w:tc>
        <w:tc>
          <w:tcPr>
            <w:tcW w:w="1400" w:type="dxa"/>
            <w:tcBorders>
              <w:top w:val="nil"/>
              <w:left w:val="nil"/>
              <w:bottom w:val="nil"/>
              <w:right w:val="nil"/>
            </w:tcBorders>
            <w:shd w:val="clear" w:color="auto" w:fill="auto"/>
            <w:noWrap/>
            <w:vAlign w:val="bottom"/>
            <w:hideMark/>
          </w:tcPr>
          <w:p w14:paraId="3F216589"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105,48%</w:t>
            </w:r>
          </w:p>
        </w:tc>
      </w:tr>
      <w:tr w:rsidR="00A360DB" w:rsidRPr="00A360DB" w14:paraId="6C2951F8" w14:textId="77777777" w:rsidTr="00A360DB">
        <w:trPr>
          <w:trHeight w:val="240"/>
        </w:trPr>
        <w:tc>
          <w:tcPr>
            <w:tcW w:w="1697" w:type="dxa"/>
            <w:tcBorders>
              <w:top w:val="nil"/>
              <w:left w:val="nil"/>
              <w:bottom w:val="nil"/>
              <w:right w:val="nil"/>
            </w:tcBorders>
            <w:shd w:val="clear" w:color="auto" w:fill="auto"/>
            <w:noWrap/>
            <w:vAlign w:val="bottom"/>
            <w:hideMark/>
          </w:tcPr>
          <w:p w14:paraId="7CB91042"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37</w:t>
            </w:r>
          </w:p>
        </w:tc>
        <w:tc>
          <w:tcPr>
            <w:tcW w:w="8509" w:type="dxa"/>
            <w:tcBorders>
              <w:top w:val="nil"/>
              <w:left w:val="nil"/>
              <w:bottom w:val="nil"/>
              <w:right w:val="nil"/>
            </w:tcBorders>
            <w:shd w:val="clear" w:color="auto" w:fill="auto"/>
            <w:noWrap/>
            <w:vAlign w:val="bottom"/>
            <w:hideMark/>
          </w:tcPr>
          <w:p w14:paraId="62B1A232"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Naknade građanima i kućanstvima na temelju osiguranja i druge naknade                               </w:t>
            </w:r>
          </w:p>
        </w:tc>
        <w:tc>
          <w:tcPr>
            <w:tcW w:w="1480" w:type="dxa"/>
            <w:tcBorders>
              <w:top w:val="nil"/>
              <w:left w:val="nil"/>
              <w:bottom w:val="nil"/>
              <w:right w:val="nil"/>
            </w:tcBorders>
            <w:shd w:val="clear" w:color="auto" w:fill="auto"/>
            <w:noWrap/>
            <w:vAlign w:val="bottom"/>
            <w:hideMark/>
          </w:tcPr>
          <w:p w14:paraId="53A8397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7.500,00</w:t>
            </w:r>
          </w:p>
        </w:tc>
        <w:tc>
          <w:tcPr>
            <w:tcW w:w="1380" w:type="dxa"/>
            <w:tcBorders>
              <w:top w:val="nil"/>
              <w:left w:val="nil"/>
              <w:bottom w:val="nil"/>
              <w:right w:val="nil"/>
            </w:tcBorders>
            <w:shd w:val="clear" w:color="auto" w:fill="auto"/>
            <w:noWrap/>
            <w:vAlign w:val="bottom"/>
            <w:hideMark/>
          </w:tcPr>
          <w:p w14:paraId="77B2951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7.911,00</w:t>
            </w:r>
          </w:p>
        </w:tc>
        <w:tc>
          <w:tcPr>
            <w:tcW w:w="1400" w:type="dxa"/>
            <w:tcBorders>
              <w:top w:val="nil"/>
              <w:left w:val="nil"/>
              <w:bottom w:val="nil"/>
              <w:right w:val="nil"/>
            </w:tcBorders>
            <w:shd w:val="clear" w:color="auto" w:fill="auto"/>
            <w:noWrap/>
            <w:vAlign w:val="bottom"/>
            <w:hideMark/>
          </w:tcPr>
          <w:p w14:paraId="190EE9B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105,48%</w:t>
            </w:r>
          </w:p>
        </w:tc>
      </w:tr>
      <w:tr w:rsidR="00A360DB" w:rsidRPr="00A360DB" w14:paraId="41AAF6DC" w14:textId="77777777" w:rsidTr="00A360DB">
        <w:trPr>
          <w:trHeight w:val="240"/>
        </w:trPr>
        <w:tc>
          <w:tcPr>
            <w:tcW w:w="1697" w:type="dxa"/>
            <w:tcBorders>
              <w:top w:val="nil"/>
              <w:left w:val="nil"/>
              <w:bottom w:val="nil"/>
              <w:right w:val="nil"/>
            </w:tcBorders>
            <w:shd w:val="clear" w:color="auto" w:fill="auto"/>
            <w:noWrap/>
            <w:vAlign w:val="bottom"/>
            <w:hideMark/>
          </w:tcPr>
          <w:p w14:paraId="083A894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3721</w:t>
            </w:r>
          </w:p>
        </w:tc>
        <w:tc>
          <w:tcPr>
            <w:tcW w:w="8509" w:type="dxa"/>
            <w:tcBorders>
              <w:top w:val="nil"/>
              <w:left w:val="nil"/>
              <w:bottom w:val="nil"/>
              <w:right w:val="nil"/>
            </w:tcBorders>
            <w:shd w:val="clear" w:color="auto" w:fill="auto"/>
            <w:noWrap/>
            <w:vAlign w:val="bottom"/>
            <w:hideMark/>
          </w:tcPr>
          <w:p w14:paraId="48B18877"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Naknade građanima i kućanstvima u novcu                                                             </w:t>
            </w:r>
          </w:p>
        </w:tc>
        <w:tc>
          <w:tcPr>
            <w:tcW w:w="1480" w:type="dxa"/>
            <w:tcBorders>
              <w:top w:val="nil"/>
              <w:left w:val="nil"/>
              <w:bottom w:val="nil"/>
              <w:right w:val="nil"/>
            </w:tcBorders>
            <w:shd w:val="clear" w:color="auto" w:fill="auto"/>
            <w:noWrap/>
            <w:vAlign w:val="bottom"/>
            <w:hideMark/>
          </w:tcPr>
          <w:p w14:paraId="5DCD19FD"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206AFA2B"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7.911,00</w:t>
            </w:r>
          </w:p>
        </w:tc>
        <w:tc>
          <w:tcPr>
            <w:tcW w:w="1400" w:type="dxa"/>
            <w:tcBorders>
              <w:top w:val="nil"/>
              <w:left w:val="nil"/>
              <w:bottom w:val="nil"/>
              <w:right w:val="nil"/>
            </w:tcBorders>
            <w:shd w:val="clear" w:color="auto" w:fill="auto"/>
            <w:noWrap/>
            <w:vAlign w:val="bottom"/>
            <w:hideMark/>
          </w:tcPr>
          <w:p w14:paraId="430C15BE"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4B76F03" w14:textId="77777777" w:rsidTr="00A360DB">
        <w:trPr>
          <w:trHeight w:val="240"/>
        </w:trPr>
        <w:tc>
          <w:tcPr>
            <w:tcW w:w="1697" w:type="dxa"/>
            <w:tcBorders>
              <w:top w:val="nil"/>
              <w:left w:val="nil"/>
              <w:bottom w:val="nil"/>
              <w:right w:val="nil"/>
            </w:tcBorders>
            <w:shd w:val="clear" w:color="000000" w:fill="B4C6E7"/>
            <w:noWrap/>
            <w:vAlign w:val="bottom"/>
            <w:hideMark/>
          </w:tcPr>
          <w:p w14:paraId="56CD31C8"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A101809</w:t>
            </w:r>
          </w:p>
        </w:tc>
        <w:tc>
          <w:tcPr>
            <w:tcW w:w="8509" w:type="dxa"/>
            <w:tcBorders>
              <w:top w:val="nil"/>
              <w:left w:val="nil"/>
              <w:bottom w:val="nil"/>
              <w:right w:val="nil"/>
            </w:tcBorders>
            <w:shd w:val="clear" w:color="000000" w:fill="B4C6E7"/>
            <w:noWrap/>
            <w:vAlign w:val="bottom"/>
            <w:hideMark/>
          </w:tcPr>
          <w:p w14:paraId="18FBBA0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Naknada za komunalno opremanje hrvatskih branitelja</w:t>
            </w:r>
          </w:p>
        </w:tc>
        <w:tc>
          <w:tcPr>
            <w:tcW w:w="1480" w:type="dxa"/>
            <w:tcBorders>
              <w:top w:val="nil"/>
              <w:left w:val="nil"/>
              <w:bottom w:val="nil"/>
              <w:right w:val="nil"/>
            </w:tcBorders>
            <w:shd w:val="clear" w:color="000000" w:fill="B4C6E7"/>
            <w:noWrap/>
            <w:vAlign w:val="bottom"/>
            <w:hideMark/>
          </w:tcPr>
          <w:p w14:paraId="0C1C2F0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2.000,00</w:t>
            </w:r>
          </w:p>
        </w:tc>
        <w:tc>
          <w:tcPr>
            <w:tcW w:w="1380" w:type="dxa"/>
            <w:tcBorders>
              <w:top w:val="nil"/>
              <w:left w:val="nil"/>
              <w:bottom w:val="nil"/>
              <w:right w:val="nil"/>
            </w:tcBorders>
            <w:shd w:val="clear" w:color="000000" w:fill="B4C6E7"/>
            <w:noWrap/>
            <w:vAlign w:val="bottom"/>
            <w:hideMark/>
          </w:tcPr>
          <w:p w14:paraId="3044F7E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c>
          <w:tcPr>
            <w:tcW w:w="1400" w:type="dxa"/>
            <w:tcBorders>
              <w:top w:val="nil"/>
              <w:left w:val="nil"/>
              <w:bottom w:val="nil"/>
              <w:right w:val="nil"/>
            </w:tcBorders>
            <w:shd w:val="clear" w:color="000000" w:fill="B4C6E7"/>
            <w:noWrap/>
            <w:vAlign w:val="bottom"/>
            <w:hideMark/>
          </w:tcPr>
          <w:p w14:paraId="60E678D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r>
      <w:tr w:rsidR="00A360DB" w:rsidRPr="00A360DB" w14:paraId="1E545E0F"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C2A6676"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51A98253"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2.000,00</w:t>
            </w:r>
          </w:p>
        </w:tc>
        <w:tc>
          <w:tcPr>
            <w:tcW w:w="1380" w:type="dxa"/>
            <w:tcBorders>
              <w:top w:val="nil"/>
              <w:left w:val="nil"/>
              <w:bottom w:val="nil"/>
              <w:right w:val="nil"/>
            </w:tcBorders>
            <w:shd w:val="clear" w:color="auto" w:fill="auto"/>
            <w:noWrap/>
            <w:vAlign w:val="bottom"/>
            <w:hideMark/>
          </w:tcPr>
          <w:p w14:paraId="6EF9929A"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0,00</w:t>
            </w:r>
          </w:p>
        </w:tc>
        <w:tc>
          <w:tcPr>
            <w:tcW w:w="1400" w:type="dxa"/>
            <w:tcBorders>
              <w:top w:val="nil"/>
              <w:left w:val="nil"/>
              <w:bottom w:val="nil"/>
              <w:right w:val="nil"/>
            </w:tcBorders>
            <w:shd w:val="clear" w:color="auto" w:fill="auto"/>
            <w:noWrap/>
            <w:vAlign w:val="bottom"/>
            <w:hideMark/>
          </w:tcPr>
          <w:p w14:paraId="7779FFB9"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0,00%</w:t>
            </w:r>
          </w:p>
        </w:tc>
      </w:tr>
      <w:tr w:rsidR="00A360DB" w:rsidRPr="00A360DB" w14:paraId="1D1B3586"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25A9370C"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67B199C7"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2.000,00</w:t>
            </w:r>
          </w:p>
        </w:tc>
        <w:tc>
          <w:tcPr>
            <w:tcW w:w="1380" w:type="dxa"/>
            <w:tcBorders>
              <w:top w:val="nil"/>
              <w:left w:val="nil"/>
              <w:bottom w:val="nil"/>
              <w:right w:val="nil"/>
            </w:tcBorders>
            <w:shd w:val="clear" w:color="auto" w:fill="auto"/>
            <w:noWrap/>
            <w:vAlign w:val="bottom"/>
            <w:hideMark/>
          </w:tcPr>
          <w:p w14:paraId="23656001"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0,00</w:t>
            </w:r>
          </w:p>
        </w:tc>
        <w:tc>
          <w:tcPr>
            <w:tcW w:w="1400" w:type="dxa"/>
            <w:tcBorders>
              <w:top w:val="nil"/>
              <w:left w:val="nil"/>
              <w:bottom w:val="nil"/>
              <w:right w:val="nil"/>
            </w:tcBorders>
            <w:shd w:val="clear" w:color="auto" w:fill="auto"/>
            <w:noWrap/>
            <w:vAlign w:val="bottom"/>
            <w:hideMark/>
          </w:tcPr>
          <w:p w14:paraId="0320D1BF"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0,00%</w:t>
            </w:r>
          </w:p>
        </w:tc>
      </w:tr>
      <w:tr w:rsidR="00A360DB" w:rsidRPr="00A360DB" w14:paraId="0AE385CC" w14:textId="77777777" w:rsidTr="00A360DB">
        <w:trPr>
          <w:trHeight w:val="240"/>
        </w:trPr>
        <w:tc>
          <w:tcPr>
            <w:tcW w:w="1697" w:type="dxa"/>
            <w:tcBorders>
              <w:top w:val="nil"/>
              <w:left w:val="nil"/>
              <w:bottom w:val="nil"/>
              <w:right w:val="nil"/>
            </w:tcBorders>
            <w:shd w:val="clear" w:color="auto" w:fill="auto"/>
            <w:noWrap/>
            <w:vAlign w:val="bottom"/>
            <w:hideMark/>
          </w:tcPr>
          <w:p w14:paraId="37E124CF"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37</w:t>
            </w:r>
          </w:p>
        </w:tc>
        <w:tc>
          <w:tcPr>
            <w:tcW w:w="8509" w:type="dxa"/>
            <w:tcBorders>
              <w:top w:val="nil"/>
              <w:left w:val="nil"/>
              <w:bottom w:val="nil"/>
              <w:right w:val="nil"/>
            </w:tcBorders>
            <w:shd w:val="clear" w:color="auto" w:fill="auto"/>
            <w:noWrap/>
            <w:vAlign w:val="bottom"/>
            <w:hideMark/>
          </w:tcPr>
          <w:p w14:paraId="534DDC7C"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Naknade građanima i kućanstvima na temelju osiguranja i druge naknade                               </w:t>
            </w:r>
          </w:p>
        </w:tc>
        <w:tc>
          <w:tcPr>
            <w:tcW w:w="1480" w:type="dxa"/>
            <w:tcBorders>
              <w:top w:val="nil"/>
              <w:left w:val="nil"/>
              <w:bottom w:val="nil"/>
              <w:right w:val="nil"/>
            </w:tcBorders>
            <w:shd w:val="clear" w:color="auto" w:fill="auto"/>
            <w:noWrap/>
            <w:vAlign w:val="bottom"/>
            <w:hideMark/>
          </w:tcPr>
          <w:p w14:paraId="6D105F3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2.000,00</w:t>
            </w:r>
          </w:p>
        </w:tc>
        <w:tc>
          <w:tcPr>
            <w:tcW w:w="1380" w:type="dxa"/>
            <w:tcBorders>
              <w:top w:val="nil"/>
              <w:left w:val="nil"/>
              <w:bottom w:val="nil"/>
              <w:right w:val="nil"/>
            </w:tcBorders>
            <w:shd w:val="clear" w:color="auto" w:fill="auto"/>
            <w:noWrap/>
            <w:vAlign w:val="bottom"/>
            <w:hideMark/>
          </w:tcPr>
          <w:p w14:paraId="282240A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c>
          <w:tcPr>
            <w:tcW w:w="1400" w:type="dxa"/>
            <w:tcBorders>
              <w:top w:val="nil"/>
              <w:left w:val="nil"/>
              <w:bottom w:val="nil"/>
              <w:right w:val="nil"/>
            </w:tcBorders>
            <w:shd w:val="clear" w:color="auto" w:fill="auto"/>
            <w:noWrap/>
            <w:vAlign w:val="bottom"/>
            <w:hideMark/>
          </w:tcPr>
          <w:p w14:paraId="45167DC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r>
      <w:tr w:rsidR="00A360DB" w:rsidRPr="00A360DB" w14:paraId="61DED116" w14:textId="77777777" w:rsidTr="00A360DB">
        <w:trPr>
          <w:trHeight w:val="240"/>
        </w:trPr>
        <w:tc>
          <w:tcPr>
            <w:tcW w:w="1697" w:type="dxa"/>
            <w:tcBorders>
              <w:top w:val="nil"/>
              <w:left w:val="nil"/>
              <w:bottom w:val="nil"/>
              <w:right w:val="nil"/>
            </w:tcBorders>
            <w:shd w:val="clear" w:color="000000" w:fill="1D4BB3"/>
            <w:noWrap/>
            <w:vAlign w:val="bottom"/>
            <w:hideMark/>
          </w:tcPr>
          <w:p w14:paraId="5590A26C" w14:textId="77777777" w:rsidR="00A360DB" w:rsidRPr="00A360DB" w:rsidRDefault="00A360DB" w:rsidP="00A360DB">
            <w:pPr>
              <w:spacing w:after="0" w:line="240" w:lineRule="auto"/>
              <w:rPr>
                <w:rFonts w:ascii="Arial" w:hAnsi="Arial" w:cs="Arial"/>
                <w:b/>
                <w:bCs/>
                <w:color w:val="FFFFFF"/>
                <w:sz w:val="18"/>
                <w:szCs w:val="18"/>
                <w:lang w:eastAsia="hr-HR"/>
              </w:rPr>
            </w:pPr>
            <w:r w:rsidRPr="00A360DB">
              <w:rPr>
                <w:rFonts w:ascii="Arial" w:hAnsi="Arial" w:cs="Arial"/>
                <w:b/>
                <w:bCs/>
                <w:color w:val="FFFFFF"/>
                <w:sz w:val="18"/>
                <w:szCs w:val="18"/>
                <w:lang w:eastAsia="hr-HR"/>
              </w:rPr>
              <w:t>1019</w:t>
            </w:r>
          </w:p>
        </w:tc>
        <w:tc>
          <w:tcPr>
            <w:tcW w:w="8509" w:type="dxa"/>
            <w:tcBorders>
              <w:top w:val="nil"/>
              <w:left w:val="nil"/>
              <w:bottom w:val="nil"/>
              <w:right w:val="nil"/>
            </w:tcBorders>
            <w:shd w:val="clear" w:color="000000" w:fill="1D4BB3"/>
            <w:noWrap/>
            <w:vAlign w:val="bottom"/>
            <w:hideMark/>
          </w:tcPr>
          <w:p w14:paraId="28B3F5BB" w14:textId="77777777" w:rsidR="00A360DB" w:rsidRPr="00A360DB" w:rsidRDefault="00A360DB" w:rsidP="00A360DB">
            <w:pPr>
              <w:spacing w:after="0" w:line="240" w:lineRule="auto"/>
              <w:rPr>
                <w:rFonts w:ascii="Arial" w:hAnsi="Arial" w:cs="Arial"/>
                <w:b/>
                <w:bCs/>
                <w:color w:val="FFFFFF"/>
                <w:sz w:val="18"/>
                <w:szCs w:val="18"/>
                <w:lang w:eastAsia="hr-HR"/>
              </w:rPr>
            </w:pPr>
            <w:r w:rsidRPr="00A360DB">
              <w:rPr>
                <w:rFonts w:ascii="Arial" w:hAnsi="Arial" w:cs="Arial"/>
                <w:b/>
                <w:bCs/>
                <w:color w:val="FFFFFF"/>
                <w:sz w:val="18"/>
                <w:szCs w:val="18"/>
                <w:lang w:eastAsia="hr-HR"/>
              </w:rPr>
              <w:t>Program: Humanitarna skrb kroz udruge građana</w:t>
            </w:r>
          </w:p>
        </w:tc>
        <w:tc>
          <w:tcPr>
            <w:tcW w:w="1480" w:type="dxa"/>
            <w:tcBorders>
              <w:top w:val="nil"/>
              <w:left w:val="nil"/>
              <w:bottom w:val="nil"/>
              <w:right w:val="nil"/>
            </w:tcBorders>
            <w:shd w:val="clear" w:color="000000" w:fill="1D4BB3"/>
            <w:noWrap/>
            <w:vAlign w:val="bottom"/>
            <w:hideMark/>
          </w:tcPr>
          <w:p w14:paraId="1AE6E160"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43.970,00</w:t>
            </w:r>
          </w:p>
        </w:tc>
        <w:tc>
          <w:tcPr>
            <w:tcW w:w="1380" w:type="dxa"/>
            <w:tcBorders>
              <w:top w:val="nil"/>
              <w:left w:val="nil"/>
              <w:bottom w:val="nil"/>
              <w:right w:val="nil"/>
            </w:tcBorders>
            <w:shd w:val="clear" w:color="000000" w:fill="1D4BB3"/>
            <w:noWrap/>
            <w:vAlign w:val="bottom"/>
            <w:hideMark/>
          </w:tcPr>
          <w:p w14:paraId="2660DC92"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43.970,00</w:t>
            </w:r>
          </w:p>
        </w:tc>
        <w:tc>
          <w:tcPr>
            <w:tcW w:w="1400" w:type="dxa"/>
            <w:tcBorders>
              <w:top w:val="nil"/>
              <w:left w:val="nil"/>
              <w:bottom w:val="nil"/>
              <w:right w:val="nil"/>
            </w:tcBorders>
            <w:shd w:val="clear" w:color="000000" w:fill="1D4BB3"/>
            <w:noWrap/>
            <w:vAlign w:val="bottom"/>
            <w:hideMark/>
          </w:tcPr>
          <w:p w14:paraId="6CFA8575"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100,00%</w:t>
            </w:r>
          </w:p>
        </w:tc>
      </w:tr>
      <w:tr w:rsidR="00A360DB" w:rsidRPr="00A360DB" w14:paraId="58300928" w14:textId="77777777" w:rsidTr="00A360DB">
        <w:trPr>
          <w:trHeight w:val="240"/>
        </w:trPr>
        <w:tc>
          <w:tcPr>
            <w:tcW w:w="1697" w:type="dxa"/>
            <w:tcBorders>
              <w:top w:val="nil"/>
              <w:left w:val="nil"/>
              <w:bottom w:val="nil"/>
              <w:right w:val="nil"/>
            </w:tcBorders>
            <w:shd w:val="clear" w:color="000000" w:fill="B4C6E7"/>
            <w:noWrap/>
            <w:vAlign w:val="bottom"/>
            <w:hideMark/>
          </w:tcPr>
          <w:p w14:paraId="3C08354C"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A101901</w:t>
            </w:r>
          </w:p>
        </w:tc>
        <w:tc>
          <w:tcPr>
            <w:tcW w:w="8509" w:type="dxa"/>
            <w:tcBorders>
              <w:top w:val="nil"/>
              <w:left w:val="nil"/>
              <w:bottom w:val="nil"/>
              <w:right w:val="nil"/>
            </w:tcBorders>
            <w:shd w:val="clear" w:color="000000" w:fill="B4C6E7"/>
            <w:noWrap/>
            <w:vAlign w:val="bottom"/>
            <w:hideMark/>
          </w:tcPr>
          <w:p w14:paraId="21F18B90"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Poticaj djelovanju udruga osoba s invaliditetom, socijalnih i humanitarnih udruga</w:t>
            </w:r>
          </w:p>
        </w:tc>
        <w:tc>
          <w:tcPr>
            <w:tcW w:w="1480" w:type="dxa"/>
            <w:tcBorders>
              <w:top w:val="nil"/>
              <w:left w:val="nil"/>
              <w:bottom w:val="nil"/>
              <w:right w:val="nil"/>
            </w:tcBorders>
            <w:shd w:val="clear" w:color="000000" w:fill="B4C6E7"/>
            <w:noWrap/>
            <w:vAlign w:val="bottom"/>
            <w:hideMark/>
          </w:tcPr>
          <w:p w14:paraId="4A83DCD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3.300,00</w:t>
            </w:r>
          </w:p>
        </w:tc>
        <w:tc>
          <w:tcPr>
            <w:tcW w:w="1380" w:type="dxa"/>
            <w:tcBorders>
              <w:top w:val="nil"/>
              <w:left w:val="nil"/>
              <w:bottom w:val="nil"/>
              <w:right w:val="nil"/>
            </w:tcBorders>
            <w:shd w:val="clear" w:color="000000" w:fill="B4C6E7"/>
            <w:noWrap/>
            <w:vAlign w:val="bottom"/>
            <w:hideMark/>
          </w:tcPr>
          <w:p w14:paraId="3FBB1F0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3.300,00</w:t>
            </w:r>
          </w:p>
        </w:tc>
        <w:tc>
          <w:tcPr>
            <w:tcW w:w="1400" w:type="dxa"/>
            <w:tcBorders>
              <w:top w:val="nil"/>
              <w:left w:val="nil"/>
              <w:bottom w:val="nil"/>
              <w:right w:val="nil"/>
            </w:tcBorders>
            <w:shd w:val="clear" w:color="000000" w:fill="B4C6E7"/>
            <w:noWrap/>
            <w:vAlign w:val="bottom"/>
            <w:hideMark/>
          </w:tcPr>
          <w:p w14:paraId="08A25F5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r>
      <w:tr w:rsidR="00A360DB" w:rsidRPr="00A360DB" w14:paraId="078F2207"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5DC3619"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2C142C82"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3.300,00</w:t>
            </w:r>
          </w:p>
        </w:tc>
        <w:tc>
          <w:tcPr>
            <w:tcW w:w="1380" w:type="dxa"/>
            <w:tcBorders>
              <w:top w:val="nil"/>
              <w:left w:val="nil"/>
              <w:bottom w:val="nil"/>
              <w:right w:val="nil"/>
            </w:tcBorders>
            <w:shd w:val="clear" w:color="auto" w:fill="auto"/>
            <w:noWrap/>
            <w:vAlign w:val="bottom"/>
            <w:hideMark/>
          </w:tcPr>
          <w:p w14:paraId="1CFC3F63"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3.300,00</w:t>
            </w:r>
          </w:p>
        </w:tc>
        <w:tc>
          <w:tcPr>
            <w:tcW w:w="1400" w:type="dxa"/>
            <w:tcBorders>
              <w:top w:val="nil"/>
              <w:left w:val="nil"/>
              <w:bottom w:val="nil"/>
              <w:right w:val="nil"/>
            </w:tcBorders>
            <w:shd w:val="clear" w:color="auto" w:fill="auto"/>
            <w:noWrap/>
            <w:vAlign w:val="bottom"/>
            <w:hideMark/>
          </w:tcPr>
          <w:p w14:paraId="1418695F"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w:t>
            </w:r>
          </w:p>
        </w:tc>
      </w:tr>
      <w:tr w:rsidR="00A360DB" w:rsidRPr="00A360DB" w14:paraId="26B968B1"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19192915"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7549C97E"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3.300,00</w:t>
            </w:r>
          </w:p>
        </w:tc>
        <w:tc>
          <w:tcPr>
            <w:tcW w:w="1380" w:type="dxa"/>
            <w:tcBorders>
              <w:top w:val="nil"/>
              <w:left w:val="nil"/>
              <w:bottom w:val="nil"/>
              <w:right w:val="nil"/>
            </w:tcBorders>
            <w:shd w:val="clear" w:color="auto" w:fill="auto"/>
            <w:noWrap/>
            <w:vAlign w:val="bottom"/>
            <w:hideMark/>
          </w:tcPr>
          <w:p w14:paraId="2AC3CFD3"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3.300,00</w:t>
            </w:r>
          </w:p>
        </w:tc>
        <w:tc>
          <w:tcPr>
            <w:tcW w:w="1400" w:type="dxa"/>
            <w:tcBorders>
              <w:top w:val="nil"/>
              <w:left w:val="nil"/>
              <w:bottom w:val="nil"/>
              <w:right w:val="nil"/>
            </w:tcBorders>
            <w:shd w:val="clear" w:color="auto" w:fill="auto"/>
            <w:noWrap/>
            <w:vAlign w:val="bottom"/>
            <w:hideMark/>
          </w:tcPr>
          <w:p w14:paraId="35089E9B"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w:t>
            </w:r>
          </w:p>
        </w:tc>
      </w:tr>
      <w:tr w:rsidR="00A360DB" w:rsidRPr="00A360DB" w14:paraId="5F0FB1B5" w14:textId="77777777" w:rsidTr="00A360DB">
        <w:trPr>
          <w:trHeight w:val="240"/>
        </w:trPr>
        <w:tc>
          <w:tcPr>
            <w:tcW w:w="1697" w:type="dxa"/>
            <w:tcBorders>
              <w:top w:val="nil"/>
              <w:left w:val="nil"/>
              <w:bottom w:val="nil"/>
              <w:right w:val="nil"/>
            </w:tcBorders>
            <w:shd w:val="clear" w:color="auto" w:fill="auto"/>
            <w:noWrap/>
            <w:vAlign w:val="bottom"/>
            <w:hideMark/>
          </w:tcPr>
          <w:p w14:paraId="31F2139C"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38</w:t>
            </w:r>
          </w:p>
        </w:tc>
        <w:tc>
          <w:tcPr>
            <w:tcW w:w="8509" w:type="dxa"/>
            <w:tcBorders>
              <w:top w:val="nil"/>
              <w:left w:val="nil"/>
              <w:bottom w:val="nil"/>
              <w:right w:val="nil"/>
            </w:tcBorders>
            <w:shd w:val="clear" w:color="auto" w:fill="auto"/>
            <w:noWrap/>
            <w:vAlign w:val="bottom"/>
            <w:hideMark/>
          </w:tcPr>
          <w:p w14:paraId="2EE72230"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Ostali rashodi                                                                                      </w:t>
            </w:r>
          </w:p>
        </w:tc>
        <w:tc>
          <w:tcPr>
            <w:tcW w:w="1480" w:type="dxa"/>
            <w:tcBorders>
              <w:top w:val="nil"/>
              <w:left w:val="nil"/>
              <w:bottom w:val="nil"/>
              <w:right w:val="nil"/>
            </w:tcBorders>
            <w:shd w:val="clear" w:color="auto" w:fill="auto"/>
            <w:noWrap/>
            <w:vAlign w:val="bottom"/>
            <w:hideMark/>
          </w:tcPr>
          <w:p w14:paraId="74174F1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3.300,00</w:t>
            </w:r>
          </w:p>
        </w:tc>
        <w:tc>
          <w:tcPr>
            <w:tcW w:w="1380" w:type="dxa"/>
            <w:tcBorders>
              <w:top w:val="nil"/>
              <w:left w:val="nil"/>
              <w:bottom w:val="nil"/>
              <w:right w:val="nil"/>
            </w:tcBorders>
            <w:shd w:val="clear" w:color="auto" w:fill="auto"/>
            <w:noWrap/>
            <w:vAlign w:val="bottom"/>
            <w:hideMark/>
          </w:tcPr>
          <w:p w14:paraId="3D424CB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3.300,00</w:t>
            </w:r>
          </w:p>
        </w:tc>
        <w:tc>
          <w:tcPr>
            <w:tcW w:w="1400" w:type="dxa"/>
            <w:tcBorders>
              <w:top w:val="nil"/>
              <w:left w:val="nil"/>
              <w:bottom w:val="nil"/>
              <w:right w:val="nil"/>
            </w:tcBorders>
            <w:shd w:val="clear" w:color="auto" w:fill="auto"/>
            <w:noWrap/>
            <w:vAlign w:val="bottom"/>
            <w:hideMark/>
          </w:tcPr>
          <w:p w14:paraId="33870D2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r>
      <w:tr w:rsidR="00A360DB" w:rsidRPr="00A360DB" w14:paraId="7FFA9D35" w14:textId="77777777" w:rsidTr="00A360DB">
        <w:trPr>
          <w:trHeight w:val="240"/>
        </w:trPr>
        <w:tc>
          <w:tcPr>
            <w:tcW w:w="1697" w:type="dxa"/>
            <w:tcBorders>
              <w:top w:val="nil"/>
              <w:left w:val="nil"/>
              <w:bottom w:val="nil"/>
              <w:right w:val="nil"/>
            </w:tcBorders>
            <w:shd w:val="clear" w:color="auto" w:fill="auto"/>
            <w:noWrap/>
            <w:vAlign w:val="bottom"/>
            <w:hideMark/>
          </w:tcPr>
          <w:p w14:paraId="78215D38"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3811</w:t>
            </w:r>
          </w:p>
        </w:tc>
        <w:tc>
          <w:tcPr>
            <w:tcW w:w="8509" w:type="dxa"/>
            <w:tcBorders>
              <w:top w:val="nil"/>
              <w:left w:val="nil"/>
              <w:bottom w:val="nil"/>
              <w:right w:val="nil"/>
            </w:tcBorders>
            <w:shd w:val="clear" w:color="auto" w:fill="auto"/>
            <w:noWrap/>
            <w:vAlign w:val="bottom"/>
            <w:hideMark/>
          </w:tcPr>
          <w:p w14:paraId="33021FD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Tekuće donacije u novcu                                                                             </w:t>
            </w:r>
          </w:p>
        </w:tc>
        <w:tc>
          <w:tcPr>
            <w:tcW w:w="1480" w:type="dxa"/>
            <w:tcBorders>
              <w:top w:val="nil"/>
              <w:left w:val="nil"/>
              <w:bottom w:val="nil"/>
              <w:right w:val="nil"/>
            </w:tcBorders>
            <w:shd w:val="clear" w:color="auto" w:fill="auto"/>
            <w:noWrap/>
            <w:vAlign w:val="bottom"/>
            <w:hideMark/>
          </w:tcPr>
          <w:p w14:paraId="738C1D32"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148F9CD"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3.300,00</w:t>
            </w:r>
          </w:p>
        </w:tc>
        <w:tc>
          <w:tcPr>
            <w:tcW w:w="1400" w:type="dxa"/>
            <w:tcBorders>
              <w:top w:val="nil"/>
              <w:left w:val="nil"/>
              <w:bottom w:val="nil"/>
              <w:right w:val="nil"/>
            </w:tcBorders>
            <w:shd w:val="clear" w:color="auto" w:fill="auto"/>
            <w:noWrap/>
            <w:vAlign w:val="bottom"/>
            <w:hideMark/>
          </w:tcPr>
          <w:p w14:paraId="47A42A61"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FEF6E5A" w14:textId="77777777" w:rsidTr="00A360DB">
        <w:trPr>
          <w:trHeight w:val="240"/>
        </w:trPr>
        <w:tc>
          <w:tcPr>
            <w:tcW w:w="1697" w:type="dxa"/>
            <w:tcBorders>
              <w:top w:val="nil"/>
              <w:left w:val="nil"/>
              <w:bottom w:val="nil"/>
              <w:right w:val="nil"/>
            </w:tcBorders>
            <w:shd w:val="clear" w:color="000000" w:fill="B4C6E7"/>
            <w:noWrap/>
            <w:vAlign w:val="bottom"/>
            <w:hideMark/>
          </w:tcPr>
          <w:p w14:paraId="4C6DEF84"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A101902</w:t>
            </w:r>
          </w:p>
        </w:tc>
        <w:tc>
          <w:tcPr>
            <w:tcW w:w="8509" w:type="dxa"/>
            <w:tcBorders>
              <w:top w:val="nil"/>
              <w:left w:val="nil"/>
              <w:bottom w:val="nil"/>
              <w:right w:val="nil"/>
            </w:tcBorders>
            <w:shd w:val="clear" w:color="000000" w:fill="B4C6E7"/>
            <w:noWrap/>
            <w:vAlign w:val="bottom"/>
            <w:hideMark/>
          </w:tcPr>
          <w:p w14:paraId="308A7F22"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Poticaj djelovanju udruga proisteklih iz Domovinskog rata</w:t>
            </w:r>
          </w:p>
        </w:tc>
        <w:tc>
          <w:tcPr>
            <w:tcW w:w="1480" w:type="dxa"/>
            <w:tcBorders>
              <w:top w:val="nil"/>
              <w:left w:val="nil"/>
              <w:bottom w:val="nil"/>
              <w:right w:val="nil"/>
            </w:tcBorders>
            <w:shd w:val="clear" w:color="000000" w:fill="B4C6E7"/>
            <w:noWrap/>
            <w:vAlign w:val="bottom"/>
            <w:hideMark/>
          </w:tcPr>
          <w:p w14:paraId="4C3C0F9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9.670,00</w:t>
            </w:r>
          </w:p>
        </w:tc>
        <w:tc>
          <w:tcPr>
            <w:tcW w:w="1380" w:type="dxa"/>
            <w:tcBorders>
              <w:top w:val="nil"/>
              <w:left w:val="nil"/>
              <w:bottom w:val="nil"/>
              <w:right w:val="nil"/>
            </w:tcBorders>
            <w:shd w:val="clear" w:color="000000" w:fill="B4C6E7"/>
            <w:noWrap/>
            <w:vAlign w:val="bottom"/>
            <w:hideMark/>
          </w:tcPr>
          <w:p w14:paraId="372E342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9.670,00</w:t>
            </w:r>
          </w:p>
        </w:tc>
        <w:tc>
          <w:tcPr>
            <w:tcW w:w="1400" w:type="dxa"/>
            <w:tcBorders>
              <w:top w:val="nil"/>
              <w:left w:val="nil"/>
              <w:bottom w:val="nil"/>
              <w:right w:val="nil"/>
            </w:tcBorders>
            <w:shd w:val="clear" w:color="000000" w:fill="B4C6E7"/>
            <w:noWrap/>
            <w:vAlign w:val="bottom"/>
            <w:hideMark/>
          </w:tcPr>
          <w:p w14:paraId="0294578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r>
      <w:tr w:rsidR="00A360DB" w:rsidRPr="00A360DB" w14:paraId="0C981F96"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F693A07"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32E40C6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9.670,00</w:t>
            </w:r>
          </w:p>
        </w:tc>
        <w:tc>
          <w:tcPr>
            <w:tcW w:w="1380" w:type="dxa"/>
            <w:tcBorders>
              <w:top w:val="nil"/>
              <w:left w:val="nil"/>
              <w:bottom w:val="nil"/>
              <w:right w:val="nil"/>
            </w:tcBorders>
            <w:shd w:val="clear" w:color="auto" w:fill="auto"/>
            <w:noWrap/>
            <w:vAlign w:val="bottom"/>
            <w:hideMark/>
          </w:tcPr>
          <w:p w14:paraId="71BC16E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9.670,00</w:t>
            </w:r>
          </w:p>
        </w:tc>
        <w:tc>
          <w:tcPr>
            <w:tcW w:w="1400" w:type="dxa"/>
            <w:tcBorders>
              <w:top w:val="nil"/>
              <w:left w:val="nil"/>
              <w:bottom w:val="nil"/>
              <w:right w:val="nil"/>
            </w:tcBorders>
            <w:shd w:val="clear" w:color="auto" w:fill="auto"/>
            <w:noWrap/>
            <w:vAlign w:val="bottom"/>
            <w:hideMark/>
          </w:tcPr>
          <w:p w14:paraId="57C71C5E"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w:t>
            </w:r>
          </w:p>
        </w:tc>
      </w:tr>
      <w:tr w:rsidR="00A360DB" w:rsidRPr="00A360DB" w14:paraId="10DE35D1"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3008460"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05E32A46"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9.670,00</w:t>
            </w:r>
          </w:p>
        </w:tc>
        <w:tc>
          <w:tcPr>
            <w:tcW w:w="1380" w:type="dxa"/>
            <w:tcBorders>
              <w:top w:val="nil"/>
              <w:left w:val="nil"/>
              <w:bottom w:val="nil"/>
              <w:right w:val="nil"/>
            </w:tcBorders>
            <w:shd w:val="clear" w:color="auto" w:fill="auto"/>
            <w:noWrap/>
            <w:vAlign w:val="bottom"/>
            <w:hideMark/>
          </w:tcPr>
          <w:p w14:paraId="76D9794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9.670,00</w:t>
            </w:r>
          </w:p>
        </w:tc>
        <w:tc>
          <w:tcPr>
            <w:tcW w:w="1400" w:type="dxa"/>
            <w:tcBorders>
              <w:top w:val="nil"/>
              <w:left w:val="nil"/>
              <w:bottom w:val="nil"/>
              <w:right w:val="nil"/>
            </w:tcBorders>
            <w:shd w:val="clear" w:color="auto" w:fill="auto"/>
            <w:noWrap/>
            <w:vAlign w:val="bottom"/>
            <w:hideMark/>
          </w:tcPr>
          <w:p w14:paraId="100E54F7"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w:t>
            </w:r>
          </w:p>
        </w:tc>
      </w:tr>
      <w:tr w:rsidR="00A360DB" w:rsidRPr="00A360DB" w14:paraId="4254D573" w14:textId="77777777" w:rsidTr="00A360DB">
        <w:trPr>
          <w:trHeight w:val="240"/>
        </w:trPr>
        <w:tc>
          <w:tcPr>
            <w:tcW w:w="1697" w:type="dxa"/>
            <w:tcBorders>
              <w:top w:val="nil"/>
              <w:left w:val="nil"/>
              <w:bottom w:val="nil"/>
              <w:right w:val="nil"/>
            </w:tcBorders>
            <w:shd w:val="clear" w:color="auto" w:fill="auto"/>
            <w:noWrap/>
            <w:vAlign w:val="bottom"/>
            <w:hideMark/>
          </w:tcPr>
          <w:p w14:paraId="37C33B3D"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38</w:t>
            </w:r>
          </w:p>
        </w:tc>
        <w:tc>
          <w:tcPr>
            <w:tcW w:w="8509" w:type="dxa"/>
            <w:tcBorders>
              <w:top w:val="nil"/>
              <w:left w:val="nil"/>
              <w:bottom w:val="nil"/>
              <w:right w:val="nil"/>
            </w:tcBorders>
            <w:shd w:val="clear" w:color="auto" w:fill="auto"/>
            <w:noWrap/>
            <w:vAlign w:val="bottom"/>
            <w:hideMark/>
          </w:tcPr>
          <w:p w14:paraId="57C4625C"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Ostali rashodi                                                                                      </w:t>
            </w:r>
          </w:p>
        </w:tc>
        <w:tc>
          <w:tcPr>
            <w:tcW w:w="1480" w:type="dxa"/>
            <w:tcBorders>
              <w:top w:val="nil"/>
              <w:left w:val="nil"/>
              <w:bottom w:val="nil"/>
              <w:right w:val="nil"/>
            </w:tcBorders>
            <w:shd w:val="clear" w:color="auto" w:fill="auto"/>
            <w:noWrap/>
            <w:vAlign w:val="bottom"/>
            <w:hideMark/>
          </w:tcPr>
          <w:p w14:paraId="23FE3D0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9.670,00</w:t>
            </w:r>
          </w:p>
        </w:tc>
        <w:tc>
          <w:tcPr>
            <w:tcW w:w="1380" w:type="dxa"/>
            <w:tcBorders>
              <w:top w:val="nil"/>
              <w:left w:val="nil"/>
              <w:bottom w:val="nil"/>
              <w:right w:val="nil"/>
            </w:tcBorders>
            <w:shd w:val="clear" w:color="auto" w:fill="auto"/>
            <w:noWrap/>
            <w:vAlign w:val="bottom"/>
            <w:hideMark/>
          </w:tcPr>
          <w:p w14:paraId="6B78656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9.670,00</w:t>
            </w:r>
          </w:p>
        </w:tc>
        <w:tc>
          <w:tcPr>
            <w:tcW w:w="1400" w:type="dxa"/>
            <w:tcBorders>
              <w:top w:val="nil"/>
              <w:left w:val="nil"/>
              <w:bottom w:val="nil"/>
              <w:right w:val="nil"/>
            </w:tcBorders>
            <w:shd w:val="clear" w:color="auto" w:fill="auto"/>
            <w:noWrap/>
            <w:vAlign w:val="bottom"/>
            <w:hideMark/>
          </w:tcPr>
          <w:p w14:paraId="04D6DFD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r>
      <w:tr w:rsidR="00A360DB" w:rsidRPr="00A360DB" w14:paraId="3F592146" w14:textId="77777777" w:rsidTr="00A360DB">
        <w:trPr>
          <w:trHeight w:val="240"/>
        </w:trPr>
        <w:tc>
          <w:tcPr>
            <w:tcW w:w="1697" w:type="dxa"/>
            <w:tcBorders>
              <w:top w:val="nil"/>
              <w:left w:val="nil"/>
              <w:bottom w:val="nil"/>
              <w:right w:val="nil"/>
            </w:tcBorders>
            <w:shd w:val="clear" w:color="auto" w:fill="auto"/>
            <w:noWrap/>
            <w:vAlign w:val="bottom"/>
            <w:hideMark/>
          </w:tcPr>
          <w:p w14:paraId="4B8D8108"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3811</w:t>
            </w:r>
          </w:p>
        </w:tc>
        <w:tc>
          <w:tcPr>
            <w:tcW w:w="8509" w:type="dxa"/>
            <w:tcBorders>
              <w:top w:val="nil"/>
              <w:left w:val="nil"/>
              <w:bottom w:val="nil"/>
              <w:right w:val="nil"/>
            </w:tcBorders>
            <w:shd w:val="clear" w:color="auto" w:fill="auto"/>
            <w:noWrap/>
            <w:vAlign w:val="bottom"/>
            <w:hideMark/>
          </w:tcPr>
          <w:p w14:paraId="0E9BEB1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Tekuće donacije u novcu                                                                             </w:t>
            </w:r>
          </w:p>
        </w:tc>
        <w:tc>
          <w:tcPr>
            <w:tcW w:w="1480" w:type="dxa"/>
            <w:tcBorders>
              <w:top w:val="nil"/>
              <w:left w:val="nil"/>
              <w:bottom w:val="nil"/>
              <w:right w:val="nil"/>
            </w:tcBorders>
            <w:shd w:val="clear" w:color="auto" w:fill="auto"/>
            <w:noWrap/>
            <w:vAlign w:val="bottom"/>
            <w:hideMark/>
          </w:tcPr>
          <w:p w14:paraId="0E96D3BC"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B4588DF"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9.670,00</w:t>
            </w:r>
          </w:p>
        </w:tc>
        <w:tc>
          <w:tcPr>
            <w:tcW w:w="1400" w:type="dxa"/>
            <w:tcBorders>
              <w:top w:val="nil"/>
              <w:left w:val="nil"/>
              <w:bottom w:val="nil"/>
              <w:right w:val="nil"/>
            </w:tcBorders>
            <w:shd w:val="clear" w:color="auto" w:fill="auto"/>
            <w:noWrap/>
            <w:vAlign w:val="bottom"/>
            <w:hideMark/>
          </w:tcPr>
          <w:p w14:paraId="45A0A7FB"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D7AB949" w14:textId="77777777" w:rsidTr="00A360DB">
        <w:trPr>
          <w:trHeight w:val="240"/>
        </w:trPr>
        <w:tc>
          <w:tcPr>
            <w:tcW w:w="1697" w:type="dxa"/>
            <w:tcBorders>
              <w:top w:val="nil"/>
              <w:left w:val="nil"/>
              <w:bottom w:val="nil"/>
              <w:right w:val="nil"/>
            </w:tcBorders>
            <w:shd w:val="clear" w:color="000000" w:fill="B4C6E7"/>
            <w:noWrap/>
            <w:vAlign w:val="bottom"/>
            <w:hideMark/>
          </w:tcPr>
          <w:p w14:paraId="595E5325"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A101904</w:t>
            </w:r>
          </w:p>
        </w:tc>
        <w:tc>
          <w:tcPr>
            <w:tcW w:w="8509" w:type="dxa"/>
            <w:tcBorders>
              <w:top w:val="nil"/>
              <w:left w:val="nil"/>
              <w:bottom w:val="nil"/>
              <w:right w:val="nil"/>
            </w:tcBorders>
            <w:shd w:val="clear" w:color="000000" w:fill="B4C6E7"/>
            <w:noWrap/>
            <w:vAlign w:val="bottom"/>
            <w:hideMark/>
          </w:tcPr>
          <w:p w14:paraId="12A88EAE"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Humanitarna djelatnost Crvenog križa</w:t>
            </w:r>
          </w:p>
        </w:tc>
        <w:tc>
          <w:tcPr>
            <w:tcW w:w="1480" w:type="dxa"/>
            <w:tcBorders>
              <w:top w:val="nil"/>
              <w:left w:val="nil"/>
              <w:bottom w:val="nil"/>
              <w:right w:val="nil"/>
            </w:tcBorders>
            <w:shd w:val="clear" w:color="000000" w:fill="B4C6E7"/>
            <w:noWrap/>
            <w:vAlign w:val="bottom"/>
            <w:hideMark/>
          </w:tcPr>
          <w:p w14:paraId="677673B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31.000,00</w:t>
            </w:r>
          </w:p>
        </w:tc>
        <w:tc>
          <w:tcPr>
            <w:tcW w:w="1380" w:type="dxa"/>
            <w:tcBorders>
              <w:top w:val="nil"/>
              <w:left w:val="nil"/>
              <w:bottom w:val="nil"/>
              <w:right w:val="nil"/>
            </w:tcBorders>
            <w:shd w:val="clear" w:color="000000" w:fill="B4C6E7"/>
            <w:noWrap/>
            <w:vAlign w:val="bottom"/>
            <w:hideMark/>
          </w:tcPr>
          <w:p w14:paraId="464115E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31.000,00</w:t>
            </w:r>
          </w:p>
        </w:tc>
        <w:tc>
          <w:tcPr>
            <w:tcW w:w="1400" w:type="dxa"/>
            <w:tcBorders>
              <w:top w:val="nil"/>
              <w:left w:val="nil"/>
              <w:bottom w:val="nil"/>
              <w:right w:val="nil"/>
            </w:tcBorders>
            <w:shd w:val="clear" w:color="000000" w:fill="B4C6E7"/>
            <w:noWrap/>
            <w:vAlign w:val="bottom"/>
            <w:hideMark/>
          </w:tcPr>
          <w:p w14:paraId="49F23F7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r>
      <w:tr w:rsidR="00A360DB" w:rsidRPr="00A360DB" w14:paraId="24DFC387"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182310AB"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1443405F"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31.000,00</w:t>
            </w:r>
          </w:p>
        </w:tc>
        <w:tc>
          <w:tcPr>
            <w:tcW w:w="1380" w:type="dxa"/>
            <w:tcBorders>
              <w:top w:val="nil"/>
              <w:left w:val="nil"/>
              <w:bottom w:val="nil"/>
              <w:right w:val="nil"/>
            </w:tcBorders>
            <w:shd w:val="clear" w:color="auto" w:fill="auto"/>
            <w:noWrap/>
            <w:vAlign w:val="bottom"/>
            <w:hideMark/>
          </w:tcPr>
          <w:p w14:paraId="73094497"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31.000,00</w:t>
            </w:r>
          </w:p>
        </w:tc>
        <w:tc>
          <w:tcPr>
            <w:tcW w:w="1400" w:type="dxa"/>
            <w:tcBorders>
              <w:top w:val="nil"/>
              <w:left w:val="nil"/>
              <w:bottom w:val="nil"/>
              <w:right w:val="nil"/>
            </w:tcBorders>
            <w:shd w:val="clear" w:color="auto" w:fill="auto"/>
            <w:noWrap/>
            <w:vAlign w:val="bottom"/>
            <w:hideMark/>
          </w:tcPr>
          <w:p w14:paraId="45994B0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w:t>
            </w:r>
          </w:p>
        </w:tc>
      </w:tr>
      <w:tr w:rsidR="00A360DB" w:rsidRPr="00A360DB" w14:paraId="0D3D434F"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375CDB2D"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00510B9E"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31.000,00</w:t>
            </w:r>
          </w:p>
        </w:tc>
        <w:tc>
          <w:tcPr>
            <w:tcW w:w="1380" w:type="dxa"/>
            <w:tcBorders>
              <w:top w:val="nil"/>
              <w:left w:val="nil"/>
              <w:bottom w:val="nil"/>
              <w:right w:val="nil"/>
            </w:tcBorders>
            <w:shd w:val="clear" w:color="auto" w:fill="auto"/>
            <w:noWrap/>
            <w:vAlign w:val="bottom"/>
            <w:hideMark/>
          </w:tcPr>
          <w:p w14:paraId="40375DB4"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31.000,00</w:t>
            </w:r>
          </w:p>
        </w:tc>
        <w:tc>
          <w:tcPr>
            <w:tcW w:w="1400" w:type="dxa"/>
            <w:tcBorders>
              <w:top w:val="nil"/>
              <w:left w:val="nil"/>
              <w:bottom w:val="nil"/>
              <w:right w:val="nil"/>
            </w:tcBorders>
            <w:shd w:val="clear" w:color="auto" w:fill="auto"/>
            <w:noWrap/>
            <w:vAlign w:val="bottom"/>
            <w:hideMark/>
          </w:tcPr>
          <w:p w14:paraId="271289CD"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w:t>
            </w:r>
          </w:p>
        </w:tc>
      </w:tr>
      <w:tr w:rsidR="00A360DB" w:rsidRPr="00A360DB" w14:paraId="4A1E2240" w14:textId="77777777" w:rsidTr="00A360DB">
        <w:trPr>
          <w:trHeight w:val="240"/>
        </w:trPr>
        <w:tc>
          <w:tcPr>
            <w:tcW w:w="1697" w:type="dxa"/>
            <w:tcBorders>
              <w:top w:val="nil"/>
              <w:left w:val="nil"/>
              <w:bottom w:val="nil"/>
              <w:right w:val="nil"/>
            </w:tcBorders>
            <w:shd w:val="clear" w:color="auto" w:fill="auto"/>
            <w:noWrap/>
            <w:vAlign w:val="bottom"/>
            <w:hideMark/>
          </w:tcPr>
          <w:p w14:paraId="024BEC45"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38</w:t>
            </w:r>
          </w:p>
        </w:tc>
        <w:tc>
          <w:tcPr>
            <w:tcW w:w="8509" w:type="dxa"/>
            <w:tcBorders>
              <w:top w:val="nil"/>
              <w:left w:val="nil"/>
              <w:bottom w:val="nil"/>
              <w:right w:val="nil"/>
            </w:tcBorders>
            <w:shd w:val="clear" w:color="auto" w:fill="auto"/>
            <w:noWrap/>
            <w:vAlign w:val="bottom"/>
            <w:hideMark/>
          </w:tcPr>
          <w:p w14:paraId="35B3B9E1"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Ostali rashodi                                                                                      </w:t>
            </w:r>
          </w:p>
        </w:tc>
        <w:tc>
          <w:tcPr>
            <w:tcW w:w="1480" w:type="dxa"/>
            <w:tcBorders>
              <w:top w:val="nil"/>
              <w:left w:val="nil"/>
              <w:bottom w:val="nil"/>
              <w:right w:val="nil"/>
            </w:tcBorders>
            <w:shd w:val="clear" w:color="auto" w:fill="auto"/>
            <w:noWrap/>
            <w:vAlign w:val="bottom"/>
            <w:hideMark/>
          </w:tcPr>
          <w:p w14:paraId="4AEECA0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31.000,00</w:t>
            </w:r>
          </w:p>
        </w:tc>
        <w:tc>
          <w:tcPr>
            <w:tcW w:w="1380" w:type="dxa"/>
            <w:tcBorders>
              <w:top w:val="nil"/>
              <w:left w:val="nil"/>
              <w:bottom w:val="nil"/>
              <w:right w:val="nil"/>
            </w:tcBorders>
            <w:shd w:val="clear" w:color="auto" w:fill="auto"/>
            <w:noWrap/>
            <w:vAlign w:val="bottom"/>
            <w:hideMark/>
          </w:tcPr>
          <w:p w14:paraId="45C93E7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31.000,00</w:t>
            </w:r>
          </w:p>
        </w:tc>
        <w:tc>
          <w:tcPr>
            <w:tcW w:w="1400" w:type="dxa"/>
            <w:tcBorders>
              <w:top w:val="nil"/>
              <w:left w:val="nil"/>
              <w:bottom w:val="nil"/>
              <w:right w:val="nil"/>
            </w:tcBorders>
            <w:shd w:val="clear" w:color="auto" w:fill="auto"/>
            <w:noWrap/>
            <w:vAlign w:val="bottom"/>
            <w:hideMark/>
          </w:tcPr>
          <w:p w14:paraId="546F3A5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r>
      <w:tr w:rsidR="00A360DB" w:rsidRPr="00A360DB" w14:paraId="3E17FAEC" w14:textId="77777777" w:rsidTr="00A360DB">
        <w:trPr>
          <w:trHeight w:val="240"/>
        </w:trPr>
        <w:tc>
          <w:tcPr>
            <w:tcW w:w="1697" w:type="dxa"/>
            <w:tcBorders>
              <w:top w:val="nil"/>
              <w:left w:val="nil"/>
              <w:bottom w:val="nil"/>
              <w:right w:val="nil"/>
            </w:tcBorders>
            <w:shd w:val="clear" w:color="auto" w:fill="auto"/>
            <w:noWrap/>
            <w:vAlign w:val="bottom"/>
            <w:hideMark/>
          </w:tcPr>
          <w:p w14:paraId="0114DAC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3811</w:t>
            </w:r>
          </w:p>
        </w:tc>
        <w:tc>
          <w:tcPr>
            <w:tcW w:w="8509" w:type="dxa"/>
            <w:tcBorders>
              <w:top w:val="nil"/>
              <w:left w:val="nil"/>
              <w:bottom w:val="nil"/>
              <w:right w:val="nil"/>
            </w:tcBorders>
            <w:shd w:val="clear" w:color="auto" w:fill="auto"/>
            <w:noWrap/>
            <w:vAlign w:val="bottom"/>
            <w:hideMark/>
          </w:tcPr>
          <w:p w14:paraId="1818C80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Tekuće donacije u novcu                                                                             </w:t>
            </w:r>
          </w:p>
        </w:tc>
        <w:tc>
          <w:tcPr>
            <w:tcW w:w="1480" w:type="dxa"/>
            <w:tcBorders>
              <w:top w:val="nil"/>
              <w:left w:val="nil"/>
              <w:bottom w:val="nil"/>
              <w:right w:val="nil"/>
            </w:tcBorders>
            <w:shd w:val="clear" w:color="auto" w:fill="auto"/>
            <w:noWrap/>
            <w:vAlign w:val="bottom"/>
            <w:hideMark/>
          </w:tcPr>
          <w:p w14:paraId="09BD7016"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381B0EE"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31.000,00</w:t>
            </w:r>
          </w:p>
        </w:tc>
        <w:tc>
          <w:tcPr>
            <w:tcW w:w="1400" w:type="dxa"/>
            <w:tcBorders>
              <w:top w:val="nil"/>
              <w:left w:val="nil"/>
              <w:bottom w:val="nil"/>
              <w:right w:val="nil"/>
            </w:tcBorders>
            <w:shd w:val="clear" w:color="auto" w:fill="auto"/>
            <w:noWrap/>
            <w:vAlign w:val="bottom"/>
            <w:hideMark/>
          </w:tcPr>
          <w:p w14:paraId="616D6DBE"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4E87FDF" w14:textId="77777777" w:rsidTr="00A360DB">
        <w:trPr>
          <w:trHeight w:val="240"/>
        </w:trPr>
        <w:tc>
          <w:tcPr>
            <w:tcW w:w="1697" w:type="dxa"/>
            <w:tcBorders>
              <w:top w:val="nil"/>
              <w:left w:val="nil"/>
              <w:bottom w:val="nil"/>
              <w:right w:val="nil"/>
            </w:tcBorders>
            <w:shd w:val="clear" w:color="000000" w:fill="1D4BB3"/>
            <w:noWrap/>
            <w:vAlign w:val="bottom"/>
            <w:hideMark/>
          </w:tcPr>
          <w:p w14:paraId="390214F7" w14:textId="77777777" w:rsidR="00A360DB" w:rsidRPr="00A360DB" w:rsidRDefault="00A360DB" w:rsidP="00A360DB">
            <w:pPr>
              <w:spacing w:after="0" w:line="240" w:lineRule="auto"/>
              <w:rPr>
                <w:rFonts w:ascii="Arial" w:hAnsi="Arial" w:cs="Arial"/>
                <w:b/>
                <w:bCs/>
                <w:color w:val="FFFFFF"/>
                <w:sz w:val="18"/>
                <w:szCs w:val="18"/>
                <w:lang w:eastAsia="hr-HR"/>
              </w:rPr>
            </w:pPr>
            <w:r w:rsidRPr="00A360DB">
              <w:rPr>
                <w:rFonts w:ascii="Arial" w:hAnsi="Arial" w:cs="Arial"/>
                <w:b/>
                <w:bCs/>
                <w:color w:val="FFFFFF"/>
                <w:sz w:val="18"/>
                <w:szCs w:val="18"/>
                <w:lang w:eastAsia="hr-HR"/>
              </w:rPr>
              <w:t>1020</w:t>
            </w:r>
          </w:p>
        </w:tc>
        <w:tc>
          <w:tcPr>
            <w:tcW w:w="8509" w:type="dxa"/>
            <w:tcBorders>
              <w:top w:val="nil"/>
              <w:left w:val="nil"/>
              <w:bottom w:val="nil"/>
              <w:right w:val="nil"/>
            </w:tcBorders>
            <w:shd w:val="clear" w:color="000000" w:fill="1D4BB3"/>
            <w:noWrap/>
            <w:vAlign w:val="bottom"/>
            <w:hideMark/>
          </w:tcPr>
          <w:p w14:paraId="1FEB0A6B" w14:textId="77777777" w:rsidR="00A360DB" w:rsidRPr="00A360DB" w:rsidRDefault="00A360DB" w:rsidP="00A360DB">
            <w:pPr>
              <w:spacing w:after="0" w:line="240" w:lineRule="auto"/>
              <w:rPr>
                <w:rFonts w:ascii="Arial" w:hAnsi="Arial" w:cs="Arial"/>
                <w:b/>
                <w:bCs/>
                <w:color w:val="FFFFFF"/>
                <w:sz w:val="18"/>
                <w:szCs w:val="18"/>
                <w:lang w:eastAsia="hr-HR"/>
              </w:rPr>
            </w:pPr>
            <w:r w:rsidRPr="00A360DB">
              <w:rPr>
                <w:rFonts w:ascii="Arial" w:hAnsi="Arial" w:cs="Arial"/>
                <w:b/>
                <w:bCs/>
                <w:color w:val="FFFFFF"/>
                <w:sz w:val="18"/>
                <w:szCs w:val="18"/>
                <w:lang w:eastAsia="hr-HR"/>
              </w:rPr>
              <w:t>Program: Obrazovanje</w:t>
            </w:r>
          </w:p>
        </w:tc>
        <w:tc>
          <w:tcPr>
            <w:tcW w:w="1480" w:type="dxa"/>
            <w:tcBorders>
              <w:top w:val="nil"/>
              <w:left w:val="nil"/>
              <w:bottom w:val="nil"/>
              <w:right w:val="nil"/>
            </w:tcBorders>
            <w:shd w:val="clear" w:color="000000" w:fill="1D4BB3"/>
            <w:noWrap/>
            <w:vAlign w:val="bottom"/>
            <w:hideMark/>
          </w:tcPr>
          <w:p w14:paraId="16FB77AD"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423.170,00</w:t>
            </w:r>
          </w:p>
        </w:tc>
        <w:tc>
          <w:tcPr>
            <w:tcW w:w="1380" w:type="dxa"/>
            <w:tcBorders>
              <w:top w:val="nil"/>
              <w:left w:val="nil"/>
              <w:bottom w:val="nil"/>
              <w:right w:val="nil"/>
            </w:tcBorders>
            <w:shd w:val="clear" w:color="000000" w:fill="1D4BB3"/>
            <w:noWrap/>
            <w:vAlign w:val="bottom"/>
            <w:hideMark/>
          </w:tcPr>
          <w:p w14:paraId="482AE24B"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400.600,07</w:t>
            </w:r>
          </w:p>
        </w:tc>
        <w:tc>
          <w:tcPr>
            <w:tcW w:w="1400" w:type="dxa"/>
            <w:tcBorders>
              <w:top w:val="nil"/>
              <w:left w:val="nil"/>
              <w:bottom w:val="nil"/>
              <w:right w:val="nil"/>
            </w:tcBorders>
            <w:shd w:val="clear" w:color="000000" w:fill="1D4BB3"/>
            <w:noWrap/>
            <w:vAlign w:val="bottom"/>
            <w:hideMark/>
          </w:tcPr>
          <w:p w14:paraId="303824CC"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94,67%</w:t>
            </w:r>
          </w:p>
        </w:tc>
      </w:tr>
      <w:tr w:rsidR="00A360DB" w:rsidRPr="00A360DB" w14:paraId="27480E31" w14:textId="77777777" w:rsidTr="00A360DB">
        <w:trPr>
          <w:trHeight w:val="240"/>
        </w:trPr>
        <w:tc>
          <w:tcPr>
            <w:tcW w:w="1697" w:type="dxa"/>
            <w:tcBorders>
              <w:top w:val="nil"/>
              <w:left w:val="nil"/>
              <w:bottom w:val="nil"/>
              <w:right w:val="nil"/>
            </w:tcBorders>
            <w:shd w:val="clear" w:color="000000" w:fill="B4C6E7"/>
            <w:noWrap/>
            <w:vAlign w:val="bottom"/>
            <w:hideMark/>
          </w:tcPr>
          <w:p w14:paraId="167E7F15"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A102002</w:t>
            </w:r>
          </w:p>
        </w:tc>
        <w:tc>
          <w:tcPr>
            <w:tcW w:w="8509" w:type="dxa"/>
            <w:tcBorders>
              <w:top w:val="nil"/>
              <w:left w:val="nil"/>
              <w:bottom w:val="nil"/>
              <w:right w:val="nil"/>
            </w:tcBorders>
            <w:shd w:val="clear" w:color="000000" w:fill="B4C6E7"/>
            <w:noWrap/>
            <w:vAlign w:val="bottom"/>
            <w:hideMark/>
          </w:tcPr>
          <w:p w14:paraId="0DDDFFDB"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Sufinanciranje troškova prijevoza učenika srednjih škola</w:t>
            </w:r>
          </w:p>
        </w:tc>
        <w:tc>
          <w:tcPr>
            <w:tcW w:w="1480" w:type="dxa"/>
            <w:tcBorders>
              <w:top w:val="nil"/>
              <w:left w:val="nil"/>
              <w:bottom w:val="nil"/>
              <w:right w:val="nil"/>
            </w:tcBorders>
            <w:shd w:val="clear" w:color="000000" w:fill="B4C6E7"/>
            <w:noWrap/>
            <w:vAlign w:val="bottom"/>
            <w:hideMark/>
          </w:tcPr>
          <w:p w14:paraId="18AD230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8.000,00</w:t>
            </w:r>
          </w:p>
        </w:tc>
        <w:tc>
          <w:tcPr>
            <w:tcW w:w="1380" w:type="dxa"/>
            <w:tcBorders>
              <w:top w:val="nil"/>
              <w:left w:val="nil"/>
              <w:bottom w:val="nil"/>
              <w:right w:val="nil"/>
            </w:tcBorders>
            <w:shd w:val="clear" w:color="000000" w:fill="B4C6E7"/>
            <w:noWrap/>
            <w:vAlign w:val="bottom"/>
            <w:hideMark/>
          </w:tcPr>
          <w:p w14:paraId="45251B9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7.583,40</w:t>
            </w:r>
          </w:p>
        </w:tc>
        <w:tc>
          <w:tcPr>
            <w:tcW w:w="1400" w:type="dxa"/>
            <w:tcBorders>
              <w:top w:val="nil"/>
              <w:left w:val="nil"/>
              <w:bottom w:val="nil"/>
              <w:right w:val="nil"/>
            </w:tcBorders>
            <w:shd w:val="clear" w:color="000000" w:fill="B4C6E7"/>
            <w:noWrap/>
            <w:vAlign w:val="bottom"/>
            <w:hideMark/>
          </w:tcPr>
          <w:p w14:paraId="3BA0EA4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94,79%</w:t>
            </w:r>
          </w:p>
        </w:tc>
      </w:tr>
      <w:tr w:rsidR="00A360DB" w:rsidRPr="00A360DB" w14:paraId="2E8F255F"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12553F53"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6B6B1E9A"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8.000,00</w:t>
            </w:r>
          </w:p>
        </w:tc>
        <w:tc>
          <w:tcPr>
            <w:tcW w:w="1380" w:type="dxa"/>
            <w:tcBorders>
              <w:top w:val="nil"/>
              <w:left w:val="nil"/>
              <w:bottom w:val="nil"/>
              <w:right w:val="nil"/>
            </w:tcBorders>
            <w:shd w:val="clear" w:color="auto" w:fill="auto"/>
            <w:noWrap/>
            <w:vAlign w:val="bottom"/>
            <w:hideMark/>
          </w:tcPr>
          <w:p w14:paraId="0781F6C8"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7.583,40</w:t>
            </w:r>
          </w:p>
        </w:tc>
        <w:tc>
          <w:tcPr>
            <w:tcW w:w="1400" w:type="dxa"/>
            <w:tcBorders>
              <w:top w:val="nil"/>
              <w:left w:val="nil"/>
              <w:bottom w:val="nil"/>
              <w:right w:val="nil"/>
            </w:tcBorders>
            <w:shd w:val="clear" w:color="auto" w:fill="auto"/>
            <w:noWrap/>
            <w:vAlign w:val="bottom"/>
            <w:hideMark/>
          </w:tcPr>
          <w:p w14:paraId="1FE4FB73"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94,79%</w:t>
            </w:r>
          </w:p>
        </w:tc>
      </w:tr>
      <w:tr w:rsidR="00A360DB" w:rsidRPr="00A360DB" w14:paraId="0133874C"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4998900"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5129968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8.000,00</w:t>
            </w:r>
          </w:p>
        </w:tc>
        <w:tc>
          <w:tcPr>
            <w:tcW w:w="1380" w:type="dxa"/>
            <w:tcBorders>
              <w:top w:val="nil"/>
              <w:left w:val="nil"/>
              <w:bottom w:val="nil"/>
              <w:right w:val="nil"/>
            </w:tcBorders>
            <w:shd w:val="clear" w:color="auto" w:fill="auto"/>
            <w:noWrap/>
            <w:vAlign w:val="bottom"/>
            <w:hideMark/>
          </w:tcPr>
          <w:p w14:paraId="43805E22"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7.583,40</w:t>
            </w:r>
          </w:p>
        </w:tc>
        <w:tc>
          <w:tcPr>
            <w:tcW w:w="1400" w:type="dxa"/>
            <w:tcBorders>
              <w:top w:val="nil"/>
              <w:left w:val="nil"/>
              <w:bottom w:val="nil"/>
              <w:right w:val="nil"/>
            </w:tcBorders>
            <w:shd w:val="clear" w:color="auto" w:fill="auto"/>
            <w:noWrap/>
            <w:vAlign w:val="bottom"/>
            <w:hideMark/>
          </w:tcPr>
          <w:p w14:paraId="2EA814D2"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94,79%</w:t>
            </w:r>
          </w:p>
        </w:tc>
      </w:tr>
      <w:tr w:rsidR="00A360DB" w:rsidRPr="00A360DB" w14:paraId="500EC510" w14:textId="77777777" w:rsidTr="00A360DB">
        <w:trPr>
          <w:trHeight w:val="240"/>
        </w:trPr>
        <w:tc>
          <w:tcPr>
            <w:tcW w:w="1697" w:type="dxa"/>
            <w:tcBorders>
              <w:top w:val="nil"/>
              <w:left w:val="nil"/>
              <w:bottom w:val="nil"/>
              <w:right w:val="nil"/>
            </w:tcBorders>
            <w:shd w:val="clear" w:color="auto" w:fill="auto"/>
            <w:noWrap/>
            <w:vAlign w:val="bottom"/>
            <w:hideMark/>
          </w:tcPr>
          <w:p w14:paraId="30DA1B45"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37</w:t>
            </w:r>
          </w:p>
        </w:tc>
        <w:tc>
          <w:tcPr>
            <w:tcW w:w="8509" w:type="dxa"/>
            <w:tcBorders>
              <w:top w:val="nil"/>
              <w:left w:val="nil"/>
              <w:bottom w:val="nil"/>
              <w:right w:val="nil"/>
            </w:tcBorders>
            <w:shd w:val="clear" w:color="auto" w:fill="auto"/>
            <w:noWrap/>
            <w:vAlign w:val="bottom"/>
            <w:hideMark/>
          </w:tcPr>
          <w:p w14:paraId="3A54E36F"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Naknade građanima i kućanstvima na temelju osiguranja i druge naknade                               </w:t>
            </w:r>
          </w:p>
        </w:tc>
        <w:tc>
          <w:tcPr>
            <w:tcW w:w="1480" w:type="dxa"/>
            <w:tcBorders>
              <w:top w:val="nil"/>
              <w:left w:val="nil"/>
              <w:bottom w:val="nil"/>
              <w:right w:val="nil"/>
            </w:tcBorders>
            <w:shd w:val="clear" w:color="auto" w:fill="auto"/>
            <w:noWrap/>
            <w:vAlign w:val="bottom"/>
            <w:hideMark/>
          </w:tcPr>
          <w:p w14:paraId="65A5F59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8.000,00</w:t>
            </w:r>
          </w:p>
        </w:tc>
        <w:tc>
          <w:tcPr>
            <w:tcW w:w="1380" w:type="dxa"/>
            <w:tcBorders>
              <w:top w:val="nil"/>
              <w:left w:val="nil"/>
              <w:bottom w:val="nil"/>
              <w:right w:val="nil"/>
            </w:tcBorders>
            <w:shd w:val="clear" w:color="auto" w:fill="auto"/>
            <w:noWrap/>
            <w:vAlign w:val="bottom"/>
            <w:hideMark/>
          </w:tcPr>
          <w:p w14:paraId="2ACBCFB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7.583,40</w:t>
            </w:r>
          </w:p>
        </w:tc>
        <w:tc>
          <w:tcPr>
            <w:tcW w:w="1400" w:type="dxa"/>
            <w:tcBorders>
              <w:top w:val="nil"/>
              <w:left w:val="nil"/>
              <w:bottom w:val="nil"/>
              <w:right w:val="nil"/>
            </w:tcBorders>
            <w:shd w:val="clear" w:color="auto" w:fill="auto"/>
            <w:noWrap/>
            <w:vAlign w:val="bottom"/>
            <w:hideMark/>
          </w:tcPr>
          <w:p w14:paraId="67EB7C5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94,79%</w:t>
            </w:r>
          </w:p>
        </w:tc>
      </w:tr>
      <w:tr w:rsidR="00A360DB" w:rsidRPr="00A360DB" w14:paraId="34546CA1" w14:textId="77777777" w:rsidTr="00A360DB">
        <w:trPr>
          <w:trHeight w:val="240"/>
        </w:trPr>
        <w:tc>
          <w:tcPr>
            <w:tcW w:w="1697" w:type="dxa"/>
            <w:tcBorders>
              <w:top w:val="nil"/>
              <w:left w:val="nil"/>
              <w:bottom w:val="nil"/>
              <w:right w:val="nil"/>
            </w:tcBorders>
            <w:shd w:val="clear" w:color="auto" w:fill="auto"/>
            <w:noWrap/>
            <w:vAlign w:val="bottom"/>
            <w:hideMark/>
          </w:tcPr>
          <w:p w14:paraId="61AAE96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3722</w:t>
            </w:r>
          </w:p>
        </w:tc>
        <w:tc>
          <w:tcPr>
            <w:tcW w:w="8509" w:type="dxa"/>
            <w:tcBorders>
              <w:top w:val="nil"/>
              <w:left w:val="nil"/>
              <w:bottom w:val="nil"/>
              <w:right w:val="nil"/>
            </w:tcBorders>
            <w:shd w:val="clear" w:color="auto" w:fill="auto"/>
            <w:noWrap/>
            <w:vAlign w:val="bottom"/>
            <w:hideMark/>
          </w:tcPr>
          <w:p w14:paraId="74C7FDA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Naknade građanima i kućanstvima u naravi                                                            </w:t>
            </w:r>
          </w:p>
        </w:tc>
        <w:tc>
          <w:tcPr>
            <w:tcW w:w="1480" w:type="dxa"/>
            <w:tcBorders>
              <w:top w:val="nil"/>
              <w:left w:val="nil"/>
              <w:bottom w:val="nil"/>
              <w:right w:val="nil"/>
            </w:tcBorders>
            <w:shd w:val="clear" w:color="auto" w:fill="auto"/>
            <w:noWrap/>
            <w:vAlign w:val="bottom"/>
            <w:hideMark/>
          </w:tcPr>
          <w:p w14:paraId="375B2AEA"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F8A29DA"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7.583,40</w:t>
            </w:r>
          </w:p>
        </w:tc>
        <w:tc>
          <w:tcPr>
            <w:tcW w:w="1400" w:type="dxa"/>
            <w:tcBorders>
              <w:top w:val="nil"/>
              <w:left w:val="nil"/>
              <w:bottom w:val="nil"/>
              <w:right w:val="nil"/>
            </w:tcBorders>
            <w:shd w:val="clear" w:color="auto" w:fill="auto"/>
            <w:noWrap/>
            <w:vAlign w:val="bottom"/>
            <w:hideMark/>
          </w:tcPr>
          <w:p w14:paraId="327457AE"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644DCA2" w14:textId="77777777" w:rsidTr="00A360DB">
        <w:trPr>
          <w:trHeight w:val="240"/>
        </w:trPr>
        <w:tc>
          <w:tcPr>
            <w:tcW w:w="1697" w:type="dxa"/>
            <w:tcBorders>
              <w:top w:val="nil"/>
              <w:left w:val="nil"/>
              <w:bottom w:val="nil"/>
              <w:right w:val="nil"/>
            </w:tcBorders>
            <w:shd w:val="clear" w:color="000000" w:fill="B4C6E7"/>
            <w:noWrap/>
            <w:vAlign w:val="bottom"/>
            <w:hideMark/>
          </w:tcPr>
          <w:p w14:paraId="25D81BBB"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lastRenderedPageBreak/>
              <w:t>A102003</w:t>
            </w:r>
          </w:p>
        </w:tc>
        <w:tc>
          <w:tcPr>
            <w:tcW w:w="8509" w:type="dxa"/>
            <w:tcBorders>
              <w:top w:val="nil"/>
              <w:left w:val="nil"/>
              <w:bottom w:val="nil"/>
              <w:right w:val="nil"/>
            </w:tcBorders>
            <w:shd w:val="clear" w:color="000000" w:fill="B4C6E7"/>
            <w:noWrap/>
            <w:vAlign w:val="bottom"/>
            <w:hideMark/>
          </w:tcPr>
          <w:p w14:paraId="6EAC9418"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Sufinanciranje nabave drugog obrazovnog materijala za učenike osnovnih škola</w:t>
            </w:r>
          </w:p>
        </w:tc>
        <w:tc>
          <w:tcPr>
            <w:tcW w:w="1480" w:type="dxa"/>
            <w:tcBorders>
              <w:top w:val="nil"/>
              <w:left w:val="nil"/>
              <w:bottom w:val="nil"/>
              <w:right w:val="nil"/>
            </w:tcBorders>
            <w:shd w:val="clear" w:color="000000" w:fill="B4C6E7"/>
            <w:noWrap/>
            <w:vAlign w:val="bottom"/>
            <w:hideMark/>
          </w:tcPr>
          <w:p w14:paraId="6DBA61A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57.010,00</w:t>
            </w:r>
          </w:p>
        </w:tc>
        <w:tc>
          <w:tcPr>
            <w:tcW w:w="1380" w:type="dxa"/>
            <w:tcBorders>
              <w:top w:val="nil"/>
              <w:left w:val="nil"/>
              <w:bottom w:val="nil"/>
              <w:right w:val="nil"/>
            </w:tcBorders>
            <w:shd w:val="clear" w:color="000000" w:fill="B4C6E7"/>
            <w:noWrap/>
            <w:vAlign w:val="bottom"/>
            <w:hideMark/>
          </w:tcPr>
          <w:p w14:paraId="2240B36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55.958,01</w:t>
            </w:r>
          </w:p>
        </w:tc>
        <w:tc>
          <w:tcPr>
            <w:tcW w:w="1400" w:type="dxa"/>
            <w:tcBorders>
              <w:top w:val="nil"/>
              <w:left w:val="nil"/>
              <w:bottom w:val="nil"/>
              <w:right w:val="nil"/>
            </w:tcBorders>
            <w:shd w:val="clear" w:color="000000" w:fill="B4C6E7"/>
            <w:noWrap/>
            <w:vAlign w:val="bottom"/>
            <w:hideMark/>
          </w:tcPr>
          <w:p w14:paraId="272F8D1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98,15%</w:t>
            </w:r>
          </w:p>
        </w:tc>
      </w:tr>
      <w:tr w:rsidR="00A360DB" w:rsidRPr="00A360DB" w14:paraId="20C2FC1D"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AD129E9"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4541C189"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57.010,00</w:t>
            </w:r>
          </w:p>
        </w:tc>
        <w:tc>
          <w:tcPr>
            <w:tcW w:w="1380" w:type="dxa"/>
            <w:tcBorders>
              <w:top w:val="nil"/>
              <w:left w:val="nil"/>
              <w:bottom w:val="nil"/>
              <w:right w:val="nil"/>
            </w:tcBorders>
            <w:shd w:val="clear" w:color="auto" w:fill="auto"/>
            <w:noWrap/>
            <w:vAlign w:val="bottom"/>
            <w:hideMark/>
          </w:tcPr>
          <w:p w14:paraId="06AA8235"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55.958,01</w:t>
            </w:r>
          </w:p>
        </w:tc>
        <w:tc>
          <w:tcPr>
            <w:tcW w:w="1400" w:type="dxa"/>
            <w:tcBorders>
              <w:top w:val="nil"/>
              <w:left w:val="nil"/>
              <w:bottom w:val="nil"/>
              <w:right w:val="nil"/>
            </w:tcBorders>
            <w:shd w:val="clear" w:color="auto" w:fill="auto"/>
            <w:noWrap/>
            <w:vAlign w:val="bottom"/>
            <w:hideMark/>
          </w:tcPr>
          <w:p w14:paraId="5651F223"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98,15%</w:t>
            </w:r>
          </w:p>
        </w:tc>
      </w:tr>
      <w:tr w:rsidR="00A360DB" w:rsidRPr="00A360DB" w14:paraId="4E358A8D"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34E9E61"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2A1ED1C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57.010,00</w:t>
            </w:r>
          </w:p>
        </w:tc>
        <w:tc>
          <w:tcPr>
            <w:tcW w:w="1380" w:type="dxa"/>
            <w:tcBorders>
              <w:top w:val="nil"/>
              <w:left w:val="nil"/>
              <w:bottom w:val="nil"/>
              <w:right w:val="nil"/>
            </w:tcBorders>
            <w:shd w:val="clear" w:color="auto" w:fill="auto"/>
            <w:noWrap/>
            <w:vAlign w:val="bottom"/>
            <w:hideMark/>
          </w:tcPr>
          <w:p w14:paraId="7B624702"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55.958,01</w:t>
            </w:r>
          </w:p>
        </w:tc>
        <w:tc>
          <w:tcPr>
            <w:tcW w:w="1400" w:type="dxa"/>
            <w:tcBorders>
              <w:top w:val="nil"/>
              <w:left w:val="nil"/>
              <w:bottom w:val="nil"/>
              <w:right w:val="nil"/>
            </w:tcBorders>
            <w:shd w:val="clear" w:color="auto" w:fill="auto"/>
            <w:noWrap/>
            <w:vAlign w:val="bottom"/>
            <w:hideMark/>
          </w:tcPr>
          <w:p w14:paraId="044B0CC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98,15%</w:t>
            </w:r>
          </w:p>
        </w:tc>
      </w:tr>
      <w:tr w:rsidR="00A360DB" w:rsidRPr="00A360DB" w14:paraId="3ED1C0E6" w14:textId="77777777" w:rsidTr="00A360DB">
        <w:trPr>
          <w:trHeight w:val="240"/>
        </w:trPr>
        <w:tc>
          <w:tcPr>
            <w:tcW w:w="1697" w:type="dxa"/>
            <w:tcBorders>
              <w:top w:val="nil"/>
              <w:left w:val="nil"/>
              <w:bottom w:val="nil"/>
              <w:right w:val="nil"/>
            </w:tcBorders>
            <w:shd w:val="clear" w:color="auto" w:fill="auto"/>
            <w:noWrap/>
            <w:vAlign w:val="bottom"/>
            <w:hideMark/>
          </w:tcPr>
          <w:p w14:paraId="77112AC5"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37</w:t>
            </w:r>
          </w:p>
        </w:tc>
        <w:tc>
          <w:tcPr>
            <w:tcW w:w="8509" w:type="dxa"/>
            <w:tcBorders>
              <w:top w:val="nil"/>
              <w:left w:val="nil"/>
              <w:bottom w:val="nil"/>
              <w:right w:val="nil"/>
            </w:tcBorders>
            <w:shd w:val="clear" w:color="auto" w:fill="auto"/>
            <w:noWrap/>
            <w:vAlign w:val="bottom"/>
            <w:hideMark/>
          </w:tcPr>
          <w:p w14:paraId="68A2C8D1"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Naknade građanima i kućanstvima na temelju osiguranja i druge naknade                               </w:t>
            </w:r>
          </w:p>
        </w:tc>
        <w:tc>
          <w:tcPr>
            <w:tcW w:w="1480" w:type="dxa"/>
            <w:tcBorders>
              <w:top w:val="nil"/>
              <w:left w:val="nil"/>
              <w:bottom w:val="nil"/>
              <w:right w:val="nil"/>
            </w:tcBorders>
            <w:shd w:val="clear" w:color="auto" w:fill="auto"/>
            <w:noWrap/>
            <w:vAlign w:val="bottom"/>
            <w:hideMark/>
          </w:tcPr>
          <w:p w14:paraId="47FEE08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57.010,00</w:t>
            </w:r>
          </w:p>
        </w:tc>
        <w:tc>
          <w:tcPr>
            <w:tcW w:w="1380" w:type="dxa"/>
            <w:tcBorders>
              <w:top w:val="nil"/>
              <w:left w:val="nil"/>
              <w:bottom w:val="nil"/>
              <w:right w:val="nil"/>
            </w:tcBorders>
            <w:shd w:val="clear" w:color="auto" w:fill="auto"/>
            <w:noWrap/>
            <w:vAlign w:val="bottom"/>
            <w:hideMark/>
          </w:tcPr>
          <w:p w14:paraId="17F781E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55.958,01</w:t>
            </w:r>
          </w:p>
        </w:tc>
        <w:tc>
          <w:tcPr>
            <w:tcW w:w="1400" w:type="dxa"/>
            <w:tcBorders>
              <w:top w:val="nil"/>
              <w:left w:val="nil"/>
              <w:bottom w:val="nil"/>
              <w:right w:val="nil"/>
            </w:tcBorders>
            <w:shd w:val="clear" w:color="auto" w:fill="auto"/>
            <w:noWrap/>
            <w:vAlign w:val="bottom"/>
            <w:hideMark/>
          </w:tcPr>
          <w:p w14:paraId="0D3ED72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98,15%</w:t>
            </w:r>
          </w:p>
        </w:tc>
      </w:tr>
      <w:tr w:rsidR="00A360DB" w:rsidRPr="00A360DB" w14:paraId="71F04E16" w14:textId="77777777" w:rsidTr="00A360DB">
        <w:trPr>
          <w:trHeight w:val="240"/>
        </w:trPr>
        <w:tc>
          <w:tcPr>
            <w:tcW w:w="1697" w:type="dxa"/>
            <w:tcBorders>
              <w:top w:val="nil"/>
              <w:left w:val="nil"/>
              <w:bottom w:val="nil"/>
              <w:right w:val="nil"/>
            </w:tcBorders>
            <w:shd w:val="clear" w:color="auto" w:fill="auto"/>
            <w:noWrap/>
            <w:vAlign w:val="bottom"/>
            <w:hideMark/>
          </w:tcPr>
          <w:p w14:paraId="0FE2127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3721</w:t>
            </w:r>
          </w:p>
        </w:tc>
        <w:tc>
          <w:tcPr>
            <w:tcW w:w="8509" w:type="dxa"/>
            <w:tcBorders>
              <w:top w:val="nil"/>
              <w:left w:val="nil"/>
              <w:bottom w:val="nil"/>
              <w:right w:val="nil"/>
            </w:tcBorders>
            <w:shd w:val="clear" w:color="auto" w:fill="auto"/>
            <w:noWrap/>
            <w:vAlign w:val="bottom"/>
            <w:hideMark/>
          </w:tcPr>
          <w:p w14:paraId="6EEA5F8D"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Naknade građanima i kućanstvima u novcu                                                             </w:t>
            </w:r>
          </w:p>
        </w:tc>
        <w:tc>
          <w:tcPr>
            <w:tcW w:w="1480" w:type="dxa"/>
            <w:tcBorders>
              <w:top w:val="nil"/>
              <w:left w:val="nil"/>
              <w:bottom w:val="nil"/>
              <w:right w:val="nil"/>
            </w:tcBorders>
            <w:shd w:val="clear" w:color="auto" w:fill="auto"/>
            <w:noWrap/>
            <w:vAlign w:val="bottom"/>
            <w:hideMark/>
          </w:tcPr>
          <w:p w14:paraId="306090A5"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399DD7E"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2.005,39</w:t>
            </w:r>
          </w:p>
        </w:tc>
        <w:tc>
          <w:tcPr>
            <w:tcW w:w="1400" w:type="dxa"/>
            <w:tcBorders>
              <w:top w:val="nil"/>
              <w:left w:val="nil"/>
              <w:bottom w:val="nil"/>
              <w:right w:val="nil"/>
            </w:tcBorders>
            <w:shd w:val="clear" w:color="auto" w:fill="auto"/>
            <w:noWrap/>
            <w:vAlign w:val="bottom"/>
            <w:hideMark/>
          </w:tcPr>
          <w:p w14:paraId="40D2CC31"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509D31F8" w14:textId="77777777" w:rsidTr="00A360DB">
        <w:trPr>
          <w:trHeight w:val="240"/>
        </w:trPr>
        <w:tc>
          <w:tcPr>
            <w:tcW w:w="1697" w:type="dxa"/>
            <w:tcBorders>
              <w:top w:val="nil"/>
              <w:left w:val="nil"/>
              <w:bottom w:val="nil"/>
              <w:right w:val="nil"/>
            </w:tcBorders>
            <w:shd w:val="clear" w:color="auto" w:fill="auto"/>
            <w:noWrap/>
            <w:vAlign w:val="bottom"/>
            <w:hideMark/>
          </w:tcPr>
          <w:p w14:paraId="2AF09D7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3722</w:t>
            </w:r>
          </w:p>
        </w:tc>
        <w:tc>
          <w:tcPr>
            <w:tcW w:w="8509" w:type="dxa"/>
            <w:tcBorders>
              <w:top w:val="nil"/>
              <w:left w:val="nil"/>
              <w:bottom w:val="nil"/>
              <w:right w:val="nil"/>
            </w:tcBorders>
            <w:shd w:val="clear" w:color="auto" w:fill="auto"/>
            <w:noWrap/>
            <w:vAlign w:val="bottom"/>
            <w:hideMark/>
          </w:tcPr>
          <w:p w14:paraId="6BD611F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Naknade građanima i kućanstvima u naravi                                                            </w:t>
            </w:r>
          </w:p>
        </w:tc>
        <w:tc>
          <w:tcPr>
            <w:tcW w:w="1480" w:type="dxa"/>
            <w:tcBorders>
              <w:top w:val="nil"/>
              <w:left w:val="nil"/>
              <w:bottom w:val="nil"/>
              <w:right w:val="nil"/>
            </w:tcBorders>
            <w:shd w:val="clear" w:color="auto" w:fill="auto"/>
            <w:noWrap/>
            <w:vAlign w:val="bottom"/>
            <w:hideMark/>
          </w:tcPr>
          <w:p w14:paraId="0E7CC106"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305B9F3"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53.952,62</w:t>
            </w:r>
          </w:p>
        </w:tc>
        <w:tc>
          <w:tcPr>
            <w:tcW w:w="1400" w:type="dxa"/>
            <w:tcBorders>
              <w:top w:val="nil"/>
              <w:left w:val="nil"/>
              <w:bottom w:val="nil"/>
              <w:right w:val="nil"/>
            </w:tcBorders>
            <w:shd w:val="clear" w:color="auto" w:fill="auto"/>
            <w:noWrap/>
            <w:vAlign w:val="bottom"/>
            <w:hideMark/>
          </w:tcPr>
          <w:p w14:paraId="6DBB9703"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5786262A" w14:textId="77777777" w:rsidTr="00A360DB">
        <w:trPr>
          <w:trHeight w:val="240"/>
        </w:trPr>
        <w:tc>
          <w:tcPr>
            <w:tcW w:w="1697" w:type="dxa"/>
            <w:tcBorders>
              <w:top w:val="nil"/>
              <w:left w:val="nil"/>
              <w:bottom w:val="nil"/>
              <w:right w:val="nil"/>
            </w:tcBorders>
            <w:shd w:val="clear" w:color="000000" w:fill="B4C6E7"/>
            <w:noWrap/>
            <w:vAlign w:val="bottom"/>
            <w:hideMark/>
          </w:tcPr>
          <w:p w14:paraId="3992D5E1"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A102004</w:t>
            </w:r>
          </w:p>
        </w:tc>
        <w:tc>
          <w:tcPr>
            <w:tcW w:w="8509" w:type="dxa"/>
            <w:tcBorders>
              <w:top w:val="nil"/>
              <w:left w:val="nil"/>
              <w:bottom w:val="nil"/>
              <w:right w:val="nil"/>
            </w:tcBorders>
            <w:shd w:val="clear" w:color="000000" w:fill="B4C6E7"/>
            <w:noWrap/>
            <w:vAlign w:val="bottom"/>
            <w:hideMark/>
          </w:tcPr>
          <w:p w14:paraId="5123E9F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Sufinanciranje troškova školskih natjecanja, susreta i smotri</w:t>
            </w:r>
          </w:p>
        </w:tc>
        <w:tc>
          <w:tcPr>
            <w:tcW w:w="1480" w:type="dxa"/>
            <w:tcBorders>
              <w:top w:val="nil"/>
              <w:left w:val="nil"/>
              <w:bottom w:val="nil"/>
              <w:right w:val="nil"/>
            </w:tcBorders>
            <w:shd w:val="clear" w:color="000000" w:fill="B4C6E7"/>
            <w:noWrap/>
            <w:vAlign w:val="bottom"/>
            <w:hideMark/>
          </w:tcPr>
          <w:p w14:paraId="69D3584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800,00</w:t>
            </w:r>
          </w:p>
        </w:tc>
        <w:tc>
          <w:tcPr>
            <w:tcW w:w="1380" w:type="dxa"/>
            <w:tcBorders>
              <w:top w:val="nil"/>
              <w:left w:val="nil"/>
              <w:bottom w:val="nil"/>
              <w:right w:val="nil"/>
            </w:tcBorders>
            <w:shd w:val="clear" w:color="000000" w:fill="B4C6E7"/>
            <w:noWrap/>
            <w:vAlign w:val="bottom"/>
            <w:hideMark/>
          </w:tcPr>
          <w:p w14:paraId="6BEFB5A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c>
          <w:tcPr>
            <w:tcW w:w="1400" w:type="dxa"/>
            <w:tcBorders>
              <w:top w:val="nil"/>
              <w:left w:val="nil"/>
              <w:bottom w:val="nil"/>
              <w:right w:val="nil"/>
            </w:tcBorders>
            <w:shd w:val="clear" w:color="000000" w:fill="B4C6E7"/>
            <w:noWrap/>
            <w:vAlign w:val="bottom"/>
            <w:hideMark/>
          </w:tcPr>
          <w:p w14:paraId="6618912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r>
      <w:tr w:rsidR="00A360DB" w:rsidRPr="00A360DB" w14:paraId="20B90F2E"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507309A6"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684610D3"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800,00</w:t>
            </w:r>
          </w:p>
        </w:tc>
        <w:tc>
          <w:tcPr>
            <w:tcW w:w="1380" w:type="dxa"/>
            <w:tcBorders>
              <w:top w:val="nil"/>
              <w:left w:val="nil"/>
              <w:bottom w:val="nil"/>
              <w:right w:val="nil"/>
            </w:tcBorders>
            <w:shd w:val="clear" w:color="auto" w:fill="auto"/>
            <w:noWrap/>
            <w:vAlign w:val="bottom"/>
            <w:hideMark/>
          </w:tcPr>
          <w:p w14:paraId="63006197"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0,00</w:t>
            </w:r>
          </w:p>
        </w:tc>
        <w:tc>
          <w:tcPr>
            <w:tcW w:w="1400" w:type="dxa"/>
            <w:tcBorders>
              <w:top w:val="nil"/>
              <w:left w:val="nil"/>
              <w:bottom w:val="nil"/>
              <w:right w:val="nil"/>
            </w:tcBorders>
            <w:shd w:val="clear" w:color="auto" w:fill="auto"/>
            <w:noWrap/>
            <w:vAlign w:val="bottom"/>
            <w:hideMark/>
          </w:tcPr>
          <w:p w14:paraId="20ACD020"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0,00%</w:t>
            </w:r>
          </w:p>
        </w:tc>
      </w:tr>
      <w:tr w:rsidR="00A360DB" w:rsidRPr="00A360DB" w14:paraId="12651EC4"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68809FC"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5BF4042D"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800,00</w:t>
            </w:r>
          </w:p>
        </w:tc>
        <w:tc>
          <w:tcPr>
            <w:tcW w:w="1380" w:type="dxa"/>
            <w:tcBorders>
              <w:top w:val="nil"/>
              <w:left w:val="nil"/>
              <w:bottom w:val="nil"/>
              <w:right w:val="nil"/>
            </w:tcBorders>
            <w:shd w:val="clear" w:color="auto" w:fill="auto"/>
            <w:noWrap/>
            <w:vAlign w:val="bottom"/>
            <w:hideMark/>
          </w:tcPr>
          <w:p w14:paraId="3B512776"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0,00</w:t>
            </w:r>
          </w:p>
        </w:tc>
        <w:tc>
          <w:tcPr>
            <w:tcW w:w="1400" w:type="dxa"/>
            <w:tcBorders>
              <w:top w:val="nil"/>
              <w:left w:val="nil"/>
              <w:bottom w:val="nil"/>
              <w:right w:val="nil"/>
            </w:tcBorders>
            <w:shd w:val="clear" w:color="auto" w:fill="auto"/>
            <w:noWrap/>
            <w:vAlign w:val="bottom"/>
            <w:hideMark/>
          </w:tcPr>
          <w:p w14:paraId="3363B009"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0,00%</w:t>
            </w:r>
          </w:p>
        </w:tc>
      </w:tr>
      <w:tr w:rsidR="00A360DB" w:rsidRPr="00A360DB" w14:paraId="4F12AD05" w14:textId="77777777" w:rsidTr="00A360DB">
        <w:trPr>
          <w:trHeight w:val="240"/>
        </w:trPr>
        <w:tc>
          <w:tcPr>
            <w:tcW w:w="1697" w:type="dxa"/>
            <w:tcBorders>
              <w:top w:val="nil"/>
              <w:left w:val="nil"/>
              <w:bottom w:val="nil"/>
              <w:right w:val="nil"/>
            </w:tcBorders>
            <w:shd w:val="clear" w:color="auto" w:fill="auto"/>
            <w:noWrap/>
            <w:vAlign w:val="bottom"/>
            <w:hideMark/>
          </w:tcPr>
          <w:p w14:paraId="4C5A0258"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36</w:t>
            </w:r>
          </w:p>
        </w:tc>
        <w:tc>
          <w:tcPr>
            <w:tcW w:w="8509" w:type="dxa"/>
            <w:tcBorders>
              <w:top w:val="nil"/>
              <w:left w:val="nil"/>
              <w:bottom w:val="nil"/>
              <w:right w:val="nil"/>
            </w:tcBorders>
            <w:shd w:val="clear" w:color="auto" w:fill="auto"/>
            <w:noWrap/>
            <w:vAlign w:val="bottom"/>
            <w:hideMark/>
          </w:tcPr>
          <w:p w14:paraId="3418CC33"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Pomoći dane u inozemstvo i unutar opće države</w:t>
            </w:r>
          </w:p>
        </w:tc>
        <w:tc>
          <w:tcPr>
            <w:tcW w:w="1480" w:type="dxa"/>
            <w:tcBorders>
              <w:top w:val="nil"/>
              <w:left w:val="nil"/>
              <w:bottom w:val="nil"/>
              <w:right w:val="nil"/>
            </w:tcBorders>
            <w:shd w:val="clear" w:color="auto" w:fill="auto"/>
            <w:noWrap/>
            <w:vAlign w:val="bottom"/>
            <w:hideMark/>
          </w:tcPr>
          <w:p w14:paraId="365E9F6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400,00</w:t>
            </w:r>
          </w:p>
        </w:tc>
        <w:tc>
          <w:tcPr>
            <w:tcW w:w="1380" w:type="dxa"/>
            <w:tcBorders>
              <w:top w:val="nil"/>
              <w:left w:val="nil"/>
              <w:bottom w:val="nil"/>
              <w:right w:val="nil"/>
            </w:tcBorders>
            <w:shd w:val="clear" w:color="auto" w:fill="auto"/>
            <w:noWrap/>
            <w:vAlign w:val="bottom"/>
            <w:hideMark/>
          </w:tcPr>
          <w:p w14:paraId="6715712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c>
          <w:tcPr>
            <w:tcW w:w="1400" w:type="dxa"/>
            <w:tcBorders>
              <w:top w:val="nil"/>
              <w:left w:val="nil"/>
              <w:bottom w:val="nil"/>
              <w:right w:val="nil"/>
            </w:tcBorders>
            <w:shd w:val="clear" w:color="auto" w:fill="auto"/>
            <w:noWrap/>
            <w:vAlign w:val="bottom"/>
            <w:hideMark/>
          </w:tcPr>
          <w:p w14:paraId="3CA2DD5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r>
      <w:tr w:rsidR="00A360DB" w:rsidRPr="00A360DB" w14:paraId="1F08086E" w14:textId="77777777" w:rsidTr="00A360DB">
        <w:trPr>
          <w:trHeight w:val="240"/>
        </w:trPr>
        <w:tc>
          <w:tcPr>
            <w:tcW w:w="1697" w:type="dxa"/>
            <w:tcBorders>
              <w:top w:val="nil"/>
              <w:left w:val="nil"/>
              <w:bottom w:val="nil"/>
              <w:right w:val="nil"/>
            </w:tcBorders>
            <w:shd w:val="clear" w:color="auto" w:fill="auto"/>
            <w:noWrap/>
            <w:vAlign w:val="bottom"/>
            <w:hideMark/>
          </w:tcPr>
          <w:p w14:paraId="1A84852A"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37</w:t>
            </w:r>
          </w:p>
        </w:tc>
        <w:tc>
          <w:tcPr>
            <w:tcW w:w="8509" w:type="dxa"/>
            <w:tcBorders>
              <w:top w:val="nil"/>
              <w:left w:val="nil"/>
              <w:bottom w:val="nil"/>
              <w:right w:val="nil"/>
            </w:tcBorders>
            <w:shd w:val="clear" w:color="auto" w:fill="auto"/>
            <w:noWrap/>
            <w:vAlign w:val="bottom"/>
            <w:hideMark/>
          </w:tcPr>
          <w:p w14:paraId="68F568C2"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Naknade građanima i kućanstvima na temelju osiguranja i druge naknade                               </w:t>
            </w:r>
          </w:p>
        </w:tc>
        <w:tc>
          <w:tcPr>
            <w:tcW w:w="1480" w:type="dxa"/>
            <w:tcBorders>
              <w:top w:val="nil"/>
              <w:left w:val="nil"/>
              <w:bottom w:val="nil"/>
              <w:right w:val="nil"/>
            </w:tcBorders>
            <w:shd w:val="clear" w:color="auto" w:fill="auto"/>
            <w:noWrap/>
            <w:vAlign w:val="bottom"/>
            <w:hideMark/>
          </w:tcPr>
          <w:p w14:paraId="29C0C5C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400,00</w:t>
            </w:r>
          </w:p>
        </w:tc>
        <w:tc>
          <w:tcPr>
            <w:tcW w:w="1380" w:type="dxa"/>
            <w:tcBorders>
              <w:top w:val="nil"/>
              <w:left w:val="nil"/>
              <w:bottom w:val="nil"/>
              <w:right w:val="nil"/>
            </w:tcBorders>
            <w:shd w:val="clear" w:color="auto" w:fill="auto"/>
            <w:noWrap/>
            <w:vAlign w:val="bottom"/>
            <w:hideMark/>
          </w:tcPr>
          <w:p w14:paraId="63701AF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c>
          <w:tcPr>
            <w:tcW w:w="1400" w:type="dxa"/>
            <w:tcBorders>
              <w:top w:val="nil"/>
              <w:left w:val="nil"/>
              <w:bottom w:val="nil"/>
              <w:right w:val="nil"/>
            </w:tcBorders>
            <w:shd w:val="clear" w:color="auto" w:fill="auto"/>
            <w:noWrap/>
            <w:vAlign w:val="bottom"/>
            <w:hideMark/>
          </w:tcPr>
          <w:p w14:paraId="5EC74DF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r>
      <w:tr w:rsidR="00A360DB" w:rsidRPr="00A360DB" w14:paraId="248E9300" w14:textId="77777777" w:rsidTr="00A360DB">
        <w:trPr>
          <w:trHeight w:val="240"/>
        </w:trPr>
        <w:tc>
          <w:tcPr>
            <w:tcW w:w="1697" w:type="dxa"/>
            <w:tcBorders>
              <w:top w:val="nil"/>
              <w:left w:val="nil"/>
              <w:bottom w:val="nil"/>
              <w:right w:val="nil"/>
            </w:tcBorders>
            <w:shd w:val="clear" w:color="000000" w:fill="B4C6E7"/>
            <w:noWrap/>
            <w:vAlign w:val="bottom"/>
            <w:hideMark/>
          </w:tcPr>
          <w:p w14:paraId="123820CE"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A102005</w:t>
            </w:r>
          </w:p>
        </w:tc>
        <w:tc>
          <w:tcPr>
            <w:tcW w:w="8509" w:type="dxa"/>
            <w:tcBorders>
              <w:top w:val="nil"/>
              <w:left w:val="nil"/>
              <w:bottom w:val="nil"/>
              <w:right w:val="nil"/>
            </w:tcBorders>
            <w:shd w:val="clear" w:color="000000" w:fill="B4C6E7"/>
            <w:noWrap/>
            <w:vAlign w:val="bottom"/>
            <w:hideMark/>
          </w:tcPr>
          <w:p w14:paraId="0E4F4532"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Nagrade učenicima i studentima za postignute rezultate</w:t>
            </w:r>
          </w:p>
        </w:tc>
        <w:tc>
          <w:tcPr>
            <w:tcW w:w="1480" w:type="dxa"/>
            <w:tcBorders>
              <w:top w:val="nil"/>
              <w:left w:val="nil"/>
              <w:bottom w:val="nil"/>
              <w:right w:val="nil"/>
            </w:tcBorders>
            <w:shd w:val="clear" w:color="000000" w:fill="B4C6E7"/>
            <w:noWrap/>
            <w:vAlign w:val="bottom"/>
            <w:hideMark/>
          </w:tcPr>
          <w:p w14:paraId="121E582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400,00</w:t>
            </w:r>
          </w:p>
        </w:tc>
        <w:tc>
          <w:tcPr>
            <w:tcW w:w="1380" w:type="dxa"/>
            <w:tcBorders>
              <w:top w:val="nil"/>
              <w:left w:val="nil"/>
              <w:bottom w:val="nil"/>
              <w:right w:val="nil"/>
            </w:tcBorders>
            <w:shd w:val="clear" w:color="000000" w:fill="B4C6E7"/>
            <w:noWrap/>
            <w:vAlign w:val="bottom"/>
            <w:hideMark/>
          </w:tcPr>
          <w:p w14:paraId="31285A2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200,00</w:t>
            </w:r>
          </w:p>
        </w:tc>
        <w:tc>
          <w:tcPr>
            <w:tcW w:w="1400" w:type="dxa"/>
            <w:tcBorders>
              <w:top w:val="nil"/>
              <w:left w:val="nil"/>
              <w:bottom w:val="nil"/>
              <w:right w:val="nil"/>
            </w:tcBorders>
            <w:shd w:val="clear" w:color="000000" w:fill="B4C6E7"/>
            <w:noWrap/>
            <w:vAlign w:val="bottom"/>
            <w:hideMark/>
          </w:tcPr>
          <w:p w14:paraId="7416AA4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50,00%</w:t>
            </w:r>
          </w:p>
        </w:tc>
      </w:tr>
      <w:tr w:rsidR="00A360DB" w:rsidRPr="00A360DB" w14:paraId="391A64C8"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CAA2592"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766FF8D9"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400,00</w:t>
            </w:r>
          </w:p>
        </w:tc>
        <w:tc>
          <w:tcPr>
            <w:tcW w:w="1380" w:type="dxa"/>
            <w:tcBorders>
              <w:top w:val="nil"/>
              <w:left w:val="nil"/>
              <w:bottom w:val="nil"/>
              <w:right w:val="nil"/>
            </w:tcBorders>
            <w:shd w:val="clear" w:color="auto" w:fill="auto"/>
            <w:noWrap/>
            <w:vAlign w:val="bottom"/>
            <w:hideMark/>
          </w:tcPr>
          <w:p w14:paraId="40AAA07B"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200,00</w:t>
            </w:r>
          </w:p>
        </w:tc>
        <w:tc>
          <w:tcPr>
            <w:tcW w:w="1400" w:type="dxa"/>
            <w:tcBorders>
              <w:top w:val="nil"/>
              <w:left w:val="nil"/>
              <w:bottom w:val="nil"/>
              <w:right w:val="nil"/>
            </w:tcBorders>
            <w:shd w:val="clear" w:color="auto" w:fill="auto"/>
            <w:noWrap/>
            <w:vAlign w:val="bottom"/>
            <w:hideMark/>
          </w:tcPr>
          <w:p w14:paraId="6CDB6E11"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50,00%</w:t>
            </w:r>
          </w:p>
        </w:tc>
      </w:tr>
      <w:tr w:rsidR="00A360DB" w:rsidRPr="00A360DB" w14:paraId="3BCAA8C3"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49927FE"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42A02539"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400,00</w:t>
            </w:r>
          </w:p>
        </w:tc>
        <w:tc>
          <w:tcPr>
            <w:tcW w:w="1380" w:type="dxa"/>
            <w:tcBorders>
              <w:top w:val="nil"/>
              <w:left w:val="nil"/>
              <w:bottom w:val="nil"/>
              <w:right w:val="nil"/>
            </w:tcBorders>
            <w:shd w:val="clear" w:color="auto" w:fill="auto"/>
            <w:noWrap/>
            <w:vAlign w:val="bottom"/>
            <w:hideMark/>
          </w:tcPr>
          <w:p w14:paraId="14C0CF68"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200,00</w:t>
            </w:r>
          </w:p>
        </w:tc>
        <w:tc>
          <w:tcPr>
            <w:tcW w:w="1400" w:type="dxa"/>
            <w:tcBorders>
              <w:top w:val="nil"/>
              <w:left w:val="nil"/>
              <w:bottom w:val="nil"/>
              <w:right w:val="nil"/>
            </w:tcBorders>
            <w:shd w:val="clear" w:color="auto" w:fill="auto"/>
            <w:noWrap/>
            <w:vAlign w:val="bottom"/>
            <w:hideMark/>
          </w:tcPr>
          <w:p w14:paraId="43E17823"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50,00%</w:t>
            </w:r>
          </w:p>
        </w:tc>
      </w:tr>
      <w:tr w:rsidR="00A360DB" w:rsidRPr="00A360DB" w14:paraId="13699634" w14:textId="77777777" w:rsidTr="00A360DB">
        <w:trPr>
          <w:trHeight w:val="240"/>
        </w:trPr>
        <w:tc>
          <w:tcPr>
            <w:tcW w:w="1697" w:type="dxa"/>
            <w:tcBorders>
              <w:top w:val="nil"/>
              <w:left w:val="nil"/>
              <w:bottom w:val="nil"/>
              <w:right w:val="nil"/>
            </w:tcBorders>
            <w:shd w:val="clear" w:color="auto" w:fill="auto"/>
            <w:noWrap/>
            <w:vAlign w:val="bottom"/>
            <w:hideMark/>
          </w:tcPr>
          <w:p w14:paraId="68B916B5"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37</w:t>
            </w:r>
          </w:p>
        </w:tc>
        <w:tc>
          <w:tcPr>
            <w:tcW w:w="8509" w:type="dxa"/>
            <w:tcBorders>
              <w:top w:val="nil"/>
              <w:left w:val="nil"/>
              <w:bottom w:val="nil"/>
              <w:right w:val="nil"/>
            </w:tcBorders>
            <w:shd w:val="clear" w:color="auto" w:fill="auto"/>
            <w:noWrap/>
            <w:vAlign w:val="bottom"/>
            <w:hideMark/>
          </w:tcPr>
          <w:p w14:paraId="1FA8FDBD"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Naknade građanima i kućanstvima na temelju osiguranja i druge naknade                               </w:t>
            </w:r>
          </w:p>
        </w:tc>
        <w:tc>
          <w:tcPr>
            <w:tcW w:w="1480" w:type="dxa"/>
            <w:tcBorders>
              <w:top w:val="nil"/>
              <w:left w:val="nil"/>
              <w:bottom w:val="nil"/>
              <w:right w:val="nil"/>
            </w:tcBorders>
            <w:shd w:val="clear" w:color="auto" w:fill="auto"/>
            <w:noWrap/>
            <w:vAlign w:val="bottom"/>
            <w:hideMark/>
          </w:tcPr>
          <w:p w14:paraId="311B094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400,00</w:t>
            </w:r>
          </w:p>
        </w:tc>
        <w:tc>
          <w:tcPr>
            <w:tcW w:w="1380" w:type="dxa"/>
            <w:tcBorders>
              <w:top w:val="nil"/>
              <w:left w:val="nil"/>
              <w:bottom w:val="nil"/>
              <w:right w:val="nil"/>
            </w:tcBorders>
            <w:shd w:val="clear" w:color="auto" w:fill="auto"/>
            <w:noWrap/>
            <w:vAlign w:val="bottom"/>
            <w:hideMark/>
          </w:tcPr>
          <w:p w14:paraId="7540164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200,00</w:t>
            </w:r>
          </w:p>
        </w:tc>
        <w:tc>
          <w:tcPr>
            <w:tcW w:w="1400" w:type="dxa"/>
            <w:tcBorders>
              <w:top w:val="nil"/>
              <w:left w:val="nil"/>
              <w:bottom w:val="nil"/>
              <w:right w:val="nil"/>
            </w:tcBorders>
            <w:shd w:val="clear" w:color="auto" w:fill="auto"/>
            <w:noWrap/>
            <w:vAlign w:val="bottom"/>
            <w:hideMark/>
          </w:tcPr>
          <w:p w14:paraId="36A2823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50,00%</w:t>
            </w:r>
          </w:p>
        </w:tc>
      </w:tr>
      <w:tr w:rsidR="00A360DB" w:rsidRPr="00A360DB" w14:paraId="6AD222FE" w14:textId="77777777" w:rsidTr="00A360DB">
        <w:trPr>
          <w:trHeight w:val="240"/>
        </w:trPr>
        <w:tc>
          <w:tcPr>
            <w:tcW w:w="1697" w:type="dxa"/>
            <w:tcBorders>
              <w:top w:val="nil"/>
              <w:left w:val="nil"/>
              <w:bottom w:val="nil"/>
              <w:right w:val="nil"/>
            </w:tcBorders>
            <w:shd w:val="clear" w:color="auto" w:fill="auto"/>
            <w:noWrap/>
            <w:vAlign w:val="bottom"/>
            <w:hideMark/>
          </w:tcPr>
          <w:p w14:paraId="54B3FAC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3721</w:t>
            </w:r>
          </w:p>
        </w:tc>
        <w:tc>
          <w:tcPr>
            <w:tcW w:w="8509" w:type="dxa"/>
            <w:tcBorders>
              <w:top w:val="nil"/>
              <w:left w:val="nil"/>
              <w:bottom w:val="nil"/>
              <w:right w:val="nil"/>
            </w:tcBorders>
            <w:shd w:val="clear" w:color="auto" w:fill="auto"/>
            <w:noWrap/>
            <w:vAlign w:val="bottom"/>
            <w:hideMark/>
          </w:tcPr>
          <w:p w14:paraId="17A9168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Naknade građanima i kućanstvima u novcu                                                             </w:t>
            </w:r>
          </w:p>
        </w:tc>
        <w:tc>
          <w:tcPr>
            <w:tcW w:w="1480" w:type="dxa"/>
            <w:tcBorders>
              <w:top w:val="nil"/>
              <w:left w:val="nil"/>
              <w:bottom w:val="nil"/>
              <w:right w:val="nil"/>
            </w:tcBorders>
            <w:shd w:val="clear" w:color="auto" w:fill="auto"/>
            <w:noWrap/>
            <w:vAlign w:val="bottom"/>
            <w:hideMark/>
          </w:tcPr>
          <w:p w14:paraId="4CD268F9"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F12052E"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200,00</w:t>
            </w:r>
          </w:p>
        </w:tc>
        <w:tc>
          <w:tcPr>
            <w:tcW w:w="1400" w:type="dxa"/>
            <w:tcBorders>
              <w:top w:val="nil"/>
              <w:left w:val="nil"/>
              <w:bottom w:val="nil"/>
              <w:right w:val="nil"/>
            </w:tcBorders>
            <w:shd w:val="clear" w:color="auto" w:fill="auto"/>
            <w:noWrap/>
            <w:vAlign w:val="bottom"/>
            <w:hideMark/>
          </w:tcPr>
          <w:p w14:paraId="315D7EB1"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52F4F0F" w14:textId="77777777" w:rsidTr="00A360DB">
        <w:trPr>
          <w:trHeight w:val="240"/>
        </w:trPr>
        <w:tc>
          <w:tcPr>
            <w:tcW w:w="1697" w:type="dxa"/>
            <w:tcBorders>
              <w:top w:val="nil"/>
              <w:left w:val="nil"/>
              <w:bottom w:val="nil"/>
              <w:right w:val="nil"/>
            </w:tcBorders>
            <w:shd w:val="clear" w:color="000000" w:fill="B4C6E7"/>
            <w:noWrap/>
            <w:vAlign w:val="bottom"/>
            <w:hideMark/>
          </w:tcPr>
          <w:p w14:paraId="1A954A2F"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A102006</w:t>
            </w:r>
          </w:p>
        </w:tc>
        <w:tc>
          <w:tcPr>
            <w:tcW w:w="8509" w:type="dxa"/>
            <w:tcBorders>
              <w:top w:val="nil"/>
              <w:left w:val="nil"/>
              <w:bottom w:val="nil"/>
              <w:right w:val="nil"/>
            </w:tcBorders>
            <w:shd w:val="clear" w:color="000000" w:fill="B4C6E7"/>
            <w:noWrap/>
            <w:vAlign w:val="bottom"/>
            <w:hideMark/>
          </w:tcPr>
          <w:p w14:paraId="6C4BB3BB"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Aktivnost: Jednokratna potpora učenicima S.Š. </w:t>
            </w:r>
            <w:proofErr w:type="spellStart"/>
            <w:r w:rsidRPr="00A360DB">
              <w:rPr>
                <w:rFonts w:ascii="Arial" w:hAnsi="Arial" w:cs="Arial"/>
                <w:b/>
                <w:bCs/>
                <w:sz w:val="18"/>
                <w:szCs w:val="18"/>
                <w:lang w:eastAsia="hr-HR"/>
              </w:rPr>
              <w:t>A.Šenoa</w:t>
            </w:r>
            <w:proofErr w:type="spellEnd"/>
            <w:r w:rsidRPr="00A360DB">
              <w:rPr>
                <w:rFonts w:ascii="Arial" w:hAnsi="Arial" w:cs="Arial"/>
                <w:b/>
                <w:bCs/>
                <w:sz w:val="18"/>
                <w:szCs w:val="18"/>
                <w:lang w:eastAsia="hr-HR"/>
              </w:rPr>
              <w:t xml:space="preserve"> Garešnica koji pohađaju Opću gimnaziju</w:t>
            </w:r>
          </w:p>
        </w:tc>
        <w:tc>
          <w:tcPr>
            <w:tcW w:w="1480" w:type="dxa"/>
            <w:tcBorders>
              <w:top w:val="nil"/>
              <w:left w:val="nil"/>
              <w:bottom w:val="nil"/>
              <w:right w:val="nil"/>
            </w:tcBorders>
            <w:shd w:val="clear" w:color="000000" w:fill="B4C6E7"/>
            <w:noWrap/>
            <w:vAlign w:val="bottom"/>
            <w:hideMark/>
          </w:tcPr>
          <w:p w14:paraId="2F3AF1C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2.000,00</w:t>
            </w:r>
          </w:p>
        </w:tc>
        <w:tc>
          <w:tcPr>
            <w:tcW w:w="1380" w:type="dxa"/>
            <w:tcBorders>
              <w:top w:val="nil"/>
              <w:left w:val="nil"/>
              <w:bottom w:val="nil"/>
              <w:right w:val="nil"/>
            </w:tcBorders>
            <w:shd w:val="clear" w:color="000000" w:fill="B4C6E7"/>
            <w:noWrap/>
            <w:vAlign w:val="bottom"/>
            <w:hideMark/>
          </w:tcPr>
          <w:p w14:paraId="035A98B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1.950,00</w:t>
            </w:r>
          </w:p>
        </w:tc>
        <w:tc>
          <w:tcPr>
            <w:tcW w:w="1400" w:type="dxa"/>
            <w:tcBorders>
              <w:top w:val="nil"/>
              <w:left w:val="nil"/>
              <w:bottom w:val="nil"/>
              <w:right w:val="nil"/>
            </w:tcBorders>
            <w:shd w:val="clear" w:color="000000" w:fill="B4C6E7"/>
            <w:noWrap/>
            <w:vAlign w:val="bottom"/>
            <w:hideMark/>
          </w:tcPr>
          <w:p w14:paraId="45A27A0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97,50%</w:t>
            </w:r>
          </w:p>
        </w:tc>
      </w:tr>
      <w:tr w:rsidR="00A360DB" w:rsidRPr="00A360DB" w14:paraId="208CBD60"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2F8AC00"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18EB1C4C"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2.000,00</w:t>
            </w:r>
          </w:p>
        </w:tc>
        <w:tc>
          <w:tcPr>
            <w:tcW w:w="1380" w:type="dxa"/>
            <w:tcBorders>
              <w:top w:val="nil"/>
              <w:left w:val="nil"/>
              <w:bottom w:val="nil"/>
              <w:right w:val="nil"/>
            </w:tcBorders>
            <w:shd w:val="clear" w:color="auto" w:fill="auto"/>
            <w:noWrap/>
            <w:vAlign w:val="bottom"/>
            <w:hideMark/>
          </w:tcPr>
          <w:p w14:paraId="0EA94E1B"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1.950,00</w:t>
            </w:r>
          </w:p>
        </w:tc>
        <w:tc>
          <w:tcPr>
            <w:tcW w:w="1400" w:type="dxa"/>
            <w:tcBorders>
              <w:top w:val="nil"/>
              <w:left w:val="nil"/>
              <w:bottom w:val="nil"/>
              <w:right w:val="nil"/>
            </w:tcBorders>
            <w:shd w:val="clear" w:color="auto" w:fill="auto"/>
            <w:noWrap/>
            <w:vAlign w:val="bottom"/>
            <w:hideMark/>
          </w:tcPr>
          <w:p w14:paraId="102618A9"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97,50%</w:t>
            </w:r>
          </w:p>
        </w:tc>
      </w:tr>
      <w:tr w:rsidR="00A360DB" w:rsidRPr="00A360DB" w14:paraId="0E693367"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5249C545"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7321C726"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2.000,00</w:t>
            </w:r>
          </w:p>
        </w:tc>
        <w:tc>
          <w:tcPr>
            <w:tcW w:w="1380" w:type="dxa"/>
            <w:tcBorders>
              <w:top w:val="nil"/>
              <w:left w:val="nil"/>
              <w:bottom w:val="nil"/>
              <w:right w:val="nil"/>
            </w:tcBorders>
            <w:shd w:val="clear" w:color="auto" w:fill="auto"/>
            <w:noWrap/>
            <w:vAlign w:val="bottom"/>
            <w:hideMark/>
          </w:tcPr>
          <w:p w14:paraId="71E1E9E6"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1.950,00</w:t>
            </w:r>
          </w:p>
        </w:tc>
        <w:tc>
          <w:tcPr>
            <w:tcW w:w="1400" w:type="dxa"/>
            <w:tcBorders>
              <w:top w:val="nil"/>
              <w:left w:val="nil"/>
              <w:bottom w:val="nil"/>
              <w:right w:val="nil"/>
            </w:tcBorders>
            <w:shd w:val="clear" w:color="auto" w:fill="auto"/>
            <w:noWrap/>
            <w:vAlign w:val="bottom"/>
            <w:hideMark/>
          </w:tcPr>
          <w:p w14:paraId="02D70861"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97,50%</w:t>
            </w:r>
          </w:p>
        </w:tc>
      </w:tr>
      <w:tr w:rsidR="00A360DB" w:rsidRPr="00A360DB" w14:paraId="17C4B2AD" w14:textId="77777777" w:rsidTr="00A360DB">
        <w:trPr>
          <w:trHeight w:val="240"/>
        </w:trPr>
        <w:tc>
          <w:tcPr>
            <w:tcW w:w="1697" w:type="dxa"/>
            <w:tcBorders>
              <w:top w:val="nil"/>
              <w:left w:val="nil"/>
              <w:bottom w:val="nil"/>
              <w:right w:val="nil"/>
            </w:tcBorders>
            <w:shd w:val="clear" w:color="auto" w:fill="auto"/>
            <w:noWrap/>
            <w:vAlign w:val="bottom"/>
            <w:hideMark/>
          </w:tcPr>
          <w:p w14:paraId="74E5B8CE"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37</w:t>
            </w:r>
          </w:p>
        </w:tc>
        <w:tc>
          <w:tcPr>
            <w:tcW w:w="8509" w:type="dxa"/>
            <w:tcBorders>
              <w:top w:val="nil"/>
              <w:left w:val="nil"/>
              <w:bottom w:val="nil"/>
              <w:right w:val="nil"/>
            </w:tcBorders>
            <w:shd w:val="clear" w:color="auto" w:fill="auto"/>
            <w:noWrap/>
            <w:vAlign w:val="bottom"/>
            <w:hideMark/>
          </w:tcPr>
          <w:p w14:paraId="2BEFA522"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Naknade građanima i kućanstvima na temelju osiguranja i druge naknade                               </w:t>
            </w:r>
          </w:p>
        </w:tc>
        <w:tc>
          <w:tcPr>
            <w:tcW w:w="1480" w:type="dxa"/>
            <w:tcBorders>
              <w:top w:val="nil"/>
              <w:left w:val="nil"/>
              <w:bottom w:val="nil"/>
              <w:right w:val="nil"/>
            </w:tcBorders>
            <w:shd w:val="clear" w:color="auto" w:fill="auto"/>
            <w:noWrap/>
            <w:vAlign w:val="bottom"/>
            <w:hideMark/>
          </w:tcPr>
          <w:p w14:paraId="239ECB3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2.000,00</w:t>
            </w:r>
          </w:p>
        </w:tc>
        <w:tc>
          <w:tcPr>
            <w:tcW w:w="1380" w:type="dxa"/>
            <w:tcBorders>
              <w:top w:val="nil"/>
              <w:left w:val="nil"/>
              <w:bottom w:val="nil"/>
              <w:right w:val="nil"/>
            </w:tcBorders>
            <w:shd w:val="clear" w:color="auto" w:fill="auto"/>
            <w:noWrap/>
            <w:vAlign w:val="bottom"/>
            <w:hideMark/>
          </w:tcPr>
          <w:p w14:paraId="1DE6C9D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1.950,00</w:t>
            </w:r>
          </w:p>
        </w:tc>
        <w:tc>
          <w:tcPr>
            <w:tcW w:w="1400" w:type="dxa"/>
            <w:tcBorders>
              <w:top w:val="nil"/>
              <w:left w:val="nil"/>
              <w:bottom w:val="nil"/>
              <w:right w:val="nil"/>
            </w:tcBorders>
            <w:shd w:val="clear" w:color="auto" w:fill="auto"/>
            <w:noWrap/>
            <w:vAlign w:val="bottom"/>
            <w:hideMark/>
          </w:tcPr>
          <w:p w14:paraId="39DABE5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97,50%</w:t>
            </w:r>
          </w:p>
        </w:tc>
      </w:tr>
      <w:tr w:rsidR="00A360DB" w:rsidRPr="00A360DB" w14:paraId="2E5223B2" w14:textId="77777777" w:rsidTr="00A360DB">
        <w:trPr>
          <w:trHeight w:val="240"/>
        </w:trPr>
        <w:tc>
          <w:tcPr>
            <w:tcW w:w="1697" w:type="dxa"/>
            <w:tcBorders>
              <w:top w:val="nil"/>
              <w:left w:val="nil"/>
              <w:bottom w:val="nil"/>
              <w:right w:val="nil"/>
            </w:tcBorders>
            <w:shd w:val="clear" w:color="auto" w:fill="auto"/>
            <w:noWrap/>
            <w:vAlign w:val="bottom"/>
            <w:hideMark/>
          </w:tcPr>
          <w:p w14:paraId="70074A9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3721</w:t>
            </w:r>
          </w:p>
        </w:tc>
        <w:tc>
          <w:tcPr>
            <w:tcW w:w="8509" w:type="dxa"/>
            <w:tcBorders>
              <w:top w:val="nil"/>
              <w:left w:val="nil"/>
              <w:bottom w:val="nil"/>
              <w:right w:val="nil"/>
            </w:tcBorders>
            <w:shd w:val="clear" w:color="auto" w:fill="auto"/>
            <w:noWrap/>
            <w:vAlign w:val="bottom"/>
            <w:hideMark/>
          </w:tcPr>
          <w:p w14:paraId="62C6A34E"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Naknade građanima i kućanstvima u novcu                                                             </w:t>
            </w:r>
          </w:p>
        </w:tc>
        <w:tc>
          <w:tcPr>
            <w:tcW w:w="1480" w:type="dxa"/>
            <w:tcBorders>
              <w:top w:val="nil"/>
              <w:left w:val="nil"/>
              <w:bottom w:val="nil"/>
              <w:right w:val="nil"/>
            </w:tcBorders>
            <w:shd w:val="clear" w:color="auto" w:fill="auto"/>
            <w:noWrap/>
            <w:vAlign w:val="bottom"/>
            <w:hideMark/>
          </w:tcPr>
          <w:p w14:paraId="7973D6C0"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C0287C5"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1.950,00</w:t>
            </w:r>
          </w:p>
        </w:tc>
        <w:tc>
          <w:tcPr>
            <w:tcW w:w="1400" w:type="dxa"/>
            <w:tcBorders>
              <w:top w:val="nil"/>
              <w:left w:val="nil"/>
              <w:bottom w:val="nil"/>
              <w:right w:val="nil"/>
            </w:tcBorders>
            <w:shd w:val="clear" w:color="auto" w:fill="auto"/>
            <w:noWrap/>
            <w:vAlign w:val="bottom"/>
            <w:hideMark/>
          </w:tcPr>
          <w:p w14:paraId="381F92DE"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527F8291" w14:textId="77777777" w:rsidTr="00A360DB">
        <w:trPr>
          <w:trHeight w:val="240"/>
        </w:trPr>
        <w:tc>
          <w:tcPr>
            <w:tcW w:w="1697" w:type="dxa"/>
            <w:tcBorders>
              <w:top w:val="nil"/>
              <w:left w:val="nil"/>
              <w:bottom w:val="nil"/>
              <w:right w:val="nil"/>
            </w:tcBorders>
            <w:shd w:val="clear" w:color="000000" w:fill="B4C6E7"/>
            <w:noWrap/>
            <w:vAlign w:val="bottom"/>
            <w:hideMark/>
          </w:tcPr>
          <w:p w14:paraId="20301D5C"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A102010</w:t>
            </w:r>
          </w:p>
        </w:tc>
        <w:tc>
          <w:tcPr>
            <w:tcW w:w="8509" w:type="dxa"/>
            <w:tcBorders>
              <w:top w:val="nil"/>
              <w:left w:val="nil"/>
              <w:bottom w:val="nil"/>
              <w:right w:val="nil"/>
            </w:tcBorders>
            <w:shd w:val="clear" w:color="000000" w:fill="B4C6E7"/>
            <w:noWrap/>
            <w:vAlign w:val="bottom"/>
            <w:hideMark/>
          </w:tcPr>
          <w:p w14:paraId="70E32703"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Sufinanciranje troškova prijevoza učenika osnovnih škola</w:t>
            </w:r>
          </w:p>
        </w:tc>
        <w:tc>
          <w:tcPr>
            <w:tcW w:w="1480" w:type="dxa"/>
            <w:tcBorders>
              <w:top w:val="nil"/>
              <w:left w:val="nil"/>
              <w:bottom w:val="nil"/>
              <w:right w:val="nil"/>
            </w:tcBorders>
            <w:shd w:val="clear" w:color="000000" w:fill="B4C6E7"/>
            <w:noWrap/>
            <w:vAlign w:val="bottom"/>
            <w:hideMark/>
          </w:tcPr>
          <w:p w14:paraId="555CA11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300.000,00</w:t>
            </w:r>
          </w:p>
        </w:tc>
        <w:tc>
          <w:tcPr>
            <w:tcW w:w="1380" w:type="dxa"/>
            <w:tcBorders>
              <w:top w:val="nil"/>
              <w:left w:val="nil"/>
              <w:bottom w:val="nil"/>
              <w:right w:val="nil"/>
            </w:tcBorders>
            <w:shd w:val="clear" w:color="000000" w:fill="B4C6E7"/>
            <w:noWrap/>
            <w:vAlign w:val="bottom"/>
            <w:hideMark/>
          </w:tcPr>
          <w:p w14:paraId="5D9BD02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279.995,10</w:t>
            </w:r>
          </w:p>
        </w:tc>
        <w:tc>
          <w:tcPr>
            <w:tcW w:w="1400" w:type="dxa"/>
            <w:tcBorders>
              <w:top w:val="nil"/>
              <w:left w:val="nil"/>
              <w:bottom w:val="nil"/>
              <w:right w:val="nil"/>
            </w:tcBorders>
            <w:shd w:val="clear" w:color="000000" w:fill="B4C6E7"/>
            <w:noWrap/>
            <w:vAlign w:val="bottom"/>
            <w:hideMark/>
          </w:tcPr>
          <w:p w14:paraId="3D8C82B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93,33%</w:t>
            </w:r>
          </w:p>
        </w:tc>
      </w:tr>
      <w:tr w:rsidR="00A360DB" w:rsidRPr="00A360DB" w14:paraId="6712F541"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0C0D796"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011B3FFB"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117.280,00</w:t>
            </w:r>
          </w:p>
        </w:tc>
        <w:tc>
          <w:tcPr>
            <w:tcW w:w="1380" w:type="dxa"/>
            <w:tcBorders>
              <w:top w:val="nil"/>
              <w:left w:val="nil"/>
              <w:bottom w:val="nil"/>
              <w:right w:val="nil"/>
            </w:tcBorders>
            <w:shd w:val="clear" w:color="auto" w:fill="auto"/>
            <w:noWrap/>
            <w:vAlign w:val="bottom"/>
            <w:hideMark/>
          </w:tcPr>
          <w:p w14:paraId="0D72334A"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95.339,30</w:t>
            </w:r>
          </w:p>
        </w:tc>
        <w:tc>
          <w:tcPr>
            <w:tcW w:w="1400" w:type="dxa"/>
            <w:tcBorders>
              <w:top w:val="nil"/>
              <w:left w:val="nil"/>
              <w:bottom w:val="nil"/>
              <w:right w:val="nil"/>
            </w:tcBorders>
            <w:shd w:val="clear" w:color="auto" w:fill="auto"/>
            <w:noWrap/>
            <w:vAlign w:val="bottom"/>
            <w:hideMark/>
          </w:tcPr>
          <w:p w14:paraId="71265836"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81,29%</w:t>
            </w:r>
          </w:p>
        </w:tc>
      </w:tr>
      <w:tr w:rsidR="00A360DB" w:rsidRPr="00A360DB" w14:paraId="24B16F24"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5D57BAEB"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09AAB054"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117.280,00</w:t>
            </w:r>
          </w:p>
        </w:tc>
        <w:tc>
          <w:tcPr>
            <w:tcW w:w="1380" w:type="dxa"/>
            <w:tcBorders>
              <w:top w:val="nil"/>
              <w:left w:val="nil"/>
              <w:bottom w:val="nil"/>
              <w:right w:val="nil"/>
            </w:tcBorders>
            <w:shd w:val="clear" w:color="auto" w:fill="auto"/>
            <w:noWrap/>
            <w:vAlign w:val="bottom"/>
            <w:hideMark/>
          </w:tcPr>
          <w:p w14:paraId="743B29A7"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95.339,30</w:t>
            </w:r>
          </w:p>
        </w:tc>
        <w:tc>
          <w:tcPr>
            <w:tcW w:w="1400" w:type="dxa"/>
            <w:tcBorders>
              <w:top w:val="nil"/>
              <w:left w:val="nil"/>
              <w:bottom w:val="nil"/>
              <w:right w:val="nil"/>
            </w:tcBorders>
            <w:shd w:val="clear" w:color="auto" w:fill="auto"/>
            <w:noWrap/>
            <w:vAlign w:val="bottom"/>
            <w:hideMark/>
          </w:tcPr>
          <w:p w14:paraId="1CB9F324"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81,29%</w:t>
            </w:r>
          </w:p>
        </w:tc>
      </w:tr>
      <w:tr w:rsidR="00A360DB" w:rsidRPr="00A360DB" w14:paraId="2C6ADD3E" w14:textId="77777777" w:rsidTr="00A360DB">
        <w:trPr>
          <w:trHeight w:val="240"/>
        </w:trPr>
        <w:tc>
          <w:tcPr>
            <w:tcW w:w="1697" w:type="dxa"/>
            <w:tcBorders>
              <w:top w:val="nil"/>
              <w:left w:val="nil"/>
              <w:bottom w:val="nil"/>
              <w:right w:val="nil"/>
            </w:tcBorders>
            <w:shd w:val="clear" w:color="auto" w:fill="auto"/>
            <w:noWrap/>
            <w:vAlign w:val="bottom"/>
            <w:hideMark/>
          </w:tcPr>
          <w:p w14:paraId="4601815C"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37</w:t>
            </w:r>
          </w:p>
        </w:tc>
        <w:tc>
          <w:tcPr>
            <w:tcW w:w="8509" w:type="dxa"/>
            <w:tcBorders>
              <w:top w:val="nil"/>
              <w:left w:val="nil"/>
              <w:bottom w:val="nil"/>
              <w:right w:val="nil"/>
            </w:tcBorders>
            <w:shd w:val="clear" w:color="auto" w:fill="auto"/>
            <w:noWrap/>
            <w:vAlign w:val="bottom"/>
            <w:hideMark/>
          </w:tcPr>
          <w:p w14:paraId="42CC72A0"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Naknade građanima i kućanstvima na temelju osiguranja i druge naknade                               </w:t>
            </w:r>
          </w:p>
        </w:tc>
        <w:tc>
          <w:tcPr>
            <w:tcW w:w="1480" w:type="dxa"/>
            <w:tcBorders>
              <w:top w:val="nil"/>
              <w:left w:val="nil"/>
              <w:bottom w:val="nil"/>
              <w:right w:val="nil"/>
            </w:tcBorders>
            <w:shd w:val="clear" w:color="auto" w:fill="auto"/>
            <w:noWrap/>
            <w:vAlign w:val="bottom"/>
            <w:hideMark/>
          </w:tcPr>
          <w:p w14:paraId="3856338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117.280,00</w:t>
            </w:r>
          </w:p>
        </w:tc>
        <w:tc>
          <w:tcPr>
            <w:tcW w:w="1380" w:type="dxa"/>
            <w:tcBorders>
              <w:top w:val="nil"/>
              <w:left w:val="nil"/>
              <w:bottom w:val="nil"/>
              <w:right w:val="nil"/>
            </w:tcBorders>
            <w:shd w:val="clear" w:color="auto" w:fill="auto"/>
            <w:noWrap/>
            <w:vAlign w:val="bottom"/>
            <w:hideMark/>
          </w:tcPr>
          <w:p w14:paraId="5E04706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95.339,30</w:t>
            </w:r>
          </w:p>
        </w:tc>
        <w:tc>
          <w:tcPr>
            <w:tcW w:w="1400" w:type="dxa"/>
            <w:tcBorders>
              <w:top w:val="nil"/>
              <w:left w:val="nil"/>
              <w:bottom w:val="nil"/>
              <w:right w:val="nil"/>
            </w:tcBorders>
            <w:shd w:val="clear" w:color="auto" w:fill="auto"/>
            <w:noWrap/>
            <w:vAlign w:val="bottom"/>
            <w:hideMark/>
          </w:tcPr>
          <w:p w14:paraId="6B58100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81,29%</w:t>
            </w:r>
          </w:p>
        </w:tc>
      </w:tr>
      <w:tr w:rsidR="00A360DB" w:rsidRPr="00A360DB" w14:paraId="56F07B1B" w14:textId="77777777" w:rsidTr="00A360DB">
        <w:trPr>
          <w:trHeight w:val="240"/>
        </w:trPr>
        <w:tc>
          <w:tcPr>
            <w:tcW w:w="1697" w:type="dxa"/>
            <w:tcBorders>
              <w:top w:val="nil"/>
              <w:left w:val="nil"/>
              <w:bottom w:val="nil"/>
              <w:right w:val="nil"/>
            </w:tcBorders>
            <w:shd w:val="clear" w:color="auto" w:fill="auto"/>
            <w:noWrap/>
            <w:vAlign w:val="bottom"/>
            <w:hideMark/>
          </w:tcPr>
          <w:p w14:paraId="1AB6562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3722</w:t>
            </w:r>
          </w:p>
        </w:tc>
        <w:tc>
          <w:tcPr>
            <w:tcW w:w="8509" w:type="dxa"/>
            <w:tcBorders>
              <w:top w:val="nil"/>
              <w:left w:val="nil"/>
              <w:bottom w:val="nil"/>
              <w:right w:val="nil"/>
            </w:tcBorders>
            <w:shd w:val="clear" w:color="auto" w:fill="auto"/>
            <w:noWrap/>
            <w:vAlign w:val="bottom"/>
            <w:hideMark/>
          </w:tcPr>
          <w:p w14:paraId="6013428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Naknade građanima i kućanstvima u naravi                                                            </w:t>
            </w:r>
          </w:p>
        </w:tc>
        <w:tc>
          <w:tcPr>
            <w:tcW w:w="1480" w:type="dxa"/>
            <w:tcBorders>
              <w:top w:val="nil"/>
              <w:left w:val="nil"/>
              <w:bottom w:val="nil"/>
              <w:right w:val="nil"/>
            </w:tcBorders>
            <w:shd w:val="clear" w:color="auto" w:fill="auto"/>
            <w:noWrap/>
            <w:vAlign w:val="bottom"/>
            <w:hideMark/>
          </w:tcPr>
          <w:p w14:paraId="5DECD9C9"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26BE78F"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95.339,30</w:t>
            </w:r>
          </w:p>
        </w:tc>
        <w:tc>
          <w:tcPr>
            <w:tcW w:w="1400" w:type="dxa"/>
            <w:tcBorders>
              <w:top w:val="nil"/>
              <w:left w:val="nil"/>
              <w:bottom w:val="nil"/>
              <w:right w:val="nil"/>
            </w:tcBorders>
            <w:shd w:val="clear" w:color="auto" w:fill="auto"/>
            <w:noWrap/>
            <w:vAlign w:val="bottom"/>
            <w:hideMark/>
          </w:tcPr>
          <w:p w14:paraId="609F363C"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D4FA513"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2AF9672"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5. Pomoći</w:t>
            </w:r>
          </w:p>
        </w:tc>
        <w:tc>
          <w:tcPr>
            <w:tcW w:w="1480" w:type="dxa"/>
            <w:tcBorders>
              <w:top w:val="nil"/>
              <w:left w:val="nil"/>
              <w:bottom w:val="nil"/>
              <w:right w:val="nil"/>
            </w:tcBorders>
            <w:shd w:val="clear" w:color="auto" w:fill="auto"/>
            <w:noWrap/>
            <w:vAlign w:val="bottom"/>
            <w:hideMark/>
          </w:tcPr>
          <w:p w14:paraId="052B72E0"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182.720,00</w:t>
            </w:r>
          </w:p>
        </w:tc>
        <w:tc>
          <w:tcPr>
            <w:tcW w:w="1380" w:type="dxa"/>
            <w:tcBorders>
              <w:top w:val="nil"/>
              <w:left w:val="nil"/>
              <w:bottom w:val="nil"/>
              <w:right w:val="nil"/>
            </w:tcBorders>
            <w:shd w:val="clear" w:color="auto" w:fill="auto"/>
            <w:noWrap/>
            <w:vAlign w:val="bottom"/>
            <w:hideMark/>
          </w:tcPr>
          <w:p w14:paraId="6EE2BE95"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184.655,80</w:t>
            </w:r>
          </w:p>
        </w:tc>
        <w:tc>
          <w:tcPr>
            <w:tcW w:w="1400" w:type="dxa"/>
            <w:tcBorders>
              <w:top w:val="nil"/>
              <w:left w:val="nil"/>
              <w:bottom w:val="nil"/>
              <w:right w:val="nil"/>
            </w:tcBorders>
            <w:shd w:val="clear" w:color="auto" w:fill="auto"/>
            <w:noWrap/>
            <w:vAlign w:val="bottom"/>
            <w:hideMark/>
          </w:tcPr>
          <w:p w14:paraId="0BB657B6"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101,06%</w:t>
            </w:r>
          </w:p>
        </w:tc>
      </w:tr>
      <w:tr w:rsidR="00A360DB" w:rsidRPr="00A360DB" w14:paraId="56F2458B"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237CC071"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5.2. Državni proračun</w:t>
            </w:r>
          </w:p>
        </w:tc>
        <w:tc>
          <w:tcPr>
            <w:tcW w:w="1480" w:type="dxa"/>
            <w:tcBorders>
              <w:top w:val="nil"/>
              <w:left w:val="nil"/>
              <w:bottom w:val="nil"/>
              <w:right w:val="nil"/>
            </w:tcBorders>
            <w:shd w:val="clear" w:color="auto" w:fill="auto"/>
            <w:noWrap/>
            <w:vAlign w:val="bottom"/>
            <w:hideMark/>
          </w:tcPr>
          <w:p w14:paraId="03EF7051"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182.720,00</w:t>
            </w:r>
          </w:p>
        </w:tc>
        <w:tc>
          <w:tcPr>
            <w:tcW w:w="1380" w:type="dxa"/>
            <w:tcBorders>
              <w:top w:val="nil"/>
              <w:left w:val="nil"/>
              <w:bottom w:val="nil"/>
              <w:right w:val="nil"/>
            </w:tcBorders>
            <w:shd w:val="clear" w:color="auto" w:fill="auto"/>
            <w:noWrap/>
            <w:vAlign w:val="bottom"/>
            <w:hideMark/>
          </w:tcPr>
          <w:p w14:paraId="13B48EEC"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184.655,80</w:t>
            </w:r>
          </w:p>
        </w:tc>
        <w:tc>
          <w:tcPr>
            <w:tcW w:w="1400" w:type="dxa"/>
            <w:tcBorders>
              <w:top w:val="nil"/>
              <w:left w:val="nil"/>
              <w:bottom w:val="nil"/>
              <w:right w:val="nil"/>
            </w:tcBorders>
            <w:shd w:val="clear" w:color="auto" w:fill="auto"/>
            <w:noWrap/>
            <w:vAlign w:val="bottom"/>
            <w:hideMark/>
          </w:tcPr>
          <w:p w14:paraId="10DBAFC1"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101,06%</w:t>
            </w:r>
          </w:p>
        </w:tc>
      </w:tr>
      <w:tr w:rsidR="00A360DB" w:rsidRPr="00A360DB" w14:paraId="32899012" w14:textId="77777777" w:rsidTr="00A360DB">
        <w:trPr>
          <w:trHeight w:val="240"/>
        </w:trPr>
        <w:tc>
          <w:tcPr>
            <w:tcW w:w="1697" w:type="dxa"/>
            <w:tcBorders>
              <w:top w:val="nil"/>
              <w:left w:val="nil"/>
              <w:bottom w:val="nil"/>
              <w:right w:val="nil"/>
            </w:tcBorders>
            <w:shd w:val="clear" w:color="auto" w:fill="auto"/>
            <w:noWrap/>
            <w:vAlign w:val="bottom"/>
            <w:hideMark/>
          </w:tcPr>
          <w:p w14:paraId="2762DBCF"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37</w:t>
            </w:r>
          </w:p>
        </w:tc>
        <w:tc>
          <w:tcPr>
            <w:tcW w:w="8509" w:type="dxa"/>
            <w:tcBorders>
              <w:top w:val="nil"/>
              <w:left w:val="nil"/>
              <w:bottom w:val="nil"/>
              <w:right w:val="nil"/>
            </w:tcBorders>
            <w:shd w:val="clear" w:color="auto" w:fill="auto"/>
            <w:noWrap/>
            <w:vAlign w:val="bottom"/>
            <w:hideMark/>
          </w:tcPr>
          <w:p w14:paraId="169766C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Naknade građanima i kućanstvima na temelju osiguranja i druge naknade                               </w:t>
            </w:r>
          </w:p>
        </w:tc>
        <w:tc>
          <w:tcPr>
            <w:tcW w:w="1480" w:type="dxa"/>
            <w:tcBorders>
              <w:top w:val="nil"/>
              <w:left w:val="nil"/>
              <w:bottom w:val="nil"/>
              <w:right w:val="nil"/>
            </w:tcBorders>
            <w:shd w:val="clear" w:color="auto" w:fill="auto"/>
            <w:noWrap/>
            <w:vAlign w:val="bottom"/>
            <w:hideMark/>
          </w:tcPr>
          <w:p w14:paraId="494E73D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182.720,00</w:t>
            </w:r>
          </w:p>
        </w:tc>
        <w:tc>
          <w:tcPr>
            <w:tcW w:w="1380" w:type="dxa"/>
            <w:tcBorders>
              <w:top w:val="nil"/>
              <w:left w:val="nil"/>
              <w:bottom w:val="nil"/>
              <w:right w:val="nil"/>
            </w:tcBorders>
            <w:shd w:val="clear" w:color="auto" w:fill="auto"/>
            <w:noWrap/>
            <w:vAlign w:val="bottom"/>
            <w:hideMark/>
          </w:tcPr>
          <w:p w14:paraId="61BF355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184.655,80</w:t>
            </w:r>
          </w:p>
        </w:tc>
        <w:tc>
          <w:tcPr>
            <w:tcW w:w="1400" w:type="dxa"/>
            <w:tcBorders>
              <w:top w:val="nil"/>
              <w:left w:val="nil"/>
              <w:bottom w:val="nil"/>
              <w:right w:val="nil"/>
            </w:tcBorders>
            <w:shd w:val="clear" w:color="auto" w:fill="auto"/>
            <w:noWrap/>
            <w:vAlign w:val="bottom"/>
            <w:hideMark/>
          </w:tcPr>
          <w:p w14:paraId="7F6DCE2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101,06%</w:t>
            </w:r>
          </w:p>
        </w:tc>
      </w:tr>
      <w:tr w:rsidR="00A360DB" w:rsidRPr="00A360DB" w14:paraId="107AB729" w14:textId="77777777" w:rsidTr="00A360DB">
        <w:trPr>
          <w:trHeight w:val="240"/>
        </w:trPr>
        <w:tc>
          <w:tcPr>
            <w:tcW w:w="1697" w:type="dxa"/>
            <w:tcBorders>
              <w:top w:val="nil"/>
              <w:left w:val="nil"/>
              <w:bottom w:val="nil"/>
              <w:right w:val="nil"/>
            </w:tcBorders>
            <w:shd w:val="clear" w:color="auto" w:fill="auto"/>
            <w:noWrap/>
            <w:vAlign w:val="bottom"/>
            <w:hideMark/>
          </w:tcPr>
          <w:p w14:paraId="6268D27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3722</w:t>
            </w:r>
          </w:p>
        </w:tc>
        <w:tc>
          <w:tcPr>
            <w:tcW w:w="8509" w:type="dxa"/>
            <w:tcBorders>
              <w:top w:val="nil"/>
              <w:left w:val="nil"/>
              <w:bottom w:val="nil"/>
              <w:right w:val="nil"/>
            </w:tcBorders>
            <w:shd w:val="clear" w:color="auto" w:fill="auto"/>
            <w:noWrap/>
            <w:vAlign w:val="bottom"/>
            <w:hideMark/>
          </w:tcPr>
          <w:p w14:paraId="6A5FD7F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Naknade građanima i kućanstvima u naravi                                                            </w:t>
            </w:r>
          </w:p>
        </w:tc>
        <w:tc>
          <w:tcPr>
            <w:tcW w:w="1480" w:type="dxa"/>
            <w:tcBorders>
              <w:top w:val="nil"/>
              <w:left w:val="nil"/>
              <w:bottom w:val="nil"/>
              <w:right w:val="nil"/>
            </w:tcBorders>
            <w:shd w:val="clear" w:color="auto" w:fill="auto"/>
            <w:noWrap/>
            <w:vAlign w:val="bottom"/>
            <w:hideMark/>
          </w:tcPr>
          <w:p w14:paraId="79ED9877"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2AFEF6BB"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184.655,80</w:t>
            </w:r>
          </w:p>
        </w:tc>
        <w:tc>
          <w:tcPr>
            <w:tcW w:w="1400" w:type="dxa"/>
            <w:tcBorders>
              <w:top w:val="nil"/>
              <w:left w:val="nil"/>
              <w:bottom w:val="nil"/>
              <w:right w:val="nil"/>
            </w:tcBorders>
            <w:shd w:val="clear" w:color="auto" w:fill="auto"/>
            <w:noWrap/>
            <w:vAlign w:val="bottom"/>
            <w:hideMark/>
          </w:tcPr>
          <w:p w14:paraId="124C342F"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26AE27D" w14:textId="77777777" w:rsidTr="00A360DB">
        <w:trPr>
          <w:trHeight w:val="240"/>
        </w:trPr>
        <w:tc>
          <w:tcPr>
            <w:tcW w:w="1697" w:type="dxa"/>
            <w:tcBorders>
              <w:top w:val="nil"/>
              <w:left w:val="nil"/>
              <w:bottom w:val="nil"/>
              <w:right w:val="nil"/>
            </w:tcBorders>
            <w:shd w:val="clear" w:color="000000" w:fill="B4C6E7"/>
            <w:noWrap/>
            <w:vAlign w:val="bottom"/>
            <w:hideMark/>
          </w:tcPr>
          <w:p w14:paraId="4ED14954"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K102007</w:t>
            </w:r>
          </w:p>
        </w:tc>
        <w:tc>
          <w:tcPr>
            <w:tcW w:w="8509" w:type="dxa"/>
            <w:tcBorders>
              <w:top w:val="nil"/>
              <w:left w:val="nil"/>
              <w:bottom w:val="nil"/>
              <w:right w:val="nil"/>
            </w:tcBorders>
            <w:shd w:val="clear" w:color="000000" w:fill="B4C6E7"/>
            <w:noWrap/>
            <w:vAlign w:val="bottom"/>
            <w:hideMark/>
          </w:tcPr>
          <w:p w14:paraId="4DF70683"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Kapitalni projekt: Uređenje prostora Osnovne škole Garešnica</w:t>
            </w:r>
          </w:p>
        </w:tc>
        <w:tc>
          <w:tcPr>
            <w:tcW w:w="1480" w:type="dxa"/>
            <w:tcBorders>
              <w:top w:val="nil"/>
              <w:left w:val="nil"/>
              <w:bottom w:val="nil"/>
              <w:right w:val="nil"/>
            </w:tcBorders>
            <w:shd w:val="clear" w:color="000000" w:fill="B4C6E7"/>
            <w:noWrap/>
            <w:vAlign w:val="bottom"/>
            <w:hideMark/>
          </w:tcPr>
          <w:p w14:paraId="18C1B81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53.300,00</w:t>
            </w:r>
          </w:p>
        </w:tc>
        <w:tc>
          <w:tcPr>
            <w:tcW w:w="1380" w:type="dxa"/>
            <w:tcBorders>
              <w:top w:val="nil"/>
              <w:left w:val="nil"/>
              <w:bottom w:val="nil"/>
              <w:right w:val="nil"/>
            </w:tcBorders>
            <w:shd w:val="clear" w:color="000000" w:fill="B4C6E7"/>
            <w:noWrap/>
            <w:vAlign w:val="bottom"/>
            <w:hideMark/>
          </w:tcPr>
          <w:p w14:paraId="5AC1194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51.923,56</w:t>
            </w:r>
          </w:p>
        </w:tc>
        <w:tc>
          <w:tcPr>
            <w:tcW w:w="1400" w:type="dxa"/>
            <w:tcBorders>
              <w:top w:val="nil"/>
              <w:left w:val="nil"/>
              <w:bottom w:val="nil"/>
              <w:right w:val="nil"/>
            </w:tcBorders>
            <w:shd w:val="clear" w:color="000000" w:fill="B4C6E7"/>
            <w:noWrap/>
            <w:vAlign w:val="bottom"/>
            <w:hideMark/>
          </w:tcPr>
          <w:p w14:paraId="3CF3DCD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97,42%</w:t>
            </w:r>
          </w:p>
        </w:tc>
      </w:tr>
      <w:tr w:rsidR="00A360DB" w:rsidRPr="00A360DB" w14:paraId="4A75632E"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97FC7D4"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5. Pomoći</w:t>
            </w:r>
          </w:p>
        </w:tc>
        <w:tc>
          <w:tcPr>
            <w:tcW w:w="1480" w:type="dxa"/>
            <w:tcBorders>
              <w:top w:val="nil"/>
              <w:left w:val="nil"/>
              <w:bottom w:val="nil"/>
              <w:right w:val="nil"/>
            </w:tcBorders>
            <w:shd w:val="clear" w:color="auto" w:fill="auto"/>
            <w:noWrap/>
            <w:vAlign w:val="bottom"/>
            <w:hideMark/>
          </w:tcPr>
          <w:p w14:paraId="0621D195"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41.000,00</w:t>
            </w:r>
          </w:p>
        </w:tc>
        <w:tc>
          <w:tcPr>
            <w:tcW w:w="1380" w:type="dxa"/>
            <w:tcBorders>
              <w:top w:val="nil"/>
              <w:left w:val="nil"/>
              <w:bottom w:val="nil"/>
              <w:right w:val="nil"/>
            </w:tcBorders>
            <w:shd w:val="clear" w:color="auto" w:fill="auto"/>
            <w:noWrap/>
            <w:vAlign w:val="bottom"/>
            <w:hideMark/>
          </w:tcPr>
          <w:p w14:paraId="5A71F221"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40.230,37</w:t>
            </w:r>
          </w:p>
        </w:tc>
        <w:tc>
          <w:tcPr>
            <w:tcW w:w="1400" w:type="dxa"/>
            <w:tcBorders>
              <w:top w:val="nil"/>
              <w:left w:val="nil"/>
              <w:bottom w:val="nil"/>
              <w:right w:val="nil"/>
            </w:tcBorders>
            <w:shd w:val="clear" w:color="auto" w:fill="auto"/>
            <w:noWrap/>
            <w:vAlign w:val="bottom"/>
            <w:hideMark/>
          </w:tcPr>
          <w:p w14:paraId="6062D43F"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98,12%</w:t>
            </w:r>
          </w:p>
        </w:tc>
      </w:tr>
      <w:tr w:rsidR="00A360DB" w:rsidRPr="00A360DB" w14:paraId="633FC8A8"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146AC3F0"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5.2. Državni proračun</w:t>
            </w:r>
          </w:p>
        </w:tc>
        <w:tc>
          <w:tcPr>
            <w:tcW w:w="1480" w:type="dxa"/>
            <w:tcBorders>
              <w:top w:val="nil"/>
              <w:left w:val="nil"/>
              <w:bottom w:val="nil"/>
              <w:right w:val="nil"/>
            </w:tcBorders>
            <w:shd w:val="clear" w:color="auto" w:fill="auto"/>
            <w:noWrap/>
            <w:vAlign w:val="bottom"/>
            <w:hideMark/>
          </w:tcPr>
          <w:p w14:paraId="5EEB9B10"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41.000,00</w:t>
            </w:r>
          </w:p>
        </w:tc>
        <w:tc>
          <w:tcPr>
            <w:tcW w:w="1380" w:type="dxa"/>
            <w:tcBorders>
              <w:top w:val="nil"/>
              <w:left w:val="nil"/>
              <w:bottom w:val="nil"/>
              <w:right w:val="nil"/>
            </w:tcBorders>
            <w:shd w:val="clear" w:color="auto" w:fill="auto"/>
            <w:noWrap/>
            <w:vAlign w:val="bottom"/>
            <w:hideMark/>
          </w:tcPr>
          <w:p w14:paraId="0FA89C97"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40.230,37</w:t>
            </w:r>
          </w:p>
        </w:tc>
        <w:tc>
          <w:tcPr>
            <w:tcW w:w="1400" w:type="dxa"/>
            <w:tcBorders>
              <w:top w:val="nil"/>
              <w:left w:val="nil"/>
              <w:bottom w:val="nil"/>
              <w:right w:val="nil"/>
            </w:tcBorders>
            <w:shd w:val="clear" w:color="auto" w:fill="auto"/>
            <w:noWrap/>
            <w:vAlign w:val="bottom"/>
            <w:hideMark/>
          </w:tcPr>
          <w:p w14:paraId="528C1649"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98,12%</w:t>
            </w:r>
          </w:p>
        </w:tc>
      </w:tr>
      <w:tr w:rsidR="00A360DB" w:rsidRPr="00A360DB" w14:paraId="03F759DA" w14:textId="77777777" w:rsidTr="00A360DB">
        <w:trPr>
          <w:trHeight w:val="240"/>
        </w:trPr>
        <w:tc>
          <w:tcPr>
            <w:tcW w:w="1697" w:type="dxa"/>
            <w:tcBorders>
              <w:top w:val="nil"/>
              <w:left w:val="nil"/>
              <w:bottom w:val="nil"/>
              <w:right w:val="nil"/>
            </w:tcBorders>
            <w:shd w:val="clear" w:color="auto" w:fill="auto"/>
            <w:noWrap/>
            <w:vAlign w:val="bottom"/>
            <w:hideMark/>
          </w:tcPr>
          <w:p w14:paraId="2101C294"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41</w:t>
            </w:r>
          </w:p>
        </w:tc>
        <w:tc>
          <w:tcPr>
            <w:tcW w:w="8509" w:type="dxa"/>
            <w:tcBorders>
              <w:top w:val="nil"/>
              <w:left w:val="nil"/>
              <w:bottom w:val="nil"/>
              <w:right w:val="nil"/>
            </w:tcBorders>
            <w:shd w:val="clear" w:color="auto" w:fill="auto"/>
            <w:noWrap/>
            <w:vAlign w:val="bottom"/>
            <w:hideMark/>
          </w:tcPr>
          <w:p w14:paraId="5B9270AB"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nabavu </w:t>
            </w:r>
            <w:proofErr w:type="spellStart"/>
            <w:r w:rsidRPr="00A360DB">
              <w:rPr>
                <w:rFonts w:ascii="Arial" w:hAnsi="Arial" w:cs="Arial"/>
                <w:b/>
                <w:bCs/>
                <w:sz w:val="18"/>
                <w:szCs w:val="18"/>
                <w:lang w:eastAsia="hr-HR"/>
              </w:rPr>
              <w:t>neproizvedene</w:t>
            </w:r>
            <w:proofErr w:type="spellEnd"/>
            <w:r w:rsidRPr="00A360DB">
              <w:rPr>
                <w:rFonts w:ascii="Arial" w:hAnsi="Arial" w:cs="Arial"/>
                <w:b/>
                <w:bCs/>
                <w:sz w:val="18"/>
                <w:szCs w:val="18"/>
                <w:lang w:eastAsia="hr-HR"/>
              </w:rPr>
              <w:t xml:space="preserve"> dugotrajne imovine                                                  </w:t>
            </w:r>
          </w:p>
        </w:tc>
        <w:tc>
          <w:tcPr>
            <w:tcW w:w="1480" w:type="dxa"/>
            <w:tcBorders>
              <w:top w:val="nil"/>
              <w:left w:val="nil"/>
              <w:bottom w:val="nil"/>
              <w:right w:val="nil"/>
            </w:tcBorders>
            <w:shd w:val="clear" w:color="auto" w:fill="auto"/>
            <w:noWrap/>
            <w:vAlign w:val="bottom"/>
            <w:hideMark/>
          </w:tcPr>
          <w:p w14:paraId="1BF9463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41.000,00</w:t>
            </w:r>
          </w:p>
        </w:tc>
        <w:tc>
          <w:tcPr>
            <w:tcW w:w="1380" w:type="dxa"/>
            <w:tcBorders>
              <w:top w:val="nil"/>
              <w:left w:val="nil"/>
              <w:bottom w:val="nil"/>
              <w:right w:val="nil"/>
            </w:tcBorders>
            <w:shd w:val="clear" w:color="auto" w:fill="auto"/>
            <w:noWrap/>
            <w:vAlign w:val="bottom"/>
            <w:hideMark/>
          </w:tcPr>
          <w:p w14:paraId="4507434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40.230,37</w:t>
            </w:r>
          </w:p>
        </w:tc>
        <w:tc>
          <w:tcPr>
            <w:tcW w:w="1400" w:type="dxa"/>
            <w:tcBorders>
              <w:top w:val="nil"/>
              <w:left w:val="nil"/>
              <w:bottom w:val="nil"/>
              <w:right w:val="nil"/>
            </w:tcBorders>
            <w:shd w:val="clear" w:color="auto" w:fill="auto"/>
            <w:noWrap/>
            <w:vAlign w:val="bottom"/>
            <w:hideMark/>
          </w:tcPr>
          <w:p w14:paraId="42AD0DC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98,12%</w:t>
            </w:r>
          </w:p>
        </w:tc>
      </w:tr>
      <w:tr w:rsidR="00A360DB" w:rsidRPr="00A360DB" w14:paraId="2276E0F8" w14:textId="77777777" w:rsidTr="00A360DB">
        <w:trPr>
          <w:trHeight w:val="240"/>
        </w:trPr>
        <w:tc>
          <w:tcPr>
            <w:tcW w:w="1697" w:type="dxa"/>
            <w:tcBorders>
              <w:top w:val="nil"/>
              <w:left w:val="nil"/>
              <w:bottom w:val="nil"/>
              <w:right w:val="nil"/>
            </w:tcBorders>
            <w:shd w:val="clear" w:color="auto" w:fill="auto"/>
            <w:noWrap/>
            <w:vAlign w:val="bottom"/>
            <w:hideMark/>
          </w:tcPr>
          <w:p w14:paraId="433EB4A5"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4124</w:t>
            </w:r>
          </w:p>
        </w:tc>
        <w:tc>
          <w:tcPr>
            <w:tcW w:w="8509" w:type="dxa"/>
            <w:tcBorders>
              <w:top w:val="nil"/>
              <w:left w:val="nil"/>
              <w:bottom w:val="nil"/>
              <w:right w:val="nil"/>
            </w:tcBorders>
            <w:shd w:val="clear" w:color="auto" w:fill="auto"/>
            <w:noWrap/>
            <w:vAlign w:val="bottom"/>
            <w:hideMark/>
          </w:tcPr>
          <w:p w14:paraId="57A4FD7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Ostala prava                                                                                        </w:t>
            </w:r>
          </w:p>
        </w:tc>
        <w:tc>
          <w:tcPr>
            <w:tcW w:w="1480" w:type="dxa"/>
            <w:tcBorders>
              <w:top w:val="nil"/>
              <w:left w:val="nil"/>
              <w:bottom w:val="nil"/>
              <w:right w:val="nil"/>
            </w:tcBorders>
            <w:shd w:val="clear" w:color="auto" w:fill="auto"/>
            <w:noWrap/>
            <w:vAlign w:val="bottom"/>
            <w:hideMark/>
          </w:tcPr>
          <w:p w14:paraId="6F9CFB7F"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4693098"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40.230,37</w:t>
            </w:r>
          </w:p>
        </w:tc>
        <w:tc>
          <w:tcPr>
            <w:tcW w:w="1400" w:type="dxa"/>
            <w:tcBorders>
              <w:top w:val="nil"/>
              <w:left w:val="nil"/>
              <w:bottom w:val="nil"/>
              <w:right w:val="nil"/>
            </w:tcBorders>
            <w:shd w:val="clear" w:color="auto" w:fill="auto"/>
            <w:noWrap/>
            <w:vAlign w:val="bottom"/>
            <w:hideMark/>
          </w:tcPr>
          <w:p w14:paraId="027A21FF"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DA1F6C6"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5A15FD0"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9. Višak iz prethodnih razdoblja</w:t>
            </w:r>
          </w:p>
        </w:tc>
        <w:tc>
          <w:tcPr>
            <w:tcW w:w="1480" w:type="dxa"/>
            <w:tcBorders>
              <w:top w:val="nil"/>
              <w:left w:val="nil"/>
              <w:bottom w:val="nil"/>
              <w:right w:val="nil"/>
            </w:tcBorders>
            <w:shd w:val="clear" w:color="auto" w:fill="auto"/>
            <w:noWrap/>
            <w:vAlign w:val="bottom"/>
            <w:hideMark/>
          </w:tcPr>
          <w:p w14:paraId="5AE5979C"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12.300,00</w:t>
            </w:r>
          </w:p>
        </w:tc>
        <w:tc>
          <w:tcPr>
            <w:tcW w:w="1380" w:type="dxa"/>
            <w:tcBorders>
              <w:top w:val="nil"/>
              <w:left w:val="nil"/>
              <w:bottom w:val="nil"/>
              <w:right w:val="nil"/>
            </w:tcBorders>
            <w:shd w:val="clear" w:color="auto" w:fill="auto"/>
            <w:noWrap/>
            <w:vAlign w:val="bottom"/>
            <w:hideMark/>
          </w:tcPr>
          <w:p w14:paraId="34F62ED6"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11.693,19</w:t>
            </w:r>
          </w:p>
        </w:tc>
        <w:tc>
          <w:tcPr>
            <w:tcW w:w="1400" w:type="dxa"/>
            <w:tcBorders>
              <w:top w:val="nil"/>
              <w:left w:val="nil"/>
              <w:bottom w:val="nil"/>
              <w:right w:val="nil"/>
            </w:tcBorders>
            <w:shd w:val="clear" w:color="auto" w:fill="auto"/>
            <w:noWrap/>
            <w:vAlign w:val="bottom"/>
            <w:hideMark/>
          </w:tcPr>
          <w:p w14:paraId="636FA88C"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95,07%</w:t>
            </w:r>
          </w:p>
        </w:tc>
      </w:tr>
      <w:tr w:rsidR="00A360DB" w:rsidRPr="00A360DB" w14:paraId="79F5AE28"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5984E3B1"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9.2. Višak iz prethodnih godina - Grad</w:t>
            </w:r>
          </w:p>
        </w:tc>
        <w:tc>
          <w:tcPr>
            <w:tcW w:w="1480" w:type="dxa"/>
            <w:tcBorders>
              <w:top w:val="nil"/>
              <w:left w:val="nil"/>
              <w:bottom w:val="nil"/>
              <w:right w:val="nil"/>
            </w:tcBorders>
            <w:shd w:val="clear" w:color="auto" w:fill="auto"/>
            <w:noWrap/>
            <w:vAlign w:val="bottom"/>
            <w:hideMark/>
          </w:tcPr>
          <w:p w14:paraId="5A1FEE5E"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12.300,00</w:t>
            </w:r>
          </w:p>
        </w:tc>
        <w:tc>
          <w:tcPr>
            <w:tcW w:w="1380" w:type="dxa"/>
            <w:tcBorders>
              <w:top w:val="nil"/>
              <w:left w:val="nil"/>
              <w:bottom w:val="nil"/>
              <w:right w:val="nil"/>
            </w:tcBorders>
            <w:shd w:val="clear" w:color="auto" w:fill="auto"/>
            <w:noWrap/>
            <w:vAlign w:val="bottom"/>
            <w:hideMark/>
          </w:tcPr>
          <w:p w14:paraId="160869A9"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11.693,19</w:t>
            </w:r>
          </w:p>
        </w:tc>
        <w:tc>
          <w:tcPr>
            <w:tcW w:w="1400" w:type="dxa"/>
            <w:tcBorders>
              <w:top w:val="nil"/>
              <w:left w:val="nil"/>
              <w:bottom w:val="nil"/>
              <w:right w:val="nil"/>
            </w:tcBorders>
            <w:shd w:val="clear" w:color="auto" w:fill="auto"/>
            <w:noWrap/>
            <w:vAlign w:val="bottom"/>
            <w:hideMark/>
          </w:tcPr>
          <w:p w14:paraId="5BCA463E"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95,07%</w:t>
            </w:r>
          </w:p>
        </w:tc>
      </w:tr>
      <w:tr w:rsidR="00A360DB" w:rsidRPr="00A360DB" w14:paraId="27BE3401" w14:textId="77777777" w:rsidTr="00A360DB">
        <w:trPr>
          <w:trHeight w:val="240"/>
        </w:trPr>
        <w:tc>
          <w:tcPr>
            <w:tcW w:w="1697" w:type="dxa"/>
            <w:tcBorders>
              <w:top w:val="nil"/>
              <w:left w:val="nil"/>
              <w:bottom w:val="nil"/>
              <w:right w:val="nil"/>
            </w:tcBorders>
            <w:shd w:val="clear" w:color="auto" w:fill="auto"/>
            <w:noWrap/>
            <w:vAlign w:val="bottom"/>
            <w:hideMark/>
          </w:tcPr>
          <w:p w14:paraId="61273B7A"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41</w:t>
            </w:r>
          </w:p>
        </w:tc>
        <w:tc>
          <w:tcPr>
            <w:tcW w:w="8509" w:type="dxa"/>
            <w:tcBorders>
              <w:top w:val="nil"/>
              <w:left w:val="nil"/>
              <w:bottom w:val="nil"/>
              <w:right w:val="nil"/>
            </w:tcBorders>
            <w:shd w:val="clear" w:color="auto" w:fill="auto"/>
            <w:noWrap/>
            <w:vAlign w:val="bottom"/>
            <w:hideMark/>
          </w:tcPr>
          <w:p w14:paraId="39219668"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nabavu </w:t>
            </w:r>
            <w:proofErr w:type="spellStart"/>
            <w:r w:rsidRPr="00A360DB">
              <w:rPr>
                <w:rFonts w:ascii="Arial" w:hAnsi="Arial" w:cs="Arial"/>
                <w:b/>
                <w:bCs/>
                <w:sz w:val="18"/>
                <w:szCs w:val="18"/>
                <w:lang w:eastAsia="hr-HR"/>
              </w:rPr>
              <w:t>neproizvedene</w:t>
            </w:r>
            <w:proofErr w:type="spellEnd"/>
            <w:r w:rsidRPr="00A360DB">
              <w:rPr>
                <w:rFonts w:ascii="Arial" w:hAnsi="Arial" w:cs="Arial"/>
                <w:b/>
                <w:bCs/>
                <w:sz w:val="18"/>
                <w:szCs w:val="18"/>
                <w:lang w:eastAsia="hr-HR"/>
              </w:rPr>
              <w:t xml:space="preserve"> dugotrajne imovine                                                  </w:t>
            </w:r>
          </w:p>
        </w:tc>
        <w:tc>
          <w:tcPr>
            <w:tcW w:w="1480" w:type="dxa"/>
            <w:tcBorders>
              <w:top w:val="nil"/>
              <w:left w:val="nil"/>
              <w:bottom w:val="nil"/>
              <w:right w:val="nil"/>
            </w:tcBorders>
            <w:shd w:val="clear" w:color="auto" w:fill="auto"/>
            <w:noWrap/>
            <w:vAlign w:val="bottom"/>
            <w:hideMark/>
          </w:tcPr>
          <w:p w14:paraId="5893DA8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12.300,00</w:t>
            </w:r>
          </w:p>
        </w:tc>
        <w:tc>
          <w:tcPr>
            <w:tcW w:w="1380" w:type="dxa"/>
            <w:tcBorders>
              <w:top w:val="nil"/>
              <w:left w:val="nil"/>
              <w:bottom w:val="nil"/>
              <w:right w:val="nil"/>
            </w:tcBorders>
            <w:shd w:val="clear" w:color="auto" w:fill="auto"/>
            <w:noWrap/>
            <w:vAlign w:val="bottom"/>
            <w:hideMark/>
          </w:tcPr>
          <w:p w14:paraId="3B32BF6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11.693,19</w:t>
            </w:r>
          </w:p>
        </w:tc>
        <w:tc>
          <w:tcPr>
            <w:tcW w:w="1400" w:type="dxa"/>
            <w:tcBorders>
              <w:top w:val="nil"/>
              <w:left w:val="nil"/>
              <w:bottom w:val="nil"/>
              <w:right w:val="nil"/>
            </w:tcBorders>
            <w:shd w:val="clear" w:color="auto" w:fill="auto"/>
            <w:noWrap/>
            <w:vAlign w:val="bottom"/>
            <w:hideMark/>
          </w:tcPr>
          <w:p w14:paraId="24E6079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95,07%</w:t>
            </w:r>
          </w:p>
        </w:tc>
      </w:tr>
      <w:tr w:rsidR="00A360DB" w:rsidRPr="00A360DB" w14:paraId="5F941615" w14:textId="77777777" w:rsidTr="00A360DB">
        <w:trPr>
          <w:trHeight w:val="240"/>
        </w:trPr>
        <w:tc>
          <w:tcPr>
            <w:tcW w:w="1697" w:type="dxa"/>
            <w:tcBorders>
              <w:top w:val="nil"/>
              <w:left w:val="nil"/>
              <w:bottom w:val="nil"/>
              <w:right w:val="nil"/>
            </w:tcBorders>
            <w:shd w:val="clear" w:color="auto" w:fill="auto"/>
            <w:noWrap/>
            <w:vAlign w:val="bottom"/>
            <w:hideMark/>
          </w:tcPr>
          <w:p w14:paraId="46DDBF6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4124</w:t>
            </w:r>
          </w:p>
        </w:tc>
        <w:tc>
          <w:tcPr>
            <w:tcW w:w="8509" w:type="dxa"/>
            <w:tcBorders>
              <w:top w:val="nil"/>
              <w:left w:val="nil"/>
              <w:bottom w:val="nil"/>
              <w:right w:val="nil"/>
            </w:tcBorders>
            <w:shd w:val="clear" w:color="auto" w:fill="auto"/>
            <w:noWrap/>
            <w:vAlign w:val="bottom"/>
            <w:hideMark/>
          </w:tcPr>
          <w:p w14:paraId="4405101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Ostala prava                                                                                        </w:t>
            </w:r>
          </w:p>
        </w:tc>
        <w:tc>
          <w:tcPr>
            <w:tcW w:w="1480" w:type="dxa"/>
            <w:tcBorders>
              <w:top w:val="nil"/>
              <w:left w:val="nil"/>
              <w:bottom w:val="nil"/>
              <w:right w:val="nil"/>
            </w:tcBorders>
            <w:shd w:val="clear" w:color="auto" w:fill="auto"/>
            <w:noWrap/>
            <w:vAlign w:val="bottom"/>
            <w:hideMark/>
          </w:tcPr>
          <w:p w14:paraId="11460564"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6497D0F"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11.693,19</w:t>
            </w:r>
          </w:p>
        </w:tc>
        <w:tc>
          <w:tcPr>
            <w:tcW w:w="1400" w:type="dxa"/>
            <w:tcBorders>
              <w:top w:val="nil"/>
              <w:left w:val="nil"/>
              <w:bottom w:val="nil"/>
              <w:right w:val="nil"/>
            </w:tcBorders>
            <w:shd w:val="clear" w:color="auto" w:fill="auto"/>
            <w:noWrap/>
            <w:vAlign w:val="bottom"/>
            <w:hideMark/>
          </w:tcPr>
          <w:p w14:paraId="0C4F76FA"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E6BB417" w14:textId="77777777" w:rsidTr="00A360DB">
        <w:trPr>
          <w:trHeight w:val="240"/>
        </w:trPr>
        <w:tc>
          <w:tcPr>
            <w:tcW w:w="1697" w:type="dxa"/>
            <w:tcBorders>
              <w:top w:val="nil"/>
              <w:left w:val="nil"/>
              <w:bottom w:val="nil"/>
              <w:right w:val="nil"/>
            </w:tcBorders>
            <w:shd w:val="clear" w:color="000000" w:fill="B4C6E7"/>
            <w:noWrap/>
            <w:vAlign w:val="bottom"/>
            <w:hideMark/>
          </w:tcPr>
          <w:p w14:paraId="4F20057C"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lastRenderedPageBreak/>
              <w:t>T102011</w:t>
            </w:r>
          </w:p>
        </w:tc>
        <w:tc>
          <w:tcPr>
            <w:tcW w:w="8509" w:type="dxa"/>
            <w:tcBorders>
              <w:top w:val="nil"/>
              <w:left w:val="nil"/>
              <w:bottom w:val="nil"/>
              <w:right w:val="nil"/>
            </w:tcBorders>
            <w:shd w:val="clear" w:color="000000" w:fill="B4C6E7"/>
            <w:noWrap/>
            <w:vAlign w:val="bottom"/>
            <w:hideMark/>
          </w:tcPr>
          <w:p w14:paraId="1A7F486E"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Tekući projekt: Provedba edukativnih i kulturnih aktivnosti za djecu</w:t>
            </w:r>
          </w:p>
        </w:tc>
        <w:tc>
          <w:tcPr>
            <w:tcW w:w="1480" w:type="dxa"/>
            <w:tcBorders>
              <w:top w:val="nil"/>
              <w:left w:val="nil"/>
              <w:bottom w:val="nil"/>
              <w:right w:val="nil"/>
            </w:tcBorders>
            <w:shd w:val="clear" w:color="000000" w:fill="B4C6E7"/>
            <w:noWrap/>
            <w:vAlign w:val="bottom"/>
            <w:hideMark/>
          </w:tcPr>
          <w:p w14:paraId="200A6A6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1.660,00</w:t>
            </w:r>
          </w:p>
        </w:tc>
        <w:tc>
          <w:tcPr>
            <w:tcW w:w="1380" w:type="dxa"/>
            <w:tcBorders>
              <w:top w:val="nil"/>
              <w:left w:val="nil"/>
              <w:bottom w:val="nil"/>
              <w:right w:val="nil"/>
            </w:tcBorders>
            <w:shd w:val="clear" w:color="000000" w:fill="B4C6E7"/>
            <w:noWrap/>
            <w:vAlign w:val="bottom"/>
            <w:hideMark/>
          </w:tcPr>
          <w:p w14:paraId="4AA074A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2.990,00</w:t>
            </w:r>
          </w:p>
        </w:tc>
        <w:tc>
          <w:tcPr>
            <w:tcW w:w="1400" w:type="dxa"/>
            <w:tcBorders>
              <w:top w:val="nil"/>
              <w:left w:val="nil"/>
              <w:bottom w:val="nil"/>
              <w:right w:val="nil"/>
            </w:tcBorders>
            <w:shd w:val="clear" w:color="000000" w:fill="B4C6E7"/>
            <w:noWrap/>
            <w:vAlign w:val="bottom"/>
            <w:hideMark/>
          </w:tcPr>
          <w:p w14:paraId="08A78A2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180,12%</w:t>
            </w:r>
          </w:p>
        </w:tc>
      </w:tr>
      <w:tr w:rsidR="00A360DB" w:rsidRPr="00A360DB" w14:paraId="58115CB6"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24E8997E"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5. Pomoći</w:t>
            </w:r>
          </w:p>
        </w:tc>
        <w:tc>
          <w:tcPr>
            <w:tcW w:w="1480" w:type="dxa"/>
            <w:tcBorders>
              <w:top w:val="nil"/>
              <w:left w:val="nil"/>
              <w:bottom w:val="nil"/>
              <w:right w:val="nil"/>
            </w:tcBorders>
            <w:shd w:val="clear" w:color="auto" w:fill="auto"/>
            <w:noWrap/>
            <w:vAlign w:val="bottom"/>
            <w:hideMark/>
          </w:tcPr>
          <w:p w14:paraId="0A554706"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1.660,00</w:t>
            </w:r>
          </w:p>
        </w:tc>
        <w:tc>
          <w:tcPr>
            <w:tcW w:w="1380" w:type="dxa"/>
            <w:tcBorders>
              <w:top w:val="nil"/>
              <w:left w:val="nil"/>
              <w:bottom w:val="nil"/>
              <w:right w:val="nil"/>
            </w:tcBorders>
            <w:shd w:val="clear" w:color="auto" w:fill="auto"/>
            <w:noWrap/>
            <w:vAlign w:val="bottom"/>
            <w:hideMark/>
          </w:tcPr>
          <w:p w14:paraId="0492794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2.990,00</w:t>
            </w:r>
          </w:p>
        </w:tc>
        <w:tc>
          <w:tcPr>
            <w:tcW w:w="1400" w:type="dxa"/>
            <w:tcBorders>
              <w:top w:val="nil"/>
              <w:left w:val="nil"/>
              <w:bottom w:val="nil"/>
              <w:right w:val="nil"/>
            </w:tcBorders>
            <w:shd w:val="clear" w:color="auto" w:fill="auto"/>
            <w:noWrap/>
            <w:vAlign w:val="bottom"/>
            <w:hideMark/>
          </w:tcPr>
          <w:p w14:paraId="0242CF2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180,12%</w:t>
            </w:r>
          </w:p>
        </w:tc>
      </w:tr>
      <w:tr w:rsidR="00A360DB" w:rsidRPr="00A360DB" w14:paraId="395D375E"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2D1E9AA5"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5.2. Državni proračun</w:t>
            </w:r>
          </w:p>
        </w:tc>
        <w:tc>
          <w:tcPr>
            <w:tcW w:w="1480" w:type="dxa"/>
            <w:tcBorders>
              <w:top w:val="nil"/>
              <w:left w:val="nil"/>
              <w:bottom w:val="nil"/>
              <w:right w:val="nil"/>
            </w:tcBorders>
            <w:shd w:val="clear" w:color="auto" w:fill="auto"/>
            <w:noWrap/>
            <w:vAlign w:val="bottom"/>
            <w:hideMark/>
          </w:tcPr>
          <w:p w14:paraId="0A1F8556"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1.660,00</w:t>
            </w:r>
          </w:p>
        </w:tc>
        <w:tc>
          <w:tcPr>
            <w:tcW w:w="1380" w:type="dxa"/>
            <w:tcBorders>
              <w:top w:val="nil"/>
              <w:left w:val="nil"/>
              <w:bottom w:val="nil"/>
              <w:right w:val="nil"/>
            </w:tcBorders>
            <w:shd w:val="clear" w:color="auto" w:fill="auto"/>
            <w:noWrap/>
            <w:vAlign w:val="bottom"/>
            <w:hideMark/>
          </w:tcPr>
          <w:p w14:paraId="764ADC1A"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2.990,00</w:t>
            </w:r>
          </w:p>
        </w:tc>
        <w:tc>
          <w:tcPr>
            <w:tcW w:w="1400" w:type="dxa"/>
            <w:tcBorders>
              <w:top w:val="nil"/>
              <w:left w:val="nil"/>
              <w:bottom w:val="nil"/>
              <w:right w:val="nil"/>
            </w:tcBorders>
            <w:shd w:val="clear" w:color="auto" w:fill="auto"/>
            <w:noWrap/>
            <w:vAlign w:val="bottom"/>
            <w:hideMark/>
          </w:tcPr>
          <w:p w14:paraId="30EAC390"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180,12%</w:t>
            </w:r>
          </w:p>
        </w:tc>
      </w:tr>
      <w:tr w:rsidR="00A360DB" w:rsidRPr="00A360DB" w14:paraId="18775CA3" w14:textId="77777777" w:rsidTr="00A360DB">
        <w:trPr>
          <w:trHeight w:val="240"/>
        </w:trPr>
        <w:tc>
          <w:tcPr>
            <w:tcW w:w="1697" w:type="dxa"/>
            <w:tcBorders>
              <w:top w:val="nil"/>
              <w:left w:val="nil"/>
              <w:bottom w:val="nil"/>
              <w:right w:val="nil"/>
            </w:tcBorders>
            <w:shd w:val="clear" w:color="auto" w:fill="auto"/>
            <w:noWrap/>
            <w:vAlign w:val="bottom"/>
            <w:hideMark/>
          </w:tcPr>
          <w:p w14:paraId="4821D2A3"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549A879D"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4751680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1.660,00</w:t>
            </w:r>
          </w:p>
        </w:tc>
        <w:tc>
          <w:tcPr>
            <w:tcW w:w="1380" w:type="dxa"/>
            <w:tcBorders>
              <w:top w:val="nil"/>
              <w:left w:val="nil"/>
              <w:bottom w:val="nil"/>
              <w:right w:val="nil"/>
            </w:tcBorders>
            <w:shd w:val="clear" w:color="auto" w:fill="auto"/>
            <w:noWrap/>
            <w:vAlign w:val="bottom"/>
            <w:hideMark/>
          </w:tcPr>
          <w:p w14:paraId="1911A8A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2.990,00</w:t>
            </w:r>
          </w:p>
        </w:tc>
        <w:tc>
          <w:tcPr>
            <w:tcW w:w="1400" w:type="dxa"/>
            <w:tcBorders>
              <w:top w:val="nil"/>
              <w:left w:val="nil"/>
              <w:bottom w:val="nil"/>
              <w:right w:val="nil"/>
            </w:tcBorders>
            <w:shd w:val="clear" w:color="auto" w:fill="auto"/>
            <w:noWrap/>
            <w:vAlign w:val="bottom"/>
            <w:hideMark/>
          </w:tcPr>
          <w:p w14:paraId="557F875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180,12%</w:t>
            </w:r>
          </w:p>
        </w:tc>
      </w:tr>
      <w:tr w:rsidR="00A360DB" w:rsidRPr="00A360DB" w14:paraId="7B501895" w14:textId="77777777" w:rsidTr="00A360DB">
        <w:trPr>
          <w:trHeight w:val="240"/>
        </w:trPr>
        <w:tc>
          <w:tcPr>
            <w:tcW w:w="1697" w:type="dxa"/>
            <w:tcBorders>
              <w:top w:val="nil"/>
              <w:left w:val="nil"/>
              <w:bottom w:val="nil"/>
              <w:right w:val="nil"/>
            </w:tcBorders>
            <w:shd w:val="clear" w:color="auto" w:fill="auto"/>
            <w:noWrap/>
            <w:vAlign w:val="bottom"/>
            <w:hideMark/>
          </w:tcPr>
          <w:p w14:paraId="362998C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3237</w:t>
            </w:r>
          </w:p>
        </w:tc>
        <w:tc>
          <w:tcPr>
            <w:tcW w:w="8509" w:type="dxa"/>
            <w:tcBorders>
              <w:top w:val="nil"/>
              <w:left w:val="nil"/>
              <w:bottom w:val="nil"/>
              <w:right w:val="nil"/>
            </w:tcBorders>
            <w:shd w:val="clear" w:color="auto" w:fill="auto"/>
            <w:noWrap/>
            <w:vAlign w:val="bottom"/>
            <w:hideMark/>
          </w:tcPr>
          <w:p w14:paraId="74D5FF2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Intelektualne i osobne usluge                                                                       </w:t>
            </w:r>
          </w:p>
        </w:tc>
        <w:tc>
          <w:tcPr>
            <w:tcW w:w="1480" w:type="dxa"/>
            <w:tcBorders>
              <w:top w:val="nil"/>
              <w:left w:val="nil"/>
              <w:bottom w:val="nil"/>
              <w:right w:val="nil"/>
            </w:tcBorders>
            <w:shd w:val="clear" w:color="auto" w:fill="auto"/>
            <w:noWrap/>
            <w:vAlign w:val="bottom"/>
            <w:hideMark/>
          </w:tcPr>
          <w:p w14:paraId="50AA493E"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2FC8B3DB"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2.990,00</w:t>
            </w:r>
          </w:p>
        </w:tc>
        <w:tc>
          <w:tcPr>
            <w:tcW w:w="1400" w:type="dxa"/>
            <w:tcBorders>
              <w:top w:val="nil"/>
              <w:left w:val="nil"/>
              <w:bottom w:val="nil"/>
              <w:right w:val="nil"/>
            </w:tcBorders>
            <w:shd w:val="clear" w:color="auto" w:fill="auto"/>
            <w:noWrap/>
            <w:vAlign w:val="bottom"/>
            <w:hideMark/>
          </w:tcPr>
          <w:p w14:paraId="41A8945A"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1466B9C" w14:textId="77777777" w:rsidTr="00A360DB">
        <w:trPr>
          <w:trHeight w:val="240"/>
        </w:trPr>
        <w:tc>
          <w:tcPr>
            <w:tcW w:w="1697" w:type="dxa"/>
            <w:tcBorders>
              <w:top w:val="nil"/>
              <w:left w:val="nil"/>
              <w:bottom w:val="nil"/>
              <w:right w:val="nil"/>
            </w:tcBorders>
            <w:shd w:val="clear" w:color="000000" w:fill="1D4BB3"/>
            <w:noWrap/>
            <w:vAlign w:val="bottom"/>
            <w:hideMark/>
          </w:tcPr>
          <w:p w14:paraId="4ACC0ECE" w14:textId="77777777" w:rsidR="00A360DB" w:rsidRPr="00A360DB" w:rsidRDefault="00A360DB" w:rsidP="00A360DB">
            <w:pPr>
              <w:spacing w:after="0" w:line="240" w:lineRule="auto"/>
              <w:rPr>
                <w:rFonts w:ascii="Arial" w:hAnsi="Arial" w:cs="Arial"/>
                <w:b/>
                <w:bCs/>
                <w:color w:val="FFFFFF"/>
                <w:sz w:val="18"/>
                <w:szCs w:val="18"/>
                <w:lang w:eastAsia="hr-HR"/>
              </w:rPr>
            </w:pPr>
            <w:r w:rsidRPr="00A360DB">
              <w:rPr>
                <w:rFonts w:ascii="Arial" w:hAnsi="Arial" w:cs="Arial"/>
                <w:b/>
                <w:bCs/>
                <w:color w:val="FFFFFF"/>
                <w:sz w:val="18"/>
                <w:szCs w:val="18"/>
                <w:lang w:eastAsia="hr-HR"/>
              </w:rPr>
              <w:t>1022</w:t>
            </w:r>
          </w:p>
        </w:tc>
        <w:tc>
          <w:tcPr>
            <w:tcW w:w="8509" w:type="dxa"/>
            <w:tcBorders>
              <w:top w:val="nil"/>
              <w:left w:val="nil"/>
              <w:bottom w:val="nil"/>
              <w:right w:val="nil"/>
            </w:tcBorders>
            <w:shd w:val="clear" w:color="000000" w:fill="1D4BB3"/>
            <w:noWrap/>
            <w:vAlign w:val="bottom"/>
            <w:hideMark/>
          </w:tcPr>
          <w:p w14:paraId="1160C649" w14:textId="77777777" w:rsidR="00A360DB" w:rsidRPr="00A360DB" w:rsidRDefault="00A360DB" w:rsidP="00A360DB">
            <w:pPr>
              <w:spacing w:after="0" w:line="240" w:lineRule="auto"/>
              <w:rPr>
                <w:rFonts w:ascii="Arial" w:hAnsi="Arial" w:cs="Arial"/>
                <w:b/>
                <w:bCs/>
                <w:color w:val="FFFFFF"/>
                <w:sz w:val="18"/>
                <w:szCs w:val="18"/>
                <w:lang w:eastAsia="hr-HR"/>
              </w:rPr>
            </w:pPr>
            <w:r w:rsidRPr="00A360DB">
              <w:rPr>
                <w:rFonts w:ascii="Arial" w:hAnsi="Arial" w:cs="Arial"/>
                <w:b/>
                <w:bCs/>
                <w:color w:val="FFFFFF"/>
                <w:sz w:val="18"/>
                <w:szCs w:val="18"/>
                <w:lang w:eastAsia="hr-HR"/>
              </w:rPr>
              <w:t>Program: Poticanje zapošljavanja</w:t>
            </w:r>
          </w:p>
        </w:tc>
        <w:tc>
          <w:tcPr>
            <w:tcW w:w="1480" w:type="dxa"/>
            <w:tcBorders>
              <w:top w:val="nil"/>
              <w:left w:val="nil"/>
              <w:bottom w:val="nil"/>
              <w:right w:val="nil"/>
            </w:tcBorders>
            <w:shd w:val="clear" w:color="000000" w:fill="1D4BB3"/>
            <w:noWrap/>
            <w:vAlign w:val="bottom"/>
            <w:hideMark/>
          </w:tcPr>
          <w:p w14:paraId="48A3A301"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363.170,00</w:t>
            </w:r>
          </w:p>
        </w:tc>
        <w:tc>
          <w:tcPr>
            <w:tcW w:w="1380" w:type="dxa"/>
            <w:tcBorders>
              <w:top w:val="nil"/>
              <w:left w:val="nil"/>
              <w:bottom w:val="nil"/>
              <w:right w:val="nil"/>
            </w:tcBorders>
            <w:shd w:val="clear" w:color="000000" w:fill="1D4BB3"/>
            <w:noWrap/>
            <w:vAlign w:val="bottom"/>
            <w:hideMark/>
          </w:tcPr>
          <w:p w14:paraId="48B137F4"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335.454,84</w:t>
            </w:r>
          </w:p>
        </w:tc>
        <w:tc>
          <w:tcPr>
            <w:tcW w:w="1400" w:type="dxa"/>
            <w:tcBorders>
              <w:top w:val="nil"/>
              <w:left w:val="nil"/>
              <w:bottom w:val="nil"/>
              <w:right w:val="nil"/>
            </w:tcBorders>
            <w:shd w:val="clear" w:color="000000" w:fill="1D4BB3"/>
            <w:noWrap/>
            <w:vAlign w:val="bottom"/>
            <w:hideMark/>
          </w:tcPr>
          <w:p w14:paraId="51BC5645"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92,37%</w:t>
            </w:r>
          </w:p>
        </w:tc>
      </w:tr>
      <w:tr w:rsidR="00A360DB" w:rsidRPr="00A360DB" w14:paraId="1CC7561C" w14:textId="77777777" w:rsidTr="00A360DB">
        <w:trPr>
          <w:trHeight w:val="240"/>
        </w:trPr>
        <w:tc>
          <w:tcPr>
            <w:tcW w:w="1697" w:type="dxa"/>
            <w:tcBorders>
              <w:top w:val="nil"/>
              <w:left w:val="nil"/>
              <w:bottom w:val="nil"/>
              <w:right w:val="nil"/>
            </w:tcBorders>
            <w:shd w:val="clear" w:color="000000" w:fill="B4C6E7"/>
            <w:noWrap/>
            <w:vAlign w:val="bottom"/>
            <w:hideMark/>
          </w:tcPr>
          <w:p w14:paraId="459B11A5"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A102201</w:t>
            </w:r>
          </w:p>
        </w:tc>
        <w:tc>
          <w:tcPr>
            <w:tcW w:w="8509" w:type="dxa"/>
            <w:tcBorders>
              <w:top w:val="nil"/>
              <w:left w:val="nil"/>
              <w:bottom w:val="nil"/>
              <w:right w:val="nil"/>
            </w:tcBorders>
            <w:shd w:val="clear" w:color="000000" w:fill="B4C6E7"/>
            <w:noWrap/>
            <w:vAlign w:val="bottom"/>
            <w:hideMark/>
          </w:tcPr>
          <w:p w14:paraId="6900B5D7"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Redovna djelatnost zaposlenih u javnim radovima</w:t>
            </w:r>
          </w:p>
        </w:tc>
        <w:tc>
          <w:tcPr>
            <w:tcW w:w="1480" w:type="dxa"/>
            <w:tcBorders>
              <w:top w:val="nil"/>
              <w:left w:val="nil"/>
              <w:bottom w:val="nil"/>
              <w:right w:val="nil"/>
            </w:tcBorders>
            <w:shd w:val="clear" w:color="000000" w:fill="B4C6E7"/>
            <w:noWrap/>
            <w:vAlign w:val="bottom"/>
            <w:hideMark/>
          </w:tcPr>
          <w:p w14:paraId="5B4CDD3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6.170,00</w:t>
            </w:r>
          </w:p>
        </w:tc>
        <w:tc>
          <w:tcPr>
            <w:tcW w:w="1380" w:type="dxa"/>
            <w:tcBorders>
              <w:top w:val="nil"/>
              <w:left w:val="nil"/>
              <w:bottom w:val="nil"/>
              <w:right w:val="nil"/>
            </w:tcBorders>
            <w:shd w:val="clear" w:color="000000" w:fill="B4C6E7"/>
            <w:noWrap/>
            <w:vAlign w:val="bottom"/>
            <w:hideMark/>
          </w:tcPr>
          <w:p w14:paraId="2ECF2DD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6.160,11</w:t>
            </w:r>
          </w:p>
        </w:tc>
        <w:tc>
          <w:tcPr>
            <w:tcW w:w="1400" w:type="dxa"/>
            <w:tcBorders>
              <w:top w:val="nil"/>
              <w:left w:val="nil"/>
              <w:bottom w:val="nil"/>
              <w:right w:val="nil"/>
            </w:tcBorders>
            <w:shd w:val="clear" w:color="000000" w:fill="B4C6E7"/>
            <w:noWrap/>
            <w:vAlign w:val="bottom"/>
            <w:hideMark/>
          </w:tcPr>
          <w:p w14:paraId="5D1F81E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99,84%</w:t>
            </w:r>
          </w:p>
        </w:tc>
      </w:tr>
      <w:tr w:rsidR="00A360DB" w:rsidRPr="00A360DB" w14:paraId="593098EC"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263F25D3"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5. Pomoći</w:t>
            </w:r>
          </w:p>
        </w:tc>
        <w:tc>
          <w:tcPr>
            <w:tcW w:w="1480" w:type="dxa"/>
            <w:tcBorders>
              <w:top w:val="nil"/>
              <w:left w:val="nil"/>
              <w:bottom w:val="nil"/>
              <w:right w:val="nil"/>
            </w:tcBorders>
            <w:shd w:val="clear" w:color="auto" w:fill="auto"/>
            <w:noWrap/>
            <w:vAlign w:val="bottom"/>
            <w:hideMark/>
          </w:tcPr>
          <w:p w14:paraId="5F9AC539"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6.170,00</w:t>
            </w:r>
          </w:p>
        </w:tc>
        <w:tc>
          <w:tcPr>
            <w:tcW w:w="1380" w:type="dxa"/>
            <w:tcBorders>
              <w:top w:val="nil"/>
              <w:left w:val="nil"/>
              <w:bottom w:val="nil"/>
              <w:right w:val="nil"/>
            </w:tcBorders>
            <w:shd w:val="clear" w:color="auto" w:fill="auto"/>
            <w:noWrap/>
            <w:vAlign w:val="bottom"/>
            <w:hideMark/>
          </w:tcPr>
          <w:p w14:paraId="4F8D170A"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6.160,11</w:t>
            </w:r>
          </w:p>
        </w:tc>
        <w:tc>
          <w:tcPr>
            <w:tcW w:w="1400" w:type="dxa"/>
            <w:tcBorders>
              <w:top w:val="nil"/>
              <w:left w:val="nil"/>
              <w:bottom w:val="nil"/>
              <w:right w:val="nil"/>
            </w:tcBorders>
            <w:shd w:val="clear" w:color="auto" w:fill="auto"/>
            <w:noWrap/>
            <w:vAlign w:val="bottom"/>
            <w:hideMark/>
          </w:tcPr>
          <w:p w14:paraId="72B9B3B8"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99,84%</w:t>
            </w:r>
          </w:p>
        </w:tc>
      </w:tr>
      <w:tr w:rsidR="00A360DB" w:rsidRPr="00A360DB" w14:paraId="22A85664"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386771F9"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5.3. Izvanproračunski korisnici</w:t>
            </w:r>
          </w:p>
        </w:tc>
        <w:tc>
          <w:tcPr>
            <w:tcW w:w="1480" w:type="dxa"/>
            <w:tcBorders>
              <w:top w:val="nil"/>
              <w:left w:val="nil"/>
              <w:bottom w:val="nil"/>
              <w:right w:val="nil"/>
            </w:tcBorders>
            <w:shd w:val="clear" w:color="auto" w:fill="auto"/>
            <w:noWrap/>
            <w:vAlign w:val="bottom"/>
            <w:hideMark/>
          </w:tcPr>
          <w:p w14:paraId="738C27EF"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6.170,00</w:t>
            </w:r>
          </w:p>
        </w:tc>
        <w:tc>
          <w:tcPr>
            <w:tcW w:w="1380" w:type="dxa"/>
            <w:tcBorders>
              <w:top w:val="nil"/>
              <w:left w:val="nil"/>
              <w:bottom w:val="nil"/>
              <w:right w:val="nil"/>
            </w:tcBorders>
            <w:shd w:val="clear" w:color="auto" w:fill="auto"/>
            <w:noWrap/>
            <w:vAlign w:val="bottom"/>
            <w:hideMark/>
          </w:tcPr>
          <w:p w14:paraId="62E4EACB"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6.160,11</w:t>
            </w:r>
          </w:p>
        </w:tc>
        <w:tc>
          <w:tcPr>
            <w:tcW w:w="1400" w:type="dxa"/>
            <w:tcBorders>
              <w:top w:val="nil"/>
              <w:left w:val="nil"/>
              <w:bottom w:val="nil"/>
              <w:right w:val="nil"/>
            </w:tcBorders>
            <w:shd w:val="clear" w:color="auto" w:fill="auto"/>
            <w:noWrap/>
            <w:vAlign w:val="bottom"/>
            <w:hideMark/>
          </w:tcPr>
          <w:p w14:paraId="0310480A"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99,84%</w:t>
            </w:r>
          </w:p>
        </w:tc>
      </w:tr>
      <w:tr w:rsidR="00A360DB" w:rsidRPr="00A360DB" w14:paraId="269DAA88" w14:textId="77777777" w:rsidTr="00A360DB">
        <w:trPr>
          <w:trHeight w:val="240"/>
        </w:trPr>
        <w:tc>
          <w:tcPr>
            <w:tcW w:w="1697" w:type="dxa"/>
            <w:tcBorders>
              <w:top w:val="nil"/>
              <w:left w:val="nil"/>
              <w:bottom w:val="nil"/>
              <w:right w:val="nil"/>
            </w:tcBorders>
            <w:shd w:val="clear" w:color="auto" w:fill="auto"/>
            <w:noWrap/>
            <w:vAlign w:val="bottom"/>
            <w:hideMark/>
          </w:tcPr>
          <w:p w14:paraId="2F06FAFF"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31</w:t>
            </w:r>
          </w:p>
        </w:tc>
        <w:tc>
          <w:tcPr>
            <w:tcW w:w="8509" w:type="dxa"/>
            <w:tcBorders>
              <w:top w:val="nil"/>
              <w:left w:val="nil"/>
              <w:bottom w:val="nil"/>
              <w:right w:val="nil"/>
            </w:tcBorders>
            <w:shd w:val="clear" w:color="auto" w:fill="auto"/>
            <w:noWrap/>
            <w:vAlign w:val="bottom"/>
            <w:hideMark/>
          </w:tcPr>
          <w:p w14:paraId="39D7C9C0"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zaposlene                                                                                </w:t>
            </w:r>
          </w:p>
        </w:tc>
        <w:tc>
          <w:tcPr>
            <w:tcW w:w="1480" w:type="dxa"/>
            <w:tcBorders>
              <w:top w:val="nil"/>
              <w:left w:val="nil"/>
              <w:bottom w:val="nil"/>
              <w:right w:val="nil"/>
            </w:tcBorders>
            <w:shd w:val="clear" w:color="auto" w:fill="auto"/>
            <w:noWrap/>
            <w:vAlign w:val="bottom"/>
            <w:hideMark/>
          </w:tcPr>
          <w:p w14:paraId="26639EA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5.920,00</w:t>
            </w:r>
          </w:p>
        </w:tc>
        <w:tc>
          <w:tcPr>
            <w:tcW w:w="1380" w:type="dxa"/>
            <w:tcBorders>
              <w:top w:val="nil"/>
              <w:left w:val="nil"/>
              <w:bottom w:val="nil"/>
              <w:right w:val="nil"/>
            </w:tcBorders>
            <w:shd w:val="clear" w:color="auto" w:fill="auto"/>
            <w:noWrap/>
            <w:vAlign w:val="bottom"/>
            <w:hideMark/>
          </w:tcPr>
          <w:p w14:paraId="56CAF0B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5.918,20</w:t>
            </w:r>
          </w:p>
        </w:tc>
        <w:tc>
          <w:tcPr>
            <w:tcW w:w="1400" w:type="dxa"/>
            <w:tcBorders>
              <w:top w:val="nil"/>
              <w:left w:val="nil"/>
              <w:bottom w:val="nil"/>
              <w:right w:val="nil"/>
            </w:tcBorders>
            <w:shd w:val="clear" w:color="auto" w:fill="auto"/>
            <w:noWrap/>
            <w:vAlign w:val="bottom"/>
            <w:hideMark/>
          </w:tcPr>
          <w:p w14:paraId="4282951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99,97%</w:t>
            </w:r>
          </w:p>
        </w:tc>
      </w:tr>
      <w:tr w:rsidR="00A360DB" w:rsidRPr="00A360DB" w14:paraId="04F514A2" w14:textId="77777777" w:rsidTr="00A360DB">
        <w:trPr>
          <w:trHeight w:val="240"/>
        </w:trPr>
        <w:tc>
          <w:tcPr>
            <w:tcW w:w="1697" w:type="dxa"/>
            <w:tcBorders>
              <w:top w:val="nil"/>
              <w:left w:val="nil"/>
              <w:bottom w:val="nil"/>
              <w:right w:val="nil"/>
            </w:tcBorders>
            <w:shd w:val="clear" w:color="auto" w:fill="auto"/>
            <w:noWrap/>
            <w:vAlign w:val="bottom"/>
            <w:hideMark/>
          </w:tcPr>
          <w:p w14:paraId="09A3F8D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3111</w:t>
            </w:r>
          </w:p>
        </w:tc>
        <w:tc>
          <w:tcPr>
            <w:tcW w:w="8509" w:type="dxa"/>
            <w:tcBorders>
              <w:top w:val="nil"/>
              <w:left w:val="nil"/>
              <w:bottom w:val="nil"/>
              <w:right w:val="nil"/>
            </w:tcBorders>
            <w:shd w:val="clear" w:color="auto" w:fill="auto"/>
            <w:noWrap/>
            <w:vAlign w:val="bottom"/>
            <w:hideMark/>
          </w:tcPr>
          <w:p w14:paraId="728D933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Plaće za redovan rad                                                                                </w:t>
            </w:r>
          </w:p>
        </w:tc>
        <w:tc>
          <w:tcPr>
            <w:tcW w:w="1480" w:type="dxa"/>
            <w:tcBorders>
              <w:top w:val="nil"/>
              <w:left w:val="nil"/>
              <w:bottom w:val="nil"/>
              <w:right w:val="nil"/>
            </w:tcBorders>
            <w:shd w:val="clear" w:color="auto" w:fill="auto"/>
            <w:noWrap/>
            <w:vAlign w:val="bottom"/>
            <w:hideMark/>
          </w:tcPr>
          <w:p w14:paraId="3C547ECA"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1090EA05"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5.080,00</w:t>
            </w:r>
          </w:p>
        </w:tc>
        <w:tc>
          <w:tcPr>
            <w:tcW w:w="1400" w:type="dxa"/>
            <w:tcBorders>
              <w:top w:val="nil"/>
              <w:left w:val="nil"/>
              <w:bottom w:val="nil"/>
              <w:right w:val="nil"/>
            </w:tcBorders>
            <w:shd w:val="clear" w:color="auto" w:fill="auto"/>
            <w:noWrap/>
            <w:vAlign w:val="bottom"/>
            <w:hideMark/>
          </w:tcPr>
          <w:p w14:paraId="226E851B"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9A05834" w14:textId="77777777" w:rsidTr="00A360DB">
        <w:trPr>
          <w:trHeight w:val="240"/>
        </w:trPr>
        <w:tc>
          <w:tcPr>
            <w:tcW w:w="1697" w:type="dxa"/>
            <w:tcBorders>
              <w:top w:val="nil"/>
              <w:left w:val="nil"/>
              <w:bottom w:val="nil"/>
              <w:right w:val="nil"/>
            </w:tcBorders>
            <w:shd w:val="clear" w:color="auto" w:fill="auto"/>
            <w:noWrap/>
            <w:vAlign w:val="bottom"/>
            <w:hideMark/>
          </w:tcPr>
          <w:p w14:paraId="49254AB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3132</w:t>
            </w:r>
          </w:p>
        </w:tc>
        <w:tc>
          <w:tcPr>
            <w:tcW w:w="8509" w:type="dxa"/>
            <w:tcBorders>
              <w:top w:val="nil"/>
              <w:left w:val="nil"/>
              <w:bottom w:val="nil"/>
              <w:right w:val="nil"/>
            </w:tcBorders>
            <w:shd w:val="clear" w:color="auto" w:fill="auto"/>
            <w:noWrap/>
            <w:vAlign w:val="bottom"/>
            <w:hideMark/>
          </w:tcPr>
          <w:p w14:paraId="36AF38D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Doprinosi za obvezno zdravstveno osiguranje                                                         </w:t>
            </w:r>
          </w:p>
        </w:tc>
        <w:tc>
          <w:tcPr>
            <w:tcW w:w="1480" w:type="dxa"/>
            <w:tcBorders>
              <w:top w:val="nil"/>
              <w:left w:val="nil"/>
              <w:bottom w:val="nil"/>
              <w:right w:val="nil"/>
            </w:tcBorders>
            <w:shd w:val="clear" w:color="auto" w:fill="auto"/>
            <w:noWrap/>
            <w:vAlign w:val="bottom"/>
            <w:hideMark/>
          </w:tcPr>
          <w:p w14:paraId="7B24C0C8"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C04C4B2"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838,20</w:t>
            </w:r>
          </w:p>
        </w:tc>
        <w:tc>
          <w:tcPr>
            <w:tcW w:w="1400" w:type="dxa"/>
            <w:tcBorders>
              <w:top w:val="nil"/>
              <w:left w:val="nil"/>
              <w:bottom w:val="nil"/>
              <w:right w:val="nil"/>
            </w:tcBorders>
            <w:shd w:val="clear" w:color="auto" w:fill="auto"/>
            <w:noWrap/>
            <w:vAlign w:val="bottom"/>
            <w:hideMark/>
          </w:tcPr>
          <w:p w14:paraId="6DFACD3C"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5DE27C3" w14:textId="77777777" w:rsidTr="00A360DB">
        <w:trPr>
          <w:trHeight w:val="240"/>
        </w:trPr>
        <w:tc>
          <w:tcPr>
            <w:tcW w:w="1697" w:type="dxa"/>
            <w:tcBorders>
              <w:top w:val="nil"/>
              <w:left w:val="nil"/>
              <w:bottom w:val="nil"/>
              <w:right w:val="nil"/>
            </w:tcBorders>
            <w:shd w:val="clear" w:color="auto" w:fill="auto"/>
            <w:noWrap/>
            <w:vAlign w:val="bottom"/>
            <w:hideMark/>
          </w:tcPr>
          <w:p w14:paraId="2764A1D4"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5AA0FACF"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6CC2CB4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250,00</w:t>
            </w:r>
          </w:p>
        </w:tc>
        <w:tc>
          <w:tcPr>
            <w:tcW w:w="1380" w:type="dxa"/>
            <w:tcBorders>
              <w:top w:val="nil"/>
              <w:left w:val="nil"/>
              <w:bottom w:val="nil"/>
              <w:right w:val="nil"/>
            </w:tcBorders>
            <w:shd w:val="clear" w:color="auto" w:fill="auto"/>
            <w:noWrap/>
            <w:vAlign w:val="bottom"/>
            <w:hideMark/>
          </w:tcPr>
          <w:p w14:paraId="07FCB10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241,91</w:t>
            </w:r>
          </w:p>
        </w:tc>
        <w:tc>
          <w:tcPr>
            <w:tcW w:w="1400" w:type="dxa"/>
            <w:tcBorders>
              <w:top w:val="nil"/>
              <w:left w:val="nil"/>
              <w:bottom w:val="nil"/>
              <w:right w:val="nil"/>
            </w:tcBorders>
            <w:shd w:val="clear" w:color="auto" w:fill="auto"/>
            <w:noWrap/>
            <w:vAlign w:val="bottom"/>
            <w:hideMark/>
          </w:tcPr>
          <w:p w14:paraId="0420B57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96,76%</w:t>
            </w:r>
          </w:p>
        </w:tc>
      </w:tr>
      <w:tr w:rsidR="00A360DB" w:rsidRPr="00A360DB" w14:paraId="0C5D1C53" w14:textId="77777777" w:rsidTr="00A360DB">
        <w:trPr>
          <w:trHeight w:val="240"/>
        </w:trPr>
        <w:tc>
          <w:tcPr>
            <w:tcW w:w="1697" w:type="dxa"/>
            <w:tcBorders>
              <w:top w:val="nil"/>
              <w:left w:val="nil"/>
              <w:bottom w:val="nil"/>
              <w:right w:val="nil"/>
            </w:tcBorders>
            <w:shd w:val="clear" w:color="auto" w:fill="auto"/>
            <w:noWrap/>
            <w:vAlign w:val="bottom"/>
            <w:hideMark/>
          </w:tcPr>
          <w:p w14:paraId="66A8510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3212</w:t>
            </w:r>
          </w:p>
        </w:tc>
        <w:tc>
          <w:tcPr>
            <w:tcW w:w="8509" w:type="dxa"/>
            <w:tcBorders>
              <w:top w:val="nil"/>
              <w:left w:val="nil"/>
              <w:bottom w:val="nil"/>
              <w:right w:val="nil"/>
            </w:tcBorders>
            <w:shd w:val="clear" w:color="auto" w:fill="auto"/>
            <w:noWrap/>
            <w:vAlign w:val="bottom"/>
            <w:hideMark/>
          </w:tcPr>
          <w:p w14:paraId="6238AC97"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Naknade za prijevoz, za rad na terenu i odvojeni život                                              </w:t>
            </w:r>
          </w:p>
        </w:tc>
        <w:tc>
          <w:tcPr>
            <w:tcW w:w="1480" w:type="dxa"/>
            <w:tcBorders>
              <w:top w:val="nil"/>
              <w:left w:val="nil"/>
              <w:bottom w:val="nil"/>
              <w:right w:val="nil"/>
            </w:tcBorders>
            <w:shd w:val="clear" w:color="auto" w:fill="auto"/>
            <w:noWrap/>
            <w:vAlign w:val="bottom"/>
            <w:hideMark/>
          </w:tcPr>
          <w:p w14:paraId="33420827"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73F9E35"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241,91</w:t>
            </w:r>
          </w:p>
        </w:tc>
        <w:tc>
          <w:tcPr>
            <w:tcW w:w="1400" w:type="dxa"/>
            <w:tcBorders>
              <w:top w:val="nil"/>
              <w:left w:val="nil"/>
              <w:bottom w:val="nil"/>
              <w:right w:val="nil"/>
            </w:tcBorders>
            <w:shd w:val="clear" w:color="auto" w:fill="auto"/>
            <w:noWrap/>
            <w:vAlign w:val="bottom"/>
            <w:hideMark/>
          </w:tcPr>
          <w:p w14:paraId="2EA50928"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74CE490" w14:textId="77777777" w:rsidTr="00A360DB">
        <w:trPr>
          <w:trHeight w:val="240"/>
        </w:trPr>
        <w:tc>
          <w:tcPr>
            <w:tcW w:w="1697" w:type="dxa"/>
            <w:tcBorders>
              <w:top w:val="nil"/>
              <w:left w:val="nil"/>
              <w:bottom w:val="nil"/>
              <w:right w:val="nil"/>
            </w:tcBorders>
            <w:shd w:val="clear" w:color="000000" w:fill="B4C6E7"/>
            <w:noWrap/>
            <w:vAlign w:val="bottom"/>
            <w:hideMark/>
          </w:tcPr>
          <w:p w14:paraId="6B1458FE"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T102204</w:t>
            </w:r>
          </w:p>
        </w:tc>
        <w:tc>
          <w:tcPr>
            <w:tcW w:w="8509" w:type="dxa"/>
            <w:tcBorders>
              <w:top w:val="nil"/>
              <w:left w:val="nil"/>
              <w:bottom w:val="nil"/>
              <w:right w:val="nil"/>
            </w:tcBorders>
            <w:shd w:val="clear" w:color="000000" w:fill="B4C6E7"/>
            <w:noWrap/>
            <w:vAlign w:val="bottom"/>
            <w:hideMark/>
          </w:tcPr>
          <w:p w14:paraId="06A6F500"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Tekući projekt: Projekt "Nikad nije kasno" -  faza IV</w:t>
            </w:r>
          </w:p>
        </w:tc>
        <w:tc>
          <w:tcPr>
            <w:tcW w:w="1480" w:type="dxa"/>
            <w:tcBorders>
              <w:top w:val="nil"/>
              <w:left w:val="nil"/>
              <w:bottom w:val="nil"/>
              <w:right w:val="nil"/>
            </w:tcBorders>
            <w:shd w:val="clear" w:color="000000" w:fill="B4C6E7"/>
            <w:noWrap/>
            <w:vAlign w:val="bottom"/>
            <w:hideMark/>
          </w:tcPr>
          <w:p w14:paraId="4E11A3B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357.000,00</w:t>
            </w:r>
          </w:p>
        </w:tc>
        <w:tc>
          <w:tcPr>
            <w:tcW w:w="1380" w:type="dxa"/>
            <w:tcBorders>
              <w:top w:val="nil"/>
              <w:left w:val="nil"/>
              <w:bottom w:val="nil"/>
              <w:right w:val="nil"/>
            </w:tcBorders>
            <w:shd w:val="clear" w:color="000000" w:fill="B4C6E7"/>
            <w:noWrap/>
            <w:vAlign w:val="bottom"/>
            <w:hideMark/>
          </w:tcPr>
          <w:p w14:paraId="15C19AF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329.294,73</w:t>
            </w:r>
          </w:p>
        </w:tc>
        <w:tc>
          <w:tcPr>
            <w:tcW w:w="1400" w:type="dxa"/>
            <w:tcBorders>
              <w:top w:val="nil"/>
              <w:left w:val="nil"/>
              <w:bottom w:val="nil"/>
              <w:right w:val="nil"/>
            </w:tcBorders>
            <w:shd w:val="clear" w:color="000000" w:fill="B4C6E7"/>
            <w:noWrap/>
            <w:vAlign w:val="bottom"/>
            <w:hideMark/>
          </w:tcPr>
          <w:p w14:paraId="3F62AB2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92,24%</w:t>
            </w:r>
          </w:p>
        </w:tc>
      </w:tr>
      <w:tr w:rsidR="00A360DB" w:rsidRPr="00A360DB" w14:paraId="0724D62B"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BE949A4"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5. Pomoći</w:t>
            </w:r>
          </w:p>
        </w:tc>
        <w:tc>
          <w:tcPr>
            <w:tcW w:w="1480" w:type="dxa"/>
            <w:tcBorders>
              <w:top w:val="nil"/>
              <w:left w:val="nil"/>
              <w:bottom w:val="nil"/>
              <w:right w:val="nil"/>
            </w:tcBorders>
            <w:shd w:val="clear" w:color="auto" w:fill="auto"/>
            <w:noWrap/>
            <w:vAlign w:val="bottom"/>
            <w:hideMark/>
          </w:tcPr>
          <w:p w14:paraId="6FBB16E8"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357.000,00</w:t>
            </w:r>
          </w:p>
        </w:tc>
        <w:tc>
          <w:tcPr>
            <w:tcW w:w="1380" w:type="dxa"/>
            <w:tcBorders>
              <w:top w:val="nil"/>
              <w:left w:val="nil"/>
              <w:bottom w:val="nil"/>
              <w:right w:val="nil"/>
            </w:tcBorders>
            <w:shd w:val="clear" w:color="auto" w:fill="auto"/>
            <w:noWrap/>
            <w:vAlign w:val="bottom"/>
            <w:hideMark/>
          </w:tcPr>
          <w:p w14:paraId="776AA5B5"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329.294,73</w:t>
            </w:r>
          </w:p>
        </w:tc>
        <w:tc>
          <w:tcPr>
            <w:tcW w:w="1400" w:type="dxa"/>
            <w:tcBorders>
              <w:top w:val="nil"/>
              <w:left w:val="nil"/>
              <w:bottom w:val="nil"/>
              <w:right w:val="nil"/>
            </w:tcBorders>
            <w:shd w:val="clear" w:color="auto" w:fill="auto"/>
            <w:noWrap/>
            <w:vAlign w:val="bottom"/>
            <w:hideMark/>
          </w:tcPr>
          <w:p w14:paraId="5164127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92,24%</w:t>
            </w:r>
          </w:p>
        </w:tc>
      </w:tr>
      <w:tr w:rsidR="00A360DB" w:rsidRPr="00A360DB" w14:paraId="5DAE063E"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2B38E3EC"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5.2. Državni proračun</w:t>
            </w:r>
          </w:p>
        </w:tc>
        <w:tc>
          <w:tcPr>
            <w:tcW w:w="1480" w:type="dxa"/>
            <w:tcBorders>
              <w:top w:val="nil"/>
              <w:left w:val="nil"/>
              <w:bottom w:val="nil"/>
              <w:right w:val="nil"/>
            </w:tcBorders>
            <w:shd w:val="clear" w:color="auto" w:fill="auto"/>
            <w:noWrap/>
            <w:vAlign w:val="bottom"/>
            <w:hideMark/>
          </w:tcPr>
          <w:p w14:paraId="408CA65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53.600,00</w:t>
            </w:r>
          </w:p>
        </w:tc>
        <w:tc>
          <w:tcPr>
            <w:tcW w:w="1380" w:type="dxa"/>
            <w:tcBorders>
              <w:top w:val="nil"/>
              <w:left w:val="nil"/>
              <w:bottom w:val="nil"/>
              <w:right w:val="nil"/>
            </w:tcBorders>
            <w:shd w:val="clear" w:color="auto" w:fill="auto"/>
            <w:noWrap/>
            <w:vAlign w:val="bottom"/>
            <w:hideMark/>
          </w:tcPr>
          <w:p w14:paraId="6ED5DD4C"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49.394,21</w:t>
            </w:r>
          </w:p>
        </w:tc>
        <w:tc>
          <w:tcPr>
            <w:tcW w:w="1400" w:type="dxa"/>
            <w:tcBorders>
              <w:top w:val="nil"/>
              <w:left w:val="nil"/>
              <w:bottom w:val="nil"/>
              <w:right w:val="nil"/>
            </w:tcBorders>
            <w:shd w:val="clear" w:color="auto" w:fill="auto"/>
            <w:noWrap/>
            <w:vAlign w:val="bottom"/>
            <w:hideMark/>
          </w:tcPr>
          <w:p w14:paraId="1D97A552"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92,15%</w:t>
            </w:r>
          </w:p>
        </w:tc>
      </w:tr>
      <w:tr w:rsidR="00A360DB" w:rsidRPr="00A360DB" w14:paraId="79F70E83" w14:textId="77777777" w:rsidTr="00A360DB">
        <w:trPr>
          <w:trHeight w:val="240"/>
        </w:trPr>
        <w:tc>
          <w:tcPr>
            <w:tcW w:w="1697" w:type="dxa"/>
            <w:tcBorders>
              <w:top w:val="nil"/>
              <w:left w:val="nil"/>
              <w:bottom w:val="nil"/>
              <w:right w:val="nil"/>
            </w:tcBorders>
            <w:shd w:val="clear" w:color="auto" w:fill="auto"/>
            <w:noWrap/>
            <w:vAlign w:val="bottom"/>
            <w:hideMark/>
          </w:tcPr>
          <w:p w14:paraId="78324EFD"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31</w:t>
            </w:r>
          </w:p>
        </w:tc>
        <w:tc>
          <w:tcPr>
            <w:tcW w:w="8509" w:type="dxa"/>
            <w:tcBorders>
              <w:top w:val="nil"/>
              <w:left w:val="nil"/>
              <w:bottom w:val="nil"/>
              <w:right w:val="nil"/>
            </w:tcBorders>
            <w:shd w:val="clear" w:color="auto" w:fill="auto"/>
            <w:noWrap/>
            <w:vAlign w:val="bottom"/>
            <w:hideMark/>
          </w:tcPr>
          <w:p w14:paraId="3D0D3147"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zaposlene                                                                                </w:t>
            </w:r>
          </w:p>
        </w:tc>
        <w:tc>
          <w:tcPr>
            <w:tcW w:w="1480" w:type="dxa"/>
            <w:tcBorders>
              <w:top w:val="nil"/>
              <w:left w:val="nil"/>
              <w:bottom w:val="nil"/>
              <w:right w:val="nil"/>
            </w:tcBorders>
            <w:shd w:val="clear" w:color="auto" w:fill="auto"/>
            <w:noWrap/>
            <w:vAlign w:val="bottom"/>
            <w:hideMark/>
          </w:tcPr>
          <w:p w14:paraId="3E2843E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49.250,00</w:t>
            </w:r>
          </w:p>
        </w:tc>
        <w:tc>
          <w:tcPr>
            <w:tcW w:w="1380" w:type="dxa"/>
            <w:tcBorders>
              <w:top w:val="nil"/>
              <w:left w:val="nil"/>
              <w:bottom w:val="nil"/>
              <w:right w:val="nil"/>
            </w:tcBorders>
            <w:shd w:val="clear" w:color="auto" w:fill="auto"/>
            <w:noWrap/>
            <w:vAlign w:val="bottom"/>
            <w:hideMark/>
          </w:tcPr>
          <w:p w14:paraId="29C1462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45.205,96</w:t>
            </w:r>
          </w:p>
        </w:tc>
        <w:tc>
          <w:tcPr>
            <w:tcW w:w="1400" w:type="dxa"/>
            <w:tcBorders>
              <w:top w:val="nil"/>
              <w:left w:val="nil"/>
              <w:bottom w:val="nil"/>
              <w:right w:val="nil"/>
            </w:tcBorders>
            <w:shd w:val="clear" w:color="auto" w:fill="auto"/>
            <w:noWrap/>
            <w:vAlign w:val="bottom"/>
            <w:hideMark/>
          </w:tcPr>
          <w:p w14:paraId="76AD85E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91,79%</w:t>
            </w:r>
          </w:p>
        </w:tc>
      </w:tr>
      <w:tr w:rsidR="00A360DB" w:rsidRPr="00A360DB" w14:paraId="30BB500B" w14:textId="77777777" w:rsidTr="00A360DB">
        <w:trPr>
          <w:trHeight w:val="240"/>
        </w:trPr>
        <w:tc>
          <w:tcPr>
            <w:tcW w:w="1697" w:type="dxa"/>
            <w:tcBorders>
              <w:top w:val="nil"/>
              <w:left w:val="nil"/>
              <w:bottom w:val="nil"/>
              <w:right w:val="nil"/>
            </w:tcBorders>
            <w:shd w:val="clear" w:color="auto" w:fill="auto"/>
            <w:noWrap/>
            <w:vAlign w:val="bottom"/>
            <w:hideMark/>
          </w:tcPr>
          <w:p w14:paraId="15F4B3E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3111</w:t>
            </w:r>
          </w:p>
        </w:tc>
        <w:tc>
          <w:tcPr>
            <w:tcW w:w="8509" w:type="dxa"/>
            <w:tcBorders>
              <w:top w:val="nil"/>
              <w:left w:val="nil"/>
              <w:bottom w:val="nil"/>
              <w:right w:val="nil"/>
            </w:tcBorders>
            <w:shd w:val="clear" w:color="auto" w:fill="auto"/>
            <w:noWrap/>
            <w:vAlign w:val="bottom"/>
            <w:hideMark/>
          </w:tcPr>
          <w:p w14:paraId="67A63F37"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Plaće za redovan rad                                                                                </w:t>
            </w:r>
          </w:p>
        </w:tc>
        <w:tc>
          <w:tcPr>
            <w:tcW w:w="1480" w:type="dxa"/>
            <w:tcBorders>
              <w:top w:val="nil"/>
              <w:left w:val="nil"/>
              <w:bottom w:val="nil"/>
              <w:right w:val="nil"/>
            </w:tcBorders>
            <w:shd w:val="clear" w:color="auto" w:fill="auto"/>
            <w:noWrap/>
            <w:vAlign w:val="bottom"/>
            <w:hideMark/>
          </w:tcPr>
          <w:p w14:paraId="6FD417D0"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6A289EA"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39.903,01</w:t>
            </w:r>
          </w:p>
        </w:tc>
        <w:tc>
          <w:tcPr>
            <w:tcW w:w="1400" w:type="dxa"/>
            <w:tcBorders>
              <w:top w:val="nil"/>
              <w:left w:val="nil"/>
              <w:bottom w:val="nil"/>
              <w:right w:val="nil"/>
            </w:tcBorders>
            <w:shd w:val="clear" w:color="auto" w:fill="auto"/>
            <w:noWrap/>
            <w:vAlign w:val="bottom"/>
            <w:hideMark/>
          </w:tcPr>
          <w:p w14:paraId="14919985"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C68461F" w14:textId="77777777" w:rsidTr="00A360DB">
        <w:trPr>
          <w:trHeight w:val="240"/>
        </w:trPr>
        <w:tc>
          <w:tcPr>
            <w:tcW w:w="1697" w:type="dxa"/>
            <w:tcBorders>
              <w:top w:val="nil"/>
              <w:left w:val="nil"/>
              <w:bottom w:val="nil"/>
              <w:right w:val="nil"/>
            </w:tcBorders>
            <w:shd w:val="clear" w:color="auto" w:fill="auto"/>
            <w:noWrap/>
            <w:vAlign w:val="bottom"/>
            <w:hideMark/>
          </w:tcPr>
          <w:p w14:paraId="1CFA8FD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3132</w:t>
            </w:r>
          </w:p>
        </w:tc>
        <w:tc>
          <w:tcPr>
            <w:tcW w:w="8509" w:type="dxa"/>
            <w:tcBorders>
              <w:top w:val="nil"/>
              <w:left w:val="nil"/>
              <w:bottom w:val="nil"/>
              <w:right w:val="nil"/>
            </w:tcBorders>
            <w:shd w:val="clear" w:color="auto" w:fill="auto"/>
            <w:noWrap/>
            <w:vAlign w:val="bottom"/>
            <w:hideMark/>
          </w:tcPr>
          <w:p w14:paraId="536CD66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Doprinosi za obvezno zdravstveno osiguranje                                                         </w:t>
            </w:r>
          </w:p>
        </w:tc>
        <w:tc>
          <w:tcPr>
            <w:tcW w:w="1480" w:type="dxa"/>
            <w:tcBorders>
              <w:top w:val="nil"/>
              <w:left w:val="nil"/>
              <w:bottom w:val="nil"/>
              <w:right w:val="nil"/>
            </w:tcBorders>
            <w:shd w:val="clear" w:color="auto" w:fill="auto"/>
            <w:noWrap/>
            <w:vAlign w:val="bottom"/>
            <w:hideMark/>
          </w:tcPr>
          <w:p w14:paraId="116A79E7"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CD33AC8"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5.302,95</w:t>
            </w:r>
          </w:p>
        </w:tc>
        <w:tc>
          <w:tcPr>
            <w:tcW w:w="1400" w:type="dxa"/>
            <w:tcBorders>
              <w:top w:val="nil"/>
              <w:left w:val="nil"/>
              <w:bottom w:val="nil"/>
              <w:right w:val="nil"/>
            </w:tcBorders>
            <w:shd w:val="clear" w:color="auto" w:fill="auto"/>
            <w:noWrap/>
            <w:vAlign w:val="bottom"/>
            <w:hideMark/>
          </w:tcPr>
          <w:p w14:paraId="0E82D669"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632DF05" w14:textId="77777777" w:rsidTr="00A360DB">
        <w:trPr>
          <w:trHeight w:val="240"/>
        </w:trPr>
        <w:tc>
          <w:tcPr>
            <w:tcW w:w="1697" w:type="dxa"/>
            <w:tcBorders>
              <w:top w:val="nil"/>
              <w:left w:val="nil"/>
              <w:bottom w:val="nil"/>
              <w:right w:val="nil"/>
            </w:tcBorders>
            <w:shd w:val="clear" w:color="auto" w:fill="auto"/>
            <w:noWrap/>
            <w:vAlign w:val="bottom"/>
            <w:hideMark/>
          </w:tcPr>
          <w:p w14:paraId="5756F425"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3DE103F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7C61CA0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4.350,00</w:t>
            </w:r>
          </w:p>
        </w:tc>
        <w:tc>
          <w:tcPr>
            <w:tcW w:w="1380" w:type="dxa"/>
            <w:tcBorders>
              <w:top w:val="nil"/>
              <w:left w:val="nil"/>
              <w:bottom w:val="nil"/>
              <w:right w:val="nil"/>
            </w:tcBorders>
            <w:shd w:val="clear" w:color="auto" w:fill="auto"/>
            <w:noWrap/>
            <w:vAlign w:val="bottom"/>
            <w:hideMark/>
          </w:tcPr>
          <w:p w14:paraId="4E8FA02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4.188,25</w:t>
            </w:r>
          </w:p>
        </w:tc>
        <w:tc>
          <w:tcPr>
            <w:tcW w:w="1400" w:type="dxa"/>
            <w:tcBorders>
              <w:top w:val="nil"/>
              <w:left w:val="nil"/>
              <w:bottom w:val="nil"/>
              <w:right w:val="nil"/>
            </w:tcBorders>
            <w:shd w:val="clear" w:color="auto" w:fill="auto"/>
            <w:noWrap/>
            <w:vAlign w:val="bottom"/>
            <w:hideMark/>
          </w:tcPr>
          <w:p w14:paraId="77006BC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96,28%</w:t>
            </w:r>
          </w:p>
        </w:tc>
      </w:tr>
      <w:tr w:rsidR="00A360DB" w:rsidRPr="00A360DB" w14:paraId="1C2DA198" w14:textId="77777777" w:rsidTr="00A360DB">
        <w:trPr>
          <w:trHeight w:val="240"/>
        </w:trPr>
        <w:tc>
          <w:tcPr>
            <w:tcW w:w="1697" w:type="dxa"/>
            <w:tcBorders>
              <w:top w:val="nil"/>
              <w:left w:val="nil"/>
              <w:bottom w:val="nil"/>
              <w:right w:val="nil"/>
            </w:tcBorders>
            <w:shd w:val="clear" w:color="auto" w:fill="auto"/>
            <w:noWrap/>
            <w:vAlign w:val="bottom"/>
            <w:hideMark/>
          </w:tcPr>
          <w:p w14:paraId="48A2B23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3214</w:t>
            </w:r>
          </w:p>
        </w:tc>
        <w:tc>
          <w:tcPr>
            <w:tcW w:w="8509" w:type="dxa"/>
            <w:tcBorders>
              <w:top w:val="nil"/>
              <w:left w:val="nil"/>
              <w:bottom w:val="nil"/>
              <w:right w:val="nil"/>
            </w:tcBorders>
            <w:shd w:val="clear" w:color="auto" w:fill="auto"/>
            <w:noWrap/>
            <w:vAlign w:val="bottom"/>
            <w:hideMark/>
          </w:tcPr>
          <w:p w14:paraId="249C857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Ostale naknade troškova zaposlenima                                                                 </w:t>
            </w:r>
          </w:p>
        </w:tc>
        <w:tc>
          <w:tcPr>
            <w:tcW w:w="1480" w:type="dxa"/>
            <w:tcBorders>
              <w:top w:val="nil"/>
              <w:left w:val="nil"/>
              <w:bottom w:val="nil"/>
              <w:right w:val="nil"/>
            </w:tcBorders>
            <w:shd w:val="clear" w:color="auto" w:fill="auto"/>
            <w:noWrap/>
            <w:vAlign w:val="bottom"/>
            <w:hideMark/>
          </w:tcPr>
          <w:p w14:paraId="23B8B54B"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00FC548"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2.538,25</w:t>
            </w:r>
          </w:p>
        </w:tc>
        <w:tc>
          <w:tcPr>
            <w:tcW w:w="1400" w:type="dxa"/>
            <w:tcBorders>
              <w:top w:val="nil"/>
              <w:left w:val="nil"/>
              <w:bottom w:val="nil"/>
              <w:right w:val="nil"/>
            </w:tcBorders>
            <w:shd w:val="clear" w:color="auto" w:fill="auto"/>
            <w:noWrap/>
            <w:vAlign w:val="bottom"/>
            <w:hideMark/>
          </w:tcPr>
          <w:p w14:paraId="7810161F"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66501CA" w14:textId="77777777" w:rsidTr="00A360DB">
        <w:trPr>
          <w:trHeight w:val="240"/>
        </w:trPr>
        <w:tc>
          <w:tcPr>
            <w:tcW w:w="1697" w:type="dxa"/>
            <w:tcBorders>
              <w:top w:val="nil"/>
              <w:left w:val="nil"/>
              <w:bottom w:val="nil"/>
              <w:right w:val="nil"/>
            </w:tcBorders>
            <w:shd w:val="clear" w:color="auto" w:fill="auto"/>
            <w:noWrap/>
            <w:vAlign w:val="bottom"/>
            <w:hideMark/>
          </w:tcPr>
          <w:p w14:paraId="1D9D0EED"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3221</w:t>
            </w:r>
          </w:p>
        </w:tc>
        <w:tc>
          <w:tcPr>
            <w:tcW w:w="8509" w:type="dxa"/>
            <w:tcBorders>
              <w:top w:val="nil"/>
              <w:left w:val="nil"/>
              <w:bottom w:val="nil"/>
              <w:right w:val="nil"/>
            </w:tcBorders>
            <w:shd w:val="clear" w:color="auto" w:fill="auto"/>
            <w:noWrap/>
            <w:vAlign w:val="bottom"/>
            <w:hideMark/>
          </w:tcPr>
          <w:p w14:paraId="2D52513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Uredski materijal i ostali materijalni rashodi                                                      </w:t>
            </w:r>
          </w:p>
        </w:tc>
        <w:tc>
          <w:tcPr>
            <w:tcW w:w="1480" w:type="dxa"/>
            <w:tcBorders>
              <w:top w:val="nil"/>
              <w:left w:val="nil"/>
              <w:bottom w:val="nil"/>
              <w:right w:val="nil"/>
            </w:tcBorders>
            <w:shd w:val="clear" w:color="auto" w:fill="auto"/>
            <w:noWrap/>
            <w:vAlign w:val="bottom"/>
            <w:hideMark/>
          </w:tcPr>
          <w:p w14:paraId="4A03ABBD"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9E040F0"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1.500,00</w:t>
            </w:r>
          </w:p>
        </w:tc>
        <w:tc>
          <w:tcPr>
            <w:tcW w:w="1400" w:type="dxa"/>
            <w:tcBorders>
              <w:top w:val="nil"/>
              <w:left w:val="nil"/>
              <w:bottom w:val="nil"/>
              <w:right w:val="nil"/>
            </w:tcBorders>
            <w:shd w:val="clear" w:color="auto" w:fill="auto"/>
            <w:noWrap/>
            <w:vAlign w:val="bottom"/>
            <w:hideMark/>
          </w:tcPr>
          <w:p w14:paraId="7B27F167"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266A1853" w14:textId="77777777" w:rsidTr="00A360DB">
        <w:trPr>
          <w:trHeight w:val="240"/>
        </w:trPr>
        <w:tc>
          <w:tcPr>
            <w:tcW w:w="1697" w:type="dxa"/>
            <w:tcBorders>
              <w:top w:val="nil"/>
              <w:left w:val="nil"/>
              <w:bottom w:val="nil"/>
              <w:right w:val="nil"/>
            </w:tcBorders>
            <w:shd w:val="clear" w:color="auto" w:fill="auto"/>
            <w:noWrap/>
            <w:vAlign w:val="bottom"/>
            <w:hideMark/>
          </w:tcPr>
          <w:p w14:paraId="2C02888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3233</w:t>
            </w:r>
          </w:p>
        </w:tc>
        <w:tc>
          <w:tcPr>
            <w:tcW w:w="8509" w:type="dxa"/>
            <w:tcBorders>
              <w:top w:val="nil"/>
              <w:left w:val="nil"/>
              <w:bottom w:val="nil"/>
              <w:right w:val="nil"/>
            </w:tcBorders>
            <w:shd w:val="clear" w:color="auto" w:fill="auto"/>
            <w:noWrap/>
            <w:vAlign w:val="bottom"/>
            <w:hideMark/>
          </w:tcPr>
          <w:p w14:paraId="783BD32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Usluge promidžbe i informiranja                                                                     </w:t>
            </w:r>
          </w:p>
        </w:tc>
        <w:tc>
          <w:tcPr>
            <w:tcW w:w="1480" w:type="dxa"/>
            <w:tcBorders>
              <w:top w:val="nil"/>
              <w:left w:val="nil"/>
              <w:bottom w:val="nil"/>
              <w:right w:val="nil"/>
            </w:tcBorders>
            <w:shd w:val="clear" w:color="auto" w:fill="auto"/>
            <w:noWrap/>
            <w:vAlign w:val="bottom"/>
            <w:hideMark/>
          </w:tcPr>
          <w:p w14:paraId="2A2100B3"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F24920B"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150,00</w:t>
            </w:r>
          </w:p>
        </w:tc>
        <w:tc>
          <w:tcPr>
            <w:tcW w:w="1400" w:type="dxa"/>
            <w:tcBorders>
              <w:top w:val="nil"/>
              <w:left w:val="nil"/>
              <w:bottom w:val="nil"/>
              <w:right w:val="nil"/>
            </w:tcBorders>
            <w:shd w:val="clear" w:color="auto" w:fill="auto"/>
            <w:noWrap/>
            <w:vAlign w:val="bottom"/>
            <w:hideMark/>
          </w:tcPr>
          <w:p w14:paraId="4903809E"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2E5F0B26"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F33E358"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5.4. Institucije i tijela EU</w:t>
            </w:r>
          </w:p>
        </w:tc>
        <w:tc>
          <w:tcPr>
            <w:tcW w:w="1480" w:type="dxa"/>
            <w:tcBorders>
              <w:top w:val="nil"/>
              <w:left w:val="nil"/>
              <w:bottom w:val="nil"/>
              <w:right w:val="nil"/>
            </w:tcBorders>
            <w:shd w:val="clear" w:color="auto" w:fill="auto"/>
            <w:noWrap/>
            <w:vAlign w:val="bottom"/>
            <w:hideMark/>
          </w:tcPr>
          <w:p w14:paraId="14A593D8"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303.400,00</w:t>
            </w:r>
          </w:p>
        </w:tc>
        <w:tc>
          <w:tcPr>
            <w:tcW w:w="1380" w:type="dxa"/>
            <w:tcBorders>
              <w:top w:val="nil"/>
              <w:left w:val="nil"/>
              <w:bottom w:val="nil"/>
              <w:right w:val="nil"/>
            </w:tcBorders>
            <w:shd w:val="clear" w:color="auto" w:fill="auto"/>
            <w:noWrap/>
            <w:vAlign w:val="bottom"/>
            <w:hideMark/>
          </w:tcPr>
          <w:p w14:paraId="2F257606"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279.900,52</w:t>
            </w:r>
          </w:p>
        </w:tc>
        <w:tc>
          <w:tcPr>
            <w:tcW w:w="1400" w:type="dxa"/>
            <w:tcBorders>
              <w:top w:val="nil"/>
              <w:left w:val="nil"/>
              <w:bottom w:val="nil"/>
              <w:right w:val="nil"/>
            </w:tcBorders>
            <w:shd w:val="clear" w:color="auto" w:fill="auto"/>
            <w:noWrap/>
            <w:vAlign w:val="bottom"/>
            <w:hideMark/>
          </w:tcPr>
          <w:p w14:paraId="4B2D92A1"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92,25%</w:t>
            </w:r>
          </w:p>
        </w:tc>
      </w:tr>
      <w:tr w:rsidR="00A360DB" w:rsidRPr="00A360DB" w14:paraId="44E96C65" w14:textId="77777777" w:rsidTr="00A360DB">
        <w:trPr>
          <w:trHeight w:val="240"/>
        </w:trPr>
        <w:tc>
          <w:tcPr>
            <w:tcW w:w="1697" w:type="dxa"/>
            <w:tcBorders>
              <w:top w:val="nil"/>
              <w:left w:val="nil"/>
              <w:bottom w:val="nil"/>
              <w:right w:val="nil"/>
            </w:tcBorders>
            <w:shd w:val="clear" w:color="auto" w:fill="auto"/>
            <w:noWrap/>
            <w:vAlign w:val="bottom"/>
            <w:hideMark/>
          </w:tcPr>
          <w:p w14:paraId="0F3B706C"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31</w:t>
            </w:r>
          </w:p>
        </w:tc>
        <w:tc>
          <w:tcPr>
            <w:tcW w:w="8509" w:type="dxa"/>
            <w:tcBorders>
              <w:top w:val="nil"/>
              <w:left w:val="nil"/>
              <w:bottom w:val="nil"/>
              <w:right w:val="nil"/>
            </w:tcBorders>
            <w:shd w:val="clear" w:color="auto" w:fill="auto"/>
            <w:noWrap/>
            <w:vAlign w:val="bottom"/>
            <w:hideMark/>
          </w:tcPr>
          <w:p w14:paraId="76549AE0"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zaposlene                                                                                </w:t>
            </w:r>
          </w:p>
        </w:tc>
        <w:tc>
          <w:tcPr>
            <w:tcW w:w="1480" w:type="dxa"/>
            <w:tcBorders>
              <w:top w:val="nil"/>
              <w:left w:val="nil"/>
              <w:bottom w:val="nil"/>
              <w:right w:val="nil"/>
            </w:tcBorders>
            <w:shd w:val="clear" w:color="auto" w:fill="auto"/>
            <w:noWrap/>
            <w:vAlign w:val="bottom"/>
            <w:hideMark/>
          </w:tcPr>
          <w:p w14:paraId="26C673B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278.750,00</w:t>
            </w:r>
          </w:p>
        </w:tc>
        <w:tc>
          <w:tcPr>
            <w:tcW w:w="1380" w:type="dxa"/>
            <w:tcBorders>
              <w:top w:val="nil"/>
              <w:left w:val="nil"/>
              <w:bottom w:val="nil"/>
              <w:right w:val="nil"/>
            </w:tcBorders>
            <w:shd w:val="clear" w:color="auto" w:fill="auto"/>
            <w:noWrap/>
            <w:vAlign w:val="bottom"/>
            <w:hideMark/>
          </w:tcPr>
          <w:p w14:paraId="265131E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257.735,77</w:t>
            </w:r>
          </w:p>
        </w:tc>
        <w:tc>
          <w:tcPr>
            <w:tcW w:w="1400" w:type="dxa"/>
            <w:tcBorders>
              <w:top w:val="nil"/>
              <w:left w:val="nil"/>
              <w:bottom w:val="nil"/>
              <w:right w:val="nil"/>
            </w:tcBorders>
            <w:shd w:val="clear" w:color="auto" w:fill="auto"/>
            <w:noWrap/>
            <w:vAlign w:val="bottom"/>
            <w:hideMark/>
          </w:tcPr>
          <w:p w14:paraId="13F54F2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92,46%</w:t>
            </w:r>
          </w:p>
        </w:tc>
      </w:tr>
      <w:tr w:rsidR="00A360DB" w:rsidRPr="00A360DB" w14:paraId="2BE004F4" w14:textId="77777777" w:rsidTr="00A360DB">
        <w:trPr>
          <w:trHeight w:val="240"/>
        </w:trPr>
        <w:tc>
          <w:tcPr>
            <w:tcW w:w="1697" w:type="dxa"/>
            <w:tcBorders>
              <w:top w:val="nil"/>
              <w:left w:val="nil"/>
              <w:bottom w:val="nil"/>
              <w:right w:val="nil"/>
            </w:tcBorders>
            <w:shd w:val="clear" w:color="auto" w:fill="auto"/>
            <w:noWrap/>
            <w:vAlign w:val="bottom"/>
            <w:hideMark/>
          </w:tcPr>
          <w:p w14:paraId="49F03C8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3111</w:t>
            </w:r>
          </w:p>
        </w:tc>
        <w:tc>
          <w:tcPr>
            <w:tcW w:w="8509" w:type="dxa"/>
            <w:tcBorders>
              <w:top w:val="nil"/>
              <w:left w:val="nil"/>
              <w:bottom w:val="nil"/>
              <w:right w:val="nil"/>
            </w:tcBorders>
            <w:shd w:val="clear" w:color="auto" w:fill="auto"/>
            <w:noWrap/>
            <w:vAlign w:val="bottom"/>
            <w:hideMark/>
          </w:tcPr>
          <w:p w14:paraId="204DE43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Plaće za redovan rad                                                                                </w:t>
            </w:r>
          </w:p>
        </w:tc>
        <w:tc>
          <w:tcPr>
            <w:tcW w:w="1480" w:type="dxa"/>
            <w:tcBorders>
              <w:top w:val="nil"/>
              <w:left w:val="nil"/>
              <w:bottom w:val="nil"/>
              <w:right w:val="nil"/>
            </w:tcBorders>
            <w:shd w:val="clear" w:color="auto" w:fill="auto"/>
            <w:noWrap/>
            <w:vAlign w:val="bottom"/>
            <w:hideMark/>
          </w:tcPr>
          <w:p w14:paraId="673943DC"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1AED3101"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219.875,26</w:t>
            </w:r>
          </w:p>
        </w:tc>
        <w:tc>
          <w:tcPr>
            <w:tcW w:w="1400" w:type="dxa"/>
            <w:tcBorders>
              <w:top w:val="nil"/>
              <w:left w:val="nil"/>
              <w:bottom w:val="nil"/>
              <w:right w:val="nil"/>
            </w:tcBorders>
            <w:shd w:val="clear" w:color="auto" w:fill="auto"/>
            <w:noWrap/>
            <w:vAlign w:val="bottom"/>
            <w:hideMark/>
          </w:tcPr>
          <w:p w14:paraId="187DC44A"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84BACF9" w14:textId="77777777" w:rsidTr="00A360DB">
        <w:trPr>
          <w:trHeight w:val="240"/>
        </w:trPr>
        <w:tc>
          <w:tcPr>
            <w:tcW w:w="1697" w:type="dxa"/>
            <w:tcBorders>
              <w:top w:val="nil"/>
              <w:left w:val="nil"/>
              <w:bottom w:val="nil"/>
              <w:right w:val="nil"/>
            </w:tcBorders>
            <w:shd w:val="clear" w:color="auto" w:fill="auto"/>
            <w:noWrap/>
            <w:vAlign w:val="bottom"/>
            <w:hideMark/>
          </w:tcPr>
          <w:p w14:paraId="4C2AD5B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3121</w:t>
            </w:r>
          </w:p>
        </w:tc>
        <w:tc>
          <w:tcPr>
            <w:tcW w:w="8509" w:type="dxa"/>
            <w:tcBorders>
              <w:top w:val="nil"/>
              <w:left w:val="nil"/>
              <w:bottom w:val="nil"/>
              <w:right w:val="nil"/>
            </w:tcBorders>
            <w:shd w:val="clear" w:color="auto" w:fill="auto"/>
            <w:noWrap/>
            <w:vAlign w:val="bottom"/>
            <w:hideMark/>
          </w:tcPr>
          <w:p w14:paraId="2255957D"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Ostali rashodi za zaposlene                                                                         </w:t>
            </w:r>
          </w:p>
        </w:tc>
        <w:tc>
          <w:tcPr>
            <w:tcW w:w="1480" w:type="dxa"/>
            <w:tcBorders>
              <w:top w:val="nil"/>
              <w:left w:val="nil"/>
              <w:bottom w:val="nil"/>
              <w:right w:val="nil"/>
            </w:tcBorders>
            <w:shd w:val="clear" w:color="auto" w:fill="auto"/>
            <w:noWrap/>
            <w:vAlign w:val="bottom"/>
            <w:hideMark/>
          </w:tcPr>
          <w:p w14:paraId="4854A53E"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2540447"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300,00</w:t>
            </w:r>
          </w:p>
        </w:tc>
        <w:tc>
          <w:tcPr>
            <w:tcW w:w="1400" w:type="dxa"/>
            <w:tcBorders>
              <w:top w:val="nil"/>
              <w:left w:val="nil"/>
              <w:bottom w:val="nil"/>
              <w:right w:val="nil"/>
            </w:tcBorders>
            <w:shd w:val="clear" w:color="auto" w:fill="auto"/>
            <w:noWrap/>
            <w:vAlign w:val="bottom"/>
            <w:hideMark/>
          </w:tcPr>
          <w:p w14:paraId="1C34FFF2"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AB48251" w14:textId="77777777" w:rsidTr="00A360DB">
        <w:trPr>
          <w:trHeight w:val="240"/>
        </w:trPr>
        <w:tc>
          <w:tcPr>
            <w:tcW w:w="1697" w:type="dxa"/>
            <w:tcBorders>
              <w:top w:val="nil"/>
              <w:left w:val="nil"/>
              <w:bottom w:val="nil"/>
              <w:right w:val="nil"/>
            </w:tcBorders>
            <w:shd w:val="clear" w:color="auto" w:fill="auto"/>
            <w:noWrap/>
            <w:vAlign w:val="bottom"/>
            <w:hideMark/>
          </w:tcPr>
          <w:p w14:paraId="4A379FED"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3132</w:t>
            </w:r>
          </w:p>
        </w:tc>
        <w:tc>
          <w:tcPr>
            <w:tcW w:w="8509" w:type="dxa"/>
            <w:tcBorders>
              <w:top w:val="nil"/>
              <w:left w:val="nil"/>
              <w:bottom w:val="nil"/>
              <w:right w:val="nil"/>
            </w:tcBorders>
            <w:shd w:val="clear" w:color="auto" w:fill="auto"/>
            <w:noWrap/>
            <w:vAlign w:val="bottom"/>
            <w:hideMark/>
          </w:tcPr>
          <w:p w14:paraId="52FF2E4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Doprinosi za obvezno zdravstveno osiguranje                                                         </w:t>
            </w:r>
          </w:p>
        </w:tc>
        <w:tc>
          <w:tcPr>
            <w:tcW w:w="1480" w:type="dxa"/>
            <w:tcBorders>
              <w:top w:val="nil"/>
              <w:left w:val="nil"/>
              <w:bottom w:val="nil"/>
              <w:right w:val="nil"/>
            </w:tcBorders>
            <w:shd w:val="clear" w:color="auto" w:fill="auto"/>
            <w:noWrap/>
            <w:vAlign w:val="bottom"/>
            <w:hideMark/>
          </w:tcPr>
          <w:p w14:paraId="229F11D7"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B7C39D9"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37.560,51</w:t>
            </w:r>
          </w:p>
        </w:tc>
        <w:tc>
          <w:tcPr>
            <w:tcW w:w="1400" w:type="dxa"/>
            <w:tcBorders>
              <w:top w:val="nil"/>
              <w:left w:val="nil"/>
              <w:bottom w:val="nil"/>
              <w:right w:val="nil"/>
            </w:tcBorders>
            <w:shd w:val="clear" w:color="auto" w:fill="auto"/>
            <w:noWrap/>
            <w:vAlign w:val="bottom"/>
            <w:hideMark/>
          </w:tcPr>
          <w:p w14:paraId="77C42461"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F9B1B71" w14:textId="77777777" w:rsidTr="00A360DB">
        <w:trPr>
          <w:trHeight w:val="240"/>
        </w:trPr>
        <w:tc>
          <w:tcPr>
            <w:tcW w:w="1697" w:type="dxa"/>
            <w:tcBorders>
              <w:top w:val="nil"/>
              <w:left w:val="nil"/>
              <w:bottom w:val="nil"/>
              <w:right w:val="nil"/>
            </w:tcBorders>
            <w:shd w:val="clear" w:color="auto" w:fill="auto"/>
            <w:noWrap/>
            <w:vAlign w:val="bottom"/>
            <w:hideMark/>
          </w:tcPr>
          <w:p w14:paraId="39F8389D"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02A0BB0D"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6B34974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24.650,00</w:t>
            </w:r>
          </w:p>
        </w:tc>
        <w:tc>
          <w:tcPr>
            <w:tcW w:w="1380" w:type="dxa"/>
            <w:tcBorders>
              <w:top w:val="nil"/>
              <w:left w:val="nil"/>
              <w:bottom w:val="nil"/>
              <w:right w:val="nil"/>
            </w:tcBorders>
            <w:shd w:val="clear" w:color="auto" w:fill="auto"/>
            <w:noWrap/>
            <w:vAlign w:val="bottom"/>
            <w:hideMark/>
          </w:tcPr>
          <w:p w14:paraId="5B9D139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22.164,75</w:t>
            </w:r>
          </w:p>
        </w:tc>
        <w:tc>
          <w:tcPr>
            <w:tcW w:w="1400" w:type="dxa"/>
            <w:tcBorders>
              <w:top w:val="nil"/>
              <w:left w:val="nil"/>
              <w:bottom w:val="nil"/>
              <w:right w:val="nil"/>
            </w:tcBorders>
            <w:shd w:val="clear" w:color="auto" w:fill="auto"/>
            <w:noWrap/>
            <w:vAlign w:val="bottom"/>
            <w:hideMark/>
          </w:tcPr>
          <w:p w14:paraId="340504E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89,92%</w:t>
            </w:r>
          </w:p>
        </w:tc>
      </w:tr>
      <w:tr w:rsidR="00A360DB" w:rsidRPr="00A360DB" w14:paraId="13022A0B" w14:textId="77777777" w:rsidTr="00A360DB">
        <w:trPr>
          <w:trHeight w:val="240"/>
        </w:trPr>
        <w:tc>
          <w:tcPr>
            <w:tcW w:w="1697" w:type="dxa"/>
            <w:tcBorders>
              <w:top w:val="nil"/>
              <w:left w:val="nil"/>
              <w:bottom w:val="nil"/>
              <w:right w:val="nil"/>
            </w:tcBorders>
            <w:shd w:val="clear" w:color="auto" w:fill="auto"/>
            <w:noWrap/>
            <w:vAlign w:val="bottom"/>
            <w:hideMark/>
          </w:tcPr>
          <w:p w14:paraId="3C7896FE"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3214</w:t>
            </w:r>
          </w:p>
        </w:tc>
        <w:tc>
          <w:tcPr>
            <w:tcW w:w="8509" w:type="dxa"/>
            <w:tcBorders>
              <w:top w:val="nil"/>
              <w:left w:val="nil"/>
              <w:bottom w:val="nil"/>
              <w:right w:val="nil"/>
            </w:tcBorders>
            <w:shd w:val="clear" w:color="auto" w:fill="auto"/>
            <w:noWrap/>
            <w:vAlign w:val="bottom"/>
            <w:hideMark/>
          </w:tcPr>
          <w:p w14:paraId="7945590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Ostale naknade troškova zaposlenima                                                                 </w:t>
            </w:r>
          </w:p>
        </w:tc>
        <w:tc>
          <w:tcPr>
            <w:tcW w:w="1480" w:type="dxa"/>
            <w:tcBorders>
              <w:top w:val="nil"/>
              <w:left w:val="nil"/>
              <w:bottom w:val="nil"/>
              <w:right w:val="nil"/>
            </w:tcBorders>
            <w:shd w:val="clear" w:color="auto" w:fill="auto"/>
            <w:noWrap/>
            <w:vAlign w:val="bottom"/>
            <w:hideMark/>
          </w:tcPr>
          <w:p w14:paraId="74762C33"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48A90B1"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13.387,25</w:t>
            </w:r>
          </w:p>
        </w:tc>
        <w:tc>
          <w:tcPr>
            <w:tcW w:w="1400" w:type="dxa"/>
            <w:tcBorders>
              <w:top w:val="nil"/>
              <w:left w:val="nil"/>
              <w:bottom w:val="nil"/>
              <w:right w:val="nil"/>
            </w:tcBorders>
            <w:shd w:val="clear" w:color="auto" w:fill="auto"/>
            <w:noWrap/>
            <w:vAlign w:val="bottom"/>
            <w:hideMark/>
          </w:tcPr>
          <w:p w14:paraId="02DDD35C"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07FA68C" w14:textId="77777777" w:rsidTr="00A360DB">
        <w:trPr>
          <w:trHeight w:val="240"/>
        </w:trPr>
        <w:tc>
          <w:tcPr>
            <w:tcW w:w="1697" w:type="dxa"/>
            <w:tcBorders>
              <w:top w:val="nil"/>
              <w:left w:val="nil"/>
              <w:bottom w:val="nil"/>
              <w:right w:val="nil"/>
            </w:tcBorders>
            <w:shd w:val="clear" w:color="auto" w:fill="auto"/>
            <w:noWrap/>
            <w:vAlign w:val="bottom"/>
            <w:hideMark/>
          </w:tcPr>
          <w:p w14:paraId="5513B5A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3221</w:t>
            </w:r>
          </w:p>
        </w:tc>
        <w:tc>
          <w:tcPr>
            <w:tcW w:w="8509" w:type="dxa"/>
            <w:tcBorders>
              <w:top w:val="nil"/>
              <w:left w:val="nil"/>
              <w:bottom w:val="nil"/>
              <w:right w:val="nil"/>
            </w:tcBorders>
            <w:shd w:val="clear" w:color="auto" w:fill="auto"/>
            <w:noWrap/>
            <w:vAlign w:val="bottom"/>
            <w:hideMark/>
          </w:tcPr>
          <w:p w14:paraId="702B8C7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Uredski materijal i ostali materijalni rashodi                                                      </w:t>
            </w:r>
          </w:p>
        </w:tc>
        <w:tc>
          <w:tcPr>
            <w:tcW w:w="1480" w:type="dxa"/>
            <w:tcBorders>
              <w:top w:val="nil"/>
              <w:left w:val="nil"/>
              <w:bottom w:val="nil"/>
              <w:right w:val="nil"/>
            </w:tcBorders>
            <w:shd w:val="clear" w:color="auto" w:fill="auto"/>
            <w:noWrap/>
            <w:vAlign w:val="bottom"/>
            <w:hideMark/>
          </w:tcPr>
          <w:p w14:paraId="51B9C804"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5F3B203C"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8.332,50</w:t>
            </w:r>
          </w:p>
        </w:tc>
        <w:tc>
          <w:tcPr>
            <w:tcW w:w="1400" w:type="dxa"/>
            <w:tcBorders>
              <w:top w:val="nil"/>
              <w:left w:val="nil"/>
              <w:bottom w:val="nil"/>
              <w:right w:val="nil"/>
            </w:tcBorders>
            <w:shd w:val="clear" w:color="auto" w:fill="auto"/>
            <w:noWrap/>
            <w:vAlign w:val="bottom"/>
            <w:hideMark/>
          </w:tcPr>
          <w:p w14:paraId="7A509561"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28D37AF6" w14:textId="77777777" w:rsidTr="00A360DB">
        <w:trPr>
          <w:trHeight w:val="240"/>
        </w:trPr>
        <w:tc>
          <w:tcPr>
            <w:tcW w:w="1697" w:type="dxa"/>
            <w:tcBorders>
              <w:top w:val="nil"/>
              <w:left w:val="nil"/>
              <w:bottom w:val="nil"/>
              <w:right w:val="nil"/>
            </w:tcBorders>
            <w:shd w:val="clear" w:color="auto" w:fill="auto"/>
            <w:noWrap/>
            <w:vAlign w:val="bottom"/>
            <w:hideMark/>
          </w:tcPr>
          <w:p w14:paraId="3C25098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3233</w:t>
            </w:r>
          </w:p>
        </w:tc>
        <w:tc>
          <w:tcPr>
            <w:tcW w:w="8509" w:type="dxa"/>
            <w:tcBorders>
              <w:top w:val="nil"/>
              <w:left w:val="nil"/>
              <w:bottom w:val="nil"/>
              <w:right w:val="nil"/>
            </w:tcBorders>
            <w:shd w:val="clear" w:color="auto" w:fill="auto"/>
            <w:noWrap/>
            <w:vAlign w:val="bottom"/>
            <w:hideMark/>
          </w:tcPr>
          <w:p w14:paraId="73EB2A27"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Usluge promidžbe i informiranja                                                                     </w:t>
            </w:r>
          </w:p>
        </w:tc>
        <w:tc>
          <w:tcPr>
            <w:tcW w:w="1480" w:type="dxa"/>
            <w:tcBorders>
              <w:top w:val="nil"/>
              <w:left w:val="nil"/>
              <w:bottom w:val="nil"/>
              <w:right w:val="nil"/>
            </w:tcBorders>
            <w:shd w:val="clear" w:color="auto" w:fill="auto"/>
            <w:noWrap/>
            <w:vAlign w:val="bottom"/>
            <w:hideMark/>
          </w:tcPr>
          <w:p w14:paraId="1FBD029F"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11A4955"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445,00</w:t>
            </w:r>
          </w:p>
        </w:tc>
        <w:tc>
          <w:tcPr>
            <w:tcW w:w="1400" w:type="dxa"/>
            <w:tcBorders>
              <w:top w:val="nil"/>
              <w:left w:val="nil"/>
              <w:bottom w:val="nil"/>
              <w:right w:val="nil"/>
            </w:tcBorders>
            <w:shd w:val="clear" w:color="auto" w:fill="auto"/>
            <w:noWrap/>
            <w:vAlign w:val="bottom"/>
            <w:hideMark/>
          </w:tcPr>
          <w:p w14:paraId="587C04DD"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F0215D3" w14:textId="77777777" w:rsidTr="00A360DB">
        <w:trPr>
          <w:trHeight w:val="240"/>
        </w:trPr>
        <w:tc>
          <w:tcPr>
            <w:tcW w:w="1697" w:type="dxa"/>
            <w:tcBorders>
              <w:top w:val="nil"/>
              <w:left w:val="nil"/>
              <w:bottom w:val="nil"/>
              <w:right w:val="nil"/>
            </w:tcBorders>
            <w:shd w:val="clear" w:color="000000" w:fill="1D4BB3"/>
            <w:noWrap/>
            <w:vAlign w:val="bottom"/>
            <w:hideMark/>
          </w:tcPr>
          <w:p w14:paraId="5420FFB0" w14:textId="77777777" w:rsidR="00A360DB" w:rsidRPr="00A360DB" w:rsidRDefault="00A360DB" w:rsidP="00A360DB">
            <w:pPr>
              <w:spacing w:after="0" w:line="240" w:lineRule="auto"/>
              <w:rPr>
                <w:rFonts w:ascii="Arial" w:hAnsi="Arial" w:cs="Arial"/>
                <w:b/>
                <w:bCs/>
                <w:color w:val="FFFFFF"/>
                <w:sz w:val="18"/>
                <w:szCs w:val="18"/>
                <w:lang w:eastAsia="hr-HR"/>
              </w:rPr>
            </w:pPr>
            <w:r w:rsidRPr="00A360DB">
              <w:rPr>
                <w:rFonts w:ascii="Arial" w:hAnsi="Arial" w:cs="Arial"/>
                <w:b/>
                <w:bCs/>
                <w:color w:val="FFFFFF"/>
                <w:sz w:val="18"/>
                <w:szCs w:val="18"/>
                <w:lang w:eastAsia="hr-HR"/>
              </w:rPr>
              <w:t>1024</w:t>
            </w:r>
          </w:p>
        </w:tc>
        <w:tc>
          <w:tcPr>
            <w:tcW w:w="8509" w:type="dxa"/>
            <w:tcBorders>
              <w:top w:val="nil"/>
              <w:left w:val="nil"/>
              <w:bottom w:val="nil"/>
              <w:right w:val="nil"/>
            </w:tcBorders>
            <w:shd w:val="clear" w:color="000000" w:fill="1D4BB3"/>
            <w:noWrap/>
            <w:vAlign w:val="bottom"/>
            <w:hideMark/>
          </w:tcPr>
          <w:p w14:paraId="10FDF85A" w14:textId="77777777" w:rsidR="00A360DB" w:rsidRPr="00A360DB" w:rsidRDefault="00A360DB" w:rsidP="00A360DB">
            <w:pPr>
              <w:spacing w:after="0" w:line="240" w:lineRule="auto"/>
              <w:rPr>
                <w:rFonts w:ascii="Arial" w:hAnsi="Arial" w:cs="Arial"/>
                <w:b/>
                <w:bCs/>
                <w:color w:val="FFFFFF"/>
                <w:sz w:val="18"/>
                <w:szCs w:val="18"/>
                <w:lang w:eastAsia="hr-HR"/>
              </w:rPr>
            </w:pPr>
            <w:r w:rsidRPr="00A360DB">
              <w:rPr>
                <w:rFonts w:ascii="Arial" w:hAnsi="Arial" w:cs="Arial"/>
                <w:b/>
                <w:bCs/>
                <w:color w:val="FFFFFF"/>
                <w:sz w:val="18"/>
                <w:szCs w:val="18"/>
                <w:lang w:eastAsia="hr-HR"/>
              </w:rPr>
              <w:t>Program: Razvoj civilnog društva - udruge građana</w:t>
            </w:r>
          </w:p>
        </w:tc>
        <w:tc>
          <w:tcPr>
            <w:tcW w:w="1480" w:type="dxa"/>
            <w:tcBorders>
              <w:top w:val="nil"/>
              <w:left w:val="nil"/>
              <w:bottom w:val="nil"/>
              <w:right w:val="nil"/>
            </w:tcBorders>
            <w:shd w:val="clear" w:color="000000" w:fill="1D4BB3"/>
            <w:noWrap/>
            <w:vAlign w:val="bottom"/>
            <w:hideMark/>
          </w:tcPr>
          <w:p w14:paraId="7A2D605F"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26.620,00</w:t>
            </w:r>
          </w:p>
        </w:tc>
        <w:tc>
          <w:tcPr>
            <w:tcW w:w="1380" w:type="dxa"/>
            <w:tcBorders>
              <w:top w:val="nil"/>
              <w:left w:val="nil"/>
              <w:bottom w:val="nil"/>
              <w:right w:val="nil"/>
            </w:tcBorders>
            <w:shd w:val="clear" w:color="000000" w:fill="1D4BB3"/>
            <w:noWrap/>
            <w:vAlign w:val="bottom"/>
            <w:hideMark/>
          </w:tcPr>
          <w:p w14:paraId="39D707E2"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22.665,78</w:t>
            </w:r>
          </w:p>
        </w:tc>
        <w:tc>
          <w:tcPr>
            <w:tcW w:w="1400" w:type="dxa"/>
            <w:tcBorders>
              <w:top w:val="nil"/>
              <w:left w:val="nil"/>
              <w:bottom w:val="nil"/>
              <w:right w:val="nil"/>
            </w:tcBorders>
            <w:shd w:val="clear" w:color="000000" w:fill="1D4BB3"/>
            <w:noWrap/>
            <w:vAlign w:val="bottom"/>
            <w:hideMark/>
          </w:tcPr>
          <w:p w14:paraId="09564E2F"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85,15%</w:t>
            </w:r>
          </w:p>
        </w:tc>
      </w:tr>
      <w:tr w:rsidR="00A360DB" w:rsidRPr="00A360DB" w14:paraId="495B5CB7" w14:textId="77777777" w:rsidTr="00A360DB">
        <w:trPr>
          <w:trHeight w:val="240"/>
        </w:trPr>
        <w:tc>
          <w:tcPr>
            <w:tcW w:w="1697" w:type="dxa"/>
            <w:tcBorders>
              <w:top w:val="nil"/>
              <w:left w:val="nil"/>
              <w:bottom w:val="nil"/>
              <w:right w:val="nil"/>
            </w:tcBorders>
            <w:shd w:val="clear" w:color="000000" w:fill="B4C6E7"/>
            <w:noWrap/>
            <w:vAlign w:val="bottom"/>
            <w:hideMark/>
          </w:tcPr>
          <w:p w14:paraId="1E0C14B3"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A102401</w:t>
            </w:r>
          </w:p>
        </w:tc>
        <w:tc>
          <w:tcPr>
            <w:tcW w:w="8509" w:type="dxa"/>
            <w:tcBorders>
              <w:top w:val="nil"/>
              <w:left w:val="nil"/>
              <w:bottom w:val="nil"/>
              <w:right w:val="nil"/>
            </w:tcBorders>
            <w:shd w:val="clear" w:color="000000" w:fill="B4C6E7"/>
            <w:noWrap/>
            <w:vAlign w:val="bottom"/>
            <w:hideMark/>
          </w:tcPr>
          <w:p w14:paraId="5082D0B9"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Poticaj djelovanju udruga građana - natječaji</w:t>
            </w:r>
          </w:p>
        </w:tc>
        <w:tc>
          <w:tcPr>
            <w:tcW w:w="1480" w:type="dxa"/>
            <w:tcBorders>
              <w:top w:val="nil"/>
              <w:left w:val="nil"/>
              <w:bottom w:val="nil"/>
              <w:right w:val="nil"/>
            </w:tcBorders>
            <w:shd w:val="clear" w:color="000000" w:fill="B4C6E7"/>
            <w:noWrap/>
            <w:vAlign w:val="bottom"/>
            <w:hideMark/>
          </w:tcPr>
          <w:p w14:paraId="458E1DC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12.000,00</w:t>
            </w:r>
          </w:p>
        </w:tc>
        <w:tc>
          <w:tcPr>
            <w:tcW w:w="1380" w:type="dxa"/>
            <w:tcBorders>
              <w:top w:val="nil"/>
              <w:left w:val="nil"/>
              <w:bottom w:val="nil"/>
              <w:right w:val="nil"/>
            </w:tcBorders>
            <w:shd w:val="clear" w:color="000000" w:fill="B4C6E7"/>
            <w:noWrap/>
            <w:vAlign w:val="bottom"/>
            <w:hideMark/>
          </w:tcPr>
          <w:p w14:paraId="781A1E1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9.392,00</w:t>
            </w:r>
          </w:p>
        </w:tc>
        <w:tc>
          <w:tcPr>
            <w:tcW w:w="1400" w:type="dxa"/>
            <w:tcBorders>
              <w:top w:val="nil"/>
              <w:left w:val="nil"/>
              <w:bottom w:val="nil"/>
              <w:right w:val="nil"/>
            </w:tcBorders>
            <w:shd w:val="clear" w:color="000000" w:fill="B4C6E7"/>
            <w:noWrap/>
            <w:vAlign w:val="bottom"/>
            <w:hideMark/>
          </w:tcPr>
          <w:p w14:paraId="1D00F8F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78,27%</w:t>
            </w:r>
          </w:p>
        </w:tc>
      </w:tr>
      <w:tr w:rsidR="00A360DB" w:rsidRPr="00A360DB" w14:paraId="5C2C5C07"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5100BB89"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2427558E"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12.000,00</w:t>
            </w:r>
          </w:p>
        </w:tc>
        <w:tc>
          <w:tcPr>
            <w:tcW w:w="1380" w:type="dxa"/>
            <w:tcBorders>
              <w:top w:val="nil"/>
              <w:left w:val="nil"/>
              <w:bottom w:val="nil"/>
              <w:right w:val="nil"/>
            </w:tcBorders>
            <w:shd w:val="clear" w:color="auto" w:fill="auto"/>
            <w:noWrap/>
            <w:vAlign w:val="bottom"/>
            <w:hideMark/>
          </w:tcPr>
          <w:p w14:paraId="1409F9D0"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9.392,00</w:t>
            </w:r>
          </w:p>
        </w:tc>
        <w:tc>
          <w:tcPr>
            <w:tcW w:w="1400" w:type="dxa"/>
            <w:tcBorders>
              <w:top w:val="nil"/>
              <w:left w:val="nil"/>
              <w:bottom w:val="nil"/>
              <w:right w:val="nil"/>
            </w:tcBorders>
            <w:shd w:val="clear" w:color="auto" w:fill="auto"/>
            <w:noWrap/>
            <w:vAlign w:val="bottom"/>
            <w:hideMark/>
          </w:tcPr>
          <w:p w14:paraId="5DC1502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78,27%</w:t>
            </w:r>
          </w:p>
        </w:tc>
      </w:tr>
      <w:tr w:rsidR="00A360DB" w:rsidRPr="00A360DB" w14:paraId="08F75532"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2CD3686A"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45596540"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12.000,00</w:t>
            </w:r>
          </w:p>
        </w:tc>
        <w:tc>
          <w:tcPr>
            <w:tcW w:w="1380" w:type="dxa"/>
            <w:tcBorders>
              <w:top w:val="nil"/>
              <w:left w:val="nil"/>
              <w:bottom w:val="nil"/>
              <w:right w:val="nil"/>
            </w:tcBorders>
            <w:shd w:val="clear" w:color="auto" w:fill="auto"/>
            <w:noWrap/>
            <w:vAlign w:val="bottom"/>
            <w:hideMark/>
          </w:tcPr>
          <w:p w14:paraId="118E31AD"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9.392,00</w:t>
            </w:r>
          </w:p>
        </w:tc>
        <w:tc>
          <w:tcPr>
            <w:tcW w:w="1400" w:type="dxa"/>
            <w:tcBorders>
              <w:top w:val="nil"/>
              <w:left w:val="nil"/>
              <w:bottom w:val="nil"/>
              <w:right w:val="nil"/>
            </w:tcBorders>
            <w:shd w:val="clear" w:color="auto" w:fill="auto"/>
            <w:noWrap/>
            <w:vAlign w:val="bottom"/>
            <w:hideMark/>
          </w:tcPr>
          <w:p w14:paraId="17148321"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78,27%</w:t>
            </w:r>
          </w:p>
        </w:tc>
      </w:tr>
      <w:tr w:rsidR="00A360DB" w:rsidRPr="00A360DB" w14:paraId="3038269F" w14:textId="77777777" w:rsidTr="00A360DB">
        <w:trPr>
          <w:trHeight w:val="240"/>
        </w:trPr>
        <w:tc>
          <w:tcPr>
            <w:tcW w:w="1697" w:type="dxa"/>
            <w:tcBorders>
              <w:top w:val="nil"/>
              <w:left w:val="nil"/>
              <w:bottom w:val="nil"/>
              <w:right w:val="nil"/>
            </w:tcBorders>
            <w:shd w:val="clear" w:color="auto" w:fill="auto"/>
            <w:noWrap/>
            <w:vAlign w:val="bottom"/>
            <w:hideMark/>
          </w:tcPr>
          <w:p w14:paraId="138C083A"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38</w:t>
            </w:r>
          </w:p>
        </w:tc>
        <w:tc>
          <w:tcPr>
            <w:tcW w:w="8509" w:type="dxa"/>
            <w:tcBorders>
              <w:top w:val="nil"/>
              <w:left w:val="nil"/>
              <w:bottom w:val="nil"/>
              <w:right w:val="nil"/>
            </w:tcBorders>
            <w:shd w:val="clear" w:color="auto" w:fill="auto"/>
            <w:noWrap/>
            <w:vAlign w:val="bottom"/>
            <w:hideMark/>
          </w:tcPr>
          <w:p w14:paraId="7E246139"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Ostali rashodi                                                                                      </w:t>
            </w:r>
          </w:p>
        </w:tc>
        <w:tc>
          <w:tcPr>
            <w:tcW w:w="1480" w:type="dxa"/>
            <w:tcBorders>
              <w:top w:val="nil"/>
              <w:left w:val="nil"/>
              <w:bottom w:val="nil"/>
              <w:right w:val="nil"/>
            </w:tcBorders>
            <w:shd w:val="clear" w:color="auto" w:fill="auto"/>
            <w:noWrap/>
            <w:vAlign w:val="bottom"/>
            <w:hideMark/>
          </w:tcPr>
          <w:p w14:paraId="54B2C4D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12.000,00</w:t>
            </w:r>
          </w:p>
        </w:tc>
        <w:tc>
          <w:tcPr>
            <w:tcW w:w="1380" w:type="dxa"/>
            <w:tcBorders>
              <w:top w:val="nil"/>
              <w:left w:val="nil"/>
              <w:bottom w:val="nil"/>
              <w:right w:val="nil"/>
            </w:tcBorders>
            <w:shd w:val="clear" w:color="auto" w:fill="auto"/>
            <w:noWrap/>
            <w:vAlign w:val="bottom"/>
            <w:hideMark/>
          </w:tcPr>
          <w:p w14:paraId="69362CC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9.392,00</w:t>
            </w:r>
          </w:p>
        </w:tc>
        <w:tc>
          <w:tcPr>
            <w:tcW w:w="1400" w:type="dxa"/>
            <w:tcBorders>
              <w:top w:val="nil"/>
              <w:left w:val="nil"/>
              <w:bottom w:val="nil"/>
              <w:right w:val="nil"/>
            </w:tcBorders>
            <w:shd w:val="clear" w:color="auto" w:fill="auto"/>
            <w:noWrap/>
            <w:vAlign w:val="bottom"/>
            <w:hideMark/>
          </w:tcPr>
          <w:p w14:paraId="5E60520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78,27%</w:t>
            </w:r>
          </w:p>
        </w:tc>
      </w:tr>
      <w:tr w:rsidR="00A360DB" w:rsidRPr="00A360DB" w14:paraId="0CB1A5C1" w14:textId="77777777" w:rsidTr="00A360DB">
        <w:trPr>
          <w:trHeight w:val="240"/>
        </w:trPr>
        <w:tc>
          <w:tcPr>
            <w:tcW w:w="1697" w:type="dxa"/>
            <w:tcBorders>
              <w:top w:val="nil"/>
              <w:left w:val="nil"/>
              <w:bottom w:val="nil"/>
              <w:right w:val="nil"/>
            </w:tcBorders>
            <w:shd w:val="clear" w:color="auto" w:fill="auto"/>
            <w:noWrap/>
            <w:vAlign w:val="bottom"/>
            <w:hideMark/>
          </w:tcPr>
          <w:p w14:paraId="752E653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3811</w:t>
            </w:r>
          </w:p>
        </w:tc>
        <w:tc>
          <w:tcPr>
            <w:tcW w:w="8509" w:type="dxa"/>
            <w:tcBorders>
              <w:top w:val="nil"/>
              <w:left w:val="nil"/>
              <w:bottom w:val="nil"/>
              <w:right w:val="nil"/>
            </w:tcBorders>
            <w:shd w:val="clear" w:color="auto" w:fill="auto"/>
            <w:noWrap/>
            <w:vAlign w:val="bottom"/>
            <w:hideMark/>
          </w:tcPr>
          <w:p w14:paraId="0FED1B4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Tekuće donacije u novcu                                                                             </w:t>
            </w:r>
          </w:p>
        </w:tc>
        <w:tc>
          <w:tcPr>
            <w:tcW w:w="1480" w:type="dxa"/>
            <w:tcBorders>
              <w:top w:val="nil"/>
              <w:left w:val="nil"/>
              <w:bottom w:val="nil"/>
              <w:right w:val="nil"/>
            </w:tcBorders>
            <w:shd w:val="clear" w:color="auto" w:fill="auto"/>
            <w:noWrap/>
            <w:vAlign w:val="bottom"/>
            <w:hideMark/>
          </w:tcPr>
          <w:p w14:paraId="163C9D8F"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2E7528DA"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9.392,00</w:t>
            </w:r>
          </w:p>
        </w:tc>
        <w:tc>
          <w:tcPr>
            <w:tcW w:w="1400" w:type="dxa"/>
            <w:tcBorders>
              <w:top w:val="nil"/>
              <w:left w:val="nil"/>
              <w:bottom w:val="nil"/>
              <w:right w:val="nil"/>
            </w:tcBorders>
            <w:shd w:val="clear" w:color="auto" w:fill="auto"/>
            <w:noWrap/>
            <w:vAlign w:val="bottom"/>
            <w:hideMark/>
          </w:tcPr>
          <w:p w14:paraId="5FAD0BFC"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4CC9138" w14:textId="77777777" w:rsidTr="00A360DB">
        <w:trPr>
          <w:trHeight w:val="240"/>
        </w:trPr>
        <w:tc>
          <w:tcPr>
            <w:tcW w:w="1697" w:type="dxa"/>
            <w:tcBorders>
              <w:top w:val="nil"/>
              <w:left w:val="nil"/>
              <w:bottom w:val="nil"/>
              <w:right w:val="nil"/>
            </w:tcBorders>
            <w:shd w:val="clear" w:color="000000" w:fill="B4C6E7"/>
            <w:noWrap/>
            <w:vAlign w:val="bottom"/>
            <w:hideMark/>
          </w:tcPr>
          <w:p w14:paraId="1630A379"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A102402</w:t>
            </w:r>
          </w:p>
        </w:tc>
        <w:tc>
          <w:tcPr>
            <w:tcW w:w="8509" w:type="dxa"/>
            <w:tcBorders>
              <w:top w:val="nil"/>
              <w:left w:val="nil"/>
              <w:bottom w:val="nil"/>
              <w:right w:val="nil"/>
            </w:tcBorders>
            <w:shd w:val="clear" w:color="000000" w:fill="B4C6E7"/>
            <w:noWrap/>
            <w:vAlign w:val="bottom"/>
            <w:hideMark/>
          </w:tcPr>
          <w:p w14:paraId="62FC21EF"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Djelatnost vjerskih zajednica</w:t>
            </w:r>
          </w:p>
        </w:tc>
        <w:tc>
          <w:tcPr>
            <w:tcW w:w="1480" w:type="dxa"/>
            <w:tcBorders>
              <w:top w:val="nil"/>
              <w:left w:val="nil"/>
              <w:bottom w:val="nil"/>
              <w:right w:val="nil"/>
            </w:tcBorders>
            <w:shd w:val="clear" w:color="000000" w:fill="B4C6E7"/>
            <w:noWrap/>
            <w:vAlign w:val="bottom"/>
            <w:hideMark/>
          </w:tcPr>
          <w:p w14:paraId="7DAECAE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5.620,00</w:t>
            </w:r>
          </w:p>
        </w:tc>
        <w:tc>
          <w:tcPr>
            <w:tcW w:w="1380" w:type="dxa"/>
            <w:tcBorders>
              <w:top w:val="nil"/>
              <w:left w:val="nil"/>
              <w:bottom w:val="nil"/>
              <w:right w:val="nil"/>
            </w:tcBorders>
            <w:shd w:val="clear" w:color="000000" w:fill="B4C6E7"/>
            <w:noWrap/>
            <w:vAlign w:val="bottom"/>
            <w:hideMark/>
          </w:tcPr>
          <w:p w14:paraId="35A9F9A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4.273,78</w:t>
            </w:r>
          </w:p>
        </w:tc>
        <w:tc>
          <w:tcPr>
            <w:tcW w:w="1400" w:type="dxa"/>
            <w:tcBorders>
              <w:top w:val="nil"/>
              <w:left w:val="nil"/>
              <w:bottom w:val="nil"/>
              <w:right w:val="nil"/>
            </w:tcBorders>
            <w:shd w:val="clear" w:color="000000" w:fill="B4C6E7"/>
            <w:noWrap/>
            <w:vAlign w:val="bottom"/>
            <w:hideMark/>
          </w:tcPr>
          <w:p w14:paraId="54DB1BF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76,05%</w:t>
            </w:r>
          </w:p>
        </w:tc>
      </w:tr>
      <w:tr w:rsidR="00A360DB" w:rsidRPr="00A360DB" w14:paraId="744DDB85"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6EBFDEA"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lastRenderedPageBreak/>
              <w:t>Izvor 1. Opći prihodi i primici</w:t>
            </w:r>
          </w:p>
        </w:tc>
        <w:tc>
          <w:tcPr>
            <w:tcW w:w="1480" w:type="dxa"/>
            <w:tcBorders>
              <w:top w:val="nil"/>
              <w:left w:val="nil"/>
              <w:bottom w:val="nil"/>
              <w:right w:val="nil"/>
            </w:tcBorders>
            <w:shd w:val="clear" w:color="auto" w:fill="auto"/>
            <w:noWrap/>
            <w:vAlign w:val="bottom"/>
            <w:hideMark/>
          </w:tcPr>
          <w:p w14:paraId="0678DB7E"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5.620,00</w:t>
            </w:r>
          </w:p>
        </w:tc>
        <w:tc>
          <w:tcPr>
            <w:tcW w:w="1380" w:type="dxa"/>
            <w:tcBorders>
              <w:top w:val="nil"/>
              <w:left w:val="nil"/>
              <w:bottom w:val="nil"/>
              <w:right w:val="nil"/>
            </w:tcBorders>
            <w:shd w:val="clear" w:color="auto" w:fill="auto"/>
            <w:noWrap/>
            <w:vAlign w:val="bottom"/>
            <w:hideMark/>
          </w:tcPr>
          <w:p w14:paraId="65893050"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4.273,78</w:t>
            </w:r>
          </w:p>
        </w:tc>
        <w:tc>
          <w:tcPr>
            <w:tcW w:w="1400" w:type="dxa"/>
            <w:tcBorders>
              <w:top w:val="nil"/>
              <w:left w:val="nil"/>
              <w:bottom w:val="nil"/>
              <w:right w:val="nil"/>
            </w:tcBorders>
            <w:shd w:val="clear" w:color="auto" w:fill="auto"/>
            <w:noWrap/>
            <w:vAlign w:val="bottom"/>
            <w:hideMark/>
          </w:tcPr>
          <w:p w14:paraId="5B0F4819"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76,05%</w:t>
            </w:r>
          </w:p>
        </w:tc>
      </w:tr>
      <w:tr w:rsidR="00A360DB" w:rsidRPr="00A360DB" w14:paraId="1887F78E"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9EB617E"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0608196F"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5.620,00</w:t>
            </w:r>
          </w:p>
        </w:tc>
        <w:tc>
          <w:tcPr>
            <w:tcW w:w="1380" w:type="dxa"/>
            <w:tcBorders>
              <w:top w:val="nil"/>
              <w:left w:val="nil"/>
              <w:bottom w:val="nil"/>
              <w:right w:val="nil"/>
            </w:tcBorders>
            <w:shd w:val="clear" w:color="auto" w:fill="auto"/>
            <w:noWrap/>
            <w:vAlign w:val="bottom"/>
            <w:hideMark/>
          </w:tcPr>
          <w:p w14:paraId="7FC4780F"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4.273,78</w:t>
            </w:r>
          </w:p>
        </w:tc>
        <w:tc>
          <w:tcPr>
            <w:tcW w:w="1400" w:type="dxa"/>
            <w:tcBorders>
              <w:top w:val="nil"/>
              <w:left w:val="nil"/>
              <w:bottom w:val="nil"/>
              <w:right w:val="nil"/>
            </w:tcBorders>
            <w:shd w:val="clear" w:color="auto" w:fill="auto"/>
            <w:noWrap/>
            <w:vAlign w:val="bottom"/>
            <w:hideMark/>
          </w:tcPr>
          <w:p w14:paraId="2F3ED541"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76,05%</w:t>
            </w:r>
          </w:p>
        </w:tc>
      </w:tr>
      <w:tr w:rsidR="00A360DB" w:rsidRPr="00A360DB" w14:paraId="4A4389B8" w14:textId="77777777" w:rsidTr="00A360DB">
        <w:trPr>
          <w:trHeight w:val="240"/>
        </w:trPr>
        <w:tc>
          <w:tcPr>
            <w:tcW w:w="1697" w:type="dxa"/>
            <w:tcBorders>
              <w:top w:val="nil"/>
              <w:left w:val="nil"/>
              <w:bottom w:val="nil"/>
              <w:right w:val="nil"/>
            </w:tcBorders>
            <w:shd w:val="clear" w:color="auto" w:fill="auto"/>
            <w:noWrap/>
            <w:vAlign w:val="bottom"/>
            <w:hideMark/>
          </w:tcPr>
          <w:p w14:paraId="3330CD5E"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38</w:t>
            </w:r>
          </w:p>
        </w:tc>
        <w:tc>
          <w:tcPr>
            <w:tcW w:w="8509" w:type="dxa"/>
            <w:tcBorders>
              <w:top w:val="nil"/>
              <w:left w:val="nil"/>
              <w:bottom w:val="nil"/>
              <w:right w:val="nil"/>
            </w:tcBorders>
            <w:shd w:val="clear" w:color="auto" w:fill="auto"/>
            <w:noWrap/>
            <w:vAlign w:val="bottom"/>
            <w:hideMark/>
          </w:tcPr>
          <w:p w14:paraId="72434D43"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Ostali rashodi                                                                                      </w:t>
            </w:r>
          </w:p>
        </w:tc>
        <w:tc>
          <w:tcPr>
            <w:tcW w:w="1480" w:type="dxa"/>
            <w:tcBorders>
              <w:top w:val="nil"/>
              <w:left w:val="nil"/>
              <w:bottom w:val="nil"/>
              <w:right w:val="nil"/>
            </w:tcBorders>
            <w:shd w:val="clear" w:color="auto" w:fill="auto"/>
            <w:noWrap/>
            <w:vAlign w:val="bottom"/>
            <w:hideMark/>
          </w:tcPr>
          <w:p w14:paraId="1AF7F36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5.620,00</w:t>
            </w:r>
          </w:p>
        </w:tc>
        <w:tc>
          <w:tcPr>
            <w:tcW w:w="1380" w:type="dxa"/>
            <w:tcBorders>
              <w:top w:val="nil"/>
              <w:left w:val="nil"/>
              <w:bottom w:val="nil"/>
              <w:right w:val="nil"/>
            </w:tcBorders>
            <w:shd w:val="clear" w:color="auto" w:fill="auto"/>
            <w:noWrap/>
            <w:vAlign w:val="bottom"/>
            <w:hideMark/>
          </w:tcPr>
          <w:p w14:paraId="3542B8F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4.273,78</w:t>
            </w:r>
          </w:p>
        </w:tc>
        <w:tc>
          <w:tcPr>
            <w:tcW w:w="1400" w:type="dxa"/>
            <w:tcBorders>
              <w:top w:val="nil"/>
              <w:left w:val="nil"/>
              <w:bottom w:val="nil"/>
              <w:right w:val="nil"/>
            </w:tcBorders>
            <w:shd w:val="clear" w:color="auto" w:fill="auto"/>
            <w:noWrap/>
            <w:vAlign w:val="bottom"/>
            <w:hideMark/>
          </w:tcPr>
          <w:p w14:paraId="5BBF058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76,05%</w:t>
            </w:r>
          </w:p>
        </w:tc>
      </w:tr>
      <w:tr w:rsidR="00A360DB" w:rsidRPr="00A360DB" w14:paraId="3FF2DD55" w14:textId="77777777" w:rsidTr="00A360DB">
        <w:trPr>
          <w:trHeight w:val="240"/>
        </w:trPr>
        <w:tc>
          <w:tcPr>
            <w:tcW w:w="1697" w:type="dxa"/>
            <w:tcBorders>
              <w:top w:val="nil"/>
              <w:left w:val="nil"/>
              <w:bottom w:val="nil"/>
              <w:right w:val="nil"/>
            </w:tcBorders>
            <w:shd w:val="clear" w:color="auto" w:fill="auto"/>
            <w:noWrap/>
            <w:vAlign w:val="bottom"/>
            <w:hideMark/>
          </w:tcPr>
          <w:p w14:paraId="1C073FD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3811</w:t>
            </w:r>
          </w:p>
        </w:tc>
        <w:tc>
          <w:tcPr>
            <w:tcW w:w="8509" w:type="dxa"/>
            <w:tcBorders>
              <w:top w:val="nil"/>
              <w:left w:val="nil"/>
              <w:bottom w:val="nil"/>
              <w:right w:val="nil"/>
            </w:tcBorders>
            <w:shd w:val="clear" w:color="auto" w:fill="auto"/>
            <w:noWrap/>
            <w:vAlign w:val="bottom"/>
            <w:hideMark/>
          </w:tcPr>
          <w:p w14:paraId="5D291FCD"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Tekuće donacije u novcu                                                                             </w:t>
            </w:r>
          </w:p>
        </w:tc>
        <w:tc>
          <w:tcPr>
            <w:tcW w:w="1480" w:type="dxa"/>
            <w:tcBorders>
              <w:top w:val="nil"/>
              <w:left w:val="nil"/>
              <w:bottom w:val="nil"/>
              <w:right w:val="nil"/>
            </w:tcBorders>
            <w:shd w:val="clear" w:color="auto" w:fill="auto"/>
            <w:noWrap/>
            <w:vAlign w:val="bottom"/>
            <w:hideMark/>
          </w:tcPr>
          <w:p w14:paraId="0DB5EF9D"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17B62258"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2.663,62</w:t>
            </w:r>
          </w:p>
        </w:tc>
        <w:tc>
          <w:tcPr>
            <w:tcW w:w="1400" w:type="dxa"/>
            <w:tcBorders>
              <w:top w:val="nil"/>
              <w:left w:val="nil"/>
              <w:bottom w:val="nil"/>
              <w:right w:val="nil"/>
            </w:tcBorders>
            <w:shd w:val="clear" w:color="auto" w:fill="auto"/>
            <w:noWrap/>
            <w:vAlign w:val="bottom"/>
            <w:hideMark/>
          </w:tcPr>
          <w:p w14:paraId="4150484F"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75C57C1" w14:textId="77777777" w:rsidTr="00A360DB">
        <w:trPr>
          <w:trHeight w:val="240"/>
        </w:trPr>
        <w:tc>
          <w:tcPr>
            <w:tcW w:w="1697" w:type="dxa"/>
            <w:tcBorders>
              <w:top w:val="nil"/>
              <w:left w:val="nil"/>
              <w:bottom w:val="nil"/>
              <w:right w:val="nil"/>
            </w:tcBorders>
            <w:shd w:val="clear" w:color="auto" w:fill="auto"/>
            <w:noWrap/>
            <w:vAlign w:val="bottom"/>
            <w:hideMark/>
          </w:tcPr>
          <w:p w14:paraId="6321EF87"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3821</w:t>
            </w:r>
          </w:p>
        </w:tc>
        <w:tc>
          <w:tcPr>
            <w:tcW w:w="8509" w:type="dxa"/>
            <w:tcBorders>
              <w:top w:val="nil"/>
              <w:left w:val="nil"/>
              <w:bottom w:val="nil"/>
              <w:right w:val="nil"/>
            </w:tcBorders>
            <w:shd w:val="clear" w:color="auto" w:fill="auto"/>
            <w:noWrap/>
            <w:vAlign w:val="bottom"/>
            <w:hideMark/>
          </w:tcPr>
          <w:p w14:paraId="27EEEC3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Kapitalne donacije neprofitnim organizacijama                                                       </w:t>
            </w:r>
          </w:p>
        </w:tc>
        <w:tc>
          <w:tcPr>
            <w:tcW w:w="1480" w:type="dxa"/>
            <w:tcBorders>
              <w:top w:val="nil"/>
              <w:left w:val="nil"/>
              <w:bottom w:val="nil"/>
              <w:right w:val="nil"/>
            </w:tcBorders>
            <w:shd w:val="clear" w:color="auto" w:fill="auto"/>
            <w:noWrap/>
            <w:vAlign w:val="bottom"/>
            <w:hideMark/>
          </w:tcPr>
          <w:p w14:paraId="13E95347"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92C74F9"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1.610,16</w:t>
            </w:r>
          </w:p>
        </w:tc>
        <w:tc>
          <w:tcPr>
            <w:tcW w:w="1400" w:type="dxa"/>
            <w:tcBorders>
              <w:top w:val="nil"/>
              <w:left w:val="nil"/>
              <w:bottom w:val="nil"/>
              <w:right w:val="nil"/>
            </w:tcBorders>
            <w:shd w:val="clear" w:color="auto" w:fill="auto"/>
            <w:noWrap/>
            <w:vAlign w:val="bottom"/>
            <w:hideMark/>
          </w:tcPr>
          <w:p w14:paraId="39907EC6"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18619B8" w14:textId="77777777" w:rsidTr="00A360DB">
        <w:trPr>
          <w:trHeight w:val="240"/>
        </w:trPr>
        <w:tc>
          <w:tcPr>
            <w:tcW w:w="1697" w:type="dxa"/>
            <w:tcBorders>
              <w:top w:val="nil"/>
              <w:left w:val="nil"/>
              <w:bottom w:val="nil"/>
              <w:right w:val="nil"/>
            </w:tcBorders>
            <w:shd w:val="clear" w:color="000000" w:fill="B4C6E7"/>
            <w:noWrap/>
            <w:vAlign w:val="bottom"/>
            <w:hideMark/>
          </w:tcPr>
          <w:p w14:paraId="2C9F818C"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K102401</w:t>
            </w:r>
          </w:p>
        </w:tc>
        <w:tc>
          <w:tcPr>
            <w:tcW w:w="8509" w:type="dxa"/>
            <w:tcBorders>
              <w:top w:val="nil"/>
              <w:left w:val="nil"/>
              <w:bottom w:val="nil"/>
              <w:right w:val="nil"/>
            </w:tcBorders>
            <w:shd w:val="clear" w:color="000000" w:fill="B4C6E7"/>
            <w:noWrap/>
            <w:vAlign w:val="bottom"/>
            <w:hideMark/>
          </w:tcPr>
          <w:p w14:paraId="7E39AA34"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Kapitalni projekt: Obnova sakralnih objekata</w:t>
            </w:r>
          </w:p>
        </w:tc>
        <w:tc>
          <w:tcPr>
            <w:tcW w:w="1480" w:type="dxa"/>
            <w:tcBorders>
              <w:top w:val="nil"/>
              <w:left w:val="nil"/>
              <w:bottom w:val="nil"/>
              <w:right w:val="nil"/>
            </w:tcBorders>
            <w:shd w:val="clear" w:color="000000" w:fill="B4C6E7"/>
            <w:noWrap/>
            <w:vAlign w:val="bottom"/>
            <w:hideMark/>
          </w:tcPr>
          <w:p w14:paraId="05437EA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9.000,00</w:t>
            </w:r>
          </w:p>
        </w:tc>
        <w:tc>
          <w:tcPr>
            <w:tcW w:w="1380" w:type="dxa"/>
            <w:tcBorders>
              <w:top w:val="nil"/>
              <w:left w:val="nil"/>
              <w:bottom w:val="nil"/>
              <w:right w:val="nil"/>
            </w:tcBorders>
            <w:shd w:val="clear" w:color="000000" w:fill="B4C6E7"/>
            <w:noWrap/>
            <w:vAlign w:val="bottom"/>
            <w:hideMark/>
          </w:tcPr>
          <w:p w14:paraId="095DDC8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9.000,00</w:t>
            </w:r>
          </w:p>
        </w:tc>
        <w:tc>
          <w:tcPr>
            <w:tcW w:w="1400" w:type="dxa"/>
            <w:tcBorders>
              <w:top w:val="nil"/>
              <w:left w:val="nil"/>
              <w:bottom w:val="nil"/>
              <w:right w:val="nil"/>
            </w:tcBorders>
            <w:shd w:val="clear" w:color="000000" w:fill="B4C6E7"/>
            <w:noWrap/>
            <w:vAlign w:val="bottom"/>
            <w:hideMark/>
          </w:tcPr>
          <w:p w14:paraId="70E0F78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r>
      <w:tr w:rsidR="00A360DB" w:rsidRPr="00A360DB" w14:paraId="0FDBA0E8"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1095698F"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4EFF51E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9.000,00</w:t>
            </w:r>
          </w:p>
        </w:tc>
        <w:tc>
          <w:tcPr>
            <w:tcW w:w="1380" w:type="dxa"/>
            <w:tcBorders>
              <w:top w:val="nil"/>
              <w:left w:val="nil"/>
              <w:bottom w:val="nil"/>
              <w:right w:val="nil"/>
            </w:tcBorders>
            <w:shd w:val="clear" w:color="auto" w:fill="auto"/>
            <w:noWrap/>
            <w:vAlign w:val="bottom"/>
            <w:hideMark/>
          </w:tcPr>
          <w:p w14:paraId="33F56CFC"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9.000,00</w:t>
            </w:r>
          </w:p>
        </w:tc>
        <w:tc>
          <w:tcPr>
            <w:tcW w:w="1400" w:type="dxa"/>
            <w:tcBorders>
              <w:top w:val="nil"/>
              <w:left w:val="nil"/>
              <w:bottom w:val="nil"/>
              <w:right w:val="nil"/>
            </w:tcBorders>
            <w:shd w:val="clear" w:color="auto" w:fill="auto"/>
            <w:noWrap/>
            <w:vAlign w:val="bottom"/>
            <w:hideMark/>
          </w:tcPr>
          <w:p w14:paraId="6962D6E9"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w:t>
            </w:r>
          </w:p>
        </w:tc>
      </w:tr>
      <w:tr w:rsidR="00A360DB" w:rsidRPr="00A360DB" w14:paraId="2C236EB6"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7B8AC36"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02B37BD9"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9.000,00</w:t>
            </w:r>
          </w:p>
        </w:tc>
        <w:tc>
          <w:tcPr>
            <w:tcW w:w="1380" w:type="dxa"/>
            <w:tcBorders>
              <w:top w:val="nil"/>
              <w:left w:val="nil"/>
              <w:bottom w:val="nil"/>
              <w:right w:val="nil"/>
            </w:tcBorders>
            <w:shd w:val="clear" w:color="auto" w:fill="auto"/>
            <w:noWrap/>
            <w:vAlign w:val="bottom"/>
            <w:hideMark/>
          </w:tcPr>
          <w:p w14:paraId="3AA2DA6C"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9.000,00</w:t>
            </w:r>
          </w:p>
        </w:tc>
        <w:tc>
          <w:tcPr>
            <w:tcW w:w="1400" w:type="dxa"/>
            <w:tcBorders>
              <w:top w:val="nil"/>
              <w:left w:val="nil"/>
              <w:bottom w:val="nil"/>
              <w:right w:val="nil"/>
            </w:tcBorders>
            <w:shd w:val="clear" w:color="auto" w:fill="auto"/>
            <w:noWrap/>
            <w:vAlign w:val="bottom"/>
            <w:hideMark/>
          </w:tcPr>
          <w:p w14:paraId="14A2299F"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w:t>
            </w:r>
          </w:p>
        </w:tc>
      </w:tr>
      <w:tr w:rsidR="00A360DB" w:rsidRPr="00A360DB" w14:paraId="7897EF4C" w14:textId="77777777" w:rsidTr="00A360DB">
        <w:trPr>
          <w:trHeight w:val="240"/>
        </w:trPr>
        <w:tc>
          <w:tcPr>
            <w:tcW w:w="1697" w:type="dxa"/>
            <w:tcBorders>
              <w:top w:val="nil"/>
              <w:left w:val="nil"/>
              <w:bottom w:val="nil"/>
              <w:right w:val="nil"/>
            </w:tcBorders>
            <w:shd w:val="clear" w:color="auto" w:fill="auto"/>
            <w:noWrap/>
            <w:vAlign w:val="bottom"/>
            <w:hideMark/>
          </w:tcPr>
          <w:p w14:paraId="665B0D90"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38</w:t>
            </w:r>
          </w:p>
        </w:tc>
        <w:tc>
          <w:tcPr>
            <w:tcW w:w="8509" w:type="dxa"/>
            <w:tcBorders>
              <w:top w:val="nil"/>
              <w:left w:val="nil"/>
              <w:bottom w:val="nil"/>
              <w:right w:val="nil"/>
            </w:tcBorders>
            <w:shd w:val="clear" w:color="auto" w:fill="auto"/>
            <w:noWrap/>
            <w:vAlign w:val="bottom"/>
            <w:hideMark/>
          </w:tcPr>
          <w:p w14:paraId="4E243829"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Ostali rashodi                                                                                      </w:t>
            </w:r>
          </w:p>
        </w:tc>
        <w:tc>
          <w:tcPr>
            <w:tcW w:w="1480" w:type="dxa"/>
            <w:tcBorders>
              <w:top w:val="nil"/>
              <w:left w:val="nil"/>
              <w:bottom w:val="nil"/>
              <w:right w:val="nil"/>
            </w:tcBorders>
            <w:shd w:val="clear" w:color="auto" w:fill="auto"/>
            <w:noWrap/>
            <w:vAlign w:val="bottom"/>
            <w:hideMark/>
          </w:tcPr>
          <w:p w14:paraId="5E8B577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9.000,00</w:t>
            </w:r>
          </w:p>
        </w:tc>
        <w:tc>
          <w:tcPr>
            <w:tcW w:w="1380" w:type="dxa"/>
            <w:tcBorders>
              <w:top w:val="nil"/>
              <w:left w:val="nil"/>
              <w:bottom w:val="nil"/>
              <w:right w:val="nil"/>
            </w:tcBorders>
            <w:shd w:val="clear" w:color="auto" w:fill="auto"/>
            <w:noWrap/>
            <w:vAlign w:val="bottom"/>
            <w:hideMark/>
          </w:tcPr>
          <w:p w14:paraId="22A7FAA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9.000,00</w:t>
            </w:r>
          </w:p>
        </w:tc>
        <w:tc>
          <w:tcPr>
            <w:tcW w:w="1400" w:type="dxa"/>
            <w:tcBorders>
              <w:top w:val="nil"/>
              <w:left w:val="nil"/>
              <w:bottom w:val="nil"/>
              <w:right w:val="nil"/>
            </w:tcBorders>
            <w:shd w:val="clear" w:color="auto" w:fill="auto"/>
            <w:noWrap/>
            <w:vAlign w:val="bottom"/>
            <w:hideMark/>
          </w:tcPr>
          <w:p w14:paraId="2148956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r>
      <w:tr w:rsidR="00A360DB" w:rsidRPr="00A360DB" w14:paraId="273E72E0" w14:textId="77777777" w:rsidTr="00A360DB">
        <w:trPr>
          <w:trHeight w:val="240"/>
        </w:trPr>
        <w:tc>
          <w:tcPr>
            <w:tcW w:w="1697" w:type="dxa"/>
            <w:tcBorders>
              <w:top w:val="nil"/>
              <w:left w:val="nil"/>
              <w:bottom w:val="nil"/>
              <w:right w:val="nil"/>
            </w:tcBorders>
            <w:shd w:val="clear" w:color="auto" w:fill="auto"/>
            <w:noWrap/>
            <w:vAlign w:val="bottom"/>
            <w:hideMark/>
          </w:tcPr>
          <w:p w14:paraId="77C42BDE"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3821</w:t>
            </w:r>
          </w:p>
        </w:tc>
        <w:tc>
          <w:tcPr>
            <w:tcW w:w="8509" w:type="dxa"/>
            <w:tcBorders>
              <w:top w:val="nil"/>
              <w:left w:val="nil"/>
              <w:bottom w:val="nil"/>
              <w:right w:val="nil"/>
            </w:tcBorders>
            <w:shd w:val="clear" w:color="auto" w:fill="auto"/>
            <w:noWrap/>
            <w:vAlign w:val="bottom"/>
            <w:hideMark/>
          </w:tcPr>
          <w:p w14:paraId="3BD3EE3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Kapitalne donacije neprofitnim organizacijama                                                       </w:t>
            </w:r>
          </w:p>
        </w:tc>
        <w:tc>
          <w:tcPr>
            <w:tcW w:w="1480" w:type="dxa"/>
            <w:tcBorders>
              <w:top w:val="nil"/>
              <w:left w:val="nil"/>
              <w:bottom w:val="nil"/>
              <w:right w:val="nil"/>
            </w:tcBorders>
            <w:shd w:val="clear" w:color="auto" w:fill="auto"/>
            <w:noWrap/>
            <w:vAlign w:val="bottom"/>
            <w:hideMark/>
          </w:tcPr>
          <w:p w14:paraId="4C65A218"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20859D1"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9.000,00</w:t>
            </w:r>
          </w:p>
        </w:tc>
        <w:tc>
          <w:tcPr>
            <w:tcW w:w="1400" w:type="dxa"/>
            <w:tcBorders>
              <w:top w:val="nil"/>
              <w:left w:val="nil"/>
              <w:bottom w:val="nil"/>
              <w:right w:val="nil"/>
            </w:tcBorders>
            <w:shd w:val="clear" w:color="auto" w:fill="auto"/>
            <w:noWrap/>
            <w:vAlign w:val="bottom"/>
            <w:hideMark/>
          </w:tcPr>
          <w:p w14:paraId="456AA4BB"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20FB6882" w14:textId="77777777" w:rsidTr="00A360DB">
        <w:trPr>
          <w:trHeight w:val="240"/>
        </w:trPr>
        <w:tc>
          <w:tcPr>
            <w:tcW w:w="10206" w:type="dxa"/>
            <w:gridSpan w:val="2"/>
            <w:tcBorders>
              <w:top w:val="nil"/>
              <w:left w:val="nil"/>
              <w:bottom w:val="nil"/>
              <w:right w:val="nil"/>
            </w:tcBorders>
            <w:shd w:val="clear" w:color="000000" w:fill="8994FB"/>
            <w:noWrap/>
            <w:vAlign w:val="bottom"/>
            <w:hideMark/>
          </w:tcPr>
          <w:p w14:paraId="21C9C628"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GLAVA 00202 VATROGASNE POSTROJBE</w:t>
            </w:r>
          </w:p>
        </w:tc>
        <w:tc>
          <w:tcPr>
            <w:tcW w:w="1480" w:type="dxa"/>
            <w:tcBorders>
              <w:top w:val="nil"/>
              <w:left w:val="nil"/>
              <w:bottom w:val="nil"/>
              <w:right w:val="nil"/>
            </w:tcBorders>
            <w:shd w:val="clear" w:color="000000" w:fill="8994FB"/>
            <w:noWrap/>
            <w:vAlign w:val="bottom"/>
            <w:hideMark/>
          </w:tcPr>
          <w:p w14:paraId="54C3AAA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936.526,20</w:t>
            </w:r>
          </w:p>
        </w:tc>
        <w:tc>
          <w:tcPr>
            <w:tcW w:w="1380" w:type="dxa"/>
            <w:tcBorders>
              <w:top w:val="nil"/>
              <w:left w:val="nil"/>
              <w:bottom w:val="nil"/>
              <w:right w:val="nil"/>
            </w:tcBorders>
            <w:shd w:val="clear" w:color="000000" w:fill="8994FB"/>
            <w:noWrap/>
            <w:vAlign w:val="bottom"/>
            <w:hideMark/>
          </w:tcPr>
          <w:p w14:paraId="71766C0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922.771,34</w:t>
            </w:r>
          </w:p>
        </w:tc>
        <w:tc>
          <w:tcPr>
            <w:tcW w:w="1400" w:type="dxa"/>
            <w:tcBorders>
              <w:top w:val="nil"/>
              <w:left w:val="nil"/>
              <w:bottom w:val="nil"/>
              <w:right w:val="nil"/>
            </w:tcBorders>
            <w:shd w:val="clear" w:color="000000" w:fill="8994FB"/>
            <w:noWrap/>
            <w:vAlign w:val="bottom"/>
            <w:hideMark/>
          </w:tcPr>
          <w:p w14:paraId="671B64E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98,53%</w:t>
            </w:r>
          </w:p>
        </w:tc>
      </w:tr>
      <w:tr w:rsidR="00A360DB" w:rsidRPr="00A360DB" w14:paraId="76B3CFE1" w14:textId="77777777" w:rsidTr="00A360DB">
        <w:trPr>
          <w:trHeight w:val="240"/>
        </w:trPr>
        <w:tc>
          <w:tcPr>
            <w:tcW w:w="10206" w:type="dxa"/>
            <w:gridSpan w:val="2"/>
            <w:tcBorders>
              <w:top w:val="nil"/>
              <w:left w:val="nil"/>
              <w:bottom w:val="nil"/>
              <w:right w:val="nil"/>
            </w:tcBorders>
            <w:shd w:val="clear" w:color="000000" w:fill="8994FB"/>
            <w:noWrap/>
            <w:vAlign w:val="bottom"/>
            <w:hideMark/>
          </w:tcPr>
          <w:p w14:paraId="67E51499"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PROR. KORISNIK 34709 JAVNA VATROGASNA POSTROJBA</w:t>
            </w:r>
          </w:p>
        </w:tc>
        <w:tc>
          <w:tcPr>
            <w:tcW w:w="1480" w:type="dxa"/>
            <w:tcBorders>
              <w:top w:val="nil"/>
              <w:left w:val="nil"/>
              <w:bottom w:val="nil"/>
              <w:right w:val="nil"/>
            </w:tcBorders>
            <w:shd w:val="clear" w:color="000000" w:fill="8994FB"/>
            <w:noWrap/>
            <w:vAlign w:val="bottom"/>
            <w:hideMark/>
          </w:tcPr>
          <w:p w14:paraId="5A54157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936.526,20</w:t>
            </w:r>
          </w:p>
        </w:tc>
        <w:tc>
          <w:tcPr>
            <w:tcW w:w="1380" w:type="dxa"/>
            <w:tcBorders>
              <w:top w:val="nil"/>
              <w:left w:val="nil"/>
              <w:bottom w:val="nil"/>
              <w:right w:val="nil"/>
            </w:tcBorders>
            <w:shd w:val="clear" w:color="000000" w:fill="8994FB"/>
            <w:noWrap/>
            <w:vAlign w:val="bottom"/>
            <w:hideMark/>
          </w:tcPr>
          <w:p w14:paraId="66C82E9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922.771,34</w:t>
            </w:r>
          </w:p>
        </w:tc>
        <w:tc>
          <w:tcPr>
            <w:tcW w:w="1400" w:type="dxa"/>
            <w:tcBorders>
              <w:top w:val="nil"/>
              <w:left w:val="nil"/>
              <w:bottom w:val="nil"/>
              <w:right w:val="nil"/>
            </w:tcBorders>
            <w:shd w:val="clear" w:color="000000" w:fill="8994FB"/>
            <w:noWrap/>
            <w:vAlign w:val="bottom"/>
            <w:hideMark/>
          </w:tcPr>
          <w:p w14:paraId="28AFAE0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98,53%</w:t>
            </w:r>
          </w:p>
        </w:tc>
      </w:tr>
      <w:tr w:rsidR="00A360DB" w:rsidRPr="00A360DB" w14:paraId="65481659"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B3AD150"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4A7CDD87"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586.545,00</w:t>
            </w:r>
          </w:p>
        </w:tc>
        <w:tc>
          <w:tcPr>
            <w:tcW w:w="1380" w:type="dxa"/>
            <w:tcBorders>
              <w:top w:val="nil"/>
              <w:left w:val="nil"/>
              <w:bottom w:val="nil"/>
              <w:right w:val="nil"/>
            </w:tcBorders>
            <w:shd w:val="clear" w:color="auto" w:fill="auto"/>
            <w:noWrap/>
            <w:vAlign w:val="bottom"/>
            <w:hideMark/>
          </w:tcPr>
          <w:p w14:paraId="334B5A70"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582.713,92</w:t>
            </w:r>
          </w:p>
        </w:tc>
        <w:tc>
          <w:tcPr>
            <w:tcW w:w="1400" w:type="dxa"/>
            <w:tcBorders>
              <w:top w:val="nil"/>
              <w:left w:val="nil"/>
              <w:bottom w:val="nil"/>
              <w:right w:val="nil"/>
            </w:tcBorders>
            <w:shd w:val="clear" w:color="auto" w:fill="auto"/>
            <w:noWrap/>
            <w:vAlign w:val="bottom"/>
            <w:hideMark/>
          </w:tcPr>
          <w:p w14:paraId="6CD93EB8"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99,35%</w:t>
            </w:r>
          </w:p>
        </w:tc>
      </w:tr>
      <w:tr w:rsidR="00A360DB" w:rsidRPr="00A360DB" w14:paraId="7DEA43B8"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198E37C4"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7FFE0F19"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586.545,00</w:t>
            </w:r>
          </w:p>
        </w:tc>
        <w:tc>
          <w:tcPr>
            <w:tcW w:w="1380" w:type="dxa"/>
            <w:tcBorders>
              <w:top w:val="nil"/>
              <w:left w:val="nil"/>
              <w:bottom w:val="nil"/>
              <w:right w:val="nil"/>
            </w:tcBorders>
            <w:shd w:val="clear" w:color="auto" w:fill="auto"/>
            <w:noWrap/>
            <w:vAlign w:val="bottom"/>
            <w:hideMark/>
          </w:tcPr>
          <w:p w14:paraId="50963B6D"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582.713,92</w:t>
            </w:r>
          </w:p>
        </w:tc>
        <w:tc>
          <w:tcPr>
            <w:tcW w:w="1400" w:type="dxa"/>
            <w:tcBorders>
              <w:top w:val="nil"/>
              <w:left w:val="nil"/>
              <w:bottom w:val="nil"/>
              <w:right w:val="nil"/>
            </w:tcBorders>
            <w:shd w:val="clear" w:color="auto" w:fill="auto"/>
            <w:noWrap/>
            <w:vAlign w:val="bottom"/>
            <w:hideMark/>
          </w:tcPr>
          <w:p w14:paraId="2E729C7D"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99,35%</w:t>
            </w:r>
          </w:p>
        </w:tc>
      </w:tr>
      <w:tr w:rsidR="00A360DB" w:rsidRPr="00A360DB" w14:paraId="69204D5F"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1F34E1A8"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3. Vlastiti prihodi</w:t>
            </w:r>
          </w:p>
        </w:tc>
        <w:tc>
          <w:tcPr>
            <w:tcW w:w="1480" w:type="dxa"/>
            <w:tcBorders>
              <w:top w:val="nil"/>
              <w:left w:val="nil"/>
              <w:bottom w:val="nil"/>
              <w:right w:val="nil"/>
            </w:tcBorders>
            <w:shd w:val="clear" w:color="auto" w:fill="auto"/>
            <w:noWrap/>
            <w:vAlign w:val="bottom"/>
            <w:hideMark/>
          </w:tcPr>
          <w:p w14:paraId="4AC1AE97"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31.200,00</w:t>
            </w:r>
          </w:p>
        </w:tc>
        <w:tc>
          <w:tcPr>
            <w:tcW w:w="1380" w:type="dxa"/>
            <w:tcBorders>
              <w:top w:val="nil"/>
              <w:left w:val="nil"/>
              <w:bottom w:val="nil"/>
              <w:right w:val="nil"/>
            </w:tcBorders>
            <w:shd w:val="clear" w:color="auto" w:fill="auto"/>
            <w:noWrap/>
            <w:vAlign w:val="bottom"/>
            <w:hideMark/>
          </w:tcPr>
          <w:p w14:paraId="0353B86B"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22.740,61</w:t>
            </w:r>
          </w:p>
        </w:tc>
        <w:tc>
          <w:tcPr>
            <w:tcW w:w="1400" w:type="dxa"/>
            <w:tcBorders>
              <w:top w:val="nil"/>
              <w:left w:val="nil"/>
              <w:bottom w:val="nil"/>
              <w:right w:val="nil"/>
            </w:tcBorders>
            <w:shd w:val="clear" w:color="auto" w:fill="auto"/>
            <w:noWrap/>
            <w:vAlign w:val="bottom"/>
            <w:hideMark/>
          </w:tcPr>
          <w:p w14:paraId="3DD6810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72,89%</w:t>
            </w:r>
          </w:p>
        </w:tc>
      </w:tr>
      <w:tr w:rsidR="00A360DB" w:rsidRPr="00A360DB" w14:paraId="7485735E"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17451AF8"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3.1. Vlastiti prihodi</w:t>
            </w:r>
          </w:p>
        </w:tc>
        <w:tc>
          <w:tcPr>
            <w:tcW w:w="1480" w:type="dxa"/>
            <w:tcBorders>
              <w:top w:val="nil"/>
              <w:left w:val="nil"/>
              <w:bottom w:val="nil"/>
              <w:right w:val="nil"/>
            </w:tcBorders>
            <w:shd w:val="clear" w:color="auto" w:fill="auto"/>
            <w:noWrap/>
            <w:vAlign w:val="bottom"/>
            <w:hideMark/>
          </w:tcPr>
          <w:p w14:paraId="51284D52"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31.200,00</w:t>
            </w:r>
          </w:p>
        </w:tc>
        <w:tc>
          <w:tcPr>
            <w:tcW w:w="1380" w:type="dxa"/>
            <w:tcBorders>
              <w:top w:val="nil"/>
              <w:left w:val="nil"/>
              <w:bottom w:val="nil"/>
              <w:right w:val="nil"/>
            </w:tcBorders>
            <w:shd w:val="clear" w:color="auto" w:fill="auto"/>
            <w:noWrap/>
            <w:vAlign w:val="bottom"/>
            <w:hideMark/>
          </w:tcPr>
          <w:p w14:paraId="122B2998"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22.740,61</w:t>
            </w:r>
          </w:p>
        </w:tc>
        <w:tc>
          <w:tcPr>
            <w:tcW w:w="1400" w:type="dxa"/>
            <w:tcBorders>
              <w:top w:val="nil"/>
              <w:left w:val="nil"/>
              <w:bottom w:val="nil"/>
              <w:right w:val="nil"/>
            </w:tcBorders>
            <w:shd w:val="clear" w:color="auto" w:fill="auto"/>
            <w:noWrap/>
            <w:vAlign w:val="bottom"/>
            <w:hideMark/>
          </w:tcPr>
          <w:p w14:paraId="1CE767CA"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72,89%</w:t>
            </w:r>
          </w:p>
        </w:tc>
      </w:tr>
      <w:tr w:rsidR="00A360DB" w:rsidRPr="00A360DB" w14:paraId="7BB36182"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3EA7C5D3"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5. Pomoći</w:t>
            </w:r>
          </w:p>
        </w:tc>
        <w:tc>
          <w:tcPr>
            <w:tcW w:w="1480" w:type="dxa"/>
            <w:tcBorders>
              <w:top w:val="nil"/>
              <w:left w:val="nil"/>
              <w:bottom w:val="nil"/>
              <w:right w:val="nil"/>
            </w:tcBorders>
            <w:shd w:val="clear" w:color="auto" w:fill="auto"/>
            <w:noWrap/>
            <w:vAlign w:val="bottom"/>
            <w:hideMark/>
          </w:tcPr>
          <w:p w14:paraId="455D000D"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302.251,00</w:t>
            </w:r>
          </w:p>
        </w:tc>
        <w:tc>
          <w:tcPr>
            <w:tcW w:w="1380" w:type="dxa"/>
            <w:tcBorders>
              <w:top w:val="nil"/>
              <w:left w:val="nil"/>
              <w:bottom w:val="nil"/>
              <w:right w:val="nil"/>
            </w:tcBorders>
            <w:shd w:val="clear" w:color="auto" w:fill="auto"/>
            <w:noWrap/>
            <w:vAlign w:val="bottom"/>
            <w:hideMark/>
          </w:tcPr>
          <w:p w14:paraId="1BD7C8BE"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302.044,01</w:t>
            </w:r>
          </w:p>
        </w:tc>
        <w:tc>
          <w:tcPr>
            <w:tcW w:w="1400" w:type="dxa"/>
            <w:tcBorders>
              <w:top w:val="nil"/>
              <w:left w:val="nil"/>
              <w:bottom w:val="nil"/>
              <w:right w:val="nil"/>
            </w:tcBorders>
            <w:shd w:val="clear" w:color="auto" w:fill="auto"/>
            <w:noWrap/>
            <w:vAlign w:val="bottom"/>
            <w:hideMark/>
          </w:tcPr>
          <w:p w14:paraId="403CE895"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99,93%</w:t>
            </w:r>
          </w:p>
        </w:tc>
      </w:tr>
      <w:tr w:rsidR="00A360DB" w:rsidRPr="00A360DB" w14:paraId="21F14258"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2BB0C013"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5.2. Državni proračun</w:t>
            </w:r>
          </w:p>
        </w:tc>
        <w:tc>
          <w:tcPr>
            <w:tcW w:w="1480" w:type="dxa"/>
            <w:tcBorders>
              <w:top w:val="nil"/>
              <w:left w:val="nil"/>
              <w:bottom w:val="nil"/>
              <w:right w:val="nil"/>
            </w:tcBorders>
            <w:shd w:val="clear" w:color="auto" w:fill="auto"/>
            <w:noWrap/>
            <w:vAlign w:val="bottom"/>
            <w:hideMark/>
          </w:tcPr>
          <w:p w14:paraId="36C55884"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255.655,00</w:t>
            </w:r>
          </w:p>
        </w:tc>
        <w:tc>
          <w:tcPr>
            <w:tcW w:w="1380" w:type="dxa"/>
            <w:tcBorders>
              <w:top w:val="nil"/>
              <w:left w:val="nil"/>
              <w:bottom w:val="nil"/>
              <w:right w:val="nil"/>
            </w:tcBorders>
            <w:shd w:val="clear" w:color="auto" w:fill="auto"/>
            <w:noWrap/>
            <w:vAlign w:val="bottom"/>
            <w:hideMark/>
          </w:tcPr>
          <w:p w14:paraId="4BE1A1F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255.425,27</w:t>
            </w:r>
          </w:p>
        </w:tc>
        <w:tc>
          <w:tcPr>
            <w:tcW w:w="1400" w:type="dxa"/>
            <w:tcBorders>
              <w:top w:val="nil"/>
              <w:left w:val="nil"/>
              <w:bottom w:val="nil"/>
              <w:right w:val="nil"/>
            </w:tcBorders>
            <w:shd w:val="clear" w:color="auto" w:fill="auto"/>
            <w:noWrap/>
            <w:vAlign w:val="bottom"/>
            <w:hideMark/>
          </w:tcPr>
          <w:p w14:paraId="2A0F2453"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99,91%</w:t>
            </w:r>
          </w:p>
        </w:tc>
      </w:tr>
      <w:tr w:rsidR="00A360DB" w:rsidRPr="00A360DB" w14:paraId="101410AE"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3F8AFAAB"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5.5. Općinski proračun</w:t>
            </w:r>
          </w:p>
        </w:tc>
        <w:tc>
          <w:tcPr>
            <w:tcW w:w="1480" w:type="dxa"/>
            <w:tcBorders>
              <w:top w:val="nil"/>
              <w:left w:val="nil"/>
              <w:bottom w:val="nil"/>
              <w:right w:val="nil"/>
            </w:tcBorders>
            <w:shd w:val="clear" w:color="auto" w:fill="auto"/>
            <w:noWrap/>
            <w:vAlign w:val="bottom"/>
            <w:hideMark/>
          </w:tcPr>
          <w:p w14:paraId="51BF3DA6"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46.596,00</w:t>
            </w:r>
          </w:p>
        </w:tc>
        <w:tc>
          <w:tcPr>
            <w:tcW w:w="1380" w:type="dxa"/>
            <w:tcBorders>
              <w:top w:val="nil"/>
              <w:left w:val="nil"/>
              <w:bottom w:val="nil"/>
              <w:right w:val="nil"/>
            </w:tcBorders>
            <w:shd w:val="clear" w:color="auto" w:fill="auto"/>
            <w:noWrap/>
            <w:vAlign w:val="bottom"/>
            <w:hideMark/>
          </w:tcPr>
          <w:p w14:paraId="30ACE6BE"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46.618,74</w:t>
            </w:r>
          </w:p>
        </w:tc>
        <w:tc>
          <w:tcPr>
            <w:tcW w:w="1400" w:type="dxa"/>
            <w:tcBorders>
              <w:top w:val="nil"/>
              <w:left w:val="nil"/>
              <w:bottom w:val="nil"/>
              <w:right w:val="nil"/>
            </w:tcBorders>
            <w:shd w:val="clear" w:color="auto" w:fill="auto"/>
            <w:noWrap/>
            <w:vAlign w:val="bottom"/>
            <w:hideMark/>
          </w:tcPr>
          <w:p w14:paraId="741CCDE7"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100,05%</w:t>
            </w:r>
          </w:p>
        </w:tc>
      </w:tr>
      <w:tr w:rsidR="00A360DB" w:rsidRPr="00A360DB" w14:paraId="4B487E1E"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CD09D21"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9. Višak iz prethodnih razdoblja</w:t>
            </w:r>
          </w:p>
        </w:tc>
        <w:tc>
          <w:tcPr>
            <w:tcW w:w="1480" w:type="dxa"/>
            <w:tcBorders>
              <w:top w:val="nil"/>
              <w:left w:val="nil"/>
              <w:bottom w:val="nil"/>
              <w:right w:val="nil"/>
            </w:tcBorders>
            <w:shd w:val="clear" w:color="auto" w:fill="auto"/>
            <w:noWrap/>
            <w:vAlign w:val="bottom"/>
            <w:hideMark/>
          </w:tcPr>
          <w:p w14:paraId="1A28E47D"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16.530,20</w:t>
            </w:r>
          </w:p>
        </w:tc>
        <w:tc>
          <w:tcPr>
            <w:tcW w:w="1380" w:type="dxa"/>
            <w:tcBorders>
              <w:top w:val="nil"/>
              <w:left w:val="nil"/>
              <w:bottom w:val="nil"/>
              <w:right w:val="nil"/>
            </w:tcBorders>
            <w:shd w:val="clear" w:color="auto" w:fill="auto"/>
            <w:noWrap/>
            <w:vAlign w:val="bottom"/>
            <w:hideMark/>
          </w:tcPr>
          <w:p w14:paraId="2DD25FA9"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15.272,80</w:t>
            </w:r>
          </w:p>
        </w:tc>
        <w:tc>
          <w:tcPr>
            <w:tcW w:w="1400" w:type="dxa"/>
            <w:tcBorders>
              <w:top w:val="nil"/>
              <w:left w:val="nil"/>
              <w:bottom w:val="nil"/>
              <w:right w:val="nil"/>
            </w:tcBorders>
            <w:shd w:val="clear" w:color="auto" w:fill="auto"/>
            <w:noWrap/>
            <w:vAlign w:val="bottom"/>
            <w:hideMark/>
          </w:tcPr>
          <w:p w14:paraId="7AAC9E79"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92,39%</w:t>
            </w:r>
          </w:p>
        </w:tc>
      </w:tr>
      <w:tr w:rsidR="00A360DB" w:rsidRPr="00A360DB" w14:paraId="6977F0DE"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371B2FF9"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 xml:space="preserve">Izvor 9.1. Višak iz prethodnih godina - </w:t>
            </w:r>
            <w:proofErr w:type="spellStart"/>
            <w:r w:rsidRPr="00A360DB">
              <w:rPr>
                <w:rFonts w:ascii="Arial" w:hAnsi="Arial" w:cs="Arial"/>
                <w:color w:val="333333"/>
                <w:sz w:val="18"/>
                <w:szCs w:val="18"/>
                <w:lang w:eastAsia="hr-HR"/>
              </w:rPr>
              <w:t>Prorač.korisnici</w:t>
            </w:r>
            <w:proofErr w:type="spellEnd"/>
          </w:p>
        </w:tc>
        <w:tc>
          <w:tcPr>
            <w:tcW w:w="1480" w:type="dxa"/>
            <w:tcBorders>
              <w:top w:val="nil"/>
              <w:left w:val="nil"/>
              <w:bottom w:val="nil"/>
              <w:right w:val="nil"/>
            </w:tcBorders>
            <w:shd w:val="clear" w:color="auto" w:fill="auto"/>
            <w:noWrap/>
            <w:vAlign w:val="bottom"/>
            <w:hideMark/>
          </w:tcPr>
          <w:p w14:paraId="290C2C97"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16.530,20</w:t>
            </w:r>
          </w:p>
        </w:tc>
        <w:tc>
          <w:tcPr>
            <w:tcW w:w="1380" w:type="dxa"/>
            <w:tcBorders>
              <w:top w:val="nil"/>
              <w:left w:val="nil"/>
              <w:bottom w:val="nil"/>
              <w:right w:val="nil"/>
            </w:tcBorders>
            <w:shd w:val="clear" w:color="auto" w:fill="auto"/>
            <w:noWrap/>
            <w:vAlign w:val="bottom"/>
            <w:hideMark/>
          </w:tcPr>
          <w:p w14:paraId="53175B1F"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15.272,80</w:t>
            </w:r>
          </w:p>
        </w:tc>
        <w:tc>
          <w:tcPr>
            <w:tcW w:w="1400" w:type="dxa"/>
            <w:tcBorders>
              <w:top w:val="nil"/>
              <w:left w:val="nil"/>
              <w:bottom w:val="nil"/>
              <w:right w:val="nil"/>
            </w:tcBorders>
            <w:shd w:val="clear" w:color="auto" w:fill="auto"/>
            <w:noWrap/>
            <w:vAlign w:val="bottom"/>
            <w:hideMark/>
          </w:tcPr>
          <w:p w14:paraId="420F8BEE"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92,39%</w:t>
            </w:r>
          </w:p>
        </w:tc>
      </w:tr>
      <w:tr w:rsidR="00A360DB" w:rsidRPr="00A360DB" w14:paraId="484A44C5" w14:textId="77777777" w:rsidTr="00A360DB">
        <w:trPr>
          <w:trHeight w:val="240"/>
        </w:trPr>
        <w:tc>
          <w:tcPr>
            <w:tcW w:w="1697" w:type="dxa"/>
            <w:tcBorders>
              <w:top w:val="nil"/>
              <w:left w:val="nil"/>
              <w:bottom w:val="nil"/>
              <w:right w:val="nil"/>
            </w:tcBorders>
            <w:shd w:val="clear" w:color="000000" w:fill="1D4BB3"/>
            <w:noWrap/>
            <w:vAlign w:val="bottom"/>
            <w:hideMark/>
          </w:tcPr>
          <w:p w14:paraId="39605276" w14:textId="77777777" w:rsidR="00A360DB" w:rsidRPr="00A360DB" w:rsidRDefault="00A360DB" w:rsidP="00A360DB">
            <w:pPr>
              <w:spacing w:after="0" w:line="240" w:lineRule="auto"/>
              <w:rPr>
                <w:rFonts w:ascii="Arial" w:hAnsi="Arial" w:cs="Arial"/>
                <w:b/>
                <w:bCs/>
                <w:color w:val="FFFFFF"/>
                <w:sz w:val="18"/>
                <w:szCs w:val="18"/>
                <w:lang w:eastAsia="hr-HR"/>
              </w:rPr>
            </w:pPr>
            <w:r w:rsidRPr="00A360DB">
              <w:rPr>
                <w:rFonts w:ascii="Arial" w:hAnsi="Arial" w:cs="Arial"/>
                <w:b/>
                <w:bCs/>
                <w:color w:val="FFFFFF"/>
                <w:sz w:val="18"/>
                <w:szCs w:val="18"/>
                <w:lang w:eastAsia="hr-HR"/>
              </w:rPr>
              <w:t>1005</w:t>
            </w:r>
          </w:p>
        </w:tc>
        <w:tc>
          <w:tcPr>
            <w:tcW w:w="8509" w:type="dxa"/>
            <w:tcBorders>
              <w:top w:val="nil"/>
              <w:left w:val="nil"/>
              <w:bottom w:val="nil"/>
              <w:right w:val="nil"/>
            </w:tcBorders>
            <w:shd w:val="clear" w:color="000000" w:fill="1D4BB3"/>
            <w:noWrap/>
            <w:vAlign w:val="bottom"/>
            <w:hideMark/>
          </w:tcPr>
          <w:p w14:paraId="3F483C3A" w14:textId="77777777" w:rsidR="00A360DB" w:rsidRPr="00A360DB" w:rsidRDefault="00A360DB" w:rsidP="00A360DB">
            <w:pPr>
              <w:spacing w:after="0" w:line="240" w:lineRule="auto"/>
              <w:rPr>
                <w:rFonts w:ascii="Arial" w:hAnsi="Arial" w:cs="Arial"/>
                <w:b/>
                <w:bCs/>
                <w:color w:val="FFFFFF"/>
                <w:sz w:val="18"/>
                <w:szCs w:val="18"/>
                <w:lang w:eastAsia="hr-HR"/>
              </w:rPr>
            </w:pPr>
            <w:r w:rsidRPr="00A360DB">
              <w:rPr>
                <w:rFonts w:ascii="Arial" w:hAnsi="Arial" w:cs="Arial"/>
                <w:b/>
                <w:bCs/>
                <w:color w:val="FFFFFF"/>
                <w:sz w:val="18"/>
                <w:szCs w:val="18"/>
                <w:lang w:eastAsia="hr-HR"/>
              </w:rPr>
              <w:t>Program: Zaštita od požara i civilna zaštita</w:t>
            </w:r>
          </w:p>
        </w:tc>
        <w:tc>
          <w:tcPr>
            <w:tcW w:w="1480" w:type="dxa"/>
            <w:tcBorders>
              <w:top w:val="nil"/>
              <w:left w:val="nil"/>
              <w:bottom w:val="nil"/>
              <w:right w:val="nil"/>
            </w:tcBorders>
            <w:shd w:val="clear" w:color="000000" w:fill="1D4BB3"/>
            <w:noWrap/>
            <w:vAlign w:val="bottom"/>
            <w:hideMark/>
          </w:tcPr>
          <w:p w14:paraId="513B6239"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936.526,20</w:t>
            </w:r>
          </w:p>
        </w:tc>
        <w:tc>
          <w:tcPr>
            <w:tcW w:w="1380" w:type="dxa"/>
            <w:tcBorders>
              <w:top w:val="nil"/>
              <w:left w:val="nil"/>
              <w:bottom w:val="nil"/>
              <w:right w:val="nil"/>
            </w:tcBorders>
            <w:shd w:val="clear" w:color="000000" w:fill="1D4BB3"/>
            <w:noWrap/>
            <w:vAlign w:val="bottom"/>
            <w:hideMark/>
          </w:tcPr>
          <w:p w14:paraId="6E3406C9"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922.771,34</w:t>
            </w:r>
          </w:p>
        </w:tc>
        <w:tc>
          <w:tcPr>
            <w:tcW w:w="1400" w:type="dxa"/>
            <w:tcBorders>
              <w:top w:val="nil"/>
              <w:left w:val="nil"/>
              <w:bottom w:val="nil"/>
              <w:right w:val="nil"/>
            </w:tcBorders>
            <w:shd w:val="clear" w:color="000000" w:fill="1D4BB3"/>
            <w:noWrap/>
            <w:vAlign w:val="bottom"/>
            <w:hideMark/>
          </w:tcPr>
          <w:p w14:paraId="5CF5444E"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98,53%</w:t>
            </w:r>
          </w:p>
        </w:tc>
      </w:tr>
      <w:tr w:rsidR="00A360DB" w:rsidRPr="00A360DB" w14:paraId="061AB83C" w14:textId="77777777" w:rsidTr="00A360DB">
        <w:trPr>
          <w:trHeight w:val="240"/>
        </w:trPr>
        <w:tc>
          <w:tcPr>
            <w:tcW w:w="1697" w:type="dxa"/>
            <w:tcBorders>
              <w:top w:val="nil"/>
              <w:left w:val="nil"/>
              <w:bottom w:val="nil"/>
              <w:right w:val="nil"/>
            </w:tcBorders>
            <w:shd w:val="clear" w:color="000000" w:fill="B4C6E7"/>
            <w:noWrap/>
            <w:vAlign w:val="bottom"/>
            <w:hideMark/>
          </w:tcPr>
          <w:p w14:paraId="643D0AA3"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A100501</w:t>
            </w:r>
          </w:p>
        </w:tc>
        <w:tc>
          <w:tcPr>
            <w:tcW w:w="8509" w:type="dxa"/>
            <w:tcBorders>
              <w:top w:val="nil"/>
              <w:left w:val="nil"/>
              <w:bottom w:val="nil"/>
              <w:right w:val="nil"/>
            </w:tcBorders>
            <w:shd w:val="clear" w:color="000000" w:fill="B4C6E7"/>
            <w:noWrap/>
            <w:vAlign w:val="bottom"/>
            <w:hideMark/>
          </w:tcPr>
          <w:p w14:paraId="14CDFD9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Redovan rad javne vatrogasne postrojbe</w:t>
            </w:r>
          </w:p>
        </w:tc>
        <w:tc>
          <w:tcPr>
            <w:tcW w:w="1480" w:type="dxa"/>
            <w:tcBorders>
              <w:top w:val="nil"/>
              <w:left w:val="nil"/>
              <w:bottom w:val="nil"/>
              <w:right w:val="nil"/>
            </w:tcBorders>
            <w:shd w:val="clear" w:color="000000" w:fill="B4C6E7"/>
            <w:noWrap/>
            <w:vAlign w:val="bottom"/>
            <w:hideMark/>
          </w:tcPr>
          <w:p w14:paraId="3D862C5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589.296,20</w:t>
            </w:r>
          </w:p>
        </w:tc>
        <w:tc>
          <w:tcPr>
            <w:tcW w:w="1380" w:type="dxa"/>
            <w:tcBorders>
              <w:top w:val="nil"/>
              <w:left w:val="nil"/>
              <w:bottom w:val="nil"/>
              <w:right w:val="nil"/>
            </w:tcBorders>
            <w:shd w:val="clear" w:color="000000" w:fill="B4C6E7"/>
            <w:noWrap/>
            <w:vAlign w:val="bottom"/>
            <w:hideMark/>
          </w:tcPr>
          <w:p w14:paraId="5F5F34E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577.687,56</w:t>
            </w:r>
          </w:p>
        </w:tc>
        <w:tc>
          <w:tcPr>
            <w:tcW w:w="1400" w:type="dxa"/>
            <w:tcBorders>
              <w:top w:val="nil"/>
              <w:left w:val="nil"/>
              <w:bottom w:val="nil"/>
              <w:right w:val="nil"/>
            </w:tcBorders>
            <w:shd w:val="clear" w:color="000000" w:fill="B4C6E7"/>
            <w:noWrap/>
            <w:vAlign w:val="bottom"/>
            <w:hideMark/>
          </w:tcPr>
          <w:p w14:paraId="627D906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98,03%</w:t>
            </w:r>
          </w:p>
        </w:tc>
      </w:tr>
      <w:tr w:rsidR="00A360DB" w:rsidRPr="00A360DB" w14:paraId="666A0A83"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A1A9B54"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79C5D4EE"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538.745,00</w:t>
            </w:r>
          </w:p>
        </w:tc>
        <w:tc>
          <w:tcPr>
            <w:tcW w:w="1380" w:type="dxa"/>
            <w:tcBorders>
              <w:top w:val="nil"/>
              <w:left w:val="nil"/>
              <w:bottom w:val="nil"/>
              <w:right w:val="nil"/>
            </w:tcBorders>
            <w:shd w:val="clear" w:color="auto" w:fill="auto"/>
            <w:noWrap/>
            <w:vAlign w:val="bottom"/>
            <w:hideMark/>
          </w:tcPr>
          <w:p w14:paraId="3586B27C"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534.512,30</w:t>
            </w:r>
          </w:p>
        </w:tc>
        <w:tc>
          <w:tcPr>
            <w:tcW w:w="1400" w:type="dxa"/>
            <w:tcBorders>
              <w:top w:val="nil"/>
              <w:left w:val="nil"/>
              <w:bottom w:val="nil"/>
              <w:right w:val="nil"/>
            </w:tcBorders>
            <w:shd w:val="clear" w:color="auto" w:fill="auto"/>
            <w:noWrap/>
            <w:vAlign w:val="bottom"/>
            <w:hideMark/>
          </w:tcPr>
          <w:p w14:paraId="0B7A1AFD"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99,21%</w:t>
            </w:r>
          </w:p>
        </w:tc>
      </w:tr>
      <w:tr w:rsidR="00A360DB" w:rsidRPr="00A360DB" w14:paraId="472ECA9C"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D22430C"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7672D5B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538.745,00</w:t>
            </w:r>
          </w:p>
        </w:tc>
        <w:tc>
          <w:tcPr>
            <w:tcW w:w="1380" w:type="dxa"/>
            <w:tcBorders>
              <w:top w:val="nil"/>
              <w:left w:val="nil"/>
              <w:bottom w:val="nil"/>
              <w:right w:val="nil"/>
            </w:tcBorders>
            <w:shd w:val="clear" w:color="auto" w:fill="auto"/>
            <w:noWrap/>
            <w:vAlign w:val="bottom"/>
            <w:hideMark/>
          </w:tcPr>
          <w:p w14:paraId="2E7D835B"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534.512,30</w:t>
            </w:r>
          </w:p>
        </w:tc>
        <w:tc>
          <w:tcPr>
            <w:tcW w:w="1400" w:type="dxa"/>
            <w:tcBorders>
              <w:top w:val="nil"/>
              <w:left w:val="nil"/>
              <w:bottom w:val="nil"/>
              <w:right w:val="nil"/>
            </w:tcBorders>
            <w:shd w:val="clear" w:color="auto" w:fill="auto"/>
            <w:noWrap/>
            <w:vAlign w:val="bottom"/>
            <w:hideMark/>
          </w:tcPr>
          <w:p w14:paraId="2025049D"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99,21%</w:t>
            </w:r>
          </w:p>
        </w:tc>
      </w:tr>
      <w:tr w:rsidR="00A360DB" w:rsidRPr="00A360DB" w14:paraId="54E7725A" w14:textId="77777777" w:rsidTr="00A360DB">
        <w:trPr>
          <w:trHeight w:val="240"/>
        </w:trPr>
        <w:tc>
          <w:tcPr>
            <w:tcW w:w="1697" w:type="dxa"/>
            <w:tcBorders>
              <w:top w:val="nil"/>
              <w:left w:val="nil"/>
              <w:bottom w:val="nil"/>
              <w:right w:val="nil"/>
            </w:tcBorders>
            <w:shd w:val="clear" w:color="auto" w:fill="auto"/>
            <w:noWrap/>
            <w:vAlign w:val="bottom"/>
            <w:hideMark/>
          </w:tcPr>
          <w:p w14:paraId="691F98C3"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31</w:t>
            </w:r>
          </w:p>
        </w:tc>
        <w:tc>
          <w:tcPr>
            <w:tcW w:w="8509" w:type="dxa"/>
            <w:tcBorders>
              <w:top w:val="nil"/>
              <w:left w:val="nil"/>
              <w:bottom w:val="nil"/>
              <w:right w:val="nil"/>
            </w:tcBorders>
            <w:shd w:val="clear" w:color="auto" w:fill="auto"/>
            <w:noWrap/>
            <w:vAlign w:val="bottom"/>
            <w:hideMark/>
          </w:tcPr>
          <w:p w14:paraId="7C3465BA"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zaposlene                                                                                </w:t>
            </w:r>
          </w:p>
        </w:tc>
        <w:tc>
          <w:tcPr>
            <w:tcW w:w="1480" w:type="dxa"/>
            <w:tcBorders>
              <w:top w:val="nil"/>
              <w:left w:val="nil"/>
              <w:bottom w:val="nil"/>
              <w:right w:val="nil"/>
            </w:tcBorders>
            <w:shd w:val="clear" w:color="auto" w:fill="auto"/>
            <w:noWrap/>
            <w:vAlign w:val="bottom"/>
            <w:hideMark/>
          </w:tcPr>
          <w:p w14:paraId="012F783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498.850,00</w:t>
            </w:r>
          </w:p>
        </w:tc>
        <w:tc>
          <w:tcPr>
            <w:tcW w:w="1380" w:type="dxa"/>
            <w:tcBorders>
              <w:top w:val="nil"/>
              <w:left w:val="nil"/>
              <w:bottom w:val="nil"/>
              <w:right w:val="nil"/>
            </w:tcBorders>
            <w:shd w:val="clear" w:color="auto" w:fill="auto"/>
            <w:noWrap/>
            <w:vAlign w:val="bottom"/>
            <w:hideMark/>
          </w:tcPr>
          <w:p w14:paraId="1522F81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495.699,95</w:t>
            </w:r>
          </w:p>
        </w:tc>
        <w:tc>
          <w:tcPr>
            <w:tcW w:w="1400" w:type="dxa"/>
            <w:tcBorders>
              <w:top w:val="nil"/>
              <w:left w:val="nil"/>
              <w:bottom w:val="nil"/>
              <w:right w:val="nil"/>
            </w:tcBorders>
            <w:shd w:val="clear" w:color="auto" w:fill="auto"/>
            <w:noWrap/>
            <w:vAlign w:val="bottom"/>
            <w:hideMark/>
          </w:tcPr>
          <w:p w14:paraId="79949A1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99,37%</w:t>
            </w:r>
          </w:p>
        </w:tc>
      </w:tr>
      <w:tr w:rsidR="00A360DB" w:rsidRPr="00A360DB" w14:paraId="31DF852E" w14:textId="77777777" w:rsidTr="00A360DB">
        <w:trPr>
          <w:trHeight w:val="240"/>
        </w:trPr>
        <w:tc>
          <w:tcPr>
            <w:tcW w:w="1697" w:type="dxa"/>
            <w:tcBorders>
              <w:top w:val="nil"/>
              <w:left w:val="nil"/>
              <w:bottom w:val="nil"/>
              <w:right w:val="nil"/>
            </w:tcBorders>
            <w:shd w:val="clear" w:color="auto" w:fill="auto"/>
            <w:noWrap/>
            <w:vAlign w:val="bottom"/>
            <w:hideMark/>
          </w:tcPr>
          <w:p w14:paraId="4E1AC5C7"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3111</w:t>
            </w:r>
          </w:p>
        </w:tc>
        <w:tc>
          <w:tcPr>
            <w:tcW w:w="8509" w:type="dxa"/>
            <w:tcBorders>
              <w:top w:val="nil"/>
              <w:left w:val="nil"/>
              <w:bottom w:val="nil"/>
              <w:right w:val="nil"/>
            </w:tcBorders>
            <w:shd w:val="clear" w:color="auto" w:fill="auto"/>
            <w:noWrap/>
            <w:vAlign w:val="bottom"/>
            <w:hideMark/>
          </w:tcPr>
          <w:p w14:paraId="7422506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Plaće za redovan rad                                                                                </w:t>
            </w:r>
          </w:p>
        </w:tc>
        <w:tc>
          <w:tcPr>
            <w:tcW w:w="1480" w:type="dxa"/>
            <w:tcBorders>
              <w:top w:val="nil"/>
              <w:left w:val="nil"/>
              <w:bottom w:val="nil"/>
              <w:right w:val="nil"/>
            </w:tcBorders>
            <w:shd w:val="clear" w:color="auto" w:fill="auto"/>
            <w:noWrap/>
            <w:vAlign w:val="bottom"/>
            <w:hideMark/>
          </w:tcPr>
          <w:p w14:paraId="6372D1C9"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6E6F48B"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326.565,44</w:t>
            </w:r>
          </w:p>
        </w:tc>
        <w:tc>
          <w:tcPr>
            <w:tcW w:w="1400" w:type="dxa"/>
            <w:tcBorders>
              <w:top w:val="nil"/>
              <w:left w:val="nil"/>
              <w:bottom w:val="nil"/>
              <w:right w:val="nil"/>
            </w:tcBorders>
            <w:shd w:val="clear" w:color="auto" w:fill="auto"/>
            <w:noWrap/>
            <w:vAlign w:val="bottom"/>
            <w:hideMark/>
          </w:tcPr>
          <w:p w14:paraId="2540613F"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BCEE429" w14:textId="77777777" w:rsidTr="00A360DB">
        <w:trPr>
          <w:trHeight w:val="240"/>
        </w:trPr>
        <w:tc>
          <w:tcPr>
            <w:tcW w:w="1697" w:type="dxa"/>
            <w:tcBorders>
              <w:top w:val="nil"/>
              <w:left w:val="nil"/>
              <w:bottom w:val="nil"/>
              <w:right w:val="nil"/>
            </w:tcBorders>
            <w:shd w:val="clear" w:color="auto" w:fill="auto"/>
            <w:noWrap/>
            <w:vAlign w:val="bottom"/>
            <w:hideMark/>
          </w:tcPr>
          <w:p w14:paraId="670500A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3112</w:t>
            </w:r>
          </w:p>
        </w:tc>
        <w:tc>
          <w:tcPr>
            <w:tcW w:w="8509" w:type="dxa"/>
            <w:tcBorders>
              <w:top w:val="nil"/>
              <w:left w:val="nil"/>
              <w:bottom w:val="nil"/>
              <w:right w:val="nil"/>
            </w:tcBorders>
            <w:shd w:val="clear" w:color="auto" w:fill="auto"/>
            <w:noWrap/>
            <w:vAlign w:val="bottom"/>
            <w:hideMark/>
          </w:tcPr>
          <w:p w14:paraId="45F65FA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Plaće u naravi                                                                                      </w:t>
            </w:r>
          </w:p>
        </w:tc>
        <w:tc>
          <w:tcPr>
            <w:tcW w:w="1480" w:type="dxa"/>
            <w:tcBorders>
              <w:top w:val="nil"/>
              <w:left w:val="nil"/>
              <w:bottom w:val="nil"/>
              <w:right w:val="nil"/>
            </w:tcBorders>
            <w:shd w:val="clear" w:color="auto" w:fill="auto"/>
            <w:noWrap/>
            <w:vAlign w:val="bottom"/>
            <w:hideMark/>
          </w:tcPr>
          <w:p w14:paraId="17BF8B57"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2A515901"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474,16</w:t>
            </w:r>
          </w:p>
        </w:tc>
        <w:tc>
          <w:tcPr>
            <w:tcW w:w="1400" w:type="dxa"/>
            <w:tcBorders>
              <w:top w:val="nil"/>
              <w:left w:val="nil"/>
              <w:bottom w:val="nil"/>
              <w:right w:val="nil"/>
            </w:tcBorders>
            <w:shd w:val="clear" w:color="auto" w:fill="auto"/>
            <w:noWrap/>
            <w:vAlign w:val="bottom"/>
            <w:hideMark/>
          </w:tcPr>
          <w:p w14:paraId="0DD05162"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032C398" w14:textId="77777777" w:rsidTr="00A360DB">
        <w:trPr>
          <w:trHeight w:val="240"/>
        </w:trPr>
        <w:tc>
          <w:tcPr>
            <w:tcW w:w="1697" w:type="dxa"/>
            <w:tcBorders>
              <w:top w:val="nil"/>
              <w:left w:val="nil"/>
              <w:bottom w:val="nil"/>
              <w:right w:val="nil"/>
            </w:tcBorders>
            <w:shd w:val="clear" w:color="auto" w:fill="auto"/>
            <w:noWrap/>
            <w:vAlign w:val="bottom"/>
            <w:hideMark/>
          </w:tcPr>
          <w:p w14:paraId="1B13BE48"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3121</w:t>
            </w:r>
          </w:p>
        </w:tc>
        <w:tc>
          <w:tcPr>
            <w:tcW w:w="8509" w:type="dxa"/>
            <w:tcBorders>
              <w:top w:val="nil"/>
              <w:left w:val="nil"/>
              <w:bottom w:val="nil"/>
              <w:right w:val="nil"/>
            </w:tcBorders>
            <w:shd w:val="clear" w:color="auto" w:fill="auto"/>
            <w:noWrap/>
            <w:vAlign w:val="bottom"/>
            <w:hideMark/>
          </w:tcPr>
          <w:p w14:paraId="5F778B4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Ostali rashodi za zaposlene                                                                         </w:t>
            </w:r>
          </w:p>
        </w:tc>
        <w:tc>
          <w:tcPr>
            <w:tcW w:w="1480" w:type="dxa"/>
            <w:tcBorders>
              <w:top w:val="nil"/>
              <w:left w:val="nil"/>
              <w:bottom w:val="nil"/>
              <w:right w:val="nil"/>
            </w:tcBorders>
            <w:shd w:val="clear" w:color="auto" w:fill="auto"/>
            <w:noWrap/>
            <w:vAlign w:val="bottom"/>
            <w:hideMark/>
          </w:tcPr>
          <w:p w14:paraId="0826E256"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56C5B1EA"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41.499,56</w:t>
            </w:r>
          </w:p>
        </w:tc>
        <w:tc>
          <w:tcPr>
            <w:tcW w:w="1400" w:type="dxa"/>
            <w:tcBorders>
              <w:top w:val="nil"/>
              <w:left w:val="nil"/>
              <w:bottom w:val="nil"/>
              <w:right w:val="nil"/>
            </w:tcBorders>
            <w:shd w:val="clear" w:color="auto" w:fill="auto"/>
            <w:noWrap/>
            <w:vAlign w:val="bottom"/>
            <w:hideMark/>
          </w:tcPr>
          <w:p w14:paraId="79475271"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53A6C7D0" w14:textId="77777777" w:rsidTr="00A360DB">
        <w:trPr>
          <w:trHeight w:val="240"/>
        </w:trPr>
        <w:tc>
          <w:tcPr>
            <w:tcW w:w="1697" w:type="dxa"/>
            <w:tcBorders>
              <w:top w:val="nil"/>
              <w:left w:val="nil"/>
              <w:bottom w:val="nil"/>
              <w:right w:val="nil"/>
            </w:tcBorders>
            <w:shd w:val="clear" w:color="auto" w:fill="auto"/>
            <w:noWrap/>
            <w:vAlign w:val="bottom"/>
            <w:hideMark/>
          </w:tcPr>
          <w:p w14:paraId="7686728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3131</w:t>
            </w:r>
          </w:p>
        </w:tc>
        <w:tc>
          <w:tcPr>
            <w:tcW w:w="8509" w:type="dxa"/>
            <w:tcBorders>
              <w:top w:val="nil"/>
              <w:left w:val="nil"/>
              <w:bottom w:val="nil"/>
              <w:right w:val="nil"/>
            </w:tcBorders>
            <w:shd w:val="clear" w:color="auto" w:fill="auto"/>
            <w:noWrap/>
            <w:vAlign w:val="bottom"/>
            <w:hideMark/>
          </w:tcPr>
          <w:p w14:paraId="1EE3F2B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Doprinosi za mirovinsko osiguranje                                                                  </w:t>
            </w:r>
          </w:p>
        </w:tc>
        <w:tc>
          <w:tcPr>
            <w:tcW w:w="1480" w:type="dxa"/>
            <w:tcBorders>
              <w:top w:val="nil"/>
              <w:left w:val="nil"/>
              <w:bottom w:val="nil"/>
              <w:right w:val="nil"/>
            </w:tcBorders>
            <w:shd w:val="clear" w:color="auto" w:fill="auto"/>
            <w:noWrap/>
            <w:vAlign w:val="bottom"/>
            <w:hideMark/>
          </w:tcPr>
          <w:p w14:paraId="29E247BE"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8E71CE3"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39.718,36</w:t>
            </w:r>
          </w:p>
        </w:tc>
        <w:tc>
          <w:tcPr>
            <w:tcW w:w="1400" w:type="dxa"/>
            <w:tcBorders>
              <w:top w:val="nil"/>
              <w:left w:val="nil"/>
              <w:bottom w:val="nil"/>
              <w:right w:val="nil"/>
            </w:tcBorders>
            <w:shd w:val="clear" w:color="auto" w:fill="auto"/>
            <w:noWrap/>
            <w:vAlign w:val="bottom"/>
            <w:hideMark/>
          </w:tcPr>
          <w:p w14:paraId="054C1AA4"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50B4590A" w14:textId="77777777" w:rsidTr="00A360DB">
        <w:trPr>
          <w:trHeight w:val="240"/>
        </w:trPr>
        <w:tc>
          <w:tcPr>
            <w:tcW w:w="1697" w:type="dxa"/>
            <w:tcBorders>
              <w:top w:val="nil"/>
              <w:left w:val="nil"/>
              <w:bottom w:val="nil"/>
              <w:right w:val="nil"/>
            </w:tcBorders>
            <w:shd w:val="clear" w:color="auto" w:fill="auto"/>
            <w:noWrap/>
            <w:vAlign w:val="bottom"/>
            <w:hideMark/>
          </w:tcPr>
          <w:p w14:paraId="404C6648"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3132</w:t>
            </w:r>
          </w:p>
        </w:tc>
        <w:tc>
          <w:tcPr>
            <w:tcW w:w="8509" w:type="dxa"/>
            <w:tcBorders>
              <w:top w:val="nil"/>
              <w:left w:val="nil"/>
              <w:bottom w:val="nil"/>
              <w:right w:val="nil"/>
            </w:tcBorders>
            <w:shd w:val="clear" w:color="auto" w:fill="auto"/>
            <w:noWrap/>
            <w:vAlign w:val="bottom"/>
            <w:hideMark/>
          </w:tcPr>
          <w:p w14:paraId="4DFCAB5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Doprinosi za obvezno zdravstveno osiguranje                                                         </w:t>
            </w:r>
          </w:p>
        </w:tc>
        <w:tc>
          <w:tcPr>
            <w:tcW w:w="1480" w:type="dxa"/>
            <w:tcBorders>
              <w:top w:val="nil"/>
              <w:left w:val="nil"/>
              <w:bottom w:val="nil"/>
              <w:right w:val="nil"/>
            </w:tcBorders>
            <w:shd w:val="clear" w:color="auto" w:fill="auto"/>
            <w:noWrap/>
            <w:vAlign w:val="bottom"/>
            <w:hideMark/>
          </w:tcPr>
          <w:p w14:paraId="714580D1"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126BC0D3"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87.442,43</w:t>
            </w:r>
          </w:p>
        </w:tc>
        <w:tc>
          <w:tcPr>
            <w:tcW w:w="1400" w:type="dxa"/>
            <w:tcBorders>
              <w:top w:val="nil"/>
              <w:left w:val="nil"/>
              <w:bottom w:val="nil"/>
              <w:right w:val="nil"/>
            </w:tcBorders>
            <w:shd w:val="clear" w:color="auto" w:fill="auto"/>
            <w:noWrap/>
            <w:vAlign w:val="bottom"/>
            <w:hideMark/>
          </w:tcPr>
          <w:p w14:paraId="4AD10B89"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C14B1B6" w14:textId="77777777" w:rsidTr="00A360DB">
        <w:trPr>
          <w:trHeight w:val="240"/>
        </w:trPr>
        <w:tc>
          <w:tcPr>
            <w:tcW w:w="1697" w:type="dxa"/>
            <w:tcBorders>
              <w:top w:val="nil"/>
              <w:left w:val="nil"/>
              <w:bottom w:val="nil"/>
              <w:right w:val="nil"/>
            </w:tcBorders>
            <w:shd w:val="clear" w:color="auto" w:fill="auto"/>
            <w:noWrap/>
            <w:vAlign w:val="bottom"/>
            <w:hideMark/>
          </w:tcPr>
          <w:p w14:paraId="31C8BF68"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7D63CC6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78A55A2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35.995,00</w:t>
            </w:r>
          </w:p>
        </w:tc>
        <w:tc>
          <w:tcPr>
            <w:tcW w:w="1380" w:type="dxa"/>
            <w:tcBorders>
              <w:top w:val="nil"/>
              <w:left w:val="nil"/>
              <w:bottom w:val="nil"/>
              <w:right w:val="nil"/>
            </w:tcBorders>
            <w:shd w:val="clear" w:color="auto" w:fill="auto"/>
            <w:noWrap/>
            <w:vAlign w:val="bottom"/>
            <w:hideMark/>
          </w:tcPr>
          <w:p w14:paraId="7A80F9D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35.208,27</w:t>
            </w:r>
          </w:p>
        </w:tc>
        <w:tc>
          <w:tcPr>
            <w:tcW w:w="1400" w:type="dxa"/>
            <w:tcBorders>
              <w:top w:val="nil"/>
              <w:left w:val="nil"/>
              <w:bottom w:val="nil"/>
              <w:right w:val="nil"/>
            </w:tcBorders>
            <w:shd w:val="clear" w:color="auto" w:fill="auto"/>
            <w:noWrap/>
            <w:vAlign w:val="bottom"/>
            <w:hideMark/>
          </w:tcPr>
          <w:p w14:paraId="40FE6FD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97,81%</w:t>
            </w:r>
          </w:p>
        </w:tc>
      </w:tr>
      <w:tr w:rsidR="00A360DB" w:rsidRPr="00A360DB" w14:paraId="7906C127" w14:textId="77777777" w:rsidTr="00A360DB">
        <w:trPr>
          <w:trHeight w:val="240"/>
        </w:trPr>
        <w:tc>
          <w:tcPr>
            <w:tcW w:w="1697" w:type="dxa"/>
            <w:tcBorders>
              <w:top w:val="nil"/>
              <w:left w:val="nil"/>
              <w:bottom w:val="nil"/>
              <w:right w:val="nil"/>
            </w:tcBorders>
            <w:shd w:val="clear" w:color="auto" w:fill="auto"/>
            <w:noWrap/>
            <w:vAlign w:val="bottom"/>
            <w:hideMark/>
          </w:tcPr>
          <w:p w14:paraId="40F29EE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3212</w:t>
            </w:r>
          </w:p>
        </w:tc>
        <w:tc>
          <w:tcPr>
            <w:tcW w:w="8509" w:type="dxa"/>
            <w:tcBorders>
              <w:top w:val="nil"/>
              <w:left w:val="nil"/>
              <w:bottom w:val="nil"/>
              <w:right w:val="nil"/>
            </w:tcBorders>
            <w:shd w:val="clear" w:color="auto" w:fill="auto"/>
            <w:noWrap/>
            <w:vAlign w:val="bottom"/>
            <w:hideMark/>
          </w:tcPr>
          <w:p w14:paraId="36C80E9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Naknade za prijevoz, za rad na terenu i odvojeni život                                              </w:t>
            </w:r>
          </w:p>
        </w:tc>
        <w:tc>
          <w:tcPr>
            <w:tcW w:w="1480" w:type="dxa"/>
            <w:tcBorders>
              <w:top w:val="nil"/>
              <w:left w:val="nil"/>
              <w:bottom w:val="nil"/>
              <w:right w:val="nil"/>
            </w:tcBorders>
            <w:shd w:val="clear" w:color="auto" w:fill="auto"/>
            <w:noWrap/>
            <w:vAlign w:val="bottom"/>
            <w:hideMark/>
          </w:tcPr>
          <w:p w14:paraId="33E39F0D"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E598F6A"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2.709,35</w:t>
            </w:r>
          </w:p>
        </w:tc>
        <w:tc>
          <w:tcPr>
            <w:tcW w:w="1400" w:type="dxa"/>
            <w:tcBorders>
              <w:top w:val="nil"/>
              <w:left w:val="nil"/>
              <w:bottom w:val="nil"/>
              <w:right w:val="nil"/>
            </w:tcBorders>
            <w:shd w:val="clear" w:color="auto" w:fill="auto"/>
            <w:noWrap/>
            <w:vAlign w:val="bottom"/>
            <w:hideMark/>
          </w:tcPr>
          <w:p w14:paraId="0CDF993F"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B1A50FF" w14:textId="77777777" w:rsidTr="00A360DB">
        <w:trPr>
          <w:trHeight w:val="240"/>
        </w:trPr>
        <w:tc>
          <w:tcPr>
            <w:tcW w:w="1697" w:type="dxa"/>
            <w:tcBorders>
              <w:top w:val="nil"/>
              <w:left w:val="nil"/>
              <w:bottom w:val="nil"/>
              <w:right w:val="nil"/>
            </w:tcBorders>
            <w:shd w:val="clear" w:color="auto" w:fill="auto"/>
            <w:noWrap/>
            <w:vAlign w:val="bottom"/>
            <w:hideMark/>
          </w:tcPr>
          <w:p w14:paraId="132CE90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3213</w:t>
            </w:r>
          </w:p>
        </w:tc>
        <w:tc>
          <w:tcPr>
            <w:tcW w:w="8509" w:type="dxa"/>
            <w:tcBorders>
              <w:top w:val="nil"/>
              <w:left w:val="nil"/>
              <w:bottom w:val="nil"/>
              <w:right w:val="nil"/>
            </w:tcBorders>
            <w:shd w:val="clear" w:color="auto" w:fill="auto"/>
            <w:noWrap/>
            <w:vAlign w:val="bottom"/>
            <w:hideMark/>
          </w:tcPr>
          <w:p w14:paraId="3CF3C4A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Stručno usavršavanje zaposlenika                                                                    </w:t>
            </w:r>
          </w:p>
        </w:tc>
        <w:tc>
          <w:tcPr>
            <w:tcW w:w="1480" w:type="dxa"/>
            <w:tcBorders>
              <w:top w:val="nil"/>
              <w:left w:val="nil"/>
              <w:bottom w:val="nil"/>
              <w:right w:val="nil"/>
            </w:tcBorders>
            <w:shd w:val="clear" w:color="auto" w:fill="auto"/>
            <w:noWrap/>
            <w:vAlign w:val="bottom"/>
            <w:hideMark/>
          </w:tcPr>
          <w:p w14:paraId="6ECCD73E"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36A60C8"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692,77</w:t>
            </w:r>
          </w:p>
        </w:tc>
        <w:tc>
          <w:tcPr>
            <w:tcW w:w="1400" w:type="dxa"/>
            <w:tcBorders>
              <w:top w:val="nil"/>
              <w:left w:val="nil"/>
              <w:bottom w:val="nil"/>
              <w:right w:val="nil"/>
            </w:tcBorders>
            <w:shd w:val="clear" w:color="auto" w:fill="auto"/>
            <w:noWrap/>
            <w:vAlign w:val="bottom"/>
            <w:hideMark/>
          </w:tcPr>
          <w:p w14:paraId="630FAADA"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A7D443E" w14:textId="77777777" w:rsidTr="00A360DB">
        <w:trPr>
          <w:trHeight w:val="240"/>
        </w:trPr>
        <w:tc>
          <w:tcPr>
            <w:tcW w:w="1697" w:type="dxa"/>
            <w:tcBorders>
              <w:top w:val="nil"/>
              <w:left w:val="nil"/>
              <w:bottom w:val="nil"/>
              <w:right w:val="nil"/>
            </w:tcBorders>
            <w:shd w:val="clear" w:color="auto" w:fill="auto"/>
            <w:noWrap/>
            <w:vAlign w:val="bottom"/>
            <w:hideMark/>
          </w:tcPr>
          <w:p w14:paraId="6BA244BD"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3221</w:t>
            </w:r>
          </w:p>
        </w:tc>
        <w:tc>
          <w:tcPr>
            <w:tcW w:w="8509" w:type="dxa"/>
            <w:tcBorders>
              <w:top w:val="nil"/>
              <w:left w:val="nil"/>
              <w:bottom w:val="nil"/>
              <w:right w:val="nil"/>
            </w:tcBorders>
            <w:shd w:val="clear" w:color="auto" w:fill="auto"/>
            <w:noWrap/>
            <w:vAlign w:val="bottom"/>
            <w:hideMark/>
          </w:tcPr>
          <w:p w14:paraId="4B33FB7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Uredski materijal i ostali materijalni rashodi                                                      </w:t>
            </w:r>
          </w:p>
        </w:tc>
        <w:tc>
          <w:tcPr>
            <w:tcW w:w="1480" w:type="dxa"/>
            <w:tcBorders>
              <w:top w:val="nil"/>
              <w:left w:val="nil"/>
              <w:bottom w:val="nil"/>
              <w:right w:val="nil"/>
            </w:tcBorders>
            <w:shd w:val="clear" w:color="auto" w:fill="auto"/>
            <w:noWrap/>
            <w:vAlign w:val="bottom"/>
            <w:hideMark/>
          </w:tcPr>
          <w:p w14:paraId="244331B1"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0D619E2"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482,51</w:t>
            </w:r>
          </w:p>
        </w:tc>
        <w:tc>
          <w:tcPr>
            <w:tcW w:w="1400" w:type="dxa"/>
            <w:tcBorders>
              <w:top w:val="nil"/>
              <w:left w:val="nil"/>
              <w:bottom w:val="nil"/>
              <w:right w:val="nil"/>
            </w:tcBorders>
            <w:shd w:val="clear" w:color="auto" w:fill="auto"/>
            <w:noWrap/>
            <w:vAlign w:val="bottom"/>
            <w:hideMark/>
          </w:tcPr>
          <w:p w14:paraId="70ABD0FC"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185D275" w14:textId="77777777" w:rsidTr="00A360DB">
        <w:trPr>
          <w:trHeight w:val="240"/>
        </w:trPr>
        <w:tc>
          <w:tcPr>
            <w:tcW w:w="1697" w:type="dxa"/>
            <w:tcBorders>
              <w:top w:val="nil"/>
              <w:left w:val="nil"/>
              <w:bottom w:val="nil"/>
              <w:right w:val="nil"/>
            </w:tcBorders>
            <w:shd w:val="clear" w:color="auto" w:fill="auto"/>
            <w:noWrap/>
            <w:vAlign w:val="bottom"/>
            <w:hideMark/>
          </w:tcPr>
          <w:p w14:paraId="02AFB93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3222</w:t>
            </w:r>
          </w:p>
        </w:tc>
        <w:tc>
          <w:tcPr>
            <w:tcW w:w="8509" w:type="dxa"/>
            <w:tcBorders>
              <w:top w:val="nil"/>
              <w:left w:val="nil"/>
              <w:bottom w:val="nil"/>
              <w:right w:val="nil"/>
            </w:tcBorders>
            <w:shd w:val="clear" w:color="auto" w:fill="auto"/>
            <w:noWrap/>
            <w:vAlign w:val="bottom"/>
            <w:hideMark/>
          </w:tcPr>
          <w:p w14:paraId="2A606F4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Materijal i sirovine                                                                                </w:t>
            </w:r>
          </w:p>
        </w:tc>
        <w:tc>
          <w:tcPr>
            <w:tcW w:w="1480" w:type="dxa"/>
            <w:tcBorders>
              <w:top w:val="nil"/>
              <w:left w:val="nil"/>
              <w:bottom w:val="nil"/>
              <w:right w:val="nil"/>
            </w:tcBorders>
            <w:shd w:val="clear" w:color="auto" w:fill="auto"/>
            <w:noWrap/>
            <w:vAlign w:val="bottom"/>
            <w:hideMark/>
          </w:tcPr>
          <w:p w14:paraId="50990461"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1949E012"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2.840,55</w:t>
            </w:r>
          </w:p>
        </w:tc>
        <w:tc>
          <w:tcPr>
            <w:tcW w:w="1400" w:type="dxa"/>
            <w:tcBorders>
              <w:top w:val="nil"/>
              <w:left w:val="nil"/>
              <w:bottom w:val="nil"/>
              <w:right w:val="nil"/>
            </w:tcBorders>
            <w:shd w:val="clear" w:color="auto" w:fill="auto"/>
            <w:noWrap/>
            <w:vAlign w:val="bottom"/>
            <w:hideMark/>
          </w:tcPr>
          <w:p w14:paraId="4225DC6B"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0739FBF" w14:textId="77777777" w:rsidTr="00A360DB">
        <w:trPr>
          <w:trHeight w:val="240"/>
        </w:trPr>
        <w:tc>
          <w:tcPr>
            <w:tcW w:w="1697" w:type="dxa"/>
            <w:tcBorders>
              <w:top w:val="nil"/>
              <w:left w:val="nil"/>
              <w:bottom w:val="nil"/>
              <w:right w:val="nil"/>
            </w:tcBorders>
            <w:shd w:val="clear" w:color="auto" w:fill="auto"/>
            <w:noWrap/>
            <w:vAlign w:val="bottom"/>
            <w:hideMark/>
          </w:tcPr>
          <w:p w14:paraId="45E7A75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3223</w:t>
            </w:r>
          </w:p>
        </w:tc>
        <w:tc>
          <w:tcPr>
            <w:tcW w:w="8509" w:type="dxa"/>
            <w:tcBorders>
              <w:top w:val="nil"/>
              <w:left w:val="nil"/>
              <w:bottom w:val="nil"/>
              <w:right w:val="nil"/>
            </w:tcBorders>
            <w:shd w:val="clear" w:color="auto" w:fill="auto"/>
            <w:noWrap/>
            <w:vAlign w:val="bottom"/>
            <w:hideMark/>
          </w:tcPr>
          <w:p w14:paraId="630AE64E"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Energija                                                                                            </w:t>
            </w:r>
          </w:p>
        </w:tc>
        <w:tc>
          <w:tcPr>
            <w:tcW w:w="1480" w:type="dxa"/>
            <w:tcBorders>
              <w:top w:val="nil"/>
              <w:left w:val="nil"/>
              <w:bottom w:val="nil"/>
              <w:right w:val="nil"/>
            </w:tcBorders>
            <w:shd w:val="clear" w:color="auto" w:fill="auto"/>
            <w:noWrap/>
            <w:vAlign w:val="bottom"/>
            <w:hideMark/>
          </w:tcPr>
          <w:p w14:paraId="34321F4B"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1E75BBD"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4.527,59</w:t>
            </w:r>
          </w:p>
        </w:tc>
        <w:tc>
          <w:tcPr>
            <w:tcW w:w="1400" w:type="dxa"/>
            <w:tcBorders>
              <w:top w:val="nil"/>
              <w:left w:val="nil"/>
              <w:bottom w:val="nil"/>
              <w:right w:val="nil"/>
            </w:tcBorders>
            <w:shd w:val="clear" w:color="auto" w:fill="auto"/>
            <w:noWrap/>
            <w:vAlign w:val="bottom"/>
            <w:hideMark/>
          </w:tcPr>
          <w:p w14:paraId="23B70CD2"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AD0F817" w14:textId="77777777" w:rsidTr="00A360DB">
        <w:trPr>
          <w:trHeight w:val="240"/>
        </w:trPr>
        <w:tc>
          <w:tcPr>
            <w:tcW w:w="1697" w:type="dxa"/>
            <w:tcBorders>
              <w:top w:val="nil"/>
              <w:left w:val="nil"/>
              <w:bottom w:val="nil"/>
              <w:right w:val="nil"/>
            </w:tcBorders>
            <w:shd w:val="clear" w:color="auto" w:fill="auto"/>
            <w:noWrap/>
            <w:vAlign w:val="bottom"/>
            <w:hideMark/>
          </w:tcPr>
          <w:p w14:paraId="2EC4297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3224</w:t>
            </w:r>
          </w:p>
        </w:tc>
        <w:tc>
          <w:tcPr>
            <w:tcW w:w="8509" w:type="dxa"/>
            <w:tcBorders>
              <w:top w:val="nil"/>
              <w:left w:val="nil"/>
              <w:bottom w:val="nil"/>
              <w:right w:val="nil"/>
            </w:tcBorders>
            <w:shd w:val="clear" w:color="auto" w:fill="auto"/>
            <w:noWrap/>
            <w:vAlign w:val="bottom"/>
            <w:hideMark/>
          </w:tcPr>
          <w:p w14:paraId="3678AF1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Materijal i dijelovi za tekuće i investicijsko održavanje                                           </w:t>
            </w:r>
          </w:p>
        </w:tc>
        <w:tc>
          <w:tcPr>
            <w:tcW w:w="1480" w:type="dxa"/>
            <w:tcBorders>
              <w:top w:val="nil"/>
              <w:left w:val="nil"/>
              <w:bottom w:val="nil"/>
              <w:right w:val="nil"/>
            </w:tcBorders>
            <w:shd w:val="clear" w:color="auto" w:fill="auto"/>
            <w:noWrap/>
            <w:vAlign w:val="bottom"/>
            <w:hideMark/>
          </w:tcPr>
          <w:p w14:paraId="4EE13FBF"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257660B"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1.337,58</w:t>
            </w:r>
          </w:p>
        </w:tc>
        <w:tc>
          <w:tcPr>
            <w:tcW w:w="1400" w:type="dxa"/>
            <w:tcBorders>
              <w:top w:val="nil"/>
              <w:left w:val="nil"/>
              <w:bottom w:val="nil"/>
              <w:right w:val="nil"/>
            </w:tcBorders>
            <w:shd w:val="clear" w:color="auto" w:fill="auto"/>
            <w:noWrap/>
            <w:vAlign w:val="bottom"/>
            <w:hideMark/>
          </w:tcPr>
          <w:p w14:paraId="5DF27DCD"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118ECD2" w14:textId="77777777" w:rsidTr="00A360DB">
        <w:trPr>
          <w:trHeight w:val="240"/>
        </w:trPr>
        <w:tc>
          <w:tcPr>
            <w:tcW w:w="1697" w:type="dxa"/>
            <w:tcBorders>
              <w:top w:val="nil"/>
              <w:left w:val="nil"/>
              <w:bottom w:val="nil"/>
              <w:right w:val="nil"/>
            </w:tcBorders>
            <w:shd w:val="clear" w:color="auto" w:fill="auto"/>
            <w:noWrap/>
            <w:vAlign w:val="bottom"/>
            <w:hideMark/>
          </w:tcPr>
          <w:p w14:paraId="7DCA634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3225</w:t>
            </w:r>
          </w:p>
        </w:tc>
        <w:tc>
          <w:tcPr>
            <w:tcW w:w="8509" w:type="dxa"/>
            <w:tcBorders>
              <w:top w:val="nil"/>
              <w:left w:val="nil"/>
              <w:bottom w:val="nil"/>
              <w:right w:val="nil"/>
            </w:tcBorders>
            <w:shd w:val="clear" w:color="auto" w:fill="auto"/>
            <w:noWrap/>
            <w:vAlign w:val="bottom"/>
            <w:hideMark/>
          </w:tcPr>
          <w:p w14:paraId="5850256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Sitni inventar i auto gume</w:t>
            </w:r>
          </w:p>
        </w:tc>
        <w:tc>
          <w:tcPr>
            <w:tcW w:w="1480" w:type="dxa"/>
            <w:tcBorders>
              <w:top w:val="nil"/>
              <w:left w:val="nil"/>
              <w:bottom w:val="nil"/>
              <w:right w:val="nil"/>
            </w:tcBorders>
            <w:shd w:val="clear" w:color="auto" w:fill="auto"/>
            <w:noWrap/>
            <w:vAlign w:val="bottom"/>
            <w:hideMark/>
          </w:tcPr>
          <w:p w14:paraId="15B72B99"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2F103DE3"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1.341,28</w:t>
            </w:r>
          </w:p>
        </w:tc>
        <w:tc>
          <w:tcPr>
            <w:tcW w:w="1400" w:type="dxa"/>
            <w:tcBorders>
              <w:top w:val="nil"/>
              <w:left w:val="nil"/>
              <w:bottom w:val="nil"/>
              <w:right w:val="nil"/>
            </w:tcBorders>
            <w:shd w:val="clear" w:color="auto" w:fill="auto"/>
            <w:noWrap/>
            <w:vAlign w:val="bottom"/>
            <w:hideMark/>
          </w:tcPr>
          <w:p w14:paraId="1D22F4E0"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100ADB9" w14:textId="77777777" w:rsidTr="00A360DB">
        <w:trPr>
          <w:trHeight w:val="240"/>
        </w:trPr>
        <w:tc>
          <w:tcPr>
            <w:tcW w:w="1697" w:type="dxa"/>
            <w:tcBorders>
              <w:top w:val="nil"/>
              <w:left w:val="nil"/>
              <w:bottom w:val="nil"/>
              <w:right w:val="nil"/>
            </w:tcBorders>
            <w:shd w:val="clear" w:color="auto" w:fill="auto"/>
            <w:noWrap/>
            <w:vAlign w:val="bottom"/>
            <w:hideMark/>
          </w:tcPr>
          <w:p w14:paraId="14421E0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3227</w:t>
            </w:r>
          </w:p>
        </w:tc>
        <w:tc>
          <w:tcPr>
            <w:tcW w:w="8509" w:type="dxa"/>
            <w:tcBorders>
              <w:top w:val="nil"/>
              <w:left w:val="nil"/>
              <w:bottom w:val="nil"/>
              <w:right w:val="nil"/>
            </w:tcBorders>
            <w:shd w:val="clear" w:color="auto" w:fill="auto"/>
            <w:noWrap/>
            <w:vAlign w:val="bottom"/>
            <w:hideMark/>
          </w:tcPr>
          <w:p w14:paraId="47863E3E"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Službena, radna i zaštitna odjeća i obuća                                                           </w:t>
            </w:r>
          </w:p>
        </w:tc>
        <w:tc>
          <w:tcPr>
            <w:tcW w:w="1480" w:type="dxa"/>
            <w:tcBorders>
              <w:top w:val="nil"/>
              <w:left w:val="nil"/>
              <w:bottom w:val="nil"/>
              <w:right w:val="nil"/>
            </w:tcBorders>
            <w:shd w:val="clear" w:color="auto" w:fill="auto"/>
            <w:noWrap/>
            <w:vAlign w:val="bottom"/>
            <w:hideMark/>
          </w:tcPr>
          <w:p w14:paraId="040EB29C"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2E6B53B"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5.680,31</w:t>
            </w:r>
          </w:p>
        </w:tc>
        <w:tc>
          <w:tcPr>
            <w:tcW w:w="1400" w:type="dxa"/>
            <w:tcBorders>
              <w:top w:val="nil"/>
              <w:left w:val="nil"/>
              <w:bottom w:val="nil"/>
              <w:right w:val="nil"/>
            </w:tcBorders>
            <w:shd w:val="clear" w:color="auto" w:fill="auto"/>
            <w:noWrap/>
            <w:vAlign w:val="bottom"/>
            <w:hideMark/>
          </w:tcPr>
          <w:p w14:paraId="27C378DE"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3A55820" w14:textId="77777777" w:rsidTr="00A360DB">
        <w:trPr>
          <w:trHeight w:val="240"/>
        </w:trPr>
        <w:tc>
          <w:tcPr>
            <w:tcW w:w="1697" w:type="dxa"/>
            <w:tcBorders>
              <w:top w:val="nil"/>
              <w:left w:val="nil"/>
              <w:bottom w:val="nil"/>
              <w:right w:val="nil"/>
            </w:tcBorders>
            <w:shd w:val="clear" w:color="auto" w:fill="auto"/>
            <w:noWrap/>
            <w:vAlign w:val="bottom"/>
            <w:hideMark/>
          </w:tcPr>
          <w:p w14:paraId="62155A3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lastRenderedPageBreak/>
              <w:t>3231</w:t>
            </w:r>
          </w:p>
        </w:tc>
        <w:tc>
          <w:tcPr>
            <w:tcW w:w="8509" w:type="dxa"/>
            <w:tcBorders>
              <w:top w:val="nil"/>
              <w:left w:val="nil"/>
              <w:bottom w:val="nil"/>
              <w:right w:val="nil"/>
            </w:tcBorders>
            <w:shd w:val="clear" w:color="auto" w:fill="auto"/>
            <w:noWrap/>
            <w:vAlign w:val="bottom"/>
            <w:hideMark/>
          </w:tcPr>
          <w:p w14:paraId="6832B8C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Usluge telefona, pošte i prijevoza                                                                  </w:t>
            </w:r>
          </w:p>
        </w:tc>
        <w:tc>
          <w:tcPr>
            <w:tcW w:w="1480" w:type="dxa"/>
            <w:tcBorders>
              <w:top w:val="nil"/>
              <w:left w:val="nil"/>
              <w:bottom w:val="nil"/>
              <w:right w:val="nil"/>
            </w:tcBorders>
            <w:shd w:val="clear" w:color="auto" w:fill="auto"/>
            <w:noWrap/>
            <w:vAlign w:val="bottom"/>
            <w:hideMark/>
          </w:tcPr>
          <w:p w14:paraId="7CE8CC51"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9F32794"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528,19</w:t>
            </w:r>
          </w:p>
        </w:tc>
        <w:tc>
          <w:tcPr>
            <w:tcW w:w="1400" w:type="dxa"/>
            <w:tcBorders>
              <w:top w:val="nil"/>
              <w:left w:val="nil"/>
              <w:bottom w:val="nil"/>
              <w:right w:val="nil"/>
            </w:tcBorders>
            <w:shd w:val="clear" w:color="auto" w:fill="auto"/>
            <w:noWrap/>
            <w:vAlign w:val="bottom"/>
            <w:hideMark/>
          </w:tcPr>
          <w:p w14:paraId="50421ED3"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551D56D" w14:textId="77777777" w:rsidTr="00A360DB">
        <w:trPr>
          <w:trHeight w:val="240"/>
        </w:trPr>
        <w:tc>
          <w:tcPr>
            <w:tcW w:w="1697" w:type="dxa"/>
            <w:tcBorders>
              <w:top w:val="nil"/>
              <w:left w:val="nil"/>
              <w:bottom w:val="nil"/>
              <w:right w:val="nil"/>
            </w:tcBorders>
            <w:shd w:val="clear" w:color="auto" w:fill="auto"/>
            <w:noWrap/>
            <w:vAlign w:val="bottom"/>
            <w:hideMark/>
          </w:tcPr>
          <w:p w14:paraId="4932847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3232</w:t>
            </w:r>
          </w:p>
        </w:tc>
        <w:tc>
          <w:tcPr>
            <w:tcW w:w="8509" w:type="dxa"/>
            <w:tcBorders>
              <w:top w:val="nil"/>
              <w:left w:val="nil"/>
              <w:bottom w:val="nil"/>
              <w:right w:val="nil"/>
            </w:tcBorders>
            <w:shd w:val="clear" w:color="auto" w:fill="auto"/>
            <w:noWrap/>
            <w:vAlign w:val="bottom"/>
            <w:hideMark/>
          </w:tcPr>
          <w:p w14:paraId="320F9B1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Usluge tekućeg i investicijskog održavanja                                                          </w:t>
            </w:r>
          </w:p>
        </w:tc>
        <w:tc>
          <w:tcPr>
            <w:tcW w:w="1480" w:type="dxa"/>
            <w:tcBorders>
              <w:top w:val="nil"/>
              <w:left w:val="nil"/>
              <w:bottom w:val="nil"/>
              <w:right w:val="nil"/>
            </w:tcBorders>
            <w:shd w:val="clear" w:color="auto" w:fill="auto"/>
            <w:noWrap/>
            <w:vAlign w:val="bottom"/>
            <w:hideMark/>
          </w:tcPr>
          <w:p w14:paraId="1BBDE2D4"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5EB3A333"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8.782,95</w:t>
            </w:r>
          </w:p>
        </w:tc>
        <w:tc>
          <w:tcPr>
            <w:tcW w:w="1400" w:type="dxa"/>
            <w:tcBorders>
              <w:top w:val="nil"/>
              <w:left w:val="nil"/>
              <w:bottom w:val="nil"/>
              <w:right w:val="nil"/>
            </w:tcBorders>
            <w:shd w:val="clear" w:color="auto" w:fill="auto"/>
            <w:noWrap/>
            <w:vAlign w:val="bottom"/>
            <w:hideMark/>
          </w:tcPr>
          <w:p w14:paraId="2C88C09B"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FE702FC" w14:textId="77777777" w:rsidTr="00A360DB">
        <w:trPr>
          <w:trHeight w:val="240"/>
        </w:trPr>
        <w:tc>
          <w:tcPr>
            <w:tcW w:w="1697" w:type="dxa"/>
            <w:tcBorders>
              <w:top w:val="nil"/>
              <w:left w:val="nil"/>
              <w:bottom w:val="nil"/>
              <w:right w:val="nil"/>
            </w:tcBorders>
            <w:shd w:val="clear" w:color="auto" w:fill="auto"/>
            <w:noWrap/>
            <w:vAlign w:val="bottom"/>
            <w:hideMark/>
          </w:tcPr>
          <w:p w14:paraId="7F75654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3233</w:t>
            </w:r>
          </w:p>
        </w:tc>
        <w:tc>
          <w:tcPr>
            <w:tcW w:w="8509" w:type="dxa"/>
            <w:tcBorders>
              <w:top w:val="nil"/>
              <w:left w:val="nil"/>
              <w:bottom w:val="nil"/>
              <w:right w:val="nil"/>
            </w:tcBorders>
            <w:shd w:val="clear" w:color="auto" w:fill="auto"/>
            <w:noWrap/>
            <w:vAlign w:val="bottom"/>
            <w:hideMark/>
          </w:tcPr>
          <w:p w14:paraId="55BB34D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Usluge promidžbe i informiranja                                                                     </w:t>
            </w:r>
          </w:p>
        </w:tc>
        <w:tc>
          <w:tcPr>
            <w:tcW w:w="1480" w:type="dxa"/>
            <w:tcBorders>
              <w:top w:val="nil"/>
              <w:left w:val="nil"/>
              <w:bottom w:val="nil"/>
              <w:right w:val="nil"/>
            </w:tcBorders>
            <w:shd w:val="clear" w:color="auto" w:fill="auto"/>
            <w:noWrap/>
            <w:vAlign w:val="bottom"/>
            <w:hideMark/>
          </w:tcPr>
          <w:p w14:paraId="09E763F1"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CF1D8BD"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320,24</w:t>
            </w:r>
          </w:p>
        </w:tc>
        <w:tc>
          <w:tcPr>
            <w:tcW w:w="1400" w:type="dxa"/>
            <w:tcBorders>
              <w:top w:val="nil"/>
              <w:left w:val="nil"/>
              <w:bottom w:val="nil"/>
              <w:right w:val="nil"/>
            </w:tcBorders>
            <w:shd w:val="clear" w:color="auto" w:fill="auto"/>
            <w:noWrap/>
            <w:vAlign w:val="bottom"/>
            <w:hideMark/>
          </w:tcPr>
          <w:p w14:paraId="35148960"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26850E5" w14:textId="77777777" w:rsidTr="00A360DB">
        <w:trPr>
          <w:trHeight w:val="240"/>
        </w:trPr>
        <w:tc>
          <w:tcPr>
            <w:tcW w:w="1697" w:type="dxa"/>
            <w:tcBorders>
              <w:top w:val="nil"/>
              <w:left w:val="nil"/>
              <w:bottom w:val="nil"/>
              <w:right w:val="nil"/>
            </w:tcBorders>
            <w:shd w:val="clear" w:color="auto" w:fill="auto"/>
            <w:noWrap/>
            <w:vAlign w:val="bottom"/>
            <w:hideMark/>
          </w:tcPr>
          <w:p w14:paraId="0C6A78F5"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3234</w:t>
            </w:r>
          </w:p>
        </w:tc>
        <w:tc>
          <w:tcPr>
            <w:tcW w:w="8509" w:type="dxa"/>
            <w:tcBorders>
              <w:top w:val="nil"/>
              <w:left w:val="nil"/>
              <w:bottom w:val="nil"/>
              <w:right w:val="nil"/>
            </w:tcBorders>
            <w:shd w:val="clear" w:color="auto" w:fill="auto"/>
            <w:noWrap/>
            <w:vAlign w:val="bottom"/>
            <w:hideMark/>
          </w:tcPr>
          <w:p w14:paraId="6BAF08C5"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Komunalne usluge                                                                                    </w:t>
            </w:r>
          </w:p>
        </w:tc>
        <w:tc>
          <w:tcPr>
            <w:tcW w:w="1480" w:type="dxa"/>
            <w:tcBorders>
              <w:top w:val="nil"/>
              <w:left w:val="nil"/>
              <w:bottom w:val="nil"/>
              <w:right w:val="nil"/>
            </w:tcBorders>
            <w:shd w:val="clear" w:color="auto" w:fill="auto"/>
            <w:noWrap/>
            <w:vAlign w:val="bottom"/>
            <w:hideMark/>
          </w:tcPr>
          <w:p w14:paraId="34F06F7E"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6F20D6B"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716,78</w:t>
            </w:r>
          </w:p>
        </w:tc>
        <w:tc>
          <w:tcPr>
            <w:tcW w:w="1400" w:type="dxa"/>
            <w:tcBorders>
              <w:top w:val="nil"/>
              <w:left w:val="nil"/>
              <w:bottom w:val="nil"/>
              <w:right w:val="nil"/>
            </w:tcBorders>
            <w:shd w:val="clear" w:color="auto" w:fill="auto"/>
            <w:noWrap/>
            <w:vAlign w:val="bottom"/>
            <w:hideMark/>
          </w:tcPr>
          <w:p w14:paraId="0EF970C8"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A611066" w14:textId="77777777" w:rsidTr="00A360DB">
        <w:trPr>
          <w:trHeight w:val="240"/>
        </w:trPr>
        <w:tc>
          <w:tcPr>
            <w:tcW w:w="1697" w:type="dxa"/>
            <w:tcBorders>
              <w:top w:val="nil"/>
              <w:left w:val="nil"/>
              <w:bottom w:val="nil"/>
              <w:right w:val="nil"/>
            </w:tcBorders>
            <w:shd w:val="clear" w:color="auto" w:fill="auto"/>
            <w:noWrap/>
            <w:vAlign w:val="bottom"/>
            <w:hideMark/>
          </w:tcPr>
          <w:p w14:paraId="46F4296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3238</w:t>
            </w:r>
          </w:p>
        </w:tc>
        <w:tc>
          <w:tcPr>
            <w:tcW w:w="8509" w:type="dxa"/>
            <w:tcBorders>
              <w:top w:val="nil"/>
              <w:left w:val="nil"/>
              <w:bottom w:val="nil"/>
              <w:right w:val="nil"/>
            </w:tcBorders>
            <w:shd w:val="clear" w:color="auto" w:fill="auto"/>
            <w:noWrap/>
            <w:vAlign w:val="bottom"/>
            <w:hideMark/>
          </w:tcPr>
          <w:p w14:paraId="1FE5F1F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Računalne usluge                                                                                    </w:t>
            </w:r>
          </w:p>
        </w:tc>
        <w:tc>
          <w:tcPr>
            <w:tcW w:w="1480" w:type="dxa"/>
            <w:tcBorders>
              <w:top w:val="nil"/>
              <w:left w:val="nil"/>
              <w:bottom w:val="nil"/>
              <w:right w:val="nil"/>
            </w:tcBorders>
            <w:shd w:val="clear" w:color="auto" w:fill="auto"/>
            <w:noWrap/>
            <w:vAlign w:val="bottom"/>
            <w:hideMark/>
          </w:tcPr>
          <w:p w14:paraId="538099D9"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79B031C"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88,86</w:t>
            </w:r>
          </w:p>
        </w:tc>
        <w:tc>
          <w:tcPr>
            <w:tcW w:w="1400" w:type="dxa"/>
            <w:tcBorders>
              <w:top w:val="nil"/>
              <w:left w:val="nil"/>
              <w:bottom w:val="nil"/>
              <w:right w:val="nil"/>
            </w:tcBorders>
            <w:shd w:val="clear" w:color="auto" w:fill="auto"/>
            <w:noWrap/>
            <w:vAlign w:val="bottom"/>
            <w:hideMark/>
          </w:tcPr>
          <w:p w14:paraId="60D30483"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9A40DF4" w14:textId="77777777" w:rsidTr="00A360DB">
        <w:trPr>
          <w:trHeight w:val="240"/>
        </w:trPr>
        <w:tc>
          <w:tcPr>
            <w:tcW w:w="1697" w:type="dxa"/>
            <w:tcBorders>
              <w:top w:val="nil"/>
              <w:left w:val="nil"/>
              <w:bottom w:val="nil"/>
              <w:right w:val="nil"/>
            </w:tcBorders>
            <w:shd w:val="clear" w:color="auto" w:fill="auto"/>
            <w:noWrap/>
            <w:vAlign w:val="bottom"/>
            <w:hideMark/>
          </w:tcPr>
          <w:p w14:paraId="18BEE7B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3239</w:t>
            </w:r>
          </w:p>
        </w:tc>
        <w:tc>
          <w:tcPr>
            <w:tcW w:w="8509" w:type="dxa"/>
            <w:tcBorders>
              <w:top w:val="nil"/>
              <w:left w:val="nil"/>
              <w:bottom w:val="nil"/>
              <w:right w:val="nil"/>
            </w:tcBorders>
            <w:shd w:val="clear" w:color="auto" w:fill="auto"/>
            <w:noWrap/>
            <w:vAlign w:val="bottom"/>
            <w:hideMark/>
          </w:tcPr>
          <w:p w14:paraId="6ECCC02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Ostale usluge                                                                                       </w:t>
            </w:r>
          </w:p>
        </w:tc>
        <w:tc>
          <w:tcPr>
            <w:tcW w:w="1480" w:type="dxa"/>
            <w:tcBorders>
              <w:top w:val="nil"/>
              <w:left w:val="nil"/>
              <w:bottom w:val="nil"/>
              <w:right w:val="nil"/>
            </w:tcBorders>
            <w:shd w:val="clear" w:color="auto" w:fill="auto"/>
            <w:noWrap/>
            <w:vAlign w:val="bottom"/>
            <w:hideMark/>
          </w:tcPr>
          <w:p w14:paraId="3FF3B1F7"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2FF33DD"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810,00</w:t>
            </w:r>
          </w:p>
        </w:tc>
        <w:tc>
          <w:tcPr>
            <w:tcW w:w="1400" w:type="dxa"/>
            <w:tcBorders>
              <w:top w:val="nil"/>
              <w:left w:val="nil"/>
              <w:bottom w:val="nil"/>
              <w:right w:val="nil"/>
            </w:tcBorders>
            <w:shd w:val="clear" w:color="auto" w:fill="auto"/>
            <w:noWrap/>
            <w:vAlign w:val="bottom"/>
            <w:hideMark/>
          </w:tcPr>
          <w:p w14:paraId="137564AD"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6D34574" w14:textId="77777777" w:rsidTr="00A360DB">
        <w:trPr>
          <w:trHeight w:val="240"/>
        </w:trPr>
        <w:tc>
          <w:tcPr>
            <w:tcW w:w="1697" w:type="dxa"/>
            <w:tcBorders>
              <w:top w:val="nil"/>
              <w:left w:val="nil"/>
              <w:bottom w:val="nil"/>
              <w:right w:val="nil"/>
            </w:tcBorders>
            <w:shd w:val="clear" w:color="auto" w:fill="auto"/>
            <w:noWrap/>
            <w:vAlign w:val="bottom"/>
            <w:hideMark/>
          </w:tcPr>
          <w:p w14:paraId="45B8109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3292</w:t>
            </w:r>
          </w:p>
        </w:tc>
        <w:tc>
          <w:tcPr>
            <w:tcW w:w="8509" w:type="dxa"/>
            <w:tcBorders>
              <w:top w:val="nil"/>
              <w:left w:val="nil"/>
              <w:bottom w:val="nil"/>
              <w:right w:val="nil"/>
            </w:tcBorders>
            <w:shd w:val="clear" w:color="auto" w:fill="auto"/>
            <w:noWrap/>
            <w:vAlign w:val="bottom"/>
            <w:hideMark/>
          </w:tcPr>
          <w:p w14:paraId="416197F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Premije osiguranja                                                                                  </w:t>
            </w:r>
          </w:p>
        </w:tc>
        <w:tc>
          <w:tcPr>
            <w:tcW w:w="1480" w:type="dxa"/>
            <w:tcBorders>
              <w:top w:val="nil"/>
              <w:left w:val="nil"/>
              <w:bottom w:val="nil"/>
              <w:right w:val="nil"/>
            </w:tcBorders>
            <w:shd w:val="clear" w:color="auto" w:fill="auto"/>
            <w:noWrap/>
            <w:vAlign w:val="bottom"/>
            <w:hideMark/>
          </w:tcPr>
          <w:p w14:paraId="580EFB00"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51C011E8"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4.349,31</w:t>
            </w:r>
          </w:p>
        </w:tc>
        <w:tc>
          <w:tcPr>
            <w:tcW w:w="1400" w:type="dxa"/>
            <w:tcBorders>
              <w:top w:val="nil"/>
              <w:left w:val="nil"/>
              <w:bottom w:val="nil"/>
              <w:right w:val="nil"/>
            </w:tcBorders>
            <w:shd w:val="clear" w:color="auto" w:fill="auto"/>
            <w:noWrap/>
            <w:vAlign w:val="bottom"/>
            <w:hideMark/>
          </w:tcPr>
          <w:p w14:paraId="507BC221"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D33C311" w14:textId="77777777" w:rsidTr="00A360DB">
        <w:trPr>
          <w:trHeight w:val="240"/>
        </w:trPr>
        <w:tc>
          <w:tcPr>
            <w:tcW w:w="1697" w:type="dxa"/>
            <w:tcBorders>
              <w:top w:val="nil"/>
              <w:left w:val="nil"/>
              <w:bottom w:val="nil"/>
              <w:right w:val="nil"/>
            </w:tcBorders>
            <w:shd w:val="clear" w:color="auto" w:fill="auto"/>
            <w:noWrap/>
            <w:vAlign w:val="bottom"/>
            <w:hideMark/>
          </w:tcPr>
          <w:p w14:paraId="621C4855"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37</w:t>
            </w:r>
          </w:p>
        </w:tc>
        <w:tc>
          <w:tcPr>
            <w:tcW w:w="8509" w:type="dxa"/>
            <w:tcBorders>
              <w:top w:val="nil"/>
              <w:left w:val="nil"/>
              <w:bottom w:val="nil"/>
              <w:right w:val="nil"/>
            </w:tcBorders>
            <w:shd w:val="clear" w:color="auto" w:fill="auto"/>
            <w:noWrap/>
            <w:vAlign w:val="bottom"/>
            <w:hideMark/>
          </w:tcPr>
          <w:p w14:paraId="720FD2DF"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Naknade građanima i kućanstvima na temelju osiguranja i druge naknade                               </w:t>
            </w:r>
          </w:p>
        </w:tc>
        <w:tc>
          <w:tcPr>
            <w:tcW w:w="1480" w:type="dxa"/>
            <w:tcBorders>
              <w:top w:val="nil"/>
              <w:left w:val="nil"/>
              <w:bottom w:val="nil"/>
              <w:right w:val="nil"/>
            </w:tcBorders>
            <w:shd w:val="clear" w:color="auto" w:fill="auto"/>
            <w:noWrap/>
            <w:vAlign w:val="bottom"/>
            <w:hideMark/>
          </w:tcPr>
          <w:p w14:paraId="6419A7B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3.900,00</w:t>
            </w:r>
          </w:p>
        </w:tc>
        <w:tc>
          <w:tcPr>
            <w:tcW w:w="1380" w:type="dxa"/>
            <w:tcBorders>
              <w:top w:val="nil"/>
              <w:left w:val="nil"/>
              <w:bottom w:val="nil"/>
              <w:right w:val="nil"/>
            </w:tcBorders>
            <w:shd w:val="clear" w:color="auto" w:fill="auto"/>
            <w:noWrap/>
            <w:vAlign w:val="bottom"/>
            <w:hideMark/>
          </w:tcPr>
          <w:p w14:paraId="4744680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3.604,08</w:t>
            </w:r>
          </w:p>
        </w:tc>
        <w:tc>
          <w:tcPr>
            <w:tcW w:w="1400" w:type="dxa"/>
            <w:tcBorders>
              <w:top w:val="nil"/>
              <w:left w:val="nil"/>
              <w:bottom w:val="nil"/>
              <w:right w:val="nil"/>
            </w:tcBorders>
            <w:shd w:val="clear" w:color="auto" w:fill="auto"/>
            <w:noWrap/>
            <w:vAlign w:val="bottom"/>
            <w:hideMark/>
          </w:tcPr>
          <w:p w14:paraId="2656DB9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92,41%</w:t>
            </w:r>
          </w:p>
        </w:tc>
      </w:tr>
      <w:tr w:rsidR="00A360DB" w:rsidRPr="00A360DB" w14:paraId="28FEE8F6" w14:textId="77777777" w:rsidTr="00A360DB">
        <w:trPr>
          <w:trHeight w:val="240"/>
        </w:trPr>
        <w:tc>
          <w:tcPr>
            <w:tcW w:w="1697" w:type="dxa"/>
            <w:tcBorders>
              <w:top w:val="nil"/>
              <w:left w:val="nil"/>
              <w:bottom w:val="nil"/>
              <w:right w:val="nil"/>
            </w:tcBorders>
            <w:shd w:val="clear" w:color="auto" w:fill="auto"/>
            <w:noWrap/>
            <w:vAlign w:val="bottom"/>
            <w:hideMark/>
          </w:tcPr>
          <w:p w14:paraId="75CF436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3721</w:t>
            </w:r>
          </w:p>
        </w:tc>
        <w:tc>
          <w:tcPr>
            <w:tcW w:w="8509" w:type="dxa"/>
            <w:tcBorders>
              <w:top w:val="nil"/>
              <w:left w:val="nil"/>
              <w:bottom w:val="nil"/>
              <w:right w:val="nil"/>
            </w:tcBorders>
            <w:shd w:val="clear" w:color="auto" w:fill="auto"/>
            <w:noWrap/>
            <w:vAlign w:val="bottom"/>
            <w:hideMark/>
          </w:tcPr>
          <w:p w14:paraId="2B58E92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Naknade građanima i kućanstvima u novcu                                                             </w:t>
            </w:r>
          </w:p>
        </w:tc>
        <w:tc>
          <w:tcPr>
            <w:tcW w:w="1480" w:type="dxa"/>
            <w:tcBorders>
              <w:top w:val="nil"/>
              <w:left w:val="nil"/>
              <w:bottom w:val="nil"/>
              <w:right w:val="nil"/>
            </w:tcBorders>
            <w:shd w:val="clear" w:color="auto" w:fill="auto"/>
            <w:noWrap/>
            <w:vAlign w:val="bottom"/>
            <w:hideMark/>
          </w:tcPr>
          <w:p w14:paraId="0CF491CD"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1D8A0DC9"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3.604,08</w:t>
            </w:r>
          </w:p>
        </w:tc>
        <w:tc>
          <w:tcPr>
            <w:tcW w:w="1400" w:type="dxa"/>
            <w:tcBorders>
              <w:top w:val="nil"/>
              <w:left w:val="nil"/>
              <w:bottom w:val="nil"/>
              <w:right w:val="nil"/>
            </w:tcBorders>
            <w:shd w:val="clear" w:color="auto" w:fill="auto"/>
            <w:noWrap/>
            <w:vAlign w:val="bottom"/>
            <w:hideMark/>
          </w:tcPr>
          <w:p w14:paraId="543FA738"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85790CD"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563BE222"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3. Vlastiti prihodi</w:t>
            </w:r>
          </w:p>
        </w:tc>
        <w:tc>
          <w:tcPr>
            <w:tcW w:w="1480" w:type="dxa"/>
            <w:tcBorders>
              <w:top w:val="nil"/>
              <w:left w:val="nil"/>
              <w:bottom w:val="nil"/>
              <w:right w:val="nil"/>
            </w:tcBorders>
            <w:shd w:val="clear" w:color="auto" w:fill="auto"/>
            <w:noWrap/>
            <w:vAlign w:val="bottom"/>
            <w:hideMark/>
          </w:tcPr>
          <w:p w14:paraId="525F181A"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25.900,00</w:t>
            </w:r>
          </w:p>
        </w:tc>
        <w:tc>
          <w:tcPr>
            <w:tcW w:w="1380" w:type="dxa"/>
            <w:tcBorders>
              <w:top w:val="nil"/>
              <w:left w:val="nil"/>
              <w:bottom w:val="nil"/>
              <w:right w:val="nil"/>
            </w:tcBorders>
            <w:shd w:val="clear" w:color="auto" w:fill="auto"/>
            <w:noWrap/>
            <w:vAlign w:val="bottom"/>
            <w:hideMark/>
          </w:tcPr>
          <w:p w14:paraId="252C90E9"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19.694,28</w:t>
            </w:r>
          </w:p>
        </w:tc>
        <w:tc>
          <w:tcPr>
            <w:tcW w:w="1400" w:type="dxa"/>
            <w:tcBorders>
              <w:top w:val="nil"/>
              <w:left w:val="nil"/>
              <w:bottom w:val="nil"/>
              <w:right w:val="nil"/>
            </w:tcBorders>
            <w:shd w:val="clear" w:color="auto" w:fill="auto"/>
            <w:noWrap/>
            <w:vAlign w:val="bottom"/>
            <w:hideMark/>
          </w:tcPr>
          <w:p w14:paraId="39C010F6"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76,04%</w:t>
            </w:r>
          </w:p>
        </w:tc>
      </w:tr>
      <w:tr w:rsidR="00A360DB" w:rsidRPr="00A360DB" w14:paraId="2A1CEAFD"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25ABD5F"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3.1. Vlastiti prihodi</w:t>
            </w:r>
          </w:p>
        </w:tc>
        <w:tc>
          <w:tcPr>
            <w:tcW w:w="1480" w:type="dxa"/>
            <w:tcBorders>
              <w:top w:val="nil"/>
              <w:left w:val="nil"/>
              <w:bottom w:val="nil"/>
              <w:right w:val="nil"/>
            </w:tcBorders>
            <w:shd w:val="clear" w:color="auto" w:fill="auto"/>
            <w:noWrap/>
            <w:vAlign w:val="bottom"/>
            <w:hideMark/>
          </w:tcPr>
          <w:p w14:paraId="1E1FC87F"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25.900,00</w:t>
            </w:r>
          </w:p>
        </w:tc>
        <w:tc>
          <w:tcPr>
            <w:tcW w:w="1380" w:type="dxa"/>
            <w:tcBorders>
              <w:top w:val="nil"/>
              <w:left w:val="nil"/>
              <w:bottom w:val="nil"/>
              <w:right w:val="nil"/>
            </w:tcBorders>
            <w:shd w:val="clear" w:color="auto" w:fill="auto"/>
            <w:noWrap/>
            <w:vAlign w:val="bottom"/>
            <w:hideMark/>
          </w:tcPr>
          <w:p w14:paraId="445B61AA"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19.694,28</w:t>
            </w:r>
          </w:p>
        </w:tc>
        <w:tc>
          <w:tcPr>
            <w:tcW w:w="1400" w:type="dxa"/>
            <w:tcBorders>
              <w:top w:val="nil"/>
              <w:left w:val="nil"/>
              <w:bottom w:val="nil"/>
              <w:right w:val="nil"/>
            </w:tcBorders>
            <w:shd w:val="clear" w:color="auto" w:fill="auto"/>
            <w:noWrap/>
            <w:vAlign w:val="bottom"/>
            <w:hideMark/>
          </w:tcPr>
          <w:p w14:paraId="00BE9313"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76,04%</w:t>
            </w:r>
          </w:p>
        </w:tc>
      </w:tr>
      <w:tr w:rsidR="00A360DB" w:rsidRPr="00A360DB" w14:paraId="2F9B96CB" w14:textId="77777777" w:rsidTr="00A360DB">
        <w:trPr>
          <w:trHeight w:val="240"/>
        </w:trPr>
        <w:tc>
          <w:tcPr>
            <w:tcW w:w="1697" w:type="dxa"/>
            <w:tcBorders>
              <w:top w:val="nil"/>
              <w:left w:val="nil"/>
              <w:bottom w:val="nil"/>
              <w:right w:val="nil"/>
            </w:tcBorders>
            <w:shd w:val="clear" w:color="auto" w:fill="auto"/>
            <w:noWrap/>
            <w:vAlign w:val="bottom"/>
            <w:hideMark/>
          </w:tcPr>
          <w:p w14:paraId="326FB06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31</w:t>
            </w:r>
          </w:p>
        </w:tc>
        <w:tc>
          <w:tcPr>
            <w:tcW w:w="8509" w:type="dxa"/>
            <w:tcBorders>
              <w:top w:val="nil"/>
              <w:left w:val="nil"/>
              <w:bottom w:val="nil"/>
              <w:right w:val="nil"/>
            </w:tcBorders>
            <w:shd w:val="clear" w:color="auto" w:fill="auto"/>
            <w:noWrap/>
            <w:vAlign w:val="bottom"/>
            <w:hideMark/>
          </w:tcPr>
          <w:p w14:paraId="01CEF8C9"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zaposlene                                                                                </w:t>
            </w:r>
          </w:p>
        </w:tc>
        <w:tc>
          <w:tcPr>
            <w:tcW w:w="1480" w:type="dxa"/>
            <w:tcBorders>
              <w:top w:val="nil"/>
              <w:left w:val="nil"/>
              <w:bottom w:val="nil"/>
              <w:right w:val="nil"/>
            </w:tcBorders>
            <w:shd w:val="clear" w:color="auto" w:fill="auto"/>
            <w:noWrap/>
            <w:vAlign w:val="bottom"/>
            <w:hideMark/>
          </w:tcPr>
          <w:p w14:paraId="7C2AE9E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1.500,00</w:t>
            </w:r>
          </w:p>
        </w:tc>
        <w:tc>
          <w:tcPr>
            <w:tcW w:w="1380" w:type="dxa"/>
            <w:tcBorders>
              <w:top w:val="nil"/>
              <w:left w:val="nil"/>
              <w:bottom w:val="nil"/>
              <w:right w:val="nil"/>
            </w:tcBorders>
            <w:shd w:val="clear" w:color="auto" w:fill="auto"/>
            <w:noWrap/>
            <w:vAlign w:val="bottom"/>
            <w:hideMark/>
          </w:tcPr>
          <w:p w14:paraId="155D4CC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1.500,00</w:t>
            </w:r>
          </w:p>
        </w:tc>
        <w:tc>
          <w:tcPr>
            <w:tcW w:w="1400" w:type="dxa"/>
            <w:tcBorders>
              <w:top w:val="nil"/>
              <w:left w:val="nil"/>
              <w:bottom w:val="nil"/>
              <w:right w:val="nil"/>
            </w:tcBorders>
            <w:shd w:val="clear" w:color="auto" w:fill="auto"/>
            <w:noWrap/>
            <w:vAlign w:val="bottom"/>
            <w:hideMark/>
          </w:tcPr>
          <w:p w14:paraId="37576A7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r>
      <w:tr w:rsidR="00A360DB" w:rsidRPr="00A360DB" w14:paraId="26FF9562" w14:textId="77777777" w:rsidTr="00A360DB">
        <w:trPr>
          <w:trHeight w:val="240"/>
        </w:trPr>
        <w:tc>
          <w:tcPr>
            <w:tcW w:w="1697" w:type="dxa"/>
            <w:tcBorders>
              <w:top w:val="nil"/>
              <w:left w:val="nil"/>
              <w:bottom w:val="nil"/>
              <w:right w:val="nil"/>
            </w:tcBorders>
            <w:shd w:val="clear" w:color="auto" w:fill="auto"/>
            <w:noWrap/>
            <w:vAlign w:val="bottom"/>
            <w:hideMark/>
          </w:tcPr>
          <w:p w14:paraId="7EF4BB7D"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3121</w:t>
            </w:r>
          </w:p>
        </w:tc>
        <w:tc>
          <w:tcPr>
            <w:tcW w:w="8509" w:type="dxa"/>
            <w:tcBorders>
              <w:top w:val="nil"/>
              <w:left w:val="nil"/>
              <w:bottom w:val="nil"/>
              <w:right w:val="nil"/>
            </w:tcBorders>
            <w:shd w:val="clear" w:color="auto" w:fill="auto"/>
            <w:noWrap/>
            <w:vAlign w:val="bottom"/>
            <w:hideMark/>
          </w:tcPr>
          <w:p w14:paraId="0DC9B12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Ostali rashodi za zaposlene                                                                         </w:t>
            </w:r>
          </w:p>
        </w:tc>
        <w:tc>
          <w:tcPr>
            <w:tcW w:w="1480" w:type="dxa"/>
            <w:tcBorders>
              <w:top w:val="nil"/>
              <w:left w:val="nil"/>
              <w:bottom w:val="nil"/>
              <w:right w:val="nil"/>
            </w:tcBorders>
            <w:shd w:val="clear" w:color="auto" w:fill="auto"/>
            <w:noWrap/>
            <w:vAlign w:val="bottom"/>
            <w:hideMark/>
          </w:tcPr>
          <w:p w14:paraId="0D9D2F9C"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238275F"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1.500,00</w:t>
            </w:r>
          </w:p>
        </w:tc>
        <w:tc>
          <w:tcPr>
            <w:tcW w:w="1400" w:type="dxa"/>
            <w:tcBorders>
              <w:top w:val="nil"/>
              <w:left w:val="nil"/>
              <w:bottom w:val="nil"/>
              <w:right w:val="nil"/>
            </w:tcBorders>
            <w:shd w:val="clear" w:color="auto" w:fill="auto"/>
            <w:noWrap/>
            <w:vAlign w:val="bottom"/>
            <w:hideMark/>
          </w:tcPr>
          <w:p w14:paraId="1F4B4E17"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3B024CB" w14:textId="77777777" w:rsidTr="00A360DB">
        <w:trPr>
          <w:trHeight w:val="240"/>
        </w:trPr>
        <w:tc>
          <w:tcPr>
            <w:tcW w:w="1697" w:type="dxa"/>
            <w:tcBorders>
              <w:top w:val="nil"/>
              <w:left w:val="nil"/>
              <w:bottom w:val="nil"/>
              <w:right w:val="nil"/>
            </w:tcBorders>
            <w:shd w:val="clear" w:color="auto" w:fill="auto"/>
            <w:noWrap/>
            <w:vAlign w:val="bottom"/>
            <w:hideMark/>
          </w:tcPr>
          <w:p w14:paraId="36129FF4"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038F14D5"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231EE3E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24.400,00</w:t>
            </w:r>
          </w:p>
        </w:tc>
        <w:tc>
          <w:tcPr>
            <w:tcW w:w="1380" w:type="dxa"/>
            <w:tcBorders>
              <w:top w:val="nil"/>
              <w:left w:val="nil"/>
              <w:bottom w:val="nil"/>
              <w:right w:val="nil"/>
            </w:tcBorders>
            <w:shd w:val="clear" w:color="auto" w:fill="auto"/>
            <w:noWrap/>
            <w:vAlign w:val="bottom"/>
            <w:hideMark/>
          </w:tcPr>
          <w:p w14:paraId="7319FB6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18.194,28</w:t>
            </w:r>
          </w:p>
        </w:tc>
        <w:tc>
          <w:tcPr>
            <w:tcW w:w="1400" w:type="dxa"/>
            <w:tcBorders>
              <w:top w:val="nil"/>
              <w:left w:val="nil"/>
              <w:bottom w:val="nil"/>
              <w:right w:val="nil"/>
            </w:tcBorders>
            <w:shd w:val="clear" w:color="auto" w:fill="auto"/>
            <w:noWrap/>
            <w:vAlign w:val="bottom"/>
            <w:hideMark/>
          </w:tcPr>
          <w:p w14:paraId="46CF244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74,57%</w:t>
            </w:r>
          </w:p>
        </w:tc>
      </w:tr>
      <w:tr w:rsidR="00A360DB" w:rsidRPr="00A360DB" w14:paraId="42A8106B" w14:textId="77777777" w:rsidTr="00A360DB">
        <w:trPr>
          <w:trHeight w:val="240"/>
        </w:trPr>
        <w:tc>
          <w:tcPr>
            <w:tcW w:w="1697" w:type="dxa"/>
            <w:tcBorders>
              <w:top w:val="nil"/>
              <w:left w:val="nil"/>
              <w:bottom w:val="nil"/>
              <w:right w:val="nil"/>
            </w:tcBorders>
            <w:shd w:val="clear" w:color="auto" w:fill="auto"/>
            <w:noWrap/>
            <w:vAlign w:val="bottom"/>
            <w:hideMark/>
          </w:tcPr>
          <w:p w14:paraId="6780478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3211</w:t>
            </w:r>
          </w:p>
        </w:tc>
        <w:tc>
          <w:tcPr>
            <w:tcW w:w="8509" w:type="dxa"/>
            <w:tcBorders>
              <w:top w:val="nil"/>
              <w:left w:val="nil"/>
              <w:bottom w:val="nil"/>
              <w:right w:val="nil"/>
            </w:tcBorders>
            <w:shd w:val="clear" w:color="auto" w:fill="auto"/>
            <w:noWrap/>
            <w:vAlign w:val="bottom"/>
            <w:hideMark/>
          </w:tcPr>
          <w:p w14:paraId="3F44E055"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Službena putovanja                                                                                  </w:t>
            </w:r>
          </w:p>
        </w:tc>
        <w:tc>
          <w:tcPr>
            <w:tcW w:w="1480" w:type="dxa"/>
            <w:tcBorders>
              <w:top w:val="nil"/>
              <w:left w:val="nil"/>
              <w:bottom w:val="nil"/>
              <w:right w:val="nil"/>
            </w:tcBorders>
            <w:shd w:val="clear" w:color="auto" w:fill="auto"/>
            <w:noWrap/>
            <w:vAlign w:val="bottom"/>
            <w:hideMark/>
          </w:tcPr>
          <w:p w14:paraId="505EF1FF"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576AAA9"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1.518,00</w:t>
            </w:r>
          </w:p>
        </w:tc>
        <w:tc>
          <w:tcPr>
            <w:tcW w:w="1400" w:type="dxa"/>
            <w:tcBorders>
              <w:top w:val="nil"/>
              <w:left w:val="nil"/>
              <w:bottom w:val="nil"/>
              <w:right w:val="nil"/>
            </w:tcBorders>
            <w:shd w:val="clear" w:color="auto" w:fill="auto"/>
            <w:noWrap/>
            <w:vAlign w:val="bottom"/>
            <w:hideMark/>
          </w:tcPr>
          <w:p w14:paraId="147E0C3C"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7CABA92" w14:textId="77777777" w:rsidTr="00A360DB">
        <w:trPr>
          <w:trHeight w:val="240"/>
        </w:trPr>
        <w:tc>
          <w:tcPr>
            <w:tcW w:w="1697" w:type="dxa"/>
            <w:tcBorders>
              <w:top w:val="nil"/>
              <w:left w:val="nil"/>
              <w:bottom w:val="nil"/>
              <w:right w:val="nil"/>
            </w:tcBorders>
            <w:shd w:val="clear" w:color="auto" w:fill="auto"/>
            <w:noWrap/>
            <w:vAlign w:val="bottom"/>
            <w:hideMark/>
          </w:tcPr>
          <w:p w14:paraId="448AC2A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3222</w:t>
            </w:r>
          </w:p>
        </w:tc>
        <w:tc>
          <w:tcPr>
            <w:tcW w:w="8509" w:type="dxa"/>
            <w:tcBorders>
              <w:top w:val="nil"/>
              <w:left w:val="nil"/>
              <w:bottom w:val="nil"/>
              <w:right w:val="nil"/>
            </w:tcBorders>
            <w:shd w:val="clear" w:color="auto" w:fill="auto"/>
            <w:noWrap/>
            <w:vAlign w:val="bottom"/>
            <w:hideMark/>
          </w:tcPr>
          <w:p w14:paraId="1A5B063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Materijal i sirovine                                                                                </w:t>
            </w:r>
          </w:p>
        </w:tc>
        <w:tc>
          <w:tcPr>
            <w:tcW w:w="1480" w:type="dxa"/>
            <w:tcBorders>
              <w:top w:val="nil"/>
              <w:left w:val="nil"/>
              <w:bottom w:val="nil"/>
              <w:right w:val="nil"/>
            </w:tcBorders>
            <w:shd w:val="clear" w:color="auto" w:fill="auto"/>
            <w:noWrap/>
            <w:vAlign w:val="bottom"/>
            <w:hideMark/>
          </w:tcPr>
          <w:p w14:paraId="310B567C"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1B01A459"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6.555,55</w:t>
            </w:r>
          </w:p>
        </w:tc>
        <w:tc>
          <w:tcPr>
            <w:tcW w:w="1400" w:type="dxa"/>
            <w:tcBorders>
              <w:top w:val="nil"/>
              <w:left w:val="nil"/>
              <w:bottom w:val="nil"/>
              <w:right w:val="nil"/>
            </w:tcBorders>
            <w:shd w:val="clear" w:color="auto" w:fill="auto"/>
            <w:noWrap/>
            <w:vAlign w:val="bottom"/>
            <w:hideMark/>
          </w:tcPr>
          <w:p w14:paraId="290AA0E2"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284BDBD" w14:textId="77777777" w:rsidTr="00A360DB">
        <w:trPr>
          <w:trHeight w:val="240"/>
        </w:trPr>
        <w:tc>
          <w:tcPr>
            <w:tcW w:w="1697" w:type="dxa"/>
            <w:tcBorders>
              <w:top w:val="nil"/>
              <w:left w:val="nil"/>
              <w:bottom w:val="nil"/>
              <w:right w:val="nil"/>
            </w:tcBorders>
            <w:shd w:val="clear" w:color="auto" w:fill="auto"/>
            <w:noWrap/>
            <w:vAlign w:val="bottom"/>
            <w:hideMark/>
          </w:tcPr>
          <w:p w14:paraId="57643CE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3235</w:t>
            </w:r>
          </w:p>
        </w:tc>
        <w:tc>
          <w:tcPr>
            <w:tcW w:w="8509" w:type="dxa"/>
            <w:tcBorders>
              <w:top w:val="nil"/>
              <w:left w:val="nil"/>
              <w:bottom w:val="nil"/>
              <w:right w:val="nil"/>
            </w:tcBorders>
            <w:shd w:val="clear" w:color="auto" w:fill="auto"/>
            <w:noWrap/>
            <w:vAlign w:val="bottom"/>
            <w:hideMark/>
          </w:tcPr>
          <w:p w14:paraId="3B81E0F5"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Zakupnine i najamnine                                                                               </w:t>
            </w:r>
          </w:p>
        </w:tc>
        <w:tc>
          <w:tcPr>
            <w:tcW w:w="1480" w:type="dxa"/>
            <w:tcBorders>
              <w:top w:val="nil"/>
              <w:left w:val="nil"/>
              <w:bottom w:val="nil"/>
              <w:right w:val="nil"/>
            </w:tcBorders>
            <w:shd w:val="clear" w:color="auto" w:fill="auto"/>
            <w:noWrap/>
            <w:vAlign w:val="bottom"/>
            <w:hideMark/>
          </w:tcPr>
          <w:p w14:paraId="009FEBD4"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1226C8CF"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3.031,32</w:t>
            </w:r>
          </w:p>
        </w:tc>
        <w:tc>
          <w:tcPr>
            <w:tcW w:w="1400" w:type="dxa"/>
            <w:tcBorders>
              <w:top w:val="nil"/>
              <w:left w:val="nil"/>
              <w:bottom w:val="nil"/>
              <w:right w:val="nil"/>
            </w:tcBorders>
            <w:shd w:val="clear" w:color="auto" w:fill="auto"/>
            <w:noWrap/>
            <w:vAlign w:val="bottom"/>
            <w:hideMark/>
          </w:tcPr>
          <w:p w14:paraId="74F267CB"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5D83465C" w14:textId="77777777" w:rsidTr="00A360DB">
        <w:trPr>
          <w:trHeight w:val="240"/>
        </w:trPr>
        <w:tc>
          <w:tcPr>
            <w:tcW w:w="1697" w:type="dxa"/>
            <w:tcBorders>
              <w:top w:val="nil"/>
              <w:left w:val="nil"/>
              <w:bottom w:val="nil"/>
              <w:right w:val="nil"/>
            </w:tcBorders>
            <w:shd w:val="clear" w:color="auto" w:fill="auto"/>
            <w:noWrap/>
            <w:vAlign w:val="bottom"/>
            <w:hideMark/>
          </w:tcPr>
          <w:p w14:paraId="096FB595"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3236</w:t>
            </w:r>
          </w:p>
        </w:tc>
        <w:tc>
          <w:tcPr>
            <w:tcW w:w="8509" w:type="dxa"/>
            <w:tcBorders>
              <w:top w:val="nil"/>
              <w:left w:val="nil"/>
              <w:bottom w:val="nil"/>
              <w:right w:val="nil"/>
            </w:tcBorders>
            <w:shd w:val="clear" w:color="auto" w:fill="auto"/>
            <w:noWrap/>
            <w:vAlign w:val="bottom"/>
            <w:hideMark/>
          </w:tcPr>
          <w:p w14:paraId="1D95D84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Zdravstvene i veterinarske usluge                                                                   </w:t>
            </w:r>
          </w:p>
        </w:tc>
        <w:tc>
          <w:tcPr>
            <w:tcW w:w="1480" w:type="dxa"/>
            <w:tcBorders>
              <w:top w:val="nil"/>
              <w:left w:val="nil"/>
              <w:bottom w:val="nil"/>
              <w:right w:val="nil"/>
            </w:tcBorders>
            <w:shd w:val="clear" w:color="auto" w:fill="auto"/>
            <w:noWrap/>
            <w:vAlign w:val="bottom"/>
            <w:hideMark/>
          </w:tcPr>
          <w:p w14:paraId="189678F4"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5FAAF0B8"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90,70</w:t>
            </w:r>
          </w:p>
        </w:tc>
        <w:tc>
          <w:tcPr>
            <w:tcW w:w="1400" w:type="dxa"/>
            <w:tcBorders>
              <w:top w:val="nil"/>
              <w:left w:val="nil"/>
              <w:bottom w:val="nil"/>
              <w:right w:val="nil"/>
            </w:tcBorders>
            <w:shd w:val="clear" w:color="auto" w:fill="auto"/>
            <w:noWrap/>
            <w:vAlign w:val="bottom"/>
            <w:hideMark/>
          </w:tcPr>
          <w:p w14:paraId="3BE1B902"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4B7C797" w14:textId="77777777" w:rsidTr="00A360DB">
        <w:trPr>
          <w:trHeight w:val="240"/>
        </w:trPr>
        <w:tc>
          <w:tcPr>
            <w:tcW w:w="1697" w:type="dxa"/>
            <w:tcBorders>
              <w:top w:val="nil"/>
              <w:left w:val="nil"/>
              <w:bottom w:val="nil"/>
              <w:right w:val="nil"/>
            </w:tcBorders>
            <w:shd w:val="clear" w:color="auto" w:fill="auto"/>
            <w:noWrap/>
            <w:vAlign w:val="bottom"/>
            <w:hideMark/>
          </w:tcPr>
          <w:p w14:paraId="102F1FF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3237</w:t>
            </w:r>
          </w:p>
        </w:tc>
        <w:tc>
          <w:tcPr>
            <w:tcW w:w="8509" w:type="dxa"/>
            <w:tcBorders>
              <w:top w:val="nil"/>
              <w:left w:val="nil"/>
              <w:bottom w:val="nil"/>
              <w:right w:val="nil"/>
            </w:tcBorders>
            <w:shd w:val="clear" w:color="auto" w:fill="auto"/>
            <w:noWrap/>
            <w:vAlign w:val="bottom"/>
            <w:hideMark/>
          </w:tcPr>
          <w:p w14:paraId="7AE96FA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Intelektualne i osobne usluge                                                                       </w:t>
            </w:r>
          </w:p>
        </w:tc>
        <w:tc>
          <w:tcPr>
            <w:tcW w:w="1480" w:type="dxa"/>
            <w:tcBorders>
              <w:top w:val="nil"/>
              <w:left w:val="nil"/>
              <w:bottom w:val="nil"/>
              <w:right w:val="nil"/>
            </w:tcBorders>
            <w:shd w:val="clear" w:color="auto" w:fill="auto"/>
            <w:noWrap/>
            <w:vAlign w:val="bottom"/>
            <w:hideMark/>
          </w:tcPr>
          <w:p w14:paraId="686DA40C"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513B51BA"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1.486,50</w:t>
            </w:r>
          </w:p>
        </w:tc>
        <w:tc>
          <w:tcPr>
            <w:tcW w:w="1400" w:type="dxa"/>
            <w:tcBorders>
              <w:top w:val="nil"/>
              <w:left w:val="nil"/>
              <w:bottom w:val="nil"/>
              <w:right w:val="nil"/>
            </w:tcBorders>
            <w:shd w:val="clear" w:color="auto" w:fill="auto"/>
            <w:noWrap/>
            <w:vAlign w:val="bottom"/>
            <w:hideMark/>
          </w:tcPr>
          <w:p w14:paraId="6BBB1F97"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07885ED" w14:textId="77777777" w:rsidTr="00A360DB">
        <w:trPr>
          <w:trHeight w:val="240"/>
        </w:trPr>
        <w:tc>
          <w:tcPr>
            <w:tcW w:w="1697" w:type="dxa"/>
            <w:tcBorders>
              <w:top w:val="nil"/>
              <w:left w:val="nil"/>
              <w:bottom w:val="nil"/>
              <w:right w:val="nil"/>
            </w:tcBorders>
            <w:shd w:val="clear" w:color="auto" w:fill="auto"/>
            <w:noWrap/>
            <w:vAlign w:val="bottom"/>
            <w:hideMark/>
          </w:tcPr>
          <w:p w14:paraId="19709658"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3239</w:t>
            </w:r>
          </w:p>
        </w:tc>
        <w:tc>
          <w:tcPr>
            <w:tcW w:w="8509" w:type="dxa"/>
            <w:tcBorders>
              <w:top w:val="nil"/>
              <w:left w:val="nil"/>
              <w:bottom w:val="nil"/>
              <w:right w:val="nil"/>
            </w:tcBorders>
            <w:shd w:val="clear" w:color="auto" w:fill="auto"/>
            <w:noWrap/>
            <w:vAlign w:val="bottom"/>
            <w:hideMark/>
          </w:tcPr>
          <w:p w14:paraId="0F44611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Ostale usluge                                                                                       </w:t>
            </w:r>
          </w:p>
        </w:tc>
        <w:tc>
          <w:tcPr>
            <w:tcW w:w="1480" w:type="dxa"/>
            <w:tcBorders>
              <w:top w:val="nil"/>
              <w:left w:val="nil"/>
              <w:bottom w:val="nil"/>
              <w:right w:val="nil"/>
            </w:tcBorders>
            <w:shd w:val="clear" w:color="auto" w:fill="auto"/>
            <w:noWrap/>
            <w:vAlign w:val="bottom"/>
            <w:hideMark/>
          </w:tcPr>
          <w:p w14:paraId="4D4CC4BB"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152427EE"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400,00</w:t>
            </w:r>
          </w:p>
        </w:tc>
        <w:tc>
          <w:tcPr>
            <w:tcW w:w="1400" w:type="dxa"/>
            <w:tcBorders>
              <w:top w:val="nil"/>
              <w:left w:val="nil"/>
              <w:bottom w:val="nil"/>
              <w:right w:val="nil"/>
            </w:tcBorders>
            <w:shd w:val="clear" w:color="auto" w:fill="auto"/>
            <w:noWrap/>
            <w:vAlign w:val="bottom"/>
            <w:hideMark/>
          </w:tcPr>
          <w:p w14:paraId="271CA1D1"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DDDBBA4" w14:textId="77777777" w:rsidTr="00A360DB">
        <w:trPr>
          <w:trHeight w:val="240"/>
        </w:trPr>
        <w:tc>
          <w:tcPr>
            <w:tcW w:w="1697" w:type="dxa"/>
            <w:tcBorders>
              <w:top w:val="nil"/>
              <w:left w:val="nil"/>
              <w:bottom w:val="nil"/>
              <w:right w:val="nil"/>
            </w:tcBorders>
            <w:shd w:val="clear" w:color="auto" w:fill="auto"/>
            <w:noWrap/>
            <w:vAlign w:val="bottom"/>
            <w:hideMark/>
          </w:tcPr>
          <w:p w14:paraId="7AB6950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3292</w:t>
            </w:r>
          </w:p>
        </w:tc>
        <w:tc>
          <w:tcPr>
            <w:tcW w:w="8509" w:type="dxa"/>
            <w:tcBorders>
              <w:top w:val="nil"/>
              <w:left w:val="nil"/>
              <w:bottom w:val="nil"/>
              <w:right w:val="nil"/>
            </w:tcBorders>
            <w:shd w:val="clear" w:color="auto" w:fill="auto"/>
            <w:noWrap/>
            <w:vAlign w:val="bottom"/>
            <w:hideMark/>
          </w:tcPr>
          <w:p w14:paraId="497F6B9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Premije osiguranja                                                                                  </w:t>
            </w:r>
          </w:p>
        </w:tc>
        <w:tc>
          <w:tcPr>
            <w:tcW w:w="1480" w:type="dxa"/>
            <w:tcBorders>
              <w:top w:val="nil"/>
              <w:left w:val="nil"/>
              <w:bottom w:val="nil"/>
              <w:right w:val="nil"/>
            </w:tcBorders>
            <w:shd w:val="clear" w:color="auto" w:fill="auto"/>
            <w:noWrap/>
            <w:vAlign w:val="bottom"/>
            <w:hideMark/>
          </w:tcPr>
          <w:p w14:paraId="384FF925"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F15C021"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1.499,55</w:t>
            </w:r>
          </w:p>
        </w:tc>
        <w:tc>
          <w:tcPr>
            <w:tcW w:w="1400" w:type="dxa"/>
            <w:tcBorders>
              <w:top w:val="nil"/>
              <w:left w:val="nil"/>
              <w:bottom w:val="nil"/>
              <w:right w:val="nil"/>
            </w:tcBorders>
            <w:shd w:val="clear" w:color="auto" w:fill="auto"/>
            <w:noWrap/>
            <w:vAlign w:val="bottom"/>
            <w:hideMark/>
          </w:tcPr>
          <w:p w14:paraId="30789AF7"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A6D446C" w14:textId="77777777" w:rsidTr="00A360DB">
        <w:trPr>
          <w:trHeight w:val="240"/>
        </w:trPr>
        <w:tc>
          <w:tcPr>
            <w:tcW w:w="1697" w:type="dxa"/>
            <w:tcBorders>
              <w:top w:val="nil"/>
              <w:left w:val="nil"/>
              <w:bottom w:val="nil"/>
              <w:right w:val="nil"/>
            </w:tcBorders>
            <w:shd w:val="clear" w:color="auto" w:fill="auto"/>
            <w:noWrap/>
            <w:vAlign w:val="bottom"/>
            <w:hideMark/>
          </w:tcPr>
          <w:p w14:paraId="5E74481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3293</w:t>
            </w:r>
          </w:p>
        </w:tc>
        <w:tc>
          <w:tcPr>
            <w:tcW w:w="8509" w:type="dxa"/>
            <w:tcBorders>
              <w:top w:val="nil"/>
              <w:left w:val="nil"/>
              <w:bottom w:val="nil"/>
              <w:right w:val="nil"/>
            </w:tcBorders>
            <w:shd w:val="clear" w:color="auto" w:fill="auto"/>
            <w:noWrap/>
            <w:vAlign w:val="bottom"/>
            <w:hideMark/>
          </w:tcPr>
          <w:p w14:paraId="2DFF4997"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Reprezentacija                                                                                      </w:t>
            </w:r>
          </w:p>
        </w:tc>
        <w:tc>
          <w:tcPr>
            <w:tcW w:w="1480" w:type="dxa"/>
            <w:tcBorders>
              <w:top w:val="nil"/>
              <w:left w:val="nil"/>
              <w:bottom w:val="nil"/>
              <w:right w:val="nil"/>
            </w:tcBorders>
            <w:shd w:val="clear" w:color="auto" w:fill="auto"/>
            <w:noWrap/>
            <w:vAlign w:val="bottom"/>
            <w:hideMark/>
          </w:tcPr>
          <w:p w14:paraId="35B70384"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90EBABD"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2.568,53</w:t>
            </w:r>
          </w:p>
        </w:tc>
        <w:tc>
          <w:tcPr>
            <w:tcW w:w="1400" w:type="dxa"/>
            <w:tcBorders>
              <w:top w:val="nil"/>
              <w:left w:val="nil"/>
              <w:bottom w:val="nil"/>
              <w:right w:val="nil"/>
            </w:tcBorders>
            <w:shd w:val="clear" w:color="auto" w:fill="auto"/>
            <w:noWrap/>
            <w:vAlign w:val="bottom"/>
            <w:hideMark/>
          </w:tcPr>
          <w:p w14:paraId="551ED20E"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C86EB0B" w14:textId="77777777" w:rsidTr="00A360DB">
        <w:trPr>
          <w:trHeight w:val="240"/>
        </w:trPr>
        <w:tc>
          <w:tcPr>
            <w:tcW w:w="1697" w:type="dxa"/>
            <w:tcBorders>
              <w:top w:val="nil"/>
              <w:left w:val="nil"/>
              <w:bottom w:val="nil"/>
              <w:right w:val="nil"/>
            </w:tcBorders>
            <w:shd w:val="clear" w:color="auto" w:fill="auto"/>
            <w:noWrap/>
            <w:vAlign w:val="bottom"/>
            <w:hideMark/>
          </w:tcPr>
          <w:p w14:paraId="6CE694D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3294</w:t>
            </w:r>
          </w:p>
        </w:tc>
        <w:tc>
          <w:tcPr>
            <w:tcW w:w="8509" w:type="dxa"/>
            <w:tcBorders>
              <w:top w:val="nil"/>
              <w:left w:val="nil"/>
              <w:bottom w:val="nil"/>
              <w:right w:val="nil"/>
            </w:tcBorders>
            <w:shd w:val="clear" w:color="auto" w:fill="auto"/>
            <w:noWrap/>
            <w:vAlign w:val="bottom"/>
            <w:hideMark/>
          </w:tcPr>
          <w:p w14:paraId="64E8B905"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Članarine</w:t>
            </w:r>
          </w:p>
        </w:tc>
        <w:tc>
          <w:tcPr>
            <w:tcW w:w="1480" w:type="dxa"/>
            <w:tcBorders>
              <w:top w:val="nil"/>
              <w:left w:val="nil"/>
              <w:bottom w:val="nil"/>
              <w:right w:val="nil"/>
            </w:tcBorders>
            <w:shd w:val="clear" w:color="auto" w:fill="auto"/>
            <w:noWrap/>
            <w:vAlign w:val="bottom"/>
            <w:hideMark/>
          </w:tcPr>
          <w:p w14:paraId="4F0EE894"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9FD67F6"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45,00</w:t>
            </w:r>
          </w:p>
        </w:tc>
        <w:tc>
          <w:tcPr>
            <w:tcW w:w="1400" w:type="dxa"/>
            <w:tcBorders>
              <w:top w:val="nil"/>
              <w:left w:val="nil"/>
              <w:bottom w:val="nil"/>
              <w:right w:val="nil"/>
            </w:tcBorders>
            <w:shd w:val="clear" w:color="auto" w:fill="auto"/>
            <w:noWrap/>
            <w:vAlign w:val="bottom"/>
            <w:hideMark/>
          </w:tcPr>
          <w:p w14:paraId="5989F4F3"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51575933" w14:textId="77777777" w:rsidTr="00A360DB">
        <w:trPr>
          <w:trHeight w:val="240"/>
        </w:trPr>
        <w:tc>
          <w:tcPr>
            <w:tcW w:w="1697" w:type="dxa"/>
            <w:tcBorders>
              <w:top w:val="nil"/>
              <w:left w:val="nil"/>
              <w:bottom w:val="nil"/>
              <w:right w:val="nil"/>
            </w:tcBorders>
            <w:shd w:val="clear" w:color="auto" w:fill="auto"/>
            <w:noWrap/>
            <w:vAlign w:val="bottom"/>
            <w:hideMark/>
          </w:tcPr>
          <w:p w14:paraId="7EF3B38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3295</w:t>
            </w:r>
          </w:p>
        </w:tc>
        <w:tc>
          <w:tcPr>
            <w:tcW w:w="8509" w:type="dxa"/>
            <w:tcBorders>
              <w:top w:val="nil"/>
              <w:left w:val="nil"/>
              <w:bottom w:val="nil"/>
              <w:right w:val="nil"/>
            </w:tcBorders>
            <w:shd w:val="clear" w:color="auto" w:fill="auto"/>
            <w:noWrap/>
            <w:vAlign w:val="bottom"/>
            <w:hideMark/>
          </w:tcPr>
          <w:p w14:paraId="663B142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Pristojbe i naknade                                                                                 </w:t>
            </w:r>
          </w:p>
        </w:tc>
        <w:tc>
          <w:tcPr>
            <w:tcW w:w="1480" w:type="dxa"/>
            <w:tcBorders>
              <w:top w:val="nil"/>
              <w:left w:val="nil"/>
              <w:bottom w:val="nil"/>
              <w:right w:val="nil"/>
            </w:tcBorders>
            <w:shd w:val="clear" w:color="auto" w:fill="auto"/>
            <w:noWrap/>
            <w:vAlign w:val="bottom"/>
            <w:hideMark/>
          </w:tcPr>
          <w:p w14:paraId="03816C19"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171CB095"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499,75</w:t>
            </w:r>
          </w:p>
        </w:tc>
        <w:tc>
          <w:tcPr>
            <w:tcW w:w="1400" w:type="dxa"/>
            <w:tcBorders>
              <w:top w:val="nil"/>
              <w:left w:val="nil"/>
              <w:bottom w:val="nil"/>
              <w:right w:val="nil"/>
            </w:tcBorders>
            <w:shd w:val="clear" w:color="auto" w:fill="auto"/>
            <w:noWrap/>
            <w:vAlign w:val="bottom"/>
            <w:hideMark/>
          </w:tcPr>
          <w:p w14:paraId="42AF1221"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CE070E6" w14:textId="77777777" w:rsidTr="00A360DB">
        <w:trPr>
          <w:trHeight w:val="240"/>
        </w:trPr>
        <w:tc>
          <w:tcPr>
            <w:tcW w:w="1697" w:type="dxa"/>
            <w:tcBorders>
              <w:top w:val="nil"/>
              <w:left w:val="nil"/>
              <w:bottom w:val="nil"/>
              <w:right w:val="nil"/>
            </w:tcBorders>
            <w:shd w:val="clear" w:color="auto" w:fill="auto"/>
            <w:noWrap/>
            <w:vAlign w:val="bottom"/>
            <w:hideMark/>
          </w:tcPr>
          <w:p w14:paraId="1F05D1D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3299</w:t>
            </w:r>
          </w:p>
        </w:tc>
        <w:tc>
          <w:tcPr>
            <w:tcW w:w="8509" w:type="dxa"/>
            <w:tcBorders>
              <w:top w:val="nil"/>
              <w:left w:val="nil"/>
              <w:bottom w:val="nil"/>
              <w:right w:val="nil"/>
            </w:tcBorders>
            <w:shd w:val="clear" w:color="auto" w:fill="auto"/>
            <w:noWrap/>
            <w:vAlign w:val="bottom"/>
            <w:hideMark/>
          </w:tcPr>
          <w:p w14:paraId="3D511168"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Ostali nespomenuti rashodi poslovanja                                                               </w:t>
            </w:r>
          </w:p>
        </w:tc>
        <w:tc>
          <w:tcPr>
            <w:tcW w:w="1480" w:type="dxa"/>
            <w:tcBorders>
              <w:top w:val="nil"/>
              <w:left w:val="nil"/>
              <w:bottom w:val="nil"/>
              <w:right w:val="nil"/>
            </w:tcBorders>
            <w:shd w:val="clear" w:color="auto" w:fill="auto"/>
            <w:noWrap/>
            <w:vAlign w:val="bottom"/>
            <w:hideMark/>
          </w:tcPr>
          <w:p w14:paraId="6A15A1DD"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5AEF8861"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499,38</w:t>
            </w:r>
          </w:p>
        </w:tc>
        <w:tc>
          <w:tcPr>
            <w:tcW w:w="1400" w:type="dxa"/>
            <w:tcBorders>
              <w:top w:val="nil"/>
              <w:left w:val="nil"/>
              <w:bottom w:val="nil"/>
              <w:right w:val="nil"/>
            </w:tcBorders>
            <w:shd w:val="clear" w:color="auto" w:fill="auto"/>
            <w:noWrap/>
            <w:vAlign w:val="bottom"/>
            <w:hideMark/>
          </w:tcPr>
          <w:p w14:paraId="324FDD10"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F764245"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9580957"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5. Pomoći</w:t>
            </w:r>
          </w:p>
        </w:tc>
        <w:tc>
          <w:tcPr>
            <w:tcW w:w="1480" w:type="dxa"/>
            <w:tcBorders>
              <w:top w:val="nil"/>
              <w:left w:val="nil"/>
              <w:bottom w:val="nil"/>
              <w:right w:val="nil"/>
            </w:tcBorders>
            <w:shd w:val="clear" w:color="auto" w:fill="auto"/>
            <w:noWrap/>
            <w:vAlign w:val="bottom"/>
            <w:hideMark/>
          </w:tcPr>
          <w:p w14:paraId="116B03A8"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13.121,00</w:t>
            </w:r>
          </w:p>
        </w:tc>
        <w:tc>
          <w:tcPr>
            <w:tcW w:w="1380" w:type="dxa"/>
            <w:tcBorders>
              <w:top w:val="nil"/>
              <w:left w:val="nil"/>
              <w:bottom w:val="nil"/>
              <w:right w:val="nil"/>
            </w:tcBorders>
            <w:shd w:val="clear" w:color="auto" w:fill="auto"/>
            <w:noWrap/>
            <w:vAlign w:val="bottom"/>
            <w:hideMark/>
          </w:tcPr>
          <w:p w14:paraId="51780E96"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13.082,88</w:t>
            </w:r>
          </w:p>
        </w:tc>
        <w:tc>
          <w:tcPr>
            <w:tcW w:w="1400" w:type="dxa"/>
            <w:tcBorders>
              <w:top w:val="nil"/>
              <w:left w:val="nil"/>
              <w:bottom w:val="nil"/>
              <w:right w:val="nil"/>
            </w:tcBorders>
            <w:shd w:val="clear" w:color="auto" w:fill="auto"/>
            <w:noWrap/>
            <w:vAlign w:val="bottom"/>
            <w:hideMark/>
          </w:tcPr>
          <w:p w14:paraId="05D46012"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99,71%</w:t>
            </w:r>
          </w:p>
        </w:tc>
      </w:tr>
      <w:tr w:rsidR="00A360DB" w:rsidRPr="00A360DB" w14:paraId="7004A562"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36D91F98"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5.2. Državni proračun</w:t>
            </w:r>
          </w:p>
        </w:tc>
        <w:tc>
          <w:tcPr>
            <w:tcW w:w="1480" w:type="dxa"/>
            <w:tcBorders>
              <w:top w:val="nil"/>
              <w:left w:val="nil"/>
              <w:bottom w:val="nil"/>
              <w:right w:val="nil"/>
            </w:tcBorders>
            <w:shd w:val="clear" w:color="auto" w:fill="auto"/>
            <w:noWrap/>
            <w:vAlign w:val="bottom"/>
            <w:hideMark/>
          </w:tcPr>
          <w:p w14:paraId="429DCB7B"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5.121,00</w:t>
            </w:r>
          </w:p>
        </w:tc>
        <w:tc>
          <w:tcPr>
            <w:tcW w:w="1380" w:type="dxa"/>
            <w:tcBorders>
              <w:top w:val="nil"/>
              <w:left w:val="nil"/>
              <w:bottom w:val="nil"/>
              <w:right w:val="nil"/>
            </w:tcBorders>
            <w:shd w:val="clear" w:color="auto" w:fill="auto"/>
            <w:noWrap/>
            <w:vAlign w:val="bottom"/>
            <w:hideMark/>
          </w:tcPr>
          <w:p w14:paraId="3A940F8A"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5.119,56</w:t>
            </w:r>
          </w:p>
        </w:tc>
        <w:tc>
          <w:tcPr>
            <w:tcW w:w="1400" w:type="dxa"/>
            <w:tcBorders>
              <w:top w:val="nil"/>
              <w:left w:val="nil"/>
              <w:bottom w:val="nil"/>
              <w:right w:val="nil"/>
            </w:tcBorders>
            <w:shd w:val="clear" w:color="auto" w:fill="auto"/>
            <w:noWrap/>
            <w:vAlign w:val="bottom"/>
            <w:hideMark/>
          </w:tcPr>
          <w:p w14:paraId="5D250383"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99,97%</w:t>
            </w:r>
          </w:p>
        </w:tc>
      </w:tr>
      <w:tr w:rsidR="00A360DB" w:rsidRPr="00A360DB" w14:paraId="3BD3C3A3" w14:textId="77777777" w:rsidTr="00A360DB">
        <w:trPr>
          <w:trHeight w:val="240"/>
        </w:trPr>
        <w:tc>
          <w:tcPr>
            <w:tcW w:w="1697" w:type="dxa"/>
            <w:tcBorders>
              <w:top w:val="nil"/>
              <w:left w:val="nil"/>
              <w:bottom w:val="nil"/>
              <w:right w:val="nil"/>
            </w:tcBorders>
            <w:shd w:val="clear" w:color="auto" w:fill="auto"/>
            <w:noWrap/>
            <w:vAlign w:val="bottom"/>
            <w:hideMark/>
          </w:tcPr>
          <w:p w14:paraId="7D4996E9"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31</w:t>
            </w:r>
          </w:p>
        </w:tc>
        <w:tc>
          <w:tcPr>
            <w:tcW w:w="8509" w:type="dxa"/>
            <w:tcBorders>
              <w:top w:val="nil"/>
              <w:left w:val="nil"/>
              <w:bottom w:val="nil"/>
              <w:right w:val="nil"/>
            </w:tcBorders>
            <w:shd w:val="clear" w:color="auto" w:fill="auto"/>
            <w:noWrap/>
            <w:vAlign w:val="bottom"/>
            <w:hideMark/>
          </w:tcPr>
          <w:p w14:paraId="0B2F61A8"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zaposlene                                                                                </w:t>
            </w:r>
          </w:p>
        </w:tc>
        <w:tc>
          <w:tcPr>
            <w:tcW w:w="1480" w:type="dxa"/>
            <w:tcBorders>
              <w:top w:val="nil"/>
              <w:left w:val="nil"/>
              <w:bottom w:val="nil"/>
              <w:right w:val="nil"/>
            </w:tcBorders>
            <w:shd w:val="clear" w:color="auto" w:fill="auto"/>
            <w:noWrap/>
            <w:vAlign w:val="bottom"/>
            <w:hideMark/>
          </w:tcPr>
          <w:p w14:paraId="33C22AF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2.148,00</w:t>
            </w:r>
          </w:p>
        </w:tc>
        <w:tc>
          <w:tcPr>
            <w:tcW w:w="1380" w:type="dxa"/>
            <w:tcBorders>
              <w:top w:val="nil"/>
              <w:left w:val="nil"/>
              <w:bottom w:val="nil"/>
              <w:right w:val="nil"/>
            </w:tcBorders>
            <w:shd w:val="clear" w:color="auto" w:fill="auto"/>
            <w:noWrap/>
            <w:vAlign w:val="bottom"/>
            <w:hideMark/>
          </w:tcPr>
          <w:p w14:paraId="3AF83E9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2.147,28</w:t>
            </w:r>
          </w:p>
        </w:tc>
        <w:tc>
          <w:tcPr>
            <w:tcW w:w="1400" w:type="dxa"/>
            <w:tcBorders>
              <w:top w:val="nil"/>
              <w:left w:val="nil"/>
              <w:bottom w:val="nil"/>
              <w:right w:val="nil"/>
            </w:tcBorders>
            <w:shd w:val="clear" w:color="auto" w:fill="auto"/>
            <w:noWrap/>
            <w:vAlign w:val="bottom"/>
            <w:hideMark/>
          </w:tcPr>
          <w:p w14:paraId="6087264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99,97%</w:t>
            </w:r>
          </w:p>
        </w:tc>
      </w:tr>
      <w:tr w:rsidR="00A360DB" w:rsidRPr="00A360DB" w14:paraId="440DB2BA" w14:textId="77777777" w:rsidTr="00A360DB">
        <w:trPr>
          <w:trHeight w:val="240"/>
        </w:trPr>
        <w:tc>
          <w:tcPr>
            <w:tcW w:w="1697" w:type="dxa"/>
            <w:tcBorders>
              <w:top w:val="nil"/>
              <w:left w:val="nil"/>
              <w:bottom w:val="nil"/>
              <w:right w:val="nil"/>
            </w:tcBorders>
            <w:shd w:val="clear" w:color="auto" w:fill="auto"/>
            <w:noWrap/>
            <w:vAlign w:val="bottom"/>
            <w:hideMark/>
          </w:tcPr>
          <w:p w14:paraId="4605224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3111</w:t>
            </w:r>
          </w:p>
        </w:tc>
        <w:tc>
          <w:tcPr>
            <w:tcW w:w="8509" w:type="dxa"/>
            <w:tcBorders>
              <w:top w:val="nil"/>
              <w:left w:val="nil"/>
              <w:bottom w:val="nil"/>
              <w:right w:val="nil"/>
            </w:tcBorders>
            <w:shd w:val="clear" w:color="auto" w:fill="auto"/>
            <w:noWrap/>
            <w:vAlign w:val="bottom"/>
            <w:hideMark/>
          </w:tcPr>
          <w:p w14:paraId="4DFFC98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Plaće za redovan rad                                                                                </w:t>
            </w:r>
          </w:p>
        </w:tc>
        <w:tc>
          <w:tcPr>
            <w:tcW w:w="1480" w:type="dxa"/>
            <w:tcBorders>
              <w:top w:val="nil"/>
              <w:left w:val="nil"/>
              <w:bottom w:val="nil"/>
              <w:right w:val="nil"/>
            </w:tcBorders>
            <w:shd w:val="clear" w:color="auto" w:fill="auto"/>
            <w:noWrap/>
            <w:vAlign w:val="bottom"/>
            <w:hideMark/>
          </w:tcPr>
          <w:p w14:paraId="68E2A5BE"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59FD4D3A"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1.515,77</w:t>
            </w:r>
          </w:p>
        </w:tc>
        <w:tc>
          <w:tcPr>
            <w:tcW w:w="1400" w:type="dxa"/>
            <w:tcBorders>
              <w:top w:val="nil"/>
              <w:left w:val="nil"/>
              <w:bottom w:val="nil"/>
              <w:right w:val="nil"/>
            </w:tcBorders>
            <w:shd w:val="clear" w:color="auto" w:fill="auto"/>
            <w:noWrap/>
            <w:vAlign w:val="bottom"/>
            <w:hideMark/>
          </w:tcPr>
          <w:p w14:paraId="658896CA"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7C61F23" w14:textId="77777777" w:rsidTr="00A360DB">
        <w:trPr>
          <w:trHeight w:val="240"/>
        </w:trPr>
        <w:tc>
          <w:tcPr>
            <w:tcW w:w="1697" w:type="dxa"/>
            <w:tcBorders>
              <w:top w:val="nil"/>
              <w:left w:val="nil"/>
              <w:bottom w:val="nil"/>
              <w:right w:val="nil"/>
            </w:tcBorders>
            <w:shd w:val="clear" w:color="auto" w:fill="auto"/>
            <w:noWrap/>
            <w:vAlign w:val="bottom"/>
            <w:hideMark/>
          </w:tcPr>
          <w:p w14:paraId="5C8E604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3121</w:t>
            </w:r>
          </w:p>
        </w:tc>
        <w:tc>
          <w:tcPr>
            <w:tcW w:w="8509" w:type="dxa"/>
            <w:tcBorders>
              <w:top w:val="nil"/>
              <w:left w:val="nil"/>
              <w:bottom w:val="nil"/>
              <w:right w:val="nil"/>
            </w:tcBorders>
            <w:shd w:val="clear" w:color="auto" w:fill="auto"/>
            <w:noWrap/>
            <w:vAlign w:val="bottom"/>
            <w:hideMark/>
          </w:tcPr>
          <w:p w14:paraId="5D0FCA3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Ostali rashodi za zaposlene                                                                         </w:t>
            </w:r>
          </w:p>
        </w:tc>
        <w:tc>
          <w:tcPr>
            <w:tcW w:w="1480" w:type="dxa"/>
            <w:tcBorders>
              <w:top w:val="nil"/>
              <w:left w:val="nil"/>
              <w:bottom w:val="nil"/>
              <w:right w:val="nil"/>
            </w:tcBorders>
            <w:shd w:val="clear" w:color="auto" w:fill="auto"/>
            <w:noWrap/>
            <w:vAlign w:val="bottom"/>
            <w:hideMark/>
          </w:tcPr>
          <w:p w14:paraId="41CEBFE8"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3A50C23"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363,00</w:t>
            </w:r>
          </w:p>
        </w:tc>
        <w:tc>
          <w:tcPr>
            <w:tcW w:w="1400" w:type="dxa"/>
            <w:tcBorders>
              <w:top w:val="nil"/>
              <w:left w:val="nil"/>
              <w:bottom w:val="nil"/>
              <w:right w:val="nil"/>
            </w:tcBorders>
            <w:shd w:val="clear" w:color="auto" w:fill="auto"/>
            <w:noWrap/>
            <w:vAlign w:val="bottom"/>
            <w:hideMark/>
          </w:tcPr>
          <w:p w14:paraId="5DCF60EC"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A826C92" w14:textId="77777777" w:rsidTr="00A360DB">
        <w:trPr>
          <w:trHeight w:val="240"/>
        </w:trPr>
        <w:tc>
          <w:tcPr>
            <w:tcW w:w="1697" w:type="dxa"/>
            <w:tcBorders>
              <w:top w:val="nil"/>
              <w:left w:val="nil"/>
              <w:bottom w:val="nil"/>
              <w:right w:val="nil"/>
            </w:tcBorders>
            <w:shd w:val="clear" w:color="auto" w:fill="auto"/>
            <w:noWrap/>
            <w:vAlign w:val="bottom"/>
            <w:hideMark/>
          </w:tcPr>
          <w:p w14:paraId="06A5870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3131</w:t>
            </w:r>
          </w:p>
        </w:tc>
        <w:tc>
          <w:tcPr>
            <w:tcW w:w="8509" w:type="dxa"/>
            <w:tcBorders>
              <w:top w:val="nil"/>
              <w:left w:val="nil"/>
              <w:bottom w:val="nil"/>
              <w:right w:val="nil"/>
            </w:tcBorders>
            <w:shd w:val="clear" w:color="auto" w:fill="auto"/>
            <w:noWrap/>
            <w:vAlign w:val="bottom"/>
            <w:hideMark/>
          </w:tcPr>
          <w:p w14:paraId="17395D5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Doprinosi za mirovinsko osiguranje                                                                  </w:t>
            </w:r>
          </w:p>
        </w:tc>
        <w:tc>
          <w:tcPr>
            <w:tcW w:w="1480" w:type="dxa"/>
            <w:tcBorders>
              <w:top w:val="nil"/>
              <w:left w:val="nil"/>
              <w:bottom w:val="nil"/>
              <w:right w:val="nil"/>
            </w:tcBorders>
            <w:shd w:val="clear" w:color="auto" w:fill="auto"/>
            <w:noWrap/>
            <w:vAlign w:val="bottom"/>
            <w:hideMark/>
          </w:tcPr>
          <w:p w14:paraId="0EBE0DD3"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2C2514DF"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118,84</w:t>
            </w:r>
          </w:p>
        </w:tc>
        <w:tc>
          <w:tcPr>
            <w:tcW w:w="1400" w:type="dxa"/>
            <w:tcBorders>
              <w:top w:val="nil"/>
              <w:left w:val="nil"/>
              <w:bottom w:val="nil"/>
              <w:right w:val="nil"/>
            </w:tcBorders>
            <w:shd w:val="clear" w:color="auto" w:fill="auto"/>
            <w:noWrap/>
            <w:vAlign w:val="bottom"/>
            <w:hideMark/>
          </w:tcPr>
          <w:p w14:paraId="259E71DA"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2F604DE6" w14:textId="77777777" w:rsidTr="00A360DB">
        <w:trPr>
          <w:trHeight w:val="240"/>
        </w:trPr>
        <w:tc>
          <w:tcPr>
            <w:tcW w:w="1697" w:type="dxa"/>
            <w:tcBorders>
              <w:top w:val="nil"/>
              <w:left w:val="nil"/>
              <w:bottom w:val="nil"/>
              <w:right w:val="nil"/>
            </w:tcBorders>
            <w:shd w:val="clear" w:color="auto" w:fill="auto"/>
            <w:noWrap/>
            <w:vAlign w:val="bottom"/>
            <w:hideMark/>
          </w:tcPr>
          <w:p w14:paraId="088BF59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3132</w:t>
            </w:r>
          </w:p>
        </w:tc>
        <w:tc>
          <w:tcPr>
            <w:tcW w:w="8509" w:type="dxa"/>
            <w:tcBorders>
              <w:top w:val="nil"/>
              <w:left w:val="nil"/>
              <w:bottom w:val="nil"/>
              <w:right w:val="nil"/>
            </w:tcBorders>
            <w:shd w:val="clear" w:color="auto" w:fill="auto"/>
            <w:noWrap/>
            <w:vAlign w:val="bottom"/>
            <w:hideMark/>
          </w:tcPr>
          <w:p w14:paraId="7C5A099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Doprinosi za obvezno zdravstveno osiguranje                                                         </w:t>
            </w:r>
          </w:p>
        </w:tc>
        <w:tc>
          <w:tcPr>
            <w:tcW w:w="1480" w:type="dxa"/>
            <w:tcBorders>
              <w:top w:val="nil"/>
              <w:left w:val="nil"/>
              <w:bottom w:val="nil"/>
              <w:right w:val="nil"/>
            </w:tcBorders>
            <w:shd w:val="clear" w:color="auto" w:fill="auto"/>
            <w:noWrap/>
            <w:vAlign w:val="bottom"/>
            <w:hideMark/>
          </w:tcPr>
          <w:p w14:paraId="252F7865"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292A828D"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149,67</w:t>
            </w:r>
          </w:p>
        </w:tc>
        <w:tc>
          <w:tcPr>
            <w:tcW w:w="1400" w:type="dxa"/>
            <w:tcBorders>
              <w:top w:val="nil"/>
              <w:left w:val="nil"/>
              <w:bottom w:val="nil"/>
              <w:right w:val="nil"/>
            </w:tcBorders>
            <w:shd w:val="clear" w:color="auto" w:fill="auto"/>
            <w:noWrap/>
            <w:vAlign w:val="bottom"/>
            <w:hideMark/>
          </w:tcPr>
          <w:p w14:paraId="5EDF161D"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3557E7B" w14:textId="77777777" w:rsidTr="00A360DB">
        <w:trPr>
          <w:trHeight w:val="240"/>
        </w:trPr>
        <w:tc>
          <w:tcPr>
            <w:tcW w:w="1697" w:type="dxa"/>
            <w:tcBorders>
              <w:top w:val="nil"/>
              <w:left w:val="nil"/>
              <w:bottom w:val="nil"/>
              <w:right w:val="nil"/>
            </w:tcBorders>
            <w:shd w:val="clear" w:color="auto" w:fill="auto"/>
            <w:noWrap/>
            <w:vAlign w:val="bottom"/>
            <w:hideMark/>
          </w:tcPr>
          <w:p w14:paraId="1C993198"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3C10612C"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5B6C9D5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2.973,00</w:t>
            </w:r>
          </w:p>
        </w:tc>
        <w:tc>
          <w:tcPr>
            <w:tcW w:w="1380" w:type="dxa"/>
            <w:tcBorders>
              <w:top w:val="nil"/>
              <w:left w:val="nil"/>
              <w:bottom w:val="nil"/>
              <w:right w:val="nil"/>
            </w:tcBorders>
            <w:shd w:val="clear" w:color="auto" w:fill="auto"/>
            <w:noWrap/>
            <w:vAlign w:val="bottom"/>
            <w:hideMark/>
          </w:tcPr>
          <w:p w14:paraId="70DDE47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2.972,28</w:t>
            </w:r>
          </w:p>
        </w:tc>
        <w:tc>
          <w:tcPr>
            <w:tcW w:w="1400" w:type="dxa"/>
            <w:tcBorders>
              <w:top w:val="nil"/>
              <w:left w:val="nil"/>
              <w:bottom w:val="nil"/>
              <w:right w:val="nil"/>
            </w:tcBorders>
            <w:shd w:val="clear" w:color="auto" w:fill="auto"/>
            <w:noWrap/>
            <w:vAlign w:val="bottom"/>
            <w:hideMark/>
          </w:tcPr>
          <w:p w14:paraId="0B92370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99,98%</w:t>
            </w:r>
          </w:p>
        </w:tc>
      </w:tr>
      <w:tr w:rsidR="00A360DB" w:rsidRPr="00A360DB" w14:paraId="11B1DB5F" w14:textId="77777777" w:rsidTr="00A360DB">
        <w:trPr>
          <w:trHeight w:val="240"/>
        </w:trPr>
        <w:tc>
          <w:tcPr>
            <w:tcW w:w="1697" w:type="dxa"/>
            <w:tcBorders>
              <w:top w:val="nil"/>
              <w:left w:val="nil"/>
              <w:bottom w:val="nil"/>
              <w:right w:val="nil"/>
            </w:tcBorders>
            <w:shd w:val="clear" w:color="auto" w:fill="auto"/>
            <w:noWrap/>
            <w:vAlign w:val="bottom"/>
            <w:hideMark/>
          </w:tcPr>
          <w:p w14:paraId="01E1E8FD"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3211</w:t>
            </w:r>
          </w:p>
        </w:tc>
        <w:tc>
          <w:tcPr>
            <w:tcW w:w="8509" w:type="dxa"/>
            <w:tcBorders>
              <w:top w:val="nil"/>
              <w:left w:val="nil"/>
              <w:bottom w:val="nil"/>
              <w:right w:val="nil"/>
            </w:tcBorders>
            <w:shd w:val="clear" w:color="auto" w:fill="auto"/>
            <w:noWrap/>
            <w:vAlign w:val="bottom"/>
            <w:hideMark/>
          </w:tcPr>
          <w:p w14:paraId="52B3DD25"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Službena putovanja                                                                                  </w:t>
            </w:r>
          </w:p>
        </w:tc>
        <w:tc>
          <w:tcPr>
            <w:tcW w:w="1480" w:type="dxa"/>
            <w:tcBorders>
              <w:top w:val="nil"/>
              <w:left w:val="nil"/>
              <w:bottom w:val="nil"/>
              <w:right w:val="nil"/>
            </w:tcBorders>
            <w:shd w:val="clear" w:color="auto" w:fill="auto"/>
            <w:noWrap/>
            <w:vAlign w:val="bottom"/>
            <w:hideMark/>
          </w:tcPr>
          <w:p w14:paraId="5937A6DD"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70955A2"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1.815,00</w:t>
            </w:r>
          </w:p>
        </w:tc>
        <w:tc>
          <w:tcPr>
            <w:tcW w:w="1400" w:type="dxa"/>
            <w:tcBorders>
              <w:top w:val="nil"/>
              <w:left w:val="nil"/>
              <w:bottom w:val="nil"/>
              <w:right w:val="nil"/>
            </w:tcBorders>
            <w:shd w:val="clear" w:color="auto" w:fill="auto"/>
            <w:noWrap/>
            <w:vAlign w:val="bottom"/>
            <w:hideMark/>
          </w:tcPr>
          <w:p w14:paraId="4C271087"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8E14F1A" w14:textId="77777777" w:rsidTr="00A360DB">
        <w:trPr>
          <w:trHeight w:val="240"/>
        </w:trPr>
        <w:tc>
          <w:tcPr>
            <w:tcW w:w="1697" w:type="dxa"/>
            <w:tcBorders>
              <w:top w:val="nil"/>
              <w:left w:val="nil"/>
              <w:bottom w:val="nil"/>
              <w:right w:val="nil"/>
            </w:tcBorders>
            <w:shd w:val="clear" w:color="auto" w:fill="auto"/>
            <w:noWrap/>
            <w:vAlign w:val="bottom"/>
            <w:hideMark/>
          </w:tcPr>
          <w:p w14:paraId="6F39743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3223</w:t>
            </w:r>
          </w:p>
        </w:tc>
        <w:tc>
          <w:tcPr>
            <w:tcW w:w="8509" w:type="dxa"/>
            <w:tcBorders>
              <w:top w:val="nil"/>
              <w:left w:val="nil"/>
              <w:bottom w:val="nil"/>
              <w:right w:val="nil"/>
            </w:tcBorders>
            <w:shd w:val="clear" w:color="auto" w:fill="auto"/>
            <w:noWrap/>
            <w:vAlign w:val="bottom"/>
            <w:hideMark/>
          </w:tcPr>
          <w:p w14:paraId="0A2B9435"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Energija                                                                                            </w:t>
            </w:r>
          </w:p>
        </w:tc>
        <w:tc>
          <w:tcPr>
            <w:tcW w:w="1480" w:type="dxa"/>
            <w:tcBorders>
              <w:top w:val="nil"/>
              <w:left w:val="nil"/>
              <w:bottom w:val="nil"/>
              <w:right w:val="nil"/>
            </w:tcBorders>
            <w:shd w:val="clear" w:color="auto" w:fill="auto"/>
            <w:noWrap/>
            <w:vAlign w:val="bottom"/>
            <w:hideMark/>
          </w:tcPr>
          <w:p w14:paraId="44E17A6A"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19220116"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1.157,28</w:t>
            </w:r>
          </w:p>
        </w:tc>
        <w:tc>
          <w:tcPr>
            <w:tcW w:w="1400" w:type="dxa"/>
            <w:tcBorders>
              <w:top w:val="nil"/>
              <w:left w:val="nil"/>
              <w:bottom w:val="nil"/>
              <w:right w:val="nil"/>
            </w:tcBorders>
            <w:shd w:val="clear" w:color="auto" w:fill="auto"/>
            <w:noWrap/>
            <w:vAlign w:val="bottom"/>
            <w:hideMark/>
          </w:tcPr>
          <w:p w14:paraId="489074E5"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3D24251"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26A49773"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5.5. Općinski proračun</w:t>
            </w:r>
          </w:p>
        </w:tc>
        <w:tc>
          <w:tcPr>
            <w:tcW w:w="1480" w:type="dxa"/>
            <w:tcBorders>
              <w:top w:val="nil"/>
              <w:left w:val="nil"/>
              <w:bottom w:val="nil"/>
              <w:right w:val="nil"/>
            </w:tcBorders>
            <w:shd w:val="clear" w:color="auto" w:fill="auto"/>
            <w:noWrap/>
            <w:vAlign w:val="bottom"/>
            <w:hideMark/>
          </w:tcPr>
          <w:p w14:paraId="1352EC0C"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8.000,00</w:t>
            </w:r>
          </w:p>
        </w:tc>
        <w:tc>
          <w:tcPr>
            <w:tcW w:w="1380" w:type="dxa"/>
            <w:tcBorders>
              <w:top w:val="nil"/>
              <w:left w:val="nil"/>
              <w:bottom w:val="nil"/>
              <w:right w:val="nil"/>
            </w:tcBorders>
            <w:shd w:val="clear" w:color="auto" w:fill="auto"/>
            <w:noWrap/>
            <w:vAlign w:val="bottom"/>
            <w:hideMark/>
          </w:tcPr>
          <w:p w14:paraId="6F3656F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7.963,32</w:t>
            </w:r>
          </w:p>
        </w:tc>
        <w:tc>
          <w:tcPr>
            <w:tcW w:w="1400" w:type="dxa"/>
            <w:tcBorders>
              <w:top w:val="nil"/>
              <w:left w:val="nil"/>
              <w:bottom w:val="nil"/>
              <w:right w:val="nil"/>
            </w:tcBorders>
            <w:shd w:val="clear" w:color="auto" w:fill="auto"/>
            <w:noWrap/>
            <w:vAlign w:val="bottom"/>
            <w:hideMark/>
          </w:tcPr>
          <w:p w14:paraId="12B2E39A"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99,54%</w:t>
            </w:r>
          </w:p>
        </w:tc>
      </w:tr>
      <w:tr w:rsidR="00A360DB" w:rsidRPr="00A360DB" w14:paraId="59A79790" w14:textId="77777777" w:rsidTr="00A360DB">
        <w:trPr>
          <w:trHeight w:val="240"/>
        </w:trPr>
        <w:tc>
          <w:tcPr>
            <w:tcW w:w="1697" w:type="dxa"/>
            <w:tcBorders>
              <w:top w:val="nil"/>
              <w:left w:val="nil"/>
              <w:bottom w:val="nil"/>
              <w:right w:val="nil"/>
            </w:tcBorders>
            <w:shd w:val="clear" w:color="auto" w:fill="auto"/>
            <w:noWrap/>
            <w:vAlign w:val="bottom"/>
            <w:hideMark/>
          </w:tcPr>
          <w:p w14:paraId="6447002E"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31</w:t>
            </w:r>
          </w:p>
        </w:tc>
        <w:tc>
          <w:tcPr>
            <w:tcW w:w="8509" w:type="dxa"/>
            <w:tcBorders>
              <w:top w:val="nil"/>
              <w:left w:val="nil"/>
              <w:bottom w:val="nil"/>
              <w:right w:val="nil"/>
            </w:tcBorders>
            <w:shd w:val="clear" w:color="auto" w:fill="auto"/>
            <w:noWrap/>
            <w:vAlign w:val="bottom"/>
            <w:hideMark/>
          </w:tcPr>
          <w:p w14:paraId="12DECE23"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zaposlene                                                                                </w:t>
            </w:r>
          </w:p>
        </w:tc>
        <w:tc>
          <w:tcPr>
            <w:tcW w:w="1480" w:type="dxa"/>
            <w:tcBorders>
              <w:top w:val="nil"/>
              <w:left w:val="nil"/>
              <w:bottom w:val="nil"/>
              <w:right w:val="nil"/>
            </w:tcBorders>
            <w:shd w:val="clear" w:color="auto" w:fill="auto"/>
            <w:noWrap/>
            <w:vAlign w:val="bottom"/>
            <w:hideMark/>
          </w:tcPr>
          <w:p w14:paraId="0896DE0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8.000,00</w:t>
            </w:r>
          </w:p>
        </w:tc>
        <w:tc>
          <w:tcPr>
            <w:tcW w:w="1380" w:type="dxa"/>
            <w:tcBorders>
              <w:top w:val="nil"/>
              <w:left w:val="nil"/>
              <w:bottom w:val="nil"/>
              <w:right w:val="nil"/>
            </w:tcBorders>
            <w:shd w:val="clear" w:color="auto" w:fill="auto"/>
            <w:noWrap/>
            <w:vAlign w:val="bottom"/>
            <w:hideMark/>
          </w:tcPr>
          <w:p w14:paraId="1ECF4BD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7.963,32</w:t>
            </w:r>
          </w:p>
        </w:tc>
        <w:tc>
          <w:tcPr>
            <w:tcW w:w="1400" w:type="dxa"/>
            <w:tcBorders>
              <w:top w:val="nil"/>
              <w:left w:val="nil"/>
              <w:bottom w:val="nil"/>
              <w:right w:val="nil"/>
            </w:tcBorders>
            <w:shd w:val="clear" w:color="auto" w:fill="auto"/>
            <w:noWrap/>
            <w:vAlign w:val="bottom"/>
            <w:hideMark/>
          </w:tcPr>
          <w:p w14:paraId="119D468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99,54%</w:t>
            </w:r>
          </w:p>
        </w:tc>
      </w:tr>
      <w:tr w:rsidR="00A360DB" w:rsidRPr="00A360DB" w14:paraId="51527AD1" w14:textId="77777777" w:rsidTr="00A360DB">
        <w:trPr>
          <w:trHeight w:val="240"/>
        </w:trPr>
        <w:tc>
          <w:tcPr>
            <w:tcW w:w="1697" w:type="dxa"/>
            <w:tcBorders>
              <w:top w:val="nil"/>
              <w:left w:val="nil"/>
              <w:bottom w:val="nil"/>
              <w:right w:val="nil"/>
            </w:tcBorders>
            <w:shd w:val="clear" w:color="auto" w:fill="auto"/>
            <w:noWrap/>
            <w:vAlign w:val="bottom"/>
            <w:hideMark/>
          </w:tcPr>
          <w:p w14:paraId="0D6E4615"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3111</w:t>
            </w:r>
          </w:p>
        </w:tc>
        <w:tc>
          <w:tcPr>
            <w:tcW w:w="8509" w:type="dxa"/>
            <w:tcBorders>
              <w:top w:val="nil"/>
              <w:left w:val="nil"/>
              <w:bottom w:val="nil"/>
              <w:right w:val="nil"/>
            </w:tcBorders>
            <w:shd w:val="clear" w:color="auto" w:fill="auto"/>
            <w:noWrap/>
            <w:vAlign w:val="bottom"/>
            <w:hideMark/>
          </w:tcPr>
          <w:p w14:paraId="5A83542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Plaće za redovan rad                                                                                </w:t>
            </w:r>
          </w:p>
        </w:tc>
        <w:tc>
          <w:tcPr>
            <w:tcW w:w="1480" w:type="dxa"/>
            <w:tcBorders>
              <w:top w:val="nil"/>
              <w:left w:val="nil"/>
              <w:bottom w:val="nil"/>
              <w:right w:val="nil"/>
            </w:tcBorders>
            <w:shd w:val="clear" w:color="auto" w:fill="auto"/>
            <w:noWrap/>
            <w:vAlign w:val="bottom"/>
            <w:hideMark/>
          </w:tcPr>
          <w:p w14:paraId="7B3FD1F9"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5A67490C"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7.963,32</w:t>
            </w:r>
          </w:p>
        </w:tc>
        <w:tc>
          <w:tcPr>
            <w:tcW w:w="1400" w:type="dxa"/>
            <w:tcBorders>
              <w:top w:val="nil"/>
              <w:left w:val="nil"/>
              <w:bottom w:val="nil"/>
              <w:right w:val="nil"/>
            </w:tcBorders>
            <w:shd w:val="clear" w:color="auto" w:fill="auto"/>
            <w:noWrap/>
            <w:vAlign w:val="bottom"/>
            <w:hideMark/>
          </w:tcPr>
          <w:p w14:paraId="476A3A7C"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252CFBD"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43E809C"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9. Višak iz prethodnih razdoblja</w:t>
            </w:r>
          </w:p>
        </w:tc>
        <w:tc>
          <w:tcPr>
            <w:tcW w:w="1480" w:type="dxa"/>
            <w:tcBorders>
              <w:top w:val="nil"/>
              <w:left w:val="nil"/>
              <w:bottom w:val="nil"/>
              <w:right w:val="nil"/>
            </w:tcBorders>
            <w:shd w:val="clear" w:color="auto" w:fill="auto"/>
            <w:noWrap/>
            <w:vAlign w:val="bottom"/>
            <w:hideMark/>
          </w:tcPr>
          <w:p w14:paraId="4CD8D4F6"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11.530,20</w:t>
            </w:r>
          </w:p>
        </w:tc>
        <w:tc>
          <w:tcPr>
            <w:tcW w:w="1380" w:type="dxa"/>
            <w:tcBorders>
              <w:top w:val="nil"/>
              <w:left w:val="nil"/>
              <w:bottom w:val="nil"/>
              <w:right w:val="nil"/>
            </w:tcBorders>
            <w:shd w:val="clear" w:color="auto" w:fill="auto"/>
            <w:noWrap/>
            <w:vAlign w:val="bottom"/>
            <w:hideMark/>
          </w:tcPr>
          <w:p w14:paraId="356EB79C"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10.398,10</w:t>
            </w:r>
          </w:p>
        </w:tc>
        <w:tc>
          <w:tcPr>
            <w:tcW w:w="1400" w:type="dxa"/>
            <w:tcBorders>
              <w:top w:val="nil"/>
              <w:left w:val="nil"/>
              <w:bottom w:val="nil"/>
              <w:right w:val="nil"/>
            </w:tcBorders>
            <w:shd w:val="clear" w:color="auto" w:fill="auto"/>
            <w:noWrap/>
            <w:vAlign w:val="bottom"/>
            <w:hideMark/>
          </w:tcPr>
          <w:p w14:paraId="7386B821"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90,18%</w:t>
            </w:r>
          </w:p>
        </w:tc>
      </w:tr>
      <w:tr w:rsidR="00A360DB" w:rsidRPr="00A360DB" w14:paraId="72FB4ED0"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DF841FB"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 xml:space="preserve">Izvor 9.1. Višak iz prethodnih godina - </w:t>
            </w:r>
            <w:proofErr w:type="spellStart"/>
            <w:r w:rsidRPr="00A360DB">
              <w:rPr>
                <w:rFonts w:ascii="Arial" w:hAnsi="Arial" w:cs="Arial"/>
                <w:color w:val="333333"/>
                <w:sz w:val="18"/>
                <w:szCs w:val="18"/>
                <w:lang w:eastAsia="hr-HR"/>
              </w:rPr>
              <w:t>Prorač.korisnici</w:t>
            </w:r>
            <w:proofErr w:type="spellEnd"/>
          </w:p>
        </w:tc>
        <w:tc>
          <w:tcPr>
            <w:tcW w:w="1480" w:type="dxa"/>
            <w:tcBorders>
              <w:top w:val="nil"/>
              <w:left w:val="nil"/>
              <w:bottom w:val="nil"/>
              <w:right w:val="nil"/>
            </w:tcBorders>
            <w:shd w:val="clear" w:color="auto" w:fill="auto"/>
            <w:noWrap/>
            <w:vAlign w:val="bottom"/>
            <w:hideMark/>
          </w:tcPr>
          <w:p w14:paraId="0807F621"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11.530,20</w:t>
            </w:r>
          </w:p>
        </w:tc>
        <w:tc>
          <w:tcPr>
            <w:tcW w:w="1380" w:type="dxa"/>
            <w:tcBorders>
              <w:top w:val="nil"/>
              <w:left w:val="nil"/>
              <w:bottom w:val="nil"/>
              <w:right w:val="nil"/>
            </w:tcBorders>
            <w:shd w:val="clear" w:color="auto" w:fill="auto"/>
            <w:noWrap/>
            <w:vAlign w:val="bottom"/>
            <w:hideMark/>
          </w:tcPr>
          <w:p w14:paraId="347A0F74"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10.398,10</w:t>
            </w:r>
          </w:p>
        </w:tc>
        <w:tc>
          <w:tcPr>
            <w:tcW w:w="1400" w:type="dxa"/>
            <w:tcBorders>
              <w:top w:val="nil"/>
              <w:left w:val="nil"/>
              <w:bottom w:val="nil"/>
              <w:right w:val="nil"/>
            </w:tcBorders>
            <w:shd w:val="clear" w:color="auto" w:fill="auto"/>
            <w:noWrap/>
            <w:vAlign w:val="bottom"/>
            <w:hideMark/>
          </w:tcPr>
          <w:p w14:paraId="49AFA936"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90,18%</w:t>
            </w:r>
          </w:p>
        </w:tc>
      </w:tr>
      <w:tr w:rsidR="00A360DB" w:rsidRPr="00A360DB" w14:paraId="3921F9EB" w14:textId="77777777" w:rsidTr="00A360DB">
        <w:trPr>
          <w:trHeight w:val="240"/>
        </w:trPr>
        <w:tc>
          <w:tcPr>
            <w:tcW w:w="1697" w:type="dxa"/>
            <w:tcBorders>
              <w:top w:val="nil"/>
              <w:left w:val="nil"/>
              <w:bottom w:val="nil"/>
              <w:right w:val="nil"/>
            </w:tcBorders>
            <w:shd w:val="clear" w:color="auto" w:fill="auto"/>
            <w:noWrap/>
            <w:vAlign w:val="bottom"/>
            <w:hideMark/>
          </w:tcPr>
          <w:p w14:paraId="2E0B655E"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lastRenderedPageBreak/>
              <w:t>32</w:t>
            </w:r>
          </w:p>
        </w:tc>
        <w:tc>
          <w:tcPr>
            <w:tcW w:w="8509" w:type="dxa"/>
            <w:tcBorders>
              <w:top w:val="nil"/>
              <w:left w:val="nil"/>
              <w:bottom w:val="nil"/>
              <w:right w:val="nil"/>
            </w:tcBorders>
            <w:shd w:val="clear" w:color="auto" w:fill="auto"/>
            <w:noWrap/>
            <w:vAlign w:val="bottom"/>
            <w:hideMark/>
          </w:tcPr>
          <w:p w14:paraId="063C9EE5"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5EA85F3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11.530,20</w:t>
            </w:r>
          </w:p>
        </w:tc>
        <w:tc>
          <w:tcPr>
            <w:tcW w:w="1380" w:type="dxa"/>
            <w:tcBorders>
              <w:top w:val="nil"/>
              <w:left w:val="nil"/>
              <w:bottom w:val="nil"/>
              <w:right w:val="nil"/>
            </w:tcBorders>
            <w:shd w:val="clear" w:color="auto" w:fill="auto"/>
            <w:noWrap/>
            <w:vAlign w:val="bottom"/>
            <w:hideMark/>
          </w:tcPr>
          <w:p w14:paraId="7C59279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10.398,10</w:t>
            </w:r>
          </w:p>
        </w:tc>
        <w:tc>
          <w:tcPr>
            <w:tcW w:w="1400" w:type="dxa"/>
            <w:tcBorders>
              <w:top w:val="nil"/>
              <w:left w:val="nil"/>
              <w:bottom w:val="nil"/>
              <w:right w:val="nil"/>
            </w:tcBorders>
            <w:shd w:val="clear" w:color="auto" w:fill="auto"/>
            <w:noWrap/>
            <w:vAlign w:val="bottom"/>
            <w:hideMark/>
          </w:tcPr>
          <w:p w14:paraId="035042D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90,18%</w:t>
            </w:r>
          </w:p>
        </w:tc>
      </w:tr>
      <w:tr w:rsidR="00A360DB" w:rsidRPr="00A360DB" w14:paraId="12CE03B8" w14:textId="77777777" w:rsidTr="00A360DB">
        <w:trPr>
          <w:trHeight w:val="240"/>
        </w:trPr>
        <w:tc>
          <w:tcPr>
            <w:tcW w:w="1697" w:type="dxa"/>
            <w:tcBorders>
              <w:top w:val="nil"/>
              <w:left w:val="nil"/>
              <w:bottom w:val="nil"/>
              <w:right w:val="nil"/>
            </w:tcBorders>
            <w:shd w:val="clear" w:color="auto" w:fill="auto"/>
            <w:noWrap/>
            <w:vAlign w:val="bottom"/>
            <w:hideMark/>
          </w:tcPr>
          <w:p w14:paraId="677D79D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3211</w:t>
            </w:r>
          </w:p>
        </w:tc>
        <w:tc>
          <w:tcPr>
            <w:tcW w:w="8509" w:type="dxa"/>
            <w:tcBorders>
              <w:top w:val="nil"/>
              <w:left w:val="nil"/>
              <w:bottom w:val="nil"/>
              <w:right w:val="nil"/>
            </w:tcBorders>
            <w:shd w:val="clear" w:color="auto" w:fill="auto"/>
            <w:noWrap/>
            <w:vAlign w:val="bottom"/>
            <w:hideMark/>
          </w:tcPr>
          <w:p w14:paraId="53B863A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Službena putovanja                                                                                  </w:t>
            </w:r>
          </w:p>
        </w:tc>
        <w:tc>
          <w:tcPr>
            <w:tcW w:w="1480" w:type="dxa"/>
            <w:tcBorders>
              <w:top w:val="nil"/>
              <w:left w:val="nil"/>
              <w:bottom w:val="nil"/>
              <w:right w:val="nil"/>
            </w:tcBorders>
            <w:shd w:val="clear" w:color="auto" w:fill="auto"/>
            <w:noWrap/>
            <w:vAlign w:val="bottom"/>
            <w:hideMark/>
          </w:tcPr>
          <w:p w14:paraId="63D3039C"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13E55A2"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398,10</w:t>
            </w:r>
          </w:p>
        </w:tc>
        <w:tc>
          <w:tcPr>
            <w:tcW w:w="1400" w:type="dxa"/>
            <w:tcBorders>
              <w:top w:val="nil"/>
              <w:left w:val="nil"/>
              <w:bottom w:val="nil"/>
              <w:right w:val="nil"/>
            </w:tcBorders>
            <w:shd w:val="clear" w:color="auto" w:fill="auto"/>
            <w:noWrap/>
            <w:vAlign w:val="bottom"/>
            <w:hideMark/>
          </w:tcPr>
          <w:p w14:paraId="3F67F926"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A82EEB0" w14:textId="77777777" w:rsidTr="00A360DB">
        <w:trPr>
          <w:trHeight w:val="240"/>
        </w:trPr>
        <w:tc>
          <w:tcPr>
            <w:tcW w:w="1697" w:type="dxa"/>
            <w:tcBorders>
              <w:top w:val="nil"/>
              <w:left w:val="nil"/>
              <w:bottom w:val="nil"/>
              <w:right w:val="nil"/>
            </w:tcBorders>
            <w:shd w:val="clear" w:color="auto" w:fill="auto"/>
            <w:noWrap/>
            <w:vAlign w:val="bottom"/>
            <w:hideMark/>
          </w:tcPr>
          <w:p w14:paraId="0471665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3222</w:t>
            </w:r>
          </w:p>
        </w:tc>
        <w:tc>
          <w:tcPr>
            <w:tcW w:w="8509" w:type="dxa"/>
            <w:tcBorders>
              <w:top w:val="nil"/>
              <w:left w:val="nil"/>
              <w:bottom w:val="nil"/>
              <w:right w:val="nil"/>
            </w:tcBorders>
            <w:shd w:val="clear" w:color="auto" w:fill="auto"/>
            <w:noWrap/>
            <w:vAlign w:val="bottom"/>
            <w:hideMark/>
          </w:tcPr>
          <w:p w14:paraId="0D6ED4F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Materijal i sirovine                                                                                </w:t>
            </w:r>
          </w:p>
        </w:tc>
        <w:tc>
          <w:tcPr>
            <w:tcW w:w="1480" w:type="dxa"/>
            <w:tcBorders>
              <w:top w:val="nil"/>
              <w:left w:val="nil"/>
              <w:bottom w:val="nil"/>
              <w:right w:val="nil"/>
            </w:tcBorders>
            <w:shd w:val="clear" w:color="auto" w:fill="auto"/>
            <w:noWrap/>
            <w:vAlign w:val="bottom"/>
            <w:hideMark/>
          </w:tcPr>
          <w:p w14:paraId="6FEBFF22"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BA7B689"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5.000,00</w:t>
            </w:r>
          </w:p>
        </w:tc>
        <w:tc>
          <w:tcPr>
            <w:tcW w:w="1400" w:type="dxa"/>
            <w:tcBorders>
              <w:top w:val="nil"/>
              <w:left w:val="nil"/>
              <w:bottom w:val="nil"/>
              <w:right w:val="nil"/>
            </w:tcBorders>
            <w:shd w:val="clear" w:color="auto" w:fill="auto"/>
            <w:noWrap/>
            <w:vAlign w:val="bottom"/>
            <w:hideMark/>
          </w:tcPr>
          <w:p w14:paraId="7C1270EB"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FA1EA17" w14:textId="77777777" w:rsidTr="00A360DB">
        <w:trPr>
          <w:trHeight w:val="240"/>
        </w:trPr>
        <w:tc>
          <w:tcPr>
            <w:tcW w:w="1697" w:type="dxa"/>
            <w:tcBorders>
              <w:top w:val="nil"/>
              <w:left w:val="nil"/>
              <w:bottom w:val="nil"/>
              <w:right w:val="nil"/>
            </w:tcBorders>
            <w:shd w:val="clear" w:color="auto" w:fill="auto"/>
            <w:noWrap/>
            <w:vAlign w:val="bottom"/>
            <w:hideMark/>
          </w:tcPr>
          <w:p w14:paraId="3C0BD7F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3227</w:t>
            </w:r>
          </w:p>
        </w:tc>
        <w:tc>
          <w:tcPr>
            <w:tcW w:w="8509" w:type="dxa"/>
            <w:tcBorders>
              <w:top w:val="nil"/>
              <w:left w:val="nil"/>
              <w:bottom w:val="nil"/>
              <w:right w:val="nil"/>
            </w:tcBorders>
            <w:shd w:val="clear" w:color="auto" w:fill="auto"/>
            <w:noWrap/>
            <w:vAlign w:val="bottom"/>
            <w:hideMark/>
          </w:tcPr>
          <w:p w14:paraId="2D67F1A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Službena, radna i zaštitna odjeća i obuća                                                           </w:t>
            </w:r>
          </w:p>
        </w:tc>
        <w:tc>
          <w:tcPr>
            <w:tcW w:w="1480" w:type="dxa"/>
            <w:tcBorders>
              <w:top w:val="nil"/>
              <w:left w:val="nil"/>
              <w:bottom w:val="nil"/>
              <w:right w:val="nil"/>
            </w:tcBorders>
            <w:shd w:val="clear" w:color="auto" w:fill="auto"/>
            <w:noWrap/>
            <w:vAlign w:val="bottom"/>
            <w:hideMark/>
          </w:tcPr>
          <w:p w14:paraId="07AE3085"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0880F2C"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5.000,00</w:t>
            </w:r>
          </w:p>
        </w:tc>
        <w:tc>
          <w:tcPr>
            <w:tcW w:w="1400" w:type="dxa"/>
            <w:tcBorders>
              <w:top w:val="nil"/>
              <w:left w:val="nil"/>
              <w:bottom w:val="nil"/>
              <w:right w:val="nil"/>
            </w:tcBorders>
            <w:shd w:val="clear" w:color="auto" w:fill="auto"/>
            <w:noWrap/>
            <w:vAlign w:val="bottom"/>
            <w:hideMark/>
          </w:tcPr>
          <w:p w14:paraId="3EBACEF2"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280D22B" w14:textId="77777777" w:rsidTr="00A360DB">
        <w:trPr>
          <w:trHeight w:val="240"/>
        </w:trPr>
        <w:tc>
          <w:tcPr>
            <w:tcW w:w="1697" w:type="dxa"/>
            <w:tcBorders>
              <w:top w:val="nil"/>
              <w:left w:val="nil"/>
              <w:bottom w:val="nil"/>
              <w:right w:val="nil"/>
            </w:tcBorders>
            <w:shd w:val="clear" w:color="000000" w:fill="B4C6E7"/>
            <w:noWrap/>
            <w:vAlign w:val="bottom"/>
            <w:hideMark/>
          </w:tcPr>
          <w:p w14:paraId="219E3578"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A100504</w:t>
            </w:r>
          </w:p>
        </w:tc>
        <w:tc>
          <w:tcPr>
            <w:tcW w:w="8509" w:type="dxa"/>
            <w:tcBorders>
              <w:top w:val="nil"/>
              <w:left w:val="nil"/>
              <w:bottom w:val="nil"/>
              <w:right w:val="nil"/>
            </w:tcBorders>
            <w:shd w:val="clear" w:color="000000" w:fill="B4C6E7"/>
            <w:noWrap/>
            <w:vAlign w:val="bottom"/>
            <w:hideMark/>
          </w:tcPr>
          <w:p w14:paraId="4D761083"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Redovan rad javne vatrogasne postrojbe - decentralizirana sredstva</w:t>
            </w:r>
          </w:p>
        </w:tc>
        <w:tc>
          <w:tcPr>
            <w:tcW w:w="1480" w:type="dxa"/>
            <w:tcBorders>
              <w:top w:val="nil"/>
              <w:left w:val="nil"/>
              <w:bottom w:val="nil"/>
              <w:right w:val="nil"/>
            </w:tcBorders>
            <w:shd w:val="clear" w:color="000000" w:fill="B4C6E7"/>
            <w:noWrap/>
            <w:vAlign w:val="bottom"/>
            <w:hideMark/>
          </w:tcPr>
          <w:p w14:paraId="45645C3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321.630,00</w:t>
            </w:r>
          </w:p>
        </w:tc>
        <w:tc>
          <w:tcPr>
            <w:tcW w:w="1380" w:type="dxa"/>
            <w:tcBorders>
              <w:top w:val="nil"/>
              <w:left w:val="nil"/>
              <w:bottom w:val="nil"/>
              <w:right w:val="nil"/>
            </w:tcBorders>
            <w:shd w:val="clear" w:color="000000" w:fill="B4C6E7"/>
            <w:noWrap/>
            <w:vAlign w:val="bottom"/>
            <w:hideMark/>
          </w:tcPr>
          <w:p w14:paraId="36326FA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322.088,63</w:t>
            </w:r>
          </w:p>
        </w:tc>
        <w:tc>
          <w:tcPr>
            <w:tcW w:w="1400" w:type="dxa"/>
            <w:tcBorders>
              <w:top w:val="nil"/>
              <w:left w:val="nil"/>
              <w:bottom w:val="nil"/>
              <w:right w:val="nil"/>
            </w:tcBorders>
            <w:shd w:val="clear" w:color="000000" w:fill="B4C6E7"/>
            <w:noWrap/>
            <w:vAlign w:val="bottom"/>
            <w:hideMark/>
          </w:tcPr>
          <w:p w14:paraId="47F2A3C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100,14%</w:t>
            </w:r>
          </w:p>
        </w:tc>
      </w:tr>
      <w:tr w:rsidR="00A360DB" w:rsidRPr="00A360DB" w14:paraId="0E4A1752"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30B9828"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4ED91CE2"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32.500,00</w:t>
            </w:r>
          </w:p>
        </w:tc>
        <w:tc>
          <w:tcPr>
            <w:tcW w:w="1380" w:type="dxa"/>
            <w:tcBorders>
              <w:top w:val="nil"/>
              <w:left w:val="nil"/>
              <w:bottom w:val="nil"/>
              <w:right w:val="nil"/>
            </w:tcBorders>
            <w:shd w:val="clear" w:color="auto" w:fill="auto"/>
            <w:noWrap/>
            <w:vAlign w:val="bottom"/>
            <w:hideMark/>
          </w:tcPr>
          <w:p w14:paraId="7A35E895"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33.127,50</w:t>
            </w:r>
          </w:p>
        </w:tc>
        <w:tc>
          <w:tcPr>
            <w:tcW w:w="1400" w:type="dxa"/>
            <w:tcBorders>
              <w:top w:val="nil"/>
              <w:left w:val="nil"/>
              <w:bottom w:val="nil"/>
              <w:right w:val="nil"/>
            </w:tcBorders>
            <w:shd w:val="clear" w:color="auto" w:fill="auto"/>
            <w:noWrap/>
            <w:vAlign w:val="bottom"/>
            <w:hideMark/>
          </w:tcPr>
          <w:p w14:paraId="01289E35"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101,93%</w:t>
            </w:r>
          </w:p>
        </w:tc>
      </w:tr>
      <w:tr w:rsidR="00A360DB" w:rsidRPr="00A360DB" w14:paraId="32646C7B"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B6D63E1"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3E9D91D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32.500,00</w:t>
            </w:r>
          </w:p>
        </w:tc>
        <w:tc>
          <w:tcPr>
            <w:tcW w:w="1380" w:type="dxa"/>
            <w:tcBorders>
              <w:top w:val="nil"/>
              <w:left w:val="nil"/>
              <w:bottom w:val="nil"/>
              <w:right w:val="nil"/>
            </w:tcBorders>
            <w:shd w:val="clear" w:color="auto" w:fill="auto"/>
            <w:noWrap/>
            <w:vAlign w:val="bottom"/>
            <w:hideMark/>
          </w:tcPr>
          <w:p w14:paraId="3DF06781"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33.127,50</w:t>
            </w:r>
          </w:p>
        </w:tc>
        <w:tc>
          <w:tcPr>
            <w:tcW w:w="1400" w:type="dxa"/>
            <w:tcBorders>
              <w:top w:val="nil"/>
              <w:left w:val="nil"/>
              <w:bottom w:val="nil"/>
              <w:right w:val="nil"/>
            </w:tcBorders>
            <w:shd w:val="clear" w:color="auto" w:fill="auto"/>
            <w:noWrap/>
            <w:vAlign w:val="bottom"/>
            <w:hideMark/>
          </w:tcPr>
          <w:p w14:paraId="4ABF9282"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101,93%</w:t>
            </w:r>
          </w:p>
        </w:tc>
      </w:tr>
      <w:tr w:rsidR="00A360DB" w:rsidRPr="00A360DB" w14:paraId="24357C8E" w14:textId="77777777" w:rsidTr="00A360DB">
        <w:trPr>
          <w:trHeight w:val="240"/>
        </w:trPr>
        <w:tc>
          <w:tcPr>
            <w:tcW w:w="1697" w:type="dxa"/>
            <w:tcBorders>
              <w:top w:val="nil"/>
              <w:left w:val="nil"/>
              <w:bottom w:val="nil"/>
              <w:right w:val="nil"/>
            </w:tcBorders>
            <w:shd w:val="clear" w:color="auto" w:fill="auto"/>
            <w:noWrap/>
            <w:vAlign w:val="bottom"/>
            <w:hideMark/>
          </w:tcPr>
          <w:p w14:paraId="51A269B3"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31</w:t>
            </w:r>
          </w:p>
        </w:tc>
        <w:tc>
          <w:tcPr>
            <w:tcW w:w="8509" w:type="dxa"/>
            <w:tcBorders>
              <w:top w:val="nil"/>
              <w:left w:val="nil"/>
              <w:bottom w:val="nil"/>
              <w:right w:val="nil"/>
            </w:tcBorders>
            <w:shd w:val="clear" w:color="auto" w:fill="auto"/>
            <w:noWrap/>
            <w:vAlign w:val="bottom"/>
            <w:hideMark/>
          </w:tcPr>
          <w:p w14:paraId="5EBDC8A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zaposlene                                                                                </w:t>
            </w:r>
          </w:p>
        </w:tc>
        <w:tc>
          <w:tcPr>
            <w:tcW w:w="1480" w:type="dxa"/>
            <w:tcBorders>
              <w:top w:val="nil"/>
              <w:left w:val="nil"/>
              <w:bottom w:val="nil"/>
              <w:right w:val="nil"/>
            </w:tcBorders>
            <w:shd w:val="clear" w:color="auto" w:fill="auto"/>
            <w:noWrap/>
            <w:vAlign w:val="bottom"/>
            <w:hideMark/>
          </w:tcPr>
          <w:p w14:paraId="31C7733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15.000,00</w:t>
            </w:r>
          </w:p>
        </w:tc>
        <w:tc>
          <w:tcPr>
            <w:tcW w:w="1380" w:type="dxa"/>
            <w:tcBorders>
              <w:top w:val="nil"/>
              <w:left w:val="nil"/>
              <w:bottom w:val="nil"/>
              <w:right w:val="nil"/>
            </w:tcBorders>
            <w:shd w:val="clear" w:color="auto" w:fill="auto"/>
            <w:noWrap/>
            <w:vAlign w:val="bottom"/>
            <w:hideMark/>
          </w:tcPr>
          <w:p w14:paraId="4B9C59A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15.627,50</w:t>
            </w:r>
          </w:p>
        </w:tc>
        <w:tc>
          <w:tcPr>
            <w:tcW w:w="1400" w:type="dxa"/>
            <w:tcBorders>
              <w:top w:val="nil"/>
              <w:left w:val="nil"/>
              <w:bottom w:val="nil"/>
              <w:right w:val="nil"/>
            </w:tcBorders>
            <w:shd w:val="clear" w:color="auto" w:fill="auto"/>
            <w:noWrap/>
            <w:vAlign w:val="bottom"/>
            <w:hideMark/>
          </w:tcPr>
          <w:p w14:paraId="48273BF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104,18%</w:t>
            </w:r>
          </w:p>
        </w:tc>
      </w:tr>
      <w:tr w:rsidR="00A360DB" w:rsidRPr="00A360DB" w14:paraId="4D1EBF07" w14:textId="77777777" w:rsidTr="00A360DB">
        <w:trPr>
          <w:trHeight w:val="240"/>
        </w:trPr>
        <w:tc>
          <w:tcPr>
            <w:tcW w:w="1697" w:type="dxa"/>
            <w:tcBorders>
              <w:top w:val="nil"/>
              <w:left w:val="nil"/>
              <w:bottom w:val="nil"/>
              <w:right w:val="nil"/>
            </w:tcBorders>
            <w:shd w:val="clear" w:color="auto" w:fill="auto"/>
            <w:noWrap/>
            <w:vAlign w:val="bottom"/>
            <w:hideMark/>
          </w:tcPr>
          <w:p w14:paraId="32F8220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3111</w:t>
            </w:r>
          </w:p>
        </w:tc>
        <w:tc>
          <w:tcPr>
            <w:tcW w:w="8509" w:type="dxa"/>
            <w:tcBorders>
              <w:top w:val="nil"/>
              <w:left w:val="nil"/>
              <w:bottom w:val="nil"/>
              <w:right w:val="nil"/>
            </w:tcBorders>
            <w:shd w:val="clear" w:color="auto" w:fill="auto"/>
            <w:noWrap/>
            <w:vAlign w:val="bottom"/>
            <w:hideMark/>
          </w:tcPr>
          <w:p w14:paraId="743E93ED"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Plaće za redovan rad                                                                                </w:t>
            </w:r>
          </w:p>
        </w:tc>
        <w:tc>
          <w:tcPr>
            <w:tcW w:w="1480" w:type="dxa"/>
            <w:tcBorders>
              <w:top w:val="nil"/>
              <w:left w:val="nil"/>
              <w:bottom w:val="nil"/>
              <w:right w:val="nil"/>
            </w:tcBorders>
            <w:shd w:val="clear" w:color="auto" w:fill="auto"/>
            <w:noWrap/>
            <w:vAlign w:val="bottom"/>
            <w:hideMark/>
          </w:tcPr>
          <w:p w14:paraId="1FBDD114"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500AA7FC"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15.627,50</w:t>
            </w:r>
          </w:p>
        </w:tc>
        <w:tc>
          <w:tcPr>
            <w:tcW w:w="1400" w:type="dxa"/>
            <w:tcBorders>
              <w:top w:val="nil"/>
              <w:left w:val="nil"/>
              <w:bottom w:val="nil"/>
              <w:right w:val="nil"/>
            </w:tcBorders>
            <w:shd w:val="clear" w:color="auto" w:fill="auto"/>
            <w:noWrap/>
            <w:vAlign w:val="bottom"/>
            <w:hideMark/>
          </w:tcPr>
          <w:p w14:paraId="43DB3F78"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E7A48AE" w14:textId="77777777" w:rsidTr="00A360DB">
        <w:trPr>
          <w:trHeight w:val="240"/>
        </w:trPr>
        <w:tc>
          <w:tcPr>
            <w:tcW w:w="1697" w:type="dxa"/>
            <w:tcBorders>
              <w:top w:val="nil"/>
              <w:left w:val="nil"/>
              <w:bottom w:val="nil"/>
              <w:right w:val="nil"/>
            </w:tcBorders>
            <w:shd w:val="clear" w:color="auto" w:fill="auto"/>
            <w:noWrap/>
            <w:vAlign w:val="bottom"/>
            <w:hideMark/>
          </w:tcPr>
          <w:p w14:paraId="2F93409E"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3F22B568"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31961F9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17.500,00</w:t>
            </w:r>
          </w:p>
        </w:tc>
        <w:tc>
          <w:tcPr>
            <w:tcW w:w="1380" w:type="dxa"/>
            <w:tcBorders>
              <w:top w:val="nil"/>
              <w:left w:val="nil"/>
              <w:bottom w:val="nil"/>
              <w:right w:val="nil"/>
            </w:tcBorders>
            <w:shd w:val="clear" w:color="auto" w:fill="auto"/>
            <w:noWrap/>
            <w:vAlign w:val="bottom"/>
            <w:hideMark/>
          </w:tcPr>
          <w:p w14:paraId="674792C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17.500,00</w:t>
            </w:r>
          </w:p>
        </w:tc>
        <w:tc>
          <w:tcPr>
            <w:tcW w:w="1400" w:type="dxa"/>
            <w:tcBorders>
              <w:top w:val="nil"/>
              <w:left w:val="nil"/>
              <w:bottom w:val="nil"/>
              <w:right w:val="nil"/>
            </w:tcBorders>
            <w:shd w:val="clear" w:color="auto" w:fill="auto"/>
            <w:noWrap/>
            <w:vAlign w:val="bottom"/>
            <w:hideMark/>
          </w:tcPr>
          <w:p w14:paraId="3FD7378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r>
      <w:tr w:rsidR="00A360DB" w:rsidRPr="00A360DB" w14:paraId="3DCD7AAC" w14:textId="77777777" w:rsidTr="00A360DB">
        <w:trPr>
          <w:trHeight w:val="240"/>
        </w:trPr>
        <w:tc>
          <w:tcPr>
            <w:tcW w:w="1697" w:type="dxa"/>
            <w:tcBorders>
              <w:top w:val="nil"/>
              <w:left w:val="nil"/>
              <w:bottom w:val="nil"/>
              <w:right w:val="nil"/>
            </w:tcBorders>
            <w:shd w:val="clear" w:color="auto" w:fill="auto"/>
            <w:noWrap/>
            <w:vAlign w:val="bottom"/>
            <w:hideMark/>
          </w:tcPr>
          <w:p w14:paraId="744300BE"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3221</w:t>
            </w:r>
          </w:p>
        </w:tc>
        <w:tc>
          <w:tcPr>
            <w:tcW w:w="8509" w:type="dxa"/>
            <w:tcBorders>
              <w:top w:val="nil"/>
              <w:left w:val="nil"/>
              <w:bottom w:val="nil"/>
              <w:right w:val="nil"/>
            </w:tcBorders>
            <w:shd w:val="clear" w:color="auto" w:fill="auto"/>
            <w:noWrap/>
            <w:vAlign w:val="bottom"/>
            <w:hideMark/>
          </w:tcPr>
          <w:p w14:paraId="4980687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Uredski materijal i ostali materijalni rashodi                                                      </w:t>
            </w:r>
          </w:p>
        </w:tc>
        <w:tc>
          <w:tcPr>
            <w:tcW w:w="1480" w:type="dxa"/>
            <w:tcBorders>
              <w:top w:val="nil"/>
              <w:left w:val="nil"/>
              <w:bottom w:val="nil"/>
              <w:right w:val="nil"/>
            </w:tcBorders>
            <w:shd w:val="clear" w:color="auto" w:fill="auto"/>
            <w:noWrap/>
            <w:vAlign w:val="bottom"/>
            <w:hideMark/>
          </w:tcPr>
          <w:p w14:paraId="5E3394C9"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BDFC5C6"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1.300,00</w:t>
            </w:r>
          </w:p>
        </w:tc>
        <w:tc>
          <w:tcPr>
            <w:tcW w:w="1400" w:type="dxa"/>
            <w:tcBorders>
              <w:top w:val="nil"/>
              <w:left w:val="nil"/>
              <w:bottom w:val="nil"/>
              <w:right w:val="nil"/>
            </w:tcBorders>
            <w:shd w:val="clear" w:color="auto" w:fill="auto"/>
            <w:noWrap/>
            <w:vAlign w:val="bottom"/>
            <w:hideMark/>
          </w:tcPr>
          <w:p w14:paraId="52B32634"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46690AA" w14:textId="77777777" w:rsidTr="00A360DB">
        <w:trPr>
          <w:trHeight w:val="240"/>
        </w:trPr>
        <w:tc>
          <w:tcPr>
            <w:tcW w:w="1697" w:type="dxa"/>
            <w:tcBorders>
              <w:top w:val="nil"/>
              <w:left w:val="nil"/>
              <w:bottom w:val="nil"/>
              <w:right w:val="nil"/>
            </w:tcBorders>
            <w:shd w:val="clear" w:color="auto" w:fill="auto"/>
            <w:noWrap/>
            <w:vAlign w:val="bottom"/>
            <w:hideMark/>
          </w:tcPr>
          <w:p w14:paraId="0EE7F3E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3222</w:t>
            </w:r>
          </w:p>
        </w:tc>
        <w:tc>
          <w:tcPr>
            <w:tcW w:w="8509" w:type="dxa"/>
            <w:tcBorders>
              <w:top w:val="nil"/>
              <w:left w:val="nil"/>
              <w:bottom w:val="nil"/>
              <w:right w:val="nil"/>
            </w:tcBorders>
            <w:shd w:val="clear" w:color="auto" w:fill="auto"/>
            <w:noWrap/>
            <w:vAlign w:val="bottom"/>
            <w:hideMark/>
          </w:tcPr>
          <w:p w14:paraId="7384891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Materijal i sirovine                                                                                </w:t>
            </w:r>
          </w:p>
        </w:tc>
        <w:tc>
          <w:tcPr>
            <w:tcW w:w="1480" w:type="dxa"/>
            <w:tcBorders>
              <w:top w:val="nil"/>
              <w:left w:val="nil"/>
              <w:bottom w:val="nil"/>
              <w:right w:val="nil"/>
            </w:tcBorders>
            <w:shd w:val="clear" w:color="auto" w:fill="auto"/>
            <w:noWrap/>
            <w:vAlign w:val="bottom"/>
            <w:hideMark/>
          </w:tcPr>
          <w:p w14:paraId="3E8CC6BF"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9B163A1"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3.200,00</w:t>
            </w:r>
          </w:p>
        </w:tc>
        <w:tc>
          <w:tcPr>
            <w:tcW w:w="1400" w:type="dxa"/>
            <w:tcBorders>
              <w:top w:val="nil"/>
              <w:left w:val="nil"/>
              <w:bottom w:val="nil"/>
              <w:right w:val="nil"/>
            </w:tcBorders>
            <w:shd w:val="clear" w:color="auto" w:fill="auto"/>
            <w:noWrap/>
            <w:vAlign w:val="bottom"/>
            <w:hideMark/>
          </w:tcPr>
          <w:p w14:paraId="6547F3F3"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D74899B" w14:textId="77777777" w:rsidTr="00A360DB">
        <w:trPr>
          <w:trHeight w:val="240"/>
        </w:trPr>
        <w:tc>
          <w:tcPr>
            <w:tcW w:w="1697" w:type="dxa"/>
            <w:tcBorders>
              <w:top w:val="nil"/>
              <w:left w:val="nil"/>
              <w:bottom w:val="nil"/>
              <w:right w:val="nil"/>
            </w:tcBorders>
            <w:shd w:val="clear" w:color="auto" w:fill="auto"/>
            <w:noWrap/>
            <w:vAlign w:val="bottom"/>
            <w:hideMark/>
          </w:tcPr>
          <w:p w14:paraId="3DC8860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3225</w:t>
            </w:r>
          </w:p>
        </w:tc>
        <w:tc>
          <w:tcPr>
            <w:tcW w:w="8509" w:type="dxa"/>
            <w:tcBorders>
              <w:top w:val="nil"/>
              <w:left w:val="nil"/>
              <w:bottom w:val="nil"/>
              <w:right w:val="nil"/>
            </w:tcBorders>
            <w:shd w:val="clear" w:color="auto" w:fill="auto"/>
            <w:noWrap/>
            <w:vAlign w:val="bottom"/>
            <w:hideMark/>
          </w:tcPr>
          <w:p w14:paraId="50C9895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Sitni inventar i auto gume</w:t>
            </w:r>
          </w:p>
        </w:tc>
        <w:tc>
          <w:tcPr>
            <w:tcW w:w="1480" w:type="dxa"/>
            <w:tcBorders>
              <w:top w:val="nil"/>
              <w:left w:val="nil"/>
              <w:bottom w:val="nil"/>
              <w:right w:val="nil"/>
            </w:tcBorders>
            <w:shd w:val="clear" w:color="auto" w:fill="auto"/>
            <w:noWrap/>
            <w:vAlign w:val="bottom"/>
            <w:hideMark/>
          </w:tcPr>
          <w:p w14:paraId="5EA69230"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743357F"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2.200,00</w:t>
            </w:r>
          </w:p>
        </w:tc>
        <w:tc>
          <w:tcPr>
            <w:tcW w:w="1400" w:type="dxa"/>
            <w:tcBorders>
              <w:top w:val="nil"/>
              <w:left w:val="nil"/>
              <w:bottom w:val="nil"/>
              <w:right w:val="nil"/>
            </w:tcBorders>
            <w:shd w:val="clear" w:color="auto" w:fill="auto"/>
            <w:noWrap/>
            <w:vAlign w:val="bottom"/>
            <w:hideMark/>
          </w:tcPr>
          <w:p w14:paraId="28681EDB"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3E80B4B" w14:textId="77777777" w:rsidTr="00A360DB">
        <w:trPr>
          <w:trHeight w:val="240"/>
        </w:trPr>
        <w:tc>
          <w:tcPr>
            <w:tcW w:w="1697" w:type="dxa"/>
            <w:tcBorders>
              <w:top w:val="nil"/>
              <w:left w:val="nil"/>
              <w:bottom w:val="nil"/>
              <w:right w:val="nil"/>
            </w:tcBorders>
            <w:shd w:val="clear" w:color="auto" w:fill="auto"/>
            <w:noWrap/>
            <w:vAlign w:val="bottom"/>
            <w:hideMark/>
          </w:tcPr>
          <w:p w14:paraId="3ACFD52D"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3231</w:t>
            </w:r>
          </w:p>
        </w:tc>
        <w:tc>
          <w:tcPr>
            <w:tcW w:w="8509" w:type="dxa"/>
            <w:tcBorders>
              <w:top w:val="nil"/>
              <w:left w:val="nil"/>
              <w:bottom w:val="nil"/>
              <w:right w:val="nil"/>
            </w:tcBorders>
            <w:shd w:val="clear" w:color="auto" w:fill="auto"/>
            <w:noWrap/>
            <w:vAlign w:val="bottom"/>
            <w:hideMark/>
          </w:tcPr>
          <w:p w14:paraId="5231FF5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Usluge telefona, pošte i prijevoza                                                                  </w:t>
            </w:r>
          </w:p>
        </w:tc>
        <w:tc>
          <w:tcPr>
            <w:tcW w:w="1480" w:type="dxa"/>
            <w:tcBorders>
              <w:top w:val="nil"/>
              <w:left w:val="nil"/>
              <w:bottom w:val="nil"/>
              <w:right w:val="nil"/>
            </w:tcBorders>
            <w:shd w:val="clear" w:color="auto" w:fill="auto"/>
            <w:noWrap/>
            <w:vAlign w:val="bottom"/>
            <w:hideMark/>
          </w:tcPr>
          <w:p w14:paraId="631D2D81"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1678E98"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2.800,00</w:t>
            </w:r>
          </w:p>
        </w:tc>
        <w:tc>
          <w:tcPr>
            <w:tcW w:w="1400" w:type="dxa"/>
            <w:tcBorders>
              <w:top w:val="nil"/>
              <w:left w:val="nil"/>
              <w:bottom w:val="nil"/>
              <w:right w:val="nil"/>
            </w:tcBorders>
            <w:shd w:val="clear" w:color="auto" w:fill="auto"/>
            <w:noWrap/>
            <w:vAlign w:val="bottom"/>
            <w:hideMark/>
          </w:tcPr>
          <w:p w14:paraId="2CD64A2A"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BC71256" w14:textId="77777777" w:rsidTr="00A360DB">
        <w:trPr>
          <w:trHeight w:val="240"/>
        </w:trPr>
        <w:tc>
          <w:tcPr>
            <w:tcW w:w="1697" w:type="dxa"/>
            <w:tcBorders>
              <w:top w:val="nil"/>
              <w:left w:val="nil"/>
              <w:bottom w:val="nil"/>
              <w:right w:val="nil"/>
            </w:tcBorders>
            <w:shd w:val="clear" w:color="auto" w:fill="auto"/>
            <w:noWrap/>
            <w:vAlign w:val="bottom"/>
            <w:hideMark/>
          </w:tcPr>
          <w:p w14:paraId="6806148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3232</w:t>
            </w:r>
          </w:p>
        </w:tc>
        <w:tc>
          <w:tcPr>
            <w:tcW w:w="8509" w:type="dxa"/>
            <w:tcBorders>
              <w:top w:val="nil"/>
              <w:left w:val="nil"/>
              <w:bottom w:val="nil"/>
              <w:right w:val="nil"/>
            </w:tcBorders>
            <w:shd w:val="clear" w:color="auto" w:fill="auto"/>
            <w:noWrap/>
            <w:vAlign w:val="bottom"/>
            <w:hideMark/>
          </w:tcPr>
          <w:p w14:paraId="4C4DBE6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Usluge tekućeg i investicijskog održavanja                                                          </w:t>
            </w:r>
          </w:p>
        </w:tc>
        <w:tc>
          <w:tcPr>
            <w:tcW w:w="1480" w:type="dxa"/>
            <w:tcBorders>
              <w:top w:val="nil"/>
              <w:left w:val="nil"/>
              <w:bottom w:val="nil"/>
              <w:right w:val="nil"/>
            </w:tcBorders>
            <w:shd w:val="clear" w:color="auto" w:fill="auto"/>
            <w:noWrap/>
            <w:vAlign w:val="bottom"/>
            <w:hideMark/>
          </w:tcPr>
          <w:p w14:paraId="5D8D7271"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166C45C6"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8.000,00</w:t>
            </w:r>
          </w:p>
        </w:tc>
        <w:tc>
          <w:tcPr>
            <w:tcW w:w="1400" w:type="dxa"/>
            <w:tcBorders>
              <w:top w:val="nil"/>
              <w:left w:val="nil"/>
              <w:bottom w:val="nil"/>
              <w:right w:val="nil"/>
            </w:tcBorders>
            <w:shd w:val="clear" w:color="auto" w:fill="auto"/>
            <w:noWrap/>
            <w:vAlign w:val="bottom"/>
            <w:hideMark/>
          </w:tcPr>
          <w:p w14:paraId="52BD85E9"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DF2EEBB"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2F174D27"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5. Pomoći</w:t>
            </w:r>
          </w:p>
        </w:tc>
        <w:tc>
          <w:tcPr>
            <w:tcW w:w="1480" w:type="dxa"/>
            <w:tcBorders>
              <w:top w:val="nil"/>
              <w:left w:val="nil"/>
              <w:bottom w:val="nil"/>
              <w:right w:val="nil"/>
            </w:tcBorders>
            <w:shd w:val="clear" w:color="auto" w:fill="auto"/>
            <w:noWrap/>
            <w:vAlign w:val="bottom"/>
            <w:hideMark/>
          </w:tcPr>
          <w:p w14:paraId="2BF797D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289.130,00</w:t>
            </w:r>
          </w:p>
        </w:tc>
        <w:tc>
          <w:tcPr>
            <w:tcW w:w="1380" w:type="dxa"/>
            <w:tcBorders>
              <w:top w:val="nil"/>
              <w:left w:val="nil"/>
              <w:bottom w:val="nil"/>
              <w:right w:val="nil"/>
            </w:tcBorders>
            <w:shd w:val="clear" w:color="auto" w:fill="auto"/>
            <w:noWrap/>
            <w:vAlign w:val="bottom"/>
            <w:hideMark/>
          </w:tcPr>
          <w:p w14:paraId="54885E81"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288.961,13</w:t>
            </w:r>
          </w:p>
        </w:tc>
        <w:tc>
          <w:tcPr>
            <w:tcW w:w="1400" w:type="dxa"/>
            <w:tcBorders>
              <w:top w:val="nil"/>
              <w:left w:val="nil"/>
              <w:bottom w:val="nil"/>
              <w:right w:val="nil"/>
            </w:tcBorders>
            <w:shd w:val="clear" w:color="auto" w:fill="auto"/>
            <w:noWrap/>
            <w:vAlign w:val="bottom"/>
            <w:hideMark/>
          </w:tcPr>
          <w:p w14:paraId="0E9E6770"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99,94%</w:t>
            </w:r>
          </w:p>
        </w:tc>
      </w:tr>
      <w:tr w:rsidR="00A360DB" w:rsidRPr="00A360DB" w14:paraId="652F84A4"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1BBD5ADF"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5.2. Državni proračun</w:t>
            </w:r>
          </w:p>
        </w:tc>
        <w:tc>
          <w:tcPr>
            <w:tcW w:w="1480" w:type="dxa"/>
            <w:tcBorders>
              <w:top w:val="nil"/>
              <w:left w:val="nil"/>
              <w:bottom w:val="nil"/>
              <w:right w:val="nil"/>
            </w:tcBorders>
            <w:shd w:val="clear" w:color="auto" w:fill="auto"/>
            <w:noWrap/>
            <w:vAlign w:val="bottom"/>
            <w:hideMark/>
          </w:tcPr>
          <w:p w14:paraId="4A53D5E2"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250.534,00</w:t>
            </w:r>
          </w:p>
        </w:tc>
        <w:tc>
          <w:tcPr>
            <w:tcW w:w="1380" w:type="dxa"/>
            <w:tcBorders>
              <w:top w:val="nil"/>
              <w:left w:val="nil"/>
              <w:bottom w:val="nil"/>
              <w:right w:val="nil"/>
            </w:tcBorders>
            <w:shd w:val="clear" w:color="auto" w:fill="auto"/>
            <w:noWrap/>
            <w:vAlign w:val="bottom"/>
            <w:hideMark/>
          </w:tcPr>
          <w:p w14:paraId="0D4113C6"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250.305,71</w:t>
            </w:r>
          </w:p>
        </w:tc>
        <w:tc>
          <w:tcPr>
            <w:tcW w:w="1400" w:type="dxa"/>
            <w:tcBorders>
              <w:top w:val="nil"/>
              <w:left w:val="nil"/>
              <w:bottom w:val="nil"/>
              <w:right w:val="nil"/>
            </w:tcBorders>
            <w:shd w:val="clear" w:color="auto" w:fill="auto"/>
            <w:noWrap/>
            <w:vAlign w:val="bottom"/>
            <w:hideMark/>
          </w:tcPr>
          <w:p w14:paraId="14A05026"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99,91%</w:t>
            </w:r>
          </w:p>
        </w:tc>
      </w:tr>
      <w:tr w:rsidR="00A360DB" w:rsidRPr="00A360DB" w14:paraId="015E7C5A" w14:textId="77777777" w:rsidTr="00A360DB">
        <w:trPr>
          <w:trHeight w:val="240"/>
        </w:trPr>
        <w:tc>
          <w:tcPr>
            <w:tcW w:w="1697" w:type="dxa"/>
            <w:tcBorders>
              <w:top w:val="nil"/>
              <w:left w:val="nil"/>
              <w:bottom w:val="nil"/>
              <w:right w:val="nil"/>
            </w:tcBorders>
            <w:shd w:val="clear" w:color="auto" w:fill="auto"/>
            <w:noWrap/>
            <w:vAlign w:val="bottom"/>
            <w:hideMark/>
          </w:tcPr>
          <w:p w14:paraId="6B006250"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31</w:t>
            </w:r>
          </w:p>
        </w:tc>
        <w:tc>
          <w:tcPr>
            <w:tcW w:w="8509" w:type="dxa"/>
            <w:tcBorders>
              <w:top w:val="nil"/>
              <w:left w:val="nil"/>
              <w:bottom w:val="nil"/>
              <w:right w:val="nil"/>
            </w:tcBorders>
            <w:shd w:val="clear" w:color="auto" w:fill="auto"/>
            <w:noWrap/>
            <w:vAlign w:val="bottom"/>
            <w:hideMark/>
          </w:tcPr>
          <w:p w14:paraId="08C895FF"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zaposlene                                                                                </w:t>
            </w:r>
          </w:p>
        </w:tc>
        <w:tc>
          <w:tcPr>
            <w:tcW w:w="1480" w:type="dxa"/>
            <w:tcBorders>
              <w:top w:val="nil"/>
              <w:left w:val="nil"/>
              <w:bottom w:val="nil"/>
              <w:right w:val="nil"/>
            </w:tcBorders>
            <w:shd w:val="clear" w:color="auto" w:fill="auto"/>
            <w:noWrap/>
            <w:vAlign w:val="bottom"/>
            <w:hideMark/>
          </w:tcPr>
          <w:p w14:paraId="122EFFB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250.534,00</w:t>
            </w:r>
          </w:p>
        </w:tc>
        <w:tc>
          <w:tcPr>
            <w:tcW w:w="1380" w:type="dxa"/>
            <w:tcBorders>
              <w:top w:val="nil"/>
              <w:left w:val="nil"/>
              <w:bottom w:val="nil"/>
              <w:right w:val="nil"/>
            </w:tcBorders>
            <w:shd w:val="clear" w:color="auto" w:fill="auto"/>
            <w:noWrap/>
            <w:vAlign w:val="bottom"/>
            <w:hideMark/>
          </w:tcPr>
          <w:p w14:paraId="30153CD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250.305,71</w:t>
            </w:r>
          </w:p>
        </w:tc>
        <w:tc>
          <w:tcPr>
            <w:tcW w:w="1400" w:type="dxa"/>
            <w:tcBorders>
              <w:top w:val="nil"/>
              <w:left w:val="nil"/>
              <w:bottom w:val="nil"/>
              <w:right w:val="nil"/>
            </w:tcBorders>
            <w:shd w:val="clear" w:color="auto" w:fill="auto"/>
            <w:noWrap/>
            <w:vAlign w:val="bottom"/>
            <w:hideMark/>
          </w:tcPr>
          <w:p w14:paraId="39CCD04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99,91%</w:t>
            </w:r>
          </w:p>
        </w:tc>
      </w:tr>
      <w:tr w:rsidR="00A360DB" w:rsidRPr="00A360DB" w14:paraId="327118A3" w14:textId="77777777" w:rsidTr="00A360DB">
        <w:trPr>
          <w:trHeight w:val="240"/>
        </w:trPr>
        <w:tc>
          <w:tcPr>
            <w:tcW w:w="1697" w:type="dxa"/>
            <w:tcBorders>
              <w:top w:val="nil"/>
              <w:left w:val="nil"/>
              <w:bottom w:val="nil"/>
              <w:right w:val="nil"/>
            </w:tcBorders>
            <w:shd w:val="clear" w:color="auto" w:fill="auto"/>
            <w:noWrap/>
            <w:vAlign w:val="bottom"/>
            <w:hideMark/>
          </w:tcPr>
          <w:p w14:paraId="20D52C4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3111</w:t>
            </w:r>
          </w:p>
        </w:tc>
        <w:tc>
          <w:tcPr>
            <w:tcW w:w="8509" w:type="dxa"/>
            <w:tcBorders>
              <w:top w:val="nil"/>
              <w:left w:val="nil"/>
              <w:bottom w:val="nil"/>
              <w:right w:val="nil"/>
            </w:tcBorders>
            <w:shd w:val="clear" w:color="auto" w:fill="auto"/>
            <w:noWrap/>
            <w:vAlign w:val="bottom"/>
            <w:hideMark/>
          </w:tcPr>
          <w:p w14:paraId="2D10D11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Plaće za redovan rad                                                                                </w:t>
            </w:r>
          </w:p>
        </w:tc>
        <w:tc>
          <w:tcPr>
            <w:tcW w:w="1480" w:type="dxa"/>
            <w:tcBorders>
              <w:top w:val="nil"/>
              <w:left w:val="nil"/>
              <w:bottom w:val="nil"/>
              <w:right w:val="nil"/>
            </w:tcBorders>
            <w:shd w:val="clear" w:color="auto" w:fill="auto"/>
            <w:noWrap/>
            <w:vAlign w:val="bottom"/>
            <w:hideMark/>
          </w:tcPr>
          <w:p w14:paraId="7931A219"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02499A0"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250.305,71</w:t>
            </w:r>
          </w:p>
        </w:tc>
        <w:tc>
          <w:tcPr>
            <w:tcW w:w="1400" w:type="dxa"/>
            <w:tcBorders>
              <w:top w:val="nil"/>
              <w:left w:val="nil"/>
              <w:bottom w:val="nil"/>
              <w:right w:val="nil"/>
            </w:tcBorders>
            <w:shd w:val="clear" w:color="auto" w:fill="auto"/>
            <w:noWrap/>
            <w:vAlign w:val="bottom"/>
            <w:hideMark/>
          </w:tcPr>
          <w:p w14:paraId="172646A6"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24E15680"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37CAEE41"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5.5. Općinski proračun</w:t>
            </w:r>
          </w:p>
        </w:tc>
        <w:tc>
          <w:tcPr>
            <w:tcW w:w="1480" w:type="dxa"/>
            <w:tcBorders>
              <w:top w:val="nil"/>
              <w:left w:val="nil"/>
              <w:bottom w:val="nil"/>
              <w:right w:val="nil"/>
            </w:tcBorders>
            <w:shd w:val="clear" w:color="auto" w:fill="auto"/>
            <w:noWrap/>
            <w:vAlign w:val="bottom"/>
            <w:hideMark/>
          </w:tcPr>
          <w:p w14:paraId="7F22F2C6"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38.596,00</w:t>
            </w:r>
          </w:p>
        </w:tc>
        <w:tc>
          <w:tcPr>
            <w:tcW w:w="1380" w:type="dxa"/>
            <w:tcBorders>
              <w:top w:val="nil"/>
              <w:left w:val="nil"/>
              <w:bottom w:val="nil"/>
              <w:right w:val="nil"/>
            </w:tcBorders>
            <w:shd w:val="clear" w:color="auto" w:fill="auto"/>
            <w:noWrap/>
            <w:vAlign w:val="bottom"/>
            <w:hideMark/>
          </w:tcPr>
          <w:p w14:paraId="7AC89AD9"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38.655,42</w:t>
            </w:r>
          </w:p>
        </w:tc>
        <w:tc>
          <w:tcPr>
            <w:tcW w:w="1400" w:type="dxa"/>
            <w:tcBorders>
              <w:top w:val="nil"/>
              <w:left w:val="nil"/>
              <w:bottom w:val="nil"/>
              <w:right w:val="nil"/>
            </w:tcBorders>
            <w:shd w:val="clear" w:color="auto" w:fill="auto"/>
            <w:noWrap/>
            <w:vAlign w:val="bottom"/>
            <w:hideMark/>
          </w:tcPr>
          <w:p w14:paraId="7CE98006"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100,15%</w:t>
            </w:r>
          </w:p>
        </w:tc>
      </w:tr>
      <w:tr w:rsidR="00A360DB" w:rsidRPr="00A360DB" w14:paraId="13BF6A63" w14:textId="77777777" w:rsidTr="00A360DB">
        <w:trPr>
          <w:trHeight w:val="240"/>
        </w:trPr>
        <w:tc>
          <w:tcPr>
            <w:tcW w:w="1697" w:type="dxa"/>
            <w:tcBorders>
              <w:top w:val="nil"/>
              <w:left w:val="nil"/>
              <w:bottom w:val="nil"/>
              <w:right w:val="nil"/>
            </w:tcBorders>
            <w:shd w:val="clear" w:color="auto" w:fill="auto"/>
            <w:noWrap/>
            <w:vAlign w:val="bottom"/>
            <w:hideMark/>
          </w:tcPr>
          <w:p w14:paraId="73C02AC3"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31</w:t>
            </w:r>
          </w:p>
        </w:tc>
        <w:tc>
          <w:tcPr>
            <w:tcW w:w="8509" w:type="dxa"/>
            <w:tcBorders>
              <w:top w:val="nil"/>
              <w:left w:val="nil"/>
              <w:bottom w:val="nil"/>
              <w:right w:val="nil"/>
            </w:tcBorders>
            <w:shd w:val="clear" w:color="auto" w:fill="auto"/>
            <w:noWrap/>
            <w:vAlign w:val="bottom"/>
            <w:hideMark/>
          </w:tcPr>
          <w:p w14:paraId="2E3578DF"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zaposlene                                                                                </w:t>
            </w:r>
          </w:p>
        </w:tc>
        <w:tc>
          <w:tcPr>
            <w:tcW w:w="1480" w:type="dxa"/>
            <w:tcBorders>
              <w:top w:val="nil"/>
              <w:left w:val="nil"/>
              <w:bottom w:val="nil"/>
              <w:right w:val="nil"/>
            </w:tcBorders>
            <w:shd w:val="clear" w:color="auto" w:fill="auto"/>
            <w:noWrap/>
            <w:vAlign w:val="bottom"/>
            <w:hideMark/>
          </w:tcPr>
          <w:p w14:paraId="546ACA9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5.396,00</w:t>
            </w:r>
          </w:p>
        </w:tc>
        <w:tc>
          <w:tcPr>
            <w:tcW w:w="1380" w:type="dxa"/>
            <w:tcBorders>
              <w:top w:val="nil"/>
              <w:left w:val="nil"/>
              <w:bottom w:val="nil"/>
              <w:right w:val="nil"/>
            </w:tcBorders>
            <w:shd w:val="clear" w:color="auto" w:fill="auto"/>
            <w:noWrap/>
            <w:vAlign w:val="bottom"/>
            <w:hideMark/>
          </w:tcPr>
          <w:p w14:paraId="1FEA086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5.455,42</w:t>
            </w:r>
          </w:p>
        </w:tc>
        <w:tc>
          <w:tcPr>
            <w:tcW w:w="1400" w:type="dxa"/>
            <w:tcBorders>
              <w:top w:val="nil"/>
              <w:left w:val="nil"/>
              <w:bottom w:val="nil"/>
              <w:right w:val="nil"/>
            </w:tcBorders>
            <w:shd w:val="clear" w:color="auto" w:fill="auto"/>
            <w:noWrap/>
            <w:vAlign w:val="bottom"/>
            <w:hideMark/>
          </w:tcPr>
          <w:p w14:paraId="7051F8B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101,10%</w:t>
            </w:r>
          </w:p>
        </w:tc>
      </w:tr>
      <w:tr w:rsidR="00A360DB" w:rsidRPr="00A360DB" w14:paraId="45132103" w14:textId="77777777" w:rsidTr="00A360DB">
        <w:trPr>
          <w:trHeight w:val="240"/>
        </w:trPr>
        <w:tc>
          <w:tcPr>
            <w:tcW w:w="1697" w:type="dxa"/>
            <w:tcBorders>
              <w:top w:val="nil"/>
              <w:left w:val="nil"/>
              <w:bottom w:val="nil"/>
              <w:right w:val="nil"/>
            </w:tcBorders>
            <w:shd w:val="clear" w:color="auto" w:fill="auto"/>
            <w:noWrap/>
            <w:vAlign w:val="bottom"/>
            <w:hideMark/>
          </w:tcPr>
          <w:p w14:paraId="31610CA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3131</w:t>
            </w:r>
          </w:p>
        </w:tc>
        <w:tc>
          <w:tcPr>
            <w:tcW w:w="8509" w:type="dxa"/>
            <w:tcBorders>
              <w:top w:val="nil"/>
              <w:left w:val="nil"/>
              <w:bottom w:val="nil"/>
              <w:right w:val="nil"/>
            </w:tcBorders>
            <w:shd w:val="clear" w:color="auto" w:fill="auto"/>
            <w:noWrap/>
            <w:vAlign w:val="bottom"/>
            <w:hideMark/>
          </w:tcPr>
          <w:p w14:paraId="732EBDA7"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Doprinosi za mirovinsko osiguranje                                                                  </w:t>
            </w:r>
          </w:p>
        </w:tc>
        <w:tc>
          <w:tcPr>
            <w:tcW w:w="1480" w:type="dxa"/>
            <w:tcBorders>
              <w:top w:val="nil"/>
              <w:left w:val="nil"/>
              <w:bottom w:val="nil"/>
              <w:right w:val="nil"/>
            </w:tcBorders>
            <w:shd w:val="clear" w:color="auto" w:fill="auto"/>
            <w:noWrap/>
            <w:vAlign w:val="bottom"/>
            <w:hideMark/>
          </w:tcPr>
          <w:p w14:paraId="632E93D8"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CEAC021"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5.455,42</w:t>
            </w:r>
          </w:p>
        </w:tc>
        <w:tc>
          <w:tcPr>
            <w:tcW w:w="1400" w:type="dxa"/>
            <w:tcBorders>
              <w:top w:val="nil"/>
              <w:left w:val="nil"/>
              <w:bottom w:val="nil"/>
              <w:right w:val="nil"/>
            </w:tcBorders>
            <w:shd w:val="clear" w:color="auto" w:fill="auto"/>
            <w:noWrap/>
            <w:vAlign w:val="bottom"/>
            <w:hideMark/>
          </w:tcPr>
          <w:p w14:paraId="24D972BA"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266BC88F" w14:textId="77777777" w:rsidTr="00A360DB">
        <w:trPr>
          <w:trHeight w:val="240"/>
        </w:trPr>
        <w:tc>
          <w:tcPr>
            <w:tcW w:w="1697" w:type="dxa"/>
            <w:tcBorders>
              <w:top w:val="nil"/>
              <w:left w:val="nil"/>
              <w:bottom w:val="nil"/>
              <w:right w:val="nil"/>
            </w:tcBorders>
            <w:shd w:val="clear" w:color="auto" w:fill="auto"/>
            <w:noWrap/>
            <w:vAlign w:val="bottom"/>
            <w:hideMark/>
          </w:tcPr>
          <w:p w14:paraId="09E648F5"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6289A2D0"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5537EE2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33.200,00</w:t>
            </w:r>
          </w:p>
        </w:tc>
        <w:tc>
          <w:tcPr>
            <w:tcW w:w="1380" w:type="dxa"/>
            <w:tcBorders>
              <w:top w:val="nil"/>
              <w:left w:val="nil"/>
              <w:bottom w:val="nil"/>
              <w:right w:val="nil"/>
            </w:tcBorders>
            <w:shd w:val="clear" w:color="auto" w:fill="auto"/>
            <w:noWrap/>
            <w:vAlign w:val="bottom"/>
            <w:hideMark/>
          </w:tcPr>
          <w:p w14:paraId="5DB88A9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33.200,00</w:t>
            </w:r>
          </w:p>
        </w:tc>
        <w:tc>
          <w:tcPr>
            <w:tcW w:w="1400" w:type="dxa"/>
            <w:tcBorders>
              <w:top w:val="nil"/>
              <w:left w:val="nil"/>
              <w:bottom w:val="nil"/>
              <w:right w:val="nil"/>
            </w:tcBorders>
            <w:shd w:val="clear" w:color="auto" w:fill="auto"/>
            <w:noWrap/>
            <w:vAlign w:val="bottom"/>
            <w:hideMark/>
          </w:tcPr>
          <w:p w14:paraId="0BAA7C3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r>
      <w:tr w:rsidR="00A360DB" w:rsidRPr="00A360DB" w14:paraId="0169BF69" w14:textId="77777777" w:rsidTr="00A360DB">
        <w:trPr>
          <w:trHeight w:val="240"/>
        </w:trPr>
        <w:tc>
          <w:tcPr>
            <w:tcW w:w="1697" w:type="dxa"/>
            <w:tcBorders>
              <w:top w:val="nil"/>
              <w:left w:val="nil"/>
              <w:bottom w:val="nil"/>
              <w:right w:val="nil"/>
            </w:tcBorders>
            <w:shd w:val="clear" w:color="auto" w:fill="auto"/>
            <w:noWrap/>
            <w:vAlign w:val="bottom"/>
            <w:hideMark/>
          </w:tcPr>
          <w:p w14:paraId="0FF9DE7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3212</w:t>
            </w:r>
          </w:p>
        </w:tc>
        <w:tc>
          <w:tcPr>
            <w:tcW w:w="8509" w:type="dxa"/>
            <w:tcBorders>
              <w:top w:val="nil"/>
              <w:left w:val="nil"/>
              <w:bottom w:val="nil"/>
              <w:right w:val="nil"/>
            </w:tcBorders>
            <w:shd w:val="clear" w:color="auto" w:fill="auto"/>
            <w:noWrap/>
            <w:vAlign w:val="bottom"/>
            <w:hideMark/>
          </w:tcPr>
          <w:p w14:paraId="7FD8E7ED"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Naknade za prijevoz, za rad na terenu i odvojeni život                                              </w:t>
            </w:r>
          </w:p>
        </w:tc>
        <w:tc>
          <w:tcPr>
            <w:tcW w:w="1480" w:type="dxa"/>
            <w:tcBorders>
              <w:top w:val="nil"/>
              <w:left w:val="nil"/>
              <w:bottom w:val="nil"/>
              <w:right w:val="nil"/>
            </w:tcBorders>
            <w:shd w:val="clear" w:color="auto" w:fill="auto"/>
            <w:noWrap/>
            <w:vAlign w:val="bottom"/>
            <w:hideMark/>
          </w:tcPr>
          <w:p w14:paraId="3F4667BC"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B065BDC"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10.770,00</w:t>
            </w:r>
          </w:p>
        </w:tc>
        <w:tc>
          <w:tcPr>
            <w:tcW w:w="1400" w:type="dxa"/>
            <w:tcBorders>
              <w:top w:val="nil"/>
              <w:left w:val="nil"/>
              <w:bottom w:val="nil"/>
              <w:right w:val="nil"/>
            </w:tcBorders>
            <w:shd w:val="clear" w:color="auto" w:fill="auto"/>
            <w:noWrap/>
            <w:vAlign w:val="bottom"/>
            <w:hideMark/>
          </w:tcPr>
          <w:p w14:paraId="0DFEC21E"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504573E0" w14:textId="77777777" w:rsidTr="00A360DB">
        <w:trPr>
          <w:trHeight w:val="240"/>
        </w:trPr>
        <w:tc>
          <w:tcPr>
            <w:tcW w:w="1697" w:type="dxa"/>
            <w:tcBorders>
              <w:top w:val="nil"/>
              <w:left w:val="nil"/>
              <w:bottom w:val="nil"/>
              <w:right w:val="nil"/>
            </w:tcBorders>
            <w:shd w:val="clear" w:color="auto" w:fill="auto"/>
            <w:noWrap/>
            <w:vAlign w:val="bottom"/>
            <w:hideMark/>
          </w:tcPr>
          <w:p w14:paraId="50E0CFB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3223</w:t>
            </w:r>
          </w:p>
        </w:tc>
        <w:tc>
          <w:tcPr>
            <w:tcW w:w="8509" w:type="dxa"/>
            <w:tcBorders>
              <w:top w:val="nil"/>
              <w:left w:val="nil"/>
              <w:bottom w:val="nil"/>
              <w:right w:val="nil"/>
            </w:tcBorders>
            <w:shd w:val="clear" w:color="auto" w:fill="auto"/>
            <w:noWrap/>
            <w:vAlign w:val="bottom"/>
            <w:hideMark/>
          </w:tcPr>
          <w:p w14:paraId="5B8CD47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Energija                                                                                            </w:t>
            </w:r>
          </w:p>
        </w:tc>
        <w:tc>
          <w:tcPr>
            <w:tcW w:w="1480" w:type="dxa"/>
            <w:tcBorders>
              <w:top w:val="nil"/>
              <w:left w:val="nil"/>
              <w:bottom w:val="nil"/>
              <w:right w:val="nil"/>
            </w:tcBorders>
            <w:shd w:val="clear" w:color="auto" w:fill="auto"/>
            <w:noWrap/>
            <w:vAlign w:val="bottom"/>
            <w:hideMark/>
          </w:tcPr>
          <w:p w14:paraId="44C03871"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1D422503"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11.000,00</w:t>
            </w:r>
          </w:p>
        </w:tc>
        <w:tc>
          <w:tcPr>
            <w:tcW w:w="1400" w:type="dxa"/>
            <w:tcBorders>
              <w:top w:val="nil"/>
              <w:left w:val="nil"/>
              <w:bottom w:val="nil"/>
              <w:right w:val="nil"/>
            </w:tcBorders>
            <w:shd w:val="clear" w:color="auto" w:fill="auto"/>
            <w:noWrap/>
            <w:vAlign w:val="bottom"/>
            <w:hideMark/>
          </w:tcPr>
          <w:p w14:paraId="0D92B564"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55E19C96" w14:textId="77777777" w:rsidTr="00A360DB">
        <w:trPr>
          <w:trHeight w:val="240"/>
        </w:trPr>
        <w:tc>
          <w:tcPr>
            <w:tcW w:w="1697" w:type="dxa"/>
            <w:tcBorders>
              <w:top w:val="nil"/>
              <w:left w:val="nil"/>
              <w:bottom w:val="nil"/>
              <w:right w:val="nil"/>
            </w:tcBorders>
            <w:shd w:val="clear" w:color="auto" w:fill="auto"/>
            <w:noWrap/>
            <w:vAlign w:val="bottom"/>
            <w:hideMark/>
          </w:tcPr>
          <w:p w14:paraId="137B3B35"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3227</w:t>
            </w:r>
          </w:p>
        </w:tc>
        <w:tc>
          <w:tcPr>
            <w:tcW w:w="8509" w:type="dxa"/>
            <w:tcBorders>
              <w:top w:val="nil"/>
              <w:left w:val="nil"/>
              <w:bottom w:val="nil"/>
              <w:right w:val="nil"/>
            </w:tcBorders>
            <w:shd w:val="clear" w:color="auto" w:fill="auto"/>
            <w:noWrap/>
            <w:vAlign w:val="bottom"/>
            <w:hideMark/>
          </w:tcPr>
          <w:p w14:paraId="799B2A2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Službena, radna i zaštitna odjeća i obuća                                                           </w:t>
            </w:r>
          </w:p>
        </w:tc>
        <w:tc>
          <w:tcPr>
            <w:tcW w:w="1480" w:type="dxa"/>
            <w:tcBorders>
              <w:top w:val="nil"/>
              <w:left w:val="nil"/>
              <w:bottom w:val="nil"/>
              <w:right w:val="nil"/>
            </w:tcBorders>
            <w:shd w:val="clear" w:color="auto" w:fill="auto"/>
            <w:noWrap/>
            <w:vAlign w:val="bottom"/>
            <w:hideMark/>
          </w:tcPr>
          <w:p w14:paraId="50AC37F0"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9EAC714"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1.800,00</w:t>
            </w:r>
          </w:p>
        </w:tc>
        <w:tc>
          <w:tcPr>
            <w:tcW w:w="1400" w:type="dxa"/>
            <w:tcBorders>
              <w:top w:val="nil"/>
              <w:left w:val="nil"/>
              <w:bottom w:val="nil"/>
              <w:right w:val="nil"/>
            </w:tcBorders>
            <w:shd w:val="clear" w:color="auto" w:fill="auto"/>
            <w:noWrap/>
            <w:vAlign w:val="bottom"/>
            <w:hideMark/>
          </w:tcPr>
          <w:p w14:paraId="3EE442C0"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6599E0B" w14:textId="77777777" w:rsidTr="00A360DB">
        <w:trPr>
          <w:trHeight w:val="240"/>
        </w:trPr>
        <w:tc>
          <w:tcPr>
            <w:tcW w:w="1697" w:type="dxa"/>
            <w:tcBorders>
              <w:top w:val="nil"/>
              <w:left w:val="nil"/>
              <w:bottom w:val="nil"/>
              <w:right w:val="nil"/>
            </w:tcBorders>
            <w:shd w:val="clear" w:color="auto" w:fill="auto"/>
            <w:noWrap/>
            <w:vAlign w:val="bottom"/>
            <w:hideMark/>
          </w:tcPr>
          <w:p w14:paraId="4B41025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3236</w:t>
            </w:r>
          </w:p>
        </w:tc>
        <w:tc>
          <w:tcPr>
            <w:tcW w:w="8509" w:type="dxa"/>
            <w:tcBorders>
              <w:top w:val="nil"/>
              <w:left w:val="nil"/>
              <w:bottom w:val="nil"/>
              <w:right w:val="nil"/>
            </w:tcBorders>
            <w:shd w:val="clear" w:color="auto" w:fill="auto"/>
            <w:noWrap/>
            <w:vAlign w:val="bottom"/>
            <w:hideMark/>
          </w:tcPr>
          <w:p w14:paraId="18042B1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Zdravstvene i veterinarske usluge                                                                   </w:t>
            </w:r>
          </w:p>
        </w:tc>
        <w:tc>
          <w:tcPr>
            <w:tcW w:w="1480" w:type="dxa"/>
            <w:tcBorders>
              <w:top w:val="nil"/>
              <w:left w:val="nil"/>
              <w:bottom w:val="nil"/>
              <w:right w:val="nil"/>
            </w:tcBorders>
            <w:shd w:val="clear" w:color="auto" w:fill="auto"/>
            <w:noWrap/>
            <w:vAlign w:val="bottom"/>
            <w:hideMark/>
          </w:tcPr>
          <w:p w14:paraId="72F4BBA8"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1D01ABC"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4.800,00</w:t>
            </w:r>
          </w:p>
        </w:tc>
        <w:tc>
          <w:tcPr>
            <w:tcW w:w="1400" w:type="dxa"/>
            <w:tcBorders>
              <w:top w:val="nil"/>
              <w:left w:val="nil"/>
              <w:bottom w:val="nil"/>
              <w:right w:val="nil"/>
            </w:tcBorders>
            <w:shd w:val="clear" w:color="auto" w:fill="auto"/>
            <w:noWrap/>
            <w:vAlign w:val="bottom"/>
            <w:hideMark/>
          </w:tcPr>
          <w:p w14:paraId="179E7E22"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5268DF20" w14:textId="77777777" w:rsidTr="00A360DB">
        <w:trPr>
          <w:trHeight w:val="240"/>
        </w:trPr>
        <w:tc>
          <w:tcPr>
            <w:tcW w:w="1697" w:type="dxa"/>
            <w:tcBorders>
              <w:top w:val="nil"/>
              <w:left w:val="nil"/>
              <w:bottom w:val="nil"/>
              <w:right w:val="nil"/>
            </w:tcBorders>
            <w:shd w:val="clear" w:color="auto" w:fill="auto"/>
            <w:noWrap/>
            <w:vAlign w:val="bottom"/>
            <w:hideMark/>
          </w:tcPr>
          <w:p w14:paraId="2710CE9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3292</w:t>
            </w:r>
          </w:p>
        </w:tc>
        <w:tc>
          <w:tcPr>
            <w:tcW w:w="8509" w:type="dxa"/>
            <w:tcBorders>
              <w:top w:val="nil"/>
              <w:left w:val="nil"/>
              <w:bottom w:val="nil"/>
              <w:right w:val="nil"/>
            </w:tcBorders>
            <w:shd w:val="clear" w:color="auto" w:fill="auto"/>
            <w:noWrap/>
            <w:vAlign w:val="bottom"/>
            <w:hideMark/>
          </w:tcPr>
          <w:p w14:paraId="4AD2FC8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Premije osiguranja                                                                                  </w:t>
            </w:r>
          </w:p>
        </w:tc>
        <w:tc>
          <w:tcPr>
            <w:tcW w:w="1480" w:type="dxa"/>
            <w:tcBorders>
              <w:top w:val="nil"/>
              <w:left w:val="nil"/>
              <w:bottom w:val="nil"/>
              <w:right w:val="nil"/>
            </w:tcBorders>
            <w:shd w:val="clear" w:color="auto" w:fill="auto"/>
            <w:noWrap/>
            <w:vAlign w:val="bottom"/>
            <w:hideMark/>
          </w:tcPr>
          <w:p w14:paraId="1B2DC5CB"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609C9EC"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4.830,00</w:t>
            </w:r>
          </w:p>
        </w:tc>
        <w:tc>
          <w:tcPr>
            <w:tcW w:w="1400" w:type="dxa"/>
            <w:tcBorders>
              <w:top w:val="nil"/>
              <w:left w:val="nil"/>
              <w:bottom w:val="nil"/>
              <w:right w:val="nil"/>
            </w:tcBorders>
            <w:shd w:val="clear" w:color="auto" w:fill="auto"/>
            <w:noWrap/>
            <w:vAlign w:val="bottom"/>
            <w:hideMark/>
          </w:tcPr>
          <w:p w14:paraId="00944006"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C3C4C62" w14:textId="77777777" w:rsidTr="00A360DB">
        <w:trPr>
          <w:trHeight w:val="240"/>
        </w:trPr>
        <w:tc>
          <w:tcPr>
            <w:tcW w:w="1697" w:type="dxa"/>
            <w:tcBorders>
              <w:top w:val="nil"/>
              <w:left w:val="nil"/>
              <w:bottom w:val="nil"/>
              <w:right w:val="nil"/>
            </w:tcBorders>
            <w:shd w:val="clear" w:color="000000" w:fill="B4C6E7"/>
            <w:noWrap/>
            <w:vAlign w:val="bottom"/>
            <w:hideMark/>
          </w:tcPr>
          <w:p w14:paraId="1C44AA44"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K100501</w:t>
            </w:r>
          </w:p>
        </w:tc>
        <w:tc>
          <w:tcPr>
            <w:tcW w:w="8509" w:type="dxa"/>
            <w:tcBorders>
              <w:top w:val="nil"/>
              <w:left w:val="nil"/>
              <w:bottom w:val="nil"/>
              <w:right w:val="nil"/>
            </w:tcBorders>
            <w:shd w:val="clear" w:color="000000" w:fill="B4C6E7"/>
            <w:noWrap/>
            <w:vAlign w:val="bottom"/>
            <w:hideMark/>
          </w:tcPr>
          <w:p w14:paraId="1144B744"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Kapitalni projekt: Nabava dugotrajne imovine (Javna vatrogasna postrojba) - oprema i vozila</w:t>
            </w:r>
          </w:p>
        </w:tc>
        <w:tc>
          <w:tcPr>
            <w:tcW w:w="1480" w:type="dxa"/>
            <w:tcBorders>
              <w:top w:val="nil"/>
              <w:left w:val="nil"/>
              <w:bottom w:val="nil"/>
              <w:right w:val="nil"/>
            </w:tcBorders>
            <w:shd w:val="clear" w:color="000000" w:fill="B4C6E7"/>
            <w:noWrap/>
            <w:vAlign w:val="bottom"/>
            <w:hideMark/>
          </w:tcPr>
          <w:p w14:paraId="143766E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25.600,00</w:t>
            </w:r>
          </w:p>
        </w:tc>
        <w:tc>
          <w:tcPr>
            <w:tcW w:w="1380" w:type="dxa"/>
            <w:tcBorders>
              <w:top w:val="nil"/>
              <w:left w:val="nil"/>
              <w:bottom w:val="nil"/>
              <w:right w:val="nil"/>
            </w:tcBorders>
            <w:shd w:val="clear" w:color="000000" w:fill="B4C6E7"/>
            <w:noWrap/>
            <w:vAlign w:val="bottom"/>
            <w:hideMark/>
          </w:tcPr>
          <w:p w14:paraId="2C734C1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22.995,15</w:t>
            </w:r>
          </w:p>
        </w:tc>
        <w:tc>
          <w:tcPr>
            <w:tcW w:w="1400" w:type="dxa"/>
            <w:tcBorders>
              <w:top w:val="nil"/>
              <w:left w:val="nil"/>
              <w:bottom w:val="nil"/>
              <w:right w:val="nil"/>
            </w:tcBorders>
            <w:shd w:val="clear" w:color="000000" w:fill="B4C6E7"/>
            <w:noWrap/>
            <w:vAlign w:val="bottom"/>
            <w:hideMark/>
          </w:tcPr>
          <w:p w14:paraId="5E39D8B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89,82%</w:t>
            </w:r>
          </w:p>
        </w:tc>
      </w:tr>
      <w:tr w:rsidR="00A360DB" w:rsidRPr="00A360DB" w14:paraId="5A2385EF"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04B2C42"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3EEDC61B"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15.300,00</w:t>
            </w:r>
          </w:p>
        </w:tc>
        <w:tc>
          <w:tcPr>
            <w:tcW w:w="1380" w:type="dxa"/>
            <w:tcBorders>
              <w:top w:val="nil"/>
              <w:left w:val="nil"/>
              <w:bottom w:val="nil"/>
              <w:right w:val="nil"/>
            </w:tcBorders>
            <w:shd w:val="clear" w:color="auto" w:fill="auto"/>
            <w:noWrap/>
            <w:vAlign w:val="bottom"/>
            <w:hideMark/>
          </w:tcPr>
          <w:p w14:paraId="42D5C363"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15.074,12</w:t>
            </w:r>
          </w:p>
        </w:tc>
        <w:tc>
          <w:tcPr>
            <w:tcW w:w="1400" w:type="dxa"/>
            <w:tcBorders>
              <w:top w:val="nil"/>
              <w:left w:val="nil"/>
              <w:bottom w:val="nil"/>
              <w:right w:val="nil"/>
            </w:tcBorders>
            <w:shd w:val="clear" w:color="auto" w:fill="auto"/>
            <w:noWrap/>
            <w:vAlign w:val="bottom"/>
            <w:hideMark/>
          </w:tcPr>
          <w:p w14:paraId="1DB5950B"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98,52%</w:t>
            </w:r>
          </w:p>
        </w:tc>
      </w:tr>
      <w:tr w:rsidR="00A360DB" w:rsidRPr="00A360DB" w14:paraId="1A840F95"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1FD611D8"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7277542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15.300,00</w:t>
            </w:r>
          </w:p>
        </w:tc>
        <w:tc>
          <w:tcPr>
            <w:tcW w:w="1380" w:type="dxa"/>
            <w:tcBorders>
              <w:top w:val="nil"/>
              <w:left w:val="nil"/>
              <w:bottom w:val="nil"/>
              <w:right w:val="nil"/>
            </w:tcBorders>
            <w:shd w:val="clear" w:color="auto" w:fill="auto"/>
            <w:noWrap/>
            <w:vAlign w:val="bottom"/>
            <w:hideMark/>
          </w:tcPr>
          <w:p w14:paraId="66E416FC"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15.074,12</w:t>
            </w:r>
          </w:p>
        </w:tc>
        <w:tc>
          <w:tcPr>
            <w:tcW w:w="1400" w:type="dxa"/>
            <w:tcBorders>
              <w:top w:val="nil"/>
              <w:left w:val="nil"/>
              <w:bottom w:val="nil"/>
              <w:right w:val="nil"/>
            </w:tcBorders>
            <w:shd w:val="clear" w:color="auto" w:fill="auto"/>
            <w:noWrap/>
            <w:vAlign w:val="bottom"/>
            <w:hideMark/>
          </w:tcPr>
          <w:p w14:paraId="5752B203"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98,52%</w:t>
            </w:r>
          </w:p>
        </w:tc>
      </w:tr>
      <w:tr w:rsidR="00A360DB" w:rsidRPr="00A360DB" w14:paraId="1AA8784F" w14:textId="77777777" w:rsidTr="00A360DB">
        <w:trPr>
          <w:trHeight w:val="240"/>
        </w:trPr>
        <w:tc>
          <w:tcPr>
            <w:tcW w:w="1697" w:type="dxa"/>
            <w:tcBorders>
              <w:top w:val="nil"/>
              <w:left w:val="nil"/>
              <w:bottom w:val="nil"/>
              <w:right w:val="nil"/>
            </w:tcBorders>
            <w:shd w:val="clear" w:color="auto" w:fill="auto"/>
            <w:noWrap/>
            <w:vAlign w:val="bottom"/>
            <w:hideMark/>
          </w:tcPr>
          <w:p w14:paraId="57568F95"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42</w:t>
            </w:r>
          </w:p>
        </w:tc>
        <w:tc>
          <w:tcPr>
            <w:tcW w:w="8509" w:type="dxa"/>
            <w:tcBorders>
              <w:top w:val="nil"/>
              <w:left w:val="nil"/>
              <w:bottom w:val="nil"/>
              <w:right w:val="nil"/>
            </w:tcBorders>
            <w:shd w:val="clear" w:color="auto" w:fill="auto"/>
            <w:noWrap/>
            <w:vAlign w:val="bottom"/>
            <w:hideMark/>
          </w:tcPr>
          <w:p w14:paraId="2ECF39C5"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nabavu proizvedene dugotrajne imovine                                                    </w:t>
            </w:r>
          </w:p>
        </w:tc>
        <w:tc>
          <w:tcPr>
            <w:tcW w:w="1480" w:type="dxa"/>
            <w:tcBorders>
              <w:top w:val="nil"/>
              <w:left w:val="nil"/>
              <w:bottom w:val="nil"/>
              <w:right w:val="nil"/>
            </w:tcBorders>
            <w:shd w:val="clear" w:color="auto" w:fill="auto"/>
            <w:noWrap/>
            <w:vAlign w:val="bottom"/>
            <w:hideMark/>
          </w:tcPr>
          <w:p w14:paraId="5EE810F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15.300,00</w:t>
            </w:r>
          </w:p>
        </w:tc>
        <w:tc>
          <w:tcPr>
            <w:tcW w:w="1380" w:type="dxa"/>
            <w:tcBorders>
              <w:top w:val="nil"/>
              <w:left w:val="nil"/>
              <w:bottom w:val="nil"/>
              <w:right w:val="nil"/>
            </w:tcBorders>
            <w:shd w:val="clear" w:color="auto" w:fill="auto"/>
            <w:noWrap/>
            <w:vAlign w:val="bottom"/>
            <w:hideMark/>
          </w:tcPr>
          <w:p w14:paraId="07DF716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15.074,12</w:t>
            </w:r>
          </w:p>
        </w:tc>
        <w:tc>
          <w:tcPr>
            <w:tcW w:w="1400" w:type="dxa"/>
            <w:tcBorders>
              <w:top w:val="nil"/>
              <w:left w:val="nil"/>
              <w:bottom w:val="nil"/>
              <w:right w:val="nil"/>
            </w:tcBorders>
            <w:shd w:val="clear" w:color="auto" w:fill="auto"/>
            <w:noWrap/>
            <w:vAlign w:val="bottom"/>
            <w:hideMark/>
          </w:tcPr>
          <w:p w14:paraId="220E539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98,52%</w:t>
            </w:r>
          </w:p>
        </w:tc>
      </w:tr>
      <w:tr w:rsidR="00A360DB" w:rsidRPr="00A360DB" w14:paraId="24CDB77B" w14:textId="77777777" w:rsidTr="00A360DB">
        <w:trPr>
          <w:trHeight w:val="240"/>
        </w:trPr>
        <w:tc>
          <w:tcPr>
            <w:tcW w:w="1697" w:type="dxa"/>
            <w:tcBorders>
              <w:top w:val="nil"/>
              <w:left w:val="nil"/>
              <w:bottom w:val="nil"/>
              <w:right w:val="nil"/>
            </w:tcBorders>
            <w:shd w:val="clear" w:color="auto" w:fill="auto"/>
            <w:noWrap/>
            <w:vAlign w:val="bottom"/>
            <w:hideMark/>
          </w:tcPr>
          <w:p w14:paraId="4C1C1CA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4223</w:t>
            </w:r>
          </w:p>
        </w:tc>
        <w:tc>
          <w:tcPr>
            <w:tcW w:w="8509" w:type="dxa"/>
            <w:tcBorders>
              <w:top w:val="nil"/>
              <w:left w:val="nil"/>
              <w:bottom w:val="nil"/>
              <w:right w:val="nil"/>
            </w:tcBorders>
            <w:shd w:val="clear" w:color="auto" w:fill="auto"/>
            <w:noWrap/>
            <w:vAlign w:val="bottom"/>
            <w:hideMark/>
          </w:tcPr>
          <w:p w14:paraId="6D83339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Oprema za održavanje i zaštitu                                                                      </w:t>
            </w:r>
          </w:p>
        </w:tc>
        <w:tc>
          <w:tcPr>
            <w:tcW w:w="1480" w:type="dxa"/>
            <w:tcBorders>
              <w:top w:val="nil"/>
              <w:left w:val="nil"/>
              <w:bottom w:val="nil"/>
              <w:right w:val="nil"/>
            </w:tcBorders>
            <w:shd w:val="clear" w:color="auto" w:fill="auto"/>
            <w:noWrap/>
            <w:vAlign w:val="bottom"/>
            <w:hideMark/>
          </w:tcPr>
          <w:p w14:paraId="5D5EFF4C"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2074DF8D"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15.074,12</w:t>
            </w:r>
          </w:p>
        </w:tc>
        <w:tc>
          <w:tcPr>
            <w:tcW w:w="1400" w:type="dxa"/>
            <w:tcBorders>
              <w:top w:val="nil"/>
              <w:left w:val="nil"/>
              <w:bottom w:val="nil"/>
              <w:right w:val="nil"/>
            </w:tcBorders>
            <w:shd w:val="clear" w:color="auto" w:fill="auto"/>
            <w:noWrap/>
            <w:vAlign w:val="bottom"/>
            <w:hideMark/>
          </w:tcPr>
          <w:p w14:paraId="3EB0EF00"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800710F"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304B36B"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3. Vlastiti prihodi</w:t>
            </w:r>
          </w:p>
        </w:tc>
        <w:tc>
          <w:tcPr>
            <w:tcW w:w="1480" w:type="dxa"/>
            <w:tcBorders>
              <w:top w:val="nil"/>
              <w:left w:val="nil"/>
              <w:bottom w:val="nil"/>
              <w:right w:val="nil"/>
            </w:tcBorders>
            <w:shd w:val="clear" w:color="auto" w:fill="auto"/>
            <w:noWrap/>
            <w:vAlign w:val="bottom"/>
            <w:hideMark/>
          </w:tcPr>
          <w:p w14:paraId="6663B928"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5.300,00</w:t>
            </w:r>
          </w:p>
        </w:tc>
        <w:tc>
          <w:tcPr>
            <w:tcW w:w="1380" w:type="dxa"/>
            <w:tcBorders>
              <w:top w:val="nil"/>
              <w:left w:val="nil"/>
              <w:bottom w:val="nil"/>
              <w:right w:val="nil"/>
            </w:tcBorders>
            <w:shd w:val="clear" w:color="auto" w:fill="auto"/>
            <w:noWrap/>
            <w:vAlign w:val="bottom"/>
            <w:hideMark/>
          </w:tcPr>
          <w:p w14:paraId="1AC31099"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3.046,33</w:t>
            </w:r>
          </w:p>
        </w:tc>
        <w:tc>
          <w:tcPr>
            <w:tcW w:w="1400" w:type="dxa"/>
            <w:tcBorders>
              <w:top w:val="nil"/>
              <w:left w:val="nil"/>
              <w:bottom w:val="nil"/>
              <w:right w:val="nil"/>
            </w:tcBorders>
            <w:shd w:val="clear" w:color="auto" w:fill="auto"/>
            <w:noWrap/>
            <w:vAlign w:val="bottom"/>
            <w:hideMark/>
          </w:tcPr>
          <w:p w14:paraId="486078A0"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57,48%</w:t>
            </w:r>
          </w:p>
        </w:tc>
      </w:tr>
      <w:tr w:rsidR="00A360DB" w:rsidRPr="00A360DB" w14:paraId="5915124F"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3FE2B9D"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3.1. Vlastiti prihodi</w:t>
            </w:r>
          </w:p>
        </w:tc>
        <w:tc>
          <w:tcPr>
            <w:tcW w:w="1480" w:type="dxa"/>
            <w:tcBorders>
              <w:top w:val="nil"/>
              <w:left w:val="nil"/>
              <w:bottom w:val="nil"/>
              <w:right w:val="nil"/>
            </w:tcBorders>
            <w:shd w:val="clear" w:color="auto" w:fill="auto"/>
            <w:noWrap/>
            <w:vAlign w:val="bottom"/>
            <w:hideMark/>
          </w:tcPr>
          <w:p w14:paraId="48DBCD5F"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5.300,00</w:t>
            </w:r>
          </w:p>
        </w:tc>
        <w:tc>
          <w:tcPr>
            <w:tcW w:w="1380" w:type="dxa"/>
            <w:tcBorders>
              <w:top w:val="nil"/>
              <w:left w:val="nil"/>
              <w:bottom w:val="nil"/>
              <w:right w:val="nil"/>
            </w:tcBorders>
            <w:shd w:val="clear" w:color="auto" w:fill="auto"/>
            <w:noWrap/>
            <w:vAlign w:val="bottom"/>
            <w:hideMark/>
          </w:tcPr>
          <w:p w14:paraId="33629D37"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3.046,33</w:t>
            </w:r>
          </w:p>
        </w:tc>
        <w:tc>
          <w:tcPr>
            <w:tcW w:w="1400" w:type="dxa"/>
            <w:tcBorders>
              <w:top w:val="nil"/>
              <w:left w:val="nil"/>
              <w:bottom w:val="nil"/>
              <w:right w:val="nil"/>
            </w:tcBorders>
            <w:shd w:val="clear" w:color="auto" w:fill="auto"/>
            <w:noWrap/>
            <w:vAlign w:val="bottom"/>
            <w:hideMark/>
          </w:tcPr>
          <w:p w14:paraId="69360971"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57,48%</w:t>
            </w:r>
          </w:p>
        </w:tc>
      </w:tr>
      <w:tr w:rsidR="00A360DB" w:rsidRPr="00A360DB" w14:paraId="3F6CAC5E" w14:textId="77777777" w:rsidTr="00A360DB">
        <w:trPr>
          <w:trHeight w:val="240"/>
        </w:trPr>
        <w:tc>
          <w:tcPr>
            <w:tcW w:w="1697" w:type="dxa"/>
            <w:tcBorders>
              <w:top w:val="nil"/>
              <w:left w:val="nil"/>
              <w:bottom w:val="nil"/>
              <w:right w:val="nil"/>
            </w:tcBorders>
            <w:shd w:val="clear" w:color="auto" w:fill="auto"/>
            <w:noWrap/>
            <w:vAlign w:val="bottom"/>
            <w:hideMark/>
          </w:tcPr>
          <w:p w14:paraId="186C4DDF"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42</w:t>
            </w:r>
          </w:p>
        </w:tc>
        <w:tc>
          <w:tcPr>
            <w:tcW w:w="8509" w:type="dxa"/>
            <w:tcBorders>
              <w:top w:val="nil"/>
              <w:left w:val="nil"/>
              <w:bottom w:val="nil"/>
              <w:right w:val="nil"/>
            </w:tcBorders>
            <w:shd w:val="clear" w:color="auto" w:fill="auto"/>
            <w:noWrap/>
            <w:vAlign w:val="bottom"/>
            <w:hideMark/>
          </w:tcPr>
          <w:p w14:paraId="0DF43071"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nabavu proizvedene dugotrajne imovine                                                    </w:t>
            </w:r>
          </w:p>
        </w:tc>
        <w:tc>
          <w:tcPr>
            <w:tcW w:w="1480" w:type="dxa"/>
            <w:tcBorders>
              <w:top w:val="nil"/>
              <w:left w:val="nil"/>
              <w:bottom w:val="nil"/>
              <w:right w:val="nil"/>
            </w:tcBorders>
            <w:shd w:val="clear" w:color="auto" w:fill="auto"/>
            <w:noWrap/>
            <w:vAlign w:val="bottom"/>
            <w:hideMark/>
          </w:tcPr>
          <w:p w14:paraId="6BF31D0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5.300,00</w:t>
            </w:r>
          </w:p>
        </w:tc>
        <w:tc>
          <w:tcPr>
            <w:tcW w:w="1380" w:type="dxa"/>
            <w:tcBorders>
              <w:top w:val="nil"/>
              <w:left w:val="nil"/>
              <w:bottom w:val="nil"/>
              <w:right w:val="nil"/>
            </w:tcBorders>
            <w:shd w:val="clear" w:color="auto" w:fill="auto"/>
            <w:noWrap/>
            <w:vAlign w:val="bottom"/>
            <w:hideMark/>
          </w:tcPr>
          <w:p w14:paraId="68AD049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3.046,33</w:t>
            </w:r>
          </w:p>
        </w:tc>
        <w:tc>
          <w:tcPr>
            <w:tcW w:w="1400" w:type="dxa"/>
            <w:tcBorders>
              <w:top w:val="nil"/>
              <w:left w:val="nil"/>
              <w:bottom w:val="nil"/>
              <w:right w:val="nil"/>
            </w:tcBorders>
            <w:shd w:val="clear" w:color="auto" w:fill="auto"/>
            <w:noWrap/>
            <w:vAlign w:val="bottom"/>
            <w:hideMark/>
          </w:tcPr>
          <w:p w14:paraId="5096ACB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57,48%</w:t>
            </w:r>
          </w:p>
        </w:tc>
      </w:tr>
      <w:tr w:rsidR="00A360DB" w:rsidRPr="00A360DB" w14:paraId="292EB500" w14:textId="77777777" w:rsidTr="00A360DB">
        <w:trPr>
          <w:trHeight w:val="240"/>
        </w:trPr>
        <w:tc>
          <w:tcPr>
            <w:tcW w:w="1697" w:type="dxa"/>
            <w:tcBorders>
              <w:top w:val="nil"/>
              <w:left w:val="nil"/>
              <w:bottom w:val="nil"/>
              <w:right w:val="nil"/>
            </w:tcBorders>
            <w:shd w:val="clear" w:color="auto" w:fill="auto"/>
            <w:noWrap/>
            <w:vAlign w:val="bottom"/>
            <w:hideMark/>
          </w:tcPr>
          <w:p w14:paraId="471D5B5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4223</w:t>
            </w:r>
          </w:p>
        </w:tc>
        <w:tc>
          <w:tcPr>
            <w:tcW w:w="8509" w:type="dxa"/>
            <w:tcBorders>
              <w:top w:val="nil"/>
              <w:left w:val="nil"/>
              <w:bottom w:val="nil"/>
              <w:right w:val="nil"/>
            </w:tcBorders>
            <w:shd w:val="clear" w:color="auto" w:fill="auto"/>
            <w:noWrap/>
            <w:vAlign w:val="bottom"/>
            <w:hideMark/>
          </w:tcPr>
          <w:p w14:paraId="4C46774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Oprema za održavanje i zaštitu                                                                      </w:t>
            </w:r>
          </w:p>
        </w:tc>
        <w:tc>
          <w:tcPr>
            <w:tcW w:w="1480" w:type="dxa"/>
            <w:tcBorders>
              <w:top w:val="nil"/>
              <w:left w:val="nil"/>
              <w:bottom w:val="nil"/>
              <w:right w:val="nil"/>
            </w:tcBorders>
            <w:shd w:val="clear" w:color="auto" w:fill="auto"/>
            <w:noWrap/>
            <w:vAlign w:val="bottom"/>
            <w:hideMark/>
          </w:tcPr>
          <w:p w14:paraId="465B4BCB"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7777287"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3.046,33</w:t>
            </w:r>
          </w:p>
        </w:tc>
        <w:tc>
          <w:tcPr>
            <w:tcW w:w="1400" w:type="dxa"/>
            <w:tcBorders>
              <w:top w:val="nil"/>
              <w:left w:val="nil"/>
              <w:bottom w:val="nil"/>
              <w:right w:val="nil"/>
            </w:tcBorders>
            <w:shd w:val="clear" w:color="auto" w:fill="auto"/>
            <w:noWrap/>
            <w:vAlign w:val="bottom"/>
            <w:hideMark/>
          </w:tcPr>
          <w:p w14:paraId="7C717F54"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C736106"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FE281A9"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9. Višak iz prethodnih razdoblja</w:t>
            </w:r>
          </w:p>
        </w:tc>
        <w:tc>
          <w:tcPr>
            <w:tcW w:w="1480" w:type="dxa"/>
            <w:tcBorders>
              <w:top w:val="nil"/>
              <w:left w:val="nil"/>
              <w:bottom w:val="nil"/>
              <w:right w:val="nil"/>
            </w:tcBorders>
            <w:shd w:val="clear" w:color="auto" w:fill="auto"/>
            <w:noWrap/>
            <w:vAlign w:val="bottom"/>
            <w:hideMark/>
          </w:tcPr>
          <w:p w14:paraId="2F95273B"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5.000,00</w:t>
            </w:r>
          </w:p>
        </w:tc>
        <w:tc>
          <w:tcPr>
            <w:tcW w:w="1380" w:type="dxa"/>
            <w:tcBorders>
              <w:top w:val="nil"/>
              <w:left w:val="nil"/>
              <w:bottom w:val="nil"/>
              <w:right w:val="nil"/>
            </w:tcBorders>
            <w:shd w:val="clear" w:color="auto" w:fill="auto"/>
            <w:noWrap/>
            <w:vAlign w:val="bottom"/>
            <w:hideMark/>
          </w:tcPr>
          <w:p w14:paraId="080EDF93"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4.874,70</w:t>
            </w:r>
          </w:p>
        </w:tc>
        <w:tc>
          <w:tcPr>
            <w:tcW w:w="1400" w:type="dxa"/>
            <w:tcBorders>
              <w:top w:val="nil"/>
              <w:left w:val="nil"/>
              <w:bottom w:val="nil"/>
              <w:right w:val="nil"/>
            </w:tcBorders>
            <w:shd w:val="clear" w:color="auto" w:fill="auto"/>
            <w:noWrap/>
            <w:vAlign w:val="bottom"/>
            <w:hideMark/>
          </w:tcPr>
          <w:p w14:paraId="3DA3B569"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97,49%</w:t>
            </w:r>
          </w:p>
        </w:tc>
      </w:tr>
      <w:tr w:rsidR="00A360DB" w:rsidRPr="00A360DB" w14:paraId="5A8CCDE9"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15E01E5"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 xml:space="preserve">Izvor 9.1. Višak iz prethodnih godina - </w:t>
            </w:r>
            <w:proofErr w:type="spellStart"/>
            <w:r w:rsidRPr="00A360DB">
              <w:rPr>
                <w:rFonts w:ascii="Arial" w:hAnsi="Arial" w:cs="Arial"/>
                <w:color w:val="333333"/>
                <w:sz w:val="18"/>
                <w:szCs w:val="18"/>
                <w:lang w:eastAsia="hr-HR"/>
              </w:rPr>
              <w:t>Prorač.korisnici</w:t>
            </w:r>
            <w:proofErr w:type="spellEnd"/>
          </w:p>
        </w:tc>
        <w:tc>
          <w:tcPr>
            <w:tcW w:w="1480" w:type="dxa"/>
            <w:tcBorders>
              <w:top w:val="nil"/>
              <w:left w:val="nil"/>
              <w:bottom w:val="nil"/>
              <w:right w:val="nil"/>
            </w:tcBorders>
            <w:shd w:val="clear" w:color="auto" w:fill="auto"/>
            <w:noWrap/>
            <w:vAlign w:val="bottom"/>
            <w:hideMark/>
          </w:tcPr>
          <w:p w14:paraId="0E7B5216"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5.000,00</w:t>
            </w:r>
          </w:p>
        </w:tc>
        <w:tc>
          <w:tcPr>
            <w:tcW w:w="1380" w:type="dxa"/>
            <w:tcBorders>
              <w:top w:val="nil"/>
              <w:left w:val="nil"/>
              <w:bottom w:val="nil"/>
              <w:right w:val="nil"/>
            </w:tcBorders>
            <w:shd w:val="clear" w:color="auto" w:fill="auto"/>
            <w:noWrap/>
            <w:vAlign w:val="bottom"/>
            <w:hideMark/>
          </w:tcPr>
          <w:p w14:paraId="2C08C9B2"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4.874,70</w:t>
            </w:r>
          </w:p>
        </w:tc>
        <w:tc>
          <w:tcPr>
            <w:tcW w:w="1400" w:type="dxa"/>
            <w:tcBorders>
              <w:top w:val="nil"/>
              <w:left w:val="nil"/>
              <w:bottom w:val="nil"/>
              <w:right w:val="nil"/>
            </w:tcBorders>
            <w:shd w:val="clear" w:color="auto" w:fill="auto"/>
            <w:noWrap/>
            <w:vAlign w:val="bottom"/>
            <w:hideMark/>
          </w:tcPr>
          <w:p w14:paraId="682E7D61"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97,49%</w:t>
            </w:r>
          </w:p>
        </w:tc>
      </w:tr>
      <w:tr w:rsidR="00A360DB" w:rsidRPr="00A360DB" w14:paraId="03107889" w14:textId="77777777" w:rsidTr="00A360DB">
        <w:trPr>
          <w:trHeight w:val="240"/>
        </w:trPr>
        <w:tc>
          <w:tcPr>
            <w:tcW w:w="1697" w:type="dxa"/>
            <w:tcBorders>
              <w:top w:val="nil"/>
              <w:left w:val="nil"/>
              <w:bottom w:val="nil"/>
              <w:right w:val="nil"/>
            </w:tcBorders>
            <w:shd w:val="clear" w:color="auto" w:fill="auto"/>
            <w:noWrap/>
            <w:vAlign w:val="bottom"/>
            <w:hideMark/>
          </w:tcPr>
          <w:p w14:paraId="66C459BB"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42</w:t>
            </w:r>
          </w:p>
        </w:tc>
        <w:tc>
          <w:tcPr>
            <w:tcW w:w="8509" w:type="dxa"/>
            <w:tcBorders>
              <w:top w:val="nil"/>
              <w:left w:val="nil"/>
              <w:bottom w:val="nil"/>
              <w:right w:val="nil"/>
            </w:tcBorders>
            <w:shd w:val="clear" w:color="auto" w:fill="auto"/>
            <w:noWrap/>
            <w:vAlign w:val="bottom"/>
            <w:hideMark/>
          </w:tcPr>
          <w:p w14:paraId="15B33EF7"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nabavu proizvedene dugotrajne imovine                                                    </w:t>
            </w:r>
          </w:p>
        </w:tc>
        <w:tc>
          <w:tcPr>
            <w:tcW w:w="1480" w:type="dxa"/>
            <w:tcBorders>
              <w:top w:val="nil"/>
              <w:left w:val="nil"/>
              <w:bottom w:val="nil"/>
              <w:right w:val="nil"/>
            </w:tcBorders>
            <w:shd w:val="clear" w:color="auto" w:fill="auto"/>
            <w:noWrap/>
            <w:vAlign w:val="bottom"/>
            <w:hideMark/>
          </w:tcPr>
          <w:p w14:paraId="1883500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5.000,00</w:t>
            </w:r>
          </w:p>
        </w:tc>
        <w:tc>
          <w:tcPr>
            <w:tcW w:w="1380" w:type="dxa"/>
            <w:tcBorders>
              <w:top w:val="nil"/>
              <w:left w:val="nil"/>
              <w:bottom w:val="nil"/>
              <w:right w:val="nil"/>
            </w:tcBorders>
            <w:shd w:val="clear" w:color="auto" w:fill="auto"/>
            <w:noWrap/>
            <w:vAlign w:val="bottom"/>
            <w:hideMark/>
          </w:tcPr>
          <w:p w14:paraId="00A16B7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4.874,70</w:t>
            </w:r>
          </w:p>
        </w:tc>
        <w:tc>
          <w:tcPr>
            <w:tcW w:w="1400" w:type="dxa"/>
            <w:tcBorders>
              <w:top w:val="nil"/>
              <w:left w:val="nil"/>
              <w:bottom w:val="nil"/>
              <w:right w:val="nil"/>
            </w:tcBorders>
            <w:shd w:val="clear" w:color="auto" w:fill="auto"/>
            <w:noWrap/>
            <w:vAlign w:val="bottom"/>
            <w:hideMark/>
          </w:tcPr>
          <w:p w14:paraId="4BA48F0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97,49%</w:t>
            </w:r>
          </w:p>
        </w:tc>
      </w:tr>
      <w:tr w:rsidR="00A360DB" w:rsidRPr="00A360DB" w14:paraId="4AB555D1" w14:textId="77777777" w:rsidTr="00A360DB">
        <w:trPr>
          <w:trHeight w:val="240"/>
        </w:trPr>
        <w:tc>
          <w:tcPr>
            <w:tcW w:w="1697" w:type="dxa"/>
            <w:tcBorders>
              <w:top w:val="nil"/>
              <w:left w:val="nil"/>
              <w:bottom w:val="nil"/>
              <w:right w:val="nil"/>
            </w:tcBorders>
            <w:shd w:val="clear" w:color="auto" w:fill="auto"/>
            <w:noWrap/>
            <w:vAlign w:val="bottom"/>
            <w:hideMark/>
          </w:tcPr>
          <w:p w14:paraId="29ECCF0D"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lastRenderedPageBreak/>
              <w:t>4223</w:t>
            </w:r>
          </w:p>
        </w:tc>
        <w:tc>
          <w:tcPr>
            <w:tcW w:w="8509" w:type="dxa"/>
            <w:tcBorders>
              <w:top w:val="nil"/>
              <w:left w:val="nil"/>
              <w:bottom w:val="nil"/>
              <w:right w:val="nil"/>
            </w:tcBorders>
            <w:shd w:val="clear" w:color="auto" w:fill="auto"/>
            <w:noWrap/>
            <w:vAlign w:val="bottom"/>
            <w:hideMark/>
          </w:tcPr>
          <w:p w14:paraId="7CCFF0CD"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Oprema za održavanje i zaštitu                                                                      </w:t>
            </w:r>
          </w:p>
        </w:tc>
        <w:tc>
          <w:tcPr>
            <w:tcW w:w="1480" w:type="dxa"/>
            <w:tcBorders>
              <w:top w:val="nil"/>
              <w:left w:val="nil"/>
              <w:bottom w:val="nil"/>
              <w:right w:val="nil"/>
            </w:tcBorders>
            <w:shd w:val="clear" w:color="auto" w:fill="auto"/>
            <w:noWrap/>
            <w:vAlign w:val="bottom"/>
            <w:hideMark/>
          </w:tcPr>
          <w:p w14:paraId="5055D977"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88480C7"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4.874,70</w:t>
            </w:r>
          </w:p>
        </w:tc>
        <w:tc>
          <w:tcPr>
            <w:tcW w:w="1400" w:type="dxa"/>
            <w:tcBorders>
              <w:top w:val="nil"/>
              <w:left w:val="nil"/>
              <w:bottom w:val="nil"/>
              <w:right w:val="nil"/>
            </w:tcBorders>
            <w:shd w:val="clear" w:color="auto" w:fill="auto"/>
            <w:noWrap/>
            <w:vAlign w:val="bottom"/>
            <w:hideMark/>
          </w:tcPr>
          <w:p w14:paraId="5E4CFDE6"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5E49814" w14:textId="77777777" w:rsidTr="00A360DB">
        <w:trPr>
          <w:trHeight w:val="240"/>
        </w:trPr>
        <w:tc>
          <w:tcPr>
            <w:tcW w:w="10206" w:type="dxa"/>
            <w:gridSpan w:val="2"/>
            <w:tcBorders>
              <w:top w:val="nil"/>
              <w:left w:val="nil"/>
              <w:bottom w:val="nil"/>
              <w:right w:val="nil"/>
            </w:tcBorders>
            <w:shd w:val="clear" w:color="000000" w:fill="8994FB"/>
            <w:noWrap/>
            <w:vAlign w:val="bottom"/>
            <w:hideMark/>
          </w:tcPr>
          <w:p w14:paraId="29AA1708"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GLAVA 00203 PREDŠKOLSKI ODGOJ</w:t>
            </w:r>
          </w:p>
        </w:tc>
        <w:tc>
          <w:tcPr>
            <w:tcW w:w="1480" w:type="dxa"/>
            <w:tcBorders>
              <w:top w:val="nil"/>
              <w:left w:val="nil"/>
              <w:bottom w:val="nil"/>
              <w:right w:val="nil"/>
            </w:tcBorders>
            <w:shd w:val="clear" w:color="000000" w:fill="8994FB"/>
            <w:noWrap/>
            <w:vAlign w:val="bottom"/>
            <w:hideMark/>
          </w:tcPr>
          <w:p w14:paraId="7D425B2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1.881.528,62</w:t>
            </w:r>
          </w:p>
        </w:tc>
        <w:tc>
          <w:tcPr>
            <w:tcW w:w="1380" w:type="dxa"/>
            <w:tcBorders>
              <w:top w:val="nil"/>
              <w:left w:val="nil"/>
              <w:bottom w:val="nil"/>
              <w:right w:val="nil"/>
            </w:tcBorders>
            <w:shd w:val="clear" w:color="000000" w:fill="8994FB"/>
            <w:noWrap/>
            <w:vAlign w:val="bottom"/>
            <w:hideMark/>
          </w:tcPr>
          <w:p w14:paraId="75AFF1C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1.762.947,50</w:t>
            </w:r>
          </w:p>
        </w:tc>
        <w:tc>
          <w:tcPr>
            <w:tcW w:w="1400" w:type="dxa"/>
            <w:tcBorders>
              <w:top w:val="nil"/>
              <w:left w:val="nil"/>
              <w:bottom w:val="nil"/>
              <w:right w:val="nil"/>
            </w:tcBorders>
            <w:shd w:val="clear" w:color="000000" w:fill="8994FB"/>
            <w:noWrap/>
            <w:vAlign w:val="bottom"/>
            <w:hideMark/>
          </w:tcPr>
          <w:p w14:paraId="79DB875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93,70%</w:t>
            </w:r>
          </w:p>
        </w:tc>
      </w:tr>
      <w:tr w:rsidR="00A360DB" w:rsidRPr="00A360DB" w14:paraId="3A44484C" w14:textId="77777777" w:rsidTr="00A360DB">
        <w:trPr>
          <w:trHeight w:val="240"/>
        </w:trPr>
        <w:tc>
          <w:tcPr>
            <w:tcW w:w="10206" w:type="dxa"/>
            <w:gridSpan w:val="2"/>
            <w:tcBorders>
              <w:top w:val="nil"/>
              <w:left w:val="nil"/>
              <w:bottom w:val="nil"/>
              <w:right w:val="nil"/>
            </w:tcBorders>
            <w:shd w:val="clear" w:color="000000" w:fill="8994FB"/>
            <w:noWrap/>
            <w:vAlign w:val="bottom"/>
            <w:hideMark/>
          </w:tcPr>
          <w:p w14:paraId="5DAB385E"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PROR. KORISNIK 34694 DJEČJI VRTIĆ MASLAČAK</w:t>
            </w:r>
          </w:p>
        </w:tc>
        <w:tc>
          <w:tcPr>
            <w:tcW w:w="1480" w:type="dxa"/>
            <w:tcBorders>
              <w:top w:val="nil"/>
              <w:left w:val="nil"/>
              <w:bottom w:val="nil"/>
              <w:right w:val="nil"/>
            </w:tcBorders>
            <w:shd w:val="clear" w:color="000000" w:fill="8994FB"/>
            <w:noWrap/>
            <w:vAlign w:val="bottom"/>
            <w:hideMark/>
          </w:tcPr>
          <w:p w14:paraId="0C9E46C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1.881.528,62</w:t>
            </w:r>
          </w:p>
        </w:tc>
        <w:tc>
          <w:tcPr>
            <w:tcW w:w="1380" w:type="dxa"/>
            <w:tcBorders>
              <w:top w:val="nil"/>
              <w:left w:val="nil"/>
              <w:bottom w:val="nil"/>
              <w:right w:val="nil"/>
            </w:tcBorders>
            <w:shd w:val="clear" w:color="000000" w:fill="8994FB"/>
            <w:noWrap/>
            <w:vAlign w:val="bottom"/>
            <w:hideMark/>
          </w:tcPr>
          <w:p w14:paraId="2F0E88A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1.762.947,50</w:t>
            </w:r>
          </w:p>
        </w:tc>
        <w:tc>
          <w:tcPr>
            <w:tcW w:w="1400" w:type="dxa"/>
            <w:tcBorders>
              <w:top w:val="nil"/>
              <w:left w:val="nil"/>
              <w:bottom w:val="nil"/>
              <w:right w:val="nil"/>
            </w:tcBorders>
            <w:shd w:val="clear" w:color="000000" w:fill="8994FB"/>
            <w:noWrap/>
            <w:vAlign w:val="bottom"/>
            <w:hideMark/>
          </w:tcPr>
          <w:p w14:paraId="5B9D3D4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93,70%</w:t>
            </w:r>
          </w:p>
        </w:tc>
      </w:tr>
      <w:tr w:rsidR="00A360DB" w:rsidRPr="00A360DB" w14:paraId="0E7D05A5"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8966958"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6D5437B9"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494.500,00</w:t>
            </w:r>
          </w:p>
        </w:tc>
        <w:tc>
          <w:tcPr>
            <w:tcW w:w="1380" w:type="dxa"/>
            <w:tcBorders>
              <w:top w:val="nil"/>
              <w:left w:val="nil"/>
              <w:bottom w:val="nil"/>
              <w:right w:val="nil"/>
            </w:tcBorders>
            <w:shd w:val="clear" w:color="auto" w:fill="auto"/>
            <w:noWrap/>
            <w:vAlign w:val="bottom"/>
            <w:hideMark/>
          </w:tcPr>
          <w:p w14:paraId="52EA9D7B"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465.427,38</w:t>
            </w:r>
          </w:p>
        </w:tc>
        <w:tc>
          <w:tcPr>
            <w:tcW w:w="1400" w:type="dxa"/>
            <w:tcBorders>
              <w:top w:val="nil"/>
              <w:left w:val="nil"/>
              <w:bottom w:val="nil"/>
              <w:right w:val="nil"/>
            </w:tcBorders>
            <w:shd w:val="clear" w:color="auto" w:fill="auto"/>
            <w:noWrap/>
            <w:vAlign w:val="bottom"/>
            <w:hideMark/>
          </w:tcPr>
          <w:p w14:paraId="0DA85978"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94,12%</w:t>
            </w:r>
          </w:p>
        </w:tc>
      </w:tr>
      <w:tr w:rsidR="00A360DB" w:rsidRPr="00A360DB" w14:paraId="3945225B"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D4E557E"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7132B8B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494.500,00</w:t>
            </w:r>
          </w:p>
        </w:tc>
        <w:tc>
          <w:tcPr>
            <w:tcW w:w="1380" w:type="dxa"/>
            <w:tcBorders>
              <w:top w:val="nil"/>
              <w:left w:val="nil"/>
              <w:bottom w:val="nil"/>
              <w:right w:val="nil"/>
            </w:tcBorders>
            <w:shd w:val="clear" w:color="auto" w:fill="auto"/>
            <w:noWrap/>
            <w:vAlign w:val="bottom"/>
            <w:hideMark/>
          </w:tcPr>
          <w:p w14:paraId="41E4F45C"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465.427,38</w:t>
            </w:r>
          </w:p>
        </w:tc>
        <w:tc>
          <w:tcPr>
            <w:tcW w:w="1400" w:type="dxa"/>
            <w:tcBorders>
              <w:top w:val="nil"/>
              <w:left w:val="nil"/>
              <w:bottom w:val="nil"/>
              <w:right w:val="nil"/>
            </w:tcBorders>
            <w:shd w:val="clear" w:color="auto" w:fill="auto"/>
            <w:noWrap/>
            <w:vAlign w:val="bottom"/>
            <w:hideMark/>
          </w:tcPr>
          <w:p w14:paraId="077F49F6"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94,12%</w:t>
            </w:r>
          </w:p>
        </w:tc>
      </w:tr>
      <w:tr w:rsidR="00A360DB" w:rsidRPr="00A360DB" w14:paraId="09E1735A"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2C43DB8B"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3. Vlastiti prihodi</w:t>
            </w:r>
          </w:p>
        </w:tc>
        <w:tc>
          <w:tcPr>
            <w:tcW w:w="1480" w:type="dxa"/>
            <w:tcBorders>
              <w:top w:val="nil"/>
              <w:left w:val="nil"/>
              <w:bottom w:val="nil"/>
              <w:right w:val="nil"/>
            </w:tcBorders>
            <w:shd w:val="clear" w:color="auto" w:fill="auto"/>
            <w:noWrap/>
            <w:vAlign w:val="bottom"/>
            <w:hideMark/>
          </w:tcPr>
          <w:p w14:paraId="424A3F35"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267.200,00</w:t>
            </w:r>
          </w:p>
        </w:tc>
        <w:tc>
          <w:tcPr>
            <w:tcW w:w="1380" w:type="dxa"/>
            <w:tcBorders>
              <w:top w:val="nil"/>
              <w:left w:val="nil"/>
              <w:bottom w:val="nil"/>
              <w:right w:val="nil"/>
            </w:tcBorders>
            <w:shd w:val="clear" w:color="auto" w:fill="auto"/>
            <w:noWrap/>
            <w:vAlign w:val="bottom"/>
            <w:hideMark/>
          </w:tcPr>
          <w:p w14:paraId="3567BAAF"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206.203,87</w:t>
            </w:r>
          </w:p>
        </w:tc>
        <w:tc>
          <w:tcPr>
            <w:tcW w:w="1400" w:type="dxa"/>
            <w:tcBorders>
              <w:top w:val="nil"/>
              <w:left w:val="nil"/>
              <w:bottom w:val="nil"/>
              <w:right w:val="nil"/>
            </w:tcBorders>
            <w:shd w:val="clear" w:color="auto" w:fill="auto"/>
            <w:noWrap/>
            <w:vAlign w:val="bottom"/>
            <w:hideMark/>
          </w:tcPr>
          <w:p w14:paraId="67718AA9"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77,17%</w:t>
            </w:r>
          </w:p>
        </w:tc>
      </w:tr>
      <w:tr w:rsidR="00A360DB" w:rsidRPr="00A360DB" w14:paraId="60745874"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29130423"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3.1. Vlastiti prihodi</w:t>
            </w:r>
          </w:p>
        </w:tc>
        <w:tc>
          <w:tcPr>
            <w:tcW w:w="1480" w:type="dxa"/>
            <w:tcBorders>
              <w:top w:val="nil"/>
              <w:left w:val="nil"/>
              <w:bottom w:val="nil"/>
              <w:right w:val="nil"/>
            </w:tcBorders>
            <w:shd w:val="clear" w:color="auto" w:fill="auto"/>
            <w:noWrap/>
            <w:vAlign w:val="bottom"/>
            <w:hideMark/>
          </w:tcPr>
          <w:p w14:paraId="59926E48"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267.200,00</w:t>
            </w:r>
          </w:p>
        </w:tc>
        <w:tc>
          <w:tcPr>
            <w:tcW w:w="1380" w:type="dxa"/>
            <w:tcBorders>
              <w:top w:val="nil"/>
              <w:left w:val="nil"/>
              <w:bottom w:val="nil"/>
              <w:right w:val="nil"/>
            </w:tcBorders>
            <w:shd w:val="clear" w:color="auto" w:fill="auto"/>
            <w:noWrap/>
            <w:vAlign w:val="bottom"/>
            <w:hideMark/>
          </w:tcPr>
          <w:p w14:paraId="619DA981"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206.203,87</w:t>
            </w:r>
          </w:p>
        </w:tc>
        <w:tc>
          <w:tcPr>
            <w:tcW w:w="1400" w:type="dxa"/>
            <w:tcBorders>
              <w:top w:val="nil"/>
              <w:left w:val="nil"/>
              <w:bottom w:val="nil"/>
              <w:right w:val="nil"/>
            </w:tcBorders>
            <w:shd w:val="clear" w:color="auto" w:fill="auto"/>
            <w:noWrap/>
            <w:vAlign w:val="bottom"/>
            <w:hideMark/>
          </w:tcPr>
          <w:p w14:paraId="787CA289"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77,17%</w:t>
            </w:r>
          </w:p>
        </w:tc>
      </w:tr>
      <w:tr w:rsidR="00A360DB" w:rsidRPr="00A360DB" w14:paraId="06905369"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A724F8D"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5. Pomoći</w:t>
            </w:r>
          </w:p>
        </w:tc>
        <w:tc>
          <w:tcPr>
            <w:tcW w:w="1480" w:type="dxa"/>
            <w:tcBorders>
              <w:top w:val="nil"/>
              <w:left w:val="nil"/>
              <w:bottom w:val="nil"/>
              <w:right w:val="nil"/>
            </w:tcBorders>
            <w:shd w:val="clear" w:color="auto" w:fill="auto"/>
            <w:noWrap/>
            <w:vAlign w:val="bottom"/>
            <w:hideMark/>
          </w:tcPr>
          <w:p w14:paraId="3E62C64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750.250,00</w:t>
            </w:r>
          </w:p>
        </w:tc>
        <w:tc>
          <w:tcPr>
            <w:tcW w:w="1380" w:type="dxa"/>
            <w:tcBorders>
              <w:top w:val="nil"/>
              <w:left w:val="nil"/>
              <w:bottom w:val="nil"/>
              <w:right w:val="nil"/>
            </w:tcBorders>
            <w:shd w:val="clear" w:color="auto" w:fill="auto"/>
            <w:noWrap/>
            <w:vAlign w:val="bottom"/>
            <w:hideMark/>
          </w:tcPr>
          <w:p w14:paraId="6E5CE3B6"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721.737,63</w:t>
            </w:r>
          </w:p>
        </w:tc>
        <w:tc>
          <w:tcPr>
            <w:tcW w:w="1400" w:type="dxa"/>
            <w:tcBorders>
              <w:top w:val="nil"/>
              <w:left w:val="nil"/>
              <w:bottom w:val="nil"/>
              <w:right w:val="nil"/>
            </w:tcBorders>
            <w:shd w:val="clear" w:color="auto" w:fill="auto"/>
            <w:noWrap/>
            <w:vAlign w:val="bottom"/>
            <w:hideMark/>
          </w:tcPr>
          <w:p w14:paraId="7C98A21E"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96,20%</w:t>
            </w:r>
          </w:p>
        </w:tc>
      </w:tr>
      <w:tr w:rsidR="00A360DB" w:rsidRPr="00A360DB" w14:paraId="245E848E"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9DC9605"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5.2. Državni proračun</w:t>
            </w:r>
          </w:p>
        </w:tc>
        <w:tc>
          <w:tcPr>
            <w:tcW w:w="1480" w:type="dxa"/>
            <w:tcBorders>
              <w:top w:val="nil"/>
              <w:left w:val="nil"/>
              <w:bottom w:val="nil"/>
              <w:right w:val="nil"/>
            </w:tcBorders>
            <w:shd w:val="clear" w:color="auto" w:fill="auto"/>
            <w:noWrap/>
            <w:vAlign w:val="bottom"/>
            <w:hideMark/>
          </w:tcPr>
          <w:p w14:paraId="4E742478"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476.250,00</w:t>
            </w:r>
          </w:p>
        </w:tc>
        <w:tc>
          <w:tcPr>
            <w:tcW w:w="1380" w:type="dxa"/>
            <w:tcBorders>
              <w:top w:val="nil"/>
              <w:left w:val="nil"/>
              <w:bottom w:val="nil"/>
              <w:right w:val="nil"/>
            </w:tcBorders>
            <w:shd w:val="clear" w:color="auto" w:fill="auto"/>
            <w:noWrap/>
            <w:vAlign w:val="bottom"/>
            <w:hideMark/>
          </w:tcPr>
          <w:p w14:paraId="58A7E396"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464.972,20</w:t>
            </w:r>
          </w:p>
        </w:tc>
        <w:tc>
          <w:tcPr>
            <w:tcW w:w="1400" w:type="dxa"/>
            <w:tcBorders>
              <w:top w:val="nil"/>
              <w:left w:val="nil"/>
              <w:bottom w:val="nil"/>
              <w:right w:val="nil"/>
            </w:tcBorders>
            <w:shd w:val="clear" w:color="auto" w:fill="auto"/>
            <w:noWrap/>
            <w:vAlign w:val="bottom"/>
            <w:hideMark/>
          </w:tcPr>
          <w:p w14:paraId="3BD2E316"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97,63%</w:t>
            </w:r>
          </w:p>
        </w:tc>
      </w:tr>
      <w:tr w:rsidR="00A360DB" w:rsidRPr="00A360DB" w14:paraId="1078E483"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591012F3"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5.5. Općinski proračun</w:t>
            </w:r>
          </w:p>
        </w:tc>
        <w:tc>
          <w:tcPr>
            <w:tcW w:w="1480" w:type="dxa"/>
            <w:tcBorders>
              <w:top w:val="nil"/>
              <w:left w:val="nil"/>
              <w:bottom w:val="nil"/>
              <w:right w:val="nil"/>
            </w:tcBorders>
            <w:shd w:val="clear" w:color="auto" w:fill="auto"/>
            <w:noWrap/>
            <w:vAlign w:val="bottom"/>
            <w:hideMark/>
          </w:tcPr>
          <w:p w14:paraId="58B3EC89"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274.000,00</w:t>
            </w:r>
          </w:p>
        </w:tc>
        <w:tc>
          <w:tcPr>
            <w:tcW w:w="1380" w:type="dxa"/>
            <w:tcBorders>
              <w:top w:val="nil"/>
              <w:left w:val="nil"/>
              <w:bottom w:val="nil"/>
              <w:right w:val="nil"/>
            </w:tcBorders>
            <w:shd w:val="clear" w:color="auto" w:fill="auto"/>
            <w:noWrap/>
            <w:vAlign w:val="bottom"/>
            <w:hideMark/>
          </w:tcPr>
          <w:p w14:paraId="09863211"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256.765,43</w:t>
            </w:r>
          </w:p>
        </w:tc>
        <w:tc>
          <w:tcPr>
            <w:tcW w:w="1400" w:type="dxa"/>
            <w:tcBorders>
              <w:top w:val="nil"/>
              <w:left w:val="nil"/>
              <w:bottom w:val="nil"/>
              <w:right w:val="nil"/>
            </w:tcBorders>
            <w:shd w:val="clear" w:color="auto" w:fill="auto"/>
            <w:noWrap/>
            <w:vAlign w:val="bottom"/>
            <w:hideMark/>
          </w:tcPr>
          <w:p w14:paraId="7C3B7809"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93,71%</w:t>
            </w:r>
          </w:p>
        </w:tc>
      </w:tr>
      <w:tr w:rsidR="00A360DB" w:rsidRPr="00A360DB" w14:paraId="680CD5F2"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8E33728"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9. Višak iz prethodnih razdoblja</w:t>
            </w:r>
          </w:p>
        </w:tc>
        <w:tc>
          <w:tcPr>
            <w:tcW w:w="1480" w:type="dxa"/>
            <w:tcBorders>
              <w:top w:val="nil"/>
              <w:left w:val="nil"/>
              <w:bottom w:val="nil"/>
              <w:right w:val="nil"/>
            </w:tcBorders>
            <w:shd w:val="clear" w:color="auto" w:fill="auto"/>
            <w:noWrap/>
            <w:vAlign w:val="bottom"/>
            <w:hideMark/>
          </w:tcPr>
          <w:p w14:paraId="0FC7AA8A"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369.578,62</w:t>
            </w:r>
          </w:p>
        </w:tc>
        <w:tc>
          <w:tcPr>
            <w:tcW w:w="1380" w:type="dxa"/>
            <w:tcBorders>
              <w:top w:val="nil"/>
              <w:left w:val="nil"/>
              <w:bottom w:val="nil"/>
              <w:right w:val="nil"/>
            </w:tcBorders>
            <w:shd w:val="clear" w:color="auto" w:fill="auto"/>
            <w:noWrap/>
            <w:vAlign w:val="bottom"/>
            <w:hideMark/>
          </w:tcPr>
          <w:p w14:paraId="79E61BAA"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369.578,62</w:t>
            </w:r>
          </w:p>
        </w:tc>
        <w:tc>
          <w:tcPr>
            <w:tcW w:w="1400" w:type="dxa"/>
            <w:tcBorders>
              <w:top w:val="nil"/>
              <w:left w:val="nil"/>
              <w:bottom w:val="nil"/>
              <w:right w:val="nil"/>
            </w:tcBorders>
            <w:shd w:val="clear" w:color="auto" w:fill="auto"/>
            <w:noWrap/>
            <w:vAlign w:val="bottom"/>
            <w:hideMark/>
          </w:tcPr>
          <w:p w14:paraId="0BC0370E"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w:t>
            </w:r>
          </w:p>
        </w:tc>
      </w:tr>
      <w:tr w:rsidR="00A360DB" w:rsidRPr="00A360DB" w14:paraId="1450A35B"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F789827"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 xml:space="preserve">Izvor 9.1. Višak iz prethodnih godina - </w:t>
            </w:r>
            <w:proofErr w:type="spellStart"/>
            <w:r w:rsidRPr="00A360DB">
              <w:rPr>
                <w:rFonts w:ascii="Arial" w:hAnsi="Arial" w:cs="Arial"/>
                <w:color w:val="333333"/>
                <w:sz w:val="18"/>
                <w:szCs w:val="18"/>
                <w:lang w:eastAsia="hr-HR"/>
              </w:rPr>
              <w:t>Prorač.korisnici</w:t>
            </w:r>
            <w:proofErr w:type="spellEnd"/>
          </w:p>
        </w:tc>
        <w:tc>
          <w:tcPr>
            <w:tcW w:w="1480" w:type="dxa"/>
            <w:tcBorders>
              <w:top w:val="nil"/>
              <w:left w:val="nil"/>
              <w:bottom w:val="nil"/>
              <w:right w:val="nil"/>
            </w:tcBorders>
            <w:shd w:val="clear" w:color="auto" w:fill="auto"/>
            <w:noWrap/>
            <w:vAlign w:val="bottom"/>
            <w:hideMark/>
          </w:tcPr>
          <w:p w14:paraId="6071F7F1"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39.578,62</w:t>
            </w:r>
          </w:p>
        </w:tc>
        <w:tc>
          <w:tcPr>
            <w:tcW w:w="1380" w:type="dxa"/>
            <w:tcBorders>
              <w:top w:val="nil"/>
              <w:left w:val="nil"/>
              <w:bottom w:val="nil"/>
              <w:right w:val="nil"/>
            </w:tcBorders>
            <w:shd w:val="clear" w:color="auto" w:fill="auto"/>
            <w:noWrap/>
            <w:vAlign w:val="bottom"/>
            <w:hideMark/>
          </w:tcPr>
          <w:p w14:paraId="0F41C859"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39.578,62</w:t>
            </w:r>
          </w:p>
        </w:tc>
        <w:tc>
          <w:tcPr>
            <w:tcW w:w="1400" w:type="dxa"/>
            <w:tcBorders>
              <w:top w:val="nil"/>
              <w:left w:val="nil"/>
              <w:bottom w:val="nil"/>
              <w:right w:val="nil"/>
            </w:tcBorders>
            <w:shd w:val="clear" w:color="auto" w:fill="auto"/>
            <w:noWrap/>
            <w:vAlign w:val="bottom"/>
            <w:hideMark/>
          </w:tcPr>
          <w:p w14:paraId="69AFB21B"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w:t>
            </w:r>
          </w:p>
        </w:tc>
      </w:tr>
      <w:tr w:rsidR="00A360DB" w:rsidRPr="00A360DB" w14:paraId="7F5475F2"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497A2F6"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9.2. Višak iz prethodnih godina - Grad</w:t>
            </w:r>
          </w:p>
        </w:tc>
        <w:tc>
          <w:tcPr>
            <w:tcW w:w="1480" w:type="dxa"/>
            <w:tcBorders>
              <w:top w:val="nil"/>
              <w:left w:val="nil"/>
              <w:bottom w:val="nil"/>
              <w:right w:val="nil"/>
            </w:tcBorders>
            <w:shd w:val="clear" w:color="auto" w:fill="auto"/>
            <w:noWrap/>
            <w:vAlign w:val="bottom"/>
            <w:hideMark/>
          </w:tcPr>
          <w:p w14:paraId="7853AD73"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330.000,00</w:t>
            </w:r>
          </w:p>
        </w:tc>
        <w:tc>
          <w:tcPr>
            <w:tcW w:w="1380" w:type="dxa"/>
            <w:tcBorders>
              <w:top w:val="nil"/>
              <w:left w:val="nil"/>
              <w:bottom w:val="nil"/>
              <w:right w:val="nil"/>
            </w:tcBorders>
            <w:shd w:val="clear" w:color="auto" w:fill="auto"/>
            <w:noWrap/>
            <w:vAlign w:val="bottom"/>
            <w:hideMark/>
          </w:tcPr>
          <w:p w14:paraId="3D321F2C"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330.000,00</w:t>
            </w:r>
          </w:p>
        </w:tc>
        <w:tc>
          <w:tcPr>
            <w:tcW w:w="1400" w:type="dxa"/>
            <w:tcBorders>
              <w:top w:val="nil"/>
              <w:left w:val="nil"/>
              <w:bottom w:val="nil"/>
              <w:right w:val="nil"/>
            </w:tcBorders>
            <w:shd w:val="clear" w:color="auto" w:fill="auto"/>
            <w:noWrap/>
            <w:vAlign w:val="bottom"/>
            <w:hideMark/>
          </w:tcPr>
          <w:p w14:paraId="46E2A158"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w:t>
            </w:r>
          </w:p>
        </w:tc>
      </w:tr>
      <w:tr w:rsidR="00A360DB" w:rsidRPr="00A360DB" w14:paraId="1F8B5714" w14:textId="77777777" w:rsidTr="00A360DB">
        <w:trPr>
          <w:trHeight w:val="240"/>
        </w:trPr>
        <w:tc>
          <w:tcPr>
            <w:tcW w:w="1697" w:type="dxa"/>
            <w:tcBorders>
              <w:top w:val="nil"/>
              <w:left w:val="nil"/>
              <w:bottom w:val="nil"/>
              <w:right w:val="nil"/>
            </w:tcBorders>
            <w:shd w:val="clear" w:color="000000" w:fill="1D4BB3"/>
            <w:noWrap/>
            <w:vAlign w:val="bottom"/>
            <w:hideMark/>
          </w:tcPr>
          <w:p w14:paraId="663DC1F8" w14:textId="77777777" w:rsidR="00A360DB" w:rsidRPr="00A360DB" w:rsidRDefault="00A360DB" w:rsidP="00A360DB">
            <w:pPr>
              <w:spacing w:after="0" w:line="240" w:lineRule="auto"/>
              <w:rPr>
                <w:rFonts w:ascii="Arial" w:hAnsi="Arial" w:cs="Arial"/>
                <w:b/>
                <w:bCs/>
                <w:color w:val="FFFFFF"/>
                <w:sz w:val="18"/>
                <w:szCs w:val="18"/>
                <w:lang w:eastAsia="hr-HR"/>
              </w:rPr>
            </w:pPr>
            <w:r w:rsidRPr="00A360DB">
              <w:rPr>
                <w:rFonts w:ascii="Arial" w:hAnsi="Arial" w:cs="Arial"/>
                <w:b/>
                <w:bCs/>
                <w:color w:val="FFFFFF"/>
                <w:sz w:val="18"/>
                <w:szCs w:val="18"/>
                <w:lang w:eastAsia="hr-HR"/>
              </w:rPr>
              <w:t>1016</w:t>
            </w:r>
          </w:p>
        </w:tc>
        <w:tc>
          <w:tcPr>
            <w:tcW w:w="8509" w:type="dxa"/>
            <w:tcBorders>
              <w:top w:val="nil"/>
              <w:left w:val="nil"/>
              <w:bottom w:val="nil"/>
              <w:right w:val="nil"/>
            </w:tcBorders>
            <w:shd w:val="clear" w:color="000000" w:fill="1D4BB3"/>
            <w:noWrap/>
            <w:vAlign w:val="bottom"/>
            <w:hideMark/>
          </w:tcPr>
          <w:p w14:paraId="6A472713" w14:textId="77777777" w:rsidR="00A360DB" w:rsidRPr="00A360DB" w:rsidRDefault="00A360DB" w:rsidP="00A360DB">
            <w:pPr>
              <w:spacing w:after="0" w:line="240" w:lineRule="auto"/>
              <w:rPr>
                <w:rFonts w:ascii="Arial" w:hAnsi="Arial" w:cs="Arial"/>
                <w:b/>
                <w:bCs/>
                <w:color w:val="FFFFFF"/>
                <w:sz w:val="18"/>
                <w:szCs w:val="18"/>
                <w:lang w:eastAsia="hr-HR"/>
              </w:rPr>
            </w:pPr>
            <w:r w:rsidRPr="00A360DB">
              <w:rPr>
                <w:rFonts w:ascii="Arial" w:hAnsi="Arial" w:cs="Arial"/>
                <w:b/>
                <w:bCs/>
                <w:color w:val="FFFFFF"/>
                <w:sz w:val="18"/>
                <w:szCs w:val="18"/>
                <w:lang w:eastAsia="hr-HR"/>
              </w:rPr>
              <w:t>Program: Predškolsko obrazovanje</w:t>
            </w:r>
          </w:p>
        </w:tc>
        <w:tc>
          <w:tcPr>
            <w:tcW w:w="1480" w:type="dxa"/>
            <w:tcBorders>
              <w:top w:val="nil"/>
              <w:left w:val="nil"/>
              <w:bottom w:val="nil"/>
              <w:right w:val="nil"/>
            </w:tcBorders>
            <w:shd w:val="clear" w:color="000000" w:fill="1D4BB3"/>
            <w:noWrap/>
            <w:vAlign w:val="bottom"/>
            <w:hideMark/>
          </w:tcPr>
          <w:p w14:paraId="46B2F7E4"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1.881.528,62</w:t>
            </w:r>
          </w:p>
        </w:tc>
        <w:tc>
          <w:tcPr>
            <w:tcW w:w="1380" w:type="dxa"/>
            <w:tcBorders>
              <w:top w:val="nil"/>
              <w:left w:val="nil"/>
              <w:bottom w:val="nil"/>
              <w:right w:val="nil"/>
            </w:tcBorders>
            <w:shd w:val="clear" w:color="000000" w:fill="1D4BB3"/>
            <w:noWrap/>
            <w:vAlign w:val="bottom"/>
            <w:hideMark/>
          </w:tcPr>
          <w:p w14:paraId="5ADCC68F"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1.762.947,50</w:t>
            </w:r>
          </w:p>
        </w:tc>
        <w:tc>
          <w:tcPr>
            <w:tcW w:w="1400" w:type="dxa"/>
            <w:tcBorders>
              <w:top w:val="nil"/>
              <w:left w:val="nil"/>
              <w:bottom w:val="nil"/>
              <w:right w:val="nil"/>
            </w:tcBorders>
            <w:shd w:val="clear" w:color="000000" w:fill="1D4BB3"/>
            <w:noWrap/>
            <w:vAlign w:val="bottom"/>
            <w:hideMark/>
          </w:tcPr>
          <w:p w14:paraId="62BA48E5"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93,70%</w:t>
            </w:r>
          </w:p>
        </w:tc>
      </w:tr>
      <w:tr w:rsidR="00A360DB" w:rsidRPr="00A360DB" w14:paraId="6D6D2C5D" w14:textId="77777777" w:rsidTr="00A360DB">
        <w:trPr>
          <w:trHeight w:val="240"/>
        </w:trPr>
        <w:tc>
          <w:tcPr>
            <w:tcW w:w="1697" w:type="dxa"/>
            <w:tcBorders>
              <w:top w:val="nil"/>
              <w:left w:val="nil"/>
              <w:bottom w:val="nil"/>
              <w:right w:val="nil"/>
            </w:tcBorders>
            <w:shd w:val="clear" w:color="000000" w:fill="B4C6E7"/>
            <w:noWrap/>
            <w:vAlign w:val="bottom"/>
            <w:hideMark/>
          </w:tcPr>
          <w:p w14:paraId="3F986498"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A101601</w:t>
            </w:r>
          </w:p>
        </w:tc>
        <w:tc>
          <w:tcPr>
            <w:tcW w:w="8509" w:type="dxa"/>
            <w:tcBorders>
              <w:top w:val="nil"/>
              <w:left w:val="nil"/>
              <w:bottom w:val="nil"/>
              <w:right w:val="nil"/>
            </w:tcBorders>
            <w:shd w:val="clear" w:color="000000" w:fill="B4C6E7"/>
            <w:noWrap/>
            <w:vAlign w:val="bottom"/>
            <w:hideMark/>
          </w:tcPr>
          <w:p w14:paraId="5457FC40"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Redovan rad Dječjeg vrtića Maslačak</w:t>
            </w:r>
          </w:p>
        </w:tc>
        <w:tc>
          <w:tcPr>
            <w:tcW w:w="1480" w:type="dxa"/>
            <w:tcBorders>
              <w:top w:val="nil"/>
              <w:left w:val="nil"/>
              <w:bottom w:val="nil"/>
              <w:right w:val="nil"/>
            </w:tcBorders>
            <w:shd w:val="clear" w:color="000000" w:fill="B4C6E7"/>
            <w:noWrap/>
            <w:vAlign w:val="bottom"/>
            <w:hideMark/>
          </w:tcPr>
          <w:p w14:paraId="4E7505B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1.834.428,62</w:t>
            </w:r>
          </w:p>
        </w:tc>
        <w:tc>
          <w:tcPr>
            <w:tcW w:w="1380" w:type="dxa"/>
            <w:tcBorders>
              <w:top w:val="nil"/>
              <w:left w:val="nil"/>
              <w:bottom w:val="nil"/>
              <w:right w:val="nil"/>
            </w:tcBorders>
            <w:shd w:val="clear" w:color="000000" w:fill="B4C6E7"/>
            <w:noWrap/>
            <w:vAlign w:val="bottom"/>
            <w:hideMark/>
          </w:tcPr>
          <w:p w14:paraId="7A68BE2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1.721.606,61</w:t>
            </w:r>
          </w:p>
        </w:tc>
        <w:tc>
          <w:tcPr>
            <w:tcW w:w="1400" w:type="dxa"/>
            <w:tcBorders>
              <w:top w:val="nil"/>
              <w:left w:val="nil"/>
              <w:bottom w:val="nil"/>
              <w:right w:val="nil"/>
            </w:tcBorders>
            <w:shd w:val="clear" w:color="000000" w:fill="B4C6E7"/>
            <w:noWrap/>
            <w:vAlign w:val="bottom"/>
            <w:hideMark/>
          </w:tcPr>
          <w:p w14:paraId="1F53D05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93,85%</w:t>
            </w:r>
          </w:p>
        </w:tc>
      </w:tr>
      <w:tr w:rsidR="00A360DB" w:rsidRPr="00A360DB" w14:paraId="397C331F"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104BEEEA"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4C1935B0"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474.000,00</w:t>
            </w:r>
          </w:p>
        </w:tc>
        <w:tc>
          <w:tcPr>
            <w:tcW w:w="1380" w:type="dxa"/>
            <w:tcBorders>
              <w:top w:val="nil"/>
              <w:left w:val="nil"/>
              <w:bottom w:val="nil"/>
              <w:right w:val="nil"/>
            </w:tcBorders>
            <w:shd w:val="clear" w:color="auto" w:fill="auto"/>
            <w:noWrap/>
            <w:vAlign w:val="bottom"/>
            <w:hideMark/>
          </w:tcPr>
          <w:p w14:paraId="7E2D80FE"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445.216,80</w:t>
            </w:r>
          </w:p>
        </w:tc>
        <w:tc>
          <w:tcPr>
            <w:tcW w:w="1400" w:type="dxa"/>
            <w:tcBorders>
              <w:top w:val="nil"/>
              <w:left w:val="nil"/>
              <w:bottom w:val="nil"/>
              <w:right w:val="nil"/>
            </w:tcBorders>
            <w:shd w:val="clear" w:color="auto" w:fill="auto"/>
            <w:noWrap/>
            <w:vAlign w:val="bottom"/>
            <w:hideMark/>
          </w:tcPr>
          <w:p w14:paraId="32BA8B3B"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93,93%</w:t>
            </w:r>
          </w:p>
        </w:tc>
      </w:tr>
      <w:tr w:rsidR="00A360DB" w:rsidRPr="00A360DB" w14:paraId="0BD06626"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CC1FA2F"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68A7D9AE"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474.000,00</w:t>
            </w:r>
          </w:p>
        </w:tc>
        <w:tc>
          <w:tcPr>
            <w:tcW w:w="1380" w:type="dxa"/>
            <w:tcBorders>
              <w:top w:val="nil"/>
              <w:left w:val="nil"/>
              <w:bottom w:val="nil"/>
              <w:right w:val="nil"/>
            </w:tcBorders>
            <w:shd w:val="clear" w:color="auto" w:fill="auto"/>
            <w:noWrap/>
            <w:vAlign w:val="bottom"/>
            <w:hideMark/>
          </w:tcPr>
          <w:p w14:paraId="0A56C4C0"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445.216,80</w:t>
            </w:r>
          </w:p>
        </w:tc>
        <w:tc>
          <w:tcPr>
            <w:tcW w:w="1400" w:type="dxa"/>
            <w:tcBorders>
              <w:top w:val="nil"/>
              <w:left w:val="nil"/>
              <w:bottom w:val="nil"/>
              <w:right w:val="nil"/>
            </w:tcBorders>
            <w:shd w:val="clear" w:color="auto" w:fill="auto"/>
            <w:noWrap/>
            <w:vAlign w:val="bottom"/>
            <w:hideMark/>
          </w:tcPr>
          <w:p w14:paraId="3DC6B9BD"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93,93%</w:t>
            </w:r>
          </w:p>
        </w:tc>
      </w:tr>
      <w:tr w:rsidR="00A360DB" w:rsidRPr="00A360DB" w14:paraId="18EB1753" w14:textId="77777777" w:rsidTr="00A360DB">
        <w:trPr>
          <w:trHeight w:val="240"/>
        </w:trPr>
        <w:tc>
          <w:tcPr>
            <w:tcW w:w="1697" w:type="dxa"/>
            <w:tcBorders>
              <w:top w:val="nil"/>
              <w:left w:val="nil"/>
              <w:bottom w:val="nil"/>
              <w:right w:val="nil"/>
            </w:tcBorders>
            <w:shd w:val="clear" w:color="auto" w:fill="auto"/>
            <w:noWrap/>
            <w:vAlign w:val="bottom"/>
            <w:hideMark/>
          </w:tcPr>
          <w:p w14:paraId="54EB7527"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31</w:t>
            </w:r>
          </w:p>
        </w:tc>
        <w:tc>
          <w:tcPr>
            <w:tcW w:w="8509" w:type="dxa"/>
            <w:tcBorders>
              <w:top w:val="nil"/>
              <w:left w:val="nil"/>
              <w:bottom w:val="nil"/>
              <w:right w:val="nil"/>
            </w:tcBorders>
            <w:shd w:val="clear" w:color="auto" w:fill="auto"/>
            <w:noWrap/>
            <w:vAlign w:val="bottom"/>
            <w:hideMark/>
          </w:tcPr>
          <w:p w14:paraId="67FA3F98"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zaposlene                                                                                </w:t>
            </w:r>
          </w:p>
        </w:tc>
        <w:tc>
          <w:tcPr>
            <w:tcW w:w="1480" w:type="dxa"/>
            <w:tcBorders>
              <w:top w:val="nil"/>
              <w:left w:val="nil"/>
              <w:bottom w:val="nil"/>
              <w:right w:val="nil"/>
            </w:tcBorders>
            <w:shd w:val="clear" w:color="auto" w:fill="auto"/>
            <w:noWrap/>
            <w:vAlign w:val="bottom"/>
            <w:hideMark/>
          </w:tcPr>
          <w:p w14:paraId="06668FA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468.500,00</w:t>
            </w:r>
          </w:p>
        </w:tc>
        <w:tc>
          <w:tcPr>
            <w:tcW w:w="1380" w:type="dxa"/>
            <w:tcBorders>
              <w:top w:val="nil"/>
              <w:left w:val="nil"/>
              <w:bottom w:val="nil"/>
              <w:right w:val="nil"/>
            </w:tcBorders>
            <w:shd w:val="clear" w:color="auto" w:fill="auto"/>
            <w:noWrap/>
            <w:vAlign w:val="bottom"/>
            <w:hideMark/>
          </w:tcPr>
          <w:p w14:paraId="27A2911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440.369,48</w:t>
            </w:r>
          </w:p>
        </w:tc>
        <w:tc>
          <w:tcPr>
            <w:tcW w:w="1400" w:type="dxa"/>
            <w:tcBorders>
              <w:top w:val="nil"/>
              <w:left w:val="nil"/>
              <w:bottom w:val="nil"/>
              <w:right w:val="nil"/>
            </w:tcBorders>
            <w:shd w:val="clear" w:color="auto" w:fill="auto"/>
            <w:noWrap/>
            <w:vAlign w:val="bottom"/>
            <w:hideMark/>
          </w:tcPr>
          <w:p w14:paraId="22A46CB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94,00%</w:t>
            </w:r>
          </w:p>
        </w:tc>
      </w:tr>
      <w:tr w:rsidR="00A360DB" w:rsidRPr="00A360DB" w14:paraId="718F85B0" w14:textId="77777777" w:rsidTr="00A360DB">
        <w:trPr>
          <w:trHeight w:val="240"/>
        </w:trPr>
        <w:tc>
          <w:tcPr>
            <w:tcW w:w="1697" w:type="dxa"/>
            <w:tcBorders>
              <w:top w:val="nil"/>
              <w:left w:val="nil"/>
              <w:bottom w:val="nil"/>
              <w:right w:val="nil"/>
            </w:tcBorders>
            <w:shd w:val="clear" w:color="auto" w:fill="auto"/>
            <w:noWrap/>
            <w:vAlign w:val="bottom"/>
            <w:hideMark/>
          </w:tcPr>
          <w:p w14:paraId="0DEA8E2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3111</w:t>
            </w:r>
          </w:p>
        </w:tc>
        <w:tc>
          <w:tcPr>
            <w:tcW w:w="8509" w:type="dxa"/>
            <w:tcBorders>
              <w:top w:val="nil"/>
              <w:left w:val="nil"/>
              <w:bottom w:val="nil"/>
              <w:right w:val="nil"/>
            </w:tcBorders>
            <w:shd w:val="clear" w:color="auto" w:fill="auto"/>
            <w:noWrap/>
            <w:vAlign w:val="bottom"/>
            <w:hideMark/>
          </w:tcPr>
          <w:p w14:paraId="7A5BBD6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Plaće za redovan rad                                                                                </w:t>
            </w:r>
          </w:p>
        </w:tc>
        <w:tc>
          <w:tcPr>
            <w:tcW w:w="1480" w:type="dxa"/>
            <w:tcBorders>
              <w:top w:val="nil"/>
              <w:left w:val="nil"/>
              <w:bottom w:val="nil"/>
              <w:right w:val="nil"/>
            </w:tcBorders>
            <w:shd w:val="clear" w:color="auto" w:fill="auto"/>
            <w:noWrap/>
            <w:vAlign w:val="bottom"/>
            <w:hideMark/>
          </w:tcPr>
          <w:p w14:paraId="2C7D75A7"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41756B7"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346.230,43</w:t>
            </w:r>
          </w:p>
        </w:tc>
        <w:tc>
          <w:tcPr>
            <w:tcW w:w="1400" w:type="dxa"/>
            <w:tcBorders>
              <w:top w:val="nil"/>
              <w:left w:val="nil"/>
              <w:bottom w:val="nil"/>
              <w:right w:val="nil"/>
            </w:tcBorders>
            <w:shd w:val="clear" w:color="auto" w:fill="auto"/>
            <w:noWrap/>
            <w:vAlign w:val="bottom"/>
            <w:hideMark/>
          </w:tcPr>
          <w:p w14:paraId="6E669C85"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59FC9E92" w14:textId="77777777" w:rsidTr="00A360DB">
        <w:trPr>
          <w:trHeight w:val="240"/>
        </w:trPr>
        <w:tc>
          <w:tcPr>
            <w:tcW w:w="1697" w:type="dxa"/>
            <w:tcBorders>
              <w:top w:val="nil"/>
              <w:left w:val="nil"/>
              <w:bottom w:val="nil"/>
              <w:right w:val="nil"/>
            </w:tcBorders>
            <w:shd w:val="clear" w:color="auto" w:fill="auto"/>
            <w:noWrap/>
            <w:vAlign w:val="bottom"/>
            <w:hideMark/>
          </w:tcPr>
          <w:p w14:paraId="2A08960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3121</w:t>
            </w:r>
          </w:p>
        </w:tc>
        <w:tc>
          <w:tcPr>
            <w:tcW w:w="8509" w:type="dxa"/>
            <w:tcBorders>
              <w:top w:val="nil"/>
              <w:left w:val="nil"/>
              <w:bottom w:val="nil"/>
              <w:right w:val="nil"/>
            </w:tcBorders>
            <w:shd w:val="clear" w:color="auto" w:fill="auto"/>
            <w:noWrap/>
            <w:vAlign w:val="bottom"/>
            <w:hideMark/>
          </w:tcPr>
          <w:p w14:paraId="266FF2A5"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Ostali rashodi za zaposlene                                                                         </w:t>
            </w:r>
          </w:p>
        </w:tc>
        <w:tc>
          <w:tcPr>
            <w:tcW w:w="1480" w:type="dxa"/>
            <w:tcBorders>
              <w:top w:val="nil"/>
              <w:left w:val="nil"/>
              <w:bottom w:val="nil"/>
              <w:right w:val="nil"/>
            </w:tcBorders>
            <w:shd w:val="clear" w:color="auto" w:fill="auto"/>
            <w:noWrap/>
            <w:vAlign w:val="bottom"/>
            <w:hideMark/>
          </w:tcPr>
          <w:p w14:paraId="2FBC5997"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7C5D1CA"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39.005,62</w:t>
            </w:r>
          </w:p>
        </w:tc>
        <w:tc>
          <w:tcPr>
            <w:tcW w:w="1400" w:type="dxa"/>
            <w:tcBorders>
              <w:top w:val="nil"/>
              <w:left w:val="nil"/>
              <w:bottom w:val="nil"/>
              <w:right w:val="nil"/>
            </w:tcBorders>
            <w:shd w:val="clear" w:color="auto" w:fill="auto"/>
            <w:noWrap/>
            <w:vAlign w:val="bottom"/>
            <w:hideMark/>
          </w:tcPr>
          <w:p w14:paraId="2B0E2DB7"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5BE9595" w14:textId="77777777" w:rsidTr="00A360DB">
        <w:trPr>
          <w:trHeight w:val="240"/>
        </w:trPr>
        <w:tc>
          <w:tcPr>
            <w:tcW w:w="1697" w:type="dxa"/>
            <w:tcBorders>
              <w:top w:val="nil"/>
              <w:left w:val="nil"/>
              <w:bottom w:val="nil"/>
              <w:right w:val="nil"/>
            </w:tcBorders>
            <w:shd w:val="clear" w:color="auto" w:fill="auto"/>
            <w:noWrap/>
            <w:vAlign w:val="bottom"/>
            <w:hideMark/>
          </w:tcPr>
          <w:p w14:paraId="4B5C1FC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3132</w:t>
            </w:r>
          </w:p>
        </w:tc>
        <w:tc>
          <w:tcPr>
            <w:tcW w:w="8509" w:type="dxa"/>
            <w:tcBorders>
              <w:top w:val="nil"/>
              <w:left w:val="nil"/>
              <w:bottom w:val="nil"/>
              <w:right w:val="nil"/>
            </w:tcBorders>
            <w:shd w:val="clear" w:color="auto" w:fill="auto"/>
            <w:noWrap/>
            <w:vAlign w:val="bottom"/>
            <w:hideMark/>
          </w:tcPr>
          <w:p w14:paraId="283B0B5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Doprinosi za obvezno zdravstveno osiguranje                                                         </w:t>
            </w:r>
          </w:p>
        </w:tc>
        <w:tc>
          <w:tcPr>
            <w:tcW w:w="1480" w:type="dxa"/>
            <w:tcBorders>
              <w:top w:val="nil"/>
              <w:left w:val="nil"/>
              <w:bottom w:val="nil"/>
              <w:right w:val="nil"/>
            </w:tcBorders>
            <w:shd w:val="clear" w:color="auto" w:fill="auto"/>
            <w:noWrap/>
            <w:vAlign w:val="bottom"/>
            <w:hideMark/>
          </w:tcPr>
          <w:p w14:paraId="7C2F462C"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CA3F4F4"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55.133,43</w:t>
            </w:r>
          </w:p>
        </w:tc>
        <w:tc>
          <w:tcPr>
            <w:tcW w:w="1400" w:type="dxa"/>
            <w:tcBorders>
              <w:top w:val="nil"/>
              <w:left w:val="nil"/>
              <w:bottom w:val="nil"/>
              <w:right w:val="nil"/>
            </w:tcBorders>
            <w:shd w:val="clear" w:color="auto" w:fill="auto"/>
            <w:noWrap/>
            <w:vAlign w:val="bottom"/>
            <w:hideMark/>
          </w:tcPr>
          <w:p w14:paraId="78F90EED"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5B4D0070" w14:textId="77777777" w:rsidTr="00A360DB">
        <w:trPr>
          <w:trHeight w:val="240"/>
        </w:trPr>
        <w:tc>
          <w:tcPr>
            <w:tcW w:w="1697" w:type="dxa"/>
            <w:tcBorders>
              <w:top w:val="nil"/>
              <w:left w:val="nil"/>
              <w:bottom w:val="nil"/>
              <w:right w:val="nil"/>
            </w:tcBorders>
            <w:shd w:val="clear" w:color="auto" w:fill="auto"/>
            <w:noWrap/>
            <w:vAlign w:val="bottom"/>
            <w:hideMark/>
          </w:tcPr>
          <w:p w14:paraId="7B7D35CA"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0D857D39"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5521AA7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1.500,00</w:t>
            </w:r>
          </w:p>
        </w:tc>
        <w:tc>
          <w:tcPr>
            <w:tcW w:w="1380" w:type="dxa"/>
            <w:tcBorders>
              <w:top w:val="nil"/>
              <w:left w:val="nil"/>
              <w:bottom w:val="nil"/>
              <w:right w:val="nil"/>
            </w:tcBorders>
            <w:shd w:val="clear" w:color="auto" w:fill="auto"/>
            <w:noWrap/>
            <w:vAlign w:val="bottom"/>
            <w:hideMark/>
          </w:tcPr>
          <w:p w14:paraId="0796020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1.062,50</w:t>
            </w:r>
          </w:p>
        </w:tc>
        <w:tc>
          <w:tcPr>
            <w:tcW w:w="1400" w:type="dxa"/>
            <w:tcBorders>
              <w:top w:val="nil"/>
              <w:left w:val="nil"/>
              <w:bottom w:val="nil"/>
              <w:right w:val="nil"/>
            </w:tcBorders>
            <w:shd w:val="clear" w:color="auto" w:fill="auto"/>
            <w:noWrap/>
            <w:vAlign w:val="bottom"/>
            <w:hideMark/>
          </w:tcPr>
          <w:p w14:paraId="20D9B6F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70,83%</w:t>
            </w:r>
          </w:p>
        </w:tc>
      </w:tr>
      <w:tr w:rsidR="00A360DB" w:rsidRPr="00A360DB" w14:paraId="6DDD038A" w14:textId="77777777" w:rsidTr="00A360DB">
        <w:trPr>
          <w:trHeight w:val="240"/>
        </w:trPr>
        <w:tc>
          <w:tcPr>
            <w:tcW w:w="1697" w:type="dxa"/>
            <w:tcBorders>
              <w:top w:val="nil"/>
              <w:left w:val="nil"/>
              <w:bottom w:val="nil"/>
              <w:right w:val="nil"/>
            </w:tcBorders>
            <w:shd w:val="clear" w:color="auto" w:fill="auto"/>
            <w:noWrap/>
            <w:vAlign w:val="bottom"/>
            <w:hideMark/>
          </w:tcPr>
          <w:p w14:paraId="3416B94E"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3237</w:t>
            </w:r>
          </w:p>
        </w:tc>
        <w:tc>
          <w:tcPr>
            <w:tcW w:w="8509" w:type="dxa"/>
            <w:tcBorders>
              <w:top w:val="nil"/>
              <w:left w:val="nil"/>
              <w:bottom w:val="nil"/>
              <w:right w:val="nil"/>
            </w:tcBorders>
            <w:shd w:val="clear" w:color="auto" w:fill="auto"/>
            <w:noWrap/>
            <w:vAlign w:val="bottom"/>
            <w:hideMark/>
          </w:tcPr>
          <w:p w14:paraId="66CFBF6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Intelektualne i osobne usluge                                                                       </w:t>
            </w:r>
          </w:p>
        </w:tc>
        <w:tc>
          <w:tcPr>
            <w:tcW w:w="1480" w:type="dxa"/>
            <w:tcBorders>
              <w:top w:val="nil"/>
              <w:left w:val="nil"/>
              <w:bottom w:val="nil"/>
              <w:right w:val="nil"/>
            </w:tcBorders>
            <w:shd w:val="clear" w:color="auto" w:fill="auto"/>
            <w:noWrap/>
            <w:vAlign w:val="bottom"/>
            <w:hideMark/>
          </w:tcPr>
          <w:p w14:paraId="4AEE92A2"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D7C1DE1"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1.062,50</w:t>
            </w:r>
          </w:p>
        </w:tc>
        <w:tc>
          <w:tcPr>
            <w:tcW w:w="1400" w:type="dxa"/>
            <w:tcBorders>
              <w:top w:val="nil"/>
              <w:left w:val="nil"/>
              <w:bottom w:val="nil"/>
              <w:right w:val="nil"/>
            </w:tcBorders>
            <w:shd w:val="clear" w:color="auto" w:fill="auto"/>
            <w:noWrap/>
            <w:vAlign w:val="bottom"/>
            <w:hideMark/>
          </w:tcPr>
          <w:p w14:paraId="5D931016"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4434DAE" w14:textId="77777777" w:rsidTr="00A360DB">
        <w:trPr>
          <w:trHeight w:val="240"/>
        </w:trPr>
        <w:tc>
          <w:tcPr>
            <w:tcW w:w="1697" w:type="dxa"/>
            <w:tcBorders>
              <w:top w:val="nil"/>
              <w:left w:val="nil"/>
              <w:bottom w:val="nil"/>
              <w:right w:val="nil"/>
            </w:tcBorders>
            <w:shd w:val="clear" w:color="auto" w:fill="auto"/>
            <w:noWrap/>
            <w:vAlign w:val="bottom"/>
            <w:hideMark/>
          </w:tcPr>
          <w:p w14:paraId="52DDC662"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38</w:t>
            </w:r>
          </w:p>
        </w:tc>
        <w:tc>
          <w:tcPr>
            <w:tcW w:w="8509" w:type="dxa"/>
            <w:tcBorders>
              <w:top w:val="nil"/>
              <w:left w:val="nil"/>
              <w:bottom w:val="nil"/>
              <w:right w:val="nil"/>
            </w:tcBorders>
            <w:shd w:val="clear" w:color="auto" w:fill="auto"/>
            <w:noWrap/>
            <w:vAlign w:val="bottom"/>
            <w:hideMark/>
          </w:tcPr>
          <w:p w14:paraId="2110842E"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Ostali rashodi                                                                                      </w:t>
            </w:r>
          </w:p>
        </w:tc>
        <w:tc>
          <w:tcPr>
            <w:tcW w:w="1480" w:type="dxa"/>
            <w:tcBorders>
              <w:top w:val="nil"/>
              <w:left w:val="nil"/>
              <w:bottom w:val="nil"/>
              <w:right w:val="nil"/>
            </w:tcBorders>
            <w:shd w:val="clear" w:color="auto" w:fill="auto"/>
            <w:noWrap/>
            <w:vAlign w:val="bottom"/>
            <w:hideMark/>
          </w:tcPr>
          <w:p w14:paraId="11ABA5B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4.000,00</w:t>
            </w:r>
          </w:p>
        </w:tc>
        <w:tc>
          <w:tcPr>
            <w:tcW w:w="1380" w:type="dxa"/>
            <w:tcBorders>
              <w:top w:val="nil"/>
              <w:left w:val="nil"/>
              <w:bottom w:val="nil"/>
              <w:right w:val="nil"/>
            </w:tcBorders>
            <w:shd w:val="clear" w:color="auto" w:fill="auto"/>
            <w:noWrap/>
            <w:vAlign w:val="bottom"/>
            <w:hideMark/>
          </w:tcPr>
          <w:p w14:paraId="0102130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3.784,82</w:t>
            </w:r>
          </w:p>
        </w:tc>
        <w:tc>
          <w:tcPr>
            <w:tcW w:w="1400" w:type="dxa"/>
            <w:tcBorders>
              <w:top w:val="nil"/>
              <w:left w:val="nil"/>
              <w:bottom w:val="nil"/>
              <w:right w:val="nil"/>
            </w:tcBorders>
            <w:shd w:val="clear" w:color="auto" w:fill="auto"/>
            <w:noWrap/>
            <w:vAlign w:val="bottom"/>
            <w:hideMark/>
          </w:tcPr>
          <w:p w14:paraId="47A01B4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94,62%</w:t>
            </w:r>
          </w:p>
        </w:tc>
      </w:tr>
      <w:tr w:rsidR="00A360DB" w:rsidRPr="00A360DB" w14:paraId="0D13A2FE" w14:textId="77777777" w:rsidTr="00A360DB">
        <w:trPr>
          <w:trHeight w:val="240"/>
        </w:trPr>
        <w:tc>
          <w:tcPr>
            <w:tcW w:w="1697" w:type="dxa"/>
            <w:tcBorders>
              <w:top w:val="nil"/>
              <w:left w:val="nil"/>
              <w:bottom w:val="nil"/>
              <w:right w:val="nil"/>
            </w:tcBorders>
            <w:shd w:val="clear" w:color="auto" w:fill="auto"/>
            <w:noWrap/>
            <w:vAlign w:val="bottom"/>
            <w:hideMark/>
          </w:tcPr>
          <w:p w14:paraId="0507FE2E"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3835</w:t>
            </w:r>
          </w:p>
        </w:tc>
        <w:tc>
          <w:tcPr>
            <w:tcW w:w="8509" w:type="dxa"/>
            <w:tcBorders>
              <w:top w:val="nil"/>
              <w:left w:val="nil"/>
              <w:bottom w:val="nil"/>
              <w:right w:val="nil"/>
            </w:tcBorders>
            <w:shd w:val="clear" w:color="auto" w:fill="auto"/>
            <w:noWrap/>
            <w:vAlign w:val="bottom"/>
            <w:hideMark/>
          </w:tcPr>
          <w:p w14:paraId="1EAEE8C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Ostale kazne</w:t>
            </w:r>
          </w:p>
        </w:tc>
        <w:tc>
          <w:tcPr>
            <w:tcW w:w="1480" w:type="dxa"/>
            <w:tcBorders>
              <w:top w:val="nil"/>
              <w:left w:val="nil"/>
              <w:bottom w:val="nil"/>
              <w:right w:val="nil"/>
            </w:tcBorders>
            <w:shd w:val="clear" w:color="auto" w:fill="auto"/>
            <w:noWrap/>
            <w:vAlign w:val="bottom"/>
            <w:hideMark/>
          </w:tcPr>
          <w:p w14:paraId="3723F6E0"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9C2C324"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3.784,82</w:t>
            </w:r>
          </w:p>
        </w:tc>
        <w:tc>
          <w:tcPr>
            <w:tcW w:w="1400" w:type="dxa"/>
            <w:tcBorders>
              <w:top w:val="nil"/>
              <w:left w:val="nil"/>
              <w:bottom w:val="nil"/>
              <w:right w:val="nil"/>
            </w:tcBorders>
            <w:shd w:val="clear" w:color="auto" w:fill="auto"/>
            <w:noWrap/>
            <w:vAlign w:val="bottom"/>
            <w:hideMark/>
          </w:tcPr>
          <w:p w14:paraId="3FC53F21"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5F33420"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560A11F"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3. Vlastiti prihodi</w:t>
            </w:r>
          </w:p>
        </w:tc>
        <w:tc>
          <w:tcPr>
            <w:tcW w:w="1480" w:type="dxa"/>
            <w:tcBorders>
              <w:top w:val="nil"/>
              <w:left w:val="nil"/>
              <w:bottom w:val="nil"/>
              <w:right w:val="nil"/>
            </w:tcBorders>
            <w:shd w:val="clear" w:color="auto" w:fill="auto"/>
            <w:noWrap/>
            <w:vAlign w:val="bottom"/>
            <w:hideMark/>
          </w:tcPr>
          <w:p w14:paraId="2711FA9B"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242.900,00</w:t>
            </w:r>
          </w:p>
        </w:tc>
        <w:tc>
          <w:tcPr>
            <w:tcW w:w="1380" w:type="dxa"/>
            <w:tcBorders>
              <w:top w:val="nil"/>
              <w:left w:val="nil"/>
              <w:bottom w:val="nil"/>
              <w:right w:val="nil"/>
            </w:tcBorders>
            <w:shd w:val="clear" w:color="auto" w:fill="auto"/>
            <w:noWrap/>
            <w:vAlign w:val="bottom"/>
            <w:hideMark/>
          </w:tcPr>
          <w:p w14:paraId="77C7C5B3"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186.218,76</w:t>
            </w:r>
          </w:p>
        </w:tc>
        <w:tc>
          <w:tcPr>
            <w:tcW w:w="1400" w:type="dxa"/>
            <w:tcBorders>
              <w:top w:val="nil"/>
              <w:left w:val="nil"/>
              <w:bottom w:val="nil"/>
              <w:right w:val="nil"/>
            </w:tcBorders>
            <w:shd w:val="clear" w:color="auto" w:fill="auto"/>
            <w:noWrap/>
            <w:vAlign w:val="bottom"/>
            <w:hideMark/>
          </w:tcPr>
          <w:p w14:paraId="45F86979"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76,66%</w:t>
            </w:r>
          </w:p>
        </w:tc>
      </w:tr>
      <w:tr w:rsidR="00A360DB" w:rsidRPr="00A360DB" w14:paraId="59444F77"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3E23A26A"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3.1. Vlastiti prihodi</w:t>
            </w:r>
          </w:p>
        </w:tc>
        <w:tc>
          <w:tcPr>
            <w:tcW w:w="1480" w:type="dxa"/>
            <w:tcBorders>
              <w:top w:val="nil"/>
              <w:left w:val="nil"/>
              <w:bottom w:val="nil"/>
              <w:right w:val="nil"/>
            </w:tcBorders>
            <w:shd w:val="clear" w:color="auto" w:fill="auto"/>
            <w:noWrap/>
            <w:vAlign w:val="bottom"/>
            <w:hideMark/>
          </w:tcPr>
          <w:p w14:paraId="781AA0D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242.900,00</w:t>
            </w:r>
          </w:p>
        </w:tc>
        <w:tc>
          <w:tcPr>
            <w:tcW w:w="1380" w:type="dxa"/>
            <w:tcBorders>
              <w:top w:val="nil"/>
              <w:left w:val="nil"/>
              <w:bottom w:val="nil"/>
              <w:right w:val="nil"/>
            </w:tcBorders>
            <w:shd w:val="clear" w:color="auto" w:fill="auto"/>
            <w:noWrap/>
            <w:vAlign w:val="bottom"/>
            <w:hideMark/>
          </w:tcPr>
          <w:p w14:paraId="309913E6"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186.218,76</w:t>
            </w:r>
          </w:p>
        </w:tc>
        <w:tc>
          <w:tcPr>
            <w:tcW w:w="1400" w:type="dxa"/>
            <w:tcBorders>
              <w:top w:val="nil"/>
              <w:left w:val="nil"/>
              <w:bottom w:val="nil"/>
              <w:right w:val="nil"/>
            </w:tcBorders>
            <w:shd w:val="clear" w:color="auto" w:fill="auto"/>
            <w:noWrap/>
            <w:vAlign w:val="bottom"/>
            <w:hideMark/>
          </w:tcPr>
          <w:p w14:paraId="7B9D3698"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76,66%</w:t>
            </w:r>
          </w:p>
        </w:tc>
      </w:tr>
      <w:tr w:rsidR="00A360DB" w:rsidRPr="00A360DB" w14:paraId="5757B23D" w14:textId="77777777" w:rsidTr="00A360DB">
        <w:trPr>
          <w:trHeight w:val="240"/>
        </w:trPr>
        <w:tc>
          <w:tcPr>
            <w:tcW w:w="1697" w:type="dxa"/>
            <w:tcBorders>
              <w:top w:val="nil"/>
              <w:left w:val="nil"/>
              <w:bottom w:val="nil"/>
              <w:right w:val="nil"/>
            </w:tcBorders>
            <w:shd w:val="clear" w:color="auto" w:fill="auto"/>
            <w:noWrap/>
            <w:vAlign w:val="bottom"/>
            <w:hideMark/>
          </w:tcPr>
          <w:p w14:paraId="2CA977F3"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31</w:t>
            </w:r>
          </w:p>
        </w:tc>
        <w:tc>
          <w:tcPr>
            <w:tcW w:w="8509" w:type="dxa"/>
            <w:tcBorders>
              <w:top w:val="nil"/>
              <w:left w:val="nil"/>
              <w:bottom w:val="nil"/>
              <w:right w:val="nil"/>
            </w:tcBorders>
            <w:shd w:val="clear" w:color="auto" w:fill="auto"/>
            <w:noWrap/>
            <w:vAlign w:val="bottom"/>
            <w:hideMark/>
          </w:tcPr>
          <w:p w14:paraId="7C6B7872"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zaposlene                                                                                </w:t>
            </w:r>
          </w:p>
        </w:tc>
        <w:tc>
          <w:tcPr>
            <w:tcW w:w="1480" w:type="dxa"/>
            <w:tcBorders>
              <w:top w:val="nil"/>
              <w:left w:val="nil"/>
              <w:bottom w:val="nil"/>
              <w:right w:val="nil"/>
            </w:tcBorders>
            <w:shd w:val="clear" w:color="auto" w:fill="auto"/>
            <w:noWrap/>
            <w:vAlign w:val="bottom"/>
            <w:hideMark/>
          </w:tcPr>
          <w:p w14:paraId="41F89F1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62.700,00</w:t>
            </w:r>
          </w:p>
        </w:tc>
        <w:tc>
          <w:tcPr>
            <w:tcW w:w="1380" w:type="dxa"/>
            <w:tcBorders>
              <w:top w:val="nil"/>
              <w:left w:val="nil"/>
              <w:bottom w:val="nil"/>
              <w:right w:val="nil"/>
            </w:tcBorders>
            <w:shd w:val="clear" w:color="auto" w:fill="auto"/>
            <w:noWrap/>
            <w:vAlign w:val="bottom"/>
            <w:hideMark/>
          </w:tcPr>
          <w:p w14:paraId="79FBB13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33.700,00</w:t>
            </w:r>
          </w:p>
        </w:tc>
        <w:tc>
          <w:tcPr>
            <w:tcW w:w="1400" w:type="dxa"/>
            <w:tcBorders>
              <w:top w:val="nil"/>
              <w:left w:val="nil"/>
              <w:bottom w:val="nil"/>
              <w:right w:val="nil"/>
            </w:tcBorders>
            <w:shd w:val="clear" w:color="auto" w:fill="auto"/>
            <w:noWrap/>
            <w:vAlign w:val="bottom"/>
            <w:hideMark/>
          </w:tcPr>
          <w:p w14:paraId="47CB250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53,75%</w:t>
            </w:r>
          </w:p>
        </w:tc>
      </w:tr>
      <w:tr w:rsidR="00A360DB" w:rsidRPr="00A360DB" w14:paraId="51B6DC64" w14:textId="77777777" w:rsidTr="00A360DB">
        <w:trPr>
          <w:trHeight w:val="240"/>
        </w:trPr>
        <w:tc>
          <w:tcPr>
            <w:tcW w:w="1697" w:type="dxa"/>
            <w:tcBorders>
              <w:top w:val="nil"/>
              <w:left w:val="nil"/>
              <w:bottom w:val="nil"/>
              <w:right w:val="nil"/>
            </w:tcBorders>
            <w:shd w:val="clear" w:color="auto" w:fill="auto"/>
            <w:noWrap/>
            <w:vAlign w:val="bottom"/>
            <w:hideMark/>
          </w:tcPr>
          <w:p w14:paraId="5A5DB94E"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3111</w:t>
            </w:r>
          </w:p>
        </w:tc>
        <w:tc>
          <w:tcPr>
            <w:tcW w:w="8509" w:type="dxa"/>
            <w:tcBorders>
              <w:top w:val="nil"/>
              <w:left w:val="nil"/>
              <w:bottom w:val="nil"/>
              <w:right w:val="nil"/>
            </w:tcBorders>
            <w:shd w:val="clear" w:color="auto" w:fill="auto"/>
            <w:noWrap/>
            <w:vAlign w:val="bottom"/>
            <w:hideMark/>
          </w:tcPr>
          <w:p w14:paraId="589ADBC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Plaće za redovan rad                                                                                </w:t>
            </w:r>
          </w:p>
        </w:tc>
        <w:tc>
          <w:tcPr>
            <w:tcW w:w="1480" w:type="dxa"/>
            <w:tcBorders>
              <w:top w:val="nil"/>
              <w:left w:val="nil"/>
              <w:bottom w:val="nil"/>
              <w:right w:val="nil"/>
            </w:tcBorders>
            <w:shd w:val="clear" w:color="auto" w:fill="auto"/>
            <w:noWrap/>
            <w:vAlign w:val="bottom"/>
            <w:hideMark/>
          </w:tcPr>
          <w:p w14:paraId="47EF019E"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71DE271"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8.000,00</w:t>
            </w:r>
          </w:p>
        </w:tc>
        <w:tc>
          <w:tcPr>
            <w:tcW w:w="1400" w:type="dxa"/>
            <w:tcBorders>
              <w:top w:val="nil"/>
              <w:left w:val="nil"/>
              <w:bottom w:val="nil"/>
              <w:right w:val="nil"/>
            </w:tcBorders>
            <w:shd w:val="clear" w:color="auto" w:fill="auto"/>
            <w:noWrap/>
            <w:vAlign w:val="bottom"/>
            <w:hideMark/>
          </w:tcPr>
          <w:p w14:paraId="1084CCF0"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7368BEB" w14:textId="77777777" w:rsidTr="00A360DB">
        <w:trPr>
          <w:trHeight w:val="240"/>
        </w:trPr>
        <w:tc>
          <w:tcPr>
            <w:tcW w:w="1697" w:type="dxa"/>
            <w:tcBorders>
              <w:top w:val="nil"/>
              <w:left w:val="nil"/>
              <w:bottom w:val="nil"/>
              <w:right w:val="nil"/>
            </w:tcBorders>
            <w:shd w:val="clear" w:color="auto" w:fill="auto"/>
            <w:noWrap/>
            <w:vAlign w:val="bottom"/>
            <w:hideMark/>
          </w:tcPr>
          <w:p w14:paraId="6F31D3E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3121</w:t>
            </w:r>
          </w:p>
        </w:tc>
        <w:tc>
          <w:tcPr>
            <w:tcW w:w="8509" w:type="dxa"/>
            <w:tcBorders>
              <w:top w:val="nil"/>
              <w:left w:val="nil"/>
              <w:bottom w:val="nil"/>
              <w:right w:val="nil"/>
            </w:tcBorders>
            <w:shd w:val="clear" w:color="auto" w:fill="auto"/>
            <w:noWrap/>
            <w:vAlign w:val="bottom"/>
            <w:hideMark/>
          </w:tcPr>
          <w:p w14:paraId="659BFEA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Ostali rashodi za zaposlene                                                                         </w:t>
            </w:r>
          </w:p>
        </w:tc>
        <w:tc>
          <w:tcPr>
            <w:tcW w:w="1480" w:type="dxa"/>
            <w:tcBorders>
              <w:top w:val="nil"/>
              <w:left w:val="nil"/>
              <w:bottom w:val="nil"/>
              <w:right w:val="nil"/>
            </w:tcBorders>
            <w:shd w:val="clear" w:color="auto" w:fill="auto"/>
            <w:noWrap/>
            <w:vAlign w:val="bottom"/>
            <w:hideMark/>
          </w:tcPr>
          <w:p w14:paraId="2C84C7CD"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CF1BE5D"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25.700,00</w:t>
            </w:r>
          </w:p>
        </w:tc>
        <w:tc>
          <w:tcPr>
            <w:tcW w:w="1400" w:type="dxa"/>
            <w:tcBorders>
              <w:top w:val="nil"/>
              <w:left w:val="nil"/>
              <w:bottom w:val="nil"/>
              <w:right w:val="nil"/>
            </w:tcBorders>
            <w:shd w:val="clear" w:color="auto" w:fill="auto"/>
            <w:noWrap/>
            <w:vAlign w:val="bottom"/>
            <w:hideMark/>
          </w:tcPr>
          <w:p w14:paraId="6120ED25"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4A1B589" w14:textId="77777777" w:rsidTr="00A360DB">
        <w:trPr>
          <w:trHeight w:val="240"/>
        </w:trPr>
        <w:tc>
          <w:tcPr>
            <w:tcW w:w="1697" w:type="dxa"/>
            <w:tcBorders>
              <w:top w:val="nil"/>
              <w:left w:val="nil"/>
              <w:bottom w:val="nil"/>
              <w:right w:val="nil"/>
            </w:tcBorders>
            <w:shd w:val="clear" w:color="auto" w:fill="auto"/>
            <w:noWrap/>
            <w:vAlign w:val="bottom"/>
            <w:hideMark/>
          </w:tcPr>
          <w:p w14:paraId="12A28A4B"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00A02383"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1A7EF7E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180.200,00</w:t>
            </w:r>
          </w:p>
        </w:tc>
        <w:tc>
          <w:tcPr>
            <w:tcW w:w="1380" w:type="dxa"/>
            <w:tcBorders>
              <w:top w:val="nil"/>
              <w:left w:val="nil"/>
              <w:bottom w:val="nil"/>
              <w:right w:val="nil"/>
            </w:tcBorders>
            <w:shd w:val="clear" w:color="auto" w:fill="auto"/>
            <w:noWrap/>
            <w:vAlign w:val="bottom"/>
            <w:hideMark/>
          </w:tcPr>
          <w:p w14:paraId="13F97CA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152.518,76</w:t>
            </w:r>
          </w:p>
        </w:tc>
        <w:tc>
          <w:tcPr>
            <w:tcW w:w="1400" w:type="dxa"/>
            <w:tcBorders>
              <w:top w:val="nil"/>
              <w:left w:val="nil"/>
              <w:bottom w:val="nil"/>
              <w:right w:val="nil"/>
            </w:tcBorders>
            <w:shd w:val="clear" w:color="auto" w:fill="auto"/>
            <w:noWrap/>
            <w:vAlign w:val="bottom"/>
            <w:hideMark/>
          </w:tcPr>
          <w:p w14:paraId="652F5A2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84,64%</w:t>
            </w:r>
          </w:p>
        </w:tc>
      </w:tr>
      <w:tr w:rsidR="00A360DB" w:rsidRPr="00A360DB" w14:paraId="1FEFC63E" w14:textId="77777777" w:rsidTr="00A360DB">
        <w:trPr>
          <w:trHeight w:val="240"/>
        </w:trPr>
        <w:tc>
          <w:tcPr>
            <w:tcW w:w="1697" w:type="dxa"/>
            <w:tcBorders>
              <w:top w:val="nil"/>
              <w:left w:val="nil"/>
              <w:bottom w:val="nil"/>
              <w:right w:val="nil"/>
            </w:tcBorders>
            <w:shd w:val="clear" w:color="auto" w:fill="auto"/>
            <w:noWrap/>
            <w:vAlign w:val="bottom"/>
            <w:hideMark/>
          </w:tcPr>
          <w:p w14:paraId="2ABE2F9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3211</w:t>
            </w:r>
          </w:p>
        </w:tc>
        <w:tc>
          <w:tcPr>
            <w:tcW w:w="8509" w:type="dxa"/>
            <w:tcBorders>
              <w:top w:val="nil"/>
              <w:left w:val="nil"/>
              <w:bottom w:val="nil"/>
              <w:right w:val="nil"/>
            </w:tcBorders>
            <w:shd w:val="clear" w:color="auto" w:fill="auto"/>
            <w:noWrap/>
            <w:vAlign w:val="bottom"/>
            <w:hideMark/>
          </w:tcPr>
          <w:p w14:paraId="5D33D5F8"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Službena putovanja                                                                                  </w:t>
            </w:r>
          </w:p>
        </w:tc>
        <w:tc>
          <w:tcPr>
            <w:tcW w:w="1480" w:type="dxa"/>
            <w:tcBorders>
              <w:top w:val="nil"/>
              <w:left w:val="nil"/>
              <w:bottom w:val="nil"/>
              <w:right w:val="nil"/>
            </w:tcBorders>
            <w:shd w:val="clear" w:color="auto" w:fill="auto"/>
            <w:noWrap/>
            <w:vAlign w:val="bottom"/>
            <w:hideMark/>
          </w:tcPr>
          <w:p w14:paraId="28A47472"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813FBBA"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878,51</w:t>
            </w:r>
          </w:p>
        </w:tc>
        <w:tc>
          <w:tcPr>
            <w:tcW w:w="1400" w:type="dxa"/>
            <w:tcBorders>
              <w:top w:val="nil"/>
              <w:left w:val="nil"/>
              <w:bottom w:val="nil"/>
              <w:right w:val="nil"/>
            </w:tcBorders>
            <w:shd w:val="clear" w:color="auto" w:fill="auto"/>
            <w:noWrap/>
            <w:vAlign w:val="bottom"/>
            <w:hideMark/>
          </w:tcPr>
          <w:p w14:paraId="41ACDEE5"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190DBC9" w14:textId="77777777" w:rsidTr="00A360DB">
        <w:trPr>
          <w:trHeight w:val="240"/>
        </w:trPr>
        <w:tc>
          <w:tcPr>
            <w:tcW w:w="1697" w:type="dxa"/>
            <w:tcBorders>
              <w:top w:val="nil"/>
              <w:left w:val="nil"/>
              <w:bottom w:val="nil"/>
              <w:right w:val="nil"/>
            </w:tcBorders>
            <w:shd w:val="clear" w:color="auto" w:fill="auto"/>
            <w:noWrap/>
            <w:vAlign w:val="bottom"/>
            <w:hideMark/>
          </w:tcPr>
          <w:p w14:paraId="4C95043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3212</w:t>
            </w:r>
          </w:p>
        </w:tc>
        <w:tc>
          <w:tcPr>
            <w:tcW w:w="8509" w:type="dxa"/>
            <w:tcBorders>
              <w:top w:val="nil"/>
              <w:left w:val="nil"/>
              <w:bottom w:val="nil"/>
              <w:right w:val="nil"/>
            </w:tcBorders>
            <w:shd w:val="clear" w:color="auto" w:fill="auto"/>
            <w:noWrap/>
            <w:vAlign w:val="bottom"/>
            <w:hideMark/>
          </w:tcPr>
          <w:p w14:paraId="0BCF03E7"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Naknade za prijevoz, za rad na terenu i odvojeni život                                              </w:t>
            </w:r>
          </w:p>
        </w:tc>
        <w:tc>
          <w:tcPr>
            <w:tcW w:w="1480" w:type="dxa"/>
            <w:tcBorders>
              <w:top w:val="nil"/>
              <w:left w:val="nil"/>
              <w:bottom w:val="nil"/>
              <w:right w:val="nil"/>
            </w:tcBorders>
            <w:shd w:val="clear" w:color="auto" w:fill="auto"/>
            <w:noWrap/>
            <w:vAlign w:val="bottom"/>
            <w:hideMark/>
          </w:tcPr>
          <w:p w14:paraId="1FD5738F"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5ABF0918"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22.492,88</w:t>
            </w:r>
          </w:p>
        </w:tc>
        <w:tc>
          <w:tcPr>
            <w:tcW w:w="1400" w:type="dxa"/>
            <w:tcBorders>
              <w:top w:val="nil"/>
              <w:left w:val="nil"/>
              <w:bottom w:val="nil"/>
              <w:right w:val="nil"/>
            </w:tcBorders>
            <w:shd w:val="clear" w:color="auto" w:fill="auto"/>
            <w:noWrap/>
            <w:vAlign w:val="bottom"/>
            <w:hideMark/>
          </w:tcPr>
          <w:p w14:paraId="6DCCB6E2"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5BBF4B7A" w14:textId="77777777" w:rsidTr="00A360DB">
        <w:trPr>
          <w:trHeight w:val="240"/>
        </w:trPr>
        <w:tc>
          <w:tcPr>
            <w:tcW w:w="1697" w:type="dxa"/>
            <w:tcBorders>
              <w:top w:val="nil"/>
              <w:left w:val="nil"/>
              <w:bottom w:val="nil"/>
              <w:right w:val="nil"/>
            </w:tcBorders>
            <w:shd w:val="clear" w:color="auto" w:fill="auto"/>
            <w:noWrap/>
            <w:vAlign w:val="bottom"/>
            <w:hideMark/>
          </w:tcPr>
          <w:p w14:paraId="0D4C8637"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3213</w:t>
            </w:r>
          </w:p>
        </w:tc>
        <w:tc>
          <w:tcPr>
            <w:tcW w:w="8509" w:type="dxa"/>
            <w:tcBorders>
              <w:top w:val="nil"/>
              <w:left w:val="nil"/>
              <w:bottom w:val="nil"/>
              <w:right w:val="nil"/>
            </w:tcBorders>
            <w:shd w:val="clear" w:color="auto" w:fill="auto"/>
            <w:noWrap/>
            <w:vAlign w:val="bottom"/>
            <w:hideMark/>
          </w:tcPr>
          <w:p w14:paraId="4BC5977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Stručno usavršavanje zaposlenika                                                                    </w:t>
            </w:r>
          </w:p>
        </w:tc>
        <w:tc>
          <w:tcPr>
            <w:tcW w:w="1480" w:type="dxa"/>
            <w:tcBorders>
              <w:top w:val="nil"/>
              <w:left w:val="nil"/>
              <w:bottom w:val="nil"/>
              <w:right w:val="nil"/>
            </w:tcBorders>
            <w:shd w:val="clear" w:color="auto" w:fill="auto"/>
            <w:noWrap/>
            <w:vAlign w:val="bottom"/>
            <w:hideMark/>
          </w:tcPr>
          <w:p w14:paraId="764F8B03"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494DE6F"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2.326,46</w:t>
            </w:r>
          </w:p>
        </w:tc>
        <w:tc>
          <w:tcPr>
            <w:tcW w:w="1400" w:type="dxa"/>
            <w:tcBorders>
              <w:top w:val="nil"/>
              <w:left w:val="nil"/>
              <w:bottom w:val="nil"/>
              <w:right w:val="nil"/>
            </w:tcBorders>
            <w:shd w:val="clear" w:color="auto" w:fill="auto"/>
            <w:noWrap/>
            <w:vAlign w:val="bottom"/>
            <w:hideMark/>
          </w:tcPr>
          <w:p w14:paraId="3E263B57"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B2EE704" w14:textId="77777777" w:rsidTr="00A360DB">
        <w:trPr>
          <w:trHeight w:val="240"/>
        </w:trPr>
        <w:tc>
          <w:tcPr>
            <w:tcW w:w="1697" w:type="dxa"/>
            <w:tcBorders>
              <w:top w:val="nil"/>
              <w:left w:val="nil"/>
              <w:bottom w:val="nil"/>
              <w:right w:val="nil"/>
            </w:tcBorders>
            <w:shd w:val="clear" w:color="auto" w:fill="auto"/>
            <w:noWrap/>
            <w:vAlign w:val="bottom"/>
            <w:hideMark/>
          </w:tcPr>
          <w:p w14:paraId="54BF5D1D"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3214</w:t>
            </w:r>
          </w:p>
        </w:tc>
        <w:tc>
          <w:tcPr>
            <w:tcW w:w="8509" w:type="dxa"/>
            <w:tcBorders>
              <w:top w:val="nil"/>
              <w:left w:val="nil"/>
              <w:bottom w:val="nil"/>
              <w:right w:val="nil"/>
            </w:tcBorders>
            <w:shd w:val="clear" w:color="auto" w:fill="auto"/>
            <w:noWrap/>
            <w:vAlign w:val="bottom"/>
            <w:hideMark/>
          </w:tcPr>
          <w:p w14:paraId="4C63FA8D"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Ostale naknade troškova zaposlenima                                                                 </w:t>
            </w:r>
          </w:p>
        </w:tc>
        <w:tc>
          <w:tcPr>
            <w:tcW w:w="1480" w:type="dxa"/>
            <w:tcBorders>
              <w:top w:val="nil"/>
              <w:left w:val="nil"/>
              <w:bottom w:val="nil"/>
              <w:right w:val="nil"/>
            </w:tcBorders>
            <w:shd w:val="clear" w:color="auto" w:fill="auto"/>
            <w:noWrap/>
            <w:vAlign w:val="bottom"/>
            <w:hideMark/>
          </w:tcPr>
          <w:p w14:paraId="328FC4F8"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50843E73"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1.143,18</w:t>
            </w:r>
          </w:p>
        </w:tc>
        <w:tc>
          <w:tcPr>
            <w:tcW w:w="1400" w:type="dxa"/>
            <w:tcBorders>
              <w:top w:val="nil"/>
              <w:left w:val="nil"/>
              <w:bottom w:val="nil"/>
              <w:right w:val="nil"/>
            </w:tcBorders>
            <w:shd w:val="clear" w:color="auto" w:fill="auto"/>
            <w:noWrap/>
            <w:vAlign w:val="bottom"/>
            <w:hideMark/>
          </w:tcPr>
          <w:p w14:paraId="7C5CB23E"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B0CB225" w14:textId="77777777" w:rsidTr="00A360DB">
        <w:trPr>
          <w:trHeight w:val="240"/>
        </w:trPr>
        <w:tc>
          <w:tcPr>
            <w:tcW w:w="1697" w:type="dxa"/>
            <w:tcBorders>
              <w:top w:val="nil"/>
              <w:left w:val="nil"/>
              <w:bottom w:val="nil"/>
              <w:right w:val="nil"/>
            </w:tcBorders>
            <w:shd w:val="clear" w:color="auto" w:fill="auto"/>
            <w:noWrap/>
            <w:vAlign w:val="bottom"/>
            <w:hideMark/>
          </w:tcPr>
          <w:p w14:paraId="21614CE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3221</w:t>
            </w:r>
          </w:p>
        </w:tc>
        <w:tc>
          <w:tcPr>
            <w:tcW w:w="8509" w:type="dxa"/>
            <w:tcBorders>
              <w:top w:val="nil"/>
              <w:left w:val="nil"/>
              <w:bottom w:val="nil"/>
              <w:right w:val="nil"/>
            </w:tcBorders>
            <w:shd w:val="clear" w:color="auto" w:fill="auto"/>
            <w:noWrap/>
            <w:vAlign w:val="bottom"/>
            <w:hideMark/>
          </w:tcPr>
          <w:p w14:paraId="2CD052E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Uredski materijal i ostali materijalni rashodi                                                      </w:t>
            </w:r>
          </w:p>
        </w:tc>
        <w:tc>
          <w:tcPr>
            <w:tcW w:w="1480" w:type="dxa"/>
            <w:tcBorders>
              <w:top w:val="nil"/>
              <w:left w:val="nil"/>
              <w:bottom w:val="nil"/>
              <w:right w:val="nil"/>
            </w:tcBorders>
            <w:shd w:val="clear" w:color="auto" w:fill="auto"/>
            <w:noWrap/>
            <w:vAlign w:val="bottom"/>
            <w:hideMark/>
          </w:tcPr>
          <w:p w14:paraId="4F09FE20"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D66FC06"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16.982,33</w:t>
            </w:r>
          </w:p>
        </w:tc>
        <w:tc>
          <w:tcPr>
            <w:tcW w:w="1400" w:type="dxa"/>
            <w:tcBorders>
              <w:top w:val="nil"/>
              <w:left w:val="nil"/>
              <w:bottom w:val="nil"/>
              <w:right w:val="nil"/>
            </w:tcBorders>
            <w:shd w:val="clear" w:color="auto" w:fill="auto"/>
            <w:noWrap/>
            <w:vAlign w:val="bottom"/>
            <w:hideMark/>
          </w:tcPr>
          <w:p w14:paraId="02DF4953"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2E4E9DF" w14:textId="77777777" w:rsidTr="00A360DB">
        <w:trPr>
          <w:trHeight w:val="240"/>
        </w:trPr>
        <w:tc>
          <w:tcPr>
            <w:tcW w:w="1697" w:type="dxa"/>
            <w:tcBorders>
              <w:top w:val="nil"/>
              <w:left w:val="nil"/>
              <w:bottom w:val="nil"/>
              <w:right w:val="nil"/>
            </w:tcBorders>
            <w:shd w:val="clear" w:color="auto" w:fill="auto"/>
            <w:noWrap/>
            <w:vAlign w:val="bottom"/>
            <w:hideMark/>
          </w:tcPr>
          <w:p w14:paraId="411B09BD"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3222</w:t>
            </w:r>
          </w:p>
        </w:tc>
        <w:tc>
          <w:tcPr>
            <w:tcW w:w="8509" w:type="dxa"/>
            <w:tcBorders>
              <w:top w:val="nil"/>
              <w:left w:val="nil"/>
              <w:bottom w:val="nil"/>
              <w:right w:val="nil"/>
            </w:tcBorders>
            <w:shd w:val="clear" w:color="auto" w:fill="auto"/>
            <w:noWrap/>
            <w:vAlign w:val="bottom"/>
            <w:hideMark/>
          </w:tcPr>
          <w:p w14:paraId="45516F67"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Materijal i sirovine                                                                                </w:t>
            </w:r>
          </w:p>
        </w:tc>
        <w:tc>
          <w:tcPr>
            <w:tcW w:w="1480" w:type="dxa"/>
            <w:tcBorders>
              <w:top w:val="nil"/>
              <w:left w:val="nil"/>
              <w:bottom w:val="nil"/>
              <w:right w:val="nil"/>
            </w:tcBorders>
            <w:shd w:val="clear" w:color="auto" w:fill="auto"/>
            <w:noWrap/>
            <w:vAlign w:val="bottom"/>
            <w:hideMark/>
          </w:tcPr>
          <w:p w14:paraId="602B90CB"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25E9570"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52.647,98</w:t>
            </w:r>
          </w:p>
        </w:tc>
        <w:tc>
          <w:tcPr>
            <w:tcW w:w="1400" w:type="dxa"/>
            <w:tcBorders>
              <w:top w:val="nil"/>
              <w:left w:val="nil"/>
              <w:bottom w:val="nil"/>
              <w:right w:val="nil"/>
            </w:tcBorders>
            <w:shd w:val="clear" w:color="auto" w:fill="auto"/>
            <w:noWrap/>
            <w:vAlign w:val="bottom"/>
            <w:hideMark/>
          </w:tcPr>
          <w:p w14:paraId="0197AD6D"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279A788C" w14:textId="77777777" w:rsidTr="00A360DB">
        <w:trPr>
          <w:trHeight w:val="240"/>
        </w:trPr>
        <w:tc>
          <w:tcPr>
            <w:tcW w:w="1697" w:type="dxa"/>
            <w:tcBorders>
              <w:top w:val="nil"/>
              <w:left w:val="nil"/>
              <w:bottom w:val="nil"/>
              <w:right w:val="nil"/>
            </w:tcBorders>
            <w:shd w:val="clear" w:color="auto" w:fill="auto"/>
            <w:noWrap/>
            <w:vAlign w:val="bottom"/>
            <w:hideMark/>
          </w:tcPr>
          <w:p w14:paraId="12ECCE2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3223</w:t>
            </w:r>
          </w:p>
        </w:tc>
        <w:tc>
          <w:tcPr>
            <w:tcW w:w="8509" w:type="dxa"/>
            <w:tcBorders>
              <w:top w:val="nil"/>
              <w:left w:val="nil"/>
              <w:bottom w:val="nil"/>
              <w:right w:val="nil"/>
            </w:tcBorders>
            <w:shd w:val="clear" w:color="auto" w:fill="auto"/>
            <w:noWrap/>
            <w:vAlign w:val="bottom"/>
            <w:hideMark/>
          </w:tcPr>
          <w:p w14:paraId="21AC583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Energija                                                                                            </w:t>
            </w:r>
          </w:p>
        </w:tc>
        <w:tc>
          <w:tcPr>
            <w:tcW w:w="1480" w:type="dxa"/>
            <w:tcBorders>
              <w:top w:val="nil"/>
              <w:left w:val="nil"/>
              <w:bottom w:val="nil"/>
              <w:right w:val="nil"/>
            </w:tcBorders>
            <w:shd w:val="clear" w:color="auto" w:fill="auto"/>
            <w:noWrap/>
            <w:vAlign w:val="bottom"/>
            <w:hideMark/>
          </w:tcPr>
          <w:p w14:paraId="6BC0E2BF"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1C7BAC0"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26.285,60</w:t>
            </w:r>
          </w:p>
        </w:tc>
        <w:tc>
          <w:tcPr>
            <w:tcW w:w="1400" w:type="dxa"/>
            <w:tcBorders>
              <w:top w:val="nil"/>
              <w:left w:val="nil"/>
              <w:bottom w:val="nil"/>
              <w:right w:val="nil"/>
            </w:tcBorders>
            <w:shd w:val="clear" w:color="auto" w:fill="auto"/>
            <w:noWrap/>
            <w:vAlign w:val="bottom"/>
            <w:hideMark/>
          </w:tcPr>
          <w:p w14:paraId="465435A3"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092B1C9" w14:textId="77777777" w:rsidTr="00A360DB">
        <w:trPr>
          <w:trHeight w:val="240"/>
        </w:trPr>
        <w:tc>
          <w:tcPr>
            <w:tcW w:w="1697" w:type="dxa"/>
            <w:tcBorders>
              <w:top w:val="nil"/>
              <w:left w:val="nil"/>
              <w:bottom w:val="nil"/>
              <w:right w:val="nil"/>
            </w:tcBorders>
            <w:shd w:val="clear" w:color="auto" w:fill="auto"/>
            <w:noWrap/>
            <w:vAlign w:val="bottom"/>
            <w:hideMark/>
          </w:tcPr>
          <w:p w14:paraId="6C0F4D87"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3225</w:t>
            </w:r>
          </w:p>
        </w:tc>
        <w:tc>
          <w:tcPr>
            <w:tcW w:w="8509" w:type="dxa"/>
            <w:tcBorders>
              <w:top w:val="nil"/>
              <w:left w:val="nil"/>
              <w:bottom w:val="nil"/>
              <w:right w:val="nil"/>
            </w:tcBorders>
            <w:shd w:val="clear" w:color="auto" w:fill="auto"/>
            <w:noWrap/>
            <w:vAlign w:val="bottom"/>
            <w:hideMark/>
          </w:tcPr>
          <w:p w14:paraId="221E168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Sitni inventar i auto gume</w:t>
            </w:r>
          </w:p>
        </w:tc>
        <w:tc>
          <w:tcPr>
            <w:tcW w:w="1480" w:type="dxa"/>
            <w:tcBorders>
              <w:top w:val="nil"/>
              <w:left w:val="nil"/>
              <w:bottom w:val="nil"/>
              <w:right w:val="nil"/>
            </w:tcBorders>
            <w:shd w:val="clear" w:color="auto" w:fill="auto"/>
            <w:noWrap/>
            <w:vAlign w:val="bottom"/>
            <w:hideMark/>
          </w:tcPr>
          <w:p w14:paraId="7751FA0C"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1EF29E7D"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4.768,20</w:t>
            </w:r>
          </w:p>
        </w:tc>
        <w:tc>
          <w:tcPr>
            <w:tcW w:w="1400" w:type="dxa"/>
            <w:tcBorders>
              <w:top w:val="nil"/>
              <w:left w:val="nil"/>
              <w:bottom w:val="nil"/>
              <w:right w:val="nil"/>
            </w:tcBorders>
            <w:shd w:val="clear" w:color="auto" w:fill="auto"/>
            <w:noWrap/>
            <w:vAlign w:val="bottom"/>
            <w:hideMark/>
          </w:tcPr>
          <w:p w14:paraId="5CB6EC43"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2EDD488E" w14:textId="77777777" w:rsidTr="00A360DB">
        <w:trPr>
          <w:trHeight w:val="240"/>
        </w:trPr>
        <w:tc>
          <w:tcPr>
            <w:tcW w:w="1697" w:type="dxa"/>
            <w:tcBorders>
              <w:top w:val="nil"/>
              <w:left w:val="nil"/>
              <w:bottom w:val="nil"/>
              <w:right w:val="nil"/>
            </w:tcBorders>
            <w:shd w:val="clear" w:color="auto" w:fill="auto"/>
            <w:noWrap/>
            <w:vAlign w:val="bottom"/>
            <w:hideMark/>
          </w:tcPr>
          <w:p w14:paraId="46BB57FE"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3227</w:t>
            </w:r>
          </w:p>
        </w:tc>
        <w:tc>
          <w:tcPr>
            <w:tcW w:w="8509" w:type="dxa"/>
            <w:tcBorders>
              <w:top w:val="nil"/>
              <w:left w:val="nil"/>
              <w:bottom w:val="nil"/>
              <w:right w:val="nil"/>
            </w:tcBorders>
            <w:shd w:val="clear" w:color="auto" w:fill="auto"/>
            <w:noWrap/>
            <w:vAlign w:val="bottom"/>
            <w:hideMark/>
          </w:tcPr>
          <w:p w14:paraId="1C2B7B6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Službena, radna i zaštitna odjeća i obuća                                                           </w:t>
            </w:r>
          </w:p>
        </w:tc>
        <w:tc>
          <w:tcPr>
            <w:tcW w:w="1480" w:type="dxa"/>
            <w:tcBorders>
              <w:top w:val="nil"/>
              <w:left w:val="nil"/>
              <w:bottom w:val="nil"/>
              <w:right w:val="nil"/>
            </w:tcBorders>
            <w:shd w:val="clear" w:color="auto" w:fill="auto"/>
            <w:noWrap/>
            <w:vAlign w:val="bottom"/>
            <w:hideMark/>
          </w:tcPr>
          <w:p w14:paraId="4B28CC05"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727B3DB"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467,30</w:t>
            </w:r>
          </w:p>
        </w:tc>
        <w:tc>
          <w:tcPr>
            <w:tcW w:w="1400" w:type="dxa"/>
            <w:tcBorders>
              <w:top w:val="nil"/>
              <w:left w:val="nil"/>
              <w:bottom w:val="nil"/>
              <w:right w:val="nil"/>
            </w:tcBorders>
            <w:shd w:val="clear" w:color="auto" w:fill="auto"/>
            <w:noWrap/>
            <w:vAlign w:val="bottom"/>
            <w:hideMark/>
          </w:tcPr>
          <w:p w14:paraId="492BC2CF"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F720873" w14:textId="77777777" w:rsidTr="00A360DB">
        <w:trPr>
          <w:trHeight w:val="240"/>
        </w:trPr>
        <w:tc>
          <w:tcPr>
            <w:tcW w:w="1697" w:type="dxa"/>
            <w:tcBorders>
              <w:top w:val="nil"/>
              <w:left w:val="nil"/>
              <w:bottom w:val="nil"/>
              <w:right w:val="nil"/>
            </w:tcBorders>
            <w:shd w:val="clear" w:color="auto" w:fill="auto"/>
            <w:noWrap/>
            <w:vAlign w:val="bottom"/>
            <w:hideMark/>
          </w:tcPr>
          <w:p w14:paraId="7A3542C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lastRenderedPageBreak/>
              <w:t>3231</w:t>
            </w:r>
          </w:p>
        </w:tc>
        <w:tc>
          <w:tcPr>
            <w:tcW w:w="8509" w:type="dxa"/>
            <w:tcBorders>
              <w:top w:val="nil"/>
              <w:left w:val="nil"/>
              <w:bottom w:val="nil"/>
              <w:right w:val="nil"/>
            </w:tcBorders>
            <w:shd w:val="clear" w:color="auto" w:fill="auto"/>
            <w:noWrap/>
            <w:vAlign w:val="bottom"/>
            <w:hideMark/>
          </w:tcPr>
          <w:p w14:paraId="684ED7C7"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Usluge telefona, pošte i prijevoza                                                                  </w:t>
            </w:r>
          </w:p>
        </w:tc>
        <w:tc>
          <w:tcPr>
            <w:tcW w:w="1480" w:type="dxa"/>
            <w:tcBorders>
              <w:top w:val="nil"/>
              <w:left w:val="nil"/>
              <w:bottom w:val="nil"/>
              <w:right w:val="nil"/>
            </w:tcBorders>
            <w:shd w:val="clear" w:color="auto" w:fill="auto"/>
            <w:noWrap/>
            <w:vAlign w:val="bottom"/>
            <w:hideMark/>
          </w:tcPr>
          <w:p w14:paraId="33B8DC43"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55E6D08D"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1.992,31</w:t>
            </w:r>
          </w:p>
        </w:tc>
        <w:tc>
          <w:tcPr>
            <w:tcW w:w="1400" w:type="dxa"/>
            <w:tcBorders>
              <w:top w:val="nil"/>
              <w:left w:val="nil"/>
              <w:bottom w:val="nil"/>
              <w:right w:val="nil"/>
            </w:tcBorders>
            <w:shd w:val="clear" w:color="auto" w:fill="auto"/>
            <w:noWrap/>
            <w:vAlign w:val="bottom"/>
            <w:hideMark/>
          </w:tcPr>
          <w:p w14:paraId="12DBA5BD"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FAEBE16" w14:textId="77777777" w:rsidTr="00A360DB">
        <w:trPr>
          <w:trHeight w:val="240"/>
        </w:trPr>
        <w:tc>
          <w:tcPr>
            <w:tcW w:w="1697" w:type="dxa"/>
            <w:tcBorders>
              <w:top w:val="nil"/>
              <w:left w:val="nil"/>
              <w:bottom w:val="nil"/>
              <w:right w:val="nil"/>
            </w:tcBorders>
            <w:shd w:val="clear" w:color="auto" w:fill="auto"/>
            <w:noWrap/>
            <w:vAlign w:val="bottom"/>
            <w:hideMark/>
          </w:tcPr>
          <w:p w14:paraId="24BACD8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3234</w:t>
            </w:r>
          </w:p>
        </w:tc>
        <w:tc>
          <w:tcPr>
            <w:tcW w:w="8509" w:type="dxa"/>
            <w:tcBorders>
              <w:top w:val="nil"/>
              <w:left w:val="nil"/>
              <w:bottom w:val="nil"/>
              <w:right w:val="nil"/>
            </w:tcBorders>
            <w:shd w:val="clear" w:color="auto" w:fill="auto"/>
            <w:noWrap/>
            <w:vAlign w:val="bottom"/>
            <w:hideMark/>
          </w:tcPr>
          <w:p w14:paraId="2D6AFB1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Komunalne usluge                                                                                    </w:t>
            </w:r>
          </w:p>
        </w:tc>
        <w:tc>
          <w:tcPr>
            <w:tcW w:w="1480" w:type="dxa"/>
            <w:tcBorders>
              <w:top w:val="nil"/>
              <w:left w:val="nil"/>
              <w:bottom w:val="nil"/>
              <w:right w:val="nil"/>
            </w:tcBorders>
            <w:shd w:val="clear" w:color="auto" w:fill="auto"/>
            <w:noWrap/>
            <w:vAlign w:val="bottom"/>
            <w:hideMark/>
          </w:tcPr>
          <w:p w14:paraId="7C2FC61F"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FD07D82"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9.154,23</w:t>
            </w:r>
          </w:p>
        </w:tc>
        <w:tc>
          <w:tcPr>
            <w:tcW w:w="1400" w:type="dxa"/>
            <w:tcBorders>
              <w:top w:val="nil"/>
              <w:left w:val="nil"/>
              <w:bottom w:val="nil"/>
              <w:right w:val="nil"/>
            </w:tcBorders>
            <w:shd w:val="clear" w:color="auto" w:fill="auto"/>
            <w:noWrap/>
            <w:vAlign w:val="bottom"/>
            <w:hideMark/>
          </w:tcPr>
          <w:p w14:paraId="0C6BD3F3"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C15AB3C" w14:textId="77777777" w:rsidTr="00A360DB">
        <w:trPr>
          <w:trHeight w:val="240"/>
        </w:trPr>
        <w:tc>
          <w:tcPr>
            <w:tcW w:w="1697" w:type="dxa"/>
            <w:tcBorders>
              <w:top w:val="nil"/>
              <w:left w:val="nil"/>
              <w:bottom w:val="nil"/>
              <w:right w:val="nil"/>
            </w:tcBorders>
            <w:shd w:val="clear" w:color="auto" w:fill="auto"/>
            <w:noWrap/>
            <w:vAlign w:val="bottom"/>
            <w:hideMark/>
          </w:tcPr>
          <w:p w14:paraId="0DBF1D4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3236</w:t>
            </w:r>
          </w:p>
        </w:tc>
        <w:tc>
          <w:tcPr>
            <w:tcW w:w="8509" w:type="dxa"/>
            <w:tcBorders>
              <w:top w:val="nil"/>
              <w:left w:val="nil"/>
              <w:bottom w:val="nil"/>
              <w:right w:val="nil"/>
            </w:tcBorders>
            <w:shd w:val="clear" w:color="auto" w:fill="auto"/>
            <w:noWrap/>
            <w:vAlign w:val="bottom"/>
            <w:hideMark/>
          </w:tcPr>
          <w:p w14:paraId="77D3B52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Zdravstvene i veterinarske usluge                                                                   </w:t>
            </w:r>
          </w:p>
        </w:tc>
        <w:tc>
          <w:tcPr>
            <w:tcW w:w="1480" w:type="dxa"/>
            <w:tcBorders>
              <w:top w:val="nil"/>
              <w:left w:val="nil"/>
              <w:bottom w:val="nil"/>
              <w:right w:val="nil"/>
            </w:tcBorders>
            <w:shd w:val="clear" w:color="auto" w:fill="auto"/>
            <w:noWrap/>
            <w:vAlign w:val="bottom"/>
            <w:hideMark/>
          </w:tcPr>
          <w:p w14:paraId="0FD8F954"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11E1B780"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4.282,30</w:t>
            </w:r>
          </w:p>
        </w:tc>
        <w:tc>
          <w:tcPr>
            <w:tcW w:w="1400" w:type="dxa"/>
            <w:tcBorders>
              <w:top w:val="nil"/>
              <w:left w:val="nil"/>
              <w:bottom w:val="nil"/>
              <w:right w:val="nil"/>
            </w:tcBorders>
            <w:shd w:val="clear" w:color="auto" w:fill="auto"/>
            <w:noWrap/>
            <w:vAlign w:val="bottom"/>
            <w:hideMark/>
          </w:tcPr>
          <w:p w14:paraId="1B4974E1"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A2E6E62" w14:textId="77777777" w:rsidTr="00A360DB">
        <w:trPr>
          <w:trHeight w:val="240"/>
        </w:trPr>
        <w:tc>
          <w:tcPr>
            <w:tcW w:w="1697" w:type="dxa"/>
            <w:tcBorders>
              <w:top w:val="nil"/>
              <w:left w:val="nil"/>
              <w:bottom w:val="nil"/>
              <w:right w:val="nil"/>
            </w:tcBorders>
            <w:shd w:val="clear" w:color="auto" w:fill="auto"/>
            <w:noWrap/>
            <w:vAlign w:val="bottom"/>
            <w:hideMark/>
          </w:tcPr>
          <w:p w14:paraId="1657124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3237</w:t>
            </w:r>
          </w:p>
        </w:tc>
        <w:tc>
          <w:tcPr>
            <w:tcW w:w="8509" w:type="dxa"/>
            <w:tcBorders>
              <w:top w:val="nil"/>
              <w:left w:val="nil"/>
              <w:bottom w:val="nil"/>
              <w:right w:val="nil"/>
            </w:tcBorders>
            <w:shd w:val="clear" w:color="auto" w:fill="auto"/>
            <w:noWrap/>
            <w:vAlign w:val="bottom"/>
            <w:hideMark/>
          </w:tcPr>
          <w:p w14:paraId="25654D2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Intelektualne i osobne usluge                                                                       </w:t>
            </w:r>
          </w:p>
        </w:tc>
        <w:tc>
          <w:tcPr>
            <w:tcW w:w="1480" w:type="dxa"/>
            <w:tcBorders>
              <w:top w:val="nil"/>
              <w:left w:val="nil"/>
              <w:bottom w:val="nil"/>
              <w:right w:val="nil"/>
            </w:tcBorders>
            <w:shd w:val="clear" w:color="auto" w:fill="auto"/>
            <w:noWrap/>
            <w:vAlign w:val="bottom"/>
            <w:hideMark/>
          </w:tcPr>
          <w:p w14:paraId="3A4E2B82"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3E7FF9A"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5.785,71</w:t>
            </w:r>
          </w:p>
        </w:tc>
        <w:tc>
          <w:tcPr>
            <w:tcW w:w="1400" w:type="dxa"/>
            <w:tcBorders>
              <w:top w:val="nil"/>
              <w:left w:val="nil"/>
              <w:bottom w:val="nil"/>
              <w:right w:val="nil"/>
            </w:tcBorders>
            <w:shd w:val="clear" w:color="auto" w:fill="auto"/>
            <w:noWrap/>
            <w:vAlign w:val="bottom"/>
            <w:hideMark/>
          </w:tcPr>
          <w:p w14:paraId="5645ADEE"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CF12830" w14:textId="77777777" w:rsidTr="00A360DB">
        <w:trPr>
          <w:trHeight w:val="240"/>
        </w:trPr>
        <w:tc>
          <w:tcPr>
            <w:tcW w:w="1697" w:type="dxa"/>
            <w:tcBorders>
              <w:top w:val="nil"/>
              <w:left w:val="nil"/>
              <w:bottom w:val="nil"/>
              <w:right w:val="nil"/>
            </w:tcBorders>
            <w:shd w:val="clear" w:color="auto" w:fill="auto"/>
            <w:noWrap/>
            <w:vAlign w:val="bottom"/>
            <w:hideMark/>
          </w:tcPr>
          <w:p w14:paraId="724D8728"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3238</w:t>
            </w:r>
          </w:p>
        </w:tc>
        <w:tc>
          <w:tcPr>
            <w:tcW w:w="8509" w:type="dxa"/>
            <w:tcBorders>
              <w:top w:val="nil"/>
              <w:left w:val="nil"/>
              <w:bottom w:val="nil"/>
              <w:right w:val="nil"/>
            </w:tcBorders>
            <w:shd w:val="clear" w:color="auto" w:fill="auto"/>
            <w:noWrap/>
            <w:vAlign w:val="bottom"/>
            <w:hideMark/>
          </w:tcPr>
          <w:p w14:paraId="2346F667"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Računalne usluge                                                                                    </w:t>
            </w:r>
          </w:p>
        </w:tc>
        <w:tc>
          <w:tcPr>
            <w:tcW w:w="1480" w:type="dxa"/>
            <w:tcBorders>
              <w:top w:val="nil"/>
              <w:left w:val="nil"/>
              <w:bottom w:val="nil"/>
              <w:right w:val="nil"/>
            </w:tcBorders>
            <w:shd w:val="clear" w:color="auto" w:fill="auto"/>
            <w:noWrap/>
            <w:vAlign w:val="bottom"/>
            <w:hideMark/>
          </w:tcPr>
          <w:p w14:paraId="7467A468"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71B2590"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392,11</w:t>
            </w:r>
          </w:p>
        </w:tc>
        <w:tc>
          <w:tcPr>
            <w:tcW w:w="1400" w:type="dxa"/>
            <w:tcBorders>
              <w:top w:val="nil"/>
              <w:left w:val="nil"/>
              <w:bottom w:val="nil"/>
              <w:right w:val="nil"/>
            </w:tcBorders>
            <w:shd w:val="clear" w:color="auto" w:fill="auto"/>
            <w:noWrap/>
            <w:vAlign w:val="bottom"/>
            <w:hideMark/>
          </w:tcPr>
          <w:p w14:paraId="777CE1D9"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FD2C58B" w14:textId="77777777" w:rsidTr="00A360DB">
        <w:trPr>
          <w:trHeight w:val="240"/>
        </w:trPr>
        <w:tc>
          <w:tcPr>
            <w:tcW w:w="1697" w:type="dxa"/>
            <w:tcBorders>
              <w:top w:val="nil"/>
              <w:left w:val="nil"/>
              <w:bottom w:val="nil"/>
              <w:right w:val="nil"/>
            </w:tcBorders>
            <w:shd w:val="clear" w:color="auto" w:fill="auto"/>
            <w:noWrap/>
            <w:vAlign w:val="bottom"/>
            <w:hideMark/>
          </w:tcPr>
          <w:p w14:paraId="1A9F71B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3239</w:t>
            </w:r>
          </w:p>
        </w:tc>
        <w:tc>
          <w:tcPr>
            <w:tcW w:w="8509" w:type="dxa"/>
            <w:tcBorders>
              <w:top w:val="nil"/>
              <w:left w:val="nil"/>
              <w:bottom w:val="nil"/>
              <w:right w:val="nil"/>
            </w:tcBorders>
            <w:shd w:val="clear" w:color="auto" w:fill="auto"/>
            <w:noWrap/>
            <w:vAlign w:val="bottom"/>
            <w:hideMark/>
          </w:tcPr>
          <w:p w14:paraId="71DA166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Ostale usluge                                                                                       </w:t>
            </w:r>
          </w:p>
        </w:tc>
        <w:tc>
          <w:tcPr>
            <w:tcW w:w="1480" w:type="dxa"/>
            <w:tcBorders>
              <w:top w:val="nil"/>
              <w:left w:val="nil"/>
              <w:bottom w:val="nil"/>
              <w:right w:val="nil"/>
            </w:tcBorders>
            <w:shd w:val="clear" w:color="auto" w:fill="auto"/>
            <w:noWrap/>
            <w:vAlign w:val="bottom"/>
            <w:hideMark/>
          </w:tcPr>
          <w:p w14:paraId="569A4B9A"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8533938"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676,48</w:t>
            </w:r>
          </w:p>
        </w:tc>
        <w:tc>
          <w:tcPr>
            <w:tcW w:w="1400" w:type="dxa"/>
            <w:tcBorders>
              <w:top w:val="nil"/>
              <w:left w:val="nil"/>
              <w:bottom w:val="nil"/>
              <w:right w:val="nil"/>
            </w:tcBorders>
            <w:shd w:val="clear" w:color="auto" w:fill="auto"/>
            <w:noWrap/>
            <w:vAlign w:val="bottom"/>
            <w:hideMark/>
          </w:tcPr>
          <w:p w14:paraId="2BC7173A"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D418945" w14:textId="77777777" w:rsidTr="00A360DB">
        <w:trPr>
          <w:trHeight w:val="240"/>
        </w:trPr>
        <w:tc>
          <w:tcPr>
            <w:tcW w:w="1697" w:type="dxa"/>
            <w:tcBorders>
              <w:top w:val="nil"/>
              <w:left w:val="nil"/>
              <w:bottom w:val="nil"/>
              <w:right w:val="nil"/>
            </w:tcBorders>
            <w:shd w:val="clear" w:color="auto" w:fill="auto"/>
            <w:noWrap/>
            <w:vAlign w:val="bottom"/>
            <w:hideMark/>
          </w:tcPr>
          <w:p w14:paraId="23F1253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3292</w:t>
            </w:r>
          </w:p>
        </w:tc>
        <w:tc>
          <w:tcPr>
            <w:tcW w:w="8509" w:type="dxa"/>
            <w:tcBorders>
              <w:top w:val="nil"/>
              <w:left w:val="nil"/>
              <w:bottom w:val="nil"/>
              <w:right w:val="nil"/>
            </w:tcBorders>
            <w:shd w:val="clear" w:color="auto" w:fill="auto"/>
            <w:noWrap/>
            <w:vAlign w:val="bottom"/>
            <w:hideMark/>
          </w:tcPr>
          <w:p w14:paraId="752C650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Premije osiguranja                                                                                  </w:t>
            </w:r>
          </w:p>
        </w:tc>
        <w:tc>
          <w:tcPr>
            <w:tcW w:w="1480" w:type="dxa"/>
            <w:tcBorders>
              <w:top w:val="nil"/>
              <w:left w:val="nil"/>
              <w:bottom w:val="nil"/>
              <w:right w:val="nil"/>
            </w:tcBorders>
            <w:shd w:val="clear" w:color="auto" w:fill="auto"/>
            <w:noWrap/>
            <w:vAlign w:val="bottom"/>
            <w:hideMark/>
          </w:tcPr>
          <w:p w14:paraId="432D698E"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0375184"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691,17</w:t>
            </w:r>
          </w:p>
        </w:tc>
        <w:tc>
          <w:tcPr>
            <w:tcW w:w="1400" w:type="dxa"/>
            <w:tcBorders>
              <w:top w:val="nil"/>
              <w:left w:val="nil"/>
              <w:bottom w:val="nil"/>
              <w:right w:val="nil"/>
            </w:tcBorders>
            <w:shd w:val="clear" w:color="auto" w:fill="auto"/>
            <w:noWrap/>
            <w:vAlign w:val="bottom"/>
            <w:hideMark/>
          </w:tcPr>
          <w:p w14:paraId="253F0222"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8D3E10E" w14:textId="77777777" w:rsidTr="00A360DB">
        <w:trPr>
          <w:trHeight w:val="240"/>
        </w:trPr>
        <w:tc>
          <w:tcPr>
            <w:tcW w:w="1697" w:type="dxa"/>
            <w:tcBorders>
              <w:top w:val="nil"/>
              <w:left w:val="nil"/>
              <w:bottom w:val="nil"/>
              <w:right w:val="nil"/>
            </w:tcBorders>
            <w:shd w:val="clear" w:color="auto" w:fill="auto"/>
            <w:noWrap/>
            <w:vAlign w:val="bottom"/>
            <w:hideMark/>
          </w:tcPr>
          <w:p w14:paraId="563C21BD"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3293</w:t>
            </w:r>
          </w:p>
        </w:tc>
        <w:tc>
          <w:tcPr>
            <w:tcW w:w="8509" w:type="dxa"/>
            <w:tcBorders>
              <w:top w:val="nil"/>
              <w:left w:val="nil"/>
              <w:bottom w:val="nil"/>
              <w:right w:val="nil"/>
            </w:tcBorders>
            <w:shd w:val="clear" w:color="auto" w:fill="auto"/>
            <w:noWrap/>
            <w:vAlign w:val="bottom"/>
            <w:hideMark/>
          </w:tcPr>
          <w:p w14:paraId="5BE72B4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Reprezentacija                                                                                      </w:t>
            </w:r>
          </w:p>
        </w:tc>
        <w:tc>
          <w:tcPr>
            <w:tcW w:w="1480" w:type="dxa"/>
            <w:tcBorders>
              <w:top w:val="nil"/>
              <w:left w:val="nil"/>
              <w:bottom w:val="nil"/>
              <w:right w:val="nil"/>
            </w:tcBorders>
            <w:shd w:val="clear" w:color="auto" w:fill="auto"/>
            <w:noWrap/>
            <w:vAlign w:val="bottom"/>
            <w:hideMark/>
          </w:tcPr>
          <w:p w14:paraId="4E74E211"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5118FBF"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57,05</w:t>
            </w:r>
          </w:p>
        </w:tc>
        <w:tc>
          <w:tcPr>
            <w:tcW w:w="1400" w:type="dxa"/>
            <w:tcBorders>
              <w:top w:val="nil"/>
              <w:left w:val="nil"/>
              <w:bottom w:val="nil"/>
              <w:right w:val="nil"/>
            </w:tcBorders>
            <w:shd w:val="clear" w:color="auto" w:fill="auto"/>
            <w:noWrap/>
            <w:vAlign w:val="bottom"/>
            <w:hideMark/>
          </w:tcPr>
          <w:p w14:paraId="3DC48FF8"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BA83F90" w14:textId="77777777" w:rsidTr="00A360DB">
        <w:trPr>
          <w:trHeight w:val="240"/>
        </w:trPr>
        <w:tc>
          <w:tcPr>
            <w:tcW w:w="1697" w:type="dxa"/>
            <w:tcBorders>
              <w:top w:val="nil"/>
              <w:left w:val="nil"/>
              <w:bottom w:val="nil"/>
              <w:right w:val="nil"/>
            </w:tcBorders>
            <w:shd w:val="clear" w:color="auto" w:fill="auto"/>
            <w:noWrap/>
            <w:vAlign w:val="bottom"/>
            <w:hideMark/>
          </w:tcPr>
          <w:p w14:paraId="336DA64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3295</w:t>
            </w:r>
          </w:p>
        </w:tc>
        <w:tc>
          <w:tcPr>
            <w:tcW w:w="8509" w:type="dxa"/>
            <w:tcBorders>
              <w:top w:val="nil"/>
              <w:left w:val="nil"/>
              <w:bottom w:val="nil"/>
              <w:right w:val="nil"/>
            </w:tcBorders>
            <w:shd w:val="clear" w:color="auto" w:fill="auto"/>
            <w:noWrap/>
            <w:vAlign w:val="bottom"/>
            <w:hideMark/>
          </w:tcPr>
          <w:p w14:paraId="10901975"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Pristojbe i naknade                                                                                 </w:t>
            </w:r>
          </w:p>
        </w:tc>
        <w:tc>
          <w:tcPr>
            <w:tcW w:w="1480" w:type="dxa"/>
            <w:tcBorders>
              <w:top w:val="nil"/>
              <w:left w:val="nil"/>
              <w:bottom w:val="nil"/>
              <w:right w:val="nil"/>
            </w:tcBorders>
            <w:shd w:val="clear" w:color="auto" w:fill="auto"/>
            <w:noWrap/>
            <w:vAlign w:val="bottom"/>
            <w:hideMark/>
          </w:tcPr>
          <w:p w14:paraId="032D4B10"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BA56912"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1.346,15</w:t>
            </w:r>
          </w:p>
        </w:tc>
        <w:tc>
          <w:tcPr>
            <w:tcW w:w="1400" w:type="dxa"/>
            <w:tcBorders>
              <w:top w:val="nil"/>
              <w:left w:val="nil"/>
              <w:bottom w:val="nil"/>
              <w:right w:val="nil"/>
            </w:tcBorders>
            <w:shd w:val="clear" w:color="auto" w:fill="auto"/>
            <w:noWrap/>
            <w:vAlign w:val="bottom"/>
            <w:hideMark/>
          </w:tcPr>
          <w:p w14:paraId="13BCC397"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17FFD40" w14:textId="77777777" w:rsidTr="00A360DB">
        <w:trPr>
          <w:trHeight w:val="240"/>
        </w:trPr>
        <w:tc>
          <w:tcPr>
            <w:tcW w:w="1697" w:type="dxa"/>
            <w:tcBorders>
              <w:top w:val="nil"/>
              <w:left w:val="nil"/>
              <w:bottom w:val="nil"/>
              <w:right w:val="nil"/>
            </w:tcBorders>
            <w:shd w:val="clear" w:color="auto" w:fill="auto"/>
            <w:noWrap/>
            <w:vAlign w:val="bottom"/>
            <w:hideMark/>
          </w:tcPr>
          <w:p w14:paraId="109B4AA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3299</w:t>
            </w:r>
          </w:p>
        </w:tc>
        <w:tc>
          <w:tcPr>
            <w:tcW w:w="8509" w:type="dxa"/>
            <w:tcBorders>
              <w:top w:val="nil"/>
              <w:left w:val="nil"/>
              <w:bottom w:val="nil"/>
              <w:right w:val="nil"/>
            </w:tcBorders>
            <w:shd w:val="clear" w:color="auto" w:fill="auto"/>
            <w:noWrap/>
            <w:vAlign w:val="bottom"/>
            <w:hideMark/>
          </w:tcPr>
          <w:p w14:paraId="308B0218"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Ostali nespomenuti rashodi poslovanja                                                               </w:t>
            </w:r>
          </w:p>
        </w:tc>
        <w:tc>
          <w:tcPr>
            <w:tcW w:w="1480" w:type="dxa"/>
            <w:tcBorders>
              <w:top w:val="nil"/>
              <w:left w:val="nil"/>
              <w:bottom w:val="nil"/>
              <w:right w:val="nil"/>
            </w:tcBorders>
            <w:shd w:val="clear" w:color="auto" w:fill="auto"/>
            <w:noWrap/>
            <w:vAlign w:val="bottom"/>
            <w:hideMark/>
          </w:tcPr>
          <w:p w14:paraId="5FDC1301"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18D207B9"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148,81</w:t>
            </w:r>
          </w:p>
        </w:tc>
        <w:tc>
          <w:tcPr>
            <w:tcW w:w="1400" w:type="dxa"/>
            <w:tcBorders>
              <w:top w:val="nil"/>
              <w:left w:val="nil"/>
              <w:bottom w:val="nil"/>
              <w:right w:val="nil"/>
            </w:tcBorders>
            <w:shd w:val="clear" w:color="auto" w:fill="auto"/>
            <w:noWrap/>
            <w:vAlign w:val="bottom"/>
            <w:hideMark/>
          </w:tcPr>
          <w:p w14:paraId="4C7F0F6F"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5814594C"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623579D"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5. Pomoći</w:t>
            </w:r>
          </w:p>
        </w:tc>
        <w:tc>
          <w:tcPr>
            <w:tcW w:w="1480" w:type="dxa"/>
            <w:tcBorders>
              <w:top w:val="nil"/>
              <w:left w:val="nil"/>
              <w:bottom w:val="nil"/>
              <w:right w:val="nil"/>
            </w:tcBorders>
            <w:shd w:val="clear" w:color="auto" w:fill="auto"/>
            <w:noWrap/>
            <w:vAlign w:val="bottom"/>
            <w:hideMark/>
          </w:tcPr>
          <w:p w14:paraId="74E51A4B"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747.950,00</w:t>
            </w:r>
          </w:p>
        </w:tc>
        <w:tc>
          <w:tcPr>
            <w:tcW w:w="1380" w:type="dxa"/>
            <w:tcBorders>
              <w:top w:val="nil"/>
              <w:left w:val="nil"/>
              <w:bottom w:val="nil"/>
              <w:right w:val="nil"/>
            </w:tcBorders>
            <w:shd w:val="clear" w:color="auto" w:fill="auto"/>
            <w:noWrap/>
            <w:vAlign w:val="bottom"/>
            <w:hideMark/>
          </w:tcPr>
          <w:p w14:paraId="142E9D8B"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720.592,43</w:t>
            </w:r>
          </w:p>
        </w:tc>
        <w:tc>
          <w:tcPr>
            <w:tcW w:w="1400" w:type="dxa"/>
            <w:tcBorders>
              <w:top w:val="nil"/>
              <w:left w:val="nil"/>
              <w:bottom w:val="nil"/>
              <w:right w:val="nil"/>
            </w:tcBorders>
            <w:shd w:val="clear" w:color="auto" w:fill="auto"/>
            <w:noWrap/>
            <w:vAlign w:val="bottom"/>
            <w:hideMark/>
          </w:tcPr>
          <w:p w14:paraId="5B5E9F5B"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96,34%</w:t>
            </w:r>
          </w:p>
        </w:tc>
      </w:tr>
      <w:tr w:rsidR="00A360DB" w:rsidRPr="00A360DB" w14:paraId="7AC69E37"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1FB2A063"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5.2. Državni proračun</w:t>
            </w:r>
          </w:p>
        </w:tc>
        <w:tc>
          <w:tcPr>
            <w:tcW w:w="1480" w:type="dxa"/>
            <w:tcBorders>
              <w:top w:val="nil"/>
              <w:left w:val="nil"/>
              <w:bottom w:val="nil"/>
              <w:right w:val="nil"/>
            </w:tcBorders>
            <w:shd w:val="clear" w:color="auto" w:fill="auto"/>
            <w:noWrap/>
            <w:vAlign w:val="bottom"/>
            <w:hideMark/>
          </w:tcPr>
          <w:p w14:paraId="22BFBF66"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476.250,00</w:t>
            </w:r>
          </w:p>
        </w:tc>
        <w:tc>
          <w:tcPr>
            <w:tcW w:w="1380" w:type="dxa"/>
            <w:tcBorders>
              <w:top w:val="nil"/>
              <w:left w:val="nil"/>
              <w:bottom w:val="nil"/>
              <w:right w:val="nil"/>
            </w:tcBorders>
            <w:shd w:val="clear" w:color="auto" w:fill="auto"/>
            <w:noWrap/>
            <w:vAlign w:val="bottom"/>
            <w:hideMark/>
          </w:tcPr>
          <w:p w14:paraId="311E5FD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464.972,20</w:t>
            </w:r>
          </w:p>
        </w:tc>
        <w:tc>
          <w:tcPr>
            <w:tcW w:w="1400" w:type="dxa"/>
            <w:tcBorders>
              <w:top w:val="nil"/>
              <w:left w:val="nil"/>
              <w:bottom w:val="nil"/>
              <w:right w:val="nil"/>
            </w:tcBorders>
            <w:shd w:val="clear" w:color="auto" w:fill="auto"/>
            <w:noWrap/>
            <w:vAlign w:val="bottom"/>
            <w:hideMark/>
          </w:tcPr>
          <w:p w14:paraId="754F358F"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97,63%</w:t>
            </w:r>
          </w:p>
        </w:tc>
      </w:tr>
      <w:tr w:rsidR="00A360DB" w:rsidRPr="00A360DB" w14:paraId="54F4C2B8" w14:textId="77777777" w:rsidTr="00A360DB">
        <w:trPr>
          <w:trHeight w:val="240"/>
        </w:trPr>
        <w:tc>
          <w:tcPr>
            <w:tcW w:w="1697" w:type="dxa"/>
            <w:tcBorders>
              <w:top w:val="nil"/>
              <w:left w:val="nil"/>
              <w:bottom w:val="nil"/>
              <w:right w:val="nil"/>
            </w:tcBorders>
            <w:shd w:val="clear" w:color="auto" w:fill="auto"/>
            <w:noWrap/>
            <w:vAlign w:val="bottom"/>
            <w:hideMark/>
          </w:tcPr>
          <w:p w14:paraId="30B09A25"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31</w:t>
            </w:r>
          </w:p>
        </w:tc>
        <w:tc>
          <w:tcPr>
            <w:tcW w:w="8509" w:type="dxa"/>
            <w:tcBorders>
              <w:top w:val="nil"/>
              <w:left w:val="nil"/>
              <w:bottom w:val="nil"/>
              <w:right w:val="nil"/>
            </w:tcBorders>
            <w:shd w:val="clear" w:color="auto" w:fill="auto"/>
            <w:noWrap/>
            <w:vAlign w:val="bottom"/>
            <w:hideMark/>
          </w:tcPr>
          <w:p w14:paraId="02164228"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zaposlene                                                                                </w:t>
            </w:r>
          </w:p>
        </w:tc>
        <w:tc>
          <w:tcPr>
            <w:tcW w:w="1480" w:type="dxa"/>
            <w:tcBorders>
              <w:top w:val="nil"/>
              <w:left w:val="nil"/>
              <w:bottom w:val="nil"/>
              <w:right w:val="nil"/>
            </w:tcBorders>
            <w:shd w:val="clear" w:color="auto" w:fill="auto"/>
            <w:noWrap/>
            <w:vAlign w:val="bottom"/>
            <w:hideMark/>
          </w:tcPr>
          <w:p w14:paraId="2AF49B4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470.150,00</w:t>
            </w:r>
          </w:p>
        </w:tc>
        <w:tc>
          <w:tcPr>
            <w:tcW w:w="1380" w:type="dxa"/>
            <w:tcBorders>
              <w:top w:val="nil"/>
              <w:left w:val="nil"/>
              <w:bottom w:val="nil"/>
              <w:right w:val="nil"/>
            </w:tcBorders>
            <w:shd w:val="clear" w:color="auto" w:fill="auto"/>
            <w:noWrap/>
            <w:vAlign w:val="bottom"/>
            <w:hideMark/>
          </w:tcPr>
          <w:p w14:paraId="04F6973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459.933,00</w:t>
            </w:r>
          </w:p>
        </w:tc>
        <w:tc>
          <w:tcPr>
            <w:tcW w:w="1400" w:type="dxa"/>
            <w:tcBorders>
              <w:top w:val="nil"/>
              <w:left w:val="nil"/>
              <w:bottom w:val="nil"/>
              <w:right w:val="nil"/>
            </w:tcBorders>
            <w:shd w:val="clear" w:color="auto" w:fill="auto"/>
            <w:noWrap/>
            <w:vAlign w:val="bottom"/>
            <w:hideMark/>
          </w:tcPr>
          <w:p w14:paraId="0314EDD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97,83%</w:t>
            </w:r>
          </w:p>
        </w:tc>
      </w:tr>
      <w:tr w:rsidR="00A360DB" w:rsidRPr="00A360DB" w14:paraId="7F85094F" w14:textId="77777777" w:rsidTr="00A360DB">
        <w:trPr>
          <w:trHeight w:val="240"/>
        </w:trPr>
        <w:tc>
          <w:tcPr>
            <w:tcW w:w="1697" w:type="dxa"/>
            <w:tcBorders>
              <w:top w:val="nil"/>
              <w:left w:val="nil"/>
              <w:bottom w:val="nil"/>
              <w:right w:val="nil"/>
            </w:tcBorders>
            <w:shd w:val="clear" w:color="auto" w:fill="auto"/>
            <w:noWrap/>
            <w:vAlign w:val="bottom"/>
            <w:hideMark/>
          </w:tcPr>
          <w:p w14:paraId="4CDEEB7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3111</w:t>
            </w:r>
          </w:p>
        </w:tc>
        <w:tc>
          <w:tcPr>
            <w:tcW w:w="8509" w:type="dxa"/>
            <w:tcBorders>
              <w:top w:val="nil"/>
              <w:left w:val="nil"/>
              <w:bottom w:val="nil"/>
              <w:right w:val="nil"/>
            </w:tcBorders>
            <w:shd w:val="clear" w:color="auto" w:fill="auto"/>
            <w:noWrap/>
            <w:vAlign w:val="bottom"/>
            <w:hideMark/>
          </w:tcPr>
          <w:p w14:paraId="1EFCA7F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Plaće za redovan rad                                                                                </w:t>
            </w:r>
          </w:p>
        </w:tc>
        <w:tc>
          <w:tcPr>
            <w:tcW w:w="1480" w:type="dxa"/>
            <w:tcBorders>
              <w:top w:val="nil"/>
              <w:left w:val="nil"/>
              <w:bottom w:val="nil"/>
              <w:right w:val="nil"/>
            </w:tcBorders>
            <w:shd w:val="clear" w:color="auto" w:fill="auto"/>
            <w:noWrap/>
            <w:vAlign w:val="bottom"/>
            <w:hideMark/>
          </w:tcPr>
          <w:p w14:paraId="5DC4D093"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2827E6D"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459.933,00</w:t>
            </w:r>
          </w:p>
        </w:tc>
        <w:tc>
          <w:tcPr>
            <w:tcW w:w="1400" w:type="dxa"/>
            <w:tcBorders>
              <w:top w:val="nil"/>
              <w:left w:val="nil"/>
              <w:bottom w:val="nil"/>
              <w:right w:val="nil"/>
            </w:tcBorders>
            <w:shd w:val="clear" w:color="auto" w:fill="auto"/>
            <w:noWrap/>
            <w:vAlign w:val="bottom"/>
            <w:hideMark/>
          </w:tcPr>
          <w:p w14:paraId="4339126F"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20C48D6" w14:textId="77777777" w:rsidTr="00A360DB">
        <w:trPr>
          <w:trHeight w:val="240"/>
        </w:trPr>
        <w:tc>
          <w:tcPr>
            <w:tcW w:w="1697" w:type="dxa"/>
            <w:tcBorders>
              <w:top w:val="nil"/>
              <w:left w:val="nil"/>
              <w:bottom w:val="nil"/>
              <w:right w:val="nil"/>
            </w:tcBorders>
            <w:shd w:val="clear" w:color="auto" w:fill="auto"/>
            <w:noWrap/>
            <w:vAlign w:val="bottom"/>
            <w:hideMark/>
          </w:tcPr>
          <w:p w14:paraId="2DC30580"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2DB6C542"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57BA52E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6.100,00</w:t>
            </w:r>
          </w:p>
        </w:tc>
        <w:tc>
          <w:tcPr>
            <w:tcW w:w="1380" w:type="dxa"/>
            <w:tcBorders>
              <w:top w:val="nil"/>
              <w:left w:val="nil"/>
              <w:bottom w:val="nil"/>
              <w:right w:val="nil"/>
            </w:tcBorders>
            <w:shd w:val="clear" w:color="auto" w:fill="auto"/>
            <w:noWrap/>
            <w:vAlign w:val="bottom"/>
            <w:hideMark/>
          </w:tcPr>
          <w:p w14:paraId="220C927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5.039,20</w:t>
            </w:r>
          </w:p>
        </w:tc>
        <w:tc>
          <w:tcPr>
            <w:tcW w:w="1400" w:type="dxa"/>
            <w:tcBorders>
              <w:top w:val="nil"/>
              <w:left w:val="nil"/>
              <w:bottom w:val="nil"/>
              <w:right w:val="nil"/>
            </w:tcBorders>
            <w:shd w:val="clear" w:color="auto" w:fill="auto"/>
            <w:noWrap/>
            <w:vAlign w:val="bottom"/>
            <w:hideMark/>
          </w:tcPr>
          <w:p w14:paraId="575C7BF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82,61%</w:t>
            </w:r>
          </w:p>
        </w:tc>
      </w:tr>
      <w:tr w:rsidR="00A360DB" w:rsidRPr="00A360DB" w14:paraId="63232713" w14:textId="77777777" w:rsidTr="00A360DB">
        <w:trPr>
          <w:trHeight w:val="240"/>
        </w:trPr>
        <w:tc>
          <w:tcPr>
            <w:tcW w:w="1697" w:type="dxa"/>
            <w:tcBorders>
              <w:top w:val="nil"/>
              <w:left w:val="nil"/>
              <w:bottom w:val="nil"/>
              <w:right w:val="nil"/>
            </w:tcBorders>
            <w:shd w:val="clear" w:color="auto" w:fill="auto"/>
            <w:noWrap/>
            <w:vAlign w:val="bottom"/>
            <w:hideMark/>
          </w:tcPr>
          <w:p w14:paraId="7C53039E"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3221</w:t>
            </w:r>
          </w:p>
        </w:tc>
        <w:tc>
          <w:tcPr>
            <w:tcW w:w="8509" w:type="dxa"/>
            <w:tcBorders>
              <w:top w:val="nil"/>
              <w:left w:val="nil"/>
              <w:bottom w:val="nil"/>
              <w:right w:val="nil"/>
            </w:tcBorders>
            <w:shd w:val="clear" w:color="auto" w:fill="auto"/>
            <w:noWrap/>
            <w:vAlign w:val="bottom"/>
            <w:hideMark/>
          </w:tcPr>
          <w:p w14:paraId="17BEC85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Uredski materijal i ostali materijalni rashodi                                                      </w:t>
            </w:r>
          </w:p>
        </w:tc>
        <w:tc>
          <w:tcPr>
            <w:tcW w:w="1480" w:type="dxa"/>
            <w:tcBorders>
              <w:top w:val="nil"/>
              <w:left w:val="nil"/>
              <w:bottom w:val="nil"/>
              <w:right w:val="nil"/>
            </w:tcBorders>
            <w:shd w:val="clear" w:color="auto" w:fill="auto"/>
            <w:noWrap/>
            <w:vAlign w:val="bottom"/>
            <w:hideMark/>
          </w:tcPr>
          <w:p w14:paraId="0D18D33B"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C6C2A32"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3.000,00</w:t>
            </w:r>
          </w:p>
        </w:tc>
        <w:tc>
          <w:tcPr>
            <w:tcW w:w="1400" w:type="dxa"/>
            <w:tcBorders>
              <w:top w:val="nil"/>
              <w:left w:val="nil"/>
              <w:bottom w:val="nil"/>
              <w:right w:val="nil"/>
            </w:tcBorders>
            <w:shd w:val="clear" w:color="auto" w:fill="auto"/>
            <w:noWrap/>
            <w:vAlign w:val="bottom"/>
            <w:hideMark/>
          </w:tcPr>
          <w:p w14:paraId="2C9B76A3"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BD34AC8" w14:textId="77777777" w:rsidTr="00A360DB">
        <w:trPr>
          <w:trHeight w:val="240"/>
        </w:trPr>
        <w:tc>
          <w:tcPr>
            <w:tcW w:w="1697" w:type="dxa"/>
            <w:tcBorders>
              <w:top w:val="nil"/>
              <w:left w:val="nil"/>
              <w:bottom w:val="nil"/>
              <w:right w:val="nil"/>
            </w:tcBorders>
            <w:shd w:val="clear" w:color="auto" w:fill="auto"/>
            <w:noWrap/>
            <w:vAlign w:val="bottom"/>
            <w:hideMark/>
          </w:tcPr>
          <w:p w14:paraId="569EF84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3225</w:t>
            </w:r>
          </w:p>
        </w:tc>
        <w:tc>
          <w:tcPr>
            <w:tcW w:w="8509" w:type="dxa"/>
            <w:tcBorders>
              <w:top w:val="nil"/>
              <w:left w:val="nil"/>
              <w:bottom w:val="nil"/>
              <w:right w:val="nil"/>
            </w:tcBorders>
            <w:shd w:val="clear" w:color="auto" w:fill="auto"/>
            <w:noWrap/>
            <w:vAlign w:val="bottom"/>
            <w:hideMark/>
          </w:tcPr>
          <w:p w14:paraId="2BA725E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Sitni inventar i auto gume</w:t>
            </w:r>
          </w:p>
        </w:tc>
        <w:tc>
          <w:tcPr>
            <w:tcW w:w="1480" w:type="dxa"/>
            <w:tcBorders>
              <w:top w:val="nil"/>
              <w:left w:val="nil"/>
              <w:bottom w:val="nil"/>
              <w:right w:val="nil"/>
            </w:tcBorders>
            <w:shd w:val="clear" w:color="auto" w:fill="auto"/>
            <w:noWrap/>
            <w:vAlign w:val="bottom"/>
            <w:hideMark/>
          </w:tcPr>
          <w:p w14:paraId="46665A59"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5FA4E817"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2.039,20</w:t>
            </w:r>
          </w:p>
        </w:tc>
        <w:tc>
          <w:tcPr>
            <w:tcW w:w="1400" w:type="dxa"/>
            <w:tcBorders>
              <w:top w:val="nil"/>
              <w:left w:val="nil"/>
              <w:bottom w:val="nil"/>
              <w:right w:val="nil"/>
            </w:tcBorders>
            <w:shd w:val="clear" w:color="auto" w:fill="auto"/>
            <w:noWrap/>
            <w:vAlign w:val="bottom"/>
            <w:hideMark/>
          </w:tcPr>
          <w:p w14:paraId="54689970"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018ABF0"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3E8C67B"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5.5. Općinski proračun</w:t>
            </w:r>
          </w:p>
        </w:tc>
        <w:tc>
          <w:tcPr>
            <w:tcW w:w="1480" w:type="dxa"/>
            <w:tcBorders>
              <w:top w:val="nil"/>
              <w:left w:val="nil"/>
              <w:bottom w:val="nil"/>
              <w:right w:val="nil"/>
            </w:tcBorders>
            <w:shd w:val="clear" w:color="auto" w:fill="auto"/>
            <w:noWrap/>
            <w:vAlign w:val="bottom"/>
            <w:hideMark/>
          </w:tcPr>
          <w:p w14:paraId="14131EC6"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271.700,00</w:t>
            </w:r>
          </w:p>
        </w:tc>
        <w:tc>
          <w:tcPr>
            <w:tcW w:w="1380" w:type="dxa"/>
            <w:tcBorders>
              <w:top w:val="nil"/>
              <w:left w:val="nil"/>
              <w:bottom w:val="nil"/>
              <w:right w:val="nil"/>
            </w:tcBorders>
            <w:shd w:val="clear" w:color="auto" w:fill="auto"/>
            <w:noWrap/>
            <w:vAlign w:val="bottom"/>
            <w:hideMark/>
          </w:tcPr>
          <w:p w14:paraId="3C904D59"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255.620,23</w:t>
            </w:r>
          </w:p>
        </w:tc>
        <w:tc>
          <w:tcPr>
            <w:tcW w:w="1400" w:type="dxa"/>
            <w:tcBorders>
              <w:top w:val="nil"/>
              <w:left w:val="nil"/>
              <w:bottom w:val="nil"/>
              <w:right w:val="nil"/>
            </w:tcBorders>
            <w:shd w:val="clear" w:color="auto" w:fill="auto"/>
            <w:noWrap/>
            <w:vAlign w:val="bottom"/>
            <w:hideMark/>
          </w:tcPr>
          <w:p w14:paraId="06F42AC0"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94,08%</w:t>
            </w:r>
          </w:p>
        </w:tc>
      </w:tr>
      <w:tr w:rsidR="00A360DB" w:rsidRPr="00A360DB" w14:paraId="0EF83146" w14:textId="77777777" w:rsidTr="00A360DB">
        <w:trPr>
          <w:trHeight w:val="240"/>
        </w:trPr>
        <w:tc>
          <w:tcPr>
            <w:tcW w:w="1697" w:type="dxa"/>
            <w:tcBorders>
              <w:top w:val="nil"/>
              <w:left w:val="nil"/>
              <w:bottom w:val="nil"/>
              <w:right w:val="nil"/>
            </w:tcBorders>
            <w:shd w:val="clear" w:color="auto" w:fill="auto"/>
            <w:noWrap/>
            <w:vAlign w:val="bottom"/>
            <w:hideMark/>
          </w:tcPr>
          <w:p w14:paraId="2D890C20"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31</w:t>
            </w:r>
          </w:p>
        </w:tc>
        <w:tc>
          <w:tcPr>
            <w:tcW w:w="8509" w:type="dxa"/>
            <w:tcBorders>
              <w:top w:val="nil"/>
              <w:left w:val="nil"/>
              <w:bottom w:val="nil"/>
              <w:right w:val="nil"/>
            </w:tcBorders>
            <w:shd w:val="clear" w:color="auto" w:fill="auto"/>
            <w:noWrap/>
            <w:vAlign w:val="bottom"/>
            <w:hideMark/>
          </w:tcPr>
          <w:p w14:paraId="7DA2FDB7"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zaposlene                                                                                </w:t>
            </w:r>
          </w:p>
        </w:tc>
        <w:tc>
          <w:tcPr>
            <w:tcW w:w="1480" w:type="dxa"/>
            <w:tcBorders>
              <w:top w:val="nil"/>
              <w:left w:val="nil"/>
              <w:bottom w:val="nil"/>
              <w:right w:val="nil"/>
            </w:tcBorders>
            <w:shd w:val="clear" w:color="auto" w:fill="auto"/>
            <w:noWrap/>
            <w:vAlign w:val="bottom"/>
            <w:hideMark/>
          </w:tcPr>
          <w:p w14:paraId="70EC4A5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230.000,00</w:t>
            </w:r>
          </w:p>
        </w:tc>
        <w:tc>
          <w:tcPr>
            <w:tcW w:w="1380" w:type="dxa"/>
            <w:tcBorders>
              <w:top w:val="nil"/>
              <w:left w:val="nil"/>
              <w:bottom w:val="nil"/>
              <w:right w:val="nil"/>
            </w:tcBorders>
            <w:shd w:val="clear" w:color="auto" w:fill="auto"/>
            <w:noWrap/>
            <w:vAlign w:val="bottom"/>
            <w:hideMark/>
          </w:tcPr>
          <w:p w14:paraId="33EDDFC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217.315,88</w:t>
            </w:r>
          </w:p>
        </w:tc>
        <w:tc>
          <w:tcPr>
            <w:tcW w:w="1400" w:type="dxa"/>
            <w:tcBorders>
              <w:top w:val="nil"/>
              <w:left w:val="nil"/>
              <w:bottom w:val="nil"/>
              <w:right w:val="nil"/>
            </w:tcBorders>
            <w:shd w:val="clear" w:color="auto" w:fill="auto"/>
            <w:noWrap/>
            <w:vAlign w:val="bottom"/>
            <w:hideMark/>
          </w:tcPr>
          <w:p w14:paraId="47AE90D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94,49%</w:t>
            </w:r>
          </w:p>
        </w:tc>
      </w:tr>
      <w:tr w:rsidR="00A360DB" w:rsidRPr="00A360DB" w14:paraId="1FD98E4E" w14:textId="77777777" w:rsidTr="00A360DB">
        <w:trPr>
          <w:trHeight w:val="240"/>
        </w:trPr>
        <w:tc>
          <w:tcPr>
            <w:tcW w:w="1697" w:type="dxa"/>
            <w:tcBorders>
              <w:top w:val="nil"/>
              <w:left w:val="nil"/>
              <w:bottom w:val="nil"/>
              <w:right w:val="nil"/>
            </w:tcBorders>
            <w:shd w:val="clear" w:color="auto" w:fill="auto"/>
            <w:noWrap/>
            <w:vAlign w:val="bottom"/>
            <w:hideMark/>
          </w:tcPr>
          <w:p w14:paraId="62870CBD"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3111</w:t>
            </w:r>
          </w:p>
        </w:tc>
        <w:tc>
          <w:tcPr>
            <w:tcW w:w="8509" w:type="dxa"/>
            <w:tcBorders>
              <w:top w:val="nil"/>
              <w:left w:val="nil"/>
              <w:bottom w:val="nil"/>
              <w:right w:val="nil"/>
            </w:tcBorders>
            <w:shd w:val="clear" w:color="auto" w:fill="auto"/>
            <w:noWrap/>
            <w:vAlign w:val="bottom"/>
            <w:hideMark/>
          </w:tcPr>
          <w:p w14:paraId="7200A558"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Plaće za redovan rad                                                                                </w:t>
            </w:r>
          </w:p>
        </w:tc>
        <w:tc>
          <w:tcPr>
            <w:tcW w:w="1480" w:type="dxa"/>
            <w:tcBorders>
              <w:top w:val="nil"/>
              <w:left w:val="nil"/>
              <w:bottom w:val="nil"/>
              <w:right w:val="nil"/>
            </w:tcBorders>
            <w:shd w:val="clear" w:color="auto" w:fill="auto"/>
            <w:noWrap/>
            <w:vAlign w:val="bottom"/>
            <w:hideMark/>
          </w:tcPr>
          <w:p w14:paraId="1DD41662"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C6B795A"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172.062,27</w:t>
            </w:r>
          </w:p>
        </w:tc>
        <w:tc>
          <w:tcPr>
            <w:tcW w:w="1400" w:type="dxa"/>
            <w:tcBorders>
              <w:top w:val="nil"/>
              <w:left w:val="nil"/>
              <w:bottom w:val="nil"/>
              <w:right w:val="nil"/>
            </w:tcBorders>
            <w:shd w:val="clear" w:color="auto" w:fill="auto"/>
            <w:noWrap/>
            <w:vAlign w:val="bottom"/>
            <w:hideMark/>
          </w:tcPr>
          <w:p w14:paraId="721B6408"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E2AEC1E" w14:textId="77777777" w:rsidTr="00A360DB">
        <w:trPr>
          <w:trHeight w:val="240"/>
        </w:trPr>
        <w:tc>
          <w:tcPr>
            <w:tcW w:w="1697" w:type="dxa"/>
            <w:tcBorders>
              <w:top w:val="nil"/>
              <w:left w:val="nil"/>
              <w:bottom w:val="nil"/>
              <w:right w:val="nil"/>
            </w:tcBorders>
            <w:shd w:val="clear" w:color="auto" w:fill="auto"/>
            <w:noWrap/>
            <w:vAlign w:val="bottom"/>
            <w:hideMark/>
          </w:tcPr>
          <w:p w14:paraId="7835028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3121</w:t>
            </w:r>
          </w:p>
        </w:tc>
        <w:tc>
          <w:tcPr>
            <w:tcW w:w="8509" w:type="dxa"/>
            <w:tcBorders>
              <w:top w:val="nil"/>
              <w:left w:val="nil"/>
              <w:bottom w:val="nil"/>
              <w:right w:val="nil"/>
            </w:tcBorders>
            <w:shd w:val="clear" w:color="auto" w:fill="auto"/>
            <w:noWrap/>
            <w:vAlign w:val="bottom"/>
            <w:hideMark/>
          </w:tcPr>
          <w:p w14:paraId="24ADE33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Ostali rashodi za zaposlene                                                                         </w:t>
            </w:r>
          </w:p>
        </w:tc>
        <w:tc>
          <w:tcPr>
            <w:tcW w:w="1480" w:type="dxa"/>
            <w:tcBorders>
              <w:top w:val="nil"/>
              <w:left w:val="nil"/>
              <w:bottom w:val="nil"/>
              <w:right w:val="nil"/>
            </w:tcBorders>
            <w:shd w:val="clear" w:color="auto" w:fill="auto"/>
            <w:noWrap/>
            <w:vAlign w:val="bottom"/>
            <w:hideMark/>
          </w:tcPr>
          <w:p w14:paraId="3DF33CA7"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76AB3ED"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12.160,46</w:t>
            </w:r>
          </w:p>
        </w:tc>
        <w:tc>
          <w:tcPr>
            <w:tcW w:w="1400" w:type="dxa"/>
            <w:tcBorders>
              <w:top w:val="nil"/>
              <w:left w:val="nil"/>
              <w:bottom w:val="nil"/>
              <w:right w:val="nil"/>
            </w:tcBorders>
            <w:shd w:val="clear" w:color="auto" w:fill="auto"/>
            <w:noWrap/>
            <w:vAlign w:val="bottom"/>
            <w:hideMark/>
          </w:tcPr>
          <w:p w14:paraId="13855C19"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36EA789" w14:textId="77777777" w:rsidTr="00A360DB">
        <w:trPr>
          <w:trHeight w:val="240"/>
        </w:trPr>
        <w:tc>
          <w:tcPr>
            <w:tcW w:w="1697" w:type="dxa"/>
            <w:tcBorders>
              <w:top w:val="nil"/>
              <w:left w:val="nil"/>
              <w:bottom w:val="nil"/>
              <w:right w:val="nil"/>
            </w:tcBorders>
            <w:shd w:val="clear" w:color="auto" w:fill="auto"/>
            <w:noWrap/>
            <w:vAlign w:val="bottom"/>
            <w:hideMark/>
          </w:tcPr>
          <w:p w14:paraId="4FB12E3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3132</w:t>
            </w:r>
          </w:p>
        </w:tc>
        <w:tc>
          <w:tcPr>
            <w:tcW w:w="8509" w:type="dxa"/>
            <w:tcBorders>
              <w:top w:val="nil"/>
              <w:left w:val="nil"/>
              <w:bottom w:val="nil"/>
              <w:right w:val="nil"/>
            </w:tcBorders>
            <w:shd w:val="clear" w:color="auto" w:fill="auto"/>
            <w:noWrap/>
            <w:vAlign w:val="bottom"/>
            <w:hideMark/>
          </w:tcPr>
          <w:p w14:paraId="5B46BC6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Doprinosi za obvezno zdravstveno osiguranje                                                         </w:t>
            </w:r>
          </w:p>
        </w:tc>
        <w:tc>
          <w:tcPr>
            <w:tcW w:w="1480" w:type="dxa"/>
            <w:tcBorders>
              <w:top w:val="nil"/>
              <w:left w:val="nil"/>
              <w:bottom w:val="nil"/>
              <w:right w:val="nil"/>
            </w:tcBorders>
            <w:shd w:val="clear" w:color="auto" w:fill="auto"/>
            <w:noWrap/>
            <w:vAlign w:val="bottom"/>
            <w:hideMark/>
          </w:tcPr>
          <w:p w14:paraId="43B7E0F7"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03E3A21"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33.093,15</w:t>
            </w:r>
          </w:p>
        </w:tc>
        <w:tc>
          <w:tcPr>
            <w:tcW w:w="1400" w:type="dxa"/>
            <w:tcBorders>
              <w:top w:val="nil"/>
              <w:left w:val="nil"/>
              <w:bottom w:val="nil"/>
              <w:right w:val="nil"/>
            </w:tcBorders>
            <w:shd w:val="clear" w:color="auto" w:fill="auto"/>
            <w:noWrap/>
            <w:vAlign w:val="bottom"/>
            <w:hideMark/>
          </w:tcPr>
          <w:p w14:paraId="6E48A1A8"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D38FB0F" w14:textId="77777777" w:rsidTr="00A360DB">
        <w:trPr>
          <w:trHeight w:val="240"/>
        </w:trPr>
        <w:tc>
          <w:tcPr>
            <w:tcW w:w="1697" w:type="dxa"/>
            <w:tcBorders>
              <w:top w:val="nil"/>
              <w:left w:val="nil"/>
              <w:bottom w:val="nil"/>
              <w:right w:val="nil"/>
            </w:tcBorders>
            <w:shd w:val="clear" w:color="auto" w:fill="auto"/>
            <w:noWrap/>
            <w:vAlign w:val="bottom"/>
            <w:hideMark/>
          </w:tcPr>
          <w:p w14:paraId="771E2495"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5A6E6508"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5826DC5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41.700,00</w:t>
            </w:r>
          </w:p>
        </w:tc>
        <w:tc>
          <w:tcPr>
            <w:tcW w:w="1380" w:type="dxa"/>
            <w:tcBorders>
              <w:top w:val="nil"/>
              <w:left w:val="nil"/>
              <w:bottom w:val="nil"/>
              <w:right w:val="nil"/>
            </w:tcBorders>
            <w:shd w:val="clear" w:color="auto" w:fill="auto"/>
            <w:noWrap/>
            <w:vAlign w:val="bottom"/>
            <w:hideMark/>
          </w:tcPr>
          <w:p w14:paraId="65DEE54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38.304,35</w:t>
            </w:r>
          </w:p>
        </w:tc>
        <w:tc>
          <w:tcPr>
            <w:tcW w:w="1400" w:type="dxa"/>
            <w:tcBorders>
              <w:top w:val="nil"/>
              <w:left w:val="nil"/>
              <w:bottom w:val="nil"/>
              <w:right w:val="nil"/>
            </w:tcBorders>
            <w:shd w:val="clear" w:color="auto" w:fill="auto"/>
            <w:noWrap/>
            <w:vAlign w:val="bottom"/>
            <w:hideMark/>
          </w:tcPr>
          <w:p w14:paraId="330F4E3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91,86%</w:t>
            </w:r>
          </w:p>
        </w:tc>
      </w:tr>
      <w:tr w:rsidR="00A360DB" w:rsidRPr="00A360DB" w14:paraId="64161C46" w14:textId="77777777" w:rsidTr="00A360DB">
        <w:trPr>
          <w:trHeight w:val="240"/>
        </w:trPr>
        <w:tc>
          <w:tcPr>
            <w:tcW w:w="1697" w:type="dxa"/>
            <w:tcBorders>
              <w:top w:val="nil"/>
              <w:left w:val="nil"/>
              <w:bottom w:val="nil"/>
              <w:right w:val="nil"/>
            </w:tcBorders>
            <w:shd w:val="clear" w:color="auto" w:fill="auto"/>
            <w:noWrap/>
            <w:vAlign w:val="bottom"/>
            <w:hideMark/>
          </w:tcPr>
          <w:p w14:paraId="3E044F2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3212</w:t>
            </w:r>
          </w:p>
        </w:tc>
        <w:tc>
          <w:tcPr>
            <w:tcW w:w="8509" w:type="dxa"/>
            <w:tcBorders>
              <w:top w:val="nil"/>
              <w:left w:val="nil"/>
              <w:bottom w:val="nil"/>
              <w:right w:val="nil"/>
            </w:tcBorders>
            <w:shd w:val="clear" w:color="auto" w:fill="auto"/>
            <w:noWrap/>
            <w:vAlign w:val="bottom"/>
            <w:hideMark/>
          </w:tcPr>
          <w:p w14:paraId="465E84B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Naknade za prijevoz, za rad na terenu i odvojeni život                                              </w:t>
            </w:r>
          </w:p>
        </w:tc>
        <w:tc>
          <w:tcPr>
            <w:tcW w:w="1480" w:type="dxa"/>
            <w:tcBorders>
              <w:top w:val="nil"/>
              <w:left w:val="nil"/>
              <w:bottom w:val="nil"/>
              <w:right w:val="nil"/>
            </w:tcBorders>
            <w:shd w:val="clear" w:color="auto" w:fill="auto"/>
            <w:noWrap/>
            <w:vAlign w:val="bottom"/>
            <w:hideMark/>
          </w:tcPr>
          <w:p w14:paraId="3316DECA"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F6DB198"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5.431,19</w:t>
            </w:r>
          </w:p>
        </w:tc>
        <w:tc>
          <w:tcPr>
            <w:tcW w:w="1400" w:type="dxa"/>
            <w:tcBorders>
              <w:top w:val="nil"/>
              <w:left w:val="nil"/>
              <w:bottom w:val="nil"/>
              <w:right w:val="nil"/>
            </w:tcBorders>
            <w:shd w:val="clear" w:color="auto" w:fill="auto"/>
            <w:noWrap/>
            <w:vAlign w:val="bottom"/>
            <w:hideMark/>
          </w:tcPr>
          <w:p w14:paraId="7E42CF42"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19FF927" w14:textId="77777777" w:rsidTr="00A360DB">
        <w:trPr>
          <w:trHeight w:val="240"/>
        </w:trPr>
        <w:tc>
          <w:tcPr>
            <w:tcW w:w="1697" w:type="dxa"/>
            <w:tcBorders>
              <w:top w:val="nil"/>
              <w:left w:val="nil"/>
              <w:bottom w:val="nil"/>
              <w:right w:val="nil"/>
            </w:tcBorders>
            <w:shd w:val="clear" w:color="auto" w:fill="auto"/>
            <w:noWrap/>
            <w:vAlign w:val="bottom"/>
            <w:hideMark/>
          </w:tcPr>
          <w:p w14:paraId="3F4788A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3213</w:t>
            </w:r>
          </w:p>
        </w:tc>
        <w:tc>
          <w:tcPr>
            <w:tcW w:w="8509" w:type="dxa"/>
            <w:tcBorders>
              <w:top w:val="nil"/>
              <w:left w:val="nil"/>
              <w:bottom w:val="nil"/>
              <w:right w:val="nil"/>
            </w:tcBorders>
            <w:shd w:val="clear" w:color="auto" w:fill="auto"/>
            <w:noWrap/>
            <w:vAlign w:val="bottom"/>
            <w:hideMark/>
          </w:tcPr>
          <w:p w14:paraId="3652B66D"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Stručno usavršavanje zaposlenika                                                                    </w:t>
            </w:r>
          </w:p>
        </w:tc>
        <w:tc>
          <w:tcPr>
            <w:tcW w:w="1480" w:type="dxa"/>
            <w:tcBorders>
              <w:top w:val="nil"/>
              <w:left w:val="nil"/>
              <w:bottom w:val="nil"/>
              <w:right w:val="nil"/>
            </w:tcBorders>
            <w:shd w:val="clear" w:color="auto" w:fill="auto"/>
            <w:noWrap/>
            <w:vAlign w:val="bottom"/>
            <w:hideMark/>
          </w:tcPr>
          <w:p w14:paraId="1E2D572E"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C76428C"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109,50</w:t>
            </w:r>
          </w:p>
        </w:tc>
        <w:tc>
          <w:tcPr>
            <w:tcW w:w="1400" w:type="dxa"/>
            <w:tcBorders>
              <w:top w:val="nil"/>
              <w:left w:val="nil"/>
              <w:bottom w:val="nil"/>
              <w:right w:val="nil"/>
            </w:tcBorders>
            <w:shd w:val="clear" w:color="auto" w:fill="auto"/>
            <w:noWrap/>
            <w:vAlign w:val="bottom"/>
            <w:hideMark/>
          </w:tcPr>
          <w:p w14:paraId="6FE3CF98"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E71FFFA" w14:textId="77777777" w:rsidTr="00A360DB">
        <w:trPr>
          <w:trHeight w:val="240"/>
        </w:trPr>
        <w:tc>
          <w:tcPr>
            <w:tcW w:w="1697" w:type="dxa"/>
            <w:tcBorders>
              <w:top w:val="nil"/>
              <w:left w:val="nil"/>
              <w:bottom w:val="nil"/>
              <w:right w:val="nil"/>
            </w:tcBorders>
            <w:shd w:val="clear" w:color="auto" w:fill="auto"/>
            <w:noWrap/>
            <w:vAlign w:val="bottom"/>
            <w:hideMark/>
          </w:tcPr>
          <w:p w14:paraId="4125F54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3214</w:t>
            </w:r>
          </w:p>
        </w:tc>
        <w:tc>
          <w:tcPr>
            <w:tcW w:w="8509" w:type="dxa"/>
            <w:tcBorders>
              <w:top w:val="nil"/>
              <w:left w:val="nil"/>
              <w:bottom w:val="nil"/>
              <w:right w:val="nil"/>
            </w:tcBorders>
            <w:shd w:val="clear" w:color="auto" w:fill="auto"/>
            <w:noWrap/>
            <w:vAlign w:val="bottom"/>
            <w:hideMark/>
          </w:tcPr>
          <w:p w14:paraId="683E9F45"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Ostale naknade troškova zaposlenima                                                                 </w:t>
            </w:r>
          </w:p>
        </w:tc>
        <w:tc>
          <w:tcPr>
            <w:tcW w:w="1480" w:type="dxa"/>
            <w:tcBorders>
              <w:top w:val="nil"/>
              <w:left w:val="nil"/>
              <w:bottom w:val="nil"/>
              <w:right w:val="nil"/>
            </w:tcBorders>
            <w:shd w:val="clear" w:color="auto" w:fill="auto"/>
            <w:noWrap/>
            <w:vAlign w:val="bottom"/>
            <w:hideMark/>
          </w:tcPr>
          <w:p w14:paraId="4571000B"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1B1B8801"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1.420,20</w:t>
            </w:r>
          </w:p>
        </w:tc>
        <w:tc>
          <w:tcPr>
            <w:tcW w:w="1400" w:type="dxa"/>
            <w:tcBorders>
              <w:top w:val="nil"/>
              <w:left w:val="nil"/>
              <w:bottom w:val="nil"/>
              <w:right w:val="nil"/>
            </w:tcBorders>
            <w:shd w:val="clear" w:color="auto" w:fill="auto"/>
            <w:noWrap/>
            <w:vAlign w:val="bottom"/>
            <w:hideMark/>
          </w:tcPr>
          <w:p w14:paraId="0A3D5852"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FC7697D" w14:textId="77777777" w:rsidTr="00A360DB">
        <w:trPr>
          <w:trHeight w:val="240"/>
        </w:trPr>
        <w:tc>
          <w:tcPr>
            <w:tcW w:w="1697" w:type="dxa"/>
            <w:tcBorders>
              <w:top w:val="nil"/>
              <w:left w:val="nil"/>
              <w:bottom w:val="nil"/>
              <w:right w:val="nil"/>
            </w:tcBorders>
            <w:shd w:val="clear" w:color="auto" w:fill="auto"/>
            <w:noWrap/>
            <w:vAlign w:val="bottom"/>
            <w:hideMark/>
          </w:tcPr>
          <w:p w14:paraId="267610E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3221</w:t>
            </w:r>
          </w:p>
        </w:tc>
        <w:tc>
          <w:tcPr>
            <w:tcW w:w="8509" w:type="dxa"/>
            <w:tcBorders>
              <w:top w:val="nil"/>
              <w:left w:val="nil"/>
              <w:bottom w:val="nil"/>
              <w:right w:val="nil"/>
            </w:tcBorders>
            <w:shd w:val="clear" w:color="auto" w:fill="auto"/>
            <w:noWrap/>
            <w:vAlign w:val="bottom"/>
            <w:hideMark/>
          </w:tcPr>
          <w:p w14:paraId="1A7279B5"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Uredski materijal i ostali materijalni rashodi                                                      </w:t>
            </w:r>
          </w:p>
        </w:tc>
        <w:tc>
          <w:tcPr>
            <w:tcW w:w="1480" w:type="dxa"/>
            <w:tcBorders>
              <w:top w:val="nil"/>
              <w:left w:val="nil"/>
              <w:bottom w:val="nil"/>
              <w:right w:val="nil"/>
            </w:tcBorders>
            <w:shd w:val="clear" w:color="auto" w:fill="auto"/>
            <w:noWrap/>
            <w:vAlign w:val="bottom"/>
            <w:hideMark/>
          </w:tcPr>
          <w:p w14:paraId="34B3D2CC"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1AA9EDE"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5.012,08</w:t>
            </w:r>
          </w:p>
        </w:tc>
        <w:tc>
          <w:tcPr>
            <w:tcW w:w="1400" w:type="dxa"/>
            <w:tcBorders>
              <w:top w:val="nil"/>
              <w:left w:val="nil"/>
              <w:bottom w:val="nil"/>
              <w:right w:val="nil"/>
            </w:tcBorders>
            <w:shd w:val="clear" w:color="auto" w:fill="auto"/>
            <w:noWrap/>
            <w:vAlign w:val="bottom"/>
            <w:hideMark/>
          </w:tcPr>
          <w:p w14:paraId="399DA4C8"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29AC37F" w14:textId="77777777" w:rsidTr="00A360DB">
        <w:trPr>
          <w:trHeight w:val="240"/>
        </w:trPr>
        <w:tc>
          <w:tcPr>
            <w:tcW w:w="1697" w:type="dxa"/>
            <w:tcBorders>
              <w:top w:val="nil"/>
              <w:left w:val="nil"/>
              <w:bottom w:val="nil"/>
              <w:right w:val="nil"/>
            </w:tcBorders>
            <w:shd w:val="clear" w:color="auto" w:fill="auto"/>
            <w:noWrap/>
            <w:vAlign w:val="bottom"/>
            <w:hideMark/>
          </w:tcPr>
          <w:p w14:paraId="5026E2A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3222</w:t>
            </w:r>
          </w:p>
        </w:tc>
        <w:tc>
          <w:tcPr>
            <w:tcW w:w="8509" w:type="dxa"/>
            <w:tcBorders>
              <w:top w:val="nil"/>
              <w:left w:val="nil"/>
              <w:bottom w:val="nil"/>
              <w:right w:val="nil"/>
            </w:tcBorders>
            <w:shd w:val="clear" w:color="auto" w:fill="auto"/>
            <w:noWrap/>
            <w:vAlign w:val="bottom"/>
            <w:hideMark/>
          </w:tcPr>
          <w:p w14:paraId="7ED1555D"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Materijal i sirovine                                                                                </w:t>
            </w:r>
          </w:p>
        </w:tc>
        <w:tc>
          <w:tcPr>
            <w:tcW w:w="1480" w:type="dxa"/>
            <w:tcBorders>
              <w:top w:val="nil"/>
              <w:left w:val="nil"/>
              <w:bottom w:val="nil"/>
              <w:right w:val="nil"/>
            </w:tcBorders>
            <w:shd w:val="clear" w:color="auto" w:fill="auto"/>
            <w:noWrap/>
            <w:vAlign w:val="bottom"/>
            <w:hideMark/>
          </w:tcPr>
          <w:p w14:paraId="3FC4BBEF"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96A9012"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15.937,46</w:t>
            </w:r>
          </w:p>
        </w:tc>
        <w:tc>
          <w:tcPr>
            <w:tcW w:w="1400" w:type="dxa"/>
            <w:tcBorders>
              <w:top w:val="nil"/>
              <w:left w:val="nil"/>
              <w:bottom w:val="nil"/>
              <w:right w:val="nil"/>
            </w:tcBorders>
            <w:shd w:val="clear" w:color="auto" w:fill="auto"/>
            <w:noWrap/>
            <w:vAlign w:val="bottom"/>
            <w:hideMark/>
          </w:tcPr>
          <w:p w14:paraId="0825F0FD"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8D9C2CE" w14:textId="77777777" w:rsidTr="00A360DB">
        <w:trPr>
          <w:trHeight w:val="240"/>
        </w:trPr>
        <w:tc>
          <w:tcPr>
            <w:tcW w:w="1697" w:type="dxa"/>
            <w:tcBorders>
              <w:top w:val="nil"/>
              <w:left w:val="nil"/>
              <w:bottom w:val="nil"/>
              <w:right w:val="nil"/>
            </w:tcBorders>
            <w:shd w:val="clear" w:color="auto" w:fill="auto"/>
            <w:noWrap/>
            <w:vAlign w:val="bottom"/>
            <w:hideMark/>
          </w:tcPr>
          <w:p w14:paraId="764AB1B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3223</w:t>
            </w:r>
          </w:p>
        </w:tc>
        <w:tc>
          <w:tcPr>
            <w:tcW w:w="8509" w:type="dxa"/>
            <w:tcBorders>
              <w:top w:val="nil"/>
              <w:left w:val="nil"/>
              <w:bottom w:val="nil"/>
              <w:right w:val="nil"/>
            </w:tcBorders>
            <w:shd w:val="clear" w:color="auto" w:fill="auto"/>
            <w:noWrap/>
            <w:vAlign w:val="bottom"/>
            <w:hideMark/>
          </w:tcPr>
          <w:p w14:paraId="2A904D0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Energija                                                                                            </w:t>
            </w:r>
          </w:p>
        </w:tc>
        <w:tc>
          <w:tcPr>
            <w:tcW w:w="1480" w:type="dxa"/>
            <w:tcBorders>
              <w:top w:val="nil"/>
              <w:left w:val="nil"/>
              <w:bottom w:val="nil"/>
              <w:right w:val="nil"/>
            </w:tcBorders>
            <w:shd w:val="clear" w:color="auto" w:fill="auto"/>
            <w:noWrap/>
            <w:vAlign w:val="bottom"/>
            <w:hideMark/>
          </w:tcPr>
          <w:p w14:paraId="7CE83BD7"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44CA4AF"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1.975,15</w:t>
            </w:r>
          </w:p>
        </w:tc>
        <w:tc>
          <w:tcPr>
            <w:tcW w:w="1400" w:type="dxa"/>
            <w:tcBorders>
              <w:top w:val="nil"/>
              <w:left w:val="nil"/>
              <w:bottom w:val="nil"/>
              <w:right w:val="nil"/>
            </w:tcBorders>
            <w:shd w:val="clear" w:color="auto" w:fill="auto"/>
            <w:noWrap/>
            <w:vAlign w:val="bottom"/>
            <w:hideMark/>
          </w:tcPr>
          <w:p w14:paraId="3B56B7E6"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2142FA57" w14:textId="77777777" w:rsidTr="00A360DB">
        <w:trPr>
          <w:trHeight w:val="240"/>
        </w:trPr>
        <w:tc>
          <w:tcPr>
            <w:tcW w:w="1697" w:type="dxa"/>
            <w:tcBorders>
              <w:top w:val="nil"/>
              <w:left w:val="nil"/>
              <w:bottom w:val="nil"/>
              <w:right w:val="nil"/>
            </w:tcBorders>
            <w:shd w:val="clear" w:color="auto" w:fill="auto"/>
            <w:noWrap/>
            <w:vAlign w:val="bottom"/>
            <w:hideMark/>
          </w:tcPr>
          <w:p w14:paraId="251320E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3225</w:t>
            </w:r>
          </w:p>
        </w:tc>
        <w:tc>
          <w:tcPr>
            <w:tcW w:w="8509" w:type="dxa"/>
            <w:tcBorders>
              <w:top w:val="nil"/>
              <w:left w:val="nil"/>
              <w:bottom w:val="nil"/>
              <w:right w:val="nil"/>
            </w:tcBorders>
            <w:shd w:val="clear" w:color="auto" w:fill="auto"/>
            <w:noWrap/>
            <w:vAlign w:val="bottom"/>
            <w:hideMark/>
          </w:tcPr>
          <w:p w14:paraId="69E2A72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Sitni inventar i auto gume</w:t>
            </w:r>
          </w:p>
        </w:tc>
        <w:tc>
          <w:tcPr>
            <w:tcW w:w="1480" w:type="dxa"/>
            <w:tcBorders>
              <w:top w:val="nil"/>
              <w:left w:val="nil"/>
              <w:bottom w:val="nil"/>
              <w:right w:val="nil"/>
            </w:tcBorders>
            <w:shd w:val="clear" w:color="auto" w:fill="auto"/>
            <w:noWrap/>
            <w:vAlign w:val="bottom"/>
            <w:hideMark/>
          </w:tcPr>
          <w:p w14:paraId="3734079F"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21520EC"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3.374,45</w:t>
            </w:r>
          </w:p>
        </w:tc>
        <w:tc>
          <w:tcPr>
            <w:tcW w:w="1400" w:type="dxa"/>
            <w:tcBorders>
              <w:top w:val="nil"/>
              <w:left w:val="nil"/>
              <w:bottom w:val="nil"/>
              <w:right w:val="nil"/>
            </w:tcBorders>
            <w:shd w:val="clear" w:color="auto" w:fill="auto"/>
            <w:noWrap/>
            <w:vAlign w:val="bottom"/>
            <w:hideMark/>
          </w:tcPr>
          <w:p w14:paraId="5F9CE67C"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6068508" w14:textId="77777777" w:rsidTr="00A360DB">
        <w:trPr>
          <w:trHeight w:val="240"/>
        </w:trPr>
        <w:tc>
          <w:tcPr>
            <w:tcW w:w="1697" w:type="dxa"/>
            <w:tcBorders>
              <w:top w:val="nil"/>
              <w:left w:val="nil"/>
              <w:bottom w:val="nil"/>
              <w:right w:val="nil"/>
            </w:tcBorders>
            <w:shd w:val="clear" w:color="auto" w:fill="auto"/>
            <w:noWrap/>
            <w:vAlign w:val="bottom"/>
            <w:hideMark/>
          </w:tcPr>
          <w:p w14:paraId="218AA68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3227</w:t>
            </w:r>
          </w:p>
        </w:tc>
        <w:tc>
          <w:tcPr>
            <w:tcW w:w="8509" w:type="dxa"/>
            <w:tcBorders>
              <w:top w:val="nil"/>
              <w:left w:val="nil"/>
              <w:bottom w:val="nil"/>
              <w:right w:val="nil"/>
            </w:tcBorders>
            <w:shd w:val="clear" w:color="auto" w:fill="auto"/>
            <w:noWrap/>
            <w:vAlign w:val="bottom"/>
            <w:hideMark/>
          </w:tcPr>
          <w:p w14:paraId="5F23A1D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Službena, radna i zaštitna odjeća i obuća                                                           </w:t>
            </w:r>
          </w:p>
        </w:tc>
        <w:tc>
          <w:tcPr>
            <w:tcW w:w="1480" w:type="dxa"/>
            <w:tcBorders>
              <w:top w:val="nil"/>
              <w:left w:val="nil"/>
              <w:bottom w:val="nil"/>
              <w:right w:val="nil"/>
            </w:tcBorders>
            <w:shd w:val="clear" w:color="auto" w:fill="auto"/>
            <w:noWrap/>
            <w:vAlign w:val="bottom"/>
            <w:hideMark/>
          </w:tcPr>
          <w:p w14:paraId="7503DD23"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0477E7A"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43,85</w:t>
            </w:r>
          </w:p>
        </w:tc>
        <w:tc>
          <w:tcPr>
            <w:tcW w:w="1400" w:type="dxa"/>
            <w:tcBorders>
              <w:top w:val="nil"/>
              <w:left w:val="nil"/>
              <w:bottom w:val="nil"/>
              <w:right w:val="nil"/>
            </w:tcBorders>
            <w:shd w:val="clear" w:color="auto" w:fill="auto"/>
            <w:noWrap/>
            <w:vAlign w:val="bottom"/>
            <w:hideMark/>
          </w:tcPr>
          <w:p w14:paraId="41CBE46A"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730160C" w14:textId="77777777" w:rsidTr="00A360DB">
        <w:trPr>
          <w:trHeight w:val="240"/>
        </w:trPr>
        <w:tc>
          <w:tcPr>
            <w:tcW w:w="1697" w:type="dxa"/>
            <w:tcBorders>
              <w:top w:val="nil"/>
              <w:left w:val="nil"/>
              <w:bottom w:val="nil"/>
              <w:right w:val="nil"/>
            </w:tcBorders>
            <w:shd w:val="clear" w:color="auto" w:fill="auto"/>
            <w:noWrap/>
            <w:vAlign w:val="bottom"/>
            <w:hideMark/>
          </w:tcPr>
          <w:p w14:paraId="032A6B8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3231</w:t>
            </w:r>
          </w:p>
        </w:tc>
        <w:tc>
          <w:tcPr>
            <w:tcW w:w="8509" w:type="dxa"/>
            <w:tcBorders>
              <w:top w:val="nil"/>
              <w:left w:val="nil"/>
              <w:bottom w:val="nil"/>
              <w:right w:val="nil"/>
            </w:tcBorders>
            <w:shd w:val="clear" w:color="auto" w:fill="auto"/>
            <w:noWrap/>
            <w:vAlign w:val="bottom"/>
            <w:hideMark/>
          </w:tcPr>
          <w:p w14:paraId="0D6C224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Usluge telefona, pošte i prijevoza                                                                  </w:t>
            </w:r>
          </w:p>
        </w:tc>
        <w:tc>
          <w:tcPr>
            <w:tcW w:w="1480" w:type="dxa"/>
            <w:tcBorders>
              <w:top w:val="nil"/>
              <w:left w:val="nil"/>
              <w:bottom w:val="nil"/>
              <w:right w:val="nil"/>
            </w:tcBorders>
            <w:shd w:val="clear" w:color="auto" w:fill="auto"/>
            <w:noWrap/>
            <w:vAlign w:val="bottom"/>
            <w:hideMark/>
          </w:tcPr>
          <w:p w14:paraId="086B46BA"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168504A5"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660,07</w:t>
            </w:r>
          </w:p>
        </w:tc>
        <w:tc>
          <w:tcPr>
            <w:tcW w:w="1400" w:type="dxa"/>
            <w:tcBorders>
              <w:top w:val="nil"/>
              <w:left w:val="nil"/>
              <w:bottom w:val="nil"/>
              <w:right w:val="nil"/>
            </w:tcBorders>
            <w:shd w:val="clear" w:color="auto" w:fill="auto"/>
            <w:noWrap/>
            <w:vAlign w:val="bottom"/>
            <w:hideMark/>
          </w:tcPr>
          <w:p w14:paraId="080FF4D4"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329A345" w14:textId="77777777" w:rsidTr="00A360DB">
        <w:trPr>
          <w:trHeight w:val="240"/>
        </w:trPr>
        <w:tc>
          <w:tcPr>
            <w:tcW w:w="1697" w:type="dxa"/>
            <w:tcBorders>
              <w:top w:val="nil"/>
              <w:left w:val="nil"/>
              <w:bottom w:val="nil"/>
              <w:right w:val="nil"/>
            </w:tcBorders>
            <w:shd w:val="clear" w:color="auto" w:fill="auto"/>
            <w:noWrap/>
            <w:vAlign w:val="bottom"/>
            <w:hideMark/>
          </w:tcPr>
          <w:p w14:paraId="3ACAAA9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3234</w:t>
            </w:r>
          </w:p>
        </w:tc>
        <w:tc>
          <w:tcPr>
            <w:tcW w:w="8509" w:type="dxa"/>
            <w:tcBorders>
              <w:top w:val="nil"/>
              <w:left w:val="nil"/>
              <w:bottom w:val="nil"/>
              <w:right w:val="nil"/>
            </w:tcBorders>
            <w:shd w:val="clear" w:color="auto" w:fill="auto"/>
            <w:noWrap/>
            <w:vAlign w:val="bottom"/>
            <w:hideMark/>
          </w:tcPr>
          <w:p w14:paraId="0BFE5F3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Komunalne usluge                                                                                    </w:t>
            </w:r>
          </w:p>
        </w:tc>
        <w:tc>
          <w:tcPr>
            <w:tcW w:w="1480" w:type="dxa"/>
            <w:tcBorders>
              <w:top w:val="nil"/>
              <w:left w:val="nil"/>
              <w:bottom w:val="nil"/>
              <w:right w:val="nil"/>
            </w:tcBorders>
            <w:shd w:val="clear" w:color="auto" w:fill="auto"/>
            <w:noWrap/>
            <w:vAlign w:val="bottom"/>
            <w:hideMark/>
          </w:tcPr>
          <w:p w14:paraId="389748A0"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1EC9E9D5"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2.066,53</w:t>
            </w:r>
          </w:p>
        </w:tc>
        <w:tc>
          <w:tcPr>
            <w:tcW w:w="1400" w:type="dxa"/>
            <w:tcBorders>
              <w:top w:val="nil"/>
              <w:left w:val="nil"/>
              <w:bottom w:val="nil"/>
              <w:right w:val="nil"/>
            </w:tcBorders>
            <w:shd w:val="clear" w:color="auto" w:fill="auto"/>
            <w:noWrap/>
            <w:vAlign w:val="bottom"/>
            <w:hideMark/>
          </w:tcPr>
          <w:p w14:paraId="431C63B3"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1B867B1" w14:textId="77777777" w:rsidTr="00A360DB">
        <w:trPr>
          <w:trHeight w:val="240"/>
        </w:trPr>
        <w:tc>
          <w:tcPr>
            <w:tcW w:w="1697" w:type="dxa"/>
            <w:tcBorders>
              <w:top w:val="nil"/>
              <w:left w:val="nil"/>
              <w:bottom w:val="nil"/>
              <w:right w:val="nil"/>
            </w:tcBorders>
            <w:shd w:val="clear" w:color="auto" w:fill="auto"/>
            <w:noWrap/>
            <w:vAlign w:val="bottom"/>
            <w:hideMark/>
          </w:tcPr>
          <w:p w14:paraId="5F694E5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3236</w:t>
            </w:r>
          </w:p>
        </w:tc>
        <w:tc>
          <w:tcPr>
            <w:tcW w:w="8509" w:type="dxa"/>
            <w:tcBorders>
              <w:top w:val="nil"/>
              <w:left w:val="nil"/>
              <w:bottom w:val="nil"/>
              <w:right w:val="nil"/>
            </w:tcBorders>
            <w:shd w:val="clear" w:color="auto" w:fill="auto"/>
            <w:noWrap/>
            <w:vAlign w:val="bottom"/>
            <w:hideMark/>
          </w:tcPr>
          <w:p w14:paraId="65EFCD0D"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Zdravstvene i veterinarske usluge                                                                   </w:t>
            </w:r>
          </w:p>
        </w:tc>
        <w:tc>
          <w:tcPr>
            <w:tcW w:w="1480" w:type="dxa"/>
            <w:tcBorders>
              <w:top w:val="nil"/>
              <w:left w:val="nil"/>
              <w:bottom w:val="nil"/>
              <w:right w:val="nil"/>
            </w:tcBorders>
            <w:shd w:val="clear" w:color="auto" w:fill="auto"/>
            <w:noWrap/>
            <w:vAlign w:val="bottom"/>
            <w:hideMark/>
          </w:tcPr>
          <w:p w14:paraId="3B9A5D51"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2BFAADFD"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1.219,31</w:t>
            </w:r>
          </w:p>
        </w:tc>
        <w:tc>
          <w:tcPr>
            <w:tcW w:w="1400" w:type="dxa"/>
            <w:tcBorders>
              <w:top w:val="nil"/>
              <w:left w:val="nil"/>
              <w:bottom w:val="nil"/>
              <w:right w:val="nil"/>
            </w:tcBorders>
            <w:shd w:val="clear" w:color="auto" w:fill="auto"/>
            <w:noWrap/>
            <w:vAlign w:val="bottom"/>
            <w:hideMark/>
          </w:tcPr>
          <w:p w14:paraId="4AF19A47"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21BFEB3" w14:textId="77777777" w:rsidTr="00A360DB">
        <w:trPr>
          <w:trHeight w:val="240"/>
        </w:trPr>
        <w:tc>
          <w:tcPr>
            <w:tcW w:w="1697" w:type="dxa"/>
            <w:tcBorders>
              <w:top w:val="nil"/>
              <w:left w:val="nil"/>
              <w:bottom w:val="nil"/>
              <w:right w:val="nil"/>
            </w:tcBorders>
            <w:shd w:val="clear" w:color="auto" w:fill="auto"/>
            <w:noWrap/>
            <w:vAlign w:val="bottom"/>
            <w:hideMark/>
          </w:tcPr>
          <w:p w14:paraId="0A6EB93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3237</w:t>
            </w:r>
          </w:p>
        </w:tc>
        <w:tc>
          <w:tcPr>
            <w:tcW w:w="8509" w:type="dxa"/>
            <w:tcBorders>
              <w:top w:val="nil"/>
              <w:left w:val="nil"/>
              <w:bottom w:val="nil"/>
              <w:right w:val="nil"/>
            </w:tcBorders>
            <w:shd w:val="clear" w:color="auto" w:fill="auto"/>
            <w:noWrap/>
            <w:vAlign w:val="bottom"/>
            <w:hideMark/>
          </w:tcPr>
          <w:p w14:paraId="54C4F4A8"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Intelektualne i osobne usluge                                                                       </w:t>
            </w:r>
          </w:p>
        </w:tc>
        <w:tc>
          <w:tcPr>
            <w:tcW w:w="1480" w:type="dxa"/>
            <w:tcBorders>
              <w:top w:val="nil"/>
              <w:left w:val="nil"/>
              <w:bottom w:val="nil"/>
              <w:right w:val="nil"/>
            </w:tcBorders>
            <w:shd w:val="clear" w:color="auto" w:fill="auto"/>
            <w:noWrap/>
            <w:vAlign w:val="bottom"/>
            <w:hideMark/>
          </w:tcPr>
          <w:p w14:paraId="22EAC446"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237872D8"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899,81</w:t>
            </w:r>
          </w:p>
        </w:tc>
        <w:tc>
          <w:tcPr>
            <w:tcW w:w="1400" w:type="dxa"/>
            <w:tcBorders>
              <w:top w:val="nil"/>
              <w:left w:val="nil"/>
              <w:bottom w:val="nil"/>
              <w:right w:val="nil"/>
            </w:tcBorders>
            <w:shd w:val="clear" w:color="auto" w:fill="auto"/>
            <w:noWrap/>
            <w:vAlign w:val="bottom"/>
            <w:hideMark/>
          </w:tcPr>
          <w:p w14:paraId="5EDA91E6"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3F1D21F" w14:textId="77777777" w:rsidTr="00A360DB">
        <w:trPr>
          <w:trHeight w:val="240"/>
        </w:trPr>
        <w:tc>
          <w:tcPr>
            <w:tcW w:w="1697" w:type="dxa"/>
            <w:tcBorders>
              <w:top w:val="nil"/>
              <w:left w:val="nil"/>
              <w:bottom w:val="nil"/>
              <w:right w:val="nil"/>
            </w:tcBorders>
            <w:shd w:val="clear" w:color="auto" w:fill="auto"/>
            <w:noWrap/>
            <w:vAlign w:val="bottom"/>
            <w:hideMark/>
          </w:tcPr>
          <w:p w14:paraId="0706B9D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3239</w:t>
            </w:r>
          </w:p>
        </w:tc>
        <w:tc>
          <w:tcPr>
            <w:tcW w:w="8509" w:type="dxa"/>
            <w:tcBorders>
              <w:top w:val="nil"/>
              <w:left w:val="nil"/>
              <w:bottom w:val="nil"/>
              <w:right w:val="nil"/>
            </w:tcBorders>
            <w:shd w:val="clear" w:color="auto" w:fill="auto"/>
            <w:noWrap/>
            <w:vAlign w:val="bottom"/>
            <w:hideMark/>
          </w:tcPr>
          <w:p w14:paraId="281482BE"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Ostale usluge                                                                                       </w:t>
            </w:r>
          </w:p>
        </w:tc>
        <w:tc>
          <w:tcPr>
            <w:tcW w:w="1480" w:type="dxa"/>
            <w:tcBorders>
              <w:top w:val="nil"/>
              <w:left w:val="nil"/>
              <w:bottom w:val="nil"/>
              <w:right w:val="nil"/>
            </w:tcBorders>
            <w:shd w:val="clear" w:color="auto" w:fill="auto"/>
            <w:noWrap/>
            <w:vAlign w:val="bottom"/>
            <w:hideMark/>
          </w:tcPr>
          <w:p w14:paraId="35E87361"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19F1BF4"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50,00</w:t>
            </w:r>
          </w:p>
        </w:tc>
        <w:tc>
          <w:tcPr>
            <w:tcW w:w="1400" w:type="dxa"/>
            <w:tcBorders>
              <w:top w:val="nil"/>
              <w:left w:val="nil"/>
              <w:bottom w:val="nil"/>
              <w:right w:val="nil"/>
            </w:tcBorders>
            <w:shd w:val="clear" w:color="auto" w:fill="auto"/>
            <w:noWrap/>
            <w:vAlign w:val="bottom"/>
            <w:hideMark/>
          </w:tcPr>
          <w:p w14:paraId="40003B5A"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0B9BC92" w14:textId="77777777" w:rsidTr="00A360DB">
        <w:trPr>
          <w:trHeight w:val="240"/>
        </w:trPr>
        <w:tc>
          <w:tcPr>
            <w:tcW w:w="1697" w:type="dxa"/>
            <w:tcBorders>
              <w:top w:val="nil"/>
              <w:left w:val="nil"/>
              <w:bottom w:val="nil"/>
              <w:right w:val="nil"/>
            </w:tcBorders>
            <w:shd w:val="clear" w:color="auto" w:fill="auto"/>
            <w:noWrap/>
            <w:vAlign w:val="bottom"/>
            <w:hideMark/>
          </w:tcPr>
          <w:p w14:paraId="4F16D4B7"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3295</w:t>
            </w:r>
          </w:p>
        </w:tc>
        <w:tc>
          <w:tcPr>
            <w:tcW w:w="8509" w:type="dxa"/>
            <w:tcBorders>
              <w:top w:val="nil"/>
              <w:left w:val="nil"/>
              <w:bottom w:val="nil"/>
              <w:right w:val="nil"/>
            </w:tcBorders>
            <w:shd w:val="clear" w:color="auto" w:fill="auto"/>
            <w:noWrap/>
            <w:vAlign w:val="bottom"/>
            <w:hideMark/>
          </w:tcPr>
          <w:p w14:paraId="39EB481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Pristojbe i naknade                                                                                 </w:t>
            </w:r>
          </w:p>
        </w:tc>
        <w:tc>
          <w:tcPr>
            <w:tcW w:w="1480" w:type="dxa"/>
            <w:tcBorders>
              <w:top w:val="nil"/>
              <w:left w:val="nil"/>
              <w:bottom w:val="nil"/>
              <w:right w:val="nil"/>
            </w:tcBorders>
            <w:shd w:val="clear" w:color="auto" w:fill="auto"/>
            <w:noWrap/>
            <w:vAlign w:val="bottom"/>
            <w:hideMark/>
          </w:tcPr>
          <w:p w14:paraId="1238C158"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265E088A"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59,46</w:t>
            </w:r>
          </w:p>
        </w:tc>
        <w:tc>
          <w:tcPr>
            <w:tcW w:w="1400" w:type="dxa"/>
            <w:tcBorders>
              <w:top w:val="nil"/>
              <w:left w:val="nil"/>
              <w:bottom w:val="nil"/>
              <w:right w:val="nil"/>
            </w:tcBorders>
            <w:shd w:val="clear" w:color="auto" w:fill="auto"/>
            <w:noWrap/>
            <w:vAlign w:val="bottom"/>
            <w:hideMark/>
          </w:tcPr>
          <w:p w14:paraId="007A591F"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91DBD1D" w14:textId="77777777" w:rsidTr="00A360DB">
        <w:trPr>
          <w:trHeight w:val="240"/>
        </w:trPr>
        <w:tc>
          <w:tcPr>
            <w:tcW w:w="1697" w:type="dxa"/>
            <w:tcBorders>
              <w:top w:val="nil"/>
              <w:left w:val="nil"/>
              <w:bottom w:val="nil"/>
              <w:right w:val="nil"/>
            </w:tcBorders>
            <w:shd w:val="clear" w:color="auto" w:fill="auto"/>
            <w:noWrap/>
            <w:vAlign w:val="bottom"/>
            <w:hideMark/>
          </w:tcPr>
          <w:p w14:paraId="208423B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3299</w:t>
            </w:r>
          </w:p>
        </w:tc>
        <w:tc>
          <w:tcPr>
            <w:tcW w:w="8509" w:type="dxa"/>
            <w:tcBorders>
              <w:top w:val="nil"/>
              <w:left w:val="nil"/>
              <w:bottom w:val="nil"/>
              <w:right w:val="nil"/>
            </w:tcBorders>
            <w:shd w:val="clear" w:color="auto" w:fill="auto"/>
            <w:noWrap/>
            <w:vAlign w:val="bottom"/>
            <w:hideMark/>
          </w:tcPr>
          <w:p w14:paraId="085B712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Ostali nespomenuti rashodi poslovanja                                                               </w:t>
            </w:r>
          </w:p>
        </w:tc>
        <w:tc>
          <w:tcPr>
            <w:tcW w:w="1480" w:type="dxa"/>
            <w:tcBorders>
              <w:top w:val="nil"/>
              <w:left w:val="nil"/>
              <w:bottom w:val="nil"/>
              <w:right w:val="nil"/>
            </w:tcBorders>
            <w:shd w:val="clear" w:color="auto" w:fill="auto"/>
            <w:noWrap/>
            <w:vAlign w:val="bottom"/>
            <w:hideMark/>
          </w:tcPr>
          <w:p w14:paraId="3710FC86"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21B47739"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45,29</w:t>
            </w:r>
          </w:p>
        </w:tc>
        <w:tc>
          <w:tcPr>
            <w:tcW w:w="1400" w:type="dxa"/>
            <w:tcBorders>
              <w:top w:val="nil"/>
              <w:left w:val="nil"/>
              <w:bottom w:val="nil"/>
              <w:right w:val="nil"/>
            </w:tcBorders>
            <w:shd w:val="clear" w:color="auto" w:fill="auto"/>
            <w:noWrap/>
            <w:vAlign w:val="bottom"/>
            <w:hideMark/>
          </w:tcPr>
          <w:p w14:paraId="234E97AE"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85B8CB2"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24ECBF47"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9. Višak iz prethodnih razdoblja</w:t>
            </w:r>
          </w:p>
        </w:tc>
        <w:tc>
          <w:tcPr>
            <w:tcW w:w="1480" w:type="dxa"/>
            <w:tcBorders>
              <w:top w:val="nil"/>
              <w:left w:val="nil"/>
              <w:bottom w:val="nil"/>
              <w:right w:val="nil"/>
            </w:tcBorders>
            <w:shd w:val="clear" w:color="auto" w:fill="auto"/>
            <w:noWrap/>
            <w:vAlign w:val="bottom"/>
            <w:hideMark/>
          </w:tcPr>
          <w:p w14:paraId="2972D40C"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369.578,62</w:t>
            </w:r>
          </w:p>
        </w:tc>
        <w:tc>
          <w:tcPr>
            <w:tcW w:w="1380" w:type="dxa"/>
            <w:tcBorders>
              <w:top w:val="nil"/>
              <w:left w:val="nil"/>
              <w:bottom w:val="nil"/>
              <w:right w:val="nil"/>
            </w:tcBorders>
            <w:shd w:val="clear" w:color="auto" w:fill="auto"/>
            <w:noWrap/>
            <w:vAlign w:val="bottom"/>
            <w:hideMark/>
          </w:tcPr>
          <w:p w14:paraId="353D8E40"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369.578,62</w:t>
            </w:r>
          </w:p>
        </w:tc>
        <w:tc>
          <w:tcPr>
            <w:tcW w:w="1400" w:type="dxa"/>
            <w:tcBorders>
              <w:top w:val="nil"/>
              <w:left w:val="nil"/>
              <w:bottom w:val="nil"/>
              <w:right w:val="nil"/>
            </w:tcBorders>
            <w:shd w:val="clear" w:color="auto" w:fill="auto"/>
            <w:noWrap/>
            <w:vAlign w:val="bottom"/>
            <w:hideMark/>
          </w:tcPr>
          <w:p w14:paraId="15870871"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w:t>
            </w:r>
          </w:p>
        </w:tc>
      </w:tr>
      <w:tr w:rsidR="00A360DB" w:rsidRPr="00A360DB" w14:paraId="17C0A65E"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B318AF6"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 xml:space="preserve">Izvor 9.1. Višak iz prethodnih godina - </w:t>
            </w:r>
            <w:proofErr w:type="spellStart"/>
            <w:r w:rsidRPr="00A360DB">
              <w:rPr>
                <w:rFonts w:ascii="Arial" w:hAnsi="Arial" w:cs="Arial"/>
                <w:color w:val="333333"/>
                <w:sz w:val="18"/>
                <w:szCs w:val="18"/>
                <w:lang w:eastAsia="hr-HR"/>
              </w:rPr>
              <w:t>Prorač.korisnici</w:t>
            </w:r>
            <w:proofErr w:type="spellEnd"/>
          </w:p>
        </w:tc>
        <w:tc>
          <w:tcPr>
            <w:tcW w:w="1480" w:type="dxa"/>
            <w:tcBorders>
              <w:top w:val="nil"/>
              <w:left w:val="nil"/>
              <w:bottom w:val="nil"/>
              <w:right w:val="nil"/>
            </w:tcBorders>
            <w:shd w:val="clear" w:color="auto" w:fill="auto"/>
            <w:noWrap/>
            <w:vAlign w:val="bottom"/>
            <w:hideMark/>
          </w:tcPr>
          <w:p w14:paraId="66ACFAC6"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39.578,62</w:t>
            </w:r>
          </w:p>
        </w:tc>
        <w:tc>
          <w:tcPr>
            <w:tcW w:w="1380" w:type="dxa"/>
            <w:tcBorders>
              <w:top w:val="nil"/>
              <w:left w:val="nil"/>
              <w:bottom w:val="nil"/>
              <w:right w:val="nil"/>
            </w:tcBorders>
            <w:shd w:val="clear" w:color="auto" w:fill="auto"/>
            <w:noWrap/>
            <w:vAlign w:val="bottom"/>
            <w:hideMark/>
          </w:tcPr>
          <w:p w14:paraId="151D5E11"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39.578,62</w:t>
            </w:r>
          </w:p>
        </w:tc>
        <w:tc>
          <w:tcPr>
            <w:tcW w:w="1400" w:type="dxa"/>
            <w:tcBorders>
              <w:top w:val="nil"/>
              <w:left w:val="nil"/>
              <w:bottom w:val="nil"/>
              <w:right w:val="nil"/>
            </w:tcBorders>
            <w:shd w:val="clear" w:color="auto" w:fill="auto"/>
            <w:noWrap/>
            <w:vAlign w:val="bottom"/>
            <w:hideMark/>
          </w:tcPr>
          <w:p w14:paraId="22AE6761"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w:t>
            </w:r>
          </w:p>
        </w:tc>
      </w:tr>
      <w:tr w:rsidR="00A360DB" w:rsidRPr="00A360DB" w14:paraId="54859656" w14:textId="77777777" w:rsidTr="00A360DB">
        <w:trPr>
          <w:trHeight w:val="240"/>
        </w:trPr>
        <w:tc>
          <w:tcPr>
            <w:tcW w:w="1697" w:type="dxa"/>
            <w:tcBorders>
              <w:top w:val="nil"/>
              <w:left w:val="nil"/>
              <w:bottom w:val="nil"/>
              <w:right w:val="nil"/>
            </w:tcBorders>
            <w:shd w:val="clear" w:color="auto" w:fill="auto"/>
            <w:noWrap/>
            <w:vAlign w:val="bottom"/>
            <w:hideMark/>
          </w:tcPr>
          <w:p w14:paraId="54BB2B7B"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lastRenderedPageBreak/>
              <w:t>31</w:t>
            </w:r>
          </w:p>
        </w:tc>
        <w:tc>
          <w:tcPr>
            <w:tcW w:w="8509" w:type="dxa"/>
            <w:tcBorders>
              <w:top w:val="nil"/>
              <w:left w:val="nil"/>
              <w:bottom w:val="nil"/>
              <w:right w:val="nil"/>
            </w:tcBorders>
            <w:shd w:val="clear" w:color="auto" w:fill="auto"/>
            <w:noWrap/>
            <w:vAlign w:val="bottom"/>
            <w:hideMark/>
          </w:tcPr>
          <w:p w14:paraId="2B7FE487"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zaposlene                                                                                </w:t>
            </w:r>
          </w:p>
        </w:tc>
        <w:tc>
          <w:tcPr>
            <w:tcW w:w="1480" w:type="dxa"/>
            <w:tcBorders>
              <w:top w:val="nil"/>
              <w:left w:val="nil"/>
              <w:bottom w:val="nil"/>
              <w:right w:val="nil"/>
            </w:tcBorders>
            <w:shd w:val="clear" w:color="auto" w:fill="auto"/>
            <w:noWrap/>
            <w:vAlign w:val="bottom"/>
            <w:hideMark/>
          </w:tcPr>
          <w:p w14:paraId="646ED68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29.578,62</w:t>
            </w:r>
          </w:p>
        </w:tc>
        <w:tc>
          <w:tcPr>
            <w:tcW w:w="1380" w:type="dxa"/>
            <w:tcBorders>
              <w:top w:val="nil"/>
              <w:left w:val="nil"/>
              <w:bottom w:val="nil"/>
              <w:right w:val="nil"/>
            </w:tcBorders>
            <w:shd w:val="clear" w:color="auto" w:fill="auto"/>
            <w:noWrap/>
            <w:vAlign w:val="bottom"/>
            <w:hideMark/>
          </w:tcPr>
          <w:p w14:paraId="0B28B77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29.578,62</w:t>
            </w:r>
          </w:p>
        </w:tc>
        <w:tc>
          <w:tcPr>
            <w:tcW w:w="1400" w:type="dxa"/>
            <w:tcBorders>
              <w:top w:val="nil"/>
              <w:left w:val="nil"/>
              <w:bottom w:val="nil"/>
              <w:right w:val="nil"/>
            </w:tcBorders>
            <w:shd w:val="clear" w:color="auto" w:fill="auto"/>
            <w:noWrap/>
            <w:vAlign w:val="bottom"/>
            <w:hideMark/>
          </w:tcPr>
          <w:p w14:paraId="3412E91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r>
      <w:tr w:rsidR="00A360DB" w:rsidRPr="00A360DB" w14:paraId="3E678A8D" w14:textId="77777777" w:rsidTr="00A360DB">
        <w:trPr>
          <w:trHeight w:val="240"/>
        </w:trPr>
        <w:tc>
          <w:tcPr>
            <w:tcW w:w="1697" w:type="dxa"/>
            <w:tcBorders>
              <w:top w:val="nil"/>
              <w:left w:val="nil"/>
              <w:bottom w:val="nil"/>
              <w:right w:val="nil"/>
            </w:tcBorders>
            <w:shd w:val="clear" w:color="auto" w:fill="auto"/>
            <w:noWrap/>
            <w:vAlign w:val="bottom"/>
            <w:hideMark/>
          </w:tcPr>
          <w:p w14:paraId="23E53FCE"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3111</w:t>
            </w:r>
          </w:p>
        </w:tc>
        <w:tc>
          <w:tcPr>
            <w:tcW w:w="8509" w:type="dxa"/>
            <w:tcBorders>
              <w:top w:val="nil"/>
              <w:left w:val="nil"/>
              <w:bottom w:val="nil"/>
              <w:right w:val="nil"/>
            </w:tcBorders>
            <w:shd w:val="clear" w:color="auto" w:fill="auto"/>
            <w:noWrap/>
            <w:vAlign w:val="bottom"/>
            <w:hideMark/>
          </w:tcPr>
          <w:p w14:paraId="2CCD7E28"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Plaće za redovan rad                                                                                </w:t>
            </w:r>
          </w:p>
        </w:tc>
        <w:tc>
          <w:tcPr>
            <w:tcW w:w="1480" w:type="dxa"/>
            <w:tcBorders>
              <w:top w:val="nil"/>
              <w:left w:val="nil"/>
              <w:bottom w:val="nil"/>
              <w:right w:val="nil"/>
            </w:tcBorders>
            <w:shd w:val="clear" w:color="auto" w:fill="auto"/>
            <w:noWrap/>
            <w:vAlign w:val="bottom"/>
            <w:hideMark/>
          </w:tcPr>
          <w:p w14:paraId="626D8079"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1DE687C9"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20.000,00</w:t>
            </w:r>
          </w:p>
        </w:tc>
        <w:tc>
          <w:tcPr>
            <w:tcW w:w="1400" w:type="dxa"/>
            <w:tcBorders>
              <w:top w:val="nil"/>
              <w:left w:val="nil"/>
              <w:bottom w:val="nil"/>
              <w:right w:val="nil"/>
            </w:tcBorders>
            <w:shd w:val="clear" w:color="auto" w:fill="auto"/>
            <w:noWrap/>
            <w:vAlign w:val="bottom"/>
            <w:hideMark/>
          </w:tcPr>
          <w:p w14:paraId="2FF3FE17"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2C713F3F" w14:textId="77777777" w:rsidTr="00A360DB">
        <w:trPr>
          <w:trHeight w:val="240"/>
        </w:trPr>
        <w:tc>
          <w:tcPr>
            <w:tcW w:w="1697" w:type="dxa"/>
            <w:tcBorders>
              <w:top w:val="nil"/>
              <w:left w:val="nil"/>
              <w:bottom w:val="nil"/>
              <w:right w:val="nil"/>
            </w:tcBorders>
            <w:shd w:val="clear" w:color="auto" w:fill="auto"/>
            <w:noWrap/>
            <w:vAlign w:val="bottom"/>
            <w:hideMark/>
          </w:tcPr>
          <w:p w14:paraId="253B2707"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3121</w:t>
            </w:r>
          </w:p>
        </w:tc>
        <w:tc>
          <w:tcPr>
            <w:tcW w:w="8509" w:type="dxa"/>
            <w:tcBorders>
              <w:top w:val="nil"/>
              <w:left w:val="nil"/>
              <w:bottom w:val="nil"/>
              <w:right w:val="nil"/>
            </w:tcBorders>
            <w:shd w:val="clear" w:color="auto" w:fill="auto"/>
            <w:noWrap/>
            <w:vAlign w:val="bottom"/>
            <w:hideMark/>
          </w:tcPr>
          <w:p w14:paraId="69550F48"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Ostali rashodi za zaposlene                                                                         </w:t>
            </w:r>
          </w:p>
        </w:tc>
        <w:tc>
          <w:tcPr>
            <w:tcW w:w="1480" w:type="dxa"/>
            <w:tcBorders>
              <w:top w:val="nil"/>
              <w:left w:val="nil"/>
              <w:bottom w:val="nil"/>
              <w:right w:val="nil"/>
            </w:tcBorders>
            <w:shd w:val="clear" w:color="auto" w:fill="auto"/>
            <w:noWrap/>
            <w:vAlign w:val="bottom"/>
            <w:hideMark/>
          </w:tcPr>
          <w:p w14:paraId="7F3831E4"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29DEF7E2"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5.000,00</w:t>
            </w:r>
          </w:p>
        </w:tc>
        <w:tc>
          <w:tcPr>
            <w:tcW w:w="1400" w:type="dxa"/>
            <w:tcBorders>
              <w:top w:val="nil"/>
              <w:left w:val="nil"/>
              <w:bottom w:val="nil"/>
              <w:right w:val="nil"/>
            </w:tcBorders>
            <w:shd w:val="clear" w:color="auto" w:fill="auto"/>
            <w:noWrap/>
            <w:vAlign w:val="bottom"/>
            <w:hideMark/>
          </w:tcPr>
          <w:p w14:paraId="69D85CE9"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1A962DC" w14:textId="77777777" w:rsidTr="00A360DB">
        <w:trPr>
          <w:trHeight w:val="240"/>
        </w:trPr>
        <w:tc>
          <w:tcPr>
            <w:tcW w:w="1697" w:type="dxa"/>
            <w:tcBorders>
              <w:top w:val="nil"/>
              <w:left w:val="nil"/>
              <w:bottom w:val="nil"/>
              <w:right w:val="nil"/>
            </w:tcBorders>
            <w:shd w:val="clear" w:color="auto" w:fill="auto"/>
            <w:noWrap/>
            <w:vAlign w:val="bottom"/>
            <w:hideMark/>
          </w:tcPr>
          <w:p w14:paraId="0F941D3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3132</w:t>
            </w:r>
          </w:p>
        </w:tc>
        <w:tc>
          <w:tcPr>
            <w:tcW w:w="8509" w:type="dxa"/>
            <w:tcBorders>
              <w:top w:val="nil"/>
              <w:left w:val="nil"/>
              <w:bottom w:val="nil"/>
              <w:right w:val="nil"/>
            </w:tcBorders>
            <w:shd w:val="clear" w:color="auto" w:fill="auto"/>
            <w:noWrap/>
            <w:vAlign w:val="bottom"/>
            <w:hideMark/>
          </w:tcPr>
          <w:p w14:paraId="4032A6B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Doprinosi za obvezno zdravstveno osiguranje                                                         </w:t>
            </w:r>
          </w:p>
        </w:tc>
        <w:tc>
          <w:tcPr>
            <w:tcW w:w="1480" w:type="dxa"/>
            <w:tcBorders>
              <w:top w:val="nil"/>
              <w:left w:val="nil"/>
              <w:bottom w:val="nil"/>
              <w:right w:val="nil"/>
            </w:tcBorders>
            <w:shd w:val="clear" w:color="auto" w:fill="auto"/>
            <w:noWrap/>
            <w:vAlign w:val="bottom"/>
            <w:hideMark/>
          </w:tcPr>
          <w:p w14:paraId="7231C5F7"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A84839F"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4.578,62</w:t>
            </w:r>
          </w:p>
        </w:tc>
        <w:tc>
          <w:tcPr>
            <w:tcW w:w="1400" w:type="dxa"/>
            <w:tcBorders>
              <w:top w:val="nil"/>
              <w:left w:val="nil"/>
              <w:bottom w:val="nil"/>
              <w:right w:val="nil"/>
            </w:tcBorders>
            <w:shd w:val="clear" w:color="auto" w:fill="auto"/>
            <w:noWrap/>
            <w:vAlign w:val="bottom"/>
            <w:hideMark/>
          </w:tcPr>
          <w:p w14:paraId="48BA645F"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06E7B98" w14:textId="77777777" w:rsidTr="00A360DB">
        <w:trPr>
          <w:trHeight w:val="240"/>
        </w:trPr>
        <w:tc>
          <w:tcPr>
            <w:tcW w:w="1697" w:type="dxa"/>
            <w:tcBorders>
              <w:top w:val="nil"/>
              <w:left w:val="nil"/>
              <w:bottom w:val="nil"/>
              <w:right w:val="nil"/>
            </w:tcBorders>
            <w:shd w:val="clear" w:color="auto" w:fill="auto"/>
            <w:noWrap/>
            <w:vAlign w:val="bottom"/>
            <w:hideMark/>
          </w:tcPr>
          <w:p w14:paraId="4A425D4D"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6F022278"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3FF14B1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10.000,00</w:t>
            </w:r>
          </w:p>
        </w:tc>
        <w:tc>
          <w:tcPr>
            <w:tcW w:w="1380" w:type="dxa"/>
            <w:tcBorders>
              <w:top w:val="nil"/>
              <w:left w:val="nil"/>
              <w:bottom w:val="nil"/>
              <w:right w:val="nil"/>
            </w:tcBorders>
            <w:shd w:val="clear" w:color="auto" w:fill="auto"/>
            <w:noWrap/>
            <w:vAlign w:val="bottom"/>
            <w:hideMark/>
          </w:tcPr>
          <w:p w14:paraId="26DA374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10.000,00</w:t>
            </w:r>
          </w:p>
        </w:tc>
        <w:tc>
          <w:tcPr>
            <w:tcW w:w="1400" w:type="dxa"/>
            <w:tcBorders>
              <w:top w:val="nil"/>
              <w:left w:val="nil"/>
              <w:bottom w:val="nil"/>
              <w:right w:val="nil"/>
            </w:tcBorders>
            <w:shd w:val="clear" w:color="auto" w:fill="auto"/>
            <w:noWrap/>
            <w:vAlign w:val="bottom"/>
            <w:hideMark/>
          </w:tcPr>
          <w:p w14:paraId="1C875FA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r>
      <w:tr w:rsidR="00A360DB" w:rsidRPr="00A360DB" w14:paraId="1075DB66" w14:textId="77777777" w:rsidTr="00A360DB">
        <w:trPr>
          <w:trHeight w:val="240"/>
        </w:trPr>
        <w:tc>
          <w:tcPr>
            <w:tcW w:w="1697" w:type="dxa"/>
            <w:tcBorders>
              <w:top w:val="nil"/>
              <w:left w:val="nil"/>
              <w:bottom w:val="nil"/>
              <w:right w:val="nil"/>
            </w:tcBorders>
            <w:shd w:val="clear" w:color="auto" w:fill="auto"/>
            <w:noWrap/>
            <w:vAlign w:val="bottom"/>
            <w:hideMark/>
          </w:tcPr>
          <w:p w14:paraId="7988207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3222</w:t>
            </w:r>
          </w:p>
        </w:tc>
        <w:tc>
          <w:tcPr>
            <w:tcW w:w="8509" w:type="dxa"/>
            <w:tcBorders>
              <w:top w:val="nil"/>
              <w:left w:val="nil"/>
              <w:bottom w:val="nil"/>
              <w:right w:val="nil"/>
            </w:tcBorders>
            <w:shd w:val="clear" w:color="auto" w:fill="auto"/>
            <w:noWrap/>
            <w:vAlign w:val="bottom"/>
            <w:hideMark/>
          </w:tcPr>
          <w:p w14:paraId="7652D33D"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Materijal i sirovine                                                                                </w:t>
            </w:r>
          </w:p>
        </w:tc>
        <w:tc>
          <w:tcPr>
            <w:tcW w:w="1480" w:type="dxa"/>
            <w:tcBorders>
              <w:top w:val="nil"/>
              <w:left w:val="nil"/>
              <w:bottom w:val="nil"/>
              <w:right w:val="nil"/>
            </w:tcBorders>
            <w:shd w:val="clear" w:color="auto" w:fill="auto"/>
            <w:noWrap/>
            <w:vAlign w:val="bottom"/>
            <w:hideMark/>
          </w:tcPr>
          <w:p w14:paraId="627ED327"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6777315"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10.000,00</w:t>
            </w:r>
          </w:p>
        </w:tc>
        <w:tc>
          <w:tcPr>
            <w:tcW w:w="1400" w:type="dxa"/>
            <w:tcBorders>
              <w:top w:val="nil"/>
              <w:left w:val="nil"/>
              <w:bottom w:val="nil"/>
              <w:right w:val="nil"/>
            </w:tcBorders>
            <w:shd w:val="clear" w:color="auto" w:fill="auto"/>
            <w:noWrap/>
            <w:vAlign w:val="bottom"/>
            <w:hideMark/>
          </w:tcPr>
          <w:p w14:paraId="1F86C665"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286E98E"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146E8F34"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9.2. Višak iz prethodnih godina - Grad</w:t>
            </w:r>
          </w:p>
        </w:tc>
        <w:tc>
          <w:tcPr>
            <w:tcW w:w="1480" w:type="dxa"/>
            <w:tcBorders>
              <w:top w:val="nil"/>
              <w:left w:val="nil"/>
              <w:bottom w:val="nil"/>
              <w:right w:val="nil"/>
            </w:tcBorders>
            <w:shd w:val="clear" w:color="auto" w:fill="auto"/>
            <w:noWrap/>
            <w:vAlign w:val="bottom"/>
            <w:hideMark/>
          </w:tcPr>
          <w:p w14:paraId="70788BBD"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330.000,00</w:t>
            </w:r>
          </w:p>
        </w:tc>
        <w:tc>
          <w:tcPr>
            <w:tcW w:w="1380" w:type="dxa"/>
            <w:tcBorders>
              <w:top w:val="nil"/>
              <w:left w:val="nil"/>
              <w:bottom w:val="nil"/>
              <w:right w:val="nil"/>
            </w:tcBorders>
            <w:shd w:val="clear" w:color="auto" w:fill="auto"/>
            <w:noWrap/>
            <w:vAlign w:val="bottom"/>
            <w:hideMark/>
          </w:tcPr>
          <w:p w14:paraId="5B95C74C"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330.000,00</w:t>
            </w:r>
          </w:p>
        </w:tc>
        <w:tc>
          <w:tcPr>
            <w:tcW w:w="1400" w:type="dxa"/>
            <w:tcBorders>
              <w:top w:val="nil"/>
              <w:left w:val="nil"/>
              <w:bottom w:val="nil"/>
              <w:right w:val="nil"/>
            </w:tcBorders>
            <w:shd w:val="clear" w:color="auto" w:fill="auto"/>
            <w:noWrap/>
            <w:vAlign w:val="bottom"/>
            <w:hideMark/>
          </w:tcPr>
          <w:p w14:paraId="1C0B8F58"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w:t>
            </w:r>
          </w:p>
        </w:tc>
      </w:tr>
      <w:tr w:rsidR="00A360DB" w:rsidRPr="00A360DB" w14:paraId="2B6D1110" w14:textId="77777777" w:rsidTr="00A360DB">
        <w:trPr>
          <w:trHeight w:val="240"/>
        </w:trPr>
        <w:tc>
          <w:tcPr>
            <w:tcW w:w="1697" w:type="dxa"/>
            <w:tcBorders>
              <w:top w:val="nil"/>
              <w:left w:val="nil"/>
              <w:bottom w:val="nil"/>
              <w:right w:val="nil"/>
            </w:tcBorders>
            <w:shd w:val="clear" w:color="auto" w:fill="auto"/>
            <w:noWrap/>
            <w:vAlign w:val="bottom"/>
            <w:hideMark/>
          </w:tcPr>
          <w:p w14:paraId="0CBAA41C"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31</w:t>
            </w:r>
          </w:p>
        </w:tc>
        <w:tc>
          <w:tcPr>
            <w:tcW w:w="8509" w:type="dxa"/>
            <w:tcBorders>
              <w:top w:val="nil"/>
              <w:left w:val="nil"/>
              <w:bottom w:val="nil"/>
              <w:right w:val="nil"/>
            </w:tcBorders>
            <w:shd w:val="clear" w:color="auto" w:fill="auto"/>
            <w:noWrap/>
            <w:vAlign w:val="bottom"/>
            <w:hideMark/>
          </w:tcPr>
          <w:p w14:paraId="6F369080"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zaposlene                                                                                </w:t>
            </w:r>
          </w:p>
        </w:tc>
        <w:tc>
          <w:tcPr>
            <w:tcW w:w="1480" w:type="dxa"/>
            <w:tcBorders>
              <w:top w:val="nil"/>
              <w:left w:val="nil"/>
              <w:bottom w:val="nil"/>
              <w:right w:val="nil"/>
            </w:tcBorders>
            <w:shd w:val="clear" w:color="auto" w:fill="auto"/>
            <w:noWrap/>
            <w:vAlign w:val="bottom"/>
            <w:hideMark/>
          </w:tcPr>
          <w:p w14:paraId="1B52768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330.000,00</w:t>
            </w:r>
          </w:p>
        </w:tc>
        <w:tc>
          <w:tcPr>
            <w:tcW w:w="1380" w:type="dxa"/>
            <w:tcBorders>
              <w:top w:val="nil"/>
              <w:left w:val="nil"/>
              <w:bottom w:val="nil"/>
              <w:right w:val="nil"/>
            </w:tcBorders>
            <w:shd w:val="clear" w:color="auto" w:fill="auto"/>
            <w:noWrap/>
            <w:vAlign w:val="bottom"/>
            <w:hideMark/>
          </w:tcPr>
          <w:p w14:paraId="4599E34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330.000,00</w:t>
            </w:r>
          </w:p>
        </w:tc>
        <w:tc>
          <w:tcPr>
            <w:tcW w:w="1400" w:type="dxa"/>
            <w:tcBorders>
              <w:top w:val="nil"/>
              <w:left w:val="nil"/>
              <w:bottom w:val="nil"/>
              <w:right w:val="nil"/>
            </w:tcBorders>
            <w:shd w:val="clear" w:color="auto" w:fill="auto"/>
            <w:noWrap/>
            <w:vAlign w:val="bottom"/>
            <w:hideMark/>
          </w:tcPr>
          <w:p w14:paraId="3BB1B4A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r>
      <w:tr w:rsidR="00A360DB" w:rsidRPr="00A360DB" w14:paraId="78723242" w14:textId="77777777" w:rsidTr="00A360DB">
        <w:trPr>
          <w:trHeight w:val="240"/>
        </w:trPr>
        <w:tc>
          <w:tcPr>
            <w:tcW w:w="1697" w:type="dxa"/>
            <w:tcBorders>
              <w:top w:val="nil"/>
              <w:left w:val="nil"/>
              <w:bottom w:val="nil"/>
              <w:right w:val="nil"/>
            </w:tcBorders>
            <w:shd w:val="clear" w:color="auto" w:fill="auto"/>
            <w:noWrap/>
            <w:vAlign w:val="bottom"/>
            <w:hideMark/>
          </w:tcPr>
          <w:p w14:paraId="12345FD8"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3111</w:t>
            </w:r>
          </w:p>
        </w:tc>
        <w:tc>
          <w:tcPr>
            <w:tcW w:w="8509" w:type="dxa"/>
            <w:tcBorders>
              <w:top w:val="nil"/>
              <w:left w:val="nil"/>
              <w:bottom w:val="nil"/>
              <w:right w:val="nil"/>
            </w:tcBorders>
            <w:shd w:val="clear" w:color="auto" w:fill="auto"/>
            <w:noWrap/>
            <w:vAlign w:val="bottom"/>
            <w:hideMark/>
          </w:tcPr>
          <w:p w14:paraId="7E4D8A7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Plaće za redovan rad                                                                                </w:t>
            </w:r>
          </w:p>
        </w:tc>
        <w:tc>
          <w:tcPr>
            <w:tcW w:w="1480" w:type="dxa"/>
            <w:tcBorders>
              <w:top w:val="nil"/>
              <w:left w:val="nil"/>
              <w:bottom w:val="nil"/>
              <w:right w:val="nil"/>
            </w:tcBorders>
            <w:shd w:val="clear" w:color="auto" w:fill="auto"/>
            <w:noWrap/>
            <w:vAlign w:val="bottom"/>
            <w:hideMark/>
          </w:tcPr>
          <w:p w14:paraId="7FC56BB0"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53C14056"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230.000,00</w:t>
            </w:r>
          </w:p>
        </w:tc>
        <w:tc>
          <w:tcPr>
            <w:tcW w:w="1400" w:type="dxa"/>
            <w:tcBorders>
              <w:top w:val="nil"/>
              <w:left w:val="nil"/>
              <w:bottom w:val="nil"/>
              <w:right w:val="nil"/>
            </w:tcBorders>
            <w:shd w:val="clear" w:color="auto" w:fill="auto"/>
            <w:noWrap/>
            <w:vAlign w:val="bottom"/>
            <w:hideMark/>
          </w:tcPr>
          <w:p w14:paraId="37CE17C2"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EDF9AFE" w14:textId="77777777" w:rsidTr="00A360DB">
        <w:trPr>
          <w:trHeight w:val="240"/>
        </w:trPr>
        <w:tc>
          <w:tcPr>
            <w:tcW w:w="1697" w:type="dxa"/>
            <w:tcBorders>
              <w:top w:val="nil"/>
              <w:left w:val="nil"/>
              <w:bottom w:val="nil"/>
              <w:right w:val="nil"/>
            </w:tcBorders>
            <w:shd w:val="clear" w:color="auto" w:fill="auto"/>
            <w:noWrap/>
            <w:vAlign w:val="bottom"/>
            <w:hideMark/>
          </w:tcPr>
          <w:p w14:paraId="4FFF047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3132</w:t>
            </w:r>
          </w:p>
        </w:tc>
        <w:tc>
          <w:tcPr>
            <w:tcW w:w="8509" w:type="dxa"/>
            <w:tcBorders>
              <w:top w:val="nil"/>
              <w:left w:val="nil"/>
              <w:bottom w:val="nil"/>
              <w:right w:val="nil"/>
            </w:tcBorders>
            <w:shd w:val="clear" w:color="auto" w:fill="auto"/>
            <w:noWrap/>
            <w:vAlign w:val="bottom"/>
            <w:hideMark/>
          </w:tcPr>
          <w:p w14:paraId="055A1D4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Doprinosi za obvezno zdravstveno osiguranje                                                         </w:t>
            </w:r>
          </w:p>
        </w:tc>
        <w:tc>
          <w:tcPr>
            <w:tcW w:w="1480" w:type="dxa"/>
            <w:tcBorders>
              <w:top w:val="nil"/>
              <w:left w:val="nil"/>
              <w:bottom w:val="nil"/>
              <w:right w:val="nil"/>
            </w:tcBorders>
            <w:shd w:val="clear" w:color="auto" w:fill="auto"/>
            <w:noWrap/>
            <w:vAlign w:val="bottom"/>
            <w:hideMark/>
          </w:tcPr>
          <w:p w14:paraId="6D21BF13"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2AC2208"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100.000,00</w:t>
            </w:r>
          </w:p>
        </w:tc>
        <w:tc>
          <w:tcPr>
            <w:tcW w:w="1400" w:type="dxa"/>
            <w:tcBorders>
              <w:top w:val="nil"/>
              <w:left w:val="nil"/>
              <w:bottom w:val="nil"/>
              <w:right w:val="nil"/>
            </w:tcBorders>
            <w:shd w:val="clear" w:color="auto" w:fill="auto"/>
            <w:noWrap/>
            <w:vAlign w:val="bottom"/>
            <w:hideMark/>
          </w:tcPr>
          <w:p w14:paraId="60A2568F"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4840E92" w14:textId="77777777" w:rsidTr="00A360DB">
        <w:trPr>
          <w:trHeight w:val="240"/>
        </w:trPr>
        <w:tc>
          <w:tcPr>
            <w:tcW w:w="1697" w:type="dxa"/>
            <w:tcBorders>
              <w:top w:val="nil"/>
              <w:left w:val="nil"/>
              <w:bottom w:val="nil"/>
              <w:right w:val="nil"/>
            </w:tcBorders>
            <w:shd w:val="clear" w:color="000000" w:fill="B4C6E7"/>
            <w:noWrap/>
            <w:vAlign w:val="bottom"/>
            <w:hideMark/>
          </w:tcPr>
          <w:p w14:paraId="7349E374"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A101602</w:t>
            </w:r>
          </w:p>
        </w:tc>
        <w:tc>
          <w:tcPr>
            <w:tcW w:w="8509" w:type="dxa"/>
            <w:tcBorders>
              <w:top w:val="nil"/>
              <w:left w:val="nil"/>
              <w:bottom w:val="nil"/>
              <w:right w:val="nil"/>
            </w:tcBorders>
            <w:shd w:val="clear" w:color="000000" w:fill="B4C6E7"/>
            <w:noWrap/>
            <w:vAlign w:val="bottom"/>
            <w:hideMark/>
          </w:tcPr>
          <w:p w14:paraId="74A7C988"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Redovno održavanje opreme i prijevoznih sredstava</w:t>
            </w:r>
          </w:p>
        </w:tc>
        <w:tc>
          <w:tcPr>
            <w:tcW w:w="1480" w:type="dxa"/>
            <w:tcBorders>
              <w:top w:val="nil"/>
              <w:left w:val="nil"/>
              <w:bottom w:val="nil"/>
              <w:right w:val="nil"/>
            </w:tcBorders>
            <w:shd w:val="clear" w:color="000000" w:fill="B4C6E7"/>
            <w:noWrap/>
            <w:vAlign w:val="bottom"/>
            <w:hideMark/>
          </w:tcPr>
          <w:p w14:paraId="63EB51E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9.100,00</w:t>
            </w:r>
          </w:p>
        </w:tc>
        <w:tc>
          <w:tcPr>
            <w:tcW w:w="1380" w:type="dxa"/>
            <w:tcBorders>
              <w:top w:val="nil"/>
              <w:left w:val="nil"/>
              <w:bottom w:val="nil"/>
              <w:right w:val="nil"/>
            </w:tcBorders>
            <w:shd w:val="clear" w:color="000000" w:fill="B4C6E7"/>
            <w:noWrap/>
            <w:vAlign w:val="bottom"/>
            <w:hideMark/>
          </w:tcPr>
          <w:p w14:paraId="55B2E41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7.174,68</w:t>
            </w:r>
          </w:p>
        </w:tc>
        <w:tc>
          <w:tcPr>
            <w:tcW w:w="1400" w:type="dxa"/>
            <w:tcBorders>
              <w:top w:val="nil"/>
              <w:left w:val="nil"/>
              <w:bottom w:val="nil"/>
              <w:right w:val="nil"/>
            </w:tcBorders>
            <w:shd w:val="clear" w:color="000000" w:fill="B4C6E7"/>
            <w:noWrap/>
            <w:vAlign w:val="bottom"/>
            <w:hideMark/>
          </w:tcPr>
          <w:p w14:paraId="4AE5FF6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78,84%</w:t>
            </w:r>
          </w:p>
        </w:tc>
      </w:tr>
      <w:tr w:rsidR="00A360DB" w:rsidRPr="00A360DB" w14:paraId="7ACDD941"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92FF66C"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3. Vlastiti prihodi</w:t>
            </w:r>
          </w:p>
        </w:tc>
        <w:tc>
          <w:tcPr>
            <w:tcW w:w="1480" w:type="dxa"/>
            <w:tcBorders>
              <w:top w:val="nil"/>
              <w:left w:val="nil"/>
              <w:bottom w:val="nil"/>
              <w:right w:val="nil"/>
            </w:tcBorders>
            <w:shd w:val="clear" w:color="auto" w:fill="auto"/>
            <w:noWrap/>
            <w:vAlign w:val="bottom"/>
            <w:hideMark/>
          </w:tcPr>
          <w:p w14:paraId="100D389F"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8.100,00</w:t>
            </w:r>
          </w:p>
        </w:tc>
        <w:tc>
          <w:tcPr>
            <w:tcW w:w="1380" w:type="dxa"/>
            <w:tcBorders>
              <w:top w:val="nil"/>
              <w:left w:val="nil"/>
              <w:bottom w:val="nil"/>
              <w:right w:val="nil"/>
            </w:tcBorders>
            <w:shd w:val="clear" w:color="auto" w:fill="auto"/>
            <w:noWrap/>
            <w:vAlign w:val="bottom"/>
            <w:hideMark/>
          </w:tcPr>
          <w:p w14:paraId="6641E5C1"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6.754,88</w:t>
            </w:r>
          </w:p>
        </w:tc>
        <w:tc>
          <w:tcPr>
            <w:tcW w:w="1400" w:type="dxa"/>
            <w:tcBorders>
              <w:top w:val="nil"/>
              <w:left w:val="nil"/>
              <w:bottom w:val="nil"/>
              <w:right w:val="nil"/>
            </w:tcBorders>
            <w:shd w:val="clear" w:color="auto" w:fill="auto"/>
            <w:noWrap/>
            <w:vAlign w:val="bottom"/>
            <w:hideMark/>
          </w:tcPr>
          <w:p w14:paraId="09180D96"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83,39%</w:t>
            </w:r>
          </w:p>
        </w:tc>
      </w:tr>
      <w:tr w:rsidR="00A360DB" w:rsidRPr="00A360DB" w14:paraId="7A5B64EB"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614816F"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3.1. Vlastiti prihodi</w:t>
            </w:r>
          </w:p>
        </w:tc>
        <w:tc>
          <w:tcPr>
            <w:tcW w:w="1480" w:type="dxa"/>
            <w:tcBorders>
              <w:top w:val="nil"/>
              <w:left w:val="nil"/>
              <w:bottom w:val="nil"/>
              <w:right w:val="nil"/>
            </w:tcBorders>
            <w:shd w:val="clear" w:color="auto" w:fill="auto"/>
            <w:noWrap/>
            <w:vAlign w:val="bottom"/>
            <w:hideMark/>
          </w:tcPr>
          <w:p w14:paraId="1BB64BAE"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8.100,00</w:t>
            </w:r>
          </w:p>
        </w:tc>
        <w:tc>
          <w:tcPr>
            <w:tcW w:w="1380" w:type="dxa"/>
            <w:tcBorders>
              <w:top w:val="nil"/>
              <w:left w:val="nil"/>
              <w:bottom w:val="nil"/>
              <w:right w:val="nil"/>
            </w:tcBorders>
            <w:shd w:val="clear" w:color="auto" w:fill="auto"/>
            <w:noWrap/>
            <w:vAlign w:val="bottom"/>
            <w:hideMark/>
          </w:tcPr>
          <w:p w14:paraId="3B82093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6.754,88</w:t>
            </w:r>
          </w:p>
        </w:tc>
        <w:tc>
          <w:tcPr>
            <w:tcW w:w="1400" w:type="dxa"/>
            <w:tcBorders>
              <w:top w:val="nil"/>
              <w:left w:val="nil"/>
              <w:bottom w:val="nil"/>
              <w:right w:val="nil"/>
            </w:tcBorders>
            <w:shd w:val="clear" w:color="auto" w:fill="auto"/>
            <w:noWrap/>
            <w:vAlign w:val="bottom"/>
            <w:hideMark/>
          </w:tcPr>
          <w:p w14:paraId="06A81C89"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83,39%</w:t>
            </w:r>
          </w:p>
        </w:tc>
      </w:tr>
      <w:tr w:rsidR="00A360DB" w:rsidRPr="00A360DB" w14:paraId="597BDFFA" w14:textId="77777777" w:rsidTr="00A360DB">
        <w:trPr>
          <w:trHeight w:val="240"/>
        </w:trPr>
        <w:tc>
          <w:tcPr>
            <w:tcW w:w="1697" w:type="dxa"/>
            <w:tcBorders>
              <w:top w:val="nil"/>
              <w:left w:val="nil"/>
              <w:bottom w:val="nil"/>
              <w:right w:val="nil"/>
            </w:tcBorders>
            <w:shd w:val="clear" w:color="auto" w:fill="auto"/>
            <w:noWrap/>
            <w:vAlign w:val="bottom"/>
            <w:hideMark/>
          </w:tcPr>
          <w:p w14:paraId="1F3B9192"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4B4C4DCD"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4951A16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8.100,00</w:t>
            </w:r>
          </w:p>
        </w:tc>
        <w:tc>
          <w:tcPr>
            <w:tcW w:w="1380" w:type="dxa"/>
            <w:tcBorders>
              <w:top w:val="nil"/>
              <w:left w:val="nil"/>
              <w:bottom w:val="nil"/>
              <w:right w:val="nil"/>
            </w:tcBorders>
            <w:shd w:val="clear" w:color="auto" w:fill="auto"/>
            <w:noWrap/>
            <w:vAlign w:val="bottom"/>
            <w:hideMark/>
          </w:tcPr>
          <w:p w14:paraId="5BAA479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6.754,88</w:t>
            </w:r>
          </w:p>
        </w:tc>
        <w:tc>
          <w:tcPr>
            <w:tcW w:w="1400" w:type="dxa"/>
            <w:tcBorders>
              <w:top w:val="nil"/>
              <w:left w:val="nil"/>
              <w:bottom w:val="nil"/>
              <w:right w:val="nil"/>
            </w:tcBorders>
            <w:shd w:val="clear" w:color="auto" w:fill="auto"/>
            <w:noWrap/>
            <w:vAlign w:val="bottom"/>
            <w:hideMark/>
          </w:tcPr>
          <w:p w14:paraId="2E89046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83,39%</w:t>
            </w:r>
          </w:p>
        </w:tc>
      </w:tr>
      <w:tr w:rsidR="00A360DB" w:rsidRPr="00A360DB" w14:paraId="199D4B8A" w14:textId="77777777" w:rsidTr="00A360DB">
        <w:trPr>
          <w:trHeight w:val="240"/>
        </w:trPr>
        <w:tc>
          <w:tcPr>
            <w:tcW w:w="1697" w:type="dxa"/>
            <w:tcBorders>
              <w:top w:val="nil"/>
              <w:left w:val="nil"/>
              <w:bottom w:val="nil"/>
              <w:right w:val="nil"/>
            </w:tcBorders>
            <w:shd w:val="clear" w:color="auto" w:fill="auto"/>
            <w:noWrap/>
            <w:vAlign w:val="bottom"/>
            <w:hideMark/>
          </w:tcPr>
          <w:p w14:paraId="004C68DE"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3224</w:t>
            </w:r>
          </w:p>
        </w:tc>
        <w:tc>
          <w:tcPr>
            <w:tcW w:w="8509" w:type="dxa"/>
            <w:tcBorders>
              <w:top w:val="nil"/>
              <w:left w:val="nil"/>
              <w:bottom w:val="nil"/>
              <w:right w:val="nil"/>
            </w:tcBorders>
            <w:shd w:val="clear" w:color="auto" w:fill="auto"/>
            <w:noWrap/>
            <w:vAlign w:val="bottom"/>
            <w:hideMark/>
          </w:tcPr>
          <w:p w14:paraId="0E5FC778"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Materijal i dijelovi za tekuće i investicijsko održavanje                                           </w:t>
            </w:r>
          </w:p>
        </w:tc>
        <w:tc>
          <w:tcPr>
            <w:tcW w:w="1480" w:type="dxa"/>
            <w:tcBorders>
              <w:top w:val="nil"/>
              <w:left w:val="nil"/>
              <w:bottom w:val="nil"/>
              <w:right w:val="nil"/>
            </w:tcBorders>
            <w:shd w:val="clear" w:color="auto" w:fill="auto"/>
            <w:noWrap/>
            <w:vAlign w:val="bottom"/>
            <w:hideMark/>
          </w:tcPr>
          <w:p w14:paraId="0B7410A1"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EAE9DA6"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1.968,05</w:t>
            </w:r>
          </w:p>
        </w:tc>
        <w:tc>
          <w:tcPr>
            <w:tcW w:w="1400" w:type="dxa"/>
            <w:tcBorders>
              <w:top w:val="nil"/>
              <w:left w:val="nil"/>
              <w:bottom w:val="nil"/>
              <w:right w:val="nil"/>
            </w:tcBorders>
            <w:shd w:val="clear" w:color="auto" w:fill="auto"/>
            <w:noWrap/>
            <w:vAlign w:val="bottom"/>
            <w:hideMark/>
          </w:tcPr>
          <w:p w14:paraId="0BE2DF4D"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849DA56" w14:textId="77777777" w:rsidTr="00A360DB">
        <w:trPr>
          <w:trHeight w:val="240"/>
        </w:trPr>
        <w:tc>
          <w:tcPr>
            <w:tcW w:w="1697" w:type="dxa"/>
            <w:tcBorders>
              <w:top w:val="nil"/>
              <w:left w:val="nil"/>
              <w:bottom w:val="nil"/>
              <w:right w:val="nil"/>
            </w:tcBorders>
            <w:shd w:val="clear" w:color="auto" w:fill="auto"/>
            <w:noWrap/>
            <w:vAlign w:val="bottom"/>
            <w:hideMark/>
          </w:tcPr>
          <w:p w14:paraId="4267BA4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3232</w:t>
            </w:r>
          </w:p>
        </w:tc>
        <w:tc>
          <w:tcPr>
            <w:tcW w:w="8509" w:type="dxa"/>
            <w:tcBorders>
              <w:top w:val="nil"/>
              <w:left w:val="nil"/>
              <w:bottom w:val="nil"/>
              <w:right w:val="nil"/>
            </w:tcBorders>
            <w:shd w:val="clear" w:color="auto" w:fill="auto"/>
            <w:noWrap/>
            <w:vAlign w:val="bottom"/>
            <w:hideMark/>
          </w:tcPr>
          <w:p w14:paraId="206345FD"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Usluge tekućeg i investicijskog održavanja                                                          </w:t>
            </w:r>
          </w:p>
        </w:tc>
        <w:tc>
          <w:tcPr>
            <w:tcW w:w="1480" w:type="dxa"/>
            <w:tcBorders>
              <w:top w:val="nil"/>
              <w:left w:val="nil"/>
              <w:bottom w:val="nil"/>
              <w:right w:val="nil"/>
            </w:tcBorders>
            <w:shd w:val="clear" w:color="auto" w:fill="auto"/>
            <w:noWrap/>
            <w:vAlign w:val="bottom"/>
            <w:hideMark/>
          </w:tcPr>
          <w:p w14:paraId="1B80B3DC"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380B432"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4.786,83</w:t>
            </w:r>
          </w:p>
        </w:tc>
        <w:tc>
          <w:tcPr>
            <w:tcW w:w="1400" w:type="dxa"/>
            <w:tcBorders>
              <w:top w:val="nil"/>
              <w:left w:val="nil"/>
              <w:bottom w:val="nil"/>
              <w:right w:val="nil"/>
            </w:tcBorders>
            <w:shd w:val="clear" w:color="auto" w:fill="auto"/>
            <w:noWrap/>
            <w:vAlign w:val="bottom"/>
            <w:hideMark/>
          </w:tcPr>
          <w:p w14:paraId="6B8DC19F"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3A55772"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449EC8A"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5. Pomoći</w:t>
            </w:r>
          </w:p>
        </w:tc>
        <w:tc>
          <w:tcPr>
            <w:tcW w:w="1480" w:type="dxa"/>
            <w:tcBorders>
              <w:top w:val="nil"/>
              <w:left w:val="nil"/>
              <w:bottom w:val="nil"/>
              <w:right w:val="nil"/>
            </w:tcBorders>
            <w:shd w:val="clear" w:color="auto" w:fill="auto"/>
            <w:noWrap/>
            <w:vAlign w:val="bottom"/>
            <w:hideMark/>
          </w:tcPr>
          <w:p w14:paraId="23040EB3"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1.000,00</w:t>
            </w:r>
          </w:p>
        </w:tc>
        <w:tc>
          <w:tcPr>
            <w:tcW w:w="1380" w:type="dxa"/>
            <w:tcBorders>
              <w:top w:val="nil"/>
              <w:left w:val="nil"/>
              <w:bottom w:val="nil"/>
              <w:right w:val="nil"/>
            </w:tcBorders>
            <w:shd w:val="clear" w:color="auto" w:fill="auto"/>
            <w:noWrap/>
            <w:vAlign w:val="bottom"/>
            <w:hideMark/>
          </w:tcPr>
          <w:p w14:paraId="6DB4B51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419,80</w:t>
            </w:r>
          </w:p>
        </w:tc>
        <w:tc>
          <w:tcPr>
            <w:tcW w:w="1400" w:type="dxa"/>
            <w:tcBorders>
              <w:top w:val="nil"/>
              <w:left w:val="nil"/>
              <w:bottom w:val="nil"/>
              <w:right w:val="nil"/>
            </w:tcBorders>
            <w:shd w:val="clear" w:color="auto" w:fill="auto"/>
            <w:noWrap/>
            <w:vAlign w:val="bottom"/>
            <w:hideMark/>
          </w:tcPr>
          <w:p w14:paraId="4893A81E"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41,98%</w:t>
            </w:r>
          </w:p>
        </w:tc>
      </w:tr>
      <w:tr w:rsidR="00A360DB" w:rsidRPr="00A360DB" w14:paraId="3C6EE7A7"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5918945E"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5.5. Općinski proračun</w:t>
            </w:r>
          </w:p>
        </w:tc>
        <w:tc>
          <w:tcPr>
            <w:tcW w:w="1480" w:type="dxa"/>
            <w:tcBorders>
              <w:top w:val="nil"/>
              <w:left w:val="nil"/>
              <w:bottom w:val="nil"/>
              <w:right w:val="nil"/>
            </w:tcBorders>
            <w:shd w:val="clear" w:color="auto" w:fill="auto"/>
            <w:noWrap/>
            <w:vAlign w:val="bottom"/>
            <w:hideMark/>
          </w:tcPr>
          <w:p w14:paraId="1F00BFD4"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1.000,00</w:t>
            </w:r>
          </w:p>
        </w:tc>
        <w:tc>
          <w:tcPr>
            <w:tcW w:w="1380" w:type="dxa"/>
            <w:tcBorders>
              <w:top w:val="nil"/>
              <w:left w:val="nil"/>
              <w:bottom w:val="nil"/>
              <w:right w:val="nil"/>
            </w:tcBorders>
            <w:shd w:val="clear" w:color="auto" w:fill="auto"/>
            <w:noWrap/>
            <w:vAlign w:val="bottom"/>
            <w:hideMark/>
          </w:tcPr>
          <w:p w14:paraId="7ACBEE2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419,80</w:t>
            </w:r>
          </w:p>
        </w:tc>
        <w:tc>
          <w:tcPr>
            <w:tcW w:w="1400" w:type="dxa"/>
            <w:tcBorders>
              <w:top w:val="nil"/>
              <w:left w:val="nil"/>
              <w:bottom w:val="nil"/>
              <w:right w:val="nil"/>
            </w:tcBorders>
            <w:shd w:val="clear" w:color="auto" w:fill="auto"/>
            <w:noWrap/>
            <w:vAlign w:val="bottom"/>
            <w:hideMark/>
          </w:tcPr>
          <w:p w14:paraId="7C7C023D"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41,98%</w:t>
            </w:r>
          </w:p>
        </w:tc>
      </w:tr>
      <w:tr w:rsidR="00A360DB" w:rsidRPr="00A360DB" w14:paraId="3016A577" w14:textId="77777777" w:rsidTr="00A360DB">
        <w:trPr>
          <w:trHeight w:val="240"/>
        </w:trPr>
        <w:tc>
          <w:tcPr>
            <w:tcW w:w="1697" w:type="dxa"/>
            <w:tcBorders>
              <w:top w:val="nil"/>
              <w:left w:val="nil"/>
              <w:bottom w:val="nil"/>
              <w:right w:val="nil"/>
            </w:tcBorders>
            <w:shd w:val="clear" w:color="auto" w:fill="auto"/>
            <w:noWrap/>
            <w:vAlign w:val="bottom"/>
            <w:hideMark/>
          </w:tcPr>
          <w:p w14:paraId="05B9D780"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458CF735"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4BF47E7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1.000,00</w:t>
            </w:r>
          </w:p>
        </w:tc>
        <w:tc>
          <w:tcPr>
            <w:tcW w:w="1380" w:type="dxa"/>
            <w:tcBorders>
              <w:top w:val="nil"/>
              <w:left w:val="nil"/>
              <w:bottom w:val="nil"/>
              <w:right w:val="nil"/>
            </w:tcBorders>
            <w:shd w:val="clear" w:color="auto" w:fill="auto"/>
            <w:noWrap/>
            <w:vAlign w:val="bottom"/>
            <w:hideMark/>
          </w:tcPr>
          <w:p w14:paraId="7DA3E59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419,80</w:t>
            </w:r>
          </w:p>
        </w:tc>
        <w:tc>
          <w:tcPr>
            <w:tcW w:w="1400" w:type="dxa"/>
            <w:tcBorders>
              <w:top w:val="nil"/>
              <w:left w:val="nil"/>
              <w:bottom w:val="nil"/>
              <w:right w:val="nil"/>
            </w:tcBorders>
            <w:shd w:val="clear" w:color="auto" w:fill="auto"/>
            <w:noWrap/>
            <w:vAlign w:val="bottom"/>
            <w:hideMark/>
          </w:tcPr>
          <w:p w14:paraId="13AB5CD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41,98%</w:t>
            </w:r>
          </w:p>
        </w:tc>
      </w:tr>
      <w:tr w:rsidR="00A360DB" w:rsidRPr="00A360DB" w14:paraId="55F7A642" w14:textId="77777777" w:rsidTr="00A360DB">
        <w:trPr>
          <w:trHeight w:val="240"/>
        </w:trPr>
        <w:tc>
          <w:tcPr>
            <w:tcW w:w="1697" w:type="dxa"/>
            <w:tcBorders>
              <w:top w:val="nil"/>
              <w:left w:val="nil"/>
              <w:bottom w:val="nil"/>
              <w:right w:val="nil"/>
            </w:tcBorders>
            <w:shd w:val="clear" w:color="auto" w:fill="auto"/>
            <w:noWrap/>
            <w:vAlign w:val="bottom"/>
            <w:hideMark/>
          </w:tcPr>
          <w:p w14:paraId="6FD6808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3224</w:t>
            </w:r>
          </w:p>
        </w:tc>
        <w:tc>
          <w:tcPr>
            <w:tcW w:w="8509" w:type="dxa"/>
            <w:tcBorders>
              <w:top w:val="nil"/>
              <w:left w:val="nil"/>
              <w:bottom w:val="nil"/>
              <w:right w:val="nil"/>
            </w:tcBorders>
            <w:shd w:val="clear" w:color="auto" w:fill="auto"/>
            <w:noWrap/>
            <w:vAlign w:val="bottom"/>
            <w:hideMark/>
          </w:tcPr>
          <w:p w14:paraId="130D7AA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Materijal i dijelovi za tekuće i investicijsko održavanje                                           </w:t>
            </w:r>
          </w:p>
        </w:tc>
        <w:tc>
          <w:tcPr>
            <w:tcW w:w="1480" w:type="dxa"/>
            <w:tcBorders>
              <w:top w:val="nil"/>
              <w:left w:val="nil"/>
              <w:bottom w:val="nil"/>
              <w:right w:val="nil"/>
            </w:tcBorders>
            <w:shd w:val="clear" w:color="auto" w:fill="auto"/>
            <w:noWrap/>
            <w:vAlign w:val="bottom"/>
            <w:hideMark/>
          </w:tcPr>
          <w:p w14:paraId="0727611E"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CC56676"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68,32</w:t>
            </w:r>
          </w:p>
        </w:tc>
        <w:tc>
          <w:tcPr>
            <w:tcW w:w="1400" w:type="dxa"/>
            <w:tcBorders>
              <w:top w:val="nil"/>
              <w:left w:val="nil"/>
              <w:bottom w:val="nil"/>
              <w:right w:val="nil"/>
            </w:tcBorders>
            <w:shd w:val="clear" w:color="auto" w:fill="auto"/>
            <w:noWrap/>
            <w:vAlign w:val="bottom"/>
            <w:hideMark/>
          </w:tcPr>
          <w:p w14:paraId="0BF876F1"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15FFDF0" w14:textId="77777777" w:rsidTr="00A360DB">
        <w:trPr>
          <w:trHeight w:val="240"/>
        </w:trPr>
        <w:tc>
          <w:tcPr>
            <w:tcW w:w="1697" w:type="dxa"/>
            <w:tcBorders>
              <w:top w:val="nil"/>
              <w:left w:val="nil"/>
              <w:bottom w:val="nil"/>
              <w:right w:val="nil"/>
            </w:tcBorders>
            <w:shd w:val="clear" w:color="auto" w:fill="auto"/>
            <w:noWrap/>
            <w:vAlign w:val="bottom"/>
            <w:hideMark/>
          </w:tcPr>
          <w:p w14:paraId="18B2205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3232</w:t>
            </w:r>
          </w:p>
        </w:tc>
        <w:tc>
          <w:tcPr>
            <w:tcW w:w="8509" w:type="dxa"/>
            <w:tcBorders>
              <w:top w:val="nil"/>
              <w:left w:val="nil"/>
              <w:bottom w:val="nil"/>
              <w:right w:val="nil"/>
            </w:tcBorders>
            <w:shd w:val="clear" w:color="auto" w:fill="auto"/>
            <w:noWrap/>
            <w:vAlign w:val="bottom"/>
            <w:hideMark/>
          </w:tcPr>
          <w:p w14:paraId="048FBF2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Usluge tekućeg i investicijskog održavanja                                                          </w:t>
            </w:r>
          </w:p>
        </w:tc>
        <w:tc>
          <w:tcPr>
            <w:tcW w:w="1480" w:type="dxa"/>
            <w:tcBorders>
              <w:top w:val="nil"/>
              <w:left w:val="nil"/>
              <w:bottom w:val="nil"/>
              <w:right w:val="nil"/>
            </w:tcBorders>
            <w:shd w:val="clear" w:color="auto" w:fill="auto"/>
            <w:noWrap/>
            <w:vAlign w:val="bottom"/>
            <w:hideMark/>
          </w:tcPr>
          <w:p w14:paraId="19A57704"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BD3963D"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351,48</w:t>
            </w:r>
          </w:p>
        </w:tc>
        <w:tc>
          <w:tcPr>
            <w:tcW w:w="1400" w:type="dxa"/>
            <w:tcBorders>
              <w:top w:val="nil"/>
              <w:left w:val="nil"/>
              <w:bottom w:val="nil"/>
              <w:right w:val="nil"/>
            </w:tcBorders>
            <w:shd w:val="clear" w:color="auto" w:fill="auto"/>
            <w:noWrap/>
            <w:vAlign w:val="bottom"/>
            <w:hideMark/>
          </w:tcPr>
          <w:p w14:paraId="7F378E6E"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B92F171" w14:textId="77777777" w:rsidTr="00A360DB">
        <w:trPr>
          <w:trHeight w:val="240"/>
        </w:trPr>
        <w:tc>
          <w:tcPr>
            <w:tcW w:w="1697" w:type="dxa"/>
            <w:tcBorders>
              <w:top w:val="nil"/>
              <w:left w:val="nil"/>
              <w:bottom w:val="nil"/>
              <w:right w:val="nil"/>
            </w:tcBorders>
            <w:shd w:val="clear" w:color="000000" w:fill="B4C6E7"/>
            <w:noWrap/>
            <w:vAlign w:val="bottom"/>
            <w:hideMark/>
          </w:tcPr>
          <w:p w14:paraId="2A9D89ED"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A101603</w:t>
            </w:r>
          </w:p>
        </w:tc>
        <w:tc>
          <w:tcPr>
            <w:tcW w:w="8509" w:type="dxa"/>
            <w:tcBorders>
              <w:top w:val="nil"/>
              <w:left w:val="nil"/>
              <w:bottom w:val="nil"/>
              <w:right w:val="nil"/>
            </w:tcBorders>
            <w:shd w:val="clear" w:color="000000" w:fill="B4C6E7"/>
            <w:noWrap/>
            <w:vAlign w:val="bottom"/>
            <w:hideMark/>
          </w:tcPr>
          <w:p w14:paraId="78C1033D"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Redovno održavanje objekta vrtića</w:t>
            </w:r>
          </w:p>
        </w:tc>
        <w:tc>
          <w:tcPr>
            <w:tcW w:w="1480" w:type="dxa"/>
            <w:tcBorders>
              <w:top w:val="nil"/>
              <w:left w:val="nil"/>
              <w:bottom w:val="nil"/>
              <w:right w:val="nil"/>
            </w:tcBorders>
            <w:shd w:val="clear" w:color="000000" w:fill="B4C6E7"/>
            <w:noWrap/>
            <w:vAlign w:val="bottom"/>
            <w:hideMark/>
          </w:tcPr>
          <w:p w14:paraId="1FA6399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1.300,00</w:t>
            </w:r>
          </w:p>
        </w:tc>
        <w:tc>
          <w:tcPr>
            <w:tcW w:w="1380" w:type="dxa"/>
            <w:tcBorders>
              <w:top w:val="nil"/>
              <w:left w:val="nil"/>
              <w:bottom w:val="nil"/>
              <w:right w:val="nil"/>
            </w:tcBorders>
            <w:shd w:val="clear" w:color="000000" w:fill="B4C6E7"/>
            <w:noWrap/>
            <w:vAlign w:val="bottom"/>
            <w:hideMark/>
          </w:tcPr>
          <w:p w14:paraId="46FB33A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636,11</w:t>
            </w:r>
          </w:p>
        </w:tc>
        <w:tc>
          <w:tcPr>
            <w:tcW w:w="1400" w:type="dxa"/>
            <w:tcBorders>
              <w:top w:val="nil"/>
              <w:left w:val="nil"/>
              <w:bottom w:val="nil"/>
              <w:right w:val="nil"/>
            </w:tcBorders>
            <w:shd w:val="clear" w:color="000000" w:fill="B4C6E7"/>
            <w:noWrap/>
            <w:vAlign w:val="bottom"/>
            <w:hideMark/>
          </w:tcPr>
          <w:p w14:paraId="2DF8C46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48,93%</w:t>
            </w:r>
          </w:p>
        </w:tc>
      </w:tr>
      <w:tr w:rsidR="00A360DB" w:rsidRPr="00A360DB" w14:paraId="0061736F"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F454FF9"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3. Vlastiti prihodi</w:t>
            </w:r>
          </w:p>
        </w:tc>
        <w:tc>
          <w:tcPr>
            <w:tcW w:w="1480" w:type="dxa"/>
            <w:tcBorders>
              <w:top w:val="nil"/>
              <w:left w:val="nil"/>
              <w:bottom w:val="nil"/>
              <w:right w:val="nil"/>
            </w:tcBorders>
            <w:shd w:val="clear" w:color="auto" w:fill="auto"/>
            <w:noWrap/>
            <w:vAlign w:val="bottom"/>
            <w:hideMark/>
          </w:tcPr>
          <w:p w14:paraId="7119C7B7"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900,00</w:t>
            </w:r>
          </w:p>
        </w:tc>
        <w:tc>
          <w:tcPr>
            <w:tcW w:w="1380" w:type="dxa"/>
            <w:tcBorders>
              <w:top w:val="nil"/>
              <w:left w:val="nil"/>
              <w:bottom w:val="nil"/>
              <w:right w:val="nil"/>
            </w:tcBorders>
            <w:shd w:val="clear" w:color="auto" w:fill="auto"/>
            <w:noWrap/>
            <w:vAlign w:val="bottom"/>
            <w:hideMark/>
          </w:tcPr>
          <w:p w14:paraId="050FA388"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516,96</w:t>
            </w:r>
          </w:p>
        </w:tc>
        <w:tc>
          <w:tcPr>
            <w:tcW w:w="1400" w:type="dxa"/>
            <w:tcBorders>
              <w:top w:val="nil"/>
              <w:left w:val="nil"/>
              <w:bottom w:val="nil"/>
              <w:right w:val="nil"/>
            </w:tcBorders>
            <w:shd w:val="clear" w:color="auto" w:fill="auto"/>
            <w:noWrap/>
            <w:vAlign w:val="bottom"/>
            <w:hideMark/>
          </w:tcPr>
          <w:p w14:paraId="4401492F"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57,44%</w:t>
            </w:r>
          </w:p>
        </w:tc>
      </w:tr>
      <w:tr w:rsidR="00A360DB" w:rsidRPr="00A360DB" w14:paraId="47E976C3"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35961742"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3.1. Vlastiti prihodi</w:t>
            </w:r>
          </w:p>
        </w:tc>
        <w:tc>
          <w:tcPr>
            <w:tcW w:w="1480" w:type="dxa"/>
            <w:tcBorders>
              <w:top w:val="nil"/>
              <w:left w:val="nil"/>
              <w:bottom w:val="nil"/>
              <w:right w:val="nil"/>
            </w:tcBorders>
            <w:shd w:val="clear" w:color="auto" w:fill="auto"/>
            <w:noWrap/>
            <w:vAlign w:val="bottom"/>
            <w:hideMark/>
          </w:tcPr>
          <w:p w14:paraId="5A06FFB7"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900,00</w:t>
            </w:r>
          </w:p>
        </w:tc>
        <w:tc>
          <w:tcPr>
            <w:tcW w:w="1380" w:type="dxa"/>
            <w:tcBorders>
              <w:top w:val="nil"/>
              <w:left w:val="nil"/>
              <w:bottom w:val="nil"/>
              <w:right w:val="nil"/>
            </w:tcBorders>
            <w:shd w:val="clear" w:color="auto" w:fill="auto"/>
            <w:noWrap/>
            <w:vAlign w:val="bottom"/>
            <w:hideMark/>
          </w:tcPr>
          <w:p w14:paraId="598CF54F"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516,96</w:t>
            </w:r>
          </w:p>
        </w:tc>
        <w:tc>
          <w:tcPr>
            <w:tcW w:w="1400" w:type="dxa"/>
            <w:tcBorders>
              <w:top w:val="nil"/>
              <w:left w:val="nil"/>
              <w:bottom w:val="nil"/>
              <w:right w:val="nil"/>
            </w:tcBorders>
            <w:shd w:val="clear" w:color="auto" w:fill="auto"/>
            <w:noWrap/>
            <w:vAlign w:val="bottom"/>
            <w:hideMark/>
          </w:tcPr>
          <w:p w14:paraId="0FABABC6"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57,44%</w:t>
            </w:r>
          </w:p>
        </w:tc>
      </w:tr>
      <w:tr w:rsidR="00A360DB" w:rsidRPr="00A360DB" w14:paraId="6A1850A5" w14:textId="77777777" w:rsidTr="00A360DB">
        <w:trPr>
          <w:trHeight w:val="240"/>
        </w:trPr>
        <w:tc>
          <w:tcPr>
            <w:tcW w:w="1697" w:type="dxa"/>
            <w:tcBorders>
              <w:top w:val="nil"/>
              <w:left w:val="nil"/>
              <w:bottom w:val="nil"/>
              <w:right w:val="nil"/>
            </w:tcBorders>
            <w:shd w:val="clear" w:color="auto" w:fill="auto"/>
            <w:noWrap/>
            <w:vAlign w:val="bottom"/>
            <w:hideMark/>
          </w:tcPr>
          <w:p w14:paraId="627DFAA4"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160563AF"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67CDFEF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900,00</w:t>
            </w:r>
          </w:p>
        </w:tc>
        <w:tc>
          <w:tcPr>
            <w:tcW w:w="1380" w:type="dxa"/>
            <w:tcBorders>
              <w:top w:val="nil"/>
              <w:left w:val="nil"/>
              <w:bottom w:val="nil"/>
              <w:right w:val="nil"/>
            </w:tcBorders>
            <w:shd w:val="clear" w:color="auto" w:fill="auto"/>
            <w:noWrap/>
            <w:vAlign w:val="bottom"/>
            <w:hideMark/>
          </w:tcPr>
          <w:p w14:paraId="64BA89F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516,96</w:t>
            </w:r>
          </w:p>
        </w:tc>
        <w:tc>
          <w:tcPr>
            <w:tcW w:w="1400" w:type="dxa"/>
            <w:tcBorders>
              <w:top w:val="nil"/>
              <w:left w:val="nil"/>
              <w:bottom w:val="nil"/>
              <w:right w:val="nil"/>
            </w:tcBorders>
            <w:shd w:val="clear" w:color="auto" w:fill="auto"/>
            <w:noWrap/>
            <w:vAlign w:val="bottom"/>
            <w:hideMark/>
          </w:tcPr>
          <w:p w14:paraId="634BB2D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57,44%</w:t>
            </w:r>
          </w:p>
        </w:tc>
      </w:tr>
      <w:tr w:rsidR="00A360DB" w:rsidRPr="00A360DB" w14:paraId="219925B3" w14:textId="77777777" w:rsidTr="00A360DB">
        <w:trPr>
          <w:trHeight w:val="240"/>
        </w:trPr>
        <w:tc>
          <w:tcPr>
            <w:tcW w:w="1697" w:type="dxa"/>
            <w:tcBorders>
              <w:top w:val="nil"/>
              <w:left w:val="nil"/>
              <w:bottom w:val="nil"/>
              <w:right w:val="nil"/>
            </w:tcBorders>
            <w:shd w:val="clear" w:color="auto" w:fill="auto"/>
            <w:noWrap/>
            <w:vAlign w:val="bottom"/>
            <w:hideMark/>
          </w:tcPr>
          <w:p w14:paraId="41DABDC8"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3224</w:t>
            </w:r>
          </w:p>
        </w:tc>
        <w:tc>
          <w:tcPr>
            <w:tcW w:w="8509" w:type="dxa"/>
            <w:tcBorders>
              <w:top w:val="nil"/>
              <w:left w:val="nil"/>
              <w:bottom w:val="nil"/>
              <w:right w:val="nil"/>
            </w:tcBorders>
            <w:shd w:val="clear" w:color="auto" w:fill="auto"/>
            <w:noWrap/>
            <w:vAlign w:val="bottom"/>
            <w:hideMark/>
          </w:tcPr>
          <w:p w14:paraId="7FAF747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Materijal i dijelovi za tekuće i investicijsko održavanje                                           </w:t>
            </w:r>
          </w:p>
        </w:tc>
        <w:tc>
          <w:tcPr>
            <w:tcW w:w="1480" w:type="dxa"/>
            <w:tcBorders>
              <w:top w:val="nil"/>
              <w:left w:val="nil"/>
              <w:bottom w:val="nil"/>
              <w:right w:val="nil"/>
            </w:tcBorders>
            <w:shd w:val="clear" w:color="auto" w:fill="auto"/>
            <w:noWrap/>
            <w:vAlign w:val="bottom"/>
            <w:hideMark/>
          </w:tcPr>
          <w:p w14:paraId="091354F8"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5AF64DE"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516,96</w:t>
            </w:r>
          </w:p>
        </w:tc>
        <w:tc>
          <w:tcPr>
            <w:tcW w:w="1400" w:type="dxa"/>
            <w:tcBorders>
              <w:top w:val="nil"/>
              <w:left w:val="nil"/>
              <w:bottom w:val="nil"/>
              <w:right w:val="nil"/>
            </w:tcBorders>
            <w:shd w:val="clear" w:color="auto" w:fill="auto"/>
            <w:noWrap/>
            <w:vAlign w:val="bottom"/>
            <w:hideMark/>
          </w:tcPr>
          <w:p w14:paraId="74BD6A05"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8C1CC85"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B47FC74"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5. Pomoći</w:t>
            </w:r>
          </w:p>
        </w:tc>
        <w:tc>
          <w:tcPr>
            <w:tcW w:w="1480" w:type="dxa"/>
            <w:tcBorders>
              <w:top w:val="nil"/>
              <w:left w:val="nil"/>
              <w:bottom w:val="nil"/>
              <w:right w:val="nil"/>
            </w:tcBorders>
            <w:shd w:val="clear" w:color="auto" w:fill="auto"/>
            <w:noWrap/>
            <w:vAlign w:val="bottom"/>
            <w:hideMark/>
          </w:tcPr>
          <w:p w14:paraId="63AC98FF"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400,00</w:t>
            </w:r>
          </w:p>
        </w:tc>
        <w:tc>
          <w:tcPr>
            <w:tcW w:w="1380" w:type="dxa"/>
            <w:tcBorders>
              <w:top w:val="nil"/>
              <w:left w:val="nil"/>
              <w:bottom w:val="nil"/>
              <w:right w:val="nil"/>
            </w:tcBorders>
            <w:shd w:val="clear" w:color="auto" w:fill="auto"/>
            <w:noWrap/>
            <w:vAlign w:val="bottom"/>
            <w:hideMark/>
          </w:tcPr>
          <w:p w14:paraId="6F766AF1"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119,15</w:t>
            </w:r>
          </w:p>
        </w:tc>
        <w:tc>
          <w:tcPr>
            <w:tcW w:w="1400" w:type="dxa"/>
            <w:tcBorders>
              <w:top w:val="nil"/>
              <w:left w:val="nil"/>
              <w:bottom w:val="nil"/>
              <w:right w:val="nil"/>
            </w:tcBorders>
            <w:shd w:val="clear" w:color="auto" w:fill="auto"/>
            <w:noWrap/>
            <w:vAlign w:val="bottom"/>
            <w:hideMark/>
          </w:tcPr>
          <w:p w14:paraId="2CF18681"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29,79%</w:t>
            </w:r>
          </w:p>
        </w:tc>
      </w:tr>
      <w:tr w:rsidR="00A360DB" w:rsidRPr="00A360DB" w14:paraId="36F903DB"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DCFD2FF"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5.5. Općinski proračun</w:t>
            </w:r>
          </w:p>
        </w:tc>
        <w:tc>
          <w:tcPr>
            <w:tcW w:w="1480" w:type="dxa"/>
            <w:tcBorders>
              <w:top w:val="nil"/>
              <w:left w:val="nil"/>
              <w:bottom w:val="nil"/>
              <w:right w:val="nil"/>
            </w:tcBorders>
            <w:shd w:val="clear" w:color="auto" w:fill="auto"/>
            <w:noWrap/>
            <w:vAlign w:val="bottom"/>
            <w:hideMark/>
          </w:tcPr>
          <w:p w14:paraId="38DE61D2"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400,00</w:t>
            </w:r>
          </w:p>
        </w:tc>
        <w:tc>
          <w:tcPr>
            <w:tcW w:w="1380" w:type="dxa"/>
            <w:tcBorders>
              <w:top w:val="nil"/>
              <w:left w:val="nil"/>
              <w:bottom w:val="nil"/>
              <w:right w:val="nil"/>
            </w:tcBorders>
            <w:shd w:val="clear" w:color="auto" w:fill="auto"/>
            <w:noWrap/>
            <w:vAlign w:val="bottom"/>
            <w:hideMark/>
          </w:tcPr>
          <w:p w14:paraId="465B7F51"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119,15</w:t>
            </w:r>
          </w:p>
        </w:tc>
        <w:tc>
          <w:tcPr>
            <w:tcW w:w="1400" w:type="dxa"/>
            <w:tcBorders>
              <w:top w:val="nil"/>
              <w:left w:val="nil"/>
              <w:bottom w:val="nil"/>
              <w:right w:val="nil"/>
            </w:tcBorders>
            <w:shd w:val="clear" w:color="auto" w:fill="auto"/>
            <w:noWrap/>
            <w:vAlign w:val="bottom"/>
            <w:hideMark/>
          </w:tcPr>
          <w:p w14:paraId="3F3031F3"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29,79%</w:t>
            </w:r>
          </w:p>
        </w:tc>
      </w:tr>
      <w:tr w:rsidR="00A360DB" w:rsidRPr="00A360DB" w14:paraId="0991A2BB" w14:textId="77777777" w:rsidTr="00A360DB">
        <w:trPr>
          <w:trHeight w:val="240"/>
        </w:trPr>
        <w:tc>
          <w:tcPr>
            <w:tcW w:w="1697" w:type="dxa"/>
            <w:tcBorders>
              <w:top w:val="nil"/>
              <w:left w:val="nil"/>
              <w:bottom w:val="nil"/>
              <w:right w:val="nil"/>
            </w:tcBorders>
            <w:shd w:val="clear" w:color="auto" w:fill="auto"/>
            <w:noWrap/>
            <w:vAlign w:val="bottom"/>
            <w:hideMark/>
          </w:tcPr>
          <w:p w14:paraId="0A15B477"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7DB8ECC7"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3A608D4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400,00</w:t>
            </w:r>
          </w:p>
        </w:tc>
        <w:tc>
          <w:tcPr>
            <w:tcW w:w="1380" w:type="dxa"/>
            <w:tcBorders>
              <w:top w:val="nil"/>
              <w:left w:val="nil"/>
              <w:bottom w:val="nil"/>
              <w:right w:val="nil"/>
            </w:tcBorders>
            <w:shd w:val="clear" w:color="auto" w:fill="auto"/>
            <w:noWrap/>
            <w:vAlign w:val="bottom"/>
            <w:hideMark/>
          </w:tcPr>
          <w:p w14:paraId="251971F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119,15</w:t>
            </w:r>
          </w:p>
        </w:tc>
        <w:tc>
          <w:tcPr>
            <w:tcW w:w="1400" w:type="dxa"/>
            <w:tcBorders>
              <w:top w:val="nil"/>
              <w:left w:val="nil"/>
              <w:bottom w:val="nil"/>
              <w:right w:val="nil"/>
            </w:tcBorders>
            <w:shd w:val="clear" w:color="auto" w:fill="auto"/>
            <w:noWrap/>
            <w:vAlign w:val="bottom"/>
            <w:hideMark/>
          </w:tcPr>
          <w:p w14:paraId="5C35733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29,79%</w:t>
            </w:r>
          </w:p>
        </w:tc>
      </w:tr>
      <w:tr w:rsidR="00A360DB" w:rsidRPr="00A360DB" w14:paraId="00C142AA" w14:textId="77777777" w:rsidTr="00A360DB">
        <w:trPr>
          <w:trHeight w:val="240"/>
        </w:trPr>
        <w:tc>
          <w:tcPr>
            <w:tcW w:w="1697" w:type="dxa"/>
            <w:tcBorders>
              <w:top w:val="nil"/>
              <w:left w:val="nil"/>
              <w:bottom w:val="nil"/>
              <w:right w:val="nil"/>
            </w:tcBorders>
            <w:shd w:val="clear" w:color="auto" w:fill="auto"/>
            <w:noWrap/>
            <w:vAlign w:val="bottom"/>
            <w:hideMark/>
          </w:tcPr>
          <w:p w14:paraId="331C97AE"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3224</w:t>
            </w:r>
          </w:p>
        </w:tc>
        <w:tc>
          <w:tcPr>
            <w:tcW w:w="8509" w:type="dxa"/>
            <w:tcBorders>
              <w:top w:val="nil"/>
              <w:left w:val="nil"/>
              <w:bottom w:val="nil"/>
              <w:right w:val="nil"/>
            </w:tcBorders>
            <w:shd w:val="clear" w:color="auto" w:fill="auto"/>
            <w:noWrap/>
            <w:vAlign w:val="bottom"/>
            <w:hideMark/>
          </w:tcPr>
          <w:p w14:paraId="6AF3CD7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Materijal i dijelovi za tekuće i investicijsko održavanje                                           </w:t>
            </w:r>
          </w:p>
        </w:tc>
        <w:tc>
          <w:tcPr>
            <w:tcW w:w="1480" w:type="dxa"/>
            <w:tcBorders>
              <w:top w:val="nil"/>
              <w:left w:val="nil"/>
              <w:bottom w:val="nil"/>
              <w:right w:val="nil"/>
            </w:tcBorders>
            <w:shd w:val="clear" w:color="auto" w:fill="auto"/>
            <w:noWrap/>
            <w:vAlign w:val="bottom"/>
            <w:hideMark/>
          </w:tcPr>
          <w:p w14:paraId="261D6316"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506F005C"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119,15</w:t>
            </w:r>
          </w:p>
        </w:tc>
        <w:tc>
          <w:tcPr>
            <w:tcW w:w="1400" w:type="dxa"/>
            <w:tcBorders>
              <w:top w:val="nil"/>
              <w:left w:val="nil"/>
              <w:bottom w:val="nil"/>
              <w:right w:val="nil"/>
            </w:tcBorders>
            <w:shd w:val="clear" w:color="auto" w:fill="auto"/>
            <w:noWrap/>
            <w:vAlign w:val="bottom"/>
            <w:hideMark/>
          </w:tcPr>
          <w:p w14:paraId="4D6D9A32"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25A99A4C" w14:textId="77777777" w:rsidTr="00A360DB">
        <w:trPr>
          <w:trHeight w:val="240"/>
        </w:trPr>
        <w:tc>
          <w:tcPr>
            <w:tcW w:w="1697" w:type="dxa"/>
            <w:tcBorders>
              <w:top w:val="nil"/>
              <w:left w:val="nil"/>
              <w:bottom w:val="nil"/>
              <w:right w:val="nil"/>
            </w:tcBorders>
            <w:shd w:val="clear" w:color="000000" w:fill="B4C6E7"/>
            <w:noWrap/>
            <w:vAlign w:val="bottom"/>
            <w:hideMark/>
          </w:tcPr>
          <w:p w14:paraId="112726B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K101601</w:t>
            </w:r>
          </w:p>
        </w:tc>
        <w:tc>
          <w:tcPr>
            <w:tcW w:w="8509" w:type="dxa"/>
            <w:tcBorders>
              <w:top w:val="nil"/>
              <w:left w:val="nil"/>
              <w:bottom w:val="nil"/>
              <w:right w:val="nil"/>
            </w:tcBorders>
            <w:shd w:val="clear" w:color="000000" w:fill="B4C6E7"/>
            <w:noWrap/>
            <w:vAlign w:val="bottom"/>
            <w:hideMark/>
          </w:tcPr>
          <w:p w14:paraId="2604DB61"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Kapitalni projekt: Opremanje javne ustanove - -Dječji vrtić Maslačak</w:t>
            </w:r>
          </w:p>
        </w:tc>
        <w:tc>
          <w:tcPr>
            <w:tcW w:w="1480" w:type="dxa"/>
            <w:tcBorders>
              <w:top w:val="nil"/>
              <w:left w:val="nil"/>
              <w:bottom w:val="nil"/>
              <w:right w:val="nil"/>
            </w:tcBorders>
            <w:shd w:val="clear" w:color="000000" w:fill="B4C6E7"/>
            <w:noWrap/>
            <w:vAlign w:val="bottom"/>
            <w:hideMark/>
          </w:tcPr>
          <w:p w14:paraId="2360CD4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36.700,00</w:t>
            </w:r>
          </w:p>
        </w:tc>
        <w:tc>
          <w:tcPr>
            <w:tcW w:w="1380" w:type="dxa"/>
            <w:tcBorders>
              <w:top w:val="nil"/>
              <w:left w:val="nil"/>
              <w:bottom w:val="nil"/>
              <w:right w:val="nil"/>
            </w:tcBorders>
            <w:shd w:val="clear" w:color="000000" w:fill="B4C6E7"/>
            <w:noWrap/>
            <w:vAlign w:val="bottom"/>
            <w:hideMark/>
          </w:tcPr>
          <w:p w14:paraId="53AEEA8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33.530,10</w:t>
            </w:r>
          </w:p>
        </w:tc>
        <w:tc>
          <w:tcPr>
            <w:tcW w:w="1400" w:type="dxa"/>
            <w:tcBorders>
              <w:top w:val="nil"/>
              <w:left w:val="nil"/>
              <w:bottom w:val="nil"/>
              <w:right w:val="nil"/>
            </w:tcBorders>
            <w:shd w:val="clear" w:color="000000" w:fill="B4C6E7"/>
            <w:noWrap/>
            <w:vAlign w:val="bottom"/>
            <w:hideMark/>
          </w:tcPr>
          <w:p w14:paraId="7867155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91,36%</w:t>
            </w:r>
          </w:p>
        </w:tc>
      </w:tr>
      <w:tr w:rsidR="00A360DB" w:rsidRPr="00A360DB" w14:paraId="0E781270"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6910F60"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3607D7CD"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20.500,00</w:t>
            </w:r>
          </w:p>
        </w:tc>
        <w:tc>
          <w:tcPr>
            <w:tcW w:w="1380" w:type="dxa"/>
            <w:tcBorders>
              <w:top w:val="nil"/>
              <w:left w:val="nil"/>
              <w:bottom w:val="nil"/>
              <w:right w:val="nil"/>
            </w:tcBorders>
            <w:shd w:val="clear" w:color="auto" w:fill="auto"/>
            <w:noWrap/>
            <w:vAlign w:val="bottom"/>
            <w:hideMark/>
          </w:tcPr>
          <w:p w14:paraId="65EEAC1C"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20.210,58</w:t>
            </w:r>
          </w:p>
        </w:tc>
        <w:tc>
          <w:tcPr>
            <w:tcW w:w="1400" w:type="dxa"/>
            <w:tcBorders>
              <w:top w:val="nil"/>
              <w:left w:val="nil"/>
              <w:bottom w:val="nil"/>
              <w:right w:val="nil"/>
            </w:tcBorders>
            <w:shd w:val="clear" w:color="auto" w:fill="auto"/>
            <w:noWrap/>
            <w:vAlign w:val="bottom"/>
            <w:hideMark/>
          </w:tcPr>
          <w:p w14:paraId="104DA9CF"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98,59%</w:t>
            </w:r>
          </w:p>
        </w:tc>
      </w:tr>
      <w:tr w:rsidR="00A360DB" w:rsidRPr="00A360DB" w14:paraId="25054633"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2F681AEB"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47DD871B"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20.500,00</w:t>
            </w:r>
          </w:p>
        </w:tc>
        <w:tc>
          <w:tcPr>
            <w:tcW w:w="1380" w:type="dxa"/>
            <w:tcBorders>
              <w:top w:val="nil"/>
              <w:left w:val="nil"/>
              <w:bottom w:val="nil"/>
              <w:right w:val="nil"/>
            </w:tcBorders>
            <w:shd w:val="clear" w:color="auto" w:fill="auto"/>
            <w:noWrap/>
            <w:vAlign w:val="bottom"/>
            <w:hideMark/>
          </w:tcPr>
          <w:p w14:paraId="1894F991"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20.210,58</w:t>
            </w:r>
          </w:p>
        </w:tc>
        <w:tc>
          <w:tcPr>
            <w:tcW w:w="1400" w:type="dxa"/>
            <w:tcBorders>
              <w:top w:val="nil"/>
              <w:left w:val="nil"/>
              <w:bottom w:val="nil"/>
              <w:right w:val="nil"/>
            </w:tcBorders>
            <w:shd w:val="clear" w:color="auto" w:fill="auto"/>
            <w:noWrap/>
            <w:vAlign w:val="bottom"/>
            <w:hideMark/>
          </w:tcPr>
          <w:p w14:paraId="2636F297"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98,59%</w:t>
            </w:r>
          </w:p>
        </w:tc>
      </w:tr>
      <w:tr w:rsidR="00A360DB" w:rsidRPr="00A360DB" w14:paraId="25A6FEC4" w14:textId="77777777" w:rsidTr="00A360DB">
        <w:trPr>
          <w:trHeight w:val="240"/>
        </w:trPr>
        <w:tc>
          <w:tcPr>
            <w:tcW w:w="1697" w:type="dxa"/>
            <w:tcBorders>
              <w:top w:val="nil"/>
              <w:left w:val="nil"/>
              <w:bottom w:val="nil"/>
              <w:right w:val="nil"/>
            </w:tcBorders>
            <w:shd w:val="clear" w:color="auto" w:fill="auto"/>
            <w:noWrap/>
            <w:vAlign w:val="bottom"/>
            <w:hideMark/>
          </w:tcPr>
          <w:p w14:paraId="5662E6F8"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42</w:t>
            </w:r>
          </w:p>
        </w:tc>
        <w:tc>
          <w:tcPr>
            <w:tcW w:w="8509" w:type="dxa"/>
            <w:tcBorders>
              <w:top w:val="nil"/>
              <w:left w:val="nil"/>
              <w:bottom w:val="nil"/>
              <w:right w:val="nil"/>
            </w:tcBorders>
            <w:shd w:val="clear" w:color="auto" w:fill="auto"/>
            <w:noWrap/>
            <w:vAlign w:val="bottom"/>
            <w:hideMark/>
          </w:tcPr>
          <w:p w14:paraId="2B43AD22"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nabavu proizvedene dugotrajne imovine                                                    </w:t>
            </w:r>
          </w:p>
        </w:tc>
        <w:tc>
          <w:tcPr>
            <w:tcW w:w="1480" w:type="dxa"/>
            <w:tcBorders>
              <w:top w:val="nil"/>
              <w:left w:val="nil"/>
              <w:bottom w:val="nil"/>
              <w:right w:val="nil"/>
            </w:tcBorders>
            <w:shd w:val="clear" w:color="auto" w:fill="auto"/>
            <w:noWrap/>
            <w:vAlign w:val="bottom"/>
            <w:hideMark/>
          </w:tcPr>
          <w:p w14:paraId="5E55C08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20.500,00</w:t>
            </w:r>
          </w:p>
        </w:tc>
        <w:tc>
          <w:tcPr>
            <w:tcW w:w="1380" w:type="dxa"/>
            <w:tcBorders>
              <w:top w:val="nil"/>
              <w:left w:val="nil"/>
              <w:bottom w:val="nil"/>
              <w:right w:val="nil"/>
            </w:tcBorders>
            <w:shd w:val="clear" w:color="auto" w:fill="auto"/>
            <w:noWrap/>
            <w:vAlign w:val="bottom"/>
            <w:hideMark/>
          </w:tcPr>
          <w:p w14:paraId="1AC8BAD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20.210,58</w:t>
            </w:r>
          </w:p>
        </w:tc>
        <w:tc>
          <w:tcPr>
            <w:tcW w:w="1400" w:type="dxa"/>
            <w:tcBorders>
              <w:top w:val="nil"/>
              <w:left w:val="nil"/>
              <w:bottom w:val="nil"/>
              <w:right w:val="nil"/>
            </w:tcBorders>
            <w:shd w:val="clear" w:color="auto" w:fill="auto"/>
            <w:noWrap/>
            <w:vAlign w:val="bottom"/>
            <w:hideMark/>
          </w:tcPr>
          <w:p w14:paraId="21B486E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98,59%</w:t>
            </w:r>
          </w:p>
        </w:tc>
      </w:tr>
      <w:tr w:rsidR="00A360DB" w:rsidRPr="00A360DB" w14:paraId="539CF7D5" w14:textId="77777777" w:rsidTr="00A360DB">
        <w:trPr>
          <w:trHeight w:val="240"/>
        </w:trPr>
        <w:tc>
          <w:tcPr>
            <w:tcW w:w="1697" w:type="dxa"/>
            <w:tcBorders>
              <w:top w:val="nil"/>
              <w:left w:val="nil"/>
              <w:bottom w:val="nil"/>
              <w:right w:val="nil"/>
            </w:tcBorders>
            <w:shd w:val="clear" w:color="auto" w:fill="auto"/>
            <w:noWrap/>
            <w:vAlign w:val="bottom"/>
            <w:hideMark/>
          </w:tcPr>
          <w:p w14:paraId="1288724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4223</w:t>
            </w:r>
          </w:p>
        </w:tc>
        <w:tc>
          <w:tcPr>
            <w:tcW w:w="8509" w:type="dxa"/>
            <w:tcBorders>
              <w:top w:val="nil"/>
              <w:left w:val="nil"/>
              <w:bottom w:val="nil"/>
              <w:right w:val="nil"/>
            </w:tcBorders>
            <w:shd w:val="clear" w:color="auto" w:fill="auto"/>
            <w:noWrap/>
            <w:vAlign w:val="bottom"/>
            <w:hideMark/>
          </w:tcPr>
          <w:p w14:paraId="1795F0A8"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Oprema za održavanje i zaštitu                                                                      </w:t>
            </w:r>
          </w:p>
        </w:tc>
        <w:tc>
          <w:tcPr>
            <w:tcW w:w="1480" w:type="dxa"/>
            <w:tcBorders>
              <w:top w:val="nil"/>
              <w:left w:val="nil"/>
              <w:bottom w:val="nil"/>
              <w:right w:val="nil"/>
            </w:tcBorders>
            <w:shd w:val="clear" w:color="auto" w:fill="auto"/>
            <w:noWrap/>
            <w:vAlign w:val="bottom"/>
            <w:hideMark/>
          </w:tcPr>
          <w:p w14:paraId="6E3E1A18"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5F7C0C58"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1.960,58</w:t>
            </w:r>
          </w:p>
        </w:tc>
        <w:tc>
          <w:tcPr>
            <w:tcW w:w="1400" w:type="dxa"/>
            <w:tcBorders>
              <w:top w:val="nil"/>
              <w:left w:val="nil"/>
              <w:bottom w:val="nil"/>
              <w:right w:val="nil"/>
            </w:tcBorders>
            <w:shd w:val="clear" w:color="auto" w:fill="auto"/>
            <w:noWrap/>
            <w:vAlign w:val="bottom"/>
            <w:hideMark/>
          </w:tcPr>
          <w:p w14:paraId="34F26F1A"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579B94BE" w14:textId="77777777" w:rsidTr="00A360DB">
        <w:trPr>
          <w:trHeight w:val="240"/>
        </w:trPr>
        <w:tc>
          <w:tcPr>
            <w:tcW w:w="1697" w:type="dxa"/>
            <w:tcBorders>
              <w:top w:val="nil"/>
              <w:left w:val="nil"/>
              <w:bottom w:val="nil"/>
              <w:right w:val="nil"/>
            </w:tcBorders>
            <w:shd w:val="clear" w:color="auto" w:fill="auto"/>
            <w:noWrap/>
            <w:vAlign w:val="bottom"/>
            <w:hideMark/>
          </w:tcPr>
          <w:p w14:paraId="47DC99D8"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4231</w:t>
            </w:r>
          </w:p>
        </w:tc>
        <w:tc>
          <w:tcPr>
            <w:tcW w:w="8509" w:type="dxa"/>
            <w:tcBorders>
              <w:top w:val="nil"/>
              <w:left w:val="nil"/>
              <w:bottom w:val="nil"/>
              <w:right w:val="nil"/>
            </w:tcBorders>
            <w:shd w:val="clear" w:color="auto" w:fill="auto"/>
            <w:noWrap/>
            <w:vAlign w:val="bottom"/>
            <w:hideMark/>
          </w:tcPr>
          <w:p w14:paraId="7506C9C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Prijevozna sredstva u cestovnom prometu                                                             </w:t>
            </w:r>
          </w:p>
        </w:tc>
        <w:tc>
          <w:tcPr>
            <w:tcW w:w="1480" w:type="dxa"/>
            <w:tcBorders>
              <w:top w:val="nil"/>
              <w:left w:val="nil"/>
              <w:bottom w:val="nil"/>
              <w:right w:val="nil"/>
            </w:tcBorders>
            <w:shd w:val="clear" w:color="auto" w:fill="auto"/>
            <w:noWrap/>
            <w:vAlign w:val="bottom"/>
            <w:hideMark/>
          </w:tcPr>
          <w:p w14:paraId="20780774"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7C2A21E"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18.250,00</w:t>
            </w:r>
          </w:p>
        </w:tc>
        <w:tc>
          <w:tcPr>
            <w:tcW w:w="1400" w:type="dxa"/>
            <w:tcBorders>
              <w:top w:val="nil"/>
              <w:left w:val="nil"/>
              <w:bottom w:val="nil"/>
              <w:right w:val="nil"/>
            </w:tcBorders>
            <w:shd w:val="clear" w:color="auto" w:fill="auto"/>
            <w:noWrap/>
            <w:vAlign w:val="bottom"/>
            <w:hideMark/>
          </w:tcPr>
          <w:p w14:paraId="40D21C7C"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6B19ED3"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6A612BF"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3. Vlastiti prihodi</w:t>
            </w:r>
          </w:p>
        </w:tc>
        <w:tc>
          <w:tcPr>
            <w:tcW w:w="1480" w:type="dxa"/>
            <w:tcBorders>
              <w:top w:val="nil"/>
              <w:left w:val="nil"/>
              <w:bottom w:val="nil"/>
              <w:right w:val="nil"/>
            </w:tcBorders>
            <w:shd w:val="clear" w:color="auto" w:fill="auto"/>
            <w:noWrap/>
            <w:vAlign w:val="bottom"/>
            <w:hideMark/>
          </w:tcPr>
          <w:p w14:paraId="2C29D512"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15.300,00</w:t>
            </w:r>
          </w:p>
        </w:tc>
        <w:tc>
          <w:tcPr>
            <w:tcW w:w="1380" w:type="dxa"/>
            <w:tcBorders>
              <w:top w:val="nil"/>
              <w:left w:val="nil"/>
              <w:bottom w:val="nil"/>
              <w:right w:val="nil"/>
            </w:tcBorders>
            <w:shd w:val="clear" w:color="auto" w:fill="auto"/>
            <w:noWrap/>
            <w:vAlign w:val="bottom"/>
            <w:hideMark/>
          </w:tcPr>
          <w:p w14:paraId="5BDFE968"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12.713,27</w:t>
            </w:r>
          </w:p>
        </w:tc>
        <w:tc>
          <w:tcPr>
            <w:tcW w:w="1400" w:type="dxa"/>
            <w:tcBorders>
              <w:top w:val="nil"/>
              <w:left w:val="nil"/>
              <w:bottom w:val="nil"/>
              <w:right w:val="nil"/>
            </w:tcBorders>
            <w:shd w:val="clear" w:color="auto" w:fill="auto"/>
            <w:noWrap/>
            <w:vAlign w:val="bottom"/>
            <w:hideMark/>
          </w:tcPr>
          <w:p w14:paraId="380A1AC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83,09%</w:t>
            </w:r>
          </w:p>
        </w:tc>
      </w:tr>
      <w:tr w:rsidR="00A360DB" w:rsidRPr="00A360DB" w14:paraId="301D18A4"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17270BC0"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3.1. Vlastiti prihodi</w:t>
            </w:r>
          </w:p>
        </w:tc>
        <w:tc>
          <w:tcPr>
            <w:tcW w:w="1480" w:type="dxa"/>
            <w:tcBorders>
              <w:top w:val="nil"/>
              <w:left w:val="nil"/>
              <w:bottom w:val="nil"/>
              <w:right w:val="nil"/>
            </w:tcBorders>
            <w:shd w:val="clear" w:color="auto" w:fill="auto"/>
            <w:noWrap/>
            <w:vAlign w:val="bottom"/>
            <w:hideMark/>
          </w:tcPr>
          <w:p w14:paraId="4FFA8B68"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15.300,00</w:t>
            </w:r>
          </w:p>
        </w:tc>
        <w:tc>
          <w:tcPr>
            <w:tcW w:w="1380" w:type="dxa"/>
            <w:tcBorders>
              <w:top w:val="nil"/>
              <w:left w:val="nil"/>
              <w:bottom w:val="nil"/>
              <w:right w:val="nil"/>
            </w:tcBorders>
            <w:shd w:val="clear" w:color="auto" w:fill="auto"/>
            <w:noWrap/>
            <w:vAlign w:val="bottom"/>
            <w:hideMark/>
          </w:tcPr>
          <w:p w14:paraId="59C2F9A2"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12.713,27</w:t>
            </w:r>
          </w:p>
        </w:tc>
        <w:tc>
          <w:tcPr>
            <w:tcW w:w="1400" w:type="dxa"/>
            <w:tcBorders>
              <w:top w:val="nil"/>
              <w:left w:val="nil"/>
              <w:bottom w:val="nil"/>
              <w:right w:val="nil"/>
            </w:tcBorders>
            <w:shd w:val="clear" w:color="auto" w:fill="auto"/>
            <w:noWrap/>
            <w:vAlign w:val="bottom"/>
            <w:hideMark/>
          </w:tcPr>
          <w:p w14:paraId="27EFA86D"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83,09%</w:t>
            </w:r>
          </w:p>
        </w:tc>
      </w:tr>
      <w:tr w:rsidR="00A360DB" w:rsidRPr="00A360DB" w14:paraId="0E97F2B4" w14:textId="77777777" w:rsidTr="00A360DB">
        <w:trPr>
          <w:trHeight w:val="240"/>
        </w:trPr>
        <w:tc>
          <w:tcPr>
            <w:tcW w:w="1697" w:type="dxa"/>
            <w:tcBorders>
              <w:top w:val="nil"/>
              <w:left w:val="nil"/>
              <w:bottom w:val="nil"/>
              <w:right w:val="nil"/>
            </w:tcBorders>
            <w:shd w:val="clear" w:color="auto" w:fill="auto"/>
            <w:noWrap/>
            <w:vAlign w:val="bottom"/>
            <w:hideMark/>
          </w:tcPr>
          <w:p w14:paraId="67472A83"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42</w:t>
            </w:r>
          </w:p>
        </w:tc>
        <w:tc>
          <w:tcPr>
            <w:tcW w:w="8509" w:type="dxa"/>
            <w:tcBorders>
              <w:top w:val="nil"/>
              <w:left w:val="nil"/>
              <w:bottom w:val="nil"/>
              <w:right w:val="nil"/>
            </w:tcBorders>
            <w:shd w:val="clear" w:color="auto" w:fill="auto"/>
            <w:noWrap/>
            <w:vAlign w:val="bottom"/>
            <w:hideMark/>
          </w:tcPr>
          <w:p w14:paraId="3036C2C0"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nabavu proizvedene dugotrajne imovine                                                    </w:t>
            </w:r>
          </w:p>
        </w:tc>
        <w:tc>
          <w:tcPr>
            <w:tcW w:w="1480" w:type="dxa"/>
            <w:tcBorders>
              <w:top w:val="nil"/>
              <w:left w:val="nil"/>
              <w:bottom w:val="nil"/>
              <w:right w:val="nil"/>
            </w:tcBorders>
            <w:shd w:val="clear" w:color="auto" w:fill="auto"/>
            <w:noWrap/>
            <w:vAlign w:val="bottom"/>
            <w:hideMark/>
          </w:tcPr>
          <w:p w14:paraId="3FDA0D7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13.400,00</w:t>
            </w:r>
          </w:p>
        </w:tc>
        <w:tc>
          <w:tcPr>
            <w:tcW w:w="1380" w:type="dxa"/>
            <w:tcBorders>
              <w:top w:val="nil"/>
              <w:left w:val="nil"/>
              <w:bottom w:val="nil"/>
              <w:right w:val="nil"/>
            </w:tcBorders>
            <w:shd w:val="clear" w:color="auto" w:fill="auto"/>
            <w:noWrap/>
            <w:vAlign w:val="bottom"/>
            <w:hideMark/>
          </w:tcPr>
          <w:p w14:paraId="2B42DC7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10.881,98</w:t>
            </w:r>
          </w:p>
        </w:tc>
        <w:tc>
          <w:tcPr>
            <w:tcW w:w="1400" w:type="dxa"/>
            <w:tcBorders>
              <w:top w:val="nil"/>
              <w:left w:val="nil"/>
              <w:bottom w:val="nil"/>
              <w:right w:val="nil"/>
            </w:tcBorders>
            <w:shd w:val="clear" w:color="auto" w:fill="auto"/>
            <w:noWrap/>
            <w:vAlign w:val="bottom"/>
            <w:hideMark/>
          </w:tcPr>
          <w:p w14:paraId="3F111D2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81,21%</w:t>
            </w:r>
          </w:p>
        </w:tc>
      </w:tr>
      <w:tr w:rsidR="00A360DB" w:rsidRPr="00A360DB" w14:paraId="13741665" w14:textId="77777777" w:rsidTr="00A360DB">
        <w:trPr>
          <w:trHeight w:val="240"/>
        </w:trPr>
        <w:tc>
          <w:tcPr>
            <w:tcW w:w="1697" w:type="dxa"/>
            <w:tcBorders>
              <w:top w:val="nil"/>
              <w:left w:val="nil"/>
              <w:bottom w:val="nil"/>
              <w:right w:val="nil"/>
            </w:tcBorders>
            <w:shd w:val="clear" w:color="auto" w:fill="auto"/>
            <w:noWrap/>
            <w:vAlign w:val="bottom"/>
            <w:hideMark/>
          </w:tcPr>
          <w:p w14:paraId="7646AA3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4221</w:t>
            </w:r>
          </w:p>
        </w:tc>
        <w:tc>
          <w:tcPr>
            <w:tcW w:w="8509" w:type="dxa"/>
            <w:tcBorders>
              <w:top w:val="nil"/>
              <w:left w:val="nil"/>
              <w:bottom w:val="nil"/>
              <w:right w:val="nil"/>
            </w:tcBorders>
            <w:shd w:val="clear" w:color="auto" w:fill="auto"/>
            <w:noWrap/>
            <w:vAlign w:val="bottom"/>
            <w:hideMark/>
          </w:tcPr>
          <w:p w14:paraId="0FFC32F5"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Uredska oprema i namještaj                                                                          </w:t>
            </w:r>
          </w:p>
        </w:tc>
        <w:tc>
          <w:tcPr>
            <w:tcW w:w="1480" w:type="dxa"/>
            <w:tcBorders>
              <w:top w:val="nil"/>
              <w:left w:val="nil"/>
              <w:bottom w:val="nil"/>
              <w:right w:val="nil"/>
            </w:tcBorders>
            <w:shd w:val="clear" w:color="auto" w:fill="auto"/>
            <w:noWrap/>
            <w:vAlign w:val="bottom"/>
            <w:hideMark/>
          </w:tcPr>
          <w:p w14:paraId="593B9EF8"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5F4E7240"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4.846,93</w:t>
            </w:r>
          </w:p>
        </w:tc>
        <w:tc>
          <w:tcPr>
            <w:tcW w:w="1400" w:type="dxa"/>
            <w:tcBorders>
              <w:top w:val="nil"/>
              <w:left w:val="nil"/>
              <w:bottom w:val="nil"/>
              <w:right w:val="nil"/>
            </w:tcBorders>
            <w:shd w:val="clear" w:color="auto" w:fill="auto"/>
            <w:noWrap/>
            <w:vAlign w:val="bottom"/>
            <w:hideMark/>
          </w:tcPr>
          <w:p w14:paraId="5F81D924"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B62192F" w14:textId="77777777" w:rsidTr="00A360DB">
        <w:trPr>
          <w:trHeight w:val="240"/>
        </w:trPr>
        <w:tc>
          <w:tcPr>
            <w:tcW w:w="1697" w:type="dxa"/>
            <w:tcBorders>
              <w:top w:val="nil"/>
              <w:left w:val="nil"/>
              <w:bottom w:val="nil"/>
              <w:right w:val="nil"/>
            </w:tcBorders>
            <w:shd w:val="clear" w:color="auto" w:fill="auto"/>
            <w:noWrap/>
            <w:vAlign w:val="bottom"/>
            <w:hideMark/>
          </w:tcPr>
          <w:p w14:paraId="678BCBC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lastRenderedPageBreak/>
              <w:t>4223</w:t>
            </w:r>
          </w:p>
        </w:tc>
        <w:tc>
          <w:tcPr>
            <w:tcW w:w="8509" w:type="dxa"/>
            <w:tcBorders>
              <w:top w:val="nil"/>
              <w:left w:val="nil"/>
              <w:bottom w:val="nil"/>
              <w:right w:val="nil"/>
            </w:tcBorders>
            <w:shd w:val="clear" w:color="auto" w:fill="auto"/>
            <w:noWrap/>
            <w:vAlign w:val="bottom"/>
            <w:hideMark/>
          </w:tcPr>
          <w:p w14:paraId="791555C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Oprema za održavanje i zaštitu                                                                      </w:t>
            </w:r>
          </w:p>
        </w:tc>
        <w:tc>
          <w:tcPr>
            <w:tcW w:w="1480" w:type="dxa"/>
            <w:tcBorders>
              <w:top w:val="nil"/>
              <w:left w:val="nil"/>
              <w:bottom w:val="nil"/>
              <w:right w:val="nil"/>
            </w:tcBorders>
            <w:shd w:val="clear" w:color="auto" w:fill="auto"/>
            <w:noWrap/>
            <w:vAlign w:val="bottom"/>
            <w:hideMark/>
          </w:tcPr>
          <w:p w14:paraId="42888DE2"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BB7E1CF"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4.138,13</w:t>
            </w:r>
          </w:p>
        </w:tc>
        <w:tc>
          <w:tcPr>
            <w:tcW w:w="1400" w:type="dxa"/>
            <w:tcBorders>
              <w:top w:val="nil"/>
              <w:left w:val="nil"/>
              <w:bottom w:val="nil"/>
              <w:right w:val="nil"/>
            </w:tcBorders>
            <w:shd w:val="clear" w:color="auto" w:fill="auto"/>
            <w:noWrap/>
            <w:vAlign w:val="bottom"/>
            <w:hideMark/>
          </w:tcPr>
          <w:p w14:paraId="285E7959"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98050D4" w14:textId="77777777" w:rsidTr="00A360DB">
        <w:trPr>
          <w:trHeight w:val="240"/>
        </w:trPr>
        <w:tc>
          <w:tcPr>
            <w:tcW w:w="1697" w:type="dxa"/>
            <w:tcBorders>
              <w:top w:val="nil"/>
              <w:left w:val="nil"/>
              <w:bottom w:val="nil"/>
              <w:right w:val="nil"/>
            </w:tcBorders>
            <w:shd w:val="clear" w:color="auto" w:fill="auto"/>
            <w:noWrap/>
            <w:vAlign w:val="bottom"/>
            <w:hideMark/>
          </w:tcPr>
          <w:p w14:paraId="0D6CEF5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4227</w:t>
            </w:r>
          </w:p>
        </w:tc>
        <w:tc>
          <w:tcPr>
            <w:tcW w:w="8509" w:type="dxa"/>
            <w:tcBorders>
              <w:top w:val="nil"/>
              <w:left w:val="nil"/>
              <w:bottom w:val="nil"/>
              <w:right w:val="nil"/>
            </w:tcBorders>
            <w:shd w:val="clear" w:color="auto" w:fill="auto"/>
            <w:noWrap/>
            <w:vAlign w:val="bottom"/>
            <w:hideMark/>
          </w:tcPr>
          <w:p w14:paraId="272709E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Uređaji, strojevi i oprema za ostale namjene                                                        </w:t>
            </w:r>
          </w:p>
        </w:tc>
        <w:tc>
          <w:tcPr>
            <w:tcW w:w="1480" w:type="dxa"/>
            <w:tcBorders>
              <w:top w:val="nil"/>
              <w:left w:val="nil"/>
              <w:bottom w:val="nil"/>
              <w:right w:val="nil"/>
            </w:tcBorders>
            <w:shd w:val="clear" w:color="auto" w:fill="auto"/>
            <w:noWrap/>
            <w:vAlign w:val="bottom"/>
            <w:hideMark/>
          </w:tcPr>
          <w:p w14:paraId="1FB43505"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5F62C094"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1.728,52</w:t>
            </w:r>
          </w:p>
        </w:tc>
        <w:tc>
          <w:tcPr>
            <w:tcW w:w="1400" w:type="dxa"/>
            <w:tcBorders>
              <w:top w:val="nil"/>
              <w:left w:val="nil"/>
              <w:bottom w:val="nil"/>
              <w:right w:val="nil"/>
            </w:tcBorders>
            <w:shd w:val="clear" w:color="auto" w:fill="auto"/>
            <w:noWrap/>
            <w:vAlign w:val="bottom"/>
            <w:hideMark/>
          </w:tcPr>
          <w:p w14:paraId="6A82DDB5"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1D3A670" w14:textId="77777777" w:rsidTr="00A360DB">
        <w:trPr>
          <w:trHeight w:val="240"/>
        </w:trPr>
        <w:tc>
          <w:tcPr>
            <w:tcW w:w="1697" w:type="dxa"/>
            <w:tcBorders>
              <w:top w:val="nil"/>
              <w:left w:val="nil"/>
              <w:bottom w:val="nil"/>
              <w:right w:val="nil"/>
            </w:tcBorders>
            <w:shd w:val="clear" w:color="auto" w:fill="auto"/>
            <w:noWrap/>
            <w:vAlign w:val="bottom"/>
            <w:hideMark/>
          </w:tcPr>
          <w:p w14:paraId="0AA9BA5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4241</w:t>
            </w:r>
          </w:p>
        </w:tc>
        <w:tc>
          <w:tcPr>
            <w:tcW w:w="8509" w:type="dxa"/>
            <w:tcBorders>
              <w:top w:val="nil"/>
              <w:left w:val="nil"/>
              <w:bottom w:val="nil"/>
              <w:right w:val="nil"/>
            </w:tcBorders>
            <w:shd w:val="clear" w:color="auto" w:fill="auto"/>
            <w:noWrap/>
            <w:vAlign w:val="bottom"/>
            <w:hideMark/>
          </w:tcPr>
          <w:p w14:paraId="2C5DA57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Knjige                                                                                              </w:t>
            </w:r>
          </w:p>
        </w:tc>
        <w:tc>
          <w:tcPr>
            <w:tcW w:w="1480" w:type="dxa"/>
            <w:tcBorders>
              <w:top w:val="nil"/>
              <w:left w:val="nil"/>
              <w:bottom w:val="nil"/>
              <w:right w:val="nil"/>
            </w:tcBorders>
            <w:shd w:val="clear" w:color="auto" w:fill="auto"/>
            <w:noWrap/>
            <w:vAlign w:val="bottom"/>
            <w:hideMark/>
          </w:tcPr>
          <w:p w14:paraId="1FA0CF19"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735ACE6"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168,40</w:t>
            </w:r>
          </w:p>
        </w:tc>
        <w:tc>
          <w:tcPr>
            <w:tcW w:w="1400" w:type="dxa"/>
            <w:tcBorders>
              <w:top w:val="nil"/>
              <w:left w:val="nil"/>
              <w:bottom w:val="nil"/>
              <w:right w:val="nil"/>
            </w:tcBorders>
            <w:shd w:val="clear" w:color="auto" w:fill="auto"/>
            <w:noWrap/>
            <w:vAlign w:val="bottom"/>
            <w:hideMark/>
          </w:tcPr>
          <w:p w14:paraId="6136E3F2"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F523DA3" w14:textId="77777777" w:rsidTr="00A360DB">
        <w:trPr>
          <w:trHeight w:val="240"/>
        </w:trPr>
        <w:tc>
          <w:tcPr>
            <w:tcW w:w="1697" w:type="dxa"/>
            <w:tcBorders>
              <w:top w:val="nil"/>
              <w:left w:val="nil"/>
              <w:bottom w:val="nil"/>
              <w:right w:val="nil"/>
            </w:tcBorders>
            <w:shd w:val="clear" w:color="auto" w:fill="auto"/>
            <w:noWrap/>
            <w:vAlign w:val="bottom"/>
            <w:hideMark/>
          </w:tcPr>
          <w:p w14:paraId="7FA4E343"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45</w:t>
            </w:r>
          </w:p>
        </w:tc>
        <w:tc>
          <w:tcPr>
            <w:tcW w:w="8509" w:type="dxa"/>
            <w:tcBorders>
              <w:top w:val="nil"/>
              <w:left w:val="nil"/>
              <w:bottom w:val="nil"/>
              <w:right w:val="nil"/>
            </w:tcBorders>
            <w:shd w:val="clear" w:color="auto" w:fill="auto"/>
            <w:noWrap/>
            <w:vAlign w:val="bottom"/>
            <w:hideMark/>
          </w:tcPr>
          <w:p w14:paraId="73AF739A"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dodatna ulaganja na nefinancijskoj imovini                                               </w:t>
            </w:r>
          </w:p>
        </w:tc>
        <w:tc>
          <w:tcPr>
            <w:tcW w:w="1480" w:type="dxa"/>
            <w:tcBorders>
              <w:top w:val="nil"/>
              <w:left w:val="nil"/>
              <w:bottom w:val="nil"/>
              <w:right w:val="nil"/>
            </w:tcBorders>
            <w:shd w:val="clear" w:color="auto" w:fill="auto"/>
            <w:noWrap/>
            <w:vAlign w:val="bottom"/>
            <w:hideMark/>
          </w:tcPr>
          <w:p w14:paraId="2CF2DB4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1.900,00</w:t>
            </w:r>
          </w:p>
        </w:tc>
        <w:tc>
          <w:tcPr>
            <w:tcW w:w="1380" w:type="dxa"/>
            <w:tcBorders>
              <w:top w:val="nil"/>
              <w:left w:val="nil"/>
              <w:bottom w:val="nil"/>
              <w:right w:val="nil"/>
            </w:tcBorders>
            <w:shd w:val="clear" w:color="auto" w:fill="auto"/>
            <w:noWrap/>
            <w:vAlign w:val="bottom"/>
            <w:hideMark/>
          </w:tcPr>
          <w:p w14:paraId="7BD3D24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1.831,29</w:t>
            </w:r>
          </w:p>
        </w:tc>
        <w:tc>
          <w:tcPr>
            <w:tcW w:w="1400" w:type="dxa"/>
            <w:tcBorders>
              <w:top w:val="nil"/>
              <w:left w:val="nil"/>
              <w:bottom w:val="nil"/>
              <w:right w:val="nil"/>
            </w:tcBorders>
            <w:shd w:val="clear" w:color="auto" w:fill="auto"/>
            <w:noWrap/>
            <w:vAlign w:val="bottom"/>
            <w:hideMark/>
          </w:tcPr>
          <w:p w14:paraId="08375F5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96,38%</w:t>
            </w:r>
          </w:p>
        </w:tc>
      </w:tr>
      <w:tr w:rsidR="00A360DB" w:rsidRPr="00A360DB" w14:paraId="700864FA" w14:textId="77777777" w:rsidTr="00A360DB">
        <w:trPr>
          <w:trHeight w:val="240"/>
        </w:trPr>
        <w:tc>
          <w:tcPr>
            <w:tcW w:w="1697" w:type="dxa"/>
            <w:tcBorders>
              <w:top w:val="nil"/>
              <w:left w:val="nil"/>
              <w:bottom w:val="nil"/>
              <w:right w:val="nil"/>
            </w:tcBorders>
            <w:shd w:val="clear" w:color="auto" w:fill="auto"/>
            <w:noWrap/>
            <w:vAlign w:val="bottom"/>
            <w:hideMark/>
          </w:tcPr>
          <w:p w14:paraId="211381A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4521</w:t>
            </w:r>
          </w:p>
        </w:tc>
        <w:tc>
          <w:tcPr>
            <w:tcW w:w="8509" w:type="dxa"/>
            <w:tcBorders>
              <w:top w:val="nil"/>
              <w:left w:val="nil"/>
              <w:bottom w:val="nil"/>
              <w:right w:val="nil"/>
            </w:tcBorders>
            <w:shd w:val="clear" w:color="auto" w:fill="auto"/>
            <w:noWrap/>
            <w:vAlign w:val="bottom"/>
            <w:hideMark/>
          </w:tcPr>
          <w:p w14:paraId="04621C5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Dodatna ulaganja na postrojenjima i opremi                                                          </w:t>
            </w:r>
          </w:p>
        </w:tc>
        <w:tc>
          <w:tcPr>
            <w:tcW w:w="1480" w:type="dxa"/>
            <w:tcBorders>
              <w:top w:val="nil"/>
              <w:left w:val="nil"/>
              <w:bottom w:val="nil"/>
              <w:right w:val="nil"/>
            </w:tcBorders>
            <w:shd w:val="clear" w:color="auto" w:fill="auto"/>
            <w:noWrap/>
            <w:vAlign w:val="bottom"/>
            <w:hideMark/>
          </w:tcPr>
          <w:p w14:paraId="42E7122C"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5B0FB86"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1.831,29</w:t>
            </w:r>
          </w:p>
        </w:tc>
        <w:tc>
          <w:tcPr>
            <w:tcW w:w="1400" w:type="dxa"/>
            <w:tcBorders>
              <w:top w:val="nil"/>
              <w:left w:val="nil"/>
              <w:bottom w:val="nil"/>
              <w:right w:val="nil"/>
            </w:tcBorders>
            <w:shd w:val="clear" w:color="auto" w:fill="auto"/>
            <w:noWrap/>
            <w:vAlign w:val="bottom"/>
            <w:hideMark/>
          </w:tcPr>
          <w:p w14:paraId="61AE1FD7"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76C3F05"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D16BDEA"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5. Pomoći</w:t>
            </w:r>
          </w:p>
        </w:tc>
        <w:tc>
          <w:tcPr>
            <w:tcW w:w="1480" w:type="dxa"/>
            <w:tcBorders>
              <w:top w:val="nil"/>
              <w:left w:val="nil"/>
              <w:bottom w:val="nil"/>
              <w:right w:val="nil"/>
            </w:tcBorders>
            <w:shd w:val="clear" w:color="auto" w:fill="auto"/>
            <w:noWrap/>
            <w:vAlign w:val="bottom"/>
            <w:hideMark/>
          </w:tcPr>
          <w:p w14:paraId="3C806D7C"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900,00</w:t>
            </w:r>
          </w:p>
        </w:tc>
        <w:tc>
          <w:tcPr>
            <w:tcW w:w="1380" w:type="dxa"/>
            <w:tcBorders>
              <w:top w:val="nil"/>
              <w:left w:val="nil"/>
              <w:bottom w:val="nil"/>
              <w:right w:val="nil"/>
            </w:tcBorders>
            <w:shd w:val="clear" w:color="auto" w:fill="auto"/>
            <w:noWrap/>
            <w:vAlign w:val="bottom"/>
            <w:hideMark/>
          </w:tcPr>
          <w:p w14:paraId="25F4FFB8"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606,25</w:t>
            </w:r>
          </w:p>
        </w:tc>
        <w:tc>
          <w:tcPr>
            <w:tcW w:w="1400" w:type="dxa"/>
            <w:tcBorders>
              <w:top w:val="nil"/>
              <w:left w:val="nil"/>
              <w:bottom w:val="nil"/>
              <w:right w:val="nil"/>
            </w:tcBorders>
            <w:shd w:val="clear" w:color="auto" w:fill="auto"/>
            <w:noWrap/>
            <w:vAlign w:val="bottom"/>
            <w:hideMark/>
          </w:tcPr>
          <w:p w14:paraId="43030F3C"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67,36%</w:t>
            </w:r>
          </w:p>
        </w:tc>
      </w:tr>
      <w:tr w:rsidR="00A360DB" w:rsidRPr="00A360DB" w14:paraId="6B4C3F68"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3EBA94EF"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5.5. Općinski proračun</w:t>
            </w:r>
          </w:p>
        </w:tc>
        <w:tc>
          <w:tcPr>
            <w:tcW w:w="1480" w:type="dxa"/>
            <w:tcBorders>
              <w:top w:val="nil"/>
              <w:left w:val="nil"/>
              <w:bottom w:val="nil"/>
              <w:right w:val="nil"/>
            </w:tcBorders>
            <w:shd w:val="clear" w:color="auto" w:fill="auto"/>
            <w:noWrap/>
            <w:vAlign w:val="bottom"/>
            <w:hideMark/>
          </w:tcPr>
          <w:p w14:paraId="16F060CE"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900,00</w:t>
            </w:r>
          </w:p>
        </w:tc>
        <w:tc>
          <w:tcPr>
            <w:tcW w:w="1380" w:type="dxa"/>
            <w:tcBorders>
              <w:top w:val="nil"/>
              <w:left w:val="nil"/>
              <w:bottom w:val="nil"/>
              <w:right w:val="nil"/>
            </w:tcBorders>
            <w:shd w:val="clear" w:color="auto" w:fill="auto"/>
            <w:noWrap/>
            <w:vAlign w:val="bottom"/>
            <w:hideMark/>
          </w:tcPr>
          <w:p w14:paraId="1EBE795B"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606,25</w:t>
            </w:r>
          </w:p>
        </w:tc>
        <w:tc>
          <w:tcPr>
            <w:tcW w:w="1400" w:type="dxa"/>
            <w:tcBorders>
              <w:top w:val="nil"/>
              <w:left w:val="nil"/>
              <w:bottom w:val="nil"/>
              <w:right w:val="nil"/>
            </w:tcBorders>
            <w:shd w:val="clear" w:color="auto" w:fill="auto"/>
            <w:noWrap/>
            <w:vAlign w:val="bottom"/>
            <w:hideMark/>
          </w:tcPr>
          <w:p w14:paraId="0C426C9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67,36%</w:t>
            </w:r>
          </w:p>
        </w:tc>
      </w:tr>
      <w:tr w:rsidR="00A360DB" w:rsidRPr="00A360DB" w14:paraId="61723878" w14:textId="77777777" w:rsidTr="00A360DB">
        <w:trPr>
          <w:trHeight w:val="240"/>
        </w:trPr>
        <w:tc>
          <w:tcPr>
            <w:tcW w:w="1697" w:type="dxa"/>
            <w:tcBorders>
              <w:top w:val="nil"/>
              <w:left w:val="nil"/>
              <w:bottom w:val="nil"/>
              <w:right w:val="nil"/>
            </w:tcBorders>
            <w:shd w:val="clear" w:color="auto" w:fill="auto"/>
            <w:noWrap/>
            <w:vAlign w:val="bottom"/>
            <w:hideMark/>
          </w:tcPr>
          <w:p w14:paraId="67296A38"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42</w:t>
            </w:r>
          </w:p>
        </w:tc>
        <w:tc>
          <w:tcPr>
            <w:tcW w:w="8509" w:type="dxa"/>
            <w:tcBorders>
              <w:top w:val="nil"/>
              <w:left w:val="nil"/>
              <w:bottom w:val="nil"/>
              <w:right w:val="nil"/>
            </w:tcBorders>
            <w:shd w:val="clear" w:color="auto" w:fill="auto"/>
            <w:noWrap/>
            <w:vAlign w:val="bottom"/>
            <w:hideMark/>
          </w:tcPr>
          <w:p w14:paraId="3ADCE6D9"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nabavu proizvedene dugotrajne imovine                                                    </w:t>
            </w:r>
          </w:p>
        </w:tc>
        <w:tc>
          <w:tcPr>
            <w:tcW w:w="1480" w:type="dxa"/>
            <w:tcBorders>
              <w:top w:val="nil"/>
              <w:left w:val="nil"/>
              <w:bottom w:val="nil"/>
              <w:right w:val="nil"/>
            </w:tcBorders>
            <w:shd w:val="clear" w:color="auto" w:fill="auto"/>
            <w:noWrap/>
            <w:vAlign w:val="bottom"/>
            <w:hideMark/>
          </w:tcPr>
          <w:p w14:paraId="4790DA0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900,00</w:t>
            </w:r>
          </w:p>
        </w:tc>
        <w:tc>
          <w:tcPr>
            <w:tcW w:w="1380" w:type="dxa"/>
            <w:tcBorders>
              <w:top w:val="nil"/>
              <w:left w:val="nil"/>
              <w:bottom w:val="nil"/>
              <w:right w:val="nil"/>
            </w:tcBorders>
            <w:shd w:val="clear" w:color="auto" w:fill="auto"/>
            <w:noWrap/>
            <w:vAlign w:val="bottom"/>
            <w:hideMark/>
          </w:tcPr>
          <w:p w14:paraId="1B08945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606,25</w:t>
            </w:r>
          </w:p>
        </w:tc>
        <w:tc>
          <w:tcPr>
            <w:tcW w:w="1400" w:type="dxa"/>
            <w:tcBorders>
              <w:top w:val="nil"/>
              <w:left w:val="nil"/>
              <w:bottom w:val="nil"/>
              <w:right w:val="nil"/>
            </w:tcBorders>
            <w:shd w:val="clear" w:color="auto" w:fill="auto"/>
            <w:noWrap/>
            <w:vAlign w:val="bottom"/>
            <w:hideMark/>
          </w:tcPr>
          <w:p w14:paraId="33305D2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67,36%</w:t>
            </w:r>
          </w:p>
        </w:tc>
      </w:tr>
      <w:tr w:rsidR="00A360DB" w:rsidRPr="00A360DB" w14:paraId="474E727C" w14:textId="77777777" w:rsidTr="00A360DB">
        <w:trPr>
          <w:trHeight w:val="240"/>
        </w:trPr>
        <w:tc>
          <w:tcPr>
            <w:tcW w:w="1697" w:type="dxa"/>
            <w:tcBorders>
              <w:top w:val="nil"/>
              <w:left w:val="nil"/>
              <w:bottom w:val="nil"/>
              <w:right w:val="nil"/>
            </w:tcBorders>
            <w:shd w:val="clear" w:color="auto" w:fill="auto"/>
            <w:noWrap/>
            <w:vAlign w:val="bottom"/>
            <w:hideMark/>
          </w:tcPr>
          <w:p w14:paraId="75ED403D"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4221</w:t>
            </w:r>
          </w:p>
        </w:tc>
        <w:tc>
          <w:tcPr>
            <w:tcW w:w="8509" w:type="dxa"/>
            <w:tcBorders>
              <w:top w:val="nil"/>
              <w:left w:val="nil"/>
              <w:bottom w:val="nil"/>
              <w:right w:val="nil"/>
            </w:tcBorders>
            <w:shd w:val="clear" w:color="auto" w:fill="auto"/>
            <w:noWrap/>
            <w:vAlign w:val="bottom"/>
            <w:hideMark/>
          </w:tcPr>
          <w:p w14:paraId="29C64C8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Uredska oprema i namještaj                                                                          </w:t>
            </w:r>
          </w:p>
        </w:tc>
        <w:tc>
          <w:tcPr>
            <w:tcW w:w="1480" w:type="dxa"/>
            <w:tcBorders>
              <w:top w:val="nil"/>
              <w:left w:val="nil"/>
              <w:bottom w:val="nil"/>
              <w:right w:val="nil"/>
            </w:tcBorders>
            <w:shd w:val="clear" w:color="auto" w:fill="auto"/>
            <w:noWrap/>
            <w:vAlign w:val="bottom"/>
            <w:hideMark/>
          </w:tcPr>
          <w:p w14:paraId="3772FEA9"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51A05988"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152,50</w:t>
            </w:r>
          </w:p>
        </w:tc>
        <w:tc>
          <w:tcPr>
            <w:tcW w:w="1400" w:type="dxa"/>
            <w:tcBorders>
              <w:top w:val="nil"/>
              <w:left w:val="nil"/>
              <w:bottom w:val="nil"/>
              <w:right w:val="nil"/>
            </w:tcBorders>
            <w:shd w:val="clear" w:color="auto" w:fill="auto"/>
            <w:noWrap/>
            <w:vAlign w:val="bottom"/>
            <w:hideMark/>
          </w:tcPr>
          <w:p w14:paraId="0F97A2D5"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5491F881" w14:textId="77777777" w:rsidTr="00A360DB">
        <w:trPr>
          <w:trHeight w:val="240"/>
        </w:trPr>
        <w:tc>
          <w:tcPr>
            <w:tcW w:w="1697" w:type="dxa"/>
            <w:tcBorders>
              <w:top w:val="nil"/>
              <w:left w:val="nil"/>
              <w:bottom w:val="nil"/>
              <w:right w:val="nil"/>
            </w:tcBorders>
            <w:shd w:val="clear" w:color="auto" w:fill="auto"/>
            <w:noWrap/>
            <w:vAlign w:val="bottom"/>
            <w:hideMark/>
          </w:tcPr>
          <w:p w14:paraId="278AE63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4223</w:t>
            </w:r>
          </w:p>
        </w:tc>
        <w:tc>
          <w:tcPr>
            <w:tcW w:w="8509" w:type="dxa"/>
            <w:tcBorders>
              <w:top w:val="nil"/>
              <w:left w:val="nil"/>
              <w:bottom w:val="nil"/>
              <w:right w:val="nil"/>
            </w:tcBorders>
            <w:shd w:val="clear" w:color="auto" w:fill="auto"/>
            <w:noWrap/>
            <w:vAlign w:val="bottom"/>
            <w:hideMark/>
          </w:tcPr>
          <w:p w14:paraId="16AEF71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Oprema za održavanje i zaštitu                                                                      </w:t>
            </w:r>
          </w:p>
        </w:tc>
        <w:tc>
          <w:tcPr>
            <w:tcW w:w="1480" w:type="dxa"/>
            <w:tcBorders>
              <w:top w:val="nil"/>
              <w:left w:val="nil"/>
              <w:bottom w:val="nil"/>
              <w:right w:val="nil"/>
            </w:tcBorders>
            <w:shd w:val="clear" w:color="auto" w:fill="auto"/>
            <w:noWrap/>
            <w:vAlign w:val="bottom"/>
            <w:hideMark/>
          </w:tcPr>
          <w:p w14:paraId="514B0EA4"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77D9420"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453,75</w:t>
            </w:r>
          </w:p>
        </w:tc>
        <w:tc>
          <w:tcPr>
            <w:tcW w:w="1400" w:type="dxa"/>
            <w:tcBorders>
              <w:top w:val="nil"/>
              <w:left w:val="nil"/>
              <w:bottom w:val="nil"/>
              <w:right w:val="nil"/>
            </w:tcBorders>
            <w:shd w:val="clear" w:color="auto" w:fill="auto"/>
            <w:noWrap/>
            <w:vAlign w:val="bottom"/>
            <w:hideMark/>
          </w:tcPr>
          <w:p w14:paraId="37A874B4"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A814FB1" w14:textId="77777777" w:rsidTr="00A360DB">
        <w:trPr>
          <w:trHeight w:val="240"/>
        </w:trPr>
        <w:tc>
          <w:tcPr>
            <w:tcW w:w="10206" w:type="dxa"/>
            <w:gridSpan w:val="2"/>
            <w:tcBorders>
              <w:top w:val="nil"/>
              <w:left w:val="nil"/>
              <w:bottom w:val="nil"/>
              <w:right w:val="nil"/>
            </w:tcBorders>
            <w:shd w:val="clear" w:color="000000" w:fill="8994FB"/>
            <w:noWrap/>
            <w:vAlign w:val="bottom"/>
            <w:hideMark/>
          </w:tcPr>
          <w:p w14:paraId="7EF741E7"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GLAVA 00204 USTANOVE KULTURE</w:t>
            </w:r>
          </w:p>
        </w:tc>
        <w:tc>
          <w:tcPr>
            <w:tcW w:w="1480" w:type="dxa"/>
            <w:tcBorders>
              <w:top w:val="nil"/>
              <w:left w:val="nil"/>
              <w:bottom w:val="nil"/>
              <w:right w:val="nil"/>
            </w:tcBorders>
            <w:shd w:val="clear" w:color="000000" w:fill="8994FB"/>
            <w:noWrap/>
            <w:vAlign w:val="bottom"/>
            <w:hideMark/>
          </w:tcPr>
          <w:p w14:paraId="6EA8415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165.900,00</w:t>
            </w:r>
          </w:p>
        </w:tc>
        <w:tc>
          <w:tcPr>
            <w:tcW w:w="1380" w:type="dxa"/>
            <w:tcBorders>
              <w:top w:val="nil"/>
              <w:left w:val="nil"/>
              <w:bottom w:val="nil"/>
              <w:right w:val="nil"/>
            </w:tcBorders>
            <w:shd w:val="clear" w:color="000000" w:fill="8994FB"/>
            <w:noWrap/>
            <w:vAlign w:val="bottom"/>
            <w:hideMark/>
          </w:tcPr>
          <w:p w14:paraId="47DF7B5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161.463,32</w:t>
            </w:r>
          </w:p>
        </w:tc>
        <w:tc>
          <w:tcPr>
            <w:tcW w:w="1400" w:type="dxa"/>
            <w:tcBorders>
              <w:top w:val="nil"/>
              <w:left w:val="nil"/>
              <w:bottom w:val="nil"/>
              <w:right w:val="nil"/>
            </w:tcBorders>
            <w:shd w:val="clear" w:color="000000" w:fill="8994FB"/>
            <w:noWrap/>
            <w:vAlign w:val="bottom"/>
            <w:hideMark/>
          </w:tcPr>
          <w:p w14:paraId="638BEFF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97,33%</w:t>
            </w:r>
          </w:p>
        </w:tc>
      </w:tr>
      <w:tr w:rsidR="00A360DB" w:rsidRPr="00A360DB" w14:paraId="3DD69603" w14:textId="77777777" w:rsidTr="00A360DB">
        <w:trPr>
          <w:trHeight w:val="240"/>
        </w:trPr>
        <w:tc>
          <w:tcPr>
            <w:tcW w:w="10206" w:type="dxa"/>
            <w:gridSpan w:val="2"/>
            <w:tcBorders>
              <w:top w:val="nil"/>
              <w:left w:val="nil"/>
              <w:bottom w:val="nil"/>
              <w:right w:val="nil"/>
            </w:tcBorders>
            <w:shd w:val="clear" w:color="000000" w:fill="8994FB"/>
            <w:noWrap/>
            <w:vAlign w:val="bottom"/>
            <w:hideMark/>
          </w:tcPr>
          <w:p w14:paraId="1DDAE9EF"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PROR. KORISNIK 34686 HRVATSKA KNJIŽNICA I ČITAONICA "ĐURO SUDETA"</w:t>
            </w:r>
          </w:p>
        </w:tc>
        <w:tc>
          <w:tcPr>
            <w:tcW w:w="1480" w:type="dxa"/>
            <w:tcBorders>
              <w:top w:val="nil"/>
              <w:left w:val="nil"/>
              <w:bottom w:val="nil"/>
              <w:right w:val="nil"/>
            </w:tcBorders>
            <w:shd w:val="clear" w:color="000000" w:fill="8994FB"/>
            <w:noWrap/>
            <w:vAlign w:val="bottom"/>
            <w:hideMark/>
          </w:tcPr>
          <w:p w14:paraId="724D24E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165.900,00</w:t>
            </w:r>
          </w:p>
        </w:tc>
        <w:tc>
          <w:tcPr>
            <w:tcW w:w="1380" w:type="dxa"/>
            <w:tcBorders>
              <w:top w:val="nil"/>
              <w:left w:val="nil"/>
              <w:bottom w:val="nil"/>
              <w:right w:val="nil"/>
            </w:tcBorders>
            <w:shd w:val="clear" w:color="000000" w:fill="8994FB"/>
            <w:noWrap/>
            <w:vAlign w:val="bottom"/>
            <w:hideMark/>
          </w:tcPr>
          <w:p w14:paraId="148CA84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161.463,32</w:t>
            </w:r>
          </w:p>
        </w:tc>
        <w:tc>
          <w:tcPr>
            <w:tcW w:w="1400" w:type="dxa"/>
            <w:tcBorders>
              <w:top w:val="nil"/>
              <w:left w:val="nil"/>
              <w:bottom w:val="nil"/>
              <w:right w:val="nil"/>
            </w:tcBorders>
            <w:shd w:val="clear" w:color="000000" w:fill="8994FB"/>
            <w:noWrap/>
            <w:vAlign w:val="bottom"/>
            <w:hideMark/>
          </w:tcPr>
          <w:p w14:paraId="73206BD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97,33%</w:t>
            </w:r>
          </w:p>
        </w:tc>
      </w:tr>
      <w:tr w:rsidR="00A360DB" w:rsidRPr="00A360DB" w14:paraId="61AA0273"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C45C8D4"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4C3661C1"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111.455,00</w:t>
            </w:r>
          </w:p>
        </w:tc>
        <w:tc>
          <w:tcPr>
            <w:tcW w:w="1380" w:type="dxa"/>
            <w:tcBorders>
              <w:top w:val="nil"/>
              <w:left w:val="nil"/>
              <w:bottom w:val="nil"/>
              <w:right w:val="nil"/>
            </w:tcBorders>
            <w:shd w:val="clear" w:color="auto" w:fill="auto"/>
            <w:noWrap/>
            <w:vAlign w:val="bottom"/>
            <w:hideMark/>
          </w:tcPr>
          <w:p w14:paraId="5D5102F3"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107.707,21</w:t>
            </w:r>
          </w:p>
        </w:tc>
        <w:tc>
          <w:tcPr>
            <w:tcW w:w="1400" w:type="dxa"/>
            <w:tcBorders>
              <w:top w:val="nil"/>
              <w:left w:val="nil"/>
              <w:bottom w:val="nil"/>
              <w:right w:val="nil"/>
            </w:tcBorders>
            <w:shd w:val="clear" w:color="auto" w:fill="auto"/>
            <w:noWrap/>
            <w:vAlign w:val="bottom"/>
            <w:hideMark/>
          </w:tcPr>
          <w:p w14:paraId="07EB1C51"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96,64%</w:t>
            </w:r>
          </w:p>
        </w:tc>
      </w:tr>
      <w:tr w:rsidR="00A360DB" w:rsidRPr="00A360DB" w14:paraId="0F7EB76D"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522CEA5D"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2027E3E7"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111.455,00</w:t>
            </w:r>
          </w:p>
        </w:tc>
        <w:tc>
          <w:tcPr>
            <w:tcW w:w="1380" w:type="dxa"/>
            <w:tcBorders>
              <w:top w:val="nil"/>
              <w:left w:val="nil"/>
              <w:bottom w:val="nil"/>
              <w:right w:val="nil"/>
            </w:tcBorders>
            <w:shd w:val="clear" w:color="auto" w:fill="auto"/>
            <w:noWrap/>
            <w:vAlign w:val="bottom"/>
            <w:hideMark/>
          </w:tcPr>
          <w:p w14:paraId="355EE0E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107.707,21</w:t>
            </w:r>
          </w:p>
        </w:tc>
        <w:tc>
          <w:tcPr>
            <w:tcW w:w="1400" w:type="dxa"/>
            <w:tcBorders>
              <w:top w:val="nil"/>
              <w:left w:val="nil"/>
              <w:bottom w:val="nil"/>
              <w:right w:val="nil"/>
            </w:tcBorders>
            <w:shd w:val="clear" w:color="auto" w:fill="auto"/>
            <w:noWrap/>
            <w:vAlign w:val="bottom"/>
            <w:hideMark/>
          </w:tcPr>
          <w:p w14:paraId="13E69214"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96,64%</w:t>
            </w:r>
          </w:p>
        </w:tc>
      </w:tr>
      <w:tr w:rsidR="00A360DB" w:rsidRPr="00A360DB" w14:paraId="3B13AA8C"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B4F7FE2"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3. Vlastiti prihodi</w:t>
            </w:r>
          </w:p>
        </w:tc>
        <w:tc>
          <w:tcPr>
            <w:tcW w:w="1480" w:type="dxa"/>
            <w:tcBorders>
              <w:top w:val="nil"/>
              <w:left w:val="nil"/>
              <w:bottom w:val="nil"/>
              <w:right w:val="nil"/>
            </w:tcBorders>
            <w:shd w:val="clear" w:color="auto" w:fill="auto"/>
            <w:noWrap/>
            <w:vAlign w:val="bottom"/>
            <w:hideMark/>
          </w:tcPr>
          <w:p w14:paraId="03E9A5D2"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1.400,00</w:t>
            </w:r>
          </w:p>
        </w:tc>
        <w:tc>
          <w:tcPr>
            <w:tcW w:w="1380" w:type="dxa"/>
            <w:tcBorders>
              <w:top w:val="nil"/>
              <w:left w:val="nil"/>
              <w:bottom w:val="nil"/>
              <w:right w:val="nil"/>
            </w:tcBorders>
            <w:shd w:val="clear" w:color="auto" w:fill="auto"/>
            <w:noWrap/>
            <w:vAlign w:val="bottom"/>
            <w:hideMark/>
          </w:tcPr>
          <w:p w14:paraId="358B1CEA"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1.212,25</w:t>
            </w:r>
          </w:p>
        </w:tc>
        <w:tc>
          <w:tcPr>
            <w:tcW w:w="1400" w:type="dxa"/>
            <w:tcBorders>
              <w:top w:val="nil"/>
              <w:left w:val="nil"/>
              <w:bottom w:val="nil"/>
              <w:right w:val="nil"/>
            </w:tcBorders>
            <w:shd w:val="clear" w:color="auto" w:fill="auto"/>
            <w:noWrap/>
            <w:vAlign w:val="bottom"/>
            <w:hideMark/>
          </w:tcPr>
          <w:p w14:paraId="34E11C9E"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86,59%</w:t>
            </w:r>
          </w:p>
        </w:tc>
      </w:tr>
      <w:tr w:rsidR="00A360DB" w:rsidRPr="00A360DB" w14:paraId="769FC938"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C828BD5"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3.1. Vlastiti prihodi</w:t>
            </w:r>
          </w:p>
        </w:tc>
        <w:tc>
          <w:tcPr>
            <w:tcW w:w="1480" w:type="dxa"/>
            <w:tcBorders>
              <w:top w:val="nil"/>
              <w:left w:val="nil"/>
              <w:bottom w:val="nil"/>
              <w:right w:val="nil"/>
            </w:tcBorders>
            <w:shd w:val="clear" w:color="auto" w:fill="auto"/>
            <w:noWrap/>
            <w:vAlign w:val="bottom"/>
            <w:hideMark/>
          </w:tcPr>
          <w:p w14:paraId="373B5574"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1.400,00</w:t>
            </w:r>
          </w:p>
        </w:tc>
        <w:tc>
          <w:tcPr>
            <w:tcW w:w="1380" w:type="dxa"/>
            <w:tcBorders>
              <w:top w:val="nil"/>
              <w:left w:val="nil"/>
              <w:bottom w:val="nil"/>
              <w:right w:val="nil"/>
            </w:tcBorders>
            <w:shd w:val="clear" w:color="auto" w:fill="auto"/>
            <w:noWrap/>
            <w:vAlign w:val="bottom"/>
            <w:hideMark/>
          </w:tcPr>
          <w:p w14:paraId="7A4A0C58"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1.212,25</w:t>
            </w:r>
          </w:p>
        </w:tc>
        <w:tc>
          <w:tcPr>
            <w:tcW w:w="1400" w:type="dxa"/>
            <w:tcBorders>
              <w:top w:val="nil"/>
              <w:left w:val="nil"/>
              <w:bottom w:val="nil"/>
              <w:right w:val="nil"/>
            </w:tcBorders>
            <w:shd w:val="clear" w:color="auto" w:fill="auto"/>
            <w:noWrap/>
            <w:vAlign w:val="bottom"/>
            <w:hideMark/>
          </w:tcPr>
          <w:p w14:paraId="05C87792"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86,59%</w:t>
            </w:r>
          </w:p>
        </w:tc>
      </w:tr>
      <w:tr w:rsidR="00A360DB" w:rsidRPr="00A360DB" w14:paraId="4EBD185D"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AF7577C"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5. Pomoći</w:t>
            </w:r>
          </w:p>
        </w:tc>
        <w:tc>
          <w:tcPr>
            <w:tcW w:w="1480" w:type="dxa"/>
            <w:tcBorders>
              <w:top w:val="nil"/>
              <w:left w:val="nil"/>
              <w:bottom w:val="nil"/>
              <w:right w:val="nil"/>
            </w:tcBorders>
            <w:shd w:val="clear" w:color="auto" w:fill="auto"/>
            <w:noWrap/>
            <w:vAlign w:val="bottom"/>
            <w:hideMark/>
          </w:tcPr>
          <w:p w14:paraId="2DE430DA"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52.945,00</w:t>
            </w:r>
          </w:p>
        </w:tc>
        <w:tc>
          <w:tcPr>
            <w:tcW w:w="1380" w:type="dxa"/>
            <w:tcBorders>
              <w:top w:val="nil"/>
              <w:left w:val="nil"/>
              <w:bottom w:val="nil"/>
              <w:right w:val="nil"/>
            </w:tcBorders>
            <w:shd w:val="clear" w:color="auto" w:fill="auto"/>
            <w:noWrap/>
            <w:vAlign w:val="bottom"/>
            <w:hideMark/>
          </w:tcPr>
          <w:p w14:paraId="2632D7F7"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52.443,86</w:t>
            </w:r>
          </w:p>
        </w:tc>
        <w:tc>
          <w:tcPr>
            <w:tcW w:w="1400" w:type="dxa"/>
            <w:tcBorders>
              <w:top w:val="nil"/>
              <w:left w:val="nil"/>
              <w:bottom w:val="nil"/>
              <w:right w:val="nil"/>
            </w:tcBorders>
            <w:shd w:val="clear" w:color="auto" w:fill="auto"/>
            <w:noWrap/>
            <w:vAlign w:val="bottom"/>
            <w:hideMark/>
          </w:tcPr>
          <w:p w14:paraId="0793DE20"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99,05%</w:t>
            </w:r>
          </w:p>
        </w:tc>
      </w:tr>
      <w:tr w:rsidR="00A360DB" w:rsidRPr="00A360DB" w14:paraId="6779F7FA"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75C7E1A"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5.1. Županijski proračun</w:t>
            </w:r>
          </w:p>
        </w:tc>
        <w:tc>
          <w:tcPr>
            <w:tcW w:w="1480" w:type="dxa"/>
            <w:tcBorders>
              <w:top w:val="nil"/>
              <w:left w:val="nil"/>
              <w:bottom w:val="nil"/>
              <w:right w:val="nil"/>
            </w:tcBorders>
            <w:shd w:val="clear" w:color="auto" w:fill="auto"/>
            <w:noWrap/>
            <w:vAlign w:val="bottom"/>
            <w:hideMark/>
          </w:tcPr>
          <w:p w14:paraId="425E8EE0"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400,00</w:t>
            </w:r>
          </w:p>
        </w:tc>
        <w:tc>
          <w:tcPr>
            <w:tcW w:w="1380" w:type="dxa"/>
            <w:tcBorders>
              <w:top w:val="nil"/>
              <w:left w:val="nil"/>
              <w:bottom w:val="nil"/>
              <w:right w:val="nil"/>
            </w:tcBorders>
            <w:shd w:val="clear" w:color="auto" w:fill="auto"/>
            <w:noWrap/>
            <w:vAlign w:val="bottom"/>
            <w:hideMark/>
          </w:tcPr>
          <w:p w14:paraId="409C02A3"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400,00</w:t>
            </w:r>
          </w:p>
        </w:tc>
        <w:tc>
          <w:tcPr>
            <w:tcW w:w="1400" w:type="dxa"/>
            <w:tcBorders>
              <w:top w:val="nil"/>
              <w:left w:val="nil"/>
              <w:bottom w:val="nil"/>
              <w:right w:val="nil"/>
            </w:tcBorders>
            <w:shd w:val="clear" w:color="auto" w:fill="auto"/>
            <w:noWrap/>
            <w:vAlign w:val="bottom"/>
            <w:hideMark/>
          </w:tcPr>
          <w:p w14:paraId="3C1E0A32"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w:t>
            </w:r>
          </w:p>
        </w:tc>
      </w:tr>
      <w:tr w:rsidR="00A360DB" w:rsidRPr="00A360DB" w14:paraId="47C61575"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D2B2D87"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5.2. Državni proračun</w:t>
            </w:r>
          </w:p>
        </w:tc>
        <w:tc>
          <w:tcPr>
            <w:tcW w:w="1480" w:type="dxa"/>
            <w:tcBorders>
              <w:top w:val="nil"/>
              <w:left w:val="nil"/>
              <w:bottom w:val="nil"/>
              <w:right w:val="nil"/>
            </w:tcBorders>
            <w:shd w:val="clear" w:color="auto" w:fill="auto"/>
            <w:noWrap/>
            <w:vAlign w:val="bottom"/>
            <w:hideMark/>
          </w:tcPr>
          <w:p w14:paraId="0C7E699D"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23.540,00</w:t>
            </w:r>
          </w:p>
        </w:tc>
        <w:tc>
          <w:tcPr>
            <w:tcW w:w="1380" w:type="dxa"/>
            <w:tcBorders>
              <w:top w:val="nil"/>
              <w:left w:val="nil"/>
              <w:bottom w:val="nil"/>
              <w:right w:val="nil"/>
            </w:tcBorders>
            <w:shd w:val="clear" w:color="auto" w:fill="auto"/>
            <w:noWrap/>
            <w:vAlign w:val="bottom"/>
            <w:hideMark/>
          </w:tcPr>
          <w:p w14:paraId="68A6702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23.540,00</w:t>
            </w:r>
          </w:p>
        </w:tc>
        <w:tc>
          <w:tcPr>
            <w:tcW w:w="1400" w:type="dxa"/>
            <w:tcBorders>
              <w:top w:val="nil"/>
              <w:left w:val="nil"/>
              <w:bottom w:val="nil"/>
              <w:right w:val="nil"/>
            </w:tcBorders>
            <w:shd w:val="clear" w:color="auto" w:fill="auto"/>
            <w:noWrap/>
            <w:vAlign w:val="bottom"/>
            <w:hideMark/>
          </w:tcPr>
          <w:p w14:paraId="5429198D"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w:t>
            </w:r>
          </w:p>
        </w:tc>
      </w:tr>
      <w:tr w:rsidR="00A360DB" w:rsidRPr="00A360DB" w14:paraId="1B276515"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1531FE2D"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5.5. Općinski proračun</w:t>
            </w:r>
          </w:p>
        </w:tc>
        <w:tc>
          <w:tcPr>
            <w:tcW w:w="1480" w:type="dxa"/>
            <w:tcBorders>
              <w:top w:val="nil"/>
              <w:left w:val="nil"/>
              <w:bottom w:val="nil"/>
              <w:right w:val="nil"/>
            </w:tcBorders>
            <w:shd w:val="clear" w:color="auto" w:fill="auto"/>
            <w:noWrap/>
            <w:vAlign w:val="bottom"/>
            <w:hideMark/>
          </w:tcPr>
          <w:p w14:paraId="39F0C191"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29.005,00</w:t>
            </w:r>
          </w:p>
        </w:tc>
        <w:tc>
          <w:tcPr>
            <w:tcW w:w="1380" w:type="dxa"/>
            <w:tcBorders>
              <w:top w:val="nil"/>
              <w:left w:val="nil"/>
              <w:bottom w:val="nil"/>
              <w:right w:val="nil"/>
            </w:tcBorders>
            <w:shd w:val="clear" w:color="auto" w:fill="auto"/>
            <w:noWrap/>
            <w:vAlign w:val="bottom"/>
            <w:hideMark/>
          </w:tcPr>
          <w:p w14:paraId="643E9A83"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28.503,86</w:t>
            </w:r>
          </w:p>
        </w:tc>
        <w:tc>
          <w:tcPr>
            <w:tcW w:w="1400" w:type="dxa"/>
            <w:tcBorders>
              <w:top w:val="nil"/>
              <w:left w:val="nil"/>
              <w:bottom w:val="nil"/>
              <w:right w:val="nil"/>
            </w:tcBorders>
            <w:shd w:val="clear" w:color="auto" w:fill="auto"/>
            <w:noWrap/>
            <w:vAlign w:val="bottom"/>
            <w:hideMark/>
          </w:tcPr>
          <w:p w14:paraId="50BA6E54"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98,27%</w:t>
            </w:r>
          </w:p>
        </w:tc>
      </w:tr>
      <w:tr w:rsidR="00A360DB" w:rsidRPr="00A360DB" w14:paraId="4E1019D7"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515DA4EE"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6. Donacije</w:t>
            </w:r>
          </w:p>
        </w:tc>
        <w:tc>
          <w:tcPr>
            <w:tcW w:w="1480" w:type="dxa"/>
            <w:tcBorders>
              <w:top w:val="nil"/>
              <w:left w:val="nil"/>
              <w:bottom w:val="nil"/>
              <w:right w:val="nil"/>
            </w:tcBorders>
            <w:shd w:val="clear" w:color="auto" w:fill="auto"/>
            <w:noWrap/>
            <w:vAlign w:val="bottom"/>
            <w:hideMark/>
          </w:tcPr>
          <w:p w14:paraId="108D112F"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w:t>
            </w:r>
          </w:p>
        </w:tc>
        <w:tc>
          <w:tcPr>
            <w:tcW w:w="1380" w:type="dxa"/>
            <w:tcBorders>
              <w:top w:val="nil"/>
              <w:left w:val="nil"/>
              <w:bottom w:val="nil"/>
              <w:right w:val="nil"/>
            </w:tcBorders>
            <w:shd w:val="clear" w:color="auto" w:fill="auto"/>
            <w:noWrap/>
            <w:vAlign w:val="bottom"/>
            <w:hideMark/>
          </w:tcPr>
          <w:p w14:paraId="0ED8FFEF"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w:t>
            </w:r>
          </w:p>
        </w:tc>
        <w:tc>
          <w:tcPr>
            <w:tcW w:w="1400" w:type="dxa"/>
            <w:tcBorders>
              <w:top w:val="nil"/>
              <w:left w:val="nil"/>
              <w:bottom w:val="nil"/>
              <w:right w:val="nil"/>
            </w:tcBorders>
            <w:shd w:val="clear" w:color="auto" w:fill="auto"/>
            <w:noWrap/>
            <w:vAlign w:val="bottom"/>
            <w:hideMark/>
          </w:tcPr>
          <w:p w14:paraId="35DF2EB8"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w:t>
            </w:r>
          </w:p>
        </w:tc>
      </w:tr>
      <w:tr w:rsidR="00A360DB" w:rsidRPr="00A360DB" w14:paraId="1E93C986"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5ABC3481"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6.1. Donacije</w:t>
            </w:r>
          </w:p>
        </w:tc>
        <w:tc>
          <w:tcPr>
            <w:tcW w:w="1480" w:type="dxa"/>
            <w:tcBorders>
              <w:top w:val="nil"/>
              <w:left w:val="nil"/>
              <w:bottom w:val="nil"/>
              <w:right w:val="nil"/>
            </w:tcBorders>
            <w:shd w:val="clear" w:color="auto" w:fill="auto"/>
            <w:noWrap/>
            <w:vAlign w:val="bottom"/>
            <w:hideMark/>
          </w:tcPr>
          <w:p w14:paraId="01372C2F"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w:t>
            </w:r>
          </w:p>
        </w:tc>
        <w:tc>
          <w:tcPr>
            <w:tcW w:w="1380" w:type="dxa"/>
            <w:tcBorders>
              <w:top w:val="nil"/>
              <w:left w:val="nil"/>
              <w:bottom w:val="nil"/>
              <w:right w:val="nil"/>
            </w:tcBorders>
            <w:shd w:val="clear" w:color="auto" w:fill="auto"/>
            <w:noWrap/>
            <w:vAlign w:val="bottom"/>
            <w:hideMark/>
          </w:tcPr>
          <w:p w14:paraId="3CA6A918"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w:t>
            </w:r>
          </w:p>
        </w:tc>
        <w:tc>
          <w:tcPr>
            <w:tcW w:w="1400" w:type="dxa"/>
            <w:tcBorders>
              <w:top w:val="nil"/>
              <w:left w:val="nil"/>
              <w:bottom w:val="nil"/>
              <w:right w:val="nil"/>
            </w:tcBorders>
            <w:shd w:val="clear" w:color="auto" w:fill="auto"/>
            <w:noWrap/>
            <w:vAlign w:val="bottom"/>
            <w:hideMark/>
          </w:tcPr>
          <w:p w14:paraId="60B1C307"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w:t>
            </w:r>
          </w:p>
        </w:tc>
      </w:tr>
      <w:tr w:rsidR="00A360DB" w:rsidRPr="00A360DB" w14:paraId="112BBFD7" w14:textId="77777777" w:rsidTr="00A360DB">
        <w:trPr>
          <w:trHeight w:val="240"/>
        </w:trPr>
        <w:tc>
          <w:tcPr>
            <w:tcW w:w="1697" w:type="dxa"/>
            <w:tcBorders>
              <w:top w:val="nil"/>
              <w:left w:val="nil"/>
              <w:bottom w:val="nil"/>
              <w:right w:val="nil"/>
            </w:tcBorders>
            <w:shd w:val="clear" w:color="000000" w:fill="1D4BB3"/>
            <w:noWrap/>
            <w:vAlign w:val="bottom"/>
            <w:hideMark/>
          </w:tcPr>
          <w:p w14:paraId="26A6D553" w14:textId="77777777" w:rsidR="00A360DB" w:rsidRPr="00A360DB" w:rsidRDefault="00A360DB" w:rsidP="00A360DB">
            <w:pPr>
              <w:spacing w:after="0" w:line="240" w:lineRule="auto"/>
              <w:rPr>
                <w:rFonts w:ascii="Arial" w:hAnsi="Arial" w:cs="Arial"/>
                <w:b/>
                <w:bCs/>
                <w:color w:val="FFFFFF"/>
                <w:sz w:val="18"/>
                <w:szCs w:val="18"/>
                <w:lang w:eastAsia="hr-HR"/>
              </w:rPr>
            </w:pPr>
            <w:r w:rsidRPr="00A360DB">
              <w:rPr>
                <w:rFonts w:ascii="Arial" w:hAnsi="Arial" w:cs="Arial"/>
                <w:b/>
                <w:bCs/>
                <w:color w:val="FFFFFF"/>
                <w:sz w:val="18"/>
                <w:szCs w:val="18"/>
                <w:lang w:eastAsia="hr-HR"/>
              </w:rPr>
              <w:t>1006</w:t>
            </w:r>
          </w:p>
        </w:tc>
        <w:tc>
          <w:tcPr>
            <w:tcW w:w="8509" w:type="dxa"/>
            <w:tcBorders>
              <w:top w:val="nil"/>
              <w:left w:val="nil"/>
              <w:bottom w:val="nil"/>
              <w:right w:val="nil"/>
            </w:tcBorders>
            <w:shd w:val="clear" w:color="000000" w:fill="1D4BB3"/>
            <w:noWrap/>
            <w:vAlign w:val="bottom"/>
            <w:hideMark/>
          </w:tcPr>
          <w:p w14:paraId="69529B1B" w14:textId="77777777" w:rsidR="00A360DB" w:rsidRPr="00A360DB" w:rsidRDefault="00A360DB" w:rsidP="00A360DB">
            <w:pPr>
              <w:spacing w:after="0" w:line="240" w:lineRule="auto"/>
              <w:rPr>
                <w:rFonts w:ascii="Arial" w:hAnsi="Arial" w:cs="Arial"/>
                <w:b/>
                <w:bCs/>
                <w:color w:val="FFFFFF"/>
                <w:sz w:val="18"/>
                <w:szCs w:val="18"/>
                <w:lang w:eastAsia="hr-HR"/>
              </w:rPr>
            </w:pPr>
            <w:r w:rsidRPr="00A360DB">
              <w:rPr>
                <w:rFonts w:ascii="Arial" w:hAnsi="Arial" w:cs="Arial"/>
                <w:b/>
                <w:bCs/>
                <w:color w:val="FFFFFF"/>
                <w:sz w:val="18"/>
                <w:szCs w:val="18"/>
                <w:lang w:eastAsia="hr-HR"/>
              </w:rPr>
              <w:t>Program: Javne potrebe u kulturi</w:t>
            </w:r>
          </w:p>
        </w:tc>
        <w:tc>
          <w:tcPr>
            <w:tcW w:w="1480" w:type="dxa"/>
            <w:tcBorders>
              <w:top w:val="nil"/>
              <w:left w:val="nil"/>
              <w:bottom w:val="nil"/>
              <w:right w:val="nil"/>
            </w:tcBorders>
            <w:shd w:val="clear" w:color="000000" w:fill="1D4BB3"/>
            <w:noWrap/>
            <w:vAlign w:val="bottom"/>
            <w:hideMark/>
          </w:tcPr>
          <w:p w14:paraId="21153F5D"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165.900,00</w:t>
            </w:r>
          </w:p>
        </w:tc>
        <w:tc>
          <w:tcPr>
            <w:tcW w:w="1380" w:type="dxa"/>
            <w:tcBorders>
              <w:top w:val="nil"/>
              <w:left w:val="nil"/>
              <w:bottom w:val="nil"/>
              <w:right w:val="nil"/>
            </w:tcBorders>
            <w:shd w:val="clear" w:color="000000" w:fill="1D4BB3"/>
            <w:noWrap/>
            <w:vAlign w:val="bottom"/>
            <w:hideMark/>
          </w:tcPr>
          <w:p w14:paraId="472CA37C"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161.463,32</w:t>
            </w:r>
          </w:p>
        </w:tc>
        <w:tc>
          <w:tcPr>
            <w:tcW w:w="1400" w:type="dxa"/>
            <w:tcBorders>
              <w:top w:val="nil"/>
              <w:left w:val="nil"/>
              <w:bottom w:val="nil"/>
              <w:right w:val="nil"/>
            </w:tcBorders>
            <w:shd w:val="clear" w:color="000000" w:fill="1D4BB3"/>
            <w:noWrap/>
            <w:vAlign w:val="bottom"/>
            <w:hideMark/>
          </w:tcPr>
          <w:p w14:paraId="16889794"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97,33%</w:t>
            </w:r>
          </w:p>
        </w:tc>
      </w:tr>
      <w:tr w:rsidR="00A360DB" w:rsidRPr="00A360DB" w14:paraId="2A24D1DE" w14:textId="77777777" w:rsidTr="00A360DB">
        <w:trPr>
          <w:trHeight w:val="240"/>
        </w:trPr>
        <w:tc>
          <w:tcPr>
            <w:tcW w:w="1697" w:type="dxa"/>
            <w:tcBorders>
              <w:top w:val="nil"/>
              <w:left w:val="nil"/>
              <w:bottom w:val="nil"/>
              <w:right w:val="nil"/>
            </w:tcBorders>
            <w:shd w:val="clear" w:color="000000" w:fill="B4C6E7"/>
            <w:noWrap/>
            <w:vAlign w:val="bottom"/>
            <w:hideMark/>
          </w:tcPr>
          <w:p w14:paraId="566B61FD"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A100601</w:t>
            </w:r>
          </w:p>
        </w:tc>
        <w:tc>
          <w:tcPr>
            <w:tcW w:w="8509" w:type="dxa"/>
            <w:tcBorders>
              <w:top w:val="nil"/>
              <w:left w:val="nil"/>
              <w:bottom w:val="nil"/>
              <w:right w:val="nil"/>
            </w:tcBorders>
            <w:shd w:val="clear" w:color="000000" w:fill="B4C6E7"/>
            <w:noWrap/>
            <w:vAlign w:val="bottom"/>
            <w:hideMark/>
          </w:tcPr>
          <w:p w14:paraId="709AFA4D"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Redovna djelatnost Knjižnice i čitaonice "Đuro Sudeta"</w:t>
            </w:r>
          </w:p>
        </w:tc>
        <w:tc>
          <w:tcPr>
            <w:tcW w:w="1480" w:type="dxa"/>
            <w:tcBorders>
              <w:top w:val="nil"/>
              <w:left w:val="nil"/>
              <w:bottom w:val="nil"/>
              <w:right w:val="nil"/>
            </w:tcBorders>
            <w:shd w:val="clear" w:color="000000" w:fill="B4C6E7"/>
            <w:noWrap/>
            <w:vAlign w:val="bottom"/>
            <w:hideMark/>
          </w:tcPr>
          <w:p w14:paraId="0481628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131.860,00</w:t>
            </w:r>
          </w:p>
        </w:tc>
        <w:tc>
          <w:tcPr>
            <w:tcW w:w="1380" w:type="dxa"/>
            <w:tcBorders>
              <w:top w:val="nil"/>
              <w:left w:val="nil"/>
              <w:bottom w:val="nil"/>
              <w:right w:val="nil"/>
            </w:tcBorders>
            <w:shd w:val="clear" w:color="000000" w:fill="B4C6E7"/>
            <w:noWrap/>
            <w:vAlign w:val="bottom"/>
            <w:hideMark/>
          </w:tcPr>
          <w:p w14:paraId="72AE510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128.481,95</w:t>
            </w:r>
          </w:p>
        </w:tc>
        <w:tc>
          <w:tcPr>
            <w:tcW w:w="1400" w:type="dxa"/>
            <w:tcBorders>
              <w:top w:val="nil"/>
              <w:left w:val="nil"/>
              <w:bottom w:val="nil"/>
              <w:right w:val="nil"/>
            </w:tcBorders>
            <w:shd w:val="clear" w:color="000000" w:fill="B4C6E7"/>
            <w:noWrap/>
            <w:vAlign w:val="bottom"/>
            <w:hideMark/>
          </w:tcPr>
          <w:p w14:paraId="24674DE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97,44%</w:t>
            </w:r>
          </w:p>
        </w:tc>
      </w:tr>
      <w:tr w:rsidR="00A360DB" w:rsidRPr="00A360DB" w14:paraId="0F759E5C"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193EC8A"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02E6617F"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103.555,00</w:t>
            </w:r>
          </w:p>
        </w:tc>
        <w:tc>
          <w:tcPr>
            <w:tcW w:w="1380" w:type="dxa"/>
            <w:tcBorders>
              <w:top w:val="nil"/>
              <w:left w:val="nil"/>
              <w:bottom w:val="nil"/>
              <w:right w:val="nil"/>
            </w:tcBorders>
            <w:shd w:val="clear" w:color="auto" w:fill="auto"/>
            <w:noWrap/>
            <w:vAlign w:val="bottom"/>
            <w:hideMark/>
          </w:tcPr>
          <w:p w14:paraId="5B37062C"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100.840,29</w:t>
            </w:r>
          </w:p>
        </w:tc>
        <w:tc>
          <w:tcPr>
            <w:tcW w:w="1400" w:type="dxa"/>
            <w:tcBorders>
              <w:top w:val="nil"/>
              <w:left w:val="nil"/>
              <w:bottom w:val="nil"/>
              <w:right w:val="nil"/>
            </w:tcBorders>
            <w:shd w:val="clear" w:color="auto" w:fill="auto"/>
            <w:noWrap/>
            <w:vAlign w:val="bottom"/>
            <w:hideMark/>
          </w:tcPr>
          <w:p w14:paraId="68F4B94D"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97,38%</w:t>
            </w:r>
          </w:p>
        </w:tc>
      </w:tr>
      <w:tr w:rsidR="00A360DB" w:rsidRPr="00A360DB" w14:paraId="246284A5"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2E48EBAA"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3E85B419"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103.555,00</w:t>
            </w:r>
          </w:p>
        </w:tc>
        <w:tc>
          <w:tcPr>
            <w:tcW w:w="1380" w:type="dxa"/>
            <w:tcBorders>
              <w:top w:val="nil"/>
              <w:left w:val="nil"/>
              <w:bottom w:val="nil"/>
              <w:right w:val="nil"/>
            </w:tcBorders>
            <w:shd w:val="clear" w:color="auto" w:fill="auto"/>
            <w:noWrap/>
            <w:vAlign w:val="bottom"/>
            <w:hideMark/>
          </w:tcPr>
          <w:p w14:paraId="2A5AE6AB"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100.840,29</w:t>
            </w:r>
          </w:p>
        </w:tc>
        <w:tc>
          <w:tcPr>
            <w:tcW w:w="1400" w:type="dxa"/>
            <w:tcBorders>
              <w:top w:val="nil"/>
              <w:left w:val="nil"/>
              <w:bottom w:val="nil"/>
              <w:right w:val="nil"/>
            </w:tcBorders>
            <w:shd w:val="clear" w:color="auto" w:fill="auto"/>
            <w:noWrap/>
            <w:vAlign w:val="bottom"/>
            <w:hideMark/>
          </w:tcPr>
          <w:p w14:paraId="7C5001D0"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97,38%</w:t>
            </w:r>
          </w:p>
        </w:tc>
      </w:tr>
      <w:tr w:rsidR="00A360DB" w:rsidRPr="00A360DB" w14:paraId="1B88FB4D" w14:textId="77777777" w:rsidTr="00A360DB">
        <w:trPr>
          <w:trHeight w:val="240"/>
        </w:trPr>
        <w:tc>
          <w:tcPr>
            <w:tcW w:w="1697" w:type="dxa"/>
            <w:tcBorders>
              <w:top w:val="nil"/>
              <w:left w:val="nil"/>
              <w:bottom w:val="nil"/>
              <w:right w:val="nil"/>
            </w:tcBorders>
            <w:shd w:val="clear" w:color="auto" w:fill="auto"/>
            <w:noWrap/>
            <w:vAlign w:val="bottom"/>
            <w:hideMark/>
          </w:tcPr>
          <w:p w14:paraId="72877FFC"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31</w:t>
            </w:r>
          </w:p>
        </w:tc>
        <w:tc>
          <w:tcPr>
            <w:tcW w:w="8509" w:type="dxa"/>
            <w:tcBorders>
              <w:top w:val="nil"/>
              <w:left w:val="nil"/>
              <w:bottom w:val="nil"/>
              <w:right w:val="nil"/>
            </w:tcBorders>
            <w:shd w:val="clear" w:color="auto" w:fill="auto"/>
            <w:noWrap/>
            <w:vAlign w:val="bottom"/>
            <w:hideMark/>
          </w:tcPr>
          <w:p w14:paraId="5345E2C7"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zaposlene                                                                                </w:t>
            </w:r>
          </w:p>
        </w:tc>
        <w:tc>
          <w:tcPr>
            <w:tcW w:w="1480" w:type="dxa"/>
            <w:tcBorders>
              <w:top w:val="nil"/>
              <w:left w:val="nil"/>
              <w:bottom w:val="nil"/>
              <w:right w:val="nil"/>
            </w:tcBorders>
            <w:shd w:val="clear" w:color="auto" w:fill="auto"/>
            <w:noWrap/>
            <w:vAlign w:val="bottom"/>
            <w:hideMark/>
          </w:tcPr>
          <w:p w14:paraId="3B19CC6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83.800,00</w:t>
            </w:r>
          </w:p>
        </w:tc>
        <w:tc>
          <w:tcPr>
            <w:tcW w:w="1380" w:type="dxa"/>
            <w:tcBorders>
              <w:top w:val="nil"/>
              <w:left w:val="nil"/>
              <w:bottom w:val="nil"/>
              <w:right w:val="nil"/>
            </w:tcBorders>
            <w:shd w:val="clear" w:color="auto" w:fill="auto"/>
            <w:noWrap/>
            <w:vAlign w:val="bottom"/>
            <w:hideMark/>
          </w:tcPr>
          <w:p w14:paraId="67C44D2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83.137,77</w:t>
            </w:r>
          </w:p>
        </w:tc>
        <w:tc>
          <w:tcPr>
            <w:tcW w:w="1400" w:type="dxa"/>
            <w:tcBorders>
              <w:top w:val="nil"/>
              <w:left w:val="nil"/>
              <w:bottom w:val="nil"/>
              <w:right w:val="nil"/>
            </w:tcBorders>
            <w:shd w:val="clear" w:color="auto" w:fill="auto"/>
            <w:noWrap/>
            <w:vAlign w:val="bottom"/>
            <w:hideMark/>
          </w:tcPr>
          <w:p w14:paraId="70D0F66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99,21%</w:t>
            </w:r>
          </w:p>
        </w:tc>
      </w:tr>
      <w:tr w:rsidR="00A360DB" w:rsidRPr="00A360DB" w14:paraId="5105FB9E" w14:textId="77777777" w:rsidTr="00A360DB">
        <w:trPr>
          <w:trHeight w:val="240"/>
        </w:trPr>
        <w:tc>
          <w:tcPr>
            <w:tcW w:w="1697" w:type="dxa"/>
            <w:tcBorders>
              <w:top w:val="nil"/>
              <w:left w:val="nil"/>
              <w:bottom w:val="nil"/>
              <w:right w:val="nil"/>
            </w:tcBorders>
            <w:shd w:val="clear" w:color="auto" w:fill="auto"/>
            <w:noWrap/>
            <w:vAlign w:val="bottom"/>
            <w:hideMark/>
          </w:tcPr>
          <w:p w14:paraId="711D697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3111</w:t>
            </w:r>
          </w:p>
        </w:tc>
        <w:tc>
          <w:tcPr>
            <w:tcW w:w="8509" w:type="dxa"/>
            <w:tcBorders>
              <w:top w:val="nil"/>
              <w:left w:val="nil"/>
              <w:bottom w:val="nil"/>
              <w:right w:val="nil"/>
            </w:tcBorders>
            <w:shd w:val="clear" w:color="auto" w:fill="auto"/>
            <w:noWrap/>
            <w:vAlign w:val="bottom"/>
            <w:hideMark/>
          </w:tcPr>
          <w:p w14:paraId="10634EA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Plaće za redovan rad                                                                                </w:t>
            </w:r>
          </w:p>
        </w:tc>
        <w:tc>
          <w:tcPr>
            <w:tcW w:w="1480" w:type="dxa"/>
            <w:tcBorders>
              <w:top w:val="nil"/>
              <w:left w:val="nil"/>
              <w:bottom w:val="nil"/>
              <w:right w:val="nil"/>
            </w:tcBorders>
            <w:shd w:val="clear" w:color="auto" w:fill="auto"/>
            <w:noWrap/>
            <w:vAlign w:val="bottom"/>
            <w:hideMark/>
          </w:tcPr>
          <w:p w14:paraId="4CCC0EB1"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B5C697A"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64.102,87</w:t>
            </w:r>
          </w:p>
        </w:tc>
        <w:tc>
          <w:tcPr>
            <w:tcW w:w="1400" w:type="dxa"/>
            <w:tcBorders>
              <w:top w:val="nil"/>
              <w:left w:val="nil"/>
              <w:bottom w:val="nil"/>
              <w:right w:val="nil"/>
            </w:tcBorders>
            <w:shd w:val="clear" w:color="auto" w:fill="auto"/>
            <w:noWrap/>
            <w:vAlign w:val="bottom"/>
            <w:hideMark/>
          </w:tcPr>
          <w:p w14:paraId="33474A9B"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6A85DB7" w14:textId="77777777" w:rsidTr="00A360DB">
        <w:trPr>
          <w:trHeight w:val="240"/>
        </w:trPr>
        <w:tc>
          <w:tcPr>
            <w:tcW w:w="1697" w:type="dxa"/>
            <w:tcBorders>
              <w:top w:val="nil"/>
              <w:left w:val="nil"/>
              <w:bottom w:val="nil"/>
              <w:right w:val="nil"/>
            </w:tcBorders>
            <w:shd w:val="clear" w:color="auto" w:fill="auto"/>
            <w:noWrap/>
            <w:vAlign w:val="bottom"/>
            <w:hideMark/>
          </w:tcPr>
          <w:p w14:paraId="6D92B80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3121</w:t>
            </w:r>
          </w:p>
        </w:tc>
        <w:tc>
          <w:tcPr>
            <w:tcW w:w="8509" w:type="dxa"/>
            <w:tcBorders>
              <w:top w:val="nil"/>
              <w:left w:val="nil"/>
              <w:bottom w:val="nil"/>
              <w:right w:val="nil"/>
            </w:tcBorders>
            <w:shd w:val="clear" w:color="auto" w:fill="auto"/>
            <w:noWrap/>
            <w:vAlign w:val="bottom"/>
            <w:hideMark/>
          </w:tcPr>
          <w:p w14:paraId="30AB10B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Ostali rashodi za zaposlene                                                                         </w:t>
            </w:r>
          </w:p>
        </w:tc>
        <w:tc>
          <w:tcPr>
            <w:tcW w:w="1480" w:type="dxa"/>
            <w:tcBorders>
              <w:top w:val="nil"/>
              <w:left w:val="nil"/>
              <w:bottom w:val="nil"/>
              <w:right w:val="nil"/>
            </w:tcBorders>
            <w:shd w:val="clear" w:color="auto" w:fill="auto"/>
            <w:noWrap/>
            <w:vAlign w:val="bottom"/>
            <w:hideMark/>
          </w:tcPr>
          <w:p w14:paraId="2DAD994C"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7DEB765"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8.457,89</w:t>
            </w:r>
          </w:p>
        </w:tc>
        <w:tc>
          <w:tcPr>
            <w:tcW w:w="1400" w:type="dxa"/>
            <w:tcBorders>
              <w:top w:val="nil"/>
              <w:left w:val="nil"/>
              <w:bottom w:val="nil"/>
              <w:right w:val="nil"/>
            </w:tcBorders>
            <w:shd w:val="clear" w:color="auto" w:fill="auto"/>
            <w:noWrap/>
            <w:vAlign w:val="bottom"/>
            <w:hideMark/>
          </w:tcPr>
          <w:p w14:paraId="362EA623"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D1A2A18" w14:textId="77777777" w:rsidTr="00A360DB">
        <w:trPr>
          <w:trHeight w:val="240"/>
        </w:trPr>
        <w:tc>
          <w:tcPr>
            <w:tcW w:w="1697" w:type="dxa"/>
            <w:tcBorders>
              <w:top w:val="nil"/>
              <w:left w:val="nil"/>
              <w:bottom w:val="nil"/>
              <w:right w:val="nil"/>
            </w:tcBorders>
            <w:shd w:val="clear" w:color="auto" w:fill="auto"/>
            <w:noWrap/>
            <w:vAlign w:val="bottom"/>
            <w:hideMark/>
          </w:tcPr>
          <w:p w14:paraId="741FF68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3132</w:t>
            </w:r>
          </w:p>
        </w:tc>
        <w:tc>
          <w:tcPr>
            <w:tcW w:w="8509" w:type="dxa"/>
            <w:tcBorders>
              <w:top w:val="nil"/>
              <w:left w:val="nil"/>
              <w:bottom w:val="nil"/>
              <w:right w:val="nil"/>
            </w:tcBorders>
            <w:shd w:val="clear" w:color="auto" w:fill="auto"/>
            <w:noWrap/>
            <w:vAlign w:val="bottom"/>
            <w:hideMark/>
          </w:tcPr>
          <w:p w14:paraId="09411945"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Doprinosi za obvezno zdravstveno osiguranje                                                         </w:t>
            </w:r>
          </w:p>
        </w:tc>
        <w:tc>
          <w:tcPr>
            <w:tcW w:w="1480" w:type="dxa"/>
            <w:tcBorders>
              <w:top w:val="nil"/>
              <w:left w:val="nil"/>
              <w:bottom w:val="nil"/>
              <w:right w:val="nil"/>
            </w:tcBorders>
            <w:shd w:val="clear" w:color="auto" w:fill="auto"/>
            <w:noWrap/>
            <w:vAlign w:val="bottom"/>
            <w:hideMark/>
          </w:tcPr>
          <w:p w14:paraId="21733486"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5BB2C4F5"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10.577,01</w:t>
            </w:r>
          </w:p>
        </w:tc>
        <w:tc>
          <w:tcPr>
            <w:tcW w:w="1400" w:type="dxa"/>
            <w:tcBorders>
              <w:top w:val="nil"/>
              <w:left w:val="nil"/>
              <w:bottom w:val="nil"/>
              <w:right w:val="nil"/>
            </w:tcBorders>
            <w:shd w:val="clear" w:color="auto" w:fill="auto"/>
            <w:noWrap/>
            <w:vAlign w:val="bottom"/>
            <w:hideMark/>
          </w:tcPr>
          <w:p w14:paraId="743AC165"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CAFE8AA" w14:textId="77777777" w:rsidTr="00A360DB">
        <w:trPr>
          <w:trHeight w:val="240"/>
        </w:trPr>
        <w:tc>
          <w:tcPr>
            <w:tcW w:w="1697" w:type="dxa"/>
            <w:tcBorders>
              <w:top w:val="nil"/>
              <w:left w:val="nil"/>
              <w:bottom w:val="nil"/>
              <w:right w:val="nil"/>
            </w:tcBorders>
            <w:shd w:val="clear" w:color="auto" w:fill="auto"/>
            <w:noWrap/>
            <w:vAlign w:val="bottom"/>
            <w:hideMark/>
          </w:tcPr>
          <w:p w14:paraId="3FCD8B7F"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4B6D6A7E"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3F9B381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19.755,00</w:t>
            </w:r>
          </w:p>
        </w:tc>
        <w:tc>
          <w:tcPr>
            <w:tcW w:w="1380" w:type="dxa"/>
            <w:tcBorders>
              <w:top w:val="nil"/>
              <w:left w:val="nil"/>
              <w:bottom w:val="nil"/>
              <w:right w:val="nil"/>
            </w:tcBorders>
            <w:shd w:val="clear" w:color="auto" w:fill="auto"/>
            <w:noWrap/>
            <w:vAlign w:val="bottom"/>
            <w:hideMark/>
          </w:tcPr>
          <w:p w14:paraId="40C2CB4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17.702,52</w:t>
            </w:r>
          </w:p>
        </w:tc>
        <w:tc>
          <w:tcPr>
            <w:tcW w:w="1400" w:type="dxa"/>
            <w:tcBorders>
              <w:top w:val="nil"/>
              <w:left w:val="nil"/>
              <w:bottom w:val="nil"/>
              <w:right w:val="nil"/>
            </w:tcBorders>
            <w:shd w:val="clear" w:color="auto" w:fill="auto"/>
            <w:noWrap/>
            <w:vAlign w:val="bottom"/>
            <w:hideMark/>
          </w:tcPr>
          <w:p w14:paraId="0BFD3A3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89,61%</w:t>
            </w:r>
          </w:p>
        </w:tc>
      </w:tr>
      <w:tr w:rsidR="00A360DB" w:rsidRPr="00A360DB" w14:paraId="5C768727" w14:textId="77777777" w:rsidTr="00A360DB">
        <w:trPr>
          <w:trHeight w:val="240"/>
        </w:trPr>
        <w:tc>
          <w:tcPr>
            <w:tcW w:w="1697" w:type="dxa"/>
            <w:tcBorders>
              <w:top w:val="nil"/>
              <w:left w:val="nil"/>
              <w:bottom w:val="nil"/>
              <w:right w:val="nil"/>
            </w:tcBorders>
            <w:shd w:val="clear" w:color="auto" w:fill="auto"/>
            <w:noWrap/>
            <w:vAlign w:val="bottom"/>
            <w:hideMark/>
          </w:tcPr>
          <w:p w14:paraId="537D859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3211</w:t>
            </w:r>
          </w:p>
        </w:tc>
        <w:tc>
          <w:tcPr>
            <w:tcW w:w="8509" w:type="dxa"/>
            <w:tcBorders>
              <w:top w:val="nil"/>
              <w:left w:val="nil"/>
              <w:bottom w:val="nil"/>
              <w:right w:val="nil"/>
            </w:tcBorders>
            <w:shd w:val="clear" w:color="auto" w:fill="auto"/>
            <w:noWrap/>
            <w:vAlign w:val="bottom"/>
            <w:hideMark/>
          </w:tcPr>
          <w:p w14:paraId="1179F447"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Službena putovanja                                                                                  </w:t>
            </w:r>
          </w:p>
        </w:tc>
        <w:tc>
          <w:tcPr>
            <w:tcW w:w="1480" w:type="dxa"/>
            <w:tcBorders>
              <w:top w:val="nil"/>
              <w:left w:val="nil"/>
              <w:bottom w:val="nil"/>
              <w:right w:val="nil"/>
            </w:tcBorders>
            <w:shd w:val="clear" w:color="auto" w:fill="auto"/>
            <w:noWrap/>
            <w:vAlign w:val="bottom"/>
            <w:hideMark/>
          </w:tcPr>
          <w:p w14:paraId="0E9D1127"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AA7B1FA"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90,00</w:t>
            </w:r>
          </w:p>
        </w:tc>
        <w:tc>
          <w:tcPr>
            <w:tcW w:w="1400" w:type="dxa"/>
            <w:tcBorders>
              <w:top w:val="nil"/>
              <w:left w:val="nil"/>
              <w:bottom w:val="nil"/>
              <w:right w:val="nil"/>
            </w:tcBorders>
            <w:shd w:val="clear" w:color="auto" w:fill="auto"/>
            <w:noWrap/>
            <w:vAlign w:val="bottom"/>
            <w:hideMark/>
          </w:tcPr>
          <w:p w14:paraId="4E638F1F"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9623831" w14:textId="77777777" w:rsidTr="00A360DB">
        <w:trPr>
          <w:trHeight w:val="240"/>
        </w:trPr>
        <w:tc>
          <w:tcPr>
            <w:tcW w:w="1697" w:type="dxa"/>
            <w:tcBorders>
              <w:top w:val="nil"/>
              <w:left w:val="nil"/>
              <w:bottom w:val="nil"/>
              <w:right w:val="nil"/>
            </w:tcBorders>
            <w:shd w:val="clear" w:color="auto" w:fill="auto"/>
            <w:noWrap/>
            <w:vAlign w:val="bottom"/>
            <w:hideMark/>
          </w:tcPr>
          <w:p w14:paraId="4A2BDCC7"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3212</w:t>
            </w:r>
          </w:p>
        </w:tc>
        <w:tc>
          <w:tcPr>
            <w:tcW w:w="8509" w:type="dxa"/>
            <w:tcBorders>
              <w:top w:val="nil"/>
              <w:left w:val="nil"/>
              <w:bottom w:val="nil"/>
              <w:right w:val="nil"/>
            </w:tcBorders>
            <w:shd w:val="clear" w:color="auto" w:fill="auto"/>
            <w:noWrap/>
            <w:vAlign w:val="bottom"/>
            <w:hideMark/>
          </w:tcPr>
          <w:p w14:paraId="0FC1909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Naknade za prijevoz, za rad na terenu i odvojeni život                                              </w:t>
            </w:r>
          </w:p>
        </w:tc>
        <w:tc>
          <w:tcPr>
            <w:tcW w:w="1480" w:type="dxa"/>
            <w:tcBorders>
              <w:top w:val="nil"/>
              <w:left w:val="nil"/>
              <w:bottom w:val="nil"/>
              <w:right w:val="nil"/>
            </w:tcBorders>
            <w:shd w:val="clear" w:color="auto" w:fill="auto"/>
            <w:noWrap/>
            <w:vAlign w:val="bottom"/>
            <w:hideMark/>
          </w:tcPr>
          <w:p w14:paraId="0FD3CF17"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BBC529D"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632,25</w:t>
            </w:r>
          </w:p>
        </w:tc>
        <w:tc>
          <w:tcPr>
            <w:tcW w:w="1400" w:type="dxa"/>
            <w:tcBorders>
              <w:top w:val="nil"/>
              <w:left w:val="nil"/>
              <w:bottom w:val="nil"/>
              <w:right w:val="nil"/>
            </w:tcBorders>
            <w:shd w:val="clear" w:color="auto" w:fill="auto"/>
            <w:noWrap/>
            <w:vAlign w:val="bottom"/>
            <w:hideMark/>
          </w:tcPr>
          <w:p w14:paraId="12BA1FCA"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160D929" w14:textId="77777777" w:rsidTr="00A360DB">
        <w:trPr>
          <w:trHeight w:val="240"/>
        </w:trPr>
        <w:tc>
          <w:tcPr>
            <w:tcW w:w="1697" w:type="dxa"/>
            <w:tcBorders>
              <w:top w:val="nil"/>
              <w:left w:val="nil"/>
              <w:bottom w:val="nil"/>
              <w:right w:val="nil"/>
            </w:tcBorders>
            <w:shd w:val="clear" w:color="auto" w:fill="auto"/>
            <w:noWrap/>
            <w:vAlign w:val="bottom"/>
            <w:hideMark/>
          </w:tcPr>
          <w:p w14:paraId="18125EE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3214</w:t>
            </w:r>
          </w:p>
        </w:tc>
        <w:tc>
          <w:tcPr>
            <w:tcW w:w="8509" w:type="dxa"/>
            <w:tcBorders>
              <w:top w:val="nil"/>
              <w:left w:val="nil"/>
              <w:bottom w:val="nil"/>
              <w:right w:val="nil"/>
            </w:tcBorders>
            <w:shd w:val="clear" w:color="auto" w:fill="auto"/>
            <w:noWrap/>
            <w:vAlign w:val="bottom"/>
            <w:hideMark/>
          </w:tcPr>
          <w:p w14:paraId="13D0B3F8"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Ostale naknade troškova zaposlenima                                                                 </w:t>
            </w:r>
          </w:p>
        </w:tc>
        <w:tc>
          <w:tcPr>
            <w:tcW w:w="1480" w:type="dxa"/>
            <w:tcBorders>
              <w:top w:val="nil"/>
              <w:left w:val="nil"/>
              <w:bottom w:val="nil"/>
              <w:right w:val="nil"/>
            </w:tcBorders>
            <w:shd w:val="clear" w:color="auto" w:fill="auto"/>
            <w:noWrap/>
            <w:vAlign w:val="bottom"/>
            <w:hideMark/>
          </w:tcPr>
          <w:p w14:paraId="4894ECF6"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1453783B"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476,00</w:t>
            </w:r>
          </w:p>
        </w:tc>
        <w:tc>
          <w:tcPr>
            <w:tcW w:w="1400" w:type="dxa"/>
            <w:tcBorders>
              <w:top w:val="nil"/>
              <w:left w:val="nil"/>
              <w:bottom w:val="nil"/>
              <w:right w:val="nil"/>
            </w:tcBorders>
            <w:shd w:val="clear" w:color="auto" w:fill="auto"/>
            <w:noWrap/>
            <w:vAlign w:val="bottom"/>
            <w:hideMark/>
          </w:tcPr>
          <w:p w14:paraId="61382142"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A315165" w14:textId="77777777" w:rsidTr="00A360DB">
        <w:trPr>
          <w:trHeight w:val="240"/>
        </w:trPr>
        <w:tc>
          <w:tcPr>
            <w:tcW w:w="1697" w:type="dxa"/>
            <w:tcBorders>
              <w:top w:val="nil"/>
              <w:left w:val="nil"/>
              <w:bottom w:val="nil"/>
              <w:right w:val="nil"/>
            </w:tcBorders>
            <w:shd w:val="clear" w:color="auto" w:fill="auto"/>
            <w:noWrap/>
            <w:vAlign w:val="bottom"/>
            <w:hideMark/>
          </w:tcPr>
          <w:p w14:paraId="3B77E13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3221</w:t>
            </w:r>
          </w:p>
        </w:tc>
        <w:tc>
          <w:tcPr>
            <w:tcW w:w="8509" w:type="dxa"/>
            <w:tcBorders>
              <w:top w:val="nil"/>
              <w:left w:val="nil"/>
              <w:bottom w:val="nil"/>
              <w:right w:val="nil"/>
            </w:tcBorders>
            <w:shd w:val="clear" w:color="auto" w:fill="auto"/>
            <w:noWrap/>
            <w:vAlign w:val="bottom"/>
            <w:hideMark/>
          </w:tcPr>
          <w:p w14:paraId="01080DB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Uredski materijal i ostali materijalni rashodi                                                      </w:t>
            </w:r>
          </w:p>
        </w:tc>
        <w:tc>
          <w:tcPr>
            <w:tcW w:w="1480" w:type="dxa"/>
            <w:tcBorders>
              <w:top w:val="nil"/>
              <w:left w:val="nil"/>
              <w:bottom w:val="nil"/>
              <w:right w:val="nil"/>
            </w:tcBorders>
            <w:shd w:val="clear" w:color="auto" w:fill="auto"/>
            <w:noWrap/>
            <w:vAlign w:val="bottom"/>
            <w:hideMark/>
          </w:tcPr>
          <w:p w14:paraId="2D020BCE"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28BA2C5"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2.895,09</w:t>
            </w:r>
          </w:p>
        </w:tc>
        <w:tc>
          <w:tcPr>
            <w:tcW w:w="1400" w:type="dxa"/>
            <w:tcBorders>
              <w:top w:val="nil"/>
              <w:left w:val="nil"/>
              <w:bottom w:val="nil"/>
              <w:right w:val="nil"/>
            </w:tcBorders>
            <w:shd w:val="clear" w:color="auto" w:fill="auto"/>
            <w:noWrap/>
            <w:vAlign w:val="bottom"/>
            <w:hideMark/>
          </w:tcPr>
          <w:p w14:paraId="01F0491B"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5E1CA4B0" w14:textId="77777777" w:rsidTr="00A360DB">
        <w:trPr>
          <w:trHeight w:val="240"/>
        </w:trPr>
        <w:tc>
          <w:tcPr>
            <w:tcW w:w="1697" w:type="dxa"/>
            <w:tcBorders>
              <w:top w:val="nil"/>
              <w:left w:val="nil"/>
              <w:bottom w:val="nil"/>
              <w:right w:val="nil"/>
            </w:tcBorders>
            <w:shd w:val="clear" w:color="auto" w:fill="auto"/>
            <w:noWrap/>
            <w:vAlign w:val="bottom"/>
            <w:hideMark/>
          </w:tcPr>
          <w:p w14:paraId="510C7F9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3223</w:t>
            </w:r>
          </w:p>
        </w:tc>
        <w:tc>
          <w:tcPr>
            <w:tcW w:w="8509" w:type="dxa"/>
            <w:tcBorders>
              <w:top w:val="nil"/>
              <w:left w:val="nil"/>
              <w:bottom w:val="nil"/>
              <w:right w:val="nil"/>
            </w:tcBorders>
            <w:shd w:val="clear" w:color="auto" w:fill="auto"/>
            <w:noWrap/>
            <w:vAlign w:val="bottom"/>
            <w:hideMark/>
          </w:tcPr>
          <w:p w14:paraId="6786890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Energija                                                                                            </w:t>
            </w:r>
          </w:p>
        </w:tc>
        <w:tc>
          <w:tcPr>
            <w:tcW w:w="1480" w:type="dxa"/>
            <w:tcBorders>
              <w:top w:val="nil"/>
              <w:left w:val="nil"/>
              <w:bottom w:val="nil"/>
              <w:right w:val="nil"/>
            </w:tcBorders>
            <w:shd w:val="clear" w:color="auto" w:fill="auto"/>
            <w:noWrap/>
            <w:vAlign w:val="bottom"/>
            <w:hideMark/>
          </w:tcPr>
          <w:p w14:paraId="2F44E4CF"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10AA34F"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3.668,53</w:t>
            </w:r>
          </w:p>
        </w:tc>
        <w:tc>
          <w:tcPr>
            <w:tcW w:w="1400" w:type="dxa"/>
            <w:tcBorders>
              <w:top w:val="nil"/>
              <w:left w:val="nil"/>
              <w:bottom w:val="nil"/>
              <w:right w:val="nil"/>
            </w:tcBorders>
            <w:shd w:val="clear" w:color="auto" w:fill="auto"/>
            <w:noWrap/>
            <w:vAlign w:val="bottom"/>
            <w:hideMark/>
          </w:tcPr>
          <w:p w14:paraId="1027B377"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B1BFEB2" w14:textId="77777777" w:rsidTr="00A360DB">
        <w:trPr>
          <w:trHeight w:val="240"/>
        </w:trPr>
        <w:tc>
          <w:tcPr>
            <w:tcW w:w="1697" w:type="dxa"/>
            <w:tcBorders>
              <w:top w:val="nil"/>
              <w:left w:val="nil"/>
              <w:bottom w:val="nil"/>
              <w:right w:val="nil"/>
            </w:tcBorders>
            <w:shd w:val="clear" w:color="auto" w:fill="auto"/>
            <w:noWrap/>
            <w:vAlign w:val="bottom"/>
            <w:hideMark/>
          </w:tcPr>
          <w:p w14:paraId="0BE6CBB8"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3225</w:t>
            </w:r>
          </w:p>
        </w:tc>
        <w:tc>
          <w:tcPr>
            <w:tcW w:w="8509" w:type="dxa"/>
            <w:tcBorders>
              <w:top w:val="nil"/>
              <w:left w:val="nil"/>
              <w:bottom w:val="nil"/>
              <w:right w:val="nil"/>
            </w:tcBorders>
            <w:shd w:val="clear" w:color="auto" w:fill="auto"/>
            <w:noWrap/>
            <w:vAlign w:val="bottom"/>
            <w:hideMark/>
          </w:tcPr>
          <w:p w14:paraId="3022107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Sitni inventar i auto gume</w:t>
            </w:r>
          </w:p>
        </w:tc>
        <w:tc>
          <w:tcPr>
            <w:tcW w:w="1480" w:type="dxa"/>
            <w:tcBorders>
              <w:top w:val="nil"/>
              <w:left w:val="nil"/>
              <w:bottom w:val="nil"/>
              <w:right w:val="nil"/>
            </w:tcBorders>
            <w:shd w:val="clear" w:color="auto" w:fill="auto"/>
            <w:noWrap/>
            <w:vAlign w:val="bottom"/>
            <w:hideMark/>
          </w:tcPr>
          <w:p w14:paraId="25DF3931"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FA1E5F6"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802,15</w:t>
            </w:r>
          </w:p>
        </w:tc>
        <w:tc>
          <w:tcPr>
            <w:tcW w:w="1400" w:type="dxa"/>
            <w:tcBorders>
              <w:top w:val="nil"/>
              <w:left w:val="nil"/>
              <w:bottom w:val="nil"/>
              <w:right w:val="nil"/>
            </w:tcBorders>
            <w:shd w:val="clear" w:color="auto" w:fill="auto"/>
            <w:noWrap/>
            <w:vAlign w:val="bottom"/>
            <w:hideMark/>
          </w:tcPr>
          <w:p w14:paraId="0100146B"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859BC90" w14:textId="77777777" w:rsidTr="00A360DB">
        <w:trPr>
          <w:trHeight w:val="240"/>
        </w:trPr>
        <w:tc>
          <w:tcPr>
            <w:tcW w:w="1697" w:type="dxa"/>
            <w:tcBorders>
              <w:top w:val="nil"/>
              <w:left w:val="nil"/>
              <w:bottom w:val="nil"/>
              <w:right w:val="nil"/>
            </w:tcBorders>
            <w:shd w:val="clear" w:color="auto" w:fill="auto"/>
            <w:noWrap/>
            <w:vAlign w:val="bottom"/>
            <w:hideMark/>
          </w:tcPr>
          <w:p w14:paraId="7C06EAD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3231</w:t>
            </w:r>
          </w:p>
        </w:tc>
        <w:tc>
          <w:tcPr>
            <w:tcW w:w="8509" w:type="dxa"/>
            <w:tcBorders>
              <w:top w:val="nil"/>
              <w:left w:val="nil"/>
              <w:bottom w:val="nil"/>
              <w:right w:val="nil"/>
            </w:tcBorders>
            <w:shd w:val="clear" w:color="auto" w:fill="auto"/>
            <w:noWrap/>
            <w:vAlign w:val="bottom"/>
            <w:hideMark/>
          </w:tcPr>
          <w:p w14:paraId="306C79B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Usluge telefona, pošte i prijevoza                                                                  </w:t>
            </w:r>
          </w:p>
        </w:tc>
        <w:tc>
          <w:tcPr>
            <w:tcW w:w="1480" w:type="dxa"/>
            <w:tcBorders>
              <w:top w:val="nil"/>
              <w:left w:val="nil"/>
              <w:bottom w:val="nil"/>
              <w:right w:val="nil"/>
            </w:tcBorders>
            <w:shd w:val="clear" w:color="auto" w:fill="auto"/>
            <w:noWrap/>
            <w:vAlign w:val="bottom"/>
            <w:hideMark/>
          </w:tcPr>
          <w:p w14:paraId="4C858D09"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A807746"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1.311,39</w:t>
            </w:r>
          </w:p>
        </w:tc>
        <w:tc>
          <w:tcPr>
            <w:tcW w:w="1400" w:type="dxa"/>
            <w:tcBorders>
              <w:top w:val="nil"/>
              <w:left w:val="nil"/>
              <w:bottom w:val="nil"/>
              <w:right w:val="nil"/>
            </w:tcBorders>
            <w:shd w:val="clear" w:color="auto" w:fill="auto"/>
            <w:noWrap/>
            <w:vAlign w:val="bottom"/>
            <w:hideMark/>
          </w:tcPr>
          <w:p w14:paraId="6D6C8C92"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53445EF6" w14:textId="77777777" w:rsidTr="00A360DB">
        <w:trPr>
          <w:trHeight w:val="240"/>
        </w:trPr>
        <w:tc>
          <w:tcPr>
            <w:tcW w:w="1697" w:type="dxa"/>
            <w:tcBorders>
              <w:top w:val="nil"/>
              <w:left w:val="nil"/>
              <w:bottom w:val="nil"/>
              <w:right w:val="nil"/>
            </w:tcBorders>
            <w:shd w:val="clear" w:color="auto" w:fill="auto"/>
            <w:noWrap/>
            <w:vAlign w:val="bottom"/>
            <w:hideMark/>
          </w:tcPr>
          <w:p w14:paraId="25A3E68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3233</w:t>
            </w:r>
          </w:p>
        </w:tc>
        <w:tc>
          <w:tcPr>
            <w:tcW w:w="8509" w:type="dxa"/>
            <w:tcBorders>
              <w:top w:val="nil"/>
              <w:left w:val="nil"/>
              <w:bottom w:val="nil"/>
              <w:right w:val="nil"/>
            </w:tcBorders>
            <w:shd w:val="clear" w:color="auto" w:fill="auto"/>
            <w:noWrap/>
            <w:vAlign w:val="bottom"/>
            <w:hideMark/>
          </w:tcPr>
          <w:p w14:paraId="1BCEEF5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Usluge promidžbe i informiranja                                                                     </w:t>
            </w:r>
          </w:p>
        </w:tc>
        <w:tc>
          <w:tcPr>
            <w:tcW w:w="1480" w:type="dxa"/>
            <w:tcBorders>
              <w:top w:val="nil"/>
              <w:left w:val="nil"/>
              <w:bottom w:val="nil"/>
              <w:right w:val="nil"/>
            </w:tcBorders>
            <w:shd w:val="clear" w:color="auto" w:fill="auto"/>
            <w:noWrap/>
            <w:vAlign w:val="bottom"/>
            <w:hideMark/>
          </w:tcPr>
          <w:p w14:paraId="6CC13FA3"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CB3384A"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211,94</w:t>
            </w:r>
          </w:p>
        </w:tc>
        <w:tc>
          <w:tcPr>
            <w:tcW w:w="1400" w:type="dxa"/>
            <w:tcBorders>
              <w:top w:val="nil"/>
              <w:left w:val="nil"/>
              <w:bottom w:val="nil"/>
              <w:right w:val="nil"/>
            </w:tcBorders>
            <w:shd w:val="clear" w:color="auto" w:fill="auto"/>
            <w:noWrap/>
            <w:vAlign w:val="bottom"/>
            <w:hideMark/>
          </w:tcPr>
          <w:p w14:paraId="12835444"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F298B02" w14:textId="77777777" w:rsidTr="00A360DB">
        <w:trPr>
          <w:trHeight w:val="240"/>
        </w:trPr>
        <w:tc>
          <w:tcPr>
            <w:tcW w:w="1697" w:type="dxa"/>
            <w:tcBorders>
              <w:top w:val="nil"/>
              <w:left w:val="nil"/>
              <w:bottom w:val="nil"/>
              <w:right w:val="nil"/>
            </w:tcBorders>
            <w:shd w:val="clear" w:color="auto" w:fill="auto"/>
            <w:noWrap/>
            <w:vAlign w:val="bottom"/>
            <w:hideMark/>
          </w:tcPr>
          <w:p w14:paraId="00FBEE4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3236</w:t>
            </w:r>
          </w:p>
        </w:tc>
        <w:tc>
          <w:tcPr>
            <w:tcW w:w="8509" w:type="dxa"/>
            <w:tcBorders>
              <w:top w:val="nil"/>
              <w:left w:val="nil"/>
              <w:bottom w:val="nil"/>
              <w:right w:val="nil"/>
            </w:tcBorders>
            <w:shd w:val="clear" w:color="auto" w:fill="auto"/>
            <w:noWrap/>
            <w:vAlign w:val="bottom"/>
            <w:hideMark/>
          </w:tcPr>
          <w:p w14:paraId="5BF16E7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Zdravstvene i veterinarske usluge                                                                   </w:t>
            </w:r>
          </w:p>
        </w:tc>
        <w:tc>
          <w:tcPr>
            <w:tcW w:w="1480" w:type="dxa"/>
            <w:tcBorders>
              <w:top w:val="nil"/>
              <w:left w:val="nil"/>
              <w:bottom w:val="nil"/>
              <w:right w:val="nil"/>
            </w:tcBorders>
            <w:shd w:val="clear" w:color="auto" w:fill="auto"/>
            <w:noWrap/>
            <w:vAlign w:val="bottom"/>
            <w:hideMark/>
          </w:tcPr>
          <w:p w14:paraId="5826AB8F"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5E906F54"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855,00</w:t>
            </w:r>
          </w:p>
        </w:tc>
        <w:tc>
          <w:tcPr>
            <w:tcW w:w="1400" w:type="dxa"/>
            <w:tcBorders>
              <w:top w:val="nil"/>
              <w:left w:val="nil"/>
              <w:bottom w:val="nil"/>
              <w:right w:val="nil"/>
            </w:tcBorders>
            <w:shd w:val="clear" w:color="auto" w:fill="auto"/>
            <w:noWrap/>
            <w:vAlign w:val="bottom"/>
            <w:hideMark/>
          </w:tcPr>
          <w:p w14:paraId="660BD64F"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566FDD27" w14:textId="77777777" w:rsidTr="00A360DB">
        <w:trPr>
          <w:trHeight w:val="240"/>
        </w:trPr>
        <w:tc>
          <w:tcPr>
            <w:tcW w:w="1697" w:type="dxa"/>
            <w:tcBorders>
              <w:top w:val="nil"/>
              <w:left w:val="nil"/>
              <w:bottom w:val="nil"/>
              <w:right w:val="nil"/>
            </w:tcBorders>
            <w:shd w:val="clear" w:color="auto" w:fill="auto"/>
            <w:noWrap/>
            <w:vAlign w:val="bottom"/>
            <w:hideMark/>
          </w:tcPr>
          <w:p w14:paraId="27C6C4A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lastRenderedPageBreak/>
              <w:t>3237</w:t>
            </w:r>
          </w:p>
        </w:tc>
        <w:tc>
          <w:tcPr>
            <w:tcW w:w="8509" w:type="dxa"/>
            <w:tcBorders>
              <w:top w:val="nil"/>
              <w:left w:val="nil"/>
              <w:bottom w:val="nil"/>
              <w:right w:val="nil"/>
            </w:tcBorders>
            <w:shd w:val="clear" w:color="auto" w:fill="auto"/>
            <w:noWrap/>
            <w:vAlign w:val="bottom"/>
            <w:hideMark/>
          </w:tcPr>
          <w:p w14:paraId="0F7367D5"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Intelektualne i osobne usluge                                                                       </w:t>
            </w:r>
          </w:p>
        </w:tc>
        <w:tc>
          <w:tcPr>
            <w:tcW w:w="1480" w:type="dxa"/>
            <w:tcBorders>
              <w:top w:val="nil"/>
              <w:left w:val="nil"/>
              <w:bottom w:val="nil"/>
              <w:right w:val="nil"/>
            </w:tcBorders>
            <w:shd w:val="clear" w:color="auto" w:fill="auto"/>
            <w:noWrap/>
            <w:vAlign w:val="bottom"/>
            <w:hideMark/>
          </w:tcPr>
          <w:p w14:paraId="59630116"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62D975D"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2.234,74</w:t>
            </w:r>
          </w:p>
        </w:tc>
        <w:tc>
          <w:tcPr>
            <w:tcW w:w="1400" w:type="dxa"/>
            <w:tcBorders>
              <w:top w:val="nil"/>
              <w:left w:val="nil"/>
              <w:bottom w:val="nil"/>
              <w:right w:val="nil"/>
            </w:tcBorders>
            <w:shd w:val="clear" w:color="auto" w:fill="auto"/>
            <w:noWrap/>
            <w:vAlign w:val="bottom"/>
            <w:hideMark/>
          </w:tcPr>
          <w:p w14:paraId="5E14939D"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5188B923" w14:textId="77777777" w:rsidTr="00A360DB">
        <w:trPr>
          <w:trHeight w:val="240"/>
        </w:trPr>
        <w:tc>
          <w:tcPr>
            <w:tcW w:w="1697" w:type="dxa"/>
            <w:tcBorders>
              <w:top w:val="nil"/>
              <w:left w:val="nil"/>
              <w:bottom w:val="nil"/>
              <w:right w:val="nil"/>
            </w:tcBorders>
            <w:shd w:val="clear" w:color="auto" w:fill="auto"/>
            <w:noWrap/>
            <w:vAlign w:val="bottom"/>
            <w:hideMark/>
          </w:tcPr>
          <w:p w14:paraId="1C84095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3238</w:t>
            </w:r>
          </w:p>
        </w:tc>
        <w:tc>
          <w:tcPr>
            <w:tcW w:w="8509" w:type="dxa"/>
            <w:tcBorders>
              <w:top w:val="nil"/>
              <w:left w:val="nil"/>
              <w:bottom w:val="nil"/>
              <w:right w:val="nil"/>
            </w:tcBorders>
            <w:shd w:val="clear" w:color="auto" w:fill="auto"/>
            <w:noWrap/>
            <w:vAlign w:val="bottom"/>
            <w:hideMark/>
          </w:tcPr>
          <w:p w14:paraId="106654B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Računalne usluge                                                                                    </w:t>
            </w:r>
          </w:p>
        </w:tc>
        <w:tc>
          <w:tcPr>
            <w:tcW w:w="1480" w:type="dxa"/>
            <w:tcBorders>
              <w:top w:val="nil"/>
              <w:left w:val="nil"/>
              <w:bottom w:val="nil"/>
              <w:right w:val="nil"/>
            </w:tcBorders>
            <w:shd w:val="clear" w:color="auto" w:fill="auto"/>
            <w:noWrap/>
            <w:vAlign w:val="bottom"/>
            <w:hideMark/>
          </w:tcPr>
          <w:p w14:paraId="40CC1C90"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170895D"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668,72</w:t>
            </w:r>
          </w:p>
        </w:tc>
        <w:tc>
          <w:tcPr>
            <w:tcW w:w="1400" w:type="dxa"/>
            <w:tcBorders>
              <w:top w:val="nil"/>
              <w:left w:val="nil"/>
              <w:bottom w:val="nil"/>
              <w:right w:val="nil"/>
            </w:tcBorders>
            <w:shd w:val="clear" w:color="auto" w:fill="auto"/>
            <w:noWrap/>
            <w:vAlign w:val="bottom"/>
            <w:hideMark/>
          </w:tcPr>
          <w:p w14:paraId="0552B8D0"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D5EEC6B" w14:textId="77777777" w:rsidTr="00A360DB">
        <w:trPr>
          <w:trHeight w:val="240"/>
        </w:trPr>
        <w:tc>
          <w:tcPr>
            <w:tcW w:w="1697" w:type="dxa"/>
            <w:tcBorders>
              <w:top w:val="nil"/>
              <w:left w:val="nil"/>
              <w:bottom w:val="nil"/>
              <w:right w:val="nil"/>
            </w:tcBorders>
            <w:shd w:val="clear" w:color="auto" w:fill="auto"/>
            <w:noWrap/>
            <w:vAlign w:val="bottom"/>
            <w:hideMark/>
          </w:tcPr>
          <w:p w14:paraId="053348B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3241</w:t>
            </w:r>
          </w:p>
        </w:tc>
        <w:tc>
          <w:tcPr>
            <w:tcW w:w="8509" w:type="dxa"/>
            <w:tcBorders>
              <w:top w:val="nil"/>
              <w:left w:val="nil"/>
              <w:bottom w:val="nil"/>
              <w:right w:val="nil"/>
            </w:tcBorders>
            <w:shd w:val="clear" w:color="auto" w:fill="auto"/>
            <w:noWrap/>
            <w:vAlign w:val="bottom"/>
            <w:hideMark/>
          </w:tcPr>
          <w:p w14:paraId="1B783AA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Naknade troškova osobama izvan radnog odnosa                                                        </w:t>
            </w:r>
          </w:p>
        </w:tc>
        <w:tc>
          <w:tcPr>
            <w:tcW w:w="1480" w:type="dxa"/>
            <w:tcBorders>
              <w:top w:val="nil"/>
              <w:left w:val="nil"/>
              <w:bottom w:val="nil"/>
              <w:right w:val="nil"/>
            </w:tcBorders>
            <w:shd w:val="clear" w:color="auto" w:fill="auto"/>
            <w:noWrap/>
            <w:vAlign w:val="bottom"/>
            <w:hideMark/>
          </w:tcPr>
          <w:p w14:paraId="6E6F6478"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26E5232"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164,00</w:t>
            </w:r>
          </w:p>
        </w:tc>
        <w:tc>
          <w:tcPr>
            <w:tcW w:w="1400" w:type="dxa"/>
            <w:tcBorders>
              <w:top w:val="nil"/>
              <w:left w:val="nil"/>
              <w:bottom w:val="nil"/>
              <w:right w:val="nil"/>
            </w:tcBorders>
            <w:shd w:val="clear" w:color="auto" w:fill="auto"/>
            <w:noWrap/>
            <w:vAlign w:val="bottom"/>
            <w:hideMark/>
          </w:tcPr>
          <w:p w14:paraId="1D5412B8"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15D39FF" w14:textId="77777777" w:rsidTr="00A360DB">
        <w:trPr>
          <w:trHeight w:val="240"/>
        </w:trPr>
        <w:tc>
          <w:tcPr>
            <w:tcW w:w="1697" w:type="dxa"/>
            <w:tcBorders>
              <w:top w:val="nil"/>
              <w:left w:val="nil"/>
              <w:bottom w:val="nil"/>
              <w:right w:val="nil"/>
            </w:tcBorders>
            <w:shd w:val="clear" w:color="auto" w:fill="auto"/>
            <w:noWrap/>
            <w:vAlign w:val="bottom"/>
            <w:hideMark/>
          </w:tcPr>
          <w:p w14:paraId="7DA09AF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3292</w:t>
            </w:r>
          </w:p>
        </w:tc>
        <w:tc>
          <w:tcPr>
            <w:tcW w:w="8509" w:type="dxa"/>
            <w:tcBorders>
              <w:top w:val="nil"/>
              <w:left w:val="nil"/>
              <w:bottom w:val="nil"/>
              <w:right w:val="nil"/>
            </w:tcBorders>
            <w:shd w:val="clear" w:color="auto" w:fill="auto"/>
            <w:noWrap/>
            <w:vAlign w:val="bottom"/>
            <w:hideMark/>
          </w:tcPr>
          <w:p w14:paraId="1565C44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Premije osiguranja                                                                                  </w:t>
            </w:r>
          </w:p>
        </w:tc>
        <w:tc>
          <w:tcPr>
            <w:tcW w:w="1480" w:type="dxa"/>
            <w:tcBorders>
              <w:top w:val="nil"/>
              <w:left w:val="nil"/>
              <w:bottom w:val="nil"/>
              <w:right w:val="nil"/>
            </w:tcBorders>
            <w:shd w:val="clear" w:color="auto" w:fill="auto"/>
            <w:noWrap/>
            <w:vAlign w:val="bottom"/>
            <w:hideMark/>
          </w:tcPr>
          <w:p w14:paraId="7C26D93C"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968DB03"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499,78</w:t>
            </w:r>
          </w:p>
        </w:tc>
        <w:tc>
          <w:tcPr>
            <w:tcW w:w="1400" w:type="dxa"/>
            <w:tcBorders>
              <w:top w:val="nil"/>
              <w:left w:val="nil"/>
              <w:bottom w:val="nil"/>
              <w:right w:val="nil"/>
            </w:tcBorders>
            <w:shd w:val="clear" w:color="auto" w:fill="auto"/>
            <w:noWrap/>
            <w:vAlign w:val="bottom"/>
            <w:hideMark/>
          </w:tcPr>
          <w:p w14:paraId="46A70AFC"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560A7DAA" w14:textId="77777777" w:rsidTr="00A360DB">
        <w:trPr>
          <w:trHeight w:val="240"/>
        </w:trPr>
        <w:tc>
          <w:tcPr>
            <w:tcW w:w="1697" w:type="dxa"/>
            <w:tcBorders>
              <w:top w:val="nil"/>
              <w:left w:val="nil"/>
              <w:bottom w:val="nil"/>
              <w:right w:val="nil"/>
            </w:tcBorders>
            <w:shd w:val="clear" w:color="auto" w:fill="auto"/>
            <w:noWrap/>
            <w:vAlign w:val="bottom"/>
            <w:hideMark/>
          </w:tcPr>
          <w:p w14:paraId="408693F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3293</w:t>
            </w:r>
          </w:p>
        </w:tc>
        <w:tc>
          <w:tcPr>
            <w:tcW w:w="8509" w:type="dxa"/>
            <w:tcBorders>
              <w:top w:val="nil"/>
              <w:left w:val="nil"/>
              <w:bottom w:val="nil"/>
              <w:right w:val="nil"/>
            </w:tcBorders>
            <w:shd w:val="clear" w:color="auto" w:fill="auto"/>
            <w:noWrap/>
            <w:vAlign w:val="bottom"/>
            <w:hideMark/>
          </w:tcPr>
          <w:p w14:paraId="05E6A07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Reprezentacija                                                                                      </w:t>
            </w:r>
          </w:p>
        </w:tc>
        <w:tc>
          <w:tcPr>
            <w:tcW w:w="1480" w:type="dxa"/>
            <w:tcBorders>
              <w:top w:val="nil"/>
              <w:left w:val="nil"/>
              <w:bottom w:val="nil"/>
              <w:right w:val="nil"/>
            </w:tcBorders>
            <w:shd w:val="clear" w:color="auto" w:fill="auto"/>
            <w:noWrap/>
            <w:vAlign w:val="bottom"/>
            <w:hideMark/>
          </w:tcPr>
          <w:p w14:paraId="7BA741EE"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5A9950F4"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2.176,83</w:t>
            </w:r>
          </w:p>
        </w:tc>
        <w:tc>
          <w:tcPr>
            <w:tcW w:w="1400" w:type="dxa"/>
            <w:tcBorders>
              <w:top w:val="nil"/>
              <w:left w:val="nil"/>
              <w:bottom w:val="nil"/>
              <w:right w:val="nil"/>
            </w:tcBorders>
            <w:shd w:val="clear" w:color="auto" w:fill="auto"/>
            <w:noWrap/>
            <w:vAlign w:val="bottom"/>
            <w:hideMark/>
          </w:tcPr>
          <w:p w14:paraId="46C38678"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55114231" w14:textId="77777777" w:rsidTr="00A360DB">
        <w:trPr>
          <w:trHeight w:val="240"/>
        </w:trPr>
        <w:tc>
          <w:tcPr>
            <w:tcW w:w="1697" w:type="dxa"/>
            <w:tcBorders>
              <w:top w:val="nil"/>
              <w:left w:val="nil"/>
              <w:bottom w:val="nil"/>
              <w:right w:val="nil"/>
            </w:tcBorders>
            <w:shd w:val="clear" w:color="auto" w:fill="auto"/>
            <w:noWrap/>
            <w:vAlign w:val="bottom"/>
            <w:hideMark/>
          </w:tcPr>
          <w:p w14:paraId="6B83B4F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3294</w:t>
            </w:r>
          </w:p>
        </w:tc>
        <w:tc>
          <w:tcPr>
            <w:tcW w:w="8509" w:type="dxa"/>
            <w:tcBorders>
              <w:top w:val="nil"/>
              <w:left w:val="nil"/>
              <w:bottom w:val="nil"/>
              <w:right w:val="nil"/>
            </w:tcBorders>
            <w:shd w:val="clear" w:color="auto" w:fill="auto"/>
            <w:noWrap/>
            <w:vAlign w:val="bottom"/>
            <w:hideMark/>
          </w:tcPr>
          <w:p w14:paraId="36C1D87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Članarine</w:t>
            </w:r>
          </w:p>
        </w:tc>
        <w:tc>
          <w:tcPr>
            <w:tcW w:w="1480" w:type="dxa"/>
            <w:tcBorders>
              <w:top w:val="nil"/>
              <w:left w:val="nil"/>
              <w:bottom w:val="nil"/>
              <w:right w:val="nil"/>
            </w:tcBorders>
            <w:shd w:val="clear" w:color="auto" w:fill="auto"/>
            <w:noWrap/>
            <w:vAlign w:val="bottom"/>
            <w:hideMark/>
          </w:tcPr>
          <w:p w14:paraId="45996528"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28CA7DE8"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149,07</w:t>
            </w:r>
          </w:p>
        </w:tc>
        <w:tc>
          <w:tcPr>
            <w:tcW w:w="1400" w:type="dxa"/>
            <w:tcBorders>
              <w:top w:val="nil"/>
              <w:left w:val="nil"/>
              <w:bottom w:val="nil"/>
              <w:right w:val="nil"/>
            </w:tcBorders>
            <w:shd w:val="clear" w:color="auto" w:fill="auto"/>
            <w:noWrap/>
            <w:vAlign w:val="bottom"/>
            <w:hideMark/>
          </w:tcPr>
          <w:p w14:paraId="7B4D06F8"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2CD4FA1B" w14:textId="77777777" w:rsidTr="00A360DB">
        <w:trPr>
          <w:trHeight w:val="240"/>
        </w:trPr>
        <w:tc>
          <w:tcPr>
            <w:tcW w:w="1697" w:type="dxa"/>
            <w:tcBorders>
              <w:top w:val="nil"/>
              <w:left w:val="nil"/>
              <w:bottom w:val="nil"/>
              <w:right w:val="nil"/>
            </w:tcBorders>
            <w:shd w:val="clear" w:color="auto" w:fill="auto"/>
            <w:noWrap/>
            <w:vAlign w:val="bottom"/>
            <w:hideMark/>
          </w:tcPr>
          <w:p w14:paraId="1225336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3299</w:t>
            </w:r>
          </w:p>
        </w:tc>
        <w:tc>
          <w:tcPr>
            <w:tcW w:w="8509" w:type="dxa"/>
            <w:tcBorders>
              <w:top w:val="nil"/>
              <w:left w:val="nil"/>
              <w:bottom w:val="nil"/>
              <w:right w:val="nil"/>
            </w:tcBorders>
            <w:shd w:val="clear" w:color="auto" w:fill="auto"/>
            <w:noWrap/>
            <w:vAlign w:val="bottom"/>
            <w:hideMark/>
          </w:tcPr>
          <w:p w14:paraId="3832F6CD"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Ostali nespomenuti rashodi poslovanja                                                               </w:t>
            </w:r>
          </w:p>
        </w:tc>
        <w:tc>
          <w:tcPr>
            <w:tcW w:w="1480" w:type="dxa"/>
            <w:tcBorders>
              <w:top w:val="nil"/>
              <w:left w:val="nil"/>
              <w:bottom w:val="nil"/>
              <w:right w:val="nil"/>
            </w:tcBorders>
            <w:shd w:val="clear" w:color="auto" w:fill="auto"/>
            <w:noWrap/>
            <w:vAlign w:val="bottom"/>
            <w:hideMark/>
          </w:tcPr>
          <w:p w14:paraId="1632E945"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A2BCAE4"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867,03</w:t>
            </w:r>
          </w:p>
        </w:tc>
        <w:tc>
          <w:tcPr>
            <w:tcW w:w="1400" w:type="dxa"/>
            <w:tcBorders>
              <w:top w:val="nil"/>
              <w:left w:val="nil"/>
              <w:bottom w:val="nil"/>
              <w:right w:val="nil"/>
            </w:tcBorders>
            <w:shd w:val="clear" w:color="auto" w:fill="auto"/>
            <w:noWrap/>
            <w:vAlign w:val="bottom"/>
            <w:hideMark/>
          </w:tcPr>
          <w:p w14:paraId="3D1369F7"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2A42D1F5"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18B9B54"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3. Vlastiti prihodi</w:t>
            </w:r>
          </w:p>
        </w:tc>
        <w:tc>
          <w:tcPr>
            <w:tcW w:w="1480" w:type="dxa"/>
            <w:tcBorders>
              <w:top w:val="nil"/>
              <w:left w:val="nil"/>
              <w:bottom w:val="nil"/>
              <w:right w:val="nil"/>
            </w:tcBorders>
            <w:shd w:val="clear" w:color="auto" w:fill="auto"/>
            <w:noWrap/>
            <w:vAlign w:val="bottom"/>
            <w:hideMark/>
          </w:tcPr>
          <w:p w14:paraId="63D29DDC"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650,00</w:t>
            </w:r>
          </w:p>
        </w:tc>
        <w:tc>
          <w:tcPr>
            <w:tcW w:w="1380" w:type="dxa"/>
            <w:tcBorders>
              <w:top w:val="nil"/>
              <w:left w:val="nil"/>
              <w:bottom w:val="nil"/>
              <w:right w:val="nil"/>
            </w:tcBorders>
            <w:shd w:val="clear" w:color="auto" w:fill="auto"/>
            <w:noWrap/>
            <w:vAlign w:val="bottom"/>
            <w:hideMark/>
          </w:tcPr>
          <w:p w14:paraId="21FEF18B"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462,25</w:t>
            </w:r>
          </w:p>
        </w:tc>
        <w:tc>
          <w:tcPr>
            <w:tcW w:w="1400" w:type="dxa"/>
            <w:tcBorders>
              <w:top w:val="nil"/>
              <w:left w:val="nil"/>
              <w:bottom w:val="nil"/>
              <w:right w:val="nil"/>
            </w:tcBorders>
            <w:shd w:val="clear" w:color="auto" w:fill="auto"/>
            <w:noWrap/>
            <w:vAlign w:val="bottom"/>
            <w:hideMark/>
          </w:tcPr>
          <w:p w14:paraId="4C8520A9"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71,12%</w:t>
            </w:r>
          </w:p>
        </w:tc>
      </w:tr>
      <w:tr w:rsidR="00A360DB" w:rsidRPr="00A360DB" w14:paraId="17DE7CA9"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07D6052"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3.1. Vlastiti prihodi</w:t>
            </w:r>
          </w:p>
        </w:tc>
        <w:tc>
          <w:tcPr>
            <w:tcW w:w="1480" w:type="dxa"/>
            <w:tcBorders>
              <w:top w:val="nil"/>
              <w:left w:val="nil"/>
              <w:bottom w:val="nil"/>
              <w:right w:val="nil"/>
            </w:tcBorders>
            <w:shd w:val="clear" w:color="auto" w:fill="auto"/>
            <w:noWrap/>
            <w:vAlign w:val="bottom"/>
            <w:hideMark/>
          </w:tcPr>
          <w:p w14:paraId="44E50C18"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650,00</w:t>
            </w:r>
          </w:p>
        </w:tc>
        <w:tc>
          <w:tcPr>
            <w:tcW w:w="1380" w:type="dxa"/>
            <w:tcBorders>
              <w:top w:val="nil"/>
              <w:left w:val="nil"/>
              <w:bottom w:val="nil"/>
              <w:right w:val="nil"/>
            </w:tcBorders>
            <w:shd w:val="clear" w:color="auto" w:fill="auto"/>
            <w:noWrap/>
            <w:vAlign w:val="bottom"/>
            <w:hideMark/>
          </w:tcPr>
          <w:p w14:paraId="220DDA8C"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462,25</w:t>
            </w:r>
          </w:p>
        </w:tc>
        <w:tc>
          <w:tcPr>
            <w:tcW w:w="1400" w:type="dxa"/>
            <w:tcBorders>
              <w:top w:val="nil"/>
              <w:left w:val="nil"/>
              <w:bottom w:val="nil"/>
              <w:right w:val="nil"/>
            </w:tcBorders>
            <w:shd w:val="clear" w:color="auto" w:fill="auto"/>
            <w:noWrap/>
            <w:vAlign w:val="bottom"/>
            <w:hideMark/>
          </w:tcPr>
          <w:p w14:paraId="088600EF"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71,12%</w:t>
            </w:r>
          </w:p>
        </w:tc>
      </w:tr>
      <w:tr w:rsidR="00A360DB" w:rsidRPr="00A360DB" w14:paraId="59CBD3E1" w14:textId="77777777" w:rsidTr="00A360DB">
        <w:trPr>
          <w:trHeight w:val="240"/>
        </w:trPr>
        <w:tc>
          <w:tcPr>
            <w:tcW w:w="1697" w:type="dxa"/>
            <w:tcBorders>
              <w:top w:val="nil"/>
              <w:left w:val="nil"/>
              <w:bottom w:val="nil"/>
              <w:right w:val="nil"/>
            </w:tcBorders>
            <w:shd w:val="clear" w:color="auto" w:fill="auto"/>
            <w:noWrap/>
            <w:vAlign w:val="bottom"/>
            <w:hideMark/>
          </w:tcPr>
          <w:p w14:paraId="4D611CD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219C157C"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7BF1046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550,00</w:t>
            </w:r>
          </w:p>
        </w:tc>
        <w:tc>
          <w:tcPr>
            <w:tcW w:w="1380" w:type="dxa"/>
            <w:tcBorders>
              <w:top w:val="nil"/>
              <w:left w:val="nil"/>
              <w:bottom w:val="nil"/>
              <w:right w:val="nil"/>
            </w:tcBorders>
            <w:shd w:val="clear" w:color="auto" w:fill="auto"/>
            <w:noWrap/>
            <w:vAlign w:val="bottom"/>
            <w:hideMark/>
          </w:tcPr>
          <w:p w14:paraId="68437CE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462,25</w:t>
            </w:r>
          </w:p>
        </w:tc>
        <w:tc>
          <w:tcPr>
            <w:tcW w:w="1400" w:type="dxa"/>
            <w:tcBorders>
              <w:top w:val="nil"/>
              <w:left w:val="nil"/>
              <w:bottom w:val="nil"/>
              <w:right w:val="nil"/>
            </w:tcBorders>
            <w:shd w:val="clear" w:color="auto" w:fill="auto"/>
            <w:noWrap/>
            <w:vAlign w:val="bottom"/>
            <w:hideMark/>
          </w:tcPr>
          <w:p w14:paraId="001C53E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84,05%</w:t>
            </w:r>
          </w:p>
        </w:tc>
      </w:tr>
      <w:tr w:rsidR="00A360DB" w:rsidRPr="00A360DB" w14:paraId="542F7DF4" w14:textId="77777777" w:rsidTr="00A360DB">
        <w:trPr>
          <w:trHeight w:val="240"/>
        </w:trPr>
        <w:tc>
          <w:tcPr>
            <w:tcW w:w="1697" w:type="dxa"/>
            <w:tcBorders>
              <w:top w:val="nil"/>
              <w:left w:val="nil"/>
              <w:bottom w:val="nil"/>
              <w:right w:val="nil"/>
            </w:tcBorders>
            <w:shd w:val="clear" w:color="auto" w:fill="auto"/>
            <w:noWrap/>
            <w:vAlign w:val="bottom"/>
            <w:hideMark/>
          </w:tcPr>
          <w:p w14:paraId="7B8C4E7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3234</w:t>
            </w:r>
          </w:p>
        </w:tc>
        <w:tc>
          <w:tcPr>
            <w:tcW w:w="8509" w:type="dxa"/>
            <w:tcBorders>
              <w:top w:val="nil"/>
              <w:left w:val="nil"/>
              <w:bottom w:val="nil"/>
              <w:right w:val="nil"/>
            </w:tcBorders>
            <w:shd w:val="clear" w:color="auto" w:fill="auto"/>
            <w:noWrap/>
            <w:vAlign w:val="bottom"/>
            <w:hideMark/>
          </w:tcPr>
          <w:p w14:paraId="50AAC00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Komunalne usluge                                                                                    </w:t>
            </w:r>
          </w:p>
        </w:tc>
        <w:tc>
          <w:tcPr>
            <w:tcW w:w="1480" w:type="dxa"/>
            <w:tcBorders>
              <w:top w:val="nil"/>
              <w:left w:val="nil"/>
              <w:bottom w:val="nil"/>
              <w:right w:val="nil"/>
            </w:tcBorders>
            <w:shd w:val="clear" w:color="auto" w:fill="auto"/>
            <w:noWrap/>
            <w:vAlign w:val="bottom"/>
            <w:hideMark/>
          </w:tcPr>
          <w:p w14:paraId="4196EC78"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55FA9C72"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462,25</w:t>
            </w:r>
          </w:p>
        </w:tc>
        <w:tc>
          <w:tcPr>
            <w:tcW w:w="1400" w:type="dxa"/>
            <w:tcBorders>
              <w:top w:val="nil"/>
              <w:left w:val="nil"/>
              <w:bottom w:val="nil"/>
              <w:right w:val="nil"/>
            </w:tcBorders>
            <w:shd w:val="clear" w:color="auto" w:fill="auto"/>
            <w:noWrap/>
            <w:vAlign w:val="bottom"/>
            <w:hideMark/>
          </w:tcPr>
          <w:p w14:paraId="0A50ADFD"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944D783" w14:textId="77777777" w:rsidTr="00A360DB">
        <w:trPr>
          <w:trHeight w:val="240"/>
        </w:trPr>
        <w:tc>
          <w:tcPr>
            <w:tcW w:w="1697" w:type="dxa"/>
            <w:tcBorders>
              <w:top w:val="nil"/>
              <w:left w:val="nil"/>
              <w:bottom w:val="nil"/>
              <w:right w:val="nil"/>
            </w:tcBorders>
            <w:shd w:val="clear" w:color="auto" w:fill="auto"/>
            <w:noWrap/>
            <w:vAlign w:val="bottom"/>
            <w:hideMark/>
          </w:tcPr>
          <w:p w14:paraId="3CFFD893"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34</w:t>
            </w:r>
          </w:p>
        </w:tc>
        <w:tc>
          <w:tcPr>
            <w:tcW w:w="8509" w:type="dxa"/>
            <w:tcBorders>
              <w:top w:val="nil"/>
              <w:left w:val="nil"/>
              <w:bottom w:val="nil"/>
              <w:right w:val="nil"/>
            </w:tcBorders>
            <w:shd w:val="clear" w:color="auto" w:fill="auto"/>
            <w:noWrap/>
            <w:vAlign w:val="bottom"/>
            <w:hideMark/>
          </w:tcPr>
          <w:p w14:paraId="3E245E90"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Financijski rashodi                                                                                 </w:t>
            </w:r>
          </w:p>
        </w:tc>
        <w:tc>
          <w:tcPr>
            <w:tcW w:w="1480" w:type="dxa"/>
            <w:tcBorders>
              <w:top w:val="nil"/>
              <w:left w:val="nil"/>
              <w:bottom w:val="nil"/>
              <w:right w:val="nil"/>
            </w:tcBorders>
            <w:shd w:val="clear" w:color="auto" w:fill="auto"/>
            <w:noWrap/>
            <w:vAlign w:val="bottom"/>
            <w:hideMark/>
          </w:tcPr>
          <w:p w14:paraId="144C880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c>
          <w:tcPr>
            <w:tcW w:w="1380" w:type="dxa"/>
            <w:tcBorders>
              <w:top w:val="nil"/>
              <w:left w:val="nil"/>
              <w:bottom w:val="nil"/>
              <w:right w:val="nil"/>
            </w:tcBorders>
            <w:shd w:val="clear" w:color="auto" w:fill="auto"/>
            <w:noWrap/>
            <w:vAlign w:val="bottom"/>
            <w:hideMark/>
          </w:tcPr>
          <w:p w14:paraId="570AC2C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c>
          <w:tcPr>
            <w:tcW w:w="1400" w:type="dxa"/>
            <w:tcBorders>
              <w:top w:val="nil"/>
              <w:left w:val="nil"/>
              <w:bottom w:val="nil"/>
              <w:right w:val="nil"/>
            </w:tcBorders>
            <w:shd w:val="clear" w:color="auto" w:fill="auto"/>
            <w:noWrap/>
            <w:vAlign w:val="bottom"/>
            <w:hideMark/>
          </w:tcPr>
          <w:p w14:paraId="52DFA83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r>
      <w:tr w:rsidR="00A360DB" w:rsidRPr="00A360DB" w14:paraId="1EFA6DB5"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110CA9C3"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5. Pomoći</w:t>
            </w:r>
          </w:p>
        </w:tc>
        <w:tc>
          <w:tcPr>
            <w:tcW w:w="1480" w:type="dxa"/>
            <w:tcBorders>
              <w:top w:val="nil"/>
              <w:left w:val="nil"/>
              <w:bottom w:val="nil"/>
              <w:right w:val="nil"/>
            </w:tcBorders>
            <w:shd w:val="clear" w:color="auto" w:fill="auto"/>
            <w:noWrap/>
            <w:vAlign w:val="bottom"/>
            <w:hideMark/>
          </w:tcPr>
          <w:p w14:paraId="2DD96A45"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27.555,00</w:t>
            </w:r>
          </w:p>
        </w:tc>
        <w:tc>
          <w:tcPr>
            <w:tcW w:w="1380" w:type="dxa"/>
            <w:tcBorders>
              <w:top w:val="nil"/>
              <w:left w:val="nil"/>
              <w:bottom w:val="nil"/>
              <w:right w:val="nil"/>
            </w:tcBorders>
            <w:shd w:val="clear" w:color="auto" w:fill="auto"/>
            <w:noWrap/>
            <w:vAlign w:val="bottom"/>
            <w:hideMark/>
          </w:tcPr>
          <w:p w14:paraId="08CE9709"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27.079,41</w:t>
            </w:r>
          </w:p>
        </w:tc>
        <w:tc>
          <w:tcPr>
            <w:tcW w:w="1400" w:type="dxa"/>
            <w:tcBorders>
              <w:top w:val="nil"/>
              <w:left w:val="nil"/>
              <w:bottom w:val="nil"/>
              <w:right w:val="nil"/>
            </w:tcBorders>
            <w:shd w:val="clear" w:color="auto" w:fill="auto"/>
            <w:noWrap/>
            <w:vAlign w:val="bottom"/>
            <w:hideMark/>
          </w:tcPr>
          <w:p w14:paraId="7884F00F"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98,27%</w:t>
            </w:r>
          </w:p>
        </w:tc>
      </w:tr>
      <w:tr w:rsidR="00A360DB" w:rsidRPr="00A360DB" w14:paraId="6BF40269"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84F6EC8"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5.1. Županijski proračun</w:t>
            </w:r>
          </w:p>
        </w:tc>
        <w:tc>
          <w:tcPr>
            <w:tcW w:w="1480" w:type="dxa"/>
            <w:tcBorders>
              <w:top w:val="nil"/>
              <w:left w:val="nil"/>
              <w:bottom w:val="nil"/>
              <w:right w:val="nil"/>
            </w:tcBorders>
            <w:shd w:val="clear" w:color="auto" w:fill="auto"/>
            <w:noWrap/>
            <w:vAlign w:val="bottom"/>
            <w:hideMark/>
          </w:tcPr>
          <w:p w14:paraId="6A59A0B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400,00</w:t>
            </w:r>
          </w:p>
        </w:tc>
        <w:tc>
          <w:tcPr>
            <w:tcW w:w="1380" w:type="dxa"/>
            <w:tcBorders>
              <w:top w:val="nil"/>
              <w:left w:val="nil"/>
              <w:bottom w:val="nil"/>
              <w:right w:val="nil"/>
            </w:tcBorders>
            <w:shd w:val="clear" w:color="auto" w:fill="auto"/>
            <w:noWrap/>
            <w:vAlign w:val="bottom"/>
            <w:hideMark/>
          </w:tcPr>
          <w:p w14:paraId="0B77267C"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400,00</w:t>
            </w:r>
          </w:p>
        </w:tc>
        <w:tc>
          <w:tcPr>
            <w:tcW w:w="1400" w:type="dxa"/>
            <w:tcBorders>
              <w:top w:val="nil"/>
              <w:left w:val="nil"/>
              <w:bottom w:val="nil"/>
              <w:right w:val="nil"/>
            </w:tcBorders>
            <w:shd w:val="clear" w:color="auto" w:fill="auto"/>
            <w:noWrap/>
            <w:vAlign w:val="bottom"/>
            <w:hideMark/>
          </w:tcPr>
          <w:p w14:paraId="750C17A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w:t>
            </w:r>
          </w:p>
        </w:tc>
      </w:tr>
      <w:tr w:rsidR="00A360DB" w:rsidRPr="00A360DB" w14:paraId="1CD3B387" w14:textId="77777777" w:rsidTr="00A360DB">
        <w:trPr>
          <w:trHeight w:val="240"/>
        </w:trPr>
        <w:tc>
          <w:tcPr>
            <w:tcW w:w="1697" w:type="dxa"/>
            <w:tcBorders>
              <w:top w:val="nil"/>
              <w:left w:val="nil"/>
              <w:bottom w:val="nil"/>
              <w:right w:val="nil"/>
            </w:tcBorders>
            <w:shd w:val="clear" w:color="auto" w:fill="auto"/>
            <w:noWrap/>
            <w:vAlign w:val="bottom"/>
            <w:hideMark/>
          </w:tcPr>
          <w:p w14:paraId="0B0D5E8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1AEFEF35"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01B8846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400,00</w:t>
            </w:r>
          </w:p>
        </w:tc>
        <w:tc>
          <w:tcPr>
            <w:tcW w:w="1380" w:type="dxa"/>
            <w:tcBorders>
              <w:top w:val="nil"/>
              <w:left w:val="nil"/>
              <w:bottom w:val="nil"/>
              <w:right w:val="nil"/>
            </w:tcBorders>
            <w:shd w:val="clear" w:color="auto" w:fill="auto"/>
            <w:noWrap/>
            <w:vAlign w:val="bottom"/>
            <w:hideMark/>
          </w:tcPr>
          <w:p w14:paraId="1EBBDCC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400,00</w:t>
            </w:r>
          </w:p>
        </w:tc>
        <w:tc>
          <w:tcPr>
            <w:tcW w:w="1400" w:type="dxa"/>
            <w:tcBorders>
              <w:top w:val="nil"/>
              <w:left w:val="nil"/>
              <w:bottom w:val="nil"/>
              <w:right w:val="nil"/>
            </w:tcBorders>
            <w:shd w:val="clear" w:color="auto" w:fill="auto"/>
            <w:noWrap/>
            <w:vAlign w:val="bottom"/>
            <w:hideMark/>
          </w:tcPr>
          <w:p w14:paraId="2810853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r>
      <w:tr w:rsidR="00A360DB" w:rsidRPr="00A360DB" w14:paraId="4EA28805" w14:textId="77777777" w:rsidTr="00A360DB">
        <w:trPr>
          <w:trHeight w:val="240"/>
        </w:trPr>
        <w:tc>
          <w:tcPr>
            <w:tcW w:w="1697" w:type="dxa"/>
            <w:tcBorders>
              <w:top w:val="nil"/>
              <w:left w:val="nil"/>
              <w:bottom w:val="nil"/>
              <w:right w:val="nil"/>
            </w:tcBorders>
            <w:shd w:val="clear" w:color="auto" w:fill="auto"/>
            <w:noWrap/>
            <w:vAlign w:val="bottom"/>
            <w:hideMark/>
          </w:tcPr>
          <w:p w14:paraId="009AF107"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3237</w:t>
            </w:r>
          </w:p>
        </w:tc>
        <w:tc>
          <w:tcPr>
            <w:tcW w:w="8509" w:type="dxa"/>
            <w:tcBorders>
              <w:top w:val="nil"/>
              <w:left w:val="nil"/>
              <w:bottom w:val="nil"/>
              <w:right w:val="nil"/>
            </w:tcBorders>
            <w:shd w:val="clear" w:color="auto" w:fill="auto"/>
            <w:noWrap/>
            <w:vAlign w:val="bottom"/>
            <w:hideMark/>
          </w:tcPr>
          <w:p w14:paraId="531D48B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Intelektualne i osobne usluge                                                                       </w:t>
            </w:r>
          </w:p>
        </w:tc>
        <w:tc>
          <w:tcPr>
            <w:tcW w:w="1480" w:type="dxa"/>
            <w:tcBorders>
              <w:top w:val="nil"/>
              <w:left w:val="nil"/>
              <w:bottom w:val="nil"/>
              <w:right w:val="nil"/>
            </w:tcBorders>
            <w:shd w:val="clear" w:color="auto" w:fill="auto"/>
            <w:noWrap/>
            <w:vAlign w:val="bottom"/>
            <w:hideMark/>
          </w:tcPr>
          <w:p w14:paraId="257CB1DD"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BC02E7F"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400,00</w:t>
            </w:r>
          </w:p>
        </w:tc>
        <w:tc>
          <w:tcPr>
            <w:tcW w:w="1400" w:type="dxa"/>
            <w:tcBorders>
              <w:top w:val="nil"/>
              <w:left w:val="nil"/>
              <w:bottom w:val="nil"/>
              <w:right w:val="nil"/>
            </w:tcBorders>
            <w:shd w:val="clear" w:color="auto" w:fill="auto"/>
            <w:noWrap/>
            <w:vAlign w:val="bottom"/>
            <w:hideMark/>
          </w:tcPr>
          <w:p w14:paraId="56C4955A"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98CBA41"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C48F7FD"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5.2. Državni proračun</w:t>
            </w:r>
          </w:p>
        </w:tc>
        <w:tc>
          <w:tcPr>
            <w:tcW w:w="1480" w:type="dxa"/>
            <w:tcBorders>
              <w:top w:val="nil"/>
              <w:left w:val="nil"/>
              <w:bottom w:val="nil"/>
              <w:right w:val="nil"/>
            </w:tcBorders>
            <w:shd w:val="clear" w:color="auto" w:fill="auto"/>
            <w:noWrap/>
            <w:vAlign w:val="bottom"/>
            <w:hideMark/>
          </w:tcPr>
          <w:p w14:paraId="265E8C63"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850,00</w:t>
            </w:r>
          </w:p>
        </w:tc>
        <w:tc>
          <w:tcPr>
            <w:tcW w:w="1380" w:type="dxa"/>
            <w:tcBorders>
              <w:top w:val="nil"/>
              <w:left w:val="nil"/>
              <w:bottom w:val="nil"/>
              <w:right w:val="nil"/>
            </w:tcBorders>
            <w:shd w:val="clear" w:color="auto" w:fill="auto"/>
            <w:noWrap/>
            <w:vAlign w:val="bottom"/>
            <w:hideMark/>
          </w:tcPr>
          <w:p w14:paraId="143C85E3"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850,00</w:t>
            </w:r>
          </w:p>
        </w:tc>
        <w:tc>
          <w:tcPr>
            <w:tcW w:w="1400" w:type="dxa"/>
            <w:tcBorders>
              <w:top w:val="nil"/>
              <w:left w:val="nil"/>
              <w:bottom w:val="nil"/>
              <w:right w:val="nil"/>
            </w:tcBorders>
            <w:shd w:val="clear" w:color="auto" w:fill="auto"/>
            <w:noWrap/>
            <w:vAlign w:val="bottom"/>
            <w:hideMark/>
          </w:tcPr>
          <w:p w14:paraId="70E919B9"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w:t>
            </w:r>
          </w:p>
        </w:tc>
      </w:tr>
      <w:tr w:rsidR="00A360DB" w:rsidRPr="00A360DB" w14:paraId="56D41CC3" w14:textId="77777777" w:rsidTr="00A360DB">
        <w:trPr>
          <w:trHeight w:val="240"/>
        </w:trPr>
        <w:tc>
          <w:tcPr>
            <w:tcW w:w="1697" w:type="dxa"/>
            <w:tcBorders>
              <w:top w:val="nil"/>
              <w:left w:val="nil"/>
              <w:bottom w:val="nil"/>
              <w:right w:val="nil"/>
            </w:tcBorders>
            <w:shd w:val="clear" w:color="auto" w:fill="auto"/>
            <w:noWrap/>
            <w:vAlign w:val="bottom"/>
            <w:hideMark/>
          </w:tcPr>
          <w:p w14:paraId="66D226C1"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27259D78"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6916D8E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850,00</w:t>
            </w:r>
          </w:p>
        </w:tc>
        <w:tc>
          <w:tcPr>
            <w:tcW w:w="1380" w:type="dxa"/>
            <w:tcBorders>
              <w:top w:val="nil"/>
              <w:left w:val="nil"/>
              <w:bottom w:val="nil"/>
              <w:right w:val="nil"/>
            </w:tcBorders>
            <w:shd w:val="clear" w:color="auto" w:fill="auto"/>
            <w:noWrap/>
            <w:vAlign w:val="bottom"/>
            <w:hideMark/>
          </w:tcPr>
          <w:p w14:paraId="2C8B639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850,00</w:t>
            </w:r>
          </w:p>
        </w:tc>
        <w:tc>
          <w:tcPr>
            <w:tcW w:w="1400" w:type="dxa"/>
            <w:tcBorders>
              <w:top w:val="nil"/>
              <w:left w:val="nil"/>
              <w:bottom w:val="nil"/>
              <w:right w:val="nil"/>
            </w:tcBorders>
            <w:shd w:val="clear" w:color="auto" w:fill="auto"/>
            <w:noWrap/>
            <w:vAlign w:val="bottom"/>
            <w:hideMark/>
          </w:tcPr>
          <w:p w14:paraId="7A77891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r>
      <w:tr w:rsidR="00A360DB" w:rsidRPr="00A360DB" w14:paraId="5EA34382" w14:textId="77777777" w:rsidTr="00A360DB">
        <w:trPr>
          <w:trHeight w:val="240"/>
        </w:trPr>
        <w:tc>
          <w:tcPr>
            <w:tcW w:w="1697" w:type="dxa"/>
            <w:tcBorders>
              <w:top w:val="nil"/>
              <w:left w:val="nil"/>
              <w:bottom w:val="nil"/>
              <w:right w:val="nil"/>
            </w:tcBorders>
            <w:shd w:val="clear" w:color="auto" w:fill="auto"/>
            <w:noWrap/>
            <w:vAlign w:val="bottom"/>
            <w:hideMark/>
          </w:tcPr>
          <w:p w14:paraId="22604F2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3237</w:t>
            </w:r>
          </w:p>
        </w:tc>
        <w:tc>
          <w:tcPr>
            <w:tcW w:w="8509" w:type="dxa"/>
            <w:tcBorders>
              <w:top w:val="nil"/>
              <w:left w:val="nil"/>
              <w:bottom w:val="nil"/>
              <w:right w:val="nil"/>
            </w:tcBorders>
            <w:shd w:val="clear" w:color="auto" w:fill="auto"/>
            <w:noWrap/>
            <w:vAlign w:val="bottom"/>
            <w:hideMark/>
          </w:tcPr>
          <w:p w14:paraId="63C9CE6E"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Intelektualne i osobne usluge                                                                       </w:t>
            </w:r>
          </w:p>
        </w:tc>
        <w:tc>
          <w:tcPr>
            <w:tcW w:w="1480" w:type="dxa"/>
            <w:tcBorders>
              <w:top w:val="nil"/>
              <w:left w:val="nil"/>
              <w:bottom w:val="nil"/>
              <w:right w:val="nil"/>
            </w:tcBorders>
            <w:shd w:val="clear" w:color="auto" w:fill="auto"/>
            <w:noWrap/>
            <w:vAlign w:val="bottom"/>
            <w:hideMark/>
          </w:tcPr>
          <w:p w14:paraId="50013970"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5A05519B"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850,00</w:t>
            </w:r>
          </w:p>
        </w:tc>
        <w:tc>
          <w:tcPr>
            <w:tcW w:w="1400" w:type="dxa"/>
            <w:tcBorders>
              <w:top w:val="nil"/>
              <w:left w:val="nil"/>
              <w:bottom w:val="nil"/>
              <w:right w:val="nil"/>
            </w:tcBorders>
            <w:shd w:val="clear" w:color="auto" w:fill="auto"/>
            <w:noWrap/>
            <w:vAlign w:val="bottom"/>
            <w:hideMark/>
          </w:tcPr>
          <w:p w14:paraId="191891EF"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B0CA78F"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3861A938"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5.5. Općinski proračun</w:t>
            </w:r>
          </w:p>
        </w:tc>
        <w:tc>
          <w:tcPr>
            <w:tcW w:w="1480" w:type="dxa"/>
            <w:tcBorders>
              <w:top w:val="nil"/>
              <w:left w:val="nil"/>
              <w:bottom w:val="nil"/>
              <w:right w:val="nil"/>
            </w:tcBorders>
            <w:shd w:val="clear" w:color="auto" w:fill="auto"/>
            <w:noWrap/>
            <w:vAlign w:val="bottom"/>
            <w:hideMark/>
          </w:tcPr>
          <w:p w14:paraId="15A59EC4"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26.305,00</w:t>
            </w:r>
          </w:p>
        </w:tc>
        <w:tc>
          <w:tcPr>
            <w:tcW w:w="1380" w:type="dxa"/>
            <w:tcBorders>
              <w:top w:val="nil"/>
              <w:left w:val="nil"/>
              <w:bottom w:val="nil"/>
              <w:right w:val="nil"/>
            </w:tcBorders>
            <w:shd w:val="clear" w:color="auto" w:fill="auto"/>
            <w:noWrap/>
            <w:vAlign w:val="bottom"/>
            <w:hideMark/>
          </w:tcPr>
          <w:p w14:paraId="0DC87B61"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25.829,41</w:t>
            </w:r>
          </w:p>
        </w:tc>
        <w:tc>
          <w:tcPr>
            <w:tcW w:w="1400" w:type="dxa"/>
            <w:tcBorders>
              <w:top w:val="nil"/>
              <w:left w:val="nil"/>
              <w:bottom w:val="nil"/>
              <w:right w:val="nil"/>
            </w:tcBorders>
            <w:shd w:val="clear" w:color="auto" w:fill="auto"/>
            <w:noWrap/>
            <w:vAlign w:val="bottom"/>
            <w:hideMark/>
          </w:tcPr>
          <w:p w14:paraId="5F31F83A"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98,19%</w:t>
            </w:r>
          </w:p>
        </w:tc>
      </w:tr>
      <w:tr w:rsidR="00A360DB" w:rsidRPr="00A360DB" w14:paraId="327FCA94" w14:textId="77777777" w:rsidTr="00A360DB">
        <w:trPr>
          <w:trHeight w:val="240"/>
        </w:trPr>
        <w:tc>
          <w:tcPr>
            <w:tcW w:w="1697" w:type="dxa"/>
            <w:tcBorders>
              <w:top w:val="nil"/>
              <w:left w:val="nil"/>
              <w:bottom w:val="nil"/>
              <w:right w:val="nil"/>
            </w:tcBorders>
            <w:shd w:val="clear" w:color="auto" w:fill="auto"/>
            <w:noWrap/>
            <w:vAlign w:val="bottom"/>
            <w:hideMark/>
          </w:tcPr>
          <w:p w14:paraId="4F84CE4C"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31</w:t>
            </w:r>
          </w:p>
        </w:tc>
        <w:tc>
          <w:tcPr>
            <w:tcW w:w="8509" w:type="dxa"/>
            <w:tcBorders>
              <w:top w:val="nil"/>
              <w:left w:val="nil"/>
              <w:bottom w:val="nil"/>
              <w:right w:val="nil"/>
            </w:tcBorders>
            <w:shd w:val="clear" w:color="auto" w:fill="auto"/>
            <w:noWrap/>
            <w:vAlign w:val="bottom"/>
            <w:hideMark/>
          </w:tcPr>
          <w:p w14:paraId="34EB200A"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zaposlene                                                                                </w:t>
            </w:r>
          </w:p>
        </w:tc>
        <w:tc>
          <w:tcPr>
            <w:tcW w:w="1480" w:type="dxa"/>
            <w:tcBorders>
              <w:top w:val="nil"/>
              <w:left w:val="nil"/>
              <w:bottom w:val="nil"/>
              <w:right w:val="nil"/>
            </w:tcBorders>
            <w:shd w:val="clear" w:color="auto" w:fill="auto"/>
            <w:noWrap/>
            <w:vAlign w:val="bottom"/>
            <w:hideMark/>
          </w:tcPr>
          <w:p w14:paraId="3B38DEB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25.200,00</w:t>
            </w:r>
          </w:p>
        </w:tc>
        <w:tc>
          <w:tcPr>
            <w:tcW w:w="1380" w:type="dxa"/>
            <w:tcBorders>
              <w:top w:val="nil"/>
              <w:left w:val="nil"/>
              <w:bottom w:val="nil"/>
              <w:right w:val="nil"/>
            </w:tcBorders>
            <w:shd w:val="clear" w:color="auto" w:fill="auto"/>
            <w:noWrap/>
            <w:vAlign w:val="bottom"/>
            <w:hideMark/>
          </w:tcPr>
          <w:p w14:paraId="0FC536C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24.976,90</w:t>
            </w:r>
          </w:p>
        </w:tc>
        <w:tc>
          <w:tcPr>
            <w:tcW w:w="1400" w:type="dxa"/>
            <w:tcBorders>
              <w:top w:val="nil"/>
              <w:left w:val="nil"/>
              <w:bottom w:val="nil"/>
              <w:right w:val="nil"/>
            </w:tcBorders>
            <w:shd w:val="clear" w:color="auto" w:fill="auto"/>
            <w:noWrap/>
            <w:vAlign w:val="bottom"/>
            <w:hideMark/>
          </w:tcPr>
          <w:p w14:paraId="1BD416E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99,11%</w:t>
            </w:r>
          </w:p>
        </w:tc>
      </w:tr>
      <w:tr w:rsidR="00A360DB" w:rsidRPr="00A360DB" w14:paraId="32CB273D" w14:textId="77777777" w:rsidTr="00A360DB">
        <w:trPr>
          <w:trHeight w:val="240"/>
        </w:trPr>
        <w:tc>
          <w:tcPr>
            <w:tcW w:w="1697" w:type="dxa"/>
            <w:tcBorders>
              <w:top w:val="nil"/>
              <w:left w:val="nil"/>
              <w:bottom w:val="nil"/>
              <w:right w:val="nil"/>
            </w:tcBorders>
            <w:shd w:val="clear" w:color="auto" w:fill="auto"/>
            <w:noWrap/>
            <w:vAlign w:val="bottom"/>
            <w:hideMark/>
          </w:tcPr>
          <w:p w14:paraId="6B8B52C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3111</w:t>
            </w:r>
          </w:p>
        </w:tc>
        <w:tc>
          <w:tcPr>
            <w:tcW w:w="8509" w:type="dxa"/>
            <w:tcBorders>
              <w:top w:val="nil"/>
              <w:left w:val="nil"/>
              <w:bottom w:val="nil"/>
              <w:right w:val="nil"/>
            </w:tcBorders>
            <w:shd w:val="clear" w:color="auto" w:fill="auto"/>
            <w:noWrap/>
            <w:vAlign w:val="bottom"/>
            <w:hideMark/>
          </w:tcPr>
          <w:p w14:paraId="5AF2786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Plaće za redovan rad                                                                                </w:t>
            </w:r>
          </w:p>
        </w:tc>
        <w:tc>
          <w:tcPr>
            <w:tcW w:w="1480" w:type="dxa"/>
            <w:tcBorders>
              <w:top w:val="nil"/>
              <w:left w:val="nil"/>
              <w:bottom w:val="nil"/>
              <w:right w:val="nil"/>
            </w:tcBorders>
            <w:shd w:val="clear" w:color="auto" w:fill="auto"/>
            <w:noWrap/>
            <w:vAlign w:val="bottom"/>
            <w:hideMark/>
          </w:tcPr>
          <w:p w14:paraId="2302BDFF"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B3FB5A8"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20.280,57</w:t>
            </w:r>
          </w:p>
        </w:tc>
        <w:tc>
          <w:tcPr>
            <w:tcW w:w="1400" w:type="dxa"/>
            <w:tcBorders>
              <w:top w:val="nil"/>
              <w:left w:val="nil"/>
              <w:bottom w:val="nil"/>
              <w:right w:val="nil"/>
            </w:tcBorders>
            <w:shd w:val="clear" w:color="auto" w:fill="auto"/>
            <w:noWrap/>
            <w:vAlign w:val="bottom"/>
            <w:hideMark/>
          </w:tcPr>
          <w:p w14:paraId="1628B597"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5C859276" w14:textId="77777777" w:rsidTr="00A360DB">
        <w:trPr>
          <w:trHeight w:val="240"/>
        </w:trPr>
        <w:tc>
          <w:tcPr>
            <w:tcW w:w="1697" w:type="dxa"/>
            <w:tcBorders>
              <w:top w:val="nil"/>
              <w:left w:val="nil"/>
              <w:bottom w:val="nil"/>
              <w:right w:val="nil"/>
            </w:tcBorders>
            <w:shd w:val="clear" w:color="auto" w:fill="auto"/>
            <w:noWrap/>
            <w:vAlign w:val="bottom"/>
            <w:hideMark/>
          </w:tcPr>
          <w:p w14:paraId="36AD30A5"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3121</w:t>
            </w:r>
          </w:p>
        </w:tc>
        <w:tc>
          <w:tcPr>
            <w:tcW w:w="8509" w:type="dxa"/>
            <w:tcBorders>
              <w:top w:val="nil"/>
              <w:left w:val="nil"/>
              <w:bottom w:val="nil"/>
              <w:right w:val="nil"/>
            </w:tcBorders>
            <w:shd w:val="clear" w:color="auto" w:fill="auto"/>
            <w:noWrap/>
            <w:vAlign w:val="bottom"/>
            <w:hideMark/>
          </w:tcPr>
          <w:p w14:paraId="2D2FE97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Ostali rashodi za zaposlene                                                                         </w:t>
            </w:r>
          </w:p>
        </w:tc>
        <w:tc>
          <w:tcPr>
            <w:tcW w:w="1480" w:type="dxa"/>
            <w:tcBorders>
              <w:top w:val="nil"/>
              <w:left w:val="nil"/>
              <w:bottom w:val="nil"/>
              <w:right w:val="nil"/>
            </w:tcBorders>
            <w:shd w:val="clear" w:color="auto" w:fill="auto"/>
            <w:noWrap/>
            <w:vAlign w:val="bottom"/>
            <w:hideMark/>
          </w:tcPr>
          <w:p w14:paraId="221CEEB9"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AFEFD48"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1.350,00</w:t>
            </w:r>
          </w:p>
        </w:tc>
        <w:tc>
          <w:tcPr>
            <w:tcW w:w="1400" w:type="dxa"/>
            <w:tcBorders>
              <w:top w:val="nil"/>
              <w:left w:val="nil"/>
              <w:bottom w:val="nil"/>
              <w:right w:val="nil"/>
            </w:tcBorders>
            <w:shd w:val="clear" w:color="auto" w:fill="auto"/>
            <w:noWrap/>
            <w:vAlign w:val="bottom"/>
            <w:hideMark/>
          </w:tcPr>
          <w:p w14:paraId="33479756"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044A6C9" w14:textId="77777777" w:rsidTr="00A360DB">
        <w:trPr>
          <w:trHeight w:val="240"/>
        </w:trPr>
        <w:tc>
          <w:tcPr>
            <w:tcW w:w="1697" w:type="dxa"/>
            <w:tcBorders>
              <w:top w:val="nil"/>
              <w:left w:val="nil"/>
              <w:bottom w:val="nil"/>
              <w:right w:val="nil"/>
            </w:tcBorders>
            <w:shd w:val="clear" w:color="auto" w:fill="auto"/>
            <w:noWrap/>
            <w:vAlign w:val="bottom"/>
            <w:hideMark/>
          </w:tcPr>
          <w:p w14:paraId="0B50990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3132</w:t>
            </w:r>
          </w:p>
        </w:tc>
        <w:tc>
          <w:tcPr>
            <w:tcW w:w="8509" w:type="dxa"/>
            <w:tcBorders>
              <w:top w:val="nil"/>
              <w:left w:val="nil"/>
              <w:bottom w:val="nil"/>
              <w:right w:val="nil"/>
            </w:tcBorders>
            <w:shd w:val="clear" w:color="auto" w:fill="auto"/>
            <w:noWrap/>
            <w:vAlign w:val="bottom"/>
            <w:hideMark/>
          </w:tcPr>
          <w:p w14:paraId="2E0A709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Doprinosi za obvezno zdravstveno osiguranje                                                         </w:t>
            </w:r>
          </w:p>
        </w:tc>
        <w:tc>
          <w:tcPr>
            <w:tcW w:w="1480" w:type="dxa"/>
            <w:tcBorders>
              <w:top w:val="nil"/>
              <w:left w:val="nil"/>
              <w:bottom w:val="nil"/>
              <w:right w:val="nil"/>
            </w:tcBorders>
            <w:shd w:val="clear" w:color="auto" w:fill="auto"/>
            <w:noWrap/>
            <w:vAlign w:val="bottom"/>
            <w:hideMark/>
          </w:tcPr>
          <w:p w14:paraId="618D1CCD"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D96D22A"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3.346,33</w:t>
            </w:r>
          </w:p>
        </w:tc>
        <w:tc>
          <w:tcPr>
            <w:tcW w:w="1400" w:type="dxa"/>
            <w:tcBorders>
              <w:top w:val="nil"/>
              <w:left w:val="nil"/>
              <w:bottom w:val="nil"/>
              <w:right w:val="nil"/>
            </w:tcBorders>
            <w:shd w:val="clear" w:color="auto" w:fill="auto"/>
            <w:noWrap/>
            <w:vAlign w:val="bottom"/>
            <w:hideMark/>
          </w:tcPr>
          <w:p w14:paraId="1E099277"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4BF23ED" w14:textId="77777777" w:rsidTr="00A360DB">
        <w:trPr>
          <w:trHeight w:val="240"/>
        </w:trPr>
        <w:tc>
          <w:tcPr>
            <w:tcW w:w="1697" w:type="dxa"/>
            <w:tcBorders>
              <w:top w:val="nil"/>
              <w:left w:val="nil"/>
              <w:bottom w:val="nil"/>
              <w:right w:val="nil"/>
            </w:tcBorders>
            <w:shd w:val="clear" w:color="auto" w:fill="auto"/>
            <w:noWrap/>
            <w:vAlign w:val="bottom"/>
            <w:hideMark/>
          </w:tcPr>
          <w:p w14:paraId="14BF58C5"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0BBD38D7"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753A373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1.105,00</w:t>
            </w:r>
          </w:p>
        </w:tc>
        <w:tc>
          <w:tcPr>
            <w:tcW w:w="1380" w:type="dxa"/>
            <w:tcBorders>
              <w:top w:val="nil"/>
              <w:left w:val="nil"/>
              <w:bottom w:val="nil"/>
              <w:right w:val="nil"/>
            </w:tcBorders>
            <w:shd w:val="clear" w:color="auto" w:fill="auto"/>
            <w:noWrap/>
            <w:vAlign w:val="bottom"/>
            <w:hideMark/>
          </w:tcPr>
          <w:p w14:paraId="5565322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852,51</w:t>
            </w:r>
          </w:p>
        </w:tc>
        <w:tc>
          <w:tcPr>
            <w:tcW w:w="1400" w:type="dxa"/>
            <w:tcBorders>
              <w:top w:val="nil"/>
              <w:left w:val="nil"/>
              <w:bottom w:val="nil"/>
              <w:right w:val="nil"/>
            </w:tcBorders>
            <w:shd w:val="clear" w:color="auto" w:fill="auto"/>
            <w:noWrap/>
            <w:vAlign w:val="bottom"/>
            <w:hideMark/>
          </w:tcPr>
          <w:p w14:paraId="26415DF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77,15%</w:t>
            </w:r>
          </w:p>
        </w:tc>
      </w:tr>
      <w:tr w:rsidR="00A360DB" w:rsidRPr="00A360DB" w14:paraId="763DBC90" w14:textId="77777777" w:rsidTr="00A360DB">
        <w:trPr>
          <w:trHeight w:val="240"/>
        </w:trPr>
        <w:tc>
          <w:tcPr>
            <w:tcW w:w="1697" w:type="dxa"/>
            <w:tcBorders>
              <w:top w:val="nil"/>
              <w:left w:val="nil"/>
              <w:bottom w:val="nil"/>
              <w:right w:val="nil"/>
            </w:tcBorders>
            <w:shd w:val="clear" w:color="auto" w:fill="auto"/>
            <w:noWrap/>
            <w:vAlign w:val="bottom"/>
            <w:hideMark/>
          </w:tcPr>
          <w:p w14:paraId="23D2085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3221</w:t>
            </w:r>
          </w:p>
        </w:tc>
        <w:tc>
          <w:tcPr>
            <w:tcW w:w="8509" w:type="dxa"/>
            <w:tcBorders>
              <w:top w:val="nil"/>
              <w:left w:val="nil"/>
              <w:bottom w:val="nil"/>
              <w:right w:val="nil"/>
            </w:tcBorders>
            <w:shd w:val="clear" w:color="auto" w:fill="auto"/>
            <w:noWrap/>
            <w:vAlign w:val="bottom"/>
            <w:hideMark/>
          </w:tcPr>
          <w:p w14:paraId="4B97229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Uredski materijal i ostali materijalni rashodi                                                      </w:t>
            </w:r>
          </w:p>
        </w:tc>
        <w:tc>
          <w:tcPr>
            <w:tcW w:w="1480" w:type="dxa"/>
            <w:tcBorders>
              <w:top w:val="nil"/>
              <w:left w:val="nil"/>
              <w:bottom w:val="nil"/>
              <w:right w:val="nil"/>
            </w:tcBorders>
            <w:shd w:val="clear" w:color="auto" w:fill="auto"/>
            <w:noWrap/>
            <w:vAlign w:val="bottom"/>
            <w:hideMark/>
          </w:tcPr>
          <w:p w14:paraId="0016AFAF"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15E823A"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99,90</w:t>
            </w:r>
          </w:p>
        </w:tc>
        <w:tc>
          <w:tcPr>
            <w:tcW w:w="1400" w:type="dxa"/>
            <w:tcBorders>
              <w:top w:val="nil"/>
              <w:left w:val="nil"/>
              <w:bottom w:val="nil"/>
              <w:right w:val="nil"/>
            </w:tcBorders>
            <w:shd w:val="clear" w:color="auto" w:fill="auto"/>
            <w:noWrap/>
            <w:vAlign w:val="bottom"/>
            <w:hideMark/>
          </w:tcPr>
          <w:p w14:paraId="21B6A0A6"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F7E62D7" w14:textId="77777777" w:rsidTr="00A360DB">
        <w:trPr>
          <w:trHeight w:val="240"/>
        </w:trPr>
        <w:tc>
          <w:tcPr>
            <w:tcW w:w="1697" w:type="dxa"/>
            <w:tcBorders>
              <w:top w:val="nil"/>
              <w:left w:val="nil"/>
              <w:bottom w:val="nil"/>
              <w:right w:val="nil"/>
            </w:tcBorders>
            <w:shd w:val="clear" w:color="auto" w:fill="auto"/>
            <w:noWrap/>
            <w:vAlign w:val="bottom"/>
            <w:hideMark/>
          </w:tcPr>
          <w:p w14:paraId="3977CEA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3236</w:t>
            </w:r>
          </w:p>
        </w:tc>
        <w:tc>
          <w:tcPr>
            <w:tcW w:w="8509" w:type="dxa"/>
            <w:tcBorders>
              <w:top w:val="nil"/>
              <w:left w:val="nil"/>
              <w:bottom w:val="nil"/>
              <w:right w:val="nil"/>
            </w:tcBorders>
            <w:shd w:val="clear" w:color="auto" w:fill="auto"/>
            <w:noWrap/>
            <w:vAlign w:val="bottom"/>
            <w:hideMark/>
          </w:tcPr>
          <w:p w14:paraId="4440D87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Zdravstvene i veterinarske usluge                                                                   </w:t>
            </w:r>
          </w:p>
        </w:tc>
        <w:tc>
          <w:tcPr>
            <w:tcW w:w="1480" w:type="dxa"/>
            <w:tcBorders>
              <w:top w:val="nil"/>
              <w:left w:val="nil"/>
              <w:bottom w:val="nil"/>
              <w:right w:val="nil"/>
            </w:tcBorders>
            <w:shd w:val="clear" w:color="auto" w:fill="auto"/>
            <w:noWrap/>
            <w:vAlign w:val="bottom"/>
            <w:hideMark/>
          </w:tcPr>
          <w:p w14:paraId="06BDB669"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70B97D0"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285,00</w:t>
            </w:r>
          </w:p>
        </w:tc>
        <w:tc>
          <w:tcPr>
            <w:tcW w:w="1400" w:type="dxa"/>
            <w:tcBorders>
              <w:top w:val="nil"/>
              <w:left w:val="nil"/>
              <w:bottom w:val="nil"/>
              <w:right w:val="nil"/>
            </w:tcBorders>
            <w:shd w:val="clear" w:color="auto" w:fill="auto"/>
            <w:noWrap/>
            <w:vAlign w:val="bottom"/>
            <w:hideMark/>
          </w:tcPr>
          <w:p w14:paraId="52CBCCD8"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A6E11ED" w14:textId="77777777" w:rsidTr="00A360DB">
        <w:trPr>
          <w:trHeight w:val="240"/>
        </w:trPr>
        <w:tc>
          <w:tcPr>
            <w:tcW w:w="1697" w:type="dxa"/>
            <w:tcBorders>
              <w:top w:val="nil"/>
              <w:left w:val="nil"/>
              <w:bottom w:val="nil"/>
              <w:right w:val="nil"/>
            </w:tcBorders>
            <w:shd w:val="clear" w:color="auto" w:fill="auto"/>
            <w:noWrap/>
            <w:vAlign w:val="bottom"/>
            <w:hideMark/>
          </w:tcPr>
          <w:p w14:paraId="5EA2D348"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3237</w:t>
            </w:r>
          </w:p>
        </w:tc>
        <w:tc>
          <w:tcPr>
            <w:tcW w:w="8509" w:type="dxa"/>
            <w:tcBorders>
              <w:top w:val="nil"/>
              <w:left w:val="nil"/>
              <w:bottom w:val="nil"/>
              <w:right w:val="nil"/>
            </w:tcBorders>
            <w:shd w:val="clear" w:color="auto" w:fill="auto"/>
            <w:noWrap/>
            <w:vAlign w:val="bottom"/>
            <w:hideMark/>
          </w:tcPr>
          <w:p w14:paraId="279050B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Intelektualne i osobne usluge                                                                       </w:t>
            </w:r>
          </w:p>
        </w:tc>
        <w:tc>
          <w:tcPr>
            <w:tcW w:w="1480" w:type="dxa"/>
            <w:tcBorders>
              <w:top w:val="nil"/>
              <w:left w:val="nil"/>
              <w:bottom w:val="nil"/>
              <w:right w:val="nil"/>
            </w:tcBorders>
            <w:shd w:val="clear" w:color="auto" w:fill="auto"/>
            <w:noWrap/>
            <w:vAlign w:val="bottom"/>
            <w:hideMark/>
          </w:tcPr>
          <w:p w14:paraId="6674607A"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19A621C8"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202,16</w:t>
            </w:r>
          </w:p>
        </w:tc>
        <w:tc>
          <w:tcPr>
            <w:tcW w:w="1400" w:type="dxa"/>
            <w:tcBorders>
              <w:top w:val="nil"/>
              <w:left w:val="nil"/>
              <w:bottom w:val="nil"/>
              <w:right w:val="nil"/>
            </w:tcBorders>
            <w:shd w:val="clear" w:color="auto" w:fill="auto"/>
            <w:noWrap/>
            <w:vAlign w:val="bottom"/>
            <w:hideMark/>
          </w:tcPr>
          <w:p w14:paraId="156AB9FE"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1A886E6" w14:textId="77777777" w:rsidTr="00A360DB">
        <w:trPr>
          <w:trHeight w:val="240"/>
        </w:trPr>
        <w:tc>
          <w:tcPr>
            <w:tcW w:w="1697" w:type="dxa"/>
            <w:tcBorders>
              <w:top w:val="nil"/>
              <w:left w:val="nil"/>
              <w:bottom w:val="nil"/>
              <w:right w:val="nil"/>
            </w:tcBorders>
            <w:shd w:val="clear" w:color="auto" w:fill="auto"/>
            <w:noWrap/>
            <w:vAlign w:val="bottom"/>
            <w:hideMark/>
          </w:tcPr>
          <w:p w14:paraId="2BB283F8"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3238</w:t>
            </w:r>
          </w:p>
        </w:tc>
        <w:tc>
          <w:tcPr>
            <w:tcW w:w="8509" w:type="dxa"/>
            <w:tcBorders>
              <w:top w:val="nil"/>
              <w:left w:val="nil"/>
              <w:bottom w:val="nil"/>
              <w:right w:val="nil"/>
            </w:tcBorders>
            <w:shd w:val="clear" w:color="auto" w:fill="auto"/>
            <w:noWrap/>
            <w:vAlign w:val="bottom"/>
            <w:hideMark/>
          </w:tcPr>
          <w:p w14:paraId="7A7D96E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Računalne usluge                                                                                    </w:t>
            </w:r>
          </w:p>
        </w:tc>
        <w:tc>
          <w:tcPr>
            <w:tcW w:w="1480" w:type="dxa"/>
            <w:tcBorders>
              <w:top w:val="nil"/>
              <w:left w:val="nil"/>
              <w:bottom w:val="nil"/>
              <w:right w:val="nil"/>
            </w:tcBorders>
            <w:shd w:val="clear" w:color="auto" w:fill="auto"/>
            <w:noWrap/>
            <w:vAlign w:val="bottom"/>
            <w:hideMark/>
          </w:tcPr>
          <w:p w14:paraId="3F125B7B"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E4C4F6E"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199,09</w:t>
            </w:r>
          </w:p>
        </w:tc>
        <w:tc>
          <w:tcPr>
            <w:tcW w:w="1400" w:type="dxa"/>
            <w:tcBorders>
              <w:top w:val="nil"/>
              <w:left w:val="nil"/>
              <w:bottom w:val="nil"/>
              <w:right w:val="nil"/>
            </w:tcBorders>
            <w:shd w:val="clear" w:color="auto" w:fill="auto"/>
            <w:noWrap/>
            <w:vAlign w:val="bottom"/>
            <w:hideMark/>
          </w:tcPr>
          <w:p w14:paraId="10900F52"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5EE7DC8E" w14:textId="77777777" w:rsidTr="00A360DB">
        <w:trPr>
          <w:trHeight w:val="240"/>
        </w:trPr>
        <w:tc>
          <w:tcPr>
            <w:tcW w:w="1697" w:type="dxa"/>
            <w:tcBorders>
              <w:top w:val="nil"/>
              <w:left w:val="nil"/>
              <w:bottom w:val="nil"/>
              <w:right w:val="nil"/>
            </w:tcBorders>
            <w:shd w:val="clear" w:color="auto" w:fill="auto"/>
            <w:noWrap/>
            <w:vAlign w:val="bottom"/>
            <w:hideMark/>
          </w:tcPr>
          <w:p w14:paraId="394BCB5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3294</w:t>
            </w:r>
          </w:p>
        </w:tc>
        <w:tc>
          <w:tcPr>
            <w:tcW w:w="8509" w:type="dxa"/>
            <w:tcBorders>
              <w:top w:val="nil"/>
              <w:left w:val="nil"/>
              <w:bottom w:val="nil"/>
              <w:right w:val="nil"/>
            </w:tcBorders>
            <w:shd w:val="clear" w:color="auto" w:fill="auto"/>
            <w:noWrap/>
            <w:vAlign w:val="bottom"/>
            <w:hideMark/>
          </w:tcPr>
          <w:p w14:paraId="2BC3D13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Članarine</w:t>
            </w:r>
          </w:p>
        </w:tc>
        <w:tc>
          <w:tcPr>
            <w:tcW w:w="1480" w:type="dxa"/>
            <w:tcBorders>
              <w:top w:val="nil"/>
              <w:left w:val="nil"/>
              <w:bottom w:val="nil"/>
              <w:right w:val="nil"/>
            </w:tcBorders>
            <w:shd w:val="clear" w:color="auto" w:fill="auto"/>
            <w:noWrap/>
            <w:vAlign w:val="bottom"/>
            <w:hideMark/>
          </w:tcPr>
          <w:p w14:paraId="123F35A2"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1DF92FDE"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66,36</w:t>
            </w:r>
          </w:p>
        </w:tc>
        <w:tc>
          <w:tcPr>
            <w:tcW w:w="1400" w:type="dxa"/>
            <w:tcBorders>
              <w:top w:val="nil"/>
              <w:left w:val="nil"/>
              <w:bottom w:val="nil"/>
              <w:right w:val="nil"/>
            </w:tcBorders>
            <w:shd w:val="clear" w:color="auto" w:fill="auto"/>
            <w:noWrap/>
            <w:vAlign w:val="bottom"/>
            <w:hideMark/>
          </w:tcPr>
          <w:p w14:paraId="7BAE0AF9"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C666622"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0051539"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6. Donacije</w:t>
            </w:r>
          </w:p>
        </w:tc>
        <w:tc>
          <w:tcPr>
            <w:tcW w:w="1480" w:type="dxa"/>
            <w:tcBorders>
              <w:top w:val="nil"/>
              <w:left w:val="nil"/>
              <w:bottom w:val="nil"/>
              <w:right w:val="nil"/>
            </w:tcBorders>
            <w:shd w:val="clear" w:color="auto" w:fill="auto"/>
            <w:noWrap/>
            <w:vAlign w:val="bottom"/>
            <w:hideMark/>
          </w:tcPr>
          <w:p w14:paraId="5E0BD2D1"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w:t>
            </w:r>
          </w:p>
        </w:tc>
        <w:tc>
          <w:tcPr>
            <w:tcW w:w="1380" w:type="dxa"/>
            <w:tcBorders>
              <w:top w:val="nil"/>
              <w:left w:val="nil"/>
              <w:bottom w:val="nil"/>
              <w:right w:val="nil"/>
            </w:tcBorders>
            <w:shd w:val="clear" w:color="auto" w:fill="auto"/>
            <w:noWrap/>
            <w:vAlign w:val="bottom"/>
            <w:hideMark/>
          </w:tcPr>
          <w:p w14:paraId="06A39517"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w:t>
            </w:r>
          </w:p>
        </w:tc>
        <w:tc>
          <w:tcPr>
            <w:tcW w:w="1400" w:type="dxa"/>
            <w:tcBorders>
              <w:top w:val="nil"/>
              <w:left w:val="nil"/>
              <w:bottom w:val="nil"/>
              <w:right w:val="nil"/>
            </w:tcBorders>
            <w:shd w:val="clear" w:color="auto" w:fill="auto"/>
            <w:noWrap/>
            <w:vAlign w:val="bottom"/>
            <w:hideMark/>
          </w:tcPr>
          <w:p w14:paraId="4C9B49AE"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w:t>
            </w:r>
          </w:p>
        </w:tc>
      </w:tr>
      <w:tr w:rsidR="00A360DB" w:rsidRPr="00A360DB" w14:paraId="0FDD22E2"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F6922F4"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6.1. Donacije</w:t>
            </w:r>
          </w:p>
        </w:tc>
        <w:tc>
          <w:tcPr>
            <w:tcW w:w="1480" w:type="dxa"/>
            <w:tcBorders>
              <w:top w:val="nil"/>
              <w:left w:val="nil"/>
              <w:bottom w:val="nil"/>
              <w:right w:val="nil"/>
            </w:tcBorders>
            <w:shd w:val="clear" w:color="auto" w:fill="auto"/>
            <w:noWrap/>
            <w:vAlign w:val="bottom"/>
            <w:hideMark/>
          </w:tcPr>
          <w:p w14:paraId="7F6EED89"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w:t>
            </w:r>
          </w:p>
        </w:tc>
        <w:tc>
          <w:tcPr>
            <w:tcW w:w="1380" w:type="dxa"/>
            <w:tcBorders>
              <w:top w:val="nil"/>
              <w:left w:val="nil"/>
              <w:bottom w:val="nil"/>
              <w:right w:val="nil"/>
            </w:tcBorders>
            <w:shd w:val="clear" w:color="auto" w:fill="auto"/>
            <w:noWrap/>
            <w:vAlign w:val="bottom"/>
            <w:hideMark/>
          </w:tcPr>
          <w:p w14:paraId="5D9BAD8F"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w:t>
            </w:r>
          </w:p>
        </w:tc>
        <w:tc>
          <w:tcPr>
            <w:tcW w:w="1400" w:type="dxa"/>
            <w:tcBorders>
              <w:top w:val="nil"/>
              <w:left w:val="nil"/>
              <w:bottom w:val="nil"/>
              <w:right w:val="nil"/>
            </w:tcBorders>
            <w:shd w:val="clear" w:color="auto" w:fill="auto"/>
            <w:noWrap/>
            <w:vAlign w:val="bottom"/>
            <w:hideMark/>
          </w:tcPr>
          <w:p w14:paraId="385E2C7A"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w:t>
            </w:r>
          </w:p>
        </w:tc>
      </w:tr>
      <w:tr w:rsidR="00A360DB" w:rsidRPr="00A360DB" w14:paraId="709DDDBD" w14:textId="77777777" w:rsidTr="00A360DB">
        <w:trPr>
          <w:trHeight w:val="240"/>
        </w:trPr>
        <w:tc>
          <w:tcPr>
            <w:tcW w:w="1697" w:type="dxa"/>
            <w:tcBorders>
              <w:top w:val="nil"/>
              <w:left w:val="nil"/>
              <w:bottom w:val="nil"/>
              <w:right w:val="nil"/>
            </w:tcBorders>
            <w:shd w:val="clear" w:color="auto" w:fill="auto"/>
            <w:noWrap/>
            <w:vAlign w:val="bottom"/>
            <w:hideMark/>
          </w:tcPr>
          <w:p w14:paraId="318FF46C"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7AA08F2C"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7CA1972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c>
          <w:tcPr>
            <w:tcW w:w="1380" w:type="dxa"/>
            <w:tcBorders>
              <w:top w:val="nil"/>
              <w:left w:val="nil"/>
              <w:bottom w:val="nil"/>
              <w:right w:val="nil"/>
            </w:tcBorders>
            <w:shd w:val="clear" w:color="auto" w:fill="auto"/>
            <w:noWrap/>
            <w:vAlign w:val="bottom"/>
            <w:hideMark/>
          </w:tcPr>
          <w:p w14:paraId="5E316D7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c>
          <w:tcPr>
            <w:tcW w:w="1400" w:type="dxa"/>
            <w:tcBorders>
              <w:top w:val="nil"/>
              <w:left w:val="nil"/>
              <w:bottom w:val="nil"/>
              <w:right w:val="nil"/>
            </w:tcBorders>
            <w:shd w:val="clear" w:color="auto" w:fill="auto"/>
            <w:noWrap/>
            <w:vAlign w:val="bottom"/>
            <w:hideMark/>
          </w:tcPr>
          <w:p w14:paraId="2942540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r>
      <w:tr w:rsidR="00A360DB" w:rsidRPr="00A360DB" w14:paraId="47B3BB5D" w14:textId="77777777" w:rsidTr="00A360DB">
        <w:trPr>
          <w:trHeight w:val="240"/>
        </w:trPr>
        <w:tc>
          <w:tcPr>
            <w:tcW w:w="1697" w:type="dxa"/>
            <w:tcBorders>
              <w:top w:val="nil"/>
              <w:left w:val="nil"/>
              <w:bottom w:val="nil"/>
              <w:right w:val="nil"/>
            </w:tcBorders>
            <w:shd w:val="clear" w:color="auto" w:fill="auto"/>
            <w:noWrap/>
            <w:vAlign w:val="bottom"/>
            <w:hideMark/>
          </w:tcPr>
          <w:p w14:paraId="7350960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3237</w:t>
            </w:r>
          </w:p>
        </w:tc>
        <w:tc>
          <w:tcPr>
            <w:tcW w:w="8509" w:type="dxa"/>
            <w:tcBorders>
              <w:top w:val="nil"/>
              <w:left w:val="nil"/>
              <w:bottom w:val="nil"/>
              <w:right w:val="nil"/>
            </w:tcBorders>
            <w:shd w:val="clear" w:color="auto" w:fill="auto"/>
            <w:noWrap/>
            <w:vAlign w:val="bottom"/>
            <w:hideMark/>
          </w:tcPr>
          <w:p w14:paraId="7598091E"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Intelektualne i osobne usluge                                                                       </w:t>
            </w:r>
          </w:p>
        </w:tc>
        <w:tc>
          <w:tcPr>
            <w:tcW w:w="1480" w:type="dxa"/>
            <w:tcBorders>
              <w:top w:val="nil"/>
              <w:left w:val="nil"/>
              <w:bottom w:val="nil"/>
              <w:right w:val="nil"/>
            </w:tcBorders>
            <w:shd w:val="clear" w:color="auto" w:fill="auto"/>
            <w:noWrap/>
            <w:vAlign w:val="bottom"/>
            <w:hideMark/>
          </w:tcPr>
          <w:p w14:paraId="64A2B2DE"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50B4C8F0"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100,00</w:t>
            </w:r>
          </w:p>
        </w:tc>
        <w:tc>
          <w:tcPr>
            <w:tcW w:w="1400" w:type="dxa"/>
            <w:tcBorders>
              <w:top w:val="nil"/>
              <w:left w:val="nil"/>
              <w:bottom w:val="nil"/>
              <w:right w:val="nil"/>
            </w:tcBorders>
            <w:shd w:val="clear" w:color="auto" w:fill="auto"/>
            <w:noWrap/>
            <w:vAlign w:val="bottom"/>
            <w:hideMark/>
          </w:tcPr>
          <w:p w14:paraId="428D744E"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2188B5D4" w14:textId="77777777" w:rsidTr="00A360DB">
        <w:trPr>
          <w:trHeight w:val="240"/>
        </w:trPr>
        <w:tc>
          <w:tcPr>
            <w:tcW w:w="1697" w:type="dxa"/>
            <w:tcBorders>
              <w:top w:val="nil"/>
              <w:left w:val="nil"/>
              <w:bottom w:val="nil"/>
              <w:right w:val="nil"/>
            </w:tcBorders>
            <w:shd w:val="clear" w:color="000000" w:fill="B4C6E7"/>
            <w:noWrap/>
            <w:vAlign w:val="bottom"/>
            <w:hideMark/>
          </w:tcPr>
          <w:p w14:paraId="5527AF42"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A100603</w:t>
            </w:r>
          </w:p>
        </w:tc>
        <w:tc>
          <w:tcPr>
            <w:tcW w:w="8509" w:type="dxa"/>
            <w:tcBorders>
              <w:top w:val="nil"/>
              <w:left w:val="nil"/>
              <w:bottom w:val="nil"/>
              <w:right w:val="nil"/>
            </w:tcBorders>
            <w:shd w:val="clear" w:color="000000" w:fill="B4C6E7"/>
            <w:noWrap/>
            <w:vAlign w:val="bottom"/>
            <w:hideMark/>
          </w:tcPr>
          <w:p w14:paraId="6E7B53F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Održavanje poslovnog objekta knjižnice za redovno korištenje</w:t>
            </w:r>
          </w:p>
        </w:tc>
        <w:tc>
          <w:tcPr>
            <w:tcW w:w="1480" w:type="dxa"/>
            <w:tcBorders>
              <w:top w:val="nil"/>
              <w:left w:val="nil"/>
              <w:bottom w:val="nil"/>
              <w:right w:val="nil"/>
            </w:tcBorders>
            <w:shd w:val="clear" w:color="000000" w:fill="B4C6E7"/>
            <w:noWrap/>
            <w:vAlign w:val="bottom"/>
            <w:hideMark/>
          </w:tcPr>
          <w:p w14:paraId="0C50EE2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750,00</w:t>
            </w:r>
          </w:p>
        </w:tc>
        <w:tc>
          <w:tcPr>
            <w:tcW w:w="1380" w:type="dxa"/>
            <w:tcBorders>
              <w:top w:val="nil"/>
              <w:left w:val="nil"/>
              <w:bottom w:val="nil"/>
              <w:right w:val="nil"/>
            </w:tcBorders>
            <w:shd w:val="clear" w:color="000000" w:fill="B4C6E7"/>
            <w:noWrap/>
            <w:vAlign w:val="bottom"/>
            <w:hideMark/>
          </w:tcPr>
          <w:p w14:paraId="17CDAD6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750,00</w:t>
            </w:r>
          </w:p>
        </w:tc>
        <w:tc>
          <w:tcPr>
            <w:tcW w:w="1400" w:type="dxa"/>
            <w:tcBorders>
              <w:top w:val="nil"/>
              <w:left w:val="nil"/>
              <w:bottom w:val="nil"/>
              <w:right w:val="nil"/>
            </w:tcBorders>
            <w:shd w:val="clear" w:color="000000" w:fill="B4C6E7"/>
            <w:noWrap/>
            <w:vAlign w:val="bottom"/>
            <w:hideMark/>
          </w:tcPr>
          <w:p w14:paraId="4881403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r>
      <w:tr w:rsidR="00A360DB" w:rsidRPr="00A360DB" w14:paraId="591B6EB1"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14B43C91"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3. Vlastiti prihodi</w:t>
            </w:r>
          </w:p>
        </w:tc>
        <w:tc>
          <w:tcPr>
            <w:tcW w:w="1480" w:type="dxa"/>
            <w:tcBorders>
              <w:top w:val="nil"/>
              <w:left w:val="nil"/>
              <w:bottom w:val="nil"/>
              <w:right w:val="nil"/>
            </w:tcBorders>
            <w:shd w:val="clear" w:color="auto" w:fill="auto"/>
            <w:noWrap/>
            <w:vAlign w:val="bottom"/>
            <w:hideMark/>
          </w:tcPr>
          <w:p w14:paraId="6184432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750,00</w:t>
            </w:r>
          </w:p>
        </w:tc>
        <w:tc>
          <w:tcPr>
            <w:tcW w:w="1380" w:type="dxa"/>
            <w:tcBorders>
              <w:top w:val="nil"/>
              <w:left w:val="nil"/>
              <w:bottom w:val="nil"/>
              <w:right w:val="nil"/>
            </w:tcBorders>
            <w:shd w:val="clear" w:color="auto" w:fill="auto"/>
            <w:noWrap/>
            <w:vAlign w:val="bottom"/>
            <w:hideMark/>
          </w:tcPr>
          <w:p w14:paraId="2A10AC53"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750,00</w:t>
            </w:r>
          </w:p>
        </w:tc>
        <w:tc>
          <w:tcPr>
            <w:tcW w:w="1400" w:type="dxa"/>
            <w:tcBorders>
              <w:top w:val="nil"/>
              <w:left w:val="nil"/>
              <w:bottom w:val="nil"/>
              <w:right w:val="nil"/>
            </w:tcBorders>
            <w:shd w:val="clear" w:color="auto" w:fill="auto"/>
            <w:noWrap/>
            <w:vAlign w:val="bottom"/>
            <w:hideMark/>
          </w:tcPr>
          <w:p w14:paraId="5CAFA360"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w:t>
            </w:r>
          </w:p>
        </w:tc>
      </w:tr>
      <w:tr w:rsidR="00A360DB" w:rsidRPr="00A360DB" w14:paraId="2F5EF6B1"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C726DD2"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3.1. Vlastiti prihodi</w:t>
            </w:r>
          </w:p>
        </w:tc>
        <w:tc>
          <w:tcPr>
            <w:tcW w:w="1480" w:type="dxa"/>
            <w:tcBorders>
              <w:top w:val="nil"/>
              <w:left w:val="nil"/>
              <w:bottom w:val="nil"/>
              <w:right w:val="nil"/>
            </w:tcBorders>
            <w:shd w:val="clear" w:color="auto" w:fill="auto"/>
            <w:noWrap/>
            <w:vAlign w:val="bottom"/>
            <w:hideMark/>
          </w:tcPr>
          <w:p w14:paraId="1CEBCBE3"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750,00</w:t>
            </w:r>
          </w:p>
        </w:tc>
        <w:tc>
          <w:tcPr>
            <w:tcW w:w="1380" w:type="dxa"/>
            <w:tcBorders>
              <w:top w:val="nil"/>
              <w:left w:val="nil"/>
              <w:bottom w:val="nil"/>
              <w:right w:val="nil"/>
            </w:tcBorders>
            <w:shd w:val="clear" w:color="auto" w:fill="auto"/>
            <w:noWrap/>
            <w:vAlign w:val="bottom"/>
            <w:hideMark/>
          </w:tcPr>
          <w:p w14:paraId="1CF97897"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750,00</w:t>
            </w:r>
          </w:p>
        </w:tc>
        <w:tc>
          <w:tcPr>
            <w:tcW w:w="1400" w:type="dxa"/>
            <w:tcBorders>
              <w:top w:val="nil"/>
              <w:left w:val="nil"/>
              <w:bottom w:val="nil"/>
              <w:right w:val="nil"/>
            </w:tcBorders>
            <w:shd w:val="clear" w:color="auto" w:fill="auto"/>
            <w:noWrap/>
            <w:vAlign w:val="bottom"/>
            <w:hideMark/>
          </w:tcPr>
          <w:p w14:paraId="29940A61"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w:t>
            </w:r>
          </w:p>
        </w:tc>
      </w:tr>
      <w:tr w:rsidR="00A360DB" w:rsidRPr="00A360DB" w14:paraId="440EA98B" w14:textId="77777777" w:rsidTr="00A360DB">
        <w:trPr>
          <w:trHeight w:val="240"/>
        </w:trPr>
        <w:tc>
          <w:tcPr>
            <w:tcW w:w="1697" w:type="dxa"/>
            <w:tcBorders>
              <w:top w:val="nil"/>
              <w:left w:val="nil"/>
              <w:bottom w:val="nil"/>
              <w:right w:val="nil"/>
            </w:tcBorders>
            <w:shd w:val="clear" w:color="auto" w:fill="auto"/>
            <w:noWrap/>
            <w:vAlign w:val="bottom"/>
            <w:hideMark/>
          </w:tcPr>
          <w:p w14:paraId="692ABAC4"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274BE292"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253FCE1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750,00</w:t>
            </w:r>
          </w:p>
        </w:tc>
        <w:tc>
          <w:tcPr>
            <w:tcW w:w="1380" w:type="dxa"/>
            <w:tcBorders>
              <w:top w:val="nil"/>
              <w:left w:val="nil"/>
              <w:bottom w:val="nil"/>
              <w:right w:val="nil"/>
            </w:tcBorders>
            <w:shd w:val="clear" w:color="auto" w:fill="auto"/>
            <w:noWrap/>
            <w:vAlign w:val="bottom"/>
            <w:hideMark/>
          </w:tcPr>
          <w:p w14:paraId="1BD0F92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750,00</w:t>
            </w:r>
          </w:p>
        </w:tc>
        <w:tc>
          <w:tcPr>
            <w:tcW w:w="1400" w:type="dxa"/>
            <w:tcBorders>
              <w:top w:val="nil"/>
              <w:left w:val="nil"/>
              <w:bottom w:val="nil"/>
              <w:right w:val="nil"/>
            </w:tcBorders>
            <w:shd w:val="clear" w:color="auto" w:fill="auto"/>
            <w:noWrap/>
            <w:vAlign w:val="bottom"/>
            <w:hideMark/>
          </w:tcPr>
          <w:p w14:paraId="3AF42A7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r>
      <w:tr w:rsidR="00A360DB" w:rsidRPr="00A360DB" w14:paraId="550D788C" w14:textId="77777777" w:rsidTr="00A360DB">
        <w:trPr>
          <w:trHeight w:val="240"/>
        </w:trPr>
        <w:tc>
          <w:tcPr>
            <w:tcW w:w="1697" w:type="dxa"/>
            <w:tcBorders>
              <w:top w:val="nil"/>
              <w:left w:val="nil"/>
              <w:bottom w:val="nil"/>
              <w:right w:val="nil"/>
            </w:tcBorders>
            <w:shd w:val="clear" w:color="auto" w:fill="auto"/>
            <w:noWrap/>
            <w:vAlign w:val="bottom"/>
            <w:hideMark/>
          </w:tcPr>
          <w:p w14:paraId="018B12D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3232</w:t>
            </w:r>
          </w:p>
        </w:tc>
        <w:tc>
          <w:tcPr>
            <w:tcW w:w="8509" w:type="dxa"/>
            <w:tcBorders>
              <w:top w:val="nil"/>
              <w:left w:val="nil"/>
              <w:bottom w:val="nil"/>
              <w:right w:val="nil"/>
            </w:tcBorders>
            <w:shd w:val="clear" w:color="auto" w:fill="auto"/>
            <w:noWrap/>
            <w:vAlign w:val="bottom"/>
            <w:hideMark/>
          </w:tcPr>
          <w:p w14:paraId="4F5D7CD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Usluge tekućeg i investicijskog održavanja                                                          </w:t>
            </w:r>
          </w:p>
        </w:tc>
        <w:tc>
          <w:tcPr>
            <w:tcW w:w="1480" w:type="dxa"/>
            <w:tcBorders>
              <w:top w:val="nil"/>
              <w:left w:val="nil"/>
              <w:bottom w:val="nil"/>
              <w:right w:val="nil"/>
            </w:tcBorders>
            <w:shd w:val="clear" w:color="auto" w:fill="auto"/>
            <w:noWrap/>
            <w:vAlign w:val="bottom"/>
            <w:hideMark/>
          </w:tcPr>
          <w:p w14:paraId="508A542A"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5CBA653"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750,00</w:t>
            </w:r>
          </w:p>
        </w:tc>
        <w:tc>
          <w:tcPr>
            <w:tcW w:w="1400" w:type="dxa"/>
            <w:tcBorders>
              <w:top w:val="nil"/>
              <w:left w:val="nil"/>
              <w:bottom w:val="nil"/>
              <w:right w:val="nil"/>
            </w:tcBorders>
            <w:shd w:val="clear" w:color="auto" w:fill="auto"/>
            <w:noWrap/>
            <w:vAlign w:val="bottom"/>
            <w:hideMark/>
          </w:tcPr>
          <w:p w14:paraId="50B89A8A"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D2927C4" w14:textId="77777777" w:rsidTr="00A360DB">
        <w:trPr>
          <w:trHeight w:val="240"/>
        </w:trPr>
        <w:tc>
          <w:tcPr>
            <w:tcW w:w="1697" w:type="dxa"/>
            <w:tcBorders>
              <w:top w:val="nil"/>
              <w:left w:val="nil"/>
              <w:bottom w:val="nil"/>
              <w:right w:val="nil"/>
            </w:tcBorders>
            <w:shd w:val="clear" w:color="000000" w:fill="B4C6E7"/>
            <w:noWrap/>
            <w:vAlign w:val="bottom"/>
            <w:hideMark/>
          </w:tcPr>
          <w:p w14:paraId="00D67997"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K100601</w:t>
            </w:r>
          </w:p>
        </w:tc>
        <w:tc>
          <w:tcPr>
            <w:tcW w:w="8509" w:type="dxa"/>
            <w:tcBorders>
              <w:top w:val="nil"/>
              <w:left w:val="nil"/>
              <w:bottom w:val="nil"/>
              <w:right w:val="nil"/>
            </w:tcBorders>
            <w:shd w:val="clear" w:color="000000" w:fill="B4C6E7"/>
            <w:noWrap/>
            <w:vAlign w:val="bottom"/>
            <w:hideMark/>
          </w:tcPr>
          <w:p w14:paraId="3F034A75"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Kapitalni projekt: Opremanje knjižnice</w:t>
            </w:r>
          </w:p>
        </w:tc>
        <w:tc>
          <w:tcPr>
            <w:tcW w:w="1480" w:type="dxa"/>
            <w:tcBorders>
              <w:top w:val="nil"/>
              <w:left w:val="nil"/>
              <w:bottom w:val="nil"/>
              <w:right w:val="nil"/>
            </w:tcBorders>
            <w:shd w:val="clear" w:color="000000" w:fill="B4C6E7"/>
            <w:noWrap/>
            <w:vAlign w:val="bottom"/>
            <w:hideMark/>
          </w:tcPr>
          <w:p w14:paraId="7C4C319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33.290,00</w:t>
            </w:r>
          </w:p>
        </w:tc>
        <w:tc>
          <w:tcPr>
            <w:tcW w:w="1380" w:type="dxa"/>
            <w:tcBorders>
              <w:top w:val="nil"/>
              <w:left w:val="nil"/>
              <w:bottom w:val="nil"/>
              <w:right w:val="nil"/>
            </w:tcBorders>
            <w:shd w:val="clear" w:color="000000" w:fill="B4C6E7"/>
            <w:noWrap/>
            <w:vAlign w:val="bottom"/>
            <w:hideMark/>
          </w:tcPr>
          <w:p w14:paraId="1218217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32.231,37</w:t>
            </w:r>
          </w:p>
        </w:tc>
        <w:tc>
          <w:tcPr>
            <w:tcW w:w="1400" w:type="dxa"/>
            <w:tcBorders>
              <w:top w:val="nil"/>
              <w:left w:val="nil"/>
              <w:bottom w:val="nil"/>
              <w:right w:val="nil"/>
            </w:tcBorders>
            <w:shd w:val="clear" w:color="000000" w:fill="B4C6E7"/>
            <w:noWrap/>
            <w:vAlign w:val="bottom"/>
            <w:hideMark/>
          </w:tcPr>
          <w:p w14:paraId="42C7919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96,82%</w:t>
            </w:r>
          </w:p>
        </w:tc>
      </w:tr>
      <w:tr w:rsidR="00A360DB" w:rsidRPr="00A360DB" w14:paraId="6E4AFFE7"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2EE78935"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lastRenderedPageBreak/>
              <w:t>Izvor 1. Opći prihodi i primici</w:t>
            </w:r>
          </w:p>
        </w:tc>
        <w:tc>
          <w:tcPr>
            <w:tcW w:w="1480" w:type="dxa"/>
            <w:tcBorders>
              <w:top w:val="nil"/>
              <w:left w:val="nil"/>
              <w:bottom w:val="nil"/>
              <w:right w:val="nil"/>
            </w:tcBorders>
            <w:shd w:val="clear" w:color="auto" w:fill="auto"/>
            <w:noWrap/>
            <w:vAlign w:val="bottom"/>
            <w:hideMark/>
          </w:tcPr>
          <w:p w14:paraId="03878B9A"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7.900,00</w:t>
            </w:r>
          </w:p>
        </w:tc>
        <w:tc>
          <w:tcPr>
            <w:tcW w:w="1380" w:type="dxa"/>
            <w:tcBorders>
              <w:top w:val="nil"/>
              <w:left w:val="nil"/>
              <w:bottom w:val="nil"/>
              <w:right w:val="nil"/>
            </w:tcBorders>
            <w:shd w:val="clear" w:color="auto" w:fill="auto"/>
            <w:noWrap/>
            <w:vAlign w:val="bottom"/>
            <w:hideMark/>
          </w:tcPr>
          <w:p w14:paraId="02034227"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6.866,92</w:t>
            </w:r>
          </w:p>
        </w:tc>
        <w:tc>
          <w:tcPr>
            <w:tcW w:w="1400" w:type="dxa"/>
            <w:tcBorders>
              <w:top w:val="nil"/>
              <w:left w:val="nil"/>
              <w:bottom w:val="nil"/>
              <w:right w:val="nil"/>
            </w:tcBorders>
            <w:shd w:val="clear" w:color="auto" w:fill="auto"/>
            <w:noWrap/>
            <w:vAlign w:val="bottom"/>
            <w:hideMark/>
          </w:tcPr>
          <w:p w14:paraId="520D9647"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86,92%</w:t>
            </w:r>
          </w:p>
        </w:tc>
      </w:tr>
      <w:tr w:rsidR="00A360DB" w:rsidRPr="00A360DB" w14:paraId="4BEDAE56"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E483727"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4378C549"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7.900,00</w:t>
            </w:r>
          </w:p>
        </w:tc>
        <w:tc>
          <w:tcPr>
            <w:tcW w:w="1380" w:type="dxa"/>
            <w:tcBorders>
              <w:top w:val="nil"/>
              <w:left w:val="nil"/>
              <w:bottom w:val="nil"/>
              <w:right w:val="nil"/>
            </w:tcBorders>
            <w:shd w:val="clear" w:color="auto" w:fill="auto"/>
            <w:noWrap/>
            <w:vAlign w:val="bottom"/>
            <w:hideMark/>
          </w:tcPr>
          <w:p w14:paraId="0B354D80"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6.866,92</w:t>
            </w:r>
          </w:p>
        </w:tc>
        <w:tc>
          <w:tcPr>
            <w:tcW w:w="1400" w:type="dxa"/>
            <w:tcBorders>
              <w:top w:val="nil"/>
              <w:left w:val="nil"/>
              <w:bottom w:val="nil"/>
              <w:right w:val="nil"/>
            </w:tcBorders>
            <w:shd w:val="clear" w:color="auto" w:fill="auto"/>
            <w:noWrap/>
            <w:vAlign w:val="bottom"/>
            <w:hideMark/>
          </w:tcPr>
          <w:p w14:paraId="16EAE206"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86,92%</w:t>
            </w:r>
          </w:p>
        </w:tc>
      </w:tr>
      <w:tr w:rsidR="00A360DB" w:rsidRPr="00A360DB" w14:paraId="5221692A" w14:textId="77777777" w:rsidTr="00A360DB">
        <w:trPr>
          <w:trHeight w:val="240"/>
        </w:trPr>
        <w:tc>
          <w:tcPr>
            <w:tcW w:w="1697" w:type="dxa"/>
            <w:tcBorders>
              <w:top w:val="nil"/>
              <w:left w:val="nil"/>
              <w:bottom w:val="nil"/>
              <w:right w:val="nil"/>
            </w:tcBorders>
            <w:shd w:val="clear" w:color="auto" w:fill="auto"/>
            <w:noWrap/>
            <w:vAlign w:val="bottom"/>
            <w:hideMark/>
          </w:tcPr>
          <w:p w14:paraId="7845EEE2"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42</w:t>
            </w:r>
          </w:p>
        </w:tc>
        <w:tc>
          <w:tcPr>
            <w:tcW w:w="8509" w:type="dxa"/>
            <w:tcBorders>
              <w:top w:val="nil"/>
              <w:left w:val="nil"/>
              <w:bottom w:val="nil"/>
              <w:right w:val="nil"/>
            </w:tcBorders>
            <w:shd w:val="clear" w:color="auto" w:fill="auto"/>
            <w:noWrap/>
            <w:vAlign w:val="bottom"/>
            <w:hideMark/>
          </w:tcPr>
          <w:p w14:paraId="2DEA458B"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nabavu proizvedene dugotrajne imovine                                                    </w:t>
            </w:r>
          </w:p>
        </w:tc>
        <w:tc>
          <w:tcPr>
            <w:tcW w:w="1480" w:type="dxa"/>
            <w:tcBorders>
              <w:top w:val="nil"/>
              <w:left w:val="nil"/>
              <w:bottom w:val="nil"/>
              <w:right w:val="nil"/>
            </w:tcBorders>
            <w:shd w:val="clear" w:color="auto" w:fill="auto"/>
            <w:noWrap/>
            <w:vAlign w:val="bottom"/>
            <w:hideMark/>
          </w:tcPr>
          <w:p w14:paraId="0F7ABFA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7.900,00</w:t>
            </w:r>
          </w:p>
        </w:tc>
        <w:tc>
          <w:tcPr>
            <w:tcW w:w="1380" w:type="dxa"/>
            <w:tcBorders>
              <w:top w:val="nil"/>
              <w:left w:val="nil"/>
              <w:bottom w:val="nil"/>
              <w:right w:val="nil"/>
            </w:tcBorders>
            <w:shd w:val="clear" w:color="auto" w:fill="auto"/>
            <w:noWrap/>
            <w:vAlign w:val="bottom"/>
            <w:hideMark/>
          </w:tcPr>
          <w:p w14:paraId="7316976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6.866,92</w:t>
            </w:r>
          </w:p>
        </w:tc>
        <w:tc>
          <w:tcPr>
            <w:tcW w:w="1400" w:type="dxa"/>
            <w:tcBorders>
              <w:top w:val="nil"/>
              <w:left w:val="nil"/>
              <w:bottom w:val="nil"/>
              <w:right w:val="nil"/>
            </w:tcBorders>
            <w:shd w:val="clear" w:color="auto" w:fill="auto"/>
            <w:noWrap/>
            <w:vAlign w:val="bottom"/>
            <w:hideMark/>
          </w:tcPr>
          <w:p w14:paraId="44BAECF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86,92%</w:t>
            </w:r>
          </w:p>
        </w:tc>
      </w:tr>
      <w:tr w:rsidR="00A360DB" w:rsidRPr="00A360DB" w14:paraId="085EC3BA" w14:textId="77777777" w:rsidTr="00A360DB">
        <w:trPr>
          <w:trHeight w:val="240"/>
        </w:trPr>
        <w:tc>
          <w:tcPr>
            <w:tcW w:w="1697" w:type="dxa"/>
            <w:tcBorders>
              <w:top w:val="nil"/>
              <w:left w:val="nil"/>
              <w:bottom w:val="nil"/>
              <w:right w:val="nil"/>
            </w:tcBorders>
            <w:shd w:val="clear" w:color="auto" w:fill="auto"/>
            <w:noWrap/>
            <w:vAlign w:val="bottom"/>
            <w:hideMark/>
          </w:tcPr>
          <w:p w14:paraId="66CC5B4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4221</w:t>
            </w:r>
          </w:p>
        </w:tc>
        <w:tc>
          <w:tcPr>
            <w:tcW w:w="8509" w:type="dxa"/>
            <w:tcBorders>
              <w:top w:val="nil"/>
              <w:left w:val="nil"/>
              <w:bottom w:val="nil"/>
              <w:right w:val="nil"/>
            </w:tcBorders>
            <w:shd w:val="clear" w:color="auto" w:fill="auto"/>
            <w:noWrap/>
            <w:vAlign w:val="bottom"/>
            <w:hideMark/>
          </w:tcPr>
          <w:p w14:paraId="48D5B52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Uredska oprema i namještaj                                                                          </w:t>
            </w:r>
          </w:p>
        </w:tc>
        <w:tc>
          <w:tcPr>
            <w:tcW w:w="1480" w:type="dxa"/>
            <w:tcBorders>
              <w:top w:val="nil"/>
              <w:left w:val="nil"/>
              <w:bottom w:val="nil"/>
              <w:right w:val="nil"/>
            </w:tcBorders>
            <w:shd w:val="clear" w:color="auto" w:fill="auto"/>
            <w:noWrap/>
            <w:vAlign w:val="bottom"/>
            <w:hideMark/>
          </w:tcPr>
          <w:p w14:paraId="4992E877"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23ECF486"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1.013,74</w:t>
            </w:r>
          </w:p>
        </w:tc>
        <w:tc>
          <w:tcPr>
            <w:tcW w:w="1400" w:type="dxa"/>
            <w:tcBorders>
              <w:top w:val="nil"/>
              <w:left w:val="nil"/>
              <w:bottom w:val="nil"/>
              <w:right w:val="nil"/>
            </w:tcBorders>
            <w:shd w:val="clear" w:color="auto" w:fill="auto"/>
            <w:noWrap/>
            <w:vAlign w:val="bottom"/>
            <w:hideMark/>
          </w:tcPr>
          <w:p w14:paraId="546D839B"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D74D19E" w14:textId="77777777" w:rsidTr="00A360DB">
        <w:trPr>
          <w:trHeight w:val="240"/>
        </w:trPr>
        <w:tc>
          <w:tcPr>
            <w:tcW w:w="1697" w:type="dxa"/>
            <w:tcBorders>
              <w:top w:val="nil"/>
              <w:left w:val="nil"/>
              <w:bottom w:val="nil"/>
              <w:right w:val="nil"/>
            </w:tcBorders>
            <w:shd w:val="clear" w:color="auto" w:fill="auto"/>
            <w:noWrap/>
            <w:vAlign w:val="bottom"/>
            <w:hideMark/>
          </w:tcPr>
          <w:p w14:paraId="3687780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4241</w:t>
            </w:r>
          </w:p>
        </w:tc>
        <w:tc>
          <w:tcPr>
            <w:tcW w:w="8509" w:type="dxa"/>
            <w:tcBorders>
              <w:top w:val="nil"/>
              <w:left w:val="nil"/>
              <w:bottom w:val="nil"/>
              <w:right w:val="nil"/>
            </w:tcBorders>
            <w:shd w:val="clear" w:color="auto" w:fill="auto"/>
            <w:noWrap/>
            <w:vAlign w:val="bottom"/>
            <w:hideMark/>
          </w:tcPr>
          <w:p w14:paraId="0615A7D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Knjige                                                                                              </w:t>
            </w:r>
          </w:p>
        </w:tc>
        <w:tc>
          <w:tcPr>
            <w:tcW w:w="1480" w:type="dxa"/>
            <w:tcBorders>
              <w:top w:val="nil"/>
              <w:left w:val="nil"/>
              <w:bottom w:val="nil"/>
              <w:right w:val="nil"/>
            </w:tcBorders>
            <w:shd w:val="clear" w:color="auto" w:fill="auto"/>
            <w:noWrap/>
            <w:vAlign w:val="bottom"/>
            <w:hideMark/>
          </w:tcPr>
          <w:p w14:paraId="07D505DA"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124E43C1"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5.853,18</w:t>
            </w:r>
          </w:p>
        </w:tc>
        <w:tc>
          <w:tcPr>
            <w:tcW w:w="1400" w:type="dxa"/>
            <w:tcBorders>
              <w:top w:val="nil"/>
              <w:left w:val="nil"/>
              <w:bottom w:val="nil"/>
              <w:right w:val="nil"/>
            </w:tcBorders>
            <w:shd w:val="clear" w:color="auto" w:fill="auto"/>
            <w:noWrap/>
            <w:vAlign w:val="bottom"/>
            <w:hideMark/>
          </w:tcPr>
          <w:p w14:paraId="5F8A087F"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17931E7"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159A804E"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5. Pomoći</w:t>
            </w:r>
          </w:p>
        </w:tc>
        <w:tc>
          <w:tcPr>
            <w:tcW w:w="1480" w:type="dxa"/>
            <w:tcBorders>
              <w:top w:val="nil"/>
              <w:left w:val="nil"/>
              <w:bottom w:val="nil"/>
              <w:right w:val="nil"/>
            </w:tcBorders>
            <w:shd w:val="clear" w:color="auto" w:fill="auto"/>
            <w:noWrap/>
            <w:vAlign w:val="bottom"/>
            <w:hideMark/>
          </w:tcPr>
          <w:p w14:paraId="6338E502"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25.390,00</w:t>
            </w:r>
          </w:p>
        </w:tc>
        <w:tc>
          <w:tcPr>
            <w:tcW w:w="1380" w:type="dxa"/>
            <w:tcBorders>
              <w:top w:val="nil"/>
              <w:left w:val="nil"/>
              <w:bottom w:val="nil"/>
              <w:right w:val="nil"/>
            </w:tcBorders>
            <w:shd w:val="clear" w:color="auto" w:fill="auto"/>
            <w:noWrap/>
            <w:vAlign w:val="bottom"/>
            <w:hideMark/>
          </w:tcPr>
          <w:p w14:paraId="18B6722B"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25.364,45</w:t>
            </w:r>
          </w:p>
        </w:tc>
        <w:tc>
          <w:tcPr>
            <w:tcW w:w="1400" w:type="dxa"/>
            <w:tcBorders>
              <w:top w:val="nil"/>
              <w:left w:val="nil"/>
              <w:bottom w:val="nil"/>
              <w:right w:val="nil"/>
            </w:tcBorders>
            <w:shd w:val="clear" w:color="auto" w:fill="auto"/>
            <w:noWrap/>
            <w:vAlign w:val="bottom"/>
            <w:hideMark/>
          </w:tcPr>
          <w:p w14:paraId="2A469970"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99,90%</w:t>
            </w:r>
          </w:p>
        </w:tc>
      </w:tr>
      <w:tr w:rsidR="00A360DB" w:rsidRPr="00A360DB" w14:paraId="41743734"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517C716A"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5.2. Državni proračun</w:t>
            </w:r>
          </w:p>
        </w:tc>
        <w:tc>
          <w:tcPr>
            <w:tcW w:w="1480" w:type="dxa"/>
            <w:tcBorders>
              <w:top w:val="nil"/>
              <w:left w:val="nil"/>
              <w:bottom w:val="nil"/>
              <w:right w:val="nil"/>
            </w:tcBorders>
            <w:shd w:val="clear" w:color="auto" w:fill="auto"/>
            <w:noWrap/>
            <w:vAlign w:val="bottom"/>
            <w:hideMark/>
          </w:tcPr>
          <w:p w14:paraId="2E17CB26"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22.690,00</w:t>
            </w:r>
          </w:p>
        </w:tc>
        <w:tc>
          <w:tcPr>
            <w:tcW w:w="1380" w:type="dxa"/>
            <w:tcBorders>
              <w:top w:val="nil"/>
              <w:left w:val="nil"/>
              <w:bottom w:val="nil"/>
              <w:right w:val="nil"/>
            </w:tcBorders>
            <w:shd w:val="clear" w:color="auto" w:fill="auto"/>
            <w:noWrap/>
            <w:vAlign w:val="bottom"/>
            <w:hideMark/>
          </w:tcPr>
          <w:p w14:paraId="61D929E6"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22.690,00</w:t>
            </w:r>
          </w:p>
        </w:tc>
        <w:tc>
          <w:tcPr>
            <w:tcW w:w="1400" w:type="dxa"/>
            <w:tcBorders>
              <w:top w:val="nil"/>
              <w:left w:val="nil"/>
              <w:bottom w:val="nil"/>
              <w:right w:val="nil"/>
            </w:tcBorders>
            <w:shd w:val="clear" w:color="auto" w:fill="auto"/>
            <w:noWrap/>
            <w:vAlign w:val="bottom"/>
            <w:hideMark/>
          </w:tcPr>
          <w:p w14:paraId="63294620"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w:t>
            </w:r>
          </w:p>
        </w:tc>
      </w:tr>
      <w:tr w:rsidR="00A360DB" w:rsidRPr="00A360DB" w14:paraId="2676A89F" w14:textId="77777777" w:rsidTr="00A360DB">
        <w:trPr>
          <w:trHeight w:val="240"/>
        </w:trPr>
        <w:tc>
          <w:tcPr>
            <w:tcW w:w="1697" w:type="dxa"/>
            <w:tcBorders>
              <w:top w:val="nil"/>
              <w:left w:val="nil"/>
              <w:bottom w:val="nil"/>
              <w:right w:val="nil"/>
            </w:tcBorders>
            <w:shd w:val="clear" w:color="auto" w:fill="auto"/>
            <w:noWrap/>
            <w:vAlign w:val="bottom"/>
            <w:hideMark/>
          </w:tcPr>
          <w:p w14:paraId="2276B037"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42</w:t>
            </w:r>
          </w:p>
        </w:tc>
        <w:tc>
          <w:tcPr>
            <w:tcW w:w="8509" w:type="dxa"/>
            <w:tcBorders>
              <w:top w:val="nil"/>
              <w:left w:val="nil"/>
              <w:bottom w:val="nil"/>
              <w:right w:val="nil"/>
            </w:tcBorders>
            <w:shd w:val="clear" w:color="auto" w:fill="auto"/>
            <w:noWrap/>
            <w:vAlign w:val="bottom"/>
            <w:hideMark/>
          </w:tcPr>
          <w:p w14:paraId="3E52FE27"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nabavu proizvedene dugotrajne imovine                                                    </w:t>
            </w:r>
          </w:p>
        </w:tc>
        <w:tc>
          <w:tcPr>
            <w:tcW w:w="1480" w:type="dxa"/>
            <w:tcBorders>
              <w:top w:val="nil"/>
              <w:left w:val="nil"/>
              <w:bottom w:val="nil"/>
              <w:right w:val="nil"/>
            </w:tcBorders>
            <w:shd w:val="clear" w:color="auto" w:fill="auto"/>
            <w:noWrap/>
            <w:vAlign w:val="bottom"/>
            <w:hideMark/>
          </w:tcPr>
          <w:p w14:paraId="10ED05A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22.690,00</w:t>
            </w:r>
          </w:p>
        </w:tc>
        <w:tc>
          <w:tcPr>
            <w:tcW w:w="1380" w:type="dxa"/>
            <w:tcBorders>
              <w:top w:val="nil"/>
              <w:left w:val="nil"/>
              <w:bottom w:val="nil"/>
              <w:right w:val="nil"/>
            </w:tcBorders>
            <w:shd w:val="clear" w:color="auto" w:fill="auto"/>
            <w:noWrap/>
            <w:vAlign w:val="bottom"/>
            <w:hideMark/>
          </w:tcPr>
          <w:p w14:paraId="6FFE5ED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22.690,00</w:t>
            </w:r>
          </w:p>
        </w:tc>
        <w:tc>
          <w:tcPr>
            <w:tcW w:w="1400" w:type="dxa"/>
            <w:tcBorders>
              <w:top w:val="nil"/>
              <w:left w:val="nil"/>
              <w:bottom w:val="nil"/>
              <w:right w:val="nil"/>
            </w:tcBorders>
            <w:shd w:val="clear" w:color="auto" w:fill="auto"/>
            <w:noWrap/>
            <w:vAlign w:val="bottom"/>
            <w:hideMark/>
          </w:tcPr>
          <w:p w14:paraId="0C8A088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r>
      <w:tr w:rsidR="00A360DB" w:rsidRPr="00A360DB" w14:paraId="3A02BC55" w14:textId="77777777" w:rsidTr="00A360DB">
        <w:trPr>
          <w:trHeight w:val="240"/>
        </w:trPr>
        <w:tc>
          <w:tcPr>
            <w:tcW w:w="1697" w:type="dxa"/>
            <w:tcBorders>
              <w:top w:val="nil"/>
              <w:left w:val="nil"/>
              <w:bottom w:val="nil"/>
              <w:right w:val="nil"/>
            </w:tcBorders>
            <w:shd w:val="clear" w:color="auto" w:fill="auto"/>
            <w:noWrap/>
            <w:vAlign w:val="bottom"/>
            <w:hideMark/>
          </w:tcPr>
          <w:p w14:paraId="312F935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4221</w:t>
            </w:r>
          </w:p>
        </w:tc>
        <w:tc>
          <w:tcPr>
            <w:tcW w:w="8509" w:type="dxa"/>
            <w:tcBorders>
              <w:top w:val="nil"/>
              <w:left w:val="nil"/>
              <w:bottom w:val="nil"/>
              <w:right w:val="nil"/>
            </w:tcBorders>
            <w:shd w:val="clear" w:color="auto" w:fill="auto"/>
            <w:noWrap/>
            <w:vAlign w:val="bottom"/>
            <w:hideMark/>
          </w:tcPr>
          <w:p w14:paraId="093501B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Uredska oprema i namještaj                                                                          </w:t>
            </w:r>
          </w:p>
        </w:tc>
        <w:tc>
          <w:tcPr>
            <w:tcW w:w="1480" w:type="dxa"/>
            <w:tcBorders>
              <w:top w:val="nil"/>
              <w:left w:val="nil"/>
              <w:bottom w:val="nil"/>
              <w:right w:val="nil"/>
            </w:tcBorders>
            <w:shd w:val="clear" w:color="auto" w:fill="auto"/>
            <w:noWrap/>
            <w:vAlign w:val="bottom"/>
            <w:hideMark/>
          </w:tcPr>
          <w:p w14:paraId="518FCCC1"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14AEEAF2"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290,00</w:t>
            </w:r>
          </w:p>
        </w:tc>
        <w:tc>
          <w:tcPr>
            <w:tcW w:w="1400" w:type="dxa"/>
            <w:tcBorders>
              <w:top w:val="nil"/>
              <w:left w:val="nil"/>
              <w:bottom w:val="nil"/>
              <w:right w:val="nil"/>
            </w:tcBorders>
            <w:shd w:val="clear" w:color="auto" w:fill="auto"/>
            <w:noWrap/>
            <w:vAlign w:val="bottom"/>
            <w:hideMark/>
          </w:tcPr>
          <w:p w14:paraId="15780FCC"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40C769F" w14:textId="77777777" w:rsidTr="00A360DB">
        <w:trPr>
          <w:trHeight w:val="240"/>
        </w:trPr>
        <w:tc>
          <w:tcPr>
            <w:tcW w:w="1697" w:type="dxa"/>
            <w:tcBorders>
              <w:top w:val="nil"/>
              <w:left w:val="nil"/>
              <w:bottom w:val="nil"/>
              <w:right w:val="nil"/>
            </w:tcBorders>
            <w:shd w:val="clear" w:color="auto" w:fill="auto"/>
            <w:noWrap/>
            <w:vAlign w:val="bottom"/>
            <w:hideMark/>
          </w:tcPr>
          <w:p w14:paraId="15FFDDB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4241</w:t>
            </w:r>
          </w:p>
        </w:tc>
        <w:tc>
          <w:tcPr>
            <w:tcW w:w="8509" w:type="dxa"/>
            <w:tcBorders>
              <w:top w:val="nil"/>
              <w:left w:val="nil"/>
              <w:bottom w:val="nil"/>
              <w:right w:val="nil"/>
            </w:tcBorders>
            <w:shd w:val="clear" w:color="auto" w:fill="auto"/>
            <w:noWrap/>
            <w:vAlign w:val="bottom"/>
            <w:hideMark/>
          </w:tcPr>
          <w:p w14:paraId="13E8E72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Knjige                                                                                              </w:t>
            </w:r>
          </w:p>
        </w:tc>
        <w:tc>
          <w:tcPr>
            <w:tcW w:w="1480" w:type="dxa"/>
            <w:tcBorders>
              <w:top w:val="nil"/>
              <w:left w:val="nil"/>
              <w:bottom w:val="nil"/>
              <w:right w:val="nil"/>
            </w:tcBorders>
            <w:shd w:val="clear" w:color="auto" w:fill="auto"/>
            <w:noWrap/>
            <w:vAlign w:val="bottom"/>
            <w:hideMark/>
          </w:tcPr>
          <w:p w14:paraId="68F9B0AA"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DFB6B9C"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22.400,00</w:t>
            </w:r>
          </w:p>
        </w:tc>
        <w:tc>
          <w:tcPr>
            <w:tcW w:w="1400" w:type="dxa"/>
            <w:tcBorders>
              <w:top w:val="nil"/>
              <w:left w:val="nil"/>
              <w:bottom w:val="nil"/>
              <w:right w:val="nil"/>
            </w:tcBorders>
            <w:shd w:val="clear" w:color="auto" w:fill="auto"/>
            <w:noWrap/>
            <w:vAlign w:val="bottom"/>
            <w:hideMark/>
          </w:tcPr>
          <w:p w14:paraId="415C1132"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7E20ECA"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D2F61DD"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5.5. Općinski proračun</w:t>
            </w:r>
          </w:p>
        </w:tc>
        <w:tc>
          <w:tcPr>
            <w:tcW w:w="1480" w:type="dxa"/>
            <w:tcBorders>
              <w:top w:val="nil"/>
              <w:left w:val="nil"/>
              <w:bottom w:val="nil"/>
              <w:right w:val="nil"/>
            </w:tcBorders>
            <w:shd w:val="clear" w:color="auto" w:fill="auto"/>
            <w:noWrap/>
            <w:vAlign w:val="bottom"/>
            <w:hideMark/>
          </w:tcPr>
          <w:p w14:paraId="4DCA4CA7"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2.700,00</w:t>
            </w:r>
          </w:p>
        </w:tc>
        <w:tc>
          <w:tcPr>
            <w:tcW w:w="1380" w:type="dxa"/>
            <w:tcBorders>
              <w:top w:val="nil"/>
              <w:left w:val="nil"/>
              <w:bottom w:val="nil"/>
              <w:right w:val="nil"/>
            </w:tcBorders>
            <w:shd w:val="clear" w:color="auto" w:fill="auto"/>
            <w:noWrap/>
            <w:vAlign w:val="bottom"/>
            <w:hideMark/>
          </w:tcPr>
          <w:p w14:paraId="64EB75C3"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2.674,45</w:t>
            </w:r>
          </w:p>
        </w:tc>
        <w:tc>
          <w:tcPr>
            <w:tcW w:w="1400" w:type="dxa"/>
            <w:tcBorders>
              <w:top w:val="nil"/>
              <w:left w:val="nil"/>
              <w:bottom w:val="nil"/>
              <w:right w:val="nil"/>
            </w:tcBorders>
            <w:shd w:val="clear" w:color="auto" w:fill="auto"/>
            <w:noWrap/>
            <w:vAlign w:val="bottom"/>
            <w:hideMark/>
          </w:tcPr>
          <w:p w14:paraId="3811A48A"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99,05%</w:t>
            </w:r>
          </w:p>
        </w:tc>
      </w:tr>
      <w:tr w:rsidR="00A360DB" w:rsidRPr="00A360DB" w14:paraId="0DBAF862" w14:textId="77777777" w:rsidTr="00A360DB">
        <w:trPr>
          <w:trHeight w:val="240"/>
        </w:trPr>
        <w:tc>
          <w:tcPr>
            <w:tcW w:w="1697" w:type="dxa"/>
            <w:tcBorders>
              <w:top w:val="nil"/>
              <w:left w:val="nil"/>
              <w:bottom w:val="nil"/>
              <w:right w:val="nil"/>
            </w:tcBorders>
            <w:shd w:val="clear" w:color="auto" w:fill="auto"/>
            <w:noWrap/>
            <w:vAlign w:val="bottom"/>
            <w:hideMark/>
          </w:tcPr>
          <w:p w14:paraId="565E07E4"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42</w:t>
            </w:r>
          </w:p>
        </w:tc>
        <w:tc>
          <w:tcPr>
            <w:tcW w:w="8509" w:type="dxa"/>
            <w:tcBorders>
              <w:top w:val="nil"/>
              <w:left w:val="nil"/>
              <w:bottom w:val="nil"/>
              <w:right w:val="nil"/>
            </w:tcBorders>
            <w:shd w:val="clear" w:color="auto" w:fill="auto"/>
            <w:noWrap/>
            <w:vAlign w:val="bottom"/>
            <w:hideMark/>
          </w:tcPr>
          <w:p w14:paraId="70618B9E"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nabavu proizvedene dugotrajne imovine                                                    </w:t>
            </w:r>
          </w:p>
        </w:tc>
        <w:tc>
          <w:tcPr>
            <w:tcW w:w="1480" w:type="dxa"/>
            <w:tcBorders>
              <w:top w:val="nil"/>
              <w:left w:val="nil"/>
              <w:bottom w:val="nil"/>
              <w:right w:val="nil"/>
            </w:tcBorders>
            <w:shd w:val="clear" w:color="auto" w:fill="auto"/>
            <w:noWrap/>
            <w:vAlign w:val="bottom"/>
            <w:hideMark/>
          </w:tcPr>
          <w:p w14:paraId="69362BC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2.700,00</w:t>
            </w:r>
          </w:p>
        </w:tc>
        <w:tc>
          <w:tcPr>
            <w:tcW w:w="1380" w:type="dxa"/>
            <w:tcBorders>
              <w:top w:val="nil"/>
              <w:left w:val="nil"/>
              <w:bottom w:val="nil"/>
              <w:right w:val="nil"/>
            </w:tcBorders>
            <w:shd w:val="clear" w:color="auto" w:fill="auto"/>
            <w:noWrap/>
            <w:vAlign w:val="bottom"/>
            <w:hideMark/>
          </w:tcPr>
          <w:p w14:paraId="5E3A430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2.674,45</w:t>
            </w:r>
          </w:p>
        </w:tc>
        <w:tc>
          <w:tcPr>
            <w:tcW w:w="1400" w:type="dxa"/>
            <w:tcBorders>
              <w:top w:val="nil"/>
              <w:left w:val="nil"/>
              <w:bottom w:val="nil"/>
              <w:right w:val="nil"/>
            </w:tcBorders>
            <w:shd w:val="clear" w:color="auto" w:fill="auto"/>
            <w:noWrap/>
            <w:vAlign w:val="bottom"/>
            <w:hideMark/>
          </w:tcPr>
          <w:p w14:paraId="7C2AB6F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99,05%</w:t>
            </w:r>
          </w:p>
        </w:tc>
      </w:tr>
      <w:tr w:rsidR="00A360DB" w:rsidRPr="00A360DB" w14:paraId="1E25C55E" w14:textId="77777777" w:rsidTr="00A360DB">
        <w:trPr>
          <w:trHeight w:val="240"/>
        </w:trPr>
        <w:tc>
          <w:tcPr>
            <w:tcW w:w="1697" w:type="dxa"/>
            <w:tcBorders>
              <w:top w:val="nil"/>
              <w:left w:val="nil"/>
              <w:bottom w:val="nil"/>
              <w:right w:val="nil"/>
            </w:tcBorders>
            <w:shd w:val="clear" w:color="auto" w:fill="auto"/>
            <w:noWrap/>
            <w:vAlign w:val="bottom"/>
            <w:hideMark/>
          </w:tcPr>
          <w:p w14:paraId="58D76D7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4241</w:t>
            </w:r>
          </w:p>
        </w:tc>
        <w:tc>
          <w:tcPr>
            <w:tcW w:w="8509" w:type="dxa"/>
            <w:tcBorders>
              <w:top w:val="nil"/>
              <w:left w:val="nil"/>
              <w:bottom w:val="nil"/>
              <w:right w:val="nil"/>
            </w:tcBorders>
            <w:shd w:val="clear" w:color="auto" w:fill="auto"/>
            <w:noWrap/>
            <w:vAlign w:val="bottom"/>
            <w:hideMark/>
          </w:tcPr>
          <w:p w14:paraId="5B8E577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Knjige                                                                                              </w:t>
            </w:r>
          </w:p>
        </w:tc>
        <w:tc>
          <w:tcPr>
            <w:tcW w:w="1480" w:type="dxa"/>
            <w:tcBorders>
              <w:top w:val="nil"/>
              <w:left w:val="nil"/>
              <w:bottom w:val="nil"/>
              <w:right w:val="nil"/>
            </w:tcBorders>
            <w:shd w:val="clear" w:color="auto" w:fill="auto"/>
            <w:noWrap/>
            <w:vAlign w:val="bottom"/>
            <w:hideMark/>
          </w:tcPr>
          <w:p w14:paraId="7EBEAB79"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3C53E16"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2.674,45</w:t>
            </w:r>
          </w:p>
        </w:tc>
        <w:tc>
          <w:tcPr>
            <w:tcW w:w="1400" w:type="dxa"/>
            <w:tcBorders>
              <w:top w:val="nil"/>
              <w:left w:val="nil"/>
              <w:bottom w:val="nil"/>
              <w:right w:val="nil"/>
            </w:tcBorders>
            <w:shd w:val="clear" w:color="auto" w:fill="auto"/>
            <w:noWrap/>
            <w:vAlign w:val="bottom"/>
            <w:hideMark/>
          </w:tcPr>
          <w:p w14:paraId="70EBB904"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D6AF561" w14:textId="77777777" w:rsidTr="00A360DB">
        <w:trPr>
          <w:trHeight w:val="240"/>
        </w:trPr>
        <w:tc>
          <w:tcPr>
            <w:tcW w:w="10206" w:type="dxa"/>
            <w:gridSpan w:val="2"/>
            <w:tcBorders>
              <w:top w:val="nil"/>
              <w:left w:val="nil"/>
              <w:bottom w:val="nil"/>
              <w:right w:val="nil"/>
            </w:tcBorders>
            <w:shd w:val="clear" w:color="000000" w:fill="8994FB"/>
            <w:noWrap/>
            <w:vAlign w:val="bottom"/>
            <w:hideMark/>
          </w:tcPr>
          <w:p w14:paraId="2A1164D1"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GLAVA 00205 JAVNA USTANOVA </w:t>
            </w:r>
          </w:p>
        </w:tc>
        <w:tc>
          <w:tcPr>
            <w:tcW w:w="1480" w:type="dxa"/>
            <w:tcBorders>
              <w:top w:val="nil"/>
              <w:left w:val="nil"/>
              <w:bottom w:val="nil"/>
              <w:right w:val="nil"/>
            </w:tcBorders>
            <w:shd w:val="clear" w:color="000000" w:fill="8994FB"/>
            <w:noWrap/>
            <w:vAlign w:val="bottom"/>
            <w:hideMark/>
          </w:tcPr>
          <w:p w14:paraId="78556C3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166.570,00</w:t>
            </w:r>
          </w:p>
        </w:tc>
        <w:tc>
          <w:tcPr>
            <w:tcW w:w="1380" w:type="dxa"/>
            <w:tcBorders>
              <w:top w:val="nil"/>
              <w:left w:val="nil"/>
              <w:bottom w:val="nil"/>
              <w:right w:val="nil"/>
            </w:tcBorders>
            <w:shd w:val="clear" w:color="000000" w:fill="8994FB"/>
            <w:noWrap/>
            <w:vAlign w:val="bottom"/>
            <w:hideMark/>
          </w:tcPr>
          <w:p w14:paraId="002515A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150.198,45</w:t>
            </w:r>
          </w:p>
        </w:tc>
        <w:tc>
          <w:tcPr>
            <w:tcW w:w="1400" w:type="dxa"/>
            <w:tcBorders>
              <w:top w:val="nil"/>
              <w:left w:val="nil"/>
              <w:bottom w:val="nil"/>
              <w:right w:val="nil"/>
            </w:tcBorders>
            <w:shd w:val="clear" w:color="000000" w:fill="8994FB"/>
            <w:noWrap/>
            <w:vAlign w:val="bottom"/>
            <w:hideMark/>
          </w:tcPr>
          <w:p w14:paraId="29BB9C6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90,17%</w:t>
            </w:r>
          </w:p>
        </w:tc>
      </w:tr>
      <w:tr w:rsidR="00A360DB" w:rsidRPr="00A360DB" w14:paraId="03C17C76" w14:textId="77777777" w:rsidTr="00A360DB">
        <w:trPr>
          <w:trHeight w:val="240"/>
        </w:trPr>
        <w:tc>
          <w:tcPr>
            <w:tcW w:w="10206" w:type="dxa"/>
            <w:gridSpan w:val="2"/>
            <w:tcBorders>
              <w:top w:val="nil"/>
              <w:left w:val="nil"/>
              <w:bottom w:val="nil"/>
              <w:right w:val="nil"/>
            </w:tcBorders>
            <w:shd w:val="clear" w:color="000000" w:fill="8994FB"/>
            <w:noWrap/>
            <w:vAlign w:val="bottom"/>
            <w:hideMark/>
          </w:tcPr>
          <w:p w14:paraId="2B545EAF"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PROR. KORISNIK 52581 JAVNA USTANOVA GAREŠNICA</w:t>
            </w:r>
          </w:p>
        </w:tc>
        <w:tc>
          <w:tcPr>
            <w:tcW w:w="1480" w:type="dxa"/>
            <w:tcBorders>
              <w:top w:val="nil"/>
              <w:left w:val="nil"/>
              <w:bottom w:val="nil"/>
              <w:right w:val="nil"/>
            </w:tcBorders>
            <w:shd w:val="clear" w:color="000000" w:fill="8994FB"/>
            <w:noWrap/>
            <w:vAlign w:val="bottom"/>
            <w:hideMark/>
          </w:tcPr>
          <w:p w14:paraId="5EC12E3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166.570,00</w:t>
            </w:r>
          </w:p>
        </w:tc>
        <w:tc>
          <w:tcPr>
            <w:tcW w:w="1380" w:type="dxa"/>
            <w:tcBorders>
              <w:top w:val="nil"/>
              <w:left w:val="nil"/>
              <w:bottom w:val="nil"/>
              <w:right w:val="nil"/>
            </w:tcBorders>
            <w:shd w:val="clear" w:color="000000" w:fill="8994FB"/>
            <w:noWrap/>
            <w:vAlign w:val="bottom"/>
            <w:hideMark/>
          </w:tcPr>
          <w:p w14:paraId="34181C7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150.198,45</w:t>
            </w:r>
          </w:p>
        </w:tc>
        <w:tc>
          <w:tcPr>
            <w:tcW w:w="1400" w:type="dxa"/>
            <w:tcBorders>
              <w:top w:val="nil"/>
              <w:left w:val="nil"/>
              <w:bottom w:val="nil"/>
              <w:right w:val="nil"/>
            </w:tcBorders>
            <w:shd w:val="clear" w:color="000000" w:fill="8994FB"/>
            <w:noWrap/>
            <w:vAlign w:val="bottom"/>
            <w:hideMark/>
          </w:tcPr>
          <w:p w14:paraId="1C08416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90,17%</w:t>
            </w:r>
          </w:p>
        </w:tc>
      </w:tr>
      <w:tr w:rsidR="00A360DB" w:rsidRPr="00A360DB" w14:paraId="2BC99037"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30D07A42"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48EF031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146.360,00</w:t>
            </w:r>
          </w:p>
        </w:tc>
        <w:tc>
          <w:tcPr>
            <w:tcW w:w="1380" w:type="dxa"/>
            <w:tcBorders>
              <w:top w:val="nil"/>
              <w:left w:val="nil"/>
              <w:bottom w:val="nil"/>
              <w:right w:val="nil"/>
            </w:tcBorders>
            <w:shd w:val="clear" w:color="auto" w:fill="auto"/>
            <w:noWrap/>
            <w:vAlign w:val="bottom"/>
            <w:hideMark/>
          </w:tcPr>
          <w:p w14:paraId="1455EC96"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135.885,06</w:t>
            </w:r>
          </w:p>
        </w:tc>
        <w:tc>
          <w:tcPr>
            <w:tcW w:w="1400" w:type="dxa"/>
            <w:tcBorders>
              <w:top w:val="nil"/>
              <w:left w:val="nil"/>
              <w:bottom w:val="nil"/>
              <w:right w:val="nil"/>
            </w:tcBorders>
            <w:shd w:val="clear" w:color="auto" w:fill="auto"/>
            <w:noWrap/>
            <w:vAlign w:val="bottom"/>
            <w:hideMark/>
          </w:tcPr>
          <w:p w14:paraId="3F61F38F"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92,84%</w:t>
            </w:r>
          </w:p>
        </w:tc>
      </w:tr>
      <w:tr w:rsidR="00A360DB" w:rsidRPr="00A360DB" w14:paraId="22B4753D"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EAE4A98"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2F70A766"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146.360,00</w:t>
            </w:r>
          </w:p>
        </w:tc>
        <w:tc>
          <w:tcPr>
            <w:tcW w:w="1380" w:type="dxa"/>
            <w:tcBorders>
              <w:top w:val="nil"/>
              <w:left w:val="nil"/>
              <w:bottom w:val="nil"/>
              <w:right w:val="nil"/>
            </w:tcBorders>
            <w:shd w:val="clear" w:color="auto" w:fill="auto"/>
            <w:noWrap/>
            <w:vAlign w:val="bottom"/>
            <w:hideMark/>
          </w:tcPr>
          <w:p w14:paraId="0FD2C967"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135.885,06</w:t>
            </w:r>
          </w:p>
        </w:tc>
        <w:tc>
          <w:tcPr>
            <w:tcW w:w="1400" w:type="dxa"/>
            <w:tcBorders>
              <w:top w:val="nil"/>
              <w:left w:val="nil"/>
              <w:bottom w:val="nil"/>
              <w:right w:val="nil"/>
            </w:tcBorders>
            <w:shd w:val="clear" w:color="auto" w:fill="auto"/>
            <w:noWrap/>
            <w:vAlign w:val="bottom"/>
            <w:hideMark/>
          </w:tcPr>
          <w:p w14:paraId="248523A0"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92,84%</w:t>
            </w:r>
          </w:p>
        </w:tc>
      </w:tr>
      <w:tr w:rsidR="00A360DB" w:rsidRPr="00A360DB" w14:paraId="3DAEDCD3"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0025CE9"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3. Vlastiti prihodi</w:t>
            </w:r>
          </w:p>
        </w:tc>
        <w:tc>
          <w:tcPr>
            <w:tcW w:w="1480" w:type="dxa"/>
            <w:tcBorders>
              <w:top w:val="nil"/>
              <w:left w:val="nil"/>
              <w:bottom w:val="nil"/>
              <w:right w:val="nil"/>
            </w:tcBorders>
            <w:shd w:val="clear" w:color="auto" w:fill="auto"/>
            <w:noWrap/>
            <w:vAlign w:val="bottom"/>
            <w:hideMark/>
          </w:tcPr>
          <w:p w14:paraId="75B30F83"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16.955,01</w:t>
            </w:r>
          </w:p>
        </w:tc>
        <w:tc>
          <w:tcPr>
            <w:tcW w:w="1380" w:type="dxa"/>
            <w:tcBorders>
              <w:top w:val="nil"/>
              <w:left w:val="nil"/>
              <w:bottom w:val="nil"/>
              <w:right w:val="nil"/>
            </w:tcBorders>
            <w:shd w:val="clear" w:color="auto" w:fill="auto"/>
            <w:noWrap/>
            <w:vAlign w:val="bottom"/>
            <w:hideMark/>
          </w:tcPr>
          <w:p w14:paraId="71670F9F"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11.058,40</w:t>
            </w:r>
          </w:p>
        </w:tc>
        <w:tc>
          <w:tcPr>
            <w:tcW w:w="1400" w:type="dxa"/>
            <w:tcBorders>
              <w:top w:val="nil"/>
              <w:left w:val="nil"/>
              <w:bottom w:val="nil"/>
              <w:right w:val="nil"/>
            </w:tcBorders>
            <w:shd w:val="clear" w:color="auto" w:fill="auto"/>
            <w:noWrap/>
            <w:vAlign w:val="bottom"/>
            <w:hideMark/>
          </w:tcPr>
          <w:p w14:paraId="19CF3848"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65,22%</w:t>
            </w:r>
          </w:p>
        </w:tc>
      </w:tr>
      <w:tr w:rsidR="00A360DB" w:rsidRPr="00A360DB" w14:paraId="47D634E4"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85A6D1B"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3.1. Vlastiti prihodi</w:t>
            </w:r>
          </w:p>
        </w:tc>
        <w:tc>
          <w:tcPr>
            <w:tcW w:w="1480" w:type="dxa"/>
            <w:tcBorders>
              <w:top w:val="nil"/>
              <w:left w:val="nil"/>
              <w:bottom w:val="nil"/>
              <w:right w:val="nil"/>
            </w:tcBorders>
            <w:shd w:val="clear" w:color="auto" w:fill="auto"/>
            <w:noWrap/>
            <w:vAlign w:val="bottom"/>
            <w:hideMark/>
          </w:tcPr>
          <w:p w14:paraId="40189893"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16.955,01</w:t>
            </w:r>
          </w:p>
        </w:tc>
        <w:tc>
          <w:tcPr>
            <w:tcW w:w="1380" w:type="dxa"/>
            <w:tcBorders>
              <w:top w:val="nil"/>
              <w:left w:val="nil"/>
              <w:bottom w:val="nil"/>
              <w:right w:val="nil"/>
            </w:tcBorders>
            <w:shd w:val="clear" w:color="auto" w:fill="auto"/>
            <w:noWrap/>
            <w:vAlign w:val="bottom"/>
            <w:hideMark/>
          </w:tcPr>
          <w:p w14:paraId="0AA20B4F"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11.058,40</w:t>
            </w:r>
          </w:p>
        </w:tc>
        <w:tc>
          <w:tcPr>
            <w:tcW w:w="1400" w:type="dxa"/>
            <w:tcBorders>
              <w:top w:val="nil"/>
              <w:left w:val="nil"/>
              <w:bottom w:val="nil"/>
              <w:right w:val="nil"/>
            </w:tcBorders>
            <w:shd w:val="clear" w:color="auto" w:fill="auto"/>
            <w:noWrap/>
            <w:vAlign w:val="bottom"/>
            <w:hideMark/>
          </w:tcPr>
          <w:p w14:paraId="05988941"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65,22%</w:t>
            </w:r>
          </w:p>
        </w:tc>
      </w:tr>
      <w:tr w:rsidR="00A360DB" w:rsidRPr="00A360DB" w14:paraId="30E927B0"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FB7E418"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6. Donacije</w:t>
            </w:r>
          </w:p>
        </w:tc>
        <w:tc>
          <w:tcPr>
            <w:tcW w:w="1480" w:type="dxa"/>
            <w:tcBorders>
              <w:top w:val="nil"/>
              <w:left w:val="nil"/>
              <w:bottom w:val="nil"/>
              <w:right w:val="nil"/>
            </w:tcBorders>
            <w:shd w:val="clear" w:color="auto" w:fill="auto"/>
            <w:noWrap/>
            <w:vAlign w:val="bottom"/>
            <w:hideMark/>
          </w:tcPr>
          <w:p w14:paraId="4CB661AE"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2.400,00</w:t>
            </w:r>
          </w:p>
        </w:tc>
        <w:tc>
          <w:tcPr>
            <w:tcW w:w="1380" w:type="dxa"/>
            <w:tcBorders>
              <w:top w:val="nil"/>
              <w:left w:val="nil"/>
              <w:bottom w:val="nil"/>
              <w:right w:val="nil"/>
            </w:tcBorders>
            <w:shd w:val="clear" w:color="auto" w:fill="auto"/>
            <w:noWrap/>
            <w:vAlign w:val="bottom"/>
            <w:hideMark/>
          </w:tcPr>
          <w:p w14:paraId="0BCE3EE2"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2.400,00</w:t>
            </w:r>
          </w:p>
        </w:tc>
        <w:tc>
          <w:tcPr>
            <w:tcW w:w="1400" w:type="dxa"/>
            <w:tcBorders>
              <w:top w:val="nil"/>
              <w:left w:val="nil"/>
              <w:bottom w:val="nil"/>
              <w:right w:val="nil"/>
            </w:tcBorders>
            <w:shd w:val="clear" w:color="auto" w:fill="auto"/>
            <w:noWrap/>
            <w:vAlign w:val="bottom"/>
            <w:hideMark/>
          </w:tcPr>
          <w:p w14:paraId="024F2272"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w:t>
            </w:r>
          </w:p>
        </w:tc>
      </w:tr>
      <w:tr w:rsidR="00A360DB" w:rsidRPr="00A360DB" w14:paraId="03DD9A59"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BA44E39"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6.1. Donacije</w:t>
            </w:r>
          </w:p>
        </w:tc>
        <w:tc>
          <w:tcPr>
            <w:tcW w:w="1480" w:type="dxa"/>
            <w:tcBorders>
              <w:top w:val="nil"/>
              <w:left w:val="nil"/>
              <w:bottom w:val="nil"/>
              <w:right w:val="nil"/>
            </w:tcBorders>
            <w:shd w:val="clear" w:color="auto" w:fill="auto"/>
            <w:noWrap/>
            <w:vAlign w:val="bottom"/>
            <w:hideMark/>
          </w:tcPr>
          <w:p w14:paraId="6959D5E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2.400,00</w:t>
            </w:r>
          </w:p>
        </w:tc>
        <w:tc>
          <w:tcPr>
            <w:tcW w:w="1380" w:type="dxa"/>
            <w:tcBorders>
              <w:top w:val="nil"/>
              <w:left w:val="nil"/>
              <w:bottom w:val="nil"/>
              <w:right w:val="nil"/>
            </w:tcBorders>
            <w:shd w:val="clear" w:color="auto" w:fill="auto"/>
            <w:noWrap/>
            <w:vAlign w:val="bottom"/>
            <w:hideMark/>
          </w:tcPr>
          <w:p w14:paraId="366F8F54"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2.400,00</w:t>
            </w:r>
          </w:p>
        </w:tc>
        <w:tc>
          <w:tcPr>
            <w:tcW w:w="1400" w:type="dxa"/>
            <w:tcBorders>
              <w:top w:val="nil"/>
              <w:left w:val="nil"/>
              <w:bottom w:val="nil"/>
              <w:right w:val="nil"/>
            </w:tcBorders>
            <w:shd w:val="clear" w:color="auto" w:fill="auto"/>
            <w:noWrap/>
            <w:vAlign w:val="bottom"/>
            <w:hideMark/>
          </w:tcPr>
          <w:p w14:paraId="70DA5AE3"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w:t>
            </w:r>
          </w:p>
        </w:tc>
      </w:tr>
      <w:tr w:rsidR="00A360DB" w:rsidRPr="00A360DB" w14:paraId="769FB20B"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77700C0"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9. Višak iz prethodnih razdoblja</w:t>
            </w:r>
          </w:p>
        </w:tc>
        <w:tc>
          <w:tcPr>
            <w:tcW w:w="1480" w:type="dxa"/>
            <w:tcBorders>
              <w:top w:val="nil"/>
              <w:left w:val="nil"/>
              <w:bottom w:val="nil"/>
              <w:right w:val="nil"/>
            </w:tcBorders>
            <w:shd w:val="clear" w:color="auto" w:fill="auto"/>
            <w:noWrap/>
            <w:vAlign w:val="bottom"/>
            <w:hideMark/>
          </w:tcPr>
          <w:p w14:paraId="5B64BD56"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854,99</w:t>
            </w:r>
          </w:p>
        </w:tc>
        <w:tc>
          <w:tcPr>
            <w:tcW w:w="1380" w:type="dxa"/>
            <w:tcBorders>
              <w:top w:val="nil"/>
              <w:left w:val="nil"/>
              <w:bottom w:val="nil"/>
              <w:right w:val="nil"/>
            </w:tcBorders>
            <w:shd w:val="clear" w:color="auto" w:fill="auto"/>
            <w:noWrap/>
            <w:vAlign w:val="bottom"/>
            <w:hideMark/>
          </w:tcPr>
          <w:p w14:paraId="42C0622F"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854,99</w:t>
            </w:r>
          </w:p>
        </w:tc>
        <w:tc>
          <w:tcPr>
            <w:tcW w:w="1400" w:type="dxa"/>
            <w:tcBorders>
              <w:top w:val="nil"/>
              <w:left w:val="nil"/>
              <w:bottom w:val="nil"/>
              <w:right w:val="nil"/>
            </w:tcBorders>
            <w:shd w:val="clear" w:color="auto" w:fill="auto"/>
            <w:noWrap/>
            <w:vAlign w:val="bottom"/>
            <w:hideMark/>
          </w:tcPr>
          <w:p w14:paraId="69838C06"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w:t>
            </w:r>
          </w:p>
        </w:tc>
      </w:tr>
      <w:tr w:rsidR="00A360DB" w:rsidRPr="00A360DB" w14:paraId="5B8FA7F1"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77E5777"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 xml:space="preserve">Izvor 9.1. Višak iz prethodnih godina - </w:t>
            </w:r>
            <w:proofErr w:type="spellStart"/>
            <w:r w:rsidRPr="00A360DB">
              <w:rPr>
                <w:rFonts w:ascii="Arial" w:hAnsi="Arial" w:cs="Arial"/>
                <w:color w:val="333333"/>
                <w:sz w:val="18"/>
                <w:szCs w:val="18"/>
                <w:lang w:eastAsia="hr-HR"/>
              </w:rPr>
              <w:t>Prorač.korisnici</w:t>
            </w:r>
            <w:proofErr w:type="spellEnd"/>
          </w:p>
        </w:tc>
        <w:tc>
          <w:tcPr>
            <w:tcW w:w="1480" w:type="dxa"/>
            <w:tcBorders>
              <w:top w:val="nil"/>
              <w:left w:val="nil"/>
              <w:bottom w:val="nil"/>
              <w:right w:val="nil"/>
            </w:tcBorders>
            <w:shd w:val="clear" w:color="auto" w:fill="auto"/>
            <w:noWrap/>
            <w:vAlign w:val="bottom"/>
            <w:hideMark/>
          </w:tcPr>
          <w:p w14:paraId="74EE59A7"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854,99</w:t>
            </w:r>
          </w:p>
        </w:tc>
        <w:tc>
          <w:tcPr>
            <w:tcW w:w="1380" w:type="dxa"/>
            <w:tcBorders>
              <w:top w:val="nil"/>
              <w:left w:val="nil"/>
              <w:bottom w:val="nil"/>
              <w:right w:val="nil"/>
            </w:tcBorders>
            <w:shd w:val="clear" w:color="auto" w:fill="auto"/>
            <w:noWrap/>
            <w:vAlign w:val="bottom"/>
            <w:hideMark/>
          </w:tcPr>
          <w:p w14:paraId="76F24B4F"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854,99</w:t>
            </w:r>
          </w:p>
        </w:tc>
        <w:tc>
          <w:tcPr>
            <w:tcW w:w="1400" w:type="dxa"/>
            <w:tcBorders>
              <w:top w:val="nil"/>
              <w:left w:val="nil"/>
              <w:bottom w:val="nil"/>
              <w:right w:val="nil"/>
            </w:tcBorders>
            <w:shd w:val="clear" w:color="auto" w:fill="auto"/>
            <w:noWrap/>
            <w:vAlign w:val="bottom"/>
            <w:hideMark/>
          </w:tcPr>
          <w:p w14:paraId="4840086A"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w:t>
            </w:r>
          </w:p>
        </w:tc>
      </w:tr>
      <w:tr w:rsidR="00A360DB" w:rsidRPr="00A360DB" w14:paraId="34836C80" w14:textId="77777777" w:rsidTr="00A360DB">
        <w:trPr>
          <w:trHeight w:val="240"/>
        </w:trPr>
        <w:tc>
          <w:tcPr>
            <w:tcW w:w="1697" w:type="dxa"/>
            <w:tcBorders>
              <w:top w:val="nil"/>
              <w:left w:val="nil"/>
              <w:bottom w:val="nil"/>
              <w:right w:val="nil"/>
            </w:tcBorders>
            <w:shd w:val="clear" w:color="000000" w:fill="1D4BB3"/>
            <w:noWrap/>
            <w:vAlign w:val="bottom"/>
            <w:hideMark/>
          </w:tcPr>
          <w:p w14:paraId="312AB5CC" w14:textId="77777777" w:rsidR="00A360DB" w:rsidRPr="00A360DB" w:rsidRDefault="00A360DB" w:rsidP="00A360DB">
            <w:pPr>
              <w:spacing w:after="0" w:line="240" w:lineRule="auto"/>
              <w:rPr>
                <w:rFonts w:ascii="Arial" w:hAnsi="Arial" w:cs="Arial"/>
                <w:b/>
                <w:bCs/>
                <w:color w:val="FFFFFF"/>
                <w:sz w:val="18"/>
                <w:szCs w:val="18"/>
                <w:lang w:eastAsia="hr-HR"/>
              </w:rPr>
            </w:pPr>
            <w:r w:rsidRPr="00A360DB">
              <w:rPr>
                <w:rFonts w:ascii="Arial" w:hAnsi="Arial" w:cs="Arial"/>
                <w:b/>
                <w:bCs/>
                <w:color w:val="FFFFFF"/>
                <w:sz w:val="18"/>
                <w:szCs w:val="18"/>
                <w:lang w:eastAsia="hr-HR"/>
              </w:rPr>
              <w:t>1014</w:t>
            </w:r>
          </w:p>
        </w:tc>
        <w:tc>
          <w:tcPr>
            <w:tcW w:w="8509" w:type="dxa"/>
            <w:tcBorders>
              <w:top w:val="nil"/>
              <w:left w:val="nil"/>
              <w:bottom w:val="nil"/>
              <w:right w:val="nil"/>
            </w:tcBorders>
            <w:shd w:val="clear" w:color="000000" w:fill="1D4BB3"/>
            <w:noWrap/>
            <w:vAlign w:val="bottom"/>
            <w:hideMark/>
          </w:tcPr>
          <w:p w14:paraId="4E8D2681" w14:textId="77777777" w:rsidR="00A360DB" w:rsidRPr="00A360DB" w:rsidRDefault="00A360DB" w:rsidP="00A360DB">
            <w:pPr>
              <w:spacing w:after="0" w:line="240" w:lineRule="auto"/>
              <w:rPr>
                <w:rFonts w:ascii="Arial" w:hAnsi="Arial" w:cs="Arial"/>
                <w:b/>
                <w:bCs/>
                <w:color w:val="FFFFFF"/>
                <w:sz w:val="18"/>
                <w:szCs w:val="18"/>
                <w:lang w:eastAsia="hr-HR"/>
              </w:rPr>
            </w:pPr>
            <w:r w:rsidRPr="00A360DB">
              <w:rPr>
                <w:rFonts w:ascii="Arial" w:hAnsi="Arial" w:cs="Arial"/>
                <w:b/>
                <w:bCs/>
                <w:color w:val="FFFFFF"/>
                <w:sz w:val="18"/>
                <w:szCs w:val="18"/>
                <w:lang w:eastAsia="hr-HR"/>
              </w:rPr>
              <w:t>Program: Poticanje razvoja turizma i zajednice</w:t>
            </w:r>
          </w:p>
        </w:tc>
        <w:tc>
          <w:tcPr>
            <w:tcW w:w="1480" w:type="dxa"/>
            <w:tcBorders>
              <w:top w:val="nil"/>
              <w:left w:val="nil"/>
              <w:bottom w:val="nil"/>
              <w:right w:val="nil"/>
            </w:tcBorders>
            <w:shd w:val="clear" w:color="000000" w:fill="1D4BB3"/>
            <w:noWrap/>
            <w:vAlign w:val="bottom"/>
            <w:hideMark/>
          </w:tcPr>
          <w:p w14:paraId="180B0313"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166.570,00</w:t>
            </w:r>
          </w:p>
        </w:tc>
        <w:tc>
          <w:tcPr>
            <w:tcW w:w="1380" w:type="dxa"/>
            <w:tcBorders>
              <w:top w:val="nil"/>
              <w:left w:val="nil"/>
              <w:bottom w:val="nil"/>
              <w:right w:val="nil"/>
            </w:tcBorders>
            <w:shd w:val="clear" w:color="000000" w:fill="1D4BB3"/>
            <w:noWrap/>
            <w:vAlign w:val="bottom"/>
            <w:hideMark/>
          </w:tcPr>
          <w:p w14:paraId="7981AC11"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150.198,45</w:t>
            </w:r>
          </w:p>
        </w:tc>
        <w:tc>
          <w:tcPr>
            <w:tcW w:w="1400" w:type="dxa"/>
            <w:tcBorders>
              <w:top w:val="nil"/>
              <w:left w:val="nil"/>
              <w:bottom w:val="nil"/>
              <w:right w:val="nil"/>
            </w:tcBorders>
            <w:shd w:val="clear" w:color="000000" w:fill="1D4BB3"/>
            <w:noWrap/>
            <w:vAlign w:val="bottom"/>
            <w:hideMark/>
          </w:tcPr>
          <w:p w14:paraId="7EB302E8"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90,17%</w:t>
            </w:r>
          </w:p>
        </w:tc>
      </w:tr>
      <w:tr w:rsidR="00A360DB" w:rsidRPr="00A360DB" w14:paraId="0ECD4032" w14:textId="77777777" w:rsidTr="00A360DB">
        <w:trPr>
          <w:trHeight w:val="240"/>
        </w:trPr>
        <w:tc>
          <w:tcPr>
            <w:tcW w:w="1697" w:type="dxa"/>
            <w:tcBorders>
              <w:top w:val="nil"/>
              <w:left w:val="nil"/>
              <w:bottom w:val="nil"/>
              <w:right w:val="nil"/>
            </w:tcBorders>
            <w:shd w:val="clear" w:color="000000" w:fill="B4C6E7"/>
            <w:noWrap/>
            <w:vAlign w:val="bottom"/>
            <w:hideMark/>
          </w:tcPr>
          <w:p w14:paraId="30E64BD5"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A101402</w:t>
            </w:r>
          </w:p>
        </w:tc>
        <w:tc>
          <w:tcPr>
            <w:tcW w:w="8509" w:type="dxa"/>
            <w:tcBorders>
              <w:top w:val="nil"/>
              <w:left w:val="nil"/>
              <w:bottom w:val="nil"/>
              <w:right w:val="nil"/>
            </w:tcBorders>
            <w:shd w:val="clear" w:color="000000" w:fill="B4C6E7"/>
            <w:noWrap/>
            <w:vAlign w:val="bottom"/>
            <w:hideMark/>
          </w:tcPr>
          <w:p w14:paraId="0DF80259"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Redovna djelatnost Javne ustanove Garešnica</w:t>
            </w:r>
          </w:p>
        </w:tc>
        <w:tc>
          <w:tcPr>
            <w:tcW w:w="1480" w:type="dxa"/>
            <w:tcBorders>
              <w:top w:val="nil"/>
              <w:left w:val="nil"/>
              <w:bottom w:val="nil"/>
              <w:right w:val="nil"/>
            </w:tcBorders>
            <w:shd w:val="clear" w:color="000000" w:fill="B4C6E7"/>
            <w:noWrap/>
            <w:vAlign w:val="bottom"/>
            <w:hideMark/>
          </w:tcPr>
          <w:p w14:paraId="7E7ECD3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158.470,00</w:t>
            </w:r>
          </w:p>
        </w:tc>
        <w:tc>
          <w:tcPr>
            <w:tcW w:w="1380" w:type="dxa"/>
            <w:tcBorders>
              <w:top w:val="nil"/>
              <w:left w:val="nil"/>
              <w:bottom w:val="nil"/>
              <w:right w:val="nil"/>
            </w:tcBorders>
            <w:shd w:val="clear" w:color="000000" w:fill="B4C6E7"/>
            <w:noWrap/>
            <w:vAlign w:val="bottom"/>
            <w:hideMark/>
          </w:tcPr>
          <w:p w14:paraId="6194DD9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144.255,00</w:t>
            </w:r>
          </w:p>
        </w:tc>
        <w:tc>
          <w:tcPr>
            <w:tcW w:w="1400" w:type="dxa"/>
            <w:tcBorders>
              <w:top w:val="nil"/>
              <w:left w:val="nil"/>
              <w:bottom w:val="nil"/>
              <w:right w:val="nil"/>
            </w:tcBorders>
            <w:shd w:val="clear" w:color="000000" w:fill="B4C6E7"/>
            <w:noWrap/>
            <w:vAlign w:val="bottom"/>
            <w:hideMark/>
          </w:tcPr>
          <w:p w14:paraId="27053BA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91,03%</w:t>
            </w:r>
          </w:p>
        </w:tc>
      </w:tr>
      <w:tr w:rsidR="00A360DB" w:rsidRPr="00A360DB" w14:paraId="12AAAC23"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324742F"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588A2DDA"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138.260,00</w:t>
            </w:r>
          </w:p>
        </w:tc>
        <w:tc>
          <w:tcPr>
            <w:tcW w:w="1380" w:type="dxa"/>
            <w:tcBorders>
              <w:top w:val="nil"/>
              <w:left w:val="nil"/>
              <w:bottom w:val="nil"/>
              <w:right w:val="nil"/>
            </w:tcBorders>
            <w:shd w:val="clear" w:color="auto" w:fill="auto"/>
            <w:noWrap/>
            <w:vAlign w:val="bottom"/>
            <w:hideMark/>
          </w:tcPr>
          <w:p w14:paraId="480DEAEC"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129.941,61</w:t>
            </w:r>
          </w:p>
        </w:tc>
        <w:tc>
          <w:tcPr>
            <w:tcW w:w="1400" w:type="dxa"/>
            <w:tcBorders>
              <w:top w:val="nil"/>
              <w:left w:val="nil"/>
              <w:bottom w:val="nil"/>
              <w:right w:val="nil"/>
            </w:tcBorders>
            <w:shd w:val="clear" w:color="auto" w:fill="auto"/>
            <w:noWrap/>
            <w:vAlign w:val="bottom"/>
            <w:hideMark/>
          </w:tcPr>
          <w:p w14:paraId="58FA3AB2"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93,98%</w:t>
            </w:r>
          </w:p>
        </w:tc>
      </w:tr>
      <w:tr w:rsidR="00A360DB" w:rsidRPr="00A360DB" w14:paraId="6EA059EA"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389A7CA7"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19ACE684"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138.260,00</w:t>
            </w:r>
          </w:p>
        </w:tc>
        <w:tc>
          <w:tcPr>
            <w:tcW w:w="1380" w:type="dxa"/>
            <w:tcBorders>
              <w:top w:val="nil"/>
              <w:left w:val="nil"/>
              <w:bottom w:val="nil"/>
              <w:right w:val="nil"/>
            </w:tcBorders>
            <w:shd w:val="clear" w:color="auto" w:fill="auto"/>
            <w:noWrap/>
            <w:vAlign w:val="bottom"/>
            <w:hideMark/>
          </w:tcPr>
          <w:p w14:paraId="1914133F"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129.941,61</w:t>
            </w:r>
          </w:p>
        </w:tc>
        <w:tc>
          <w:tcPr>
            <w:tcW w:w="1400" w:type="dxa"/>
            <w:tcBorders>
              <w:top w:val="nil"/>
              <w:left w:val="nil"/>
              <w:bottom w:val="nil"/>
              <w:right w:val="nil"/>
            </w:tcBorders>
            <w:shd w:val="clear" w:color="auto" w:fill="auto"/>
            <w:noWrap/>
            <w:vAlign w:val="bottom"/>
            <w:hideMark/>
          </w:tcPr>
          <w:p w14:paraId="323321B1"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93,98%</w:t>
            </w:r>
          </w:p>
        </w:tc>
      </w:tr>
      <w:tr w:rsidR="00A360DB" w:rsidRPr="00A360DB" w14:paraId="3301F17D" w14:textId="77777777" w:rsidTr="00A360DB">
        <w:trPr>
          <w:trHeight w:val="240"/>
        </w:trPr>
        <w:tc>
          <w:tcPr>
            <w:tcW w:w="1697" w:type="dxa"/>
            <w:tcBorders>
              <w:top w:val="nil"/>
              <w:left w:val="nil"/>
              <w:bottom w:val="nil"/>
              <w:right w:val="nil"/>
            </w:tcBorders>
            <w:shd w:val="clear" w:color="auto" w:fill="auto"/>
            <w:noWrap/>
            <w:vAlign w:val="bottom"/>
            <w:hideMark/>
          </w:tcPr>
          <w:p w14:paraId="18A66550"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31</w:t>
            </w:r>
          </w:p>
        </w:tc>
        <w:tc>
          <w:tcPr>
            <w:tcW w:w="8509" w:type="dxa"/>
            <w:tcBorders>
              <w:top w:val="nil"/>
              <w:left w:val="nil"/>
              <w:bottom w:val="nil"/>
              <w:right w:val="nil"/>
            </w:tcBorders>
            <w:shd w:val="clear" w:color="auto" w:fill="auto"/>
            <w:noWrap/>
            <w:vAlign w:val="bottom"/>
            <w:hideMark/>
          </w:tcPr>
          <w:p w14:paraId="428978EB"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zaposlene                                                                                </w:t>
            </w:r>
          </w:p>
        </w:tc>
        <w:tc>
          <w:tcPr>
            <w:tcW w:w="1480" w:type="dxa"/>
            <w:tcBorders>
              <w:top w:val="nil"/>
              <w:left w:val="nil"/>
              <w:bottom w:val="nil"/>
              <w:right w:val="nil"/>
            </w:tcBorders>
            <w:shd w:val="clear" w:color="auto" w:fill="auto"/>
            <w:noWrap/>
            <w:vAlign w:val="bottom"/>
            <w:hideMark/>
          </w:tcPr>
          <w:p w14:paraId="2EF0947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109.100,00</w:t>
            </w:r>
          </w:p>
        </w:tc>
        <w:tc>
          <w:tcPr>
            <w:tcW w:w="1380" w:type="dxa"/>
            <w:tcBorders>
              <w:top w:val="nil"/>
              <w:left w:val="nil"/>
              <w:bottom w:val="nil"/>
              <w:right w:val="nil"/>
            </w:tcBorders>
            <w:shd w:val="clear" w:color="auto" w:fill="auto"/>
            <w:noWrap/>
            <w:vAlign w:val="bottom"/>
            <w:hideMark/>
          </w:tcPr>
          <w:p w14:paraId="5E7C121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106.050,86</w:t>
            </w:r>
          </w:p>
        </w:tc>
        <w:tc>
          <w:tcPr>
            <w:tcW w:w="1400" w:type="dxa"/>
            <w:tcBorders>
              <w:top w:val="nil"/>
              <w:left w:val="nil"/>
              <w:bottom w:val="nil"/>
              <w:right w:val="nil"/>
            </w:tcBorders>
            <w:shd w:val="clear" w:color="auto" w:fill="auto"/>
            <w:noWrap/>
            <w:vAlign w:val="bottom"/>
            <w:hideMark/>
          </w:tcPr>
          <w:p w14:paraId="58CFB28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97,21%</w:t>
            </w:r>
          </w:p>
        </w:tc>
      </w:tr>
      <w:tr w:rsidR="00A360DB" w:rsidRPr="00A360DB" w14:paraId="56A97E73" w14:textId="77777777" w:rsidTr="00A360DB">
        <w:trPr>
          <w:trHeight w:val="240"/>
        </w:trPr>
        <w:tc>
          <w:tcPr>
            <w:tcW w:w="1697" w:type="dxa"/>
            <w:tcBorders>
              <w:top w:val="nil"/>
              <w:left w:val="nil"/>
              <w:bottom w:val="nil"/>
              <w:right w:val="nil"/>
            </w:tcBorders>
            <w:shd w:val="clear" w:color="auto" w:fill="auto"/>
            <w:noWrap/>
            <w:vAlign w:val="bottom"/>
            <w:hideMark/>
          </w:tcPr>
          <w:p w14:paraId="6C9A249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3111</w:t>
            </w:r>
          </w:p>
        </w:tc>
        <w:tc>
          <w:tcPr>
            <w:tcW w:w="8509" w:type="dxa"/>
            <w:tcBorders>
              <w:top w:val="nil"/>
              <w:left w:val="nil"/>
              <w:bottom w:val="nil"/>
              <w:right w:val="nil"/>
            </w:tcBorders>
            <w:shd w:val="clear" w:color="auto" w:fill="auto"/>
            <w:noWrap/>
            <w:vAlign w:val="bottom"/>
            <w:hideMark/>
          </w:tcPr>
          <w:p w14:paraId="7079DEE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Plaće za redovan rad                                                                                </w:t>
            </w:r>
          </w:p>
        </w:tc>
        <w:tc>
          <w:tcPr>
            <w:tcW w:w="1480" w:type="dxa"/>
            <w:tcBorders>
              <w:top w:val="nil"/>
              <w:left w:val="nil"/>
              <w:bottom w:val="nil"/>
              <w:right w:val="nil"/>
            </w:tcBorders>
            <w:shd w:val="clear" w:color="auto" w:fill="auto"/>
            <w:noWrap/>
            <w:vAlign w:val="bottom"/>
            <w:hideMark/>
          </w:tcPr>
          <w:p w14:paraId="0E6983D0"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0F27D16"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84.173,08</w:t>
            </w:r>
          </w:p>
        </w:tc>
        <w:tc>
          <w:tcPr>
            <w:tcW w:w="1400" w:type="dxa"/>
            <w:tcBorders>
              <w:top w:val="nil"/>
              <w:left w:val="nil"/>
              <w:bottom w:val="nil"/>
              <w:right w:val="nil"/>
            </w:tcBorders>
            <w:shd w:val="clear" w:color="auto" w:fill="auto"/>
            <w:noWrap/>
            <w:vAlign w:val="bottom"/>
            <w:hideMark/>
          </w:tcPr>
          <w:p w14:paraId="71B56325"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21A613F3" w14:textId="77777777" w:rsidTr="00A360DB">
        <w:trPr>
          <w:trHeight w:val="240"/>
        </w:trPr>
        <w:tc>
          <w:tcPr>
            <w:tcW w:w="1697" w:type="dxa"/>
            <w:tcBorders>
              <w:top w:val="nil"/>
              <w:left w:val="nil"/>
              <w:bottom w:val="nil"/>
              <w:right w:val="nil"/>
            </w:tcBorders>
            <w:shd w:val="clear" w:color="auto" w:fill="auto"/>
            <w:noWrap/>
            <w:vAlign w:val="bottom"/>
            <w:hideMark/>
          </w:tcPr>
          <w:p w14:paraId="3F64D878"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3121</w:t>
            </w:r>
          </w:p>
        </w:tc>
        <w:tc>
          <w:tcPr>
            <w:tcW w:w="8509" w:type="dxa"/>
            <w:tcBorders>
              <w:top w:val="nil"/>
              <w:left w:val="nil"/>
              <w:bottom w:val="nil"/>
              <w:right w:val="nil"/>
            </w:tcBorders>
            <w:shd w:val="clear" w:color="auto" w:fill="auto"/>
            <w:noWrap/>
            <w:vAlign w:val="bottom"/>
            <w:hideMark/>
          </w:tcPr>
          <w:p w14:paraId="1AD1538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Ostali rashodi za zaposlene                                                                         </w:t>
            </w:r>
          </w:p>
        </w:tc>
        <w:tc>
          <w:tcPr>
            <w:tcW w:w="1480" w:type="dxa"/>
            <w:tcBorders>
              <w:top w:val="nil"/>
              <w:left w:val="nil"/>
              <w:bottom w:val="nil"/>
              <w:right w:val="nil"/>
            </w:tcBorders>
            <w:shd w:val="clear" w:color="auto" w:fill="auto"/>
            <w:noWrap/>
            <w:vAlign w:val="bottom"/>
            <w:hideMark/>
          </w:tcPr>
          <w:p w14:paraId="6B7D4285"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F6DCD2C"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7.989,18</w:t>
            </w:r>
          </w:p>
        </w:tc>
        <w:tc>
          <w:tcPr>
            <w:tcW w:w="1400" w:type="dxa"/>
            <w:tcBorders>
              <w:top w:val="nil"/>
              <w:left w:val="nil"/>
              <w:bottom w:val="nil"/>
              <w:right w:val="nil"/>
            </w:tcBorders>
            <w:shd w:val="clear" w:color="auto" w:fill="auto"/>
            <w:noWrap/>
            <w:vAlign w:val="bottom"/>
            <w:hideMark/>
          </w:tcPr>
          <w:p w14:paraId="7264D757"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2B33C63" w14:textId="77777777" w:rsidTr="00A360DB">
        <w:trPr>
          <w:trHeight w:val="240"/>
        </w:trPr>
        <w:tc>
          <w:tcPr>
            <w:tcW w:w="1697" w:type="dxa"/>
            <w:tcBorders>
              <w:top w:val="nil"/>
              <w:left w:val="nil"/>
              <w:bottom w:val="nil"/>
              <w:right w:val="nil"/>
            </w:tcBorders>
            <w:shd w:val="clear" w:color="auto" w:fill="auto"/>
            <w:noWrap/>
            <w:vAlign w:val="bottom"/>
            <w:hideMark/>
          </w:tcPr>
          <w:p w14:paraId="7B58281E"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3132</w:t>
            </w:r>
          </w:p>
        </w:tc>
        <w:tc>
          <w:tcPr>
            <w:tcW w:w="8509" w:type="dxa"/>
            <w:tcBorders>
              <w:top w:val="nil"/>
              <w:left w:val="nil"/>
              <w:bottom w:val="nil"/>
              <w:right w:val="nil"/>
            </w:tcBorders>
            <w:shd w:val="clear" w:color="auto" w:fill="auto"/>
            <w:noWrap/>
            <w:vAlign w:val="bottom"/>
            <w:hideMark/>
          </w:tcPr>
          <w:p w14:paraId="0007F4B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Doprinosi za obvezno zdravstveno osiguranje                                                         </w:t>
            </w:r>
          </w:p>
        </w:tc>
        <w:tc>
          <w:tcPr>
            <w:tcW w:w="1480" w:type="dxa"/>
            <w:tcBorders>
              <w:top w:val="nil"/>
              <w:left w:val="nil"/>
              <w:bottom w:val="nil"/>
              <w:right w:val="nil"/>
            </w:tcBorders>
            <w:shd w:val="clear" w:color="auto" w:fill="auto"/>
            <w:noWrap/>
            <w:vAlign w:val="bottom"/>
            <w:hideMark/>
          </w:tcPr>
          <w:p w14:paraId="4C4501F4"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E68BAD2"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13.888,60</w:t>
            </w:r>
          </w:p>
        </w:tc>
        <w:tc>
          <w:tcPr>
            <w:tcW w:w="1400" w:type="dxa"/>
            <w:tcBorders>
              <w:top w:val="nil"/>
              <w:left w:val="nil"/>
              <w:bottom w:val="nil"/>
              <w:right w:val="nil"/>
            </w:tcBorders>
            <w:shd w:val="clear" w:color="auto" w:fill="auto"/>
            <w:noWrap/>
            <w:vAlign w:val="bottom"/>
            <w:hideMark/>
          </w:tcPr>
          <w:p w14:paraId="62D3CED9"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3751452" w14:textId="77777777" w:rsidTr="00A360DB">
        <w:trPr>
          <w:trHeight w:val="240"/>
        </w:trPr>
        <w:tc>
          <w:tcPr>
            <w:tcW w:w="1697" w:type="dxa"/>
            <w:tcBorders>
              <w:top w:val="nil"/>
              <w:left w:val="nil"/>
              <w:bottom w:val="nil"/>
              <w:right w:val="nil"/>
            </w:tcBorders>
            <w:shd w:val="clear" w:color="auto" w:fill="auto"/>
            <w:noWrap/>
            <w:vAlign w:val="bottom"/>
            <w:hideMark/>
          </w:tcPr>
          <w:p w14:paraId="61208ED5"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39147EBC"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624EC7B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29.060,00</w:t>
            </w:r>
          </w:p>
        </w:tc>
        <w:tc>
          <w:tcPr>
            <w:tcW w:w="1380" w:type="dxa"/>
            <w:tcBorders>
              <w:top w:val="nil"/>
              <w:left w:val="nil"/>
              <w:bottom w:val="nil"/>
              <w:right w:val="nil"/>
            </w:tcBorders>
            <w:shd w:val="clear" w:color="auto" w:fill="auto"/>
            <w:noWrap/>
            <w:vAlign w:val="bottom"/>
            <w:hideMark/>
          </w:tcPr>
          <w:p w14:paraId="0350940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23.890,75</w:t>
            </w:r>
          </w:p>
        </w:tc>
        <w:tc>
          <w:tcPr>
            <w:tcW w:w="1400" w:type="dxa"/>
            <w:tcBorders>
              <w:top w:val="nil"/>
              <w:left w:val="nil"/>
              <w:bottom w:val="nil"/>
              <w:right w:val="nil"/>
            </w:tcBorders>
            <w:shd w:val="clear" w:color="auto" w:fill="auto"/>
            <w:noWrap/>
            <w:vAlign w:val="bottom"/>
            <w:hideMark/>
          </w:tcPr>
          <w:p w14:paraId="454B43C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82,21%</w:t>
            </w:r>
          </w:p>
        </w:tc>
      </w:tr>
      <w:tr w:rsidR="00A360DB" w:rsidRPr="00A360DB" w14:paraId="3B750DA4" w14:textId="77777777" w:rsidTr="00A360DB">
        <w:trPr>
          <w:trHeight w:val="240"/>
        </w:trPr>
        <w:tc>
          <w:tcPr>
            <w:tcW w:w="1697" w:type="dxa"/>
            <w:tcBorders>
              <w:top w:val="nil"/>
              <w:left w:val="nil"/>
              <w:bottom w:val="nil"/>
              <w:right w:val="nil"/>
            </w:tcBorders>
            <w:shd w:val="clear" w:color="auto" w:fill="auto"/>
            <w:noWrap/>
            <w:vAlign w:val="bottom"/>
            <w:hideMark/>
          </w:tcPr>
          <w:p w14:paraId="6D99808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3211</w:t>
            </w:r>
          </w:p>
        </w:tc>
        <w:tc>
          <w:tcPr>
            <w:tcW w:w="8509" w:type="dxa"/>
            <w:tcBorders>
              <w:top w:val="nil"/>
              <w:left w:val="nil"/>
              <w:bottom w:val="nil"/>
              <w:right w:val="nil"/>
            </w:tcBorders>
            <w:shd w:val="clear" w:color="auto" w:fill="auto"/>
            <w:noWrap/>
            <w:vAlign w:val="bottom"/>
            <w:hideMark/>
          </w:tcPr>
          <w:p w14:paraId="34E3B24D"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Službena putovanja                                                                                  </w:t>
            </w:r>
          </w:p>
        </w:tc>
        <w:tc>
          <w:tcPr>
            <w:tcW w:w="1480" w:type="dxa"/>
            <w:tcBorders>
              <w:top w:val="nil"/>
              <w:left w:val="nil"/>
              <w:bottom w:val="nil"/>
              <w:right w:val="nil"/>
            </w:tcBorders>
            <w:shd w:val="clear" w:color="auto" w:fill="auto"/>
            <w:noWrap/>
            <w:vAlign w:val="bottom"/>
            <w:hideMark/>
          </w:tcPr>
          <w:p w14:paraId="1E3BFAEF"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E1656D2"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366,20</w:t>
            </w:r>
          </w:p>
        </w:tc>
        <w:tc>
          <w:tcPr>
            <w:tcW w:w="1400" w:type="dxa"/>
            <w:tcBorders>
              <w:top w:val="nil"/>
              <w:left w:val="nil"/>
              <w:bottom w:val="nil"/>
              <w:right w:val="nil"/>
            </w:tcBorders>
            <w:shd w:val="clear" w:color="auto" w:fill="auto"/>
            <w:noWrap/>
            <w:vAlign w:val="bottom"/>
            <w:hideMark/>
          </w:tcPr>
          <w:p w14:paraId="3A0DB8BD"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C4C0B98" w14:textId="77777777" w:rsidTr="00A360DB">
        <w:trPr>
          <w:trHeight w:val="240"/>
        </w:trPr>
        <w:tc>
          <w:tcPr>
            <w:tcW w:w="1697" w:type="dxa"/>
            <w:tcBorders>
              <w:top w:val="nil"/>
              <w:left w:val="nil"/>
              <w:bottom w:val="nil"/>
              <w:right w:val="nil"/>
            </w:tcBorders>
            <w:shd w:val="clear" w:color="auto" w:fill="auto"/>
            <w:noWrap/>
            <w:vAlign w:val="bottom"/>
            <w:hideMark/>
          </w:tcPr>
          <w:p w14:paraId="1499246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3212</w:t>
            </w:r>
          </w:p>
        </w:tc>
        <w:tc>
          <w:tcPr>
            <w:tcW w:w="8509" w:type="dxa"/>
            <w:tcBorders>
              <w:top w:val="nil"/>
              <w:left w:val="nil"/>
              <w:bottom w:val="nil"/>
              <w:right w:val="nil"/>
            </w:tcBorders>
            <w:shd w:val="clear" w:color="auto" w:fill="auto"/>
            <w:noWrap/>
            <w:vAlign w:val="bottom"/>
            <w:hideMark/>
          </w:tcPr>
          <w:p w14:paraId="52160C0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Naknade za prijevoz, za rad na terenu i odvojeni život                                              </w:t>
            </w:r>
          </w:p>
        </w:tc>
        <w:tc>
          <w:tcPr>
            <w:tcW w:w="1480" w:type="dxa"/>
            <w:tcBorders>
              <w:top w:val="nil"/>
              <w:left w:val="nil"/>
              <w:bottom w:val="nil"/>
              <w:right w:val="nil"/>
            </w:tcBorders>
            <w:shd w:val="clear" w:color="auto" w:fill="auto"/>
            <w:noWrap/>
            <w:vAlign w:val="bottom"/>
            <w:hideMark/>
          </w:tcPr>
          <w:p w14:paraId="32D88AD7"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8531E37"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1.059,26</w:t>
            </w:r>
          </w:p>
        </w:tc>
        <w:tc>
          <w:tcPr>
            <w:tcW w:w="1400" w:type="dxa"/>
            <w:tcBorders>
              <w:top w:val="nil"/>
              <w:left w:val="nil"/>
              <w:bottom w:val="nil"/>
              <w:right w:val="nil"/>
            </w:tcBorders>
            <w:shd w:val="clear" w:color="auto" w:fill="auto"/>
            <w:noWrap/>
            <w:vAlign w:val="bottom"/>
            <w:hideMark/>
          </w:tcPr>
          <w:p w14:paraId="67BB0217"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52184E40" w14:textId="77777777" w:rsidTr="00A360DB">
        <w:trPr>
          <w:trHeight w:val="240"/>
        </w:trPr>
        <w:tc>
          <w:tcPr>
            <w:tcW w:w="1697" w:type="dxa"/>
            <w:tcBorders>
              <w:top w:val="nil"/>
              <w:left w:val="nil"/>
              <w:bottom w:val="nil"/>
              <w:right w:val="nil"/>
            </w:tcBorders>
            <w:shd w:val="clear" w:color="auto" w:fill="auto"/>
            <w:noWrap/>
            <w:vAlign w:val="bottom"/>
            <w:hideMark/>
          </w:tcPr>
          <w:p w14:paraId="5C65748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3213</w:t>
            </w:r>
          </w:p>
        </w:tc>
        <w:tc>
          <w:tcPr>
            <w:tcW w:w="8509" w:type="dxa"/>
            <w:tcBorders>
              <w:top w:val="nil"/>
              <w:left w:val="nil"/>
              <w:bottom w:val="nil"/>
              <w:right w:val="nil"/>
            </w:tcBorders>
            <w:shd w:val="clear" w:color="auto" w:fill="auto"/>
            <w:noWrap/>
            <w:vAlign w:val="bottom"/>
            <w:hideMark/>
          </w:tcPr>
          <w:p w14:paraId="3B341C4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Stručno usavršavanje zaposlenika                                                                    </w:t>
            </w:r>
          </w:p>
        </w:tc>
        <w:tc>
          <w:tcPr>
            <w:tcW w:w="1480" w:type="dxa"/>
            <w:tcBorders>
              <w:top w:val="nil"/>
              <w:left w:val="nil"/>
              <w:bottom w:val="nil"/>
              <w:right w:val="nil"/>
            </w:tcBorders>
            <w:shd w:val="clear" w:color="auto" w:fill="auto"/>
            <w:noWrap/>
            <w:vAlign w:val="bottom"/>
            <w:hideMark/>
          </w:tcPr>
          <w:p w14:paraId="592CF92D"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2D600E16"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179,10</w:t>
            </w:r>
          </w:p>
        </w:tc>
        <w:tc>
          <w:tcPr>
            <w:tcW w:w="1400" w:type="dxa"/>
            <w:tcBorders>
              <w:top w:val="nil"/>
              <w:left w:val="nil"/>
              <w:bottom w:val="nil"/>
              <w:right w:val="nil"/>
            </w:tcBorders>
            <w:shd w:val="clear" w:color="auto" w:fill="auto"/>
            <w:noWrap/>
            <w:vAlign w:val="bottom"/>
            <w:hideMark/>
          </w:tcPr>
          <w:p w14:paraId="59093A8E"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CA1350F" w14:textId="77777777" w:rsidTr="00A360DB">
        <w:trPr>
          <w:trHeight w:val="240"/>
        </w:trPr>
        <w:tc>
          <w:tcPr>
            <w:tcW w:w="1697" w:type="dxa"/>
            <w:tcBorders>
              <w:top w:val="nil"/>
              <w:left w:val="nil"/>
              <w:bottom w:val="nil"/>
              <w:right w:val="nil"/>
            </w:tcBorders>
            <w:shd w:val="clear" w:color="auto" w:fill="auto"/>
            <w:noWrap/>
            <w:vAlign w:val="bottom"/>
            <w:hideMark/>
          </w:tcPr>
          <w:p w14:paraId="097EBFF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3214</w:t>
            </w:r>
          </w:p>
        </w:tc>
        <w:tc>
          <w:tcPr>
            <w:tcW w:w="8509" w:type="dxa"/>
            <w:tcBorders>
              <w:top w:val="nil"/>
              <w:left w:val="nil"/>
              <w:bottom w:val="nil"/>
              <w:right w:val="nil"/>
            </w:tcBorders>
            <w:shd w:val="clear" w:color="auto" w:fill="auto"/>
            <w:noWrap/>
            <w:vAlign w:val="bottom"/>
            <w:hideMark/>
          </w:tcPr>
          <w:p w14:paraId="5E977B5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Ostale naknade troškova zaposlenima                                                                 </w:t>
            </w:r>
          </w:p>
        </w:tc>
        <w:tc>
          <w:tcPr>
            <w:tcW w:w="1480" w:type="dxa"/>
            <w:tcBorders>
              <w:top w:val="nil"/>
              <w:left w:val="nil"/>
              <w:bottom w:val="nil"/>
              <w:right w:val="nil"/>
            </w:tcBorders>
            <w:shd w:val="clear" w:color="auto" w:fill="auto"/>
            <w:noWrap/>
            <w:vAlign w:val="bottom"/>
            <w:hideMark/>
          </w:tcPr>
          <w:p w14:paraId="74628D51"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3D453CA"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1.262,25</w:t>
            </w:r>
          </w:p>
        </w:tc>
        <w:tc>
          <w:tcPr>
            <w:tcW w:w="1400" w:type="dxa"/>
            <w:tcBorders>
              <w:top w:val="nil"/>
              <w:left w:val="nil"/>
              <w:bottom w:val="nil"/>
              <w:right w:val="nil"/>
            </w:tcBorders>
            <w:shd w:val="clear" w:color="auto" w:fill="auto"/>
            <w:noWrap/>
            <w:vAlign w:val="bottom"/>
            <w:hideMark/>
          </w:tcPr>
          <w:p w14:paraId="039F2D80"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7F79E75" w14:textId="77777777" w:rsidTr="00A360DB">
        <w:trPr>
          <w:trHeight w:val="240"/>
        </w:trPr>
        <w:tc>
          <w:tcPr>
            <w:tcW w:w="1697" w:type="dxa"/>
            <w:tcBorders>
              <w:top w:val="nil"/>
              <w:left w:val="nil"/>
              <w:bottom w:val="nil"/>
              <w:right w:val="nil"/>
            </w:tcBorders>
            <w:shd w:val="clear" w:color="auto" w:fill="auto"/>
            <w:noWrap/>
            <w:vAlign w:val="bottom"/>
            <w:hideMark/>
          </w:tcPr>
          <w:p w14:paraId="1F7D44B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3221</w:t>
            </w:r>
          </w:p>
        </w:tc>
        <w:tc>
          <w:tcPr>
            <w:tcW w:w="8509" w:type="dxa"/>
            <w:tcBorders>
              <w:top w:val="nil"/>
              <w:left w:val="nil"/>
              <w:bottom w:val="nil"/>
              <w:right w:val="nil"/>
            </w:tcBorders>
            <w:shd w:val="clear" w:color="auto" w:fill="auto"/>
            <w:noWrap/>
            <w:vAlign w:val="bottom"/>
            <w:hideMark/>
          </w:tcPr>
          <w:p w14:paraId="23C1BFCD"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Uredski materijal i ostali materijalni rashodi                                                      </w:t>
            </w:r>
          </w:p>
        </w:tc>
        <w:tc>
          <w:tcPr>
            <w:tcW w:w="1480" w:type="dxa"/>
            <w:tcBorders>
              <w:top w:val="nil"/>
              <w:left w:val="nil"/>
              <w:bottom w:val="nil"/>
              <w:right w:val="nil"/>
            </w:tcBorders>
            <w:shd w:val="clear" w:color="auto" w:fill="auto"/>
            <w:noWrap/>
            <w:vAlign w:val="bottom"/>
            <w:hideMark/>
          </w:tcPr>
          <w:p w14:paraId="5AE7F277"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F4D94A7"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2.672,76</w:t>
            </w:r>
          </w:p>
        </w:tc>
        <w:tc>
          <w:tcPr>
            <w:tcW w:w="1400" w:type="dxa"/>
            <w:tcBorders>
              <w:top w:val="nil"/>
              <w:left w:val="nil"/>
              <w:bottom w:val="nil"/>
              <w:right w:val="nil"/>
            </w:tcBorders>
            <w:shd w:val="clear" w:color="auto" w:fill="auto"/>
            <w:noWrap/>
            <w:vAlign w:val="bottom"/>
            <w:hideMark/>
          </w:tcPr>
          <w:p w14:paraId="2E4C80D8"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E1230D3" w14:textId="77777777" w:rsidTr="00A360DB">
        <w:trPr>
          <w:trHeight w:val="240"/>
        </w:trPr>
        <w:tc>
          <w:tcPr>
            <w:tcW w:w="1697" w:type="dxa"/>
            <w:tcBorders>
              <w:top w:val="nil"/>
              <w:left w:val="nil"/>
              <w:bottom w:val="nil"/>
              <w:right w:val="nil"/>
            </w:tcBorders>
            <w:shd w:val="clear" w:color="auto" w:fill="auto"/>
            <w:noWrap/>
            <w:vAlign w:val="bottom"/>
            <w:hideMark/>
          </w:tcPr>
          <w:p w14:paraId="0186CCFE"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3222</w:t>
            </w:r>
          </w:p>
        </w:tc>
        <w:tc>
          <w:tcPr>
            <w:tcW w:w="8509" w:type="dxa"/>
            <w:tcBorders>
              <w:top w:val="nil"/>
              <w:left w:val="nil"/>
              <w:bottom w:val="nil"/>
              <w:right w:val="nil"/>
            </w:tcBorders>
            <w:shd w:val="clear" w:color="auto" w:fill="auto"/>
            <w:noWrap/>
            <w:vAlign w:val="bottom"/>
            <w:hideMark/>
          </w:tcPr>
          <w:p w14:paraId="2B72E1A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Materijal i sirovine                                                                                </w:t>
            </w:r>
          </w:p>
        </w:tc>
        <w:tc>
          <w:tcPr>
            <w:tcW w:w="1480" w:type="dxa"/>
            <w:tcBorders>
              <w:top w:val="nil"/>
              <w:left w:val="nil"/>
              <w:bottom w:val="nil"/>
              <w:right w:val="nil"/>
            </w:tcBorders>
            <w:shd w:val="clear" w:color="auto" w:fill="auto"/>
            <w:noWrap/>
            <w:vAlign w:val="bottom"/>
            <w:hideMark/>
          </w:tcPr>
          <w:p w14:paraId="71467730"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7575D65"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671,80</w:t>
            </w:r>
          </w:p>
        </w:tc>
        <w:tc>
          <w:tcPr>
            <w:tcW w:w="1400" w:type="dxa"/>
            <w:tcBorders>
              <w:top w:val="nil"/>
              <w:left w:val="nil"/>
              <w:bottom w:val="nil"/>
              <w:right w:val="nil"/>
            </w:tcBorders>
            <w:shd w:val="clear" w:color="auto" w:fill="auto"/>
            <w:noWrap/>
            <w:vAlign w:val="bottom"/>
            <w:hideMark/>
          </w:tcPr>
          <w:p w14:paraId="2DA6AB9B"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2F04798A" w14:textId="77777777" w:rsidTr="00A360DB">
        <w:trPr>
          <w:trHeight w:val="240"/>
        </w:trPr>
        <w:tc>
          <w:tcPr>
            <w:tcW w:w="1697" w:type="dxa"/>
            <w:tcBorders>
              <w:top w:val="nil"/>
              <w:left w:val="nil"/>
              <w:bottom w:val="nil"/>
              <w:right w:val="nil"/>
            </w:tcBorders>
            <w:shd w:val="clear" w:color="auto" w:fill="auto"/>
            <w:noWrap/>
            <w:vAlign w:val="bottom"/>
            <w:hideMark/>
          </w:tcPr>
          <w:p w14:paraId="4AE7EE7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3225</w:t>
            </w:r>
          </w:p>
        </w:tc>
        <w:tc>
          <w:tcPr>
            <w:tcW w:w="8509" w:type="dxa"/>
            <w:tcBorders>
              <w:top w:val="nil"/>
              <w:left w:val="nil"/>
              <w:bottom w:val="nil"/>
              <w:right w:val="nil"/>
            </w:tcBorders>
            <w:shd w:val="clear" w:color="auto" w:fill="auto"/>
            <w:noWrap/>
            <w:vAlign w:val="bottom"/>
            <w:hideMark/>
          </w:tcPr>
          <w:p w14:paraId="3EB4F12D"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Sitni inventar i auto gume</w:t>
            </w:r>
          </w:p>
        </w:tc>
        <w:tc>
          <w:tcPr>
            <w:tcW w:w="1480" w:type="dxa"/>
            <w:tcBorders>
              <w:top w:val="nil"/>
              <w:left w:val="nil"/>
              <w:bottom w:val="nil"/>
              <w:right w:val="nil"/>
            </w:tcBorders>
            <w:shd w:val="clear" w:color="auto" w:fill="auto"/>
            <w:noWrap/>
            <w:vAlign w:val="bottom"/>
            <w:hideMark/>
          </w:tcPr>
          <w:p w14:paraId="3E9514ED"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850B02C"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5.854,32</w:t>
            </w:r>
          </w:p>
        </w:tc>
        <w:tc>
          <w:tcPr>
            <w:tcW w:w="1400" w:type="dxa"/>
            <w:tcBorders>
              <w:top w:val="nil"/>
              <w:left w:val="nil"/>
              <w:bottom w:val="nil"/>
              <w:right w:val="nil"/>
            </w:tcBorders>
            <w:shd w:val="clear" w:color="auto" w:fill="auto"/>
            <w:noWrap/>
            <w:vAlign w:val="bottom"/>
            <w:hideMark/>
          </w:tcPr>
          <w:p w14:paraId="4A836D49"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2C5A9F4" w14:textId="77777777" w:rsidTr="00A360DB">
        <w:trPr>
          <w:trHeight w:val="240"/>
        </w:trPr>
        <w:tc>
          <w:tcPr>
            <w:tcW w:w="1697" w:type="dxa"/>
            <w:tcBorders>
              <w:top w:val="nil"/>
              <w:left w:val="nil"/>
              <w:bottom w:val="nil"/>
              <w:right w:val="nil"/>
            </w:tcBorders>
            <w:shd w:val="clear" w:color="auto" w:fill="auto"/>
            <w:noWrap/>
            <w:vAlign w:val="bottom"/>
            <w:hideMark/>
          </w:tcPr>
          <w:p w14:paraId="59B76BD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3231</w:t>
            </w:r>
          </w:p>
        </w:tc>
        <w:tc>
          <w:tcPr>
            <w:tcW w:w="8509" w:type="dxa"/>
            <w:tcBorders>
              <w:top w:val="nil"/>
              <w:left w:val="nil"/>
              <w:bottom w:val="nil"/>
              <w:right w:val="nil"/>
            </w:tcBorders>
            <w:shd w:val="clear" w:color="auto" w:fill="auto"/>
            <w:noWrap/>
            <w:vAlign w:val="bottom"/>
            <w:hideMark/>
          </w:tcPr>
          <w:p w14:paraId="6CAFEBBE"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Usluge telefona, pošte i prijevoza                                                                  </w:t>
            </w:r>
          </w:p>
        </w:tc>
        <w:tc>
          <w:tcPr>
            <w:tcW w:w="1480" w:type="dxa"/>
            <w:tcBorders>
              <w:top w:val="nil"/>
              <w:left w:val="nil"/>
              <w:bottom w:val="nil"/>
              <w:right w:val="nil"/>
            </w:tcBorders>
            <w:shd w:val="clear" w:color="auto" w:fill="auto"/>
            <w:noWrap/>
            <w:vAlign w:val="bottom"/>
            <w:hideMark/>
          </w:tcPr>
          <w:p w14:paraId="33F3C86B"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2A5C7608"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67,41</w:t>
            </w:r>
          </w:p>
        </w:tc>
        <w:tc>
          <w:tcPr>
            <w:tcW w:w="1400" w:type="dxa"/>
            <w:tcBorders>
              <w:top w:val="nil"/>
              <w:left w:val="nil"/>
              <w:bottom w:val="nil"/>
              <w:right w:val="nil"/>
            </w:tcBorders>
            <w:shd w:val="clear" w:color="auto" w:fill="auto"/>
            <w:noWrap/>
            <w:vAlign w:val="bottom"/>
            <w:hideMark/>
          </w:tcPr>
          <w:p w14:paraId="3828DD7C"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2668B08F" w14:textId="77777777" w:rsidTr="00A360DB">
        <w:trPr>
          <w:trHeight w:val="240"/>
        </w:trPr>
        <w:tc>
          <w:tcPr>
            <w:tcW w:w="1697" w:type="dxa"/>
            <w:tcBorders>
              <w:top w:val="nil"/>
              <w:left w:val="nil"/>
              <w:bottom w:val="nil"/>
              <w:right w:val="nil"/>
            </w:tcBorders>
            <w:shd w:val="clear" w:color="auto" w:fill="auto"/>
            <w:noWrap/>
            <w:vAlign w:val="bottom"/>
            <w:hideMark/>
          </w:tcPr>
          <w:p w14:paraId="4415A93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lastRenderedPageBreak/>
              <w:t>3233</w:t>
            </w:r>
          </w:p>
        </w:tc>
        <w:tc>
          <w:tcPr>
            <w:tcW w:w="8509" w:type="dxa"/>
            <w:tcBorders>
              <w:top w:val="nil"/>
              <w:left w:val="nil"/>
              <w:bottom w:val="nil"/>
              <w:right w:val="nil"/>
            </w:tcBorders>
            <w:shd w:val="clear" w:color="auto" w:fill="auto"/>
            <w:noWrap/>
            <w:vAlign w:val="bottom"/>
            <w:hideMark/>
          </w:tcPr>
          <w:p w14:paraId="0E08957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Usluge promidžbe i informiranja                                                                     </w:t>
            </w:r>
          </w:p>
        </w:tc>
        <w:tc>
          <w:tcPr>
            <w:tcW w:w="1480" w:type="dxa"/>
            <w:tcBorders>
              <w:top w:val="nil"/>
              <w:left w:val="nil"/>
              <w:bottom w:val="nil"/>
              <w:right w:val="nil"/>
            </w:tcBorders>
            <w:shd w:val="clear" w:color="auto" w:fill="auto"/>
            <w:noWrap/>
            <w:vAlign w:val="bottom"/>
            <w:hideMark/>
          </w:tcPr>
          <w:p w14:paraId="7A59E551"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5BF4963"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1.780,20</w:t>
            </w:r>
          </w:p>
        </w:tc>
        <w:tc>
          <w:tcPr>
            <w:tcW w:w="1400" w:type="dxa"/>
            <w:tcBorders>
              <w:top w:val="nil"/>
              <w:left w:val="nil"/>
              <w:bottom w:val="nil"/>
              <w:right w:val="nil"/>
            </w:tcBorders>
            <w:shd w:val="clear" w:color="auto" w:fill="auto"/>
            <w:noWrap/>
            <w:vAlign w:val="bottom"/>
            <w:hideMark/>
          </w:tcPr>
          <w:p w14:paraId="766F49A2"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A60DD00" w14:textId="77777777" w:rsidTr="00A360DB">
        <w:trPr>
          <w:trHeight w:val="240"/>
        </w:trPr>
        <w:tc>
          <w:tcPr>
            <w:tcW w:w="1697" w:type="dxa"/>
            <w:tcBorders>
              <w:top w:val="nil"/>
              <w:left w:val="nil"/>
              <w:bottom w:val="nil"/>
              <w:right w:val="nil"/>
            </w:tcBorders>
            <w:shd w:val="clear" w:color="auto" w:fill="auto"/>
            <w:noWrap/>
            <w:vAlign w:val="bottom"/>
            <w:hideMark/>
          </w:tcPr>
          <w:p w14:paraId="194A163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3235</w:t>
            </w:r>
          </w:p>
        </w:tc>
        <w:tc>
          <w:tcPr>
            <w:tcW w:w="8509" w:type="dxa"/>
            <w:tcBorders>
              <w:top w:val="nil"/>
              <w:left w:val="nil"/>
              <w:bottom w:val="nil"/>
              <w:right w:val="nil"/>
            </w:tcBorders>
            <w:shd w:val="clear" w:color="auto" w:fill="auto"/>
            <w:noWrap/>
            <w:vAlign w:val="bottom"/>
            <w:hideMark/>
          </w:tcPr>
          <w:p w14:paraId="4A434BFE"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Zakupnine i najamnine                                                                               </w:t>
            </w:r>
          </w:p>
        </w:tc>
        <w:tc>
          <w:tcPr>
            <w:tcW w:w="1480" w:type="dxa"/>
            <w:tcBorders>
              <w:top w:val="nil"/>
              <w:left w:val="nil"/>
              <w:bottom w:val="nil"/>
              <w:right w:val="nil"/>
            </w:tcBorders>
            <w:shd w:val="clear" w:color="auto" w:fill="auto"/>
            <w:noWrap/>
            <w:vAlign w:val="bottom"/>
            <w:hideMark/>
          </w:tcPr>
          <w:p w14:paraId="12C72D76"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E27C7B4"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3.539,53</w:t>
            </w:r>
          </w:p>
        </w:tc>
        <w:tc>
          <w:tcPr>
            <w:tcW w:w="1400" w:type="dxa"/>
            <w:tcBorders>
              <w:top w:val="nil"/>
              <w:left w:val="nil"/>
              <w:bottom w:val="nil"/>
              <w:right w:val="nil"/>
            </w:tcBorders>
            <w:shd w:val="clear" w:color="auto" w:fill="auto"/>
            <w:noWrap/>
            <w:vAlign w:val="bottom"/>
            <w:hideMark/>
          </w:tcPr>
          <w:p w14:paraId="57253B4D"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2DF31C7" w14:textId="77777777" w:rsidTr="00A360DB">
        <w:trPr>
          <w:trHeight w:val="240"/>
        </w:trPr>
        <w:tc>
          <w:tcPr>
            <w:tcW w:w="1697" w:type="dxa"/>
            <w:tcBorders>
              <w:top w:val="nil"/>
              <w:left w:val="nil"/>
              <w:bottom w:val="nil"/>
              <w:right w:val="nil"/>
            </w:tcBorders>
            <w:shd w:val="clear" w:color="auto" w:fill="auto"/>
            <w:noWrap/>
            <w:vAlign w:val="bottom"/>
            <w:hideMark/>
          </w:tcPr>
          <w:p w14:paraId="010B35A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3237</w:t>
            </w:r>
          </w:p>
        </w:tc>
        <w:tc>
          <w:tcPr>
            <w:tcW w:w="8509" w:type="dxa"/>
            <w:tcBorders>
              <w:top w:val="nil"/>
              <w:left w:val="nil"/>
              <w:bottom w:val="nil"/>
              <w:right w:val="nil"/>
            </w:tcBorders>
            <w:shd w:val="clear" w:color="auto" w:fill="auto"/>
            <w:noWrap/>
            <w:vAlign w:val="bottom"/>
            <w:hideMark/>
          </w:tcPr>
          <w:p w14:paraId="2615E35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Intelektualne i osobne usluge                                                                       </w:t>
            </w:r>
          </w:p>
        </w:tc>
        <w:tc>
          <w:tcPr>
            <w:tcW w:w="1480" w:type="dxa"/>
            <w:tcBorders>
              <w:top w:val="nil"/>
              <w:left w:val="nil"/>
              <w:bottom w:val="nil"/>
              <w:right w:val="nil"/>
            </w:tcBorders>
            <w:shd w:val="clear" w:color="auto" w:fill="auto"/>
            <w:noWrap/>
            <w:vAlign w:val="bottom"/>
            <w:hideMark/>
          </w:tcPr>
          <w:p w14:paraId="30BE753E"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15A49033"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2.376,33</w:t>
            </w:r>
          </w:p>
        </w:tc>
        <w:tc>
          <w:tcPr>
            <w:tcW w:w="1400" w:type="dxa"/>
            <w:tcBorders>
              <w:top w:val="nil"/>
              <w:left w:val="nil"/>
              <w:bottom w:val="nil"/>
              <w:right w:val="nil"/>
            </w:tcBorders>
            <w:shd w:val="clear" w:color="auto" w:fill="auto"/>
            <w:noWrap/>
            <w:vAlign w:val="bottom"/>
            <w:hideMark/>
          </w:tcPr>
          <w:p w14:paraId="653CA6FD"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821C77A" w14:textId="77777777" w:rsidTr="00A360DB">
        <w:trPr>
          <w:trHeight w:val="240"/>
        </w:trPr>
        <w:tc>
          <w:tcPr>
            <w:tcW w:w="1697" w:type="dxa"/>
            <w:tcBorders>
              <w:top w:val="nil"/>
              <w:left w:val="nil"/>
              <w:bottom w:val="nil"/>
              <w:right w:val="nil"/>
            </w:tcBorders>
            <w:shd w:val="clear" w:color="auto" w:fill="auto"/>
            <w:noWrap/>
            <w:vAlign w:val="bottom"/>
            <w:hideMark/>
          </w:tcPr>
          <w:p w14:paraId="27859D2D"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3238</w:t>
            </w:r>
          </w:p>
        </w:tc>
        <w:tc>
          <w:tcPr>
            <w:tcW w:w="8509" w:type="dxa"/>
            <w:tcBorders>
              <w:top w:val="nil"/>
              <w:left w:val="nil"/>
              <w:bottom w:val="nil"/>
              <w:right w:val="nil"/>
            </w:tcBorders>
            <w:shd w:val="clear" w:color="auto" w:fill="auto"/>
            <w:noWrap/>
            <w:vAlign w:val="bottom"/>
            <w:hideMark/>
          </w:tcPr>
          <w:p w14:paraId="4BEB80D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Računalne usluge                                                                                    </w:t>
            </w:r>
          </w:p>
        </w:tc>
        <w:tc>
          <w:tcPr>
            <w:tcW w:w="1480" w:type="dxa"/>
            <w:tcBorders>
              <w:top w:val="nil"/>
              <w:left w:val="nil"/>
              <w:bottom w:val="nil"/>
              <w:right w:val="nil"/>
            </w:tcBorders>
            <w:shd w:val="clear" w:color="auto" w:fill="auto"/>
            <w:noWrap/>
            <w:vAlign w:val="bottom"/>
            <w:hideMark/>
          </w:tcPr>
          <w:p w14:paraId="24B9B7FB"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3D3DACD"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2.151,66</w:t>
            </w:r>
          </w:p>
        </w:tc>
        <w:tc>
          <w:tcPr>
            <w:tcW w:w="1400" w:type="dxa"/>
            <w:tcBorders>
              <w:top w:val="nil"/>
              <w:left w:val="nil"/>
              <w:bottom w:val="nil"/>
              <w:right w:val="nil"/>
            </w:tcBorders>
            <w:shd w:val="clear" w:color="auto" w:fill="auto"/>
            <w:noWrap/>
            <w:vAlign w:val="bottom"/>
            <w:hideMark/>
          </w:tcPr>
          <w:p w14:paraId="717D89F1"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5729DF25" w14:textId="77777777" w:rsidTr="00A360DB">
        <w:trPr>
          <w:trHeight w:val="240"/>
        </w:trPr>
        <w:tc>
          <w:tcPr>
            <w:tcW w:w="1697" w:type="dxa"/>
            <w:tcBorders>
              <w:top w:val="nil"/>
              <w:left w:val="nil"/>
              <w:bottom w:val="nil"/>
              <w:right w:val="nil"/>
            </w:tcBorders>
            <w:shd w:val="clear" w:color="auto" w:fill="auto"/>
            <w:noWrap/>
            <w:vAlign w:val="bottom"/>
            <w:hideMark/>
          </w:tcPr>
          <w:p w14:paraId="42EE86E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3295</w:t>
            </w:r>
          </w:p>
        </w:tc>
        <w:tc>
          <w:tcPr>
            <w:tcW w:w="8509" w:type="dxa"/>
            <w:tcBorders>
              <w:top w:val="nil"/>
              <w:left w:val="nil"/>
              <w:bottom w:val="nil"/>
              <w:right w:val="nil"/>
            </w:tcBorders>
            <w:shd w:val="clear" w:color="auto" w:fill="auto"/>
            <w:noWrap/>
            <w:vAlign w:val="bottom"/>
            <w:hideMark/>
          </w:tcPr>
          <w:p w14:paraId="53BB6327"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Pristojbe i naknade                                                                                 </w:t>
            </w:r>
          </w:p>
        </w:tc>
        <w:tc>
          <w:tcPr>
            <w:tcW w:w="1480" w:type="dxa"/>
            <w:tcBorders>
              <w:top w:val="nil"/>
              <w:left w:val="nil"/>
              <w:bottom w:val="nil"/>
              <w:right w:val="nil"/>
            </w:tcBorders>
            <w:shd w:val="clear" w:color="auto" w:fill="auto"/>
            <w:noWrap/>
            <w:vAlign w:val="bottom"/>
            <w:hideMark/>
          </w:tcPr>
          <w:p w14:paraId="56D7B153"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2BBA950B"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1.273,38</w:t>
            </w:r>
          </w:p>
        </w:tc>
        <w:tc>
          <w:tcPr>
            <w:tcW w:w="1400" w:type="dxa"/>
            <w:tcBorders>
              <w:top w:val="nil"/>
              <w:left w:val="nil"/>
              <w:bottom w:val="nil"/>
              <w:right w:val="nil"/>
            </w:tcBorders>
            <w:shd w:val="clear" w:color="auto" w:fill="auto"/>
            <w:noWrap/>
            <w:vAlign w:val="bottom"/>
            <w:hideMark/>
          </w:tcPr>
          <w:p w14:paraId="2FF4A34F"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27F503A1" w14:textId="77777777" w:rsidTr="00A360DB">
        <w:trPr>
          <w:trHeight w:val="240"/>
        </w:trPr>
        <w:tc>
          <w:tcPr>
            <w:tcW w:w="1697" w:type="dxa"/>
            <w:tcBorders>
              <w:top w:val="nil"/>
              <w:left w:val="nil"/>
              <w:bottom w:val="nil"/>
              <w:right w:val="nil"/>
            </w:tcBorders>
            <w:shd w:val="clear" w:color="auto" w:fill="auto"/>
            <w:noWrap/>
            <w:vAlign w:val="bottom"/>
            <w:hideMark/>
          </w:tcPr>
          <w:p w14:paraId="7C62794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3299</w:t>
            </w:r>
          </w:p>
        </w:tc>
        <w:tc>
          <w:tcPr>
            <w:tcW w:w="8509" w:type="dxa"/>
            <w:tcBorders>
              <w:top w:val="nil"/>
              <w:left w:val="nil"/>
              <w:bottom w:val="nil"/>
              <w:right w:val="nil"/>
            </w:tcBorders>
            <w:shd w:val="clear" w:color="auto" w:fill="auto"/>
            <w:noWrap/>
            <w:vAlign w:val="bottom"/>
            <w:hideMark/>
          </w:tcPr>
          <w:p w14:paraId="68D3E678"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Ostali nespomenuti rashodi poslovanja                                                               </w:t>
            </w:r>
          </w:p>
        </w:tc>
        <w:tc>
          <w:tcPr>
            <w:tcW w:w="1480" w:type="dxa"/>
            <w:tcBorders>
              <w:top w:val="nil"/>
              <w:left w:val="nil"/>
              <w:bottom w:val="nil"/>
              <w:right w:val="nil"/>
            </w:tcBorders>
            <w:shd w:val="clear" w:color="auto" w:fill="auto"/>
            <w:noWrap/>
            <w:vAlign w:val="bottom"/>
            <w:hideMark/>
          </w:tcPr>
          <w:p w14:paraId="243D7AAA"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59782E7"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636,55</w:t>
            </w:r>
          </w:p>
        </w:tc>
        <w:tc>
          <w:tcPr>
            <w:tcW w:w="1400" w:type="dxa"/>
            <w:tcBorders>
              <w:top w:val="nil"/>
              <w:left w:val="nil"/>
              <w:bottom w:val="nil"/>
              <w:right w:val="nil"/>
            </w:tcBorders>
            <w:shd w:val="clear" w:color="auto" w:fill="auto"/>
            <w:noWrap/>
            <w:vAlign w:val="bottom"/>
            <w:hideMark/>
          </w:tcPr>
          <w:p w14:paraId="0085CC23"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8AE1A62" w14:textId="77777777" w:rsidTr="00A360DB">
        <w:trPr>
          <w:trHeight w:val="240"/>
        </w:trPr>
        <w:tc>
          <w:tcPr>
            <w:tcW w:w="1697" w:type="dxa"/>
            <w:tcBorders>
              <w:top w:val="nil"/>
              <w:left w:val="nil"/>
              <w:bottom w:val="nil"/>
              <w:right w:val="nil"/>
            </w:tcBorders>
            <w:shd w:val="clear" w:color="auto" w:fill="auto"/>
            <w:noWrap/>
            <w:vAlign w:val="bottom"/>
            <w:hideMark/>
          </w:tcPr>
          <w:p w14:paraId="7D98F1B5"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34</w:t>
            </w:r>
          </w:p>
        </w:tc>
        <w:tc>
          <w:tcPr>
            <w:tcW w:w="8509" w:type="dxa"/>
            <w:tcBorders>
              <w:top w:val="nil"/>
              <w:left w:val="nil"/>
              <w:bottom w:val="nil"/>
              <w:right w:val="nil"/>
            </w:tcBorders>
            <w:shd w:val="clear" w:color="auto" w:fill="auto"/>
            <w:noWrap/>
            <w:vAlign w:val="bottom"/>
            <w:hideMark/>
          </w:tcPr>
          <w:p w14:paraId="6F7D9743"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Financijski rashodi                                                                                 </w:t>
            </w:r>
          </w:p>
        </w:tc>
        <w:tc>
          <w:tcPr>
            <w:tcW w:w="1480" w:type="dxa"/>
            <w:tcBorders>
              <w:top w:val="nil"/>
              <w:left w:val="nil"/>
              <w:bottom w:val="nil"/>
              <w:right w:val="nil"/>
            </w:tcBorders>
            <w:shd w:val="clear" w:color="auto" w:fill="auto"/>
            <w:noWrap/>
            <w:vAlign w:val="bottom"/>
            <w:hideMark/>
          </w:tcPr>
          <w:p w14:paraId="4020DA2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c>
          <w:tcPr>
            <w:tcW w:w="1380" w:type="dxa"/>
            <w:tcBorders>
              <w:top w:val="nil"/>
              <w:left w:val="nil"/>
              <w:bottom w:val="nil"/>
              <w:right w:val="nil"/>
            </w:tcBorders>
            <w:shd w:val="clear" w:color="auto" w:fill="auto"/>
            <w:noWrap/>
            <w:vAlign w:val="bottom"/>
            <w:hideMark/>
          </w:tcPr>
          <w:p w14:paraId="475DEAE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c>
          <w:tcPr>
            <w:tcW w:w="1400" w:type="dxa"/>
            <w:tcBorders>
              <w:top w:val="nil"/>
              <w:left w:val="nil"/>
              <w:bottom w:val="nil"/>
              <w:right w:val="nil"/>
            </w:tcBorders>
            <w:shd w:val="clear" w:color="auto" w:fill="auto"/>
            <w:noWrap/>
            <w:vAlign w:val="bottom"/>
            <w:hideMark/>
          </w:tcPr>
          <w:p w14:paraId="7909667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r>
      <w:tr w:rsidR="00A360DB" w:rsidRPr="00A360DB" w14:paraId="048FCC12"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A37125E"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3. Vlastiti prihodi</w:t>
            </w:r>
          </w:p>
        </w:tc>
        <w:tc>
          <w:tcPr>
            <w:tcW w:w="1480" w:type="dxa"/>
            <w:tcBorders>
              <w:top w:val="nil"/>
              <w:left w:val="nil"/>
              <w:bottom w:val="nil"/>
              <w:right w:val="nil"/>
            </w:tcBorders>
            <w:shd w:val="clear" w:color="auto" w:fill="auto"/>
            <w:noWrap/>
            <w:vAlign w:val="bottom"/>
            <w:hideMark/>
          </w:tcPr>
          <w:p w14:paraId="3DC88839"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16.955,01</w:t>
            </w:r>
          </w:p>
        </w:tc>
        <w:tc>
          <w:tcPr>
            <w:tcW w:w="1380" w:type="dxa"/>
            <w:tcBorders>
              <w:top w:val="nil"/>
              <w:left w:val="nil"/>
              <w:bottom w:val="nil"/>
              <w:right w:val="nil"/>
            </w:tcBorders>
            <w:shd w:val="clear" w:color="auto" w:fill="auto"/>
            <w:noWrap/>
            <w:vAlign w:val="bottom"/>
            <w:hideMark/>
          </w:tcPr>
          <w:p w14:paraId="511ED802"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11.058,40</w:t>
            </w:r>
          </w:p>
        </w:tc>
        <w:tc>
          <w:tcPr>
            <w:tcW w:w="1400" w:type="dxa"/>
            <w:tcBorders>
              <w:top w:val="nil"/>
              <w:left w:val="nil"/>
              <w:bottom w:val="nil"/>
              <w:right w:val="nil"/>
            </w:tcBorders>
            <w:shd w:val="clear" w:color="auto" w:fill="auto"/>
            <w:noWrap/>
            <w:vAlign w:val="bottom"/>
            <w:hideMark/>
          </w:tcPr>
          <w:p w14:paraId="2751B4BF"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65,22%</w:t>
            </w:r>
          </w:p>
        </w:tc>
      </w:tr>
      <w:tr w:rsidR="00A360DB" w:rsidRPr="00A360DB" w14:paraId="10F48247"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1B94895C"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3.1. Vlastiti prihodi</w:t>
            </w:r>
          </w:p>
        </w:tc>
        <w:tc>
          <w:tcPr>
            <w:tcW w:w="1480" w:type="dxa"/>
            <w:tcBorders>
              <w:top w:val="nil"/>
              <w:left w:val="nil"/>
              <w:bottom w:val="nil"/>
              <w:right w:val="nil"/>
            </w:tcBorders>
            <w:shd w:val="clear" w:color="auto" w:fill="auto"/>
            <w:noWrap/>
            <w:vAlign w:val="bottom"/>
            <w:hideMark/>
          </w:tcPr>
          <w:p w14:paraId="2C665874"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16.955,01</w:t>
            </w:r>
          </w:p>
        </w:tc>
        <w:tc>
          <w:tcPr>
            <w:tcW w:w="1380" w:type="dxa"/>
            <w:tcBorders>
              <w:top w:val="nil"/>
              <w:left w:val="nil"/>
              <w:bottom w:val="nil"/>
              <w:right w:val="nil"/>
            </w:tcBorders>
            <w:shd w:val="clear" w:color="auto" w:fill="auto"/>
            <w:noWrap/>
            <w:vAlign w:val="bottom"/>
            <w:hideMark/>
          </w:tcPr>
          <w:p w14:paraId="6D5C1F4C"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11.058,40</w:t>
            </w:r>
          </w:p>
        </w:tc>
        <w:tc>
          <w:tcPr>
            <w:tcW w:w="1400" w:type="dxa"/>
            <w:tcBorders>
              <w:top w:val="nil"/>
              <w:left w:val="nil"/>
              <w:bottom w:val="nil"/>
              <w:right w:val="nil"/>
            </w:tcBorders>
            <w:shd w:val="clear" w:color="auto" w:fill="auto"/>
            <w:noWrap/>
            <w:vAlign w:val="bottom"/>
            <w:hideMark/>
          </w:tcPr>
          <w:p w14:paraId="0229998E"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65,22%</w:t>
            </w:r>
          </w:p>
        </w:tc>
      </w:tr>
      <w:tr w:rsidR="00A360DB" w:rsidRPr="00A360DB" w14:paraId="1D0A43AC" w14:textId="77777777" w:rsidTr="00A360DB">
        <w:trPr>
          <w:trHeight w:val="240"/>
        </w:trPr>
        <w:tc>
          <w:tcPr>
            <w:tcW w:w="1697" w:type="dxa"/>
            <w:tcBorders>
              <w:top w:val="nil"/>
              <w:left w:val="nil"/>
              <w:bottom w:val="nil"/>
              <w:right w:val="nil"/>
            </w:tcBorders>
            <w:shd w:val="clear" w:color="auto" w:fill="auto"/>
            <w:noWrap/>
            <w:vAlign w:val="bottom"/>
            <w:hideMark/>
          </w:tcPr>
          <w:p w14:paraId="0F369F49"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3D89748F"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5D495EE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16.355,01</w:t>
            </w:r>
          </w:p>
        </w:tc>
        <w:tc>
          <w:tcPr>
            <w:tcW w:w="1380" w:type="dxa"/>
            <w:tcBorders>
              <w:top w:val="nil"/>
              <w:left w:val="nil"/>
              <w:bottom w:val="nil"/>
              <w:right w:val="nil"/>
            </w:tcBorders>
            <w:shd w:val="clear" w:color="auto" w:fill="auto"/>
            <w:noWrap/>
            <w:vAlign w:val="bottom"/>
            <w:hideMark/>
          </w:tcPr>
          <w:p w14:paraId="62CA8C4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11.058,40</w:t>
            </w:r>
          </w:p>
        </w:tc>
        <w:tc>
          <w:tcPr>
            <w:tcW w:w="1400" w:type="dxa"/>
            <w:tcBorders>
              <w:top w:val="nil"/>
              <w:left w:val="nil"/>
              <w:bottom w:val="nil"/>
              <w:right w:val="nil"/>
            </w:tcBorders>
            <w:shd w:val="clear" w:color="auto" w:fill="auto"/>
            <w:noWrap/>
            <w:vAlign w:val="bottom"/>
            <w:hideMark/>
          </w:tcPr>
          <w:p w14:paraId="0F752B4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67,61%</w:t>
            </w:r>
          </w:p>
        </w:tc>
      </w:tr>
      <w:tr w:rsidR="00A360DB" w:rsidRPr="00A360DB" w14:paraId="2E78849D" w14:textId="77777777" w:rsidTr="00A360DB">
        <w:trPr>
          <w:trHeight w:val="240"/>
        </w:trPr>
        <w:tc>
          <w:tcPr>
            <w:tcW w:w="1697" w:type="dxa"/>
            <w:tcBorders>
              <w:top w:val="nil"/>
              <w:left w:val="nil"/>
              <w:bottom w:val="nil"/>
              <w:right w:val="nil"/>
            </w:tcBorders>
            <w:shd w:val="clear" w:color="auto" w:fill="auto"/>
            <w:noWrap/>
            <w:vAlign w:val="bottom"/>
            <w:hideMark/>
          </w:tcPr>
          <w:p w14:paraId="2DD2E125"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3222</w:t>
            </w:r>
          </w:p>
        </w:tc>
        <w:tc>
          <w:tcPr>
            <w:tcW w:w="8509" w:type="dxa"/>
            <w:tcBorders>
              <w:top w:val="nil"/>
              <w:left w:val="nil"/>
              <w:bottom w:val="nil"/>
              <w:right w:val="nil"/>
            </w:tcBorders>
            <w:shd w:val="clear" w:color="auto" w:fill="auto"/>
            <w:noWrap/>
            <w:vAlign w:val="bottom"/>
            <w:hideMark/>
          </w:tcPr>
          <w:p w14:paraId="0E14231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Materijal i sirovine                                                                                </w:t>
            </w:r>
          </w:p>
        </w:tc>
        <w:tc>
          <w:tcPr>
            <w:tcW w:w="1480" w:type="dxa"/>
            <w:tcBorders>
              <w:top w:val="nil"/>
              <w:left w:val="nil"/>
              <w:bottom w:val="nil"/>
              <w:right w:val="nil"/>
            </w:tcBorders>
            <w:shd w:val="clear" w:color="auto" w:fill="auto"/>
            <w:noWrap/>
            <w:vAlign w:val="bottom"/>
            <w:hideMark/>
          </w:tcPr>
          <w:p w14:paraId="35939468"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9B12C33"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769,36</w:t>
            </w:r>
          </w:p>
        </w:tc>
        <w:tc>
          <w:tcPr>
            <w:tcW w:w="1400" w:type="dxa"/>
            <w:tcBorders>
              <w:top w:val="nil"/>
              <w:left w:val="nil"/>
              <w:bottom w:val="nil"/>
              <w:right w:val="nil"/>
            </w:tcBorders>
            <w:shd w:val="clear" w:color="auto" w:fill="auto"/>
            <w:noWrap/>
            <w:vAlign w:val="bottom"/>
            <w:hideMark/>
          </w:tcPr>
          <w:p w14:paraId="1CF9993D"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C7945BD" w14:textId="77777777" w:rsidTr="00A360DB">
        <w:trPr>
          <w:trHeight w:val="240"/>
        </w:trPr>
        <w:tc>
          <w:tcPr>
            <w:tcW w:w="1697" w:type="dxa"/>
            <w:tcBorders>
              <w:top w:val="nil"/>
              <w:left w:val="nil"/>
              <w:bottom w:val="nil"/>
              <w:right w:val="nil"/>
            </w:tcBorders>
            <w:shd w:val="clear" w:color="auto" w:fill="auto"/>
            <w:noWrap/>
            <w:vAlign w:val="bottom"/>
            <w:hideMark/>
          </w:tcPr>
          <w:p w14:paraId="6084518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3225</w:t>
            </w:r>
          </w:p>
        </w:tc>
        <w:tc>
          <w:tcPr>
            <w:tcW w:w="8509" w:type="dxa"/>
            <w:tcBorders>
              <w:top w:val="nil"/>
              <w:left w:val="nil"/>
              <w:bottom w:val="nil"/>
              <w:right w:val="nil"/>
            </w:tcBorders>
            <w:shd w:val="clear" w:color="auto" w:fill="auto"/>
            <w:noWrap/>
            <w:vAlign w:val="bottom"/>
            <w:hideMark/>
          </w:tcPr>
          <w:p w14:paraId="4F378CDE"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Sitni inventar i auto gume</w:t>
            </w:r>
          </w:p>
        </w:tc>
        <w:tc>
          <w:tcPr>
            <w:tcW w:w="1480" w:type="dxa"/>
            <w:tcBorders>
              <w:top w:val="nil"/>
              <w:left w:val="nil"/>
              <w:bottom w:val="nil"/>
              <w:right w:val="nil"/>
            </w:tcBorders>
            <w:shd w:val="clear" w:color="auto" w:fill="auto"/>
            <w:noWrap/>
            <w:vAlign w:val="bottom"/>
            <w:hideMark/>
          </w:tcPr>
          <w:p w14:paraId="2123F3AC"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B47CAD9"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1.538,34</w:t>
            </w:r>
          </w:p>
        </w:tc>
        <w:tc>
          <w:tcPr>
            <w:tcW w:w="1400" w:type="dxa"/>
            <w:tcBorders>
              <w:top w:val="nil"/>
              <w:left w:val="nil"/>
              <w:bottom w:val="nil"/>
              <w:right w:val="nil"/>
            </w:tcBorders>
            <w:shd w:val="clear" w:color="auto" w:fill="auto"/>
            <w:noWrap/>
            <w:vAlign w:val="bottom"/>
            <w:hideMark/>
          </w:tcPr>
          <w:p w14:paraId="0C3DDDF9"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690ACC1" w14:textId="77777777" w:rsidTr="00A360DB">
        <w:trPr>
          <w:trHeight w:val="240"/>
        </w:trPr>
        <w:tc>
          <w:tcPr>
            <w:tcW w:w="1697" w:type="dxa"/>
            <w:tcBorders>
              <w:top w:val="nil"/>
              <w:left w:val="nil"/>
              <w:bottom w:val="nil"/>
              <w:right w:val="nil"/>
            </w:tcBorders>
            <w:shd w:val="clear" w:color="auto" w:fill="auto"/>
            <w:noWrap/>
            <w:vAlign w:val="bottom"/>
            <w:hideMark/>
          </w:tcPr>
          <w:p w14:paraId="13754AE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3227</w:t>
            </w:r>
          </w:p>
        </w:tc>
        <w:tc>
          <w:tcPr>
            <w:tcW w:w="8509" w:type="dxa"/>
            <w:tcBorders>
              <w:top w:val="nil"/>
              <w:left w:val="nil"/>
              <w:bottom w:val="nil"/>
              <w:right w:val="nil"/>
            </w:tcBorders>
            <w:shd w:val="clear" w:color="auto" w:fill="auto"/>
            <w:noWrap/>
            <w:vAlign w:val="bottom"/>
            <w:hideMark/>
          </w:tcPr>
          <w:p w14:paraId="15C7B207"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Službena, radna i zaštitna odjeća i obuća                                                           </w:t>
            </w:r>
          </w:p>
        </w:tc>
        <w:tc>
          <w:tcPr>
            <w:tcW w:w="1480" w:type="dxa"/>
            <w:tcBorders>
              <w:top w:val="nil"/>
              <w:left w:val="nil"/>
              <w:bottom w:val="nil"/>
              <w:right w:val="nil"/>
            </w:tcBorders>
            <w:shd w:val="clear" w:color="auto" w:fill="auto"/>
            <w:noWrap/>
            <w:vAlign w:val="bottom"/>
            <w:hideMark/>
          </w:tcPr>
          <w:p w14:paraId="290560CE"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E5F8365"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782,25</w:t>
            </w:r>
          </w:p>
        </w:tc>
        <w:tc>
          <w:tcPr>
            <w:tcW w:w="1400" w:type="dxa"/>
            <w:tcBorders>
              <w:top w:val="nil"/>
              <w:left w:val="nil"/>
              <w:bottom w:val="nil"/>
              <w:right w:val="nil"/>
            </w:tcBorders>
            <w:shd w:val="clear" w:color="auto" w:fill="auto"/>
            <w:noWrap/>
            <w:vAlign w:val="bottom"/>
            <w:hideMark/>
          </w:tcPr>
          <w:p w14:paraId="41409B40"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111DE24" w14:textId="77777777" w:rsidTr="00A360DB">
        <w:trPr>
          <w:trHeight w:val="240"/>
        </w:trPr>
        <w:tc>
          <w:tcPr>
            <w:tcW w:w="1697" w:type="dxa"/>
            <w:tcBorders>
              <w:top w:val="nil"/>
              <w:left w:val="nil"/>
              <w:bottom w:val="nil"/>
              <w:right w:val="nil"/>
            </w:tcBorders>
            <w:shd w:val="clear" w:color="auto" w:fill="auto"/>
            <w:noWrap/>
            <w:vAlign w:val="bottom"/>
            <w:hideMark/>
          </w:tcPr>
          <w:p w14:paraId="5740656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3233</w:t>
            </w:r>
          </w:p>
        </w:tc>
        <w:tc>
          <w:tcPr>
            <w:tcW w:w="8509" w:type="dxa"/>
            <w:tcBorders>
              <w:top w:val="nil"/>
              <w:left w:val="nil"/>
              <w:bottom w:val="nil"/>
              <w:right w:val="nil"/>
            </w:tcBorders>
            <w:shd w:val="clear" w:color="auto" w:fill="auto"/>
            <w:noWrap/>
            <w:vAlign w:val="bottom"/>
            <w:hideMark/>
          </w:tcPr>
          <w:p w14:paraId="5C7EA22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Usluge promidžbe i informiranja                                                                     </w:t>
            </w:r>
          </w:p>
        </w:tc>
        <w:tc>
          <w:tcPr>
            <w:tcW w:w="1480" w:type="dxa"/>
            <w:tcBorders>
              <w:top w:val="nil"/>
              <w:left w:val="nil"/>
              <w:bottom w:val="nil"/>
              <w:right w:val="nil"/>
            </w:tcBorders>
            <w:shd w:val="clear" w:color="auto" w:fill="auto"/>
            <w:noWrap/>
            <w:vAlign w:val="bottom"/>
            <w:hideMark/>
          </w:tcPr>
          <w:p w14:paraId="011F1FBD"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22115547"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36,91</w:t>
            </w:r>
          </w:p>
        </w:tc>
        <w:tc>
          <w:tcPr>
            <w:tcW w:w="1400" w:type="dxa"/>
            <w:tcBorders>
              <w:top w:val="nil"/>
              <w:left w:val="nil"/>
              <w:bottom w:val="nil"/>
              <w:right w:val="nil"/>
            </w:tcBorders>
            <w:shd w:val="clear" w:color="auto" w:fill="auto"/>
            <w:noWrap/>
            <w:vAlign w:val="bottom"/>
            <w:hideMark/>
          </w:tcPr>
          <w:p w14:paraId="0E014071"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F3482B5" w14:textId="77777777" w:rsidTr="00A360DB">
        <w:trPr>
          <w:trHeight w:val="240"/>
        </w:trPr>
        <w:tc>
          <w:tcPr>
            <w:tcW w:w="1697" w:type="dxa"/>
            <w:tcBorders>
              <w:top w:val="nil"/>
              <w:left w:val="nil"/>
              <w:bottom w:val="nil"/>
              <w:right w:val="nil"/>
            </w:tcBorders>
            <w:shd w:val="clear" w:color="auto" w:fill="auto"/>
            <w:noWrap/>
            <w:vAlign w:val="bottom"/>
            <w:hideMark/>
          </w:tcPr>
          <w:p w14:paraId="0583FE4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3235</w:t>
            </w:r>
          </w:p>
        </w:tc>
        <w:tc>
          <w:tcPr>
            <w:tcW w:w="8509" w:type="dxa"/>
            <w:tcBorders>
              <w:top w:val="nil"/>
              <w:left w:val="nil"/>
              <w:bottom w:val="nil"/>
              <w:right w:val="nil"/>
            </w:tcBorders>
            <w:shd w:val="clear" w:color="auto" w:fill="auto"/>
            <w:noWrap/>
            <w:vAlign w:val="bottom"/>
            <w:hideMark/>
          </w:tcPr>
          <w:p w14:paraId="33BEE13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Zakupnine i najamnine                                                                               </w:t>
            </w:r>
          </w:p>
        </w:tc>
        <w:tc>
          <w:tcPr>
            <w:tcW w:w="1480" w:type="dxa"/>
            <w:tcBorders>
              <w:top w:val="nil"/>
              <w:left w:val="nil"/>
              <w:bottom w:val="nil"/>
              <w:right w:val="nil"/>
            </w:tcBorders>
            <w:shd w:val="clear" w:color="auto" w:fill="auto"/>
            <w:noWrap/>
            <w:vAlign w:val="bottom"/>
            <w:hideMark/>
          </w:tcPr>
          <w:p w14:paraId="3CD35C71"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138E23E2"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4.089,65</w:t>
            </w:r>
          </w:p>
        </w:tc>
        <w:tc>
          <w:tcPr>
            <w:tcW w:w="1400" w:type="dxa"/>
            <w:tcBorders>
              <w:top w:val="nil"/>
              <w:left w:val="nil"/>
              <w:bottom w:val="nil"/>
              <w:right w:val="nil"/>
            </w:tcBorders>
            <w:shd w:val="clear" w:color="auto" w:fill="auto"/>
            <w:noWrap/>
            <w:vAlign w:val="bottom"/>
            <w:hideMark/>
          </w:tcPr>
          <w:p w14:paraId="4F035DDB"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BFEA3B6" w14:textId="77777777" w:rsidTr="00A360DB">
        <w:trPr>
          <w:trHeight w:val="240"/>
        </w:trPr>
        <w:tc>
          <w:tcPr>
            <w:tcW w:w="1697" w:type="dxa"/>
            <w:tcBorders>
              <w:top w:val="nil"/>
              <w:left w:val="nil"/>
              <w:bottom w:val="nil"/>
              <w:right w:val="nil"/>
            </w:tcBorders>
            <w:shd w:val="clear" w:color="auto" w:fill="auto"/>
            <w:noWrap/>
            <w:vAlign w:val="bottom"/>
            <w:hideMark/>
          </w:tcPr>
          <w:p w14:paraId="2C874607"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3237</w:t>
            </w:r>
          </w:p>
        </w:tc>
        <w:tc>
          <w:tcPr>
            <w:tcW w:w="8509" w:type="dxa"/>
            <w:tcBorders>
              <w:top w:val="nil"/>
              <w:left w:val="nil"/>
              <w:bottom w:val="nil"/>
              <w:right w:val="nil"/>
            </w:tcBorders>
            <w:shd w:val="clear" w:color="auto" w:fill="auto"/>
            <w:noWrap/>
            <w:vAlign w:val="bottom"/>
            <w:hideMark/>
          </w:tcPr>
          <w:p w14:paraId="5C96401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Intelektualne i osobne usluge                                                                       </w:t>
            </w:r>
          </w:p>
        </w:tc>
        <w:tc>
          <w:tcPr>
            <w:tcW w:w="1480" w:type="dxa"/>
            <w:tcBorders>
              <w:top w:val="nil"/>
              <w:left w:val="nil"/>
              <w:bottom w:val="nil"/>
              <w:right w:val="nil"/>
            </w:tcBorders>
            <w:shd w:val="clear" w:color="auto" w:fill="auto"/>
            <w:noWrap/>
            <w:vAlign w:val="bottom"/>
            <w:hideMark/>
          </w:tcPr>
          <w:p w14:paraId="0B250853"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26BD0F74"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938,26</w:t>
            </w:r>
          </w:p>
        </w:tc>
        <w:tc>
          <w:tcPr>
            <w:tcW w:w="1400" w:type="dxa"/>
            <w:tcBorders>
              <w:top w:val="nil"/>
              <w:left w:val="nil"/>
              <w:bottom w:val="nil"/>
              <w:right w:val="nil"/>
            </w:tcBorders>
            <w:shd w:val="clear" w:color="auto" w:fill="auto"/>
            <w:noWrap/>
            <w:vAlign w:val="bottom"/>
            <w:hideMark/>
          </w:tcPr>
          <w:p w14:paraId="3E068A91"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F801E43" w14:textId="77777777" w:rsidTr="00A360DB">
        <w:trPr>
          <w:trHeight w:val="240"/>
        </w:trPr>
        <w:tc>
          <w:tcPr>
            <w:tcW w:w="1697" w:type="dxa"/>
            <w:tcBorders>
              <w:top w:val="nil"/>
              <w:left w:val="nil"/>
              <w:bottom w:val="nil"/>
              <w:right w:val="nil"/>
            </w:tcBorders>
            <w:shd w:val="clear" w:color="auto" w:fill="auto"/>
            <w:noWrap/>
            <w:vAlign w:val="bottom"/>
            <w:hideMark/>
          </w:tcPr>
          <w:p w14:paraId="12DB3817"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3239</w:t>
            </w:r>
          </w:p>
        </w:tc>
        <w:tc>
          <w:tcPr>
            <w:tcW w:w="8509" w:type="dxa"/>
            <w:tcBorders>
              <w:top w:val="nil"/>
              <w:left w:val="nil"/>
              <w:bottom w:val="nil"/>
              <w:right w:val="nil"/>
            </w:tcBorders>
            <w:shd w:val="clear" w:color="auto" w:fill="auto"/>
            <w:noWrap/>
            <w:vAlign w:val="bottom"/>
            <w:hideMark/>
          </w:tcPr>
          <w:p w14:paraId="7F037BF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Ostale usluge                                                                                       </w:t>
            </w:r>
          </w:p>
        </w:tc>
        <w:tc>
          <w:tcPr>
            <w:tcW w:w="1480" w:type="dxa"/>
            <w:tcBorders>
              <w:top w:val="nil"/>
              <w:left w:val="nil"/>
              <w:bottom w:val="nil"/>
              <w:right w:val="nil"/>
            </w:tcBorders>
            <w:shd w:val="clear" w:color="auto" w:fill="auto"/>
            <w:noWrap/>
            <w:vAlign w:val="bottom"/>
            <w:hideMark/>
          </w:tcPr>
          <w:p w14:paraId="43B74949"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98342EB"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1.959,28</w:t>
            </w:r>
          </w:p>
        </w:tc>
        <w:tc>
          <w:tcPr>
            <w:tcW w:w="1400" w:type="dxa"/>
            <w:tcBorders>
              <w:top w:val="nil"/>
              <w:left w:val="nil"/>
              <w:bottom w:val="nil"/>
              <w:right w:val="nil"/>
            </w:tcBorders>
            <w:shd w:val="clear" w:color="auto" w:fill="auto"/>
            <w:noWrap/>
            <w:vAlign w:val="bottom"/>
            <w:hideMark/>
          </w:tcPr>
          <w:p w14:paraId="6BAB238F"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BBA8DC0" w14:textId="77777777" w:rsidTr="00A360DB">
        <w:trPr>
          <w:trHeight w:val="240"/>
        </w:trPr>
        <w:tc>
          <w:tcPr>
            <w:tcW w:w="1697" w:type="dxa"/>
            <w:tcBorders>
              <w:top w:val="nil"/>
              <w:left w:val="nil"/>
              <w:bottom w:val="nil"/>
              <w:right w:val="nil"/>
            </w:tcBorders>
            <w:shd w:val="clear" w:color="auto" w:fill="auto"/>
            <w:noWrap/>
            <w:vAlign w:val="bottom"/>
            <w:hideMark/>
          </w:tcPr>
          <w:p w14:paraId="1115A6D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3293</w:t>
            </w:r>
          </w:p>
        </w:tc>
        <w:tc>
          <w:tcPr>
            <w:tcW w:w="8509" w:type="dxa"/>
            <w:tcBorders>
              <w:top w:val="nil"/>
              <w:left w:val="nil"/>
              <w:bottom w:val="nil"/>
              <w:right w:val="nil"/>
            </w:tcBorders>
            <w:shd w:val="clear" w:color="auto" w:fill="auto"/>
            <w:noWrap/>
            <w:vAlign w:val="bottom"/>
            <w:hideMark/>
          </w:tcPr>
          <w:p w14:paraId="06AD556E"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Reprezentacija                                                                                      </w:t>
            </w:r>
          </w:p>
        </w:tc>
        <w:tc>
          <w:tcPr>
            <w:tcW w:w="1480" w:type="dxa"/>
            <w:tcBorders>
              <w:top w:val="nil"/>
              <w:left w:val="nil"/>
              <w:bottom w:val="nil"/>
              <w:right w:val="nil"/>
            </w:tcBorders>
            <w:shd w:val="clear" w:color="auto" w:fill="auto"/>
            <w:noWrap/>
            <w:vAlign w:val="bottom"/>
            <w:hideMark/>
          </w:tcPr>
          <w:p w14:paraId="42B30499"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8C43ECA"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676,61</w:t>
            </w:r>
          </w:p>
        </w:tc>
        <w:tc>
          <w:tcPr>
            <w:tcW w:w="1400" w:type="dxa"/>
            <w:tcBorders>
              <w:top w:val="nil"/>
              <w:left w:val="nil"/>
              <w:bottom w:val="nil"/>
              <w:right w:val="nil"/>
            </w:tcBorders>
            <w:shd w:val="clear" w:color="auto" w:fill="auto"/>
            <w:noWrap/>
            <w:vAlign w:val="bottom"/>
            <w:hideMark/>
          </w:tcPr>
          <w:p w14:paraId="4BA9CA16"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877B5E2" w14:textId="77777777" w:rsidTr="00A360DB">
        <w:trPr>
          <w:trHeight w:val="240"/>
        </w:trPr>
        <w:tc>
          <w:tcPr>
            <w:tcW w:w="1697" w:type="dxa"/>
            <w:tcBorders>
              <w:top w:val="nil"/>
              <w:left w:val="nil"/>
              <w:bottom w:val="nil"/>
              <w:right w:val="nil"/>
            </w:tcBorders>
            <w:shd w:val="clear" w:color="auto" w:fill="auto"/>
            <w:noWrap/>
            <w:vAlign w:val="bottom"/>
            <w:hideMark/>
          </w:tcPr>
          <w:p w14:paraId="4EDCDDD5"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3299</w:t>
            </w:r>
          </w:p>
        </w:tc>
        <w:tc>
          <w:tcPr>
            <w:tcW w:w="8509" w:type="dxa"/>
            <w:tcBorders>
              <w:top w:val="nil"/>
              <w:left w:val="nil"/>
              <w:bottom w:val="nil"/>
              <w:right w:val="nil"/>
            </w:tcBorders>
            <w:shd w:val="clear" w:color="auto" w:fill="auto"/>
            <w:noWrap/>
            <w:vAlign w:val="bottom"/>
            <w:hideMark/>
          </w:tcPr>
          <w:p w14:paraId="0A37217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Ostali nespomenuti rashodi poslovanja                                                               </w:t>
            </w:r>
          </w:p>
        </w:tc>
        <w:tc>
          <w:tcPr>
            <w:tcW w:w="1480" w:type="dxa"/>
            <w:tcBorders>
              <w:top w:val="nil"/>
              <w:left w:val="nil"/>
              <w:bottom w:val="nil"/>
              <w:right w:val="nil"/>
            </w:tcBorders>
            <w:shd w:val="clear" w:color="auto" w:fill="auto"/>
            <w:noWrap/>
            <w:vAlign w:val="bottom"/>
            <w:hideMark/>
          </w:tcPr>
          <w:p w14:paraId="000C0AC8"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9065CBE"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267,74</w:t>
            </w:r>
          </w:p>
        </w:tc>
        <w:tc>
          <w:tcPr>
            <w:tcW w:w="1400" w:type="dxa"/>
            <w:tcBorders>
              <w:top w:val="nil"/>
              <w:left w:val="nil"/>
              <w:bottom w:val="nil"/>
              <w:right w:val="nil"/>
            </w:tcBorders>
            <w:shd w:val="clear" w:color="auto" w:fill="auto"/>
            <w:noWrap/>
            <w:vAlign w:val="bottom"/>
            <w:hideMark/>
          </w:tcPr>
          <w:p w14:paraId="3420C6CF"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2449FE3D" w14:textId="77777777" w:rsidTr="00A360DB">
        <w:trPr>
          <w:trHeight w:val="240"/>
        </w:trPr>
        <w:tc>
          <w:tcPr>
            <w:tcW w:w="1697" w:type="dxa"/>
            <w:tcBorders>
              <w:top w:val="nil"/>
              <w:left w:val="nil"/>
              <w:bottom w:val="nil"/>
              <w:right w:val="nil"/>
            </w:tcBorders>
            <w:shd w:val="clear" w:color="auto" w:fill="auto"/>
            <w:noWrap/>
            <w:vAlign w:val="bottom"/>
            <w:hideMark/>
          </w:tcPr>
          <w:p w14:paraId="53899244"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34</w:t>
            </w:r>
          </w:p>
        </w:tc>
        <w:tc>
          <w:tcPr>
            <w:tcW w:w="8509" w:type="dxa"/>
            <w:tcBorders>
              <w:top w:val="nil"/>
              <w:left w:val="nil"/>
              <w:bottom w:val="nil"/>
              <w:right w:val="nil"/>
            </w:tcBorders>
            <w:shd w:val="clear" w:color="auto" w:fill="auto"/>
            <w:noWrap/>
            <w:vAlign w:val="bottom"/>
            <w:hideMark/>
          </w:tcPr>
          <w:p w14:paraId="5FBD1B82"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Financijski rashodi                                                                                 </w:t>
            </w:r>
          </w:p>
        </w:tc>
        <w:tc>
          <w:tcPr>
            <w:tcW w:w="1480" w:type="dxa"/>
            <w:tcBorders>
              <w:top w:val="nil"/>
              <w:left w:val="nil"/>
              <w:bottom w:val="nil"/>
              <w:right w:val="nil"/>
            </w:tcBorders>
            <w:shd w:val="clear" w:color="auto" w:fill="auto"/>
            <w:noWrap/>
            <w:vAlign w:val="bottom"/>
            <w:hideMark/>
          </w:tcPr>
          <w:p w14:paraId="74D53E2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c>
          <w:tcPr>
            <w:tcW w:w="1380" w:type="dxa"/>
            <w:tcBorders>
              <w:top w:val="nil"/>
              <w:left w:val="nil"/>
              <w:bottom w:val="nil"/>
              <w:right w:val="nil"/>
            </w:tcBorders>
            <w:shd w:val="clear" w:color="auto" w:fill="auto"/>
            <w:noWrap/>
            <w:vAlign w:val="bottom"/>
            <w:hideMark/>
          </w:tcPr>
          <w:p w14:paraId="33BDC4D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c>
          <w:tcPr>
            <w:tcW w:w="1400" w:type="dxa"/>
            <w:tcBorders>
              <w:top w:val="nil"/>
              <w:left w:val="nil"/>
              <w:bottom w:val="nil"/>
              <w:right w:val="nil"/>
            </w:tcBorders>
            <w:shd w:val="clear" w:color="auto" w:fill="auto"/>
            <w:noWrap/>
            <w:vAlign w:val="bottom"/>
            <w:hideMark/>
          </w:tcPr>
          <w:p w14:paraId="12355D5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r>
      <w:tr w:rsidR="00A360DB" w:rsidRPr="00A360DB" w14:paraId="7EFF5843" w14:textId="77777777" w:rsidTr="00A360DB">
        <w:trPr>
          <w:trHeight w:val="240"/>
        </w:trPr>
        <w:tc>
          <w:tcPr>
            <w:tcW w:w="1697" w:type="dxa"/>
            <w:tcBorders>
              <w:top w:val="nil"/>
              <w:left w:val="nil"/>
              <w:bottom w:val="nil"/>
              <w:right w:val="nil"/>
            </w:tcBorders>
            <w:shd w:val="clear" w:color="auto" w:fill="auto"/>
            <w:noWrap/>
            <w:vAlign w:val="bottom"/>
            <w:hideMark/>
          </w:tcPr>
          <w:p w14:paraId="45AB2FC5"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38</w:t>
            </w:r>
          </w:p>
        </w:tc>
        <w:tc>
          <w:tcPr>
            <w:tcW w:w="8509" w:type="dxa"/>
            <w:tcBorders>
              <w:top w:val="nil"/>
              <w:left w:val="nil"/>
              <w:bottom w:val="nil"/>
              <w:right w:val="nil"/>
            </w:tcBorders>
            <w:shd w:val="clear" w:color="auto" w:fill="auto"/>
            <w:noWrap/>
            <w:vAlign w:val="bottom"/>
            <w:hideMark/>
          </w:tcPr>
          <w:p w14:paraId="53546897"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Ostali rashodi                                                                                      </w:t>
            </w:r>
          </w:p>
        </w:tc>
        <w:tc>
          <w:tcPr>
            <w:tcW w:w="1480" w:type="dxa"/>
            <w:tcBorders>
              <w:top w:val="nil"/>
              <w:left w:val="nil"/>
              <w:bottom w:val="nil"/>
              <w:right w:val="nil"/>
            </w:tcBorders>
            <w:shd w:val="clear" w:color="auto" w:fill="auto"/>
            <w:noWrap/>
            <w:vAlign w:val="bottom"/>
            <w:hideMark/>
          </w:tcPr>
          <w:p w14:paraId="683D426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500,00</w:t>
            </w:r>
          </w:p>
        </w:tc>
        <w:tc>
          <w:tcPr>
            <w:tcW w:w="1380" w:type="dxa"/>
            <w:tcBorders>
              <w:top w:val="nil"/>
              <w:left w:val="nil"/>
              <w:bottom w:val="nil"/>
              <w:right w:val="nil"/>
            </w:tcBorders>
            <w:shd w:val="clear" w:color="auto" w:fill="auto"/>
            <w:noWrap/>
            <w:vAlign w:val="bottom"/>
            <w:hideMark/>
          </w:tcPr>
          <w:p w14:paraId="1128F8D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c>
          <w:tcPr>
            <w:tcW w:w="1400" w:type="dxa"/>
            <w:tcBorders>
              <w:top w:val="nil"/>
              <w:left w:val="nil"/>
              <w:bottom w:val="nil"/>
              <w:right w:val="nil"/>
            </w:tcBorders>
            <w:shd w:val="clear" w:color="auto" w:fill="auto"/>
            <w:noWrap/>
            <w:vAlign w:val="bottom"/>
            <w:hideMark/>
          </w:tcPr>
          <w:p w14:paraId="6BDFAD1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r>
      <w:tr w:rsidR="00A360DB" w:rsidRPr="00A360DB" w14:paraId="0C929F62"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24EA028B"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6. Donacije</w:t>
            </w:r>
          </w:p>
        </w:tc>
        <w:tc>
          <w:tcPr>
            <w:tcW w:w="1480" w:type="dxa"/>
            <w:tcBorders>
              <w:top w:val="nil"/>
              <w:left w:val="nil"/>
              <w:bottom w:val="nil"/>
              <w:right w:val="nil"/>
            </w:tcBorders>
            <w:shd w:val="clear" w:color="auto" w:fill="auto"/>
            <w:noWrap/>
            <w:vAlign w:val="bottom"/>
            <w:hideMark/>
          </w:tcPr>
          <w:p w14:paraId="4070603E"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2.400,00</w:t>
            </w:r>
          </w:p>
        </w:tc>
        <w:tc>
          <w:tcPr>
            <w:tcW w:w="1380" w:type="dxa"/>
            <w:tcBorders>
              <w:top w:val="nil"/>
              <w:left w:val="nil"/>
              <w:bottom w:val="nil"/>
              <w:right w:val="nil"/>
            </w:tcBorders>
            <w:shd w:val="clear" w:color="auto" w:fill="auto"/>
            <w:noWrap/>
            <w:vAlign w:val="bottom"/>
            <w:hideMark/>
          </w:tcPr>
          <w:p w14:paraId="32290AE2"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2.400,00</w:t>
            </w:r>
          </w:p>
        </w:tc>
        <w:tc>
          <w:tcPr>
            <w:tcW w:w="1400" w:type="dxa"/>
            <w:tcBorders>
              <w:top w:val="nil"/>
              <w:left w:val="nil"/>
              <w:bottom w:val="nil"/>
              <w:right w:val="nil"/>
            </w:tcBorders>
            <w:shd w:val="clear" w:color="auto" w:fill="auto"/>
            <w:noWrap/>
            <w:vAlign w:val="bottom"/>
            <w:hideMark/>
          </w:tcPr>
          <w:p w14:paraId="6B934A3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w:t>
            </w:r>
          </w:p>
        </w:tc>
      </w:tr>
      <w:tr w:rsidR="00A360DB" w:rsidRPr="00A360DB" w14:paraId="1206D421"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FF93B0E"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6.1. Donacije</w:t>
            </w:r>
          </w:p>
        </w:tc>
        <w:tc>
          <w:tcPr>
            <w:tcW w:w="1480" w:type="dxa"/>
            <w:tcBorders>
              <w:top w:val="nil"/>
              <w:left w:val="nil"/>
              <w:bottom w:val="nil"/>
              <w:right w:val="nil"/>
            </w:tcBorders>
            <w:shd w:val="clear" w:color="auto" w:fill="auto"/>
            <w:noWrap/>
            <w:vAlign w:val="bottom"/>
            <w:hideMark/>
          </w:tcPr>
          <w:p w14:paraId="475B7ABA"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2.400,00</w:t>
            </w:r>
          </w:p>
        </w:tc>
        <w:tc>
          <w:tcPr>
            <w:tcW w:w="1380" w:type="dxa"/>
            <w:tcBorders>
              <w:top w:val="nil"/>
              <w:left w:val="nil"/>
              <w:bottom w:val="nil"/>
              <w:right w:val="nil"/>
            </w:tcBorders>
            <w:shd w:val="clear" w:color="auto" w:fill="auto"/>
            <w:noWrap/>
            <w:vAlign w:val="bottom"/>
            <w:hideMark/>
          </w:tcPr>
          <w:p w14:paraId="1B80081D"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2.400,00</w:t>
            </w:r>
          </w:p>
        </w:tc>
        <w:tc>
          <w:tcPr>
            <w:tcW w:w="1400" w:type="dxa"/>
            <w:tcBorders>
              <w:top w:val="nil"/>
              <w:left w:val="nil"/>
              <w:bottom w:val="nil"/>
              <w:right w:val="nil"/>
            </w:tcBorders>
            <w:shd w:val="clear" w:color="auto" w:fill="auto"/>
            <w:noWrap/>
            <w:vAlign w:val="bottom"/>
            <w:hideMark/>
          </w:tcPr>
          <w:p w14:paraId="19C41282"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w:t>
            </w:r>
          </w:p>
        </w:tc>
      </w:tr>
      <w:tr w:rsidR="00A360DB" w:rsidRPr="00A360DB" w14:paraId="1E48DE24" w14:textId="77777777" w:rsidTr="00A360DB">
        <w:trPr>
          <w:trHeight w:val="240"/>
        </w:trPr>
        <w:tc>
          <w:tcPr>
            <w:tcW w:w="1697" w:type="dxa"/>
            <w:tcBorders>
              <w:top w:val="nil"/>
              <w:left w:val="nil"/>
              <w:bottom w:val="nil"/>
              <w:right w:val="nil"/>
            </w:tcBorders>
            <w:shd w:val="clear" w:color="auto" w:fill="auto"/>
            <w:noWrap/>
            <w:vAlign w:val="bottom"/>
            <w:hideMark/>
          </w:tcPr>
          <w:p w14:paraId="2B04B3BB"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6E6FDA2F"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5412215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2.400,00</w:t>
            </w:r>
          </w:p>
        </w:tc>
        <w:tc>
          <w:tcPr>
            <w:tcW w:w="1380" w:type="dxa"/>
            <w:tcBorders>
              <w:top w:val="nil"/>
              <w:left w:val="nil"/>
              <w:bottom w:val="nil"/>
              <w:right w:val="nil"/>
            </w:tcBorders>
            <w:shd w:val="clear" w:color="auto" w:fill="auto"/>
            <w:noWrap/>
            <w:vAlign w:val="bottom"/>
            <w:hideMark/>
          </w:tcPr>
          <w:p w14:paraId="56956ED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2.400,00</w:t>
            </w:r>
          </w:p>
        </w:tc>
        <w:tc>
          <w:tcPr>
            <w:tcW w:w="1400" w:type="dxa"/>
            <w:tcBorders>
              <w:top w:val="nil"/>
              <w:left w:val="nil"/>
              <w:bottom w:val="nil"/>
              <w:right w:val="nil"/>
            </w:tcBorders>
            <w:shd w:val="clear" w:color="auto" w:fill="auto"/>
            <w:noWrap/>
            <w:vAlign w:val="bottom"/>
            <w:hideMark/>
          </w:tcPr>
          <w:p w14:paraId="3DCA8B2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r>
      <w:tr w:rsidR="00A360DB" w:rsidRPr="00A360DB" w14:paraId="6A7A96E3" w14:textId="77777777" w:rsidTr="00A360DB">
        <w:trPr>
          <w:trHeight w:val="240"/>
        </w:trPr>
        <w:tc>
          <w:tcPr>
            <w:tcW w:w="1697" w:type="dxa"/>
            <w:tcBorders>
              <w:top w:val="nil"/>
              <w:left w:val="nil"/>
              <w:bottom w:val="nil"/>
              <w:right w:val="nil"/>
            </w:tcBorders>
            <w:shd w:val="clear" w:color="auto" w:fill="auto"/>
            <w:noWrap/>
            <w:vAlign w:val="bottom"/>
            <w:hideMark/>
          </w:tcPr>
          <w:p w14:paraId="6C7EBA6E"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3222</w:t>
            </w:r>
          </w:p>
        </w:tc>
        <w:tc>
          <w:tcPr>
            <w:tcW w:w="8509" w:type="dxa"/>
            <w:tcBorders>
              <w:top w:val="nil"/>
              <w:left w:val="nil"/>
              <w:bottom w:val="nil"/>
              <w:right w:val="nil"/>
            </w:tcBorders>
            <w:shd w:val="clear" w:color="auto" w:fill="auto"/>
            <w:noWrap/>
            <w:vAlign w:val="bottom"/>
            <w:hideMark/>
          </w:tcPr>
          <w:p w14:paraId="54C3065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Materijal i sirovine                                                                                </w:t>
            </w:r>
          </w:p>
        </w:tc>
        <w:tc>
          <w:tcPr>
            <w:tcW w:w="1480" w:type="dxa"/>
            <w:tcBorders>
              <w:top w:val="nil"/>
              <w:left w:val="nil"/>
              <w:bottom w:val="nil"/>
              <w:right w:val="nil"/>
            </w:tcBorders>
            <w:shd w:val="clear" w:color="auto" w:fill="auto"/>
            <w:noWrap/>
            <w:vAlign w:val="bottom"/>
            <w:hideMark/>
          </w:tcPr>
          <w:p w14:paraId="58D84074"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B2D8917"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1.025,00</w:t>
            </w:r>
          </w:p>
        </w:tc>
        <w:tc>
          <w:tcPr>
            <w:tcW w:w="1400" w:type="dxa"/>
            <w:tcBorders>
              <w:top w:val="nil"/>
              <w:left w:val="nil"/>
              <w:bottom w:val="nil"/>
              <w:right w:val="nil"/>
            </w:tcBorders>
            <w:shd w:val="clear" w:color="auto" w:fill="auto"/>
            <w:noWrap/>
            <w:vAlign w:val="bottom"/>
            <w:hideMark/>
          </w:tcPr>
          <w:p w14:paraId="1CF1273A"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59AD1625" w14:textId="77777777" w:rsidTr="00A360DB">
        <w:trPr>
          <w:trHeight w:val="240"/>
        </w:trPr>
        <w:tc>
          <w:tcPr>
            <w:tcW w:w="1697" w:type="dxa"/>
            <w:tcBorders>
              <w:top w:val="nil"/>
              <w:left w:val="nil"/>
              <w:bottom w:val="nil"/>
              <w:right w:val="nil"/>
            </w:tcBorders>
            <w:shd w:val="clear" w:color="auto" w:fill="auto"/>
            <w:noWrap/>
            <w:vAlign w:val="bottom"/>
            <w:hideMark/>
          </w:tcPr>
          <w:p w14:paraId="7BFB72D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3237</w:t>
            </w:r>
          </w:p>
        </w:tc>
        <w:tc>
          <w:tcPr>
            <w:tcW w:w="8509" w:type="dxa"/>
            <w:tcBorders>
              <w:top w:val="nil"/>
              <w:left w:val="nil"/>
              <w:bottom w:val="nil"/>
              <w:right w:val="nil"/>
            </w:tcBorders>
            <w:shd w:val="clear" w:color="auto" w:fill="auto"/>
            <w:noWrap/>
            <w:vAlign w:val="bottom"/>
            <w:hideMark/>
          </w:tcPr>
          <w:p w14:paraId="7872271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Intelektualne i osobne usluge                                                                       </w:t>
            </w:r>
          </w:p>
        </w:tc>
        <w:tc>
          <w:tcPr>
            <w:tcW w:w="1480" w:type="dxa"/>
            <w:tcBorders>
              <w:top w:val="nil"/>
              <w:left w:val="nil"/>
              <w:bottom w:val="nil"/>
              <w:right w:val="nil"/>
            </w:tcBorders>
            <w:shd w:val="clear" w:color="auto" w:fill="auto"/>
            <w:noWrap/>
            <w:vAlign w:val="bottom"/>
            <w:hideMark/>
          </w:tcPr>
          <w:p w14:paraId="4E521D48"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F3A261A"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1.375,00</w:t>
            </w:r>
          </w:p>
        </w:tc>
        <w:tc>
          <w:tcPr>
            <w:tcW w:w="1400" w:type="dxa"/>
            <w:tcBorders>
              <w:top w:val="nil"/>
              <w:left w:val="nil"/>
              <w:bottom w:val="nil"/>
              <w:right w:val="nil"/>
            </w:tcBorders>
            <w:shd w:val="clear" w:color="auto" w:fill="auto"/>
            <w:noWrap/>
            <w:vAlign w:val="bottom"/>
            <w:hideMark/>
          </w:tcPr>
          <w:p w14:paraId="34D49035"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5A766A79"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03781ED"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9. Višak iz prethodnih razdoblja</w:t>
            </w:r>
          </w:p>
        </w:tc>
        <w:tc>
          <w:tcPr>
            <w:tcW w:w="1480" w:type="dxa"/>
            <w:tcBorders>
              <w:top w:val="nil"/>
              <w:left w:val="nil"/>
              <w:bottom w:val="nil"/>
              <w:right w:val="nil"/>
            </w:tcBorders>
            <w:shd w:val="clear" w:color="auto" w:fill="auto"/>
            <w:noWrap/>
            <w:vAlign w:val="bottom"/>
            <w:hideMark/>
          </w:tcPr>
          <w:p w14:paraId="4C803DEF"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854,99</w:t>
            </w:r>
          </w:p>
        </w:tc>
        <w:tc>
          <w:tcPr>
            <w:tcW w:w="1380" w:type="dxa"/>
            <w:tcBorders>
              <w:top w:val="nil"/>
              <w:left w:val="nil"/>
              <w:bottom w:val="nil"/>
              <w:right w:val="nil"/>
            </w:tcBorders>
            <w:shd w:val="clear" w:color="auto" w:fill="auto"/>
            <w:noWrap/>
            <w:vAlign w:val="bottom"/>
            <w:hideMark/>
          </w:tcPr>
          <w:p w14:paraId="6ED4D5AF"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854,99</w:t>
            </w:r>
          </w:p>
        </w:tc>
        <w:tc>
          <w:tcPr>
            <w:tcW w:w="1400" w:type="dxa"/>
            <w:tcBorders>
              <w:top w:val="nil"/>
              <w:left w:val="nil"/>
              <w:bottom w:val="nil"/>
              <w:right w:val="nil"/>
            </w:tcBorders>
            <w:shd w:val="clear" w:color="auto" w:fill="auto"/>
            <w:noWrap/>
            <w:vAlign w:val="bottom"/>
            <w:hideMark/>
          </w:tcPr>
          <w:p w14:paraId="76168EEF"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w:t>
            </w:r>
          </w:p>
        </w:tc>
      </w:tr>
      <w:tr w:rsidR="00A360DB" w:rsidRPr="00A360DB" w14:paraId="6765578C"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BDF8358"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 xml:space="preserve">Izvor 9.1. Višak iz prethodnih godina - </w:t>
            </w:r>
            <w:proofErr w:type="spellStart"/>
            <w:r w:rsidRPr="00A360DB">
              <w:rPr>
                <w:rFonts w:ascii="Arial" w:hAnsi="Arial" w:cs="Arial"/>
                <w:color w:val="333333"/>
                <w:sz w:val="18"/>
                <w:szCs w:val="18"/>
                <w:lang w:eastAsia="hr-HR"/>
              </w:rPr>
              <w:t>Prorač.korisnici</w:t>
            </w:r>
            <w:proofErr w:type="spellEnd"/>
          </w:p>
        </w:tc>
        <w:tc>
          <w:tcPr>
            <w:tcW w:w="1480" w:type="dxa"/>
            <w:tcBorders>
              <w:top w:val="nil"/>
              <w:left w:val="nil"/>
              <w:bottom w:val="nil"/>
              <w:right w:val="nil"/>
            </w:tcBorders>
            <w:shd w:val="clear" w:color="auto" w:fill="auto"/>
            <w:noWrap/>
            <w:vAlign w:val="bottom"/>
            <w:hideMark/>
          </w:tcPr>
          <w:p w14:paraId="18BE8337"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854,99</w:t>
            </w:r>
          </w:p>
        </w:tc>
        <w:tc>
          <w:tcPr>
            <w:tcW w:w="1380" w:type="dxa"/>
            <w:tcBorders>
              <w:top w:val="nil"/>
              <w:left w:val="nil"/>
              <w:bottom w:val="nil"/>
              <w:right w:val="nil"/>
            </w:tcBorders>
            <w:shd w:val="clear" w:color="auto" w:fill="auto"/>
            <w:noWrap/>
            <w:vAlign w:val="bottom"/>
            <w:hideMark/>
          </w:tcPr>
          <w:p w14:paraId="5FBC89F4"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854,99</w:t>
            </w:r>
          </w:p>
        </w:tc>
        <w:tc>
          <w:tcPr>
            <w:tcW w:w="1400" w:type="dxa"/>
            <w:tcBorders>
              <w:top w:val="nil"/>
              <w:left w:val="nil"/>
              <w:bottom w:val="nil"/>
              <w:right w:val="nil"/>
            </w:tcBorders>
            <w:shd w:val="clear" w:color="auto" w:fill="auto"/>
            <w:noWrap/>
            <w:vAlign w:val="bottom"/>
            <w:hideMark/>
          </w:tcPr>
          <w:p w14:paraId="5F053F96"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w:t>
            </w:r>
          </w:p>
        </w:tc>
      </w:tr>
      <w:tr w:rsidR="00A360DB" w:rsidRPr="00A360DB" w14:paraId="39AE41F7" w14:textId="77777777" w:rsidTr="00A360DB">
        <w:trPr>
          <w:trHeight w:val="240"/>
        </w:trPr>
        <w:tc>
          <w:tcPr>
            <w:tcW w:w="1697" w:type="dxa"/>
            <w:tcBorders>
              <w:top w:val="nil"/>
              <w:left w:val="nil"/>
              <w:bottom w:val="nil"/>
              <w:right w:val="nil"/>
            </w:tcBorders>
            <w:shd w:val="clear" w:color="auto" w:fill="auto"/>
            <w:noWrap/>
            <w:vAlign w:val="bottom"/>
            <w:hideMark/>
          </w:tcPr>
          <w:p w14:paraId="35DC91F1"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69D79C98"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0F9F6F7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854,99</w:t>
            </w:r>
          </w:p>
        </w:tc>
        <w:tc>
          <w:tcPr>
            <w:tcW w:w="1380" w:type="dxa"/>
            <w:tcBorders>
              <w:top w:val="nil"/>
              <w:left w:val="nil"/>
              <w:bottom w:val="nil"/>
              <w:right w:val="nil"/>
            </w:tcBorders>
            <w:shd w:val="clear" w:color="auto" w:fill="auto"/>
            <w:noWrap/>
            <w:vAlign w:val="bottom"/>
            <w:hideMark/>
          </w:tcPr>
          <w:p w14:paraId="72836EC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854,99</w:t>
            </w:r>
          </w:p>
        </w:tc>
        <w:tc>
          <w:tcPr>
            <w:tcW w:w="1400" w:type="dxa"/>
            <w:tcBorders>
              <w:top w:val="nil"/>
              <w:left w:val="nil"/>
              <w:bottom w:val="nil"/>
              <w:right w:val="nil"/>
            </w:tcBorders>
            <w:shd w:val="clear" w:color="auto" w:fill="auto"/>
            <w:noWrap/>
            <w:vAlign w:val="bottom"/>
            <w:hideMark/>
          </w:tcPr>
          <w:p w14:paraId="373CFC7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r>
      <w:tr w:rsidR="00A360DB" w:rsidRPr="00A360DB" w14:paraId="24F0CB6B" w14:textId="77777777" w:rsidTr="00A360DB">
        <w:trPr>
          <w:trHeight w:val="240"/>
        </w:trPr>
        <w:tc>
          <w:tcPr>
            <w:tcW w:w="1697" w:type="dxa"/>
            <w:tcBorders>
              <w:top w:val="nil"/>
              <w:left w:val="nil"/>
              <w:bottom w:val="nil"/>
              <w:right w:val="nil"/>
            </w:tcBorders>
            <w:shd w:val="clear" w:color="auto" w:fill="auto"/>
            <w:noWrap/>
            <w:vAlign w:val="bottom"/>
            <w:hideMark/>
          </w:tcPr>
          <w:p w14:paraId="6D25674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3233</w:t>
            </w:r>
          </w:p>
        </w:tc>
        <w:tc>
          <w:tcPr>
            <w:tcW w:w="8509" w:type="dxa"/>
            <w:tcBorders>
              <w:top w:val="nil"/>
              <w:left w:val="nil"/>
              <w:bottom w:val="nil"/>
              <w:right w:val="nil"/>
            </w:tcBorders>
            <w:shd w:val="clear" w:color="auto" w:fill="auto"/>
            <w:noWrap/>
            <w:vAlign w:val="bottom"/>
            <w:hideMark/>
          </w:tcPr>
          <w:p w14:paraId="4EF945F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Usluge promidžbe i informiranja                                                                     </w:t>
            </w:r>
          </w:p>
        </w:tc>
        <w:tc>
          <w:tcPr>
            <w:tcW w:w="1480" w:type="dxa"/>
            <w:tcBorders>
              <w:top w:val="nil"/>
              <w:left w:val="nil"/>
              <w:bottom w:val="nil"/>
              <w:right w:val="nil"/>
            </w:tcBorders>
            <w:shd w:val="clear" w:color="auto" w:fill="auto"/>
            <w:noWrap/>
            <w:vAlign w:val="bottom"/>
            <w:hideMark/>
          </w:tcPr>
          <w:p w14:paraId="4BFD45AE"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E670C36"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854,99</w:t>
            </w:r>
          </w:p>
        </w:tc>
        <w:tc>
          <w:tcPr>
            <w:tcW w:w="1400" w:type="dxa"/>
            <w:tcBorders>
              <w:top w:val="nil"/>
              <w:left w:val="nil"/>
              <w:bottom w:val="nil"/>
              <w:right w:val="nil"/>
            </w:tcBorders>
            <w:shd w:val="clear" w:color="auto" w:fill="auto"/>
            <w:noWrap/>
            <w:vAlign w:val="bottom"/>
            <w:hideMark/>
          </w:tcPr>
          <w:p w14:paraId="624C51F3"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38CAB48" w14:textId="77777777" w:rsidTr="00A360DB">
        <w:trPr>
          <w:trHeight w:val="240"/>
        </w:trPr>
        <w:tc>
          <w:tcPr>
            <w:tcW w:w="1697" w:type="dxa"/>
            <w:tcBorders>
              <w:top w:val="nil"/>
              <w:left w:val="nil"/>
              <w:bottom w:val="nil"/>
              <w:right w:val="nil"/>
            </w:tcBorders>
            <w:shd w:val="clear" w:color="000000" w:fill="B4C6E7"/>
            <w:noWrap/>
            <w:vAlign w:val="bottom"/>
            <w:hideMark/>
          </w:tcPr>
          <w:p w14:paraId="44B8902D"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A101405</w:t>
            </w:r>
          </w:p>
        </w:tc>
        <w:tc>
          <w:tcPr>
            <w:tcW w:w="8509" w:type="dxa"/>
            <w:tcBorders>
              <w:top w:val="nil"/>
              <w:left w:val="nil"/>
              <w:bottom w:val="nil"/>
              <w:right w:val="nil"/>
            </w:tcBorders>
            <w:shd w:val="clear" w:color="000000" w:fill="B4C6E7"/>
            <w:noWrap/>
            <w:vAlign w:val="bottom"/>
            <w:hideMark/>
          </w:tcPr>
          <w:p w14:paraId="777FF30C"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Redovno održavanje objekta Javne ustanove Garešnica</w:t>
            </w:r>
          </w:p>
        </w:tc>
        <w:tc>
          <w:tcPr>
            <w:tcW w:w="1480" w:type="dxa"/>
            <w:tcBorders>
              <w:top w:val="nil"/>
              <w:left w:val="nil"/>
              <w:bottom w:val="nil"/>
              <w:right w:val="nil"/>
            </w:tcBorders>
            <w:shd w:val="clear" w:color="000000" w:fill="B4C6E7"/>
            <w:noWrap/>
            <w:vAlign w:val="bottom"/>
            <w:hideMark/>
          </w:tcPr>
          <w:p w14:paraId="029C185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2.000,00</w:t>
            </w:r>
          </w:p>
        </w:tc>
        <w:tc>
          <w:tcPr>
            <w:tcW w:w="1380" w:type="dxa"/>
            <w:tcBorders>
              <w:top w:val="nil"/>
              <w:left w:val="nil"/>
              <w:bottom w:val="nil"/>
              <w:right w:val="nil"/>
            </w:tcBorders>
            <w:shd w:val="clear" w:color="000000" w:fill="B4C6E7"/>
            <w:noWrap/>
            <w:vAlign w:val="bottom"/>
            <w:hideMark/>
          </w:tcPr>
          <w:p w14:paraId="395F44C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1.074,49</w:t>
            </w:r>
          </w:p>
        </w:tc>
        <w:tc>
          <w:tcPr>
            <w:tcW w:w="1400" w:type="dxa"/>
            <w:tcBorders>
              <w:top w:val="nil"/>
              <w:left w:val="nil"/>
              <w:bottom w:val="nil"/>
              <w:right w:val="nil"/>
            </w:tcBorders>
            <w:shd w:val="clear" w:color="000000" w:fill="B4C6E7"/>
            <w:noWrap/>
            <w:vAlign w:val="bottom"/>
            <w:hideMark/>
          </w:tcPr>
          <w:p w14:paraId="16DE91D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53,72%</w:t>
            </w:r>
          </w:p>
        </w:tc>
      </w:tr>
      <w:tr w:rsidR="00A360DB" w:rsidRPr="00A360DB" w14:paraId="2642A858"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693D75F"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20BA5F36"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2.000,00</w:t>
            </w:r>
          </w:p>
        </w:tc>
        <w:tc>
          <w:tcPr>
            <w:tcW w:w="1380" w:type="dxa"/>
            <w:tcBorders>
              <w:top w:val="nil"/>
              <w:left w:val="nil"/>
              <w:bottom w:val="nil"/>
              <w:right w:val="nil"/>
            </w:tcBorders>
            <w:shd w:val="clear" w:color="auto" w:fill="auto"/>
            <w:noWrap/>
            <w:vAlign w:val="bottom"/>
            <w:hideMark/>
          </w:tcPr>
          <w:p w14:paraId="28E34C4C"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1.074,49</w:t>
            </w:r>
          </w:p>
        </w:tc>
        <w:tc>
          <w:tcPr>
            <w:tcW w:w="1400" w:type="dxa"/>
            <w:tcBorders>
              <w:top w:val="nil"/>
              <w:left w:val="nil"/>
              <w:bottom w:val="nil"/>
              <w:right w:val="nil"/>
            </w:tcBorders>
            <w:shd w:val="clear" w:color="auto" w:fill="auto"/>
            <w:noWrap/>
            <w:vAlign w:val="bottom"/>
            <w:hideMark/>
          </w:tcPr>
          <w:p w14:paraId="32F2C37F"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53,72%</w:t>
            </w:r>
          </w:p>
        </w:tc>
      </w:tr>
      <w:tr w:rsidR="00A360DB" w:rsidRPr="00A360DB" w14:paraId="3436C739"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640FD33"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663E876F"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2.000,00</w:t>
            </w:r>
          </w:p>
        </w:tc>
        <w:tc>
          <w:tcPr>
            <w:tcW w:w="1380" w:type="dxa"/>
            <w:tcBorders>
              <w:top w:val="nil"/>
              <w:left w:val="nil"/>
              <w:bottom w:val="nil"/>
              <w:right w:val="nil"/>
            </w:tcBorders>
            <w:shd w:val="clear" w:color="auto" w:fill="auto"/>
            <w:noWrap/>
            <w:vAlign w:val="bottom"/>
            <w:hideMark/>
          </w:tcPr>
          <w:p w14:paraId="07DE9B79"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1.074,49</w:t>
            </w:r>
          </w:p>
        </w:tc>
        <w:tc>
          <w:tcPr>
            <w:tcW w:w="1400" w:type="dxa"/>
            <w:tcBorders>
              <w:top w:val="nil"/>
              <w:left w:val="nil"/>
              <w:bottom w:val="nil"/>
              <w:right w:val="nil"/>
            </w:tcBorders>
            <w:shd w:val="clear" w:color="auto" w:fill="auto"/>
            <w:noWrap/>
            <w:vAlign w:val="bottom"/>
            <w:hideMark/>
          </w:tcPr>
          <w:p w14:paraId="01FF24E3"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53,72%</w:t>
            </w:r>
          </w:p>
        </w:tc>
      </w:tr>
      <w:tr w:rsidR="00A360DB" w:rsidRPr="00A360DB" w14:paraId="73DCBF7B" w14:textId="77777777" w:rsidTr="00A360DB">
        <w:trPr>
          <w:trHeight w:val="240"/>
        </w:trPr>
        <w:tc>
          <w:tcPr>
            <w:tcW w:w="1697" w:type="dxa"/>
            <w:tcBorders>
              <w:top w:val="nil"/>
              <w:left w:val="nil"/>
              <w:bottom w:val="nil"/>
              <w:right w:val="nil"/>
            </w:tcBorders>
            <w:shd w:val="clear" w:color="auto" w:fill="auto"/>
            <w:noWrap/>
            <w:vAlign w:val="bottom"/>
            <w:hideMark/>
          </w:tcPr>
          <w:p w14:paraId="34859660"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03E6A1FE"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41E13AD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2.000,00</w:t>
            </w:r>
          </w:p>
        </w:tc>
        <w:tc>
          <w:tcPr>
            <w:tcW w:w="1380" w:type="dxa"/>
            <w:tcBorders>
              <w:top w:val="nil"/>
              <w:left w:val="nil"/>
              <w:bottom w:val="nil"/>
              <w:right w:val="nil"/>
            </w:tcBorders>
            <w:shd w:val="clear" w:color="auto" w:fill="auto"/>
            <w:noWrap/>
            <w:vAlign w:val="bottom"/>
            <w:hideMark/>
          </w:tcPr>
          <w:p w14:paraId="789AC1A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1.074,49</w:t>
            </w:r>
          </w:p>
        </w:tc>
        <w:tc>
          <w:tcPr>
            <w:tcW w:w="1400" w:type="dxa"/>
            <w:tcBorders>
              <w:top w:val="nil"/>
              <w:left w:val="nil"/>
              <w:bottom w:val="nil"/>
              <w:right w:val="nil"/>
            </w:tcBorders>
            <w:shd w:val="clear" w:color="auto" w:fill="auto"/>
            <w:noWrap/>
            <w:vAlign w:val="bottom"/>
            <w:hideMark/>
          </w:tcPr>
          <w:p w14:paraId="6403764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53,72%</w:t>
            </w:r>
          </w:p>
        </w:tc>
      </w:tr>
      <w:tr w:rsidR="00A360DB" w:rsidRPr="00A360DB" w14:paraId="25B0581F" w14:textId="77777777" w:rsidTr="00A360DB">
        <w:trPr>
          <w:trHeight w:val="240"/>
        </w:trPr>
        <w:tc>
          <w:tcPr>
            <w:tcW w:w="1697" w:type="dxa"/>
            <w:tcBorders>
              <w:top w:val="nil"/>
              <w:left w:val="nil"/>
              <w:bottom w:val="nil"/>
              <w:right w:val="nil"/>
            </w:tcBorders>
            <w:shd w:val="clear" w:color="auto" w:fill="auto"/>
            <w:noWrap/>
            <w:vAlign w:val="bottom"/>
            <w:hideMark/>
          </w:tcPr>
          <w:p w14:paraId="76AAB50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3232</w:t>
            </w:r>
          </w:p>
        </w:tc>
        <w:tc>
          <w:tcPr>
            <w:tcW w:w="8509" w:type="dxa"/>
            <w:tcBorders>
              <w:top w:val="nil"/>
              <w:left w:val="nil"/>
              <w:bottom w:val="nil"/>
              <w:right w:val="nil"/>
            </w:tcBorders>
            <w:shd w:val="clear" w:color="auto" w:fill="auto"/>
            <w:noWrap/>
            <w:vAlign w:val="bottom"/>
            <w:hideMark/>
          </w:tcPr>
          <w:p w14:paraId="0DF01515"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Usluge tekućeg i investicijskog održavanja                                                          </w:t>
            </w:r>
          </w:p>
        </w:tc>
        <w:tc>
          <w:tcPr>
            <w:tcW w:w="1480" w:type="dxa"/>
            <w:tcBorders>
              <w:top w:val="nil"/>
              <w:left w:val="nil"/>
              <w:bottom w:val="nil"/>
              <w:right w:val="nil"/>
            </w:tcBorders>
            <w:shd w:val="clear" w:color="auto" w:fill="auto"/>
            <w:noWrap/>
            <w:vAlign w:val="bottom"/>
            <w:hideMark/>
          </w:tcPr>
          <w:p w14:paraId="4E656F04"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2460C29F"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1.074,49</w:t>
            </w:r>
          </w:p>
        </w:tc>
        <w:tc>
          <w:tcPr>
            <w:tcW w:w="1400" w:type="dxa"/>
            <w:tcBorders>
              <w:top w:val="nil"/>
              <w:left w:val="nil"/>
              <w:bottom w:val="nil"/>
              <w:right w:val="nil"/>
            </w:tcBorders>
            <w:shd w:val="clear" w:color="auto" w:fill="auto"/>
            <w:noWrap/>
            <w:vAlign w:val="bottom"/>
            <w:hideMark/>
          </w:tcPr>
          <w:p w14:paraId="2F172342"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660CFCB" w14:textId="77777777" w:rsidTr="00A360DB">
        <w:trPr>
          <w:trHeight w:val="240"/>
        </w:trPr>
        <w:tc>
          <w:tcPr>
            <w:tcW w:w="1697" w:type="dxa"/>
            <w:tcBorders>
              <w:top w:val="nil"/>
              <w:left w:val="nil"/>
              <w:bottom w:val="nil"/>
              <w:right w:val="nil"/>
            </w:tcBorders>
            <w:shd w:val="clear" w:color="000000" w:fill="B4C6E7"/>
            <w:noWrap/>
            <w:vAlign w:val="bottom"/>
            <w:hideMark/>
          </w:tcPr>
          <w:p w14:paraId="79315920"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A101406</w:t>
            </w:r>
          </w:p>
        </w:tc>
        <w:tc>
          <w:tcPr>
            <w:tcW w:w="8509" w:type="dxa"/>
            <w:tcBorders>
              <w:top w:val="nil"/>
              <w:left w:val="nil"/>
              <w:bottom w:val="nil"/>
              <w:right w:val="nil"/>
            </w:tcBorders>
            <w:shd w:val="clear" w:color="000000" w:fill="B4C6E7"/>
            <w:noWrap/>
            <w:vAlign w:val="bottom"/>
            <w:hideMark/>
          </w:tcPr>
          <w:p w14:paraId="753525D8"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Redovno održavanje opreme i prijevoznih sredstava</w:t>
            </w:r>
          </w:p>
        </w:tc>
        <w:tc>
          <w:tcPr>
            <w:tcW w:w="1480" w:type="dxa"/>
            <w:tcBorders>
              <w:top w:val="nil"/>
              <w:left w:val="nil"/>
              <w:bottom w:val="nil"/>
              <w:right w:val="nil"/>
            </w:tcBorders>
            <w:shd w:val="clear" w:color="000000" w:fill="B4C6E7"/>
            <w:noWrap/>
            <w:vAlign w:val="bottom"/>
            <w:hideMark/>
          </w:tcPr>
          <w:p w14:paraId="12F9CE2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2.000,00</w:t>
            </w:r>
          </w:p>
        </w:tc>
        <w:tc>
          <w:tcPr>
            <w:tcW w:w="1380" w:type="dxa"/>
            <w:tcBorders>
              <w:top w:val="nil"/>
              <w:left w:val="nil"/>
              <w:bottom w:val="nil"/>
              <w:right w:val="nil"/>
            </w:tcBorders>
            <w:shd w:val="clear" w:color="000000" w:fill="B4C6E7"/>
            <w:noWrap/>
            <w:vAlign w:val="bottom"/>
            <w:hideMark/>
          </w:tcPr>
          <w:p w14:paraId="14674DD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895,55</w:t>
            </w:r>
          </w:p>
        </w:tc>
        <w:tc>
          <w:tcPr>
            <w:tcW w:w="1400" w:type="dxa"/>
            <w:tcBorders>
              <w:top w:val="nil"/>
              <w:left w:val="nil"/>
              <w:bottom w:val="nil"/>
              <w:right w:val="nil"/>
            </w:tcBorders>
            <w:shd w:val="clear" w:color="000000" w:fill="B4C6E7"/>
            <w:noWrap/>
            <w:vAlign w:val="bottom"/>
            <w:hideMark/>
          </w:tcPr>
          <w:p w14:paraId="5A2130F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44,78%</w:t>
            </w:r>
          </w:p>
        </w:tc>
      </w:tr>
      <w:tr w:rsidR="00A360DB" w:rsidRPr="00A360DB" w14:paraId="0EF93891"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B108AF2"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14AF247B"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2.000,00</w:t>
            </w:r>
          </w:p>
        </w:tc>
        <w:tc>
          <w:tcPr>
            <w:tcW w:w="1380" w:type="dxa"/>
            <w:tcBorders>
              <w:top w:val="nil"/>
              <w:left w:val="nil"/>
              <w:bottom w:val="nil"/>
              <w:right w:val="nil"/>
            </w:tcBorders>
            <w:shd w:val="clear" w:color="auto" w:fill="auto"/>
            <w:noWrap/>
            <w:vAlign w:val="bottom"/>
            <w:hideMark/>
          </w:tcPr>
          <w:p w14:paraId="1E174FDD"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895,55</w:t>
            </w:r>
          </w:p>
        </w:tc>
        <w:tc>
          <w:tcPr>
            <w:tcW w:w="1400" w:type="dxa"/>
            <w:tcBorders>
              <w:top w:val="nil"/>
              <w:left w:val="nil"/>
              <w:bottom w:val="nil"/>
              <w:right w:val="nil"/>
            </w:tcBorders>
            <w:shd w:val="clear" w:color="auto" w:fill="auto"/>
            <w:noWrap/>
            <w:vAlign w:val="bottom"/>
            <w:hideMark/>
          </w:tcPr>
          <w:p w14:paraId="7F5F883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44,78%</w:t>
            </w:r>
          </w:p>
        </w:tc>
      </w:tr>
      <w:tr w:rsidR="00A360DB" w:rsidRPr="00A360DB" w14:paraId="330EF665"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9FBC7F4"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1B3294BD"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2.000,00</w:t>
            </w:r>
          </w:p>
        </w:tc>
        <w:tc>
          <w:tcPr>
            <w:tcW w:w="1380" w:type="dxa"/>
            <w:tcBorders>
              <w:top w:val="nil"/>
              <w:left w:val="nil"/>
              <w:bottom w:val="nil"/>
              <w:right w:val="nil"/>
            </w:tcBorders>
            <w:shd w:val="clear" w:color="auto" w:fill="auto"/>
            <w:noWrap/>
            <w:vAlign w:val="bottom"/>
            <w:hideMark/>
          </w:tcPr>
          <w:p w14:paraId="7E80D9DE"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895,55</w:t>
            </w:r>
          </w:p>
        </w:tc>
        <w:tc>
          <w:tcPr>
            <w:tcW w:w="1400" w:type="dxa"/>
            <w:tcBorders>
              <w:top w:val="nil"/>
              <w:left w:val="nil"/>
              <w:bottom w:val="nil"/>
              <w:right w:val="nil"/>
            </w:tcBorders>
            <w:shd w:val="clear" w:color="auto" w:fill="auto"/>
            <w:noWrap/>
            <w:vAlign w:val="bottom"/>
            <w:hideMark/>
          </w:tcPr>
          <w:p w14:paraId="3033173B"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44,78%</w:t>
            </w:r>
          </w:p>
        </w:tc>
      </w:tr>
      <w:tr w:rsidR="00A360DB" w:rsidRPr="00A360DB" w14:paraId="26F6EDFB" w14:textId="77777777" w:rsidTr="00A360DB">
        <w:trPr>
          <w:trHeight w:val="240"/>
        </w:trPr>
        <w:tc>
          <w:tcPr>
            <w:tcW w:w="1697" w:type="dxa"/>
            <w:tcBorders>
              <w:top w:val="nil"/>
              <w:left w:val="nil"/>
              <w:bottom w:val="nil"/>
              <w:right w:val="nil"/>
            </w:tcBorders>
            <w:shd w:val="clear" w:color="auto" w:fill="auto"/>
            <w:noWrap/>
            <w:vAlign w:val="bottom"/>
            <w:hideMark/>
          </w:tcPr>
          <w:p w14:paraId="600F50DD"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469E15C3"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39B5ADC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2.000,00</w:t>
            </w:r>
          </w:p>
        </w:tc>
        <w:tc>
          <w:tcPr>
            <w:tcW w:w="1380" w:type="dxa"/>
            <w:tcBorders>
              <w:top w:val="nil"/>
              <w:left w:val="nil"/>
              <w:bottom w:val="nil"/>
              <w:right w:val="nil"/>
            </w:tcBorders>
            <w:shd w:val="clear" w:color="auto" w:fill="auto"/>
            <w:noWrap/>
            <w:vAlign w:val="bottom"/>
            <w:hideMark/>
          </w:tcPr>
          <w:p w14:paraId="09D7D61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895,55</w:t>
            </w:r>
          </w:p>
        </w:tc>
        <w:tc>
          <w:tcPr>
            <w:tcW w:w="1400" w:type="dxa"/>
            <w:tcBorders>
              <w:top w:val="nil"/>
              <w:left w:val="nil"/>
              <w:bottom w:val="nil"/>
              <w:right w:val="nil"/>
            </w:tcBorders>
            <w:shd w:val="clear" w:color="auto" w:fill="auto"/>
            <w:noWrap/>
            <w:vAlign w:val="bottom"/>
            <w:hideMark/>
          </w:tcPr>
          <w:p w14:paraId="383D692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44,78%</w:t>
            </w:r>
          </w:p>
        </w:tc>
      </w:tr>
      <w:tr w:rsidR="00A360DB" w:rsidRPr="00A360DB" w14:paraId="66AF26F3" w14:textId="77777777" w:rsidTr="00A360DB">
        <w:trPr>
          <w:trHeight w:val="240"/>
        </w:trPr>
        <w:tc>
          <w:tcPr>
            <w:tcW w:w="1697" w:type="dxa"/>
            <w:tcBorders>
              <w:top w:val="nil"/>
              <w:left w:val="nil"/>
              <w:bottom w:val="nil"/>
              <w:right w:val="nil"/>
            </w:tcBorders>
            <w:shd w:val="clear" w:color="auto" w:fill="auto"/>
            <w:noWrap/>
            <w:vAlign w:val="bottom"/>
            <w:hideMark/>
          </w:tcPr>
          <w:p w14:paraId="6A148B9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3224</w:t>
            </w:r>
          </w:p>
        </w:tc>
        <w:tc>
          <w:tcPr>
            <w:tcW w:w="8509" w:type="dxa"/>
            <w:tcBorders>
              <w:top w:val="nil"/>
              <w:left w:val="nil"/>
              <w:bottom w:val="nil"/>
              <w:right w:val="nil"/>
            </w:tcBorders>
            <w:shd w:val="clear" w:color="auto" w:fill="auto"/>
            <w:noWrap/>
            <w:vAlign w:val="bottom"/>
            <w:hideMark/>
          </w:tcPr>
          <w:p w14:paraId="313C6F7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Materijal i dijelovi za tekuće i investicijsko održavanje                                           </w:t>
            </w:r>
          </w:p>
        </w:tc>
        <w:tc>
          <w:tcPr>
            <w:tcW w:w="1480" w:type="dxa"/>
            <w:tcBorders>
              <w:top w:val="nil"/>
              <w:left w:val="nil"/>
              <w:bottom w:val="nil"/>
              <w:right w:val="nil"/>
            </w:tcBorders>
            <w:shd w:val="clear" w:color="auto" w:fill="auto"/>
            <w:noWrap/>
            <w:vAlign w:val="bottom"/>
            <w:hideMark/>
          </w:tcPr>
          <w:p w14:paraId="768DA808"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3743FC1"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895,55</w:t>
            </w:r>
          </w:p>
        </w:tc>
        <w:tc>
          <w:tcPr>
            <w:tcW w:w="1400" w:type="dxa"/>
            <w:tcBorders>
              <w:top w:val="nil"/>
              <w:left w:val="nil"/>
              <w:bottom w:val="nil"/>
              <w:right w:val="nil"/>
            </w:tcBorders>
            <w:shd w:val="clear" w:color="auto" w:fill="auto"/>
            <w:noWrap/>
            <w:vAlign w:val="bottom"/>
            <w:hideMark/>
          </w:tcPr>
          <w:p w14:paraId="0DBEAAE7"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E4EE56B" w14:textId="77777777" w:rsidTr="00A360DB">
        <w:trPr>
          <w:trHeight w:val="240"/>
        </w:trPr>
        <w:tc>
          <w:tcPr>
            <w:tcW w:w="1697" w:type="dxa"/>
            <w:tcBorders>
              <w:top w:val="nil"/>
              <w:left w:val="nil"/>
              <w:bottom w:val="nil"/>
              <w:right w:val="nil"/>
            </w:tcBorders>
            <w:shd w:val="clear" w:color="000000" w:fill="B4C6E7"/>
            <w:noWrap/>
            <w:vAlign w:val="bottom"/>
            <w:hideMark/>
          </w:tcPr>
          <w:p w14:paraId="6876199B"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lastRenderedPageBreak/>
              <w:t>K101404</w:t>
            </w:r>
          </w:p>
        </w:tc>
        <w:tc>
          <w:tcPr>
            <w:tcW w:w="8509" w:type="dxa"/>
            <w:tcBorders>
              <w:top w:val="nil"/>
              <w:left w:val="nil"/>
              <w:bottom w:val="nil"/>
              <w:right w:val="nil"/>
            </w:tcBorders>
            <w:shd w:val="clear" w:color="000000" w:fill="B4C6E7"/>
            <w:noWrap/>
            <w:vAlign w:val="bottom"/>
            <w:hideMark/>
          </w:tcPr>
          <w:p w14:paraId="15C14DA4"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Kapitalni projekt: Opremanje Javne ustanove Garešnica</w:t>
            </w:r>
          </w:p>
        </w:tc>
        <w:tc>
          <w:tcPr>
            <w:tcW w:w="1480" w:type="dxa"/>
            <w:tcBorders>
              <w:top w:val="nil"/>
              <w:left w:val="nil"/>
              <w:bottom w:val="nil"/>
              <w:right w:val="nil"/>
            </w:tcBorders>
            <w:shd w:val="clear" w:color="000000" w:fill="B4C6E7"/>
            <w:noWrap/>
            <w:vAlign w:val="bottom"/>
            <w:hideMark/>
          </w:tcPr>
          <w:p w14:paraId="33CC497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4.100,00</w:t>
            </w:r>
          </w:p>
        </w:tc>
        <w:tc>
          <w:tcPr>
            <w:tcW w:w="1380" w:type="dxa"/>
            <w:tcBorders>
              <w:top w:val="nil"/>
              <w:left w:val="nil"/>
              <w:bottom w:val="nil"/>
              <w:right w:val="nil"/>
            </w:tcBorders>
            <w:shd w:val="clear" w:color="000000" w:fill="B4C6E7"/>
            <w:noWrap/>
            <w:vAlign w:val="bottom"/>
            <w:hideMark/>
          </w:tcPr>
          <w:p w14:paraId="3F2C5A7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3.973,41</w:t>
            </w:r>
          </w:p>
        </w:tc>
        <w:tc>
          <w:tcPr>
            <w:tcW w:w="1400" w:type="dxa"/>
            <w:tcBorders>
              <w:top w:val="nil"/>
              <w:left w:val="nil"/>
              <w:bottom w:val="nil"/>
              <w:right w:val="nil"/>
            </w:tcBorders>
            <w:shd w:val="clear" w:color="000000" w:fill="B4C6E7"/>
            <w:noWrap/>
            <w:vAlign w:val="bottom"/>
            <w:hideMark/>
          </w:tcPr>
          <w:p w14:paraId="23974C1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96,91%</w:t>
            </w:r>
          </w:p>
        </w:tc>
      </w:tr>
      <w:tr w:rsidR="00A360DB" w:rsidRPr="00A360DB" w14:paraId="4F6E47F5"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33C43C9F"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0A567841"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4.100,00</w:t>
            </w:r>
          </w:p>
        </w:tc>
        <w:tc>
          <w:tcPr>
            <w:tcW w:w="1380" w:type="dxa"/>
            <w:tcBorders>
              <w:top w:val="nil"/>
              <w:left w:val="nil"/>
              <w:bottom w:val="nil"/>
              <w:right w:val="nil"/>
            </w:tcBorders>
            <w:shd w:val="clear" w:color="auto" w:fill="auto"/>
            <w:noWrap/>
            <w:vAlign w:val="bottom"/>
            <w:hideMark/>
          </w:tcPr>
          <w:p w14:paraId="32501CF2"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3.973,41</w:t>
            </w:r>
          </w:p>
        </w:tc>
        <w:tc>
          <w:tcPr>
            <w:tcW w:w="1400" w:type="dxa"/>
            <w:tcBorders>
              <w:top w:val="nil"/>
              <w:left w:val="nil"/>
              <w:bottom w:val="nil"/>
              <w:right w:val="nil"/>
            </w:tcBorders>
            <w:shd w:val="clear" w:color="auto" w:fill="auto"/>
            <w:noWrap/>
            <w:vAlign w:val="bottom"/>
            <w:hideMark/>
          </w:tcPr>
          <w:p w14:paraId="467346C2"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96,91%</w:t>
            </w:r>
          </w:p>
        </w:tc>
      </w:tr>
      <w:tr w:rsidR="00A360DB" w:rsidRPr="00A360DB" w14:paraId="1B0905EB"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54CB66C8"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1A32EC43"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4.100,00</w:t>
            </w:r>
          </w:p>
        </w:tc>
        <w:tc>
          <w:tcPr>
            <w:tcW w:w="1380" w:type="dxa"/>
            <w:tcBorders>
              <w:top w:val="nil"/>
              <w:left w:val="nil"/>
              <w:bottom w:val="nil"/>
              <w:right w:val="nil"/>
            </w:tcBorders>
            <w:shd w:val="clear" w:color="auto" w:fill="auto"/>
            <w:noWrap/>
            <w:vAlign w:val="bottom"/>
            <w:hideMark/>
          </w:tcPr>
          <w:p w14:paraId="2E9E8581"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3.973,41</w:t>
            </w:r>
          </w:p>
        </w:tc>
        <w:tc>
          <w:tcPr>
            <w:tcW w:w="1400" w:type="dxa"/>
            <w:tcBorders>
              <w:top w:val="nil"/>
              <w:left w:val="nil"/>
              <w:bottom w:val="nil"/>
              <w:right w:val="nil"/>
            </w:tcBorders>
            <w:shd w:val="clear" w:color="auto" w:fill="auto"/>
            <w:noWrap/>
            <w:vAlign w:val="bottom"/>
            <w:hideMark/>
          </w:tcPr>
          <w:p w14:paraId="1274846D"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96,91%</w:t>
            </w:r>
          </w:p>
        </w:tc>
      </w:tr>
      <w:tr w:rsidR="00A360DB" w:rsidRPr="00A360DB" w14:paraId="77C2C153" w14:textId="77777777" w:rsidTr="00A360DB">
        <w:trPr>
          <w:trHeight w:val="240"/>
        </w:trPr>
        <w:tc>
          <w:tcPr>
            <w:tcW w:w="1697" w:type="dxa"/>
            <w:tcBorders>
              <w:top w:val="nil"/>
              <w:left w:val="nil"/>
              <w:bottom w:val="nil"/>
              <w:right w:val="nil"/>
            </w:tcBorders>
            <w:shd w:val="clear" w:color="auto" w:fill="auto"/>
            <w:noWrap/>
            <w:vAlign w:val="bottom"/>
            <w:hideMark/>
          </w:tcPr>
          <w:p w14:paraId="4434C450"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42</w:t>
            </w:r>
          </w:p>
        </w:tc>
        <w:tc>
          <w:tcPr>
            <w:tcW w:w="8509" w:type="dxa"/>
            <w:tcBorders>
              <w:top w:val="nil"/>
              <w:left w:val="nil"/>
              <w:bottom w:val="nil"/>
              <w:right w:val="nil"/>
            </w:tcBorders>
            <w:shd w:val="clear" w:color="auto" w:fill="auto"/>
            <w:noWrap/>
            <w:vAlign w:val="bottom"/>
            <w:hideMark/>
          </w:tcPr>
          <w:p w14:paraId="375C16E4"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nabavu proizvedene dugotrajne imovine                                                    </w:t>
            </w:r>
          </w:p>
        </w:tc>
        <w:tc>
          <w:tcPr>
            <w:tcW w:w="1480" w:type="dxa"/>
            <w:tcBorders>
              <w:top w:val="nil"/>
              <w:left w:val="nil"/>
              <w:bottom w:val="nil"/>
              <w:right w:val="nil"/>
            </w:tcBorders>
            <w:shd w:val="clear" w:color="auto" w:fill="auto"/>
            <w:noWrap/>
            <w:vAlign w:val="bottom"/>
            <w:hideMark/>
          </w:tcPr>
          <w:p w14:paraId="62E6FCE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4.100,00</w:t>
            </w:r>
          </w:p>
        </w:tc>
        <w:tc>
          <w:tcPr>
            <w:tcW w:w="1380" w:type="dxa"/>
            <w:tcBorders>
              <w:top w:val="nil"/>
              <w:left w:val="nil"/>
              <w:bottom w:val="nil"/>
              <w:right w:val="nil"/>
            </w:tcBorders>
            <w:shd w:val="clear" w:color="auto" w:fill="auto"/>
            <w:noWrap/>
            <w:vAlign w:val="bottom"/>
            <w:hideMark/>
          </w:tcPr>
          <w:p w14:paraId="5280D5C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3.973,41</w:t>
            </w:r>
          </w:p>
        </w:tc>
        <w:tc>
          <w:tcPr>
            <w:tcW w:w="1400" w:type="dxa"/>
            <w:tcBorders>
              <w:top w:val="nil"/>
              <w:left w:val="nil"/>
              <w:bottom w:val="nil"/>
              <w:right w:val="nil"/>
            </w:tcBorders>
            <w:shd w:val="clear" w:color="auto" w:fill="auto"/>
            <w:noWrap/>
            <w:vAlign w:val="bottom"/>
            <w:hideMark/>
          </w:tcPr>
          <w:p w14:paraId="33950A8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96,91%</w:t>
            </w:r>
          </w:p>
        </w:tc>
      </w:tr>
      <w:tr w:rsidR="00A360DB" w:rsidRPr="00A360DB" w14:paraId="173E584E" w14:textId="77777777" w:rsidTr="00A360DB">
        <w:trPr>
          <w:trHeight w:val="240"/>
        </w:trPr>
        <w:tc>
          <w:tcPr>
            <w:tcW w:w="1697" w:type="dxa"/>
            <w:tcBorders>
              <w:top w:val="nil"/>
              <w:left w:val="nil"/>
              <w:bottom w:val="nil"/>
              <w:right w:val="nil"/>
            </w:tcBorders>
            <w:shd w:val="clear" w:color="auto" w:fill="auto"/>
            <w:noWrap/>
            <w:vAlign w:val="bottom"/>
            <w:hideMark/>
          </w:tcPr>
          <w:p w14:paraId="057F81E5"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4221</w:t>
            </w:r>
          </w:p>
        </w:tc>
        <w:tc>
          <w:tcPr>
            <w:tcW w:w="8509" w:type="dxa"/>
            <w:tcBorders>
              <w:top w:val="nil"/>
              <w:left w:val="nil"/>
              <w:bottom w:val="nil"/>
              <w:right w:val="nil"/>
            </w:tcBorders>
            <w:shd w:val="clear" w:color="auto" w:fill="auto"/>
            <w:noWrap/>
            <w:vAlign w:val="bottom"/>
            <w:hideMark/>
          </w:tcPr>
          <w:p w14:paraId="07A6E1A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Uredska oprema i namještaj                                                                          </w:t>
            </w:r>
          </w:p>
        </w:tc>
        <w:tc>
          <w:tcPr>
            <w:tcW w:w="1480" w:type="dxa"/>
            <w:tcBorders>
              <w:top w:val="nil"/>
              <w:left w:val="nil"/>
              <w:bottom w:val="nil"/>
              <w:right w:val="nil"/>
            </w:tcBorders>
            <w:shd w:val="clear" w:color="auto" w:fill="auto"/>
            <w:noWrap/>
            <w:vAlign w:val="bottom"/>
            <w:hideMark/>
          </w:tcPr>
          <w:p w14:paraId="282C2ECB"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20BFB23"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2.893,41</w:t>
            </w:r>
          </w:p>
        </w:tc>
        <w:tc>
          <w:tcPr>
            <w:tcW w:w="1400" w:type="dxa"/>
            <w:tcBorders>
              <w:top w:val="nil"/>
              <w:left w:val="nil"/>
              <w:bottom w:val="nil"/>
              <w:right w:val="nil"/>
            </w:tcBorders>
            <w:shd w:val="clear" w:color="auto" w:fill="auto"/>
            <w:noWrap/>
            <w:vAlign w:val="bottom"/>
            <w:hideMark/>
          </w:tcPr>
          <w:p w14:paraId="60AE3BF0"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22D32AFA" w14:textId="77777777" w:rsidTr="00A360DB">
        <w:trPr>
          <w:trHeight w:val="240"/>
        </w:trPr>
        <w:tc>
          <w:tcPr>
            <w:tcW w:w="1697" w:type="dxa"/>
            <w:tcBorders>
              <w:top w:val="nil"/>
              <w:left w:val="nil"/>
              <w:bottom w:val="nil"/>
              <w:right w:val="nil"/>
            </w:tcBorders>
            <w:shd w:val="clear" w:color="auto" w:fill="auto"/>
            <w:noWrap/>
            <w:vAlign w:val="bottom"/>
            <w:hideMark/>
          </w:tcPr>
          <w:p w14:paraId="4DCE745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4263</w:t>
            </w:r>
          </w:p>
        </w:tc>
        <w:tc>
          <w:tcPr>
            <w:tcW w:w="8509" w:type="dxa"/>
            <w:tcBorders>
              <w:top w:val="nil"/>
              <w:left w:val="nil"/>
              <w:bottom w:val="nil"/>
              <w:right w:val="nil"/>
            </w:tcBorders>
            <w:shd w:val="clear" w:color="auto" w:fill="auto"/>
            <w:noWrap/>
            <w:vAlign w:val="bottom"/>
            <w:hideMark/>
          </w:tcPr>
          <w:p w14:paraId="045101F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Umjetnička, literarna i znanstvena djela                                                            </w:t>
            </w:r>
          </w:p>
        </w:tc>
        <w:tc>
          <w:tcPr>
            <w:tcW w:w="1480" w:type="dxa"/>
            <w:tcBorders>
              <w:top w:val="nil"/>
              <w:left w:val="nil"/>
              <w:bottom w:val="nil"/>
              <w:right w:val="nil"/>
            </w:tcBorders>
            <w:shd w:val="clear" w:color="auto" w:fill="auto"/>
            <w:noWrap/>
            <w:vAlign w:val="bottom"/>
            <w:hideMark/>
          </w:tcPr>
          <w:p w14:paraId="32C4756F"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5D9F8F8"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1.080,00</w:t>
            </w:r>
          </w:p>
        </w:tc>
        <w:tc>
          <w:tcPr>
            <w:tcW w:w="1400" w:type="dxa"/>
            <w:tcBorders>
              <w:top w:val="nil"/>
              <w:left w:val="nil"/>
              <w:bottom w:val="nil"/>
              <w:right w:val="nil"/>
            </w:tcBorders>
            <w:shd w:val="clear" w:color="auto" w:fill="auto"/>
            <w:noWrap/>
            <w:vAlign w:val="bottom"/>
            <w:hideMark/>
          </w:tcPr>
          <w:p w14:paraId="06310D2D"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D842B28" w14:textId="77777777" w:rsidTr="00A360DB">
        <w:trPr>
          <w:trHeight w:val="240"/>
        </w:trPr>
        <w:tc>
          <w:tcPr>
            <w:tcW w:w="10206" w:type="dxa"/>
            <w:gridSpan w:val="2"/>
            <w:tcBorders>
              <w:top w:val="nil"/>
              <w:left w:val="nil"/>
              <w:bottom w:val="nil"/>
              <w:right w:val="nil"/>
            </w:tcBorders>
            <w:shd w:val="clear" w:color="000000" w:fill="8994FB"/>
            <w:noWrap/>
            <w:vAlign w:val="bottom"/>
            <w:hideMark/>
          </w:tcPr>
          <w:p w14:paraId="1A247211"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GLAVA 00206 OSNOVNO ŠKOLSTVO</w:t>
            </w:r>
          </w:p>
        </w:tc>
        <w:tc>
          <w:tcPr>
            <w:tcW w:w="1480" w:type="dxa"/>
            <w:tcBorders>
              <w:top w:val="nil"/>
              <w:left w:val="nil"/>
              <w:bottom w:val="nil"/>
              <w:right w:val="nil"/>
            </w:tcBorders>
            <w:shd w:val="clear" w:color="000000" w:fill="8994FB"/>
            <w:noWrap/>
            <w:vAlign w:val="bottom"/>
            <w:hideMark/>
          </w:tcPr>
          <w:p w14:paraId="0338C75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3.591.690,56</w:t>
            </w:r>
          </w:p>
        </w:tc>
        <w:tc>
          <w:tcPr>
            <w:tcW w:w="1380" w:type="dxa"/>
            <w:tcBorders>
              <w:top w:val="nil"/>
              <w:left w:val="nil"/>
              <w:bottom w:val="nil"/>
              <w:right w:val="nil"/>
            </w:tcBorders>
            <w:shd w:val="clear" w:color="000000" w:fill="8994FB"/>
            <w:noWrap/>
            <w:vAlign w:val="bottom"/>
            <w:hideMark/>
          </w:tcPr>
          <w:p w14:paraId="34438A21" w14:textId="610349C3"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3.4</w:t>
            </w:r>
            <w:r w:rsidR="00B46E7B">
              <w:rPr>
                <w:rFonts w:ascii="Arial" w:hAnsi="Arial" w:cs="Arial"/>
                <w:b/>
                <w:bCs/>
                <w:sz w:val="18"/>
                <w:szCs w:val="18"/>
                <w:lang w:eastAsia="hr-HR"/>
              </w:rPr>
              <w:t>43.858,28</w:t>
            </w:r>
          </w:p>
        </w:tc>
        <w:tc>
          <w:tcPr>
            <w:tcW w:w="1400" w:type="dxa"/>
            <w:tcBorders>
              <w:top w:val="nil"/>
              <w:left w:val="nil"/>
              <w:bottom w:val="nil"/>
              <w:right w:val="nil"/>
            </w:tcBorders>
            <w:shd w:val="clear" w:color="000000" w:fill="8994FB"/>
            <w:noWrap/>
            <w:vAlign w:val="bottom"/>
            <w:hideMark/>
          </w:tcPr>
          <w:p w14:paraId="1E16D8B4" w14:textId="17ECAB04"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95,</w:t>
            </w:r>
            <w:r w:rsidR="00B46E7B">
              <w:rPr>
                <w:rFonts w:ascii="Arial" w:hAnsi="Arial" w:cs="Arial"/>
                <w:b/>
                <w:bCs/>
                <w:sz w:val="18"/>
                <w:szCs w:val="18"/>
                <w:lang w:eastAsia="hr-HR"/>
              </w:rPr>
              <w:t>88</w:t>
            </w:r>
            <w:r w:rsidRPr="00A360DB">
              <w:rPr>
                <w:rFonts w:ascii="Arial" w:hAnsi="Arial" w:cs="Arial"/>
                <w:b/>
                <w:bCs/>
                <w:sz w:val="18"/>
                <w:szCs w:val="18"/>
                <w:lang w:eastAsia="hr-HR"/>
              </w:rPr>
              <w:t>%</w:t>
            </w:r>
          </w:p>
        </w:tc>
      </w:tr>
      <w:tr w:rsidR="00A360DB" w:rsidRPr="00A360DB" w14:paraId="04422B60"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2789F76"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688A242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151.250,00</w:t>
            </w:r>
          </w:p>
        </w:tc>
        <w:tc>
          <w:tcPr>
            <w:tcW w:w="1380" w:type="dxa"/>
            <w:tcBorders>
              <w:top w:val="nil"/>
              <w:left w:val="nil"/>
              <w:bottom w:val="nil"/>
              <w:right w:val="nil"/>
            </w:tcBorders>
            <w:shd w:val="clear" w:color="auto" w:fill="auto"/>
            <w:noWrap/>
            <w:vAlign w:val="bottom"/>
            <w:hideMark/>
          </w:tcPr>
          <w:p w14:paraId="169974B7"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141.822,15</w:t>
            </w:r>
          </w:p>
        </w:tc>
        <w:tc>
          <w:tcPr>
            <w:tcW w:w="1400" w:type="dxa"/>
            <w:tcBorders>
              <w:top w:val="nil"/>
              <w:left w:val="nil"/>
              <w:bottom w:val="nil"/>
              <w:right w:val="nil"/>
            </w:tcBorders>
            <w:shd w:val="clear" w:color="auto" w:fill="auto"/>
            <w:noWrap/>
            <w:vAlign w:val="bottom"/>
            <w:hideMark/>
          </w:tcPr>
          <w:p w14:paraId="181F4FB9"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93,77%</w:t>
            </w:r>
          </w:p>
        </w:tc>
      </w:tr>
      <w:tr w:rsidR="00A360DB" w:rsidRPr="00A360DB" w14:paraId="6260FD4F"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986BA11"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409D2738"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151.250,00</w:t>
            </w:r>
          </w:p>
        </w:tc>
        <w:tc>
          <w:tcPr>
            <w:tcW w:w="1380" w:type="dxa"/>
            <w:tcBorders>
              <w:top w:val="nil"/>
              <w:left w:val="nil"/>
              <w:bottom w:val="nil"/>
              <w:right w:val="nil"/>
            </w:tcBorders>
            <w:shd w:val="clear" w:color="auto" w:fill="auto"/>
            <w:noWrap/>
            <w:vAlign w:val="bottom"/>
            <w:hideMark/>
          </w:tcPr>
          <w:p w14:paraId="67F671B9"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141.822,15</w:t>
            </w:r>
          </w:p>
        </w:tc>
        <w:tc>
          <w:tcPr>
            <w:tcW w:w="1400" w:type="dxa"/>
            <w:tcBorders>
              <w:top w:val="nil"/>
              <w:left w:val="nil"/>
              <w:bottom w:val="nil"/>
              <w:right w:val="nil"/>
            </w:tcBorders>
            <w:shd w:val="clear" w:color="auto" w:fill="auto"/>
            <w:noWrap/>
            <w:vAlign w:val="bottom"/>
            <w:hideMark/>
          </w:tcPr>
          <w:p w14:paraId="7475B300"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93,77%</w:t>
            </w:r>
          </w:p>
        </w:tc>
      </w:tr>
      <w:tr w:rsidR="00A360DB" w:rsidRPr="00A360DB" w14:paraId="7DB827DC"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3DE2B8B5"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3. Vlastiti prihodi</w:t>
            </w:r>
          </w:p>
        </w:tc>
        <w:tc>
          <w:tcPr>
            <w:tcW w:w="1480" w:type="dxa"/>
            <w:tcBorders>
              <w:top w:val="nil"/>
              <w:left w:val="nil"/>
              <w:bottom w:val="nil"/>
              <w:right w:val="nil"/>
            </w:tcBorders>
            <w:shd w:val="clear" w:color="auto" w:fill="auto"/>
            <w:noWrap/>
            <w:vAlign w:val="bottom"/>
            <w:hideMark/>
          </w:tcPr>
          <w:p w14:paraId="3DD4DF01"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29.292,00</w:t>
            </w:r>
          </w:p>
        </w:tc>
        <w:tc>
          <w:tcPr>
            <w:tcW w:w="1380" w:type="dxa"/>
            <w:tcBorders>
              <w:top w:val="nil"/>
              <w:left w:val="nil"/>
              <w:bottom w:val="nil"/>
              <w:right w:val="nil"/>
            </w:tcBorders>
            <w:shd w:val="clear" w:color="auto" w:fill="auto"/>
            <w:noWrap/>
            <w:vAlign w:val="bottom"/>
            <w:hideMark/>
          </w:tcPr>
          <w:p w14:paraId="2A7C0EBE"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18.496,34</w:t>
            </w:r>
          </w:p>
        </w:tc>
        <w:tc>
          <w:tcPr>
            <w:tcW w:w="1400" w:type="dxa"/>
            <w:tcBorders>
              <w:top w:val="nil"/>
              <w:left w:val="nil"/>
              <w:bottom w:val="nil"/>
              <w:right w:val="nil"/>
            </w:tcBorders>
            <w:shd w:val="clear" w:color="auto" w:fill="auto"/>
            <w:noWrap/>
            <w:vAlign w:val="bottom"/>
            <w:hideMark/>
          </w:tcPr>
          <w:p w14:paraId="744E5FA5"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63,14%</w:t>
            </w:r>
          </w:p>
        </w:tc>
      </w:tr>
      <w:tr w:rsidR="00A360DB" w:rsidRPr="00A360DB" w14:paraId="3A74AA67"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1CDE2AEB"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3.1. Vlastiti prihodi</w:t>
            </w:r>
          </w:p>
        </w:tc>
        <w:tc>
          <w:tcPr>
            <w:tcW w:w="1480" w:type="dxa"/>
            <w:tcBorders>
              <w:top w:val="nil"/>
              <w:left w:val="nil"/>
              <w:bottom w:val="nil"/>
              <w:right w:val="nil"/>
            </w:tcBorders>
            <w:shd w:val="clear" w:color="auto" w:fill="auto"/>
            <w:noWrap/>
            <w:vAlign w:val="bottom"/>
            <w:hideMark/>
          </w:tcPr>
          <w:p w14:paraId="122146ED"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29.292,00</w:t>
            </w:r>
          </w:p>
        </w:tc>
        <w:tc>
          <w:tcPr>
            <w:tcW w:w="1380" w:type="dxa"/>
            <w:tcBorders>
              <w:top w:val="nil"/>
              <w:left w:val="nil"/>
              <w:bottom w:val="nil"/>
              <w:right w:val="nil"/>
            </w:tcBorders>
            <w:shd w:val="clear" w:color="auto" w:fill="auto"/>
            <w:noWrap/>
            <w:vAlign w:val="bottom"/>
            <w:hideMark/>
          </w:tcPr>
          <w:p w14:paraId="21AAA580"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18.496,34</w:t>
            </w:r>
          </w:p>
        </w:tc>
        <w:tc>
          <w:tcPr>
            <w:tcW w:w="1400" w:type="dxa"/>
            <w:tcBorders>
              <w:top w:val="nil"/>
              <w:left w:val="nil"/>
              <w:bottom w:val="nil"/>
              <w:right w:val="nil"/>
            </w:tcBorders>
            <w:shd w:val="clear" w:color="auto" w:fill="auto"/>
            <w:noWrap/>
            <w:vAlign w:val="bottom"/>
            <w:hideMark/>
          </w:tcPr>
          <w:p w14:paraId="2A9BEA3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63,14%</w:t>
            </w:r>
          </w:p>
        </w:tc>
      </w:tr>
      <w:tr w:rsidR="00A360DB" w:rsidRPr="00A360DB" w14:paraId="4F78899E"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28B9FF45"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5. Pomoći</w:t>
            </w:r>
          </w:p>
        </w:tc>
        <w:tc>
          <w:tcPr>
            <w:tcW w:w="1480" w:type="dxa"/>
            <w:tcBorders>
              <w:top w:val="nil"/>
              <w:left w:val="nil"/>
              <w:bottom w:val="nil"/>
              <w:right w:val="nil"/>
            </w:tcBorders>
            <w:shd w:val="clear" w:color="auto" w:fill="auto"/>
            <w:noWrap/>
            <w:vAlign w:val="bottom"/>
            <w:hideMark/>
          </w:tcPr>
          <w:p w14:paraId="0282C958"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3.374.315,81</w:t>
            </w:r>
          </w:p>
        </w:tc>
        <w:tc>
          <w:tcPr>
            <w:tcW w:w="1380" w:type="dxa"/>
            <w:tcBorders>
              <w:top w:val="nil"/>
              <w:left w:val="nil"/>
              <w:bottom w:val="nil"/>
              <w:right w:val="nil"/>
            </w:tcBorders>
            <w:shd w:val="clear" w:color="auto" w:fill="auto"/>
            <w:noWrap/>
            <w:vAlign w:val="bottom"/>
            <w:hideMark/>
          </w:tcPr>
          <w:p w14:paraId="6E72EF2F" w14:textId="0BA555BB"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3.2</w:t>
            </w:r>
            <w:r w:rsidR="00B46E7B">
              <w:rPr>
                <w:rFonts w:ascii="Arial" w:hAnsi="Arial" w:cs="Arial"/>
                <w:b/>
                <w:bCs/>
                <w:color w:val="333333"/>
                <w:sz w:val="18"/>
                <w:szCs w:val="18"/>
                <w:lang w:eastAsia="hr-HR"/>
              </w:rPr>
              <w:t>50.601,05</w:t>
            </w:r>
          </w:p>
        </w:tc>
        <w:tc>
          <w:tcPr>
            <w:tcW w:w="1400" w:type="dxa"/>
            <w:tcBorders>
              <w:top w:val="nil"/>
              <w:left w:val="nil"/>
              <w:bottom w:val="nil"/>
              <w:right w:val="nil"/>
            </w:tcBorders>
            <w:shd w:val="clear" w:color="auto" w:fill="auto"/>
            <w:noWrap/>
            <w:vAlign w:val="bottom"/>
            <w:hideMark/>
          </w:tcPr>
          <w:p w14:paraId="4A4EE373" w14:textId="25B78B41"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96,</w:t>
            </w:r>
            <w:r w:rsidR="00B46E7B">
              <w:rPr>
                <w:rFonts w:ascii="Arial" w:hAnsi="Arial" w:cs="Arial"/>
                <w:b/>
                <w:bCs/>
                <w:color w:val="333333"/>
                <w:sz w:val="18"/>
                <w:szCs w:val="18"/>
                <w:lang w:eastAsia="hr-HR"/>
              </w:rPr>
              <w:t>3</w:t>
            </w:r>
            <w:r w:rsidRPr="00A360DB">
              <w:rPr>
                <w:rFonts w:ascii="Arial" w:hAnsi="Arial" w:cs="Arial"/>
                <w:b/>
                <w:bCs/>
                <w:color w:val="333333"/>
                <w:sz w:val="18"/>
                <w:szCs w:val="18"/>
                <w:lang w:eastAsia="hr-HR"/>
              </w:rPr>
              <w:t>3%</w:t>
            </w:r>
          </w:p>
        </w:tc>
      </w:tr>
      <w:tr w:rsidR="00A360DB" w:rsidRPr="00A360DB" w14:paraId="58A3C568"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5E44603E"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5.1. Županijski proračun</w:t>
            </w:r>
          </w:p>
        </w:tc>
        <w:tc>
          <w:tcPr>
            <w:tcW w:w="1480" w:type="dxa"/>
            <w:tcBorders>
              <w:top w:val="nil"/>
              <w:left w:val="nil"/>
              <w:bottom w:val="nil"/>
              <w:right w:val="nil"/>
            </w:tcBorders>
            <w:shd w:val="clear" w:color="auto" w:fill="auto"/>
            <w:noWrap/>
            <w:vAlign w:val="bottom"/>
            <w:hideMark/>
          </w:tcPr>
          <w:p w14:paraId="002D0F4E"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1.800,00</w:t>
            </w:r>
          </w:p>
        </w:tc>
        <w:tc>
          <w:tcPr>
            <w:tcW w:w="1380" w:type="dxa"/>
            <w:tcBorders>
              <w:top w:val="nil"/>
              <w:left w:val="nil"/>
              <w:bottom w:val="nil"/>
              <w:right w:val="nil"/>
            </w:tcBorders>
            <w:shd w:val="clear" w:color="auto" w:fill="auto"/>
            <w:noWrap/>
            <w:vAlign w:val="bottom"/>
            <w:hideMark/>
          </w:tcPr>
          <w:p w14:paraId="5BB0E293"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1.792,98</w:t>
            </w:r>
          </w:p>
        </w:tc>
        <w:tc>
          <w:tcPr>
            <w:tcW w:w="1400" w:type="dxa"/>
            <w:tcBorders>
              <w:top w:val="nil"/>
              <w:left w:val="nil"/>
              <w:bottom w:val="nil"/>
              <w:right w:val="nil"/>
            </w:tcBorders>
            <w:shd w:val="clear" w:color="auto" w:fill="auto"/>
            <w:noWrap/>
            <w:vAlign w:val="bottom"/>
            <w:hideMark/>
          </w:tcPr>
          <w:p w14:paraId="2BF106EF"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99,61%</w:t>
            </w:r>
          </w:p>
        </w:tc>
      </w:tr>
      <w:tr w:rsidR="00A360DB" w:rsidRPr="00A360DB" w14:paraId="7F0B376E"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1DD904AB"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5.2. Državni proračun</w:t>
            </w:r>
          </w:p>
        </w:tc>
        <w:tc>
          <w:tcPr>
            <w:tcW w:w="1480" w:type="dxa"/>
            <w:tcBorders>
              <w:top w:val="nil"/>
              <w:left w:val="nil"/>
              <w:bottom w:val="nil"/>
              <w:right w:val="nil"/>
            </w:tcBorders>
            <w:shd w:val="clear" w:color="auto" w:fill="auto"/>
            <w:noWrap/>
            <w:vAlign w:val="bottom"/>
            <w:hideMark/>
          </w:tcPr>
          <w:p w14:paraId="2994DE74"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3.351.842,00</w:t>
            </w:r>
          </w:p>
        </w:tc>
        <w:tc>
          <w:tcPr>
            <w:tcW w:w="1380" w:type="dxa"/>
            <w:tcBorders>
              <w:top w:val="nil"/>
              <w:left w:val="nil"/>
              <w:bottom w:val="nil"/>
              <w:right w:val="nil"/>
            </w:tcBorders>
            <w:shd w:val="clear" w:color="auto" w:fill="auto"/>
            <w:noWrap/>
            <w:vAlign w:val="bottom"/>
            <w:hideMark/>
          </w:tcPr>
          <w:p w14:paraId="4F26C2CF" w14:textId="1D1BD64B"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3.22</w:t>
            </w:r>
            <w:r w:rsidR="00B46E7B">
              <w:rPr>
                <w:rFonts w:ascii="Arial" w:hAnsi="Arial" w:cs="Arial"/>
                <w:color w:val="333333"/>
                <w:sz w:val="18"/>
                <w:szCs w:val="18"/>
                <w:lang w:eastAsia="hr-HR"/>
              </w:rPr>
              <w:t>8.672,58</w:t>
            </w:r>
          </w:p>
        </w:tc>
        <w:tc>
          <w:tcPr>
            <w:tcW w:w="1400" w:type="dxa"/>
            <w:tcBorders>
              <w:top w:val="nil"/>
              <w:left w:val="nil"/>
              <w:bottom w:val="nil"/>
              <w:right w:val="nil"/>
            </w:tcBorders>
            <w:shd w:val="clear" w:color="auto" w:fill="auto"/>
            <w:noWrap/>
            <w:vAlign w:val="bottom"/>
            <w:hideMark/>
          </w:tcPr>
          <w:p w14:paraId="1D0C61A8" w14:textId="29F49908"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96,</w:t>
            </w:r>
            <w:r w:rsidR="00B46E7B">
              <w:rPr>
                <w:rFonts w:ascii="Arial" w:hAnsi="Arial" w:cs="Arial"/>
                <w:color w:val="333333"/>
                <w:sz w:val="18"/>
                <w:szCs w:val="18"/>
                <w:lang w:eastAsia="hr-HR"/>
              </w:rPr>
              <w:t>33</w:t>
            </w:r>
            <w:r w:rsidRPr="00A360DB">
              <w:rPr>
                <w:rFonts w:ascii="Arial" w:hAnsi="Arial" w:cs="Arial"/>
                <w:color w:val="333333"/>
                <w:sz w:val="18"/>
                <w:szCs w:val="18"/>
                <w:lang w:eastAsia="hr-HR"/>
              </w:rPr>
              <w:t>%</w:t>
            </w:r>
          </w:p>
        </w:tc>
      </w:tr>
      <w:tr w:rsidR="00A360DB" w:rsidRPr="00A360DB" w14:paraId="7D2A95DF"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C5A6926"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5.4. Institucije i tijela EU</w:t>
            </w:r>
          </w:p>
        </w:tc>
        <w:tc>
          <w:tcPr>
            <w:tcW w:w="1480" w:type="dxa"/>
            <w:tcBorders>
              <w:top w:val="nil"/>
              <w:left w:val="nil"/>
              <w:bottom w:val="nil"/>
              <w:right w:val="nil"/>
            </w:tcBorders>
            <w:shd w:val="clear" w:color="auto" w:fill="auto"/>
            <w:noWrap/>
            <w:vAlign w:val="bottom"/>
            <w:hideMark/>
          </w:tcPr>
          <w:p w14:paraId="6380D01D"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20.673,81</w:t>
            </w:r>
          </w:p>
        </w:tc>
        <w:tc>
          <w:tcPr>
            <w:tcW w:w="1380" w:type="dxa"/>
            <w:tcBorders>
              <w:top w:val="nil"/>
              <w:left w:val="nil"/>
              <w:bottom w:val="nil"/>
              <w:right w:val="nil"/>
            </w:tcBorders>
            <w:shd w:val="clear" w:color="auto" w:fill="auto"/>
            <w:noWrap/>
            <w:vAlign w:val="bottom"/>
            <w:hideMark/>
          </w:tcPr>
          <w:p w14:paraId="5FBCC55F"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20.135,49</w:t>
            </w:r>
          </w:p>
        </w:tc>
        <w:tc>
          <w:tcPr>
            <w:tcW w:w="1400" w:type="dxa"/>
            <w:tcBorders>
              <w:top w:val="nil"/>
              <w:left w:val="nil"/>
              <w:bottom w:val="nil"/>
              <w:right w:val="nil"/>
            </w:tcBorders>
            <w:shd w:val="clear" w:color="auto" w:fill="auto"/>
            <w:noWrap/>
            <w:vAlign w:val="bottom"/>
            <w:hideMark/>
          </w:tcPr>
          <w:p w14:paraId="67ECA95F"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97,40%</w:t>
            </w:r>
          </w:p>
        </w:tc>
      </w:tr>
      <w:tr w:rsidR="00A360DB" w:rsidRPr="00A360DB" w14:paraId="3EDAC448"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5C48F95"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6. Donacije</w:t>
            </w:r>
          </w:p>
        </w:tc>
        <w:tc>
          <w:tcPr>
            <w:tcW w:w="1480" w:type="dxa"/>
            <w:tcBorders>
              <w:top w:val="nil"/>
              <w:left w:val="nil"/>
              <w:bottom w:val="nil"/>
              <w:right w:val="nil"/>
            </w:tcBorders>
            <w:shd w:val="clear" w:color="auto" w:fill="auto"/>
            <w:noWrap/>
            <w:vAlign w:val="bottom"/>
            <w:hideMark/>
          </w:tcPr>
          <w:p w14:paraId="40C545D5"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8.000,00</w:t>
            </w:r>
          </w:p>
        </w:tc>
        <w:tc>
          <w:tcPr>
            <w:tcW w:w="1380" w:type="dxa"/>
            <w:tcBorders>
              <w:top w:val="nil"/>
              <w:left w:val="nil"/>
              <w:bottom w:val="nil"/>
              <w:right w:val="nil"/>
            </w:tcBorders>
            <w:shd w:val="clear" w:color="auto" w:fill="auto"/>
            <w:noWrap/>
            <w:vAlign w:val="bottom"/>
            <w:hideMark/>
          </w:tcPr>
          <w:p w14:paraId="6B14DC23" w14:textId="13CDB9AA" w:rsidR="00A360DB" w:rsidRPr="00A360DB" w:rsidRDefault="00B46E7B" w:rsidP="00A360DB">
            <w:pPr>
              <w:spacing w:after="0" w:line="240" w:lineRule="auto"/>
              <w:jc w:val="right"/>
              <w:rPr>
                <w:rFonts w:ascii="Arial" w:hAnsi="Arial" w:cs="Arial"/>
                <w:b/>
                <w:bCs/>
                <w:color w:val="333333"/>
                <w:sz w:val="18"/>
                <w:szCs w:val="18"/>
                <w:lang w:eastAsia="hr-HR"/>
              </w:rPr>
            </w:pPr>
            <w:r>
              <w:rPr>
                <w:rFonts w:ascii="Arial" w:hAnsi="Arial" w:cs="Arial"/>
                <w:b/>
                <w:bCs/>
                <w:color w:val="333333"/>
                <w:sz w:val="18"/>
                <w:szCs w:val="18"/>
                <w:lang w:eastAsia="hr-HR"/>
              </w:rPr>
              <w:t>5.505,93</w:t>
            </w:r>
          </w:p>
        </w:tc>
        <w:tc>
          <w:tcPr>
            <w:tcW w:w="1400" w:type="dxa"/>
            <w:tcBorders>
              <w:top w:val="nil"/>
              <w:left w:val="nil"/>
              <w:bottom w:val="nil"/>
              <w:right w:val="nil"/>
            </w:tcBorders>
            <w:shd w:val="clear" w:color="auto" w:fill="auto"/>
            <w:noWrap/>
            <w:vAlign w:val="bottom"/>
            <w:hideMark/>
          </w:tcPr>
          <w:p w14:paraId="1A4E09CD" w14:textId="379FEE66" w:rsidR="00A360DB" w:rsidRPr="00A360DB" w:rsidRDefault="00B46E7B" w:rsidP="00A360DB">
            <w:pPr>
              <w:spacing w:after="0" w:line="240" w:lineRule="auto"/>
              <w:jc w:val="right"/>
              <w:rPr>
                <w:rFonts w:ascii="Arial" w:hAnsi="Arial" w:cs="Arial"/>
                <w:b/>
                <w:bCs/>
                <w:color w:val="333333"/>
                <w:sz w:val="18"/>
                <w:szCs w:val="18"/>
                <w:lang w:eastAsia="hr-HR"/>
              </w:rPr>
            </w:pPr>
            <w:r>
              <w:rPr>
                <w:rFonts w:ascii="Arial" w:hAnsi="Arial" w:cs="Arial"/>
                <w:b/>
                <w:bCs/>
                <w:color w:val="333333"/>
                <w:sz w:val="18"/>
                <w:szCs w:val="18"/>
                <w:lang w:eastAsia="hr-HR"/>
              </w:rPr>
              <w:t>68,82</w:t>
            </w:r>
            <w:r w:rsidR="00A360DB" w:rsidRPr="00A360DB">
              <w:rPr>
                <w:rFonts w:ascii="Arial" w:hAnsi="Arial" w:cs="Arial"/>
                <w:b/>
                <w:bCs/>
                <w:color w:val="333333"/>
                <w:sz w:val="18"/>
                <w:szCs w:val="18"/>
                <w:lang w:eastAsia="hr-HR"/>
              </w:rPr>
              <w:t>%</w:t>
            </w:r>
          </w:p>
        </w:tc>
      </w:tr>
      <w:tr w:rsidR="00A360DB" w:rsidRPr="00A360DB" w14:paraId="16FDA7E9"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9A8CA95"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6.1. Donacije</w:t>
            </w:r>
          </w:p>
        </w:tc>
        <w:tc>
          <w:tcPr>
            <w:tcW w:w="1480" w:type="dxa"/>
            <w:tcBorders>
              <w:top w:val="nil"/>
              <w:left w:val="nil"/>
              <w:bottom w:val="nil"/>
              <w:right w:val="nil"/>
            </w:tcBorders>
            <w:shd w:val="clear" w:color="auto" w:fill="auto"/>
            <w:noWrap/>
            <w:vAlign w:val="bottom"/>
            <w:hideMark/>
          </w:tcPr>
          <w:p w14:paraId="0B709A76"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8.000,00</w:t>
            </w:r>
          </w:p>
        </w:tc>
        <w:tc>
          <w:tcPr>
            <w:tcW w:w="1380" w:type="dxa"/>
            <w:tcBorders>
              <w:top w:val="nil"/>
              <w:left w:val="nil"/>
              <w:bottom w:val="nil"/>
              <w:right w:val="nil"/>
            </w:tcBorders>
            <w:shd w:val="clear" w:color="auto" w:fill="auto"/>
            <w:noWrap/>
            <w:vAlign w:val="bottom"/>
            <w:hideMark/>
          </w:tcPr>
          <w:p w14:paraId="79E25CA8" w14:textId="7259328B" w:rsidR="00A360DB" w:rsidRPr="00A360DB" w:rsidRDefault="00B46E7B" w:rsidP="00A360DB">
            <w:pPr>
              <w:spacing w:after="0" w:line="240" w:lineRule="auto"/>
              <w:jc w:val="right"/>
              <w:rPr>
                <w:rFonts w:ascii="Arial" w:hAnsi="Arial" w:cs="Arial"/>
                <w:color w:val="333333"/>
                <w:sz w:val="18"/>
                <w:szCs w:val="18"/>
                <w:lang w:eastAsia="hr-HR"/>
              </w:rPr>
            </w:pPr>
            <w:r>
              <w:rPr>
                <w:rFonts w:ascii="Arial" w:hAnsi="Arial" w:cs="Arial"/>
                <w:color w:val="333333"/>
                <w:sz w:val="18"/>
                <w:szCs w:val="18"/>
                <w:lang w:eastAsia="hr-HR"/>
              </w:rPr>
              <w:t>5.505,93</w:t>
            </w:r>
          </w:p>
        </w:tc>
        <w:tc>
          <w:tcPr>
            <w:tcW w:w="1400" w:type="dxa"/>
            <w:tcBorders>
              <w:top w:val="nil"/>
              <w:left w:val="nil"/>
              <w:bottom w:val="nil"/>
              <w:right w:val="nil"/>
            </w:tcBorders>
            <w:shd w:val="clear" w:color="auto" w:fill="auto"/>
            <w:noWrap/>
            <w:vAlign w:val="bottom"/>
            <w:hideMark/>
          </w:tcPr>
          <w:p w14:paraId="7C099748" w14:textId="003A33C9" w:rsidR="00A360DB" w:rsidRPr="00A360DB" w:rsidRDefault="00B46E7B" w:rsidP="00A360DB">
            <w:pPr>
              <w:spacing w:after="0" w:line="240" w:lineRule="auto"/>
              <w:jc w:val="right"/>
              <w:rPr>
                <w:rFonts w:ascii="Arial" w:hAnsi="Arial" w:cs="Arial"/>
                <w:color w:val="333333"/>
                <w:sz w:val="18"/>
                <w:szCs w:val="18"/>
                <w:lang w:eastAsia="hr-HR"/>
              </w:rPr>
            </w:pPr>
            <w:r>
              <w:rPr>
                <w:rFonts w:ascii="Arial" w:hAnsi="Arial" w:cs="Arial"/>
                <w:color w:val="333333"/>
                <w:sz w:val="18"/>
                <w:szCs w:val="18"/>
                <w:lang w:eastAsia="hr-HR"/>
              </w:rPr>
              <w:t>68,82</w:t>
            </w:r>
            <w:r w:rsidR="00A360DB" w:rsidRPr="00A360DB">
              <w:rPr>
                <w:rFonts w:ascii="Arial" w:hAnsi="Arial" w:cs="Arial"/>
                <w:color w:val="333333"/>
                <w:sz w:val="18"/>
                <w:szCs w:val="18"/>
                <w:lang w:eastAsia="hr-HR"/>
              </w:rPr>
              <w:t>%</w:t>
            </w:r>
          </w:p>
        </w:tc>
      </w:tr>
      <w:tr w:rsidR="00A360DB" w:rsidRPr="00A360DB" w14:paraId="505E354F"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1C1F47C6"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9. Višak iz prethodnih razdoblja</w:t>
            </w:r>
          </w:p>
        </w:tc>
        <w:tc>
          <w:tcPr>
            <w:tcW w:w="1480" w:type="dxa"/>
            <w:tcBorders>
              <w:top w:val="nil"/>
              <w:left w:val="nil"/>
              <w:bottom w:val="nil"/>
              <w:right w:val="nil"/>
            </w:tcBorders>
            <w:shd w:val="clear" w:color="auto" w:fill="auto"/>
            <w:noWrap/>
            <w:vAlign w:val="bottom"/>
            <w:hideMark/>
          </w:tcPr>
          <w:p w14:paraId="77113E42"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28.832,75</w:t>
            </w:r>
          </w:p>
        </w:tc>
        <w:tc>
          <w:tcPr>
            <w:tcW w:w="1380" w:type="dxa"/>
            <w:tcBorders>
              <w:top w:val="nil"/>
              <w:left w:val="nil"/>
              <w:bottom w:val="nil"/>
              <w:right w:val="nil"/>
            </w:tcBorders>
            <w:shd w:val="clear" w:color="auto" w:fill="auto"/>
            <w:noWrap/>
            <w:vAlign w:val="bottom"/>
            <w:hideMark/>
          </w:tcPr>
          <w:p w14:paraId="6B8E672E"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27.432,81</w:t>
            </w:r>
          </w:p>
        </w:tc>
        <w:tc>
          <w:tcPr>
            <w:tcW w:w="1400" w:type="dxa"/>
            <w:tcBorders>
              <w:top w:val="nil"/>
              <w:left w:val="nil"/>
              <w:bottom w:val="nil"/>
              <w:right w:val="nil"/>
            </w:tcBorders>
            <w:shd w:val="clear" w:color="auto" w:fill="auto"/>
            <w:noWrap/>
            <w:vAlign w:val="bottom"/>
            <w:hideMark/>
          </w:tcPr>
          <w:p w14:paraId="51193DA1"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95,14%</w:t>
            </w:r>
          </w:p>
        </w:tc>
      </w:tr>
      <w:tr w:rsidR="00A360DB" w:rsidRPr="00A360DB" w14:paraId="1D6B1352"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9300026"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 xml:space="preserve">Izvor 9.1. Višak iz prethodnih godina - </w:t>
            </w:r>
            <w:proofErr w:type="spellStart"/>
            <w:r w:rsidRPr="00A360DB">
              <w:rPr>
                <w:rFonts w:ascii="Arial" w:hAnsi="Arial" w:cs="Arial"/>
                <w:color w:val="333333"/>
                <w:sz w:val="18"/>
                <w:szCs w:val="18"/>
                <w:lang w:eastAsia="hr-HR"/>
              </w:rPr>
              <w:t>Prorač.korisnici</w:t>
            </w:r>
            <w:proofErr w:type="spellEnd"/>
          </w:p>
        </w:tc>
        <w:tc>
          <w:tcPr>
            <w:tcW w:w="1480" w:type="dxa"/>
            <w:tcBorders>
              <w:top w:val="nil"/>
              <w:left w:val="nil"/>
              <w:bottom w:val="nil"/>
              <w:right w:val="nil"/>
            </w:tcBorders>
            <w:shd w:val="clear" w:color="auto" w:fill="auto"/>
            <w:noWrap/>
            <w:vAlign w:val="bottom"/>
            <w:hideMark/>
          </w:tcPr>
          <w:p w14:paraId="51829396"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10.620,38</w:t>
            </w:r>
          </w:p>
        </w:tc>
        <w:tc>
          <w:tcPr>
            <w:tcW w:w="1380" w:type="dxa"/>
            <w:tcBorders>
              <w:top w:val="nil"/>
              <w:left w:val="nil"/>
              <w:bottom w:val="nil"/>
              <w:right w:val="nil"/>
            </w:tcBorders>
            <w:shd w:val="clear" w:color="auto" w:fill="auto"/>
            <w:noWrap/>
            <w:vAlign w:val="bottom"/>
            <w:hideMark/>
          </w:tcPr>
          <w:p w14:paraId="1964BCE8"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10.164,79</w:t>
            </w:r>
          </w:p>
        </w:tc>
        <w:tc>
          <w:tcPr>
            <w:tcW w:w="1400" w:type="dxa"/>
            <w:tcBorders>
              <w:top w:val="nil"/>
              <w:left w:val="nil"/>
              <w:bottom w:val="nil"/>
              <w:right w:val="nil"/>
            </w:tcBorders>
            <w:shd w:val="clear" w:color="auto" w:fill="auto"/>
            <w:noWrap/>
            <w:vAlign w:val="bottom"/>
            <w:hideMark/>
          </w:tcPr>
          <w:p w14:paraId="48AFDAD6"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95,71%</w:t>
            </w:r>
          </w:p>
        </w:tc>
      </w:tr>
      <w:tr w:rsidR="00A360DB" w:rsidRPr="00A360DB" w14:paraId="74CED5A2"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2FD0E085"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9.2. Višak iz prethodnih godina - Grad</w:t>
            </w:r>
          </w:p>
        </w:tc>
        <w:tc>
          <w:tcPr>
            <w:tcW w:w="1480" w:type="dxa"/>
            <w:tcBorders>
              <w:top w:val="nil"/>
              <w:left w:val="nil"/>
              <w:bottom w:val="nil"/>
              <w:right w:val="nil"/>
            </w:tcBorders>
            <w:shd w:val="clear" w:color="auto" w:fill="auto"/>
            <w:noWrap/>
            <w:vAlign w:val="bottom"/>
            <w:hideMark/>
          </w:tcPr>
          <w:p w14:paraId="7B421CD7"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18.212,37</w:t>
            </w:r>
          </w:p>
        </w:tc>
        <w:tc>
          <w:tcPr>
            <w:tcW w:w="1380" w:type="dxa"/>
            <w:tcBorders>
              <w:top w:val="nil"/>
              <w:left w:val="nil"/>
              <w:bottom w:val="nil"/>
              <w:right w:val="nil"/>
            </w:tcBorders>
            <w:shd w:val="clear" w:color="auto" w:fill="auto"/>
            <w:noWrap/>
            <w:vAlign w:val="bottom"/>
            <w:hideMark/>
          </w:tcPr>
          <w:p w14:paraId="32594BBC"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17.268,02</w:t>
            </w:r>
          </w:p>
        </w:tc>
        <w:tc>
          <w:tcPr>
            <w:tcW w:w="1400" w:type="dxa"/>
            <w:tcBorders>
              <w:top w:val="nil"/>
              <w:left w:val="nil"/>
              <w:bottom w:val="nil"/>
              <w:right w:val="nil"/>
            </w:tcBorders>
            <w:shd w:val="clear" w:color="auto" w:fill="auto"/>
            <w:noWrap/>
            <w:vAlign w:val="bottom"/>
            <w:hideMark/>
          </w:tcPr>
          <w:p w14:paraId="26BB26DE"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94,81%</w:t>
            </w:r>
          </w:p>
        </w:tc>
      </w:tr>
      <w:tr w:rsidR="00A360DB" w:rsidRPr="00A360DB" w14:paraId="32054A78" w14:textId="77777777" w:rsidTr="00A360DB">
        <w:trPr>
          <w:trHeight w:val="240"/>
        </w:trPr>
        <w:tc>
          <w:tcPr>
            <w:tcW w:w="10206" w:type="dxa"/>
            <w:gridSpan w:val="2"/>
            <w:tcBorders>
              <w:top w:val="nil"/>
              <w:left w:val="nil"/>
              <w:bottom w:val="nil"/>
              <w:right w:val="nil"/>
            </w:tcBorders>
            <w:shd w:val="clear" w:color="000000" w:fill="8994FB"/>
            <w:noWrap/>
            <w:vAlign w:val="bottom"/>
            <w:hideMark/>
          </w:tcPr>
          <w:p w14:paraId="3DE69087"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PROR. KORISNIK 08424 OSNOVNA ŠKOLA GAREŠNICA</w:t>
            </w:r>
          </w:p>
        </w:tc>
        <w:tc>
          <w:tcPr>
            <w:tcW w:w="1480" w:type="dxa"/>
            <w:tcBorders>
              <w:top w:val="nil"/>
              <w:left w:val="nil"/>
              <w:bottom w:val="nil"/>
              <w:right w:val="nil"/>
            </w:tcBorders>
            <w:shd w:val="clear" w:color="000000" w:fill="8994FB"/>
            <w:noWrap/>
            <w:vAlign w:val="bottom"/>
            <w:hideMark/>
          </w:tcPr>
          <w:p w14:paraId="51435B7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2.808.252,01</w:t>
            </w:r>
          </w:p>
        </w:tc>
        <w:tc>
          <w:tcPr>
            <w:tcW w:w="1380" w:type="dxa"/>
            <w:tcBorders>
              <w:top w:val="nil"/>
              <w:left w:val="nil"/>
              <w:bottom w:val="nil"/>
              <w:right w:val="nil"/>
            </w:tcBorders>
            <w:shd w:val="clear" w:color="000000" w:fill="8994FB"/>
            <w:noWrap/>
            <w:vAlign w:val="bottom"/>
            <w:hideMark/>
          </w:tcPr>
          <w:p w14:paraId="2017D412" w14:textId="545587C3"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2.7</w:t>
            </w:r>
            <w:r w:rsidR="00B46E7B">
              <w:rPr>
                <w:rFonts w:ascii="Arial" w:hAnsi="Arial" w:cs="Arial"/>
                <w:b/>
                <w:bCs/>
                <w:sz w:val="18"/>
                <w:szCs w:val="18"/>
                <w:lang w:eastAsia="hr-HR"/>
              </w:rPr>
              <w:t>87.727,29</w:t>
            </w:r>
          </w:p>
        </w:tc>
        <w:tc>
          <w:tcPr>
            <w:tcW w:w="1400" w:type="dxa"/>
            <w:tcBorders>
              <w:top w:val="nil"/>
              <w:left w:val="nil"/>
              <w:bottom w:val="nil"/>
              <w:right w:val="nil"/>
            </w:tcBorders>
            <w:shd w:val="clear" w:color="000000" w:fill="8994FB"/>
            <w:noWrap/>
            <w:vAlign w:val="bottom"/>
            <w:hideMark/>
          </w:tcPr>
          <w:p w14:paraId="4D2F7E18" w14:textId="61EC64AB"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w:t>
            </w:r>
            <w:r w:rsidR="00B46E7B">
              <w:rPr>
                <w:rFonts w:ascii="Arial" w:hAnsi="Arial" w:cs="Arial"/>
                <w:b/>
                <w:bCs/>
                <w:sz w:val="18"/>
                <w:szCs w:val="18"/>
                <w:lang w:eastAsia="hr-HR"/>
              </w:rPr>
              <w:t>9,27</w:t>
            </w:r>
            <w:r w:rsidRPr="00A360DB">
              <w:rPr>
                <w:rFonts w:ascii="Arial" w:hAnsi="Arial" w:cs="Arial"/>
                <w:b/>
                <w:bCs/>
                <w:sz w:val="18"/>
                <w:szCs w:val="18"/>
                <w:lang w:eastAsia="hr-HR"/>
              </w:rPr>
              <w:t>%</w:t>
            </w:r>
          </w:p>
        </w:tc>
      </w:tr>
      <w:tr w:rsidR="00A360DB" w:rsidRPr="00A360DB" w14:paraId="5964CC08"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100698B7"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681D640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117.767,00</w:t>
            </w:r>
          </w:p>
        </w:tc>
        <w:tc>
          <w:tcPr>
            <w:tcW w:w="1380" w:type="dxa"/>
            <w:tcBorders>
              <w:top w:val="nil"/>
              <w:left w:val="nil"/>
              <w:bottom w:val="nil"/>
              <w:right w:val="nil"/>
            </w:tcBorders>
            <w:shd w:val="clear" w:color="auto" w:fill="auto"/>
            <w:noWrap/>
            <w:vAlign w:val="bottom"/>
            <w:hideMark/>
          </w:tcPr>
          <w:p w14:paraId="4A92EEDB"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116.192,79</w:t>
            </w:r>
          </w:p>
        </w:tc>
        <w:tc>
          <w:tcPr>
            <w:tcW w:w="1400" w:type="dxa"/>
            <w:tcBorders>
              <w:top w:val="nil"/>
              <w:left w:val="nil"/>
              <w:bottom w:val="nil"/>
              <w:right w:val="nil"/>
            </w:tcBorders>
            <w:shd w:val="clear" w:color="auto" w:fill="auto"/>
            <w:noWrap/>
            <w:vAlign w:val="bottom"/>
            <w:hideMark/>
          </w:tcPr>
          <w:p w14:paraId="01E215A3"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98,66%</w:t>
            </w:r>
          </w:p>
        </w:tc>
      </w:tr>
      <w:tr w:rsidR="00A360DB" w:rsidRPr="00A360DB" w14:paraId="30D38135"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AF42322"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52F479C3"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117.767,00</w:t>
            </w:r>
          </w:p>
        </w:tc>
        <w:tc>
          <w:tcPr>
            <w:tcW w:w="1380" w:type="dxa"/>
            <w:tcBorders>
              <w:top w:val="nil"/>
              <w:left w:val="nil"/>
              <w:bottom w:val="nil"/>
              <w:right w:val="nil"/>
            </w:tcBorders>
            <w:shd w:val="clear" w:color="auto" w:fill="auto"/>
            <w:noWrap/>
            <w:vAlign w:val="bottom"/>
            <w:hideMark/>
          </w:tcPr>
          <w:p w14:paraId="07F00057"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116.192,79</w:t>
            </w:r>
          </w:p>
        </w:tc>
        <w:tc>
          <w:tcPr>
            <w:tcW w:w="1400" w:type="dxa"/>
            <w:tcBorders>
              <w:top w:val="nil"/>
              <w:left w:val="nil"/>
              <w:bottom w:val="nil"/>
              <w:right w:val="nil"/>
            </w:tcBorders>
            <w:shd w:val="clear" w:color="auto" w:fill="auto"/>
            <w:noWrap/>
            <w:vAlign w:val="bottom"/>
            <w:hideMark/>
          </w:tcPr>
          <w:p w14:paraId="1D49BC8F"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98,66%</w:t>
            </w:r>
          </w:p>
        </w:tc>
      </w:tr>
      <w:tr w:rsidR="00A360DB" w:rsidRPr="00A360DB" w14:paraId="0BFF4E38"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3D109E21"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3. Vlastiti prihodi</w:t>
            </w:r>
          </w:p>
        </w:tc>
        <w:tc>
          <w:tcPr>
            <w:tcW w:w="1480" w:type="dxa"/>
            <w:tcBorders>
              <w:top w:val="nil"/>
              <w:left w:val="nil"/>
              <w:bottom w:val="nil"/>
              <w:right w:val="nil"/>
            </w:tcBorders>
            <w:shd w:val="clear" w:color="auto" w:fill="auto"/>
            <w:noWrap/>
            <w:vAlign w:val="bottom"/>
            <w:hideMark/>
          </w:tcPr>
          <w:p w14:paraId="418F2397"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22.752,00</w:t>
            </w:r>
          </w:p>
        </w:tc>
        <w:tc>
          <w:tcPr>
            <w:tcW w:w="1380" w:type="dxa"/>
            <w:tcBorders>
              <w:top w:val="nil"/>
              <w:left w:val="nil"/>
              <w:bottom w:val="nil"/>
              <w:right w:val="nil"/>
            </w:tcBorders>
            <w:shd w:val="clear" w:color="auto" w:fill="auto"/>
            <w:noWrap/>
            <w:vAlign w:val="bottom"/>
            <w:hideMark/>
          </w:tcPr>
          <w:p w14:paraId="2B553C43"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18.496,34</w:t>
            </w:r>
          </w:p>
        </w:tc>
        <w:tc>
          <w:tcPr>
            <w:tcW w:w="1400" w:type="dxa"/>
            <w:tcBorders>
              <w:top w:val="nil"/>
              <w:left w:val="nil"/>
              <w:bottom w:val="nil"/>
              <w:right w:val="nil"/>
            </w:tcBorders>
            <w:shd w:val="clear" w:color="auto" w:fill="auto"/>
            <w:noWrap/>
            <w:vAlign w:val="bottom"/>
            <w:hideMark/>
          </w:tcPr>
          <w:p w14:paraId="7FF59919"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81,30%</w:t>
            </w:r>
          </w:p>
        </w:tc>
      </w:tr>
      <w:tr w:rsidR="00A360DB" w:rsidRPr="00A360DB" w14:paraId="72271BE6"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5C6870D1"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3.1. Vlastiti prihodi</w:t>
            </w:r>
          </w:p>
        </w:tc>
        <w:tc>
          <w:tcPr>
            <w:tcW w:w="1480" w:type="dxa"/>
            <w:tcBorders>
              <w:top w:val="nil"/>
              <w:left w:val="nil"/>
              <w:bottom w:val="nil"/>
              <w:right w:val="nil"/>
            </w:tcBorders>
            <w:shd w:val="clear" w:color="auto" w:fill="auto"/>
            <w:noWrap/>
            <w:vAlign w:val="bottom"/>
            <w:hideMark/>
          </w:tcPr>
          <w:p w14:paraId="2DBCDDCA"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22.752,00</w:t>
            </w:r>
          </w:p>
        </w:tc>
        <w:tc>
          <w:tcPr>
            <w:tcW w:w="1380" w:type="dxa"/>
            <w:tcBorders>
              <w:top w:val="nil"/>
              <w:left w:val="nil"/>
              <w:bottom w:val="nil"/>
              <w:right w:val="nil"/>
            </w:tcBorders>
            <w:shd w:val="clear" w:color="auto" w:fill="auto"/>
            <w:noWrap/>
            <w:vAlign w:val="bottom"/>
            <w:hideMark/>
          </w:tcPr>
          <w:p w14:paraId="41955C62"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18.496,34</w:t>
            </w:r>
          </w:p>
        </w:tc>
        <w:tc>
          <w:tcPr>
            <w:tcW w:w="1400" w:type="dxa"/>
            <w:tcBorders>
              <w:top w:val="nil"/>
              <w:left w:val="nil"/>
              <w:bottom w:val="nil"/>
              <w:right w:val="nil"/>
            </w:tcBorders>
            <w:shd w:val="clear" w:color="auto" w:fill="auto"/>
            <w:noWrap/>
            <w:vAlign w:val="bottom"/>
            <w:hideMark/>
          </w:tcPr>
          <w:p w14:paraId="1A05F8D1"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81,30%</w:t>
            </w:r>
          </w:p>
        </w:tc>
      </w:tr>
      <w:tr w:rsidR="00A360DB" w:rsidRPr="00A360DB" w14:paraId="46C737B6"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1664CAD"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5. Pomoći</w:t>
            </w:r>
          </w:p>
        </w:tc>
        <w:tc>
          <w:tcPr>
            <w:tcW w:w="1480" w:type="dxa"/>
            <w:tcBorders>
              <w:top w:val="nil"/>
              <w:left w:val="nil"/>
              <w:bottom w:val="nil"/>
              <w:right w:val="nil"/>
            </w:tcBorders>
            <w:shd w:val="clear" w:color="auto" w:fill="auto"/>
            <w:noWrap/>
            <w:vAlign w:val="bottom"/>
            <w:hideMark/>
          </w:tcPr>
          <w:p w14:paraId="2C986815"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2.641.064,00</w:t>
            </w:r>
          </w:p>
        </w:tc>
        <w:tc>
          <w:tcPr>
            <w:tcW w:w="1380" w:type="dxa"/>
            <w:tcBorders>
              <w:top w:val="nil"/>
              <w:left w:val="nil"/>
              <w:bottom w:val="nil"/>
              <w:right w:val="nil"/>
            </w:tcBorders>
            <w:shd w:val="clear" w:color="auto" w:fill="auto"/>
            <w:noWrap/>
            <w:vAlign w:val="bottom"/>
            <w:hideMark/>
          </w:tcPr>
          <w:p w14:paraId="6DDDC24C" w14:textId="3F5CE3B8"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2.62</w:t>
            </w:r>
            <w:r w:rsidR="00B46E7B">
              <w:rPr>
                <w:rFonts w:ascii="Arial" w:hAnsi="Arial" w:cs="Arial"/>
                <w:b/>
                <w:bCs/>
                <w:color w:val="333333"/>
                <w:sz w:val="18"/>
                <w:szCs w:val="18"/>
                <w:lang w:eastAsia="hr-HR"/>
              </w:rPr>
              <w:t>8.570,99</w:t>
            </w:r>
          </w:p>
        </w:tc>
        <w:tc>
          <w:tcPr>
            <w:tcW w:w="1400" w:type="dxa"/>
            <w:tcBorders>
              <w:top w:val="nil"/>
              <w:left w:val="nil"/>
              <w:bottom w:val="nil"/>
              <w:right w:val="nil"/>
            </w:tcBorders>
            <w:shd w:val="clear" w:color="auto" w:fill="auto"/>
            <w:noWrap/>
            <w:vAlign w:val="bottom"/>
            <w:hideMark/>
          </w:tcPr>
          <w:p w14:paraId="6F73C130" w14:textId="39FF5EB3"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99,</w:t>
            </w:r>
            <w:r w:rsidR="00B46E7B">
              <w:rPr>
                <w:rFonts w:ascii="Arial" w:hAnsi="Arial" w:cs="Arial"/>
                <w:b/>
                <w:bCs/>
                <w:color w:val="333333"/>
                <w:sz w:val="18"/>
                <w:szCs w:val="18"/>
                <w:lang w:eastAsia="hr-HR"/>
              </w:rPr>
              <w:t>53</w:t>
            </w:r>
            <w:r w:rsidRPr="00A360DB">
              <w:rPr>
                <w:rFonts w:ascii="Arial" w:hAnsi="Arial" w:cs="Arial"/>
                <w:b/>
                <w:bCs/>
                <w:color w:val="333333"/>
                <w:sz w:val="18"/>
                <w:szCs w:val="18"/>
                <w:lang w:eastAsia="hr-HR"/>
              </w:rPr>
              <w:t>%</w:t>
            </w:r>
          </w:p>
        </w:tc>
      </w:tr>
      <w:tr w:rsidR="00A360DB" w:rsidRPr="00A360DB" w14:paraId="557D10FB"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3B122E6"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5.1. Županijski proračun</w:t>
            </w:r>
          </w:p>
        </w:tc>
        <w:tc>
          <w:tcPr>
            <w:tcW w:w="1480" w:type="dxa"/>
            <w:tcBorders>
              <w:top w:val="nil"/>
              <w:left w:val="nil"/>
              <w:bottom w:val="nil"/>
              <w:right w:val="nil"/>
            </w:tcBorders>
            <w:shd w:val="clear" w:color="auto" w:fill="auto"/>
            <w:noWrap/>
            <w:vAlign w:val="bottom"/>
            <w:hideMark/>
          </w:tcPr>
          <w:p w14:paraId="1D94ACF8"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1.800,00</w:t>
            </w:r>
          </w:p>
        </w:tc>
        <w:tc>
          <w:tcPr>
            <w:tcW w:w="1380" w:type="dxa"/>
            <w:tcBorders>
              <w:top w:val="nil"/>
              <w:left w:val="nil"/>
              <w:bottom w:val="nil"/>
              <w:right w:val="nil"/>
            </w:tcBorders>
            <w:shd w:val="clear" w:color="auto" w:fill="auto"/>
            <w:noWrap/>
            <w:vAlign w:val="bottom"/>
            <w:hideMark/>
          </w:tcPr>
          <w:p w14:paraId="6BBC70A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1.792,98</w:t>
            </w:r>
          </w:p>
        </w:tc>
        <w:tc>
          <w:tcPr>
            <w:tcW w:w="1400" w:type="dxa"/>
            <w:tcBorders>
              <w:top w:val="nil"/>
              <w:left w:val="nil"/>
              <w:bottom w:val="nil"/>
              <w:right w:val="nil"/>
            </w:tcBorders>
            <w:shd w:val="clear" w:color="auto" w:fill="auto"/>
            <w:noWrap/>
            <w:vAlign w:val="bottom"/>
            <w:hideMark/>
          </w:tcPr>
          <w:p w14:paraId="373A5FE1"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99,61%</w:t>
            </w:r>
          </w:p>
        </w:tc>
      </w:tr>
      <w:tr w:rsidR="00A360DB" w:rsidRPr="00A360DB" w14:paraId="5AB02683"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3A0149A5"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5.2. Državni proračun</w:t>
            </w:r>
          </w:p>
        </w:tc>
        <w:tc>
          <w:tcPr>
            <w:tcW w:w="1480" w:type="dxa"/>
            <w:tcBorders>
              <w:top w:val="nil"/>
              <w:left w:val="nil"/>
              <w:bottom w:val="nil"/>
              <w:right w:val="nil"/>
            </w:tcBorders>
            <w:shd w:val="clear" w:color="auto" w:fill="auto"/>
            <w:noWrap/>
            <w:vAlign w:val="bottom"/>
            <w:hideMark/>
          </w:tcPr>
          <w:p w14:paraId="5E731E53"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2.625.032,00</w:t>
            </w:r>
          </w:p>
        </w:tc>
        <w:tc>
          <w:tcPr>
            <w:tcW w:w="1380" w:type="dxa"/>
            <w:tcBorders>
              <w:top w:val="nil"/>
              <w:left w:val="nil"/>
              <w:bottom w:val="nil"/>
              <w:right w:val="nil"/>
            </w:tcBorders>
            <w:shd w:val="clear" w:color="auto" w:fill="auto"/>
            <w:noWrap/>
            <w:vAlign w:val="bottom"/>
            <w:hideMark/>
          </w:tcPr>
          <w:p w14:paraId="015F38C3" w14:textId="6142EA0B"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2.6</w:t>
            </w:r>
            <w:r w:rsidR="00B46E7B">
              <w:rPr>
                <w:rFonts w:ascii="Arial" w:hAnsi="Arial" w:cs="Arial"/>
                <w:color w:val="333333"/>
                <w:sz w:val="18"/>
                <w:szCs w:val="18"/>
                <w:lang w:eastAsia="hr-HR"/>
              </w:rPr>
              <w:t>12.859,78</w:t>
            </w:r>
          </w:p>
        </w:tc>
        <w:tc>
          <w:tcPr>
            <w:tcW w:w="1400" w:type="dxa"/>
            <w:tcBorders>
              <w:top w:val="nil"/>
              <w:left w:val="nil"/>
              <w:bottom w:val="nil"/>
              <w:right w:val="nil"/>
            </w:tcBorders>
            <w:shd w:val="clear" w:color="auto" w:fill="auto"/>
            <w:noWrap/>
            <w:vAlign w:val="bottom"/>
            <w:hideMark/>
          </w:tcPr>
          <w:p w14:paraId="3D1145D1" w14:textId="0E0F92ED"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99,</w:t>
            </w:r>
            <w:r w:rsidR="00B46E7B">
              <w:rPr>
                <w:rFonts w:ascii="Arial" w:hAnsi="Arial" w:cs="Arial"/>
                <w:color w:val="333333"/>
                <w:sz w:val="18"/>
                <w:szCs w:val="18"/>
                <w:lang w:eastAsia="hr-HR"/>
              </w:rPr>
              <w:t>54</w:t>
            </w:r>
            <w:r w:rsidRPr="00A360DB">
              <w:rPr>
                <w:rFonts w:ascii="Arial" w:hAnsi="Arial" w:cs="Arial"/>
                <w:color w:val="333333"/>
                <w:sz w:val="18"/>
                <w:szCs w:val="18"/>
                <w:lang w:eastAsia="hr-HR"/>
              </w:rPr>
              <w:t>%</w:t>
            </w:r>
          </w:p>
        </w:tc>
      </w:tr>
      <w:tr w:rsidR="00A360DB" w:rsidRPr="00A360DB" w14:paraId="47D93EB3"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32C24EC0"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5.4. Institucije i tijela EU</w:t>
            </w:r>
          </w:p>
        </w:tc>
        <w:tc>
          <w:tcPr>
            <w:tcW w:w="1480" w:type="dxa"/>
            <w:tcBorders>
              <w:top w:val="nil"/>
              <w:left w:val="nil"/>
              <w:bottom w:val="nil"/>
              <w:right w:val="nil"/>
            </w:tcBorders>
            <w:shd w:val="clear" w:color="auto" w:fill="auto"/>
            <w:noWrap/>
            <w:vAlign w:val="bottom"/>
            <w:hideMark/>
          </w:tcPr>
          <w:p w14:paraId="6353E973"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14.232,00</w:t>
            </w:r>
          </w:p>
        </w:tc>
        <w:tc>
          <w:tcPr>
            <w:tcW w:w="1380" w:type="dxa"/>
            <w:tcBorders>
              <w:top w:val="nil"/>
              <w:left w:val="nil"/>
              <w:bottom w:val="nil"/>
              <w:right w:val="nil"/>
            </w:tcBorders>
            <w:shd w:val="clear" w:color="auto" w:fill="auto"/>
            <w:noWrap/>
            <w:vAlign w:val="bottom"/>
            <w:hideMark/>
          </w:tcPr>
          <w:p w14:paraId="252FC87B"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13.918,23</w:t>
            </w:r>
          </w:p>
        </w:tc>
        <w:tc>
          <w:tcPr>
            <w:tcW w:w="1400" w:type="dxa"/>
            <w:tcBorders>
              <w:top w:val="nil"/>
              <w:left w:val="nil"/>
              <w:bottom w:val="nil"/>
              <w:right w:val="nil"/>
            </w:tcBorders>
            <w:shd w:val="clear" w:color="auto" w:fill="auto"/>
            <w:noWrap/>
            <w:vAlign w:val="bottom"/>
            <w:hideMark/>
          </w:tcPr>
          <w:p w14:paraId="352AD92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97,80%</w:t>
            </w:r>
          </w:p>
        </w:tc>
      </w:tr>
      <w:tr w:rsidR="00A360DB" w:rsidRPr="00A360DB" w14:paraId="7CC81502"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4474632"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6. Donacije</w:t>
            </w:r>
          </w:p>
        </w:tc>
        <w:tc>
          <w:tcPr>
            <w:tcW w:w="1480" w:type="dxa"/>
            <w:tcBorders>
              <w:top w:val="nil"/>
              <w:left w:val="nil"/>
              <w:bottom w:val="nil"/>
              <w:right w:val="nil"/>
            </w:tcBorders>
            <w:shd w:val="clear" w:color="auto" w:fill="auto"/>
            <w:noWrap/>
            <w:vAlign w:val="bottom"/>
            <w:hideMark/>
          </w:tcPr>
          <w:p w14:paraId="6D5CDEF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7.500,00</w:t>
            </w:r>
          </w:p>
        </w:tc>
        <w:tc>
          <w:tcPr>
            <w:tcW w:w="1380" w:type="dxa"/>
            <w:tcBorders>
              <w:top w:val="nil"/>
              <w:left w:val="nil"/>
              <w:bottom w:val="nil"/>
              <w:right w:val="nil"/>
            </w:tcBorders>
            <w:shd w:val="clear" w:color="auto" w:fill="auto"/>
            <w:noWrap/>
            <w:vAlign w:val="bottom"/>
            <w:hideMark/>
          </w:tcPr>
          <w:p w14:paraId="1EE21AF9" w14:textId="1DE17F2A" w:rsidR="00A360DB" w:rsidRPr="00A360DB" w:rsidRDefault="00B46E7B" w:rsidP="00A360DB">
            <w:pPr>
              <w:spacing w:after="0" w:line="240" w:lineRule="auto"/>
              <w:jc w:val="right"/>
              <w:rPr>
                <w:rFonts w:ascii="Arial" w:hAnsi="Arial" w:cs="Arial"/>
                <w:b/>
                <w:bCs/>
                <w:color w:val="333333"/>
                <w:sz w:val="18"/>
                <w:szCs w:val="18"/>
                <w:lang w:eastAsia="hr-HR"/>
              </w:rPr>
            </w:pPr>
            <w:r>
              <w:rPr>
                <w:rFonts w:ascii="Arial" w:hAnsi="Arial" w:cs="Arial"/>
                <w:b/>
                <w:bCs/>
                <w:color w:val="333333"/>
                <w:sz w:val="18"/>
                <w:szCs w:val="18"/>
                <w:lang w:eastAsia="hr-HR"/>
              </w:rPr>
              <w:t>5.298,16</w:t>
            </w:r>
          </w:p>
        </w:tc>
        <w:tc>
          <w:tcPr>
            <w:tcW w:w="1400" w:type="dxa"/>
            <w:tcBorders>
              <w:top w:val="nil"/>
              <w:left w:val="nil"/>
              <w:bottom w:val="nil"/>
              <w:right w:val="nil"/>
            </w:tcBorders>
            <w:shd w:val="clear" w:color="auto" w:fill="auto"/>
            <w:noWrap/>
            <w:vAlign w:val="bottom"/>
            <w:hideMark/>
          </w:tcPr>
          <w:p w14:paraId="63317E53" w14:textId="04B39B59" w:rsidR="00A360DB" w:rsidRPr="00A360DB" w:rsidRDefault="00B46E7B" w:rsidP="00A360DB">
            <w:pPr>
              <w:spacing w:after="0" w:line="240" w:lineRule="auto"/>
              <w:jc w:val="right"/>
              <w:rPr>
                <w:rFonts w:ascii="Arial" w:hAnsi="Arial" w:cs="Arial"/>
                <w:b/>
                <w:bCs/>
                <w:color w:val="333333"/>
                <w:sz w:val="18"/>
                <w:szCs w:val="18"/>
                <w:lang w:eastAsia="hr-HR"/>
              </w:rPr>
            </w:pPr>
            <w:r>
              <w:rPr>
                <w:rFonts w:ascii="Arial" w:hAnsi="Arial" w:cs="Arial"/>
                <w:b/>
                <w:bCs/>
                <w:color w:val="333333"/>
                <w:sz w:val="18"/>
                <w:szCs w:val="18"/>
                <w:lang w:eastAsia="hr-HR"/>
              </w:rPr>
              <w:t>70,64</w:t>
            </w:r>
            <w:r w:rsidR="00A360DB" w:rsidRPr="00A360DB">
              <w:rPr>
                <w:rFonts w:ascii="Arial" w:hAnsi="Arial" w:cs="Arial"/>
                <w:b/>
                <w:bCs/>
                <w:color w:val="333333"/>
                <w:sz w:val="18"/>
                <w:szCs w:val="18"/>
                <w:lang w:eastAsia="hr-HR"/>
              </w:rPr>
              <w:t>%</w:t>
            </w:r>
          </w:p>
        </w:tc>
      </w:tr>
      <w:tr w:rsidR="00A360DB" w:rsidRPr="00A360DB" w14:paraId="21051E17"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22DAEC48"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6.1. Donacije</w:t>
            </w:r>
          </w:p>
        </w:tc>
        <w:tc>
          <w:tcPr>
            <w:tcW w:w="1480" w:type="dxa"/>
            <w:tcBorders>
              <w:top w:val="nil"/>
              <w:left w:val="nil"/>
              <w:bottom w:val="nil"/>
              <w:right w:val="nil"/>
            </w:tcBorders>
            <w:shd w:val="clear" w:color="auto" w:fill="auto"/>
            <w:noWrap/>
            <w:vAlign w:val="bottom"/>
            <w:hideMark/>
          </w:tcPr>
          <w:p w14:paraId="43A7580E"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7.500,00</w:t>
            </w:r>
          </w:p>
        </w:tc>
        <w:tc>
          <w:tcPr>
            <w:tcW w:w="1380" w:type="dxa"/>
            <w:tcBorders>
              <w:top w:val="nil"/>
              <w:left w:val="nil"/>
              <w:bottom w:val="nil"/>
              <w:right w:val="nil"/>
            </w:tcBorders>
            <w:shd w:val="clear" w:color="auto" w:fill="auto"/>
            <w:noWrap/>
            <w:vAlign w:val="bottom"/>
            <w:hideMark/>
          </w:tcPr>
          <w:p w14:paraId="05E9D905" w14:textId="50052CDC" w:rsidR="00A360DB" w:rsidRPr="00A360DB" w:rsidRDefault="00B46E7B" w:rsidP="00A360DB">
            <w:pPr>
              <w:spacing w:after="0" w:line="240" w:lineRule="auto"/>
              <w:jc w:val="right"/>
              <w:rPr>
                <w:rFonts w:ascii="Arial" w:hAnsi="Arial" w:cs="Arial"/>
                <w:color w:val="333333"/>
                <w:sz w:val="18"/>
                <w:szCs w:val="18"/>
                <w:lang w:eastAsia="hr-HR"/>
              </w:rPr>
            </w:pPr>
            <w:r>
              <w:rPr>
                <w:rFonts w:ascii="Arial" w:hAnsi="Arial" w:cs="Arial"/>
                <w:color w:val="333333"/>
                <w:sz w:val="18"/>
                <w:szCs w:val="18"/>
                <w:lang w:eastAsia="hr-HR"/>
              </w:rPr>
              <w:t>5.298,16</w:t>
            </w:r>
          </w:p>
        </w:tc>
        <w:tc>
          <w:tcPr>
            <w:tcW w:w="1400" w:type="dxa"/>
            <w:tcBorders>
              <w:top w:val="nil"/>
              <w:left w:val="nil"/>
              <w:bottom w:val="nil"/>
              <w:right w:val="nil"/>
            </w:tcBorders>
            <w:shd w:val="clear" w:color="auto" w:fill="auto"/>
            <w:noWrap/>
            <w:vAlign w:val="bottom"/>
            <w:hideMark/>
          </w:tcPr>
          <w:p w14:paraId="773756AD" w14:textId="35FFDE98" w:rsidR="00A360DB" w:rsidRPr="00A360DB" w:rsidRDefault="00B46E7B" w:rsidP="00A360DB">
            <w:pPr>
              <w:spacing w:after="0" w:line="240" w:lineRule="auto"/>
              <w:jc w:val="right"/>
              <w:rPr>
                <w:rFonts w:ascii="Arial" w:hAnsi="Arial" w:cs="Arial"/>
                <w:color w:val="333333"/>
                <w:sz w:val="18"/>
                <w:szCs w:val="18"/>
                <w:lang w:eastAsia="hr-HR"/>
              </w:rPr>
            </w:pPr>
            <w:r>
              <w:rPr>
                <w:rFonts w:ascii="Arial" w:hAnsi="Arial" w:cs="Arial"/>
                <w:color w:val="333333"/>
                <w:sz w:val="18"/>
                <w:szCs w:val="18"/>
                <w:lang w:eastAsia="hr-HR"/>
              </w:rPr>
              <w:t>70,64</w:t>
            </w:r>
            <w:r w:rsidR="00A360DB" w:rsidRPr="00A360DB">
              <w:rPr>
                <w:rFonts w:ascii="Arial" w:hAnsi="Arial" w:cs="Arial"/>
                <w:color w:val="333333"/>
                <w:sz w:val="18"/>
                <w:szCs w:val="18"/>
                <w:lang w:eastAsia="hr-HR"/>
              </w:rPr>
              <w:t>%</w:t>
            </w:r>
          </w:p>
        </w:tc>
      </w:tr>
      <w:tr w:rsidR="00A360DB" w:rsidRPr="00A360DB" w14:paraId="6AC1B3D5"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5C6019EB"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9. Višak iz prethodnih razdoblja</w:t>
            </w:r>
          </w:p>
        </w:tc>
        <w:tc>
          <w:tcPr>
            <w:tcW w:w="1480" w:type="dxa"/>
            <w:tcBorders>
              <w:top w:val="nil"/>
              <w:left w:val="nil"/>
              <w:bottom w:val="nil"/>
              <w:right w:val="nil"/>
            </w:tcBorders>
            <w:shd w:val="clear" w:color="auto" w:fill="auto"/>
            <w:noWrap/>
            <w:vAlign w:val="bottom"/>
            <w:hideMark/>
          </w:tcPr>
          <w:p w14:paraId="6DCF23BC"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19.169,01</w:t>
            </w:r>
          </w:p>
        </w:tc>
        <w:tc>
          <w:tcPr>
            <w:tcW w:w="1380" w:type="dxa"/>
            <w:tcBorders>
              <w:top w:val="nil"/>
              <w:left w:val="nil"/>
              <w:bottom w:val="nil"/>
              <w:right w:val="nil"/>
            </w:tcBorders>
            <w:shd w:val="clear" w:color="auto" w:fill="auto"/>
            <w:noWrap/>
            <w:vAlign w:val="bottom"/>
            <w:hideMark/>
          </w:tcPr>
          <w:p w14:paraId="3E9ADB8F"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19.169,01</w:t>
            </w:r>
          </w:p>
        </w:tc>
        <w:tc>
          <w:tcPr>
            <w:tcW w:w="1400" w:type="dxa"/>
            <w:tcBorders>
              <w:top w:val="nil"/>
              <w:left w:val="nil"/>
              <w:bottom w:val="nil"/>
              <w:right w:val="nil"/>
            </w:tcBorders>
            <w:shd w:val="clear" w:color="auto" w:fill="auto"/>
            <w:noWrap/>
            <w:vAlign w:val="bottom"/>
            <w:hideMark/>
          </w:tcPr>
          <w:p w14:paraId="55E5C4F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w:t>
            </w:r>
          </w:p>
        </w:tc>
      </w:tr>
      <w:tr w:rsidR="00A360DB" w:rsidRPr="00A360DB" w14:paraId="6F709436"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241CE180"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 xml:space="preserve">Izvor 9.1. Višak iz prethodnih godina - </w:t>
            </w:r>
            <w:proofErr w:type="spellStart"/>
            <w:r w:rsidRPr="00A360DB">
              <w:rPr>
                <w:rFonts w:ascii="Arial" w:hAnsi="Arial" w:cs="Arial"/>
                <w:color w:val="333333"/>
                <w:sz w:val="18"/>
                <w:szCs w:val="18"/>
                <w:lang w:eastAsia="hr-HR"/>
              </w:rPr>
              <w:t>Prorač.korisnici</w:t>
            </w:r>
            <w:proofErr w:type="spellEnd"/>
          </w:p>
        </w:tc>
        <w:tc>
          <w:tcPr>
            <w:tcW w:w="1480" w:type="dxa"/>
            <w:tcBorders>
              <w:top w:val="nil"/>
              <w:left w:val="nil"/>
              <w:bottom w:val="nil"/>
              <w:right w:val="nil"/>
            </w:tcBorders>
            <w:shd w:val="clear" w:color="auto" w:fill="auto"/>
            <w:noWrap/>
            <w:vAlign w:val="bottom"/>
            <w:hideMark/>
          </w:tcPr>
          <w:p w14:paraId="0303AD4B"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2.047,54</w:t>
            </w:r>
          </w:p>
        </w:tc>
        <w:tc>
          <w:tcPr>
            <w:tcW w:w="1380" w:type="dxa"/>
            <w:tcBorders>
              <w:top w:val="nil"/>
              <w:left w:val="nil"/>
              <w:bottom w:val="nil"/>
              <w:right w:val="nil"/>
            </w:tcBorders>
            <w:shd w:val="clear" w:color="auto" w:fill="auto"/>
            <w:noWrap/>
            <w:vAlign w:val="bottom"/>
            <w:hideMark/>
          </w:tcPr>
          <w:p w14:paraId="3F1BB5CB"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2.047,54</w:t>
            </w:r>
          </w:p>
        </w:tc>
        <w:tc>
          <w:tcPr>
            <w:tcW w:w="1400" w:type="dxa"/>
            <w:tcBorders>
              <w:top w:val="nil"/>
              <w:left w:val="nil"/>
              <w:bottom w:val="nil"/>
              <w:right w:val="nil"/>
            </w:tcBorders>
            <w:shd w:val="clear" w:color="auto" w:fill="auto"/>
            <w:noWrap/>
            <w:vAlign w:val="bottom"/>
            <w:hideMark/>
          </w:tcPr>
          <w:p w14:paraId="2519F249"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w:t>
            </w:r>
          </w:p>
        </w:tc>
      </w:tr>
      <w:tr w:rsidR="00A360DB" w:rsidRPr="00A360DB" w14:paraId="6F9CAF84"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CF2D693"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9.2. Višak iz prethodnih godina - Grad</w:t>
            </w:r>
          </w:p>
        </w:tc>
        <w:tc>
          <w:tcPr>
            <w:tcW w:w="1480" w:type="dxa"/>
            <w:tcBorders>
              <w:top w:val="nil"/>
              <w:left w:val="nil"/>
              <w:bottom w:val="nil"/>
              <w:right w:val="nil"/>
            </w:tcBorders>
            <w:shd w:val="clear" w:color="auto" w:fill="auto"/>
            <w:noWrap/>
            <w:vAlign w:val="bottom"/>
            <w:hideMark/>
          </w:tcPr>
          <w:p w14:paraId="1B1EA217"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17.121,47</w:t>
            </w:r>
          </w:p>
        </w:tc>
        <w:tc>
          <w:tcPr>
            <w:tcW w:w="1380" w:type="dxa"/>
            <w:tcBorders>
              <w:top w:val="nil"/>
              <w:left w:val="nil"/>
              <w:bottom w:val="nil"/>
              <w:right w:val="nil"/>
            </w:tcBorders>
            <w:shd w:val="clear" w:color="auto" w:fill="auto"/>
            <w:noWrap/>
            <w:vAlign w:val="bottom"/>
            <w:hideMark/>
          </w:tcPr>
          <w:p w14:paraId="013D1A49"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17.121,47</w:t>
            </w:r>
          </w:p>
        </w:tc>
        <w:tc>
          <w:tcPr>
            <w:tcW w:w="1400" w:type="dxa"/>
            <w:tcBorders>
              <w:top w:val="nil"/>
              <w:left w:val="nil"/>
              <w:bottom w:val="nil"/>
              <w:right w:val="nil"/>
            </w:tcBorders>
            <w:shd w:val="clear" w:color="auto" w:fill="auto"/>
            <w:noWrap/>
            <w:vAlign w:val="bottom"/>
            <w:hideMark/>
          </w:tcPr>
          <w:p w14:paraId="20261267"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w:t>
            </w:r>
          </w:p>
        </w:tc>
      </w:tr>
      <w:tr w:rsidR="00A360DB" w:rsidRPr="00A360DB" w14:paraId="74ABA134" w14:textId="77777777" w:rsidTr="00A360DB">
        <w:trPr>
          <w:trHeight w:val="240"/>
        </w:trPr>
        <w:tc>
          <w:tcPr>
            <w:tcW w:w="1697" w:type="dxa"/>
            <w:tcBorders>
              <w:top w:val="nil"/>
              <w:left w:val="nil"/>
              <w:bottom w:val="nil"/>
              <w:right w:val="nil"/>
            </w:tcBorders>
            <w:shd w:val="clear" w:color="000000" w:fill="1D4BB3"/>
            <w:noWrap/>
            <w:vAlign w:val="bottom"/>
            <w:hideMark/>
          </w:tcPr>
          <w:p w14:paraId="690645D6" w14:textId="77777777" w:rsidR="00A360DB" w:rsidRPr="00A360DB" w:rsidRDefault="00A360DB" w:rsidP="00A360DB">
            <w:pPr>
              <w:spacing w:after="0" w:line="240" w:lineRule="auto"/>
              <w:rPr>
                <w:rFonts w:ascii="Arial" w:hAnsi="Arial" w:cs="Arial"/>
                <w:b/>
                <w:bCs/>
                <w:color w:val="FFFFFF"/>
                <w:sz w:val="18"/>
                <w:szCs w:val="18"/>
                <w:lang w:eastAsia="hr-HR"/>
              </w:rPr>
            </w:pPr>
            <w:r w:rsidRPr="00A360DB">
              <w:rPr>
                <w:rFonts w:ascii="Arial" w:hAnsi="Arial" w:cs="Arial"/>
                <w:b/>
                <w:bCs/>
                <w:color w:val="FFFFFF"/>
                <w:sz w:val="18"/>
                <w:szCs w:val="18"/>
                <w:lang w:eastAsia="hr-HR"/>
              </w:rPr>
              <w:t>1020</w:t>
            </w:r>
          </w:p>
        </w:tc>
        <w:tc>
          <w:tcPr>
            <w:tcW w:w="8509" w:type="dxa"/>
            <w:tcBorders>
              <w:top w:val="nil"/>
              <w:left w:val="nil"/>
              <w:bottom w:val="nil"/>
              <w:right w:val="nil"/>
            </w:tcBorders>
            <w:shd w:val="clear" w:color="000000" w:fill="1D4BB3"/>
            <w:noWrap/>
            <w:vAlign w:val="bottom"/>
            <w:hideMark/>
          </w:tcPr>
          <w:p w14:paraId="30B2141C" w14:textId="77777777" w:rsidR="00A360DB" w:rsidRPr="00A360DB" w:rsidRDefault="00A360DB" w:rsidP="00A360DB">
            <w:pPr>
              <w:spacing w:after="0" w:line="240" w:lineRule="auto"/>
              <w:rPr>
                <w:rFonts w:ascii="Arial" w:hAnsi="Arial" w:cs="Arial"/>
                <w:b/>
                <w:bCs/>
                <w:color w:val="FFFFFF"/>
                <w:sz w:val="18"/>
                <w:szCs w:val="18"/>
                <w:lang w:eastAsia="hr-HR"/>
              </w:rPr>
            </w:pPr>
            <w:r w:rsidRPr="00A360DB">
              <w:rPr>
                <w:rFonts w:ascii="Arial" w:hAnsi="Arial" w:cs="Arial"/>
                <w:b/>
                <w:bCs/>
                <w:color w:val="FFFFFF"/>
                <w:sz w:val="18"/>
                <w:szCs w:val="18"/>
                <w:lang w:eastAsia="hr-HR"/>
              </w:rPr>
              <w:t>Program: Obrazovanje</w:t>
            </w:r>
          </w:p>
        </w:tc>
        <w:tc>
          <w:tcPr>
            <w:tcW w:w="1480" w:type="dxa"/>
            <w:tcBorders>
              <w:top w:val="nil"/>
              <w:left w:val="nil"/>
              <w:bottom w:val="nil"/>
              <w:right w:val="nil"/>
            </w:tcBorders>
            <w:shd w:val="clear" w:color="000000" w:fill="1D4BB3"/>
            <w:noWrap/>
            <w:vAlign w:val="bottom"/>
            <w:hideMark/>
          </w:tcPr>
          <w:p w14:paraId="3ABA4931"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2.808.252,01</w:t>
            </w:r>
          </w:p>
        </w:tc>
        <w:tc>
          <w:tcPr>
            <w:tcW w:w="1380" w:type="dxa"/>
            <w:tcBorders>
              <w:top w:val="nil"/>
              <w:left w:val="nil"/>
              <w:bottom w:val="nil"/>
              <w:right w:val="nil"/>
            </w:tcBorders>
            <w:shd w:val="clear" w:color="000000" w:fill="1D4BB3"/>
            <w:noWrap/>
            <w:vAlign w:val="bottom"/>
            <w:hideMark/>
          </w:tcPr>
          <w:p w14:paraId="1796C088" w14:textId="71C873D6"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2.7</w:t>
            </w:r>
            <w:r w:rsidR="00B46E7B">
              <w:rPr>
                <w:rFonts w:ascii="Arial" w:hAnsi="Arial" w:cs="Arial"/>
                <w:b/>
                <w:bCs/>
                <w:color w:val="FFFFFF"/>
                <w:sz w:val="18"/>
                <w:szCs w:val="18"/>
                <w:lang w:eastAsia="hr-HR"/>
              </w:rPr>
              <w:t>87.727,29</w:t>
            </w:r>
          </w:p>
        </w:tc>
        <w:tc>
          <w:tcPr>
            <w:tcW w:w="1400" w:type="dxa"/>
            <w:tcBorders>
              <w:top w:val="nil"/>
              <w:left w:val="nil"/>
              <w:bottom w:val="nil"/>
              <w:right w:val="nil"/>
            </w:tcBorders>
            <w:shd w:val="clear" w:color="000000" w:fill="1D4BB3"/>
            <w:noWrap/>
            <w:vAlign w:val="bottom"/>
            <w:hideMark/>
          </w:tcPr>
          <w:p w14:paraId="0D64F22F" w14:textId="338A04FC"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9</w:t>
            </w:r>
            <w:r w:rsidR="00B46E7B">
              <w:rPr>
                <w:rFonts w:ascii="Arial" w:hAnsi="Arial" w:cs="Arial"/>
                <w:b/>
                <w:bCs/>
                <w:color w:val="FFFFFF"/>
                <w:sz w:val="18"/>
                <w:szCs w:val="18"/>
                <w:lang w:eastAsia="hr-HR"/>
              </w:rPr>
              <w:t>9,27</w:t>
            </w:r>
            <w:r w:rsidRPr="00A360DB">
              <w:rPr>
                <w:rFonts w:ascii="Arial" w:hAnsi="Arial" w:cs="Arial"/>
                <w:b/>
                <w:bCs/>
                <w:color w:val="FFFFFF"/>
                <w:sz w:val="18"/>
                <w:szCs w:val="18"/>
                <w:lang w:eastAsia="hr-HR"/>
              </w:rPr>
              <w:t>%</w:t>
            </w:r>
          </w:p>
        </w:tc>
      </w:tr>
      <w:tr w:rsidR="00A360DB" w:rsidRPr="00A360DB" w14:paraId="4A6E18EB" w14:textId="77777777" w:rsidTr="00A360DB">
        <w:trPr>
          <w:trHeight w:val="240"/>
        </w:trPr>
        <w:tc>
          <w:tcPr>
            <w:tcW w:w="1697" w:type="dxa"/>
            <w:tcBorders>
              <w:top w:val="nil"/>
              <w:left w:val="nil"/>
              <w:bottom w:val="nil"/>
              <w:right w:val="nil"/>
            </w:tcBorders>
            <w:shd w:val="clear" w:color="000000" w:fill="B4C6E7"/>
            <w:noWrap/>
            <w:vAlign w:val="bottom"/>
            <w:hideMark/>
          </w:tcPr>
          <w:p w14:paraId="77544791"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A102007</w:t>
            </w:r>
          </w:p>
        </w:tc>
        <w:tc>
          <w:tcPr>
            <w:tcW w:w="8509" w:type="dxa"/>
            <w:tcBorders>
              <w:top w:val="nil"/>
              <w:left w:val="nil"/>
              <w:bottom w:val="nil"/>
              <w:right w:val="nil"/>
            </w:tcBorders>
            <w:shd w:val="clear" w:color="000000" w:fill="B4C6E7"/>
            <w:noWrap/>
            <w:vAlign w:val="bottom"/>
            <w:hideMark/>
          </w:tcPr>
          <w:p w14:paraId="774A734B"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Redovna djelatnost OŠ - decentralizirane funkcije</w:t>
            </w:r>
          </w:p>
        </w:tc>
        <w:tc>
          <w:tcPr>
            <w:tcW w:w="1480" w:type="dxa"/>
            <w:tcBorders>
              <w:top w:val="nil"/>
              <w:left w:val="nil"/>
              <w:bottom w:val="nil"/>
              <w:right w:val="nil"/>
            </w:tcBorders>
            <w:shd w:val="clear" w:color="000000" w:fill="B4C6E7"/>
            <w:noWrap/>
            <w:vAlign w:val="bottom"/>
            <w:hideMark/>
          </w:tcPr>
          <w:p w14:paraId="7E35FA8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93.000,00</w:t>
            </w:r>
          </w:p>
        </w:tc>
        <w:tc>
          <w:tcPr>
            <w:tcW w:w="1380" w:type="dxa"/>
            <w:tcBorders>
              <w:top w:val="nil"/>
              <w:left w:val="nil"/>
              <w:bottom w:val="nil"/>
              <w:right w:val="nil"/>
            </w:tcBorders>
            <w:shd w:val="clear" w:color="000000" w:fill="B4C6E7"/>
            <w:noWrap/>
            <w:vAlign w:val="bottom"/>
            <w:hideMark/>
          </w:tcPr>
          <w:p w14:paraId="77DA129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97.445,98</w:t>
            </w:r>
          </w:p>
        </w:tc>
        <w:tc>
          <w:tcPr>
            <w:tcW w:w="1400" w:type="dxa"/>
            <w:tcBorders>
              <w:top w:val="nil"/>
              <w:left w:val="nil"/>
              <w:bottom w:val="nil"/>
              <w:right w:val="nil"/>
            </w:tcBorders>
            <w:shd w:val="clear" w:color="000000" w:fill="B4C6E7"/>
            <w:noWrap/>
            <w:vAlign w:val="bottom"/>
            <w:hideMark/>
          </w:tcPr>
          <w:p w14:paraId="0408388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104,78%</w:t>
            </w:r>
          </w:p>
        </w:tc>
      </w:tr>
      <w:tr w:rsidR="00A360DB" w:rsidRPr="00A360DB" w14:paraId="47AA354F"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CBEC2D6"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5. Pomoći</w:t>
            </w:r>
          </w:p>
        </w:tc>
        <w:tc>
          <w:tcPr>
            <w:tcW w:w="1480" w:type="dxa"/>
            <w:tcBorders>
              <w:top w:val="nil"/>
              <w:left w:val="nil"/>
              <w:bottom w:val="nil"/>
              <w:right w:val="nil"/>
            </w:tcBorders>
            <w:shd w:val="clear" w:color="auto" w:fill="auto"/>
            <w:noWrap/>
            <w:vAlign w:val="bottom"/>
            <w:hideMark/>
          </w:tcPr>
          <w:p w14:paraId="3D459948"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93.000,00</w:t>
            </w:r>
          </w:p>
        </w:tc>
        <w:tc>
          <w:tcPr>
            <w:tcW w:w="1380" w:type="dxa"/>
            <w:tcBorders>
              <w:top w:val="nil"/>
              <w:left w:val="nil"/>
              <w:bottom w:val="nil"/>
              <w:right w:val="nil"/>
            </w:tcBorders>
            <w:shd w:val="clear" w:color="auto" w:fill="auto"/>
            <w:noWrap/>
            <w:vAlign w:val="bottom"/>
            <w:hideMark/>
          </w:tcPr>
          <w:p w14:paraId="32163DA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97.445,98</w:t>
            </w:r>
          </w:p>
        </w:tc>
        <w:tc>
          <w:tcPr>
            <w:tcW w:w="1400" w:type="dxa"/>
            <w:tcBorders>
              <w:top w:val="nil"/>
              <w:left w:val="nil"/>
              <w:bottom w:val="nil"/>
              <w:right w:val="nil"/>
            </w:tcBorders>
            <w:shd w:val="clear" w:color="auto" w:fill="auto"/>
            <w:noWrap/>
            <w:vAlign w:val="bottom"/>
            <w:hideMark/>
          </w:tcPr>
          <w:p w14:paraId="1A47984B"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104,78%</w:t>
            </w:r>
          </w:p>
        </w:tc>
      </w:tr>
      <w:tr w:rsidR="00A360DB" w:rsidRPr="00A360DB" w14:paraId="55A56C8E"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7CBFD26"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5.2. Državni proračun</w:t>
            </w:r>
          </w:p>
        </w:tc>
        <w:tc>
          <w:tcPr>
            <w:tcW w:w="1480" w:type="dxa"/>
            <w:tcBorders>
              <w:top w:val="nil"/>
              <w:left w:val="nil"/>
              <w:bottom w:val="nil"/>
              <w:right w:val="nil"/>
            </w:tcBorders>
            <w:shd w:val="clear" w:color="auto" w:fill="auto"/>
            <w:noWrap/>
            <w:vAlign w:val="bottom"/>
            <w:hideMark/>
          </w:tcPr>
          <w:p w14:paraId="17BB98C3"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93.000,00</w:t>
            </w:r>
          </w:p>
        </w:tc>
        <w:tc>
          <w:tcPr>
            <w:tcW w:w="1380" w:type="dxa"/>
            <w:tcBorders>
              <w:top w:val="nil"/>
              <w:left w:val="nil"/>
              <w:bottom w:val="nil"/>
              <w:right w:val="nil"/>
            </w:tcBorders>
            <w:shd w:val="clear" w:color="auto" w:fill="auto"/>
            <w:noWrap/>
            <w:vAlign w:val="bottom"/>
            <w:hideMark/>
          </w:tcPr>
          <w:p w14:paraId="12E03148"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97.445,98</w:t>
            </w:r>
          </w:p>
        </w:tc>
        <w:tc>
          <w:tcPr>
            <w:tcW w:w="1400" w:type="dxa"/>
            <w:tcBorders>
              <w:top w:val="nil"/>
              <w:left w:val="nil"/>
              <w:bottom w:val="nil"/>
              <w:right w:val="nil"/>
            </w:tcBorders>
            <w:shd w:val="clear" w:color="auto" w:fill="auto"/>
            <w:noWrap/>
            <w:vAlign w:val="bottom"/>
            <w:hideMark/>
          </w:tcPr>
          <w:p w14:paraId="3DCF52BA"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104,78%</w:t>
            </w:r>
          </w:p>
        </w:tc>
      </w:tr>
      <w:tr w:rsidR="00A360DB" w:rsidRPr="00A360DB" w14:paraId="3FDCA848" w14:textId="77777777" w:rsidTr="00A360DB">
        <w:trPr>
          <w:trHeight w:val="240"/>
        </w:trPr>
        <w:tc>
          <w:tcPr>
            <w:tcW w:w="1697" w:type="dxa"/>
            <w:tcBorders>
              <w:top w:val="nil"/>
              <w:left w:val="nil"/>
              <w:bottom w:val="nil"/>
              <w:right w:val="nil"/>
            </w:tcBorders>
            <w:shd w:val="clear" w:color="auto" w:fill="auto"/>
            <w:noWrap/>
            <w:vAlign w:val="bottom"/>
            <w:hideMark/>
          </w:tcPr>
          <w:p w14:paraId="46426C43"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7D4016A9"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1EB246C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93.000,00</w:t>
            </w:r>
          </w:p>
        </w:tc>
        <w:tc>
          <w:tcPr>
            <w:tcW w:w="1380" w:type="dxa"/>
            <w:tcBorders>
              <w:top w:val="nil"/>
              <w:left w:val="nil"/>
              <w:bottom w:val="nil"/>
              <w:right w:val="nil"/>
            </w:tcBorders>
            <w:shd w:val="clear" w:color="auto" w:fill="auto"/>
            <w:noWrap/>
            <w:vAlign w:val="bottom"/>
            <w:hideMark/>
          </w:tcPr>
          <w:p w14:paraId="38533EF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97.445,98</w:t>
            </w:r>
          </w:p>
        </w:tc>
        <w:tc>
          <w:tcPr>
            <w:tcW w:w="1400" w:type="dxa"/>
            <w:tcBorders>
              <w:top w:val="nil"/>
              <w:left w:val="nil"/>
              <w:bottom w:val="nil"/>
              <w:right w:val="nil"/>
            </w:tcBorders>
            <w:shd w:val="clear" w:color="auto" w:fill="auto"/>
            <w:noWrap/>
            <w:vAlign w:val="bottom"/>
            <w:hideMark/>
          </w:tcPr>
          <w:p w14:paraId="6CA2E29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104,78%</w:t>
            </w:r>
          </w:p>
        </w:tc>
      </w:tr>
      <w:tr w:rsidR="00A360DB" w:rsidRPr="00A360DB" w14:paraId="061628B5" w14:textId="77777777" w:rsidTr="00A360DB">
        <w:trPr>
          <w:trHeight w:val="240"/>
        </w:trPr>
        <w:tc>
          <w:tcPr>
            <w:tcW w:w="1697" w:type="dxa"/>
            <w:tcBorders>
              <w:top w:val="nil"/>
              <w:left w:val="nil"/>
              <w:bottom w:val="nil"/>
              <w:right w:val="nil"/>
            </w:tcBorders>
            <w:shd w:val="clear" w:color="auto" w:fill="auto"/>
            <w:noWrap/>
            <w:vAlign w:val="bottom"/>
            <w:hideMark/>
          </w:tcPr>
          <w:p w14:paraId="0F30A6C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3211</w:t>
            </w:r>
          </w:p>
        </w:tc>
        <w:tc>
          <w:tcPr>
            <w:tcW w:w="8509" w:type="dxa"/>
            <w:tcBorders>
              <w:top w:val="nil"/>
              <w:left w:val="nil"/>
              <w:bottom w:val="nil"/>
              <w:right w:val="nil"/>
            </w:tcBorders>
            <w:shd w:val="clear" w:color="auto" w:fill="auto"/>
            <w:noWrap/>
            <w:vAlign w:val="bottom"/>
            <w:hideMark/>
          </w:tcPr>
          <w:p w14:paraId="5879F05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Službena putovanja                                                                                  </w:t>
            </w:r>
          </w:p>
        </w:tc>
        <w:tc>
          <w:tcPr>
            <w:tcW w:w="1480" w:type="dxa"/>
            <w:tcBorders>
              <w:top w:val="nil"/>
              <w:left w:val="nil"/>
              <w:bottom w:val="nil"/>
              <w:right w:val="nil"/>
            </w:tcBorders>
            <w:shd w:val="clear" w:color="auto" w:fill="auto"/>
            <w:noWrap/>
            <w:vAlign w:val="bottom"/>
            <w:hideMark/>
          </w:tcPr>
          <w:p w14:paraId="5906E6BE"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8CEE162"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9.646,86</w:t>
            </w:r>
          </w:p>
        </w:tc>
        <w:tc>
          <w:tcPr>
            <w:tcW w:w="1400" w:type="dxa"/>
            <w:tcBorders>
              <w:top w:val="nil"/>
              <w:left w:val="nil"/>
              <w:bottom w:val="nil"/>
              <w:right w:val="nil"/>
            </w:tcBorders>
            <w:shd w:val="clear" w:color="auto" w:fill="auto"/>
            <w:noWrap/>
            <w:vAlign w:val="bottom"/>
            <w:hideMark/>
          </w:tcPr>
          <w:p w14:paraId="33A96F0E"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B54B028" w14:textId="77777777" w:rsidTr="00A360DB">
        <w:trPr>
          <w:trHeight w:val="240"/>
        </w:trPr>
        <w:tc>
          <w:tcPr>
            <w:tcW w:w="1697" w:type="dxa"/>
            <w:tcBorders>
              <w:top w:val="nil"/>
              <w:left w:val="nil"/>
              <w:bottom w:val="nil"/>
              <w:right w:val="nil"/>
            </w:tcBorders>
            <w:shd w:val="clear" w:color="auto" w:fill="auto"/>
            <w:noWrap/>
            <w:vAlign w:val="bottom"/>
            <w:hideMark/>
          </w:tcPr>
          <w:p w14:paraId="1B24593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lastRenderedPageBreak/>
              <w:t>3213</w:t>
            </w:r>
          </w:p>
        </w:tc>
        <w:tc>
          <w:tcPr>
            <w:tcW w:w="8509" w:type="dxa"/>
            <w:tcBorders>
              <w:top w:val="nil"/>
              <w:left w:val="nil"/>
              <w:bottom w:val="nil"/>
              <w:right w:val="nil"/>
            </w:tcBorders>
            <w:shd w:val="clear" w:color="auto" w:fill="auto"/>
            <w:noWrap/>
            <w:vAlign w:val="bottom"/>
            <w:hideMark/>
          </w:tcPr>
          <w:p w14:paraId="5C7F1B9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Stručno usavršavanje zaposlenika                                                                    </w:t>
            </w:r>
          </w:p>
        </w:tc>
        <w:tc>
          <w:tcPr>
            <w:tcW w:w="1480" w:type="dxa"/>
            <w:tcBorders>
              <w:top w:val="nil"/>
              <w:left w:val="nil"/>
              <w:bottom w:val="nil"/>
              <w:right w:val="nil"/>
            </w:tcBorders>
            <w:shd w:val="clear" w:color="auto" w:fill="auto"/>
            <w:noWrap/>
            <w:vAlign w:val="bottom"/>
            <w:hideMark/>
          </w:tcPr>
          <w:p w14:paraId="13529227"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1BDA647"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515,00</w:t>
            </w:r>
          </w:p>
        </w:tc>
        <w:tc>
          <w:tcPr>
            <w:tcW w:w="1400" w:type="dxa"/>
            <w:tcBorders>
              <w:top w:val="nil"/>
              <w:left w:val="nil"/>
              <w:bottom w:val="nil"/>
              <w:right w:val="nil"/>
            </w:tcBorders>
            <w:shd w:val="clear" w:color="auto" w:fill="auto"/>
            <w:noWrap/>
            <w:vAlign w:val="bottom"/>
            <w:hideMark/>
          </w:tcPr>
          <w:p w14:paraId="43A0CFE7"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E78402E" w14:textId="77777777" w:rsidTr="00A360DB">
        <w:trPr>
          <w:trHeight w:val="240"/>
        </w:trPr>
        <w:tc>
          <w:tcPr>
            <w:tcW w:w="1697" w:type="dxa"/>
            <w:tcBorders>
              <w:top w:val="nil"/>
              <w:left w:val="nil"/>
              <w:bottom w:val="nil"/>
              <w:right w:val="nil"/>
            </w:tcBorders>
            <w:shd w:val="clear" w:color="auto" w:fill="auto"/>
            <w:noWrap/>
            <w:vAlign w:val="bottom"/>
            <w:hideMark/>
          </w:tcPr>
          <w:p w14:paraId="4AF69CD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3214</w:t>
            </w:r>
          </w:p>
        </w:tc>
        <w:tc>
          <w:tcPr>
            <w:tcW w:w="8509" w:type="dxa"/>
            <w:tcBorders>
              <w:top w:val="nil"/>
              <w:left w:val="nil"/>
              <w:bottom w:val="nil"/>
              <w:right w:val="nil"/>
            </w:tcBorders>
            <w:shd w:val="clear" w:color="auto" w:fill="auto"/>
            <w:noWrap/>
            <w:vAlign w:val="bottom"/>
            <w:hideMark/>
          </w:tcPr>
          <w:p w14:paraId="71EBA15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Ostale naknade troškova zaposlenima                                                                 </w:t>
            </w:r>
          </w:p>
        </w:tc>
        <w:tc>
          <w:tcPr>
            <w:tcW w:w="1480" w:type="dxa"/>
            <w:tcBorders>
              <w:top w:val="nil"/>
              <w:left w:val="nil"/>
              <w:bottom w:val="nil"/>
              <w:right w:val="nil"/>
            </w:tcBorders>
            <w:shd w:val="clear" w:color="auto" w:fill="auto"/>
            <w:noWrap/>
            <w:vAlign w:val="bottom"/>
            <w:hideMark/>
          </w:tcPr>
          <w:p w14:paraId="7798AFFC"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7A457A6"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2.279,50</w:t>
            </w:r>
          </w:p>
        </w:tc>
        <w:tc>
          <w:tcPr>
            <w:tcW w:w="1400" w:type="dxa"/>
            <w:tcBorders>
              <w:top w:val="nil"/>
              <w:left w:val="nil"/>
              <w:bottom w:val="nil"/>
              <w:right w:val="nil"/>
            </w:tcBorders>
            <w:shd w:val="clear" w:color="auto" w:fill="auto"/>
            <w:noWrap/>
            <w:vAlign w:val="bottom"/>
            <w:hideMark/>
          </w:tcPr>
          <w:p w14:paraId="36C353F2"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4629D0A" w14:textId="77777777" w:rsidTr="00A360DB">
        <w:trPr>
          <w:trHeight w:val="240"/>
        </w:trPr>
        <w:tc>
          <w:tcPr>
            <w:tcW w:w="1697" w:type="dxa"/>
            <w:tcBorders>
              <w:top w:val="nil"/>
              <w:left w:val="nil"/>
              <w:bottom w:val="nil"/>
              <w:right w:val="nil"/>
            </w:tcBorders>
            <w:shd w:val="clear" w:color="auto" w:fill="auto"/>
            <w:noWrap/>
            <w:vAlign w:val="bottom"/>
            <w:hideMark/>
          </w:tcPr>
          <w:p w14:paraId="664319A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3221</w:t>
            </w:r>
          </w:p>
        </w:tc>
        <w:tc>
          <w:tcPr>
            <w:tcW w:w="8509" w:type="dxa"/>
            <w:tcBorders>
              <w:top w:val="nil"/>
              <w:left w:val="nil"/>
              <w:bottom w:val="nil"/>
              <w:right w:val="nil"/>
            </w:tcBorders>
            <w:shd w:val="clear" w:color="auto" w:fill="auto"/>
            <w:noWrap/>
            <w:vAlign w:val="bottom"/>
            <w:hideMark/>
          </w:tcPr>
          <w:p w14:paraId="373CCA28"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Uredski materijal i ostali materijalni rashodi                                                      </w:t>
            </w:r>
          </w:p>
        </w:tc>
        <w:tc>
          <w:tcPr>
            <w:tcW w:w="1480" w:type="dxa"/>
            <w:tcBorders>
              <w:top w:val="nil"/>
              <w:left w:val="nil"/>
              <w:bottom w:val="nil"/>
              <w:right w:val="nil"/>
            </w:tcBorders>
            <w:shd w:val="clear" w:color="auto" w:fill="auto"/>
            <w:noWrap/>
            <w:vAlign w:val="bottom"/>
            <w:hideMark/>
          </w:tcPr>
          <w:p w14:paraId="32241EDF"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2EC12FA6"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13.781,58</w:t>
            </w:r>
          </w:p>
        </w:tc>
        <w:tc>
          <w:tcPr>
            <w:tcW w:w="1400" w:type="dxa"/>
            <w:tcBorders>
              <w:top w:val="nil"/>
              <w:left w:val="nil"/>
              <w:bottom w:val="nil"/>
              <w:right w:val="nil"/>
            </w:tcBorders>
            <w:shd w:val="clear" w:color="auto" w:fill="auto"/>
            <w:noWrap/>
            <w:vAlign w:val="bottom"/>
            <w:hideMark/>
          </w:tcPr>
          <w:p w14:paraId="444DB697"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4B21A97" w14:textId="77777777" w:rsidTr="00A360DB">
        <w:trPr>
          <w:trHeight w:val="240"/>
        </w:trPr>
        <w:tc>
          <w:tcPr>
            <w:tcW w:w="1697" w:type="dxa"/>
            <w:tcBorders>
              <w:top w:val="nil"/>
              <w:left w:val="nil"/>
              <w:bottom w:val="nil"/>
              <w:right w:val="nil"/>
            </w:tcBorders>
            <w:shd w:val="clear" w:color="auto" w:fill="auto"/>
            <w:noWrap/>
            <w:vAlign w:val="bottom"/>
            <w:hideMark/>
          </w:tcPr>
          <w:p w14:paraId="062F6ED7"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3223</w:t>
            </w:r>
          </w:p>
        </w:tc>
        <w:tc>
          <w:tcPr>
            <w:tcW w:w="8509" w:type="dxa"/>
            <w:tcBorders>
              <w:top w:val="nil"/>
              <w:left w:val="nil"/>
              <w:bottom w:val="nil"/>
              <w:right w:val="nil"/>
            </w:tcBorders>
            <w:shd w:val="clear" w:color="auto" w:fill="auto"/>
            <w:noWrap/>
            <w:vAlign w:val="bottom"/>
            <w:hideMark/>
          </w:tcPr>
          <w:p w14:paraId="64BBD84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Energija                                                                                            </w:t>
            </w:r>
          </w:p>
        </w:tc>
        <w:tc>
          <w:tcPr>
            <w:tcW w:w="1480" w:type="dxa"/>
            <w:tcBorders>
              <w:top w:val="nil"/>
              <w:left w:val="nil"/>
              <w:bottom w:val="nil"/>
              <w:right w:val="nil"/>
            </w:tcBorders>
            <w:shd w:val="clear" w:color="auto" w:fill="auto"/>
            <w:noWrap/>
            <w:vAlign w:val="bottom"/>
            <w:hideMark/>
          </w:tcPr>
          <w:p w14:paraId="156572D7"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FF3616B"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35.794,64</w:t>
            </w:r>
          </w:p>
        </w:tc>
        <w:tc>
          <w:tcPr>
            <w:tcW w:w="1400" w:type="dxa"/>
            <w:tcBorders>
              <w:top w:val="nil"/>
              <w:left w:val="nil"/>
              <w:bottom w:val="nil"/>
              <w:right w:val="nil"/>
            </w:tcBorders>
            <w:shd w:val="clear" w:color="auto" w:fill="auto"/>
            <w:noWrap/>
            <w:vAlign w:val="bottom"/>
            <w:hideMark/>
          </w:tcPr>
          <w:p w14:paraId="66ED325D"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B6C2356" w14:textId="77777777" w:rsidTr="00A360DB">
        <w:trPr>
          <w:trHeight w:val="240"/>
        </w:trPr>
        <w:tc>
          <w:tcPr>
            <w:tcW w:w="1697" w:type="dxa"/>
            <w:tcBorders>
              <w:top w:val="nil"/>
              <w:left w:val="nil"/>
              <w:bottom w:val="nil"/>
              <w:right w:val="nil"/>
            </w:tcBorders>
            <w:shd w:val="clear" w:color="auto" w:fill="auto"/>
            <w:noWrap/>
            <w:vAlign w:val="bottom"/>
            <w:hideMark/>
          </w:tcPr>
          <w:p w14:paraId="2FB2CF8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3224</w:t>
            </w:r>
          </w:p>
        </w:tc>
        <w:tc>
          <w:tcPr>
            <w:tcW w:w="8509" w:type="dxa"/>
            <w:tcBorders>
              <w:top w:val="nil"/>
              <w:left w:val="nil"/>
              <w:bottom w:val="nil"/>
              <w:right w:val="nil"/>
            </w:tcBorders>
            <w:shd w:val="clear" w:color="auto" w:fill="auto"/>
            <w:noWrap/>
            <w:vAlign w:val="bottom"/>
            <w:hideMark/>
          </w:tcPr>
          <w:p w14:paraId="79D10CA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Materijal i dijelovi za tekuće i investicijsko održavanje                                           </w:t>
            </w:r>
          </w:p>
        </w:tc>
        <w:tc>
          <w:tcPr>
            <w:tcW w:w="1480" w:type="dxa"/>
            <w:tcBorders>
              <w:top w:val="nil"/>
              <w:left w:val="nil"/>
              <w:bottom w:val="nil"/>
              <w:right w:val="nil"/>
            </w:tcBorders>
            <w:shd w:val="clear" w:color="auto" w:fill="auto"/>
            <w:noWrap/>
            <w:vAlign w:val="bottom"/>
            <w:hideMark/>
          </w:tcPr>
          <w:p w14:paraId="63DEE729"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9570C33"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2.654,86</w:t>
            </w:r>
          </w:p>
        </w:tc>
        <w:tc>
          <w:tcPr>
            <w:tcW w:w="1400" w:type="dxa"/>
            <w:tcBorders>
              <w:top w:val="nil"/>
              <w:left w:val="nil"/>
              <w:bottom w:val="nil"/>
              <w:right w:val="nil"/>
            </w:tcBorders>
            <w:shd w:val="clear" w:color="auto" w:fill="auto"/>
            <w:noWrap/>
            <w:vAlign w:val="bottom"/>
            <w:hideMark/>
          </w:tcPr>
          <w:p w14:paraId="1B7BE77B"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6EACDFB" w14:textId="77777777" w:rsidTr="00A360DB">
        <w:trPr>
          <w:trHeight w:val="240"/>
        </w:trPr>
        <w:tc>
          <w:tcPr>
            <w:tcW w:w="1697" w:type="dxa"/>
            <w:tcBorders>
              <w:top w:val="nil"/>
              <w:left w:val="nil"/>
              <w:bottom w:val="nil"/>
              <w:right w:val="nil"/>
            </w:tcBorders>
            <w:shd w:val="clear" w:color="auto" w:fill="auto"/>
            <w:noWrap/>
            <w:vAlign w:val="bottom"/>
            <w:hideMark/>
          </w:tcPr>
          <w:p w14:paraId="7E948948"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3225</w:t>
            </w:r>
          </w:p>
        </w:tc>
        <w:tc>
          <w:tcPr>
            <w:tcW w:w="8509" w:type="dxa"/>
            <w:tcBorders>
              <w:top w:val="nil"/>
              <w:left w:val="nil"/>
              <w:bottom w:val="nil"/>
              <w:right w:val="nil"/>
            </w:tcBorders>
            <w:shd w:val="clear" w:color="auto" w:fill="auto"/>
            <w:noWrap/>
            <w:vAlign w:val="bottom"/>
            <w:hideMark/>
          </w:tcPr>
          <w:p w14:paraId="236396D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Sitni inventar i auto gume</w:t>
            </w:r>
          </w:p>
        </w:tc>
        <w:tc>
          <w:tcPr>
            <w:tcW w:w="1480" w:type="dxa"/>
            <w:tcBorders>
              <w:top w:val="nil"/>
              <w:left w:val="nil"/>
              <w:bottom w:val="nil"/>
              <w:right w:val="nil"/>
            </w:tcBorders>
            <w:shd w:val="clear" w:color="auto" w:fill="auto"/>
            <w:noWrap/>
            <w:vAlign w:val="bottom"/>
            <w:hideMark/>
          </w:tcPr>
          <w:p w14:paraId="3E9F013D"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4FF450B"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2.338,80</w:t>
            </w:r>
          </w:p>
        </w:tc>
        <w:tc>
          <w:tcPr>
            <w:tcW w:w="1400" w:type="dxa"/>
            <w:tcBorders>
              <w:top w:val="nil"/>
              <w:left w:val="nil"/>
              <w:bottom w:val="nil"/>
              <w:right w:val="nil"/>
            </w:tcBorders>
            <w:shd w:val="clear" w:color="auto" w:fill="auto"/>
            <w:noWrap/>
            <w:vAlign w:val="bottom"/>
            <w:hideMark/>
          </w:tcPr>
          <w:p w14:paraId="0008A692"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985D9F8" w14:textId="77777777" w:rsidTr="00A360DB">
        <w:trPr>
          <w:trHeight w:val="240"/>
        </w:trPr>
        <w:tc>
          <w:tcPr>
            <w:tcW w:w="1697" w:type="dxa"/>
            <w:tcBorders>
              <w:top w:val="nil"/>
              <w:left w:val="nil"/>
              <w:bottom w:val="nil"/>
              <w:right w:val="nil"/>
            </w:tcBorders>
            <w:shd w:val="clear" w:color="auto" w:fill="auto"/>
            <w:noWrap/>
            <w:vAlign w:val="bottom"/>
            <w:hideMark/>
          </w:tcPr>
          <w:p w14:paraId="58ED170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3227</w:t>
            </w:r>
          </w:p>
        </w:tc>
        <w:tc>
          <w:tcPr>
            <w:tcW w:w="8509" w:type="dxa"/>
            <w:tcBorders>
              <w:top w:val="nil"/>
              <w:left w:val="nil"/>
              <w:bottom w:val="nil"/>
              <w:right w:val="nil"/>
            </w:tcBorders>
            <w:shd w:val="clear" w:color="auto" w:fill="auto"/>
            <w:noWrap/>
            <w:vAlign w:val="bottom"/>
            <w:hideMark/>
          </w:tcPr>
          <w:p w14:paraId="1A9A921D"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Službena, radna i zaštitna odjeća i obuća                                                           </w:t>
            </w:r>
          </w:p>
        </w:tc>
        <w:tc>
          <w:tcPr>
            <w:tcW w:w="1480" w:type="dxa"/>
            <w:tcBorders>
              <w:top w:val="nil"/>
              <w:left w:val="nil"/>
              <w:bottom w:val="nil"/>
              <w:right w:val="nil"/>
            </w:tcBorders>
            <w:shd w:val="clear" w:color="auto" w:fill="auto"/>
            <w:noWrap/>
            <w:vAlign w:val="bottom"/>
            <w:hideMark/>
          </w:tcPr>
          <w:p w14:paraId="36E41915"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7A31D75"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212,80</w:t>
            </w:r>
          </w:p>
        </w:tc>
        <w:tc>
          <w:tcPr>
            <w:tcW w:w="1400" w:type="dxa"/>
            <w:tcBorders>
              <w:top w:val="nil"/>
              <w:left w:val="nil"/>
              <w:bottom w:val="nil"/>
              <w:right w:val="nil"/>
            </w:tcBorders>
            <w:shd w:val="clear" w:color="auto" w:fill="auto"/>
            <w:noWrap/>
            <w:vAlign w:val="bottom"/>
            <w:hideMark/>
          </w:tcPr>
          <w:p w14:paraId="77AE01BE"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0B1C5B6" w14:textId="77777777" w:rsidTr="00A360DB">
        <w:trPr>
          <w:trHeight w:val="240"/>
        </w:trPr>
        <w:tc>
          <w:tcPr>
            <w:tcW w:w="1697" w:type="dxa"/>
            <w:tcBorders>
              <w:top w:val="nil"/>
              <w:left w:val="nil"/>
              <w:bottom w:val="nil"/>
              <w:right w:val="nil"/>
            </w:tcBorders>
            <w:shd w:val="clear" w:color="auto" w:fill="auto"/>
            <w:noWrap/>
            <w:vAlign w:val="bottom"/>
            <w:hideMark/>
          </w:tcPr>
          <w:p w14:paraId="4F07FA5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3231</w:t>
            </w:r>
          </w:p>
        </w:tc>
        <w:tc>
          <w:tcPr>
            <w:tcW w:w="8509" w:type="dxa"/>
            <w:tcBorders>
              <w:top w:val="nil"/>
              <w:left w:val="nil"/>
              <w:bottom w:val="nil"/>
              <w:right w:val="nil"/>
            </w:tcBorders>
            <w:shd w:val="clear" w:color="auto" w:fill="auto"/>
            <w:noWrap/>
            <w:vAlign w:val="bottom"/>
            <w:hideMark/>
          </w:tcPr>
          <w:p w14:paraId="001C20D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Usluge telefona, pošte i prijevoza                                                                  </w:t>
            </w:r>
          </w:p>
        </w:tc>
        <w:tc>
          <w:tcPr>
            <w:tcW w:w="1480" w:type="dxa"/>
            <w:tcBorders>
              <w:top w:val="nil"/>
              <w:left w:val="nil"/>
              <w:bottom w:val="nil"/>
              <w:right w:val="nil"/>
            </w:tcBorders>
            <w:shd w:val="clear" w:color="auto" w:fill="auto"/>
            <w:noWrap/>
            <w:vAlign w:val="bottom"/>
            <w:hideMark/>
          </w:tcPr>
          <w:p w14:paraId="5223CEC3"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2BFEAB4"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7.366,60</w:t>
            </w:r>
          </w:p>
        </w:tc>
        <w:tc>
          <w:tcPr>
            <w:tcW w:w="1400" w:type="dxa"/>
            <w:tcBorders>
              <w:top w:val="nil"/>
              <w:left w:val="nil"/>
              <w:bottom w:val="nil"/>
              <w:right w:val="nil"/>
            </w:tcBorders>
            <w:shd w:val="clear" w:color="auto" w:fill="auto"/>
            <w:noWrap/>
            <w:vAlign w:val="bottom"/>
            <w:hideMark/>
          </w:tcPr>
          <w:p w14:paraId="579BD7C7"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291AD7B5" w14:textId="77777777" w:rsidTr="00A360DB">
        <w:trPr>
          <w:trHeight w:val="240"/>
        </w:trPr>
        <w:tc>
          <w:tcPr>
            <w:tcW w:w="1697" w:type="dxa"/>
            <w:tcBorders>
              <w:top w:val="nil"/>
              <w:left w:val="nil"/>
              <w:bottom w:val="nil"/>
              <w:right w:val="nil"/>
            </w:tcBorders>
            <w:shd w:val="clear" w:color="auto" w:fill="auto"/>
            <w:noWrap/>
            <w:vAlign w:val="bottom"/>
            <w:hideMark/>
          </w:tcPr>
          <w:p w14:paraId="0EFA977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3232</w:t>
            </w:r>
          </w:p>
        </w:tc>
        <w:tc>
          <w:tcPr>
            <w:tcW w:w="8509" w:type="dxa"/>
            <w:tcBorders>
              <w:top w:val="nil"/>
              <w:left w:val="nil"/>
              <w:bottom w:val="nil"/>
              <w:right w:val="nil"/>
            </w:tcBorders>
            <w:shd w:val="clear" w:color="auto" w:fill="auto"/>
            <w:noWrap/>
            <w:vAlign w:val="bottom"/>
            <w:hideMark/>
          </w:tcPr>
          <w:p w14:paraId="3E9224A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Usluge tekućeg i investicijskog održavanja                                                          </w:t>
            </w:r>
          </w:p>
        </w:tc>
        <w:tc>
          <w:tcPr>
            <w:tcW w:w="1480" w:type="dxa"/>
            <w:tcBorders>
              <w:top w:val="nil"/>
              <w:left w:val="nil"/>
              <w:bottom w:val="nil"/>
              <w:right w:val="nil"/>
            </w:tcBorders>
            <w:shd w:val="clear" w:color="auto" w:fill="auto"/>
            <w:noWrap/>
            <w:vAlign w:val="bottom"/>
            <w:hideMark/>
          </w:tcPr>
          <w:p w14:paraId="0794BB6A"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FE69371"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1.325,01</w:t>
            </w:r>
          </w:p>
        </w:tc>
        <w:tc>
          <w:tcPr>
            <w:tcW w:w="1400" w:type="dxa"/>
            <w:tcBorders>
              <w:top w:val="nil"/>
              <w:left w:val="nil"/>
              <w:bottom w:val="nil"/>
              <w:right w:val="nil"/>
            </w:tcBorders>
            <w:shd w:val="clear" w:color="auto" w:fill="auto"/>
            <w:noWrap/>
            <w:vAlign w:val="bottom"/>
            <w:hideMark/>
          </w:tcPr>
          <w:p w14:paraId="7BB35041"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2F5948F4" w14:textId="77777777" w:rsidTr="00A360DB">
        <w:trPr>
          <w:trHeight w:val="240"/>
        </w:trPr>
        <w:tc>
          <w:tcPr>
            <w:tcW w:w="1697" w:type="dxa"/>
            <w:tcBorders>
              <w:top w:val="nil"/>
              <w:left w:val="nil"/>
              <w:bottom w:val="nil"/>
              <w:right w:val="nil"/>
            </w:tcBorders>
            <w:shd w:val="clear" w:color="auto" w:fill="auto"/>
            <w:noWrap/>
            <w:vAlign w:val="bottom"/>
            <w:hideMark/>
          </w:tcPr>
          <w:p w14:paraId="05D20B9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3233</w:t>
            </w:r>
          </w:p>
        </w:tc>
        <w:tc>
          <w:tcPr>
            <w:tcW w:w="8509" w:type="dxa"/>
            <w:tcBorders>
              <w:top w:val="nil"/>
              <w:left w:val="nil"/>
              <w:bottom w:val="nil"/>
              <w:right w:val="nil"/>
            </w:tcBorders>
            <w:shd w:val="clear" w:color="auto" w:fill="auto"/>
            <w:noWrap/>
            <w:vAlign w:val="bottom"/>
            <w:hideMark/>
          </w:tcPr>
          <w:p w14:paraId="6613EC68"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Usluge promidžbe i informiranja                                                                     </w:t>
            </w:r>
          </w:p>
        </w:tc>
        <w:tc>
          <w:tcPr>
            <w:tcW w:w="1480" w:type="dxa"/>
            <w:tcBorders>
              <w:top w:val="nil"/>
              <w:left w:val="nil"/>
              <w:bottom w:val="nil"/>
              <w:right w:val="nil"/>
            </w:tcBorders>
            <w:shd w:val="clear" w:color="auto" w:fill="auto"/>
            <w:noWrap/>
            <w:vAlign w:val="bottom"/>
            <w:hideMark/>
          </w:tcPr>
          <w:p w14:paraId="25614D57"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20E0CA3D"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1.208,08</w:t>
            </w:r>
          </w:p>
        </w:tc>
        <w:tc>
          <w:tcPr>
            <w:tcW w:w="1400" w:type="dxa"/>
            <w:tcBorders>
              <w:top w:val="nil"/>
              <w:left w:val="nil"/>
              <w:bottom w:val="nil"/>
              <w:right w:val="nil"/>
            </w:tcBorders>
            <w:shd w:val="clear" w:color="auto" w:fill="auto"/>
            <w:noWrap/>
            <w:vAlign w:val="bottom"/>
            <w:hideMark/>
          </w:tcPr>
          <w:p w14:paraId="6ABB5283"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26EF36FE" w14:textId="77777777" w:rsidTr="00A360DB">
        <w:trPr>
          <w:trHeight w:val="240"/>
        </w:trPr>
        <w:tc>
          <w:tcPr>
            <w:tcW w:w="1697" w:type="dxa"/>
            <w:tcBorders>
              <w:top w:val="nil"/>
              <w:left w:val="nil"/>
              <w:bottom w:val="nil"/>
              <w:right w:val="nil"/>
            </w:tcBorders>
            <w:shd w:val="clear" w:color="auto" w:fill="auto"/>
            <w:noWrap/>
            <w:vAlign w:val="bottom"/>
            <w:hideMark/>
          </w:tcPr>
          <w:p w14:paraId="0F50788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3234</w:t>
            </w:r>
          </w:p>
        </w:tc>
        <w:tc>
          <w:tcPr>
            <w:tcW w:w="8509" w:type="dxa"/>
            <w:tcBorders>
              <w:top w:val="nil"/>
              <w:left w:val="nil"/>
              <w:bottom w:val="nil"/>
              <w:right w:val="nil"/>
            </w:tcBorders>
            <w:shd w:val="clear" w:color="auto" w:fill="auto"/>
            <w:noWrap/>
            <w:vAlign w:val="bottom"/>
            <w:hideMark/>
          </w:tcPr>
          <w:p w14:paraId="1D2DB71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Komunalne usluge                                                                                    </w:t>
            </w:r>
          </w:p>
        </w:tc>
        <w:tc>
          <w:tcPr>
            <w:tcW w:w="1480" w:type="dxa"/>
            <w:tcBorders>
              <w:top w:val="nil"/>
              <w:left w:val="nil"/>
              <w:bottom w:val="nil"/>
              <w:right w:val="nil"/>
            </w:tcBorders>
            <w:shd w:val="clear" w:color="auto" w:fill="auto"/>
            <w:noWrap/>
            <w:vAlign w:val="bottom"/>
            <w:hideMark/>
          </w:tcPr>
          <w:p w14:paraId="7DD64046"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1F6CC9D9"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9.154,25</w:t>
            </w:r>
          </w:p>
        </w:tc>
        <w:tc>
          <w:tcPr>
            <w:tcW w:w="1400" w:type="dxa"/>
            <w:tcBorders>
              <w:top w:val="nil"/>
              <w:left w:val="nil"/>
              <w:bottom w:val="nil"/>
              <w:right w:val="nil"/>
            </w:tcBorders>
            <w:shd w:val="clear" w:color="auto" w:fill="auto"/>
            <w:noWrap/>
            <w:vAlign w:val="bottom"/>
            <w:hideMark/>
          </w:tcPr>
          <w:p w14:paraId="2B884C98"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44FABF7" w14:textId="77777777" w:rsidTr="00A360DB">
        <w:trPr>
          <w:trHeight w:val="240"/>
        </w:trPr>
        <w:tc>
          <w:tcPr>
            <w:tcW w:w="1697" w:type="dxa"/>
            <w:tcBorders>
              <w:top w:val="nil"/>
              <w:left w:val="nil"/>
              <w:bottom w:val="nil"/>
              <w:right w:val="nil"/>
            </w:tcBorders>
            <w:shd w:val="clear" w:color="auto" w:fill="auto"/>
            <w:noWrap/>
            <w:vAlign w:val="bottom"/>
            <w:hideMark/>
          </w:tcPr>
          <w:p w14:paraId="421D649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3235</w:t>
            </w:r>
          </w:p>
        </w:tc>
        <w:tc>
          <w:tcPr>
            <w:tcW w:w="8509" w:type="dxa"/>
            <w:tcBorders>
              <w:top w:val="nil"/>
              <w:left w:val="nil"/>
              <w:bottom w:val="nil"/>
              <w:right w:val="nil"/>
            </w:tcBorders>
            <w:shd w:val="clear" w:color="auto" w:fill="auto"/>
            <w:noWrap/>
            <w:vAlign w:val="bottom"/>
            <w:hideMark/>
          </w:tcPr>
          <w:p w14:paraId="7CA90F8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Zakupnine i najamnine                                                                               </w:t>
            </w:r>
          </w:p>
        </w:tc>
        <w:tc>
          <w:tcPr>
            <w:tcW w:w="1480" w:type="dxa"/>
            <w:tcBorders>
              <w:top w:val="nil"/>
              <w:left w:val="nil"/>
              <w:bottom w:val="nil"/>
              <w:right w:val="nil"/>
            </w:tcBorders>
            <w:shd w:val="clear" w:color="auto" w:fill="auto"/>
            <w:noWrap/>
            <w:vAlign w:val="bottom"/>
            <w:hideMark/>
          </w:tcPr>
          <w:p w14:paraId="7CC4C477"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23B20C22"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188,10</w:t>
            </w:r>
          </w:p>
        </w:tc>
        <w:tc>
          <w:tcPr>
            <w:tcW w:w="1400" w:type="dxa"/>
            <w:tcBorders>
              <w:top w:val="nil"/>
              <w:left w:val="nil"/>
              <w:bottom w:val="nil"/>
              <w:right w:val="nil"/>
            </w:tcBorders>
            <w:shd w:val="clear" w:color="auto" w:fill="auto"/>
            <w:noWrap/>
            <w:vAlign w:val="bottom"/>
            <w:hideMark/>
          </w:tcPr>
          <w:p w14:paraId="0088346B"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5BBE479F" w14:textId="77777777" w:rsidTr="00A360DB">
        <w:trPr>
          <w:trHeight w:val="240"/>
        </w:trPr>
        <w:tc>
          <w:tcPr>
            <w:tcW w:w="1697" w:type="dxa"/>
            <w:tcBorders>
              <w:top w:val="nil"/>
              <w:left w:val="nil"/>
              <w:bottom w:val="nil"/>
              <w:right w:val="nil"/>
            </w:tcBorders>
            <w:shd w:val="clear" w:color="auto" w:fill="auto"/>
            <w:noWrap/>
            <w:vAlign w:val="bottom"/>
            <w:hideMark/>
          </w:tcPr>
          <w:p w14:paraId="7F84D3F5"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3236</w:t>
            </w:r>
          </w:p>
        </w:tc>
        <w:tc>
          <w:tcPr>
            <w:tcW w:w="8509" w:type="dxa"/>
            <w:tcBorders>
              <w:top w:val="nil"/>
              <w:left w:val="nil"/>
              <w:bottom w:val="nil"/>
              <w:right w:val="nil"/>
            </w:tcBorders>
            <w:shd w:val="clear" w:color="auto" w:fill="auto"/>
            <w:noWrap/>
            <w:vAlign w:val="bottom"/>
            <w:hideMark/>
          </w:tcPr>
          <w:p w14:paraId="25C4504E"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Zdravstvene i veterinarske usluge                                                                   </w:t>
            </w:r>
          </w:p>
        </w:tc>
        <w:tc>
          <w:tcPr>
            <w:tcW w:w="1480" w:type="dxa"/>
            <w:tcBorders>
              <w:top w:val="nil"/>
              <w:left w:val="nil"/>
              <w:bottom w:val="nil"/>
              <w:right w:val="nil"/>
            </w:tcBorders>
            <w:shd w:val="clear" w:color="auto" w:fill="auto"/>
            <w:noWrap/>
            <w:vAlign w:val="bottom"/>
            <w:hideMark/>
          </w:tcPr>
          <w:p w14:paraId="774982F2"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5A316A1C"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5.100,00</w:t>
            </w:r>
          </w:p>
        </w:tc>
        <w:tc>
          <w:tcPr>
            <w:tcW w:w="1400" w:type="dxa"/>
            <w:tcBorders>
              <w:top w:val="nil"/>
              <w:left w:val="nil"/>
              <w:bottom w:val="nil"/>
              <w:right w:val="nil"/>
            </w:tcBorders>
            <w:shd w:val="clear" w:color="auto" w:fill="auto"/>
            <w:noWrap/>
            <w:vAlign w:val="bottom"/>
            <w:hideMark/>
          </w:tcPr>
          <w:p w14:paraId="34C0991A"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B1EB945" w14:textId="77777777" w:rsidTr="00A360DB">
        <w:trPr>
          <w:trHeight w:val="240"/>
        </w:trPr>
        <w:tc>
          <w:tcPr>
            <w:tcW w:w="1697" w:type="dxa"/>
            <w:tcBorders>
              <w:top w:val="nil"/>
              <w:left w:val="nil"/>
              <w:bottom w:val="nil"/>
              <w:right w:val="nil"/>
            </w:tcBorders>
            <w:shd w:val="clear" w:color="auto" w:fill="auto"/>
            <w:noWrap/>
            <w:vAlign w:val="bottom"/>
            <w:hideMark/>
          </w:tcPr>
          <w:p w14:paraId="2DCE7C0D"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3237</w:t>
            </w:r>
          </w:p>
        </w:tc>
        <w:tc>
          <w:tcPr>
            <w:tcW w:w="8509" w:type="dxa"/>
            <w:tcBorders>
              <w:top w:val="nil"/>
              <w:left w:val="nil"/>
              <w:bottom w:val="nil"/>
              <w:right w:val="nil"/>
            </w:tcBorders>
            <w:shd w:val="clear" w:color="auto" w:fill="auto"/>
            <w:noWrap/>
            <w:vAlign w:val="bottom"/>
            <w:hideMark/>
          </w:tcPr>
          <w:p w14:paraId="6579B7A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Intelektualne i osobne usluge                                                                       </w:t>
            </w:r>
          </w:p>
        </w:tc>
        <w:tc>
          <w:tcPr>
            <w:tcW w:w="1480" w:type="dxa"/>
            <w:tcBorders>
              <w:top w:val="nil"/>
              <w:left w:val="nil"/>
              <w:bottom w:val="nil"/>
              <w:right w:val="nil"/>
            </w:tcBorders>
            <w:shd w:val="clear" w:color="auto" w:fill="auto"/>
            <w:noWrap/>
            <w:vAlign w:val="bottom"/>
            <w:hideMark/>
          </w:tcPr>
          <w:p w14:paraId="0987F6C3"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0124FEF"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262,50</w:t>
            </w:r>
          </w:p>
        </w:tc>
        <w:tc>
          <w:tcPr>
            <w:tcW w:w="1400" w:type="dxa"/>
            <w:tcBorders>
              <w:top w:val="nil"/>
              <w:left w:val="nil"/>
              <w:bottom w:val="nil"/>
              <w:right w:val="nil"/>
            </w:tcBorders>
            <w:shd w:val="clear" w:color="auto" w:fill="auto"/>
            <w:noWrap/>
            <w:vAlign w:val="bottom"/>
            <w:hideMark/>
          </w:tcPr>
          <w:p w14:paraId="19916D67"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7410392" w14:textId="77777777" w:rsidTr="00A360DB">
        <w:trPr>
          <w:trHeight w:val="240"/>
        </w:trPr>
        <w:tc>
          <w:tcPr>
            <w:tcW w:w="1697" w:type="dxa"/>
            <w:tcBorders>
              <w:top w:val="nil"/>
              <w:left w:val="nil"/>
              <w:bottom w:val="nil"/>
              <w:right w:val="nil"/>
            </w:tcBorders>
            <w:shd w:val="clear" w:color="auto" w:fill="auto"/>
            <w:noWrap/>
            <w:vAlign w:val="bottom"/>
            <w:hideMark/>
          </w:tcPr>
          <w:p w14:paraId="64B6766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3238</w:t>
            </w:r>
          </w:p>
        </w:tc>
        <w:tc>
          <w:tcPr>
            <w:tcW w:w="8509" w:type="dxa"/>
            <w:tcBorders>
              <w:top w:val="nil"/>
              <w:left w:val="nil"/>
              <w:bottom w:val="nil"/>
              <w:right w:val="nil"/>
            </w:tcBorders>
            <w:shd w:val="clear" w:color="auto" w:fill="auto"/>
            <w:noWrap/>
            <w:vAlign w:val="bottom"/>
            <w:hideMark/>
          </w:tcPr>
          <w:p w14:paraId="46E8AA9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Računalne usluge                                                                                    </w:t>
            </w:r>
          </w:p>
        </w:tc>
        <w:tc>
          <w:tcPr>
            <w:tcW w:w="1480" w:type="dxa"/>
            <w:tcBorders>
              <w:top w:val="nil"/>
              <w:left w:val="nil"/>
              <w:bottom w:val="nil"/>
              <w:right w:val="nil"/>
            </w:tcBorders>
            <w:shd w:val="clear" w:color="auto" w:fill="auto"/>
            <w:noWrap/>
            <w:vAlign w:val="bottom"/>
            <w:hideMark/>
          </w:tcPr>
          <w:p w14:paraId="66E4B7D8"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F6DCFA1"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396,51</w:t>
            </w:r>
          </w:p>
        </w:tc>
        <w:tc>
          <w:tcPr>
            <w:tcW w:w="1400" w:type="dxa"/>
            <w:tcBorders>
              <w:top w:val="nil"/>
              <w:left w:val="nil"/>
              <w:bottom w:val="nil"/>
              <w:right w:val="nil"/>
            </w:tcBorders>
            <w:shd w:val="clear" w:color="auto" w:fill="auto"/>
            <w:noWrap/>
            <w:vAlign w:val="bottom"/>
            <w:hideMark/>
          </w:tcPr>
          <w:p w14:paraId="62C33E7C"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5BC6E313" w14:textId="77777777" w:rsidTr="00A360DB">
        <w:trPr>
          <w:trHeight w:val="240"/>
        </w:trPr>
        <w:tc>
          <w:tcPr>
            <w:tcW w:w="1697" w:type="dxa"/>
            <w:tcBorders>
              <w:top w:val="nil"/>
              <w:left w:val="nil"/>
              <w:bottom w:val="nil"/>
              <w:right w:val="nil"/>
            </w:tcBorders>
            <w:shd w:val="clear" w:color="auto" w:fill="auto"/>
            <w:noWrap/>
            <w:vAlign w:val="bottom"/>
            <w:hideMark/>
          </w:tcPr>
          <w:p w14:paraId="1432E0C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3239</w:t>
            </w:r>
          </w:p>
        </w:tc>
        <w:tc>
          <w:tcPr>
            <w:tcW w:w="8509" w:type="dxa"/>
            <w:tcBorders>
              <w:top w:val="nil"/>
              <w:left w:val="nil"/>
              <w:bottom w:val="nil"/>
              <w:right w:val="nil"/>
            </w:tcBorders>
            <w:shd w:val="clear" w:color="auto" w:fill="auto"/>
            <w:noWrap/>
            <w:vAlign w:val="bottom"/>
            <w:hideMark/>
          </w:tcPr>
          <w:p w14:paraId="7EE67CD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Ostale usluge                                                                                       </w:t>
            </w:r>
          </w:p>
        </w:tc>
        <w:tc>
          <w:tcPr>
            <w:tcW w:w="1480" w:type="dxa"/>
            <w:tcBorders>
              <w:top w:val="nil"/>
              <w:left w:val="nil"/>
              <w:bottom w:val="nil"/>
              <w:right w:val="nil"/>
            </w:tcBorders>
            <w:shd w:val="clear" w:color="auto" w:fill="auto"/>
            <w:noWrap/>
            <w:vAlign w:val="bottom"/>
            <w:hideMark/>
          </w:tcPr>
          <w:p w14:paraId="6B4F8384"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4754946"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2.948,33</w:t>
            </w:r>
          </w:p>
        </w:tc>
        <w:tc>
          <w:tcPr>
            <w:tcW w:w="1400" w:type="dxa"/>
            <w:tcBorders>
              <w:top w:val="nil"/>
              <w:left w:val="nil"/>
              <w:bottom w:val="nil"/>
              <w:right w:val="nil"/>
            </w:tcBorders>
            <w:shd w:val="clear" w:color="auto" w:fill="auto"/>
            <w:noWrap/>
            <w:vAlign w:val="bottom"/>
            <w:hideMark/>
          </w:tcPr>
          <w:p w14:paraId="0288F90C"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8558307" w14:textId="77777777" w:rsidTr="00A360DB">
        <w:trPr>
          <w:trHeight w:val="240"/>
        </w:trPr>
        <w:tc>
          <w:tcPr>
            <w:tcW w:w="1697" w:type="dxa"/>
            <w:tcBorders>
              <w:top w:val="nil"/>
              <w:left w:val="nil"/>
              <w:bottom w:val="nil"/>
              <w:right w:val="nil"/>
            </w:tcBorders>
            <w:shd w:val="clear" w:color="auto" w:fill="auto"/>
            <w:noWrap/>
            <w:vAlign w:val="bottom"/>
            <w:hideMark/>
          </w:tcPr>
          <w:p w14:paraId="7802461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3292</w:t>
            </w:r>
          </w:p>
        </w:tc>
        <w:tc>
          <w:tcPr>
            <w:tcW w:w="8509" w:type="dxa"/>
            <w:tcBorders>
              <w:top w:val="nil"/>
              <w:left w:val="nil"/>
              <w:bottom w:val="nil"/>
              <w:right w:val="nil"/>
            </w:tcBorders>
            <w:shd w:val="clear" w:color="auto" w:fill="auto"/>
            <w:noWrap/>
            <w:vAlign w:val="bottom"/>
            <w:hideMark/>
          </w:tcPr>
          <w:p w14:paraId="0A46D5D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Premije osiguranja                                                                                  </w:t>
            </w:r>
          </w:p>
        </w:tc>
        <w:tc>
          <w:tcPr>
            <w:tcW w:w="1480" w:type="dxa"/>
            <w:tcBorders>
              <w:top w:val="nil"/>
              <w:left w:val="nil"/>
              <w:bottom w:val="nil"/>
              <w:right w:val="nil"/>
            </w:tcBorders>
            <w:shd w:val="clear" w:color="auto" w:fill="auto"/>
            <w:noWrap/>
            <w:vAlign w:val="bottom"/>
            <w:hideMark/>
          </w:tcPr>
          <w:p w14:paraId="5A856C18"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B90C543"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720,03</w:t>
            </w:r>
          </w:p>
        </w:tc>
        <w:tc>
          <w:tcPr>
            <w:tcW w:w="1400" w:type="dxa"/>
            <w:tcBorders>
              <w:top w:val="nil"/>
              <w:left w:val="nil"/>
              <w:bottom w:val="nil"/>
              <w:right w:val="nil"/>
            </w:tcBorders>
            <w:shd w:val="clear" w:color="auto" w:fill="auto"/>
            <w:noWrap/>
            <w:vAlign w:val="bottom"/>
            <w:hideMark/>
          </w:tcPr>
          <w:p w14:paraId="0BEC6E70"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5DFC312C" w14:textId="77777777" w:rsidTr="00A360DB">
        <w:trPr>
          <w:trHeight w:val="240"/>
        </w:trPr>
        <w:tc>
          <w:tcPr>
            <w:tcW w:w="1697" w:type="dxa"/>
            <w:tcBorders>
              <w:top w:val="nil"/>
              <w:left w:val="nil"/>
              <w:bottom w:val="nil"/>
              <w:right w:val="nil"/>
            </w:tcBorders>
            <w:shd w:val="clear" w:color="auto" w:fill="auto"/>
            <w:noWrap/>
            <w:vAlign w:val="bottom"/>
            <w:hideMark/>
          </w:tcPr>
          <w:p w14:paraId="539049D5"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3293</w:t>
            </w:r>
          </w:p>
        </w:tc>
        <w:tc>
          <w:tcPr>
            <w:tcW w:w="8509" w:type="dxa"/>
            <w:tcBorders>
              <w:top w:val="nil"/>
              <w:left w:val="nil"/>
              <w:bottom w:val="nil"/>
              <w:right w:val="nil"/>
            </w:tcBorders>
            <w:shd w:val="clear" w:color="auto" w:fill="auto"/>
            <w:noWrap/>
            <w:vAlign w:val="bottom"/>
            <w:hideMark/>
          </w:tcPr>
          <w:p w14:paraId="616D433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Reprezentacija                                                                                      </w:t>
            </w:r>
          </w:p>
        </w:tc>
        <w:tc>
          <w:tcPr>
            <w:tcW w:w="1480" w:type="dxa"/>
            <w:tcBorders>
              <w:top w:val="nil"/>
              <w:left w:val="nil"/>
              <w:bottom w:val="nil"/>
              <w:right w:val="nil"/>
            </w:tcBorders>
            <w:shd w:val="clear" w:color="auto" w:fill="auto"/>
            <w:noWrap/>
            <w:vAlign w:val="bottom"/>
            <w:hideMark/>
          </w:tcPr>
          <w:p w14:paraId="37B9C40B"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CA2B302"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219,98</w:t>
            </w:r>
          </w:p>
        </w:tc>
        <w:tc>
          <w:tcPr>
            <w:tcW w:w="1400" w:type="dxa"/>
            <w:tcBorders>
              <w:top w:val="nil"/>
              <w:left w:val="nil"/>
              <w:bottom w:val="nil"/>
              <w:right w:val="nil"/>
            </w:tcBorders>
            <w:shd w:val="clear" w:color="auto" w:fill="auto"/>
            <w:noWrap/>
            <w:vAlign w:val="bottom"/>
            <w:hideMark/>
          </w:tcPr>
          <w:p w14:paraId="38BA4BD6"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6974E63" w14:textId="77777777" w:rsidTr="00A360DB">
        <w:trPr>
          <w:trHeight w:val="240"/>
        </w:trPr>
        <w:tc>
          <w:tcPr>
            <w:tcW w:w="1697" w:type="dxa"/>
            <w:tcBorders>
              <w:top w:val="nil"/>
              <w:left w:val="nil"/>
              <w:bottom w:val="nil"/>
              <w:right w:val="nil"/>
            </w:tcBorders>
            <w:shd w:val="clear" w:color="auto" w:fill="auto"/>
            <w:noWrap/>
            <w:vAlign w:val="bottom"/>
            <w:hideMark/>
          </w:tcPr>
          <w:p w14:paraId="2EF75C6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3294</w:t>
            </w:r>
          </w:p>
        </w:tc>
        <w:tc>
          <w:tcPr>
            <w:tcW w:w="8509" w:type="dxa"/>
            <w:tcBorders>
              <w:top w:val="nil"/>
              <w:left w:val="nil"/>
              <w:bottom w:val="nil"/>
              <w:right w:val="nil"/>
            </w:tcBorders>
            <w:shd w:val="clear" w:color="auto" w:fill="auto"/>
            <w:noWrap/>
            <w:vAlign w:val="bottom"/>
            <w:hideMark/>
          </w:tcPr>
          <w:p w14:paraId="62A1633D"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Članarine</w:t>
            </w:r>
          </w:p>
        </w:tc>
        <w:tc>
          <w:tcPr>
            <w:tcW w:w="1480" w:type="dxa"/>
            <w:tcBorders>
              <w:top w:val="nil"/>
              <w:left w:val="nil"/>
              <w:bottom w:val="nil"/>
              <w:right w:val="nil"/>
            </w:tcBorders>
            <w:shd w:val="clear" w:color="auto" w:fill="auto"/>
            <w:noWrap/>
            <w:vAlign w:val="bottom"/>
            <w:hideMark/>
          </w:tcPr>
          <w:p w14:paraId="64690A5A"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2CBF0DD1"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110,00</w:t>
            </w:r>
          </w:p>
        </w:tc>
        <w:tc>
          <w:tcPr>
            <w:tcW w:w="1400" w:type="dxa"/>
            <w:tcBorders>
              <w:top w:val="nil"/>
              <w:left w:val="nil"/>
              <w:bottom w:val="nil"/>
              <w:right w:val="nil"/>
            </w:tcBorders>
            <w:shd w:val="clear" w:color="auto" w:fill="auto"/>
            <w:noWrap/>
            <w:vAlign w:val="bottom"/>
            <w:hideMark/>
          </w:tcPr>
          <w:p w14:paraId="3881CCB7"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988992B" w14:textId="77777777" w:rsidTr="00A360DB">
        <w:trPr>
          <w:trHeight w:val="240"/>
        </w:trPr>
        <w:tc>
          <w:tcPr>
            <w:tcW w:w="1697" w:type="dxa"/>
            <w:tcBorders>
              <w:top w:val="nil"/>
              <w:left w:val="nil"/>
              <w:bottom w:val="nil"/>
              <w:right w:val="nil"/>
            </w:tcBorders>
            <w:shd w:val="clear" w:color="auto" w:fill="auto"/>
            <w:noWrap/>
            <w:vAlign w:val="bottom"/>
            <w:hideMark/>
          </w:tcPr>
          <w:p w14:paraId="55A717D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3295</w:t>
            </w:r>
          </w:p>
        </w:tc>
        <w:tc>
          <w:tcPr>
            <w:tcW w:w="8509" w:type="dxa"/>
            <w:tcBorders>
              <w:top w:val="nil"/>
              <w:left w:val="nil"/>
              <w:bottom w:val="nil"/>
              <w:right w:val="nil"/>
            </w:tcBorders>
            <w:shd w:val="clear" w:color="auto" w:fill="auto"/>
            <w:noWrap/>
            <w:vAlign w:val="bottom"/>
            <w:hideMark/>
          </w:tcPr>
          <w:p w14:paraId="064B4258"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Pristojbe i naknade                                                                                 </w:t>
            </w:r>
          </w:p>
        </w:tc>
        <w:tc>
          <w:tcPr>
            <w:tcW w:w="1480" w:type="dxa"/>
            <w:tcBorders>
              <w:top w:val="nil"/>
              <w:left w:val="nil"/>
              <w:bottom w:val="nil"/>
              <w:right w:val="nil"/>
            </w:tcBorders>
            <w:shd w:val="clear" w:color="auto" w:fill="auto"/>
            <w:noWrap/>
            <w:vAlign w:val="bottom"/>
            <w:hideMark/>
          </w:tcPr>
          <w:p w14:paraId="103CE145"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A9AC97E"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71,01</w:t>
            </w:r>
          </w:p>
        </w:tc>
        <w:tc>
          <w:tcPr>
            <w:tcW w:w="1400" w:type="dxa"/>
            <w:tcBorders>
              <w:top w:val="nil"/>
              <w:left w:val="nil"/>
              <w:bottom w:val="nil"/>
              <w:right w:val="nil"/>
            </w:tcBorders>
            <w:shd w:val="clear" w:color="auto" w:fill="auto"/>
            <w:noWrap/>
            <w:vAlign w:val="bottom"/>
            <w:hideMark/>
          </w:tcPr>
          <w:p w14:paraId="6F30ADCE"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62E8E63" w14:textId="77777777" w:rsidTr="00A360DB">
        <w:trPr>
          <w:trHeight w:val="240"/>
        </w:trPr>
        <w:tc>
          <w:tcPr>
            <w:tcW w:w="1697" w:type="dxa"/>
            <w:tcBorders>
              <w:top w:val="nil"/>
              <w:left w:val="nil"/>
              <w:bottom w:val="nil"/>
              <w:right w:val="nil"/>
            </w:tcBorders>
            <w:shd w:val="clear" w:color="auto" w:fill="auto"/>
            <w:noWrap/>
            <w:vAlign w:val="bottom"/>
            <w:hideMark/>
          </w:tcPr>
          <w:p w14:paraId="4868DEA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3299</w:t>
            </w:r>
          </w:p>
        </w:tc>
        <w:tc>
          <w:tcPr>
            <w:tcW w:w="8509" w:type="dxa"/>
            <w:tcBorders>
              <w:top w:val="nil"/>
              <w:left w:val="nil"/>
              <w:bottom w:val="nil"/>
              <w:right w:val="nil"/>
            </w:tcBorders>
            <w:shd w:val="clear" w:color="auto" w:fill="auto"/>
            <w:noWrap/>
            <w:vAlign w:val="bottom"/>
            <w:hideMark/>
          </w:tcPr>
          <w:p w14:paraId="7A32E3A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Ostali nespomenuti rashodi poslovanja                                                               </w:t>
            </w:r>
          </w:p>
        </w:tc>
        <w:tc>
          <w:tcPr>
            <w:tcW w:w="1480" w:type="dxa"/>
            <w:tcBorders>
              <w:top w:val="nil"/>
              <w:left w:val="nil"/>
              <w:bottom w:val="nil"/>
              <w:right w:val="nil"/>
            </w:tcBorders>
            <w:shd w:val="clear" w:color="auto" w:fill="auto"/>
            <w:noWrap/>
            <w:vAlign w:val="bottom"/>
            <w:hideMark/>
          </w:tcPr>
          <w:p w14:paraId="0D53FA26"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9B0491C"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1.151,54</w:t>
            </w:r>
          </w:p>
        </w:tc>
        <w:tc>
          <w:tcPr>
            <w:tcW w:w="1400" w:type="dxa"/>
            <w:tcBorders>
              <w:top w:val="nil"/>
              <w:left w:val="nil"/>
              <w:bottom w:val="nil"/>
              <w:right w:val="nil"/>
            </w:tcBorders>
            <w:shd w:val="clear" w:color="auto" w:fill="auto"/>
            <w:noWrap/>
            <w:vAlign w:val="bottom"/>
            <w:hideMark/>
          </w:tcPr>
          <w:p w14:paraId="2AF1B80D"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2AE7EC97" w14:textId="77777777" w:rsidTr="00A360DB">
        <w:trPr>
          <w:trHeight w:val="240"/>
        </w:trPr>
        <w:tc>
          <w:tcPr>
            <w:tcW w:w="1697" w:type="dxa"/>
            <w:tcBorders>
              <w:top w:val="nil"/>
              <w:left w:val="nil"/>
              <w:bottom w:val="nil"/>
              <w:right w:val="nil"/>
            </w:tcBorders>
            <w:shd w:val="clear" w:color="000000" w:fill="B4C6E7"/>
            <w:noWrap/>
            <w:vAlign w:val="bottom"/>
            <w:hideMark/>
          </w:tcPr>
          <w:p w14:paraId="13192045"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A102008</w:t>
            </w:r>
          </w:p>
        </w:tc>
        <w:tc>
          <w:tcPr>
            <w:tcW w:w="8509" w:type="dxa"/>
            <w:tcBorders>
              <w:top w:val="nil"/>
              <w:left w:val="nil"/>
              <w:bottom w:val="nil"/>
              <w:right w:val="nil"/>
            </w:tcBorders>
            <w:shd w:val="clear" w:color="000000" w:fill="B4C6E7"/>
            <w:noWrap/>
            <w:vAlign w:val="bottom"/>
            <w:hideMark/>
          </w:tcPr>
          <w:p w14:paraId="45F7A24D"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Aktivnost: Redovna djelatnost OŠ - izvan </w:t>
            </w:r>
            <w:proofErr w:type="spellStart"/>
            <w:r w:rsidRPr="00A360DB">
              <w:rPr>
                <w:rFonts w:ascii="Arial" w:hAnsi="Arial" w:cs="Arial"/>
                <w:b/>
                <w:bCs/>
                <w:sz w:val="18"/>
                <w:szCs w:val="18"/>
                <w:lang w:eastAsia="hr-HR"/>
              </w:rPr>
              <w:t>dec</w:t>
            </w:r>
            <w:proofErr w:type="spellEnd"/>
            <w:r w:rsidRPr="00A360DB">
              <w:rPr>
                <w:rFonts w:ascii="Arial" w:hAnsi="Arial" w:cs="Arial"/>
                <w:b/>
                <w:bCs/>
                <w:sz w:val="18"/>
                <w:szCs w:val="18"/>
                <w:lang w:eastAsia="hr-HR"/>
              </w:rPr>
              <w:t>. sredstava</w:t>
            </w:r>
          </w:p>
        </w:tc>
        <w:tc>
          <w:tcPr>
            <w:tcW w:w="1480" w:type="dxa"/>
            <w:tcBorders>
              <w:top w:val="nil"/>
              <w:left w:val="nil"/>
              <w:bottom w:val="nil"/>
              <w:right w:val="nil"/>
            </w:tcBorders>
            <w:shd w:val="clear" w:color="000000" w:fill="B4C6E7"/>
            <w:noWrap/>
            <w:vAlign w:val="bottom"/>
            <w:hideMark/>
          </w:tcPr>
          <w:p w14:paraId="481A366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2.424.615,55</w:t>
            </w:r>
          </w:p>
        </w:tc>
        <w:tc>
          <w:tcPr>
            <w:tcW w:w="1380" w:type="dxa"/>
            <w:tcBorders>
              <w:top w:val="nil"/>
              <w:left w:val="nil"/>
              <w:bottom w:val="nil"/>
              <w:right w:val="nil"/>
            </w:tcBorders>
            <w:shd w:val="clear" w:color="000000" w:fill="B4C6E7"/>
            <w:noWrap/>
            <w:vAlign w:val="bottom"/>
            <w:hideMark/>
          </w:tcPr>
          <w:p w14:paraId="30A5930A" w14:textId="28A855E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2.4</w:t>
            </w:r>
            <w:r w:rsidR="00B46E7B">
              <w:rPr>
                <w:rFonts w:ascii="Arial" w:hAnsi="Arial" w:cs="Arial"/>
                <w:b/>
                <w:bCs/>
                <w:sz w:val="18"/>
                <w:szCs w:val="18"/>
                <w:lang w:eastAsia="hr-HR"/>
              </w:rPr>
              <w:t>14.766,46</w:t>
            </w:r>
          </w:p>
        </w:tc>
        <w:tc>
          <w:tcPr>
            <w:tcW w:w="1400" w:type="dxa"/>
            <w:tcBorders>
              <w:top w:val="nil"/>
              <w:left w:val="nil"/>
              <w:bottom w:val="nil"/>
              <w:right w:val="nil"/>
            </w:tcBorders>
            <w:shd w:val="clear" w:color="000000" w:fill="B4C6E7"/>
            <w:noWrap/>
            <w:vAlign w:val="bottom"/>
            <w:hideMark/>
          </w:tcPr>
          <w:p w14:paraId="5B06B202" w14:textId="1CEEED6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99,</w:t>
            </w:r>
            <w:r w:rsidR="00B46E7B">
              <w:rPr>
                <w:rFonts w:ascii="Arial" w:hAnsi="Arial" w:cs="Arial"/>
                <w:b/>
                <w:bCs/>
                <w:sz w:val="18"/>
                <w:szCs w:val="18"/>
                <w:lang w:eastAsia="hr-HR"/>
              </w:rPr>
              <w:t>59</w:t>
            </w:r>
            <w:r w:rsidRPr="00A360DB">
              <w:rPr>
                <w:rFonts w:ascii="Arial" w:hAnsi="Arial" w:cs="Arial"/>
                <w:b/>
                <w:bCs/>
                <w:sz w:val="18"/>
                <w:szCs w:val="18"/>
                <w:lang w:eastAsia="hr-HR"/>
              </w:rPr>
              <w:t>%</w:t>
            </w:r>
          </w:p>
        </w:tc>
      </w:tr>
      <w:tr w:rsidR="00A360DB" w:rsidRPr="00A360DB" w14:paraId="2C164641"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1E6C2BFB"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36E00ED5"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19.700,00</w:t>
            </w:r>
          </w:p>
        </w:tc>
        <w:tc>
          <w:tcPr>
            <w:tcW w:w="1380" w:type="dxa"/>
            <w:tcBorders>
              <w:top w:val="nil"/>
              <w:left w:val="nil"/>
              <w:bottom w:val="nil"/>
              <w:right w:val="nil"/>
            </w:tcBorders>
            <w:shd w:val="clear" w:color="auto" w:fill="auto"/>
            <w:noWrap/>
            <w:vAlign w:val="bottom"/>
            <w:hideMark/>
          </w:tcPr>
          <w:p w14:paraId="4CA5C24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22.175,79</w:t>
            </w:r>
          </w:p>
        </w:tc>
        <w:tc>
          <w:tcPr>
            <w:tcW w:w="1400" w:type="dxa"/>
            <w:tcBorders>
              <w:top w:val="nil"/>
              <w:left w:val="nil"/>
              <w:bottom w:val="nil"/>
              <w:right w:val="nil"/>
            </w:tcBorders>
            <w:shd w:val="clear" w:color="auto" w:fill="auto"/>
            <w:noWrap/>
            <w:vAlign w:val="bottom"/>
            <w:hideMark/>
          </w:tcPr>
          <w:p w14:paraId="0E1A9016"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112,57%</w:t>
            </w:r>
          </w:p>
        </w:tc>
      </w:tr>
      <w:tr w:rsidR="00A360DB" w:rsidRPr="00A360DB" w14:paraId="1F5A5564"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D91F02C"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12B7A98B"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19.700,00</w:t>
            </w:r>
          </w:p>
        </w:tc>
        <w:tc>
          <w:tcPr>
            <w:tcW w:w="1380" w:type="dxa"/>
            <w:tcBorders>
              <w:top w:val="nil"/>
              <w:left w:val="nil"/>
              <w:bottom w:val="nil"/>
              <w:right w:val="nil"/>
            </w:tcBorders>
            <w:shd w:val="clear" w:color="auto" w:fill="auto"/>
            <w:noWrap/>
            <w:vAlign w:val="bottom"/>
            <w:hideMark/>
          </w:tcPr>
          <w:p w14:paraId="2AF00028"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22.175,79</w:t>
            </w:r>
          </w:p>
        </w:tc>
        <w:tc>
          <w:tcPr>
            <w:tcW w:w="1400" w:type="dxa"/>
            <w:tcBorders>
              <w:top w:val="nil"/>
              <w:left w:val="nil"/>
              <w:bottom w:val="nil"/>
              <w:right w:val="nil"/>
            </w:tcBorders>
            <w:shd w:val="clear" w:color="auto" w:fill="auto"/>
            <w:noWrap/>
            <w:vAlign w:val="bottom"/>
            <w:hideMark/>
          </w:tcPr>
          <w:p w14:paraId="5442BD0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112,57%</w:t>
            </w:r>
          </w:p>
        </w:tc>
      </w:tr>
      <w:tr w:rsidR="00A360DB" w:rsidRPr="00A360DB" w14:paraId="4557BF34" w14:textId="77777777" w:rsidTr="00A360DB">
        <w:trPr>
          <w:trHeight w:val="240"/>
        </w:trPr>
        <w:tc>
          <w:tcPr>
            <w:tcW w:w="1697" w:type="dxa"/>
            <w:tcBorders>
              <w:top w:val="nil"/>
              <w:left w:val="nil"/>
              <w:bottom w:val="nil"/>
              <w:right w:val="nil"/>
            </w:tcBorders>
            <w:shd w:val="clear" w:color="auto" w:fill="auto"/>
            <w:noWrap/>
            <w:vAlign w:val="bottom"/>
            <w:hideMark/>
          </w:tcPr>
          <w:p w14:paraId="678A985F"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4B045372"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00021B9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19.610,00</w:t>
            </w:r>
          </w:p>
        </w:tc>
        <w:tc>
          <w:tcPr>
            <w:tcW w:w="1380" w:type="dxa"/>
            <w:tcBorders>
              <w:top w:val="nil"/>
              <w:left w:val="nil"/>
              <w:bottom w:val="nil"/>
              <w:right w:val="nil"/>
            </w:tcBorders>
            <w:shd w:val="clear" w:color="auto" w:fill="auto"/>
            <w:noWrap/>
            <w:vAlign w:val="bottom"/>
            <w:hideMark/>
          </w:tcPr>
          <w:p w14:paraId="6BE8A41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22.088,53</w:t>
            </w:r>
          </w:p>
        </w:tc>
        <w:tc>
          <w:tcPr>
            <w:tcW w:w="1400" w:type="dxa"/>
            <w:tcBorders>
              <w:top w:val="nil"/>
              <w:left w:val="nil"/>
              <w:bottom w:val="nil"/>
              <w:right w:val="nil"/>
            </w:tcBorders>
            <w:shd w:val="clear" w:color="auto" w:fill="auto"/>
            <w:noWrap/>
            <w:vAlign w:val="bottom"/>
            <w:hideMark/>
          </w:tcPr>
          <w:p w14:paraId="56EC612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112,64%</w:t>
            </w:r>
          </w:p>
        </w:tc>
      </w:tr>
      <w:tr w:rsidR="00A360DB" w:rsidRPr="00A360DB" w14:paraId="69EE1CE5" w14:textId="77777777" w:rsidTr="00A360DB">
        <w:trPr>
          <w:trHeight w:val="240"/>
        </w:trPr>
        <w:tc>
          <w:tcPr>
            <w:tcW w:w="1697" w:type="dxa"/>
            <w:tcBorders>
              <w:top w:val="nil"/>
              <w:left w:val="nil"/>
              <w:bottom w:val="nil"/>
              <w:right w:val="nil"/>
            </w:tcBorders>
            <w:shd w:val="clear" w:color="auto" w:fill="auto"/>
            <w:noWrap/>
            <w:vAlign w:val="bottom"/>
            <w:hideMark/>
          </w:tcPr>
          <w:p w14:paraId="524F03E8"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3211</w:t>
            </w:r>
          </w:p>
        </w:tc>
        <w:tc>
          <w:tcPr>
            <w:tcW w:w="8509" w:type="dxa"/>
            <w:tcBorders>
              <w:top w:val="nil"/>
              <w:left w:val="nil"/>
              <w:bottom w:val="nil"/>
              <w:right w:val="nil"/>
            </w:tcBorders>
            <w:shd w:val="clear" w:color="auto" w:fill="auto"/>
            <w:noWrap/>
            <w:vAlign w:val="bottom"/>
            <w:hideMark/>
          </w:tcPr>
          <w:p w14:paraId="3C55C93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Službena putovanja                                                                                  </w:t>
            </w:r>
          </w:p>
        </w:tc>
        <w:tc>
          <w:tcPr>
            <w:tcW w:w="1480" w:type="dxa"/>
            <w:tcBorders>
              <w:top w:val="nil"/>
              <w:left w:val="nil"/>
              <w:bottom w:val="nil"/>
              <w:right w:val="nil"/>
            </w:tcBorders>
            <w:shd w:val="clear" w:color="auto" w:fill="auto"/>
            <w:noWrap/>
            <w:vAlign w:val="bottom"/>
            <w:hideMark/>
          </w:tcPr>
          <w:p w14:paraId="42149546"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2AAF7FEA"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979,00</w:t>
            </w:r>
          </w:p>
        </w:tc>
        <w:tc>
          <w:tcPr>
            <w:tcW w:w="1400" w:type="dxa"/>
            <w:tcBorders>
              <w:top w:val="nil"/>
              <w:left w:val="nil"/>
              <w:bottom w:val="nil"/>
              <w:right w:val="nil"/>
            </w:tcBorders>
            <w:shd w:val="clear" w:color="auto" w:fill="auto"/>
            <w:noWrap/>
            <w:vAlign w:val="bottom"/>
            <w:hideMark/>
          </w:tcPr>
          <w:p w14:paraId="29CAF38C"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72C7F7A" w14:textId="77777777" w:rsidTr="00A360DB">
        <w:trPr>
          <w:trHeight w:val="240"/>
        </w:trPr>
        <w:tc>
          <w:tcPr>
            <w:tcW w:w="1697" w:type="dxa"/>
            <w:tcBorders>
              <w:top w:val="nil"/>
              <w:left w:val="nil"/>
              <w:bottom w:val="nil"/>
              <w:right w:val="nil"/>
            </w:tcBorders>
            <w:shd w:val="clear" w:color="auto" w:fill="auto"/>
            <w:noWrap/>
            <w:vAlign w:val="bottom"/>
            <w:hideMark/>
          </w:tcPr>
          <w:p w14:paraId="6ED771A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3223</w:t>
            </w:r>
          </w:p>
        </w:tc>
        <w:tc>
          <w:tcPr>
            <w:tcW w:w="8509" w:type="dxa"/>
            <w:tcBorders>
              <w:top w:val="nil"/>
              <w:left w:val="nil"/>
              <w:bottom w:val="nil"/>
              <w:right w:val="nil"/>
            </w:tcBorders>
            <w:shd w:val="clear" w:color="auto" w:fill="auto"/>
            <w:noWrap/>
            <w:vAlign w:val="bottom"/>
            <w:hideMark/>
          </w:tcPr>
          <w:p w14:paraId="5A2F11A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Energija                                                                                            </w:t>
            </w:r>
          </w:p>
        </w:tc>
        <w:tc>
          <w:tcPr>
            <w:tcW w:w="1480" w:type="dxa"/>
            <w:tcBorders>
              <w:top w:val="nil"/>
              <w:left w:val="nil"/>
              <w:bottom w:val="nil"/>
              <w:right w:val="nil"/>
            </w:tcBorders>
            <w:shd w:val="clear" w:color="auto" w:fill="auto"/>
            <w:noWrap/>
            <w:vAlign w:val="bottom"/>
            <w:hideMark/>
          </w:tcPr>
          <w:p w14:paraId="5AC5A16A"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ACE469B"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5.563,36</w:t>
            </w:r>
          </w:p>
        </w:tc>
        <w:tc>
          <w:tcPr>
            <w:tcW w:w="1400" w:type="dxa"/>
            <w:tcBorders>
              <w:top w:val="nil"/>
              <w:left w:val="nil"/>
              <w:bottom w:val="nil"/>
              <w:right w:val="nil"/>
            </w:tcBorders>
            <w:shd w:val="clear" w:color="auto" w:fill="auto"/>
            <w:noWrap/>
            <w:vAlign w:val="bottom"/>
            <w:hideMark/>
          </w:tcPr>
          <w:p w14:paraId="0677A61E"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24608FEB" w14:textId="77777777" w:rsidTr="00A360DB">
        <w:trPr>
          <w:trHeight w:val="240"/>
        </w:trPr>
        <w:tc>
          <w:tcPr>
            <w:tcW w:w="1697" w:type="dxa"/>
            <w:tcBorders>
              <w:top w:val="nil"/>
              <w:left w:val="nil"/>
              <w:bottom w:val="nil"/>
              <w:right w:val="nil"/>
            </w:tcBorders>
            <w:shd w:val="clear" w:color="auto" w:fill="auto"/>
            <w:noWrap/>
            <w:vAlign w:val="bottom"/>
            <w:hideMark/>
          </w:tcPr>
          <w:p w14:paraId="4123361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3224</w:t>
            </w:r>
          </w:p>
        </w:tc>
        <w:tc>
          <w:tcPr>
            <w:tcW w:w="8509" w:type="dxa"/>
            <w:tcBorders>
              <w:top w:val="nil"/>
              <w:left w:val="nil"/>
              <w:bottom w:val="nil"/>
              <w:right w:val="nil"/>
            </w:tcBorders>
            <w:shd w:val="clear" w:color="auto" w:fill="auto"/>
            <w:noWrap/>
            <w:vAlign w:val="bottom"/>
            <w:hideMark/>
          </w:tcPr>
          <w:p w14:paraId="7EDF418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Materijal i dijelovi za tekuće i investicijsko održavanje                                           </w:t>
            </w:r>
          </w:p>
        </w:tc>
        <w:tc>
          <w:tcPr>
            <w:tcW w:w="1480" w:type="dxa"/>
            <w:tcBorders>
              <w:top w:val="nil"/>
              <w:left w:val="nil"/>
              <w:bottom w:val="nil"/>
              <w:right w:val="nil"/>
            </w:tcBorders>
            <w:shd w:val="clear" w:color="auto" w:fill="auto"/>
            <w:noWrap/>
            <w:vAlign w:val="bottom"/>
            <w:hideMark/>
          </w:tcPr>
          <w:p w14:paraId="55E2FB0A"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FC5A4A4"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2.148,06</w:t>
            </w:r>
          </w:p>
        </w:tc>
        <w:tc>
          <w:tcPr>
            <w:tcW w:w="1400" w:type="dxa"/>
            <w:tcBorders>
              <w:top w:val="nil"/>
              <w:left w:val="nil"/>
              <w:bottom w:val="nil"/>
              <w:right w:val="nil"/>
            </w:tcBorders>
            <w:shd w:val="clear" w:color="auto" w:fill="auto"/>
            <w:noWrap/>
            <w:vAlign w:val="bottom"/>
            <w:hideMark/>
          </w:tcPr>
          <w:p w14:paraId="5C4A2B00"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C17B4D0" w14:textId="77777777" w:rsidTr="00A360DB">
        <w:trPr>
          <w:trHeight w:val="240"/>
        </w:trPr>
        <w:tc>
          <w:tcPr>
            <w:tcW w:w="1697" w:type="dxa"/>
            <w:tcBorders>
              <w:top w:val="nil"/>
              <w:left w:val="nil"/>
              <w:bottom w:val="nil"/>
              <w:right w:val="nil"/>
            </w:tcBorders>
            <w:shd w:val="clear" w:color="auto" w:fill="auto"/>
            <w:noWrap/>
            <w:vAlign w:val="bottom"/>
            <w:hideMark/>
          </w:tcPr>
          <w:p w14:paraId="277DF9F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3225</w:t>
            </w:r>
          </w:p>
        </w:tc>
        <w:tc>
          <w:tcPr>
            <w:tcW w:w="8509" w:type="dxa"/>
            <w:tcBorders>
              <w:top w:val="nil"/>
              <w:left w:val="nil"/>
              <w:bottom w:val="nil"/>
              <w:right w:val="nil"/>
            </w:tcBorders>
            <w:shd w:val="clear" w:color="auto" w:fill="auto"/>
            <w:noWrap/>
            <w:vAlign w:val="bottom"/>
            <w:hideMark/>
          </w:tcPr>
          <w:p w14:paraId="26EA8F0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Sitni inventar i auto gume</w:t>
            </w:r>
          </w:p>
        </w:tc>
        <w:tc>
          <w:tcPr>
            <w:tcW w:w="1480" w:type="dxa"/>
            <w:tcBorders>
              <w:top w:val="nil"/>
              <w:left w:val="nil"/>
              <w:bottom w:val="nil"/>
              <w:right w:val="nil"/>
            </w:tcBorders>
            <w:shd w:val="clear" w:color="auto" w:fill="auto"/>
            <w:noWrap/>
            <w:vAlign w:val="bottom"/>
            <w:hideMark/>
          </w:tcPr>
          <w:p w14:paraId="0F7D0E41"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B9894E0"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274,30</w:t>
            </w:r>
          </w:p>
        </w:tc>
        <w:tc>
          <w:tcPr>
            <w:tcW w:w="1400" w:type="dxa"/>
            <w:tcBorders>
              <w:top w:val="nil"/>
              <w:left w:val="nil"/>
              <w:bottom w:val="nil"/>
              <w:right w:val="nil"/>
            </w:tcBorders>
            <w:shd w:val="clear" w:color="auto" w:fill="auto"/>
            <w:noWrap/>
            <w:vAlign w:val="bottom"/>
            <w:hideMark/>
          </w:tcPr>
          <w:p w14:paraId="3794373B"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DB74CB0" w14:textId="77777777" w:rsidTr="00A360DB">
        <w:trPr>
          <w:trHeight w:val="240"/>
        </w:trPr>
        <w:tc>
          <w:tcPr>
            <w:tcW w:w="1697" w:type="dxa"/>
            <w:tcBorders>
              <w:top w:val="nil"/>
              <w:left w:val="nil"/>
              <w:bottom w:val="nil"/>
              <w:right w:val="nil"/>
            </w:tcBorders>
            <w:shd w:val="clear" w:color="auto" w:fill="auto"/>
            <w:noWrap/>
            <w:vAlign w:val="bottom"/>
            <w:hideMark/>
          </w:tcPr>
          <w:p w14:paraId="44807C5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3227</w:t>
            </w:r>
          </w:p>
        </w:tc>
        <w:tc>
          <w:tcPr>
            <w:tcW w:w="8509" w:type="dxa"/>
            <w:tcBorders>
              <w:top w:val="nil"/>
              <w:left w:val="nil"/>
              <w:bottom w:val="nil"/>
              <w:right w:val="nil"/>
            </w:tcBorders>
            <w:shd w:val="clear" w:color="auto" w:fill="auto"/>
            <w:noWrap/>
            <w:vAlign w:val="bottom"/>
            <w:hideMark/>
          </w:tcPr>
          <w:p w14:paraId="102FA56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Službena, radna i zaštitna odjeća i obuća                                                           </w:t>
            </w:r>
          </w:p>
        </w:tc>
        <w:tc>
          <w:tcPr>
            <w:tcW w:w="1480" w:type="dxa"/>
            <w:tcBorders>
              <w:top w:val="nil"/>
              <w:left w:val="nil"/>
              <w:bottom w:val="nil"/>
              <w:right w:val="nil"/>
            </w:tcBorders>
            <w:shd w:val="clear" w:color="auto" w:fill="auto"/>
            <w:noWrap/>
            <w:vAlign w:val="bottom"/>
            <w:hideMark/>
          </w:tcPr>
          <w:p w14:paraId="0EE80016"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55805E9"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140,00</w:t>
            </w:r>
          </w:p>
        </w:tc>
        <w:tc>
          <w:tcPr>
            <w:tcW w:w="1400" w:type="dxa"/>
            <w:tcBorders>
              <w:top w:val="nil"/>
              <w:left w:val="nil"/>
              <w:bottom w:val="nil"/>
              <w:right w:val="nil"/>
            </w:tcBorders>
            <w:shd w:val="clear" w:color="auto" w:fill="auto"/>
            <w:noWrap/>
            <w:vAlign w:val="bottom"/>
            <w:hideMark/>
          </w:tcPr>
          <w:p w14:paraId="4CE7A525"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BAB6406" w14:textId="77777777" w:rsidTr="00A360DB">
        <w:trPr>
          <w:trHeight w:val="240"/>
        </w:trPr>
        <w:tc>
          <w:tcPr>
            <w:tcW w:w="1697" w:type="dxa"/>
            <w:tcBorders>
              <w:top w:val="nil"/>
              <w:left w:val="nil"/>
              <w:bottom w:val="nil"/>
              <w:right w:val="nil"/>
            </w:tcBorders>
            <w:shd w:val="clear" w:color="auto" w:fill="auto"/>
            <w:noWrap/>
            <w:vAlign w:val="bottom"/>
            <w:hideMark/>
          </w:tcPr>
          <w:p w14:paraId="2C05EA6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3232</w:t>
            </w:r>
          </w:p>
        </w:tc>
        <w:tc>
          <w:tcPr>
            <w:tcW w:w="8509" w:type="dxa"/>
            <w:tcBorders>
              <w:top w:val="nil"/>
              <w:left w:val="nil"/>
              <w:bottom w:val="nil"/>
              <w:right w:val="nil"/>
            </w:tcBorders>
            <w:shd w:val="clear" w:color="auto" w:fill="auto"/>
            <w:noWrap/>
            <w:vAlign w:val="bottom"/>
            <w:hideMark/>
          </w:tcPr>
          <w:p w14:paraId="79FD818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Usluge tekućeg i investicijskog održavanja                                                          </w:t>
            </w:r>
          </w:p>
        </w:tc>
        <w:tc>
          <w:tcPr>
            <w:tcW w:w="1480" w:type="dxa"/>
            <w:tcBorders>
              <w:top w:val="nil"/>
              <w:left w:val="nil"/>
              <w:bottom w:val="nil"/>
              <w:right w:val="nil"/>
            </w:tcBorders>
            <w:shd w:val="clear" w:color="auto" w:fill="auto"/>
            <w:noWrap/>
            <w:vAlign w:val="bottom"/>
            <w:hideMark/>
          </w:tcPr>
          <w:p w14:paraId="0D5FD0CC"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2FD9DC2E"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7.149,76</w:t>
            </w:r>
          </w:p>
        </w:tc>
        <w:tc>
          <w:tcPr>
            <w:tcW w:w="1400" w:type="dxa"/>
            <w:tcBorders>
              <w:top w:val="nil"/>
              <w:left w:val="nil"/>
              <w:bottom w:val="nil"/>
              <w:right w:val="nil"/>
            </w:tcBorders>
            <w:shd w:val="clear" w:color="auto" w:fill="auto"/>
            <w:noWrap/>
            <w:vAlign w:val="bottom"/>
            <w:hideMark/>
          </w:tcPr>
          <w:p w14:paraId="53E0A1C8"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D55A5F9" w14:textId="77777777" w:rsidTr="00A360DB">
        <w:trPr>
          <w:trHeight w:val="240"/>
        </w:trPr>
        <w:tc>
          <w:tcPr>
            <w:tcW w:w="1697" w:type="dxa"/>
            <w:tcBorders>
              <w:top w:val="nil"/>
              <w:left w:val="nil"/>
              <w:bottom w:val="nil"/>
              <w:right w:val="nil"/>
            </w:tcBorders>
            <w:shd w:val="clear" w:color="auto" w:fill="auto"/>
            <w:noWrap/>
            <w:vAlign w:val="bottom"/>
            <w:hideMark/>
          </w:tcPr>
          <w:p w14:paraId="2929296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3233</w:t>
            </w:r>
          </w:p>
        </w:tc>
        <w:tc>
          <w:tcPr>
            <w:tcW w:w="8509" w:type="dxa"/>
            <w:tcBorders>
              <w:top w:val="nil"/>
              <w:left w:val="nil"/>
              <w:bottom w:val="nil"/>
              <w:right w:val="nil"/>
            </w:tcBorders>
            <w:shd w:val="clear" w:color="auto" w:fill="auto"/>
            <w:noWrap/>
            <w:vAlign w:val="bottom"/>
            <w:hideMark/>
          </w:tcPr>
          <w:p w14:paraId="2B2510A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Usluge promidžbe i informiranja                                                                     </w:t>
            </w:r>
          </w:p>
        </w:tc>
        <w:tc>
          <w:tcPr>
            <w:tcW w:w="1480" w:type="dxa"/>
            <w:tcBorders>
              <w:top w:val="nil"/>
              <w:left w:val="nil"/>
              <w:bottom w:val="nil"/>
              <w:right w:val="nil"/>
            </w:tcBorders>
            <w:shd w:val="clear" w:color="auto" w:fill="auto"/>
            <w:noWrap/>
            <w:vAlign w:val="bottom"/>
            <w:hideMark/>
          </w:tcPr>
          <w:p w14:paraId="47FBD8A3"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23B2D17D"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233,00</w:t>
            </w:r>
          </w:p>
        </w:tc>
        <w:tc>
          <w:tcPr>
            <w:tcW w:w="1400" w:type="dxa"/>
            <w:tcBorders>
              <w:top w:val="nil"/>
              <w:left w:val="nil"/>
              <w:bottom w:val="nil"/>
              <w:right w:val="nil"/>
            </w:tcBorders>
            <w:shd w:val="clear" w:color="auto" w:fill="auto"/>
            <w:noWrap/>
            <w:vAlign w:val="bottom"/>
            <w:hideMark/>
          </w:tcPr>
          <w:p w14:paraId="1E1B6DF2"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D17DEB3" w14:textId="77777777" w:rsidTr="00A360DB">
        <w:trPr>
          <w:trHeight w:val="240"/>
        </w:trPr>
        <w:tc>
          <w:tcPr>
            <w:tcW w:w="1697" w:type="dxa"/>
            <w:tcBorders>
              <w:top w:val="nil"/>
              <w:left w:val="nil"/>
              <w:bottom w:val="nil"/>
              <w:right w:val="nil"/>
            </w:tcBorders>
            <w:shd w:val="clear" w:color="auto" w:fill="auto"/>
            <w:noWrap/>
            <w:vAlign w:val="bottom"/>
            <w:hideMark/>
          </w:tcPr>
          <w:p w14:paraId="79CCF8C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3238</w:t>
            </w:r>
          </w:p>
        </w:tc>
        <w:tc>
          <w:tcPr>
            <w:tcW w:w="8509" w:type="dxa"/>
            <w:tcBorders>
              <w:top w:val="nil"/>
              <w:left w:val="nil"/>
              <w:bottom w:val="nil"/>
              <w:right w:val="nil"/>
            </w:tcBorders>
            <w:shd w:val="clear" w:color="auto" w:fill="auto"/>
            <w:noWrap/>
            <w:vAlign w:val="bottom"/>
            <w:hideMark/>
          </w:tcPr>
          <w:p w14:paraId="476FDFE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Računalne usluge                                                                                    </w:t>
            </w:r>
          </w:p>
        </w:tc>
        <w:tc>
          <w:tcPr>
            <w:tcW w:w="1480" w:type="dxa"/>
            <w:tcBorders>
              <w:top w:val="nil"/>
              <w:left w:val="nil"/>
              <w:bottom w:val="nil"/>
              <w:right w:val="nil"/>
            </w:tcBorders>
            <w:shd w:val="clear" w:color="auto" w:fill="auto"/>
            <w:noWrap/>
            <w:vAlign w:val="bottom"/>
            <w:hideMark/>
          </w:tcPr>
          <w:p w14:paraId="29ED6807"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13BC967C"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4.419,65</w:t>
            </w:r>
          </w:p>
        </w:tc>
        <w:tc>
          <w:tcPr>
            <w:tcW w:w="1400" w:type="dxa"/>
            <w:tcBorders>
              <w:top w:val="nil"/>
              <w:left w:val="nil"/>
              <w:bottom w:val="nil"/>
              <w:right w:val="nil"/>
            </w:tcBorders>
            <w:shd w:val="clear" w:color="auto" w:fill="auto"/>
            <w:noWrap/>
            <w:vAlign w:val="bottom"/>
            <w:hideMark/>
          </w:tcPr>
          <w:p w14:paraId="44E5C087"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2D26C68D" w14:textId="77777777" w:rsidTr="00A360DB">
        <w:trPr>
          <w:trHeight w:val="240"/>
        </w:trPr>
        <w:tc>
          <w:tcPr>
            <w:tcW w:w="1697" w:type="dxa"/>
            <w:tcBorders>
              <w:top w:val="nil"/>
              <w:left w:val="nil"/>
              <w:bottom w:val="nil"/>
              <w:right w:val="nil"/>
            </w:tcBorders>
            <w:shd w:val="clear" w:color="auto" w:fill="auto"/>
            <w:noWrap/>
            <w:vAlign w:val="bottom"/>
            <w:hideMark/>
          </w:tcPr>
          <w:p w14:paraId="57C742D5"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3299</w:t>
            </w:r>
          </w:p>
        </w:tc>
        <w:tc>
          <w:tcPr>
            <w:tcW w:w="8509" w:type="dxa"/>
            <w:tcBorders>
              <w:top w:val="nil"/>
              <w:left w:val="nil"/>
              <w:bottom w:val="nil"/>
              <w:right w:val="nil"/>
            </w:tcBorders>
            <w:shd w:val="clear" w:color="auto" w:fill="auto"/>
            <w:noWrap/>
            <w:vAlign w:val="bottom"/>
            <w:hideMark/>
          </w:tcPr>
          <w:p w14:paraId="125BBC0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Ostali nespomenuti rashodi poslovanja                                                               </w:t>
            </w:r>
          </w:p>
        </w:tc>
        <w:tc>
          <w:tcPr>
            <w:tcW w:w="1480" w:type="dxa"/>
            <w:tcBorders>
              <w:top w:val="nil"/>
              <w:left w:val="nil"/>
              <w:bottom w:val="nil"/>
              <w:right w:val="nil"/>
            </w:tcBorders>
            <w:shd w:val="clear" w:color="auto" w:fill="auto"/>
            <w:noWrap/>
            <w:vAlign w:val="bottom"/>
            <w:hideMark/>
          </w:tcPr>
          <w:p w14:paraId="6447FE93"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8FE3E8B"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1.181,40</w:t>
            </w:r>
          </w:p>
        </w:tc>
        <w:tc>
          <w:tcPr>
            <w:tcW w:w="1400" w:type="dxa"/>
            <w:tcBorders>
              <w:top w:val="nil"/>
              <w:left w:val="nil"/>
              <w:bottom w:val="nil"/>
              <w:right w:val="nil"/>
            </w:tcBorders>
            <w:shd w:val="clear" w:color="auto" w:fill="auto"/>
            <w:noWrap/>
            <w:vAlign w:val="bottom"/>
            <w:hideMark/>
          </w:tcPr>
          <w:p w14:paraId="0CB23EFA"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666ED8A" w14:textId="77777777" w:rsidTr="00A360DB">
        <w:trPr>
          <w:trHeight w:val="240"/>
        </w:trPr>
        <w:tc>
          <w:tcPr>
            <w:tcW w:w="1697" w:type="dxa"/>
            <w:tcBorders>
              <w:top w:val="nil"/>
              <w:left w:val="nil"/>
              <w:bottom w:val="nil"/>
              <w:right w:val="nil"/>
            </w:tcBorders>
            <w:shd w:val="clear" w:color="auto" w:fill="auto"/>
            <w:noWrap/>
            <w:vAlign w:val="bottom"/>
            <w:hideMark/>
          </w:tcPr>
          <w:p w14:paraId="439BDEDF"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37</w:t>
            </w:r>
          </w:p>
        </w:tc>
        <w:tc>
          <w:tcPr>
            <w:tcW w:w="8509" w:type="dxa"/>
            <w:tcBorders>
              <w:top w:val="nil"/>
              <w:left w:val="nil"/>
              <w:bottom w:val="nil"/>
              <w:right w:val="nil"/>
            </w:tcBorders>
            <w:shd w:val="clear" w:color="auto" w:fill="auto"/>
            <w:noWrap/>
            <w:vAlign w:val="bottom"/>
            <w:hideMark/>
          </w:tcPr>
          <w:p w14:paraId="4DC1EE12"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Naknade građanima i kućanstvima na temelju osiguranja i druge naknade                               </w:t>
            </w:r>
          </w:p>
        </w:tc>
        <w:tc>
          <w:tcPr>
            <w:tcW w:w="1480" w:type="dxa"/>
            <w:tcBorders>
              <w:top w:val="nil"/>
              <w:left w:val="nil"/>
              <w:bottom w:val="nil"/>
              <w:right w:val="nil"/>
            </w:tcBorders>
            <w:shd w:val="clear" w:color="auto" w:fill="auto"/>
            <w:noWrap/>
            <w:vAlign w:val="bottom"/>
            <w:hideMark/>
          </w:tcPr>
          <w:p w14:paraId="23D7194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90,00</w:t>
            </w:r>
          </w:p>
        </w:tc>
        <w:tc>
          <w:tcPr>
            <w:tcW w:w="1380" w:type="dxa"/>
            <w:tcBorders>
              <w:top w:val="nil"/>
              <w:left w:val="nil"/>
              <w:bottom w:val="nil"/>
              <w:right w:val="nil"/>
            </w:tcBorders>
            <w:shd w:val="clear" w:color="auto" w:fill="auto"/>
            <w:noWrap/>
            <w:vAlign w:val="bottom"/>
            <w:hideMark/>
          </w:tcPr>
          <w:p w14:paraId="0DF2AD5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87,26</w:t>
            </w:r>
          </w:p>
        </w:tc>
        <w:tc>
          <w:tcPr>
            <w:tcW w:w="1400" w:type="dxa"/>
            <w:tcBorders>
              <w:top w:val="nil"/>
              <w:left w:val="nil"/>
              <w:bottom w:val="nil"/>
              <w:right w:val="nil"/>
            </w:tcBorders>
            <w:shd w:val="clear" w:color="auto" w:fill="auto"/>
            <w:noWrap/>
            <w:vAlign w:val="bottom"/>
            <w:hideMark/>
          </w:tcPr>
          <w:p w14:paraId="31F09A9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96,96%</w:t>
            </w:r>
          </w:p>
        </w:tc>
      </w:tr>
      <w:tr w:rsidR="00A360DB" w:rsidRPr="00A360DB" w14:paraId="36CA56E2" w14:textId="77777777" w:rsidTr="00A360DB">
        <w:trPr>
          <w:trHeight w:val="240"/>
        </w:trPr>
        <w:tc>
          <w:tcPr>
            <w:tcW w:w="1697" w:type="dxa"/>
            <w:tcBorders>
              <w:top w:val="nil"/>
              <w:left w:val="nil"/>
              <w:bottom w:val="nil"/>
              <w:right w:val="nil"/>
            </w:tcBorders>
            <w:shd w:val="clear" w:color="auto" w:fill="auto"/>
            <w:noWrap/>
            <w:vAlign w:val="bottom"/>
            <w:hideMark/>
          </w:tcPr>
          <w:p w14:paraId="65B3B5CD"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3722</w:t>
            </w:r>
          </w:p>
        </w:tc>
        <w:tc>
          <w:tcPr>
            <w:tcW w:w="8509" w:type="dxa"/>
            <w:tcBorders>
              <w:top w:val="nil"/>
              <w:left w:val="nil"/>
              <w:bottom w:val="nil"/>
              <w:right w:val="nil"/>
            </w:tcBorders>
            <w:shd w:val="clear" w:color="auto" w:fill="auto"/>
            <w:noWrap/>
            <w:vAlign w:val="bottom"/>
            <w:hideMark/>
          </w:tcPr>
          <w:p w14:paraId="3A525E4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Naknade građanima i kućanstvima u naravi                                                            </w:t>
            </w:r>
          </w:p>
        </w:tc>
        <w:tc>
          <w:tcPr>
            <w:tcW w:w="1480" w:type="dxa"/>
            <w:tcBorders>
              <w:top w:val="nil"/>
              <w:left w:val="nil"/>
              <w:bottom w:val="nil"/>
              <w:right w:val="nil"/>
            </w:tcBorders>
            <w:shd w:val="clear" w:color="auto" w:fill="auto"/>
            <w:noWrap/>
            <w:vAlign w:val="bottom"/>
            <w:hideMark/>
          </w:tcPr>
          <w:p w14:paraId="04F6A2DB"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4D26ABA"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87,26</w:t>
            </w:r>
          </w:p>
        </w:tc>
        <w:tc>
          <w:tcPr>
            <w:tcW w:w="1400" w:type="dxa"/>
            <w:tcBorders>
              <w:top w:val="nil"/>
              <w:left w:val="nil"/>
              <w:bottom w:val="nil"/>
              <w:right w:val="nil"/>
            </w:tcBorders>
            <w:shd w:val="clear" w:color="auto" w:fill="auto"/>
            <w:noWrap/>
            <w:vAlign w:val="bottom"/>
            <w:hideMark/>
          </w:tcPr>
          <w:p w14:paraId="175519C5"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5D98DFE3"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B73FE69"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3. Vlastiti prihodi</w:t>
            </w:r>
          </w:p>
        </w:tc>
        <w:tc>
          <w:tcPr>
            <w:tcW w:w="1480" w:type="dxa"/>
            <w:tcBorders>
              <w:top w:val="nil"/>
              <w:left w:val="nil"/>
              <w:bottom w:val="nil"/>
              <w:right w:val="nil"/>
            </w:tcBorders>
            <w:shd w:val="clear" w:color="auto" w:fill="auto"/>
            <w:noWrap/>
            <w:vAlign w:val="bottom"/>
            <w:hideMark/>
          </w:tcPr>
          <w:p w14:paraId="7BF3C19B"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7.752,00</w:t>
            </w:r>
          </w:p>
        </w:tc>
        <w:tc>
          <w:tcPr>
            <w:tcW w:w="1380" w:type="dxa"/>
            <w:tcBorders>
              <w:top w:val="nil"/>
              <w:left w:val="nil"/>
              <w:bottom w:val="nil"/>
              <w:right w:val="nil"/>
            </w:tcBorders>
            <w:shd w:val="clear" w:color="auto" w:fill="auto"/>
            <w:noWrap/>
            <w:vAlign w:val="bottom"/>
            <w:hideMark/>
          </w:tcPr>
          <w:p w14:paraId="515751BE"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7.036,59</w:t>
            </w:r>
          </w:p>
        </w:tc>
        <w:tc>
          <w:tcPr>
            <w:tcW w:w="1400" w:type="dxa"/>
            <w:tcBorders>
              <w:top w:val="nil"/>
              <w:left w:val="nil"/>
              <w:bottom w:val="nil"/>
              <w:right w:val="nil"/>
            </w:tcBorders>
            <w:shd w:val="clear" w:color="auto" w:fill="auto"/>
            <w:noWrap/>
            <w:vAlign w:val="bottom"/>
            <w:hideMark/>
          </w:tcPr>
          <w:p w14:paraId="1DE7B85F"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90,77%</w:t>
            </w:r>
          </w:p>
        </w:tc>
      </w:tr>
      <w:tr w:rsidR="00A360DB" w:rsidRPr="00A360DB" w14:paraId="190E4562"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CD1FD54"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3.1. Vlastiti prihodi</w:t>
            </w:r>
          </w:p>
        </w:tc>
        <w:tc>
          <w:tcPr>
            <w:tcW w:w="1480" w:type="dxa"/>
            <w:tcBorders>
              <w:top w:val="nil"/>
              <w:left w:val="nil"/>
              <w:bottom w:val="nil"/>
              <w:right w:val="nil"/>
            </w:tcBorders>
            <w:shd w:val="clear" w:color="auto" w:fill="auto"/>
            <w:noWrap/>
            <w:vAlign w:val="bottom"/>
            <w:hideMark/>
          </w:tcPr>
          <w:p w14:paraId="2EF04EA4"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7.752,00</w:t>
            </w:r>
          </w:p>
        </w:tc>
        <w:tc>
          <w:tcPr>
            <w:tcW w:w="1380" w:type="dxa"/>
            <w:tcBorders>
              <w:top w:val="nil"/>
              <w:left w:val="nil"/>
              <w:bottom w:val="nil"/>
              <w:right w:val="nil"/>
            </w:tcBorders>
            <w:shd w:val="clear" w:color="auto" w:fill="auto"/>
            <w:noWrap/>
            <w:vAlign w:val="bottom"/>
            <w:hideMark/>
          </w:tcPr>
          <w:p w14:paraId="5405BC39"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7.036,59</w:t>
            </w:r>
          </w:p>
        </w:tc>
        <w:tc>
          <w:tcPr>
            <w:tcW w:w="1400" w:type="dxa"/>
            <w:tcBorders>
              <w:top w:val="nil"/>
              <w:left w:val="nil"/>
              <w:bottom w:val="nil"/>
              <w:right w:val="nil"/>
            </w:tcBorders>
            <w:shd w:val="clear" w:color="auto" w:fill="auto"/>
            <w:noWrap/>
            <w:vAlign w:val="bottom"/>
            <w:hideMark/>
          </w:tcPr>
          <w:p w14:paraId="7B12BDF4"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90,77%</w:t>
            </w:r>
          </w:p>
        </w:tc>
      </w:tr>
      <w:tr w:rsidR="00A360DB" w:rsidRPr="00A360DB" w14:paraId="2D500909" w14:textId="77777777" w:rsidTr="00A360DB">
        <w:trPr>
          <w:trHeight w:val="240"/>
        </w:trPr>
        <w:tc>
          <w:tcPr>
            <w:tcW w:w="1697" w:type="dxa"/>
            <w:tcBorders>
              <w:top w:val="nil"/>
              <w:left w:val="nil"/>
              <w:bottom w:val="nil"/>
              <w:right w:val="nil"/>
            </w:tcBorders>
            <w:shd w:val="clear" w:color="auto" w:fill="auto"/>
            <w:noWrap/>
            <w:vAlign w:val="bottom"/>
            <w:hideMark/>
          </w:tcPr>
          <w:p w14:paraId="5388914C"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393B0280"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27DBC5F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7.752,00</w:t>
            </w:r>
          </w:p>
        </w:tc>
        <w:tc>
          <w:tcPr>
            <w:tcW w:w="1380" w:type="dxa"/>
            <w:tcBorders>
              <w:top w:val="nil"/>
              <w:left w:val="nil"/>
              <w:bottom w:val="nil"/>
              <w:right w:val="nil"/>
            </w:tcBorders>
            <w:shd w:val="clear" w:color="auto" w:fill="auto"/>
            <w:noWrap/>
            <w:vAlign w:val="bottom"/>
            <w:hideMark/>
          </w:tcPr>
          <w:p w14:paraId="35454F1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7.036,59</w:t>
            </w:r>
          </w:p>
        </w:tc>
        <w:tc>
          <w:tcPr>
            <w:tcW w:w="1400" w:type="dxa"/>
            <w:tcBorders>
              <w:top w:val="nil"/>
              <w:left w:val="nil"/>
              <w:bottom w:val="nil"/>
              <w:right w:val="nil"/>
            </w:tcBorders>
            <w:shd w:val="clear" w:color="auto" w:fill="auto"/>
            <w:noWrap/>
            <w:vAlign w:val="bottom"/>
            <w:hideMark/>
          </w:tcPr>
          <w:p w14:paraId="3EF738E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90,77%</w:t>
            </w:r>
          </w:p>
        </w:tc>
      </w:tr>
      <w:tr w:rsidR="00A360DB" w:rsidRPr="00A360DB" w14:paraId="59A1981F" w14:textId="77777777" w:rsidTr="00A360DB">
        <w:trPr>
          <w:trHeight w:val="240"/>
        </w:trPr>
        <w:tc>
          <w:tcPr>
            <w:tcW w:w="1697" w:type="dxa"/>
            <w:tcBorders>
              <w:top w:val="nil"/>
              <w:left w:val="nil"/>
              <w:bottom w:val="nil"/>
              <w:right w:val="nil"/>
            </w:tcBorders>
            <w:shd w:val="clear" w:color="auto" w:fill="auto"/>
            <w:noWrap/>
            <w:vAlign w:val="bottom"/>
            <w:hideMark/>
          </w:tcPr>
          <w:p w14:paraId="72775A6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3211</w:t>
            </w:r>
          </w:p>
        </w:tc>
        <w:tc>
          <w:tcPr>
            <w:tcW w:w="8509" w:type="dxa"/>
            <w:tcBorders>
              <w:top w:val="nil"/>
              <w:left w:val="nil"/>
              <w:bottom w:val="nil"/>
              <w:right w:val="nil"/>
            </w:tcBorders>
            <w:shd w:val="clear" w:color="auto" w:fill="auto"/>
            <w:noWrap/>
            <w:vAlign w:val="bottom"/>
            <w:hideMark/>
          </w:tcPr>
          <w:p w14:paraId="67D54F0E"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Službena putovanja                                                                                  </w:t>
            </w:r>
          </w:p>
        </w:tc>
        <w:tc>
          <w:tcPr>
            <w:tcW w:w="1480" w:type="dxa"/>
            <w:tcBorders>
              <w:top w:val="nil"/>
              <w:left w:val="nil"/>
              <w:bottom w:val="nil"/>
              <w:right w:val="nil"/>
            </w:tcBorders>
            <w:shd w:val="clear" w:color="auto" w:fill="auto"/>
            <w:noWrap/>
            <w:vAlign w:val="bottom"/>
            <w:hideMark/>
          </w:tcPr>
          <w:p w14:paraId="7D46BA4D"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1D662398"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1.867,44</w:t>
            </w:r>
          </w:p>
        </w:tc>
        <w:tc>
          <w:tcPr>
            <w:tcW w:w="1400" w:type="dxa"/>
            <w:tcBorders>
              <w:top w:val="nil"/>
              <w:left w:val="nil"/>
              <w:bottom w:val="nil"/>
              <w:right w:val="nil"/>
            </w:tcBorders>
            <w:shd w:val="clear" w:color="auto" w:fill="auto"/>
            <w:noWrap/>
            <w:vAlign w:val="bottom"/>
            <w:hideMark/>
          </w:tcPr>
          <w:p w14:paraId="72704F5D"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486325E" w14:textId="77777777" w:rsidTr="00A360DB">
        <w:trPr>
          <w:trHeight w:val="240"/>
        </w:trPr>
        <w:tc>
          <w:tcPr>
            <w:tcW w:w="1697" w:type="dxa"/>
            <w:tcBorders>
              <w:top w:val="nil"/>
              <w:left w:val="nil"/>
              <w:bottom w:val="nil"/>
              <w:right w:val="nil"/>
            </w:tcBorders>
            <w:shd w:val="clear" w:color="auto" w:fill="auto"/>
            <w:noWrap/>
            <w:vAlign w:val="bottom"/>
            <w:hideMark/>
          </w:tcPr>
          <w:p w14:paraId="2755C87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lastRenderedPageBreak/>
              <w:t>3214</w:t>
            </w:r>
          </w:p>
        </w:tc>
        <w:tc>
          <w:tcPr>
            <w:tcW w:w="8509" w:type="dxa"/>
            <w:tcBorders>
              <w:top w:val="nil"/>
              <w:left w:val="nil"/>
              <w:bottom w:val="nil"/>
              <w:right w:val="nil"/>
            </w:tcBorders>
            <w:shd w:val="clear" w:color="auto" w:fill="auto"/>
            <w:noWrap/>
            <w:vAlign w:val="bottom"/>
            <w:hideMark/>
          </w:tcPr>
          <w:p w14:paraId="20F9141E"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Ostale naknade troškova zaposlenima                                                                 </w:t>
            </w:r>
          </w:p>
        </w:tc>
        <w:tc>
          <w:tcPr>
            <w:tcW w:w="1480" w:type="dxa"/>
            <w:tcBorders>
              <w:top w:val="nil"/>
              <w:left w:val="nil"/>
              <w:bottom w:val="nil"/>
              <w:right w:val="nil"/>
            </w:tcBorders>
            <w:shd w:val="clear" w:color="auto" w:fill="auto"/>
            <w:noWrap/>
            <w:vAlign w:val="bottom"/>
            <w:hideMark/>
          </w:tcPr>
          <w:p w14:paraId="0E8578ED"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17CCE27"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388,50</w:t>
            </w:r>
          </w:p>
        </w:tc>
        <w:tc>
          <w:tcPr>
            <w:tcW w:w="1400" w:type="dxa"/>
            <w:tcBorders>
              <w:top w:val="nil"/>
              <w:left w:val="nil"/>
              <w:bottom w:val="nil"/>
              <w:right w:val="nil"/>
            </w:tcBorders>
            <w:shd w:val="clear" w:color="auto" w:fill="auto"/>
            <w:noWrap/>
            <w:vAlign w:val="bottom"/>
            <w:hideMark/>
          </w:tcPr>
          <w:p w14:paraId="1BFD6E89"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4E349B8" w14:textId="77777777" w:rsidTr="00A360DB">
        <w:trPr>
          <w:trHeight w:val="240"/>
        </w:trPr>
        <w:tc>
          <w:tcPr>
            <w:tcW w:w="1697" w:type="dxa"/>
            <w:tcBorders>
              <w:top w:val="nil"/>
              <w:left w:val="nil"/>
              <w:bottom w:val="nil"/>
              <w:right w:val="nil"/>
            </w:tcBorders>
            <w:shd w:val="clear" w:color="auto" w:fill="auto"/>
            <w:noWrap/>
            <w:vAlign w:val="bottom"/>
            <w:hideMark/>
          </w:tcPr>
          <w:p w14:paraId="0B472D9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3221</w:t>
            </w:r>
          </w:p>
        </w:tc>
        <w:tc>
          <w:tcPr>
            <w:tcW w:w="8509" w:type="dxa"/>
            <w:tcBorders>
              <w:top w:val="nil"/>
              <w:left w:val="nil"/>
              <w:bottom w:val="nil"/>
              <w:right w:val="nil"/>
            </w:tcBorders>
            <w:shd w:val="clear" w:color="auto" w:fill="auto"/>
            <w:noWrap/>
            <w:vAlign w:val="bottom"/>
            <w:hideMark/>
          </w:tcPr>
          <w:p w14:paraId="44ADEEB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Uredski materijal i ostali materijalni rashodi                                                      </w:t>
            </w:r>
          </w:p>
        </w:tc>
        <w:tc>
          <w:tcPr>
            <w:tcW w:w="1480" w:type="dxa"/>
            <w:tcBorders>
              <w:top w:val="nil"/>
              <w:left w:val="nil"/>
              <w:bottom w:val="nil"/>
              <w:right w:val="nil"/>
            </w:tcBorders>
            <w:shd w:val="clear" w:color="auto" w:fill="auto"/>
            <w:noWrap/>
            <w:vAlign w:val="bottom"/>
            <w:hideMark/>
          </w:tcPr>
          <w:p w14:paraId="5FAB1CDF"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27F7AAB"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529,52</w:t>
            </w:r>
          </w:p>
        </w:tc>
        <w:tc>
          <w:tcPr>
            <w:tcW w:w="1400" w:type="dxa"/>
            <w:tcBorders>
              <w:top w:val="nil"/>
              <w:left w:val="nil"/>
              <w:bottom w:val="nil"/>
              <w:right w:val="nil"/>
            </w:tcBorders>
            <w:shd w:val="clear" w:color="auto" w:fill="auto"/>
            <w:noWrap/>
            <w:vAlign w:val="bottom"/>
            <w:hideMark/>
          </w:tcPr>
          <w:p w14:paraId="2F91BBED"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0BC450A" w14:textId="77777777" w:rsidTr="00A360DB">
        <w:trPr>
          <w:trHeight w:val="240"/>
        </w:trPr>
        <w:tc>
          <w:tcPr>
            <w:tcW w:w="1697" w:type="dxa"/>
            <w:tcBorders>
              <w:top w:val="nil"/>
              <w:left w:val="nil"/>
              <w:bottom w:val="nil"/>
              <w:right w:val="nil"/>
            </w:tcBorders>
            <w:shd w:val="clear" w:color="auto" w:fill="auto"/>
            <w:noWrap/>
            <w:vAlign w:val="bottom"/>
            <w:hideMark/>
          </w:tcPr>
          <w:p w14:paraId="1E8FCA6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3222</w:t>
            </w:r>
          </w:p>
        </w:tc>
        <w:tc>
          <w:tcPr>
            <w:tcW w:w="8509" w:type="dxa"/>
            <w:tcBorders>
              <w:top w:val="nil"/>
              <w:left w:val="nil"/>
              <w:bottom w:val="nil"/>
              <w:right w:val="nil"/>
            </w:tcBorders>
            <w:shd w:val="clear" w:color="auto" w:fill="auto"/>
            <w:noWrap/>
            <w:vAlign w:val="bottom"/>
            <w:hideMark/>
          </w:tcPr>
          <w:p w14:paraId="0D555C0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Materijal i sirovine                                                                                </w:t>
            </w:r>
          </w:p>
        </w:tc>
        <w:tc>
          <w:tcPr>
            <w:tcW w:w="1480" w:type="dxa"/>
            <w:tcBorders>
              <w:top w:val="nil"/>
              <w:left w:val="nil"/>
              <w:bottom w:val="nil"/>
              <w:right w:val="nil"/>
            </w:tcBorders>
            <w:shd w:val="clear" w:color="auto" w:fill="auto"/>
            <w:noWrap/>
            <w:vAlign w:val="bottom"/>
            <w:hideMark/>
          </w:tcPr>
          <w:p w14:paraId="1EB7C392"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AD681C6"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997,08</w:t>
            </w:r>
          </w:p>
        </w:tc>
        <w:tc>
          <w:tcPr>
            <w:tcW w:w="1400" w:type="dxa"/>
            <w:tcBorders>
              <w:top w:val="nil"/>
              <w:left w:val="nil"/>
              <w:bottom w:val="nil"/>
              <w:right w:val="nil"/>
            </w:tcBorders>
            <w:shd w:val="clear" w:color="auto" w:fill="auto"/>
            <w:noWrap/>
            <w:vAlign w:val="bottom"/>
            <w:hideMark/>
          </w:tcPr>
          <w:p w14:paraId="623D3237"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DBBB490" w14:textId="77777777" w:rsidTr="00A360DB">
        <w:trPr>
          <w:trHeight w:val="240"/>
        </w:trPr>
        <w:tc>
          <w:tcPr>
            <w:tcW w:w="1697" w:type="dxa"/>
            <w:tcBorders>
              <w:top w:val="nil"/>
              <w:left w:val="nil"/>
              <w:bottom w:val="nil"/>
              <w:right w:val="nil"/>
            </w:tcBorders>
            <w:shd w:val="clear" w:color="auto" w:fill="auto"/>
            <w:noWrap/>
            <w:vAlign w:val="bottom"/>
            <w:hideMark/>
          </w:tcPr>
          <w:p w14:paraId="31B18167"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3224</w:t>
            </w:r>
          </w:p>
        </w:tc>
        <w:tc>
          <w:tcPr>
            <w:tcW w:w="8509" w:type="dxa"/>
            <w:tcBorders>
              <w:top w:val="nil"/>
              <w:left w:val="nil"/>
              <w:bottom w:val="nil"/>
              <w:right w:val="nil"/>
            </w:tcBorders>
            <w:shd w:val="clear" w:color="auto" w:fill="auto"/>
            <w:noWrap/>
            <w:vAlign w:val="bottom"/>
            <w:hideMark/>
          </w:tcPr>
          <w:p w14:paraId="01BE0E0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Materijal i dijelovi za tekuće i investicijsko održavanje                                           </w:t>
            </w:r>
          </w:p>
        </w:tc>
        <w:tc>
          <w:tcPr>
            <w:tcW w:w="1480" w:type="dxa"/>
            <w:tcBorders>
              <w:top w:val="nil"/>
              <w:left w:val="nil"/>
              <w:bottom w:val="nil"/>
              <w:right w:val="nil"/>
            </w:tcBorders>
            <w:shd w:val="clear" w:color="auto" w:fill="auto"/>
            <w:noWrap/>
            <w:vAlign w:val="bottom"/>
            <w:hideMark/>
          </w:tcPr>
          <w:p w14:paraId="732E0D6B"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8C5B603"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284,01</w:t>
            </w:r>
          </w:p>
        </w:tc>
        <w:tc>
          <w:tcPr>
            <w:tcW w:w="1400" w:type="dxa"/>
            <w:tcBorders>
              <w:top w:val="nil"/>
              <w:left w:val="nil"/>
              <w:bottom w:val="nil"/>
              <w:right w:val="nil"/>
            </w:tcBorders>
            <w:shd w:val="clear" w:color="auto" w:fill="auto"/>
            <w:noWrap/>
            <w:vAlign w:val="bottom"/>
            <w:hideMark/>
          </w:tcPr>
          <w:p w14:paraId="63E47079"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E7ACB21" w14:textId="77777777" w:rsidTr="00A360DB">
        <w:trPr>
          <w:trHeight w:val="240"/>
        </w:trPr>
        <w:tc>
          <w:tcPr>
            <w:tcW w:w="1697" w:type="dxa"/>
            <w:tcBorders>
              <w:top w:val="nil"/>
              <w:left w:val="nil"/>
              <w:bottom w:val="nil"/>
              <w:right w:val="nil"/>
            </w:tcBorders>
            <w:shd w:val="clear" w:color="auto" w:fill="auto"/>
            <w:noWrap/>
            <w:vAlign w:val="bottom"/>
            <w:hideMark/>
          </w:tcPr>
          <w:p w14:paraId="350AD3A7"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3225</w:t>
            </w:r>
          </w:p>
        </w:tc>
        <w:tc>
          <w:tcPr>
            <w:tcW w:w="8509" w:type="dxa"/>
            <w:tcBorders>
              <w:top w:val="nil"/>
              <w:left w:val="nil"/>
              <w:bottom w:val="nil"/>
              <w:right w:val="nil"/>
            </w:tcBorders>
            <w:shd w:val="clear" w:color="auto" w:fill="auto"/>
            <w:noWrap/>
            <w:vAlign w:val="bottom"/>
            <w:hideMark/>
          </w:tcPr>
          <w:p w14:paraId="7B66714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Sitni inventar i auto gume</w:t>
            </w:r>
          </w:p>
        </w:tc>
        <w:tc>
          <w:tcPr>
            <w:tcW w:w="1480" w:type="dxa"/>
            <w:tcBorders>
              <w:top w:val="nil"/>
              <w:left w:val="nil"/>
              <w:bottom w:val="nil"/>
              <w:right w:val="nil"/>
            </w:tcBorders>
            <w:shd w:val="clear" w:color="auto" w:fill="auto"/>
            <w:noWrap/>
            <w:vAlign w:val="bottom"/>
            <w:hideMark/>
          </w:tcPr>
          <w:p w14:paraId="24139E4F"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1FAD127F"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61,43</w:t>
            </w:r>
          </w:p>
        </w:tc>
        <w:tc>
          <w:tcPr>
            <w:tcW w:w="1400" w:type="dxa"/>
            <w:tcBorders>
              <w:top w:val="nil"/>
              <w:left w:val="nil"/>
              <w:bottom w:val="nil"/>
              <w:right w:val="nil"/>
            </w:tcBorders>
            <w:shd w:val="clear" w:color="auto" w:fill="auto"/>
            <w:noWrap/>
            <w:vAlign w:val="bottom"/>
            <w:hideMark/>
          </w:tcPr>
          <w:p w14:paraId="4DAB44CA"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D4BE821" w14:textId="77777777" w:rsidTr="00A360DB">
        <w:trPr>
          <w:trHeight w:val="240"/>
        </w:trPr>
        <w:tc>
          <w:tcPr>
            <w:tcW w:w="1697" w:type="dxa"/>
            <w:tcBorders>
              <w:top w:val="nil"/>
              <w:left w:val="nil"/>
              <w:bottom w:val="nil"/>
              <w:right w:val="nil"/>
            </w:tcBorders>
            <w:shd w:val="clear" w:color="auto" w:fill="auto"/>
            <w:noWrap/>
            <w:vAlign w:val="bottom"/>
            <w:hideMark/>
          </w:tcPr>
          <w:p w14:paraId="07CF915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3232</w:t>
            </w:r>
          </w:p>
        </w:tc>
        <w:tc>
          <w:tcPr>
            <w:tcW w:w="8509" w:type="dxa"/>
            <w:tcBorders>
              <w:top w:val="nil"/>
              <w:left w:val="nil"/>
              <w:bottom w:val="nil"/>
              <w:right w:val="nil"/>
            </w:tcBorders>
            <w:shd w:val="clear" w:color="auto" w:fill="auto"/>
            <w:noWrap/>
            <w:vAlign w:val="bottom"/>
            <w:hideMark/>
          </w:tcPr>
          <w:p w14:paraId="4107CD7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Usluge tekućeg i investicijskog održavanja                                                          </w:t>
            </w:r>
          </w:p>
        </w:tc>
        <w:tc>
          <w:tcPr>
            <w:tcW w:w="1480" w:type="dxa"/>
            <w:tcBorders>
              <w:top w:val="nil"/>
              <w:left w:val="nil"/>
              <w:bottom w:val="nil"/>
              <w:right w:val="nil"/>
            </w:tcBorders>
            <w:shd w:val="clear" w:color="auto" w:fill="auto"/>
            <w:noWrap/>
            <w:vAlign w:val="bottom"/>
            <w:hideMark/>
          </w:tcPr>
          <w:p w14:paraId="63610DD0"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1D5BD362"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918,74</w:t>
            </w:r>
          </w:p>
        </w:tc>
        <w:tc>
          <w:tcPr>
            <w:tcW w:w="1400" w:type="dxa"/>
            <w:tcBorders>
              <w:top w:val="nil"/>
              <w:left w:val="nil"/>
              <w:bottom w:val="nil"/>
              <w:right w:val="nil"/>
            </w:tcBorders>
            <w:shd w:val="clear" w:color="auto" w:fill="auto"/>
            <w:noWrap/>
            <w:vAlign w:val="bottom"/>
            <w:hideMark/>
          </w:tcPr>
          <w:p w14:paraId="66C922E0"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211B12CC" w14:textId="77777777" w:rsidTr="00A360DB">
        <w:trPr>
          <w:trHeight w:val="240"/>
        </w:trPr>
        <w:tc>
          <w:tcPr>
            <w:tcW w:w="1697" w:type="dxa"/>
            <w:tcBorders>
              <w:top w:val="nil"/>
              <w:left w:val="nil"/>
              <w:bottom w:val="nil"/>
              <w:right w:val="nil"/>
            </w:tcBorders>
            <w:shd w:val="clear" w:color="auto" w:fill="auto"/>
            <w:noWrap/>
            <w:vAlign w:val="bottom"/>
            <w:hideMark/>
          </w:tcPr>
          <w:p w14:paraId="7415246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3237</w:t>
            </w:r>
          </w:p>
        </w:tc>
        <w:tc>
          <w:tcPr>
            <w:tcW w:w="8509" w:type="dxa"/>
            <w:tcBorders>
              <w:top w:val="nil"/>
              <w:left w:val="nil"/>
              <w:bottom w:val="nil"/>
              <w:right w:val="nil"/>
            </w:tcBorders>
            <w:shd w:val="clear" w:color="auto" w:fill="auto"/>
            <w:noWrap/>
            <w:vAlign w:val="bottom"/>
            <w:hideMark/>
          </w:tcPr>
          <w:p w14:paraId="6A21C11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Intelektualne i osobne usluge                                                                       </w:t>
            </w:r>
          </w:p>
        </w:tc>
        <w:tc>
          <w:tcPr>
            <w:tcW w:w="1480" w:type="dxa"/>
            <w:tcBorders>
              <w:top w:val="nil"/>
              <w:left w:val="nil"/>
              <w:bottom w:val="nil"/>
              <w:right w:val="nil"/>
            </w:tcBorders>
            <w:shd w:val="clear" w:color="auto" w:fill="auto"/>
            <w:noWrap/>
            <w:vAlign w:val="bottom"/>
            <w:hideMark/>
          </w:tcPr>
          <w:p w14:paraId="2BFA0C3D"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2B45B6D"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176,25</w:t>
            </w:r>
          </w:p>
        </w:tc>
        <w:tc>
          <w:tcPr>
            <w:tcW w:w="1400" w:type="dxa"/>
            <w:tcBorders>
              <w:top w:val="nil"/>
              <w:left w:val="nil"/>
              <w:bottom w:val="nil"/>
              <w:right w:val="nil"/>
            </w:tcBorders>
            <w:shd w:val="clear" w:color="auto" w:fill="auto"/>
            <w:noWrap/>
            <w:vAlign w:val="bottom"/>
            <w:hideMark/>
          </w:tcPr>
          <w:p w14:paraId="4C242137"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64C6C96" w14:textId="77777777" w:rsidTr="00A360DB">
        <w:trPr>
          <w:trHeight w:val="240"/>
        </w:trPr>
        <w:tc>
          <w:tcPr>
            <w:tcW w:w="1697" w:type="dxa"/>
            <w:tcBorders>
              <w:top w:val="nil"/>
              <w:left w:val="nil"/>
              <w:bottom w:val="nil"/>
              <w:right w:val="nil"/>
            </w:tcBorders>
            <w:shd w:val="clear" w:color="auto" w:fill="auto"/>
            <w:noWrap/>
            <w:vAlign w:val="bottom"/>
            <w:hideMark/>
          </w:tcPr>
          <w:p w14:paraId="26ACF17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3299</w:t>
            </w:r>
          </w:p>
        </w:tc>
        <w:tc>
          <w:tcPr>
            <w:tcW w:w="8509" w:type="dxa"/>
            <w:tcBorders>
              <w:top w:val="nil"/>
              <w:left w:val="nil"/>
              <w:bottom w:val="nil"/>
              <w:right w:val="nil"/>
            </w:tcBorders>
            <w:shd w:val="clear" w:color="auto" w:fill="auto"/>
            <w:noWrap/>
            <w:vAlign w:val="bottom"/>
            <w:hideMark/>
          </w:tcPr>
          <w:p w14:paraId="53B7C4B5"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Ostali nespomenuti rashodi poslovanja                                                               </w:t>
            </w:r>
          </w:p>
        </w:tc>
        <w:tc>
          <w:tcPr>
            <w:tcW w:w="1480" w:type="dxa"/>
            <w:tcBorders>
              <w:top w:val="nil"/>
              <w:left w:val="nil"/>
              <w:bottom w:val="nil"/>
              <w:right w:val="nil"/>
            </w:tcBorders>
            <w:shd w:val="clear" w:color="auto" w:fill="auto"/>
            <w:noWrap/>
            <w:vAlign w:val="bottom"/>
            <w:hideMark/>
          </w:tcPr>
          <w:p w14:paraId="4C023E3A"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D1A152F"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1.813,62</w:t>
            </w:r>
          </w:p>
        </w:tc>
        <w:tc>
          <w:tcPr>
            <w:tcW w:w="1400" w:type="dxa"/>
            <w:tcBorders>
              <w:top w:val="nil"/>
              <w:left w:val="nil"/>
              <w:bottom w:val="nil"/>
              <w:right w:val="nil"/>
            </w:tcBorders>
            <w:shd w:val="clear" w:color="auto" w:fill="auto"/>
            <w:noWrap/>
            <w:vAlign w:val="bottom"/>
            <w:hideMark/>
          </w:tcPr>
          <w:p w14:paraId="3CAB64F2"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448F822"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CEE73B6"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5. Pomoći</w:t>
            </w:r>
          </w:p>
        </w:tc>
        <w:tc>
          <w:tcPr>
            <w:tcW w:w="1480" w:type="dxa"/>
            <w:tcBorders>
              <w:top w:val="nil"/>
              <w:left w:val="nil"/>
              <w:bottom w:val="nil"/>
              <w:right w:val="nil"/>
            </w:tcBorders>
            <w:shd w:val="clear" w:color="auto" w:fill="auto"/>
            <w:noWrap/>
            <w:vAlign w:val="bottom"/>
            <w:hideMark/>
          </w:tcPr>
          <w:p w14:paraId="32D9CFF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2.394.610,00</w:t>
            </w:r>
          </w:p>
        </w:tc>
        <w:tc>
          <w:tcPr>
            <w:tcW w:w="1380" w:type="dxa"/>
            <w:tcBorders>
              <w:top w:val="nil"/>
              <w:left w:val="nil"/>
              <w:bottom w:val="nil"/>
              <w:right w:val="nil"/>
            </w:tcBorders>
            <w:shd w:val="clear" w:color="auto" w:fill="auto"/>
            <w:noWrap/>
            <w:vAlign w:val="bottom"/>
            <w:hideMark/>
          </w:tcPr>
          <w:p w14:paraId="690B9E60" w14:textId="45414298"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2.3</w:t>
            </w:r>
            <w:r w:rsidR="00B46E7B">
              <w:rPr>
                <w:rFonts w:ascii="Arial" w:hAnsi="Arial" w:cs="Arial"/>
                <w:b/>
                <w:bCs/>
                <w:color w:val="333333"/>
                <w:sz w:val="18"/>
                <w:szCs w:val="18"/>
                <w:lang w:eastAsia="hr-HR"/>
              </w:rPr>
              <w:t>83.979,73</w:t>
            </w:r>
          </w:p>
        </w:tc>
        <w:tc>
          <w:tcPr>
            <w:tcW w:w="1400" w:type="dxa"/>
            <w:tcBorders>
              <w:top w:val="nil"/>
              <w:left w:val="nil"/>
              <w:bottom w:val="nil"/>
              <w:right w:val="nil"/>
            </w:tcBorders>
            <w:shd w:val="clear" w:color="auto" w:fill="auto"/>
            <w:noWrap/>
            <w:vAlign w:val="bottom"/>
            <w:hideMark/>
          </w:tcPr>
          <w:p w14:paraId="7DC7C7CD" w14:textId="6E7396F2"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99,</w:t>
            </w:r>
            <w:r w:rsidR="00B46E7B">
              <w:rPr>
                <w:rFonts w:ascii="Arial" w:hAnsi="Arial" w:cs="Arial"/>
                <w:b/>
                <w:bCs/>
                <w:color w:val="333333"/>
                <w:sz w:val="18"/>
                <w:szCs w:val="18"/>
                <w:lang w:eastAsia="hr-HR"/>
              </w:rPr>
              <w:t>56</w:t>
            </w:r>
            <w:r w:rsidRPr="00A360DB">
              <w:rPr>
                <w:rFonts w:ascii="Arial" w:hAnsi="Arial" w:cs="Arial"/>
                <w:b/>
                <w:bCs/>
                <w:color w:val="333333"/>
                <w:sz w:val="18"/>
                <w:szCs w:val="18"/>
                <w:lang w:eastAsia="hr-HR"/>
              </w:rPr>
              <w:t>%</w:t>
            </w:r>
          </w:p>
        </w:tc>
      </w:tr>
      <w:tr w:rsidR="00A360DB" w:rsidRPr="00A360DB" w14:paraId="0CA65026"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2E642983"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5.1. Županijski proračun</w:t>
            </w:r>
          </w:p>
        </w:tc>
        <w:tc>
          <w:tcPr>
            <w:tcW w:w="1480" w:type="dxa"/>
            <w:tcBorders>
              <w:top w:val="nil"/>
              <w:left w:val="nil"/>
              <w:bottom w:val="nil"/>
              <w:right w:val="nil"/>
            </w:tcBorders>
            <w:shd w:val="clear" w:color="auto" w:fill="auto"/>
            <w:noWrap/>
            <w:vAlign w:val="bottom"/>
            <w:hideMark/>
          </w:tcPr>
          <w:p w14:paraId="5399557D"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1.800,00</w:t>
            </w:r>
          </w:p>
        </w:tc>
        <w:tc>
          <w:tcPr>
            <w:tcW w:w="1380" w:type="dxa"/>
            <w:tcBorders>
              <w:top w:val="nil"/>
              <w:left w:val="nil"/>
              <w:bottom w:val="nil"/>
              <w:right w:val="nil"/>
            </w:tcBorders>
            <w:shd w:val="clear" w:color="auto" w:fill="auto"/>
            <w:noWrap/>
            <w:vAlign w:val="bottom"/>
            <w:hideMark/>
          </w:tcPr>
          <w:p w14:paraId="3C718084"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1.792,98</w:t>
            </w:r>
          </w:p>
        </w:tc>
        <w:tc>
          <w:tcPr>
            <w:tcW w:w="1400" w:type="dxa"/>
            <w:tcBorders>
              <w:top w:val="nil"/>
              <w:left w:val="nil"/>
              <w:bottom w:val="nil"/>
              <w:right w:val="nil"/>
            </w:tcBorders>
            <w:shd w:val="clear" w:color="auto" w:fill="auto"/>
            <w:noWrap/>
            <w:vAlign w:val="bottom"/>
            <w:hideMark/>
          </w:tcPr>
          <w:p w14:paraId="695C1534"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99,61%</w:t>
            </w:r>
          </w:p>
        </w:tc>
      </w:tr>
      <w:tr w:rsidR="00A360DB" w:rsidRPr="00A360DB" w14:paraId="13231CFB" w14:textId="77777777" w:rsidTr="00A360DB">
        <w:trPr>
          <w:trHeight w:val="240"/>
        </w:trPr>
        <w:tc>
          <w:tcPr>
            <w:tcW w:w="1697" w:type="dxa"/>
            <w:tcBorders>
              <w:top w:val="nil"/>
              <w:left w:val="nil"/>
              <w:bottom w:val="nil"/>
              <w:right w:val="nil"/>
            </w:tcBorders>
            <w:shd w:val="clear" w:color="auto" w:fill="auto"/>
            <w:noWrap/>
            <w:vAlign w:val="bottom"/>
            <w:hideMark/>
          </w:tcPr>
          <w:p w14:paraId="635D76A1"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139CDA81"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03773C7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1.800,00</w:t>
            </w:r>
          </w:p>
        </w:tc>
        <w:tc>
          <w:tcPr>
            <w:tcW w:w="1380" w:type="dxa"/>
            <w:tcBorders>
              <w:top w:val="nil"/>
              <w:left w:val="nil"/>
              <w:bottom w:val="nil"/>
              <w:right w:val="nil"/>
            </w:tcBorders>
            <w:shd w:val="clear" w:color="auto" w:fill="auto"/>
            <w:noWrap/>
            <w:vAlign w:val="bottom"/>
            <w:hideMark/>
          </w:tcPr>
          <w:p w14:paraId="105669A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1.792,98</w:t>
            </w:r>
          </w:p>
        </w:tc>
        <w:tc>
          <w:tcPr>
            <w:tcW w:w="1400" w:type="dxa"/>
            <w:tcBorders>
              <w:top w:val="nil"/>
              <w:left w:val="nil"/>
              <w:bottom w:val="nil"/>
              <w:right w:val="nil"/>
            </w:tcBorders>
            <w:shd w:val="clear" w:color="auto" w:fill="auto"/>
            <w:noWrap/>
            <w:vAlign w:val="bottom"/>
            <w:hideMark/>
          </w:tcPr>
          <w:p w14:paraId="5E202B1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99,61%</w:t>
            </w:r>
          </w:p>
        </w:tc>
      </w:tr>
      <w:tr w:rsidR="00A360DB" w:rsidRPr="00A360DB" w14:paraId="3800D678" w14:textId="77777777" w:rsidTr="00A360DB">
        <w:trPr>
          <w:trHeight w:val="240"/>
        </w:trPr>
        <w:tc>
          <w:tcPr>
            <w:tcW w:w="1697" w:type="dxa"/>
            <w:tcBorders>
              <w:top w:val="nil"/>
              <w:left w:val="nil"/>
              <w:bottom w:val="nil"/>
              <w:right w:val="nil"/>
            </w:tcBorders>
            <w:shd w:val="clear" w:color="auto" w:fill="auto"/>
            <w:noWrap/>
            <w:vAlign w:val="bottom"/>
            <w:hideMark/>
          </w:tcPr>
          <w:p w14:paraId="451B7F0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3222</w:t>
            </w:r>
          </w:p>
        </w:tc>
        <w:tc>
          <w:tcPr>
            <w:tcW w:w="8509" w:type="dxa"/>
            <w:tcBorders>
              <w:top w:val="nil"/>
              <w:left w:val="nil"/>
              <w:bottom w:val="nil"/>
              <w:right w:val="nil"/>
            </w:tcBorders>
            <w:shd w:val="clear" w:color="auto" w:fill="auto"/>
            <w:noWrap/>
            <w:vAlign w:val="bottom"/>
            <w:hideMark/>
          </w:tcPr>
          <w:p w14:paraId="4AE62CED"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Materijal i sirovine                                                                                </w:t>
            </w:r>
          </w:p>
        </w:tc>
        <w:tc>
          <w:tcPr>
            <w:tcW w:w="1480" w:type="dxa"/>
            <w:tcBorders>
              <w:top w:val="nil"/>
              <w:left w:val="nil"/>
              <w:bottom w:val="nil"/>
              <w:right w:val="nil"/>
            </w:tcBorders>
            <w:shd w:val="clear" w:color="auto" w:fill="auto"/>
            <w:noWrap/>
            <w:vAlign w:val="bottom"/>
            <w:hideMark/>
          </w:tcPr>
          <w:p w14:paraId="7B566F10"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DEFB964"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497,07</w:t>
            </w:r>
          </w:p>
        </w:tc>
        <w:tc>
          <w:tcPr>
            <w:tcW w:w="1400" w:type="dxa"/>
            <w:tcBorders>
              <w:top w:val="nil"/>
              <w:left w:val="nil"/>
              <w:bottom w:val="nil"/>
              <w:right w:val="nil"/>
            </w:tcBorders>
            <w:shd w:val="clear" w:color="auto" w:fill="auto"/>
            <w:noWrap/>
            <w:vAlign w:val="bottom"/>
            <w:hideMark/>
          </w:tcPr>
          <w:p w14:paraId="30A7FF7B"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E23BCAB" w14:textId="77777777" w:rsidTr="00A360DB">
        <w:trPr>
          <w:trHeight w:val="240"/>
        </w:trPr>
        <w:tc>
          <w:tcPr>
            <w:tcW w:w="1697" w:type="dxa"/>
            <w:tcBorders>
              <w:top w:val="nil"/>
              <w:left w:val="nil"/>
              <w:bottom w:val="nil"/>
              <w:right w:val="nil"/>
            </w:tcBorders>
            <w:shd w:val="clear" w:color="auto" w:fill="auto"/>
            <w:noWrap/>
            <w:vAlign w:val="bottom"/>
            <w:hideMark/>
          </w:tcPr>
          <w:p w14:paraId="133089B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3231</w:t>
            </w:r>
          </w:p>
        </w:tc>
        <w:tc>
          <w:tcPr>
            <w:tcW w:w="8509" w:type="dxa"/>
            <w:tcBorders>
              <w:top w:val="nil"/>
              <w:left w:val="nil"/>
              <w:bottom w:val="nil"/>
              <w:right w:val="nil"/>
            </w:tcBorders>
            <w:shd w:val="clear" w:color="auto" w:fill="auto"/>
            <w:noWrap/>
            <w:vAlign w:val="bottom"/>
            <w:hideMark/>
          </w:tcPr>
          <w:p w14:paraId="481F2BC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Usluge telefona, pošte i prijevoza                                                                  </w:t>
            </w:r>
          </w:p>
        </w:tc>
        <w:tc>
          <w:tcPr>
            <w:tcW w:w="1480" w:type="dxa"/>
            <w:tcBorders>
              <w:top w:val="nil"/>
              <w:left w:val="nil"/>
              <w:bottom w:val="nil"/>
              <w:right w:val="nil"/>
            </w:tcBorders>
            <w:shd w:val="clear" w:color="auto" w:fill="auto"/>
            <w:noWrap/>
            <w:vAlign w:val="bottom"/>
            <w:hideMark/>
          </w:tcPr>
          <w:p w14:paraId="6EE07C3D"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50B1A69"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900,00</w:t>
            </w:r>
          </w:p>
        </w:tc>
        <w:tc>
          <w:tcPr>
            <w:tcW w:w="1400" w:type="dxa"/>
            <w:tcBorders>
              <w:top w:val="nil"/>
              <w:left w:val="nil"/>
              <w:bottom w:val="nil"/>
              <w:right w:val="nil"/>
            </w:tcBorders>
            <w:shd w:val="clear" w:color="auto" w:fill="auto"/>
            <w:noWrap/>
            <w:vAlign w:val="bottom"/>
            <w:hideMark/>
          </w:tcPr>
          <w:p w14:paraId="0600F781"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BF12592" w14:textId="77777777" w:rsidTr="00A360DB">
        <w:trPr>
          <w:trHeight w:val="240"/>
        </w:trPr>
        <w:tc>
          <w:tcPr>
            <w:tcW w:w="1697" w:type="dxa"/>
            <w:tcBorders>
              <w:top w:val="nil"/>
              <w:left w:val="nil"/>
              <w:bottom w:val="nil"/>
              <w:right w:val="nil"/>
            </w:tcBorders>
            <w:shd w:val="clear" w:color="auto" w:fill="auto"/>
            <w:noWrap/>
            <w:vAlign w:val="bottom"/>
            <w:hideMark/>
          </w:tcPr>
          <w:p w14:paraId="6C09DDC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3237</w:t>
            </w:r>
          </w:p>
        </w:tc>
        <w:tc>
          <w:tcPr>
            <w:tcW w:w="8509" w:type="dxa"/>
            <w:tcBorders>
              <w:top w:val="nil"/>
              <w:left w:val="nil"/>
              <w:bottom w:val="nil"/>
              <w:right w:val="nil"/>
            </w:tcBorders>
            <w:shd w:val="clear" w:color="auto" w:fill="auto"/>
            <w:noWrap/>
            <w:vAlign w:val="bottom"/>
            <w:hideMark/>
          </w:tcPr>
          <w:p w14:paraId="518E56FD"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Intelektualne i osobne usluge                                                                       </w:t>
            </w:r>
          </w:p>
        </w:tc>
        <w:tc>
          <w:tcPr>
            <w:tcW w:w="1480" w:type="dxa"/>
            <w:tcBorders>
              <w:top w:val="nil"/>
              <w:left w:val="nil"/>
              <w:bottom w:val="nil"/>
              <w:right w:val="nil"/>
            </w:tcBorders>
            <w:shd w:val="clear" w:color="auto" w:fill="auto"/>
            <w:noWrap/>
            <w:vAlign w:val="bottom"/>
            <w:hideMark/>
          </w:tcPr>
          <w:p w14:paraId="5CAC0233"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DDD33A5"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395,91</w:t>
            </w:r>
          </w:p>
        </w:tc>
        <w:tc>
          <w:tcPr>
            <w:tcW w:w="1400" w:type="dxa"/>
            <w:tcBorders>
              <w:top w:val="nil"/>
              <w:left w:val="nil"/>
              <w:bottom w:val="nil"/>
              <w:right w:val="nil"/>
            </w:tcBorders>
            <w:shd w:val="clear" w:color="auto" w:fill="auto"/>
            <w:noWrap/>
            <w:vAlign w:val="bottom"/>
            <w:hideMark/>
          </w:tcPr>
          <w:p w14:paraId="3A1327F8"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59F40F6"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3D3B08AA"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5.2. Državni proračun</w:t>
            </w:r>
          </w:p>
        </w:tc>
        <w:tc>
          <w:tcPr>
            <w:tcW w:w="1480" w:type="dxa"/>
            <w:tcBorders>
              <w:top w:val="nil"/>
              <w:left w:val="nil"/>
              <w:bottom w:val="nil"/>
              <w:right w:val="nil"/>
            </w:tcBorders>
            <w:shd w:val="clear" w:color="auto" w:fill="auto"/>
            <w:noWrap/>
            <w:vAlign w:val="bottom"/>
            <w:hideMark/>
          </w:tcPr>
          <w:p w14:paraId="1CC82532"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2.392.810,00</w:t>
            </w:r>
          </w:p>
        </w:tc>
        <w:tc>
          <w:tcPr>
            <w:tcW w:w="1380" w:type="dxa"/>
            <w:tcBorders>
              <w:top w:val="nil"/>
              <w:left w:val="nil"/>
              <w:bottom w:val="nil"/>
              <w:right w:val="nil"/>
            </w:tcBorders>
            <w:shd w:val="clear" w:color="auto" w:fill="auto"/>
            <w:noWrap/>
            <w:vAlign w:val="bottom"/>
            <w:hideMark/>
          </w:tcPr>
          <w:p w14:paraId="4547B4EC" w14:textId="567E93C5"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2.3</w:t>
            </w:r>
            <w:r w:rsidR="00B46E7B">
              <w:rPr>
                <w:rFonts w:ascii="Arial" w:hAnsi="Arial" w:cs="Arial"/>
                <w:color w:val="333333"/>
                <w:sz w:val="18"/>
                <w:szCs w:val="18"/>
                <w:lang w:eastAsia="hr-HR"/>
              </w:rPr>
              <w:t>82.186,75</w:t>
            </w:r>
          </w:p>
        </w:tc>
        <w:tc>
          <w:tcPr>
            <w:tcW w:w="1400" w:type="dxa"/>
            <w:tcBorders>
              <w:top w:val="nil"/>
              <w:left w:val="nil"/>
              <w:bottom w:val="nil"/>
              <w:right w:val="nil"/>
            </w:tcBorders>
            <w:shd w:val="clear" w:color="auto" w:fill="auto"/>
            <w:noWrap/>
            <w:vAlign w:val="bottom"/>
            <w:hideMark/>
          </w:tcPr>
          <w:p w14:paraId="6AF49FB1" w14:textId="18EB7DBC"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99,</w:t>
            </w:r>
            <w:r w:rsidR="00B46E7B">
              <w:rPr>
                <w:rFonts w:ascii="Arial" w:hAnsi="Arial" w:cs="Arial"/>
                <w:color w:val="333333"/>
                <w:sz w:val="18"/>
                <w:szCs w:val="18"/>
                <w:lang w:eastAsia="hr-HR"/>
              </w:rPr>
              <w:t>56</w:t>
            </w:r>
            <w:r w:rsidRPr="00A360DB">
              <w:rPr>
                <w:rFonts w:ascii="Arial" w:hAnsi="Arial" w:cs="Arial"/>
                <w:color w:val="333333"/>
                <w:sz w:val="18"/>
                <w:szCs w:val="18"/>
                <w:lang w:eastAsia="hr-HR"/>
              </w:rPr>
              <w:t>%</w:t>
            </w:r>
          </w:p>
        </w:tc>
      </w:tr>
      <w:tr w:rsidR="00A360DB" w:rsidRPr="00A360DB" w14:paraId="5947B724" w14:textId="77777777" w:rsidTr="00A360DB">
        <w:trPr>
          <w:trHeight w:val="240"/>
        </w:trPr>
        <w:tc>
          <w:tcPr>
            <w:tcW w:w="1697" w:type="dxa"/>
            <w:tcBorders>
              <w:top w:val="nil"/>
              <w:left w:val="nil"/>
              <w:bottom w:val="nil"/>
              <w:right w:val="nil"/>
            </w:tcBorders>
            <w:shd w:val="clear" w:color="auto" w:fill="auto"/>
            <w:noWrap/>
            <w:vAlign w:val="bottom"/>
            <w:hideMark/>
          </w:tcPr>
          <w:p w14:paraId="098BFA5B"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31</w:t>
            </w:r>
          </w:p>
        </w:tc>
        <w:tc>
          <w:tcPr>
            <w:tcW w:w="8509" w:type="dxa"/>
            <w:tcBorders>
              <w:top w:val="nil"/>
              <w:left w:val="nil"/>
              <w:bottom w:val="nil"/>
              <w:right w:val="nil"/>
            </w:tcBorders>
            <w:shd w:val="clear" w:color="auto" w:fill="auto"/>
            <w:noWrap/>
            <w:vAlign w:val="bottom"/>
            <w:hideMark/>
          </w:tcPr>
          <w:p w14:paraId="5A10387E"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zaposlene                                                                                </w:t>
            </w:r>
          </w:p>
        </w:tc>
        <w:tc>
          <w:tcPr>
            <w:tcW w:w="1480" w:type="dxa"/>
            <w:tcBorders>
              <w:top w:val="nil"/>
              <w:left w:val="nil"/>
              <w:bottom w:val="nil"/>
              <w:right w:val="nil"/>
            </w:tcBorders>
            <w:shd w:val="clear" w:color="auto" w:fill="auto"/>
            <w:noWrap/>
            <w:vAlign w:val="bottom"/>
            <w:hideMark/>
          </w:tcPr>
          <w:p w14:paraId="3B5425E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2.265.700,00</w:t>
            </w:r>
          </w:p>
        </w:tc>
        <w:tc>
          <w:tcPr>
            <w:tcW w:w="1380" w:type="dxa"/>
            <w:tcBorders>
              <w:top w:val="nil"/>
              <w:left w:val="nil"/>
              <w:bottom w:val="nil"/>
              <w:right w:val="nil"/>
            </w:tcBorders>
            <w:shd w:val="clear" w:color="auto" w:fill="auto"/>
            <w:noWrap/>
            <w:vAlign w:val="bottom"/>
            <w:hideMark/>
          </w:tcPr>
          <w:p w14:paraId="263EA027" w14:textId="29029635"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2.2</w:t>
            </w:r>
            <w:r w:rsidR="004554BB">
              <w:rPr>
                <w:rFonts w:ascii="Arial" w:hAnsi="Arial" w:cs="Arial"/>
                <w:b/>
                <w:bCs/>
                <w:sz w:val="18"/>
                <w:szCs w:val="18"/>
                <w:lang w:eastAsia="hr-HR"/>
              </w:rPr>
              <w:t>57.964,05</w:t>
            </w:r>
          </w:p>
        </w:tc>
        <w:tc>
          <w:tcPr>
            <w:tcW w:w="1400" w:type="dxa"/>
            <w:tcBorders>
              <w:top w:val="nil"/>
              <w:left w:val="nil"/>
              <w:bottom w:val="nil"/>
              <w:right w:val="nil"/>
            </w:tcBorders>
            <w:shd w:val="clear" w:color="auto" w:fill="auto"/>
            <w:noWrap/>
            <w:vAlign w:val="bottom"/>
            <w:hideMark/>
          </w:tcPr>
          <w:p w14:paraId="4B92C977" w14:textId="5F70C96B"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99,</w:t>
            </w:r>
            <w:r w:rsidR="004554BB">
              <w:rPr>
                <w:rFonts w:ascii="Arial" w:hAnsi="Arial" w:cs="Arial"/>
                <w:b/>
                <w:bCs/>
                <w:sz w:val="18"/>
                <w:szCs w:val="18"/>
                <w:lang w:eastAsia="hr-HR"/>
              </w:rPr>
              <w:t>66</w:t>
            </w:r>
            <w:r w:rsidRPr="00A360DB">
              <w:rPr>
                <w:rFonts w:ascii="Arial" w:hAnsi="Arial" w:cs="Arial"/>
                <w:b/>
                <w:bCs/>
                <w:sz w:val="18"/>
                <w:szCs w:val="18"/>
                <w:lang w:eastAsia="hr-HR"/>
              </w:rPr>
              <w:t>%</w:t>
            </w:r>
          </w:p>
        </w:tc>
      </w:tr>
      <w:tr w:rsidR="00A360DB" w:rsidRPr="00A360DB" w14:paraId="41CF0456" w14:textId="77777777" w:rsidTr="00A360DB">
        <w:trPr>
          <w:trHeight w:val="240"/>
        </w:trPr>
        <w:tc>
          <w:tcPr>
            <w:tcW w:w="1697" w:type="dxa"/>
            <w:tcBorders>
              <w:top w:val="nil"/>
              <w:left w:val="nil"/>
              <w:bottom w:val="nil"/>
              <w:right w:val="nil"/>
            </w:tcBorders>
            <w:shd w:val="clear" w:color="auto" w:fill="auto"/>
            <w:noWrap/>
            <w:vAlign w:val="bottom"/>
            <w:hideMark/>
          </w:tcPr>
          <w:p w14:paraId="2F49C2E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3111</w:t>
            </w:r>
          </w:p>
        </w:tc>
        <w:tc>
          <w:tcPr>
            <w:tcW w:w="8509" w:type="dxa"/>
            <w:tcBorders>
              <w:top w:val="nil"/>
              <w:left w:val="nil"/>
              <w:bottom w:val="nil"/>
              <w:right w:val="nil"/>
            </w:tcBorders>
            <w:shd w:val="clear" w:color="auto" w:fill="auto"/>
            <w:noWrap/>
            <w:vAlign w:val="bottom"/>
            <w:hideMark/>
          </w:tcPr>
          <w:p w14:paraId="3BC72E8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Plaće za redovan rad                                                                                </w:t>
            </w:r>
          </w:p>
        </w:tc>
        <w:tc>
          <w:tcPr>
            <w:tcW w:w="1480" w:type="dxa"/>
            <w:tcBorders>
              <w:top w:val="nil"/>
              <w:left w:val="nil"/>
              <w:bottom w:val="nil"/>
              <w:right w:val="nil"/>
            </w:tcBorders>
            <w:shd w:val="clear" w:color="auto" w:fill="auto"/>
            <w:noWrap/>
            <w:vAlign w:val="bottom"/>
            <w:hideMark/>
          </w:tcPr>
          <w:p w14:paraId="6350A843"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28540D86"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1.867.119,90</w:t>
            </w:r>
          </w:p>
        </w:tc>
        <w:tc>
          <w:tcPr>
            <w:tcW w:w="1400" w:type="dxa"/>
            <w:tcBorders>
              <w:top w:val="nil"/>
              <w:left w:val="nil"/>
              <w:bottom w:val="nil"/>
              <w:right w:val="nil"/>
            </w:tcBorders>
            <w:shd w:val="clear" w:color="auto" w:fill="auto"/>
            <w:noWrap/>
            <w:vAlign w:val="bottom"/>
            <w:hideMark/>
          </w:tcPr>
          <w:p w14:paraId="3B9798D5"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21929164" w14:textId="77777777" w:rsidTr="00A360DB">
        <w:trPr>
          <w:trHeight w:val="240"/>
        </w:trPr>
        <w:tc>
          <w:tcPr>
            <w:tcW w:w="1697" w:type="dxa"/>
            <w:tcBorders>
              <w:top w:val="nil"/>
              <w:left w:val="nil"/>
              <w:bottom w:val="nil"/>
              <w:right w:val="nil"/>
            </w:tcBorders>
            <w:shd w:val="clear" w:color="auto" w:fill="auto"/>
            <w:noWrap/>
            <w:vAlign w:val="bottom"/>
            <w:hideMark/>
          </w:tcPr>
          <w:p w14:paraId="3DE632B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3121</w:t>
            </w:r>
          </w:p>
        </w:tc>
        <w:tc>
          <w:tcPr>
            <w:tcW w:w="8509" w:type="dxa"/>
            <w:tcBorders>
              <w:top w:val="nil"/>
              <w:left w:val="nil"/>
              <w:bottom w:val="nil"/>
              <w:right w:val="nil"/>
            </w:tcBorders>
            <w:shd w:val="clear" w:color="auto" w:fill="auto"/>
            <w:noWrap/>
            <w:vAlign w:val="bottom"/>
            <w:hideMark/>
          </w:tcPr>
          <w:p w14:paraId="43350175"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Ostali rashodi za zaposlene                                                                         </w:t>
            </w:r>
          </w:p>
        </w:tc>
        <w:tc>
          <w:tcPr>
            <w:tcW w:w="1480" w:type="dxa"/>
            <w:tcBorders>
              <w:top w:val="nil"/>
              <w:left w:val="nil"/>
              <w:bottom w:val="nil"/>
              <w:right w:val="nil"/>
            </w:tcBorders>
            <w:shd w:val="clear" w:color="auto" w:fill="auto"/>
            <w:noWrap/>
            <w:vAlign w:val="bottom"/>
            <w:hideMark/>
          </w:tcPr>
          <w:p w14:paraId="6385B0F4"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1AE27D79" w14:textId="39284AD0" w:rsidR="00A360DB" w:rsidRPr="00A360DB" w:rsidRDefault="004554BB" w:rsidP="00A360DB">
            <w:pPr>
              <w:spacing w:after="0" w:line="240" w:lineRule="auto"/>
              <w:jc w:val="right"/>
              <w:rPr>
                <w:rFonts w:ascii="Arial" w:hAnsi="Arial" w:cs="Arial"/>
                <w:sz w:val="18"/>
                <w:szCs w:val="18"/>
                <w:lang w:eastAsia="hr-HR"/>
              </w:rPr>
            </w:pPr>
            <w:r>
              <w:rPr>
                <w:rFonts w:ascii="Arial" w:hAnsi="Arial" w:cs="Arial"/>
                <w:sz w:val="18"/>
                <w:szCs w:val="18"/>
                <w:lang w:eastAsia="hr-HR"/>
              </w:rPr>
              <w:t>84.563,23</w:t>
            </w:r>
          </w:p>
        </w:tc>
        <w:tc>
          <w:tcPr>
            <w:tcW w:w="1400" w:type="dxa"/>
            <w:tcBorders>
              <w:top w:val="nil"/>
              <w:left w:val="nil"/>
              <w:bottom w:val="nil"/>
              <w:right w:val="nil"/>
            </w:tcBorders>
            <w:shd w:val="clear" w:color="auto" w:fill="auto"/>
            <w:noWrap/>
            <w:vAlign w:val="bottom"/>
            <w:hideMark/>
          </w:tcPr>
          <w:p w14:paraId="7DF455F5"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DF7A75E" w14:textId="77777777" w:rsidTr="00A360DB">
        <w:trPr>
          <w:trHeight w:val="240"/>
        </w:trPr>
        <w:tc>
          <w:tcPr>
            <w:tcW w:w="1697" w:type="dxa"/>
            <w:tcBorders>
              <w:top w:val="nil"/>
              <w:left w:val="nil"/>
              <w:bottom w:val="nil"/>
              <w:right w:val="nil"/>
            </w:tcBorders>
            <w:shd w:val="clear" w:color="auto" w:fill="auto"/>
            <w:noWrap/>
            <w:vAlign w:val="bottom"/>
            <w:hideMark/>
          </w:tcPr>
          <w:p w14:paraId="0EE066B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3132</w:t>
            </w:r>
          </w:p>
        </w:tc>
        <w:tc>
          <w:tcPr>
            <w:tcW w:w="8509" w:type="dxa"/>
            <w:tcBorders>
              <w:top w:val="nil"/>
              <w:left w:val="nil"/>
              <w:bottom w:val="nil"/>
              <w:right w:val="nil"/>
            </w:tcBorders>
            <w:shd w:val="clear" w:color="auto" w:fill="auto"/>
            <w:noWrap/>
            <w:vAlign w:val="bottom"/>
            <w:hideMark/>
          </w:tcPr>
          <w:p w14:paraId="51D08B7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Doprinosi za obvezno zdravstveno osiguranje                                                         </w:t>
            </w:r>
          </w:p>
        </w:tc>
        <w:tc>
          <w:tcPr>
            <w:tcW w:w="1480" w:type="dxa"/>
            <w:tcBorders>
              <w:top w:val="nil"/>
              <w:left w:val="nil"/>
              <w:bottom w:val="nil"/>
              <w:right w:val="nil"/>
            </w:tcBorders>
            <w:shd w:val="clear" w:color="auto" w:fill="auto"/>
            <w:noWrap/>
            <w:vAlign w:val="bottom"/>
            <w:hideMark/>
          </w:tcPr>
          <w:p w14:paraId="48821A2F"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2335664"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306.280,92</w:t>
            </w:r>
          </w:p>
        </w:tc>
        <w:tc>
          <w:tcPr>
            <w:tcW w:w="1400" w:type="dxa"/>
            <w:tcBorders>
              <w:top w:val="nil"/>
              <w:left w:val="nil"/>
              <w:bottom w:val="nil"/>
              <w:right w:val="nil"/>
            </w:tcBorders>
            <w:shd w:val="clear" w:color="auto" w:fill="auto"/>
            <w:noWrap/>
            <w:vAlign w:val="bottom"/>
            <w:hideMark/>
          </w:tcPr>
          <w:p w14:paraId="46860196"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4799501" w14:textId="77777777" w:rsidTr="00A360DB">
        <w:trPr>
          <w:trHeight w:val="240"/>
        </w:trPr>
        <w:tc>
          <w:tcPr>
            <w:tcW w:w="1697" w:type="dxa"/>
            <w:tcBorders>
              <w:top w:val="nil"/>
              <w:left w:val="nil"/>
              <w:bottom w:val="nil"/>
              <w:right w:val="nil"/>
            </w:tcBorders>
            <w:shd w:val="clear" w:color="auto" w:fill="auto"/>
            <w:noWrap/>
            <w:vAlign w:val="bottom"/>
            <w:hideMark/>
          </w:tcPr>
          <w:p w14:paraId="40DC8CC0"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68108627"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5CF76F4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97.690,00</w:t>
            </w:r>
          </w:p>
        </w:tc>
        <w:tc>
          <w:tcPr>
            <w:tcW w:w="1380" w:type="dxa"/>
            <w:tcBorders>
              <w:top w:val="nil"/>
              <w:left w:val="nil"/>
              <w:bottom w:val="nil"/>
              <w:right w:val="nil"/>
            </w:tcBorders>
            <w:shd w:val="clear" w:color="auto" w:fill="auto"/>
            <w:noWrap/>
            <w:vAlign w:val="bottom"/>
            <w:hideMark/>
          </w:tcPr>
          <w:p w14:paraId="1B75640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94.879,10</w:t>
            </w:r>
          </w:p>
        </w:tc>
        <w:tc>
          <w:tcPr>
            <w:tcW w:w="1400" w:type="dxa"/>
            <w:tcBorders>
              <w:top w:val="nil"/>
              <w:left w:val="nil"/>
              <w:bottom w:val="nil"/>
              <w:right w:val="nil"/>
            </w:tcBorders>
            <w:shd w:val="clear" w:color="auto" w:fill="auto"/>
            <w:noWrap/>
            <w:vAlign w:val="bottom"/>
            <w:hideMark/>
          </w:tcPr>
          <w:p w14:paraId="018ACA2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97,12%</w:t>
            </w:r>
          </w:p>
        </w:tc>
      </w:tr>
      <w:tr w:rsidR="00A360DB" w:rsidRPr="00A360DB" w14:paraId="10C70E18" w14:textId="77777777" w:rsidTr="00A360DB">
        <w:trPr>
          <w:trHeight w:val="240"/>
        </w:trPr>
        <w:tc>
          <w:tcPr>
            <w:tcW w:w="1697" w:type="dxa"/>
            <w:tcBorders>
              <w:top w:val="nil"/>
              <w:left w:val="nil"/>
              <w:bottom w:val="nil"/>
              <w:right w:val="nil"/>
            </w:tcBorders>
            <w:shd w:val="clear" w:color="auto" w:fill="auto"/>
            <w:noWrap/>
            <w:vAlign w:val="bottom"/>
            <w:hideMark/>
          </w:tcPr>
          <w:p w14:paraId="07561D9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3211</w:t>
            </w:r>
          </w:p>
        </w:tc>
        <w:tc>
          <w:tcPr>
            <w:tcW w:w="8509" w:type="dxa"/>
            <w:tcBorders>
              <w:top w:val="nil"/>
              <w:left w:val="nil"/>
              <w:bottom w:val="nil"/>
              <w:right w:val="nil"/>
            </w:tcBorders>
            <w:shd w:val="clear" w:color="auto" w:fill="auto"/>
            <w:noWrap/>
            <w:vAlign w:val="bottom"/>
            <w:hideMark/>
          </w:tcPr>
          <w:p w14:paraId="0DBAAB3D"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Službena putovanja                                                                                  </w:t>
            </w:r>
          </w:p>
        </w:tc>
        <w:tc>
          <w:tcPr>
            <w:tcW w:w="1480" w:type="dxa"/>
            <w:tcBorders>
              <w:top w:val="nil"/>
              <w:left w:val="nil"/>
              <w:bottom w:val="nil"/>
              <w:right w:val="nil"/>
            </w:tcBorders>
            <w:shd w:val="clear" w:color="auto" w:fill="auto"/>
            <w:noWrap/>
            <w:vAlign w:val="bottom"/>
            <w:hideMark/>
          </w:tcPr>
          <w:p w14:paraId="4D47F42A"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5C6EC127"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420,00</w:t>
            </w:r>
          </w:p>
        </w:tc>
        <w:tc>
          <w:tcPr>
            <w:tcW w:w="1400" w:type="dxa"/>
            <w:tcBorders>
              <w:top w:val="nil"/>
              <w:left w:val="nil"/>
              <w:bottom w:val="nil"/>
              <w:right w:val="nil"/>
            </w:tcBorders>
            <w:shd w:val="clear" w:color="auto" w:fill="auto"/>
            <w:noWrap/>
            <w:vAlign w:val="bottom"/>
            <w:hideMark/>
          </w:tcPr>
          <w:p w14:paraId="1FF4E377"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39E2E93" w14:textId="77777777" w:rsidTr="00A360DB">
        <w:trPr>
          <w:trHeight w:val="240"/>
        </w:trPr>
        <w:tc>
          <w:tcPr>
            <w:tcW w:w="1697" w:type="dxa"/>
            <w:tcBorders>
              <w:top w:val="nil"/>
              <w:left w:val="nil"/>
              <w:bottom w:val="nil"/>
              <w:right w:val="nil"/>
            </w:tcBorders>
            <w:shd w:val="clear" w:color="auto" w:fill="auto"/>
            <w:noWrap/>
            <w:vAlign w:val="bottom"/>
            <w:hideMark/>
          </w:tcPr>
          <w:p w14:paraId="3F747B98"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3212</w:t>
            </w:r>
          </w:p>
        </w:tc>
        <w:tc>
          <w:tcPr>
            <w:tcW w:w="8509" w:type="dxa"/>
            <w:tcBorders>
              <w:top w:val="nil"/>
              <w:left w:val="nil"/>
              <w:bottom w:val="nil"/>
              <w:right w:val="nil"/>
            </w:tcBorders>
            <w:shd w:val="clear" w:color="auto" w:fill="auto"/>
            <w:noWrap/>
            <w:vAlign w:val="bottom"/>
            <w:hideMark/>
          </w:tcPr>
          <w:p w14:paraId="72B65DFE"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Naknade za prijevoz, za rad na terenu i odvojeni život                                              </w:t>
            </w:r>
          </w:p>
        </w:tc>
        <w:tc>
          <w:tcPr>
            <w:tcW w:w="1480" w:type="dxa"/>
            <w:tcBorders>
              <w:top w:val="nil"/>
              <w:left w:val="nil"/>
              <w:bottom w:val="nil"/>
              <w:right w:val="nil"/>
            </w:tcBorders>
            <w:shd w:val="clear" w:color="auto" w:fill="auto"/>
            <w:noWrap/>
            <w:vAlign w:val="bottom"/>
            <w:hideMark/>
          </w:tcPr>
          <w:p w14:paraId="5940C911"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256E6B51"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85.205,74</w:t>
            </w:r>
          </w:p>
        </w:tc>
        <w:tc>
          <w:tcPr>
            <w:tcW w:w="1400" w:type="dxa"/>
            <w:tcBorders>
              <w:top w:val="nil"/>
              <w:left w:val="nil"/>
              <w:bottom w:val="nil"/>
              <w:right w:val="nil"/>
            </w:tcBorders>
            <w:shd w:val="clear" w:color="auto" w:fill="auto"/>
            <w:noWrap/>
            <w:vAlign w:val="bottom"/>
            <w:hideMark/>
          </w:tcPr>
          <w:p w14:paraId="1817C99C"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12EBCC9" w14:textId="77777777" w:rsidTr="00A360DB">
        <w:trPr>
          <w:trHeight w:val="240"/>
        </w:trPr>
        <w:tc>
          <w:tcPr>
            <w:tcW w:w="1697" w:type="dxa"/>
            <w:tcBorders>
              <w:top w:val="nil"/>
              <w:left w:val="nil"/>
              <w:bottom w:val="nil"/>
              <w:right w:val="nil"/>
            </w:tcBorders>
            <w:shd w:val="clear" w:color="auto" w:fill="auto"/>
            <w:noWrap/>
            <w:vAlign w:val="bottom"/>
            <w:hideMark/>
          </w:tcPr>
          <w:p w14:paraId="466DB37D"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3221</w:t>
            </w:r>
          </w:p>
        </w:tc>
        <w:tc>
          <w:tcPr>
            <w:tcW w:w="8509" w:type="dxa"/>
            <w:tcBorders>
              <w:top w:val="nil"/>
              <w:left w:val="nil"/>
              <w:bottom w:val="nil"/>
              <w:right w:val="nil"/>
            </w:tcBorders>
            <w:shd w:val="clear" w:color="auto" w:fill="auto"/>
            <w:noWrap/>
            <w:vAlign w:val="bottom"/>
            <w:hideMark/>
          </w:tcPr>
          <w:p w14:paraId="798BA67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Uredski materijal i ostali materijalni rashodi                                                      </w:t>
            </w:r>
          </w:p>
        </w:tc>
        <w:tc>
          <w:tcPr>
            <w:tcW w:w="1480" w:type="dxa"/>
            <w:tcBorders>
              <w:top w:val="nil"/>
              <w:left w:val="nil"/>
              <w:bottom w:val="nil"/>
              <w:right w:val="nil"/>
            </w:tcBorders>
            <w:shd w:val="clear" w:color="auto" w:fill="auto"/>
            <w:noWrap/>
            <w:vAlign w:val="bottom"/>
            <w:hideMark/>
          </w:tcPr>
          <w:p w14:paraId="7D7D0355"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FF5BC67"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200,00</w:t>
            </w:r>
          </w:p>
        </w:tc>
        <w:tc>
          <w:tcPr>
            <w:tcW w:w="1400" w:type="dxa"/>
            <w:tcBorders>
              <w:top w:val="nil"/>
              <w:left w:val="nil"/>
              <w:bottom w:val="nil"/>
              <w:right w:val="nil"/>
            </w:tcBorders>
            <w:shd w:val="clear" w:color="auto" w:fill="auto"/>
            <w:noWrap/>
            <w:vAlign w:val="bottom"/>
            <w:hideMark/>
          </w:tcPr>
          <w:p w14:paraId="5149A43E"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147E285" w14:textId="77777777" w:rsidTr="00A360DB">
        <w:trPr>
          <w:trHeight w:val="240"/>
        </w:trPr>
        <w:tc>
          <w:tcPr>
            <w:tcW w:w="1697" w:type="dxa"/>
            <w:tcBorders>
              <w:top w:val="nil"/>
              <w:left w:val="nil"/>
              <w:bottom w:val="nil"/>
              <w:right w:val="nil"/>
            </w:tcBorders>
            <w:shd w:val="clear" w:color="auto" w:fill="auto"/>
            <w:noWrap/>
            <w:vAlign w:val="bottom"/>
            <w:hideMark/>
          </w:tcPr>
          <w:p w14:paraId="490D31D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3225</w:t>
            </w:r>
          </w:p>
        </w:tc>
        <w:tc>
          <w:tcPr>
            <w:tcW w:w="8509" w:type="dxa"/>
            <w:tcBorders>
              <w:top w:val="nil"/>
              <w:left w:val="nil"/>
              <w:bottom w:val="nil"/>
              <w:right w:val="nil"/>
            </w:tcBorders>
            <w:shd w:val="clear" w:color="auto" w:fill="auto"/>
            <w:noWrap/>
            <w:vAlign w:val="bottom"/>
            <w:hideMark/>
          </w:tcPr>
          <w:p w14:paraId="1A3D5E7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Sitni inventar i auto gume</w:t>
            </w:r>
          </w:p>
        </w:tc>
        <w:tc>
          <w:tcPr>
            <w:tcW w:w="1480" w:type="dxa"/>
            <w:tcBorders>
              <w:top w:val="nil"/>
              <w:left w:val="nil"/>
              <w:bottom w:val="nil"/>
              <w:right w:val="nil"/>
            </w:tcBorders>
            <w:shd w:val="clear" w:color="auto" w:fill="auto"/>
            <w:noWrap/>
            <w:vAlign w:val="bottom"/>
            <w:hideMark/>
          </w:tcPr>
          <w:p w14:paraId="3F5CF961"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CD7E064"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2.135,36</w:t>
            </w:r>
          </w:p>
        </w:tc>
        <w:tc>
          <w:tcPr>
            <w:tcW w:w="1400" w:type="dxa"/>
            <w:tcBorders>
              <w:top w:val="nil"/>
              <w:left w:val="nil"/>
              <w:bottom w:val="nil"/>
              <w:right w:val="nil"/>
            </w:tcBorders>
            <w:shd w:val="clear" w:color="auto" w:fill="auto"/>
            <w:noWrap/>
            <w:vAlign w:val="bottom"/>
            <w:hideMark/>
          </w:tcPr>
          <w:p w14:paraId="30C85A95"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66DCC97" w14:textId="77777777" w:rsidTr="00A360DB">
        <w:trPr>
          <w:trHeight w:val="240"/>
        </w:trPr>
        <w:tc>
          <w:tcPr>
            <w:tcW w:w="1697" w:type="dxa"/>
            <w:tcBorders>
              <w:top w:val="nil"/>
              <w:left w:val="nil"/>
              <w:bottom w:val="nil"/>
              <w:right w:val="nil"/>
            </w:tcBorders>
            <w:shd w:val="clear" w:color="auto" w:fill="auto"/>
            <w:noWrap/>
            <w:vAlign w:val="bottom"/>
            <w:hideMark/>
          </w:tcPr>
          <w:p w14:paraId="0DC9BA5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3227</w:t>
            </w:r>
          </w:p>
        </w:tc>
        <w:tc>
          <w:tcPr>
            <w:tcW w:w="8509" w:type="dxa"/>
            <w:tcBorders>
              <w:top w:val="nil"/>
              <w:left w:val="nil"/>
              <w:bottom w:val="nil"/>
              <w:right w:val="nil"/>
            </w:tcBorders>
            <w:shd w:val="clear" w:color="auto" w:fill="auto"/>
            <w:noWrap/>
            <w:vAlign w:val="bottom"/>
            <w:hideMark/>
          </w:tcPr>
          <w:p w14:paraId="0EFF8EE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Službena, radna i zaštitna odjeća i obuća                                                           </w:t>
            </w:r>
          </w:p>
        </w:tc>
        <w:tc>
          <w:tcPr>
            <w:tcW w:w="1480" w:type="dxa"/>
            <w:tcBorders>
              <w:top w:val="nil"/>
              <w:left w:val="nil"/>
              <w:bottom w:val="nil"/>
              <w:right w:val="nil"/>
            </w:tcBorders>
            <w:shd w:val="clear" w:color="auto" w:fill="auto"/>
            <w:noWrap/>
            <w:vAlign w:val="bottom"/>
            <w:hideMark/>
          </w:tcPr>
          <w:p w14:paraId="7D190256"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37B8AB6"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550,00</w:t>
            </w:r>
          </w:p>
        </w:tc>
        <w:tc>
          <w:tcPr>
            <w:tcW w:w="1400" w:type="dxa"/>
            <w:tcBorders>
              <w:top w:val="nil"/>
              <w:left w:val="nil"/>
              <w:bottom w:val="nil"/>
              <w:right w:val="nil"/>
            </w:tcBorders>
            <w:shd w:val="clear" w:color="auto" w:fill="auto"/>
            <w:noWrap/>
            <w:vAlign w:val="bottom"/>
            <w:hideMark/>
          </w:tcPr>
          <w:p w14:paraId="7585507D"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69A3CA9" w14:textId="77777777" w:rsidTr="00A360DB">
        <w:trPr>
          <w:trHeight w:val="240"/>
        </w:trPr>
        <w:tc>
          <w:tcPr>
            <w:tcW w:w="1697" w:type="dxa"/>
            <w:tcBorders>
              <w:top w:val="nil"/>
              <w:left w:val="nil"/>
              <w:bottom w:val="nil"/>
              <w:right w:val="nil"/>
            </w:tcBorders>
            <w:shd w:val="clear" w:color="auto" w:fill="auto"/>
            <w:noWrap/>
            <w:vAlign w:val="bottom"/>
            <w:hideMark/>
          </w:tcPr>
          <w:p w14:paraId="0D4E7607"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3231</w:t>
            </w:r>
          </w:p>
        </w:tc>
        <w:tc>
          <w:tcPr>
            <w:tcW w:w="8509" w:type="dxa"/>
            <w:tcBorders>
              <w:top w:val="nil"/>
              <w:left w:val="nil"/>
              <w:bottom w:val="nil"/>
              <w:right w:val="nil"/>
            </w:tcBorders>
            <w:shd w:val="clear" w:color="auto" w:fill="auto"/>
            <w:noWrap/>
            <w:vAlign w:val="bottom"/>
            <w:hideMark/>
          </w:tcPr>
          <w:p w14:paraId="1612B4B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Usluge telefona, pošte i prijevoza                                                                  </w:t>
            </w:r>
          </w:p>
        </w:tc>
        <w:tc>
          <w:tcPr>
            <w:tcW w:w="1480" w:type="dxa"/>
            <w:tcBorders>
              <w:top w:val="nil"/>
              <w:left w:val="nil"/>
              <w:bottom w:val="nil"/>
              <w:right w:val="nil"/>
            </w:tcBorders>
            <w:shd w:val="clear" w:color="auto" w:fill="auto"/>
            <w:noWrap/>
            <w:vAlign w:val="bottom"/>
            <w:hideMark/>
          </w:tcPr>
          <w:p w14:paraId="66ABF04D"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D2EA4AB"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3.000,00</w:t>
            </w:r>
          </w:p>
        </w:tc>
        <w:tc>
          <w:tcPr>
            <w:tcW w:w="1400" w:type="dxa"/>
            <w:tcBorders>
              <w:top w:val="nil"/>
              <w:left w:val="nil"/>
              <w:bottom w:val="nil"/>
              <w:right w:val="nil"/>
            </w:tcBorders>
            <w:shd w:val="clear" w:color="auto" w:fill="auto"/>
            <w:noWrap/>
            <w:vAlign w:val="bottom"/>
            <w:hideMark/>
          </w:tcPr>
          <w:p w14:paraId="31702723"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5D17F30D" w14:textId="77777777" w:rsidTr="00A360DB">
        <w:trPr>
          <w:trHeight w:val="240"/>
        </w:trPr>
        <w:tc>
          <w:tcPr>
            <w:tcW w:w="1697" w:type="dxa"/>
            <w:tcBorders>
              <w:top w:val="nil"/>
              <w:left w:val="nil"/>
              <w:bottom w:val="nil"/>
              <w:right w:val="nil"/>
            </w:tcBorders>
            <w:shd w:val="clear" w:color="auto" w:fill="auto"/>
            <w:noWrap/>
            <w:vAlign w:val="bottom"/>
            <w:hideMark/>
          </w:tcPr>
          <w:p w14:paraId="5615FC28"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3233</w:t>
            </w:r>
          </w:p>
        </w:tc>
        <w:tc>
          <w:tcPr>
            <w:tcW w:w="8509" w:type="dxa"/>
            <w:tcBorders>
              <w:top w:val="nil"/>
              <w:left w:val="nil"/>
              <w:bottom w:val="nil"/>
              <w:right w:val="nil"/>
            </w:tcBorders>
            <w:shd w:val="clear" w:color="auto" w:fill="auto"/>
            <w:noWrap/>
            <w:vAlign w:val="bottom"/>
            <w:hideMark/>
          </w:tcPr>
          <w:p w14:paraId="24775F6D"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Usluge promidžbe i informiranja                                                                     </w:t>
            </w:r>
          </w:p>
        </w:tc>
        <w:tc>
          <w:tcPr>
            <w:tcW w:w="1480" w:type="dxa"/>
            <w:tcBorders>
              <w:top w:val="nil"/>
              <w:left w:val="nil"/>
              <w:bottom w:val="nil"/>
              <w:right w:val="nil"/>
            </w:tcBorders>
            <w:shd w:val="clear" w:color="auto" w:fill="auto"/>
            <w:noWrap/>
            <w:vAlign w:val="bottom"/>
            <w:hideMark/>
          </w:tcPr>
          <w:p w14:paraId="1294AAB9"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C6631AD"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932,00</w:t>
            </w:r>
          </w:p>
        </w:tc>
        <w:tc>
          <w:tcPr>
            <w:tcW w:w="1400" w:type="dxa"/>
            <w:tcBorders>
              <w:top w:val="nil"/>
              <w:left w:val="nil"/>
              <w:bottom w:val="nil"/>
              <w:right w:val="nil"/>
            </w:tcBorders>
            <w:shd w:val="clear" w:color="auto" w:fill="auto"/>
            <w:noWrap/>
            <w:vAlign w:val="bottom"/>
            <w:hideMark/>
          </w:tcPr>
          <w:p w14:paraId="278CBC13"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58280E9" w14:textId="77777777" w:rsidTr="00A360DB">
        <w:trPr>
          <w:trHeight w:val="240"/>
        </w:trPr>
        <w:tc>
          <w:tcPr>
            <w:tcW w:w="1697" w:type="dxa"/>
            <w:tcBorders>
              <w:top w:val="nil"/>
              <w:left w:val="nil"/>
              <w:bottom w:val="nil"/>
              <w:right w:val="nil"/>
            </w:tcBorders>
            <w:shd w:val="clear" w:color="auto" w:fill="auto"/>
            <w:noWrap/>
            <w:vAlign w:val="bottom"/>
            <w:hideMark/>
          </w:tcPr>
          <w:p w14:paraId="7AD424DE"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3295</w:t>
            </w:r>
          </w:p>
        </w:tc>
        <w:tc>
          <w:tcPr>
            <w:tcW w:w="8509" w:type="dxa"/>
            <w:tcBorders>
              <w:top w:val="nil"/>
              <w:left w:val="nil"/>
              <w:bottom w:val="nil"/>
              <w:right w:val="nil"/>
            </w:tcBorders>
            <w:shd w:val="clear" w:color="auto" w:fill="auto"/>
            <w:noWrap/>
            <w:vAlign w:val="bottom"/>
            <w:hideMark/>
          </w:tcPr>
          <w:p w14:paraId="37974F1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Pristojbe i naknade                                                                                 </w:t>
            </w:r>
          </w:p>
        </w:tc>
        <w:tc>
          <w:tcPr>
            <w:tcW w:w="1480" w:type="dxa"/>
            <w:tcBorders>
              <w:top w:val="nil"/>
              <w:left w:val="nil"/>
              <w:bottom w:val="nil"/>
              <w:right w:val="nil"/>
            </w:tcBorders>
            <w:shd w:val="clear" w:color="auto" w:fill="auto"/>
            <w:noWrap/>
            <w:vAlign w:val="bottom"/>
            <w:hideMark/>
          </w:tcPr>
          <w:p w14:paraId="42C2C5C1"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5295C1F"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2.436,00</w:t>
            </w:r>
          </w:p>
        </w:tc>
        <w:tc>
          <w:tcPr>
            <w:tcW w:w="1400" w:type="dxa"/>
            <w:tcBorders>
              <w:top w:val="nil"/>
              <w:left w:val="nil"/>
              <w:bottom w:val="nil"/>
              <w:right w:val="nil"/>
            </w:tcBorders>
            <w:shd w:val="clear" w:color="auto" w:fill="auto"/>
            <w:noWrap/>
            <w:vAlign w:val="bottom"/>
            <w:hideMark/>
          </w:tcPr>
          <w:p w14:paraId="5EBFF763"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264643EE" w14:textId="77777777" w:rsidTr="00A360DB">
        <w:trPr>
          <w:trHeight w:val="240"/>
        </w:trPr>
        <w:tc>
          <w:tcPr>
            <w:tcW w:w="1697" w:type="dxa"/>
            <w:tcBorders>
              <w:top w:val="nil"/>
              <w:left w:val="nil"/>
              <w:bottom w:val="nil"/>
              <w:right w:val="nil"/>
            </w:tcBorders>
            <w:shd w:val="clear" w:color="auto" w:fill="auto"/>
            <w:noWrap/>
            <w:vAlign w:val="bottom"/>
            <w:hideMark/>
          </w:tcPr>
          <w:p w14:paraId="7A982C5A"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37</w:t>
            </w:r>
          </w:p>
        </w:tc>
        <w:tc>
          <w:tcPr>
            <w:tcW w:w="8509" w:type="dxa"/>
            <w:tcBorders>
              <w:top w:val="nil"/>
              <w:left w:val="nil"/>
              <w:bottom w:val="nil"/>
              <w:right w:val="nil"/>
            </w:tcBorders>
            <w:shd w:val="clear" w:color="auto" w:fill="auto"/>
            <w:noWrap/>
            <w:vAlign w:val="bottom"/>
            <w:hideMark/>
          </w:tcPr>
          <w:p w14:paraId="3AEA845D"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Naknade građanima i kućanstvima na temelju osiguranja i druge naknade                               </w:t>
            </w:r>
          </w:p>
        </w:tc>
        <w:tc>
          <w:tcPr>
            <w:tcW w:w="1480" w:type="dxa"/>
            <w:tcBorders>
              <w:top w:val="nil"/>
              <w:left w:val="nil"/>
              <w:bottom w:val="nil"/>
              <w:right w:val="nil"/>
            </w:tcBorders>
            <w:shd w:val="clear" w:color="auto" w:fill="auto"/>
            <w:noWrap/>
            <w:vAlign w:val="bottom"/>
            <w:hideMark/>
          </w:tcPr>
          <w:p w14:paraId="51E4AD7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28.320,00</w:t>
            </w:r>
          </w:p>
        </w:tc>
        <w:tc>
          <w:tcPr>
            <w:tcW w:w="1380" w:type="dxa"/>
            <w:tcBorders>
              <w:top w:val="nil"/>
              <w:left w:val="nil"/>
              <w:bottom w:val="nil"/>
              <w:right w:val="nil"/>
            </w:tcBorders>
            <w:shd w:val="clear" w:color="auto" w:fill="auto"/>
            <w:noWrap/>
            <w:vAlign w:val="bottom"/>
            <w:hideMark/>
          </w:tcPr>
          <w:p w14:paraId="4CDE90B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28.288,68</w:t>
            </w:r>
          </w:p>
        </w:tc>
        <w:tc>
          <w:tcPr>
            <w:tcW w:w="1400" w:type="dxa"/>
            <w:tcBorders>
              <w:top w:val="nil"/>
              <w:left w:val="nil"/>
              <w:bottom w:val="nil"/>
              <w:right w:val="nil"/>
            </w:tcBorders>
            <w:shd w:val="clear" w:color="auto" w:fill="auto"/>
            <w:noWrap/>
            <w:vAlign w:val="bottom"/>
            <w:hideMark/>
          </w:tcPr>
          <w:p w14:paraId="1163371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99,89%</w:t>
            </w:r>
          </w:p>
        </w:tc>
      </w:tr>
      <w:tr w:rsidR="00A360DB" w:rsidRPr="00A360DB" w14:paraId="3E6A0585" w14:textId="77777777" w:rsidTr="00A360DB">
        <w:trPr>
          <w:trHeight w:val="240"/>
        </w:trPr>
        <w:tc>
          <w:tcPr>
            <w:tcW w:w="1697" w:type="dxa"/>
            <w:tcBorders>
              <w:top w:val="nil"/>
              <w:left w:val="nil"/>
              <w:bottom w:val="nil"/>
              <w:right w:val="nil"/>
            </w:tcBorders>
            <w:shd w:val="clear" w:color="auto" w:fill="auto"/>
            <w:noWrap/>
            <w:vAlign w:val="bottom"/>
            <w:hideMark/>
          </w:tcPr>
          <w:p w14:paraId="70A8C69E"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3722</w:t>
            </w:r>
          </w:p>
        </w:tc>
        <w:tc>
          <w:tcPr>
            <w:tcW w:w="8509" w:type="dxa"/>
            <w:tcBorders>
              <w:top w:val="nil"/>
              <w:left w:val="nil"/>
              <w:bottom w:val="nil"/>
              <w:right w:val="nil"/>
            </w:tcBorders>
            <w:shd w:val="clear" w:color="auto" w:fill="auto"/>
            <w:noWrap/>
            <w:vAlign w:val="bottom"/>
            <w:hideMark/>
          </w:tcPr>
          <w:p w14:paraId="15D88E57"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Naknade građanima i kućanstvima u naravi                                                            </w:t>
            </w:r>
          </w:p>
        </w:tc>
        <w:tc>
          <w:tcPr>
            <w:tcW w:w="1480" w:type="dxa"/>
            <w:tcBorders>
              <w:top w:val="nil"/>
              <w:left w:val="nil"/>
              <w:bottom w:val="nil"/>
              <w:right w:val="nil"/>
            </w:tcBorders>
            <w:shd w:val="clear" w:color="auto" w:fill="auto"/>
            <w:noWrap/>
            <w:vAlign w:val="bottom"/>
            <w:hideMark/>
          </w:tcPr>
          <w:p w14:paraId="2FD96BA9"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303F3E2"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28.288,68</w:t>
            </w:r>
          </w:p>
        </w:tc>
        <w:tc>
          <w:tcPr>
            <w:tcW w:w="1400" w:type="dxa"/>
            <w:tcBorders>
              <w:top w:val="nil"/>
              <w:left w:val="nil"/>
              <w:bottom w:val="nil"/>
              <w:right w:val="nil"/>
            </w:tcBorders>
            <w:shd w:val="clear" w:color="auto" w:fill="auto"/>
            <w:noWrap/>
            <w:vAlign w:val="bottom"/>
            <w:hideMark/>
          </w:tcPr>
          <w:p w14:paraId="09AFF581"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4D559F1" w14:textId="77777777" w:rsidTr="00A360DB">
        <w:trPr>
          <w:trHeight w:val="240"/>
        </w:trPr>
        <w:tc>
          <w:tcPr>
            <w:tcW w:w="1697" w:type="dxa"/>
            <w:tcBorders>
              <w:top w:val="nil"/>
              <w:left w:val="nil"/>
              <w:bottom w:val="nil"/>
              <w:right w:val="nil"/>
            </w:tcBorders>
            <w:shd w:val="clear" w:color="auto" w:fill="auto"/>
            <w:noWrap/>
            <w:vAlign w:val="bottom"/>
            <w:hideMark/>
          </w:tcPr>
          <w:p w14:paraId="046286E0"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38</w:t>
            </w:r>
          </w:p>
        </w:tc>
        <w:tc>
          <w:tcPr>
            <w:tcW w:w="8509" w:type="dxa"/>
            <w:tcBorders>
              <w:top w:val="nil"/>
              <w:left w:val="nil"/>
              <w:bottom w:val="nil"/>
              <w:right w:val="nil"/>
            </w:tcBorders>
            <w:shd w:val="clear" w:color="auto" w:fill="auto"/>
            <w:noWrap/>
            <w:vAlign w:val="bottom"/>
            <w:hideMark/>
          </w:tcPr>
          <w:p w14:paraId="52DD04C2"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Ostali rashodi                                                                                      </w:t>
            </w:r>
          </w:p>
        </w:tc>
        <w:tc>
          <w:tcPr>
            <w:tcW w:w="1480" w:type="dxa"/>
            <w:tcBorders>
              <w:top w:val="nil"/>
              <w:left w:val="nil"/>
              <w:bottom w:val="nil"/>
              <w:right w:val="nil"/>
            </w:tcBorders>
            <w:shd w:val="clear" w:color="auto" w:fill="auto"/>
            <w:noWrap/>
            <w:vAlign w:val="bottom"/>
            <w:hideMark/>
          </w:tcPr>
          <w:p w14:paraId="040C67F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1.100,00</w:t>
            </w:r>
          </w:p>
        </w:tc>
        <w:tc>
          <w:tcPr>
            <w:tcW w:w="1380" w:type="dxa"/>
            <w:tcBorders>
              <w:top w:val="nil"/>
              <w:left w:val="nil"/>
              <w:bottom w:val="nil"/>
              <w:right w:val="nil"/>
            </w:tcBorders>
            <w:shd w:val="clear" w:color="auto" w:fill="auto"/>
            <w:noWrap/>
            <w:vAlign w:val="bottom"/>
            <w:hideMark/>
          </w:tcPr>
          <w:p w14:paraId="6AFD07E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1.054,92</w:t>
            </w:r>
          </w:p>
        </w:tc>
        <w:tc>
          <w:tcPr>
            <w:tcW w:w="1400" w:type="dxa"/>
            <w:tcBorders>
              <w:top w:val="nil"/>
              <w:left w:val="nil"/>
              <w:bottom w:val="nil"/>
              <w:right w:val="nil"/>
            </w:tcBorders>
            <w:shd w:val="clear" w:color="auto" w:fill="auto"/>
            <w:noWrap/>
            <w:vAlign w:val="bottom"/>
            <w:hideMark/>
          </w:tcPr>
          <w:p w14:paraId="08252A5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95,90%</w:t>
            </w:r>
          </w:p>
        </w:tc>
      </w:tr>
      <w:tr w:rsidR="00A360DB" w:rsidRPr="00A360DB" w14:paraId="32AF252C" w14:textId="77777777" w:rsidTr="00A360DB">
        <w:trPr>
          <w:trHeight w:val="240"/>
        </w:trPr>
        <w:tc>
          <w:tcPr>
            <w:tcW w:w="1697" w:type="dxa"/>
            <w:tcBorders>
              <w:top w:val="nil"/>
              <w:left w:val="nil"/>
              <w:bottom w:val="nil"/>
              <w:right w:val="nil"/>
            </w:tcBorders>
            <w:shd w:val="clear" w:color="auto" w:fill="auto"/>
            <w:noWrap/>
            <w:vAlign w:val="bottom"/>
            <w:hideMark/>
          </w:tcPr>
          <w:p w14:paraId="57E83755"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3812</w:t>
            </w:r>
          </w:p>
        </w:tc>
        <w:tc>
          <w:tcPr>
            <w:tcW w:w="8509" w:type="dxa"/>
            <w:tcBorders>
              <w:top w:val="nil"/>
              <w:left w:val="nil"/>
              <w:bottom w:val="nil"/>
              <w:right w:val="nil"/>
            </w:tcBorders>
            <w:shd w:val="clear" w:color="auto" w:fill="auto"/>
            <w:noWrap/>
            <w:vAlign w:val="bottom"/>
            <w:hideMark/>
          </w:tcPr>
          <w:p w14:paraId="029FAE58"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Tekuće donacije u naravi                                                                            </w:t>
            </w:r>
          </w:p>
        </w:tc>
        <w:tc>
          <w:tcPr>
            <w:tcW w:w="1480" w:type="dxa"/>
            <w:tcBorders>
              <w:top w:val="nil"/>
              <w:left w:val="nil"/>
              <w:bottom w:val="nil"/>
              <w:right w:val="nil"/>
            </w:tcBorders>
            <w:shd w:val="clear" w:color="auto" w:fill="auto"/>
            <w:noWrap/>
            <w:vAlign w:val="bottom"/>
            <w:hideMark/>
          </w:tcPr>
          <w:p w14:paraId="42F0201D"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110CD095"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1.054,92</w:t>
            </w:r>
          </w:p>
        </w:tc>
        <w:tc>
          <w:tcPr>
            <w:tcW w:w="1400" w:type="dxa"/>
            <w:tcBorders>
              <w:top w:val="nil"/>
              <w:left w:val="nil"/>
              <w:bottom w:val="nil"/>
              <w:right w:val="nil"/>
            </w:tcBorders>
            <w:shd w:val="clear" w:color="auto" w:fill="auto"/>
            <w:noWrap/>
            <w:vAlign w:val="bottom"/>
            <w:hideMark/>
          </w:tcPr>
          <w:p w14:paraId="33AA98A8"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5553488B"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431CF0C"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6. Donacije</w:t>
            </w:r>
          </w:p>
        </w:tc>
        <w:tc>
          <w:tcPr>
            <w:tcW w:w="1480" w:type="dxa"/>
            <w:tcBorders>
              <w:top w:val="nil"/>
              <w:left w:val="nil"/>
              <w:bottom w:val="nil"/>
              <w:right w:val="nil"/>
            </w:tcBorders>
            <w:shd w:val="clear" w:color="auto" w:fill="auto"/>
            <w:noWrap/>
            <w:vAlign w:val="bottom"/>
            <w:hideMark/>
          </w:tcPr>
          <w:p w14:paraId="05E0AC78"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2.000,00</w:t>
            </w:r>
          </w:p>
        </w:tc>
        <w:tc>
          <w:tcPr>
            <w:tcW w:w="1380" w:type="dxa"/>
            <w:tcBorders>
              <w:top w:val="nil"/>
              <w:left w:val="nil"/>
              <w:bottom w:val="nil"/>
              <w:right w:val="nil"/>
            </w:tcBorders>
            <w:shd w:val="clear" w:color="auto" w:fill="auto"/>
            <w:noWrap/>
            <w:vAlign w:val="bottom"/>
            <w:hideMark/>
          </w:tcPr>
          <w:p w14:paraId="17453869" w14:textId="11D8A832" w:rsidR="00A360DB" w:rsidRPr="00A360DB" w:rsidRDefault="004554BB" w:rsidP="00A360DB">
            <w:pPr>
              <w:spacing w:after="0" w:line="240" w:lineRule="auto"/>
              <w:jc w:val="right"/>
              <w:rPr>
                <w:rFonts w:ascii="Arial" w:hAnsi="Arial" w:cs="Arial"/>
                <w:b/>
                <w:bCs/>
                <w:color w:val="333333"/>
                <w:sz w:val="18"/>
                <w:szCs w:val="18"/>
                <w:lang w:eastAsia="hr-HR"/>
              </w:rPr>
            </w:pPr>
            <w:r>
              <w:rPr>
                <w:rFonts w:ascii="Arial" w:hAnsi="Arial" w:cs="Arial"/>
                <w:b/>
                <w:bCs/>
                <w:color w:val="333333"/>
                <w:sz w:val="18"/>
                <w:szCs w:val="18"/>
                <w:lang w:eastAsia="hr-HR"/>
              </w:rPr>
              <w:t>1.020,80</w:t>
            </w:r>
          </w:p>
        </w:tc>
        <w:tc>
          <w:tcPr>
            <w:tcW w:w="1400" w:type="dxa"/>
            <w:tcBorders>
              <w:top w:val="nil"/>
              <w:left w:val="nil"/>
              <w:bottom w:val="nil"/>
              <w:right w:val="nil"/>
            </w:tcBorders>
            <w:shd w:val="clear" w:color="auto" w:fill="auto"/>
            <w:noWrap/>
            <w:vAlign w:val="bottom"/>
            <w:hideMark/>
          </w:tcPr>
          <w:p w14:paraId="5591CC31" w14:textId="31F3F8E3" w:rsidR="00A360DB" w:rsidRPr="00A360DB" w:rsidRDefault="004554BB" w:rsidP="00A360DB">
            <w:pPr>
              <w:spacing w:after="0" w:line="240" w:lineRule="auto"/>
              <w:jc w:val="right"/>
              <w:rPr>
                <w:rFonts w:ascii="Arial" w:hAnsi="Arial" w:cs="Arial"/>
                <w:b/>
                <w:bCs/>
                <w:color w:val="333333"/>
                <w:sz w:val="18"/>
                <w:szCs w:val="18"/>
                <w:lang w:eastAsia="hr-HR"/>
              </w:rPr>
            </w:pPr>
            <w:r>
              <w:rPr>
                <w:rFonts w:ascii="Arial" w:hAnsi="Arial" w:cs="Arial"/>
                <w:b/>
                <w:bCs/>
                <w:color w:val="333333"/>
                <w:sz w:val="18"/>
                <w:szCs w:val="18"/>
                <w:lang w:eastAsia="hr-HR"/>
              </w:rPr>
              <w:t>51,04</w:t>
            </w:r>
            <w:r w:rsidR="00A360DB" w:rsidRPr="00A360DB">
              <w:rPr>
                <w:rFonts w:ascii="Arial" w:hAnsi="Arial" w:cs="Arial"/>
                <w:b/>
                <w:bCs/>
                <w:color w:val="333333"/>
                <w:sz w:val="18"/>
                <w:szCs w:val="18"/>
                <w:lang w:eastAsia="hr-HR"/>
              </w:rPr>
              <w:t>%</w:t>
            </w:r>
          </w:p>
        </w:tc>
      </w:tr>
      <w:tr w:rsidR="00A360DB" w:rsidRPr="00A360DB" w14:paraId="2513EA16"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712E70B"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6.1. Donacije</w:t>
            </w:r>
          </w:p>
        </w:tc>
        <w:tc>
          <w:tcPr>
            <w:tcW w:w="1480" w:type="dxa"/>
            <w:tcBorders>
              <w:top w:val="nil"/>
              <w:left w:val="nil"/>
              <w:bottom w:val="nil"/>
              <w:right w:val="nil"/>
            </w:tcBorders>
            <w:shd w:val="clear" w:color="auto" w:fill="auto"/>
            <w:noWrap/>
            <w:vAlign w:val="bottom"/>
            <w:hideMark/>
          </w:tcPr>
          <w:p w14:paraId="2B367613"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2.000,00</w:t>
            </w:r>
          </w:p>
        </w:tc>
        <w:tc>
          <w:tcPr>
            <w:tcW w:w="1380" w:type="dxa"/>
            <w:tcBorders>
              <w:top w:val="nil"/>
              <w:left w:val="nil"/>
              <w:bottom w:val="nil"/>
              <w:right w:val="nil"/>
            </w:tcBorders>
            <w:shd w:val="clear" w:color="auto" w:fill="auto"/>
            <w:noWrap/>
            <w:vAlign w:val="bottom"/>
            <w:hideMark/>
          </w:tcPr>
          <w:p w14:paraId="635C9217" w14:textId="558FA7C9" w:rsidR="00A360DB" w:rsidRPr="00A360DB" w:rsidRDefault="004554BB" w:rsidP="00A360DB">
            <w:pPr>
              <w:spacing w:after="0" w:line="240" w:lineRule="auto"/>
              <w:jc w:val="right"/>
              <w:rPr>
                <w:rFonts w:ascii="Arial" w:hAnsi="Arial" w:cs="Arial"/>
                <w:color w:val="333333"/>
                <w:sz w:val="18"/>
                <w:szCs w:val="18"/>
                <w:lang w:eastAsia="hr-HR"/>
              </w:rPr>
            </w:pPr>
            <w:r>
              <w:rPr>
                <w:rFonts w:ascii="Arial" w:hAnsi="Arial" w:cs="Arial"/>
                <w:color w:val="333333"/>
                <w:sz w:val="18"/>
                <w:szCs w:val="18"/>
                <w:lang w:eastAsia="hr-HR"/>
              </w:rPr>
              <w:t>1.020,80</w:t>
            </w:r>
          </w:p>
        </w:tc>
        <w:tc>
          <w:tcPr>
            <w:tcW w:w="1400" w:type="dxa"/>
            <w:tcBorders>
              <w:top w:val="nil"/>
              <w:left w:val="nil"/>
              <w:bottom w:val="nil"/>
              <w:right w:val="nil"/>
            </w:tcBorders>
            <w:shd w:val="clear" w:color="auto" w:fill="auto"/>
            <w:noWrap/>
            <w:vAlign w:val="bottom"/>
            <w:hideMark/>
          </w:tcPr>
          <w:p w14:paraId="715D585D" w14:textId="77C022E9" w:rsidR="00A360DB" w:rsidRPr="00A360DB" w:rsidRDefault="004554BB" w:rsidP="00A360DB">
            <w:pPr>
              <w:spacing w:after="0" w:line="240" w:lineRule="auto"/>
              <w:jc w:val="right"/>
              <w:rPr>
                <w:rFonts w:ascii="Arial" w:hAnsi="Arial" w:cs="Arial"/>
                <w:color w:val="333333"/>
                <w:sz w:val="18"/>
                <w:szCs w:val="18"/>
                <w:lang w:eastAsia="hr-HR"/>
              </w:rPr>
            </w:pPr>
            <w:r>
              <w:rPr>
                <w:rFonts w:ascii="Arial" w:hAnsi="Arial" w:cs="Arial"/>
                <w:color w:val="333333"/>
                <w:sz w:val="18"/>
                <w:szCs w:val="18"/>
                <w:lang w:eastAsia="hr-HR"/>
              </w:rPr>
              <w:t>51,04</w:t>
            </w:r>
            <w:r w:rsidR="00A360DB" w:rsidRPr="00A360DB">
              <w:rPr>
                <w:rFonts w:ascii="Arial" w:hAnsi="Arial" w:cs="Arial"/>
                <w:color w:val="333333"/>
                <w:sz w:val="18"/>
                <w:szCs w:val="18"/>
                <w:lang w:eastAsia="hr-HR"/>
              </w:rPr>
              <w:t>%</w:t>
            </w:r>
          </w:p>
        </w:tc>
      </w:tr>
      <w:tr w:rsidR="00A360DB" w:rsidRPr="00A360DB" w14:paraId="585E872F" w14:textId="77777777" w:rsidTr="00A360DB">
        <w:trPr>
          <w:trHeight w:val="240"/>
        </w:trPr>
        <w:tc>
          <w:tcPr>
            <w:tcW w:w="1697" w:type="dxa"/>
            <w:tcBorders>
              <w:top w:val="nil"/>
              <w:left w:val="nil"/>
              <w:bottom w:val="nil"/>
              <w:right w:val="nil"/>
            </w:tcBorders>
            <w:shd w:val="clear" w:color="auto" w:fill="auto"/>
            <w:noWrap/>
            <w:vAlign w:val="bottom"/>
            <w:hideMark/>
          </w:tcPr>
          <w:p w14:paraId="0808230A"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3B34F054"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78F49B1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2.000,00</w:t>
            </w:r>
          </w:p>
        </w:tc>
        <w:tc>
          <w:tcPr>
            <w:tcW w:w="1380" w:type="dxa"/>
            <w:tcBorders>
              <w:top w:val="nil"/>
              <w:left w:val="nil"/>
              <w:bottom w:val="nil"/>
              <w:right w:val="nil"/>
            </w:tcBorders>
            <w:shd w:val="clear" w:color="auto" w:fill="auto"/>
            <w:noWrap/>
            <w:vAlign w:val="bottom"/>
            <w:hideMark/>
          </w:tcPr>
          <w:p w14:paraId="5AEF5DC8" w14:textId="0B26B95A" w:rsidR="00A360DB" w:rsidRPr="00A360DB" w:rsidRDefault="004554BB" w:rsidP="00A360DB">
            <w:pPr>
              <w:spacing w:after="0" w:line="240" w:lineRule="auto"/>
              <w:jc w:val="right"/>
              <w:rPr>
                <w:rFonts w:ascii="Arial" w:hAnsi="Arial" w:cs="Arial"/>
                <w:b/>
                <w:bCs/>
                <w:sz w:val="18"/>
                <w:szCs w:val="18"/>
                <w:lang w:eastAsia="hr-HR"/>
              </w:rPr>
            </w:pPr>
            <w:r>
              <w:rPr>
                <w:rFonts w:ascii="Arial" w:hAnsi="Arial" w:cs="Arial"/>
                <w:b/>
                <w:bCs/>
                <w:sz w:val="18"/>
                <w:szCs w:val="18"/>
                <w:lang w:eastAsia="hr-HR"/>
              </w:rPr>
              <w:t>1.020,80</w:t>
            </w:r>
          </w:p>
        </w:tc>
        <w:tc>
          <w:tcPr>
            <w:tcW w:w="1400" w:type="dxa"/>
            <w:tcBorders>
              <w:top w:val="nil"/>
              <w:left w:val="nil"/>
              <w:bottom w:val="nil"/>
              <w:right w:val="nil"/>
            </w:tcBorders>
            <w:shd w:val="clear" w:color="auto" w:fill="auto"/>
            <w:noWrap/>
            <w:vAlign w:val="bottom"/>
            <w:hideMark/>
          </w:tcPr>
          <w:p w14:paraId="2BEDAEFA" w14:textId="2F7958ED" w:rsidR="00A360DB" w:rsidRPr="00A360DB" w:rsidRDefault="004554BB" w:rsidP="00A360DB">
            <w:pPr>
              <w:spacing w:after="0" w:line="240" w:lineRule="auto"/>
              <w:jc w:val="right"/>
              <w:rPr>
                <w:rFonts w:ascii="Arial" w:hAnsi="Arial" w:cs="Arial"/>
                <w:b/>
                <w:bCs/>
                <w:sz w:val="18"/>
                <w:szCs w:val="18"/>
                <w:lang w:eastAsia="hr-HR"/>
              </w:rPr>
            </w:pPr>
            <w:r>
              <w:rPr>
                <w:rFonts w:ascii="Arial" w:hAnsi="Arial" w:cs="Arial"/>
                <w:b/>
                <w:bCs/>
                <w:sz w:val="18"/>
                <w:szCs w:val="18"/>
                <w:lang w:eastAsia="hr-HR"/>
              </w:rPr>
              <w:t>51,04</w:t>
            </w:r>
            <w:r w:rsidR="00A360DB" w:rsidRPr="00A360DB">
              <w:rPr>
                <w:rFonts w:ascii="Arial" w:hAnsi="Arial" w:cs="Arial"/>
                <w:b/>
                <w:bCs/>
                <w:sz w:val="18"/>
                <w:szCs w:val="18"/>
                <w:lang w:eastAsia="hr-HR"/>
              </w:rPr>
              <w:t>%</w:t>
            </w:r>
          </w:p>
        </w:tc>
      </w:tr>
      <w:tr w:rsidR="00A360DB" w:rsidRPr="00A360DB" w14:paraId="19D5BFE9" w14:textId="77777777" w:rsidTr="00A360DB">
        <w:trPr>
          <w:trHeight w:val="240"/>
        </w:trPr>
        <w:tc>
          <w:tcPr>
            <w:tcW w:w="1697" w:type="dxa"/>
            <w:tcBorders>
              <w:top w:val="nil"/>
              <w:left w:val="nil"/>
              <w:bottom w:val="nil"/>
              <w:right w:val="nil"/>
            </w:tcBorders>
            <w:shd w:val="clear" w:color="auto" w:fill="auto"/>
            <w:noWrap/>
            <w:vAlign w:val="bottom"/>
            <w:hideMark/>
          </w:tcPr>
          <w:p w14:paraId="3D74F22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3225</w:t>
            </w:r>
          </w:p>
        </w:tc>
        <w:tc>
          <w:tcPr>
            <w:tcW w:w="8509" w:type="dxa"/>
            <w:tcBorders>
              <w:top w:val="nil"/>
              <w:left w:val="nil"/>
              <w:bottom w:val="nil"/>
              <w:right w:val="nil"/>
            </w:tcBorders>
            <w:shd w:val="clear" w:color="auto" w:fill="auto"/>
            <w:noWrap/>
            <w:vAlign w:val="bottom"/>
            <w:hideMark/>
          </w:tcPr>
          <w:p w14:paraId="4A7AF1CD"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Sitni inventar i auto gume</w:t>
            </w:r>
          </w:p>
        </w:tc>
        <w:tc>
          <w:tcPr>
            <w:tcW w:w="1480" w:type="dxa"/>
            <w:tcBorders>
              <w:top w:val="nil"/>
              <w:left w:val="nil"/>
              <w:bottom w:val="nil"/>
              <w:right w:val="nil"/>
            </w:tcBorders>
            <w:shd w:val="clear" w:color="auto" w:fill="auto"/>
            <w:noWrap/>
            <w:vAlign w:val="bottom"/>
            <w:hideMark/>
          </w:tcPr>
          <w:p w14:paraId="699B1651"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DB42140" w14:textId="2FA8F40D" w:rsidR="00A360DB" w:rsidRPr="00A360DB" w:rsidRDefault="004554BB" w:rsidP="00A360DB">
            <w:pPr>
              <w:spacing w:after="0" w:line="240" w:lineRule="auto"/>
              <w:jc w:val="right"/>
              <w:rPr>
                <w:rFonts w:ascii="Arial" w:hAnsi="Arial" w:cs="Arial"/>
                <w:sz w:val="18"/>
                <w:szCs w:val="18"/>
                <w:lang w:eastAsia="hr-HR"/>
              </w:rPr>
            </w:pPr>
            <w:r>
              <w:rPr>
                <w:rFonts w:ascii="Arial" w:hAnsi="Arial" w:cs="Arial"/>
                <w:sz w:val="18"/>
                <w:szCs w:val="18"/>
                <w:lang w:eastAsia="hr-HR"/>
              </w:rPr>
              <w:t>985,33</w:t>
            </w:r>
          </w:p>
        </w:tc>
        <w:tc>
          <w:tcPr>
            <w:tcW w:w="1400" w:type="dxa"/>
            <w:tcBorders>
              <w:top w:val="nil"/>
              <w:left w:val="nil"/>
              <w:bottom w:val="nil"/>
              <w:right w:val="nil"/>
            </w:tcBorders>
            <w:shd w:val="clear" w:color="auto" w:fill="auto"/>
            <w:noWrap/>
            <w:vAlign w:val="bottom"/>
            <w:hideMark/>
          </w:tcPr>
          <w:p w14:paraId="026C8FD0"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CD34C34" w14:textId="77777777" w:rsidTr="00A360DB">
        <w:trPr>
          <w:trHeight w:val="240"/>
        </w:trPr>
        <w:tc>
          <w:tcPr>
            <w:tcW w:w="1697" w:type="dxa"/>
            <w:tcBorders>
              <w:top w:val="nil"/>
              <w:left w:val="nil"/>
              <w:bottom w:val="nil"/>
              <w:right w:val="nil"/>
            </w:tcBorders>
            <w:shd w:val="clear" w:color="auto" w:fill="auto"/>
            <w:noWrap/>
            <w:vAlign w:val="bottom"/>
            <w:hideMark/>
          </w:tcPr>
          <w:p w14:paraId="382FFA9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3299</w:t>
            </w:r>
          </w:p>
        </w:tc>
        <w:tc>
          <w:tcPr>
            <w:tcW w:w="8509" w:type="dxa"/>
            <w:tcBorders>
              <w:top w:val="nil"/>
              <w:left w:val="nil"/>
              <w:bottom w:val="nil"/>
              <w:right w:val="nil"/>
            </w:tcBorders>
            <w:shd w:val="clear" w:color="auto" w:fill="auto"/>
            <w:noWrap/>
            <w:vAlign w:val="bottom"/>
            <w:hideMark/>
          </w:tcPr>
          <w:p w14:paraId="23ADD63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Ostali nespomenuti rashodi poslovanja                                                               </w:t>
            </w:r>
          </w:p>
        </w:tc>
        <w:tc>
          <w:tcPr>
            <w:tcW w:w="1480" w:type="dxa"/>
            <w:tcBorders>
              <w:top w:val="nil"/>
              <w:left w:val="nil"/>
              <w:bottom w:val="nil"/>
              <w:right w:val="nil"/>
            </w:tcBorders>
            <w:shd w:val="clear" w:color="auto" w:fill="auto"/>
            <w:noWrap/>
            <w:vAlign w:val="bottom"/>
            <w:hideMark/>
          </w:tcPr>
          <w:p w14:paraId="5EFECD05"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00C33FF"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35,47</w:t>
            </w:r>
          </w:p>
        </w:tc>
        <w:tc>
          <w:tcPr>
            <w:tcW w:w="1400" w:type="dxa"/>
            <w:tcBorders>
              <w:top w:val="nil"/>
              <w:left w:val="nil"/>
              <w:bottom w:val="nil"/>
              <w:right w:val="nil"/>
            </w:tcBorders>
            <w:shd w:val="clear" w:color="auto" w:fill="auto"/>
            <w:noWrap/>
            <w:vAlign w:val="bottom"/>
            <w:hideMark/>
          </w:tcPr>
          <w:p w14:paraId="1F33AF28"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19BD0C4"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11F22FB"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9. Višak iz prethodnih razdoblja</w:t>
            </w:r>
          </w:p>
        </w:tc>
        <w:tc>
          <w:tcPr>
            <w:tcW w:w="1480" w:type="dxa"/>
            <w:tcBorders>
              <w:top w:val="nil"/>
              <w:left w:val="nil"/>
              <w:bottom w:val="nil"/>
              <w:right w:val="nil"/>
            </w:tcBorders>
            <w:shd w:val="clear" w:color="auto" w:fill="auto"/>
            <w:noWrap/>
            <w:vAlign w:val="bottom"/>
            <w:hideMark/>
          </w:tcPr>
          <w:p w14:paraId="528DEAF2"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553,55</w:t>
            </w:r>
          </w:p>
        </w:tc>
        <w:tc>
          <w:tcPr>
            <w:tcW w:w="1380" w:type="dxa"/>
            <w:tcBorders>
              <w:top w:val="nil"/>
              <w:left w:val="nil"/>
              <w:bottom w:val="nil"/>
              <w:right w:val="nil"/>
            </w:tcBorders>
            <w:shd w:val="clear" w:color="auto" w:fill="auto"/>
            <w:noWrap/>
            <w:vAlign w:val="bottom"/>
            <w:hideMark/>
          </w:tcPr>
          <w:p w14:paraId="297B382E"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553,55</w:t>
            </w:r>
          </w:p>
        </w:tc>
        <w:tc>
          <w:tcPr>
            <w:tcW w:w="1400" w:type="dxa"/>
            <w:tcBorders>
              <w:top w:val="nil"/>
              <w:left w:val="nil"/>
              <w:bottom w:val="nil"/>
              <w:right w:val="nil"/>
            </w:tcBorders>
            <w:shd w:val="clear" w:color="auto" w:fill="auto"/>
            <w:noWrap/>
            <w:vAlign w:val="bottom"/>
            <w:hideMark/>
          </w:tcPr>
          <w:p w14:paraId="7727169F"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w:t>
            </w:r>
          </w:p>
        </w:tc>
      </w:tr>
      <w:tr w:rsidR="00A360DB" w:rsidRPr="00A360DB" w14:paraId="25ED638A"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1A4C48C"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 xml:space="preserve">Izvor 9.1. Višak iz prethodnih godina - </w:t>
            </w:r>
            <w:proofErr w:type="spellStart"/>
            <w:r w:rsidRPr="00A360DB">
              <w:rPr>
                <w:rFonts w:ascii="Arial" w:hAnsi="Arial" w:cs="Arial"/>
                <w:color w:val="333333"/>
                <w:sz w:val="18"/>
                <w:szCs w:val="18"/>
                <w:lang w:eastAsia="hr-HR"/>
              </w:rPr>
              <w:t>Prorač.korisnici</w:t>
            </w:r>
            <w:proofErr w:type="spellEnd"/>
          </w:p>
        </w:tc>
        <w:tc>
          <w:tcPr>
            <w:tcW w:w="1480" w:type="dxa"/>
            <w:tcBorders>
              <w:top w:val="nil"/>
              <w:left w:val="nil"/>
              <w:bottom w:val="nil"/>
              <w:right w:val="nil"/>
            </w:tcBorders>
            <w:shd w:val="clear" w:color="auto" w:fill="auto"/>
            <w:noWrap/>
            <w:vAlign w:val="bottom"/>
            <w:hideMark/>
          </w:tcPr>
          <w:p w14:paraId="6915046D"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553,55</w:t>
            </w:r>
          </w:p>
        </w:tc>
        <w:tc>
          <w:tcPr>
            <w:tcW w:w="1380" w:type="dxa"/>
            <w:tcBorders>
              <w:top w:val="nil"/>
              <w:left w:val="nil"/>
              <w:bottom w:val="nil"/>
              <w:right w:val="nil"/>
            </w:tcBorders>
            <w:shd w:val="clear" w:color="auto" w:fill="auto"/>
            <w:noWrap/>
            <w:vAlign w:val="bottom"/>
            <w:hideMark/>
          </w:tcPr>
          <w:p w14:paraId="6657B412"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553,55</w:t>
            </w:r>
          </w:p>
        </w:tc>
        <w:tc>
          <w:tcPr>
            <w:tcW w:w="1400" w:type="dxa"/>
            <w:tcBorders>
              <w:top w:val="nil"/>
              <w:left w:val="nil"/>
              <w:bottom w:val="nil"/>
              <w:right w:val="nil"/>
            </w:tcBorders>
            <w:shd w:val="clear" w:color="auto" w:fill="auto"/>
            <w:noWrap/>
            <w:vAlign w:val="bottom"/>
            <w:hideMark/>
          </w:tcPr>
          <w:p w14:paraId="4DA3F4A6"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w:t>
            </w:r>
          </w:p>
        </w:tc>
      </w:tr>
      <w:tr w:rsidR="00A360DB" w:rsidRPr="00A360DB" w14:paraId="3F8E54FB" w14:textId="77777777" w:rsidTr="00A360DB">
        <w:trPr>
          <w:trHeight w:val="240"/>
        </w:trPr>
        <w:tc>
          <w:tcPr>
            <w:tcW w:w="1697" w:type="dxa"/>
            <w:tcBorders>
              <w:top w:val="nil"/>
              <w:left w:val="nil"/>
              <w:bottom w:val="nil"/>
              <w:right w:val="nil"/>
            </w:tcBorders>
            <w:shd w:val="clear" w:color="auto" w:fill="auto"/>
            <w:noWrap/>
            <w:vAlign w:val="bottom"/>
            <w:hideMark/>
          </w:tcPr>
          <w:p w14:paraId="1F1079CE"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561D910D"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475288E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553,55</w:t>
            </w:r>
          </w:p>
        </w:tc>
        <w:tc>
          <w:tcPr>
            <w:tcW w:w="1380" w:type="dxa"/>
            <w:tcBorders>
              <w:top w:val="nil"/>
              <w:left w:val="nil"/>
              <w:bottom w:val="nil"/>
              <w:right w:val="nil"/>
            </w:tcBorders>
            <w:shd w:val="clear" w:color="auto" w:fill="auto"/>
            <w:noWrap/>
            <w:vAlign w:val="bottom"/>
            <w:hideMark/>
          </w:tcPr>
          <w:p w14:paraId="445BA07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553,55</w:t>
            </w:r>
          </w:p>
        </w:tc>
        <w:tc>
          <w:tcPr>
            <w:tcW w:w="1400" w:type="dxa"/>
            <w:tcBorders>
              <w:top w:val="nil"/>
              <w:left w:val="nil"/>
              <w:bottom w:val="nil"/>
              <w:right w:val="nil"/>
            </w:tcBorders>
            <w:shd w:val="clear" w:color="auto" w:fill="auto"/>
            <w:noWrap/>
            <w:vAlign w:val="bottom"/>
            <w:hideMark/>
          </w:tcPr>
          <w:p w14:paraId="0A281A8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r>
      <w:tr w:rsidR="00A360DB" w:rsidRPr="00A360DB" w14:paraId="25C3ED73" w14:textId="77777777" w:rsidTr="00A360DB">
        <w:trPr>
          <w:trHeight w:val="240"/>
        </w:trPr>
        <w:tc>
          <w:tcPr>
            <w:tcW w:w="1697" w:type="dxa"/>
            <w:tcBorders>
              <w:top w:val="nil"/>
              <w:left w:val="nil"/>
              <w:bottom w:val="nil"/>
              <w:right w:val="nil"/>
            </w:tcBorders>
            <w:shd w:val="clear" w:color="auto" w:fill="auto"/>
            <w:noWrap/>
            <w:vAlign w:val="bottom"/>
            <w:hideMark/>
          </w:tcPr>
          <w:p w14:paraId="525EF3E7"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lastRenderedPageBreak/>
              <w:t>3225</w:t>
            </w:r>
          </w:p>
        </w:tc>
        <w:tc>
          <w:tcPr>
            <w:tcW w:w="8509" w:type="dxa"/>
            <w:tcBorders>
              <w:top w:val="nil"/>
              <w:left w:val="nil"/>
              <w:bottom w:val="nil"/>
              <w:right w:val="nil"/>
            </w:tcBorders>
            <w:shd w:val="clear" w:color="auto" w:fill="auto"/>
            <w:noWrap/>
            <w:vAlign w:val="bottom"/>
            <w:hideMark/>
          </w:tcPr>
          <w:p w14:paraId="1FBFD32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Sitni inventar i auto gume</w:t>
            </w:r>
          </w:p>
        </w:tc>
        <w:tc>
          <w:tcPr>
            <w:tcW w:w="1480" w:type="dxa"/>
            <w:tcBorders>
              <w:top w:val="nil"/>
              <w:left w:val="nil"/>
              <w:bottom w:val="nil"/>
              <w:right w:val="nil"/>
            </w:tcBorders>
            <w:shd w:val="clear" w:color="auto" w:fill="auto"/>
            <w:noWrap/>
            <w:vAlign w:val="bottom"/>
            <w:hideMark/>
          </w:tcPr>
          <w:p w14:paraId="1D13C6F9"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1AC50F75"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553,55</w:t>
            </w:r>
          </w:p>
        </w:tc>
        <w:tc>
          <w:tcPr>
            <w:tcW w:w="1400" w:type="dxa"/>
            <w:tcBorders>
              <w:top w:val="nil"/>
              <w:left w:val="nil"/>
              <w:bottom w:val="nil"/>
              <w:right w:val="nil"/>
            </w:tcBorders>
            <w:shd w:val="clear" w:color="auto" w:fill="auto"/>
            <w:noWrap/>
            <w:vAlign w:val="bottom"/>
            <w:hideMark/>
          </w:tcPr>
          <w:p w14:paraId="14EEBC8B"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C194013" w14:textId="77777777" w:rsidTr="00A360DB">
        <w:trPr>
          <w:trHeight w:val="240"/>
        </w:trPr>
        <w:tc>
          <w:tcPr>
            <w:tcW w:w="1697" w:type="dxa"/>
            <w:tcBorders>
              <w:top w:val="nil"/>
              <w:left w:val="nil"/>
              <w:bottom w:val="nil"/>
              <w:right w:val="nil"/>
            </w:tcBorders>
            <w:shd w:val="clear" w:color="000000" w:fill="B4C6E7"/>
            <w:noWrap/>
            <w:vAlign w:val="bottom"/>
            <w:hideMark/>
          </w:tcPr>
          <w:p w14:paraId="68791D28"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A102009</w:t>
            </w:r>
          </w:p>
        </w:tc>
        <w:tc>
          <w:tcPr>
            <w:tcW w:w="8509" w:type="dxa"/>
            <w:tcBorders>
              <w:top w:val="nil"/>
              <w:left w:val="nil"/>
              <w:bottom w:val="nil"/>
              <w:right w:val="nil"/>
            </w:tcBorders>
            <w:shd w:val="clear" w:color="000000" w:fill="B4C6E7"/>
            <w:noWrap/>
            <w:vAlign w:val="bottom"/>
            <w:hideMark/>
          </w:tcPr>
          <w:p w14:paraId="09607335"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Prehrana za učenike osnovnih škola osigurana iz sredstava Državnog proračuna</w:t>
            </w:r>
          </w:p>
        </w:tc>
        <w:tc>
          <w:tcPr>
            <w:tcW w:w="1480" w:type="dxa"/>
            <w:tcBorders>
              <w:top w:val="nil"/>
              <w:left w:val="nil"/>
              <w:bottom w:val="nil"/>
              <w:right w:val="nil"/>
            </w:tcBorders>
            <w:shd w:val="clear" w:color="000000" w:fill="B4C6E7"/>
            <w:noWrap/>
            <w:vAlign w:val="bottom"/>
            <w:hideMark/>
          </w:tcPr>
          <w:p w14:paraId="54306C6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120.000,00</w:t>
            </w:r>
          </w:p>
        </w:tc>
        <w:tc>
          <w:tcPr>
            <w:tcW w:w="1380" w:type="dxa"/>
            <w:tcBorders>
              <w:top w:val="nil"/>
              <w:left w:val="nil"/>
              <w:bottom w:val="nil"/>
              <w:right w:val="nil"/>
            </w:tcBorders>
            <w:shd w:val="clear" w:color="000000" w:fill="B4C6E7"/>
            <w:noWrap/>
            <w:vAlign w:val="bottom"/>
            <w:hideMark/>
          </w:tcPr>
          <w:p w14:paraId="60BB957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114.535,61</w:t>
            </w:r>
          </w:p>
        </w:tc>
        <w:tc>
          <w:tcPr>
            <w:tcW w:w="1400" w:type="dxa"/>
            <w:tcBorders>
              <w:top w:val="nil"/>
              <w:left w:val="nil"/>
              <w:bottom w:val="nil"/>
              <w:right w:val="nil"/>
            </w:tcBorders>
            <w:shd w:val="clear" w:color="000000" w:fill="B4C6E7"/>
            <w:noWrap/>
            <w:vAlign w:val="bottom"/>
            <w:hideMark/>
          </w:tcPr>
          <w:p w14:paraId="1760EAB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95,45%</w:t>
            </w:r>
          </w:p>
        </w:tc>
      </w:tr>
      <w:tr w:rsidR="00A360DB" w:rsidRPr="00A360DB" w14:paraId="1DF1CB1A"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FBC11AF"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5. Pomoći</w:t>
            </w:r>
          </w:p>
        </w:tc>
        <w:tc>
          <w:tcPr>
            <w:tcW w:w="1480" w:type="dxa"/>
            <w:tcBorders>
              <w:top w:val="nil"/>
              <w:left w:val="nil"/>
              <w:bottom w:val="nil"/>
              <w:right w:val="nil"/>
            </w:tcBorders>
            <w:shd w:val="clear" w:color="auto" w:fill="auto"/>
            <w:noWrap/>
            <w:vAlign w:val="bottom"/>
            <w:hideMark/>
          </w:tcPr>
          <w:p w14:paraId="1CFF5F49"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120.000,00</w:t>
            </w:r>
          </w:p>
        </w:tc>
        <w:tc>
          <w:tcPr>
            <w:tcW w:w="1380" w:type="dxa"/>
            <w:tcBorders>
              <w:top w:val="nil"/>
              <w:left w:val="nil"/>
              <w:bottom w:val="nil"/>
              <w:right w:val="nil"/>
            </w:tcBorders>
            <w:shd w:val="clear" w:color="auto" w:fill="auto"/>
            <w:noWrap/>
            <w:vAlign w:val="bottom"/>
            <w:hideMark/>
          </w:tcPr>
          <w:p w14:paraId="0BF73EFA"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114.535,61</w:t>
            </w:r>
          </w:p>
        </w:tc>
        <w:tc>
          <w:tcPr>
            <w:tcW w:w="1400" w:type="dxa"/>
            <w:tcBorders>
              <w:top w:val="nil"/>
              <w:left w:val="nil"/>
              <w:bottom w:val="nil"/>
              <w:right w:val="nil"/>
            </w:tcBorders>
            <w:shd w:val="clear" w:color="auto" w:fill="auto"/>
            <w:noWrap/>
            <w:vAlign w:val="bottom"/>
            <w:hideMark/>
          </w:tcPr>
          <w:p w14:paraId="2737ACED"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95,45%</w:t>
            </w:r>
          </w:p>
        </w:tc>
      </w:tr>
      <w:tr w:rsidR="00A360DB" w:rsidRPr="00A360DB" w14:paraId="445738B8"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0097777"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5.2. Državni proračun</w:t>
            </w:r>
          </w:p>
        </w:tc>
        <w:tc>
          <w:tcPr>
            <w:tcW w:w="1480" w:type="dxa"/>
            <w:tcBorders>
              <w:top w:val="nil"/>
              <w:left w:val="nil"/>
              <w:bottom w:val="nil"/>
              <w:right w:val="nil"/>
            </w:tcBorders>
            <w:shd w:val="clear" w:color="auto" w:fill="auto"/>
            <w:noWrap/>
            <w:vAlign w:val="bottom"/>
            <w:hideMark/>
          </w:tcPr>
          <w:p w14:paraId="6638F3F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120.000,00</w:t>
            </w:r>
          </w:p>
        </w:tc>
        <w:tc>
          <w:tcPr>
            <w:tcW w:w="1380" w:type="dxa"/>
            <w:tcBorders>
              <w:top w:val="nil"/>
              <w:left w:val="nil"/>
              <w:bottom w:val="nil"/>
              <w:right w:val="nil"/>
            </w:tcBorders>
            <w:shd w:val="clear" w:color="auto" w:fill="auto"/>
            <w:noWrap/>
            <w:vAlign w:val="bottom"/>
            <w:hideMark/>
          </w:tcPr>
          <w:p w14:paraId="31F3F524"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114.535,61</w:t>
            </w:r>
          </w:p>
        </w:tc>
        <w:tc>
          <w:tcPr>
            <w:tcW w:w="1400" w:type="dxa"/>
            <w:tcBorders>
              <w:top w:val="nil"/>
              <w:left w:val="nil"/>
              <w:bottom w:val="nil"/>
              <w:right w:val="nil"/>
            </w:tcBorders>
            <w:shd w:val="clear" w:color="auto" w:fill="auto"/>
            <w:noWrap/>
            <w:vAlign w:val="bottom"/>
            <w:hideMark/>
          </w:tcPr>
          <w:p w14:paraId="77103892"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95,45%</w:t>
            </w:r>
          </w:p>
        </w:tc>
      </w:tr>
      <w:tr w:rsidR="00A360DB" w:rsidRPr="00A360DB" w14:paraId="7E7EBE4A" w14:textId="77777777" w:rsidTr="00A360DB">
        <w:trPr>
          <w:trHeight w:val="240"/>
        </w:trPr>
        <w:tc>
          <w:tcPr>
            <w:tcW w:w="1697" w:type="dxa"/>
            <w:tcBorders>
              <w:top w:val="nil"/>
              <w:left w:val="nil"/>
              <w:bottom w:val="nil"/>
              <w:right w:val="nil"/>
            </w:tcBorders>
            <w:shd w:val="clear" w:color="auto" w:fill="auto"/>
            <w:noWrap/>
            <w:vAlign w:val="bottom"/>
            <w:hideMark/>
          </w:tcPr>
          <w:p w14:paraId="6127B219"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4AE85F52"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4F9D986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120.000,00</w:t>
            </w:r>
          </w:p>
        </w:tc>
        <w:tc>
          <w:tcPr>
            <w:tcW w:w="1380" w:type="dxa"/>
            <w:tcBorders>
              <w:top w:val="nil"/>
              <w:left w:val="nil"/>
              <w:bottom w:val="nil"/>
              <w:right w:val="nil"/>
            </w:tcBorders>
            <w:shd w:val="clear" w:color="auto" w:fill="auto"/>
            <w:noWrap/>
            <w:vAlign w:val="bottom"/>
            <w:hideMark/>
          </w:tcPr>
          <w:p w14:paraId="6BEC18B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114.535,61</w:t>
            </w:r>
          </w:p>
        </w:tc>
        <w:tc>
          <w:tcPr>
            <w:tcW w:w="1400" w:type="dxa"/>
            <w:tcBorders>
              <w:top w:val="nil"/>
              <w:left w:val="nil"/>
              <w:bottom w:val="nil"/>
              <w:right w:val="nil"/>
            </w:tcBorders>
            <w:shd w:val="clear" w:color="auto" w:fill="auto"/>
            <w:noWrap/>
            <w:vAlign w:val="bottom"/>
            <w:hideMark/>
          </w:tcPr>
          <w:p w14:paraId="5B7DA70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95,45%</w:t>
            </w:r>
          </w:p>
        </w:tc>
      </w:tr>
      <w:tr w:rsidR="00A360DB" w:rsidRPr="00A360DB" w14:paraId="0EE7F5DB" w14:textId="77777777" w:rsidTr="00A360DB">
        <w:trPr>
          <w:trHeight w:val="240"/>
        </w:trPr>
        <w:tc>
          <w:tcPr>
            <w:tcW w:w="1697" w:type="dxa"/>
            <w:tcBorders>
              <w:top w:val="nil"/>
              <w:left w:val="nil"/>
              <w:bottom w:val="nil"/>
              <w:right w:val="nil"/>
            </w:tcBorders>
            <w:shd w:val="clear" w:color="auto" w:fill="auto"/>
            <w:noWrap/>
            <w:vAlign w:val="bottom"/>
            <w:hideMark/>
          </w:tcPr>
          <w:p w14:paraId="5F5726E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3222</w:t>
            </w:r>
          </w:p>
        </w:tc>
        <w:tc>
          <w:tcPr>
            <w:tcW w:w="8509" w:type="dxa"/>
            <w:tcBorders>
              <w:top w:val="nil"/>
              <w:left w:val="nil"/>
              <w:bottom w:val="nil"/>
              <w:right w:val="nil"/>
            </w:tcBorders>
            <w:shd w:val="clear" w:color="auto" w:fill="auto"/>
            <w:noWrap/>
            <w:vAlign w:val="bottom"/>
            <w:hideMark/>
          </w:tcPr>
          <w:p w14:paraId="2D7C35E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Materijal i sirovine                                                                                </w:t>
            </w:r>
          </w:p>
        </w:tc>
        <w:tc>
          <w:tcPr>
            <w:tcW w:w="1480" w:type="dxa"/>
            <w:tcBorders>
              <w:top w:val="nil"/>
              <w:left w:val="nil"/>
              <w:bottom w:val="nil"/>
              <w:right w:val="nil"/>
            </w:tcBorders>
            <w:shd w:val="clear" w:color="auto" w:fill="auto"/>
            <w:noWrap/>
            <w:vAlign w:val="bottom"/>
            <w:hideMark/>
          </w:tcPr>
          <w:p w14:paraId="112B9092"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F55DB5F"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114.535,61</w:t>
            </w:r>
          </w:p>
        </w:tc>
        <w:tc>
          <w:tcPr>
            <w:tcW w:w="1400" w:type="dxa"/>
            <w:tcBorders>
              <w:top w:val="nil"/>
              <w:left w:val="nil"/>
              <w:bottom w:val="nil"/>
              <w:right w:val="nil"/>
            </w:tcBorders>
            <w:shd w:val="clear" w:color="auto" w:fill="auto"/>
            <w:noWrap/>
            <w:vAlign w:val="bottom"/>
            <w:hideMark/>
          </w:tcPr>
          <w:p w14:paraId="2BCDBD67"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F101234" w14:textId="77777777" w:rsidTr="00A360DB">
        <w:trPr>
          <w:trHeight w:val="240"/>
        </w:trPr>
        <w:tc>
          <w:tcPr>
            <w:tcW w:w="1697" w:type="dxa"/>
            <w:tcBorders>
              <w:top w:val="nil"/>
              <w:left w:val="nil"/>
              <w:bottom w:val="nil"/>
              <w:right w:val="nil"/>
            </w:tcBorders>
            <w:shd w:val="clear" w:color="000000" w:fill="B4C6E7"/>
            <w:noWrap/>
            <w:vAlign w:val="bottom"/>
            <w:hideMark/>
          </w:tcPr>
          <w:p w14:paraId="73CF9970"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K102004</w:t>
            </w:r>
          </w:p>
        </w:tc>
        <w:tc>
          <w:tcPr>
            <w:tcW w:w="8509" w:type="dxa"/>
            <w:tcBorders>
              <w:top w:val="nil"/>
              <w:left w:val="nil"/>
              <w:bottom w:val="nil"/>
              <w:right w:val="nil"/>
            </w:tcBorders>
            <w:shd w:val="clear" w:color="000000" w:fill="B4C6E7"/>
            <w:noWrap/>
            <w:vAlign w:val="bottom"/>
            <w:hideMark/>
          </w:tcPr>
          <w:p w14:paraId="7E3E5771"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Kapitalni projekt: Opremanje OŠ (nabava knjiga i opreme) - decentralizirana sredstva</w:t>
            </w:r>
          </w:p>
        </w:tc>
        <w:tc>
          <w:tcPr>
            <w:tcW w:w="1480" w:type="dxa"/>
            <w:tcBorders>
              <w:top w:val="nil"/>
              <w:left w:val="nil"/>
              <w:bottom w:val="nil"/>
              <w:right w:val="nil"/>
            </w:tcBorders>
            <w:shd w:val="clear" w:color="000000" w:fill="B4C6E7"/>
            <w:noWrap/>
            <w:vAlign w:val="bottom"/>
            <w:hideMark/>
          </w:tcPr>
          <w:p w14:paraId="38AD90B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7.000,00</w:t>
            </w:r>
          </w:p>
        </w:tc>
        <w:tc>
          <w:tcPr>
            <w:tcW w:w="1380" w:type="dxa"/>
            <w:tcBorders>
              <w:top w:val="nil"/>
              <w:left w:val="nil"/>
              <w:bottom w:val="nil"/>
              <w:right w:val="nil"/>
            </w:tcBorders>
            <w:shd w:val="clear" w:color="000000" w:fill="B4C6E7"/>
            <w:noWrap/>
            <w:vAlign w:val="bottom"/>
            <w:hideMark/>
          </w:tcPr>
          <w:p w14:paraId="7594E63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6.915,30</w:t>
            </w:r>
          </w:p>
        </w:tc>
        <w:tc>
          <w:tcPr>
            <w:tcW w:w="1400" w:type="dxa"/>
            <w:tcBorders>
              <w:top w:val="nil"/>
              <w:left w:val="nil"/>
              <w:bottom w:val="nil"/>
              <w:right w:val="nil"/>
            </w:tcBorders>
            <w:shd w:val="clear" w:color="000000" w:fill="B4C6E7"/>
            <w:noWrap/>
            <w:vAlign w:val="bottom"/>
            <w:hideMark/>
          </w:tcPr>
          <w:p w14:paraId="6C51896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98,79%</w:t>
            </w:r>
          </w:p>
        </w:tc>
      </w:tr>
      <w:tr w:rsidR="00A360DB" w:rsidRPr="00A360DB" w14:paraId="4CE119FD"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696FEC6"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5. Pomoći</w:t>
            </w:r>
          </w:p>
        </w:tc>
        <w:tc>
          <w:tcPr>
            <w:tcW w:w="1480" w:type="dxa"/>
            <w:tcBorders>
              <w:top w:val="nil"/>
              <w:left w:val="nil"/>
              <w:bottom w:val="nil"/>
              <w:right w:val="nil"/>
            </w:tcBorders>
            <w:shd w:val="clear" w:color="auto" w:fill="auto"/>
            <w:noWrap/>
            <w:vAlign w:val="bottom"/>
            <w:hideMark/>
          </w:tcPr>
          <w:p w14:paraId="19B8E060"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7.000,00</w:t>
            </w:r>
          </w:p>
        </w:tc>
        <w:tc>
          <w:tcPr>
            <w:tcW w:w="1380" w:type="dxa"/>
            <w:tcBorders>
              <w:top w:val="nil"/>
              <w:left w:val="nil"/>
              <w:bottom w:val="nil"/>
              <w:right w:val="nil"/>
            </w:tcBorders>
            <w:shd w:val="clear" w:color="auto" w:fill="auto"/>
            <w:noWrap/>
            <w:vAlign w:val="bottom"/>
            <w:hideMark/>
          </w:tcPr>
          <w:p w14:paraId="648492D2"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6.915,30</w:t>
            </w:r>
          </w:p>
        </w:tc>
        <w:tc>
          <w:tcPr>
            <w:tcW w:w="1400" w:type="dxa"/>
            <w:tcBorders>
              <w:top w:val="nil"/>
              <w:left w:val="nil"/>
              <w:bottom w:val="nil"/>
              <w:right w:val="nil"/>
            </w:tcBorders>
            <w:shd w:val="clear" w:color="auto" w:fill="auto"/>
            <w:noWrap/>
            <w:vAlign w:val="bottom"/>
            <w:hideMark/>
          </w:tcPr>
          <w:p w14:paraId="4D017B39"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98,79%</w:t>
            </w:r>
          </w:p>
        </w:tc>
      </w:tr>
      <w:tr w:rsidR="00A360DB" w:rsidRPr="00A360DB" w14:paraId="69DEC19B"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2AEE868"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5.2. Državni proračun</w:t>
            </w:r>
          </w:p>
        </w:tc>
        <w:tc>
          <w:tcPr>
            <w:tcW w:w="1480" w:type="dxa"/>
            <w:tcBorders>
              <w:top w:val="nil"/>
              <w:left w:val="nil"/>
              <w:bottom w:val="nil"/>
              <w:right w:val="nil"/>
            </w:tcBorders>
            <w:shd w:val="clear" w:color="auto" w:fill="auto"/>
            <w:noWrap/>
            <w:vAlign w:val="bottom"/>
            <w:hideMark/>
          </w:tcPr>
          <w:p w14:paraId="3B16D46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7.000,00</w:t>
            </w:r>
          </w:p>
        </w:tc>
        <w:tc>
          <w:tcPr>
            <w:tcW w:w="1380" w:type="dxa"/>
            <w:tcBorders>
              <w:top w:val="nil"/>
              <w:left w:val="nil"/>
              <w:bottom w:val="nil"/>
              <w:right w:val="nil"/>
            </w:tcBorders>
            <w:shd w:val="clear" w:color="auto" w:fill="auto"/>
            <w:noWrap/>
            <w:vAlign w:val="bottom"/>
            <w:hideMark/>
          </w:tcPr>
          <w:p w14:paraId="75DEEED8"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6.915,30</w:t>
            </w:r>
          </w:p>
        </w:tc>
        <w:tc>
          <w:tcPr>
            <w:tcW w:w="1400" w:type="dxa"/>
            <w:tcBorders>
              <w:top w:val="nil"/>
              <w:left w:val="nil"/>
              <w:bottom w:val="nil"/>
              <w:right w:val="nil"/>
            </w:tcBorders>
            <w:shd w:val="clear" w:color="auto" w:fill="auto"/>
            <w:noWrap/>
            <w:vAlign w:val="bottom"/>
            <w:hideMark/>
          </w:tcPr>
          <w:p w14:paraId="047DD19A"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98,79%</w:t>
            </w:r>
          </w:p>
        </w:tc>
      </w:tr>
      <w:tr w:rsidR="00A360DB" w:rsidRPr="00A360DB" w14:paraId="5F8D61D9" w14:textId="77777777" w:rsidTr="00A360DB">
        <w:trPr>
          <w:trHeight w:val="240"/>
        </w:trPr>
        <w:tc>
          <w:tcPr>
            <w:tcW w:w="1697" w:type="dxa"/>
            <w:tcBorders>
              <w:top w:val="nil"/>
              <w:left w:val="nil"/>
              <w:bottom w:val="nil"/>
              <w:right w:val="nil"/>
            </w:tcBorders>
            <w:shd w:val="clear" w:color="auto" w:fill="auto"/>
            <w:noWrap/>
            <w:vAlign w:val="bottom"/>
            <w:hideMark/>
          </w:tcPr>
          <w:p w14:paraId="21B64E2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42</w:t>
            </w:r>
          </w:p>
        </w:tc>
        <w:tc>
          <w:tcPr>
            <w:tcW w:w="8509" w:type="dxa"/>
            <w:tcBorders>
              <w:top w:val="nil"/>
              <w:left w:val="nil"/>
              <w:bottom w:val="nil"/>
              <w:right w:val="nil"/>
            </w:tcBorders>
            <w:shd w:val="clear" w:color="auto" w:fill="auto"/>
            <w:noWrap/>
            <w:vAlign w:val="bottom"/>
            <w:hideMark/>
          </w:tcPr>
          <w:p w14:paraId="69E0BE6D"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nabavu proizvedene dugotrajne imovine                                                    </w:t>
            </w:r>
          </w:p>
        </w:tc>
        <w:tc>
          <w:tcPr>
            <w:tcW w:w="1480" w:type="dxa"/>
            <w:tcBorders>
              <w:top w:val="nil"/>
              <w:left w:val="nil"/>
              <w:bottom w:val="nil"/>
              <w:right w:val="nil"/>
            </w:tcBorders>
            <w:shd w:val="clear" w:color="auto" w:fill="auto"/>
            <w:noWrap/>
            <w:vAlign w:val="bottom"/>
            <w:hideMark/>
          </w:tcPr>
          <w:p w14:paraId="6DF6456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7.000,00</w:t>
            </w:r>
          </w:p>
        </w:tc>
        <w:tc>
          <w:tcPr>
            <w:tcW w:w="1380" w:type="dxa"/>
            <w:tcBorders>
              <w:top w:val="nil"/>
              <w:left w:val="nil"/>
              <w:bottom w:val="nil"/>
              <w:right w:val="nil"/>
            </w:tcBorders>
            <w:shd w:val="clear" w:color="auto" w:fill="auto"/>
            <w:noWrap/>
            <w:vAlign w:val="bottom"/>
            <w:hideMark/>
          </w:tcPr>
          <w:p w14:paraId="1BD11FD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6.915,30</w:t>
            </w:r>
          </w:p>
        </w:tc>
        <w:tc>
          <w:tcPr>
            <w:tcW w:w="1400" w:type="dxa"/>
            <w:tcBorders>
              <w:top w:val="nil"/>
              <w:left w:val="nil"/>
              <w:bottom w:val="nil"/>
              <w:right w:val="nil"/>
            </w:tcBorders>
            <w:shd w:val="clear" w:color="auto" w:fill="auto"/>
            <w:noWrap/>
            <w:vAlign w:val="bottom"/>
            <w:hideMark/>
          </w:tcPr>
          <w:p w14:paraId="40BE4C9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98,79%</w:t>
            </w:r>
          </w:p>
        </w:tc>
      </w:tr>
      <w:tr w:rsidR="00A360DB" w:rsidRPr="00A360DB" w14:paraId="6E182470" w14:textId="77777777" w:rsidTr="00A360DB">
        <w:trPr>
          <w:trHeight w:val="240"/>
        </w:trPr>
        <w:tc>
          <w:tcPr>
            <w:tcW w:w="1697" w:type="dxa"/>
            <w:tcBorders>
              <w:top w:val="nil"/>
              <w:left w:val="nil"/>
              <w:bottom w:val="nil"/>
              <w:right w:val="nil"/>
            </w:tcBorders>
            <w:shd w:val="clear" w:color="auto" w:fill="auto"/>
            <w:noWrap/>
            <w:vAlign w:val="bottom"/>
            <w:hideMark/>
          </w:tcPr>
          <w:p w14:paraId="4DEF9A9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4221</w:t>
            </w:r>
          </w:p>
        </w:tc>
        <w:tc>
          <w:tcPr>
            <w:tcW w:w="8509" w:type="dxa"/>
            <w:tcBorders>
              <w:top w:val="nil"/>
              <w:left w:val="nil"/>
              <w:bottom w:val="nil"/>
              <w:right w:val="nil"/>
            </w:tcBorders>
            <w:shd w:val="clear" w:color="auto" w:fill="auto"/>
            <w:noWrap/>
            <w:vAlign w:val="bottom"/>
            <w:hideMark/>
          </w:tcPr>
          <w:p w14:paraId="7C0BA8F7"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Uredska oprema i namještaj                                                                          </w:t>
            </w:r>
          </w:p>
        </w:tc>
        <w:tc>
          <w:tcPr>
            <w:tcW w:w="1480" w:type="dxa"/>
            <w:tcBorders>
              <w:top w:val="nil"/>
              <w:left w:val="nil"/>
              <w:bottom w:val="nil"/>
              <w:right w:val="nil"/>
            </w:tcBorders>
            <w:shd w:val="clear" w:color="auto" w:fill="auto"/>
            <w:noWrap/>
            <w:vAlign w:val="bottom"/>
            <w:hideMark/>
          </w:tcPr>
          <w:p w14:paraId="665DF873"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E114332"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549,30</w:t>
            </w:r>
          </w:p>
        </w:tc>
        <w:tc>
          <w:tcPr>
            <w:tcW w:w="1400" w:type="dxa"/>
            <w:tcBorders>
              <w:top w:val="nil"/>
              <w:left w:val="nil"/>
              <w:bottom w:val="nil"/>
              <w:right w:val="nil"/>
            </w:tcBorders>
            <w:shd w:val="clear" w:color="auto" w:fill="auto"/>
            <w:noWrap/>
            <w:vAlign w:val="bottom"/>
            <w:hideMark/>
          </w:tcPr>
          <w:p w14:paraId="374BB2D3"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853355A" w14:textId="77777777" w:rsidTr="00A360DB">
        <w:trPr>
          <w:trHeight w:val="240"/>
        </w:trPr>
        <w:tc>
          <w:tcPr>
            <w:tcW w:w="1697" w:type="dxa"/>
            <w:tcBorders>
              <w:top w:val="nil"/>
              <w:left w:val="nil"/>
              <w:bottom w:val="nil"/>
              <w:right w:val="nil"/>
            </w:tcBorders>
            <w:shd w:val="clear" w:color="auto" w:fill="auto"/>
            <w:noWrap/>
            <w:vAlign w:val="bottom"/>
            <w:hideMark/>
          </w:tcPr>
          <w:p w14:paraId="2F3ACA1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4227</w:t>
            </w:r>
          </w:p>
        </w:tc>
        <w:tc>
          <w:tcPr>
            <w:tcW w:w="8509" w:type="dxa"/>
            <w:tcBorders>
              <w:top w:val="nil"/>
              <w:left w:val="nil"/>
              <w:bottom w:val="nil"/>
              <w:right w:val="nil"/>
            </w:tcBorders>
            <w:shd w:val="clear" w:color="auto" w:fill="auto"/>
            <w:noWrap/>
            <w:vAlign w:val="bottom"/>
            <w:hideMark/>
          </w:tcPr>
          <w:p w14:paraId="7D6768F5"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Uređaji, strojevi i oprema za ostale namjene                                                        </w:t>
            </w:r>
          </w:p>
        </w:tc>
        <w:tc>
          <w:tcPr>
            <w:tcW w:w="1480" w:type="dxa"/>
            <w:tcBorders>
              <w:top w:val="nil"/>
              <w:left w:val="nil"/>
              <w:bottom w:val="nil"/>
              <w:right w:val="nil"/>
            </w:tcBorders>
            <w:shd w:val="clear" w:color="auto" w:fill="auto"/>
            <w:noWrap/>
            <w:vAlign w:val="bottom"/>
            <w:hideMark/>
          </w:tcPr>
          <w:p w14:paraId="03327D56"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2FF094F"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5.681,28</w:t>
            </w:r>
          </w:p>
        </w:tc>
        <w:tc>
          <w:tcPr>
            <w:tcW w:w="1400" w:type="dxa"/>
            <w:tcBorders>
              <w:top w:val="nil"/>
              <w:left w:val="nil"/>
              <w:bottom w:val="nil"/>
              <w:right w:val="nil"/>
            </w:tcBorders>
            <w:shd w:val="clear" w:color="auto" w:fill="auto"/>
            <w:noWrap/>
            <w:vAlign w:val="bottom"/>
            <w:hideMark/>
          </w:tcPr>
          <w:p w14:paraId="4D14F6F7"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612CD17" w14:textId="77777777" w:rsidTr="00A360DB">
        <w:trPr>
          <w:trHeight w:val="240"/>
        </w:trPr>
        <w:tc>
          <w:tcPr>
            <w:tcW w:w="1697" w:type="dxa"/>
            <w:tcBorders>
              <w:top w:val="nil"/>
              <w:left w:val="nil"/>
              <w:bottom w:val="nil"/>
              <w:right w:val="nil"/>
            </w:tcBorders>
            <w:shd w:val="clear" w:color="auto" w:fill="auto"/>
            <w:noWrap/>
            <w:vAlign w:val="bottom"/>
            <w:hideMark/>
          </w:tcPr>
          <w:p w14:paraId="6B328C7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4241</w:t>
            </w:r>
          </w:p>
        </w:tc>
        <w:tc>
          <w:tcPr>
            <w:tcW w:w="8509" w:type="dxa"/>
            <w:tcBorders>
              <w:top w:val="nil"/>
              <w:left w:val="nil"/>
              <w:bottom w:val="nil"/>
              <w:right w:val="nil"/>
            </w:tcBorders>
            <w:shd w:val="clear" w:color="auto" w:fill="auto"/>
            <w:noWrap/>
            <w:vAlign w:val="bottom"/>
            <w:hideMark/>
          </w:tcPr>
          <w:p w14:paraId="0D42C79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Knjige                                                                                              </w:t>
            </w:r>
          </w:p>
        </w:tc>
        <w:tc>
          <w:tcPr>
            <w:tcW w:w="1480" w:type="dxa"/>
            <w:tcBorders>
              <w:top w:val="nil"/>
              <w:left w:val="nil"/>
              <w:bottom w:val="nil"/>
              <w:right w:val="nil"/>
            </w:tcBorders>
            <w:shd w:val="clear" w:color="auto" w:fill="auto"/>
            <w:noWrap/>
            <w:vAlign w:val="bottom"/>
            <w:hideMark/>
          </w:tcPr>
          <w:p w14:paraId="55EF74C5"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5E5F9B02"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684,72</w:t>
            </w:r>
          </w:p>
        </w:tc>
        <w:tc>
          <w:tcPr>
            <w:tcW w:w="1400" w:type="dxa"/>
            <w:tcBorders>
              <w:top w:val="nil"/>
              <w:left w:val="nil"/>
              <w:bottom w:val="nil"/>
              <w:right w:val="nil"/>
            </w:tcBorders>
            <w:shd w:val="clear" w:color="auto" w:fill="auto"/>
            <w:noWrap/>
            <w:vAlign w:val="bottom"/>
            <w:hideMark/>
          </w:tcPr>
          <w:p w14:paraId="14CA75B8"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2072EB26" w14:textId="77777777" w:rsidTr="00A360DB">
        <w:trPr>
          <w:trHeight w:val="240"/>
        </w:trPr>
        <w:tc>
          <w:tcPr>
            <w:tcW w:w="1697" w:type="dxa"/>
            <w:tcBorders>
              <w:top w:val="nil"/>
              <w:left w:val="nil"/>
              <w:bottom w:val="nil"/>
              <w:right w:val="nil"/>
            </w:tcBorders>
            <w:shd w:val="clear" w:color="000000" w:fill="B4C6E7"/>
            <w:noWrap/>
            <w:vAlign w:val="bottom"/>
            <w:hideMark/>
          </w:tcPr>
          <w:p w14:paraId="0A52BC82"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K102005</w:t>
            </w:r>
          </w:p>
        </w:tc>
        <w:tc>
          <w:tcPr>
            <w:tcW w:w="8509" w:type="dxa"/>
            <w:tcBorders>
              <w:top w:val="nil"/>
              <w:left w:val="nil"/>
              <w:bottom w:val="nil"/>
              <w:right w:val="nil"/>
            </w:tcBorders>
            <w:shd w:val="clear" w:color="000000" w:fill="B4C6E7"/>
            <w:noWrap/>
            <w:vAlign w:val="bottom"/>
            <w:hideMark/>
          </w:tcPr>
          <w:p w14:paraId="23166FD7"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Kapitalni projekt: Opremanje OŠ (nabava knjiga i opreme) - izvan </w:t>
            </w:r>
            <w:proofErr w:type="spellStart"/>
            <w:r w:rsidRPr="00A360DB">
              <w:rPr>
                <w:rFonts w:ascii="Arial" w:hAnsi="Arial" w:cs="Arial"/>
                <w:b/>
                <w:bCs/>
                <w:sz w:val="18"/>
                <w:szCs w:val="18"/>
                <w:lang w:eastAsia="hr-HR"/>
              </w:rPr>
              <w:t>dec</w:t>
            </w:r>
            <w:proofErr w:type="spellEnd"/>
            <w:r w:rsidRPr="00A360DB">
              <w:rPr>
                <w:rFonts w:ascii="Arial" w:hAnsi="Arial" w:cs="Arial"/>
                <w:b/>
                <w:bCs/>
                <w:sz w:val="18"/>
                <w:szCs w:val="18"/>
                <w:lang w:eastAsia="hr-HR"/>
              </w:rPr>
              <w:t>. sredstava</w:t>
            </w:r>
          </w:p>
        </w:tc>
        <w:tc>
          <w:tcPr>
            <w:tcW w:w="1480" w:type="dxa"/>
            <w:tcBorders>
              <w:top w:val="nil"/>
              <w:left w:val="nil"/>
              <w:bottom w:val="nil"/>
              <w:right w:val="nil"/>
            </w:tcBorders>
            <w:shd w:val="clear" w:color="000000" w:fill="B4C6E7"/>
            <w:noWrap/>
            <w:vAlign w:val="bottom"/>
            <w:hideMark/>
          </w:tcPr>
          <w:p w14:paraId="2ECD4FD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34.050,00</w:t>
            </w:r>
          </w:p>
        </w:tc>
        <w:tc>
          <w:tcPr>
            <w:tcW w:w="1380" w:type="dxa"/>
            <w:tcBorders>
              <w:top w:val="nil"/>
              <w:left w:val="nil"/>
              <w:bottom w:val="nil"/>
              <w:right w:val="nil"/>
            </w:tcBorders>
            <w:shd w:val="clear" w:color="000000" w:fill="B4C6E7"/>
            <w:noWrap/>
            <w:vAlign w:val="bottom"/>
            <w:hideMark/>
          </w:tcPr>
          <w:p w14:paraId="157BCE0F" w14:textId="1FAB2A65"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w:t>
            </w:r>
            <w:r w:rsidR="004554BB">
              <w:rPr>
                <w:rFonts w:ascii="Arial" w:hAnsi="Arial" w:cs="Arial"/>
                <w:b/>
                <w:bCs/>
                <w:sz w:val="18"/>
                <w:szCs w:val="18"/>
                <w:lang w:eastAsia="hr-HR"/>
              </w:rPr>
              <w:t>2.392,81</w:t>
            </w:r>
          </w:p>
        </w:tc>
        <w:tc>
          <w:tcPr>
            <w:tcW w:w="1400" w:type="dxa"/>
            <w:tcBorders>
              <w:top w:val="nil"/>
              <w:left w:val="nil"/>
              <w:bottom w:val="nil"/>
              <w:right w:val="nil"/>
            </w:tcBorders>
            <w:shd w:val="clear" w:color="000000" w:fill="B4C6E7"/>
            <w:noWrap/>
            <w:vAlign w:val="bottom"/>
            <w:hideMark/>
          </w:tcPr>
          <w:p w14:paraId="499CD3B7" w14:textId="584E99BA"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w:t>
            </w:r>
            <w:r w:rsidR="004554BB">
              <w:rPr>
                <w:rFonts w:ascii="Arial" w:hAnsi="Arial" w:cs="Arial"/>
                <w:b/>
                <w:bCs/>
                <w:sz w:val="18"/>
                <w:szCs w:val="18"/>
                <w:lang w:eastAsia="hr-HR"/>
              </w:rPr>
              <w:t>5,13</w:t>
            </w:r>
            <w:r w:rsidRPr="00A360DB">
              <w:rPr>
                <w:rFonts w:ascii="Arial" w:hAnsi="Arial" w:cs="Arial"/>
                <w:b/>
                <w:bCs/>
                <w:sz w:val="18"/>
                <w:szCs w:val="18"/>
                <w:lang w:eastAsia="hr-HR"/>
              </w:rPr>
              <w:t>%</w:t>
            </w:r>
          </w:p>
        </w:tc>
      </w:tr>
      <w:tr w:rsidR="00A360DB" w:rsidRPr="00A360DB" w14:paraId="3A304DA2"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3B3D835"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557A6D6D"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13.100,00</w:t>
            </w:r>
          </w:p>
        </w:tc>
        <w:tc>
          <w:tcPr>
            <w:tcW w:w="1380" w:type="dxa"/>
            <w:tcBorders>
              <w:top w:val="nil"/>
              <w:left w:val="nil"/>
              <w:bottom w:val="nil"/>
              <w:right w:val="nil"/>
            </w:tcBorders>
            <w:shd w:val="clear" w:color="auto" w:fill="auto"/>
            <w:noWrap/>
            <w:vAlign w:val="bottom"/>
            <w:hideMark/>
          </w:tcPr>
          <w:p w14:paraId="54C4D852"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13.000,28</w:t>
            </w:r>
          </w:p>
        </w:tc>
        <w:tc>
          <w:tcPr>
            <w:tcW w:w="1400" w:type="dxa"/>
            <w:tcBorders>
              <w:top w:val="nil"/>
              <w:left w:val="nil"/>
              <w:bottom w:val="nil"/>
              <w:right w:val="nil"/>
            </w:tcBorders>
            <w:shd w:val="clear" w:color="auto" w:fill="auto"/>
            <w:noWrap/>
            <w:vAlign w:val="bottom"/>
            <w:hideMark/>
          </w:tcPr>
          <w:p w14:paraId="1EABA6F2"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99,24%</w:t>
            </w:r>
          </w:p>
        </w:tc>
      </w:tr>
      <w:tr w:rsidR="00A360DB" w:rsidRPr="00A360DB" w14:paraId="58EA625D"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A1F10C6"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44D35C5D"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13.100,00</w:t>
            </w:r>
          </w:p>
        </w:tc>
        <w:tc>
          <w:tcPr>
            <w:tcW w:w="1380" w:type="dxa"/>
            <w:tcBorders>
              <w:top w:val="nil"/>
              <w:left w:val="nil"/>
              <w:bottom w:val="nil"/>
              <w:right w:val="nil"/>
            </w:tcBorders>
            <w:shd w:val="clear" w:color="auto" w:fill="auto"/>
            <w:noWrap/>
            <w:vAlign w:val="bottom"/>
            <w:hideMark/>
          </w:tcPr>
          <w:p w14:paraId="7B8B2CDB"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13.000,28</w:t>
            </w:r>
          </w:p>
        </w:tc>
        <w:tc>
          <w:tcPr>
            <w:tcW w:w="1400" w:type="dxa"/>
            <w:tcBorders>
              <w:top w:val="nil"/>
              <w:left w:val="nil"/>
              <w:bottom w:val="nil"/>
              <w:right w:val="nil"/>
            </w:tcBorders>
            <w:shd w:val="clear" w:color="auto" w:fill="auto"/>
            <w:noWrap/>
            <w:vAlign w:val="bottom"/>
            <w:hideMark/>
          </w:tcPr>
          <w:p w14:paraId="2544BBEE"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99,24%</w:t>
            </w:r>
          </w:p>
        </w:tc>
      </w:tr>
      <w:tr w:rsidR="00A360DB" w:rsidRPr="00A360DB" w14:paraId="731917CD" w14:textId="77777777" w:rsidTr="00A360DB">
        <w:trPr>
          <w:trHeight w:val="240"/>
        </w:trPr>
        <w:tc>
          <w:tcPr>
            <w:tcW w:w="1697" w:type="dxa"/>
            <w:tcBorders>
              <w:top w:val="nil"/>
              <w:left w:val="nil"/>
              <w:bottom w:val="nil"/>
              <w:right w:val="nil"/>
            </w:tcBorders>
            <w:shd w:val="clear" w:color="auto" w:fill="auto"/>
            <w:noWrap/>
            <w:vAlign w:val="bottom"/>
            <w:hideMark/>
          </w:tcPr>
          <w:p w14:paraId="32CC7FE0"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42</w:t>
            </w:r>
          </w:p>
        </w:tc>
        <w:tc>
          <w:tcPr>
            <w:tcW w:w="8509" w:type="dxa"/>
            <w:tcBorders>
              <w:top w:val="nil"/>
              <w:left w:val="nil"/>
              <w:bottom w:val="nil"/>
              <w:right w:val="nil"/>
            </w:tcBorders>
            <w:shd w:val="clear" w:color="auto" w:fill="auto"/>
            <w:noWrap/>
            <w:vAlign w:val="bottom"/>
            <w:hideMark/>
          </w:tcPr>
          <w:p w14:paraId="6A52720A"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nabavu proizvedene dugotrajne imovine                                                    </w:t>
            </w:r>
          </w:p>
        </w:tc>
        <w:tc>
          <w:tcPr>
            <w:tcW w:w="1480" w:type="dxa"/>
            <w:tcBorders>
              <w:top w:val="nil"/>
              <w:left w:val="nil"/>
              <w:bottom w:val="nil"/>
              <w:right w:val="nil"/>
            </w:tcBorders>
            <w:shd w:val="clear" w:color="auto" w:fill="auto"/>
            <w:noWrap/>
            <w:vAlign w:val="bottom"/>
            <w:hideMark/>
          </w:tcPr>
          <w:p w14:paraId="77EDD64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13.100,00</w:t>
            </w:r>
          </w:p>
        </w:tc>
        <w:tc>
          <w:tcPr>
            <w:tcW w:w="1380" w:type="dxa"/>
            <w:tcBorders>
              <w:top w:val="nil"/>
              <w:left w:val="nil"/>
              <w:bottom w:val="nil"/>
              <w:right w:val="nil"/>
            </w:tcBorders>
            <w:shd w:val="clear" w:color="auto" w:fill="auto"/>
            <w:noWrap/>
            <w:vAlign w:val="bottom"/>
            <w:hideMark/>
          </w:tcPr>
          <w:p w14:paraId="7A424A2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13.000,28</w:t>
            </w:r>
          </w:p>
        </w:tc>
        <w:tc>
          <w:tcPr>
            <w:tcW w:w="1400" w:type="dxa"/>
            <w:tcBorders>
              <w:top w:val="nil"/>
              <w:left w:val="nil"/>
              <w:bottom w:val="nil"/>
              <w:right w:val="nil"/>
            </w:tcBorders>
            <w:shd w:val="clear" w:color="auto" w:fill="auto"/>
            <w:noWrap/>
            <w:vAlign w:val="bottom"/>
            <w:hideMark/>
          </w:tcPr>
          <w:p w14:paraId="5C242E8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99,24%</w:t>
            </w:r>
          </w:p>
        </w:tc>
      </w:tr>
      <w:tr w:rsidR="00A360DB" w:rsidRPr="00A360DB" w14:paraId="4D51FF76" w14:textId="77777777" w:rsidTr="00A360DB">
        <w:trPr>
          <w:trHeight w:val="240"/>
        </w:trPr>
        <w:tc>
          <w:tcPr>
            <w:tcW w:w="1697" w:type="dxa"/>
            <w:tcBorders>
              <w:top w:val="nil"/>
              <w:left w:val="nil"/>
              <w:bottom w:val="nil"/>
              <w:right w:val="nil"/>
            </w:tcBorders>
            <w:shd w:val="clear" w:color="auto" w:fill="auto"/>
            <w:noWrap/>
            <w:vAlign w:val="bottom"/>
            <w:hideMark/>
          </w:tcPr>
          <w:p w14:paraId="24B306DD"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4223</w:t>
            </w:r>
          </w:p>
        </w:tc>
        <w:tc>
          <w:tcPr>
            <w:tcW w:w="8509" w:type="dxa"/>
            <w:tcBorders>
              <w:top w:val="nil"/>
              <w:left w:val="nil"/>
              <w:bottom w:val="nil"/>
              <w:right w:val="nil"/>
            </w:tcBorders>
            <w:shd w:val="clear" w:color="auto" w:fill="auto"/>
            <w:noWrap/>
            <w:vAlign w:val="bottom"/>
            <w:hideMark/>
          </w:tcPr>
          <w:p w14:paraId="031B1BA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Oprema za održavanje i zaštitu                                                                      </w:t>
            </w:r>
          </w:p>
        </w:tc>
        <w:tc>
          <w:tcPr>
            <w:tcW w:w="1480" w:type="dxa"/>
            <w:tcBorders>
              <w:top w:val="nil"/>
              <w:left w:val="nil"/>
              <w:bottom w:val="nil"/>
              <w:right w:val="nil"/>
            </w:tcBorders>
            <w:shd w:val="clear" w:color="auto" w:fill="auto"/>
            <w:noWrap/>
            <w:vAlign w:val="bottom"/>
            <w:hideMark/>
          </w:tcPr>
          <w:p w14:paraId="41FFFD67"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14A93350"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9.086,15</w:t>
            </w:r>
          </w:p>
        </w:tc>
        <w:tc>
          <w:tcPr>
            <w:tcW w:w="1400" w:type="dxa"/>
            <w:tcBorders>
              <w:top w:val="nil"/>
              <w:left w:val="nil"/>
              <w:bottom w:val="nil"/>
              <w:right w:val="nil"/>
            </w:tcBorders>
            <w:shd w:val="clear" w:color="auto" w:fill="auto"/>
            <w:noWrap/>
            <w:vAlign w:val="bottom"/>
            <w:hideMark/>
          </w:tcPr>
          <w:p w14:paraId="3A2234D7"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CF46A88" w14:textId="77777777" w:rsidTr="00A360DB">
        <w:trPr>
          <w:trHeight w:val="240"/>
        </w:trPr>
        <w:tc>
          <w:tcPr>
            <w:tcW w:w="1697" w:type="dxa"/>
            <w:tcBorders>
              <w:top w:val="nil"/>
              <w:left w:val="nil"/>
              <w:bottom w:val="nil"/>
              <w:right w:val="nil"/>
            </w:tcBorders>
            <w:shd w:val="clear" w:color="auto" w:fill="auto"/>
            <w:noWrap/>
            <w:vAlign w:val="bottom"/>
            <w:hideMark/>
          </w:tcPr>
          <w:p w14:paraId="5DC2262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4227</w:t>
            </w:r>
          </w:p>
        </w:tc>
        <w:tc>
          <w:tcPr>
            <w:tcW w:w="8509" w:type="dxa"/>
            <w:tcBorders>
              <w:top w:val="nil"/>
              <w:left w:val="nil"/>
              <w:bottom w:val="nil"/>
              <w:right w:val="nil"/>
            </w:tcBorders>
            <w:shd w:val="clear" w:color="auto" w:fill="auto"/>
            <w:noWrap/>
            <w:vAlign w:val="bottom"/>
            <w:hideMark/>
          </w:tcPr>
          <w:p w14:paraId="7C3ED9FE"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Uređaji, strojevi i oprema za ostale namjene                                                        </w:t>
            </w:r>
          </w:p>
        </w:tc>
        <w:tc>
          <w:tcPr>
            <w:tcW w:w="1480" w:type="dxa"/>
            <w:tcBorders>
              <w:top w:val="nil"/>
              <w:left w:val="nil"/>
              <w:bottom w:val="nil"/>
              <w:right w:val="nil"/>
            </w:tcBorders>
            <w:shd w:val="clear" w:color="auto" w:fill="auto"/>
            <w:noWrap/>
            <w:vAlign w:val="bottom"/>
            <w:hideMark/>
          </w:tcPr>
          <w:p w14:paraId="123DE315"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B3D4F34"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3.914,13</w:t>
            </w:r>
          </w:p>
        </w:tc>
        <w:tc>
          <w:tcPr>
            <w:tcW w:w="1400" w:type="dxa"/>
            <w:tcBorders>
              <w:top w:val="nil"/>
              <w:left w:val="nil"/>
              <w:bottom w:val="nil"/>
              <w:right w:val="nil"/>
            </w:tcBorders>
            <w:shd w:val="clear" w:color="auto" w:fill="auto"/>
            <w:noWrap/>
            <w:vAlign w:val="bottom"/>
            <w:hideMark/>
          </w:tcPr>
          <w:p w14:paraId="2A146F09"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3226985"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7A7E16F"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3. Vlastiti prihodi</w:t>
            </w:r>
          </w:p>
        </w:tc>
        <w:tc>
          <w:tcPr>
            <w:tcW w:w="1480" w:type="dxa"/>
            <w:tcBorders>
              <w:top w:val="nil"/>
              <w:left w:val="nil"/>
              <w:bottom w:val="nil"/>
              <w:right w:val="nil"/>
            </w:tcBorders>
            <w:shd w:val="clear" w:color="auto" w:fill="auto"/>
            <w:noWrap/>
            <w:vAlign w:val="bottom"/>
            <w:hideMark/>
          </w:tcPr>
          <w:p w14:paraId="7E804D3E"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5.100,00</w:t>
            </w:r>
          </w:p>
        </w:tc>
        <w:tc>
          <w:tcPr>
            <w:tcW w:w="1380" w:type="dxa"/>
            <w:tcBorders>
              <w:top w:val="nil"/>
              <w:left w:val="nil"/>
              <w:bottom w:val="nil"/>
              <w:right w:val="nil"/>
            </w:tcBorders>
            <w:shd w:val="clear" w:color="auto" w:fill="auto"/>
            <w:noWrap/>
            <w:vAlign w:val="bottom"/>
            <w:hideMark/>
          </w:tcPr>
          <w:p w14:paraId="1B202F59"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5.091,19</w:t>
            </w:r>
          </w:p>
        </w:tc>
        <w:tc>
          <w:tcPr>
            <w:tcW w:w="1400" w:type="dxa"/>
            <w:tcBorders>
              <w:top w:val="nil"/>
              <w:left w:val="nil"/>
              <w:bottom w:val="nil"/>
              <w:right w:val="nil"/>
            </w:tcBorders>
            <w:shd w:val="clear" w:color="auto" w:fill="auto"/>
            <w:noWrap/>
            <w:vAlign w:val="bottom"/>
            <w:hideMark/>
          </w:tcPr>
          <w:p w14:paraId="3CC52B7F"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99,83%</w:t>
            </w:r>
          </w:p>
        </w:tc>
      </w:tr>
      <w:tr w:rsidR="00A360DB" w:rsidRPr="00A360DB" w14:paraId="6D3576EF"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A3710FA"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3.1. Vlastiti prihodi</w:t>
            </w:r>
          </w:p>
        </w:tc>
        <w:tc>
          <w:tcPr>
            <w:tcW w:w="1480" w:type="dxa"/>
            <w:tcBorders>
              <w:top w:val="nil"/>
              <w:left w:val="nil"/>
              <w:bottom w:val="nil"/>
              <w:right w:val="nil"/>
            </w:tcBorders>
            <w:shd w:val="clear" w:color="auto" w:fill="auto"/>
            <w:noWrap/>
            <w:vAlign w:val="bottom"/>
            <w:hideMark/>
          </w:tcPr>
          <w:p w14:paraId="7D92EB7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5.100,00</w:t>
            </w:r>
          </w:p>
        </w:tc>
        <w:tc>
          <w:tcPr>
            <w:tcW w:w="1380" w:type="dxa"/>
            <w:tcBorders>
              <w:top w:val="nil"/>
              <w:left w:val="nil"/>
              <w:bottom w:val="nil"/>
              <w:right w:val="nil"/>
            </w:tcBorders>
            <w:shd w:val="clear" w:color="auto" w:fill="auto"/>
            <w:noWrap/>
            <w:vAlign w:val="bottom"/>
            <w:hideMark/>
          </w:tcPr>
          <w:p w14:paraId="085FE0E4"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5.091,19</w:t>
            </w:r>
          </w:p>
        </w:tc>
        <w:tc>
          <w:tcPr>
            <w:tcW w:w="1400" w:type="dxa"/>
            <w:tcBorders>
              <w:top w:val="nil"/>
              <w:left w:val="nil"/>
              <w:bottom w:val="nil"/>
              <w:right w:val="nil"/>
            </w:tcBorders>
            <w:shd w:val="clear" w:color="auto" w:fill="auto"/>
            <w:noWrap/>
            <w:vAlign w:val="bottom"/>
            <w:hideMark/>
          </w:tcPr>
          <w:p w14:paraId="61434831"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99,83%</w:t>
            </w:r>
          </w:p>
        </w:tc>
      </w:tr>
      <w:tr w:rsidR="00A360DB" w:rsidRPr="00A360DB" w14:paraId="74645D05" w14:textId="77777777" w:rsidTr="00A360DB">
        <w:trPr>
          <w:trHeight w:val="240"/>
        </w:trPr>
        <w:tc>
          <w:tcPr>
            <w:tcW w:w="1697" w:type="dxa"/>
            <w:tcBorders>
              <w:top w:val="nil"/>
              <w:left w:val="nil"/>
              <w:bottom w:val="nil"/>
              <w:right w:val="nil"/>
            </w:tcBorders>
            <w:shd w:val="clear" w:color="auto" w:fill="auto"/>
            <w:noWrap/>
            <w:vAlign w:val="bottom"/>
            <w:hideMark/>
          </w:tcPr>
          <w:p w14:paraId="3720A7AF"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42</w:t>
            </w:r>
          </w:p>
        </w:tc>
        <w:tc>
          <w:tcPr>
            <w:tcW w:w="8509" w:type="dxa"/>
            <w:tcBorders>
              <w:top w:val="nil"/>
              <w:left w:val="nil"/>
              <w:bottom w:val="nil"/>
              <w:right w:val="nil"/>
            </w:tcBorders>
            <w:shd w:val="clear" w:color="auto" w:fill="auto"/>
            <w:noWrap/>
            <w:vAlign w:val="bottom"/>
            <w:hideMark/>
          </w:tcPr>
          <w:p w14:paraId="7ACDBDF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nabavu proizvedene dugotrajne imovine                                                    </w:t>
            </w:r>
          </w:p>
        </w:tc>
        <w:tc>
          <w:tcPr>
            <w:tcW w:w="1480" w:type="dxa"/>
            <w:tcBorders>
              <w:top w:val="nil"/>
              <w:left w:val="nil"/>
              <w:bottom w:val="nil"/>
              <w:right w:val="nil"/>
            </w:tcBorders>
            <w:shd w:val="clear" w:color="auto" w:fill="auto"/>
            <w:noWrap/>
            <w:vAlign w:val="bottom"/>
            <w:hideMark/>
          </w:tcPr>
          <w:p w14:paraId="41FD7AF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5.100,00</w:t>
            </w:r>
          </w:p>
        </w:tc>
        <w:tc>
          <w:tcPr>
            <w:tcW w:w="1380" w:type="dxa"/>
            <w:tcBorders>
              <w:top w:val="nil"/>
              <w:left w:val="nil"/>
              <w:bottom w:val="nil"/>
              <w:right w:val="nil"/>
            </w:tcBorders>
            <w:shd w:val="clear" w:color="auto" w:fill="auto"/>
            <w:noWrap/>
            <w:vAlign w:val="bottom"/>
            <w:hideMark/>
          </w:tcPr>
          <w:p w14:paraId="3462D4C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5.091,19</w:t>
            </w:r>
          </w:p>
        </w:tc>
        <w:tc>
          <w:tcPr>
            <w:tcW w:w="1400" w:type="dxa"/>
            <w:tcBorders>
              <w:top w:val="nil"/>
              <w:left w:val="nil"/>
              <w:bottom w:val="nil"/>
              <w:right w:val="nil"/>
            </w:tcBorders>
            <w:shd w:val="clear" w:color="auto" w:fill="auto"/>
            <w:noWrap/>
            <w:vAlign w:val="bottom"/>
            <w:hideMark/>
          </w:tcPr>
          <w:p w14:paraId="4E88E27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99,83%</w:t>
            </w:r>
          </w:p>
        </w:tc>
      </w:tr>
      <w:tr w:rsidR="00A360DB" w:rsidRPr="00A360DB" w14:paraId="7080EC46" w14:textId="77777777" w:rsidTr="00A360DB">
        <w:trPr>
          <w:trHeight w:val="240"/>
        </w:trPr>
        <w:tc>
          <w:tcPr>
            <w:tcW w:w="1697" w:type="dxa"/>
            <w:tcBorders>
              <w:top w:val="nil"/>
              <w:left w:val="nil"/>
              <w:bottom w:val="nil"/>
              <w:right w:val="nil"/>
            </w:tcBorders>
            <w:shd w:val="clear" w:color="auto" w:fill="auto"/>
            <w:noWrap/>
            <w:vAlign w:val="bottom"/>
            <w:hideMark/>
          </w:tcPr>
          <w:p w14:paraId="495183B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4227</w:t>
            </w:r>
          </w:p>
        </w:tc>
        <w:tc>
          <w:tcPr>
            <w:tcW w:w="8509" w:type="dxa"/>
            <w:tcBorders>
              <w:top w:val="nil"/>
              <w:left w:val="nil"/>
              <w:bottom w:val="nil"/>
              <w:right w:val="nil"/>
            </w:tcBorders>
            <w:shd w:val="clear" w:color="auto" w:fill="auto"/>
            <w:noWrap/>
            <w:vAlign w:val="bottom"/>
            <w:hideMark/>
          </w:tcPr>
          <w:p w14:paraId="57363FA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Uređaji, strojevi i oprema za ostale namjene                                                        </w:t>
            </w:r>
          </w:p>
        </w:tc>
        <w:tc>
          <w:tcPr>
            <w:tcW w:w="1480" w:type="dxa"/>
            <w:tcBorders>
              <w:top w:val="nil"/>
              <w:left w:val="nil"/>
              <w:bottom w:val="nil"/>
              <w:right w:val="nil"/>
            </w:tcBorders>
            <w:shd w:val="clear" w:color="auto" w:fill="auto"/>
            <w:noWrap/>
            <w:vAlign w:val="bottom"/>
            <w:hideMark/>
          </w:tcPr>
          <w:p w14:paraId="57357490"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8C5924D"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5.091,19</w:t>
            </w:r>
          </w:p>
        </w:tc>
        <w:tc>
          <w:tcPr>
            <w:tcW w:w="1400" w:type="dxa"/>
            <w:tcBorders>
              <w:top w:val="nil"/>
              <w:left w:val="nil"/>
              <w:bottom w:val="nil"/>
              <w:right w:val="nil"/>
            </w:tcBorders>
            <w:shd w:val="clear" w:color="auto" w:fill="auto"/>
            <w:noWrap/>
            <w:vAlign w:val="bottom"/>
            <w:hideMark/>
          </w:tcPr>
          <w:p w14:paraId="0E8A7396"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9772DDB"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1CF52EC5"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5. Pomoći</w:t>
            </w:r>
          </w:p>
        </w:tc>
        <w:tc>
          <w:tcPr>
            <w:tcW w:w="1480" w:type="dxa"/>
            <w:tcBorders>
              <w:top w:val="nil"/>
              <w:left w:val="nil"/>
              <w:bottom w:val="nil"/>
              <w:right w:val="nil"/>
            </w:tcBorders>
            <w:shd w:val="clear" w:color="auto" w:fill="auto"/>
            <w:noWrap/>
            <w:vAlign w:val="bottom"/>
            <w:hideMark/>
          </w:tcPr>
          <w:p w14:paraId="0510006E"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9.350,00</w:t>
            </w:r>
          </w:p>
        </w:tc>
        <w:tc>
          <w:tcPr>
            <w:tcW w:w="1380" w:type="dxa"/>
            <w:tcBorders>
              <w:top w:val="nil"/>
              <w:left w:val="nil"/>
              <w:bottom w:val="nil"/>
              <w:right w:val="nil"/>
            </w:tcBorders>
            <w:shd w:val="clear" w:color="auto" w:fill="auto"/>
            <w:noWrap/>
            <w:vAlign w:val="bottom"/>
            <w:hideMark/>
          </w:tcPr>
          <w:p w14:paraId="51ED2CAA"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9.023,98</w:t>
            </w:r>
          </w:p>
        </w:tc>
        <w:tc>
          <w:tcPr>
            <w:tcW w:w="1400" w:type="dxa"/>
            <w:tcBorders>
              <w:top w:val="nil"/>
              <w:left w:val="nil"/>
              <w:bottom w:val="nil"/>
              <w:right w:val="nil"/>
            </w:tcBorders>
            <w:shd w:val="clear" w:color="auto" w:fill="auto"/>
            <w:noWrap/>
            <w:vAlign w:val="bottom"/>
            <w:hideMark/>
          </w:tcPr>
          <w:p w14:paraId="12D75226"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96,51%</w:t>
            </w:r>
          </w:p>
        </w:tc>
      </w:tr>
      <w:tr w:rsidR="00A360DB" w:rsidRPr="00A360DB" w14:paraId="12C4A371"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1C27114A"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5.2. Državni proračun</w:t>
            </w:r>
          </w:p>
        </w:tc>
        <w:tc>
          <w:tcPr>
            <w:tcW w:w="1480" w:type="dxa"/>
            <w:tcBorders>
              <w:top w:val="nil"/>
              <w:left w:val="nil"/>
              <w:bottom w:val="nil"/>
              <w:right w:val="nil"/>
            </w:tcBorders>
            <w:shd w:val="clear" w:color="auto" w:fill="auto"/>
            <w:noWrap/>
            <w:vAlign w:val="bottom"/>
            <w:hideMark/>
          </w:tcPr>
          <w:p w14:paraId="21CEF87C"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9.350,00</w:t>
            </w:r>
          </w:p>
        </w:tc>
        <w:tc>
          <w:tcPr>
            <w:tcW w:w="1380" w:type="dxa"/>
            <w:tcBorders>
              <w:top w:val="nil"/>
              <w:left w:val="nil"/>
              <w:bottom w:val="nil"/>
              <w:right w:val="nil"/>
            </w:tcBorders>
            <w:shd w:val="clear" w:color="auto" w:fill="auto"/>
            <w:noWrap/>
            <w:vAlign w:val="bottom"/>
            <w:hideMark/>
          </w:tcPr>
          <w:p w14:paraId="1C1F7428"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9.023,98</w:t>
            </w:r>
          </w:p>
        </w:tc>
        <w:tc>
          <w:tcPr>
            <w:tcW w:w="1400" w:type="dxa"/>
            <w:tcBorders>
              <w:top w:val="nil"/>
              <w:left w:val="nil"/>
              <w:bottom w:val="nil"/>
              <w:right w:val="nil"/>
            </w:tcBorders>
            <w:shd w:val="clear" w:color="auto" w:fill="auto"/>
            <w:noWrap/>
            <w:vAlign w:val="bottom"/>
            <w:hideMark/>
          </w:tcPr>
          <w:p w14:paraId="7DB7E477"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96,51%</w:t>
            </w:r>
          </w:p>
        </w:tc>
      </w:tr>
      <w:tr w:rsidR="00A360DB" w:rsidRPr="00A360DB" w14:paraId="1746FAA3" w14:textId="77777777" w:rsidTr="00A360DB">
        <w:trPr>
          <w:trHeight w:val="240"/>
        </w:trPr>
        <w:tc>
          <w:tcPr>
            <w:tcW w:w="1697" w:type="dxa"/>
            <w:tcBorders>
              <w:top w:val="nil"/>
              <w:left w:val="nil"/>
              <w:bottom w:val="nil"/>
              <w:right w:val="nil"/>
            </w:tcBorders>
            <w:shd w:val="clear" w:color="auto" w:fill="auto"/>
            <w:noWrap/>
            <w:vAlign w:val="bottom"/>
            <w:hideMark/>
          </w:tcPr>
          <w:p w14:paraId="1CBEE36B"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42</w:t>
            </w:r>
          </w:p>
        </w:tc>
        <w:tc>
          <w:tcPr>
            <w:tcW w:w="8509" w:type="dxa"/>
            <w:tcBorders>
              <w:top w:val="nil"/>
              <w:left w:val="nil"/>
              <w:bottom w:val="nil"/>
              <w:right w:val="nil"/>
            </w:tcBorders>
            <w:shd w:val="clear" w:color="auto" w:fill="auto"/>
            <w:noWrap/>
            <w:vAlign w:val="bottom"/>
            <w:hideMark/>
          </w:tcPr>
          <w:p w14:paraId="622750A4"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nabavu proizvedene dugotrajne imovine                                                    </w:t>
            </w:r>
          </w:p>
        </w:tc>
        <w:tc>
          <w:tcPr>
            <w:tcW w:w="1480" w:type="dxa"/>
            <w:tcBorders>
              <w:top w:val="nil"/>
              <w:left w:val="nil"/>
              <w:bottom w:val="nil"/>
              <w:right w:val="nil"/>
            </w:tcBorders>
            <w:shd w:val="clear" w:color="auto" w:fill="auto"/>
            <w:noWrap/>
            <w:vAlign w:val="bottom"/>
            <w:hideMark/>
          </w:tcPr>
          <w:p w14:paraId="194D9C7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9.350,00</w:t>
            </w:r>
          </w:p>
        </w:tc>
        <w:tc>
          <w:tcPr>
            <w:tcW w:w="1380" w:type="dxa"/>
            <w:tcBorders>
              <w:top w:val="nil"/>
              <w:left w:val="nil"/>
              <w:bottom w:val="nil"/>
              <w:right w:val="nil"/>
            </w:tcBorders>
            <w:shd w:val="clear" w:color="auto" w:fill="auto"/>
            <w:noWrap/>
            <w:vAlign w:val="bottom"/>
            <w:hideMark/>
          </w:tcPr>
          <w:p w14:paraId="51774E0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9.023,98</w:t>
            </w:r>
          </w:p>
        </w:tc>
        <w:tc>
          <w:tcPr>
            <w:tcW w:w="1400" w:type="dxa"/>
            <w:tcBorders>
              <w:top w:val="nil"/>
              <w:left w:val="nil"/>
              <w:bottom w:val="nil"/>
              <w:right w:val="nil"/>
            </w:tcBorders>
            <w:shd w:val="clear" w:color="auto" w:fill="auto"/>
            <w:noWrap/>
            <w:vAlign w:val="bottom"/>
            <w:hideMark/>
          </w:tcPr>
          <w:p w14:paraId="68F8439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96,51%</w:t>
            </w:r>
          </w:p>
        </w:tc>
      </w:tr>
      <w:tr w:rsidR="00A360DB" w:rsidRPr="00A360DB" w14:paraId="4FB9C6BE" w14:textId="77777777" w:rsidTr="00A360DB">
        <w:trPr>
          <w:trHeight w:val="240"/>
        </w:trPr>
        <w:tc>
          <w:tcPr>
            <w:tcW w:w="1697" w:type="dxa"/>
            <w:tcBorders>
              <w:top w:val="nil"/>
              <w:left w:val="nil"/>
              <w:bottom w:val="nil"/>
              <w:right w:val="nil"/>
            </w:tcBorders>
            <w:shd w:val="clear" w:color="auto" w:fill="auto"/>
            <w:noWrap/>
            <w:vAlign w:val="bottom"/>
            <w:hideMark/>
          </w:tcPr>
          <w:p w14:paraId="190A0AD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4227</w:t>
            </w:r>
          </w:p>
        </w:tc>
        <w:tc>
          <w:tcPr>
            <w:tcW w:w="8509" w:type="dxa"/>
            <w:tcBorders>
              <w:top w:val="nil"/>
              <w:left w:val="nil"/>
              <w:bottom w:val="nil"/>
              <w:right w:val="nil"/>
            </w:tcBorders>
            <w:shd w:val="clear" w:color="auto" w:fill="auto"/>
            <w:noWrap/>
            <w:vAlign w:val="bottom"/>
            <w:hideMark/>
          </w:tcPr>
          <w:p w14:paraId="314DD855"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Uređaji, strojevi i oprema za ostale namjene                                                        </w:t>
            </w:r>
          </w:p>
        </w:tc>
        <w:tc>
          <w:tcPr>
            <w:tcW w:w="1480" w:type="dxa"/>
            <w:tcBorders>
              <w:top w:val="nil"/>
              <w:left w:val="nil"/>
              <w:bottom w:val="nil"/>
              <w:right w:val="nil"/>
            </w:tcBorders>
            <w:shd w:val="clear" w:color="auto" w:fill="auto"/>
            <w:noWrap/>
            <w:vAlign w:val="bottom"/>
            <w:hideMark/>
          </w:tcPr>
          <w:p w14:paraId="1270F7A5"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12D9225A"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326,76</w:t>
            </w:r>
          </w:p>
        </w:tc>
        <w:tc>
          <w:tcPr>
            <w:tcW w:w="1400" w:type="dxa"/>
            <w:tcBorders>
              <w:top w:val="nil"/>
              <w:left w:val="nil"/>
              <w:bottom w:val="nil"/>
              <w:right w:val="nil"/>
            </w:tcBorders>
            <w:shd w:val="clear" w:color="auto" w:fill="auto"/>
            <w:noWrap/>
            <w:vAlign w:val="bottom"/>
            <w:hideMark/>
          </w:tcPr>
          <w:p w14:paraId="2F078D05"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F85C218" w14:textId="77777777" w:rsidTr="00A360DB">
        <w:trPr>
          <w:trHeight w:val="240"/>
        </w:trPr>
        <w:tc>
          <w:tcPr>
            <w:tcW w:w="1697" w:type="dxa"/>
            <w:tcBorders>
              <w:top w:val="nil"/>
              <w:left w:val="nil"/>
              <w:bottom w:val="nil"/>
              <w:right w:val="nil"/>
            </w:tcBorders>
            <w:shd w:val="clear" w:color="auto" w:fill="auto"/>
            <w:noWrap/>
            <w:vAlign w:val="bottom"/>
            <w:hideMark/>
          </w:tcPr>
          <w:p w14:paraId="250A3D45"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4241</w:t>
            </w:r>
          </w:p>
        </w:tc>
        <w:tc>
          <w:tcPr>
            <w:tcW w:w="8509" w:type="dxa"/>
            <w:tcBorders>
              <w:top w:val="nil"/>
              <w:left w:val="nil"/>
              <w:bottom w:val="nil"/>
              <w:right w:val="nil"/>
            </w:tcBorders>
            <w:shd w:val="clear" w:color="auto" w:fill="auto"/>
            <w:noWrap/>
            <w:vAlign w:val="bottom"/>
            <w:hideMark/>
          </w:tcPr>
          <w:p w14:paraId="14DD362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Knjige                                                                                              </w:t>
            </w:r>
          </w:p>
        </w:tc>
        <w:tc>
          <w:tcPr>
            <w:tcW w:w="1480" w:type="dxa"/>
            <w:tcBorders>
              <w:top w:val="nil"/>
              <w:left w:val="nil"/>
              <w:bottom w:val="nil"/>
              <w:right w:val="nil"/>
            </w:tcBorders>
            <w:shd w:val="clear" w:color="auto" w:fill="auto"/>
            <w:noWrap/>
            <w:vAlign w:val="bottom"/>
            <w:hideMark/>
          </w:tcPr>
          <w:p w14:paraId="0573C8A5"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5E51E2F"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8.697,22</w:t>
            </w:r>
          </w:p>
        </w:tc>
        <w:tc>
          <w:tcPr>
            <w:tcW w:w="1400" w:type="dxa"/>
            <w:tcBorders>
              <w:top w:val="nil"/>
              <w:left w:val="nil"/>
              <w:bottom w:val="nil"/>
              <w:right w:val="nil"/>
            </w:tcBorders>
            <w:shd w:val="clear" w:color="auto" w:fill="auto"/>
            <w:noWrap/>
            <w:vAlign w:val="bottom"/>
            <w:hideMark/>
          </w:tcPr>
          <w:p w14:paraId="01C3CC6A"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2852A6F"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5973E66A"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6. Donacije</w:t>
            </w:r>
          </w:p>
        </w:tc>
        <w:tc>
          <w:tcPr>
            <w:tcW w:w="1480" w:type="dxa"/>
            <w:tcBorders>
              <w:top w:val="nil"/>
              <w:left w:val="nil"/>
              <w:bottom w:val="nil"/>
              <w:right w:val="nil"/>
            </w:tcBorders>
            <w:shd w:val="clear" w:color="auto" w:fill="auto"/>
            <w:noWrap/>
            <w:vAlign w:val="bottom"/>
            <w:hideMark/>
          </w:tcPr>
          <w:p w14:paraId="4E5B5D3A"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5.500,00</w:t>
            </w:r>
          </w:p>
        </w:tc>
        <w:tc>
          <w:tcPr>
            <w:tcW w:w="1380" w:type="dxa"/>
            <w:tcBorders>
              <w:top w:val="nil"/>
              <w:left w:val="nil"/>
              <w:bottom w:val="nil"/>
              <w:right w:val="nil"/>
            </w:tcBorders>
            <w:shd w:val="clear" w:color="auto" w:fill="auto"/>
            <w:noWrap/>
            <w:vAlign w:val="bottom"/>
            <w:hideMark/>
          </w:tcPr>
          <w:p w14:paraId="2214696A" w14:textId="14F58B1D" w:rsidR="00A360DB" w:rsidRPr="00A360DB" w:rsidRDefault="004554BB" w:rsidP="00A360DB">
            <w:pPr>
              <w:spacing w:after="0" w:line="240" w:lineRule="auto"/>
              <w:jc w:val="right"/>
              <w:rPr>
                <w:rFonts w:ascii="Arial" w:hAnsi="Arial" w:cs="Arial"/>
                <w:b/>
                <w:bCs/>
                <w:color w:val="333333"/>
                <w:sz w:val="18"/>
                <w:szCs w:val="18"/>
                <w:lang w:eastAsia="hr-HR"/>
              </w:rPr>
            </w:pPr>
            <w:r>
              <w:rPr>
                <w:rFonts w:ascii="Arial" w:hAnsi="Arial" w:cs="Arial"/>
                <w:b/>
                <w:bCs/>
                <w:color w:val="333333"/>
                <w:sz w:val="18"/>
                <w:szCs w:val="18"/>
                <w:lang w:eastAsia="hr-HR"/>
              </w:rPr>
              <w:t>4.277,36</w:t>
            </w:r>
          </w:p>
        </w:tc>
        <w:tc>
          <w:tcPr>
            <w:tcW w:w="1400" w:type="dxa"/>
            <w:tcBorders>
              <w:top w:val="nil"/>
              <w:left w:val="nil"/>
              <w:bottom w:val="nil"/>
              <w:right w:val="nil"/>
            </w:tcBorders>
            <w:shd w:val="clear" w:color="auto" w:fill="auto"/>
            <w:noWrap/>
            <w:vAlign w:val="bottom"/>
            <w:hideMark/>
          </w:tcPr>
          <w:p w14:paraId="041CDE34" w14:textId="35D906E1" w:rsidR="00A360DB" w:rsidRPr="00A360DB" w:rsidRDefault="004554BB" w:rsidP="00A360DB">
            <w:pPr>
              <w:spacing w:after="0" w:line="240" w:lineRule="auto"/>
              <w:jc w:val="right"/>
              <w:rPr>
                <w:rFonts w:ascii="Arial" w:hAnsi="Arial" w:cs="Arial"/>
                <w:b/>
                <w:bCs/>
                <w:color w:val="333333"/>
                <w:sz w:val="18"/>
                <w:szCs w:val="18"/>
                <w:lang w:eastAsia="hr-HR"/>
              </w:rPr>
            </w:pPr>
            <w:r>
              <w:rPr>
                <w:rFonts w:ascii="Arial" w:hAnsi="Arial" w:cs="Arial"/>
                <w:b/>
                <w:bCs/>
                <w:color w:val="333333"/>
                <w:sz w:val="18"/>
                <w:szCs w:val="18"/>
                <w:lang w:eastAsia="hr-HR"/>
              </w:rPr>
              <w:t>77,77</w:t>
            </w:r>
            <w:r w:rsidR="00A360DB" w:rsidRPr="00A360DB">
              <w:rPr>
                <w:rFonts w:ascii="Arial" w:hAnsi="Arial" w:cs="Arial"/>
                <w:b/>
                <w:bCs/>
                <w:color w:val="333333"/>
                <w:sz w:val="18"/>
                <w:szCs w:val="18"/>
                <w:lang w:eastAsia="hr-HR"/>
              </w:rPr>
              <w:t>%</w:t>
            </w:r>
          </w:p>
        </w:tc>
      </w:tr>
      <w:tr w:rsidR="00A360DB" w:rsidRPr="00A360DB" w14:paraId="5792D373"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29B9D159"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6.1. Donacije</w:t>
            </w:r>
          </w:p>
        </w:tc>
        <w:tc>
          <w:tcPr>
            <w:tcW w:w="1480" w:type="dxa"/>
            <w:tcBorders>
              <w:top w:val="nil"/>
              <w:left w:val="nil"/>
              <w:bottom w:val="nil"/>
              <w:right w:val="nil"/>
            </w:tcBorders>
            <w:shd w:val="clear" w:color="auto" w:fill="auto"/>
            <w:noWrap/>
            <w:vAlign w:val="bottom"/>
            <w:hideMark/>
          </w:tcPr>
          <w:p w14:paraId="58A101D2"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5.500,00</w:t>
            </w:r>
          </w:p>
        </w:tc>
        <w:tc>
          <w:tcPr>
            <w:tcW w:w="1380" w:type="dxa"/>
            <w:tcBorders>
              <w:top w:val="nil"/>
              <w:left w:val="nil"/>
              <w:bottom w:val="nil"/>
              <w:right w:val="nil"/>
            </w:tcBorders>
            <w:shd w:val="clear" w:color="auto" w:fill="auto"/>
            <w:noWrap/>
            <w:vAlign w:val="bottom"/>
            <w:hideMark/>
          </w:tcPr>
          <w:p w14:paraId="33CFC1DC" w14:textId="0D585EC8" w:rsidR="00A360DB" w:rsidRPr="00A360DB" w:rsidRDefault="004554BB" w:rsidP="00A360DB">
            <w:pPr>
              <w:spacing w:after="0" w:line="240" w:lineRule="auto"/>
              <w:jc w:val="right"/>
              <w:rPr>
                <w:rFonts w:ascii="Arial" w:hAnsi="Arial" w:cs="Arial"/>
                <w:color w:val="333333"/>
                <w:sz w:val="18"/>
                <w:szCs w:val="18"/>
                <w:lang w:eastAsia="hr-HR"/>
              </w:rPr>
            </w:pPr>
            <w:r>
              <w:rPr>
                <w:rFonts w:ascii="Arial" w:hAnsi="Arial" w:cs="Arial"/>
                <w:color w:val="333333"/>
                <w:sz w:val="18"/>
                <w:szCs w:val="18"/>
                <w:lang w:eastAsia="hr-HR"/>
              </w:rPr>
              <w:t>4.277,36</w:t>
            </w:r>
          </w:p>
        </w:tc>
        <w:tc>
          <w:tcPr>
            <w:tcW w:w="1400" w:type="dxa"/>
            <w:tcBorders>
              <w:top w:val="nil"/>
              <w:left w:val="nil"/>
              <w:bottom w:val="nil"/>
              <w:right w:val="nil"/>
            </w:tcBorders>
            <w:shd w:val="clear" w:color="auto" w:fill="auto"/>
            <w:noWrap/>
            <w:vAlign w:val="bottom"/>
            <w:hideMark/>
          </w:tcPr>
          <w:p w14:paraId="444CF654" w14:textId="5DDF7342" w:rsidR="00A360DB" w:rsidRPr="00A360DB" w:rsidRDefault="004554BB" w:rsidP="00A360DB">
            <w:pPr>
              <w:spacing w:after="0" w:line="240" w:lineRule="auto"/>
              <w:jc w:val="right"/>
              <w:rPr>
                <w:rFonts w:ascii="Arial" w:hAnsi="Arial" w:cs="Arial"/>
                <w:color w:val="333333"/>
                <w:sz w:val="18"/>
                <w:szCs w:val="18"/>
                <w:lang w:eastAsia="hr-HR"/>
              </w:rPr>
            </w:pPr>
            <w:r>
              <w:rPr>
                <w:rFonts w:ascii="Arial" w:hAnsi="Arial" w:cs="Arial"/>
                <w:color w:val="333333"/>
                <w:sz w:val="18"/>
                <w:szCs w:val="18"/>
                <w:lang w:eastAsia="hr-HR"/>
              </w:rPr>
              <w:t>77,77</w:t>
            </w:r>
            <w:r w:rsidR="00A360DB" w:rsidRPr="00A360DB">
              <w:rPr>
                <w:rFonts w:ascii="Arial" w:hAnsi="Arial" w:cs="Arial"/>
                <w:color w:val="333333"/>
                <w:sz w:val="18"/>
                <w:szCs w:val="18"/>
                <w:lang w:eastAsia="hr-HR"/>
              </w:rPr>
              <w:t>%</w:t>
            </w:r>
          </w:p>
        </w:tc>
      </w:tr>
      <w:tr w:rsidR="00A360DB" w:rsidRPr="00A360DB" w14:paraId="6F0FA201" w14:textId="77777777" w:rsidTr="00A360DB">
        <w:trPr>
          <w:trHeight w:val="240"/>
        </w:trPr>
        <w:tc>
          <w:tcPr>
            <w:tcW w:w="1697" w:type="dxa"/>
            <w:tcBorders>
              <w:top w:val="nil"/>
              <w:left w:val="nil"/>
              <w:bottom w:val="nil"/>
              <w:right w:val="nil"/>
            </w:tcBorders>
            <w:shd w:val="clear" w:color="auto" w:fill="auto"/>
            <w:noWrap/>
            <w:vAlign w:val="bottom"/>
            <w:hideMark/>
          </w:tcPr>
          <w:p w14:paraId="36C6C1F0"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42</w:t>
            </w:r>
          </w:p>
        </w:tc>
        <w:tc>
          <w:tcPr>
            <w:tcW w:w="8509" w:type="dxa"/>
            <w:tcBorders>
              <w:top w:val="nil"/>
              <w:left w:val="nil"/>
              <w:bottom w:val="nil"/>
              <w:right w:val="nil"/>
            </w:tcBorders>
            <w:shd w:val="clear" w:color="auto" w:fill="auto"/>
            <w:noWrap/>
            <w:vAlign w:val="bottom"/>
            <w:hideMark/>
          </w:tcPr>
          <w:p w14:paraId="020AE1E4"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nabavu proizvedene dugotrajne imovine                                                    </w:t>
            </w:r>
          </w:p>
        </w:tc>
        <w:tc>
          <w:tcPr>
            <w:tcW w:w="1480" w:type="dxa"/>
            <w:tcBorders>
              <w:top w:val="nil"/>
              <w:left w:val="nil"/>
              <w:bottom w:val="nil"/>
              <w:right w:val="nil"/>
            </w:tcBorders>
            <w:shd w:val="clear" w:color="auto" w:fill="auto"/>
            <w:noWrap/>
            <w:vAlign w:val="bottom"/>
            <w:hideMark/>
          </w:tcPr>
          <w:p w14:paraId="7688A92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5.500,00</w:t>
            </w:r>
          </w:p>
        </w:tc>
        <w:tc>
          <w:tcPr>
            <w:tcW w:w="1380" w:type="dxa"/>
            <w:tcBorders>
              <w:top w:val="nil"/>
              <w:left w:val="nil"/>
              <w:bottom w:val="nil"/>
              <w:right w:val="nil"/>
            </w:tcBorders>
            <w:shd w:val="clear" w:color="auto" w:fill="auto"/>
            <w:noWrap/>
            <w:vAlign w:val="bottom"/>
            <w:hideMark/>
          </w:tcPr>
          <w:p w14:paraId="73CE9915" w14:textId="2EDCF1F4" w:rsidR="00A360DB" w:rsidRPr="00A360DB" w:rsidRDefault="004554BB" w:rsidP="00A360DB">
            <w:pPr>
              <w:spacing w:after="0" w:line="240" w:lineRule="auto"/>
              <w:jc w:val="right"/>
              <w:rPr>
                <w:rFonts w:ascii="Arial" w:hAnsi="Arial" w:cs="Arial"/>
                <w:b/>
                <w:bCs/>
                <w:sz w:val="18"/>
                <w:szCs w:val="18"/>
                <w:lang w:eastAsia="hr-HR"/>
              </w:rPr>
            </w:pPr>
            <w:r>
              <w:rPr>
                <w:rFonts w:ascii="Arial" w:hAnsi="Arial" w:cs="Arial"/>
                <w:b/>
                <w:bCs/>
                <w:sz w:val="18"/>
                <w:szCs w:val="18"/>
                <w:lang w:eastAsia="hr-HR"/>
              </w:rPr>
              <w:t>4.277,36</w:t>
            </w:r>
          </w:p>
        </w:tc>
        <w:tc>
          <w:tcPr>
            <w:tcW w:w="1400" w:type="dxa"/>
            <w:tcBorders>
              <w:top w:val="nil"/>
              <w:left w:val="nil"/>
              <w:bottom w:val="nil"/>
              <w:right w:val="nil"/>
            </w:tcBorders>
            <w:shd w:val="clear" w:color="auto" w:fill="auto"/>
            <w:noWrap/>
            <w:vAlign w:val="bottom"/>
            <w:hideMark/>
          </w:tcPr>
          <w:p w14:paraId="57D3AFE4" w14:textId="4A9DAF10" w:rsidR="00A360DB" w:rsidRPr="00A360DB" w:rsidRDefault="004554BB" w:rsidP="00A360DB">
            <w:pPr>
              <w:spacing w:after="0" w:line="240" w:lineRule="auto"/>
              <w:jc w:val="right"/>
              <w:rPr>
                <w:rFonts w:ascii="Arial" w:hAnsi="Arial" w:cs="Arial"/>
                <w:b/>
                <w:bCs/>
                <w:sz w:val="18"/>
                <w:szCs w:val="18"/>
                <w:lang w:eastAsia="hr-HR"/>
              </w:rPr>
            </w:pPr>
            <w:r>
              <w:rPr>
                <w:rFonts w:ascii="Arial" w:hAnsi="Arial" w:cs="Arial"/>
                <w:b/>
                <w:bCs/>
                <w:sz w:val="18"/>
                <w:szCs w:val="18"/>
                <w:lang w:eastAsia="hr-HR"/>
              </w:rPr>
              <w:t>77,77</w:t>
            </w:r>
            <w:r w:rsidR="00A360DB" w:rsidRPr="00A360DB">
              <w:rPr>
                <w:rFonts w:ascii="Arial" w:hAnsi="Arial" w:cs="Arial"/>
                <w:b/>
                <w:bCs/>
                <w:sz w:val="18"/>
                <w:szCs w:val="18"/>
                <w:lang w:eastAsia="hr-HR"/>
              </w:rPr>
              <w:t>%</w:t>
            </w:r>
          </w:p>
        </w:tc>
      </w:tr>
      <w:tr w:rsidR="00A360DB" w:rsidRPr="00A360DB" w14:paraId="752A10FC" w14:textId="77777777" w:rsidTr="00A360DB">
        <w:trPr>
          <w:trHeight w:val="240"/>
        </w:trPr>
        <w:tc>
          <w:tcPr>
            <w:tcW w:w="1697" w:type="dxa"/>
            <w:tcBorders>
              <w:top w:val="nil"/>
              <w:left w:val="nil"/>
              <w:bottom w:val="nil"/>
              <w:right w:val="nil"/>
            </w:tcBorders>
            <w:shd w:val="clear" w:color="auto" w:fill="auto"/>
            <w:noWrap/>
            <w:vAlign w:val="bottom"/>
            <w:hideMark/>
          </w:tcPr>
          <w:p w14:paraId="45C6FAF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4221</w:t>
            </w:r>
          </w:p>
        </w:tc>
        <w:tc>
          <w:tcPr>
            <w:tcW w:w="8509" w:type="dxa"/>
            <w:tcBorders>
              <w:top w:val="nil"/>
              <w:left w:val="nil"/>
              <w:bottom w:val="nil"/>
              <w:right w:val="nil"/>
            </w:tcBorders>
            <w:shd w:val="clear" w:color="auto" w:fill="auto"/>
            <w:noWrap/>
            <w:vAlign w:val="bottom"/>
            <w:hideMark/>
          </w:tcPr>
          <w:p w14:paraId="7D95F60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Uredska oprema i namještaj                                                                          </w:t>
            </w:r>
          </w:p>
        </w:tc>
        <w:tc>
          <w:tcPr>
            <w:tcW w:w="1480" w:type="dxa"/>
            <w:tcBorders>
              <w:top w:val="nil"/>
              <w:left w:val="nil"/>
              <w:bottom w:val="nil"/>
              <w:right w:val="nil"/>
            </w:tcBorders>
            <w:shd w:val="clear" w:color="auto" w:fill="auto"/>
            <w:noWrap/>
            <w:vAlign w:val="bottom"/>
            <w:hideMark/>
          </w:tcPr>
          <w:p w14:paraId="7D0D05EB"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7A9075F"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2.299,80</w:t>
            </w:r>
          </w:p>
        </w:tc>
        <w:tc>
          <w:tcPr>
            <w:tcW w:w="1400" w:type="dxa"/>
            <w:tcBorders>
              <w:top w:val="nil"/>
              <w:left w:val="nil"/>
              <w:bottom w:val="nil"/>
              <w:right w:val="nil"/>
            </w:tcBorders>
            <w:shd w:val="clear" w:color="auto" w:fill="auto"/>
            <w:noWrap/>
            <w:vAlign w:val="bottom"/>
            <w:hideMark/>
          </w:tcPr>
          <w:p w14:paraId="2A8CC338" w14:textId="77777777" w:rsidR="00A360DB" w:rsidRPr="00A360DB" w:rsidRDefault="00A360DB" w:rsidP="00A360DB">
            <w:pPr>
              <w:spacing w:after="0" w:line="240" w:lineRule="auto"/>
              <w:jc w:val="right"/>
              <w:rPr>
                <w:rFonts w:ascii="Arial" w:hAnsi="Arial" w:cs="Arial"/>
                <w:sz w:val="18"/>
                <w:szCs w:val="18"/>
                <w:lang w:eastAsia="hr-HR"/>
              </w:rPr>
            </w:pPr>
          </w:p>
        </w:tc>
      </w:tr>
      <w:tr w:rsidR="004554BB" w:rsidRPr="00A360DB" w14:paraId="47606B26" w14:textId="77777777" w:rsidTr="00A360DB">
        <w:trPr>
          <w:trHeight w:val="240"/>
        </w:trPr>
        <w:tc>
          <w:tcPr>
            <w:tcW w:w="1697" w:type="dxa"/>
            <w:tcBorders>
              <w:top w:val="nil"/>
              <w:left w:val="nil"/>
              <w:bottom w:val="nil"/>
              <w:right w:val="nil"/>
            </w:tcBorders>
            <w:shd w:val="clear" w:color="auto" w:fill="auto"/>
            <w:noWrap/>
            <w:vAlign w:val="bottom"/>
          </w:tcPr>
          <w:p w14:paraId="763E5E0C" w14:textId="00AB869D" w:rsidR="004554BB" w:rsidRPr="00A360DB" w:rsidRDefault="004554BB" w:rsidP="00A360DB">
            <w:pPr>
              <w:spacing w:after="0" w:line="240" w:lineRule="auto"/>
              <w:rPr>
                <w:rFonts w:ascii="Arial" w:hAnsi="Arial" w:cs="Arial"/>
                <w:sz w:val="18"/>
                <w:szCs w:val="18"/>
                <w:lang w:eastAsia="hr-HR"/>
              </w:rPr>
            </w:pPr>
            <w:r>
              <w:rPr>
                <w:rFonts w:ascii="Arial" w:hAnsi="Arial" w:cs="Arial"/>
                <w:sz w:val="18"/>
                <w:szCs w:val="18"/>
                <w:lang w:eastAsia="hr-HR"/>
              </w:rPr>
              <w:t>4227</w:t>
            </w:r>
          </w:p>
        </w:tc>
        <w:tc>
          <w:tcPr>
            <w:tcW w:w="8509" w:type="dxa"/>
            <w:tcBorders>
              <w:top w:val="nil"/>
              <w:left w:val="nil"/>
              <w:bottom w:val="nil"/>
              <w:right w:val="nil"/>
            </w:tcBorders>
            <w:shd w:val="clear" w:color="auto" w:fill="auto"/>
            <w:noWrap/>
            <w:vAlign w:val="bottom"/>
          </w:tcPr>
          <w:p w14:paraId="51AAF8A1" w14:textId="06C6B719" w:rsidR="004554BB" w:rsidRPr="00A360DB" w:rsidRDefault="004554BB" w:rsidP="00A360DB">
            <w:pPr>
              <w:spacing w:after="0" w:line="240" w:lineRule="auto"/>
              <w:rPr>
                <w:rFonts w:ascii="Arial" w:hAnsi="Arial" w:cs="Arial"/>
                <w:sz w:val="18"/>
                <w:szCs w:val="18"/>
                <w:lang w:eastAsia="hr-HR"/>
              </w:rPr>
            </w:pPr>
            <w:r>
              <w:rPr>
                <w:rFonts w:ascii="Arial" w:hAnsi="Arial" w:cs="Arial"/>
                <w:sz w:val="18"/>
                <w:szCs w:val="18"/>
                <w:lang w:eastAsia="hr-HR"/>
              </w:rPr>
              <w:t>Uređaji, strojevi i oprema za ostale namjene</w:t>
            </w:r>
          </w:p>
        </w:tc>
        <w:tc>
          <w:tcPr>
            <w:tcW w:w="1480" w:type="dxa"/>
            <w:tcBorders>
              <w:top w:val="nil"/>
              <w:left w:val="nil"/>
              <w:bottom w:val="nil"/>
              <w:right w:val="nil"/>
            </w:tcBorders>
            <w:shd w:val="clear" w:color="auto" w:fill="auto"/>
            <w:noWrap/>
            <w:vAlign w:val="bottom"/>
          </w:tcPr>
          <w:p w14:paraId="27112583" w14:textId="77777777" w:rsidR="004554BB" w:rsidRPr="00A360DB" w:rsidRDefault="004554B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tcPr>
          <w:p w14:paraId="57D8D114" w14:textId="0062374E" w:rsidR="004554BB" w:rsidRPr="00A360DB" w:rsidRDefault="004554BB" w:rsidP="00A360DB">
            <w:pPr>
              <w:spacing w:after="0" w:line="240" w:lineRule="auto"/>
              <w:jc w:val="right"/>
              <w:rPr>
                <w:rFonts w:ascii="Arial" w:hAnsi="Arial" w:cs="Arial"/>
                <w:sz w:val="18"/>
                <w:szCs w:val="18"/>
                <w:lang w:eastAsia="hr-HR"/>
              </w:rPr>
            </w:pPr>
            <w:r>
              <w:rPr>
                <w:rFonts w:ascii="Arial" w:hAnsi="Arial" w:cs="Arial"/>
                <w:sz w:val="18"/>
                <w:szCs w:val="18"/>
                <w:lang w:eastAsia="hr-HR"/>
              </w:rPr>
              <w:t>1.059,70</w:t>
            </w:r>
          </w:p>
        </w:tc>
        <w:tc>
          <w:tcPr>
            <w:tcW w:w="1400" w:type="dxa"/>
            <w:tcBorders>
              <w:top w:val="nil"/>
              <w:left w:val="nil"/>
              <w:bottom w:val="nil"/>
              <w:right w:val="nil"/>
            </w:tcBorders>
            <w:shd w:val="clear" w:color="auto" w:fill="auto"/>
            <w:noWrap/>
            <w:vAlign w:val="bottom"/>
          </w:tcPr>
          <w:p w14:paraId="33D9D8D6" w14:textId="77777777" w:rsidR="004554BB" w:rsidRPr="00A360DB" w:rsidRDefault="004554BB" w:rsidP="00A360DB">
            <w:pPr>
              <w:spacing w:after="0" w:line="240" w:lineRule="auto"/>
              <w:jc w:val="right"/>
              <w:rPr>
                <w:rFonts w:ascii="Arial" w:hAnsi="Arial" w:cs="Arial"/>
                <w:sz w:val="18"/>
                <w:szCs w:val="18"/>
                <w:lang w:eastAsia="hr-HR"/>
              </w:rPr>
            </w:pPr>
          </w:p>
        </w:tc>
      </w:tr>
      <w:tr w:rsidR="00A360DB" w:rsidRPr="00A360DB" w14:paraId="40D7A393" w14:textId="77777777" w:rsidTr="00A360DB">
        <w:trPr>
          <w:trHeight w:val="240"/>
        </w:trPr>
        <w:tc>
          <w:tcPr>
            <w:tcW w:w="1697" w:type="dxa"/>
            <w:tcBorders>
              <w:top w:val="nil"/>
              <w:left w:val="nil"/>
              <w:bottom w:val="nil"/>
              <w:right w:val="nil"/>
            </w:tcBorders>
            <w:shd w:val="clear" w:color="auto" w:fill="auto"/>
            <w:noWrap/>
            <w:vAlign w:val="bottom"/>
            <w:hideMark/>
          </w:tcPr>
          <w:p w14:paraId="69DA84F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4241</w:t>
            </w:r>
          </w:p>
        </w:tc>
        <w:tc>
          <w:tcPr>
            <w:tcW w:w="8509" w:type="dxa"/>
            <w:tcBorders>
              <w:top w:val="nil"/>
              <w:left w:val="nil"/>
              <w:bottom w:val="nil"/>
              <w:right w:val="nil"/>
            </w:tcBorders>
            <w:shd w:val="clear" w:color="auto" w:fill="auto"/>
            <w:noWrap/>
            <w:vAlign w:val="bottom"/>
            <w:hideMark/>
          </w:tcPr>
          <w:p w14:paraId="7F2CB80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Knjige                                                                                              </w:t>
            </w:r>
          </w:p>
        </w:tc>
        <w:tc>
          <w:tcPr>
            <w:tcW w:w="1480" w:type="dxa"/>
            <w:tcBorders>
              <w:top w:val="nil"/>
              <w:left w:val="nil"/>
              <w:bottom w:val="nil"/>
              <w:right w:val="nil"/>
            </w:tcBorders>
            <w:shd w:val="clear" w:color="auto" w:fill="auto"/>
            <w:noWrap/>
            <w:vAlign w:val="bottom"/>
            <w:hideMark/>
          </w:tcPr>
          <w:p w14:paraId="719D91E7"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4F33A56" w14:textId="5B4AD6FF" w:rsidR="00A360DB" w:rsidRPr="00A360DB" w:rsidRDefault="004554BB" w:rsidP="00A360DB">
            <w:pPr>
              <w:spacing w:after="0" w:line="240" w:lineRule="auto"/>
              <w:jc w:val="right"/>
              <w:rPr>
                <w:rFonts w:ascii="Arial" w:hAnsi="Arial" w:cs="Arial"/>
                <w:sz w:val="18"/>
                <w:szCs w:val="18"/>
                <w:lang w:eastAsia="hr-HR"/>
              </w:rPr>
            </w:pPr>
            <w:r>
              <w:rPr>
                <w:rFonts w:ascii="Arial" w:hAnsi="Arial" w:cs="Arial"/>
                <w:sz w:val="18"/>
                <w:szCs w:val="18"/>
                <w:lang w:eastAsia="hr-HR"/>
              </w:rPr>
              <w:t>917,86</w:t>
            </w:r>
          </w:p>
        </w:tc>
        <w:tc>
          <w:tcPr>
            <w:tcW w:w="1400" w:type="dxa"/>
            <w:tcBorders>
              <w:top w:val="nil"/>
              <w:left w:val="nil"/>
              <w:bottom w:val="nil"/>
              <w:right w:val="nil"/>
            </w:tcBorders>
            <w:shd w:val="clear" w:color="auto" w:fill="auto"/>
            <w:noWrap/>
            <w:vAlign w:val="bottom"/>
            <w:hideMark/>
          </w:tcPr>
          <w:p w14:paraId="4211D2FA"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9F1597A"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2BAB27AE"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9. Višak iz prethodnih razdoblja</w:t>
            </w:r>
          </w:p>
        </w:tc>
        <w:tc>
          <w:tcPr>
            <w:tcW w:w="1480" w:type="dxa"/>
            <w:tcBorders>
              <w:top w:val="nil"/>
              <w:left w:val="nil"/>
              <w:bottom w:val="nil"/>
              <w:right w:val="nil"/>
            </w:tcBorders>
            <w:shd w:val="clear" w:color="auto" w:fill="auto"/>
            <w:noWrap/>
            <w:vAlign w:val="bottom"/>
            <w:hideMark/>
          </w:tcPr>
          <w:p w14:paraId="601DF98D"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1.000,00</w:t>
            </w:r>
          </w:p>
        </w:tc>
        <w:tc>
          <w:tcPr>
            <w:tcW w:w="1380" w:type="dxa"/>
            <w:tcBorders>
              <w:top w:val="nil"/>
              <w:left w:val="nil"/>
              <w:bottom w:val="nil"/>
              <w:right w:val="nil"/>
            </w:tcBorders>
            <w:shd w:val="clear" w:color="auto" w:fill="auto"/>
            <w:noWrap/>
            <w:vAlign w:val="bottom"/>
            <w:hideMark/>
          </w:tcPr>
          <w:p w14:paraId="78FB9107"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1.000,00</w:t>
            </w:r>
          </w:p>
        </w:tc>
        <w:tc>
          <w:tcPr>
            <w:tcW w:w="1400" w:type="dxa"/>
            <w:tcBorders>
              <w:top w:val="nil"/>
              <w:left w:val="nil"/>
              <w:bottom w:val="nil"/>
              <w:right w:val="nil"/>
            </w:tcBorders>
            <w:shd w:val="clear" w:color="auto" w:fill="auto"/>
            <w:noWrap/>
            <w:vAlign w:val="bottom"/>
            <w:hideMark/>
          </w:tcPr>
          <w:p w14:paraId="65F7AE9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w:t>
            </w:r>
          </w:p>
        </w:tc>
      </w:tr>
      <w:tr w:rsidR="00A360DB" w:rsidRPr="00A360DB" w14:paraId="78297496"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B0284DE"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 xml:space="preserve">Izvor 9.1. Višak iz prethodnih godina - </w:t>
            </w:r>
            <w:proofErr w:type="spellStart"/>
            <w:r w:rsidRPr="00A360DB">
              <w:rPr>
                <w:rFonts w:ascii="Arial" w:hAnsi="Arial" w:cs="Arial"/>
                <w:color w:val="333333"/>
                <w:sz w:val="18"/>
                <w:szCs w:val="18"/>
                <w:lang w:eastAsia="hr-HR"/>
              </w:rPr>
              <w:t>Prorač.korisnici</w:t>
            </w:r>
            <w:proofErr w:type="spellEnd"/>
          </w:p>
        </w:tc>
        <w:tc>
          <w:tcPr>
            <w:tcW w:w="1480" w:type="dxa"/>
            <w:tcBorders>
              <w:top w:val="nil"/>
              <w:left w:val="nil"/>
              <w:bottom w:val="nil"/>
              <w:right w:val="nil"/>
            </w:tcBorders>
            <w:shd w:val="clear" w:color="auto" w:fill="auto"/>
            <w:noWrap/>
            <w:vAlign w:val="bottom"/>
            <w:hideMark/>
          </w:tcPr>
          <w:p w14:paraId="5AB039E6"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1.000,00</w:t>
            </w:r>
          </w:p>
        </w:tc>
        <w:tc>
          <w:tcPr>
            <w:tcW w:w="1380" w:type="dxa"/>
            <w:tcBorders>
              <w:top w:val="nil"/>
              <w:left w:val="nil"/>
              <w:bottom w:val="nil"/>
              <w:right w:val="nil"/>
            </w:tcBorders>
            <w:shd w:val="clear" w:color="auto" w:fill="auto"/>
            <w:noWrap/>
            <w:vAlign w:val="bottom"/>
            <w:hideMark/>
          </w:tcPr>
          <w:p w14:paraId="35AA1322"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1.000,00</w:t>
            </w:r>
          </w:p>
        </w:tc>
        <w:tc>
          <w:tcPr>
            <w:tcW w:w="1400" w:type="dxa"/>
            <w:tcBorders>
              <w:top w:val="nil"/>
              <w:left w:val="nil"/>
              <w:bottom w:val="nil"/>
              <w:right w:val="nil"/>
            </w:tcBorders>
            <w:shd w:val="clear" w:color="auto" w:fill="auto"/>
            <w:noWrap/>
            <w:vAlign w:val="bottom"/>
            <w:hideMark/>
          </w:tcPr>
          <w:p w14:paraId="58ACCC60"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w:t>
            </w:r>
          </w:p>
        </w:tc>
      </w:tr>
      <w:tr w:rsidR="00A360DB" w:rsidRPr="00A360DB" w14:paraId="52702A42" w14:textId="77777777" w:rsidTr="00A360DB">
        <w:trPr>
          <w:trHeight w:val="240"/>
        </w:trPr>
        <w:tc>
          <w:tcPr>
            <w:tcW w:w="1697" w:type="dxa"/>
            <w:tcBorders>
              <w:top w:val="nil"/>
              <w:left w:val="nil"/>
              <w:bottom w:val="nil"/>
              <w:right w:val="nil"/>
            </w:tcBorders>
            <w:shd w:val="clear" w:color="auto" w:fill="auto"/>
            <w:noWrap/>
            <w:vAlign w:val="bottom"/>
            <w:hideMark/>
          </w:tcPr>
          <w:p w14:paraId="696A860A"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42</w:t>
            </w:r>
          </w:p>
        </w:tc>
        <w:tc>
          <w:tcPr>
            <w:tcW w:w="8509" w:type="dxa"/>
            <w:tcBorders>
              <w:top w:val="nil"/>
              <w:left w:val="nil"/>
              <w:bottom w:val="nil"/>
              <w:right w:val="nil"/>
            </w:tcBorders>
            <w:shd w:val="clear" w:color="auto" w:fill="auto"/>
            <w:noWrap/>
            <w:vAlign w:val="bottom"/>
            <w:hideMark/>
          </w:tcPr>
          <w:p w14:paraId="36A52F09"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nabavu proizvedene dugotrajne imovine                                                    </w:t>
            </w:r>
          </w:p>
        </w:tc>
        <w:tc>
          <w:tcPr>
            <w:tcW w:w="1480" w:type="dxa"/>
            <w:tcBorders>
              <w:top w:val="nil"/>
              <w:left w:val="nil"/>
              <w:bottom w:val="nil"/>
              <w:right w:val="nil"/>
            </w:tcBorders>
            <w:shd w:val="clear" w:color="auto" w:fill="auto"/>
            <w:noWrap/>
            <w:vAlign w:val="bottom"/>
            <w:hideMark/>
          </w:tcPr>
          <w:p w14:paraId="7A0A3A5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1.000,00</w:t>
            </w:r>
          </w:p>
        </w:tc>
        <w:tc>
          <w:tcPr>
            <w:tcW w:w="1380" w:type="dxa"/>
            <w:tcBorders>
              <w:top w:val="nil"/>
              <w:left w:val="nil"/>
              <w:bottom w:val="nil"/>
              <w:right w:val="nil"/>
            </w:tcBorders>
            <w:shd w:val="clear" w:color="auto" w:fill="auto"/>
            <w:noWrap/>
            <w:vAlign w:val="bottom"/>
            <w:hideMark/>
          </w:tcPr>
          <w:p w14:paraId="756D262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1.000,00</w:t>
            </w:r>
          </w:p>
        </w:tc>
        <w:tc>
          <w:tcPr>
            <w:tcW w:w="1400" w:type="dxa"/>
            <w:tcBorders>
              <w:top w:val="nil"/>
              <w:left w:val="nil"/>
              <w:bottom w:val="nil"/>
              <w:right w:val="nil"/>
            </w:tcBorders>
            <w:shd w:val="clear" w:color="auto" w:fill="auto"/>
            <w:noWrap/>
            <w:vAlign w:val="bottom"/>
            <w:hideMark/>
          </w:tcPr>
          <w:p w14:paraId="775D541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r>
      <w:tr w:rsidR="00A360DB" w:rsidRPr="00A360DB" w14:paraId="43B579B1" w14:textId="77777777" w:rsidTr="00A360DB">
        <w:trPr>
          <w:trHeight w:val="240"/>
        </w:trPr>
        <w:tc>
          <w:tcPr>
            <w:tcW w:w="1697" w:type="dxa"/>
            <w:tcBorders>
              <w:top w:val="nil"/>
              <w:left w:val="nil"/>
              <w:bottom w:val="nil"/>
              <w:right w:val="nil"/>
            </w:tcBorders>
            <w:shd w:val="clear" w:color="auto" w:fill="auto"/>
            <w:noWrap/>
            <w:vAlign w:val="bottom"/>
            <w:hideMark/>
          </w:tcPr>
          <w:p w14:paraId="3412047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4227</w:t>
            </w:r>
          </w:p>
        </w:tc>
        <w:tc>
          <w:tcPr>
            <w:tcW w:w="8509" w:type="dxa"/>
            <w:tcBorders>
              <w:top w:val="nil"/>
              <w:left w:val="nil"/>
              <w:bottom w:val="nil"/>
              <w:right w:val="nil"/>
            </w:tcBorders>
            <w:shd w:val="clear" w:color="auto" w:fill="auto"/>
            <w:noWrap/>
            <w:vAlign w:val="bottom"/>
            <w:hideMark/>
          </w:tcPr>
          <w:p w14:paraId="3241FE95"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Uređaji, strojevi i oprema za ostale namjene                                                        </w:t>
            </w:r>
          </w:p>
        </w:tc>
        <w:tc>
          <w:tcPr>
            <w:tcW w:w="1480" w:type="dxa"/>
            <w:tcBorders>
              <w:top w:val="nil"/>
              <w:left w:val="nil"/>
              <w:bottom w:val="nil"/>
              <w:right w:val="nil"/>
            </w:tcBorders>
            <w:shd w:val="clear" w:color="auto" w:fill="auto"/>
            <w:noWrap/>
            <w:vAlign w:val="bottom"/>
            <w:hideMark/>
          </w:tcPr>
          <w:p w14:paraId="28D05A32"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5C20EF41"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1.000,00</w:t>
            </w:r>
          </w:p>
        </w:tc>
        <w:tc>
          <w:tcPr>
            <w:tcW w:w="1400" w:type="dxa"/>
            <w:tcBorders>
              <w:top w:val="nil"/>
              <w:left w:val="nil"/>
              <w:bottom w:val="nil"/>
              <w:right w:val="nil"/>
            </w:tcBorders>
            <w:shd w:val="clear" w:color="auto" w:fill="auto"/>
            <w:noWrap/>
            <w:vAlign w:val="bottom"/>
            <w:hideMark/>
          </w:tcPr>
          <w:p w14:paraId="76876834"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5F0F883B" w14:textId="77777777" w:rsidTr="00A360DB">
        <w:trPr>
          <w:trHeight w:val="240"/>
        </w:trPr>
        <w:tc>
          <w:tcPr>
            <w:tcW w:w="1697" w:type="dxa"/>
            <w:tcBorders>
              <w:top w:val="nil"/>
              <w:left w:val="nil"/>
              <w:bottom w:val="nil"/>
              <w:right w:val="nil"/>
            </w:tcBorders>
            <w:shd w:val="clear" w:color="000000" w:fill="B4C6E7"/>
            <w:noWrap/>
            <w:vAlign w:val="bottom"/>
            <w:hideMark/>
          </w:tcPr>
          <w:p w14:paraId="240A5D3C"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T102004</w:t>
            </w:r>
          </w:p>
        </w:tc>
        <w:tc>
          <w:tcPr>
            <w:tcW w:w="8509" w:type="dxa"/>
            <w:tcBorders>
              <w:top w:val="nil"/>
              <w:left w:val="nil"/>
              <w:bottom w:val="nil"/>
              <w:right w:val="nil"/>
            </w:tcBorders>
            <w:shd w:val="clear" w:color="000000" w:fill="B4C6E7"/>
            <w:noWrap/>
            <w:vAlign w:val="bottom"/>
            <w:hideMark/>
          </w:tcPr>
          <w:p w14:paraId="3CA789C9"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Tekući projekt: "Medni dan"</w:t>
            </w:r>
          </w:p>
        </w:tc>
        <w:tc>
          <w:tcPr>
            <w:tcW w:w="1480" w:type="dxa"/>
            <w:tcBorders>
              <w:top w:val="nil"/>
              <w:left w:val="nil"/>
              <w:bottom w:val="nil"/>
              <w:right w:val="nil"/>
            </w:tcBorders>
            <w:shd w:val="clear" w:color="000000" w:fill="B4C6E7"/>
            <w:noWrap/>
            <w:vAlign w:val="bottom"/>
            <w:hideMark/>
          </w:tcPr>
          <w:p w14:paraId="025DA65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300,00</w:t>
            </w:r>
          </w:p>
        </w:tc>
        <w:tc>
          <w:tcPr>
            <w:tcW w:w="1380" w:type="dxa"/>
            <w:tcBorders>
              <w:top w:val="nil"/>
              <w:left w:val="nil"/>
              <w:bottom w:val="nil"/>
              <w:right w:val="nil"/>
            </w:tcBorders>
            <w:shd w:val="clear" w:color="000000" w:fill="B4C6E7"/>
            <w:noWrap/>
            <w:vAlign w:val="bottom"/>
            <w:hideMark/>
          </w:tcPr>
          <w:p w14:paraId="5DC2DB3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296,00</w:t>
            </w:r>
          </w:p>
        </w:tc>
        <w:tc>
          <w:tcPr>
            <w:tcW w:w="1400" w:type="dxa"/>
            <w:tcBorders>
              <w:top w:val="nil"/>
              <w:left w:val="nil"/>
              <w:bottom w:val="nil"/>
              <w:right w:val="nil"/>
            </w:tcBorders>
            <w:shd w:val="clear" w:color="000000" w:fill="B4C6E7"/>
            <w:noWrap/>
            <w:vAlign w:val="bottom"/>
            <w:hideMark/>
          </w:tcPr>
          <w:p w14:paraId="176028F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98,67%</w:t>
            </w:r>
          </w:p>
        </w:tc>
      </w:tr>
      <w:tr w:rsidR="00A360DB" w:rsidRPr="00A360DB" w14:paraId="07A39570"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1EA21BD"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5. Pomoći</w:t>
            </w:r>
          </w:p>
        </w:tc>
        <w:tc>
          <w:tcPr>
            <w:tcW w:w="1480" w:type="dxa"/>
            <w:tcBorders>
              <w:top w:val="nil"/>
              <w:left w:val="nil"/>
              <w:bottom w:val="nil"/>
              <w:right w:val="nil"/>
            </w:tcBorders>
            <w:shd w:val="clear" w:color="auto" w:fill="auto"/>
            <w:noWrap/>
            <w:vAlign w:val="bottom"/>
            <w:hideMark/>
          </w:tcPr>
          <w:p w14:paraId="3E1D357D"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300,00</w:t>
            </w:r>
          </w:p>
        </w:tc>
        <w:tc>
          <w:tcPr>
            <w:tcW w:w="1380" w:type="dxa"/>
            <w:tcBorders>
              <w:top w:val="nil"/>
              <w:left w:val="nil"/>
              <w:bottom w:val="nil"/>
              <w:right w:val="nil"/>
            </w:tcBorders>
            <w:shd w:val="clear" w:color="auto" w:fill="auto"/>
            <w:noWrap/>
            <w:vAlign w:val="bottom"/>
            <w:hideMark/>
          </w:tcPr>
          <w:p w14:paraId="0199D08F"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296,00</w:t>
            </w:r>
          </w:p>
        </w:tc>
        <w:tc>
          <w:tcPr>
            <w:tcW w:w="1400" w:type="dxa"/>
            <w:tcBorders>
              <w:top w:val="nil"/>
              <w:left w:val="nil"/>
              <w:bottom w:val="nil"/>
              <w:right w:val="nil"/>
            </w:tcBorders>
            <w:shd w:val="clear" w:color="auto" w:fill="auto"/>
            <w:noWrap/>
            <w:vAlign w:val="bottom"/>
            <w:hideMark/>
          </w:tcPr>
          <w:p w14:paraId="04E2B0C1"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98,67%</w:t>
            </w:r>
          </w:p>
        </w:tc>
      </w:tr>
      <w:tr w:rsidR="00A360DB" w:rsidRPr="00A360DB" w14:paraId="58D29FAA"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29A8A6F0"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lastRenderedPageBreak/>
              <w:t>Izvor 5.2. Državni proračun</w:t>
            </w:r>
          </w:p>
        </w:tc>
        <w:tc>
          <w:tcPr>
            <w:tcW w:w="1480" w:type="dxa"/>
            <w:tcBorders>
              <w:top w:val="nil"/>
              <w:left w:val="nil"/>
              <w:bottom w:val="nil"/>
              <w:right w:val="nil"/>
            </w:tcBorders>
            <w:shd w:val="clear" w:color="auto" w:fill="auto"/>
            <w:noWrap/>
            <w:vAlign w:val="bottom"/>
            <w:hideMark/>
          </w:tcPr>
          <w:p w14:paraId="46191711"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300,00</w:t>
            </w:r>
          </w:p>
        </w:tc>
        <w:tc>
          <w:tcPr>
            <w:tcW w:w="1380" w:type="dxa"/>
            <w:tcBorders>
              <w:top w:val="nil"/>
              <w:left w:val="nil"/>
              <w:bottom w:val="nil"/>
              <w:right w:val="nil"/>
            </w:tcBorders>
            <w:shd w:val="clear" w:color="auto" w:fill="auto"/>
            <w:noWrap/>
            <w:vAlign w:val="bottom"/>
            <w:hideMark/>
          </w:tcPr>
          <w:p w14:paraId="4B96B6F9"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296,00</w:t>
            </w:r>
          </w:p>
        </w:tc>
        <w:tc>
          <w:tcPr>
            <w:tcW w:w="1400" w:type="dxa"/>
            <w:tcBorders>
              <w:top w:val="nil"/>
              <w:left w:val="nil"/>
              <w:bottom w:val="nil"/>
              <w:right w:val="nil"/>
            </w:tcBorders>
            <w:shd w:val="clear" w:color="auto" w:fill="auto"/>
            <w:noWrap/>
            <w:vAlign w:val="bottom"/>
            <w:hideMark/>
          </w:tcPr>
          <w:p w14:paraId="6FF65974"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98,67%</w:t>
            </w:r>
          </w:p>
        </w:tc>
      </w:tr>
      <w:tr w:rsidR="00A360DB" w:rsidRPr="00A360DB" w14:paraId="48DF81F0" w14:textId="77777777" w:rsidTr="00A360DB">
        <w:trPr>
          <w:trHeight w:val="240"/>
        </w:trPr>
        <w:tc>
          <w:tcPr>
            <w:tcW w:w="1697" w:type="dxa"/>
            <w:tcBorders>
              <w:top w:val="nil"/>
              <w:left w:val="nil"/>
              <w:bottom w:val="nil"/>
              <w:right w:val="nil"/>
            </w:tcBorders>
            <w:shd w:val="clear" w:color="auto" w:fill="auto"/>
            <w:noWrap/>
            <w:vAlign w:val="bottom"/>
            <w:hideMark/>
          </w:tcPr>
          <w:p w14:paraId="2344259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0862A364"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4B22FA2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300,00</w:t>
            </w:r>
          </w:p>
        </w:tc>
        <w:tc>
          <w:tcPr>
            <w:tcW w:w="1380" w:type="dxa"/>
            <w:tcBorders>
              <w:top w:val="nil"/>
              <w:left w:val="nil"/>
              <w:bottom w:val="nil"/>
              <w:right w:val="nil"/>
            </w:tcBorders>
            <w:shd w:val="clear" w:color="auto" w:fill="auto"/>
            <w:noWrap/>
            <w:vAlign w:val="bottom"/>
            <w:hideMark/>
          </w:tcPr>
          <w:p w14:paraId="17E2DD2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296,00</w:t>
            </w:r>
          </w:p>
        </w:tc>
        <w:tc>
          <w:tcPr>
            <w:tcW w:w="1400" w:type="dxa"/>
            <w:tcBorders>
              <w:top w:val="nil"/>
              <w:left w:val="nil"/>
              <w:bottom w:val="nil"/>
              <w:right w:val="nil"/>
            </w:tcBorders>
            <w:shd w:val="clear" w:color="auto" w:fill="auto"/>
            <w:noWrap/>
            <w:vAlign w:val="bottom"/>
            <w:hideMark/>
          </w:tcPr>
          <w:p w14:paraId="754A926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98,67%</w:t>
            </w:r>
          </w:p>
        </w:tc>
      </w:tr>
      <w:tr w:rsidR="00A360DB" w:rsidRPr="00A360DB" w14:paraId="2EDDEFBB" w14:textId="77777777" w:rsidTr="00A360DB">
        <w:trPr>
          <w:trHeight w:val="240"/>
        </w:trPr>
        <w:tc>
          <w:tcPr>
            <w:tcW w:w="1697" w:type="dxa"/>
            <w:tcBorders>
              <w:top w:val="nil"/>
              <w:left w:val="nil"/>
              <w:bottom w:val="nil"/>
              <w:right w:val="nil"/>
            </w:tcBorders>
            <w:shd w:val="clear" w:color="auto" w:fill="auto"/>
            <w:noWrap/>
            <w:vAlign w:val="bottom"/>
            <w:hideMark/>
          </w:tcPr>
          <w:p w14:paraId="4188AC3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3222</w:t>
            </w:r>
          </w:p>
        </w:tc>
        <w:tc>
          <w:tcPr>
            <w:tcW w:w="8509" w:type="dxa"/>
            <w:tcBorders>
              <w:top w:val="nil"/>
              <w:left w:val="nil"/>
              <w:bottom w:val="nil"/>
              <w:right w:val="nil"/>
            </w:tcBorders>
            <w:shd w:val="clear" w:color="auto" w:fill="auto"/>
            <w:noWrap/>
            <w:vAlign w:val="bottom"/>
            <w:hideMark/>
          </w:tcPr>
          <w:p w14:paraId="3344175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Materijal i sirovine                                                                                </w:t>
            </w:r>
          </w:p>
        </w:tc>
        <w:tc>
          <w:tcPr>
            <w:tcW w:w="1480" w:type="dxa"/>
            <w:tcBorders>
              <w:top w:val="nil"/>
              <w:left w:val="nil"/>
              <w:bottom w:val="nil"/>
              <w:right w:val="nil"/>
            </w:tcBorders>
            <w:shd w:val="clear" w:color="auto" w:fill="auto"/>
            <w:noWrap/>
            <w:vAlign w:val="bottom"/>
            <w:hideMark/>
          </w:tcPr>
          <w:p w14:paraId="563F6DFE"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5A6B94DF"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296,00</w:t>
            </w:r>
          </w:p>
        </w:tc>
        <w:tc>
          <w:tcPr>
            <w:tcW w:w="1400" w:type="dxa"/>
            <w:tcBorders>
              <w:top w:val="nil"/>
              <w:left w:val="nil"/>
              <w:bottom w:val="nil"/>
              <w:right w:val="nil"/>
            </w:tcBorders>
            <w:shd w:val="clear" w:color="auto" w:fill="auto"/>
            <w:noWrap/>
            <w:vAlign w:val="bottom"/>
            <w:hideMark/>
          </w:tcPr>
          <w:p w14:paraId="6C3B028E"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AE2C1C6" w14:textId="77777777" w:rsidTr="00A360DB">
        <w:trPr>
          <w:trHeight w:val="240"/>
        </w:trPr>
        <w:tc>
          <w:tcPr>
            <w:tcW w:w="1697" w:type="dxa"/>
            <w:tcBorders>
              <w:top w:val="nil"/>
              <w:left w:val="nil"/>
              <w:bottom w:val="nil"/>
              <w:right w:val="nil"/>
            </w:tcBorders>
            <w:shd w:val="clear" w:color="000000" w:fill="B4C6E7"/>
            <w:noWrap/>
            <w:vAlign w:val="bottom"/>
            <w:hideMark/>
          </w:tcPr>
          <w:p w14:paraId="1342B360"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T102005</w:t>
            </w:r>
          </w:p>
        </w:tc>
        <w:tc>
          <w:tcPr>
            <w:tcW w:w="8509" w:type="dxa"/>
            <w:tcBorders>
              <w:top w:val="nil"/>
              <w:left w:val="nil"/>
              <w:bottom w:val="nil"/>
              <w:right w:val="nil"/>
            </w:tcBorders>
            <w:shd w:val="clear" w:color="000000" w:fill="B4C6E7"/>
            <w:noWrap/>
            <w:vAlign w:val="bottom"/>
            <w:hideMark/>
          </w:tcPr>
          <w:p w14:paraId="00E82692"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Tekući projekt: "Pomoćnici u nastavi - faza VI"</w:t>
            </w:r>
          </w:p>
        </w:tc>
        <w:tc>
          <w:tcPr>
            <w:tcW w:w="1480" w:type="dxa"/>
            <w:tcBorders>
              <w:top w:val="nil"/>
              <w:left w:val="nil"/>
              <w:bottom w:val="nil"/>
              <w:right w:val="nil"/>
            </w:tcBorders>
            <w:shd w:val="clear" w:color="000000" w:fill="B4C6E7"/>
            <w:noWrap/>
            <w:vAlign w:val="bottom"/>
            <w:hideMark/>
          </w:tcPr>
          <w:p w14:paraId="651C677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50.192,47</w:t>
            </w:r>
          </w:p>
        </w:tc>
        <w:tc>
          <w:tcPr>
            <w:tcW w:w="1380" w:type="dxa"/>
            <w:tcBorders>
              <w:top w:val="nil"/>
              <w:left w:val="nil"/>
              <w:bottom w:val="nil"/>
              <w:right w:val="nil"/>
            </w:tcBorders>
            <w:shd w:val="clear" w:color="000000" w:fill="B4C6E7"/>
            <w:noWrap/>
            <w:vAlign w:val="bottom"/>
            <w:hideMark/>
          </w:tcPr>
          <w:p w14:paraId="0DB9EB1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50.166,19</w:t>
            </w:r>
          </w:p>
        </w:tc>
        <w:tc>
          <w:tcPr>
            <w:tcW w:w="1400" w:type="dxa"/>
            <w:tcBorders>
              <w:top w:val="nil"/>
              <w:left w:val="nil"/>
              <w:bottom w:val="nil"/>
              <w:right w:val="nil"/>
            </w:tcBorders>
            <w:shd w:val="clear" w:color="000000" w:fill="B4C6E7"/>
            <w:noWrap/>
            <w:vAlign w:val="bottom"/>
            <w:hideMark/>
          </w:tcPr>
          <w:p w14:paraId="307CB2C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99,95%</w:t>
            </w:r>
          </w:p>
        </w:tc>
      </w:tr>
      <w:tr w:rsidR="00A360DB" w:rsidRPr="00A360DB" w14:paraId="0B422FBB"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2830A817"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6DAD480E"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26.267,00</w:t>
            </w:r>
          </w:p>
        </w:tc>
        <w:tc>
          <w:tcPr>
            <w:tcW w:w="1380" w:type="dxa"/>
            <w:tcBorders>
              <w:top w:val="nil"/>
              <w:left w:val="nil"/>
              <w:bottom w:val="nil"/>
              <w:right w:val="nil"/>
            </w:tcBorders>
            <w:shd w:val="clear" w:color="auto" w:fill="auto"/>
            <w:noWrap/>
            <w:vAlign w:val="bottom"/>
            <w:hideMark/>
          </w:tcPr>
          <w:p w14:paraId="2BB228CA"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26.244,72</w:t>
            </w:r>
          </w:p>
        </w:tc>
        <w:tc>
          <w:tcPr>
            <w:tcW w:w="1400" w:type="dxa"/>
            <w:tcBorders>
              <w:top w:val="nil"/>
              <w:left w:val="nil"/>
              <w:bottom w:val="nil"/>
              <w:right w:val="nil"/>
            </w:tcBorders>
            <w:shd w:val="clear" w:color="auto" w:fill="auto"/>
            <w:noWrap/>
            <w:vAlign w:val="bottom"/>
            <w:hideMark/>
          </w:tcPr>
          <w:p w14:paraId="6CD38FD8"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99,92%</w:t>
            </w:r>
          </w:p>
        </w:tc>
      </w:tr>
      <w:tr w:rsidR="00A360DB" w:rsidRPr="00A360DB" w14:paraId="1CF12B5D"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52DDFE5"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4BF30831"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26.267,00</w:t>
            </w:r>
          </w:p>
        </w:tc>
        <w:tc>
          <w:tcPr>
            <w:tcW w:w="1380" w:type="dxa"/>
            <w:tcBorders>
              <w:top w:val="nil"/>
              <w:left w:val="nil"/>
              <w:bottom w:val="nil"/>
              <w:right w:val="nil"/>
            </w:tcBorders>
            <w:shd w:val="clear" w:color="auto" w:fill="auto"/>
            <w:noWrap/>
            <w:vAlign w:val="bottom"/>
            <w:hideMark/>
          </w:tcPr>
          <w:p w14:paraId="458E1BE3"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26.244,72</w:t>
            </w:r>
          </w:p>
        </w:tc>
        <w:tc>
          <w:tcPr>
            <w:tcW w:w="1400" w:type="dxa"/>
            <w:tcBorders>
              <w:top w:val="nil"/>
              <w:left w:val="nil"/>
              <w:bottom w:val="nil"/>
              <w:right w:val="nil"/>
            </w:tcBorders>
            <w:shd w:val="clear" w:color="auto" w:fill="auto"/>
            <w:noWrap/>
            <w:vAlign w:val="bottom"/>
            <w:hideMark/>
          </w:tcPr>
          <w:p w14:paraId="77D0B65E"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99,92%</w:t>
            </w:r>
          </w:p>
        </w:tc>
      </w:tr>
      <w:tr w:rsidR="00A360DB" w:rsidRPr="00A360DB" w14:paraId="01F115D1" w14:textId="77777777" w:rsidTr="00A360DB">
        <w:trPr>
          <w:trHeight w:val="240"/>
        </w:trPr>
        <w:tc>
          <w:tcPr>
            <w:tcW w:w="1697" w:type="dxa"/>
            <w:tcBorders>
              <w:top w:val="nil"/>
              <w:left w:val="nil"/>
              <w:bottom w:val="nil"/>
              <w:right w:val="nil"/>
            </w:tcBorders>
            <w:shd w:val="clear" w:color="auto" w:fill="auto"/>
            <w:noWrap/>
            <w:vAlign w:val="bottom"/>
            <w:hideMark/>
          </w:tcPr>
          <w:p w14:paraId="6B1941F5"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31</w:t>
            </w:r>
          </w:p>
        </w:tc>
        <w:tc>
          <w:tcPr>
            <w:tcW w:w="8509" w:type="dxa"/>
            <w:tcBorders>
              <w:top w:val="nil"/>
              <w:left w:val="nil"/>
              <w:bottom w:val="nil"/>
              <w:right w:val="nil"/>
            </w:tcBorders>
            <w:shd w:val="clear" w:color="auto" w:fill="auto"/>
            <w:noWrap/>
            <w:vAlign w:val="bottom"/>
            <w:hideMark/>
          </w:tcPr>
          <w:p w14:paraId="43045687"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zaposlene                                                                                </w:t>
            </w:r>
          </w:p>
        </w:tc>
        <w:tc>
          <w:tcPr>
            <w:tcW w:w="1480" w:type="dxa"/>
            <w:tcBorders>
              <w:top w:val="nil"/>
              <w:left w:val="nil"/>
              <w:bottom w:val="nil"/>
              <w:right w:val="nil"/>
            </w:tcBorders>
            <w:shd w:val="clear" w:color="auto" w:fill="auto"/>
            <w:noWrap/>
            <w:vAlign w:val="bottom"/>
            <w:hideMark/>
          </w:tcPr>
          <w:p w14:paraId="1878631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25.620,00</w:t>
            </w:r>
          </w:p>
        </w:tc>
        <w:tc>
          <w:tcPr>
            <w:tcW w:w="1380" w:type="dxa"/>
            <w:tcBorders>
              <w:top w:val="nil"/>
              <w:left w:val="nil"/>
              <w:bottom w:val="nil"/>
              <w:right w:val="nil"/>
            </w:tcBorders>
            <w:shd w:val="clear" w:color="auto" w:fill="auto"/>
            <w:noWrap/>
            <w:vAlign w:val="bottom"/>
            <w:hideMark/>
          </w:tcPr>
          <w:p w14:paraId="5D7D5DD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25.598,54</w:t>
            </w:r>
          </w:p>
        </w:tc>
        <w:tc>
          <w:tcPr>
            <w:tcW w:w="1400" w:type="dxa"/>
            <w:tcBorders>
              <w:top w:val="nil"/>
              <w:left w:val="nil"/>
              <w:bottom w:val="nil"/>
              <w:right w:val="nil"/>
            </w:tcBorders>
            <w:shd w:val="clear" w:color="auto" w:fill="auto"/>
            <w:noWrap/>
            <w:vAlign w:val="bottom"/>
            <w:hideMark/>
          </w:tcPr>
          <w:p w14:paraId="2D85D2B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99,92%</w:t>
            </w:r>
          </w:p>
        </w:tc>
      </w:tr>
      <w:tr w:rsidR="00A360DB" w:rsidRPr="00A360DB" w14:paraId="5343B21D" w14:textId="77777777" w:rsidTr="00A360DB">
        <w:trPr>
          <w:trHeight w:val="240"/>
        </w:trPr>
        <w:tc>
          <w:tcPr>
            <w:tcW w:w="1697" w:type="dxa"/>
            <w:tcBorders>
              <w:top w:val="nil"/>
              <w:left w:val="nil"/>
              <w:bottom w:val="nil"/>
              <w:right w:val="nil"/>
            </w:tcBorders>
            <w:shd w:val="clear" w:color="auto" w:fill="auto"/>
            <w:noWrap/>
            <w:vAlign w:val="bottom"/>
            <w:hideMark/>
          </w:tcPr>
          <w:p w14:paraId="18DE9EE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3111</w:t>
            </w:r>
          </w:p>
        </w:tc>
        <w:tc>
          <w:tcPr>
            <w:tcW w:w="8509" w:type="dxa"/>
            <w:tcBorders>
              <w:top w:val="nil"/>
              <w:left w:val="nil"/>
              <w:bottom w:val="nil"/>
              <w:right w:val="nil"/>
            </w:tcBorders>
            <w:shd w:val="clear" w:color="auto" w:fill="auto"/>
            <w:noWrap/>
            <w:vAlign w:val="bottom"/>
            <w:hideMark/>
          </w:tcPr>
          <w:p w14:paraId="2F831C07"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Plaće za redovan rad                                                                                </w:t>
            </w:r>
          </w:p>
        </w:tc>
        <w:tc>
          <w:tcPr>
            <w:tcW w:w="1480" w:type="dxa"/>
            <w:tcBorders>
              <w:top w:val="nil"/>
              <w:left w:val="nil"/>
              <w:bottom w:val="nil"/>
              <w:right w:val="nil"/>
            </w:tcBorders>
            <w:shd w:val="clear" w:color="auto" w:fill="auto"/>
            <w:noWrap/>
            <w:vAlign w:val="bottom"/>
            <w:hideMark/>
          </w:tcPr>
          <w:p w14:paraId="53D6F8AE"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90F17A1"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19.189,76</w:t>
            </w:r>
          </w:p>
        </w:tc>
        <w:tc>
          <w:tcPr>
            <w:tcW w:w="1400" w:type="dxa"/>
            <w:tcBorders>
              <w:top w:val="nil"/>
              <w:left w:val="nil"/>
              <w:bottom w:val="nil"/>
              <w:right w:val="nil"/>
            </w:tcBorders>
            <w:shd w:val="clear" w:color="auto" w:fill="auto"/>
            <w:noWrap/>
            <w:vAlign w:val="bottom"/>
            <w:hideMark/>
          </w:tcPr>
          <w:p w14:paraId="530A7552"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216D07EC" w14:textId="77777777" w:rsidTr="00A360DB">
        <w:trPr>
          <w:trHeight w:val="240"/>
        </w:trPr>
        <w:tc>
          <w:tcPr>
            <w:tcW w:w="1697" w:type="dxa"/>
            <w:tcBorders>
              <w:top w:val="nil"/>
              <w:left w:val="nil"/>
              <w:bottom w:val="nil"/>
              <w:right w:val="nil"/>
            </w:tcBorders>
            <w:shd w:val="clear" w:color="auto" w:fill="auto"/>
            <w:noWrap/>
            <w:vAlign w:val="bottom"/>
            <w:hideMark/>
          </w:tcPr>
          <w:p w14:paraId="6714EEE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3121</w:t>
            </w:r>
          </w:p>
        </w:tc>
        <w:tc>
          <w:tcPr>
            <w:tcW w:w="8509" w:type="dxa"/>
            <w:tcBorders>
              <w:top w:val="nil"/>
              <w:left w:val="nil"/>
              <w:bottom w:val="nil"/>
              <w:right w:val="nil"/>
            </w:tcBorders>
            <w:shd w:val="clear" w:color="auto" w:fill="auto"/>
            <w:noWrap/>
            <w:vAlign w:val="bottom"/>
            <w:hideMark/>
          </w:tcPr>
          <w:p w14:paraId="291D209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Ostali rashodi za zaposlene                                                                         </w:t>
            </w:r>
          </w:p>
        </w:tc>
        <w:tc>
          <w:tcPr>
            <w:tcW w:w="1480" w:type="dxa"/>
            <w:tcBorders>
              <w:top w:val="nil"/>
              <w:left w:val="nil"/>
              <w:bottom w:val="nil"/>
              <w:right w:val="nil"/>
            </w:tcBorders>
            <w:shd w:val="clear" w:color="auto" w:fill="auto"/>
            <w:noWrap/>
            <w:vAlign w:val="bottom"/>
            <w:hideMark/>
          </w:tcPr>
          <w:p w14:paraId="5D789F3E"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781EB8E"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3.600,00</w:t>
            </w:r>
          </w:p>
        </w:tc>
        <w:tc>
          <w:tcPr>
            <w:tcW w:w="1400" w:type="dxa"/>
            <w:tcBorders>
              <w:top w:val="nil"/>
              <w:left w:val="nil"/>
              <w:bottom w:val="nil"/>
              <w:right w:val="nil"/>
            </w:tcBorders>
            <w:shd w:val="clear" w:color="auto" w:fill="auto"/>
            <w:noWrap/>
            <w:vAlign w:val="bottom"/>
            <w:hideMark/>
          </w:tcPr>
          <w:p w14:paraId="4E36A537"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210D31B" w14:textId="77777777" w:rsidTr="00A360DB">
        <w:trPr>
          <w:trHeight w:val="240"/>
        </w:trPr>
        <w:tc>
          <w:tcPr>
            <w:tcW w:w="1697" w:type="dxa"/>
            <w:tcBorders>
              <w:top w:val="nil"/>
              <w:left w:val="nil"/>
              <w:bottom w:val="nil"/>
              <w:right w:val="nil"/>
            </w:tcBorders>
            <w:shd w:val="clear" w:color="auto" w:fill="auto"/>
            <w:noWrap/>
            <w:vAlign w:val="bottom"/>
            <w:hideMark/>
          </w:tcPr>
          <w:p w14:paraId="6ED5B38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3132</w:t>
            </w:r>
          </w:p>
        </w:tc>
        <w:tc>
          <w:tcPr>
            <w:tcW w:w="8509" w:type="dxa"/>
            <w:tcBorders>
              <w:top w:val="nil"/>
              <w:left w:val="nil"/>
              <w:bottom w:val="nil"/>
              <w:right w:val="nil"/>
            </w:tcBorders>
            <w:shd w:val="clear" w:color="auto" w:fill="auto"/>
            <w:noWrap/>
            <w:vAlign w:val="bottom"/>
            <w:hideMark/>
          </w:tcPr>
          <w:p w14:paraId="17548D1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Doprinosi za obvezno zdravstveno osiguranje                                                         </w:t>
            </w:r>
          </w:p>
        </w:tc>
        <w:tc>
          <w:tcPr>
            <w:tcW w:w="1480" w:type="dxa"/>
            <w:tcBorders>
              <w:top w:val="nil"/>
              <w:left w:val="nil"/>
              <w:bottom w:val="nil"/>
              <w:right w:val="nil"/>
            </w:tcBorders>
            <w:shd w:val="clear" w:color="auto" w:fill="auto"/>
            <w:noWrap/>
            <w:vAlign w:val="bottom"/>
            <w:hideMark/>
          </w:tcPr>
          <w:p w14:paraId="21B4B558"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2C9DC796"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2.808,78</w:t>
            </w:r>
          </w:p>
        </w:tc>
        <w:tc>
          <w:tcPr>
            <w:tcW w:w="1400" w:type="dxa"/>
            <w:tcBorders>
              <w:top w:val="nil"/>
              <w:left w:val="nil"/>
              <w:bottom w:val="nil"/>
              <w:right w:val="nil"/>
            </w:tcBorders>
            <w:shd w:val="clear" w:color="auto" w:fill="auto"/>
            <w:noWrap/>
            <w:vAlign w:val="bottom"/>
            <w:hideMark/>
          </w:tcPr>
          <w:p w14:paraId="3BFE9E6F"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BC25F4E" w14:textId="77777777" w:rsidTr="00A360DB">
        <w:trPr>
          <w:trHeight w:val="240"/>
        </w:trPr>
        <w:tc>
          <w:tcPr>
            <w:tcW w:w="1697" w:type="dxa"/>
            <w:tcBorders>
              <w:top w:val="nil"/>
              <w:left w:val="nil"/>
              <w:bottom w:val="nil"/>
              <w:right w:val="nil"/>
            </w:tcBorders>
            <w:shd w:val="clear" w:color="auto" w:fill="auto"/>
            <w:noWrap/>
            <w:vAlign w:val="bottom"/>
            <w:hideMark/>
          </w:tcPr>
          <w:p w14:paraId="4A7F70ED"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161BFDD4"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4AE57DA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647,00</w:t>
            </w:r>
          </w:p>
        </w:tc>
        <w:tc>
          <w:tcPr>
            <w:tcW w:w="1380" w:type="dxa"/>
            <w:tcBorders>
              <w:top w:val="nil"/>
              <w:left w:val="nil"/>
              <w:bottom w:val="nil"/>
              <w:right w:val="nil"/>
            </w:tcBorders>
            <w:shd w:val="clear" w:color="auto" w:fill="auto"/>
            <w:noWrap/>
            <w:vAlign w:val="bottom"/>
            <w:hideMark/>
          </w:tcPr>
          <w:p w14:paraId="6112BFD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646,18</w:t>
            </w:r>
          </w:p>
        </w:tc>
        <w:tc>
          <w:tcPr>
            <w:tcW w:w="1400" w:type="dxa"/>
            <w:tcBorders>
              <w:top w:val="nil"/>
              <w:left w:val="nil"/>
              <w:bottom w:val="nil"/>
              <w:right w:val="nil"/>
            </w:tcBorders>
            <w:shd w:val="clear" w:color="auto" w:fill="auto"/>
            <w:noWrap/>
            <w:vAlign w:val="bottom"/>
            <w:hideMark/>
          </w:tcPr>
          <w:p w14:paraId="2755A5B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99,87%</w:t>
            </w:r>
          </w:p>
        </w:tc>
      </w:tr>
      <w:tr w:rsidR="00A360DB" w:rsidRPr="00A360DB" w14:paraId="79C01206" w14:textId="77777777" w:rsidTr="00A360DB">
        <w:trPr>
          <w:trHeight w:val="240"/>
        </w:trPr>
        <w:tc>
          <w:tcPr>
            <w:tcW w:w="1697" w:type="dxa"/>
            <w:tcBorders>
              <w:top w:val="nil"/>
              <w:left w:val="nil"/>
              <w:bottom w:val="nil"/>
              <w:right w:val="nil"/>
            </w:tcBorders>
            <w:shd w:val="clear" w:color="auto" w:fill="auto"/>
            <w:noWrap/>
            <w:vAlign w:val="bottom"/>
            <w:hideMark/>
          </w:tcPr>
          <w:p w14:paraId="0ACEEB5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3211</w:t>
            </w:r>
          </w:p>
        </w:tc>
        <w:tc>
          <w:tcPr>
            <w:tcW w:w="8509" w:type="dxa"/>
            <w:tcBorders>
              <w:top w:val="nil"/>
              <w:left w:val="nil"/>
              <w:bottom w:val="nil"/>
              <w:right w:val="nil"/>
            </w:tcBorders>
            <w:shd w:val="clear" w:color="auto" w:fill="auto"/>
            <w:noWrap/>
            <w:vAlign w:val="bottom"/>
            <w:hideMark/>
          </w:tcPr>
          <w:p w14:paraId="3F26037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Službena putovanja                                                                                  </w:t>
            </w:r>
          </w:p>
        </w:tc>
        <w:tc>
          <w:tcPr>
            <w:tcW w:w="1480" w:type="dxa"/>
            <w:tcBorders>
              <w:top w:val="nil"/>
              <w:left w:val="nil"/>
              <w:bottom w:val="nil"/>
              <w:right w:val="nil"/>
            </w:tcBorders>
            <w:shd w:val="clear" w:color="auto" w:fill="auto"/>
            <w:noWrap/>
            <w:vAlign w:val="bottom"/>
            <w:hideMark/>
          </w:tcPr>
          <w:p w14:paraId="306027A1"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3DD09D3"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26,26</w:t>
            </w:r>
          </w:p>
        </w:tc>
        <w:tc>
          <w:tcPr>
            <w:tcW w:w="1400" w:type="dxa"/>
            <w:tcBorders>
              <w:top w:val="nil"/>
              <w:left w:val="nil"/>
              <w:bottom w:val="nil"/>
              <w:right w:val="nil"/>
            </w:tcBorders>
            <w:shd w:val="clear" w:color="auto" w:fill="auto"/>
            <w:noWrap/>
            <w:vAlign w:val="bottom"/>
            <w:hideMark/>
          </w:tcPr>
          <w:p w14:paraId="01CEE8A7"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13F6C21" w14:textId="77777777" w:rsidTr="00A360DB">
        <w:trPr>
          <w:trHeight w:val="240"/>
        </w:trPr>
        <w:tc>
          <w:tcPr>
            <w:tcW w:w="1697" w:type="dxa"/>
            <w:tcBorders>
              <w:top w:val="nil"/>
              <w:left w:val="nil"/>
              <w:bottom w:val="nil"/>
              <w:right w:val="nil"/>
            </w:tcBorders>
            <w:shd w:val="clear" w:color="auto" w:fill="auto"/>
            <w:noWrap/>
            <w:vAlign w:val="bottom"/>
            <w:hideMark/>
          </w:tcPr>
          <w:p w14:paraId="58807BB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3212</w:t>
            </w:r>
          </w:p>
        </w:tc>
        <w:tc>
          <w:tcPr>
            <w:tcW w:w="8509" w:type="dxa"/>
            <w:tcBorders>
              <w:top w:val="nil"/>
              <w:left w:val="nil"/>
              <w:bottom w:val="nil"/>
              <w:right w:val="nil"/>
            </w:tcBorders>
            <w:shd w:val="clear" w:color="auto" w:fill="auto"/>
            <w:noWrap/>
            <w:vAlign w:val="bottom"/>
            <w:hideMark/>
          </w:tcPr>
          <w:p w14:paraId="541654D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Naknade za prijevoz, za rad na terenu i odvojeni život                                              </w:t>
            </w:r>
          </w:p>
        </w:tc>
        <w:tc>
          <w:tcPr>
            <w:tcW w:w="1480" w:type="dxa"/>
            <w:tcBorders>
              <w:top w:val="nil"/>
              <w:left w:val="nil"/>
              <w:bottom w:val="nil"/>
              <w:right w:val="nil"/>
            </w:tcBorders>
            <w:shd w:val="clear" w:color="auto" w:fill="auto"/>
            <w:noWrap/>
            <w:vAlign w:val="bottom"/>
            <w:hideMark/>
          </w:tcPr>
          <w:p w14:paraId="77C0F179"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FFCB275"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619,92</w:t>
            </w:r>
          </w:p>
        </w:tc>
        <w:tc>
          <w:tcPr>
            <w:tcW w:w="1400" w:type="dxa"/>
            <w:tcBorders>
              <w:top w:val="nil"/>
              <w:left w:val="nil"/>
              <w:bottom w:val="nil"/>
              <w:right w:val="nil"/>
            </w:tcBorders>
            <w:shd w:val="clear" w:color="auto" w:fill="auto"/>
            <w:noWrap/>
            <w:vAlign w:val="bottom"/>
            <w:hideMark/>
          </w:tcPr>
          <w:p w14:paraId="5C5703F3"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AFEB70B"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923E237"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5. Pomoći</w:t>
            </w:r>
          </w:p>
        </w:tc>
        <w:tc>
          <w:tcPr>
            <w:tcW w:w="1480" w:type="dxa"/>
            <w:tcBorders>
              <w:top w:val="nil"/>
              <w:left w:val="nil"/>
              <w:bottom w:val="nil"/>
              <w:right w:val="nil"/>
            </w:tcBorders>
            <w:shd w:val="clear" w:color="auto" w:fill="auto"/>
            <w:noWrap/>
            <w:vAlign w:val="bottom"/>
            <w:hideMark/>
          </w:tcPr>
          <w:p w14:paraId="00AA229D"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6.804,00</w:t>
            </w:r>
          </w:p>
        </w:tc>
        <w:tc>
          <w:tcPr>
            <w:tcW w:w="1380" w:type="dxa"/>
            <w:tcBorders>
              <w:top w:val="nil"/>
              <w:left w:val="nil"/>
              <w:bottom w:val="nil"/>
              <w:right w:val="nil"/>
            </w:tcBorders>
            <w:shd w:val="clear" w:color="auto" w:fill="auto"/>
            <w:noWrap/>
            <w:vAlign w:val="bottom"/>
            <w:hideMark/>
          </w:tcPr>
          <w:p w14:paraId="19FE9137"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6.800,00</w:t>
            </w:r>
          </w:p>
        </w:tc>
        <w:tc>
          <w:tcPr>
            <w:tcW w:w="1400" w:type="dxa"/>
            <w:tcBorders>
              <w:top w:val="nil"/>
              <w:left w:val="nil"/>
              <w:bottom w:val="nil"/>
              <w:right w:val="nil"/>
            </w:tcBorders>
            <w:shd w:val="clear" w:color="auto" w:fill="auto"/>
            <w:noWrap/>
            <w:vAlign w:val="bottom"/>
            <w:hideMark/>
          </w:tcPr>
          <w:p w14:paraId="5615BCF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99,94%</w:t>
            </w:r>
          </w:p>
        </w:tc>
      </w:tr>
      <w:tr w:rsidR="00A360DB" w:rsidRPr="00A360DB" w14:paraId="4E169A5C"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38C0ED6C"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5.2. Državni proračun</w:t>
            </w:r>
          </w:p>
        </w:tc>
        <w:tc>
          <w:tcPr>
            <w:tcW w:w="1480" w:type="dxa"/>
            <w:tcBorders>
              <w:top w:val="nil"/>
              <w:left w:val="nil"/>
              <w:bottom w:val="nil"/>
              <w:right w:val="nil"/>
            </w:tcBorders>
            <w:shd w:val="clear" w:color="auto" w:fill="auto"/>
            <w:noWrap/>
            <w:vAlign w:val="bottom"/>
            <w:hideMark/>
          </w:tcPr>
          <w:p w14:paraId="5C612C90"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1.022,00</w:t>
            </w:r>
          </w:p>
        </w:tc>
        <w:tc>
          <w:tcPr>
            <w:tcW w:w="1380" w:type="dxa"/>
            <w:tcBorders>
              <w:top w:val="nil"/>
              <w:left w:val="nil"/>
              <w:bottom w:val="nil"/>
              <w:right w:val="nil"/>
            </w:tcBorders>
            <w:shd w:val="clear" w:color="auto" w:fill="auto"/>
            <w:noWrap/>
            <w:vAlign w:val="bottom"/>
            <w:hideMark/>
          </w:tcPr>
          <w:p w14:paraId="16F77279"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1.020,00</w:t>
            </w:r>
          </w:p>
        </w:tc>
        <w:tc>
          <w:tcPr>
            <w:tcW w:w="1400" w:type="dxa"/>
            <w:tcBorders>
              <w:top w:val="nil"/>
              <w:left w:val="nil"/>
              <w:bottom w:val="nil"/>
              <w:right w:val="nil"/>
            </w:tcBorders>
            <w:shd w:val="clear" w:color="auto" w:fill="auto"/>
            <w:noWrap/>
            <w:vAlign w:val="bottom"/>
            <w:hideMark/>
          </w:tcPr>
          <w:p w14:paraId="2DEF3D7C"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99,80%</w:t>
            </w:r>
          </w:p>
        </w:tc>
      </w:tr>
      <w:tr w:rsidR="00A360DB" w:rsidRPr="00A360DB" w14:paraId="520C1283" w14:textId="77777777" w:rsidTr="00A360DB">
        <w:trPr>
          <w:trHeight w:val="240"/>
        </w:trPr>
        <w:tc>
          <w:tcPr>
            <w:tcW w:w="1697" w:type="dxa"/>
            <w:tcBorders>
              <w:top w:val="nil"/>
              <w:left w:val="nil"/>
              <w:bottom w:val="nil"/>
              <w:right w:val="nil"/>
            </w:tcBorders>
            <w:shd w:val="clear" w:color="auto" w:fill="auto"/>
            <w:noWrap/>
            <w:vAlign w:val="bottom"/>
            <w:hideMark/>
          </w:tcPr>
          <w:p w14:paraId="542C8CDE"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31</w:t>
            </w:r>
          </w:p>
        </w:tc>
        <w:tc>
          <w:tcPr>
            <w:tcW w:w="8509" w:type="dxa"/>
            <w:tcBorders>
              <w:top w:val="nil"/>
              <w:left w:val="nil"/>
              <w:bottom w:val="nil"/>
              <w:right w:val="nil"/>
            </w:tcBorders>
            <w:shd w:val="clear" w:color="auto" w:fill="auto"/>
            <w:noWrap/>
            <w:vAlign w:val="bottom"/>
            <w:hideMark/>
          </w:tcPr>
          <w:p w14:paraId="4C250B7F"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zaposlene                                                                                </w:t>
            </w:r>
          </w:p>
        </w:tc>
        <w:tc>
          <w:tcPr>
            <w:tcW w:w="1480" w:type="dxa"/>
            <w:tcBorders>
              <w:top w:val="nil"/>
              <w:left w:val="nil"/>
              <w:bottom w:val="nil"/>
              <w:right w:val="nil"/>
            </w:tcBorders>
            <w:shd w:val="clear" w:color="auto" w:fill="auto"/>
            <w:noWrap/>
            <w:vAlign w:val="bottom"/>
            <w:hideMark/>
          </w:tcPr>
          <w:p w14:paraId="4436E1B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1.016,00</w:t>
            </w:r>
          </w:p>
        </w:tc>
        <w:tc>
          <w:tcPr>
            <w:tcW w:w="1380" w:type="dxa"/>
            <w:tcBorders>
              <w:top w:val="nil"/>
              <w:left w:val="nil"/>
              <w:bottom w:val="nil"/>
              <w:right w:val="nil"/>
            </w:tcBorders>
            <w:shd w:val="clear" w:color="auto" w:fill="auto"/>
            <w:noWrap/>
            <w:vAlign w:val="bottom"/>
            <w:hideMark/>
          </w:tcPr>
          <w:p w14:paraId="087E673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1.014,94</w:t>
            </w:r>
          </w:p>
        </w:tc>
        <w:tc>
          <w:tcPr>
            <w:tcW w:w="1400" w:type="dxa"/>
            <w:tcBorders>
              <w:top w:val="nil"/>
              <w:left w:val="nil"/>
              <w:bottom w:val="nil"/>
              <w:right w:val="nil"/>
            </w:tcBorders>
            <w:shd w:val="clear" w:color="auto" w:fill="auto"/>
            <w:noWrap/>
            <w:vAlign w:val="bottom"/>
            <w:hideMark/>
          </w:tcPr>
          <w:p w14:paraId="7449E61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99,90%</w:t>
            </w:r>
          </w:p>
        </w:tc>
      </w:tr>
      <w:tr w:rsidR="00A360DB" w:rsidRPr="00A360DB" w14:paraId="1A1F2151" w14:textId="77777777" w:rsidTr="00A360DB">
        <w:trPr>
          <w:trHeight w:val="240"/>
        </w:trPr>
        <w:tc>
          <w:tcPr>
            <w:tcW w:w="1697" w:type="dxa"/>
            <w:tcBorders>
              <w:top w:val="nil"/>
              <w:left w:val="nil"/>
              <w:bottom w:val="nil"/>
              <w:right w:val="nil"/>
            </w:tcBorders>
            <w:shd w:val="clear" w:color="auto" w:fill="auto"/>
            <w:noWrap/>
            <w:vAlign w:val="bottom"/>
            <w:hideMark/>
          </w:tcPr>
          <w:p w14:paraId="342EFAA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3111</w:t>
            </w:r>
          </w:p>
        </w:tc>
        <w:tc>
          <w:tcPr>
            <w:tcW w:w="8509" w:type="dxa"/>
            <w:tcBorders>
              <w:top w:val="nil"/>
              <w:left w:val="nil"/>
              <w:bottom w:val="nil"/>
              <w:right w:val="nil"/>
            </w:tcBorders>
            <w:shd w:val="clear" w:color="auto" w:fill="auto"/>
            <w:noWrap/>
            <w:vAlign w:val="bottom"/>
            <w:hideMark/>
          </w:tcPr>
          <w:p w14:paraId="0952314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Plaće za redovan rad                                                                                </w:t>
            </w:r>
          </w:p>
        </w:tc>
        <w:tc>
          <w:tcPr>
            <w:tcW w:w="1480" w:type="dxa"/>
            <w:tcBorders>
              <w:top w:val="nil"/>
              <w:left w:val="nil"/>
              <w:bottom w:val="nil"/>
              <w:right w:val="nil"/>
            </w:tcBorders>
            <w:shd w:val="clear" w:color="auto" w:fill="auto"/>
            <w:noWrap/>
            <w:vAlign w:val="bottom"/>
            <w:hideMark/>
          </w:tcPr>
          <w:p w14:paraId="313875FD"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5E13298C"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473,47</w:t>
            </w:r>
          </w:p>
        </w:tc>
        <w:tc>
          <w:tcPr>
            <w:tcW w:w="1400" w:type="dxa"/>
            <w:tcBorders>
              <w:top w:val="nil"/>
              <w:left w:val="nil"/>
              <w:bottom w:val="nil"/>
              <w:right w:val="nil"/>
            </w:tcBorders>
            <w:shd w:val="clear" w:color="auto" w:fill="auto"/>
            <w:noWrap/>
            <w:vAlign w:val="bottom"/>
            <w:hideMark/>
          </w:tcPr>
          <w:p w14:paraId="202DDA5F"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536E84D" w14:textId="77777777" w:rsidTr="00A360DB">
        <w:trPr>
          <w:trHeight w:val="240"/>
        </w:trPr>
        <w:tc>
          <w:tcPr>
            <w:tcW w:w="1697" w:type="dxa"/>
            <w:tcBorders>
              <w:top w:val="nil"/>
              <w:left w:val="nil"/>
              <w:bottom w:val="nil"/>
              <w:right w:val="nil"/>
            </w:tcBorders>
            <w:shd w:val="clear" w:color="auto" w:fill="auto"/>
            <w:noWrap/>
            <w:vAlign w:val="bottom"/>
            <w:hideMark/>
          </w:tcPr>
          <w:p w14:paraId="374DD9B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3132</w:t>
            </w:r>
          </w:p>
        </w:tc>
        <w:tc>
          <w:tcPr>
            <w:tcW w:w="8509" w:type="dxa"/>
            <w:tcBorders>
              <w:top w:val="nil"/>
              <w:left w:val="nil"/>
              <w:bottom w:val="nil"/>
              <w:right w:val="nil"/>
            </w:tcBorders>
            <w:shd w:val="clear" w:color="auto" w:fill="auto"/>
            <w:noWrap/>
            <w:vAlign w:val="bottom"/>
            <w:hideMark/>
          </w:tcPr>
          <w:p w14:paraId="40A74C8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Doprinosi za obvezno zdravstveno osiguranje                                                         </w:t>
            </w:r>
          </w:p>
        </w:tc>
        <w:tc>
          <w:tcPr>
            <w:tcW w:w="1480" w:type="dxa"/>
            <w:tcBorders>
              <w:top w:val="nil"/>
              <w:left w:val="nil"/>
              <w:bottom w:val="nil"/>
              <w:right w:val="nil"/>
            </w:tcBorders>
            <w:shd w:val="clear" w:color="auto" w:fill="auto"/>
            <w:noWrap/>
            <w:vAlign w:val="bottom"/>
            <w:hideMark/>
          </w:tcPr>
          <w:p w14:paraId="6D2EBBB7"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4E446EE"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541,47</w:t>
            </w:r>
          </w:p>
        </w:tc>
        <w:tc>
          <w:tcPr>
            <w:tcW w:w="1400" w:type="dxa"/>
            <w:tcBorders>
              <w:top w:val="nil"/>
              <w:left w:val="nil"/>
              <w:bottom w:val="nil"/>
              <w:right w:val="nil"/>
            </w:tcBorders>
            <w:shd w:val="clear" w:color="auto" w:fill="auto"/>
            <w:noWrap/>
            <w:vAlign w:val="bottom"/>
            <w:hideMark/>
          </w:tcPr>
          <w:p w14:paraId="3481DE38"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0198092" w14:textId="77777777" w:rsidTr="00A360DB">
        <w:trPr>
          <w:trHeight w:val="240"/>
        </w:trPr>
        <w:tc>
          <w:tcPr>
            <w:tcW w:w="1697" w:type="dxa"/>
            <w:tcBorders>
              <w:top w:val="nil"/>
              <w:left w:val="nil"/>
              <w:bottom w:val="nil"/>
              <w:right w:val="nil"/>
            </w:tcBorders>
            <w:shd w:val="clear" w:color="auto" w:fill="auto"/>
            <w:noWrap/>
            <w:vAlign w:val="bottom"/>
            <w:hideMark/>
          </w:tcPr>
          <w:p w14:paraId="567AC9A2"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3F9628D7"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7EA9838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6,00</w:t>
            </w:r>
          </w:p>
        </w:tc>
        <w:tc>
          <w:tcPr>
            <w:tcW w:w="1380" w:type="dxa"/>
            <w:tcBorders>
              <w:top w:val="nil"/>
              <w:left w:val="nil"/>
              <w:bottom w:val="nil"/>
              <w:right w:val="nil"/>
            </w:tcBorders>
            <w:shd w:val="clear" w:color="auto" w:fill="auto"/>
            <w:noWrap/>
            <w:vAlign w:val="bottom"/>
            <w:hideMark/>
          </w:tcPr>
          <w:p w14:paraId="4828314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5,06</w:t>
            </w:r>
          </w:p>
        </w:tc>
        <w:tc>
          <w:tcPr>
            <w:tcW w:w="1400" w:type="dxa"/>
            <w:tcBorders>
              <w:top w:val="nil"/>
              <w:left w:val="nil"/>
              <w:bottom w:val="nil"/>
              <w:right w:val="nil"/>
            </w:tcBorders>
            <w:shd w:val="clear" w:color="auto" w:fill="auto"/>
            <w:noWrap/>
            <w:vAlign w:val="bottom"/>
            <w:hideMark/>
          </w:tcPr>
          <w:p w14:paraId="48F668A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84,33%</w:t>
            </w:r>
          </w:p>
        </w:tc>
      </w:tr>
      <w:tr w:rsidR="00A360DB" w:rsidRPr="00A360DB" w14:paraId="1899CA6F" w14:textId="77777777" w:rsidTr="00A360DB">
        <w:trPr>
          <w:trHeight w:val="240"/>
        </w:trPr>
        <w:tc>
          <w:tcPr>
            <w:tcW w:w="1697" w:type="dxa"/>
            <w:tcBorders>
              <w:top w:val="nil"/>
              <w:left w:val="nil"/>
              <w:bottom w:val="nil"/>
              <w:right w:val="nil"/>
            </w:tcBorders>
            <w:shd w:val="clear" w:color="auto" w:fill="auto"/>
            <w:noWrap/>
            <w:vAlign w:val="bottom"/>
            <w:hideMark/>
          </w:tcPr>
          <w:p w14:paraId="5D6639D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3211</w:t>
            </w:r>
          </w:p>
        </w:tc>
        <w:tc>
          <w:tcPr>
            <w:tcW w:w="8509" w:type="dxa"/>
            <w:tcBorders>
              <w:top w:val="nil"/>
              <w:left w:val="nil"/>
              <w:bottom w:val="nil"/>
              <w:right w:val="nil"/>
            </w:tcBorders>
            <w:shd w:val="clear" w:color="auto" w:fill="auto"/>
            <w:noWrap/>
            <w:vAlign w:val="bottom"/>
            <w:hideMark/>
          </w:tcPr>
          <w:p w14:paraId="35C55D3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Službena putovanja                                                                                  </w:t>
            </w:r>
          </w:p>
        </w:tc>
        <w:tc>
          <w:tcPr>
            <w:tcW w:w="1480" w:type="dxa"/>
            <w:tcBorders>
              <w:top w:val="nil"/>
              <w:left w:val="nil"/>
              <w:bottom w:val="nil"/>
              <w:right w:val="nil"/>
            </w:tcBorders>
            <w:shd w:val="clear" w:color="auto" w:fill="auto"/>
            <w:noWrap/>
            <w:vAlign w:val="bottom"/>
            <w:hideMark/>
          </w:tcPr>
          <w:p w14:paraId="6F961A10"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C72C727"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5,06</w:t>
            </w:r>
          </w:p>
        </w:tc>
        <w:tc>
          <w:tcPr>
            <w:tcW w:w="1400" w:type="dxa"/>
            <w:tcBorders>
              <w:top w:val="nil"/>
              <w:left w:val="nil"/>
              <w:bottom w:val="nil"/>
              <w:right w:val="nil"/>
            </w:tcBorders>
            <w:shd w:val="clear" w:color="auto" w:fill="auto"/>
            <w:noWrap/>
            <w:vAlign w:val="bottom"/>
            <w:hideMark/>
          </w:tcPr>
          <w:p w14:paraId="0A4F2060"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BCDE941"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5EF7C9B5"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5.4. Institucije i tijela EU</w:t>
            </w:r>
          </w:p>
        </w:tc>
        <w:tc>
          <w:tcPr>
            <w:tcW w:w="1480" w:type="dxa"/>
            <w:tcBorders>
              <w:top w:val="nil"/>
              <w:left w:val="nil"/>
              <w:bottom w:val="nil"/>
              <w:right w:val="nil"/>
            </w:tcBorders>
            <w:shd w:val="clear" w:color="auto" w:fill="auto"/>
            <w:noWrap/>
            <w:vAlign w:val="bottom"/>
            <w:hideMark/>
          </w:tcPr>
          <w:p w14:paraId="6302063C"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5.782,00</w:t>
            </w:r>
          </w:p>
        </w:tc>
        <w:tc>
          <w:tcPr>
            <w:tcW w:w="1380" w:type="dxa"/>
            <w:tcBorders>
              <w:top w:val="nil"/>
              <w:left w:val="nil"/>
              <w:bottom w:val="nil"/>
              <w:right w:val="nil"/>
            </w:tcBorders>
            <w:shd w:val="clear" w:color="auto" w:fill="auto"/>
            <w:noWrap/>
            <w:vAlign w:val="bottom"/>
            <w:hideMark/>
          </w:tcPr>
          <w:p w14:paraId="5FB611B3"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5.780,00</w:t>
            </w:r>
          </w:p>
        </w:tc>
        <w:tc>
          <w:tcPr>
            <w:tcW w:w="1400" w:type="dxa"/>
            <w:tcBorders>
              <w:top w:val="nil"/>
              <w:left w:val="nil"/>
              <w:bottom w:val="nil"/>
              <w:right w:val="nil"/>
            </w:tcBorders>
            <w:shd w:val="clear" w:color="auto" w:fill="auto"/>
            <w:noWrap/>
            <w:vAlign w:val="bottom"/>
            <w:hideMark/>
          </w:tcPr>
          <w:p w14:paraId="66D1DB10"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99,97%</w:t>
            </w:r>
          </w:p>
        </w:tc>
      </w:tr>
      <w:tr w:rsidR="00A360DB" w:rsidRPr="00A360DB" w14:paraId="27A3C747" w14:textId="77777777" w:rsidTr="00A360DB">
        <w:trPr>
          <w:trHeight w:val="240"/>
        </w:trPr>
        <w:tc>
          <w:tcPr>
            <w:tcW w:w="1697" w:type="dxa"/>
            <w:tcBorders>
              <w:top w:val="nil"/>
              <w:left w:val="nil"/>
              <w:bottom w:val="nil"/>
              <w:right w:val="nil"/>
            </w:tcBorders>
            <w:shd w:val="clear" w:color="auto" w:fill="auto"/>
            <w:noWrap/>
            <w:vAlign w:val="bottom"/>
            <w:hideMark/>
          </w:tcPr>
          <w:p w14:paraId="457A206E"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31</w:t>
            </w:r>
          </w:p>
        </w:tc>
        <w:tc>
          <w:tcPr>
            <w:tcW w:w="8509" w:type="dxa"/>
            <w:tcBorders>
              <w:top w:val="nil"/>
              <w:left w:val="nil"/>
              <w:bottom w:val="nil"/>
              <w:right w:val="nil"/>
            </w:tcBorders>
            <w:shd w:val="clear" w:color="auto" w:fill="auto"/>
            <w:noWrap/>
            <w:vAlign w:val="bottom"/>
            <w:hideMark/>
          </w:tcPr>
          <w:p w14:paraId="793AF02D"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zaposlene                                                                                </w:t>
            </w:r>
          </w:p>
        </w:tc>
        <w:tc>
          <w:tcPr>
            <w:tcW w:w="1480" w:type="dxa"/>
            <w:tcBorders>
              <w:top w:val="nil"/>
              <w:left w:val="nil"/>
              <w:bottom w:val="nil"/>
              <w:right w:val="nil"/>
            </w:tcBorders>
            <w:shd w:val="clear" w:color="auto" w:fill="auto"/>
            <w:noWrap/>
            <w:vAlign w:val="bottom"/>
            <w:hideMark/>
          </w:tcPr>
          <w:p w14:paraId="651CF4D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5.185,00</w:t>
            </w:r>
          </w:p>
        </w:tc>
        <w:tc>
          <w:tcPr>
            <w:tcW w:w="1380" w:type="dxa"/>
            <w:tcBorders>
              <w:top w:val="nil"/>
              <w:left w:val="nil"/>
              <w:bottom w:val="nil"/>
              <w:right w:val="nil"/>
            </w:tcBorders>
            <w:shd w:val="clear" w:color="auto" w:fill="auto"/>
            <w:noWrap/>
            <w:vAlign w:val="bottom"/>
            <w:hideMark/>
          </w:tcPr>
          <w:p w14:paraId="22E9DE1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5.183,54</w:t>
            </w:r>
          </w:p>
        </w:tc>
        <w:tc>
          <w:tcPr>
            <w:tcW w:w="1400" w:type="dxa"/>
            <w:tcBorders>
              <w:top w:val="nil"/>
              <w:left w:val="nil"/>
              <w:bottom w:val="nil"/>
              <w:right w:val="nil"/>
            </w:tcBorders>
            <w:shd w:val="clear" w:color="auto" w:fill="auto"/>
            <w:noWrap/>
            <w:vAlign w:val="bottom"/>
            <w:hideMark/>
          </w:tcPr>
          <w:p w14:paraId="00FA914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99,97%</w:t>
            </w:r>
          </w:p>
        </w:tc>
      </w:tr>
      <w:tr w:rsidR="00A360DB" w:rsidRPr="00A360DB" w14:paraId="3DD1A448" w14:textId="77777777" w:rsidTr="00A360DB">
        <w:trPr>
          <w:trHeight w:val="240"/>
        </w:trPr>
        <w:tc>
          <w:tcPr>
            <w:tcW w:w="1697" w:type="dxa"/>
            <w:tcBorders>
              <w:top w:val="nil"/>
              <w:left w:val="nil"/>
              <w:bottom w:val="nil"/>
              <w:right w:val="nil"/>
            </w:tcBorders>
            <w:shd w:val="clear" w:color="auto" w:fill="auto"/>
            <w:noWrap/>
            <w:vAlign w:val="bottom"/>
            <w:hideMark/>
          </w:tcPr>
          <w:p w14:paraId="5120C60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3111</w:t>
            </w:r>
          </w:p>
        </w:tc>
        <w:tc>
          <w:tcPr>
            <w:tcW w:w="8509" w:type="dxa"/>
            <w:tcBorders>
              <w:top w:val="nil"/>
              <w:left w:val="nil"/>
              <w:bottom w:val="nil"/>
              <w:right w:val="nil"/>
            </w:tcBorders>
            <w:shd w:val="clear" w:color="auto" w:fill="auto"/>
            <w:noWrap/>
            <w:vAlign w:val="bottom"/>
            <w:hideMark/>
          </w:tcPr>
          <w:p w14:paraId="7159308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Plaće za redovan rad                                                                                </w:t>
            </w:r>
          </w:p>
        </w:tc>
        <w:tc>
          <w:tcPr>
            <w:tcW w:w="1480" w:type="dxa"/>
            <w:tcBorders>
              <w:top w:val="nil"/>
              <w:left w:val="nil"/>
              <w:bottom w:val="nil"/>
              <w:right w:val="nil"/>
            </w:tcBorders>
            <w:shd w:val="clear" w:color="auto" w:fill="auto"/>
            <w:noWrap/>
            <w:vAlign w:val="bottom"/>
            <w:hideMark/>
          </w:tcPr>
          <w:p w14:paraId="05A87016"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29E0ADF9"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2.115,25</w:t>
            </w:r>
          </w:p>
        </w:tc>
        <w:tc>
          <w:tcPr>
            <w:tcW w:w="1400" w:type="dxa"/>
            <w:tcBorders>
              <w:top w:val="nil"/>
              <w:left w:val="nil"/>
              <w:bottom w:val="nil"/>
              <w:right w:val="nil"/>
            </w:tcBorders>
            <w:shd w:val="clear" w:color="auto" w:fill="auto"/>
            <w:noWrap/>
            <w:vAlign w:val="bottom"/>
            <w:hideMark/>
          </w:tcPr>
          <w:p w14:paraId="2B7EE2DB"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9DC6AEF" w14:textId="77777777" w:rsidTr="00A360DB">
        <w:trPr>
          <w:trHeight w:val="240"/>
        </w:trPr>
        <w:tc>
          <w:tcPr>
            <w:tcW w:w="1697" w:type="dxa"/>
            <w:tcBorders>
              <w:top w:val="nil"/>
              <w:left w:val="nil"/>
              <w:bottom w:val="nil"/>
              <w:right w:val="nil"/>
            </w:tcBorders>
            <w:shd w:val="clear" w:color="auto" w:fill="auto"/>
            <w:noWrap/>
            <w:vAlign w:val="bottom"/>
            <w:hideMark/>
          </w:tcPr>
          <w:p w14:paraId="2E9824E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3132</w:t>
            </w:r>
          </w:p>
        </w:tc>
        <w:tc>
          <w:tcPr>
            <w:tcW w:w="8509" w:type="dxa"/>
            <w:tcBorders>
              <w:top w:val="nil"/>
              <w:left w:val="nil"/>
              <w:bottom w:val="nil"/>
              <w:right w:val="nil"/>
            </w:tcBorders>
            <w:shd w:val="clear" w:color="auto" w:fill="auto"/>
            <w:noWrap/>
            <w:vAlign w:val="bottom"/>
            <w:hideMark/>
          </w:tcPr>
          <w:p w14:paraId="1DCC044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Doprinosi za obvezno zdravstveno osiguranje                                                         </w:t>
            </w:r>
          </w:p>
        </w:tc>
        <w:tc>
          <w:tcPr>
            <w:tcW w:w="1480" w:type="dxa"/>
            <w:tcBorders>
              <w:top w:val="nil"/>
              <w:left w:val="nil"/>
              <w:bottom w:val="nil"/>
              <w:right w:val="nil"/>
            </w:tcBorders>
            <w:shd w:val="clear" w:color="auto" w:fill="auto"/>
            <w:noWrap/>
            <w:vAlign w:val="bottom"/>
            <w:hideMark/>
          </w:tcPr>
          <w:p w14:paraId="36CD4CF8"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D0EA7DF"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3.068,29</w:t>
            </w:r>
          </w:p>
        </w:tc>
        <w:tc>
          <w:tcPr>
            <w:tcW w:w="1400" w:type="dxa"/>
            <w:tcBorders>
              <w:top w:val="nil"/>
              <w:left w:val="nil"/>
              <w:bottom w:val="nil"/>
              <w:right w:val="nil"/>
            </w:tcBorders>
            <w:shd w:val="clear" w:color="auto" w:fill="auto"/>
            <w:noWrap/>
            <w:vAlign w:val="bottom"/>
            <w:hideMark/>
          </w:tcPr>
          <w:p w14:paraId="364B17CA"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9FED70B" w14:textId="77777777" w:rsidTr="00A360DB">
        <w:trPr>
          <w:trHeight w:val="240"/>
        </w:trPr>
        <w:tc>
          <w:tcPr>
            <w:tcW w:w="1697" w:type="dxa"/>
            <w:tcBorders>
              <w:top w:val="nil"/>
              <w:left w:val="nil"/>
              <w:bottom w:val="nil"/>
              <w:right w:val="nil"/>
            </w:tcBorders>
            <w:shd w:val="clear" w:color="auto" w:fill="auto"/>
            <w:noWrap/>
            <w:vAlign w:val="bottom"/>
            <w:hideMark/>
          </w:tcPr>
          <w:p w14:paraId="17FF48C4"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37973715"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3F28FD1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597,00</w:t>
            </w:r>
          </w:p>
        </w:tc>
        <w:tc>
          <w:tcPr>
            <w:tcW w:w="1380" w:type="dxa"/>
            <w:tcBorders>
              <w:top w:val="nil"/>
              <w:left w:val="nil"/>
              <w:bottom w:val="nil"/>
              <w:right w:val="nil"/>
            </w:tcBorders>
            <w:shd w:val="clear" w:color="auto" w:fill="auto"/>
            <w:noWrap/>
            <w:vAlign w:val="bottom"/>
            <w:hideMark/>
          </w:tcPr>
          <w:p w14:paraId="22823AB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596,46</w:t>
            </w:r>
          </w:p>
        </w:tc>
        <w:tc>
          <w:tcPr>
            <w:tcW w:w="1400" w:type="dxa"/>
            <w:tcBorders>
              <w:top w:val="nil"/>
              <w:left w:val="nil"/>
              <w:bottom w:val="nil"/>
              <w:right w:val="nil"/>
            </w:tcBorders>
            <w:shd w:val="clear" w:color="auto" w:fill="auto"/>
            <w:noWrap/>
            <w:vAlign w:val="bottom"/>
            <w:hideMark/>
          </w:tcPr>
          <w:p w14:paraId="7914474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99,91%</w:t>
            </w:r>
          </w:p>
        </w:tc>
      </w:tr>
      <w:tr w:rsidR="00A360DB" w:rsidRPr="00A360DB" w14:paraId="5E7318D0" w14:textId="77777777" w:rsidTr="00A360DB">
        <w:trPr>
          <w:trHeight w:val="240"/>
        </w:trPr>
        <w:tc>
          <w:tcPr>
            <w:tcW w:w="1697" w:type="dxa"/>
            <w:tcBorders>
              <w:top w:val="nil"/>
              <w:left w:val="nil"/>
              <w:bottom w:val="nil"/>
              <w:right w:val="nil"/>
            </w:tcBorders>
            <w:shd w:val="clear" w:color="auto" w:fill="auto"/>
            <w:noWrap/>
            <w:vAlign w:val="bottom"/>
            <w:hideMark/>
          </w:tcPr>
          <w:p w14:paraId="608C84A8"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3211</w:t>
            </w:r>
          </w:p>
        </w:tc>
        <w:tc>
          <w:tcPr>
            <w:tcW w:w="8509" w:type="dxa"/>
            <w:tcBorders>
              <w:top w:val="nil"/>
              <w:left w:val="nil"/>
              <w:bottom w:val="nil"/>
              <w:right w:val="nil"/>
            </w:tcBorders>
            <w:shd w:val="clear" w:color="auto" w:fill="auto"/>
            <w:noWrap/>
            <w:vAlign w:val="bottom"/>
            <w:hideMark/>
          </w:tcPr>
          <w:p w14:paraId="09C9FBB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Službena putovanja                                                                                  </w:t>
            </w:r>
          </w:p>
        </w:tc>
        <w:tc>
          <w:tcPr>
            <w:tcW w:w="1480" w:type="dxa"/>
            <w:tcBorders>
              <w:top w:val="nil"/>
              <w:left w:val="nil"/>
              <w:bottom w:val="nil"/>
              <w:right w:val="nil"/>
            </w:tcBorders>
            <w:shd w:val="clear" w:color="auto" w:fill="auto"/>
            <w:noWrap/>
            <w:vAlign w:val="bottom"/>
            <w:hideMark/>
          </w:tcPr>
          <w:p w14:paraId="24C9AD43"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808B5C2"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28,68</w:t>
            </w:r>
          </w:p>
        </w:tc>
        <w:tc>
          <w:tcPr>
            <w:tcW w:w="1400" w:type="dxa"/>
            <w:tcBorders>
              <w:top w:val="nil"/>
              <w:left w:val="nil"/>
              <w:bottom w:val="nil"/>
              <w:right w:val="nil"/>
            </w:tcBorders>
            <w:shd w:val="clear" w:color="auto" w:fill="auto"/>
            <w:noWrap/>
            <w:vAlign w:val="bottom"/>
            <w:hideMark/>
          </w:tcPr>
          <w:p w14:paraId="3131CC30"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570BEA6" w14:textId="77777777" w:rsidTr="00A360DB">
        <w:trPr>
          <w:trHeight w:val="240"/>
        </w:trPr>
        <w:tc>
          <w:tcPr>
            <w:tcW w:w="1697" w:type="dxa"/>
            <w:tcBorders>
              <w:top w:val="nil"/>
              <w:left w:val="nil"/>
              <w:bottom w:val="nil"/>
              <w:right w:val="nil"/>
            </w:tcBorders>
            <w:shd w:val="clear" w:color="auto" w:fill="auto"/>
            <w:noWrap/>
            <w:vAlign w:val="bottom"/>
            <w:hideMark/>
          </w:tcPr>
          <w:p w14:paraId="008BD96E"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3212</w:t>
            </w:r>
          </w:p>
        </w:tc>
        <w:tc>
          <w:tcPr>
            <w:tcW w:w="8509" w:type="dxa"/>
            <w:tcBorders>
              <w:top w:val="nil"/>
              <w:left w:val="nil"/>
              <w:bottom w:val="nil"/>
              <w:right w:val="nil"/>
            </w:tcBorders>
            <w:shd w:val="clear" w:color="auto" w:fill="auto"/>
            <w:noWrap/>
            <w:vAlign w:val="bottom"/>
            <w:hideMark/>
          </w:tcPr>
          <w:p w14:paraId="1020F9B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Naknade za prijevoz, za rad na terenu i odvojeni život                                              </w:t>
            </w:r>
          </w:p>
        </w:tc>
        <w:tc>
          <w:tcPr>
            <w:tcW w:w="1480" w:type="dxa"/>
            <w:tcBorders>
              <w:top w:val="nil"/>
              <w:left w:val="nil"/>
              <w:bottom w:val="nil"/>
              <w:right w:val="nil"/>
            </w:tcBorders>
            <w:shd w:val="clear" w:color="auto" w:fill="auto"/>
            <w:noWrap/>
            <w:vAlign w:val="bottom"/>
            <w:hideMark/>
          </w:tcPr>
          <w:p w14:paraId="5C1900DA"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6429DF3"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567,78</w:t>
            </w:r>
          </w:p>
        </w:tc>
        <w:tc>
          <w:tcPr>
            <w:tcW w:w="1400" w:type="dxa"/>
            <w:tcBorders>
              <w:top w:val="nil"/>
              <w:left w:val="nil"/>
              <w:bottom w:val="nil"/>
              <w:right w:val="nil"/>
            </w:tcBorders>
            <w:shd w:val="clear" w:color="auto" w:fill="auto"/>
            <w:noWrap/>
            <w:vAlign w:val="bottom"/>
            <w:hideMark/>
          </w:tcPr>
          <w:p w14:paraId="04B240E8"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A449714"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114ED341"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9. Višak iz prethodnih razdoblja</w:t>
            </w:r>
          </w:p>
        </w:tc>
        <w:tc>
          <w:tcPr>
            <w:tcW w:w="1480" w:type="dxa"/>
            <w:tcBorders>
              <w:top w:val="nil"/>
              <w:left w:val="nil"/>
              <w:bottom w:val="nil"/>
              <w:right w:val="nil"/>
            </w:tcBorders>
            <w:shd w:val="clear" w:color="auto" w:fill="auto"/>
            <w:noWrap/>
            <w:vAlign w:val="bottom"/>
            <w:hideMark/>
          </w:tcPr>
          <w:p w14:paraId="180B1C23"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17.121,47</w:t>
            </w:r>
          </w:p>
        </w:tc>
        <w:tc>
          <w:tcPr>
            <w:tcW w:w="1380" w:type="dxa"/>
            <w:tcBorders>
              <w:top w:val="nil"/>
              <w:left w:val="nil"/>
              <w:bottom w:val="nil"/>
              <w:right w:val="nil"/>
            </w:tcBorders>
            <w:shd w:val="clear" w:color="auto" w:fill="auto"/>
            <w:noWrap/>
            <w:vAlign w:val="bottom"/>
            <w:hideMark/>
          </w:tcPr>
          <w:p w14:paraId="7D43350A"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17.121,47</w:t>
            </w:r>
          </w:p>
        </w:tc>
        <w:tc>
          <w:tcPr>
            <w:tcW w:w="1400" w:type="dxa"/>
            <w:tcBorders>
              <w:top w:val="nil"/>
              <w:left w:val="nil"/>
              <w:bottom w:val="nil"/>
              <w:right w:val="nil"/>
            </w:tcBorders>
            <w:shd w:val="clear" w:color="auto" w:fill="auto"/>
            <w:noWrap/>
            <w:vAlign w:val="bottom"/>
            <w:hideMark/>
          </w:tcPr>
          <w:p w14:paraId="1656C808"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w:t>
            </w:r>
          </w:p>
        </w:tc>
      </w:tr>
      <w:tr w:rsidR="00A360DB" w:rsidRPr="00A360DB" w14:paraId="7E560EE0"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54648845"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9.2. Višak iz prethodnih godina - Grad</w:t>
            </w:r>
          </w:p>
        </w:tc>
        <w:tc>
          <w:tcPr>
            <w:tcW w:w="1480" w:type="dxa"/>
            <w:tcBorders>
              <w:top w:val="nil"/>
              <w:left w:val="nil"/>
              <w:bottom w:val="nil"/>
              <w:right w:val="nil"/>
            </w:tcBorders>
            <w:shd w:val="clear" w:color="auto" w:fill="auto"/>
            <w:noWrap/>
            <w:vAlign w:val="bottom"/>
            <w:hideMark/>
          </w:tcPr>
          <w:p w14:paraId="2FCCAD23"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17.121,47</w:t>
            </w:r>
          </w:p>
        </w:tc>
        <w:tc>
          <w:tcPr>
            <w:tcW w:w="1380" w:type="dxa"/>
            <w:tcBorders>
              <w:top w:val="nil"/>
              <w:left w:val="nil"/>
              <w:bottom w:val="nil"/>
              <w:right w:val="nil"/>
            </w:tcBorders>
            <w:shd w:val="clear" w:color="auto" w:fill="auto"/>
            <w:noWrap/>
            <w:vAlign w:val="bottom"/>
            <w:hideMark/>
          </w:tcPr>
          <w:p w14:paraId="5A1AEB09"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17.121,47</w:t>
            </w:r>
          </w:p>
        </w:tc>
        <w:tc>
          <w:tcPr>
            <w:tcW w:w="1400" w:type="dxa"/>
            <w:tcBorders>
              <w:top w:val="nil"/>
              <w:left w:val="nil"/>
              <w:bottom w:val="nil"/>
              <w:right w:val="nil"/>
            </w:tcBorders>
            <w:shd w:val="clear" w:color="auto" w:fill="auto"/>
            <w:noWrap/>
            <w:vAlign w:val="bottom"/>
            <w:hideMark/>
          </w:tcPr>
          <w:p w14:paraId="55B79182"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w:t>
            </w:r>
          </w:p>
        </w:tc>
      </w:tr>
      <w:tr w:rsidR="00A360DB" w:rsidRPr="00A360DB" w14:paraId="40393DB0" w14:textId="77777777" w:rsidTr="00A360DB">
        <w:trPr>
          <w:trHeight w:val="240"/>
        </w:trPr>
        <w:tc>
          <w:tcPr>
            <w:tcW w:w="1697" w:type="dxa"/>
            <w:tcBorders>
              <w:top w:val="nil"/>
              <w:left w:val="nil"/>
              <w:bottom w:val="nil"/>
              <w:right w:val="nil"/>
            </w:tcBorders>
            <w:shd w:val="clear" w:color="auto" w:fill="auto"/>
            <w:noWrap/>
            <w:vAlign w:val="bottom"/>
            <w:hideMark/>
          </w:tcPr>
          <w:p w14:paraId="4685A1BC"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31</w:t>
            </w:r>
          </w:p>
        </w:tc>
        <w:tc>
          <w:tcPr>
            <w:tcW w:w="8509" w:type="dxa"/>
            <w:tcBorders>
              <w:top w:val="nil"/>
              <w:left w:val="nil"/>
              <w:bottom w:val="nil"/>
              <w:right w:val="nil"/>
            </w:tcBorders>
            <w:shd w:val="clear" w:color="auto" w:fill="auto"/>
            <w:noWrap/>
            <w:vAlign w:val="bottom"/>
            <w:hideMark/>
          </w:tcPr>
          <w:p w14:paraId="0F9A749A"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zaposlene                                                                                </w:t>
            </w:r>
          </w:p>
        </w:tc>
        <w:tc>
          <w:tcPr>
            <w:tcW w:w="1480" w:type="dxa"/>
            <w:tcBorders>
              <w:top w:val="nil"/>
              <w:left w:val="nil"/>
              <w:bottom w:val="nil"/>
              <w:right w:val="nil"/>
            </w:tcBorders>
            <w:shd w:val="clear" w:color="auto" w:fill="auto"/>
            <w:noWrap/>
            <w:vAlign w:val="bottom"/>
            <w:hideMark/>
          </w:tcPr>
          <w:p w14:paraId="3378007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17.121,47</w:t>
            </w:r>
          </w:p>
        </w:tc>
        <w:tc>
          <w:tcPr>
            <w:tcW w:w="1380" w:type="dxa"/>
            <w:tcBorders>
              <w:top w:val="nil"/>
              <w:left w:val="nil"/>
              <w:bottom w:val="nil"/>
              <w:right w:val="nil"/>
            </w:tcBorders>
            <w:shd w:val="clear" w:color="auto" w:fill="auto"/>
            <w:noWrap/>
            <w:vAlign w:val="bottom"/>
            <w:hideMark/>
          </w:tcPr>
          <w:p w14:paraId="1DB71B9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17.121,47</w:t>
            </w:r>
          </w:p>
        </w:tc>
        <w:tc>
          <w:tcPr>
            <w:tcW w:w="1400" w:type="dxa"/>
            <w:tcBorders>
              <w:top w:val="nil"/>
              <w:left w:val="nil"/>
              <w:bottom w:val="nil"/>
              <w:right w:val="nil"/>
            </w:tcBorders>
            <w:shd w:val="clear" w:color="auto" w:fill="auto"/>
            <w:noWrap/>
            <w:vAlign w:val="bottom"/>
            <w:hideMark/>
          </w:tcPr>
          <w:p w14:paraId="14A95BF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r>
      <w:tr w:rsidR="00A360DB" w:rsidRPr="00A360DB" w14:paraId="0BEE943F" w14:textId="77777777" w:rsidTr="00A360DB">
        <w:trPr>
          <w:trHeight w:val="240"/>
        </w:trPr>
        <w:tc>
          <w:tcPr>
            <w:tcW w:w="1697" w:type="dxa"/>
            <w:tcBorders>
              <w:top w:val="nil"/>
              <w:left w:val="nil"/>
              <w:bottom w:val="nil"/>
              <w:right w:val="nil"/>
            </w:tcBorders>
            <w:shd w:val="clear" w:color="auto" w:fill="auto"/>
            <w:noWrap/>
            <w:vAlign w:val="bottom"/>
            <w:hideMark/>
          </w:tcPr>
          <w:p w14:paraId="6F005C8E"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3111</w:t>
            </w:r>
          </w:p>
        </w:tc>
        <w:tc>
          <w:tcPr>
            <w:tcW w:w="8509" w:type="dxa"/>
            <w:tcBorders>
              <w:top w:val="nil"/>
              <w:left w:val="nil"/>
              <w:bottom w:val="nil"/>
              <w:right w:val="nil"/>
            </w:tcBorders>
            <w:shd w:val="clear" w:color="auto" w:fill="auto"/>
            <w:noWrap/>
            <w:vAlign w:val="bottom"/>
            <w:hideMark/>
          </w:tcPr>
          <w:p w14:paraId="7BEBA8B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Plaće za redovan rad                                                                                </w:t>
            </w:r>
          </w:p>
        </w:tc>
        <w:tc>
          <w:tcPr>
            <w:tcW w:w="1480" w:type="dxa"/>
            <w:tcBorders>
              <w:top w:val="nil"/>
              <w:left w:val="nil"/>
              <w:bottom w:val="nil"/>
              <w:right w:val="nil"/>
            </w:tcBorders>
            <w:shd w:val="clear" w:color="auto" w:fill="auto"/>
            <w:noWrap/>
            <w:vAlign w:val="bottom"/>
            <w:hideMark/>
          </w:tcPr>
          <w:p w14:paraId="1AB3B146"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AA48099"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17.121,47</w:t>
            </w:r>
          </w:p>
        </w:tc>
        <w:tc>
          <w:tcPr>
            <w:tcW w:w="1400" w:type="dxa"/>
            <w:tcBorders>
              <w:top w:val="nil"/>
              <w:left w:val="nil"/>
              <w:bottom w:val="nil"/>
              <w:right w:val="nil"/>
            </w:tcBorders>
            <w:shd w:val="clear" w:color="auto" w:fill="auto"/>
            <w:noWrap/>
            <w:vAlign w:val="bottom"/>
            <w:hideMark/>
          </w:tcPr>
          <w:p w14:paraId="13E67A4D"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A9B8484" w14:textId="77777777" w:rsidTr="00A360DB">
        <w:trPr>
          <w:trHeight w:val="240"/>
        </w:trPr>
        <w:tc>
          <w:tcPr>
            <w:tcW w:w="1697" w:type="dxa"/>
            <w:tcBorders>
              <w:top w:val="nil"/>
              <w:left w:val="nil"/>
              <w:bottom w:val="nil"/>
              <w:right w:val="nil"/>
            </w:tcBorders>
            <w:shd w:val="clear" w:color="000000" w:fill="B4C6E7"/>
            <w:noWrap/>
            <w:vAlign w:val="bottom"/>
            <w:hideMark/>
          </w:tcPr>
          <w:p w14:paraId="5AB9F82C"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T102006</w:t>
            </w:r>
          </w:p>
        </w:tc>
        <w:tc>
          <w:tcPr>
            <w:tcW w:w="8509" w:type="dxa"/>
            <w:tcBorders>
              <w:top w:val="nil"/>
              <w:left w:val="nil"/>
              <w:bottom w:val="nil"/>
              <w:right w:val="nil"/>
            </w:tcBorders>
            <w:shd w:val="clear" w:color="000000" w:fill="B4C6E7"/>
            <w:noWrap/>
            <w:vAlign w:val="bottom"/>
            <w:hideMark/>
          </w:tcPr>
          <w:p w14:paraId="2B728E2C"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Tekući projekt: Produženi boravak u osnovnoj školi</w:t>
            </w:r>
          </w:p>
        </w:tc>
        <w:tc>
          <w:tcPr>
            <w:tcW w:w="1480" w:type="dxa"/>
            <w:tcBorders>
              <w:top w:val="nil"/>
              <w:left w:val="nil"/>
              <w:bottom w:val="nil"/>
              <w:right w:val="nil"/>
            </w:tcBorders>
            <w:shd w:val="clear" w:color="000000" w:fill="B4C6E7"/>
            <w:noWrap/>
            <w:vAlign w:val="bottom"/>
            <w:hideMark/>
          </w:tcPr>
          <w:p w14:paraId="64C4EDD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58.893,99</w:t>
            </w:r>
          </w:p>
        </w:tc>
        <w:tc>
          <w:tcPr>
            <w:tcW w:w="1380" w:type="dxa"/>
            <w:tcBorders>
              <w:top w:val="nil"/>
              <w:left w:val="nil"/>
              <w:bottom w:val="nil"/>
              <w:right w:val="nil"/>
            </w:tcBorders>
            <w:shd w:val="clear" w:color="000000" w:fill="B4C6E7"/>
            <w:noWrap/>
            <w:vAlign w:val="bottom"/>
            <w:hideMark/>
          </w:tcPr>
          <w:p w14:paraId="71E4883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51.811,22</w:t>
            </w:r>
          </w:p>
        </w:tc>
        <w:tc>
          <w:tcPr>
            <w:tcW w:w="1400" w:type="dxa"/>
            <w:tcBorders>
              <w:top w:val="nil"/>
              <w:left w:val="nil"/>
              <w:bottom w:val="nil"/>
              <w:right w:val="nil"/>
            </w:tcBorders>
            <w:shd w:val="clear" w:color="000000" w:fill="B4C6E7"/>
            <w:noWrap/>
            <w:vAlign w:val="bottom"/>
            <w:hideMark/>
          </w:tcPr>
          <w:p w14:paraId="6749F07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87,97%</w:t>
            </w:r>
          </w:p>
        </w:tc>
      </w:tr>
      <w:tr w:rsidR="00A360DB" w:rsidRPr="00A360DB" w14:paraId="5CCAC22A"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5B3769A8"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77DD4A96"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48.500,00</w:t>
            </w:r>
          </w:p>
        </w:tc>
        <w:tc>
          <w:tcPr>
            <w:tcW w:w="1380" w:type="dxa"/>
            <w:tcBorders>
              <w:top w:val="nil"/>
              <w:left w:val="nil"/>
              <w:bottom w:val="nil"/>
              <w:right w:val="nil"/>
            </w:tcBorders>
            <w:shd w:val="clear" w:color="auto" w:fill="auto"/>
            <w:noWrap/>
            <w:vAlign w:val="bottom"/>
            <w:hideMark/>
          </w:tcPr>
          <w:p w14:paraId="7F8366A8"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44.948,67</w:t>
            </w:r>
          </w:p>
        </w:tc>
        <w:tc>
          <w:tcPr>
            <w:tcW w:w="1400" w:type="dxa"/>
            <w:tcBorders>
              <w:top w:val="nil"/>
              <w:left w:val="nil"/>
              <w:bottom w:val="nil"/>
              <w:right w:val="nil"/>
            </w:tcBorders>
            <w:shd w:val="clear" w:color="auto" w:fill="auto"/>
            <w:noWrap/>
            <w:vAlign w:val="bottom"/>
            <w:hideMark/>
          </w:tcPr>
          <w:p w14:paraId="6F063922"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92,68%</w:t>
            </w:r>
          </w:p>
        </w:tc>
      </w:tr>
      <w:tr w:rsidR="00A360DB" w:rsidRPr="00A360DB" w14:paraId="027DA70F"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987A5FD"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13F7C7DC"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48.500,00</w:t>
            </w:r>
          </w:p>
        </w:tc>
        <w:tc>
          <w:tcPr>
            <w:tcW w:w="1380" w:type="dxa"/>
            <w:tcBorders>
              <w:top w:val="nil"/>
              <w:left w:val="nil"/>
              <w:bottom w:val="nil"/>
              <w:right w:val="nil"/>
            </w:tcBorders>
            <w:shd w:val="clear" w:color="auto" w:fill="auto"/>
            <w:noWrap/>
            <w:vAlign w:val="bottom"/>
            <w:hideMark/>
          </w:tcPr>
          <w:p w14:paraId="23BAFA72"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44.948,67</w:t>
            </w:r>
          </w:p>
        </w:tc>
        <w:tc>
          <w:tcPr>
            <w:tcW w:w="1400" w:type="dxa"/>
            <w:tcBorders>
              <w:top w:val="nil"/>
              <w:left w:val="nil"/>
              <w:bottom w:val="nil"/>
              <w:right w:val="nil"/>
            </w:tcBorders>
            <w:shd w:val="clear" w:color="auto" w:fill="auto"/>
            <w:noWrap/>
            <w:vAlign w:val="bottom"/>
            <w:hideMark/>
          </w:tcPr>
          <w:p w14:paraId="5726B1BE"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92,68%</w:t>
            </w:r>
          </w:p>
        </w:tc>
      </w:tr>
      <w:tr w:rsidR="00A360DB" w:rsidRPr="00A360DB" w14:paraId="305EDBCC" w14:textId="77777777" w:rsidTr="00A360DB">
        <w:trPr>
          <w:trHeight w:val="240"/>
        </w:trPr>
        <w:tc>
          <w:tcPr>
            <w:tcW w:w="1697" w:type="dxa"/>
            <w:tcBorders>
              <w:top w:val="nil"/>
              <w:left w:val="nil"/>
              <w:bottom w:val="nil"/>
              <w:right w:val="nil"/>
            </w:tcBorders>
            <w:shd w:val="clear" w:color="auto" w:fill="auto"/>
            <w:noWrap/>
            <w:vAlign w:val="bottom"/>
            <w:hideMark/>
          </w:tcPr>
          <w:p w14:paraId="297EA68B"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31</w:t>
            </w:r>
          </w:p>
        </w:tc>
        <w:tc>
          <w:tcPr>
            <w:tcW w:w="8509" w:type="dxa"/>
            <w:tcBorders>
              <w:top w:val="nil"/>
              <w:left w:val="nil"/>
              <w:bottom w:val="nil"/>
              <w:right w:val="nil"/>
            </w:tcBorders>
            <w:shd w:val="clear" w:color="auto" w:fill="auto"/>
            <w:noWrap/>
            <w:vAlign w:val="bottom"/>
            <w:hideMark/>
          </w:tcPr>
          <w:p w14:paraId="7AC7EFE5"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zaposlene                                                                                </w:t>
            </w:r>
          </w:p>
        </w:tc>
        <w:tc>
          <w:tcPr>
            <w:tcW w:w="1480" w:type="dxa"/>
            <w:tcBorders>
              <w:top w:val="nil"/>
              <w:left w:val="nil"/>
              <w:bottom w:val="nil"/>
              <w:right w:val="nil"/>
            </w:tcBorders>
            <w:shd w:val="clear" w:color="auto" w:fill="auto"/>
            <w:noWrap/>
            <w:vAlign w:val="bottom"/>
            <w:hideMark/>
          </w:tcPr>
          <w:p w14:paraId="634B2D6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47.900,00</w:t>
            </w:r>
          </w:p>
        </w:tc>
        <w:tc>
          <w:tcPr>
            <w:tcW w:w="1380" w:type="dxa"/>
            <w:tcBorders>
              <w:top w:val="nil"/>
              <w:left w:val="nil"/>
              <w:bottom w:val="nil"/>
              <w:right w:val="nil"/>
            </w:tcBorders>
            <w:shd w:val="clear" w:color="auto" w:fill="auto"/>
            <w:noWrap/>
            <w:vAlign w:val="bottom"/>
            <w:hideMark/>
          </w:tcPr>
          <w:p w14:paraId="5618F8E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44.569,29</w:t>
            </w:r>
          </w:p>
        </w:tc>
        <w:tc>
          <w:tcPr>
            <w:tcW w:w="1400" w:type="dxa"/>
            <w:tcBorders>
              <w:top w:val="nil"/>
              <w:left w:val="nil"/>
              <w:bottom w:val="nil"/>
              <w:right w:val="nil"/>
            </w:tcBorders>
            <w:shd w:val="clear" w:color="auto" w:fill="auto"/>
            <w:noWrap/>
            <w:vAlign w:val="bottom"/>
            <w:hideMark/>
          </w:tcPr>
          <w:p w14:paraId="171233E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93,05%</w:t>
            </w:r>
          </w:p>
        </w:tc>
      </w:tr>
      <w:tr w:rsidR="00A360DB" w:rsidRPr="00A360DB" w14:paraId="07E6D0D8" w14:textId="77777777" w:rsidTr="00A360DB">
        <w:trPr>
          <w:trHeight w:val="240"/>
        </w:trPr>
        <w:tc>
          <w:tcPr>
            <w:tcW w:w="1697" w:type="dxa"/>
            <w:tcBorders>
              <w:top w:val="nil"/>
              <w:left w:val="nil"/>
              <w:bottom w:val="nil"/>
              <w:right w:val="nil"/>
            </w:tcBorders>
            <w:shd w:val="clear" w:color="auto" w:fill="auto"/>
            <w:noWrap/>
            <w:vAlign w:val="bottom"/>
            <w:hideMark/>
          </w:tcPr>
          <w:p w14:paraId="4222ECA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3111</w:t>
            </w:r>
          </w:p>
        </w:tc>
        <w:tc>
          <w:tcPr>
            <w:tcW w:w="8509" w:type="dxa"/>
            <w:tcBorders>
              <w:top w:val="nil"/>
              <w:left w:val="nil"/>
              <w:bottom w:val="nil"/>
              <w:right w:val="nil"/>
            </w:tcBorders>
            <w:shd w:val="clear" w:color="auto" w:fill="auto"/>
            <w:noWrap/>
            <w:vAlign w:val="bottom"/>
            <w:hideMark/>
          </w:tcPr>
          <w:p w14:paraId="50DD06A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Plaće za redovan rad                                                                                </w:t>
            </w:r>
          </w:p>
        </w:tc>
        <w:tc>
          <w:tcPr>
            <w:tcW w:w="1480" w:type="dxa"/>
            <w:tcBorders>
              <w:top w:val="nil"/>
              <w:left w:val="nil"/>
              <w:bottom w:val="nil"/>
              <w:right w:val="nil"/>
            </w:tcBorders>
            <w:shd w:val="clear" w:color="auto" w:fill="auto"/>
            <w:noWrap/>
            <w:vAlign w:val="bottom"/>
            <w:hideMark/>
          </w:tcPr>
          <w:p w14:paraId="4A54FB8D"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943239E"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36.711,83</w:t>
            </w:r>
          </w:p>
        </w:tc>
        <w:tc>
          <w:tcPr>
            <w:tcW w:w="1400" w:type="dxa"/>
            <w:tcBorders>
              <w:top w:val="nil"/>
              <w:left w:val="nil"/>
              <w:bottom w:val="nil"/>
              <w:right w:val="nil"/>
            </w:tcBorders>
            <w:shd w:val="clear" w:color="auto" w:fill="auto"/>
            <w:noWrap/>
            <w:vAlign w:val="bottom"/>
            <w:hideMark/>
          </w:tcPr>
          <w:p w14:paraId="5FBA449B"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D2085DF" w14:textId="77777777" w:rsidTr="00A360DB">
        <w:trPr>
          <w:trHeight w:val="240"/>
        </w:trPr>
        <w:tc>
          <w:tcPr>
            <w:tcW w:w="1697" w:type="dxa"/>
            <w:tcBorders>
              <w:top w:val="nil"/>
              <w:left w:val="nil"/>
              <w:bottom w:val="nil"/>
              <w:right w:val="nil"/>
            </w:tcBorders>
            <w:shd w:val="clear" w:color="auto" w:fill="auto"/>
            <w:noWrap/>
            <w:vAlign w:val="bottom"/>
            <w:hideMark/>
          </w:tcPr>
          <w:p w14:paraId="3CE69C7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3121</w:t>
            </w:r>
          </w:p>
        </w:tc>
        <w:tc>
          <w:tcPr>
            <w:tcW w:w="8509" w:type="dxa"/>
            <w:tcBorders>
              <w:top w:val="nil"/>
              <w:left w:val="nil"/>
              <w:bottom w:val="nil"/>
              <w:right w:val="nil"/>
            </w:tcBorders>
            <w:shd w:val="clear" w:color="auto" w:fill="auto"/>
            <w:noWrap/>
            <w:vAlign w:val="bottom"/>
            <w:hideMark/>
          </w:tcPr>
          <w:p w14:paraId="760DBC0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Ostali rashodi za zaposlene                                                                         </w:t>
            </w:r>
          </w:p>
        </w:tc>
        <w:tc>
          <w:tcPr>
            <w:tcW w:w="1480" w:type="dxa"/>
            <w:tcBorders>
              <w:top w:val="nil"/>
              <w:left w:val="nil"/>
              <w:bottom w:val="nil"/>
              <w:right w:val="nil"/>
            </w:tcBorders>
            <w:shd w:val="clear" w:color="auto" w:fill="auto"/>
            <w:noWrap/>
            <w:vAlign w:val="bottom"/>
            <w:hideMark/>
          </w:tcPr>
          <w:p w14:paraId="07F32BDE"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16E69687"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1.800,00</w:t>
            </w:r>
          </w:p>
        </w:tc>
        <w:tc>
          <w:tcPr>
            <w:tcW w:w="1400" w:type="dxa"/>
            <w:tcBorders>
              <w:top w:val="nil"/>
              <w:left w:val="nil"/>
              <w:bottom w:val="nil"/>
              <w:right w:val="nil"/>
            </w:tcBorders>
            <w:shd w:val="clear" w:color="auto" w:fill="auto"/>
            <w:noWrap/>
            <w:vAlign w:val="bottom"/>
            <w:hideMark/>
          </w:tcPr>
          <w:p w14:paraId="27297955"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BCE811E" w14:textId="77777777" w:rsidTr="00A360DB">
        <w:trPr>
          <w:trHeight w:val="240"/>
        </w:trPr>
        <w:tc>
          <w:tcPr>
            <w:tcW w:w="1697" w:type="dxa"/>
            <w:tcBorders>
              <w:top w:val="nil"/>
              <w:left w:val="nil"/>
              <w:bottom w:val="nil"/>
              <w:right w:val="nil"/>
            </w:tcBorders>
            <w:shd w:val="clear" w:color="auto" w:fill="auto"/>
            <w:noWrap/>
            <w:vAlign w:val="bottom"/>
            <w:hideMark/>
          </w:tcPr>
          <w:p w14:paraId="63BCAD9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3132</w:t>
            </w:r>
          </w:p>
        </w:tc>
        <w:tc>
          <w:tcPr>
            <w:tcW w:w="8509" w:type="dxa"/>
            <w:tcBorders>
              <w:top w:val="nil"/>
              <w:left w:val="nil"/>
              <w:bottom w:val="nil"/>
              <w:right w:val="nil"/>
            </w:tcBorders>
            <w:shd w:val="clear" w:color="auto" w:fill="auto"/>
            <w:noWrap/>
            <w:vAlign w:val="bottom"/>
            <w:hideMark/>
          </w:tcPr>
          <w:p w14:paraId="585CD4D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Doprinosi za obvezno zdravstveno osiguranje                                                         </w:t>
            </w:r>
          </w:p>
        </w:tc>
        <w:tc>
          <w:tcPr>
            <w:tcW w:w="1480" w:type="dxa"/>
            <w:tcBorders>
              <w:top w:val="nil"/>
              <w:left w:val="nil"/>
              <w:bottom w:val="nil"/>
              <w:right w:val="nil"/>
            </w:tcBorders>
            <w:shd w:val="clear" w:color="auto" w:fill="auto"/>
            <w:noWrap/>
            <w:vAlign w:val="bottom"/>
            <w:hideMark/>
          </w:tcPr>
          <w:p w14:paraId="7C5F4660"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E1BC922"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6.057,46</w:t>
            </w:r>
          </w:p>
        </w:tc>
        <w:tc>
          <w:tcPr>
            <w:tcW w:w="1400" w:type="dxa"/>
            <w:tcBorders>
              <w:top w:val="nil"/>
              <w:left w:val="nil"/>
              <w:bottom w:val="nil"/>
              <w:right w:val="nil"/>
            </w:tcBorders>
            <w:shd w:val="clear" w:color="auto" w:fill="auto"/>
            <w:noWrap/>
            <w:vAlign w:val="bottom"/>
            <w:hideMark/>
          </w:tcPr>
          <w:p w14:paraId="3B000BB9"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E231C3D" w14:textId="77777777" w:rsidTr="00A360DB">
        <w:trPr>
          <w:trHeight w:val="240"/>
        </w:trPr>
        <w:tc>
          <w:tcPr>
            <w:tcW w:w="1697" w:type="dxa"/>
            <w:tcBorders>
              <w:top w:val="nil"/>
              <w:left w:val="nil"/>
              <w:bottom w:val="nil"/>
              <w:right w:val="nil"/>
            </w:tcBorders>
            <w:shd w:val="clear" w:color="auto" w:fill="auto"/>
            <w:noWrap/>
            <w:vAlign w:val="bottom"/>
            <w:hideMark/>
          </w:tcPr>
          <w:p w14:paraId="0C3C0543"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75A29901"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79D4A80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600,00</w:t>
            </w:r>
          </w:p>
        </w:tc>
        <w:tc>
          <w:tcPr>
            <w:tcW w:w="1380" w:type="dxa"/>
            <w:tcBorders>
              <w:top w:val="nil"/>
              <w:left w:val="nil"/>
              <w:bottom w:val="nil"/>
              <w:right w:val="nil"/>
            </w:tcBorders>
            <w:shd w:val="clear" w:color="auto" w:fill="auto"/>
            <w:noWrap/>
            <w:vAlign w:val="bottom"/>
            <w:hideMark/>
          </w:tcPr>
          <w:p w14:paraId="6E3E3D4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379,38</w:t>
            </w:r>
          </w:p>
        </w:tc>
        <w:tc>
          <w:tcPr>
            <w:tcW w:w="1400" w:type="dxa"/>
            <w:tcBorders>
              <w:top w:val="nil"/>
              <w:left w:val="nil"/>
              <w:bottom w:val="nil"/>
              <w:right w:val="nil"/>
            </w:tcBorders>
            <w:shd w:val="clear" w:color="auto" w:fill="auto"/>
            <w:noWrap/>
            <w:vAlign w:val="bottom"/>
            <w:hideMark/>
          </w:tcPr>
          <w:p w14:paraId="64C0A91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63,23%</w:t>
            </w:r>
          </w:p>
        </w:tc>
      </w:tr>
      <w:tr w:rsidR="00A360DB" w:rsidRPr="00A360DB" w14:paraId="671DC311" w14:textId="77777777" w:rsidTr="00A360DB">
        <w:trPr>
          <w:trHeight w:val="240"/>
        </w:trPr>
        <w:tc>
          <w:tcPr>
            <w:tcW w:w="1697" w:type="dxa"/>
            <w:tcBorders>
              <w:top w:val="nil"/>
              <w:left w:val="nil"/>
              <w:bottom w:val="nil"/>
              <w:right w:val="nil"/>
            </w:tcBorders>
            <w:shd w:val="clear" w:color="auto" w:fill="auto"/>
            <w:noWrap/>
            <w:vAlign w:val="bottom"/>
            <w:hideMark/>
          </w:tcPr>
          <w:p w14:paraId="33FF1DF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3212</w:t>
            </w:r>
          </w:p>
        </w:tc>
        <w:tc>
          <w:tcPr>
            <w:tcW w:w="8509" w:type="dxa"/>
            <w:tcBorders>
              <w:top w:val="nil"/>
              <w:left w:val="nil"/>
              <w:bottom w:val="nil"/>
              <w:right w:val="nil"/>
            </w:tcBorders>
            <w:shd w:val="clear" w:color="auto" w:fill="auto"/>
            <w:noWrap/>
            <w:vAlign w:val="bottom"/>
            <w:hideMark/>
          </w:tcPr>
          <w:p w14:paraId="5D2C487E"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Naknade za prijevoz, za rad na terenu i odvojeni život                                              </w:t>
            </w:r>
          </w:p>
        </w:tc>
        <w:tc>
          <w:tcPr>
            <w:tcW w:w="1480" w:type="dxa"/>
            <w:tcBorders>
              <w:top w:val="nil"/>
              <w:left w:val="nil"/>
              <w:bottom w:val="nil"/>
              <w:right w:val="nil"/>
            </w:tcBorders>
            <w:shd w:val="clear" w:color="auto" w:fill="auto"/>
            <w:noWrap/>
            <w:vAlign w:val="bottom"/>
            <w:hideMark/>
          </w:tcPr>
          <w:p w14:paraId="06E5EE7B"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DFA9CF5"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379,38</w:t>
            </w:r>
          </w:p>
        </w:tc>
        <w:tc>
          <w:tcPr>
            <w:tcW w:w="1400" w:type="dxa"/>
            <w:tcBorders>
              <w:top w:val="nil"/>
              <w:left w:val="nil"/>
              <w:bottom w:val="nil"/>
              <w:right w:val="nil"/>
            </w:tcBorders>
            <w:shd w:val="clear" w:color="auto" w:fill="auto"/>
            <w:noWrap/>
            <w:vAlign w:val="bottom"/>
            <w:hideMark/>
          </w:tcPr>
          <w:p w14:paraId="5264264A"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C24F4BE"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BD14960"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lastRenderedPageBreak/>
              <w:t>Izvor 3. Vlastiti prihodi</w:t>
            </w:r>
          </w:p>
        </w:tc>
        <w:tc>
          <w:tcPr>
            <w:tcW w:w="1480" w:type="dxa"/>
            <w:tcBorders>
              <w:top w:val="nil"/>
              <w:left w:val="nil"/>
              <w:bottom w:val="nil"/>
              <w:right w:val="nil"/>
            </w:tcBorders>
            <w:shd w:val="clear" w:color="auto" w:fill="auto"/>
            <w:noWrap/>
            <w:vAlign w:val="bottom"/>
            <w:hideMark/>
          </w:tcPr>
          <w:p w14:paraId="26F8DECA"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9.900,00</w:t>
            </w:r>
          </w:p>
        </w:tc>
        <w:tc>
          <w:tcPr>
            <w:tcW w:w="1380" w:type="dxa"/>
            <w:tcBorders>
              <w:top w:val="nil"/>
              <w:left w:val="nil"/>
              <w:bottom w:val="nil"/>
              <w:right w:val="nil"/>
            </w:tcBorders>
            <w:shd w:val="clear" w:color="auto" w:fill="auto"/>
            <w:noWrap/>
            <w:vAlign w:val="bottom"/>
            <w:hideMark/>
          </w:tcPr>
          <w:p w14:paraId="3487A90D"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6.368,56</w:t>
            </w:r>
          </w:p>
        </w:tc>
        <w:tc>
          <w:tcPr>
            <w:tcW w:w="1400" w:type="dxa"/>
            <w:tcBorders>
              <w:top w:val="nil"/>
              <w:left w:val="nil"/>
              <w:bottom w:val="nil"/>
              <w:right w:val="nil"/>
            </w:tcBorders>
            <w:shd w:val="clear" w:color="auto" w:fill="auto"/>
            <w:noWrap/>
            <w:vAlign w:val="bottom"/>
            <w:hideMark/>
          </w:tcPr>
          <w:p w14:paraId="536D1E01"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64,33%</w:t>
            </w:r>
          </w:p>
        </w:tc>
      </w:tr>
      <w:tr w:rsidR="00A360DB" w:rsidRPr="00A360DB" w14:paraId="0D6A0E00"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50CDD179"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3.1. Vlastiti prihodi</w:t>
            </w:r>
          </w:p>
        </w:tc>
        <w:tc>
          <w:tcPr>
            <w:tcW w:w="1480" w:type="dxa"/>
            <w:tcBorders>
              <w:top w:val="nil"/>
              <w:left w:val="nil"/>
              <w:bottom w:val="nil"/>
              <w:right w:val="nil"/>
            </w:tcBorders>
            <w:shd w:val="clear" w:color="auto" w:fill="auto"/>
            <w:noWrap/>
            <w:vAlign w:val="bottom"/>
            <w:hideMark/>
          </w:tcPr>
          <w:p w14:paraId="02E9EE7F"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9.900,00</w:t>
            </w:r>
          </w:p>
        </w:tc>
        <w:tc>
          <w:tcPr>
            <w:tcW w:w="1380" w:type="dxa"/>
            <w:tcBorders>
              <w:top w:val="nil"/>
              <w:left w:val="nil"/>
              <w:bottom w:val="nil"/>
              <w:right w:val="nil"/>
            </w:tcBorders>
            <w:shd w:val="clear" w:color="auto" w:fill="auto"/>
            <w:noWrap/>
            <w:vAlign w:val="bottom"/>
            <w:hideMark/>
          </w:tcPr>
          <w:p w14:paraId="636F21F3"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6.368,56</w:t>
            </w:r>
          </w:p>
        </w:tc>
        <w:tc>
          <w:tcPr>
            <w:tcW w:w="1400" w:type="dxa"/>
            <w:tcBorders>
              <w:top w:val="nil"/>
              <w:left w:val="nil"/>
              <w:bottom w:val="nil"/>
              <w:right w:val="nil"/>
            </w:tcBorders>
            <w:shd w:val="clear" w:color="auto" w:fill="auto"/>
            <w:noWrap/>
            <w:vAlign w:val="bottom"/>
            <w:hideMark/>
          </w:tcPr>
          <w:p w14:paraId="397660BD"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64,33%</w:t>
            </w:r>
          </w:p>
        </w:tc>
      </w:tr>
      <w:tr w:rsidR="00A360DB" w:rsidRPr="00A360DB" w14:paraId="41755AD7" w14:textId="77777777" w:rsidTr="00A360DB">
        <w:trPr>
          <w:trHeight w:val="240"/>
        </w:trPr>
        <w:tc>
          <w:tcPr>
            <w:tcW w:w="1697" w:type="dxa"/>
            <w:tcBorders>
              <w:top w:val="nil"/>
              <w:left w:val="nil"/>
              <w:bottom w:val="nil"/>
              <w:right w:val="nil"/>
            </w:tcBorders>
            <w:shd w:val="clear" w:color="auto" w:fill="auto"/>
            <w:noWrap/>
            <w:vAlign w:val="bottom"/>
            <w:hideMark/>
          </w:tcPr>
          <w:p w14:paraId="38A7D99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1A532331"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0279BE2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9.900,00</w:t>
            </w:r>
          </w:p>
        </w:tc>
        <w:tc>
          <w:tcPr>
            <w:tcW w:w="1380" w:type="dxa"/>
            <w:tcBorders>
              <w:top w:val="nil"/>
              <w:left w:val="nil"/>
              <w:bottom w:val="nil"/>
              <w:right w:val="nil"/>
            </w:tcBorders>
            <w:shd w:val="clear" w:color="auto" w:fill="auto"/>
            <w:noWrap/>
            <w:vAlign w:val="bottom"/>
            <w:hideMark/>
          </w:tcPr>
          <w:p w14:paraId="1380D69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6.368,56</w:t>
            </w:r>
          </w:p>
        </w:tc>
        <w:tc>
          <w:tcPr>
            <w:tcW w:w="1400" w:type="dxa"/>
            <w:tcBorders>
              <w:top w:val="nil"/>
              <w:left w:val="nil"/>
              <w:bottom w:val="nil"/>
              <w:right w:val="nil"/>
            </w:tcBorders>
            <w:shd w:val="clear" w:color="auto" w:fill="auto"/>
            <w:noWrap/>
            <w:vAlign w:val="bottom"/>
            <w:hideMark/>
          </w:tcPr>
          <w:p w14:paraId="50B4C1A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64,33%</w:t>
            </w:r>
          </w:p>
        </w:tc>
      </w:tr>
      <w:tr w:rsidR="00A360DB" w:rsidRPr="00A360DB" w14:paraId="71E2DAB0" w14:textId="77777777" w:rsidTr="00A360DB">
        <w:trPr>
          <w:trHeight w:val="240"/>
        </w:trPr>
        <w:tc>
          <w:tcPr>
            <w:tcW w:w="1697" w:type="dxa"/>
            <w:tcBorders>
              <w:top w:val="nil"/>
              <w:left w:val="nil"/>
              <w:bottom w:val="nil"/>
              <w:right w:val="nil"/>
            </w:tcBorders>
            <w:shd w:val="clear" w:color="auto" w:fill="auto"/>
            <w:noWrap/>
            <w:vAlign w:val="bottom"/>
            <w:hideMark/>
          </w:tcPr>
          <w:p w14:paraId="4E2AAEA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3221</w:t>
            </w:r>
          </w:p>
        </w:tc>
        <w:tc>
          <w:tcPr>
            <w:tcW w:w="8509" w:type="dxa"/>
            <w:tcBorders>
              <w:top w:val="nil"/>
              <w:left w:val="nil"/>
              <w:bottom w:val="nil"/>
              <w:right w:val="nil"/>
            </w:tcBorders>
            <w:shd w:val="clear" w:color="auto" w:fill="auto"/>
            <w:noWrap/>
            <w:vAlign w:val="bottom"/>
            <w:hideMark/>
          </w:tcPr>
          <w:p w14:paraId="567B915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Uredski materijal i ostali materijalni rashodi                                                      </w:t>
            </w:r>
          </w:p>
        </w:tc>
        <w:tc>
          <w:tcPr>
            <w:tcW w:w="1480" w:type="dxa"/>
            <w:tcBorders>
              <w:top w:val="nil"/>
              <w:left w:val="nil"/>
              <w:bottom w:val="nil"/>
              <w:right w:val="nil"/>
            </w:tcBorders>
            <w:shd w:val="clear" w:color="auto" w:fill="auto"/>
            <w:noWrap/>
            <w:vAlign w:val="bottom"/>
            <w:hideMark/>
          </w:tcPr>
          <w:p w14:paraId="5D8296EF"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5E525BD"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382,03</w:t>
            </w:r>
          </w:p>
        </w:tc>
        <w:tc>
          <w:tcPr>
            <w:tcW w:w="1400" w:type="dxa"/>
            <w:tcBorders>
              <w:top w:val="nil"/>
              <w:left w:val="nil"/>
              <w:bottom w:val="nil"/>
              <w:right w:val="nil"/>
            </w:tcBorders>
            <w:shd w:val="clear" w:color="auto" w:fill="auto"/>
            <w:noWrap/>
            <w:vAlign w:val="bottom"/>
            <w:hideMark/>
          </w:tcPr>
          <w:p w14:paraId="72E5B878"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A879FA7" w14:textId="77777777" w:rsidTr="00A360DB">
        <w:trPr>
          <w:trHeight w:val="240"/>
        </w:trPr>
        <w:tc>
          <w:tcPr>
            <w:tcW w:w="1697" w:type="dxa"/>
            <w:tcBorders>
              <w:top w:val="nil"/>
              <w:left w:val="nil"/>
              <w:bottom w:val="nil"/>
              <w:right w:val="nil"/>
            </w:tcBorders>
            <w:shd w:val="clear" w:color="auto" w:fill="auto"/>
            <w:noWrap/>
            <w:vAlign w:val="bottom"/>
            <w:hideMark/>
          </w:tcPr>
          <w:p w14:paraId="26EC7EF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3222</w:t>
            </w:r>
          </w:p>
        </w:tc>
        <w:tc>
          <w:tcPr>
            <w:tcW w:w="8509" w:type="dxa"/>
            <w:tcBorders>
              <w:top w:val="nil"/>
              <w:left w:val="nil"/>
              <w:bottom w:val="nil"/>
              <w:right w:val="nil"/>
            </w:tcBorders>
            <w:shd w:val="clear" w:color="auto" w:fill="auto"/>
            <w:noWrap/>
            <w:vAlign w:val="bottom"/>
            <w:hideMark/>
          </w:tcPr>
          <w:p w14:paraId="59CF61EE"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Materijal i sirovine                                                                                </w:t>
            </w:r>
          </w:p>
        </w:tc>
        <w:tc>
          <w:tcPr>
            <w:tcW w:w="1480" w:type="dxa"/>
            <w:tcBorders>
              <w:top w:val="nil"/>
              <w:left w:val="nil"/>
              <w:bottom w:val="nil"/>
              <w:right w:val="nil"/>
            </w:tcBorders>
            <w:shd w:val="clear" w:color="auto" w:fill="auto"/>
            <w:noWrap/>
            <w:vAlign w:val="bottom"/>
            <w:hideMark/>
          </w:tcPr>
          <w:p w14:paraId="03ECDB01"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09A6C49"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5.746,53</w:t>
            </w:r>
          </w:p>
        </w:tc>
        <w:tc>
          <w:tcPr>
            <w:tcW w:w="1400" w:type="dxa"/>
            <w:tcBorders>
              <w:top w:val="nil"/>
              <w:left w:val="nil"/>
              <w:bottom w:val="nil"/>
              <w:right w:val="nil"/>
            </w:tcBorders>
            <w:shd w:val="clear" w:color="auto" w:fill="auto"/>
            <w:noWrap/>
            <w:vAlign w:val="bottom"/>
            <w:hideMark/>
          </w:tcPr>
          <w:p w14:paraId="2F390BD4"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54EEEC1C" w14:textId="77777777" w:rsidTr="00A360DB">
        <w:trPr>
          <w:trHeight w:val="240"/>
        </w:trPr>
        <w:tc>
          <w:tcPr>
            <w:tcW w:w="1697" w:type="dxa"/>
            <w:tcBorders>
              <w:top w:val="nil"/>
              <w:left w:val="nil"/>
              <w:bottom w:val="nil"/>
              <w:right w:val="nil"/>
            </w:tcBorders>
            <w:shd w:val="clear" w:color="auto" w:fill="auto"/>
            <w:noWrap/>
            <w:vAlign w:val="bottom"/>
            <w:hideMark/>
          </w:tcPr>
          <w:p w14:paraId="0004A92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3299</w:t>
            </w:r>
          </w:p>
        </w:tc>
        <w:tc>
          <w:tcPr>
            <w:tcW w:w="8509" w:type="dxa"/>
            <w:tcBorders>
              <w:top w:val="nil"/>
              <w:left w:val="nil"/>
              <w:bottom w:val="nil"/>
              <w:right w:val="nil"/>
            </w:tcBorders>
            <w:shd w:val="clear" w:color="auto" w:fill="auto"/>
            <w:noWrap/>
            <w:vAlign w:val="bottom"/>
            <w:hideMark/>
          </w:tcPr>
          <w:p w14:paraId="4DD91A3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Ostali nespomenuti rashodi poslovanja                                                               </w:t>
            </w:r>
          </w:p>
        </w:tc>
        <w:tc>
          <w:tcPr>
            <w:tcW w:w="1480" w:type="dxa"/>
            <w:tcBorders>
              <w:top w:val="nil"/>
              <w:left w:val="nil"/>
              <w:bottom w:val="nil"/>
              <w:right w:val="nil"/>
            </w:tcBorders>
            <w:shd w:val="clear" w:color="auto" w:fill="auto"/>
            <w:noWrap/>
            <w:vAlign w:val="bottom"/>
            <w:hideMark/>
          </w:tcPr>
          <w:p w14:paraId="1CCEEDBF"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9838A35"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240,00</w:t>
            </w:r>
          </w:p>
        </w:tc>
        <w:tc>
          <w:tcPr>
            <w:tcW w:w="1400" w:type="dxa"/>
            <w:tcBorders>
              <w:top w:val="nil"/>
              <w:left w:val="nil"/>
              <w:bottom w:val="nil"/>
              <w:right w:val="nil"/>
            </w:tcBorders>
            <w:shd w:val="clear" w:color="auto" w:fill="auto"/>
            <w:noWrap/>
            <w:vAlign w:val="bottom"/>
            <w:hideMark/>
          </w:tcPr>
          <w:p w14:paraId="5659FA94"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34DCB65"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CE4E109"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9. Višak iz prethodnih razdoblja</w:t>
            </w:r>
          </w:p>
        </w:tc>
        <w:tc>
          <w:tcPr>
            <w:tcW w:w="1480" w:type="dxa"/>
            <w:tcBorders>
              <w:top w:val="nil"/>
              <w:left w:val="nil"/>
              <w:bottom w:val="nil"/>
              <w:right w:val="nil"/>
            </w:tcBorders>
            <w:shd w:val="clear" w:color="auto" w:fill="auto"/>
            <w:noWrap/>
            <w:vAlign w:val="bottom"/>
            <w:hideMark/>
          </w:tcPr>
          <w:p w14:paraId="239A0192"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493,99</w:t>
            </w:r>
          </w:p>
        </w:tc>
        <w:tc>
          <w:tcPr>
            <w:tcW w:w="1380" w:type="dxa"/>
            <w:tcBorders>
              <w:top w:val="nil"/>
              <w:left w:val="nil"/>
              <w:bottom w:val="nil"/>
              <w:right w:val="nil"/>
            </w:tcBorders>
            <w:shd w:val="clear" w:color="auto" w:fill="auto"/>
            <w:noWrap/>
            <w:vAlign w:val="bottom"/>
            <w:hideMark/>
          </w:tcPr>
          <w:p w14:paraId="663AF5B5"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493,99</w:t>
            </w:r>
          </w:p>
        </w:tc>
        <w:tc>
          <w:tcPr>
            <w:tcW w:w="1400" w:type="dxa"/>
            <w:tcBorders>
              <w:top w:val="nil"/>
              <w:left w:val="nil"/>
              <w:bottom w:val="nil"/>
              <w:right w:val="nil"/>
            </w:tcBorders>
            <w:shd w:val="clear" w:color="auto" w:fill="auto"/>
            <w:noWrap/>
            <w:vAlign w:val="bottom"/>
            <w:hideMark/>
          </w:tcPr>
          <w:p w14:paraId="7EF11F61"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w:t>
            </w:r>
          </w:p>
        </w:tc>
      </w:tr>
      <w:tr w:rsidR="00A360DB" w:rsidRPr="00A360DB" w14:paraId="03CD60BC"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5A809E9B"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 xml:space="preserve">Izvor 9.1. Višak iz prethodnih godina - </w:t>
            </w:r>
            <w:proofErr w:type="spellStart"/>
            <w:r w:rsidRPr="00A360DB">
              <w:rPr>
                <w:rFonts w:ascii="Arial" w:hAnsi="Arial" w:cs="Arial"/>
                <w:color w:val="333333"/>
                <w:sz w:val="18"/>
                <w:szCs w:val="18"/>
                <w:lang w:eastAsia="hr-HR"/>
              </w:rPr>
              <w:t>Prorač.korisnici</w:t>
            </w:r>
            <w:proofErr w:type="spellEnd"/>
          </w:p>
        </w:tc>
        <w:tc>
          <w:tcPr>
            <w:tcW w:w="1480" w:type="dxa"/>
            <w:tcBorders>
              <w:top w:val="nil"/>
              <w:left w:val="nil"/>
              <w:bottom w:val="nil"/>
              <w:right w:val="nil"/>
            </w:tcBorders>
            <w:shd w:val="clear" w:color="auto" w:fill="auto"/>
            <w:noWrap/>
            <w:vAlign w:val="bottom"/>
            <w:hideMark/>
          </w:tcPr>
          <w:p w14:paraId="13519401"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493,99</w:t>
            </w:r>
          </w:p>
        </w:tc>
        <w:tc>
          <w:tcPr>
            <w:tcW w:w="1380" w:type="dxa"/>
            <w:tcBorders>
              <w:top w:val="nil"/>
              <w:left w:val="nil"/>
              <w:bottom w:val="nil"/>
              <w:right w:val="nil"/>
            </w:tcBorders>
            <w:shd w:val="clear" w:color="auto" w:fill="auto"/>
            <w:noWrap/>
            <w:vAlign w:val="bottom"/>
            <w:hideMark/>
          </w:tcPr>
          <w:p w14:paraId="3BA79FDD"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493,99</w:t>
            </w:r>
          </w:p>
        </w:tc>
        <w:tc>
          <w:tcPr>
            <w:tcW w:w="1400" w:type="dxa"/>
            <w:tcBorders>
              <w:top w:val="nil"/>
              <w:left w:val="nil"/>
              <w:bottom w:val="nil"/>
              <w:right w:val="nil"/>
            </w:tcBorders>
            <w:shd w:val="clear" w:color="auto" w:fill="auto"/>
            <w:noWrap/>
            <w:vAlign w:val="bottom"/>
            <w:hideMark/>
          </w:tcPr>
          <w:p w14:paraId="28ACAF4A"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w:t>
            </w:r>
          </w:p>
        </w:tc>
      </w:tr>
      <w:tr w:rsidR="00A360DB" w:rsidRPr="00A360DB" w14:paraId="60C64DA9" w14:textId="77777777" w:rsidTr="00A360DB">
        <w:trPr>
          <w:trHeight w:val="240"/>
        </w:trPr>
        <w:tc>
          <w:tcPr>
            <w:tcW w:w="1697" w:type="dxa"/>
            <w:tcBorders>
              <w:top w:val="nil"/>
              <w:left w:val="nil"/>
              <w:bottom w:val="nil"/>
              <w:right w:val="nil"/>
            </w:tcBorders>
            <w:shd w:val="clear" w:color="auto" w:fill="auto"/>
            <w:noWrap/>
            <w:vAlign w:val="bottom"/>
            <w:hideMark/>
          </w:tcPr>
          <w:p w14:paraId="7904BE45"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46046330"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315E07A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493,99</w:t>
            </w:r>
          </w:p>
        </w:tc>
        <w:tc>
          <w:tcPr>
            <w:tcW w:w="1380" w:type="dxa"/>
            <w:tcBorders>
              <w:top w:val="nil"/>
              <w:left w:val="nil"/>
              <w:bottom w:val="nil"/>
              <w:right w:val="nil"/>
            </w:tcBorders>
            <w:shd w:val="clear" w:color="auto" w:fill="auto"/>
            <w:noWrap/>
            <w:vAlign w:val="bottom"/>
            <w:hideMark/>
          </w:tcPr>
          <w:p w14:paraId="7F59262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493,99</w:t>
            </w:r>
          </w:p>
        </w:tc>
        <w:tc>
          <w:tcPr>
            <w:tcW w:w="1400" w:type="dxa"/>
            <w:tcBorders>
              <w:top w:val="nil"/>
              <w:left w:val="nil"/>
              <w:bottom w:val="nil"/>
              <w:right w:val="nil"/>
            </w:tcBorders>
            <w:shd w:val="clear" w:color="auto" w:fill="auto"/>
            <w:noWrap/>
            <w:vAlign w:val="bottom"/>
            <w:hideMark/>
          </w:tcPr>
          <w:p w14:paraId="1A1989C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r>
      <w:tr w:rsidR="00A360DB" w:rsidRPr="00A360DB" w14:paraId="251FAF83" w14:textId="77777777" w:rsidTr="00A360DB">
        <w:trPr>
          <w:trHeight w:val="240"/>
        </w:trPr>
        <w:tc>
          <w:tcPr>
            <w:tcW w:w="1697" w:type="dxa"/>
            <w:tcBorders>
              <w:top w:val="nil"/>
              <w:left w:val="nil"/>
              <w:bottom w:val="nil"/>
              <w:right w:val="nil"/>
            </w:tcBorders>
            <w:shd w:val="clear" w:color="auto" w:fill="auto"/>
            <w:noWrap/>
            <w:vAlign w:val="bottom"/>
            <w:hideMark/>
          </w:tcPr>
          <w:p w14:paraId="329E2E1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3225</w:t>
            </w:r>
          </w:p>
        </w:tc>
        <w:tc>
          <w:tcPr>
            <w:tcW w:w="8509" w:type="dxa"/>
            <w:tcBorders>
              <w:top w:val="nil"/>
              <w:left w:val="nil"/>
              <w:bottom w:val="nil"/>
              <w:right w:val="nil"/>
            </w:tcBorders>
            <w:shd w:val="clear" w:color="auto" w:fill="auto"/>
            <w:noWrap/>
            <w:vAlign w:val="bottom"/>
            <w:hideMark/>
          </w:tcPr>
          <w:p w14:paraId="795B6FE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Sitni inventar i auto gume</w:t>
            </w:r>
          </w:p>
        </w:tc>
        <w:tc>
          <w:tcPr>
            <w:tcW w:w="1480" w:type="dxa"/>
            <w:tcBorders>
              <w:top w:val="nil"/>
              <w:left w:val="nil"/>
              <w:bottom w:val="nil"/>
              <w:right w:val="nil"/>
            </w:tcBorders>
            <w:shd w:val="clear" w:color="auto" w:fill="auto"/>
            <w:noWrap/>
            <w:vAlign w:val="bottom"/>
            <w:hideMark/>
          </w:tcPr>
          <w:p w14:paraId="43E04C81"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EE3C037"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493,99</w:t>
            </w:r>
          </w:p>
        </w:tc>
        <w:tc>
          <w:tcPr>
            <w:tcW w:w="1400" w:type="dxa"/>
            <w:tcBorders>
              <w:top w:val="nil"/>
              <w:left w:val="nil"/>
              <w:bottom w:val="nil"/>
              <w:right w:val="nil"/>
            </w:tcBorders>
            <w:shd w:val="clear" w:color="auto" w:fill="auto"/>
            <w:noWrap/>
            <w:vAlign w:val="bottom"/>
            <w:hideMark/>
          </w:tcPr>
          <w:p w14:paraId="5251BF2B"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01B73EE" w14:textId="77777777" w:rsidTr="00A360DB">
        <w:trPr>
          <w:trHeight w:val="240"/>
        </w:trPr>
        <w:tc>
          <w:tcPr>
            <w:tcW w:w="1697" w:type="dxa"/>
            <w:tcBorders>
              <w:top w:val="nil"/>
              <w:left w:val="nil"/>
              <w:bottom w:val="nil"/>
              <w:right w:val="nil"/>
            </w:tcBorders>
            <w:shd w:val="clear" w:color="000000" w:fill="B4C6E7"/>
            <w:noWrap/>
            <w:vAlign w:val="bottom"/>
            <w:hideMark/>
          </w:tcPr>
          <w:p w14:paraId="4B9CF4BA"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T102010</w:t>
            </w:r>
          </w:p>
        </w:tc>
        <w:tc>
          <w:tcPr>
            <w:tcW w:w="8509" w:type="dxa"/>
            <w:tcBorders>
              <w:top w:val="nil"/>
              <w:left w:val="nil"/>
              <w:bottom w:val="nil"/>
              <w:right w:val="nil"/>
            </w:tcBorders>
            <w:shd w:val="clear" w:color="000000" w:fill="B4C6E7"/>
            <w:noWrap/>
            <w:vAlign w:val="bottom"/>
            <w:hideMark/>
          </w:tcPr>
          <w:p w14:paraId="5F656FFD"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Tekući projekt: "Pomoćnici u nastavi - faza VII"</w:t>
            </w:r>
          </w:p>
        </w:tc>
        <w:tc>
          <w:tcPr>
            <w:tcW w:w="1480" w:type="dxa"/>
            <w:tcBorders>
              <w:top w:val="nil"/>
              <w:left w:val="nil"/>
              <w:bottom w:val="nil"/>
              <w:right w:val="nil"/>
            </w:tcBorders>
            <w:shd w:val="clear" w:color="000000" w:fill="B4C6E7"/>
            <w:noWrap/>
            <w:vAlign w:val="bottom"/>
            <w:hideMark/>
          </w:tcPr>
          <w:p w14:paraId="518636B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20.200,00</w:t>
            </w:r>
          </w:p>
        </w:tc>
        <w:tc>
          <w:tcPr>
            <w:tcW w:w="1380" w:type="dxa"/>
            <w:tcBorders>
              <w:top w:val="nil"/>
              <w:left w:val="nil"/>
              <w:bottom w:val="nil"/>
              <w:right w:val="nil"/>
            </w:tcBorders>
            <w:shd w:val="clear" w:color="000000" w:fill="B4C6E7"/>
            <w:noWrap/>
            <w:vAlign w:val="bottom"/>
            <w:hideMark/>
          </w:tcPr>
          <w:p w14:paraId="24EEFE3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19.397,72</w:t>
            </w:r>
          </w:p>
        </w:tc>
        <w:tc>
          <w:tcPr>
            <w:tcW w:w="1400" w:type="dxa"/>
            <w:tcBorders>
              <w:top w:val="nil"/>
              <w:left w:val="nil"/>
              <w:bottom w:val="nil"/>
              <w:right w:val="nil"/>
            </w:tcBorders>
            <w:shd w:val="clear" w:color="000000" w:fill="B4C6E7"/>
            <w:noWrap/>
            <w:vAlign w:val="bottom"/>
            <w:hideMark/>
          </w:tcPr>
          <w:p w14:paraId="7F9AC8E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96,03%</w:t>
            </w:r>
          </w:p>
        </w:tc>
      </w:tr>
      <w:tr w:rsidR="00A360DB" w:rsidRPr="00A360DB" w14:paraId="2C31866C"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83B5C15"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48487DC0"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10.200,00</w:t>
            </w:r>
          </w:p>
        </w:tc>
        <w:tc>
          <w:tcPr>
            <w:tcW w:w="1380" w:type="dxa"/>
            <w:tcBorders>
              <w:top w:val="nil"/>
              <w:left w:val="nil"/>
              <w:bottom w:val="nil"/>
              <w:right w:val="nil"/>
            </w:tcBorders>
            <w:shd w:val="clear" w:color="auto" w:fill="auto"/>
            <w:noWrap/>
            <w:vAlign w:val="bottom"/>
            <w:hideMark/>
          </w:tcPr>
          <w:p w14:paraId="200D0CB6"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9.823,33</w:t>
            </w:r>
          </w:p>
        </w:tc>
        <w:tc>
          <w:tcPr>
            <w:tcW w:w="1400" w:type="dxa"/>
            <w:tcBorders>
              <w:top w:val="nil"/>
              <w:left w:val="nil"/>
              <w:bottom w:val="nil"/>
              <w:right w:val="nil"/>
            </w:tcBorders>
            <w:shd w:val="clear" w:color="auto" w:fill="auto"/>
            <w:noWrap/>
            <w:vAlign w:val="bottom"/>
            <w:hideMark/>
          </w:tcPr>
          <w:p w14:paraId="2FAD736A"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96,31%</w:t>
            </w:r>
          </w:p>
        </w:tc>
      </w:tr>
      <w:tr w:rsidR="00A360DB" w:rsidRPr="00A360DB" w14:paraId="1EF919DD"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2FE99B5"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7C5B5844"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10.200,00</w:t>
            </w:r>
          </w:p>
        </w:tc>
        <w:tc>
          <w:tcPr>
            <w:tcW w:w="1380" w:type="dxa"/>
            <w:tcBorders>
              <w:top w:val="nil"/>
              <w:left w:val="nil"/>
              <w:bottom w:val="nil"/>
              <w:right w:val="nil"/>
            </w:tcBorders>
            <w:shd w:val="clear" w:color="auto" w:fill="auto"/>
            <w:noWrap/>
            <w:vAlign w:val="bottom"/>
            <w:hideMark/>
          </w:tcPr>
          <w:p w14:paraId="57562CA7"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9.823,33</w:t>
            </w:r>
          </w:p>
        </w:tc>
        <w:tc>
          <w:tcPr>
            <w:tcW w:w="1400" w:type="dxa"/>
            <w:tcBorders>
              <w:top w:val="nil"/>
              <w:left w:val="nil"/>
              <w:bottom w:val="nil"/>
              <w:right w:val="nil"/>
            </w:tcBorders>
            <w:shd w:val="clear" w:color="auto" w:fill="auto"/>
            <w:noWrap/>
            <w:vAlign w:val="bottom"/>
            <w:hideMark/>
          </w:tcPr>
          <w:p w14:paraId="1FFBEE7E"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96,31%</w:t>
            </w:r>
          </w:p>
        </w:tc>
      </w:tr>
      <w:tr w:rsidR="00A360DB" w:rsidRPr="00A360DB" w14:paraId="24577F9E" w14:textId="77777777" w:rsidTr="00A360DB">
        <w:trPr>
          <w:trHeight w:val="240"/>
        </w:trPr>
        <w:tc>
          <w:tcPr>
            <w:tcW w:w="1697" w:type="dxa"/>
            <w:tcBorders>
              <w:top w:val="nil"/>
              <w:left w:val="nil"/>
              <w:bottom w:val="nil"/>
              <w:right w:val="nil"/>
            </w:tcBorders>
            <w:shd w:val="clear" w:color="auto" w:fill="auto"/>
            <w:noWrap/>
            <w:vAlign w:val="bottom"/>
            <w:hideMark/>
          </w:tcPr>
          <w:p w14:paraId="5561EEB4"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31</w:t>
            </w:r>
          </w:p>
        </w:tc>
        <w:tc>
          <w:tcPr>
            <w:tcW w:w="8509" w:type="dxa"/>
            <w:tcBorders>
              <w:top w:val="nil"/>
              <w:left w:val="nil"/>
              <w:bottom w:val="nil"/>
              <w:right w:val="nil"/>
            </w:tcBorders>
            <w:shd w:val="clear" w:color="auto" w:fill="auto"/>
            <w:noWrap/>
            <w:vAlign w:val="bottom"/>
            <w:hideMark/>
          </w:tcPr>
          <w:p w14:paraId="290F4ACE"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zaposlene                                                                                </w:t>
            </w:r>
          </w:p>
        </w:tc>
        <w:tc>
          <w:tcPr>
            <w:tcW w:w="1480" w:type="dxa"/>
            <w:tcBorders>
              <w:top w:val="nil"/>
              <w:left w:val="nil"/>
              <w:bottom w:val="nil"/>
              <w:right w:val="nil"/>
            </w:tcBorders>
            <w:shd w:val="clear" w:color="auto" w:fill="auto"/>
            <w:noWrap/>
            <w:vAlign w:val="bottom"/>
            <w:hideMark/>
          </w:tcPr>
          <w:p w14:paraId="4AB58B6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9.950,00</w:t>
            </w:r>
          </w:p>
        </w:tc>
        <w:tc>
          <w:tcPr>
            <w:tcW w:w="1380" w:type="dxa"/>
            <w:tcBorders>
              <w:top w:val="nil"/>
              <w:left w:val="nil"/>
              <w:bottom w:val="nil"/>
              <w:right w:val="nil"/>
            </w:tcBorders>
            <w:shd w:val="clear" w:color="auto" w:fill="auto"/>
            <w:noWrap/>
            <w:vAlign w:val="bottom"/>
            <w:hideMark/>
          </w:tcPr>
          <w:p w14:paraId="31B14AE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9.602,42</w:t>
            </w:r>
          </w:p>
        </w:tc>
        <w:tc>
          <w:tcPr>
            <w:tcW w:w="1400" w:type="dxa"/>
            <w:tcBorders>
              <w:top w:val="nil"/>
              <w:left w:val="nil"/>
              <w:bottom w:val="nil"/>
              <w:right w:val="nil"/>
            </w:tcBorders>
            <w:shd w:val="clear" w:color="auto" w:fill="auto"/>
            <w:noWrap/>
            <w:vAlign w:val="bottom"/>
            <w:hideMark/>
          </w:tcPr>
          <w:p w14:paraId="7993560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96,51%</w:t>
            </w:r>
          </w:p>
        </w:tc>
      </w:tr>
      <w:tr w:rsidR="00A360DB" w:rsidRPr="00A360DB" w14:paraId="15A9A22B" w14:textId="77777777" w:rsidTr="00A360DB">
        <w:trPr>
          <w:trHeight w:val="240"/>
        </w:trPr>
        <w:tc>
          <w:tcPr>
            <w:tcW w:w="1697" w:type="dxa"/>
            <w:tcBorders>
              <w:top w:val="nil"/>
              <w:left w:val="nil"/>
              <w:bottom w:val="nil"/>
              <w:right w:val="nil"/>
            </w:tcBorders>
            <w:shd w:val="clear" w:color="auto" w:fill="auto"/>
            <w:noWrap/>
            <w:vAlign w:val="bottom"/>
            <w:hideMark/>
          </w:tcPr>
          <w:p w14:paraId="4BC791A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3111</w:t>
            </w:r>
          </w:p>
        </w:tc>
        <w:tc>
          <w:tcPr>
            <w:tcW w:w="8509" w:type="dxa"/>
            <w:tcBorders>
              <w:top w:val="nil"/>
              <w:left w:val="nil"/>
              <w:bottom w:val="nil"/>
              <w:right w:val="nil"/>
            </w:tcBorders>
            <w:shd w:val="clear" w:color="auto" w:fill="auto"/>
            <w:noWrap/>
            <w:vAlign w:val="bottom"/>
            <w:hideMark/>
          </w:tcPr>
          <w:p w14:paraId="422BE24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Plaće za redovan rad                                                                                </w:t>
            </w:r>
          </w:p>
        </w:tc>
        <w:tc>
          <w:tcPr>
            <w:tcW w:w="1480" w:type="dxa"/>
            <w:tcBorders>
              <w:top w:val="nil"/>
              <w:left w:val="nil"/>
              <w:bottom w:val="nil"/>
              <w:right w:val="nil"/>
            </w:tcBorders>
            <w:shd w:val="clear" w:color="auto" w:fill="auto"/>
            <w:noWrap/>
            <w:vAlign w:val="bottom"/>
            <w:hideMark/>
          </w:tcPr>
          <w:p w14:paraId="289393A2"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0937449"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7.155,68</w:t>
            </w:r>
          </w:p>
        </w:tc>
        <w:tc>
          <w:tcPr>
            <w:tcW w:w="1400" w:type="dxa"/>
            <w:tcBorders>
              <w:top w:val="nil"/>
              <w:left w:val="nil"/>
              <w:bottom w:val="nil"/>
              <w:right w:val="nil"/>
            </w:tcBorders>
            <w:shd w:val="clear" w:color="auto" w:fill="auto"/>
            <w:noWrap/>
            <w:vAlign w:val="bottom"/>
            <w:hideMark/>
          </w:tcPr>
          <w:p w14:paraId="73E0E477"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BA97AEB" w14:textId="77777777" w:rsidTr="00A360DB">
        <w:trPr>
          <w:trHeight w:val="240"/>
        </w:trPr>
        <w:tc>
          <w:tcPr>
            <w:tcW w:w="1697" w:type="dxa"/>
            <w:tcBorders>
              <w:top w:val="nil"/>
              <w:left w:val="nil"/>
              <w:bottom w:val="nil"/>
              <w:right w:val="nil"/>
            </w:tcBorders>
            <w:shd w:val="clear" w:color="auto" w:fill="auto"/>
            <w:noWrap/>
            <w:vAlign w:val="bottom"/>
            <w:hideMark/>
          </w:tcPr>
          <w:p w14:paraId="27BF05B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3121</w:t>
            </w:r>
          </w:p>
        </w:tc>
        <w:tc>
          <w:tcPr>
            <w:tcW w:w="8509" w:type="dxa"/>
            <w:tcBorders>
              <w:top w:val="nil"/>
              <w:left w:val="nil"/>
              <w:bottom w:val="nil"/>
              <w:right w:val="nil"/>
            </w:tcBorders>
            <w:shd w:val="clear" w:color="auto" w:fill="auto"/>
            <w:noWrap/>
            <w:vAlign w:val="bottom"/>
            <w:hideMark/>
          </w:tcPr>
          <w:p w14:paraId="664A285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Ostali rashodi za zaposlene                                                                         </w:t>
            </w:r>
          </w:p>
        </w:tc>
        <w:tc>
          <w:tcPr>
            <w:tcW w:w="1480" w:type="dxa"/>
            <w:tcBorders>
              <w:top w:val="nil"/>
              <w:left w:val="nil"/>
              <w:bottom w:val="nil"/>
              <w:right w:val="nil"/>
            </w:tcBorders>
            <w:shd w:val="clear" w:color="auto" w:fill="auto"/>
            <w:noWrap/>
            <w:vAlign w:val="bottom"/>
            <w:hideMark/>
          </w:tcPr>
          <w:p w14:paraId="45FBB2E2"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40A50EE"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1.266,04</w:t>
            </w:r>
          </w:p>
        </w:tc>
        <w:tc>
          <w:tcPr>
            <w:tcW w:w="1400" w:type="dxa"/>
            <w:tcBorders>
              <w:top w:val="nil"/>
              <w:left w:val="nil"/>
              <w:bottom w:val="nil"/>
              <w:right w:val="nil"/>
            </w:tcBorders>
            <w:shd w:val="clear" w:color="auto" w:fill="auto"/>
            <w:noWrap/>
            <w:vAlign w:val="bottom"/>
            <w:hideMark/>
          </w:tcPr>
          <w:p w14:paraId="7ACFA994"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5404171A" w14:textId="77777777" w:rsidTr="00A360DB">
        <w:trPr>
          <w:trHeight w:val="240"/>
        </w:trPr>
        <w:tc>
          <w:tcPr>
            <w:tcW w:w="1697" w:type="dxa"/>
            <w:tcBorders>
              <w:top w:val="nil"/>
              <w:left w:val="nil"/>
              <w:bottom w:val="nil"/>
              <w:right w:val="nil"/>
            </w:tcBorders>
            <w:shd w:val="clear" w:color="auto" w:fill="auto"/>
            <w:noWrap/>
            <w:vAlign w:val="bottom"/>
            <w:hideMark/>
          </w:tcPr>
          <w:p w14:paraId="7FDD4F6D"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3132</w:t>
            </w:r>
          </w:p>
        </w:tc>
        <w:tc>
          <w:tcPr>
            <w:tcW w:w="8509" w:type="dxa"/>
            <w:tcBorders>
              <w:top w:val="nil"/>
              <w:left w:val="nil"/>
              <w:bottom w:val="nil"/>
              <w:right w:val="nil"/>
            </w:tcBorders>
            <w:shd w:val="clear" w:color="auto" w:fill="auto"/>
            <w:noWrap/>
            <w:vAlign w:val="bottom"/>
            <w:hideMark/>
          </w:tcPr>
          <w:p w14:paraId="683D026E"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Doprinosi za obvezno zdravstveno osiguranje                                                         </w:t>
            </w:r>
          </w:p>
        </w:tc>
        <w:tc>
          <w:tcPr>
            <w:tcW w:w="1480" w:type="dxa"/>
            <w:tcBorders>
              <w:top w:val="nil"/>
              <w:left w:val="nil"/>
              <w:bottom w:val="nil"/>
              <w:right w:val="nil"/>
            </w:tcBorders>
            <w:shd w:val="clear" w:color="auto" w:fill="auto"/>
            <w:noWrap/>
            <w:vAlign w:val="bottom"/>
            <w:hideMark/>
          </w:tcPr>
          <w:p w14:paraId="07931D4A"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1D765DE"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1.180,70</w:t>
            </w:r>
          </w:p>
        </w:tc>
        <w:tc>
          <w:tcPr>
            <w:tcW w:w="1400" w:type="dxa"/>
            <w:tcBorders>
              <w:top w:val="nil"/>
              <w:left w:val="nil"/>
              <w:bottom w:val="nil"/>
              <w:right w:val="nil"/>
            </w:tcBorders>
            <w:shd w:val="clear" w:color="auto" w:fill="auto"/>
            <w:noWrap/>
            <w:vAlign w:val="bottom"/>
            <w:hideMark/>
          </w:tcPr>
          <w:p w14:paraId="2F6BC227"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569A05A" w14:textId="77777777" w:rsidTr="00A360DB">
        <w:trPr>
          <w:trHeight w:val="240"/>
        </w:trPr>
        <w:tc>
          <w:tcPr>
            <w:tcW w:w="1697" w:type="dxa"/>
            <w:tcBorders>
              <w:top w:val="nil"/>
              <w:left w:val="nil"/>
              <w:bottom w:val="nil"/>
              <w:right w:val="nil"/>
            </w:tcBorders>
            <w:shd w:val="clear" w:color="auto" w:fill="auto"/>
            <w:noWrap/>
            <w:vAlign w:val="bottom"/>
            <w:hideMark/>
          </w:tcPr>
          <w:p w14:paraId="3BF71E7B"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12592CF4"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021E3F1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250,00</w:t>
            </w:r>
          </w:p>
        </w:tc>
        <w:tc>
          <w:tcPr>
            <w:tcW w:w="1380" w:type="dxa"/>
            <w:tcBorders>
              <w:top w:val="nil"/>
              <w:left w:val="nil"/>
              <w:bottom w:val="nil"/>
              <w:right w:val="nil"/>
            </w:tcBorders>
            <w:shd w:val="clear" w:color="auto" w:fill="auto"/>
            <w:noWrap/>
            <w:vAlign w:val="bottom"/>
            <w:hideMark/>
          </w:tcPr>
          <w:p w14:paraId="5D66526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220,91</w:t>
            </w:r>
          </w:p>
        </w:tc>
        <w:tc>
          <w:tcPr>
            <w:tcW w:w="1400" w:type="dxa"/>
            <w:tcBorders>
              <w:top w:val="nil"/>
              <w:left w:val="nil"/>
              <w:bottom w:val="nil"/>
              <w:right w:val="nil"/>
            </w:tcBorders>
            <w:shd w:val="clear" w:color="auto" w:fill="auto"/>
            <w:noWrap/>
            <w:vAlign w:val="bottom"/>
            <w:hideMark/>
          </w:tcPr>
          <w:p w14:paraId="39733FF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88,36%</w:t>
            </w:r>
          </w:p>
        </w:tc>
      </w:tr>
      <w:tr w:rsidR="00A360DB" w:rsidRPr="00A360DB" w14:paraId="569CB416" w14:textId="77777777" w:rsidTr="00A360DB">
        <w:trPr>
          <w:trHeight w:val="240"/>
        </w:trPr>
        <w:tc>
          <w:tcPr>
            <w:tcW w:w="1697" w:type="dxa"/>
            <w:tcBorders>
              <w:top w:val="nil"/>
              <w:left w:val="nil"/>
              <w:bottom w:val="nil"/>
              <w:right w:val="nil"/>
            </w:tcBorders>
            <w:shd w:val="clear" w:color="auto" w:fill="auto"/>
            <w:noWrap/>
            <w:vAlign w:val="bottom"/>
            <w:hideMark/>
          </w:tcPr>
          <w:p w14:paraId="10396A5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3212</w:t>
            </w:r>
          </w:p>
        </w:tc>
        <w:tc>
          <w:tcPr>
            <w:tcW w:w="8509" w:type="dxa"/>
            <w:tcBorders>
              <w:top w:val="nil"/>
              <w:left w:val="nil"/>
              <w:bottom w:val="nil"/>
              <w:right w:val="nil"/>
            </w:tcBorders>
            <w:shd w:val="clear" w:color="auto" w:fill="auto"/>
            <w:noWrap/>
            <w:vAlign w:val="bottom"/>
            <w:hideMark/>
          </w:tcPr>
          <w:p w14:paraId="05B0AC8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Naknade za prijevoz, za rad na terenu i odvojeni život                                              </w:t>
            </w:r>
          </w:p>
        </w:tc>
        <w:tc>
          <w:tcPr>
            <w:tcW w:w="1480" w:type="dxa"/>
            <w:tcBorders>
              <w:top w:val="nil"/>
              <w:left w:val="nil"/>
              <w:bottom w:val="nil"/>
              <w:right w:val="nil"/>
            </w:tcBorders>
            <w:shd w:val="clear" w:color="auto" w:fill="auto"/>
            <w:noWrap/>
            <w:vAlign w:val="bottom"/>
            <w:hideMark/>
          </w:tcPr>
          <w:p w14:paraId="65D75743"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113B833A"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220,91</w:t>
            </w:r>
          </w:p>
        </w:tc>
        <w:tc>
          <w:tcPr>
            <w:tcW w:w="1400" w:type="dxa"/>
            <w:tcBorders>
              <w:top w:val="nil"/>
              <w:left w:val="nil"/>
              <w:bottom w:val="nil"/>
              <w:right w:val="nil"/>
            </w:tcBorders>
            <w:shd w:val="clear" w:color="auto" w:fill="auto"/>
            <w:noWrap/>
            <w:vAlign w:val="bottom"/>
            <w:hideMark/>
          </w:tcPr>
          <w:p w14:paraId="33261266"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A5F4806"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54B59272"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5. Pomoći</w:t>
            </w:r>
          </w:p>
        </w:tc>
        <w:tc>
          <w:tcPr>
            <w:tcW w:w="1480" w:type="dxa"/>
            <w:tcBorders>
              <w:top w:val="nil"/>
              <w:left w:val="nil"/>
              <w:bottom w:val="nil"/>
              <w:right w:val="nil"/>
            </w:tcBorders>
            <w:shd w:val="clear" w:color="auto" w:fill="auto"/>
            <w:noWrap/>
            <w:vAlign w:val="bottom"/>
            <w:hideMark/>
          </w:tcPr>
          <w:p w14:paraId="54C0132D"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10.000,00</w:t>
            </w:r>
          </w:p>
        </w:tc>
        <w:tc>
          <w:tcPr>
            <w:tcW w:w="1380" w:type="dxa"/>
            <w:tcBorders>
              <w:top w:val="nil"/>
              <w:left w:val="nil"/>
              <w:bottom w:val="nil"/>
              <w:right w:val="nil"/>
            </w:tcBorders>
            <w:shd w:val="clear" w:color="auto" w:fill="auto"/>
            <w:noWrap/>
            <w:vAlign w:val="bottom"/>
            <w:hideMark/>
          </w:tcPr>
          <w:p w14:paraId="67AC9789"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9.574,39</w:t>
            </w:r>
          </w:p>
        </w:tc>
        <w:tc>
          <w:tcPr>
            <w:tcW w:w="1400" w:type="dxa"/>
            <w:tcBorders>
              <w:top w:val="nil"/>
              <w:left w:val="nil"/>
              <w:bottom w:val="nil"/>
              <w:right w:val="nil"/>
            </w:tcBorders>
            <w:shd w:val="clear" w:color="auto" w:fill="auto"/>
            <w:noWrap/>
            <w:vAlign w:val="bottom"/>
            <w:hideMark/>
          </w:tcPr>
          <w:p w14:paraId="633E5C1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95,74%</w:t>
            </w:r>
          </w:p>
        </w:tc>
      </w:tr>
      <w:tr w:rsidR="00A360DB" w:rsidRPr="00A360DB" w14:paraId="293CF45B"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45B096F"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5.2. Državni proračun</w:t>
            </w:r>
          </w:p>
        </w:tc>
        <w:tc>
          <w:tcPr>
            <w:tcW w:w="1480" w:type="dxa"/>
            <w:tcBorders>
              <w:top w:val="nil"/>
              <w:left w:val="nil"/>
              <w:bottom w:val="nil"/>
              <w:right w:val="nil"/>
            </w:tcBorders>
            <w:shd w:val="clear" w:color="auto" w:fill="auto"/>
            <w:noWrap/>
            <w:vAlign w:val="bottom"/>
            <w:hideMark/>
          </w:tcPr>
          <w:p w14:paraId="1385DFD0"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1.550,00</w:t>
            </w:r>
          </w:p>
        </w:tc>
        <w:tc>
          <w:tcPr>
            <w:tcW w:w="1380" w:type="dxa"/>
            <w:tcBorders>
              <w:top w:val="nil"/>
              <w:left w:val="nil"/>
              <w:bottom w:val="nil"/>
              <w:right w:val="nil"/>
            </w:tcBorders>
            <w:shd w:val="clear" w:color="auto" w:fill="auto"/>
            <w:noWrap/>
            <w:vAlign w:val="bottom"/>
            <w:hideMark/>
          </w:tcPr>
          <w:p w14:paraId="11E7E50A"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1.436,16</w:t>
            </w:r>
          </w:p>
        </w:tc>
        <w:tc>
          <w:tcPr>
            <w:tcW w:w="1400" w:type="dxa"/>
            <w:tcBorders>
              <w:top w:val="nil"/>
              <w:left w:val="nil"/>
              <w:bottom w:val="nil"/>
              <w:right w:val="nil"/>
            </w:tcBorders>
            <w:shd w:val="clear" w:color="auto" w:fill="auto"/>
            <w:noWrap/>
            <w:vAlign w:val="bottom"/>
            <w:hideMark/>
          </w:tcPr>
          <w:p w14:paraId="084A6623"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92,66%</w:t>
            </w:r>
          </w:p>
        </w:tc>
      </w:tr>
      <w:tr w:rsidR="00A360DB" w:rsidRPr="00A360DB" w14:paraId="719644A0" w14:textId="77777777" w:rsidTr="00A360DB">
        <w:trPr>
          <w:trHeight w:val="240"/>
        </w:trPr>
        <w:tc>
          <w:tcPr>
            <w:tcW w:w="1697" w:type="dxa"/>
            <w:tcBorders>
              <w:top w:val="nil"/>
              <w:left w:val="nil"/>
              <w:bottom w:val="nil"/>
              <w:right w:val="nil"/>
            </w:tcBorders>
            <w:shd w:val="clear" w:color="auto" w:fill="auto"/>
            <w:noWrap/>
            <w:vAlign w:val="bottom"/>
            <w:hideMark/>
          </w:tcPr>
          <w:p w14:paraId="2276FDE9"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31</w:t>
            </w:r>
          </w:p>
        </w:tc>
        <w:tc>
          <w:tcPr>
            <w:tcW w:w="8509" w:type="dxa"/>
            <w:tcBorders>
              <w:top w:val="nil"/>
              <w:left w:val="nil"/>
              <w:bottom w:val="nil"/>
              <w:right w:val="nil"/>
            </w:tcBorders>
            <w:shd w:val="clear" w:color="auto" w:fill="auto"/>
            <w:noWrap/>
            <w:vAlign w:val="bottom"/>
            <w:hideMark/>
          </w:tcPr>
          <w:p w14:paraId="49F7859F"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zaposlene                                                                                </w:t>
            </w:r>
          </w:p>
        </w:tc>
        <w:tc>
          <w:tcPr>
            <w:tcW w:w="1480" w:type="dxa"/>
            <w:tcBorders>
              <w:top w:val="nil"/>
              <w:left w:val="nil"/>
              <w:bottom w:val="nil"/>
              <w:right w:val="nil"/>
            </w:tcBorders>
            <w:shd w:val="clear" w:color="auto" w:fill="auto"/>
            <w:noWrap/>
            <w:vAlign w:val="bottom"/>
            <w:hideMark/>
          </w:tcPr>
          <w:p w14:paraId="37CE048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1.500,00</w:t>
            </w:r>
          </w:p>
        </w:tc>
        <w:tc>
          <w:tcPr>
            <w:tcW w:w="1380" w:type="dxa"/>
            <w:tcBorders>
              <w:top w:val="nil"/>
              <w:left w:val="nil"/>
              <w:bottom w:val="nil"/>
              <w:right w:val="nil"/>
            </w:tcBorders>
            <w:shd w:val="clear" w:color="auto" w:fill="auto"/>
            <w:noWrap/>
            <w:vAlign w:val="bottom"/>
            <w:hideMark/>
          </w:tcPr>
          <w:p w14:paraId="7590416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1.403,86</w:t>
            </w:r>
          </w:p>
        </w:tc>
        <w:tc>
          <w:tcPr>
            <w:tcW w:w="1400" w:type="dxa"/>
            <w:tcBorders>
              <w:top w:val="nil"/>
              <w:left w:val="nil"/>
              <w:bottom w:val="nil"/>
              <w:right w:val="nil"/>
            </w:tcBorders>
            <w:shd w:val="clear" w:color="auto" w:fill="auto"/>
            <w:noWrap/>
            <w:vAlign w:val="bottom"/>
            <w:hideMark/>
          </w:tcPr>
          <w:p w14:paraId="3A29D32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93,59%</w:t>
            </w:r>
          </w:p>
        </w:tc>
      </w:tr>
      <w:tr w:rsidR="00A360DB" w:rsidRPr="00A360DB" w14:paraId="0915BE1E" w14:textId="77777777" w:rsidTr="00A360DB">
        <w:trPr>
          <w:trHeight w:val="240"/>
        </w:trPr>
        <w:tc>
          <w:tcPr>
            <w:tcW w:w="1697" w:type="dxa"/>
            <w:tcBorders>
              <w:top w:val="nil"/>
              <w:left w:val="nil"/>
              <w:bottom w:val="nil"/>
              <w:right w:val="nil"/>
            </w:tcBorders>
            <w:shd w:val="clear" w:color="auto" w:fill="auto"/>
            <w:noWrap/>
            <w:vAlign w:val="bottom"/>
            <w:hideMark/>
          </w:tcPr>
          <w:p w14:paraId="2CD3969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3111</w:t>
            </w:r>
          </w:p>
        </w:tc>
        <w:tc>
          <w:tcPr>
            <w:tcW w:w="8509" w:type="dxa"/>
            <w:tcBorders>
              <w:top w:val="nil"/>
              <w:left w:val="nil"/>
              <w:bottom w:val="nil"/>
              <w:right w:val="nil"/>
            </w:tcBorders>
            <w:shd w:val="clear" w:color="auto" w:fill="auto"/>
            <w:noWrap/>
            <w:vAlign w:val="bottom"/>
            <w:hideMark/>
          </w:tcPr>
          <w:p w14:paraId="4C446755"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Plaće za redovan rad                                                                                </w:t>
            </w:r>
          </w:p>
        </w:tc>
        <w:tc>
          <w:tcPr>
            <w:tcW w:w="1480" w:type="dxa"/>
            <w:tcBorders>
              <w:top w:val="nil"/>
              <w:left w:val="nil"/>
              <w:bottom w:val="nil"/>
              <w:right w:val="nil"/>
            </w:tcBorders>
            <w:shd w:val="clear" w:color="auto" w:fill="auto"/>
            <w:noWrap/>
            <w:vAlign w:val="bottom"/>
            <w:hideMark/>
          </w:tcPr>
          <w:p w14:paraId="773D113A"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CCAC6BE"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1.046,14</w:t>
            </w:r>
          </w:p>
        </w:tc>
        <w:tc>
          <w:tcPr>
            <w:tcW w:w="1400" w:type="dxa"/>
            <w:tcBorders>
              <w:top w:val="nil"/>
              <w:left w:val="nil"/>
              <w:bottom w:val="nil"/>
              <w:right w:val="nil"/>
            </w:tcBorders>
            <w:shd w:val="clear" w:color="auto" w:fill="auto"/>
            <w:noWrap/>
            <w:vAlign w:val="bottom"/>
            <w:hideMark/>
          </w:tcPr>
          <w:p w14:paraId="0A375DCA"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643E2A9" w14:textId="77777777" w:rsidTr="00A360DB">
        <w:trPr>
          <w:trHeight w:val="240"/>
        </w:trPr>
        <w:tc>
          <w:tcPr>
            <w:tcW w:w="1697" w:type="dxa"/>
            <w:tcBorders>
              <w:top w:val="nil"/>
              <w:left w:val="nil"/>
              <w:bottom w:val="nil"/>
              <w:right w:val="nil"/>
            </w:tcBorders>
            <w:shd w:val="clear" w:color="auto" w:fill="auto"/>
            <w:noWrap/>
            <w:vAlign w:val="bottom"/>
            <w:hideMark/>
          </w:tcPr>
          <w:p w14:paraId="222B2D1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3121</w:t>
            </w:r>
          </w:p>
        </w:tc>
        <w:tc>
          <w:tcPr>
            <w:tcW w:w="8509" w:type="dxa"/>
            <w:tcBorders>
              <w:top w:val="nil"/>
              <w:left w:val="nil"/>
              <w:bottom w:val="nil"/>
              <w:right w:val="nil"/>
            </w:tcBorders>
            <w:shd w:val="clear" w:color="auto" w:fill="auto"/>
            <w:noWrap/>
            <w:vAlign w:val="bottom"/>
            <w:hideMark/>
          </w:tcPr>
          <w:p w14:paraId="6D6C801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Ostali rashodi za zaposlene                                                                         </w:t>
            </w:r>
          </w:p>
        </w:tc>
        <w:tc>
          <w:tcPr>
            <w:tcW w:w="1480" w:type="dxa"/>
            <w:tcBorders>
              <w:top w:val="nil"/>
              <w:left w:val="nil"/>
              <w:bottom w:val="nil"/>
              <w:right w:val="nil"/>
            </w:tcBorders>
            <w:shd w:val="clear" w:color="auto" w:fill="auto"/>
            <w:noWrap/>
            <w:vAlign w:val="bottom"/>
            <w:hideMark/>
          </w:tcPr>
          <w:p w14:paraId="767A3AC1"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A2D0702"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185,10</w:t>
            </w:r>
          </w:p>
        </w:tc>
        <w:tc>
          <w:tcPr>
            <w:tcW w:w="1400" w:type="dxa"/>
            <w:tcBorders>
              <w:top w:val="nil"/>
              <w:left w:val="nil"/>
              <w:bottom w:val="nil"/>
              <w:right w:val="nil"/>
            </w:tcBorders>
            <w:shd w:val="clear" w:color="auto" w:fill="auto"/>
            <w:noWrap/>
            <w:vAlign w:val="bottom"/>
            <w:hideMark/>
          </w:tcPr>
          <w:p w14:paraId="3C72AC2C"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93BDAD7" w14:textId="77777777" w:rsidTr="00A360DB">
        <w:trPr>
          <w:trHeight w:val="240"/>
        </w:trPr>
        <w:tc>
          <w:tcPr>
            <w:tcW w:w="1697" w:type="dxa"/>
            <w:tcBorders>
              <w:top w:val="nil"/>
              <w:left w:val="nil"/>
              <w:bottom w:val="nil"/>
              <w:right w:val="nil"/>
            </w:tcBorders>
            <w:shd w:val="clear" w:color="auto" w:fill="auto"/>
            <w:noWrap/>
            <w:vAlign w:val="bottom"/>
            <w:hideMark/>
          </w:tcPr>
          <w:p w14:paraId="455B3C98"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3132</w:t>
            </w:r>
          </w:p>
        </w:tc>
        <w:tc>
          <w:tcPr>
            <w:tcW w:w="8509" w:type="dxa"/>
            <w:tcBorders>
              <w:top w:val="nil"/>
              <w:left w:val="nil"/>
              <w:bottom w:val="nil"/>
              <w:right w:val="nil"/>
            </w:tcBorders>
            <w:shd w:val="clear" w:color="auto" w:fill="auto"/>
            <w:noWrap/>
            <w:vAlign w:val="bottom"/>
            <w:hideMark/>
          </w:tcPr>
          <w:p w14:paraId="58306CD5"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Doprinosi za obvezno zdravstveno osiguranje                                                         </w:t>
            </w:r>
          </w:p>
        </w:tc>
        <w:tc>
          <w:tcPr>
            <w:tcW w:w="1480" w:type="dxa"/>
            <w:tcBorders>
              <w:top w:val="nil"/>
              <w:left w:val="nil"/>
              <w:bottom w:val="nil"/>
              <w:right w:val="nil"/>
            </w:tcBorders>
            <w:shd w:val="clear" w:color="auto" w:fill="auto"/>
            <w:noWrap/>
            <w:vAlign w:val="bottom"/>
            <w:hideMark/>
          </w:tcPr>
          <w:p w14:paraId="54CC0A82"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2BC02FB"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172,62</w:t>
            </w:r>
          </w:p>
        </w:tc>
        <w:tc>
          <w:tcPr>
            <w:tcW w:w="1400" w:type="dxa"/>
            <w:tcBorders>
              <w:top w:val="nil"/>
              <w:left w:val="nil"/>
              <w:bottom w:val="nil"/>
              <w:right w:val="nil"/>
            </w:tcBorders>
            <w:shd w:val="clear" w:color="auto" w:fill="auto"/>
            <w:noWrap/>
            <w:vAlign w:val="bottom"/>
            <w:hideMark/>
          </w:tcPr>
          <w:p w14:paraId="71CB2448"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45337F9" w14:textId="77777777" w:rsidTr="00A360DB">
        <w:trPr>
          <w:trHeight w:val="240"/>
        </w:trPr>
        <w:tc>
          <w:tcPr>
            <w:tcW w:w="1697" w:type="dxa"/>
            <w:tcBorders>
              <w:top w:val="nil"/>
              <w:left w:val="nil"/>
              <w:bottom w:val="nil"/>
              <w:right w:val="nil"/>
            </w:tcBorders>
            <w:shd w:val="clear" w:color="auto" w:fill="auto"/>
            <w:noWrap/>
            <w:vAlign w:val="bottom"/>
            <w:hideMark/>
          </w:tcPr>
          <w:p w14:paraId="2847272C"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4CB69E3F"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14E1B9D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50,00</w:t>
            </w:r>
          </w:p>
        </w:tc>
        <w:tc>
          <w:tcPr>
            <w:tcW w:w="1380" w:type="dxa"/>
            <w:tcBorders>
              <w:top w:val="nil"/>
              <w:left w:val="nil"/>
              <w:bottom w:val="nil"/>
              <w:right w:val="nil"/>
            </w:tcBorders>
            <w:shd w:val="clear" w:color="auto" w:fill="auto"/>
            <w:noWrap/>
            <w:vAlign w:val="bottom"/>
            <w:hideMark/>
          </w:tcPr>
          <w:p w14:paraId="32A4517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32,30</w:t>
            </w:r>
          </w:p>
        </w:tc>
        <w:tc>
          <w:tcPr>
            <w:tcW w:w="1400" w:type="dxa"/>
            <w:tcBorders>
              <w:top w:val="nil"/>
              <w:left w:val="nil"/>
              <w:bottom w:val="nil"/>
              <w:right w:val="nil"/>
            </w:tcBorders>
            <w:shd w:val="clear" w:color="auto" w:fill="auto"/>
            <w:noWrap/>
            <w:vAlign w:val="bottom"/>
            <w:hideMark/>
          </w:tcPr>
          <w:p w14:paraId="64D6179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64,60%</w:t>
            </w:r>
          </w:p>
        </w:tc>
      </w:tr>
      <w:tr w:rsidR="00A360DB" w:rsidRPr="00A360DB" w14:paraId="057D8180" w14:textId="77777777" w:rsidTr="00A360DB">
        <w:trPr>
          <w:trHeight w:val="240"/>
        </w:trPr>
        <w:tc>
          <w:tcPr>
            <w:tcW w:w="1697" w:type="dxa"/>
            <w:tcBorders>
              <w:top w:val="nil"/>
              <w:left w:val="nil"/>
              <w:bottom w:val="nil"/>
              <w:right w:val="nil"/>
            </w:tcBorders>
            <w:shd w:val="clear" w:color="auto" w:fill="auto"/>
            <w:noWrap/>
            <w:vAlign w:val="bottom"/>
            <w:hideMark/>
          </w:tcPr>
          <w:p w14:paraId="07970F9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3212</w:t>
            </w:r>
          </w:p>
        </w:tc>
        <w:tc>
          <w:tcPr>
            <w:tcW w:w="8509" w:type="dxa"/>
            <w:tcBorders>
              <w:top w:val="nil"/>
              <w:left w:val="nil"/>
              <w:bottom w:val="nil"/>
              <w:right w:val="nil"/>
            </w:tcBorders>
            <w:shd w:val="clear" w:color="auto" w:fill="auto"/>
            <w:noWrap/>
            <w:vAlign w:val="bottom"/>
            <w:hideMark/>
          </w:tcPr>
          <w:p w14:paraId="493D0BC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Naknade za prijevoz, za rad na terenu i odvojeni život                                              </w:t>
            </w:r>
          </w:p>
        </w:tc>
        <w:tc>
          <w:tcPr>
            <w:tcW w:w="1480" w:type="dxa"/>
            <w:tcBorders>
              <w:top w:val="nil"/>
              <w:left w:val="nil"/>
              <w:bottom w:val="nil"/>
              <w:right w:val="nil"/>
            </w:tcBorders>
            <w:shd w:val="clear" w:color="auto" w:fill="auto"/>
            <w:noWrap/>
            <w:vAlign w:val="bottom"/>
            <w:hideMark/>
          </w:tcPr>
          <w:p w14:paraId="45F9FD41"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22757B49"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32,30</w:t>
            </w:r>
          </w:p>
        </w:tc>
        <w:tc>
          <w:tcPr>
            <w:tcW w:w="1400" w:type="dxa"/>
            <w:tcBorders>
              <w:top w:val="nil"/>
              <w:left w:val="nil"/>
              <w:bottom w:val="nil"/>
              <w:right w:val="nil"/>
            </w:tcBorders>
            <w:shd w:val="clear" w:color="auto" w:fill="auto"/>
            <w:noWrap/>
            <w:vAlign w:val="bottom"/>
            <w:hideMark/>
          </w:tcPr>
          <w:p w14:paraId="10075CBD"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2FDE73B"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3ADDBFE0"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5.4. Institucije i tijela EU</w:t>
            </w:r>
          </w:p>
        </w:tc>
        <w:tc>
          <w:tcPr>
            <w:tcW w:w="1480" w:type="dxa"/>
            <w:tcBorders>
              <w:top w:val="nil"/>
              <w:left w:val="nil"/>
              <w:bottom w:val="nil"/>
              <w:right w:val="nil"/>
            </w:tcBorders>
            <w:shd w:val="clear" w:color="auto" w:fill="auto"/>
            <w:noWrap/>
            <w:vAlign w:val="bottom"/>
            <w:hideMark/>
          </w:tcPr>
          <w:p w14:paraId="6816CCF0"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8.450,00</w:t>
            </w:r>
          </w:p>
        </w:tc>
        <w:tc>
          <w:tcPr>
            <w:tcW w:w="1380" w:type="dxa"/>
            <w:tcBorders>
              <w:top w:val="nil"/>
              <w:left w:val="nil"/>
              <w:bottom w:val="nil"/>
              <w:right w:val="nil"/>
            </w:tcBorders>
            <w:shd w:val="clear" w:color="auto" w:fill="auto"/>
            <w:noWrap/>
            <w:vAlign w:val="bottom"/>
            <w:hideMark/>
          </w:tcPr>
          <w:p w14:paraId="4DC107DA"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8.138,23</w:t>
            </w:r>
          </w:p>
        </w:tc>
        <w:tc>
          <w:tcPr>
            <w:tcW w:w="1400" w:type="dxa"/>
            <w:tcBorders>
              <w:top w:val="nil"/>
              <w:left w:val="nil"/>
              <w:bottom w:val="nil"/>
              <w:right w:val="nil"/>
            </w:tcBorders>
            <w:shd w:val="clear" w:color="auto" w:fill="auto"/>
            <w:noWrap/>
            <w:vAlign w:val="bottom"/>
            <w:hideMark/>
          </w:tcPr>
          <w:p w14:paraId="015708EC"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96,31%</w:t>
            </w:r>
          </w:p>
        </w:tc>
      </w:tr>
      <w:tr w:rsidR="00A360DB" w:rsidRPr="00A360DB" w14:paraId="35493685" w14:textId="77777777" w:rsidTr="00A360DB">
        <w:trPr>
          <w:trHeight w:val="240"/>
        </w:trPr>
        <w:tc>
          <w:tcPr>
            <w:tcW w:w="1697" w:type="dxa"/>
            <w:tcBorders>
              <w:top w:val="nil"/>
              <w:left w:val="nil"/>
              <w:bottom w:val="nil"/>
              <w:right w:val="nil"/>
            </w:tcBorders>
            <w:shd w:val="clear" w:color="auto" w:fill="auto"/>
            <w:noWrap/>
            <w:vAlign w:val="bottom"/>
            <w:hideMark/>
          </w:tcPr>
          <w:p w14:paraId="619C7D54"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31</w:t>
            </w:r>
          </w:p>
        </w:tc>
        <w:tc>
          <w:tcPr>
            <w:tcW w:w="8509" w:type="dxa"/>
            <w:tcBorders>
              <w:top w:val="nil"/>
              <w:left w:val="nil"/>
              <w:bottom w:val="nil"/>
              <w:right w:val="nil"/>
            </w:tcBorders>
            <w:shd w:val="clear" w:color="auto" w:fill="auto"/>
            <w:noWrap/>
            <w:vAlign w:val="bottom"/>
            <w:hideMark/>
          </w:tcPr>
          <w:p w14:paraId="4B80DC03"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zaposlene                                                                                </w:t>
            </w:r>
          </w:p>
        </w:tc>
        <w:tc>
          <w:tcPr>
            <w:tcW w:w="1480" w:type="dxa"/>
            <w:tcBorders>
              <w:top w:val="nil"/>
              <w:left w:val="nil"/>
              <w:bottom w:val="nil"/>
              <w:right w:val="nil"/>
            </w:tcBorders>
            <w:shd w:val="clear" w:color="auto" w:fill="auto"/>
            <w:noWrap/>
            <w:vAlign w:val="bottom"/>
            <w:hideMark/>
          </w:tcPr>
          <w:p w14:paraId="29853E2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8.250,00</w:t>
            </w:r>
          </w:p>
        </w:tc>
        <w:tc>
          <w:tcPr>
            <w:tcW w:w="1380" w:type="dxa"/>
            <w:tcBorders>
              <w:top w:val="nil"/>
              <w:left w:val="nil"/>
              <w:bottom w:val="nil"/>
              <w:right w:val="nil"/>
            </w:tcBorders>
            <w:shd w:val="clear" w:color="auto" w:fill="auto"/>
            <w:noWrap/>
            <w:vAlign w:val="bottom"/>
            <w:hideMark/>
          </w:tcPr>
          <w:p w14:paraId="77AF0B1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7.955,21</w:t>
            </w:r>
          </w:p>
        </w:tc>
        <w:tc>
          <w:tcPr>
            <w:tcW w:w="1400" w:type="dxa"/>
            <w:tcBorders>
              <w:top w:val="nil"/>
              <w:left w:val="nil"/>
              <w:bottom w:val="nil"/>
              <w:right w:val="nil"/>
            </w:tcBorders>
            <w:shd w:val="clear" w:color="auto" w:fill="auto"/>
            <w:noWrap/>
            <w:vAlign w:val="bottom"/>
            <w:hideMark/>
          </w:tcPr>
          <w:p w14:paraId="1148EA1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96,43%</w:t>
            </w:r>
          </w:p>
        </w:tc>
      </w:tr>
      <w:tr w:rsidR="00A360DB" w:rsidRPr="00A360DB" w14:paraId="79E11A51" w14:textId="77777777" w:rsidTr="00A360DB">
        <w:trPr>
          <w:trHeight w:val="240"/>
        </w:trPr>
        <w:tc>
          <w:tcPr>
            <w:tcW w:w="1697" w:type="dxa"/>
            <w:tcBorders>
              <w:top w:val="nil"/>
              <w:left w:val="nil"/>
              <w:bottom w:val="nil"/>
              <w:right w:val="nil"/>
            </w:tcBorders>
            <w:shd w:val="clear" w:color="auto" w:fill="auto"/>
            <w:noWrap/>
            <w:vAlign w:val="bottom"/>
            <w:hideMark/>
          </w:tcPr>
          <w:p w14:paraId="54BD4EB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3111</w:t>
            </w:r>
          </w:p>
        </w:tc>
        <w:tc>
          <w:tcPr>
            <w:tcW w:w="8509" w:type="dxa"/>
            <w:tcBorders>
              <w:top w:val="nil"/>
              <w:left w:val="nil"/>
              <w:bottom w:val="nil"/>
              <w:right w:val="nil"/>
            </w:tcBorders>
            <w:shd w:val="clear" w:color="auto" w:fill="auto"/>
            <w:noWrap/>
            <w:vAlign w:val="bottom"/>
            <w:hideMark/>
          </w:tcPr>
          <w:p w14:paraId="7D8126AE"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Plaće za redovan rad                                                                                </w:t>
            </w:r>
          </w:p>
        </w:tc>
        <w:tc>
          <w:tcPr>
            <w:tcW w:w="1480" w:type="dxa"/>
            <w:tcBorders>
              <w:top w:val="nil"/>
              <w:left w:val="nil"/>
              <w:bottom w:val="nil"/>
              <w:right w:val="nil"/>
            </w:tcBorders>
            <w:shd w:val="clear" w:color="auto" w:fill="auto"/>
            <w:noWrap/>
            <w:vAlign w:val="bottom"/>
            <w:hideMark/>
          </w:tcPr>
          <w:p w14:paraId="5EB5D280"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0596AEB"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5.928,18</w:t>
            </w:r>
          </w:p>
        </w:tc>
        <w:tc>
          <w:tcPr>
            <w:tcW w:w="1400" w:type="dxa"/>
            <w:tcBorders>
              <w:top w:val="nil"/>
              <w:left w:val="nil"/>
              <w:bottom w:val="nil"/>
              <w:right w:val="nil"/>
            </w:tcBorders>
            <w:shd w:val="clear" w:color="auto" w:fill="auto"/>
            <w:noWrap/>
            <w:vAlign w:val="bottom"/>
            <w:hideMark/>
          </w:tcPr>
          <w:p w14:paraId="01677ADD"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95E28BE" w14:textId="77777777" w:rsidTr="00A360DB">
        <w:trPr>
          <w:trHeight w:val="240"/>
        </w:trPr>
        <w:tc>
          <w:tcPr>
            <w:tcW w:w="1697" w:type="dxa"/>
            <w:tcBorders>
              <w:top w:val="nil"/>
              <w:left w:val="nil"/>
              <w:bottom w:val="nil"/>
              <w:right w:val="nil"/>
            </w:tcBorders>
            <w:shd w:val="clear" w:color="auto" w:fill="auto"/>
            <w:noWrap/>
            <w:vAlign w:val="bottom"/>
            <w:hideMark/>
          </w:tcPr>
          <w:p w14:paraId="4BBBA02E"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3121</w:t>
            </w:r>
          </w:p>
        </w:tc>
        <w:tc>
          <w:tcPr>
            <w:tcW w:w="8509" w:type="dxa"/>
            <w:tcBorders>
              <w:top w:val="nil"/>
              <w:left w:val="nil"/>
              <w:bottom w:val="nil"/>
              <w:right w:val="nil"/>
            </w:tcBorders>
            <w:shd w:val="clear" w:color="auto" w:fill="auto"/>
            <w:noWrap/>
            <w:vAlign w:val="bottom"/>
            <w:hideMark/>
          </w:tcPr>
          <w:p w14:paraId="77FCE298"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Ostali rashodi za zaposlene                                                                         </w:t>
            </w:r>
          </w:p>
        </w:tc>
        <w:tc>
          <w:tcPr>
            <w:tcW w:w="1480" w:type="dxa"/>
            <w:tcBorders>
              <w:top w:val="nil"/>
              <w:left w:val="nil"/>
              <w:bottom w:val="nil"/>
              <w:right w:val="nil"/>
            </w:tcBorders>
            <w:shd w:val="clear" w:color="auto" w:fill="auto"/>
            <w:noWrap/>
            <w:vAlign w:val="bottom"/>
            <w:hideMark/>
          </w:tcPr>
          <w:p w14:paraId="3B8DD1E9"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ABAB8AD"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1.048,86</w:t>
            </w:r>
          </w:p>
        </w:tc>
        <w:tc>
          <w:tcPr>
            <w:tcW w:w="1400" w:type="dxa"/>
            <w:tcBorders>
              <w:top w:val="nil"/>
              <w:left w:val="nil"/>
              <w:bottom w:val="nil"/>
              <w:right w:val="nil"/>
            </w:tcBorders>
            <w:shd w:val="clear" w:color="auto" w:fill="auto"/>
            <w:noWrap/>
            <w:vAlign w:val="bottom"/>
            <w:hideMark/>
          </w:tcPr>
          <w:p w14:paraId="784BA74D"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68D72E9" w14:textId="77777777" w:rsidTr="00A360DB">
        <w:trPr>
          <w:trHeight w:val="240"/>
        </w:trPr>
        <w:tc>
          <w:tcPr>
            <w:tcW w:w="1697" w:type="dxa"/>
            <w:tcBorders>
              <w:top w:val="nil"/>
              <w:left w:val="nil"/>
              <w:bottom w:val="nil"/>
              <w:right w:val="nil"/>
            </w:tcBorders>
            <w:shd w:val="clear" w:color="auto" w:fill="auto"/>
            <w:noWrap/>
            <w:vAlign w:val="bottom"/>
            <w:hideMark/>
          </w:tcPr>
          <w:p w14:paraId="7C4DA68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3132</w:t>
            </w:r>
          </w:p>
        </w:tc>
        <w:tc>
          <w:tcPr>
            <w:tcW w:w="8509" w:type="dxa"/>
            <w:tcBorders>
              <w:top w:val="nil"/>
              <w:left w:val="nil"/>
              <w:bottom w:val="nil"/>
              <w:right w:val="nil"/>
            </w:tcBorders>
            <w:shd w:val="clear" w:color="auto" w:fill="auto"/>
            <w:noWrap/>
            <w:vAlign w:val="bottom"/>
            <w:hideMark/>
          </w:tcPr>
          <w:p w14:paraId="49FBBC3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Doprinosi za obvezno zdravstveno osiguranje                                                         </w:t>
            </w:r>
          </w:p>
        </w:tc>
        <w:tc>
          <w:tcPr>
            <w:tcW w:w="1480" w:type="dxa"/>
            <w:tcBorders>
              <w:top w:val="nil"/>
              <w:left w:val="nil"/>
              <w:bottom w:val="nil"/>
              <w:right w:val="nil"/>
            </w:tcBorders>
            <w:shd w:val="clear" w:color="auto" w:fill="auto"/>
            <w:noWrap/>
            <w:vAlign w:val="bottom"/>
            <w:hideMark/>
          </w:tcPr>
          <w:p w14:paraId="5970D5B6"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58C37C62"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978,17</w:t>
            </w:r>
          </w:p>
        </w:tc>
        <w:tc>
          <w:tcPr>
            <w:tcW w:w="1400" w:type="dxa"/>
            <w:tcBorders>
              <w:top w:val="nil"/>
              <w:left w:val="nil"/>
              <w:bottom w:val="nil"/>
              <w:right w:val="nil"/>
            </w:tcBorders>
            <w:shd w:val="clear" w:color="auto" w:fill="auto"/>
            <w:noWrap/>
            <w:vAlign w:val="bottom"/>
            <w:hideMark/>
          </w:tcPr>
          <w:p w14:paraId="5E87B090"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7D7D4D6" w14:textId="77777777" w:rsidTr="00A360DB">
        <w:trPr>
          <w:trHeight w:val="240"/>
        </w:trPr>
        <w:tc>
          <w:tcPr>
            <w:tcW w:w="1697" w:type="dxa"/>
            <w:tcBorders>
              <w:top w:val="nil"/>
              <w:left w:val="nil"/>
              <w:bottom w:val="nil"/>
              <w:right w:val="nil"/>
            </w:tcBorders>
            <w:shd w:val="clear" w:color="auto" w:fill="auto"/>
            <w:noWrap/>
            <w:vAlign w:val="bottom"/>
            <w:hideMark/>
          </w:tcPr>
          <w:p w14:paraId="4B7E0C04"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3D9FD83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3836528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200,00</w:t>
            </w:r>
          </w:p>
        </w:tc>
        <w:tc>
          <w:tcPr>
            <w:tcW w:w="1380" w:type="dxa"/>
            <w:tcBorders>
              <w:top w:val="nil"/>
              <w:left w:val="nil"/>
              <w:bottom w:val="nil"/>
              <w:right w:val="nil"/>
            </w:tcBorders>
            <w:shd w:val="clear" w:color="auto" w:fill="auto"/>
            <w:noWrap/>
            <w:vAlign w:val="bottom"/>
            <w:hideMark/>
          </w:tcPr>
          <w:p w14:paraId="1708E6C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183,02</w:t>
            </w:r>
          </w:p>
        </w:tc>
        <w:tc>
          <w:tcPr>
            <w:tcW w:w="1400" w:type="dxa"/>
            <w:tcBorders>
              <w:top w:val="nil"/>
              <w:left w:val="nil"/>
              <w:bottom w:val="nil"/>
              <w:right w:val="nil"/>
            </w:tcBorders>
            <w:shd w:val="clear" w:color="auto" w:fill="auto"/>
            <w:noWrap/>
            <w:vAlign w:val="bottom"/>
            <w:hideMark/>
          </w:tcPr>
          <w:p w14:paraId="4B89283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91,51%</w:t>
            </w:r>
          </w:p>
        </w:tc>
      </w:tr>
      <w:tr w:rsidR="00A360DB" w:rsidRPr="00A360DB" w14:paraId="3F59E168" w14:textId="77777777" w:rsidTr="00A360DB">
        <w:trPr>
          <w:trHeight w:val="240"/>
        </w:trPr>
        <w:tc>
          <w:tcPr>
            <w:tcW w:w="1697" w:type="dxa"/>
            <w:tcBorders>
              <w:top w:val="nil"/>
              <w:left w:val="nil"/>
              <w:bottom w:val="nil"/>
              <w:right w:val="nil"/>
            </w:tcBorders>
            <w:shd w:val="clear" w:color="auto" w:fill="auto"/>
            <w:noWrap/>
            <w:vAlign w:val="bottom"/>
            <w:hideMark/>
          </w:tcPr>
          <w:p w14:paraId="5E0D0B4E"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3212</w:t>
            </w:r>
          </w:p>
        </w:tc>
        <w:tc>
          <w:tcPr>
            <w:tcW w:w="8509" w:type="dxa"/>
            <w:tcBorders>
              <w:top w:val="nil"/>
              <w:left w:val="nil"/>
              <w:bottom w:val="nil"/>
              <w:right w:val="nil"/>
            </w:tcBorders>
            <w:shd w:val="clear" w:color="auto" w:fill="auto"/>
            <w:noWrap/>
            <w:vAlign w:val="bottom"/>
            <w:hideMark/>
          </w:tcPr>
          <w:p w14:paraId="357788F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Naknade za prijevoz, za rad na terenu i odvojeni život                                              </w:t>
            </w:r>
          </w:p>
        </w:tc>
        <w:tc>
          <w:tcPr>
            <w:tcW w:w="1480" w:type="dxa"/>
            <w:tcBorders>
              <w:top w:val="nil"/>
              <w:left w:val="nil"/>
              <w:bottom w:val="nil"/>
              <w:right w:val="nil"/>
            </w:tcBorders>
            <w:shd w:val="clear" w:color="auto" w:fill="auto"/>
            <w:noWrap/>
            <w:vAlign w:val="bottom"/>
            <w:hideMark/>
          </w:tcPr>
          <w:p w14:paraId="45CDB568"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FB53C88"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183,02</w:t>
            </w:r>
          </w:p>
        </w:tc>
        <w:tc>
          <w:tcPr>
            <w:tcW w:w="1400" w:type="dxa"/>
            <w:tcBorders>
              <w:top w:val="nil"/>
              <w:left w:val="nil"/>
              <w:bottom w:val="nil"/>
              <w:right w:val="nil"/>
            </w:tcBorders>
            <w:shd w:val="clear" w:color="auto" w:fill="auto"/>
            <w:noWrap/>
            <w:vAlign w:val="bottom"/>
            <w:hideMark/>
          </w:tcPr>
          <w:p w14:paraId="66E020DE"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59B74F05" w14:textId="77777777" w:rsidTr="00A360DB">
        <w:trPr>
          <w:trHeight w:val="240"/>
        </w:trPr>
        <w:tc>
          <w:tcPr>
            <w:tcW w:w="10206" w:type="dxa"/>
            <w:gridSpan w:val="2"/>
            <w:tcBorders>
              <w:top w:val="nil"/>
              <w:left w:val="nil"/>
              <w:bottom w:val="nil"/>
              <w:right w:val="nil"/>
            </w:tcBorders>
            <w:shd w:val="clear" w:color="000000" w:fill="8994FB"/>
            <w:noWrap/>
            <w:vAlign w:val="bottom"/>
            <w:hideMark/>
          </w:tcPr>
          <w:p w14:paraId="762916D0"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PROR. KORISNIK 08457 OSNOVNA ŠKOLA TRNOVITIČKI POPOVAC</w:t>
            </w:r>
          </w:p>
        </w:tc>
        <w:tc>
          <w:tcPr>
            <w:tcW w:w="1480" w:type="dxa"/>
            <w:tcBorders>
              <w:top w:val="nil"/>
              <w:left w:val="nil"/>
              <w:bottom w:val="nil"/>
              <w:right w:val="nil"/>
            </w:tcBorders>
            <w:shd w:val="clear" w:color="000000" w:fill="8994FB"/>
            <w:noWrap/>
            <w:vAlign w:val="bottom"/>
            <w:hideMark/>
          </w:tcPr>
          <w:p w14:paraId="215D271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783.438,55</w:t>
            </w:r>
          </w:p>
        </w:tc>
        <w:tc>
          <w:tcPr>
            <w:tcW w:w="1380" w:type="dxa"/>
            <w:tcBorders>
              <w:top w:val="nil"/>
              <w:left w:val="nil"/>
              <w:bottom w:val="nil"/>
              <w:right w:val="nil"/>
            </w:tcBorders>
            <w:shd w:val="clear" w:color="000000" w:fill="8994FB"/>
            <w:noWrap/>
            <w:vAlign w:val="bottom"/>
            <w:hideMark/>
          </w:tcPr>
          <w:p w14:paraId="0DB09A9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656.130,99</w:t>
            </w:r>
          </w:p>
        </w:tc>
        <w:tc>
          <w:tcPr>
            <w:tcW w:w="1400" w:type="dxa"/>
            <w:tcBorders>
              <w:top w:val="nil"/>
              <w:left w:val="nil"/>
              <w:bottom w:val="nil"/>
              <w:right w:val="nil"/>
            </w:tcBorders>
            <w:shd w:val="clear" w:color="000000" w:fill="8994FB"/>
            <w:noWrap/>
            <w:vAlign w:val="bottom"/>
            <w:hideMark/>
          </w:tcPr>
          <w:p w14:paraId="4B28079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83,75%</w:t>
            </w:r>
          </w:p>
        </w:tc>
      </w:tr>
      <w:tr w:rsidR="00A360DB" w:rsidRPr="00A360DB" w14:paraId="2402C4F8"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85F4AA1"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2ABEFE32"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33.483,00</w:t>
            </w:r>
          </w:p>
        </w:tc>
        <w:tc>
          <w:tcPr>
            <w:tcW w:w="1380" w:type="dxa"/>
            <w:tcBorders>
              <w:top w:val="nil"/>
              <w:left w:val="nil"/>
              <w:bottom w:val="nil"/>
              <w:right w:val="nil"/>
            </w:tcBorders>
            <w:shd w:val="clear" w:color="auto" w:fill="auto"/>
            <w:noWrap/>
            <w:vAlign w:val="bottom"/>
            <w:hideMark/>
          </w:tcPr>
          <w:p w14:paraId="7C2A99BB"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25.629,36</w:t>
            </w:r>
          </w:p>
        </w:tc>
        <w:tc>
          <w:tcPr>
            <w:tcW w:w="1400" w:type="dxa"/>
            <w:tcBorders>
              <w:top w:val="nil"/>
              <w:left w:val="nil"/>
              <w:bottom w:val="nil"/>
              <w:right w:val="nil"/>
            </w:tcBorders>
            <w:shd w:val="clear" w:color="auto" w:fill="auto"/>
            <w:noWrap/>
            <w:vAlign w:val="bottom"/>
            <w:hideMark/>
          </w:tcPr>
          <w:p w14:paraId="09588569"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76,54%</w:t>
            </w:r>
          </w:p>
        </w:tc>
      </w:tr>
      <w:tr w:rsidR="00A360DB" w:rsidRPr="00A360DB" w14:paraId="6B9FF484"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194B1DEF"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71C82A5F"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33.483,00</w:t>
            </w:r>
          </w:p>
        </w:tc>
        <w:tc>
          <w:tcPr>
            <w:tcW w:w="1380" w:type="dxa"/>
            <w:tcBorders>
              <w:top w:val="nil"/>
              <w:left w:val="nil"/>
              <w:bottom w:val="nil"/>
              <w:right w:val="nil"/>
            </w:tcBorders>
            <w:shd w:val="clear" w:color="auto" w:fill="auto"/>
            <w:noWrap/>
            <w:vAlign w:val="bottom"/>
            <w:hideMark/>
          </w:tcPr>
          <w:p w14:paraId="270E6278"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25.629,36</w:t>
            </w:r>
          </w:p>
        </w:tc>
        <w:tc>
          <w:tcPr>
            <w:tcW w:w="1400" w:type="dxa"/>
            <w:tcBorders>
              <w:top w:val="nil"/>
              <w:left w:val="nil"/>
              <w:bottom w:val="nil"/>
              <w:right w:val="nil"/>
            </w:tcBorders>
            <w:shd w:val="clear" w:color="auto" w:fill="auto"/>
            <w:noWrap/>
            <w:vAlign w:val="bottom"/>
            <w:hideMark/>
          </w:tcPr>
          <w:p w14:paraId="6DE4550E"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76,54%</w:t>
            </w:r>
          </w:p>
        </w:tc>
      </w:tr>
      <w:tr w:rsidR="00A360DB" w:rsidRPr="00A360DB" w14:paraId="1CA62C6C"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27464A9"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3. Vlastiti prihodi</w:t>
            </w:r>
          </w:p>
        </w:tc>
        <w:tc>
          <w:tcPr>
            <w:tcW w:w="1480" w:type="dxa"/>
            <w:tcBorders>
              <w:top w:val="nil"/>
              <w:left w:val="nil"/>
              <w:bottom w:val="nil"/>
              <w:right w:val="nil"/>
            </w:tcBorders>
            <w:shd w:val="clear" w:color="auto" w:fill="auto"/>
            <w:noWrap/>
            <w:vAlign w:val="bottom"/>
            <w:hideMark/>
          </w:tcPr>
          <w:p w14:paraId="76469935"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6.540,00</w:t>
            </w:r>
          </w:p>
        </w:tc>
        <w:tc>
          <w:tcPr>
            <w:tcW w:w="1380" w:type="dxa"/>
            <w:tcBorders>
              <w:top w:val="nil"/>
              <w:left w:val="nil"/>
              <w:bottom w:val="nil"/>
              <w:right w:val="nil"/>
            </w:tcBorders>
            <w:shd w:val="clear" w:color="auto" w:fill="auto"/>
            <w:noWrap/>
            <w:vAlign w:val="bottom"/>
            <w:hideMark/>
          </w:tcPr>
          <w:p w14:paraId="0D70832A"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0,00</w:t>
            </w:r>
          </w:p>
        </w:tc>
        <w:tc>
          <w:tcPr>
            <w:tcW w:w="1400" w:type="dxa"/>
            <w:tcBorders>
              <w:top w:val="nil"/>
              <w:left w:val="nil"/>
              <w:bottom w:val="nil"/>
              <w:right w:val="nil"/>
            </w:tcBorders>
            <w:shd w:val="clear" w:color="auto" w:fill="auto"/>
            <w:noWrap/>
            <w:vAlign w:val="bottom"/>
            <w:hideMark/>
          </w:tcPr>
          <w:p w14:paraId="30648DF1"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0,00%</w:t>
            </w:r>
          </w:p>
        </w:tc>
      </w:tr>
      <w:tr w:rsidR="00A360DB" w:rsidRPr="00A360DB" w14:paraId="398C578B"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2E02E4DB"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3.1. Vlastiti prihodi</w:t>
            </w:r>
          </w:p>
        </w:tc>
        <w:tc>
          <w:tcPr>
            <w:tcW w:w="1480" w:type="dxa"/>
            <w:tcBorders>
              <w:top w:val="nil"/>
              <w:left w:val="nil"/>
              <w:bottom w:val="nil"/>
              <w:right w:val="nil"/>
            </w:tcBorders>
            <w:shd w:val="clear" w:color="auto" w:fill="auto"/>
            <w:noWrap/>
            <w:vAlign w:val="bottom"/>
            <w:hideMark/>
          </w:tcPr>
          <w:p w14:paraId="4012732F"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6.540,00</w:t>
            </w:r>
          </w:p>
        </w:tc>
        <w:tc>
          <w:tcPr>
            <w:tcW w:w="1380" w:type="dxa"/>
            <w:tcBorders>
              <w:top w:val="nil"/>
              <w:left w:val="nil"/>
              <w:bottom w:val="nil"/>
              <w:right w:val="nil"/>
            </w:tcBorders>
            <w:shd w:val="clear" w:color="auto" w:fill="auto"/>
            <w:noWrap/>
            <w:vAlign w:val="bottom"/>
            <w:hideMark/>
          </w:tcPr>
          <w:p w14:paraId="1ED9B2CF"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0,00</w:t>
            </w:r>
          </w:p>
        </w:tc>
        <w:tc>
          <w:tcPr>
            <w:tcW w:w="1400" w:type="dxa"/>
            <w:tcBorders>
              <w:top w:val="nil"/>
              <w:left w:val="nil"/>
              <w:bottom w:val="nil"/>
              <w:right w:val="nil"/>
            </w:tcBorders>
            <w:shd w:val="clear" w:color="auto" w:fill="auto"/>
            <w:noWrap/>
            <w:vAlign w:val="bottom"/>
            <w:hideMark/>
          </w:tcPr>
          <w:p w14:paraId="20AD75C9"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0,00%</w:t>
            </w:r>
          </w:p>
        </w:tc>
      </w:tr>
      <w:tr w:rsidR="00A360DB" w:rsidRPr="00A360DB" w14:paraId="767AA286"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580739D3"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5. Pomoći</w:t>
            </w:r>
          </w:p>
        </w:tc>
        <w:tc>
          <w:tcPr>
            <w:tcW w:w="1480" w:type="dxa"/>
            <w:tcBorders>
              <w:top w:val="nil"/>
              <w:left w:val="nil"/>
              <w:bottom w:val="nil"/>
              <w:right w:val="nil"/>
            </w:tcBorders>
            <w:shd w:val="clear" w:color="auto" w:fill="auto"/>
            <w:noWrap/>
            <w:vAlign w:val="bottom"/>
            <w:hideMark/>
          </w:tcPr>
          <w:p w14:paraId="284234B0"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733.251,81</w:t>
            </w:r>
          </w:p>
        </w:tc>
        <w:tc>
          <w:tcPr>
            <w:tcW w:w="1380" w:type="dxa"/>
            <w:tcBorders>
              <w:top w:val="nil"/>
              <w:left w:val="nil"/>
              <w:bottom w:val="nil"/>
              <w:right w:val="nil"/>
            </w:tcBorders>
            <w:shd w:val="clear" w:color="auto" w:fill="auto"/>
            <w:noWrap/>
            <w:vAlign w:val="bottom"/>
            <w:hideMark/>
          </w:tcPr>
          <w:p w14:paraId="0EEC0009"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622.030,06</w:t>
            </w:r>
          </w:p>
        </w:tc>
        <w:tc>
          <w:tcPr>
            <w:tcW w:w="1400" w:type="dxa"/>
            <w:tcBorders>
              <w:top w:val="nil"/>
              <w:left w:val="nil"/>
              <w:bottom w:val="nil"/>
              <w:right w:val="nil"/>
            </w:tcBorders>
            <w:shd w:val="clear" w:color="auto" w:fill="auto"/>
            <w:noWrap/>
            <w:vAlign w:val="bottom"/>
            <w:hideMark/>
          </w:tcPr>
          <w:p w14:paraId="0ECA004F"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84,83%</w:t>
            </w:r>
          </w:p>
        </w:tc>
      </w:tr>
      <w:tr w:rsidR="00A360DB" w:rsidRPr="00A360DB" w14:paraId="4EFC2D76"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59B9E7FD"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lastRenderedPageBreak/>
              <w:t>Izvor 5.2. Državni proračun</w:t>
            </w:r>
          </w:p>
        </w:tc>
        <w:tc>
          <w:tcPr>
            <w:tcW w:w="1480" w:type="dxa"/>
            <w:tcBorders>
              <w:top w:val="nil"/>
              <w:left w:val="nil"/>
              <w:bottom w:val="nil"/>
              <w:right w:val="nil"/>
            </w:tcBorders>
            <w:shd w:val="clear" w:color="auto" w:fill="auto"/>
            <w:noWrap/>
            <w:vAlign w:val="bottom"/>
            <w:hideMark/>
          </w:tcPr>
          <w:p w14:paraId="4C05B1BF"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726.810,00</w:t>
            </w:r>
          </w:p>
        </w:tc>
        <w:tc>
          <w:tcPr>
            <w:tcW w:w="1380" w:type="dxa"/>
            <w:tcBorders>
              <w:top w:val="nil"/>
              <w:left w:val="nil"/>
              <w:bottom w:val="nil"/>
              <w:right w:val="nil"/>
            </w:tcBorders>
            <w:shd w:val="clear" w:color="auto" w:fill="auto"/>
            <w:noWrap/>
            <w:vAlign w:val="bottom"/>
            <w:hideMark/>
          </w:tcPr>
          <w:p w14:paraId="1180C841"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615.812,80</w:t>
            </w:r>
          </w:p>
        </w:tc>
        <w:tc>
          <w:tcPr>
            <w:tcW w:w="1400" w:type="dxa"/>
            <w:tcBorders>
              <w:top w:val="nil"/>
              <w:left w:val="nil"/>
              <w:bottom w:val="nil"/>
              <w:right w:val="nil"/>
            </w:tcBorders>
            <w:shd w:val="clear" w:color="auto" w:fill="auto"/>
            <w:noWrap/>
            <w:vAlign w:val="bottom"/>
            <w:hideMark/>
          </w:tcPr>
          <w:p w14:paraId="148F0D41"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84,73%</w:t>
            </w:r>
          </w:p>
        </w:tc>
      </w:tr>
      <w:tr w:rsidR="00A360DB" w:rsidRPr="00A360DB" w14:paraId="58539316"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3B68E035"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5.4. Institucije i tijela EU</w:t>
            </w:r>
          </w:p>
        </w:tc>
        <w:tc>
          <w:tcPr>
            <w:tcW w:w="1480" w:type="dxa"/>
            <w:tcBorders>
              <w:top w:val="nil"/>
              <w:left w:val="nil"/>
              <w:bottom w:val="nil"/>
              <w:right w:val="nil"/>
            </w:tcBorders>
            <w:shd w:val="clear" w:color="auto" w:fill="auto"/>
            <w:noWrap/>
            <w:vAlign w:val="bottom"/>
            <w:hideMark/>
          </w:tcPr>
          <w:p w14:paraId="416E3103"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6.441,81</w:t>
            </w:r>
          </w:p>
        </w:tc>
        <w:tc>
          <w:tcPr>
            <w:tcW w:w="1380" w:type="dxa"/>
            <w:tcBorders>
              <w:top w:val="nil"/>
              <w:left w:val="nil"/>
              <w:bottom w:val="nil"/>
              <w:right w:val="nil"/>
            </w:tcBorders>
            <w:shd w:val="clear" w:color="auto" w:fill="auto"/>
            <w:noWrap/>
            <w:vAlign w:val="bottom"/>
            <w:hideMark/>
          </w:tcPr>
          <w:p w14:paraId="3B5B1F2D"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6.217,26</w:t>
            </w:r>
          </w:p>
        </w:tc>
        <w:tc>
          <w:tcPr>
            <w:tcW w:w="1400" w:type="dxa"/>
            <w:tcBorders>
              <w:top w:val="nil"/>
              <w:left w:val="nil"/>
              <w:bottom w:val="nil"/>
              <w:right w:val="nil"/>
            </w:tcBorders>
            <w:shd w:val="clear" w:color="auto" w:fill="auto"/>
            <w:noWrap/>
            <w:vAlign w:val="bottom"/>
            <w:hideMark/>
          </w:tcPr>
          <w:p w14:paraId="31C7C81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96,51%</w:t>
            </w:r>
          </w:p>
        </w:tc>
      </w:tr>
      <w:tr w:rsidR="00A360DB" w:rsidRPr="00A360DB" w14:paraId="70B3088B"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193E9B72"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6. Donacije</w:t>
            </w:r>
          </w:p>
        </w:tc>
        <w:tc>
          <w:tcPr>
            <w:tcW w:w="1480" w:type="dxa"/>
            <w:tcBorders>
              <w:top w:val="nil"/>
              <w:left w:val="nil"/>
              <w:bottom w:val="nil"/>
              <w:right w:val="nil"/>
            </w:tcBorders>
            <w:shd w:val="clear" w:color="auto" w:fill="auto"/>
            <w:noWrap/>
            <w:vAlign w:val="bottom"/>
            <w:hideMark/>
          </w:tcPr>
          <w:p w14:paraId="11DE1FD6"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500,00</w:t>
            </w:r>
          </w:p>
        </w:tc>
        <w:tc>
          <w:tcPr>
            <w:tcW w:w="1380" w:type="dxa"/>
            <w:tcBorders>
              <w:top w:val="nil"/>
              <w:left w:val="nil"/>
              <w:bottom w:val="nil"/>
              <w:right w:val="nil"/>
            </w:tcBorders>
            <w:shd w:val="clear" w:color="auto" w:fill="auto"/>
            <w:noWrap/>
            <w:vAlign w:val="bottom"/>
            <w:hideMark/>
          </w:tcPr>
          <w:p w14:paraId="117809CB"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207,77</w:t>
            </w:r>
          </w:p>
        </w:tc>
        <w:tc>
          <w:tcPr>
            <w:tcW w:w="1400" w:type="dxa"/>
            <w:tcBorders>
              <w:top w:val="nil"/>
              <w:left w:val="nil"/>
              <w:bottom w:val="nil"/>
              <w:right w:val="nil"/>
            </w:tcBorders>
            <w:shd w:val="clear" w:color="auto" w:fill="auto"/>
            <w:noWrap/>
            <w:vAlign w:val="bottom"/>
            <w:hideMark/>
          </w:tcPr>
          <w:p w14:paraId="451C7B4D"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41,55%</w:t>
            </w:r>
          </w:p>
        </w:tc>
      </w:tr>
      <w:tr w:rsidR="00A360DB" w:rsidRPr="00A360DB" w14:paraId="12E7A1AA"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1F5BB8F4"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6.1. Donacije</w:t>
            </w:r>
          </w:p>
        </w:tc>
        <w:tc>
          <w:tcPr>
            <w:tcW w:w="1480" w:type="dxa"/>
            <w:tcBorders>
              <w:top w:val="nil"/>
              <w:left w:val="nil"/>
              <w:bottom w:val="nil"/>
              <w:right w:val="nil"/>
            </w:tcBorders>
            <w:shd w:val="clear" w:color="auto" w:fill="auto"/>
            <w:noWrap/>
            <w:vAlign w:val="bottom"/>
            <w:hideMark/>
          </w:tcPr>
          <w:p w14:paraId="1CD3373E"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500,00</w:t>
            </w:r>
          </w:p>
        </w:tc>
        <w:tc>
          <w:tcPr>
            <w:tcW w:w="1380" w:type="dxa"/>
            <w:tcBorders>
              <w:top w:val="nil"/>
              <w:left w:val="nil"/>
              <w:bottom w:val="nil"/>
              <w:right w:val="nil"/>
            </w:tcBorders>
            <w:shd w:val="clear" w:color="auto" w:fill="auto"/>
            <w:noWrap/>
            <w:vAlign w:val="bottom"/>
            <w:hideMark/>
          </w:tcPr>
          <w:p w14:paraId="6DFB0DC0"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207,77</w:t>
            </w:r>
          </w:p>
        </w:tc>
        <w:tc>
          <w:tcPr>
            <w:tcW w:w="1400" w:type="dxa"/>
            <w:tcBorders>
              <w:top w:val="nil"/>
              <w:left w:val="nil"/>
              <w:bottom w:val="nil"/>
              <w:right w:val="nil"/>
            </w:tcBorders>
            <w:shd w:val="clear" w:color="auto" w:fill="auto"/>
            <w:noWrap/>
            <w:vAlign w:val="bottom"/>
            <w:hideMark/>
          </w:tcPr>
          <w:p w14:paraId="534B82D9"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41,55%</w:t>
            </w:r>
          </w:p>
        </w:tc>
      </w:tr>
      <w:tr w:rsidR="00A360DB" w:rsidRPr="00A360DB" w14:paraId="52B9F903"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5B31C0A3"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9. Višak iz prethodnih razdoblja</w:t>
            </w:r>
          </w:p>
        </w:tc>
        <w:tc>
          <w:tcPr>
            <w:tcW w:w="1480" w:type="dxa"/>
            <w:tcBorders>
              <w:top w:val="nil"/>
              <w:left w:val="nil"/>
              <w:bottom w:val="nil"/>
              <w:right w:val="nil"/>
            </w:tcBorders>
            <w:shd w:val="clear" w:color="auto" w:fill="auto"/>
            <w:noWrap/>
            <w:vAlign w:val="bottom"/>
            <w:hideMark/>
          </w:tcPr>
          <w:p w14:paraId="1EB80ACD"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9.663,74</w:t>
            </w:r>
          </w:p>
        </w:tc>
        <w:tc>
          <w:tcPr>
            <w:tcW w:w="1380" w:type="dxa"/>
            <w:tcBorders>
              <w:top w:val="nil"/>
              <w:left w:val="nil"/>
              <w:bottom w:val="nil"/>
              <w:right w:val="nil"/>
            </w:tcBorders>
            <w:shd w:val="clear" w:color="auto" w:fill="auto"/>
            <w:noWrap/>
            <w:vAlign w:val="bottom"/>
            <w:hideMark/>
          </w:tcPr>
          <w:p w14:paraId="15832F4B"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8.263,80</w:t>
            </w:r>
          </w:p>
        </w:tc>
        <w:tc>
          <w:tcPr>
            <w:tcW w:w="1400" w:type="dxa"/>
            <w:tcBorders>
              <w:top w:val="nil"/>
              <w:left w:val="nil"/>
              <w:bottom w:val="nil"/>
              <w:right w:val="nil"/>
            </w:tcBorders>
            <w:shd w:val="clear" w:color="auto" w:fill="auto"/>
            <w:noWrap/>
            <w:vAlign w:val="bottom"/>
            <w:hideMark/>
          </w:tcPr>
          <w:p w14:paraId="64BA1B66"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85,51%</w:t>
            </w:r>
          </w:p>
        </w:tc>
      </w:tr>
      <w:tr w:rsidR="00A360DB" w:rsidRPr="00A360DB" w14:paraId="6DC0C5FD"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392C394"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 xml:space="preserve">Izvor 9.1. Višak iz prethodnih godina - </w:t>
            </w:r>
            <w:proofErr w:type="spellStart"/>
            <w:r w:rsidRPr="00A360DB">
              <w:rPr>
                <w:rFonts w:ascii="Arial" w:hAnsi="Arial" w:cs="Arial"/>
                <w:color w:val="333333"/>
                <w:sz w:val="18"/>
                <w:szCs w:val="18"/>
                <w:lang w:eastAsia="hr-HR"/>
              </w:rPr>
              <w:t>Prorač.korisnici</w:t>
            </w:r>
            <w:proofErr w:type="spellEnd"/>
          </w:p>
        </w:tc>
        <w:tc>
          <w:tcPr>
            <w:tcW w:w="1480" w:type="dxa"/>
            <w:tcBorders>
              <w:top w:val="nil"/>
              <w:left w:val="nil"/>
              <w:bottom w:val="nil"/>
              <w:right w:val="nil"/>
            </w:tcBorders>
            <w:shd w:val="clear" w:color="auto" w:fill="auto"/>
            <w:noWrap/>
            <w:vAlign w:val="bottom"/>
            <w:hideMark/>
          </w:tcPr>
          <w:p w14:paraId="7065D649"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8.572,84</w:t>
            </w:r>
          </w:p>
        </w:tc>
        <w:tc>
          <w:tcPr>
            <w:tcW w:w="1380" w:type="dxa"/>
            <w:tcBorders>
              <w:top w:val="nil"/>
              <w:left w:val="nil"/>
              <w:bottom w:val="nil"/>
              <w:right w:val="nil"/>
            </w:tcBorders>
            <w:shd w:val="clear" w:color="auto" w:fill="auto"/>
            <w:noWrap/>
            <w:vAlign w:val="bottom"/>
            <w:hideMark/>
          </w:tcPr>
          <w:p w14:paraId="0DDAA057"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8.117,25</w:t>
            </w:r>
          </w:p>
        </w:tc>
        <w:tc>
          <w:tcPr>
            <w:tcW w:w="1400" w:type="dxa"/>
            <w:tcBorders>
              <w:top w:val="nil"/>
              <w:left w:val="nil"/>
              <w:bottom w:val="nil"/>
              <w:right w:val="nil"/>
            </w:tcBorders>
            <w:shd w:val="clear" w:color="auto" w:fill="auto"/>
            <w:noWrap/>
            <w:vAlign w:val="bottom"/>
            <w:hideMark/>
          </w:tcPr>
          <w:p w14:paraId="1745D9CA"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94,69%</w:t>
            </w:r>
          </w:p>
        </w:tc>
      </w:tr>
      <w:tr w:rsidR="00A360DB" w:rsidRPr="00A360DB" w14:paraId="28EB0FB5"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1778702D"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9.2. Višak iz prethodnih godina - Grad</w:t>
            </w:r>
          </w:p>
        </w:tc>
        <w:tc>
          <w:tcPr>
            <w:tcW w:w="1480" w:type="dxa"/>
            <w:tcBorders>
              <w:top w:val="nil"/>
              <w:left w:val="nil"/>
              <w:bottom w:val="nil"/>
              <w:right w:val="nil"/>
            </w:tcBorders>
            <w:shd w:val="clear" w:color="auto" w:fill="auto"/>
            <w:noWrap/>
            <w:vAlign w:val="bottom"/>
            <w:hideMark/>
          </w:tcPr>
          <w:p w14:paraId="02742C2B"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1.090,90</w:t>
            </w:r>
          </w:p>
        </w:tc>
        <w:tc>
          <w:tcPr>
            <w:tcW w:w="1380" w:type="dxa"/>
            <w:tcBorders>
              <w:top w:val="nil"/>
              <w:left w:val="nil"/>
              <w:bottom w:val="nil"/>
              <w:right w:val="nil"/>
            </w:tcBorders>
            <w:shd w:val="clear" w:color="auto" w:fill="auto"/>
            <w:noWrap/>
            <w:vAlign w:val="bottom"/>
            <w:hideMark/>
          </w:tcPr>
          <w:p w14:paraId="3DCF1B7A"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146,55</w:t>
            </w:r>
          </w:p>
        </w:tc>
        <w:tc>
          <w:tcPr>
            <w:tcW w:w="1400" w:type="dxa"/>
            <w:tcBorders>
              <w:top w:val="nil"/>
              <w:left w:val="nil"/>
              <w:bottom w:val="nil"/>
              <w:right w:val="nil"/>
            </w:tcBorders>
            <w:shd w:val="clear" w:color="auto" w:fill="auto"/>
            <w:noWrap/>
            <w:vAlign w:val="bottom"/>
            <w:hideMark/>
          </w:tcPr>
          <w:p w14:paraId="4D5DF77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13,43%</w:t>
            </w:r>
          </w:p>
        </w:tc>
      </w:tr>
      <w:tr w:rsidR="00A360DB" w:rsidRPr="00A360DB" w14:paraId="1097C9BC" w14:textId="77777777" w:rsidTr="00A360DB">
        <w:trPr>
          <w:trHeight w:val="240"/>
        </w:trPr>
        <w:tc>
          <w:tcPr>
            <w:tcW w:w="1697" w:type="dxa"/>
            <w:tcBorders>
              <w:top w:val="nil"/>
              <w:left w:val="nil"/>
              <w:bottom w:val="nil"/>
              <w:right w:val="nil"/>
            </w:tcBorders>
            <w:shd w:val="clear" w:color="000000" w:fill="1D4BB3"/>
            <w:noWrap/>
            <w:vAlign w:val="bottom"/>
            <w:hideMark/>
          </w:tcPr>
          <w:p w14:paraId="5CC6622D" w14:textId="77777777" w:rsidR="00A360DB" w:rsidRPr="00A360DB" w:rsidRDefault="00A360DB" w:rsidP="00A360DB">
            <w:pPr>
              <w:spacing w:after="0" w:line="240" w:lineRule="auto"/>
              <w:rPr>
                <w:rFonts w:ascii="Arial" w:hAnsi="Arial" w:cs="Arial"/>
                <w:b/>
                <w:bCs/>
                <w:color w:val="FFFFFF"/>
                <w:sz w:val="18"/>
                <w:szCs w:val="18"/>
                <w:lang w:eastAsia="hr-HR"/>
              </w:rPr>
            </w:pPr>
            <w:r w:rsidRPr="00A360DB">
              <w:rPr>
                <w:rFonts w:ascii="Arial" w:hAnsi="Arial" w:cs="Arial"/>
                <w:b/>
                <w:bCs/>
                <w:color w:val="FFFFFF"/>
                <w:sz w:val="18"/>
                <w:szCs w:val="18"/>
                <w:lang w:eastAsia="hr-HR"/>
              </w:rPr>
              <w:t>1020</w:t>
            </w:r>
          </w:p>
        </w:tc>
        <w:tc>
          <w:tcPr>
            <w:tcW w:w="8509" w:type="dxa"/>
            <w:tcBorders>
              <w:top w:val="nil"/>
              <w:left w:val="nil"/>
              <w:bottom w:val="nil"/>
              <w:right w:val="nil"/>
            </w:tcBorders>
            <w:shd w:val="clear" w:color="000000" w:fill="1D4BB3"/>
            <w:noWrap/>
            <w:vAlign w:val="bottom"/>
            <w:hideMark/>
          </w:tcPr>
          <w:p w14:paraId="41B146DE" w14:textId="77777777" w:rsidR="00A360DB" w:rsidRPr="00A360DB" w:rsidRDefault="00A360DB" w:rsidP="00A360DB">
            <w:pPr>
              <w:spacing w:after="0" w:line="240" w:lineRule="auto"/>
              <w:rPr>
                <w:rFonts w:ascii="Arial" w:hAnsi="Arial" w:cs="Arial"/>
                <w:b/>
                <w:bCs/>
                <w:color w:val="FFFFFF"/>
                <w:sz w:val="18"/>
                <w:szCs w:val="18"/>
                <w:lang w:eastAsia="hr-HR"/>
              </w:rPr>
            </w:pPr>
            <w:r w:rsidRPr="00A360DB">
              <w:rPr>
                <w:rFonts w:ascii="Arial" w:hAnsi="Arial" w:cs="Arial"/>
                <w:b/>
                <w:bCs/>
                <w:color w:val="FFFFFF"/>
                <w:sz w:val="18"/>
                <w:szCs w:val="18"/>
                <w:lang w:eastAsia="hr-HR"/>
              </w:rPr>
              <w:t>Program: Obrazovanje</w:t>
            </w:r>
          </w:p>
        </w:tc>
        <w:tc>
          <w:tcPr>
            <w:tcW w:w="1480" w:type="dxa"/>
            <w:tcBorders>
              <w:top w:val="nil"/>
              <w:left w:val="nil"/>
              <w:bottom w:val="nil"/>
              <w:right w:val="nil"/>
            </w:tcBorders>
            <w:shd w:val="clear" w:color="000000" w:fill="1D4BB3"/>
            <w:noWrap/>
            <w:vAlign w:val="bottom"/>
            <w:hideMark/>
          </w:tcPr>
          <w:p w14:paraId="48F8896A"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783.438,55</w:t>
            </w:r>
          </w:p>
        </w:tc>
        <w:tc>
          <w:tcPr>
            <w:tcW w:w="1380" w:type="dxa"/>
            <w:tcBorders>
              <w:top w:val="nil"/>
              <w:left w:val="nil"/>
              <w:bottom w:val="nil"/>
              <w:right w:val="nil"/>
            </w:tcBorders>
            <w:shd w:val="clear" w:color="000000" w:fill="1D4BB3"/>
            <w:noWrap/>
            <w:vAlign w:val="bottom"/>
            <w:hideMark/>
          </w:tcPr>
          <w:p w14:paraId="01BC8E63"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656.130,99</w:t>
            </w:r>
          </w:p>
        </w:tc>
        <w:tc>
          <w:tcPr>
            <w:tcW w:w="1400" w:type="dxa"/>
            <w:tcBorders>
              <w:top w:val="nil"/>
              <w:left w:val="nil"/>
              <w:bottom w:val="nil"/>
              <w:right w:val="nil"/>
            </w:tcBorders>
            <w:shd w:val="clear" w:color="000000" w:fill="1D4BB3"/>
            <w:noWrap/>
            <w:vAlign w:val="bottom"/>
            <w:hideMark/>
          </w:tcPr>
          <w:p w14:paraId="39AF2E80"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83,75%</w:t>
            </w:r>
          </w:p>
        </w:tc>
      </w:tr>
      <w:tr w:rsidR="00A360DB" w:rsidRPr="00A360DB" w14:paraId="3372A27F" w14:textId="77777777" w:rsidTr="00A360DB">
        <w:trPr>
          <w:trHeight w:val="240"/>
        </w:trPr>
        <w:tc>
          <w:tcPr>
            <w:tcW w:w="1697" w:type="dxa"/>
            <w:tcBorders>
              <w:top w:val="nil"/>
              <w:left w:val="nil"/>
              <w:bottom w:val="nil"/>
              <w:right w:val="nil"/>
            </w:tcBorders>
            <w:shd w:val="clear" w:color="000000" w:fill="B4C6E7"/>
            <w:noWrap/>
            <w:vAlign w:val="bottom"/>
            <w:hideMark/>
          </w:tcPr>
          <w:p w14:paraId="2A22E4A0"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A102007</w:t>
            </w:r>
          </w:p>
        </w:tc>
        <w:tc>
          <w:tcPr>
            <w:tcW w:w="8509" w:type="dxa"/>
            <w:tcBorders>
              <w:top w:val="nil"/>
              <w:left w:val="nil"/>
              <w:bottom w:val="nil"/>
              <w:right w:val="nil"/>
            </w:tcBorders>
            <w:shd w:val="clear" w:color="000000" w:fill="B4C6E7"/>
            <w:noWrap/>
            <w:vAlign w:val="bottom"/>
            <w:hideMark/>
          </w:tcPr>
          <w:p w14:paraId="17A991DD"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Redovna djelatnost OŠ - decentralizirane funkcije</w:t>
            </w:r>
          </w:p>
        </w:tc>
        <w:tc>
          <w:tcPr>
            <w:tcW w:w="1480" w:type="dxa"/>
            <w:tcBorders>
              <w:top w:val="nil"/>
              <w:left w:val="nil"/>
              <w:bottom w:val="nil"/>
              <w:right w:val="nil"/>
            </w:tcBorders>
            <w:shd w:val="clear" w:color="000000" w:fill="B4C6E7"/>
            <w:noWrap/>
            <w:vAlign w:val="bottom"/>
            <w:hideMark/>
          </w:tcPr>
          <w:p w14:paraId="5F4D868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30.700,00</w:t>
            </w:r>
          </w:p>
        </w:tc>
        <w:tc>
          <w:tcPr>
            <w:tcW w:w="1380" w:type="dxa"/>
            <w:tcBorders>
              <w:top w:val="nil"/>
              <w:left w:val="nil"/>
              <w:bottom w:val="nil"/>
              <w:right w:val="nil"/>
            </w:tcBorders>
            <w:shd w:val="clear" w:color="000000" w:fill="B4C6E7"/>
            <w:noWrap/>
            <w:vAlign w:val="bottom"/>
            <w:hideMark/>
          </w:tcPr>
          <w:p w14:paraId="3C2FC31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29.205,03</w:t>
            </w:r>
          </w:p>
        </w:tc>
        <w:tc>
          <w:tcPr>
            <w:tcW w:w="1400" w:type="dxa"/>
            <w:tcBorders>
              <w:top w:val="nil"/>
              <w:left w:val="nil"/>
              <w:bottom w:val="nil"/>
              <w:right w:val="nil"/>
            </w:tcBorders>
            <w:shd w:val="clear" w:color="000000" w:fill="B4C6E7"/>
            <w:noWrap/>
            <w:vAlign w:val="bottom"/>
            <w:hideMark/>
          </w:tcPr>
          <w:p w14:paraId="0F5B0F9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95,13%</w:t>
            </w:r>
          </w:p>
        </w:tc>
      </w:tr>
      <w:tr w:rsidR="00A360DB" w:rsidRPr="00A360DB" w14:paraId="55446009"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FD0BF46"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5. Pomoći</w:t>
            </w:r>
          </w:p>
        </w:tc>
        <w:tc>
          <w:tcPr>
            <w:tcW w:w="1480" w:type="dxa"/>
            <w:tcBorders>
              <w:top w:val="nil"/>
              <w:left w:val="nil"/>
              <w:bottom w:val="nil"/>
              <w:right w:val="nil"/>
            </w:tcBorders>
            <w:shd w:val="clear" w:color="auto" w:fill="auto"/>
            <w:noWrap/>
            <w:vAlign w:val="bottom"/>
            <w:hideMark/>
          </w:tcPr>
          <w:p w14:paraId="1646B1CE"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30.700,00</w:t>
            </w:r>
          </w:p>
        </w:tc>
        <w:tc>
          <w:tcPr>
            <w:tcW w:w="1380" w:type="dxa"/>
            <w:tcBorders>
              <w:top w:val="nil"/>
              <w:left w:val="nil"/>
              <w:bottom w:val="nil"/>
              <w:right w:val="nil"/>
            </w:tcBorders>
            <w:shd w:val="clear" w:color="auto" w:fill="auto"/>
            <w:noWrap/>
            <w:vAlign w:val="bottom"/>
            <w:hideMark/>
          </w:tcPr>
          <w:p w14:paraId="311FE95A"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29.205,03</w:t>
            </w:r>
          </w:p>
        </w:tc>
        <w:tc>
          <w:tcPr>
            <w:tcW w:w="1400" w:type="dxa"/>
            <w:tcBorders>
              <w:top w:val="nil"/>
              <w:left w:val="nil"/>
              <w:bottom w:val="nil"/>
              <w:right w:val="nil"/>
            </w:tcBorders>
            <w:shd w:val="clear" w:color="auto" w:fill="auto"/>
            <w:noWrap/>
            <w:vAlign w:val="bottom"/>
            <w:hideMark/>
          </w:tcPr>
          <w:p w14:paraId="30480068"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95,13%</w:t>
            </w:r>
          </w:p>
        </w:tc>
      </w:tr>
      <w:tr w:rsidR="00A360DB" w:rsidRPr="00A360DB" w14:paraId="79ABB2A9"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3B251355"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5.2. Državni proračun</w:t>
            </w:r>
          </w:p>
        </w:tc>
        <w:tc>
          <w:tcPr>
            <w:tcW w:w="1480" w:type="dxa"/>
            <w:tcBorders>
              <w:top w:val="nil"/>
              <w:left w:val="nil"/>
              <w:bottom w:val="nil"/>
              <w:right w:val="nil"/>
            </w:tcBorders>
            <w:shd w:val="clear" w:color="auto" w:fill="auto"/>
            <w:noWrap/>
            <w:vAlign w:val="bottom"/>
            <w:hideMark/>
          </w:tcPr>
          <w:p w14:paraId="18638A7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30.700,00</w:t>
            </w:r>
          </w:p>
        </w:tc>
        <w:tc>
          <w:tcPr>
            <w:tcW w:w="1380" w:type="dxa"/>
            <w:tcBorders>
              <w:top w:val="nil"/>
              <w:left w:val="nil"/>
              <w:bottom w:val="nil"/>
              <w:right w:val="nil"/>
            </w:tcBorders>
            <w:shd w:val="clear" w:color="auto" w:fill="auto"/>
            <w:noWrap/>
            <w:vAlign w:val="bottom"/>
            <w:hideMark/>
          </w:tcPr>
          <w:p w14:paraId="3DC37788"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29.205,03</w:t>
            </w:r>
          </w:p>
        </w:tc>
        <w:tc>
          <w:tcPr>
            <w:tcW w:w="1400" w:type="dxa"/>
            <w:tcBorders>
              <w:top w:val="nil"/>
              <w:left w:val="nil"/>
              <w:bottom w:val="nil"/>
              <w:right w:val="nil"/>
            </w:tcBorders>
            <w:shd w:val="clear" w:color="auto" w:fill="auto"/>
            <w:noWrap/>
            <w:vAlign w:val="bottom"/>
            <w:hideMark/>
          </w:tcPr>
          <w:p w14:paraId="0ECD6BC2"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95,13%</w:t>
            </w:r>
          </w:p>
        </w:tc>
      </w:tr>
      <w:tr w:rsidR="00A360DB" w:rsidRPr="00A360DB" w14:paraId="28D697B6" w14:textId="77777777" w:rsidTr="00A360DB">
        <w:trPr>
          <w:trHeight w:val="240"/>
        </w:trPr>
        <w:tc>
          <w:tcPr>
            <w:tcW w:w="1697" w:type="dxa"/>
            <w:tcBorders>
              <w:top w:val="nil"/>
              <w:left w:val="nil"/>
              <w:bottom w:val="nil"/>
              <w:right w:val="nil"/>
            </w:tcBorders>
            <w:shd w:val="clear" w:color="auto" w:fill="auto"/>
            <w:noWrap/>
            <w:vAlign w:val="bottom"/>
            <w:hideMark/>
          </w:tcPr>
          <w:p w14:paraId="4AF1FEA5"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40C2E685"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1012495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30.550,00</w:t>
            </w:r>
          </w:p>
        </w:tc>
        <w:tc>
          <w:tcPr>
            <w:tcW w:w="1380" w:type="dxa"/>
            <w:tcBorders>
              <w:top w:val="nil"/>
              <w:left w:val="nil"/>
              <w:bottom w:val="nil"/>
              <w:right w:val="nil"/>
            </w:tcBorders>
            <w:shd w:val="clear" w:color="auto" w:fill="auto"/>
            <w:noWrap/>
            <w:vAlign w:val="bottom"/>
            <w:hideMark/>
          </w:tcPr>
          <w:p w14:paraId="2894845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29.205,03</w:t>
            </w:r>
          </w:p>
        </w:tc>
        <w:tc>
          <w:tcPr>
            <w:tcW w:w="1400" w:type="dxa"/>
            <w:tcBorders>
              <w:top w:val="nil"/>
              <w:left w:val="nil"/>
              <w:bottom w:val="nil"/>
              <w:right w:val="nil"/>
            </w:tcBorders>
            <w:shd w:val="clear" w:color="auto" w:fill="auto"/>
            <w:noWrap/>
            <w:vAlign w:val="bottom"/>
            <w:hideMark/>
          </w:tcPr>
          <w:p w14:paraId="64A4FEF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95,60%</w:t>
            </w:r>
          </w:p>
        </w:tc>
      </w:tr>
      <w:tr w:rsidR="00A360DB" w:rsidRPr="00A360DB" w14:paraId="302090EA" w14:textId="77777777" w:rsidTr="00A360DB">
        <w:trPr>
          <w:trHeight w:val="240"/>
        </w:trPr>
        <w:tc>
          <w:tcPr>
            <w:tcW w:w="1697" w:type="dxa"/>
            <w:tcBorders>
              <w:top w:val="nil"/>
              <w:left w:val="nil"/>
              <w:bottom w:val="nil"/>
              <w:right w:val="nil"/>
            </w:tcBorders>
            <w:shd w:val="clear" w:color="auto" w:fill="auto"/>
            <w:noWrap/>
            <w:vAlign w:val="bottom"/>
            <w:hideMark/>
          </w:tcPr>
          <w:p w14:paraId="4B86E14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3211</w:t>
            </w:r>
          </w:p>
        </w:tc>
        <w:tc>
          <w:tcPr>
            <w:tcW w:w="8509" w:type="dxa"/>
            <w:tcBorders>
              <w:top w:val="nil"/>
              <w:left w:val="nil"/>
              <w:bottom w:val="nil"/>
              <w:right w:val="nil"/>
            </w:tcBorders>
            <w:shd w:val="clear" w:color="auto" w:fill="auto"/>
            <w:noWrap/>
            <w:vAlign w:val="bottom"/>
            <w:hideMark/>
          </w:tcPr>
          <w:p w14:paraId="107C670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Službena putovanja                                                                                  </w:t>
            </w:r>
          </w:p>
        </w:tc>
        <w:tc>
          <w:tcPr>
            <w:tcW w:w="1480" w:type="dxa"/>
            <w:tcBorders>
              <w:top w:val="nil"/>
              <w:left w:val="nil"/>
              <w:bottom w:val="nil"/>
              <w:right w:val="nil"/>
            </w:tcBorders>
            <w:shd w:val="clear" w:color="auto" w:fill="auto"/>
            <w:noWrap/>
            <w:vAlign w:val="bottom"/>
            <w:hideMark/>
          </w:tcPr>
          <w:p w14:paraId="0F8997BE"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2C8F14D7"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3.697,06</w:t>
            </w:r>
          </w:p>
        </w:tc>
        <w:tc>
          <w:tcPr>
            <w:tcW w:w="1400" w:type="dxa"/>
            <w:tcBorders>
              <w:top w:val="nil"/>
              <w:left w:val="nil"/>
              <w:bottom w:val="nil"/>
              <w:right w:val="nil"/>
            </w:tcBorders>
            <w:shd w:val="clear" w:color="auto" w:fill="auto"/>
            <w:noWrap/>
            <w:vAlign w:val="bottom"/>
            <w:hideMark/>
          </w:tcPr>
          <w:p w14:paraId="081F3428"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1B69424" w14:textId="77777777" w:rsidTr="00A360DB">
        <w:trPr>
          <w:trHeight w:val="240"/>
        </w:trPr>
        <w:tc>
          <w:tcPr>
            <w:tcW w:w="1697" w:type="dxa"/>
            <w:tcBorders>
              <w:top w:val="nil"/>
              <w:left w:val="nil"/>
              <w:bottom w:val="nil"/>
              <w:right w:val="nil"/>
            </w:tcBorders>
            <w:shd w:val="clear" w:color="auto" w:fill="auto"/>
            <w:noWrap/>
            <w:vAlign w:val="bottom"/>
            <w:hideMark/>
          </w:tcPr>
          <w:p w14:paraId="6C64253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3213</w:t>
            </w:r>
          </w:p>
        </w:tc>
        <w:tc>
          <w:tcPr>
            <w:tcW w:w="8509" w:type="dxa"/>
            <w:tcBorders>
              <w:top w:val="nil"/>
              <w:left w:val="nil"/>
              <w:bottom w:val="nil"/>
              <w:right w:val="nil"/>
            </w:tcBorders>
            <w:shd w:val="clear" w:color="auto" w:fill="auto"/>
            <w:noWrap/>
            <w:vAlign w:val="bottom"/>
            <w:hideMark/>
          </w:tcPr>
          <w:p w14:paraId="58F3ADE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Stručno usavršavanje zaposlenika                                                                    </w:t>
            </w:r>
          </w:p>
        </w:tc>
        <w:tc>
          <w:tcPr>
            <w:tcW w:w="1480" w:type="dxa"/>
            <w:tcBorders>
              <w:top w:val="nil"/>
              <w:left w:val="nil"/>
              <w:bottom w:val="nil"/>
              <w:right w:val="nil"/>
            </w:tcBorders>
            <w:shd w:val="clear" w:color="auto" w:fill="auto"/>
            <w:noWrap/>
            <w:vAlign w:val="bottom"/>
            <w:hideMark/>
          </w:tcPr>
          <w:p w14:paraId="17626BEE"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5D33F1C"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90,00</w:t>
            </w:r>
          </w:p>
        </w:tc>
        <w:tc>
          <w:tcPr>
            <w:tcW w:w="1400" w:type="dxa"/>
            <w:tcBorders>
              <w:top w:val="nil"/>
              <w:left w:val="nil"/>
              <w:bottom w:val="nil"/>
              <w:right w:val="nil"/>
            </w:tcBorders>
            <w:shd w:val="clear" w:color="auto" w:fill="auto"/>
            <w:noWrap/>
            <w:vAlign w:val="bottom"/>
            <w:hideMark/>
          </w:tcPr>
          <w:p w14:paraId="0428F11D"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5449F81" w14:textId="77777777" w:rsidTr="00A360DB">
        <w:trPr>
          <w:trHeight w:val="240"/>
        </w:trPr>
        <w:tc>
          <w:tcPr>
            <w:tcW w:w="1697" w:type="dxa"/>
            <w:tcBorders>
              <w:top w:val="nil"/>
              <w:left w:val="nil"/>
              <w:bottom w:val="nil"/>
              <w:right w:val="nil"/>
            </w:tcBorders>
            <w:shd w:val="clear" w:color="auto" w:fill="auto"/>
            <w:noWrap/>
            <w:vAlign w:val="bottom"/>
            <w:hideMark/>
          </w:tcPr>
          <w:p w14:paraId="445E022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3214</w:t>
            </w:r>
          </w:p>
        </w:tc>
        <w:tc>
          <w:tcPr>
            <w:tcW w:w="8509" w:type="dxa"/>
            <w:tcBorders>
              <w:top w:val="nil"/>
              <w:left w:val="nil"/>
              <w:bottom w:val="nil"/>
              <w:right w:val="nil"/>
            </w:tcBorders>
            <w:shd w:val="clear" w:color="auto" w:fill="auto"/>
            <w:noWrap/>
            <w:vAlign w:val="bottom"/>
            <w:hideMark/>
          </w:tcPr>
          <w:p w14:paraId="6586045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Ostale naknade troškova zaposlenima                                                                 </w:t>
            </w:r>
          </w:p>
        </w:tc>
        <w:tc>
          <w:tcPr>
            <w:tcW w:w="1480" w:type="dxa"/>
            <w:tcBorders>
              <w:top w:val="nil"/>
              <w:left w:val="nil"/>
              <w:bottom w:val="nil"/>
              <w:right w:val="nil"/>
            </w:tcBorders>
            <w:shd w:val="clear" w:color="auto" w:fill="auto"/>
            <w:noWrap/>
            <w:vAlign w:val="bottom"/>
            <w:hideMark/>
          </w:tcPr>
          <w:p w14:paraId="6161337A"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900C029"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42,00</w:t>
            </w:r>
          </w:p>
        </w:tc>
        <w:tc>
          <w:tcPr>
            <w:tcW w:w="1400" w:type="dxa"/>
            <w:tcBorders>
              <w:top w:val="nil"/>
              <w:left w:val="nil"/>
              <w:bottom w:val="nil"/>
              <w:right w:val="nil"/>
            </w:tcBorders>
            <w:shd w:val="clear" w:color="auto" w:fill="auto"/>
            <w:noWrap/>
            <w:vAlign w:val="bottom"/>
            <w:hideMark/>
          </w:tcPr>
          <w:p w14:paraId="5CD8D3DD"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3D85326" w14:textId="77777777" w:rsidTr="00A360DB">
        <w:trPr>
          <w:trHeight w:val="240"/>
        </w:trPr>
        <w:tc>
          <w:tcPr>
            <w:tcW w:w="1697" w:type="dxa"/>
            <w:tcBorders>
              <w:top w:val="nil"/>
              <w:left w:val="nil"/>
              <w:bottom w:val="nil"/>
              <w:right w:val="nil"/>
            </w:tcBorders>
            <w:shd w:val="clear" w:color="auto" w:fill="auto"/>
            <w:noWrap/>
            <w:vAlign w:val="bottom"/>
            <w:hideMark/>
          </w:tcPr>
          <w:p w14:paraId="34A7BFA7"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3221</w:t>
            </w:r>
          </w:p>
        </w:tc>
        <w:tc>
          <w:tcPr>
            <w:tcW w:w="8509" w:type="dxa"/>
            <w:tcBorders>
              <w:top w:val="nil"/>
              <w:left w:val="nil"/>
              <w:bottom w:val="nil"/>
              <w:right w:val="nil"/>
            </w:tcBorders>
            <w:shd w:val="clear" w:color="auto" w:fill="auto"/>
            <w:noWrap/>
            <w:vAlign w:val="bottom"/>
            <w:hideMark/>
          </w:tcPr>
          <w:p w14:paraId="22702E7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Uredski materijal i ostali materijalni rashodi                                                      </w:t>
            </w:r>
          </w:p>
        </w:tc>
        <w:tc>
          <w:tcPr>
            <w:tcW w:w="1480" w:type="dxa"/>
            <w:tcBorders>
              <w:top w:val="nil"/>
              <w:left w:val="nil"/>
              <w:bottom w:val="nil"/>
              <w:right w:val="nil"/>
            </w:tcBorders>
            <w:shd w:val="clear" w:color="auto" w:fill="auto"/>
            <w:noWrap/>
            <w:vAlign w:val="bottom"/>
            <w:hideMark/>
          </w:tcPr>
          <w:p w14:paraId="44B2E83D"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1E844CAC"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5.428,41</w:t>
            </w:r>
          </w:p>
        </w:tc>
        <w:tc>
          <w:tcPr>
            <w:tcW w:w="1400" w:type="dxa"/>
            <w:tcBorders>
              <w:top w:val="nil"/>
              <w:left w:val="nil"/>
              <w:bottom w:val="nil"/>
              <w:right w:val="nil"/>
            </w:tcBorders>
            <w:shd w:val="clear" w:color="auto" w:fill="auto"/>
            <w:noWrap/>
            <w:vAlign w:val="bottom"/>
            <w:hideMark/>
          </w:tcPr>
          <w:p w14:paraId="547E1429"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896B9E6" w14:textId="77777777" w:rsidTr="00A360DB">
        <w:trPr>
          <w:trHeight w:val="240"/>
        </w:trPr>
        <w:tc>
          <w:tcPr>
            <w:tcW w:w="1697" w:type="dxa"/>
            <w:tcBorders>
              <w:top w:val="nil"/>
              <w:left w:val="nil"/>
              <w:bottom w:val="nil"/>
              <w:right w:val="nil"/>
            </w:tcBorders>
            <w:shd w:val="clear" w:color="auto" w:fill="auto"/>
            <w:noWrap/>
            <w:vAlign w:val="bottom"/>
            <w:hideMark/>
          </w:tcPr>
          <w:p w14:paraId="1CFA7BA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3222</w:t>
            </w:r>
          </w:p>
        </w:tc>
        <w:tc>
          <w:tcPr>
            <w:tcW w:w="8509" w:type="dxa"/>
            <w:tcBorders>
              <w:top w:val="nil"/>
              <w:left w:val="nil"/>
              <w:bottom w:val="nil"/>
              <w:right w:val="nil"/>
            </w:tcBorders>
            <w:shd w:val="clear" w:color="auto" w:fill="auto"/>
            <w:noWrap/>
            <w:vAlign w:val="bottom"/>
            <w:hideMark/>
          </w:tcPr>
          <w:p w14:paraId="5066548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Materijal i sirovine                                                                                </w:t>
            </w:r>
          </w:p>
        </w:tc>
        <w:tc>
          <w:tcPr>
            <w:tcW w:w="1480" w:type="dxa"/>
            <w:tcBorders>
              <w:top w:val="nil"/>
              <w:left w:val="nil"/>
              <w:bottom w:val="nil"/>
              <w:right w:val="nil"/>
            </w:tcBorders>
            <w:shd w:val="clear" w:color="auto" w:fill="auto"/>
            <w:noWrap/>
            <w:vAlign w:val="bottom"/>
            <w:hideMark/>
          </w:tcPr>
          <w:p w14:paraId="00C605AF"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7D4ABFE"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629,57</w:t>
            </w:r>
          </w:p>
        </w:tc>
        <w:tc>
          <w:tcPr>
            <w:tcW w:w="1400" w:type="dxa"/>
            <w:tcBorders>
              <w:top w:val="nil"/>
              <w:left w:val="nil"/>
              <w:bottom w:val="nil"/>
              <w:right w:val="nil"/>
            </w:tcBorders>
            <w:shd w:val="clear" w:color="auto" w:fill="auto"/>
            <w:noWrap/>
            <w:vAlign w:val="bottom"/>
            <w:hideMark/>
          </w:tcPr>
          <w:p w14:paraId="44D70990"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0A8C4F4" w14:textId="77777777" w:rsidTr="00A360DB">
        <w:trPr>
          <w:trHeight w:val="240"/>
        </w:trPr>
        <w:tc>
          <w:tcPr>
            <w:tcW w:w="1697" w:type="dxa"/>
            <w:tcBorders>
              <w:top w:val="nil"/>
              <w:left w:val="nil"/>
              <w:bottom w:val="nil"/>
              <w:right w:val="nil"/>
            </w:tcBorders>
            <w:shd w:val="clear" w:color="auto" w:fill="auto"/>
            <w:noWrap/>
            <w:vAlign w:val="bottom"/>
            <w:hideMark/>
          </w:tcPr>
          <w:p w14:paraId="1966653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3223</w:t>
            </w:r>
          </w:p>
        </w:tc>
        <w:tc>
          <w:tcPr>
            <w:tcW w:w="8509" w:type="dxa"/>
            <w:tcBorders>
              <w:top w:val="nil"/>
              <w:left w:val="nil"/>
              <w:bottom w:val="nil"/>
              <w:right w:val="nil"/>
            </w:tcBorders>
            <w:shd w:val="clear" w:color="auto" w:fill="auto"/>
            <w:noWrap/>
            <w:vAlign w:val="bottom"/>
            <w:hideMark/>
          </w:tcPr>
          <w:p w14:paraId="08453BA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Energija                                                                                            </w:t>
            </w:r>
          </w:p>
        </w:tc>
        <w:tc>
          <w:tcPr>
            <w:tcW w:w="1480" w:type="dxa"/>
            <w:tcBorders>
              <w:top w:val="nil"/>
              <w:left w:val="nil"/>
              <w:bottom w:val="nil"/>
              <w:right w:val="nil"/>
            </w:tcBorders>
            <w:shd w:val="clear" w:color="auto" w:fill="auto"/>
            <w:noWrap/>
            <w:vAlign w:val="bottom"/>
            <w:hideMark/>
          </w:tcPr>
          <w:p w14:paraId="630E659C"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A5CF9BF"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5.591,70</w:t>
            </w:r>
          </w:p>
        </w:tc>
        <w:tc>
          <w:tcPr>
            <w:tcW w:w="1400" w:type="dxa"/>
            <w:tcBorders>
              <w:top w:val="nil"/>
              <w:left w:val="nil"/>
              <w:bottom w:val="nil"/>
              <w:right w:val="nil"/>
            </w:tcBorders>
            <w:shd w:val="clear" w:color="auto" w:fill="auto"/>
            <w:noWrap/>
            <w:vAlign w:val="bottom"/>
            <w:hideMark/>
          </w:tcPr>
          <w:p w14:paraId="1BE5F9B1"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5BAEF78C" w14:textId="77777777" w:rsidTr="00A360DB">
        <w:trPr>
          <w:trHeight w:val="240"/>
        </w:trPr>
        <w:tc>
          <w:tcPr>
            <w:tcW w:w="1697" w:type="dxa"/>
            <w:tcBorders>
              <w:top w:val="nil"/>
              <w:left w:val="nil"/>
              <w:bottom w:val="nil"/>
              <w:right w:val="nil"/>
            </w:tcBorders>
            <w:shd w:val="clear" w:color="auto" w:fill="auto"/>
            <w:noWrap/>
            <w:vAlign w:val="bottom"/>
            <w:hideMark/>
          </w:tcPr>
          <w:p w14:paraId="4598B3A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3224</w:t>
            </w:r>
          </w:p>
        </w:tc>
        <w:tc>
          <w:tcPr>
            <w:tcW w:w="8509" w:type="dxa"/>
            <w:tcBorders>
              <w:top w:val="nil"/>
              <w:left w:val="nil"/>
              <w:bottom w:val="nil"/>
              <w:right w:val="nil"/>
            </w:tcBorders>
            <w:shd w:val="clear" w:color="auto" w:fill="auto"/>
            <w:noWrap/>
            <w:vAlign w:val="bottom"/>
            <w:hideMark/>
          </w:tcPr>
          <w:p w14:paraId="0E3221C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Materijal i dijelovi za tekuće i investicijsko održavanje                                           </w:t>
            </w:r>
          </w:p>
        </w:tc>
        <w:tc>
          <w:tcPr>
            <w:tcW w:w="1480" w:type="dxa"/>
            <w:tcBorders>
              <w:top w:val="nil"/>
              <w:left w:val="nil"/>
              <w:bottom w:val="nil"/>
              <w:right w:val="nil"/>
            </w:tcBorders>
            <w:shd w:val="clear" w:color="auto" w:fill="auto"/>
            <w:noWrap/>
            <w:vAlign w:val="bottom"/>
            <w:hideMark/>
          </w:tcPr>
          <w:p w14:paraId="3445D982"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6B61562"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830,50</w:t>
            </w:r>
          </w:p>
        </w:tc>
        <w:tc>
          <w:tcPr>
            <w:tcW w:w="1400" w:type="dxa"/>
            <w:tcBorders>
              <w:top w:val="nil"/>
              <w:left w:val="nil"/>
              <w:bottom w:val="nil"/>
              <w:right w:val="nil"/>
            </w:tcBorders>
            <w:shd w:val="clear" w:color="auto" w:fill="auto"/>
            <w:noWrap/>
            <w:vAlign w:val="bottom"/>
            <w:hideMark/>
          </w:tcPr>
          <w:p w14:paraId="425F438B"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2B073119" w14:textId="77777777" w:rsidTr="00A360DB">
        <w:trPr>
          <w:trHeight w:val="240"/>
        </w:trPr>
        <w:tc>
          <w:tcPr>
            <w:tcW w:w="1697" w:type="dxa"/>
            <w:tcBorders>
              <w:top w:val="nil"/>
              <w:left w:val="nil"/>
              <w:bottom w:val="nil"/>
              <w:right w:val="nil"/>
            </w:tcBorders>
            <w:shd w:val="clear" w:color="auto" w:fill="auto"/>
            <w:noWrap/>
            <w:vAlign w:val="bottom"/>
            <w:hideMark/>
          </w:tcPr>
          <w:p w14:paraId="625B9DB5"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3225</w:t>
            </w:r>
          </w:p>
        </w:tc>
        <w:tc>
          <w:tcPr>
            <w:tcW w:w="8509" w:type="dxa"/>
            <w:tcBorders>
              <w:top w:val="nil"/>
              <w:left w:val="nil"/>
              <w:bottom w:val="nil"/>
              <w:right w:val="nil"/>
            </w:tcBorders>
            <w:shd w:val="clear" w:color="auto" w:fill="auto"/>
            <w:noWrap/>
            <w:vAlign w:val="bottom"/>
            <w:hideMark/>
          </w:tcPr>
          <w:p w14:paraId="6FBE1F8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Sitni inventar i auto gume</w:t>
            </w:r>
          </w:p>
        </w:tc>
        <w:tc>
          <w:tcPr>
            <w:tcW w:w="1480" w:type="dxa"/>
            <w:tcBorders>
              <w:top w:val="nil"/>
              <w:left w:val="nil"/>
              <w:bottom w:val="nil"/>
              <w:right w:val="nil"/>
            </w:tcBorders>
            <w:shd w:val="clear" w:color="auto" w:fill="auto"/>
            <w:noWrap/>
            <w:vAlign w:val="bottom"/>
            <w:hideMark/>
          </w:tcPr>
          <w:p w14:paraId="6BCBE0F8"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7827804"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1.162,91</w:t>
            </w:r>
          </w:p>
        </w:tc>
        <w:tc>
          <w:tcPr>
            <w:tcW w:w="1400" w:type="dxa"/>
            <w:tcBorders>
              <w:top w:val="nil"/>
              <w:left w:val="nil"/>
              <w:bottom w:val="nil"/>
              <w:right w:val="nil"/>
            </w:tcBorders>
            <w:shd w:val="clear" w:color="auto" w:fill="auto"/>
            <w:noWrap/>
            <w:vAlign w:val="bottom"/>
            <w:hideMark/>
          </w:tcPr>
          <w:p w14:paraId="3342F6EA"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26CA4438" w14:textId="77777777" w:rsidTr="00A360DB">
        <w:trPr>
          <w:trHeight w:val="240"/>
        </w:trPr>
        <w:tc>
          <w:tcPr>
            <w:tcW w:w="1697" w:type="dxa"/>
            <w:tcBorders>
              <w:top w:val="nil"/>
              <w:left w:val="nil"/>
              <w:bottom w:val="nil"/>
              <w:right w:val="nil"/>
            </w:tcBorders>
            <w:shd w:val="clear" w:color="auto" w:fill="auto"/>
            <w:noWrap/>
            <w:vAlign w:val="bottom"/>
            <w:hideMark/>
          </w:tcPr>
          <w:p w14:paraId="4DF3478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3227</w:t>
            </w:r>
          </w:p>
        </w:tc>
        <w:tc>
          <w:tcPr>
            <w:tcW w:w="8509" w:type="dxa"/>
            <w:tcBorders>
              <w:top w:val="nil"/>
              <w:left w:val="nil"/>
              <w:bottom w:val="nil"/>
              <w:right w:val="nil"/>
            </w:tcBorders>
            <w:shd w:val="clear" w:color="auto" w:fill="auto"/>
            <w:noWrap/>
            <w:vAlign w:val="bottom"/>
            <w:hideMark/>
          </w:tcPr>
          <w:p w14:paraId="090AD4E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Službena, radna i zaštitna odjeća i obuća                                                           </w:t>
            </w:r>
          </w:p>
        </w:tc>
        <w:tc>
          <w:tcPr>
            <w:tcW w:w="1480" w:type="dxa"/>
            <w:tcBorders>
              <w:top w:val="nil"/>
              <w:left w:val="nil"/>
              <w:bottom w:val="nil"/>
              <w:right w:val="nil"/>
            </w:tcBorders>
            <w:shd w:val="clear" w:color="auto" w:fill="auto"/>
            <w:noWrap/>
            <w:vAlign w:val="bottom"/>
            <w:hideMark/>
          </w:tcPr>
          <w:p w14:paraId="7F96DF8F"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5A0B66E3"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109,58</w:t>
            </w:r>
          </w:p>
        </w:tc>
        <w:tc>
          <w:tcPr>
            <w:tcW w:w="1400" w:type="dxa"/>
            <w:tcBorders>
              <w:top w:val="nil"/>
              <w:left w:val="nil"/>
              <w:bottom w:val="nil"/>
              <w:right w:val="nil"/>
            </w:tcBorders>
            <w:shd w:val="clear" w:color="auto" w:fill="auto"/>
            <w:noWrap/>
            <w:vAlign w:val="bottom"/>
            <w:hideMark/>
          </w:tcPr>
          <w:p w14:paraId="0276E8B6"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58F7BC7" w14:textId="77777777" w:rsidTr="00A360DB">
        <w:trPr>
          <w:trHeight w:val="240"/>
        </w:trPr>
        <w:tc>
          <w:tcPr>
            <w:tcW w:w="1697" w:type="dxa"/>
            <w:tcBorders>
              <w:top w:val="nil"/>
              <w:left w:val="nil"/>
              <w:bottom w:val="nil"/>
              <w:right w:val="nil"/>
            </w:tcBorders>
            <w:shd w:val="clear" w:color="auto" w:fill="auto"/>
            <w:noWrap/>
            <w:vAlign w:val="bottom"/>
            <w:hideMark/>
          </w:tcPr>
          <w:p w14:paraId="38A7D15E"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3231</w:t>
            </w:r>
          </w:p>
        </w:tc>
        <w:tc>
          <w:tcPr>
            <w:tcW w:w="8509" w:type="dxa"/>
            <w:tcBorders>
              <w:top w:val="nil"/>
              <w:left w:val="nil"/>
              <w:bottom w:val="nil"/>
              <w:right w:val="nil"/>
            </w:tcBorders>
            <w:shd w:val="clear" w:color="auto" w:fill="auto"/>
            <w:noWrap/>
            <w:vAlign w:val="bottom"/>
            <w:hideMark/>
          </w:tcPr>
          <w:p w14:paraId="1917D665"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Usluge telefona, pošte i prijevoza                                                                  </w:t>
            </w:r>
          </w:p>
        </w:tc>
        <w:tc>
          <w:tcPr>
            <w:tcW w:w="1480" w:type="dxa"/>
            <w:tcBorders>
              <w:top w:val="nil"/>
              <w:left w:val="nil"/>
              <w:bottom w:val="nil"/>
              <w:right w:val="nil"/>
            </w:tcBorders>
            <w:shd w:val="clear" w:color="auto" w:fill="auto"/>
            <w:noWrap/>
            <w:vAlign w:val="bottom"/>
            <w:hideMark/>
          </w:tcPr>
          <w:p w14:paraId="4288B2F6"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11467225"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3.117,71</w:t>
            </w:r>
          </w:p>
        </w:tc>
        <w:tc>
          <w:tcPr>
            <w:tcW w:w="1400" w:type="dxa"/>
            <w:tcBorders>
              <w:top w:val="nil"/>
              <w:left w:val="nil"/>
              <w:bottom w:val="nil"/>
              <w:right w:val="nil"/>
            </w:tcBorders>
            <w:shd w:val="clear" w:color="auto" w:fill="auto"/>
            <w:noWrap/>
            <w:vAlign w:val="bottom"/>
            <w:hideMark/>
          </w:tcPr>
          <w:p w14:paraId="5695A2B2"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5C55D02" w14:textId="77777777" w:rsidTr="00A360DB">
        <w:trPr>
          <w:trHeight w:val="240"/>
        </w:trPr>
        <w:tc>
          <w:tcPr>
            <w:tcW w:w="1697" w:type="dxa"/>
            <w:tcBorders>
              <w:top w:val="nil"/>
              <w:left w:val="nil"/>
              <w:bottom w:val="nil"/>
              <w:right w:val="nil"/>
            </w:tcBorders>
            <w:shd w:val="clear" w:color="auto" w:fill="auto"/>
            <w:noWrap/>
            <w:vAlign w:val="bottom"/>
            <w:hideMark/>
          </w:tcPr>
          <w:p w14:paraId="2C8C577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3232</w:t>
            </w:r>
          </w:p>
        </w:tc>
        <w:tc>
          <w:tcPr>
            <w:tcW w:w="8509" w:type="dxa"/>
            <w:tcBorders>
              <w:top w:val="nil"/>
              <w:left w:val="nil"/>
              <w:bottom w:val="nil"/>
              <w:right w:val="nil"/>
            </w:tcBorders>
            <w:shd w:val="clear" w:color="auto" w:fill="auto"/>
            <w:noWrap/>
            <w:vAlign w:val="bottom"/>
            <w:hideMark/>
          </w:tcPr>
          <w:p w14:paraId="1F041F5D"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Usluge tekućeg i investicijskog održavanja                                                          </w:t>
            </w:r>
          </w:p>
        </w:tc>
        <w:tc>
          <w:tcPr>
            <w:tcW w:w="1480" w:type="dxa"/>
            <w:tcBorders>
              <w:top w:val="nil"/>
              <w:left w:val="nil"/>
              <w:bottom w:val="nil"/>
              <w:right w:val="nil"/>
            </w:tcBorders>
            <w:shd w:val="clear" w:color="auto" w:fill="auto"/>
            <w:noWrap/>
            <w:vAlign w:val="bottom"/>
            <w:hideMark/>
          </w:tcPr>
          <w:p w14:paraId="7C33EFEC"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F883953"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500,00</w:t>
            </w:r>
          </w:p>
        </w:tc>
        <w:tc>
          <w:tcPr>
            <w:tcW w:w="1400" w:type="dxa"/>
            <w:tcBorders>
              <w:top w:val="nil"/>
              <w:left w:val="nil"/>
              <w:bottom w:val="nil"/>
              <w:right w:val="nil"/>
            </w:tcBorders>
            <w:shd w:val="clear" w:color="auto" w:fill="auto"/>
            <w:noWrap/>
            <w:vAlign w:val="bottom"/>
            <w:hideMark/>
          </w:tcPr>
          <w:p w14:paraId="580C2A73"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E3501CB" w14:textId="77777777" w:rsidTr="00A360DB">
        <w:trPr>
          <w:trHeight w:val="240"/>
        </w:trPr>
        <w:tc>
          <w:tcPr>
            <w:tcW w:w="1697" w:type="dxa"/>
            <w:tcBorders>
              <w:top w:val="nil"/>
              <w:left w:val="nil"/>
              <w:bottom w:val="nil"/>
              <w:right w:val="nil"/>
            </w:tcBorders>
            <w:shd w:val="clear" w:color="auto" w:fill="auto"/>
            <w:noWrap/>
            <w:vAlign w:val="bottom"/>
            <w:hideMark/>
          </w:tcPr>
          <w:p w14:paraId="5F8E10C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3233</w:t>
            </w:r>
          </w:p>
        </w:tc>
        <w:tc>
          <w:tcPr>
            <w:tcW w:w="8509" w:type="dxa"/>
            <w:tcBorders>
              <w:top w:val="nil"/>
              <w:left w:val="nil"/>
              <w:bottom w:val="nil"/>
              <w:right w:val="nil"/>
            </w:tcBorders>
            <w:shd w:val="clear" w:color="auto" w:fill="auto"/>
            <w:noWrap/>
            <w:vAlign w:val="bottom"/>
            <w:hideMark/>
          </w:tcPr>
          <w:p w14:paraId="6825C60E"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Usluge promidžbe i informiranja                                                                     </w:t>
            </w:r>
          </w:p>
        </w:tc>
        <w:tc>
          <w:tcPr>
            <w:tcW w:w="1480" w:type="dxa"/>
            <w:tcBorders>
              <w:top w:val="nil"/>
              <w:left w:val="nil"/>
              <w:bottom w:val="nil"/>
              <w:right w:val="nil"/>
            </w:tcBorders>
            <w:shd w:val="clear" w:color="auto" w:fill="auto"/>
            <w:noWrap/>
            <w:vAlign w:val="bottom"/>
            <w:hideMark/>
          </w:tcPr>
          <w:p w14:paraId="0C2BF04A"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CADFB43"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383,72</w:t>
            </w:r>
          </w:p>
        </w:tc>
        <w:tc>
          <w:tcPr>
            <w:tcW w:w="1400" w:type="dxa"/>
            <w:tcBorders>
              <w:top w:val="nil"/>
              <w:left w:val="nil"/>
              <w:bottom w:val="nil"/>
              <w:right w:val="nil"/>
            </w:tcBorders>
            <w:shd w:val="clear" w:color="auto" w:fill="auto"/>
            <w:noWrap/>
            <w:vAlign w:val="bottom"/>
            <w:hideMark/>
          </w:tcPr>
          <w:p w14:paraId="098CEB8C"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5099DDD" w14:textId="77777777" w:rsidTr="00A360DB">
        <w:trPr>
          <w:trHeight w:val="240"/>
        </w:trPr>
        <w:tc>
          <w:tcPr>
            <w:tcW w:w="1697" w:type="dxa"/>
            <w:tcBorders>
              <w:top w:val="nil"/>
              <w:left w:val="nil"/>
              <w:bottom w:val="nil"/>
              <w:right w:val="nil"/>
            </w:tcBorders>
            <w:shd w:val="clear" w:color="auto" w:fill="auto"/>
            <w:noWrap/>
            <w:vAlign w:val="bottom"/>
            <w:hideMark/>
          </w:tcPr>
          <w:p w14:paraId="5292C1D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3234</w:t>
            </w:r>
          </w:p>
        </w:tc>
        <w:tc>
          <w:tcPr>
            <w:tcW w:w="8509" w:type="dxa"/>
            <w:tcBorders>
              <w:top w:val="nil"/>
              <w:left w:val="nil"/>
              <w:bottom w:val="nil"/>
              <w:right w:val="nil"/>
            </w:tcBorders>
            <w:shd w:val="clear" w:color="auto" w:fill="auto"/>
            <w:noWrap/>
            <w:vAlign w:val="bottom"/>
            <w:hideMark/>
          </w:tcPr>
          <w:p w14:paraId="6322D03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Komunalne usluge                                                                                    </w:t>
            </w:r>
          </w:p>
        </w:tc>
        <w:tc>
          <w:tcPr>
            <w:tcW w:w="1480" w:type="dxa"/>
            <w:tcBorders>
              <w:top w:val="nil"/>
              <w:left w:val="nil"/>
              <w:bottom w:val="nil"/>
              <w:right w:val="nil"/>
            </w:tcBorders>
            <w:shd w:val="clear" w:color="auto" w:fill="auto"/>
            <w:noWrap/>
            <w:vAlign w:val="bottom"/>
            <w:hideMark/>
          </w:tcPr>
          <w:p w14:paraId="499B6F0E"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B003D15"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1.324,13</w:t>
            </w:r>
          </w:p>
        </w:tc>
        <w:tc>
          <w:tcPr>
            <w:tcW w:w="1400" w:type="dxa"/>
            <w:tcBorders>
              <w:top w:val="nil"/>
              <w:left w:val="nil"/>
              <w:bottom w:val="nil"/>
              <w:right w:val="nil"/>
            </w:tcBorders>
            <w:shd w:val="clear" w:color="auto" w:fill="auto"/>
            <w:noWrap/>
            <w:vAlign w:val="bottom"/>
            <w:hideMark/>
          </w:tcPr>
          <w:p w14:paraId="03343609"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AE4A174" w14:textId="77777777" w:rsidTr="00A360DB">
        <w:trPr>
          <w:trHeight w:val="240"/>
        </w:trPr>
        <w:tc>
          <w:tcPr>
            <w:tcW w:w="1697" w:type="dxa"/>
            <w:tcBorders>
              <w:top w:val="nil"/>
              <w:left w:val="nil"/>
              <w:bottom w:val="nil"/>
              <w:right w:val="nil"/>
            </w:tcBorders>
            <w:shd w:val="clear" w:color="auto" w:fill="auto"/>
            <w:noWrap/>
            <w:vAlign w:val="bottom"/>
            <w:hideMark/>
          </w:tcPr>
          <w:p w14:paraId="5CF9C94E"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3235</w:t>
            </w:r>
          </w:p>
        </w:tc>
        <w:tc>
          <w:tcPr>
            <w:tcW w:w="8509" w:type="dxa"/>
            <w:tcBorders>
              <w:top w:val="nil"/>
              <w:left w:val="nil"/>
              <w:bottom w:val="nil"/>
              <w:right w:val="nil"/>
            </w:tcBorders>
            <w:shd w:val="clear" w:color="auto" w:fill="auto"/>
            <w:noWrap/>
            <w:vAlign w:val="bottom"/>
            <w:hideMark/>
          </w:tcPr>
          <w:p w14:paraId="75AC91A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Zakupnine i najamnine                                                                               </w:t>
            </w:r>
          </w:p>
        </w:tc>
        <w:tc>
          <w:tcPr>
            <w:tcW w:w="1480" w:type="dxa"/>
            <w:tcBorders>
              <w:top w:val="nil"/>
              <w:left w:val="nil"/>
              <w:bottom w:val="nil"/>
              <w:right w:val="nil"/>
            </w:tcBorders>
            <w:shd w:val="clear" w:color="auto" w:fill="auto"/>
            <w:noWrap/>
            <w:vAlign w:val="bottom"/>
            <w:hideMark/>
          </w:tcPr>
          <w:p w14:paraId="785C02BD"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CE1F57B"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232,26</w:t>
            </w:r>
          </w:p>
        </w:tc>
        <w:tc>
          <w:tcPr>
            <w:tcW w:w="1400" w:type="dxa"/>
            <w:tcBorders>
              <w:top w:val="nil"/>
              <w:left w:val="nil"/>
              <w:bottom w:val="nil"/>
              <w:right w:val="nil"/>
            </w:tcBorders>
            <w:shd w:val="clear" w:color="auto" w:fill="auto"/>
            <w:noWrap/>
            <w:vAlign w:val="bottom"/>
            <w:hideMark/>
          </w:tcPr>
          <w:p w14:paraId="03937463"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3D0AF92" w14:textId="77777777" w:rsidTr="00A360DB">
        <w:trPr>
          <w:trHeight w:val="240"/>
        </w:trPr>
        <w:tc>
          <w:tcPr>
            <w:tcW w:w="1697" w:type="dxa"/>
            <w:tcBorders>
              <w:top w:val="nil"/>
              <w:left w:val="nil"/>
              <w:bottom w:val="nil"/>
              <w:right w:val="nil"/>
            </w:tcBorders>
            <w:shd w:val="clear" w:color="auto" w:fill="auto"/>
            <w:noWrap/>
            <w:vAlign w:val="bottom"/>
            <w:hideMark/>
          </w:tcPr>
          <w:p w14:paraId="4012AE6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3236</w:t>
            </w:r>
          </w:p>
        </w:tc>
        <w:tc>
          <w:tcPr>
            <w:tcW w:w="8509" w:type="dxa"/>
            <w:tcBorders>
              <w:top w:val="nil"/>
              <w:left w:val="nil"/>
              <w:bottom w:val="nil"/>
              <w:right w:val="nil"/>
            </w:tcBorders>
            <w:shd w:val="clear" w:color="auto" w:fill="auto"/>
            <w:noWrap/>
            <w:vAlign w:val="bottom"/>
            <w:hideMark/>
          </w:tcPr>
          <w:p w14:paraId="27B9F918"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Zdravstvene i veterinarske usluge                                                                   </w:t>
            </w:r>
          </w:p>
        </w:tc>
        <w:tc>
          <w:tcPr>
            <w:tcW w:w="1480" w:type="dxa"/>
            <w:tcBorders>
              <w:top w:val="nil"/>
              <w:left w:val="nil"/>
              <w:bottom w:val="nil"/>
              <w:right w:val="nil"/>
            </w:tcBorders>
            <w:shd w:val="clear" w:color="auto" w:fill="auto"/>
            <w:noWrap/>
            <w:vAlign w:val="bottom"/>
            <w:hideMark/>
          </w:tcPr>
          <w:p w14:paraId="2495C65E"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20E7C3EA"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974,28</w:t>
            </w:r>
          </w:p>
        </w:tc>
        <w:tc>
          <w:tcPr>
            <w:tcW w:w="1400" w:type="dxa"/>
            <w:tcBorders>
              <w:top w:val="nil"/>
              <w:left w:val="nil"/>
              <w:bottom w:val="nil"/>
              <w:right w:val="nil"/>
            </w:tcBorders>
            <w:shd w:val="clear" w:color="auto" w:fill="auto"/>
            <w:noWrap/>
            <w:vAlign w:val="bottom"/>
            <w:hideMark/>
          </w:tcPr>
          <w:p w14:paraId="7653B196"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D3DB9CD" w14:textId="77777777" w:rsidTr="00A360DB">
        <w:trPr>
          <w:trHeight w:val="240"/>
        </w:trPr>
        <w:tc>
          <w:tcPr>
            <w:tcW w:w="1697" w:type="dxa"/>
            <w:tcBorders>
              <w:top w:val="nil"/>
              <w:left w:val="nil"/>
              <w:bottom w:val="nil"/>
              <w:right w:val="nil"/>
            </w:tcBorders>
            <w:shd w:val="clear" w:color="auto" w:fill="auto"/>
            <w:noWrap/>
            <w:vAlign w:val="bottom"/>
            <w:hideMark/>
          </w:tcPr>
          <w:p w14:paraId="77EC330D"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3237</w:t>
            </w:r>
          </w:p>
        </w:tc>
        <w:tc>
          <w:tcPr>
            <w:tcW w:w="8509" w:type="dxa"/>
            <w:tcBorders>
              <w:top w:val="nil"/>
              <w:left w:val="nil"/>
              <w:bottom w:val="nil"/>
              <w:right w:val="nil"/>
            </w:tcBorders>
            <w:shd w:val="clear" w:color="auto" w:fill="auto"/>
            <w:noWrap/>
            <w:vAlign w:val="bottom"/>
            <w:hideMark/>
          </w:tcPr>
          <w:p w14:paraId="3B6F70B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Intelektualne i osobne usluge                                                                       </w:t>
            </w:r>
          </w:p>
        </w:tc>
        <w:tc>
          <w:tcPr>
            <w:tcW w:w="1480" w:type="dxa"/>
            <w:tcBorders>
              <w:top w:val="nil"/>
              <w:left w:val="nil"/>
              <w:bottom w:val="nil"/>
              <w:right w:val="nil"/>
            </w:tcBorders>
            <w:shd w:val="clear" w:color="auto" w:fill="auto"/>
            <w:noWrap/>
            <w:vAlign w:val="bottom"/>
            <w:hideMark/>
          </w:tcPr>
          <w:p w14:paraId="3D43BAAD"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A5D6067"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762,50</w:t>
            </w:r>
          </w:p>
        </w:tc>
        <w:tc>
          <w:tcPr>
            <w:tcW w:w="1400" w:type="dxa"/>
            <w:tcBorders>
              <w:top w:val="nil"/>
              <w:left w:val="nil"/>
              <w:bottom w:val="nil"/>
              <w:right w:val="nil"/>
            </w:tcBorders>
            <w:shd w:val="clear" w:color="auto" w:fill="auto"/>
            <w:noWrap/>
            <w:vAlign w:val="bottom"/>
            <w:hideMark/>
          </w:tcPr>
          <w:p w14:paraId="1B483C4B"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824804B" w14:textId="77777777" w:rsidTr="00A360DB">
        <w:trPr>
          <w:trHeight w:val="240"/>
        </w:trPr>
        <w:tc>
          <w:tcPr>
            <w:tcW w:w="1697" w:type="dxa"/>
            <w:tcBorders>
              <w:top w:val="nil"/>
              <w:left w:val="nil"/>
              <w:bottom w:val="nil"/>
              <w:right w:val="nil"/>
            </w:tcBorders>
            <w:shd w:val="clear" w:color="auto" w:fill="auto"/>
            <w:noWrap/>
            <w:vAlign w:val="bottom"/>
            <w:hideMark/>
          </w:tcPr>
          <w:p w14:paraId="040DBBED"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3238</w:t>
            </w:r>
          </w:p>
        </w:tc>
        <w:tc>
          <w:tcPr>
            <w:tcW w:w="8509" w:type="dxa"/>
            <w:tcBorders>
              <w:top w:val="nil"/>
              <w:left w:val="nil"/>
              <w:bottom w:val="nil"/>
              <w:right w:val="nil"/>
            </w:tcBorders>
            <w:shd w:val="clear" w:color="auto" w:fill="auto"/>
            <w:noWrap/>
            <w:vAlign w:val="bottom"/>
            <w:hideMark/>
          </w:tcPr>
          <w:p w14:paraId="1DEF2D65"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Računalne usluge                                                                                    </w:t>
            </w:r>
          </w:p>
        </w:tc>
        <w:tc>
          <w:tcPr>
            <w:tcW w:w="1480" w:type="dxa"/>
            <w:tcBorders>
              <w:top w:val="nil"/>
              <w:left w:val="nil"/>
              <w:bottom w:val="nil"/>
              <w:right w:val="nil"/>
            </w:tcBorders>
            <w:shd w:val="clear" w:color="auto" w:fill="auto"/>
            <w:noWrap/>
            <w:vAlign w:val="bottom"/>
            <w:hideMark/>
          </w:tcPr>
          <w:p w14:paraId="7BAD3B4D"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FC90158"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2.703,63</w:t>
            </w:r>
          </w:p>
        </w:tc>
        <w:tc>
          <w:tcPr>
            <w:tcW w:w="1400" w:type="dxa"/>
            <w:tcBorders>
              <w:top w:val="nil"/>
              <w:left w:val="nil"/>
              <w:bottom w:val="nil"/>
              <w:right w:val="nil"/>
            </w:tcBorders>
            <w:shd w:val="clear" w:color="auto" w:fill="auto"/>
            <w:noWrap/>
            <w:vAlign w:val="bottom"/>
            <w:hideMark/>
          </w:tcPr>
          <w:p w14:paraId="1D4556ED"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0E049B1" w14:textId="77777777" w:rsidTr="00A360DB">
        <w:trPr>
          <w:trHeight w:val="240"/>
        </w:trPr>
        <w:tc>
          <w:tcPr>
            <w:tcW w:w="1697" w:type="dxa"/>
            <w:tcBorders>
              <w:top w:val="nil"/>
              <w:left w:val="nil"/>
              <w:bottom w:val="nil"/>
              <w:right w:val="nil"/>
            </w:tcBorders>
            <w:shd w:val="clear" w:color="auto" w:fill="auto"/>
            <w:noWrap/>
            <w:vAlign w:val="bottom"/>
            <w:hideMark/>
          </w:tcPr>
          <w:p w14:paraId="7B5A679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3241</w:t>
            </w:r>
          </w:p>
        </w:tc>
        <w:tc>
          <w:tcPr>
            <w:tcW w:w="8509" w:type="dxa"/>
            <w:tcBorders>
              <w:top w:val="nil"/>
              <w:left w:val="nil"/>
              <w:bottom w:val="nil"/>
              <w:right w:val="nil"/>
            </w:tcBorders>
            <w:shd w:val="clear" w:color="auto" w:fill="auto"/>
            <w:noWrap/>
            <w:vAlign w:val="bottom"/>
            <w:hideMark/>
          </w:tcPr>
          <w:p w14:paraId="56448AA8"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Naknade troškova osobama izvan radnog odnosa                                                        </w:t>
            </w:r>
          </w:p>
        </w:tc>
        <w:tc>
          <w:tcPr>
            <w:tcW w:w="1480" w:type="dxa"/>
            <w:tcBorders>
              <w:top w:val="nil"/>
              <w:left w:val="nil"/>
              <w:bottom w:val="nil"/>
              <w:right w:val="nil"/>
            </w:tcBorders>
            <w:shd w:val="clear" w:color="auto" w:fill="auto"/>
            <w:noWrap/>
            <w:vAlign w:val="bottom"/>
            <w:hideMark/>
          </w:tcPr>
          <w:p w14:paraId="1E882C78"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91EBE79"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80,62</w:t>
            </w:r>
          </w:p>
        </w:tc>
        <w:tc>
          <w:tcPr>
            <w:tcW w:w="1400" w:type="dxa"/>
            <w:tcBorders>
              <w:top w:val="nil"/>
              <w:left w:val="nil"/>
              <w:bottom w:val="nil"/>
              <w:right w:val="nil"/>
            </w:tcBorders>
            <w:shd w:val="clear" w:color="auto" w:fill="auto"/>
            <w:noWrap/>
            <w:vAlign w:val="bottom"/>
            <w:hideMark/>
          </w:tcPr>
          <w:p w14:paraId="5B7E21B7"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7EA0862" w14:textId="77777777" w:rsidTr="00A360DB">
        <w:trPr>
          <w:trHeight w:val="240"/>
        </w:trPr>
        <w:tc>
          <w:tcPr>
            <w:tcW w:w="1697" w:type="dxa"/>
            <w:tcBorders>
              <w:top w:val="nil"/>
              <w:left w:val="nil"/>
              <w:bottom w:val="nil"/>
              <w:right w:val="nil"/>
            </w:tcBorders>
            <w:shd w:val="clear" w:color="auto" w:fill="auto"/>
            <w:noWrap/>
            <w:vAlign w:val="bottom"/>
            <w:hideMark/>
          </w:tcPr>
          <w:p w14:paraId="0777C77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3293</w:t>
            </w:r>
          </w:p>
        </w:tc>
        <w:tc>
          <w:tcPr>
            <w:tcW w:w="8509" w:type="dxa"/>
            <w:tcBorders>
              <w:top w:val="nil"/>
              <w:left w:val="nil"/>
              <w:bottom w:val="nil"/>
              <w:right w:val="nil"/>
            </w:tcBorders>
            <w:shd w:val="clear" w:color="auto" w:fill="auto"/>
            <w:noWrap/>
            <w:vAlign w:val="bottom"/>
            <w:hideMark/>
          </w:tcPr>
          <w:p w14:paraId="192C1AF7"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Reprezentacija                                                                                      </w:t>
            </w:r>
          </w:p>
        </w:tc>
        <w:tc>
          <w:tcPr>
            <w:tcW w:w="1480" w:type="dxa"/>
            <w:tcBorders>
              <w:top w:val="nil"/>
              <w:left w:val="nil"/>
              <w:bottom w:val="nil"/>
              <w:right w:val="nil"/>
            </w:tcBorders>
            <w:shd w:val="clear" w:color="auto" w:fill="auto"/>
            <w:noWrap/>
            <w:vAlign w:val="bottom"/>
            <w:hideMark/>
          </w:tcPr>
          <w:p w14:paraId="4C133D70"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1928C503"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994,00</w:t>
            </w:r>
          </w:p>
        </w:tc>
        <w:tc>
          <w:tcPr>
            <w:tcW w:w="1400" w:type="dxa"/>
            <w:tcBorders>
              <w:top w:val="nil"/>
              <w:left w:val="nil"/>
              <w:bottom w:val="nil"/>
              <w:right w:val="nil"/>
            </w:tcBorders>
            <w:shd w:val="clear" w:color="auto" w:fill="auto"/>
            <w:noWrap/>
            <w:vAlign w:val="bottom"/>
            <w:hideMark/>
          </w:tcPr>
          <w:p w14:paraId="4C1AB6F7"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FC993E9" w14:textId="77777777" w:rsidTr="00A360DB">
        <w:trPr>
          <w:trHeight w:val="240"/>
        </w:trPr>
        <w:tc>
          <w:tcPr>
            <w:tcW w:w="1697" w:type="dxa"/>
            <w:tcBorders>
              <w:top w:val="nil"/>
              <w:left w:val="nil"/>
              <w:bottom w:val="nil"/>
              <w:right w:val="nil"/>
            </w:tcBorders>
            <w:shd w:val="clear" w:color="auto" w:fill="auto"/>
            <w:noWrap/>
            <w:vAlign w:val="bottom"/>
            <w:hideMark/>
          </w:tcPr>
          <w:p w14:paraId="28506B9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3294</w:t>
            </w:r>
          </w:p>
        </w:tc>
        <w:tc>
          <w:tcPr>
            <w:tcW w:w="8509" w:type="dxa"/>
            <w:tcBorders>
              <w:top w:val="nil"/>
              <w:left w:val="nil"/>
              <w:bottom w:val="nil"/>
              <w:right w:val="nil"/>
            </w:tcBorders>
            <w:shd w:val="clear" w:color="auto" w:fill="auto"/>
            <w:noWrap/>
            <w:vAlign w:val="bottom"/>
            <w:hideMark/>
          </w:tcPr>
          <w:p w14:paraId="303C97D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Članarine</w:t>
            </w:r>
          </w:p>
        </w:tc>
        <w:tc>
          <w:tcPr>
            <w:tcW w:w="1480" w:type="dxa"/>
            <w:tcBorders>
              <w:top w:val="nil"/>
              <w:left w:val="nil"/>
              <w:bottom w:val="nil"/>
              <w:right w:val="nil"/>
            </w:tcBorders>
            <w:shd w:val="clear" w:color="auto" w:fill="auto"/>
            <w:noWrap/>
            <w:vAlign w:val="bottom"/>
            <w:hideMark/>
          </w:tcPr>
          <w:p w14:paraId="1F98C821"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3424AFE"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228,09</w:t>
            </w:r>
          </w:p>
        </w:tc>
        <w:tc>
          <w:tcPr>
            <w:tcW w:w="1400" w:type="dxa"/>
            <w:tcBorders>
              <w:top w:val="nil"/>
              <w:left w:val="nil"/>
              <w:bottom w:val="nil"/>
              <w:right w:val="nil"/>
            </w:tcBorders>
            <w:shd w:val="clear" w:color="auto" w:fill="auto"/>
            <w:noWrap/>
            <w:vAlign w:val="bottom"/>
            <w:hideMark/>
          </w:tcPr>
          <w:p w14:paraId="6143C42B"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57B2D666" w14:textId="77777777" w:rsidTr="00A360DB">
        <w:trPr>
          <w:trHeight w:val="240"/>
        </w:trPr>
        <w:tc>
          <w:tcPr>
            <w:tcW w:w="1697" w:type="dxa"/>
            <w:tcBorders>
              <w:top w:val="nil"/>
              <w:left w:val="nil"/>
              <w:bottom w:val="nil"/>
              <w:right w:val="nil"/>
            </w:tcBorders>
            <w:shd w:val="clear" w:color="auto" w:fill="auto"/>
            <w:noWrap/>
            <w:vAlign w:val="bottom"/>
            <w:hideMark/>
          </w:tcPr>
          <w:p w14:paraId="733C603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3295</w:t>
            </w:r>
          </w:p>
        </w:tc>
        <w:tc>
          <w:tcPr>
            <w:tcW w:w="8509" w:type="dxa"/>
            <w:tcBorders>
              <w:top w:val="nil"/>
              <w:left w:val="nil"/>
              <w:bottom w:val="nil"/>
              <w:right w:val="nil"/>
            </w:tcBorders>
            <w:shd w:val="clear" w:color="auto" w:fill="auto"/>
            <w:noWrap/>
            <w:vAlign w:val="bottom"/>
            <w:hideMark/>
          </w:tcPr>
          <w:p w14:paraId="6E44AAB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Pristojbe i naknade                                                                                 </w:t>
            </w:r>
          </w:p>
        </w:tc>
        <w:tc>
          <w:tcPr>
            <w:tcW w:w="1480" w:type="dxa"/>
            <w:tcBorders>
              <w:top w:val="nil"/>
              <w:left w:val="nil"/>
              <w:bottom w:val="nil"/>
              <w:right w:val="nil"/>
            </w:tcBorders>
            <w:shd w:val="clear" w:color="auto" w:fill="auto"/>
            <w:noWrap/>
            <w:vAlign w:val="bottom"/>
            <w:hideMark/>
          </w:tcPr>
          <w:p w14:paraId="5B575034"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FACCD9B"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292,36</w:t>
            </w:r>
          </w:p>
        </w:tc>
        <w:tc>
          <w:tcPr>
            <w:tcW w:w="1400" w:type="dxa"/>
            <w:tcBorders>
              <w:top w:val="nil"/>
              <w:left w:val="nil"/>
              <w:bottom w:val="nil"/>
              <w:right w:val="nil"/>
            </w:tcBorders>
            <w:shd w:val="clear" w:color="auto" w:fill="auto"/>
            <w:noWrap/>
            <w:vAlign w:val="bottom"/>
            <w:hideMark/>
          </w:tcPr>
          <w:p w14:paraId="635890AB"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3143759" w14:textId="77777777" w:rsidTr="00A360DB">
        <w:trPr>
          <w:trHeight w:val="240"/>
        </w:trPr>
        <w:tc>
          <w:tcPr>
            <w:tcW w:w="1697" w:type="dxa"/>
            <w:tcBorders>
              <w:top w:val="nil"/>
              <w:left w:val="nil"/>
              <w:bottom w:val="nil"/>
              <w:right w:val="nil"/>
            </w:tcBorders>
            <w:shd w:val="clear" w:color="auto" w:fill="auto"/>
            <w:noWrap/>
            <w:vAlign w:val="bottom"/>
            <w:hideMark/>
          </w:tcPr>
          <w:p w14:paraId="02D7DE9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3299</w:t>
            </w:r>
          </w:p>
        </w:tc>
        <w:tc>
          <w:tcPr>
            <w:tcW w:w="8509" w:type="dxa"/>
            <w:tcBorders>
              <w:top w:val="nil"/>
              <w:left w:val="nil"/>
              <w:bottom w:val="nil"/>
              <w:right w:val="nil"/>
            </w:tcBorders>
            <w:shd w:val="clear" w:color="auto" w:fill="auto"/>
            <w:noWrap/>
            <w:vAlign w:val="bottom"/>
            <w:hideMark/>
          </w:tcPr>
          <w:p w14:paraId="2E8266E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Ostali nespomenuti rashodi poslovanja                                                               </w:t>
            </w:r>
          </w:p>
        </w:tc>
        <w:tc>
          <w:tcPr>
            <w:tcW w:w="1480" w:type="dxa"/>
            <w:tcBorders>
              <w:top w:val="nil"/>
              <w:left w:val="nil"/>
              <w:bottom w:val="nil"/>
              <w:right w:val="nil"/>
            </w:tcBorders>
            <w:shd w:val="clear" w:color="auto" w:fill="auto"/>
            <w:noWrap/>
            <w:vAlign w:val="bottom"/>
            <w:hideMark/>
          </w:tcPr>
          <w:p w14:paraId="5BB15F11"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E98E8CA"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30,00</w:t>
            </w:r>
          </w:p>
        </w:tc>
        <w:tc>
          <w:tcPr>
            <w:tcW w:w="1400" w:type="dxa"/>
            <w:tcBorders>
              <w:top w:val="nil"/>
              <w:left w:val="nil"/>
              <w:bottom w:val="nil"/>
              <w:right w:val="nil"/>
            </w:tcBorders>
            <w:shd w:val="clear" w:color="auto" w:fill="auto"/>
            <w:noWrap/>
            <w:vAlign w:val="bottom"/>
            <w:hideMark/>
          </w:tcPr>
          <w:p w14:paraId="0B277084"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AA22CCB" w14:textId="77777777" w:rsidTr="00A360DB">
        <w:trPr>
          <w:trHeight w:val="240"/>
        </w:trPr>
        <w:tc>
          <w:tcPr>
            <w:tcW w:w="1697" w:type="dxa"/>
            <w:tcBorders>
              <w:top w:val="nil"/>
              <w:left w:val="nil"/>
              <w:bottom w:val="nil"/>
              <w:right w:val="nil"/>
            </w:tcBorders>
            <w:shd w:val="clear" w:color="auto" w:fill="auto"/>
            <w:noWrap/>
            <w:vAlign w:val="bottom"/>
            <w:hideMark/>
          </w:tcPr>
          <w:p w14:paraId="399BF812"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34</w:t>
            </w:r>
          </w:p>
        </w:tc>
        <w:tc>
          <w:tcPr>
            <w:tcW w:w="8509" w:type="dxa"/>
            <w:tcBorders>
              <w:top w:val="nil"/>
              <w:left w:val="nil"/>
              <w:bottom w:val="nil"/>
              <w:right w:val="nil"/>
            </w:tcBorders>
            <w:shd w:val="clear" w:color="auto" w:fill="auto"/>
            <w:noWrap/>
            <w:vAlign w:val="bottom"/>
            <w:hideMark/>
          </w:tcPr>
          <w:p w14:paraId="2F88A0DC"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Financijski rashodi                                                                                 </w:t>
            </w:r>
          </w:p>
        </w:tc>
        <w:tc>
          <w:tcPr>
            <w:tcW w:w="1480" w:type="dxa"/>
            <w:tcBorders>
              <w:top w:val="nil"/>
              <w:left w:val="nil"/>
              <w:bottom w:val="nil"/>
              <w:right w:val="nil"/>
            </w:tcBorders>
            <w:shd w:val="clear" w:color="auto" w:fill="auto"/>
            <w:noWrap/>
            <w:vAlign w:val="bottom"/>
            <w:hideMark/>
          </w:tcPr>
          <w:p w14:paraId="278FEBF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50,00</w:t>
            </w:r>
          </w:p>
        </w:tc>
        <w:tc>
          <w:tcPr>
            <w:tcW w:w="1380" w:type="dxa"/>
            <w:tcBorders>
              <w:top w:val="nil"/>
              <w:left w:val="nil"/>
              <w:bottom w:val="nil"/>
              <w:right w:val="nil"/>
            </w:tcBorders>
            <w:shd w:val="clear" w:color="auto" w:fill="auto"/>
            <w:noWrap/>
            <w:vAlign w:val="bottom"/>
            <w:hideMark/>
          </w:tcPr>
          <w:p w14:paraId="575D417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c>
          <w:tcPr>
            <w:tcW w:w="1400" w:type="dxa"/>
            <w:tcBorders>
              <w:top w:val="nil"/>
              <w:left w:val="nil"/>
              <w:bottom w:val="nil"/>
              <w:right w:val="nil"/>
            </w:tcBorders>
            <w:shd w:val="clear" w:color="auto" w:fill="auto"/>
            <w:noWrap/>
            <w:vAlign w:val="bottom"/>
            <w:hideMark/>
          </w:tcPr>
          <w:p w14:paraId="2FA57C6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r>
      <w:tr w:rsidR="00A360DB" w:rsidRPr="00A360DB" w14:paraId="5BBC36E4" w14:textId="77777777" w:rsidTr="00A360DB">
        <w:trPr>
          <w:trHeight w:val="240"/>
        </w:trPr>
        <w:tc>
          <w:tcPr>
            <w:tcW w:w="1697" w:type="dxa"/>
            <w:tcBorders>
              <w:top w:val="nil"/>
              <w:left w:val="nil"/>
              <w:bottom w:val="nil"/>
              <w:right w:val="nil"/>
            </w:tcBorders>
            <w:shd w:val="clear" w:color="auto" w:fill="auto"/>
            <w:noWrap/>
            <w:vAlign w:val="bottom"/>
            <w:hideMark/>
          </w:tcPr>
          <w:p w14:paraId="3A9D5C7C"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37</w:t>
            </w:r>
          </w:p>
        </w:tc>
        <w:tc>
          <w:tcPr>
            <w:tcW w:w="8509" w:type="dxa"/>
            <w:tcBorders>
              <w:top w:val="nil"/>
              <w:left w:val="nil"/>
              <w:bottom w:val="nil"/>
              <w:right w:val="nil"/>
            </w:tcBorders>
            <w:shd w:val="clear" w:color="auto" w:fill="auto"/>
            <w:noWrap/>
            <w:vAlign w:val="bottom"/>
            <w:hideMark/>
          </w:tcPr>
          <w:p w14:paraId="41F1DAE3"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Naknade građanima i kućanstvima na temelju osiguranja i druge naknade                               </w:t>
            </w:r>
          </w:p>
        </w:tc>
        <w:tc>
          <w:tcPr>
            <w:tcW w:w="1480" w:type="dxa"/>
            <w:tcBorders>
              <w:top w:val="nil"/>
              <w:left w:val="nil"/>
              <w:bottom w:val="nil"/>
              <w:right w:val="nil"/>
            </w:tcBorders>
            <w:shd w:val="clear" w:color="auto" w:fill="auto"/>
            <w:noWrap/>
            <w:vAlign w:val="bottom"/>
            <w:hideMark/>
          </w:tcPr>
          <w:p w14:paraId="7667082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c>
          <w:tcPr>
            <w:tcW w:w="1380" w:type="dxa"/>
            <w:tcBorders>
              <w:top w:val="nil"/>
              <w:left w:val="nil"/>
              <w:bottom w:val="nil"/>
              <w:right w:val="nil"/>
            </w:tcBorders>
            <w:shd w:val="clear" w:color="auto" w:fill="auto"/>
            <w:noWrap/>
            <w:vAlign w:val="bottom"/>
            <w:hideMark/>
          </w:tcPr>
          <w:p w14:paraId="69B0001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c>
          <w:tcPr>
            <w:tcW w:w="1400" w:type="dxa"/>
            <w:tcBorders>
              <w:top w:val="nil"/>
              <w:left w:val="nil"/>
              <w:bottom w:val="nil"/>
              <w:right w:val="nil"/>
            </w:tcBorders>
            <w:shd w:val="clear" w:color="auto" w:fill="auto"/>
            <w:noWrap/>
            <w:vAlign w:val="bottom"/>
            <w:hideMark/>
          </w:tcPr>
          <w:p w14:paraId="2000DA1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r>
      <w:tr w:rsidR="00A360DB" w:rsidRPr="00A360DB" w14:paraId="027337DF" w14:textId="77777777" w:rsidTr="00A360DB">
        <w:trPr>
          <w:trHeight w:val="240"/>
        </w:trPr>
        <w:tc>
          <w:tcPr>
            <w:tcW w:w="1697" w:type="dxa"/>
            <w:tcBorders>
              <w:top w:val="nil"/>
              <w:left w:val="nil"/>
              <w:bottom w:val="nil"/>
              <w:right w:val="nil"/>
            </w:tcBorders>
            <w:shd w:val="clear" w:color="000000" w:fill="B4C6E7"/>
            <w:noWrap/>
            <w:vAlign w:val="bottom"/>
            <w:hideMark/>
          </w:tcPr>
          <w:p w14:paraId="5E92B70C"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A102008</w:t>
            </w:r>
          </w:p>
        </w:tc>
        <w:tc>
          <w:tcPr>
            <w:tcW w:w="8509" w:type="dxa"/>
            <w:tcBorders>
              <w:top w:val="nil"/>
              <w:left w:val="nil"/>
              <w:bottom w:val="nil"/>
              <w:right w:val="nil"/>
            </w:tcBorders>
            <w:shd w:val="clear" w:color="000000" w:fill="B4C6E7"/>
            <w:noWrap/>
            <w:vAlign w:val="bottom"/>
            <w:hideMark/>
          </w:tcPr>
          <w:p w14:paraId="3D85289E"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Aktivnost: Redovna djelatnost OŠ - izvan </w:t>
            </w:r>
            <w:proofErr w:type="spellStart"/>
            <w:r w:rsidRPr="00A360DB">
              <w:rPr>
                <w:rFonts w:ascii="Arial" w:hAnsi="Arial" w:cs="Arial"/>
                <w:b/>
                <w:bCs/>
                <w:sz w:val="18"/>
                <w:szCs w:val="18"/>
                <w:lang w:eastAsia="hr-HR"/>
              </w:rPr>
              <w:t>dec</w:t>
            </w:r>
            <w:proofErr w:type="spellEnd"/>
            <w:r w:rsidRPr="00A360DB">
              <w:rPr>
                <w:rFonts w:ascii="Arial" w:hAnsi="Arial" w:cs="Arial"/>
                <w:b/>
                <w:bCs/>
                <w:sz w:val="18"/>
                <w:szCs w:val="18"/>
                <w:lang w:eastAsia="hr-HR"/>
              </w:rPr>
              <w:t>. sredstava</w:t>
            </w:r>
          </w:p>
        </w:tc>
        <w:tc>
          <w:tcPr>
            <w:tcW w:w="1480" w:type="dxa"/>
            <w:tcBorders>
              <w:top w:val="nil"/>
              <w:left w:val="nil"/>
              <w:bottom w:val="nil"/>
              <w:right w:val="nil"/>
            </w:tcBorders>
            <w:shd w:val="clear" w:color="000000" w:fill="B4C6E7"/>
            <w:noWrap/>
            <w:vAlign w:val="bottom"/>
            <w:hideMark/>
          </w:tcPr>
          <w:p w14:paraId="3874066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697.550,00</w:t>
            </w:r>
          </w:p>
        </w:tc>
        <w:tc>
          <w:tcPr>
            <w:tcW w:w="1380" w:type="dxa"/>
            <w:tcBorders>
              <w:top w:val="nil"/>
              <w:left w:val="nil"/>
              <w:bottom w:val="nil"/>
              <w:right w:val="nil"/>
            </w:tcBorders>
            <w:shd w:val="clear" w:color="000000" w:fill="B4C6E7"/>
            <w:noWrap/>
            <w:vAlign w:val="bottom"/>
            <w:hideMark/>
          </w:tcPr>
          <w:p w14:paraId="5626381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586.879,22</w:t>
            </w:r>
          </w:p>
        </w:tc>
        <w:tc>
          <w:tcPr>
            <w:tcW w:w="1400" w:type="dxa"/>
            <w:tcBorders>
              <w:top w:val="nil"/>
              <w:left w:val="nil"/>
              <w:bottom w:val="nil"/>
              <w:right w:val="nil"/>
            </w:tcBorders>
            <w:shd w:val="clear" w:color="000000" w:fill="B4C6E7"/>
            <w:noWrap/>
            <w:vAlign w:val="bottom"/>
            <w:hideMark/>
          </w:tcPr>
          <w:p w14:paraId="1342BDA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84,13%</w:t>
            </w:r>
          </w:p>
        </w:tc>
      </w:tr>
      <w:tr w:rsidR="00A360DB" w:rsidRPr="00A360DB" w14:paraId="0EB7E215"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193304F6"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55520585"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21.150,00</w:t>
            </w:r>
          </w:p>
        </w:tc>
        <w:tc>
          <w:tcPr>
            <w:tcW w:w="1380" w:type="dxa"/>
            <w:tcBorders>
              <w:top w:val="nil"/>
              <w:left w:val="nil"/>
              <w:bottom w:val="nil"/>
              <w:right w:val="nil"/>
            </w:tcBorders>
            <w:shd w:val="clear" w:color="auto" w:fill="auto"/>
            <w:noWrap/>
            <w:vAlign w:val="bottom"/>
            <w:hideMark/>
          </w:tcPr>
          <w:p w14:paraId="46AA99FB"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13.447,90</w:t>
            </w:r>
          </w:p>
        </w:tc>
        <w:tc>
          <w:tcPr>
            <w:tcW w:w="1400" w:type="dxa"/>
            <w:tcBorders>
              <w:top w:val="nil"/>
              <w:left w:val="nil"/>
              <w:bottom w:val="nil"/>
              <w:right w:val="nil"/>
            </w:tcBorders>
            <w:shd w:val="clear" w:color="auto" w:fill="auto"/>
            <w:noWrap/>
            <w:vAlign w:val="bottom"/>
            <w:hideMark/>
          </w:tcPr>
          <w:p w14:paraId="19E203C8"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63,58%</w:t>
            </w:r>
          </w:p>
        </w:tc>
      </w:tr>
      <w:tr w:rsidR="00A360DB" w:rsidRPr="00A360DB" w14:paraId="00DE83D8"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3F68EB9D"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3723B16A"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21.150,00</w:t>
            </w:r>
          </w:p>
        </w:tc>
        <w:tc>
          <w:tcPr>
            <w:tcW w:w="1380" w:type="dxa"/>
            <w:tcBorders>
              <w:top w:val="nil"/>
              <w:left w:val="nil"/>
              <w:bottom w:val="nil"/>
              <w:right w:val="nil"/>
            </w:tcBorders>
            <w:shd w:val="clear" w:color="auto" w:fill="auto"/>
            <w:noWrap/>
            <w:vAlign w:val="bottom"/>
            <w:hideMark/>
          </w:tcPr>
          <w:p w14:paraId="6F59FF01"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13.447,90</w:t>
            </w:r>
          </w:p>
        </w:tc>
        <w:tc>
          <w:tcPr>
            <w:tcW w:w="1400" w:type="dxa"/>
            <w:tcBorders>
              <w:top w:val="nil"/>
              <w:left w:val="nil"/>
              <w:bottom w:val="nil"/>
              <w:right w:val="nil"/>
            </w:tcBorders>
            <w:shd w:val="clear" w:color="auto" w:fill="auto"/>
            <w:noWrap/>
            <w:vAlign w:val="bottom"/>
            <w:hideMark/>
          </w:tcPr>
          <w:p w14:paraId="6A98BED9"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63,58%</w:t>
            </w:r>
          </w:p>
        </w:tc>
      </w:tr>
      <w:tr w:rsidR="00A360DB" w:rsidRPr="00A360DB" w14:paraId="51A52C77" w14:textId="77777777" w:rsidTr="00A360DB">
        <w:trPr>
          <w:trHeight w:val="240"/>
        </w:trPr>
        <w:tc>
          <w:tcPr>
            <w:tcW w:w="1697" w:type="dxa"/>
            <w:tcBorders>
              <w:top w:val="nil"/>
              <w:left w:val="nil"/>
              <w:bottom w:val="nil"/>
              <w:right w:val="nil"/>
            </w:tcBorders>
            <w:shd w:val="clear" w:color="auto" w:fill="auto"/>
            <w:noWrap/>
            <w:vAlign w:val="bottom"/>
            <w:hideMark/>
          </w:tcPr>
          <w:p w14:paraId="7374B65B"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5F84A670"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7EF1F2E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19.800,00</w:t>
            </w:r>
          </w:p>
        </w:tc>
        <w:tc>
          <w:tcPr>
            <w:tcW w:w="1380" w:type="dxa"/>
            <w:tcBorders>
              <w:top w:val="nil"/>
              <w:left w:val="nil"/>
              <w:bottom w:val="nil"/>
              <w:right w:val="nil"/>
            </w:tcBorders>
            <w:shd w:val="clear" w:color="auto" w:fill="auto"/>
            <w:noWrap/>
            <w:vAlign w:val="bottom"/>
            <w:hideMark/>
          </w:tcPr>
          <w:p w14:paraId="2301389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12.114,57</w:t>
            </w:r>
          </w:p>
        </w:tc>
        <w:tc>
          <w:tcPr>
            <w:tcW w:w="1400" w:type="dxa"/>
            <w:tcBorders>
              <w:top w:val="nil"/>
              <w:left w:val="nil"/>
              <w:bottom w:val="nil"/>
              <w:right w:val="nil"/>
            </w:tcBorders>
            <w:shd w:val="clear" w:color="auto" w:fill="auto"/>
            <w:noWrap/>
            <w:vAlign w:val="bottom"/>
            <w:hideMark/>
          </w:tcPr>
          <w:p w14:paraId="00E44E8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61,18%</w:t>
            </w:r>
          </w:p>
        </w:tc>
      </w:tr>
      <w:tr w:rsidR="00A360DB" w:rsidRPr="00A360DB" w14:paraId="22D78F1D" w14:textId="77777777" w:rsidTr="00A360DB">
        <w:trPr>
          <w:trHeight w:val="240"/>
        </w:trPr>
        <w:tc>
          <w:tcPr>
            <w:tcW w:w="1697" w:type="dxa"/>
            <w:tcBorders>
              <w:top w:val="nil"/>
              <w:left w:val="nil"/>
              <w:bottom w:val="nil"/>
              <w:right w:val="nil"/>
            </w:tcBorders>
            <w:shd w:val="clear" w:color="auto" w:fill="auto"/>
            <w:noWrap/>
            <w:vAlign w:val="bottom"/>
            <w:hideMark/>
          </w:tcPr>
          <w:p w14:paraId="48A7BD8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lastRenderedPageBreak/>
              <w:t>3222</w:t>
            </w:r>
          </w:p>
        </w:tc>
        <w:tc>
          <w:tcPr>
            <w:tcW w:w="8509" w:type="dxa"/>
            <w:tcBorders>
              <w:top w:val="nil"/>
              <w:left w:val="nil"/>
              <w:bottom w:val="nil"/>
              <w:right w:val="nil"/>
            </w:tcBorders>
            <w:shd w:val="clear" w:color="auto" w:fill="auto"/>
            <w:noWrap/>
            <w:vAlign w:val="bottom"/>
            <w:hideMark/>
          </w:tcPr>
          <w:p w14:paraId="661DCED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Materijal i sirovine                                                                                </w:t>
            </w:r>
          </w:p>
        </w:tc>
        <w:tc>
          <w:tcPr>
            <w:tcW w:w="1480" w:type="dxa"/>
            <w:tcBorders>
              <w:top w:val="nil"/>
              <w:left w:val="nil"/>
              <w:bottom w:val="nil"/>
              <w:right w:val="nil"/>
            </w:tcBorders>
            <w:shd w:val="clear" w:color="auto" w:fill="auto"/>
            <w:noWrap/>
            <w:vAlign w:val="bottom"/>
            <w:hideMark/>
          </w:tcPr>
          <w:p w14:paraId="2095B553"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2A59FE1B"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26,48</w:t>
            </w:r>
          </w:p>
        </w:tc>
        <w:tc>
          <w:tcPr>
            <w:tcW w:w="1400" w:type="dxa"/>
            <w:tcBorders>
              <w:top w:val="nil"/>
              <w:left w:val="nil"/>
              <w:bottom w:val="nil"/>
              <w:right w:val="nil"/>
            </w:tcBorders>
            <w:shd w:val="clear" w:color="auto" w:fill="auto"/>
            <w:noWrap/>
            <w:vAlign w:val="bottom"/>
            <w:hideMark/>
          </w:tcPr>
          <w:p w14:paraId="59761A30"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FD598F1" w14:textId="77777777" w:rsidTr="00A360DB">
        <w:trPr>
          <w:trHeight w:val="240"/>
        </w:trPr>
        <w:tc>
          <w:tcPr>
            <w:tcW w:w="1697" w:type="dxa"/>
            <w:tcBorders>
              <w:top w:val="nil"/>
              <w:left w:val="nil"/>
              <w:bottom w:val="nil"/>
              <w:right w:val="nil"/>
            </w:tcBorders>
            <w:shd w:val="clear" w:color="auto" w:fill="auto"/>
            <w:noWrap/>
            <w:vAlign w:val="bottom"/>
            <w:hideMark/>
          </w:tcPr>
          <w:p w14:paraId="4299FFA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3223</w:t>
            </w:r>
          </w:p>
        </w:tc>
        <w:tc>
          <w:tcPr>
            <w:tcW w:w="8509" w:type="dxa"/>
            <w:tcBorders>
              <w:top w:val="nil"/>
              <w:left w:val="nil"/>
              <w:bottom w:val="nil"/>
              <w:right w:val="nil"/>
            </w:tcBorders>
            <w:shd w:val="clear" w:color="auto" w:fill="auto"/>
            <w:noWrap/>
            <w:vAlign w:val="bottom"/>
            <w:hideMark/>
          </w:tcPr>
          <w:p w14:paraId="28F2C69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Energija                                                                                            </w:t>
            </w:r>
          </w:p>
        </w:tc>
        <w:tc>
          <w:tcPr>
            <w:tcW w:w="1480" w:type="dxa"/>
            <w:tcBorders>
              <w:top w:val="nil"/>
              <w:left w:val="nil"/>
              <w:bottom w:val="nil"/>
              <w:right w:val="nil"/>
            </w:tcBorders>
            <w:shd w:val="clear" w:color="auto" w:fill="auto"/>
            <w:noWrap/>
            <w:vAlign w:val="bottom"/>
            <w:hideMark/>
          </w:tcPr>
          <w:p w14:paraId="04B9B640"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391607B"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7.489,41</w:t>
            </w:r>
          </w:p>
        </w:tc>
        <w:tc>
          <w:tcPr>
            <w:tcW w:w="1400" w:type="dxa"/>
            <w:tcBorders>
              <w:top w:val="nil"/>
              <w:left w:val="nil"/>
              <w:bottom w:val="nil"/>
              <w:right w:val="nil"/>
            </w:tcBorders>
            <w:shd w:val="clear" w:color="auto" w:fill="auto"/>
            <w:noWrap/>
            <w:vAlign w:val="bottom"/>
            <w:hideMark/>
          </w:tcPr>
          <w:p w14:paraId="5B2F4777"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8693EA5" w14:textId="77777777" w:rsidTr="00A360DB">
        <w:trPr>
          <w:trHeight w:val="240"/>
        </w:trPr>
        <w:tc>
          <w:tcPr>
            <w:tcW w:w="1697" w:type="dxa"/>
            <w:tcBorders>
              <w:top w:val="nil"/>
              <w:left w:val="nil"/>
              <w:bottom w:val="nil"/>
              <w:right w:val="nil"/>
            </w:tcBorders>
            <w:shd w:val="clear" w:color="auto" w:fill="auto"/>
            <w:noWrap/>
            <w:vAlign w:val="bottom"/>
            <w:hideMark/>
          </w:tcPr>
          <w:p w14:paraId="005920E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3231</w:t>
            </w:r>
          </w:p>
        </w:tc>
        <w:tc>
          <w:tcPr>
            <w:tcW w:w="8509" w:type="dxa"/>
            <w:tcBorders>
              <w:top w:val="nil"/>
              <w:left w:val="nil"/>
              <w:bottom w:val="nil"/>
              <w:right w:val="nil"/>
            </w:tcBorders>
            <w:shd w:val="clear" w:color="auto" w:fill="auto"/>
            <w:noWrap/>
            <w:vAlign w:val="bottom"/>
            <w:hideMark/>
          </w:tcPr>
          <w:p w14:paraId="765119F5"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Usluge telefona, pošte i prijevoza                                                                  </w:t>
            </w:r>
          </w:p>
        </w:tc>
        <w:tc>
          <w:tcPr>
            <w:tcW w:w="1480" w:type="dxa"/>
            <w:tcBorders>
              <w:top w:val="nil"/>
              <w:left w:val="nil"/>
              <w:bottom w:val="nil"/>
              <w:right w:val="nil"/>
            </w:tcBorders>
            <w:shd w:val="clear" w:color="auto" w:fill="auto"/>
            <w:noWrap/>
            <w:vAlign w:val="bottom"/>
            <w:hideMark/>
          </w:tcPr>
          <w:p w14:paraId="205DC17F"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7D4DFCE"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1.028,68</w:t>
            </w:r>
          </w:p>
        </w:tc>
        <w:tc>
          <w:tcPr>
            <w:tcW w:w="1400" w:type="dxa"/>
            <w:tcBorders>
              <w:top w:val="nil"/>
              <w:left w:val="nil"/>
              <w:bottom w:val="nil"/>
              <w:right w:val="nil"/>
            </w:tcBorders>
            <w:shd w:val="clear" w:color="auto" w:fill="auto"/>
            <w:noWrap/>
            <w:vAlign w:val="bottom"/>
            <w:hideMark/>
          </w:tcPr>
          <w:p w14:paraId="4C9AC44B"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2A377B0" w14:textId="77777777" w:rsidTr="00A360DB">
        <w:trPr>
          <w:trHeight w:val="240"/>
        </w:trPr>
        <w:tc>
          <w:tcPr>
            <w:tcW w:w="1697" w:type="dxa"/>
            <w:tcBorders>
              <w:top w:val="nil"/>
              <w:left w:val="nil"/>
              <w:bottom w:val="nil"/>
              <w:right w:val="nil"/>
            </w:tcBorders>
            <w:shd w:val="clear" w:color="auto" w:fill="auto"/>
            <w:noWrap/>
            <w:vAlign w:val="bottom"/>
            <w:hideMark/>
          </w:tcPr>
          <w:p w14:paraId="2895322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3232</w:t>
            </w:r>
          </w:p>
        </w:tc>
        <w:tc>
          <w:tcPr>
            <w:tcW w:w="8509" w:type="dxa"/>
            <w:tcBorders>
              <w:top w:val="nil"/>
              <w:left w:val="nil"/>
              <w:bottom w:val="nil"/>
              <w:right w:val="nil"/>
            </w:tcBorders>
            <w:shd w:val="clear" w:color="auto" w:fill="auto"/>
            <w:noWrap/>
            <w:vAlign w:val="bottom"/>
            <w:hideMark/>
          </w:tcPr>
          <w:p w14:paraId="7EB1154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Usluge tekućeg i investicijskog održavanja                                                          </w:t>
            </w:r>
          </w:p>
        </w:tc>
        <w:tc>
          <w:tcPr>
            <w:tcW w:w="1480" w:type="dxa"/>
            <w:tcBorders>
              <w:top w:val="nil"/>
              <w:left w:val="nil"/>
              <w:bottom w:val="nil"/>
              <w:right w:val="nil"/>
            </w:tcBorders>
            <w:shd w:val="clear" w:color="auto" w:fill="auto"/>
            <w:noWrap/>
            <w:vAlign w:val="bottom"/>
            <w:hideMark/>
          </w:tcPr>
          <w:p w14:paraId="6A8AE15E"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CF4CE8E"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1.389,32</w:t>
            </w:r>
          </w:p>
        </w:tc>
        <w:tc>
          <w:tcPr>
            <w:tcW w:w="1400" w:type="dxa"/>
            <w:tcBorders>
              <w:top w:val="nil"/>
              <w:left w:val="nil"/>
              <w:bottom w:val="nil"/>
              <w:right w:val="nil"/>
            </w:tcBorders>
            <w:shd w:val="clear" w:color="auto" w:fill="auto"/>
            <w:noWrap/>
            <w:vAlign w:val="bottom"/>
            <w:hideMark/>
          </w:tcPr>
          <w:p w14:paraId="06A4FDA6"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A1B9B44" w14:textId="77777777" w:rsidTr="00A360DB">
        <w:trPr>
          <w:trHeight w:val="240"/>
        </w:trPr>
        <w:tc>
          <w:tcPr>
            <w:tcW w:w="1697" w:type="dxa"/>
            <w:tcBorders>
              <w:top w:val="nil"/>
              <w:left w:val="nil"/>
              <w:bottom w:val="nil"/>
              <w:right w:val="nil"/>
            </w:tcBorders>
            <w:shd w:val="clear" w:color="auto" w:fill="auto"/>
            <w:noWrap/>
            <w:vAlign w:val="bottom"/>
            <w:hideMark/>
          </w:tcPr>
          <w:p w14:paraId="54335F1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3234</w:t>
            </w:r>
          </w:p>
        </w:tc>
        <w:tc>
          <w:tcPr>
            <w:tcW w:w="8509" w:type="dxa"/>
            <w:tcBorders>
              <w:top w:val="nil"/>
              <w:left w:val="nil"/>
              <w:bottom w:val="nil"/>
              <w:right w:val="nil"/>
            </w:tcBorders>
            <w:shd w:val="clear" w:color="auto" w:fill="auto"/>
            <w:noWrap/>
            <w:vAlign w:val="bottom"/>
            <w:hideMark/>
          </w:tcPr>
          <w:p w14:paraId="51D50D57"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Komunalne usluge                                                                                    </w:t>
            </w:r>
          </w:p>
        </w:tc>
        <w:tc>
          <w:tcPr>
            <w:tcW w:w="1480" w:type="dxa"/>
            <w:tcBorders>
              <w:top w:val="nil"/>
              <w:left w:val="nil"/>
              <w:bottom w:val="nil"/>
              <w:right w:val="nil"/>
            </w:tcBorders>
            <w:shd w:val="clear" w:color="auto" w:fill="auto"/>
            <w:noWrap/>
            <w:vAlign w:val="bottom"/>
            <w:hideMark/>
          </w:tcPr>
          <w:p w14:paraId="756DB4B8"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CBAE930"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238,98</w:t>
            </w:r>
          </w:p>
        </w:tc>
        <w:tc>
          <w:tcPr>
            <w:tcW w:w="1400" w:type="dxa"/>
            <w:tcBorders>
              <w:top w:val="nil"/>
              <w:left w:val="nil"/>
              <w:bottom w:val="nil"/>
              <w:right w:val="nil"/>
            </w:tcBorders>
            <w:shd w:val="clear" w:color="auto" w:fill="auto"/>
            <w:noWrap/>
            <w:vAlign w:val="bottom"/>
            <w:hideMark/>
          </w:tcPr>
          <w:p w14:paraId="7990911A"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67A5C53" w14:textId="77777777" w:rsidTr="00A360DB">
        <w:trPr>
          <w:trHeight w:val="240"/>
        </w:trPr>
        <w:tc>
          <w:tcPr>
            <w:tcW w:w="1697" w:type="dxa"/>
            <w:tcBorders>
              <w:top w:val="nil"/>
              <w:left w:val="nil"/>
              <w:bottom w:val="nil"/>
              <w:right w:val="nil"/>
            </w:tcBorders>
            <w:shd w:val="clear" w:color="auto" w:fill="auto"/>
            <w:noWrap/>
            <w:vAlign w:val="bottom"/>
            <w:hideMark/>
          </w:tcPr>
          <w:p w14:paraId="50204D4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3238</w:t>
            </w:r>
          </w:p>
        </w:tc>
        <w:tc>
          <w:tcPr>
            <w:tcW w:w="8509" w:type="dxa"/>
            <w:tcBorders>
              <w:top w:val="nil"/>
              <w:left w:val="nil"/>
              <w:bottom w:val="nil"/>
              <w:right w:val="nil"/>
            </w:tcBorders>
            <w:shd w:val="clear" w:color="auto" w:fill="auto"/>
            <w:noWrap/>
            <w:vAlign w:val="bottom"/>
            <w:hideMark/>
          </w:tcPr>
          <w:p w14:paraId="0240906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Računalne usluge                                                                                    </w:t>
            </w:r>
          </w:p>
        </w:tc>
        <w:tc>
          <w:tcPr>
            <w:tcW w:w="1480" w:type="dxa"/>
            <w:tcBorders>
              <w:top w:val="nil"/>
              <w:left w:val="nil"/>
              <w:bottom w:val="nil"/>
              <w:right w:val="nil"/>
            </w:tcBorders>
            <w:shd w:val="clear" w:color="auto" w:fill="auto"/>
            <w:noWrap/>
            <w:vAlign w:val="bottom"/>
            <w:hideMark/>
          </w:tcPr>
          <w:p w14:paraId="01EFA3F2"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1713210"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1.552,42</w:t>
            </w:r>
          </w:p>
        </w:tc>
        <w:tc>
          <w:tcPr>
            <w:tcW w:w="1400" w:type="dxa"/>
            <w:tcBorders>
              <w:top w:val="nil"/>
              <w:left w:val="nil"/>
              <w:bottom w:val="nil"/>
              <w:right w:val="nil"/>
            </w:tcBorders>
            <w:shd w:val="clear" w:color="auto" w:fill="auto"/>
            <w:noWrap/>
            <w:vAlign w:val="bottom"/>
            <w:hideMark/>
          </w:tcPr>
          <w:p w14:paraId="4E9A74A9"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F3D352B" w14:textId="77777777" w:rsidTr="00A360DB">
        <w:trPr>
          <w:trHeight w:val="240"/>
        </w:trPr>
        <w:tc>
          <w:tcPr>
            <w:tcW w:w="1697" w:type="dxa"/>
            <w:tcBorders>
              <w:top w:val="nil"/>
              <w:left w:val="nil"/>
              <w:bottom w:val="nil"/>
              <w:right w:val="nil"/>
            </w:tcBorders>
            <w:shd w:val="clear" w:color="auto" w:fill="auto"/>
            <w:noWrap/>
            <w:vAlign w:val="bottom"/>
            <w:hideMark/>
          </w:tcPr>
          <w:p w14:paraId="6F34A95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3292</w:t>
            </w:r>
          </w:p>
        </w:tc>
        <w:tc>
          <w:tcPr>
            <w:tcW w:w="8509" w:type="dxa"/>
            <w:tcBorders>
              <w:top w:val="nil"/>
              <w:left w:val="nil"/>
              <w:bottom w:val="nil"/>
              <w:right w:val="nil"/>
            </w:tcBorders>
            <w:shd w:val="clear" w:color="auto" w:fill="auto"/>
            <w:noWrap/>
            <w:vAlign w:val="bottom"/>
            <w:hideMark/>
          </w:tcPr>
          <w:p w14:paraId="5250D8CD"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Premije osiguranja                                                                                  </w:t>
            </w:r>
          </w:p>
        </w:tc>
        <w:tc>
          <w:tcPr>
            <w:tcW w:w="1480" w:type="dxa"/>
            <w:tcBorders>
              <w:top w:val="nil"/>
              <w:left w:val="nil"/>
              <w:bottom w:val="nil"/>
              <w:right w:val="nil"/>
            </w:tcBorders>
            <w:shd w:val="clear" w:color="auto" w:fill="auto"/>
            <w:noWrap/>
            <w:vAlign w:val="bottom"/>
            <w:hideMark/>
          </w:tcPr>
          <w:p w14:paraId="029A0FDC"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B5F2729"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326,78</w:t>
            </w:r>
          </w:p>
        </w:tc>
        <w:tc>
          <w:tcPr>
            <w:tcW w:w="1400" w:type="dxa"/>
            <w:tcBorders>
              <w:top w:val="nil"/>
              <w:left w:val="nil"/>
              <w:bottom w:val="nil"/>
              <w:right w:val="nil"/>
            </w:tcBorders>
            <w:shd w:val="clear" w:color="auto" w:fill="auto"/>
            <w:noWrap/>
            <w:vAlign w:val="bottom"/>
            <w:hideMark/>
          </w:tcPr>
          <w:p w14:paraId="3C6E5199"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5E506856" w14:textId="77777777" w:rsidTr="00A360DB">
        <w:trPr>
          <w:trHeight w:val="240"/>
        </w:trPr>
        <w:tc>
          <w:tcPr>
            <w:tcW w:w="1697" w:type="dxa"/>
            <w:tcBorders>
              <w:top w:val="nil"/>
              <w:left w:val="nil"/>
              <w:bottom w:val="nil"/>
              <w:right w:val="nil"/>
            </w:tcBorders>
            <w:shd w:val="clear" w:color="auto" w:fill="auto"/>
            <w:noWrap/>
            <w:vAlign w:val="bottom"/>
            <w:hideMark/>
          </w:tcPr>
          <w:p w14:paraId="1A2DA39E"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3299</w:t>
            </w:r>
          </w:p>
        </w:tc>
        <w:tc>
          <w:tcPr>
            <w:tcW w:w="8509" w:type="dxa"/>
            <w:tcBorders>
              <w:top w:val="nil"/>
              <w:left w:val="nil"/>
              <w:bottom w:val="nil"/>
              <w:right w:val="nil"/>
            </w:tcBorders>
            <w:shd w:val="clear" w:color="auto" w:fill="auto"/>
            <w:noWrap/>
            <w:vAlign w:val="bottom"/>
            <w:hideMark/>
          </w:tcPr>
          <w:p w14:paraId="63EA949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Ostali nespomenuti rashodi poslovanja                                                               </w:t>
            </w:r>
          </w:p>
        </w:tc>
        <w:tc>
          <w:tcPr>
            <w:tcW w:w="1480" w:type="dxa"/>
            <w:tcBorders>
              <w:top w:val="nil"/>
              <w:left w:val="nil"/>
              <w:bottom w:val="nil"/>
              <w:right w:val="nil"/>
            </w:tcBorders>
            <w:shd w:val="clear" w:color="auto" w:fill="auto"/>
            <w:noWrap/>
            <w:vAlign w:val="bottom"/>
            <w:hideMark/>
          </w:tcPr>
          <w:p w14:paraId="3952C3BD"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72BF88F"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62,50</w:t>
            </w:r>
          </w:p>
        </w:tc>
        <w:tc>
          <w:tcPr>
            <w:tcW w:w="1400" w:type="dxa"/>
            <w:tcBorders>
              <w:top w:val="nil"/>
              <w:left w:val="nil"/>
              <w:bottom w:val="nil"/>
              <w:right w:val="nil"/>
            </w:tcBorders>
            <w:shd w:val="clear" w:color="auto" w:fill="auto"/>
            <w:noWrap/>
            <w:vAlign w:val="bottom"/>
            <w:hideMark/>
          </w:tcPr>
          <w:p w14:paraId="2CEB6A0E"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631E998" w14:textId="77777777" w:rsidTr="00A360DB">
        <w:trPr>
          <w:trHeight w:val="240"/>
        </w:trPr>
        <w:tc>
          <w:tcPr>
            <w:tcW w:w="1697" w:type="dxa"/>
            <w:tcBorders>
              <w:top w:val="nil"/>
              <w:left w:val="nil"/>
              <w:bottom w:val="nil"/>
              <w:right w:val="nil"/>
            </w:tcBorders>
            <w:shd w:val="clear" w:color="auto" w:fill="auto"/>
            <w:noWrap/>
            <w:vAlign w:val="bottom"/>
            <w:hideMark/>
          </w:tcPr>
          <w:p w14:paraId="4DBF8F7F"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38</w:t>
            </w:r>
          </w:p>
        </w:tc>
        <w:tc>
          <w:tcPr>
            <w:tcW w:w="8509" w:type="dxa"/>
            <w:tcBorders>
              <w:top w:val="nil"/>
              <w:left w:val="nil"/>
              <w:bottom w:val="nil"/>
              <w:right w:val="nil"/>
            </w:tcBorders>
            <w:shd w:val="clear" w:color="auto" w:fill="auto"/>
            <w:noWrap/>
            <w:vAlign w:val="bottom"/>
            <w:hideMark/>
          </w:tcPr>
          <w:p w14:paraId="48F0D653"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Ostali rashodi                                                                                      </w:t>
            </w:r>
          </w:p>
        </w:tc>
        <w:tc>
          <w:tcPr>
            <w:tcW w:w="1480" w:type="dxa"/>
            <w:tcBorders>
              <w:top w:val="nil"/>
              <w:left w:val="nil"/>
              <w:bottom w:val="nil"/>
              <w:right w:val="nil"/>
            </w:tcBorders>
            <w:shd w:val="clear" w:color="auto" w:fill="auto"/>
            <w:noWrap/>
            <w:vAlign w:val="bottom"/>
            <w:hideMark/>
          </w:tcPr>
          <w:p w14:paraId="5A5B0A2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1.350,00</w:t>
            </w:r>
          </w:p>
        </w:tc>
        <w:tc>
          <w:tcPr>
            <w:tcW w:w="1380" w:type="dxa"/>
            <w:tcBorders>
              <w:top w:val="nil"/>
              <w:left w:val="nil"/>
              <w:bottom w:val="nil"/>
              <w:right w:val="nil"/>
            </w:tcBorders>
            <w:shd w:val="clear" w:color="auto" w:fill="auto"/>
            <w:noWrap/>
            <w:vAlign w:val="bottom"/>
            <w:hideMark/>
          </w:tcPr>
          <w:p w14:paraId="71A1C93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1.333,33</w:t>
            </w:r>
          </w:p>
        </w:tc>
        <w:tc>
          <w:tcPr>
            <w:tcW w:w="1400" w:type="dxa"/>
            <w:tcBorders>
              <w:top w:val="nil"/>
              <w:left w:val="nil"/>
              <w:bottom w:val="nil"/>
              <w:right w:val="nil"/>
            </w:tcBorders>
            <w:shd w:val="clear" w:color="auto" w:fill="auto"/>
            <w:noWrap/>
            <w:vAlign w:val="bottom"/>
            <w:hideMark/>
          </w:tcPr>
          <w:p w14:paraId="66B0582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98,77%</w:t>
            </w:r>
          </w:p>
        </w:tc>
      </w:tr>
      <w:tr w:rsidR="00A360DB" w:rsidRPr="00A360DB" w14:paraId="43CC95AA" w14:textId="77777777" w:rsidTr="00A360DB">
        <w:trPr>
          <w:trHeight w:val="240"/>
        </w:trPr>
        <w:tc>
          <w:tcPr>
            <w:tcW w:w="1697" w:type="dxa"/>
            <w:tcBorders>
              <w:top w:val="nil"/>
              <w:left w:val="nil"/>
              <w:bottom w:val="nil"/>
              <w:right w:val="nil"/>
            </w:tcBorders>
            <w:shd w:val="clear" w:color="auto" w:fill="auto"/>
            <w:noWrap/>
            <w:vAlign w:val="bottom"/>
            <w:hideMark/>
          </w:tcPr>
          <w:p w14:paraId="13DB2C8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3835</w:t>
            </w:r>
          </w:p>
        </w:tc>
        <w:tc>
          <w:tcPr>
            <w:tcW w:w="8509" w:type="dxa"/>
            <w:tcBorders>
              <w:top w:val="nil"/>
              <w:left w:val="nil"/>
              <w:bottom w:val="nil"/>
              <w:right w:val="nil"/>
            </w:tcBorders>
            <w:shd w:val="clear" w:color="auto" w:fill="auto"/>
            <w:noWrap/>
            <w:vAlign w:val="bottom"/>
            <w:hideMark/>
          </w:tcPr>
          <w:p w14:paraId="5A474B38"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Ostale kazne</w:t>
            </w:r>
          </w:p>
        </w:tc>
        <w:tc>
          <w:tcPr>
            <w:tcW w:w="1480" w:type="dxa"/>
            <w:tcBorders>
              <w:top w:val="nil"/>
              <w:left w:val="nil"/>
              <w:bottom w:val="nil"/>
              <w:right w:val="nil"/>
            </w:tcBorders>
            <w:shd w:val="clear" w:color="auto" w:fill="auto"/>
            <w:noWrap/>
            <w:vAlign w:val="bottom"/>
            <w:hideMark/>
          </w:tcPr>
          <w:p w14:paraId="7C1D94EF"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15E77CC1"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1.333,33</w:t>
            </w:r>
          </w:p>
        </w:tc>
        <w:tc>
          <w:tcPr>
            <w:tcW w:w="1400" w:type="dxa"/>
            <w:tcBorders>
              <w:top w:val="nil"/>
              <w:left w:val="nil"/>
              <w:bottom w:val="nil"/>
              <w:right w:val="nil"/>
            </w:tcBorders>
            <w:shd w:val="clear" w:color="auto" w:fill="auto"/>
            <w:noWrap/>
            <w:vAlign w:val="bottom"/>
            <w:hideMark/>
          </w:tcPr>
          <w:p w14:paraId="6CA9A930"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7EC23C9"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1A968515"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3. Vlastiti prihodi</w:t>
            </w:r>
          </w:p>
        </w:tc>
        <w:tc>
          <w:tcPr>
            <w:tcW w:w="1480" w:type="dxa"/>
            <w:tcBorders>
              <w:top w:val="nil"/>
              <w:left w:val="nil"/>
              <w:bottom w:val="nil"/>
              <w:right w:val="nil"/>
            </w:tcBorders>
            <w:shd w:val="clear" w:color="auto" w:fill="auto"/>
            <w:noWrap/>
            <w:vAlign w:val="bottom"/>
            <w:hideMark/>
          </w:tcPr>
          <w:p w14:paraId="1B7C46CE"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w:t>
            </w:r>
          </w:p>
        </w:tc>
        <w:tc>
          <w:tcPr>
            <w:tcW w:w="1380" w:type="dxa"/>
            <w:tcBorders>
              <w:top w:val="nil"/>
              <w:left w:val="nil"/>
              <w:bottom w:val="nil"/>
              <w:right w:val="nil"/>
            </w:tcBorders>
            <w:shd w:val="clear" w:color="auto" w:fill="auto"/>
            <w:noWrap/>
            <w:vAlign w:val="bottom"/>
            <w:hideMark/>
          </w:tcPr>
          <w:p w14:paraId="09B50DF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0,00</w:t>
            </w:r>
          </w:p>
        </w:tc>
        <w:tc>
          <w:tcPr>
            <w:tcW w:w="1400" w:type="dxa"/>
            <w:tcBorders>
              <w:top w:val="nil"/>
              <w:left w:val="nil"/>
              <w:bottom w:val="nil"/>
              <w:right w:val="nil"/>
            </w:tcBorders>
            <w:shd w:val="clear" w:color="auto" w:fill="auto"/>
            <w:noWrap/>
            <w:vAlign w:val="bottom"/>
            <w:hideMark/>
          </w:tcPr>
          <w:p w14:paraId="01E4F733"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0,00%</w:t>
            </w:r>
          </w:p>
        </w:tc>
      </w:tr>
      <w:tr w:rsidR="00A360DB" w:rsidRPr="00A360DB" w14:paraId="4A8B0239"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925C211"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3.1. Vlastiti prihodi</w:t>
            </w:r>
          </w:p>
        </w:tc>
        <w:tc>
          <w:tcPr>
            <w:tcW w:w="1480" w:type="dxa"/>
            <w:tcBorders>
              <w:top w:val="nil"/>
              <w:left w:val="nil"/>
              <w:bottom w:val="nil"/>
              <w:right w:val="nil"/>
            </w:tcBorders>
            <w:shd w:val="clear" w:color="auto" w:fill="auto"/>
            <w:noWrap/>
            <w:vAlign w:val="bottom"/>
            <w:hideMark/>
          </w:tcPr>
          <w:p w14:paraId="4892F42C"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w:t>
            </w:r>
          </w:p>
        </w:tc>
        <w:tc>
          <w:tcPr>
            <w:tcW w:w="1380" w:type="dxa"/>
            <w:tcBorders>
              <w:top w:val="nil"/>
              <w:left w:val="nil"/>
              <w:bottom w:val="nil"/>
              <w:right w:val="nil"/>
            </w:tcBorders>
            <w:shd w:val="clear" w:color="auto" w:fill="auto"/>
            <w:noWrap/>
            <w:vAlign w:val="bottom"/>
            <w:hideMark/>
          </w:tcPr>
          <w:p w14:paraId="48AE0856"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0,00</w:t>
            </w:r>
          </w:p>
        </w:tc>
        <w:tc>
          <w:tcPr>
            <w:tcW w:w="1400" w:type="dxa"/>
            <w:tcBorders>
              <w:top w:val="nil"/>
              <w:left w:val="nil"/>
              <w:bottom w:val="nil"/>
              <w:right w:val="nil"/>
            </w:tcBorders>
            <w:shd w:val="clear" w:color="auto" w:fill="auto"/>
            <w:noWrap/>
            <w:vAlign w:val="bottom"/>
            <w:hideMark/>
          </w:tcPr>
          <w:p w14:paraId="5782A89A"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0,00%</w:t>
            </w:r>
          </w:p>
        </w:tc>
      </w:tr>
      <w:tr w:rsidR="00A360DB" w:rsidRPr="00A360DB" w14:paraId="07FCD264" w14:textId="77777777" w:rsidTr="00A360DB">
        <w:trPr>
          <w:trHeight w:val="240"/>
        </w:trPr>
        <w:tc>
          <w:tcPr>
            <w:tcW w:w="1697" w:type="dxa"/>
            <w:tcBorders>
              <w:top w:val="nil"/>
              <w:left w:val="nil"/>
              <w:bottom w:val="nil"/>
              <w:right w:val="nil"/>
            </w:tcBorders>
            <w:shd w:val="clear" w:color="auto" w:fill="auto"/>
            <w:noWrap/>
            <w:vAlign w:val="bottom"/>
            <w:hideMark/>
          </w:tcPr>
          <w:p w14:paraId="51E11C39"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4404968A"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7F10122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c>
          <w:tcPr>
            <w:tcW w:w="1380" w:type="dxa"/>
            <w:tcBorders>
              <w:top w:val="nil"/>
              <w:left w:val="nil"/>
              <w:bottom w:val="nil"/>
              <w:right w:val="nil"/>
            </w:tcBorders>
            <w:shd w:val="clear" w:color="auto" w:fill="auto"/>
            <w:noWrap/>
            <w:vAlign w:val="bottom"/>
            <w:hideMark/>
          </w:tcPr>
          <w:p w14:paraId="26967E0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c>
          <w:tcPr>
            <w:tcW w:w="1400" w:type="dxa"/>
            <w:tcBorders>
              <w:top w:val="nil"/>
              <w:left w:val="nil"/>
              <w:bottom w:val="nil"/>
              <w:right w:val="nil"/>
            </w:tcBorders>
            <w:shd w:val="clear" w:color="auto" w:fill="auto"/>
            <w:noWrap/>
            <w:vAlign w:val="bottom"/>
            <w:hideMark/>
          </w:tcPr>
          <w:p w14:paraId="766E7EA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r>
      <w:tr w:rsidR="00A360DB" w:rsidRPr="00A360DB" w14:paraId="14F4AF3A"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91FE906"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5. Pomoći</w:t>
            </w:r>
          </w:p>
        </w:tc>
        <w:tc>
          <w:tcPr>
            <w:tcW w:w="1480" w:type="dxa"/>
            <w:tcBorders>
              <w:top w:val="nil"/>
              <w:left w:val="nil"/>
              <w:bottom w:val="nil"/>
              <w:right w:val="nil"/>
            </w:tcBorders>
            <w:shd w:val="clear" w:color="auto" w:fill="auto"/>
            <w:noWrap/>
            <w:vAlign w:val="bottom"/>
            <w:hideMark/>
          </w:tcPr>
          <w:p w14:paraId="283B427B"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670.300,00</w:t>
            </w:r>
          </w:p>
        </w:tc>
        <w:tc>
          <w:tcPr>
            <w:tcW w:w="1380" w:type="dxa"/>
            <w:tcBorders>
              <w:top w:val="nil"/>
              <w:left w:val="nil"/>
              <w:bottom w:val="nil"/>
              <w:right w:val="nil"/>
            </w:tcBorders>
            <w:shd w:val="clear" w:color="auto" w:fill="auto"/>
            <w:noWrap/>
            <w:vAlign w:val="bottom"/>
            <w:hideMark/>
          </w:tcPr>
          <w:p w14:paraId="04721E1D"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569.068,97</w:t>
            </w:r>
          </w:p>
        </w:tc>
        <w:tc>
          <w:tcPr>
            <w:tcW w:w="1400" w:type="dxa"/>
            <w:tcBorders>
              <w:top w:val="nil"/>
              <w:left w:val="nil"/>
              <w:bottom w:val="nil"/>
              <w:right w:val="nil"/>
            </w:tcBorders>
            <w:shd w:val="clear" w:color="auto" w:fill="auto"/>
            <w:noWrap/>
            <w:vAlign w:val="bottom"/>
            <w:hideMark/>
          </w:tcPr>
          <w:p w14:paraId="28F9DF35"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84,90%</w:t>
            </w:r>
          </w:p>
        </w:tc>
      </w:tr>
      <w:tr w:rsidR="00A360DB" w:rsidRPr="00A360DB" w14:paraId="3314B3C5"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9F2F5AD"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5.2. Državni proračun</w:t>
            </w:r>
          </w:p>
        </w:tc>
        <w:tc>
          <w:tcPr>
            <w:tcW w:w="1480" w:type="dxa"/>
            <w:tcBorders>
              <w:top w:val="nil"/>
              <w:left w:val="nil"/>
              <w:bottom w:val="nil"/>
              <w:right w:val="nil"/>
            </w:tcBorders>
            <w:shd w:val="clear" w:color="auto" w:fill="auto"/>
            <w:noWrap/>
            <w:vAlign w:val="bottom"/>
            <w:hideMark/>
          </w:tcPr>
          <w:p w14:paraId="48C7AAC4"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670.300,00</w:t>
            </w:r>
          </w:p>
        </w:tc>
        <w:tc>
          <w:tcPr>
            <w:tcW w:w="1380" w:type="dxa"/>
            <w:tcBorders>
              <w:top w:val="nil"/>
              <w:left w:val="nil"/>
              <w:bottom w:val="nil"/>
              <w:right w:val="nil"/>
            </w:tcBorders>
            <w:shd w:val="clear" w:color="auto" w:fill="auto"/>
            <w:noWrap/>
            <w:vAlign w:val="bottom"/>
            <w:hideMark/>
          </w:tcPr>
          <w:p w14:paraId="2EEEEE88"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569.068,97</w:t>
            </w:r>
          </w:p>
        </w:tc>
        <w:tc>
          <w:tcPr>
            <w:tcW w:w="1400" w:type="dxa"/>
            <w:tcBorders>
              <w:top w:val="nil"/>
              <w:left w:val="nil"/>
              <w:bottom w:val="nil"/>
              <w:right w:val="nil"/>
            </w:tcBorders>
            <w:shd w:val="clear" w:color="auto" w:fill="auto"/>
            <w:noWrap/>
            <w:vAlign w:val="bottom"/>
            <w:hideMark/>
          </w:tcPr>
          <w:p w14:paraId="1F419C4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84,90%</w:t>
            </w:r>
          </w:p>
        </w:tc>
      </w:tr>
      <w:tr w:rsidR="00A360DB" w:rsidRPr="00A360DB" w14:paraId="4D611D1B" w14:textId="77777777" w:rsidTr="00A360DB">
        <w:trPr>
          <w:trHeight w:val="240"/>
        </w:trPr>
        <w:tc>
          <w:tcPr>
            <w:tcW w:w="1697" w:type="dxa"/>
            <w:tcBorders>
              <w:top w:val="nil"/>
              <w:left w:val="nil"/>
              <w:bottom w:val="nil"/>
              <w:right w:val="nil"/>
            </w:tcBorders>
            <w:shd w:val="clear" w:color="auto" w:fill="auto"/>
            <w:noWrap/>
            <w:vAlign w:val="bottom"/>
            <w:hideMark/>
          </w:tcPr>
          <w:p w14:paraId="3C4168F4"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31</w:t>
            </w:r>
          </w:p>
        </w:tc>
        <w:tc>
          <w:tcPr>
            <w:tcW w:w="8509" w:type="dxa"/>
            <w:tcBorders>
              <w:top w:val="nil"/>
              <w:left w:val="nil"/>
              <w:bottom w:val="nil"/>
              <w:right w:val="nil"/>
            </w:tcBorders>
            <w:shd w:val="clear" w:color="auto" w:fill="auto"/>
            <w:noWrap/>
            <w:vAlign w:val="bottom"/>
            <w:hideMark/>
          </w:tcPr>
          <w:p w14:paraId="3464310F"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zaposlene                                                                                </w:t>
            </w:r>
          </w:p>
        </w:tc>
        <w:tc>
          <w:tcPr>
            <w:tcW w:w="1480" w:type="dxa"/>
            <w:tcBorders>
              <w:top w:val="nil"/>
              <w:left w:val="nil"/>
              <w:bottom w:val="nil"/>
              <w:right w:val="nil"/>
            </w:tcBorders>
            <w:shd w:val="clear" w:color="auto" w:fill="auto"/>
            <w:noWrap/>
            <w:vAlign w:val="bottom"/>
            <w:hideMark/>
          </w:tcPr>
          <w:p w14:paraId="02BACCD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632.300,00</w:t>
            </w:r>
          </w:p>
        </w:tc>
        <w:tc>
          <w:tcPr>
            <w:tcW w:w="1380" w:type="dxa"/>
            <w:tcBorders>
              <w:top w:val="nil"/>
              <w:left w:val="nil"/>
              <w:bottom w:val="nil"/>
              <w:right w:val="nil"/>
            </w:tcBorders>
            <w:shd w:val="clear" w:color="auto" w:fill="auto"/>
            <w:noWrap/>
            <w:vAlign w:val="bottom"/>
            <w:hideMark/>
          </w:tcPr>
          <w:p w14:paraId="5350228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535.644,06</w:t>
            </w:r>
          </w:p>
        </w:tc>
        <w:tc>
          <w:tcPr>
            <w:tcW w:w="1400" w:type="dxa"/>
            <w:tcBorders>
              <w:top w:val="nil"/>
              <w:left w:val="nil"/>
              <w:bottom w:val="nil"/>
              <w:right w:val="nil"/>
            </w:tcBorders>
            <w:shd w:val="clear" w:color="auto" w:fill="auto"/>
            <w:noWrap/>
            <w:vAlign w:val="bottom"/>
            <w:hideMark/>
          </w:tcPr>
          <w:p w14:paraId="44495C2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84,71%</w:t>
            </w:r>
          </w:p>
        </w:tc>
      </w:tr>
      <w:tr w:rsidR="00A360DB" w:rsidRPr="00A360DB" w14:paraId="0CC19498" w14:textId="77777777" w:rsidTr="00A360DB">
        <w:trPr>
          <w:trHeight w:val="240"/>
        </w:trPr>
        <w:tc>
          <w:tcPr>
            <w:tcW w:w="1697" w:type="dxa"/>
            <w:tcBorders>
              <w:top w:val="nil"/>
              <w:left w:val="nil"/>
              <w:bottom w:val="nil"/>
              <w:right w:val="nil"/>
            </w:tcBorders>
            <w:shd w:val="clear" w:color="auto" w:fill="auto"/>
            <w:noWrap/>
            <w:vAlign w:val="bottom"/>
            <w:hideMark/>
          </w:tcPr>
          <w:p w14:paraId="21A685F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3111</w:t>
            </w:r>
          </w:p>
        </w:tc>
        <w:tc>
          <w:tcPr>
            <w:tcW w:w="8509" w:type="dxa"/>
            <w:tcBorders>
              <w:top w:val="nil"/>
              <w:left w:val="nil"/>
              <w:bottom w:val="nil"/>
              <w:right w:val="nil"/>
            </w:tcBorders>
            <w:shd w:val="clear" w:color="auto" w:fill="auto"/>
            <w:noWrap/>
            <w:vAlign w:val="bottom"/>
            <w:hideMark/>
          </w:tcPr>
          <w:p w14:paraId="0C6D9FC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Plaće za redovan rad                                                                                </w:t>
            </w:r>
          </w:p>
        </w:tc>
        <w:tc>
          <w:tcPr>
            <w:tcW w:w="1480" w:type="dxa"/>
            <w:tcBorders>
              <w:top w:val="nil"/>
              <w:left w:val="nil"/>
              <w:bottom w:val="nil"/>
              <w:right w:val="nil"/>
            </w:tcBorders>
            <w:shd w:val="clear" w:color="auto" w:fill="auto"/>
            <w:noWrap/>
            <w:vAlign w:val="bottom"/>
            <w:hideMark/>
          </w:tcPr>
          <w:p w14:paraId="64969F34"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16683E8"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444.884,03</w:t>
            </w:r>
          </w:p>
        </w:tc>
        <w:tc>
          <w:tcPr>
            <w:tcW w:w="1400" w:type="dxa"/>
            <w:tcBorders>
              <w:top w:val="nil"/>
              <w:left w:val="nil"/>
              <w:bottom w:val="nil"/>
              <w:right w:val="nil"/>
            </w:tcBorders>
            <w:shd w:val="clear" w:color="auto" w:fill="auto"/>
            <w:noWrap/>
            <w:vAlign w:val="bottom"/>
            <w:hideMark/>
          </w:tcPr>
          <w:p w14:paraId="54DF11FA"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98A49B2" w14:textId="77777777" w:rsidTr="00A360DB">
        <w:trPr>
          <w:trHeight w:val="240"/>
        </w:trPr>
        <w:tc>
          <w:tcPr>
            <w:tcW w:w="1697" w:type="dxa"/>
            <w:tcBorders>
              <w:top w:val="nil"/>
              <w:left w:val="nil"/>
              <w:bottom w:val="nil"/>
              <w:right w:val="nil"/>
            </w:tcBorders>
            <w:shd w:val="clear" w:color="auto" w:fill="auto"/>
            <w:noWrap/>
            <w:vAlign w:val="bottom"/>
            <w:hideMark/>
          </w:tcPr>
          <w:p w14:paraId="796E31F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3121</w:t>
            </w:r>
          </w:p>
        </w:tc>
        <w:tc>
          <w:tcPr>
            <w:tcW w:w="8509" w:type="dxa"/>
            <w:tcBorders>
              <w:top w:val="nil"/>
              <w:left w:val="nil"/>
              <w:bottom w:val="nil"/>
              <w:right w:val="nil"/>
            </w:tcBorders>
            <w:shd w:val="clear" w:color="auto" w:fill="auto"/>
            <w:noWrap/>
            <w:vAlign w:val="bottom"/>
            <w:hideMark/>
          </w:tcPr>
          <w:p w14:paraId="137F5A5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Ostali rashodi za zaposlene                                                                         </w:t>
            </w:r>
          </w:p>
        </w:tc>
        <w:tc>
          <w:tcPr>
            <w:tcW w:w="1480" w:type="dxa"/>
            <w:tcBorders>
              <w:top w:val="nil"/>
              <w:left w:val="nil"/>
              <w:bottom w:val="nil"/>
              <w:right w:val="nil"/>
            </w:tcBorders>
            <w:shd w:val="clear" w:color="auto" w:fill="auto"/>
            <w:noWrap/>
            <w:vAlign w:val="bottom"/>
            <w:hideMark/>
          </w:tcPr>
          <w:p w14:paraId="17B8DF39"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2A58429C"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19.501,97</w:t>
            </w:r>
          </w:p>
        </w:tc>
        <w:tc>
          <w:tcPr>
            <w:tcW w:w="1400" w:type="dxa"/>
            <w:tcBorders>
              <w:top w:val="nil"/>
              <w:left w:val="nil"/>
              <w:bottom w:val="nil"/>
              <w:right w:val="nil"/>
            </w:tcBorders>
            <w:shd w:val="clear" w:color="auto" w:fill="auto"/>
            <w:noWrap/>
            <w:vAlign w:val="bottom"/>
            <w:hideMark/>
          </w:tcPr>
          <w:p w14:paraId="1700174B"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66B3062" w14:textId="77777777" w:rsidTr="00A360DB">
        <w:trPr>
          <w:trHeight w:val="240"/>
        </w:trPr>
        <w:tc>
          <w:tcPr>
            <w:tcW w:w="1697" w:type="dxa"/>
            <w:tcBorders>
              <w:top w:val="nil"/>
              <w:left w:val="nil"/>
              <w:bottom w:val="nil"/>
              <w:right w:val="nil"/>
            </w:tcBorders>
            <w:shd w:val="clear" w:color="auto" w:fill="auto"/>
            <w:noWrap/>
            <w:vAlign w:val="bottom"/>
            <w:hideMark/>
          </w:tcPr>
          <w:p w14:paraId="493A2D5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3132</w:t>
            </w:r>
          </w:p>
        </w:tc>
        <w:tc>
          <w:tcPr>
            <w:tcW w:w="8509" w:type="dxa"/>
            <w:tcBorders>
              <w:top w:val="nil"/>
              <w:left w:val="nil"/>
              <w:bottom w:val="nil"/>
              <w:right w:val="nil"/>
            </w:tcBorders>
            <w:shd w:val="clear" w:color="auto" w:fill="auto"/>
            <w:noWrap/>
            <w:vAlign w:val="bottom"/>
            <w:hideMark/>
          </w:tcPr>
          <w:p w14:paraId="57EB6B27"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Doprinosi za obvezno zdravstveno osiguranje                                                         </w:t>
            </w:r>
          </w:p>
        </w:tc>
        <w:tc>
          <w:tcPr>
            <w:tcW w:w="1480" w:type="dxa"/>
            <w:tcBorders>
              <w:top w:val="nil"/>
              <w:left w:val="nil"/>
              <w:bottom w:val="nil"/>
              <w:right w:val="nil"/>
            </w:tcBorders>
            <w:shd w:val="clear" w:color="auto" w:fill="auto"/>
            <w:noWrap/>
            <w:vAlign w:val="bottom"/>
            <w:hideMark/>
          </w:tcPr>
          <w:p w14:paraId="7D7AA89B"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5A342A9"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71.258,06</w:t>
            </w:r>
          </w:p>
        </w:tc>
        <w:tc>
          <w:tcPr>
            <w:tcW w:w="1400" w:type="dxa"/>
            <w:tcBorders>
              <w:top w:val="nil"/>
              <w:left w:val="nil"/>
              <w:bottom w:val="nil"/>
              <w:right w:val="nil"/>
            </w:tcBorders>
            <w:shd w:val="clear" w:color="auto" w:fill="auto"/>
            <w:noWrap/>
            <w:vAlign w:val="bottom"/>
            <w:hideMark/>
          </w:tcPr>
          <w:p w14:paraId="43412D14"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22A9968" w14:textId="77777777" w:rsidTr="00A360DB">
        <w:trPr>
          <w:trHeight w:val="240"/>
        </w:trPr>
        <w:tc>
          <w:tcPr>
            <w:tcW w:w="1697" w:type="dxa"/>
            <w:tcBorders>
              <w:top w:val="nil"/>
              <w:left w:val="nil"/>
              <w:bottom w:val="nil"/>
              <w:right w:val="nil"/>
            </w:tcBorders>
            <w:shd w:val="clear" w:color="auto" w:fill="auto"/>
            <w:noWrap/>
            <w:vAlign w:val="bottom"/>
            <w:hideMark/>
          </w:tcPr>
          <w:p w14:paraId="492BEA74"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34CE4F97"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69D0197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34.200,00</w:t>
            </w:r>
          </w:p>
        </w:tc>
        <w:tc>
          <w:tcPr>
            <w:tcW w:w="1380" w:type="dxa"/>
            <w:tcBorders>
              <w:top w:val="nil"/>
              <w:left w:val="nil"/>
              <w:bottom w:val="nil"/>
              <w:right w:val="nil"/>
            </w:tcBorders>
            <w:shd w:val="clear" w:color="auto" w:fill="auto"/>
            <w:noWrap/>
            <w:vAlign w:val="bottom"/>
            <w:hideMark/>
          </w:tcPr>
          <w:p w14:paraId="6F6DBA4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30.142,09</w:t>
            </w:r>
          </w:p>
        </w:tc>
        <w:tc>
          <w:tcPr>
            <w:tcW w:w="1400" w:type="dxa"/>
            <w:tcBorders>
              <w:top w:val="nil"/>
              <w:left w:val="nil"/>
              <w:bottom w:val="nil"/>
              <w:right w:val="nil"/>
            </w:tcBorders>
            <w:shd w:val="clear" w:color="auto" w:fill="auto"/>
            <w:noWrap/>
            <w:vAlign w:val="bottom"/>
            <w:hideMark/>
          </w:tcPr>
          <w:p w14:paraId="5F8F292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88,13%</w:t>
            </w:r>
          </w:p>
        </w:tc>
      </w:tr>
      <w:tr w:rsidR="00A360DB" w:rsidRPr="00A360DB" w14:paraId="7B524C53" w14:textId="77777777" w:rsidTr="00A360DB">
        <w:trPr>
          <w:trHeight w:val="240"/>
        </w:trPr>
        <w:tc>
          <w:tcPr>
            <w:tcW w:w="1697" w:type="dxa"/>
            <w:tcBorders>
              <w:top w:val="nil"/>
              <w:left w:val="nil"/>
              <w:bottom w:val="nil"/>
              <w:right w:val="nil"/>
            </w:tcBorders>
            <w:shd w:val="clear" w:color="auto" w:fill="auto"/>
            <w:noWrap/>
            <w:vAlign w:val="bottom"/>
            <w:hideMark/>
          </w:tcPr>
          <w:p w14:paraId="074BF54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3212</w:t>
            </w:r>
          </w:p>
        </w:tc>
        <w:tc>
          <w:tcPr>
            <w:tcW w:w="8509" w:type="dxa"/>
            <w:tcBorders>
              <w:top w:val="nil"/>
              <w:left w:val="nil"/>
              <w:bottom w:val="nil"/>
              <w:right w:val="nil"/>
            </w:tcBorders>
            <w:shd w:val="clear" w:color="auto" w:fill="auto"/>
            <w:noWrap/>
            <w:vAlign w:val="bottom"/>
            <w:hideMark/>
          </w:tcPr>
          <w:p w14:paraId="080CD3F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Naknade za prijevoz, za rad na terenu i odvojeni život                                              </w:t>
            </w:r>
          </w:p>
        </w:tc>
        <w:tc>
          <w:tcPr>
            <w:tcW w:w="1480" w:type="dxa"/>
            <w:tcBorders>
              <w:top w:val="nil"/>
              <w:left w:val="nil"/>
              <w:bottom w:val="nil"/>
              <w:right w:val="nil"/>
            </w:tcBorders>
            <w:shd w:val="clear" w:color="auto" w:fill="auto"/>
            <w:noWrap/>
            <w:vAlign w:val="bottom"/>
            <w:hideMark/>
          </w:tcPr>
          <w:p w14:paraId="6F2BC520"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D365123"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28.154,09</w:t>
            </w:r>
          </w:p>
        </w:tc>
        <w:tc>
          <w:tcPr>
            <w:tcW w:w="1400" w:type="dxa"/>
            <w:tcBorders>
              <w:top w:val="nil"/>
              <w:left w:val="nil"/>
              <w:bottom w:val="nil"/>
              <w:right w:val="nil"/>
            </w:tcBorders>
            <w:shd w:val="clear" w:color="auto" w:fill="auto"/>
            <w:noWrap/>
            <w:vAlign w:val="bottom"/>
            <w:hideMark/>
          </w:tcPr>
          <w:p w14:paraId="27D396F0"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80C191B" w14:textId="77777777" w:rsidTr="00A360DB">
        <w:trPr>
          <w:trHeight w:val="240"/>
        </w:trPr>
        <w:tc>
          <w:tcPr>
            <w:tcW w:w="1697" w:type="dxa"/>
            <w:tcBorders>
              <w:top w:val="nil"/>
              <w:left w:val="nil"/>
              <w:bottom w:val="nil"/>
              <w:right w:val="nil"/>
            </w:tcBorders>
            <w:shd w:val="clear" w:color="auto" w:fill="auto"/>
            <w:noWrap/>
            <w:vAlign w:val="bottom"/>
            <w:hideMark/>
          </w:tcPr>
          <w:p w14:paraId="1F4715D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3295</w:t>
            </w:r>
          </w:p>
        </w:tc>
        <w:tc>
          <w:tcPr>
            <w:tcW w:w="8509" w:type="dxa"/>
            <w:tcBorders>
              <w:top w:val="nil"/>
              <w:left w:val="nil"/>
              <w:bottom w:val="nil"/>
              <w:right w:val="nil"/>
            </w:tcBorders>
            <w:shd w:val="clear" w:color="auto" w:fill="auto"/>
            <w:noWrap/>
            <w:vAlign w:val="bottom"/>
            <w:hideMark/>
          </w:tcPr>
          <w:p w14:paraId="051EE07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Pristojbe i naknade                                                                                 </w:t>
            </w:r>
          </w:p>
        </w:tc>
        <w:tc>
          <w:tcPr>
            <w:tcW w:w="1480" w:type="dxa"/>
            <w:tcBorders>
              <w:top w:val="nil"/>
              <w:left w:val="nil"/>
              <w:bottom w:val="nil"/>
              <w:right w:val="nil"/>
            </w:tcBorders>
            <w:shd w:val="clear" w:color="auto" w:fill="auto"/>
            <w:noWrap/>
            <w:vAlign w:val="bottom"/>
            <w:hideMark/>
          </w:tcPr>
          <w:p w14:paraId="0C95B72F"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6A12EE8"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1.988,00</w:t>
            </w:r>
          </w:p>
        </w:tc>
        <w:tc>
          <w:tcPr>
            <w:tcW w:w="1400" w:type="dxa"/>
            <w:tcBorders>
              <w:top w:val="nil"/>
              <w:left w:val="nil"/>
              <w:bottom w:val="nil"/>
              <w:right w:val="nil"/>
            </w:tcBorders>
            <w:shd w:val="clear" w:color="auto" w:fill="auto"/>
            <w:noWrap/>
            <w:vAlign w:val="bottom"/>
            <w:hideMark/>
          </w:tcPr>
          <w:p w14:paraId="50917A42"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5F2F21FA" w14:textId="77777777" w:rsidTr="00A360DB">
        <w:trPr>
          <w:trHeight w:val="240"/>
        </w:trPr>
        <w:tc>
          <w:tcPr>
            <w:tcW w:w="1697" w:type="dxa"/>
            <w:tcBorders>
              <w:top w:val="nil"/>
              <w:left w:val="nil"/>
              <w:bottom w:val="nil"/>
              <w:right w:val="nil"/>
            </w:tcBorders>
            <w:shd w:val="clear" w:color="auto" w:fill="auto"/>
            <w:noWrap/>
            <w:vAlign w:val="bottom"/>
            <w:hideMark/>
          </w:tcPr>
          <w:p w14:paraId="032C0691"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37</w:t>
            </w:r>
          </w:p>
        </w:tc>
        <w:tc>
          <w:tcPr>
            <w:tcW w:w="8509" w:type="dxa"/>
            <w:tcBorders>
              <w:top w:val="nil"/>
              <w:left w:val="nil"/>
              <w:bottom w:val="nil"/>
              <w:right w:val="nil"/>
            </w:tcBorders>
            <w:shd w:val="clear" w:color="auto" w:fill="auto"/>
            <w:noWrap/>
            <w:vAlign w:val="bottom"/>
            <w:hideMark/>
          </w:tcPr>
          <w:p w14:paraId="4B048F90"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Naknade građanima i kućanstvima na temelju osiguranja i druge naknade                               </w:t>
            </w:r>
          </w:p>
        </w:tc>
        <w:tc>
          <w:tcPr>
            <w:tcW w:w="1480" w:type="dxa"/>
            <w:tcBorders>
              <w:top w:val="nil"/>
              <w:left w:val="nil"/>
              <w:bottom w:val="nil"/>
              <w:right w:val="nil"/>
            </w:tcBorders>
            <w:shd w:val="clear" w:color="auto" w:fill="auto"/>
            <w:noWrap/>
            <w:vAlign w:val="bottom"/>
            <w:hideMark/>
          </w:tcPr>
          <w:p w14:paraId="09046B9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3.500,00</w:t>
            </w:r>
          </w:p>
        </w:tc>
        <w:tc>
          <w:tcPr>
            <w:tcW w:w="1380" w:type="dxa"/>
            <w:tcBorders>
              <w:top w:val="nil"/>
              <w:left w:val="nil"/>
              <w:bottom w:val="nil"/>
              <w:right w:val="nil"/>
            </w:tcBorders>
            <w:shd w:val="clear" w:color="auto" w:fill="auto"/>
            <w:noWrap/>
            <w:vAlign w:val="bottom"/>
            <w:hideMark/>
          </w:tcPr>
          <w:p w14:paraId="099F8BD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3.110,87</w:t>
            </w:r>
          </w:p>
        </w:tc>
        <w:tc>
          <w:tcPr>
            <w:tcW w:w="1400" w:type="dxa"/>
            <w:tcBorders>
              <w:top w:val="nil"/>
              <w:left w:val="nil"/>
              <w:bottom w:val="nil"/>
              <w:right w:val="nil"/>
            </w:tcBorders>
            <w:shd w:val="clear" w:color="auto" w:fill="auto"/>
            <w:noWrap/>
            <w:vAlign w:val="bottom"/>
            <w:hideMark/>
          </w:tcPr>
          <w:p w14:paraId="48C5969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88,88%</w:t>
            </w:r>
          </w:p>
        </w:tc>
      </w:tr>
      <w:tr w:rsidR="00A360DB" w:rsidRPr="00A360DB" w14:paraId="179D86BD" w14:textId="77777777" w:rsidTr="00A360DB">
        <w:trPr>
          <w:trHeight w:val="240"/>
        </w:trPr>
        <w:tc>
          <w:tcPr>
            <w:tcW w:w="1697" w:type="dxa"/>
            <w:tcBorders>
              <w:top w:val="nil"/>
              <w:left w:val="nil"/>
              <w:bottom w:val="nil"/>
              <w:right w:val="nil"/>
            </w:tcBorders>
            <w:shd w:val="clear" w:color="auto" w:fill="auto"/>
            <w:noWrap/>
            <w:vAlign w:val="bottom"/>
            <w:hideMark/>
          </w:tcPr>
          <w:p w14:paraId="2E376F1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3722</w:t>
            </w:r>
          </w:p>
        </w:tc>
        <w:tc>
          <w:tcPr>
            <w:tcW w:w="8509" w:type="dxa"/>
            <w:tcBorders>
              <w:top w:val="nil"/>
              <w:left w:val="nil"/>
              <w:bottom w:val="nil"/>
              <w:right w:val="nil"/>
            </w:tcBorders>
            <w:shd w:val="clear" w:color="auto" w:fill="auto"/>
            <w:noWrap/>
            <w:vAlign w:val="bottom"/>
            <w:hideMark/>
          </w:tcPr>
          <w:p w14:paraId="1FAD246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Naknade građanima i kućanstvima u naravi                                                            </w:t>
            </w:r>
          </w:p>
        </w:tc>
        <w:tc>
          <w:tcPr>
            <w:tcW w:w="1480" w:type="dxa"/>
            <w:tcBorders>
              <w:top w:val="nil"/>
              <w:left w:val="nil"/>
              <w:bottom w:val="nil"/>
              <w:right w:val="nil"/>
            </w:tcBorders>
            <w:shd w:val="clear" w:color="auto" w:fill="auto"/>
            <w:noWrap/>
            <w:vAlign w:val="bottom"/>
            <w:hideMark/>
          </w:tcPr>
          <w:p w14:paraId="5059C6CD"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1F2C8256"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3.110,87</w:t>
            </w:r>
          </w:p>
        </w:tc>
        <w:tc>
          <w:tcPr>
            <w:tcW w:w="1400" w:type="dxa"/>
            <w:tcBorders>
              <w:top w:val="nil"/>
              <w:left w:val="nil"/>
              <w:bottom w:val="nil"/>
              <w:right w:val="nil"/>
            </w:tcBorders>
            <w:shd w:val="clear" w:color="auto" w:fill="auto"/>
            <w:noWrap/>
            <w:vAlign w:val="bottom"/>
            <w:hideMark/>
          </w:tcPr>
          <w:p w14:paraId="0990EB3F"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2E73346" w14:textId="77777777" w:rsidTr="00A360DB">
        <w:trPr>
          <w:trHeight w:val="240"/>
        </w:trPr>
        <w:tc>
          <w:tcPr>
            <w:tcW w:w="1697" w:type="dxa"/>
            <w:tcBorders>
              <w:top w:val="nil"/>
              <w:left w:val="nil"/>
              <w:bottom w:val="nil"/>
              <w:right w:val="nil"/>
            </w:tcBorders>
            <w:shd w:val="clear" w:color="auto" w:fill="auto"/>
            <w:noWrap/>
            <w:vAlign w:val="bottom"/>
            <w:hideMark/>
          </w:tcPr>
          <w:p w14:paraId="1146B2A4"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38</w:t>
            </w:r>
          </w:p>
        </w:tc>
        <w:tc>
          <w:tcPr>
            <w:tcW w:w="8509" w:type="dxa"/>
            <w:tcBorders>
              <w:top w:val="nil"/>
              <w:left w:val="nil"/>
              <w:bottom w:val="nil"/>
              <w:right w:val="nil"/>
            </w:tcBorders>
            <w:shd w:val="clear" w:color="auto" w:fill="auto"/>
            <w:noWrap/>
            <w:vAlign w:val="bottom"/>
            <w:hideMark/>
          </w:tcPr>
          <w:p w14:paraId="603FF6F9"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Ostali rashodi                                                                                      </w:t>
            </w:r>
          </w:p>
        </w:tc>
        <w:tc>
          <w:tcPr>
            <w:tcW w:w="1480" w:type="dxa"/>
            <w:tcBorders>
              <w:top w:val="nil"/>
              <w:left w:val="nil"/>
              <w:bottom w:val="nil"/>
              <w:right w:val="nil"/>
            </w:tcBorders>
            <w:shd w:val="clear" w:color="auto" w:fill="auto"/>
            <w:noWrap/>
            <w:vAlign w:val="bottom"/>
            <w:hideMark/>
          </w:tcPr>
          <w:p w14:paraId="10F28D8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300,00</w:t>
            </w:r>
          </w:p>
        </w:tc>
        <w:tc>
          <w:tcPr>
            <w:tcW w:w="1380" w:type="dxa"/>
            <w:tcBorders>
              <w:top w:val="nil"/>
              <w:left w:val="nil"/>
              <w:bottom w:val="nil"/>
              <w:right w:val="nil"/>
            </w:tcBorders>
            <w:shd w:val="clear" w:color="auto" w:fill="auto"/>
            <w:noWrap/>
            <w:vAlign w:val="bottom"/>
            <w:hideMark/>
          </w:tcPr>
          <w:p w14:paraId="442CD43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171,95</w:t>
            </w:r>
          </w:p>
        </w:tc>
        <w:tc>
          <w:tcPr>
            <w:tcW w:w="1400" w:type="dxa"/>
            <w:tcBorders>
              <w:top w:val="nil"/>
              <w:left w:val="nil"/>
              <w:bottom w:val="nil"/>
              <w:right w:val="nil"/>
            </w:tcBorders>
            <w:shd w:val="clear" w:color="auto" w:fill="auto"/>
            <w:noWrap/>
            <w:vAlign w:val="bottom"/>
            <w:hideMark/>
          </w:tcPr>
          <w:p w14:paraId="06D6A0E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57,32%</w:t>
            </w:r>
          </w:p>
        </w:tc>
      </w:tr>
      <w:tr w:rsidR="00A360DB" w:rsidRPr="00A360DB" w14:paraId="4A76C26F" w14:textId="77777777" w:rsidTr="00A360DB">
        <w:trPr>
          <w:trHeight w:val="240"/>
        </w:trPr>
        <w:tc>
          <w:tcPr>
            <w:tcW w:w="1697" w:type="dxa"/>
            <w:tcBorders>
              <w:top w:val="nil"/>
              <w:left w:val="nil"/>
              <w:bottom w:val="nil"/>
              <w:right w:val="nil"/>
            </w:tcBorders>
            <w:shd w:val="clear" w:color="auto" w:fill="auto"/>
            <w:noWrap/>
            <w:vAlign w:val="bottom"/>
            <w:hideMark/>
          </w:tcPr>
          <w:p w14:paraId="2AA70C9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3812</w:t>
            </w:r>
          </w:p>
        </w:tc>
        <w:tc>
          <w:tcPr>
            <w:tcW w:w="8509" w:type="dxa"/>
            <w:tcBorders>
              <w:top w:val="nil"/>
              <w:left w:val="nil"/>
              <w:bottom w:val="nil"/>
              <w:right w:val="nil"/>
            </w:tcBorders>
            <w:shd w:val="clear" w:color="auto" w:fill="auto"/>
            <w:noWrap/>
            <w:vAlign w:val="bottom"/>
            <w:hideMark/>
          </w:tcPr>
          <w:p w14:paraId="659A3EE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Tekuće donacije u naravi                                                                            </w:t>
            </w:r>
          </w:p>
        </w:tc>
        <w:tc>
          <w:tcPr>
            <w:tcW w:w="1480" w:type="dxa"/>
            <w:tcBorders>
              <w:top w:val="nil"/>
              <w:left w:val="nil"/>
              <w:bottom w:val="nil"/>
              <w:right w:val="nil"/>
            </w:tcBorders>
            <w:shd w:val="clear" w:color="auto" w:fill="auto"/>
            <w:noWrap/>
            <w:vAlign w:val="bottom"/>
            <w:hideMark/>
          </w:tcPr>
          <w:p w14:paraId="696B8259"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5C748226"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171,95</w:t>
            </w:r>
          </w:p>
        </w:tc>
        <w:tc>
          <w:tcPr>
            <w:tcW w:w="1400" w:type="dxa"/>
            <w:tcBorders>
              <w:top w:val="nil"/>
              <w:left w:val="nil"/>
              <w:bottom w:val="nil"/>
              <w:right w:val="nil"/>
            </w:tcBorders>
            <w:shd w:val="clear" w:color="auto" w:fill="auto"/>
            <w:noWrap/>
            <w:vAlign w:val="bottom"/>
            <w:hideMark/>
          </w:tcPr>
          <w:p w14:paraId="7CB1C245"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587975C7"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90DEF6B"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6. Donacije</w:t>
            </w:r>
          </w:p>
        </w:tc>
        <w:tc>
          <w:tcPr>
            <w:tcW w:w="1480" w:type="dxa"/>
            <w:tcBorders>
              <w:top w:val="nil"/>
              <w:left w:val="nil"/>
              <w:bottom w:val="nil"/>
              <w:right w:val="nil"/>
            </w:tcBorders>
            <w:shd w:val="clear" w:color="auto" w:fill="auto"/>
            <w:noWrap/>
            <w:vAlign w:val="bottom"/>
            <w:hideMark/>
          </w:tcPr>
          <w:p w14:paraId="36A6C692"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300,00</w:t>
            </w:r>
          </w:p>
        </w:tc>
        <w:tc>
          <w:tcPr>
            <w:tcW w:w="1380" w:type="dxa"/>
            <w:tcBorders>
              <w:top w:val="nil"/>
              <w:left w:val="nil"/>
              <w:bottom w:val="nil"/>
              <w:right w:val="nil"/>
            </w:tcBorders>
            <w:shd w:val="clear" w:color="auto" w:fill="auto"/>
            <w:noWrap/>
            <w:vAlign w:val="bottom"/>
            <w:hideMark/>
          </w:tcPr>
          <w:p w14:paraId="371C9BB1"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0,00</w:t>
            </w:r>
          </w:p>
        </w:tc>
        <w:tc>
          <w:tcPr>
            <w:tcW w:w="1400" w:type="dxa"/>
            <w:tcBorders>
              <w:top w:val="nil"/>
              <w:left w:val="nil"/>
              <w:bottom w:val="nil"/>
              <w:right w:val="nil"/>
            </w:tcBorders>
            <w:shd w:val="clear" w:color="auto" w:fill="auto"/>
            <w:noWrap/>
            <w:vAlign w:val="bottom"/>
            <w:hideMark/>
          </w:tcPr>
          <w:p w14:paraId="5F8DA82B"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0,00%</w:t>
            </w:r>
          </w:p>
        </w:tc>
      </w:tr>
      <w:tr w:rsidR="00A360DB" w:rsidRPr="00A360DB" w14:paraId="16209466"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6A82C4F"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6.1. Donacije</w:t>
            </w:r>
          </w:p>
        </w:tc>
        <w:tc>
          <w:tcPr>
            <w:tcW w:w="1480" w:type="dxa"/>
            <w:tcBorders>
              <w:top w:val="nil"/>
              <w:left w:val="nil"/>
              <w:bottom w:val="nil"/>
              <w:right w:val="nil"/>
            </w:tcBorders>
            <w:shd w:val="clear" w:color="auto" w:fill="auto"/>
            <w:noWrap/>
            <w:vAlign w:val="bottom"/>
            <w:hideMark/>
          </w:tcPr>
          <w:p w14:paraId="3CB8A472"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300,00</w:t>
            </w:r>
          </w:p>
        </w:tc>
        <w:tc>
          <w:tcPr>
            <w:tcW w:w="1380" w:type="dxa"/>
            <w:tcBorders>
              <w:top w:val="nil"/>
              <w:left w:val="nil"/>
              <w:bottom w:val="nil"/>
              <w:right w:val="nil"/>
            </w:tcBorders>
            <w:shd w:val="clear" w:color="auto" w:fill="auto"/>
            <w:noWrap/>
            <w:vAlign w:val="bottom"/>
            <w:hideMark/>
          </w:tcPr>
          <w:p w14:paraId="128989C6"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0,00</w:t>
            </w:r>
          </w:p>
        </w:tc>
        <w:tc>
          <w:tcPr>
            <w:tcW w:w="1400" w:type="dxa"/>
            <w:tcBorders>
              <w:top w:val="nil"/>
              <w:left w:val="nil"/>
              <w:bottom w:val="nil"/>
              <w:right w:val="nil"/>
            </w:tcBorders>
            <w:shd w:val="clear" w:color="auto" w:fill="auto"/>
            <w:noWrap/>
            <w:vAlign w:val="bottom"/>
            <w:hideMark/>
          </w:tcPr>
          <w:p w14:paraId="41773B09"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0,00%</w:t>
            </w:r>
          </w:p>
        </w:tc>
      </w:tr>
      <w:tr w:rsidR="00A360DB" w:rsidRPr="00A360DB" w14:paraId="5A4F4B02" w14:textId="77777777" w:rsidTr="00A360DB">
        <w:trPr>
          <w:trHeight w:val="240"/>
        </w:trPr>
        <w:tc>
          <w:tcPr>
            <w:tcW w:w="1697" w:type="dxa"/>
            <w:tcBorders>
              <w:top w:val="nil"/>
              <w:left w:val="nil"/>
              <w:bottom w:val="nil"/>
              <w:right w:val="nil"/>
            </w:tcBorders>
            <w:shd w:val="clear" w:color="auto" w:fill="auto"/>
            <w:noWrap/>
            <w:vAlign w:val="bottom"/>
            <w:hideMark/>
          </w:tcPr>
          <w:p w14:paraId="7AE9D582"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77B0CEDD"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54FCF13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300,00</w:t>
            </w:r>
          </w:p>
        </w:tc>
        <w:tc>
          <w:tcPr>
            <w:tcW w:w="1380" w:type="dxa"/>
            <w:tcBorders>
              <w:top w:val="nil"/>
              <w:left w:val="nil"/>
              <w:bottom w:val="nil"/>
              <w:right w:val="nil"/>
            </w:tcBorders>
            <w:shd w:val="clear" w:color="auto" w:fill="auto"/>
            <w:noWrap/>
            <w:vAlign w:val="bottom"/>
            <w:hideMark/>
          </w:tcPr>
          <w:p w14:paraId="06BDB6D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c>
          <w:tcPr>
            <w:tcW w:w="1400" w:type="dxa"/>
            <w:tcBorders>
              <w:top w:val="nil"/>
              <w:left w:val="nil"/>
              <w:bottom w:val="nil"/>
              <w:right w:val="nil"/>
            </w:tcBorders>
            <w:shd w:val="clear" w:color="auto" w:fill="auto"/>
            <w:noWrap/>
            <w:vAlign w:val="bottom"/>
            <w:hideMark/>
          </w:tcPr>
          <w:p w14:paraId="371C78B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r>
      <w:tr w:rsidR="00A360DB" w:rsidRPr="00A360DB" w14:paraId="0CF72CDC"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2EFD7FB8"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9. Višak iz prethodnih razdoblja</w:t>
            </w:r>
          </w:p>
        </w:tc>
        <w:tc>
          <w:tcPr>
            <w:tcW w:w="1480" w:type="dxa"/>
            <w:tcBorders>
              <w:top w:val="nil"/>
              <w:left w:val="nil"/>
              <w:bottom w:val="nil"/>
              <w:right w:val="nil"/>
            </w:tcBorders>
            <w:shd w:val="clear" w:color="auto" w:fill="auto"/>
            <w:noWrap/>
            <w:vAlign w:val="bottom"/>
            <w:hideMark/>
          </w:tcPr>
          <w:p w14:paraId="4E197036"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5.700,00</w:t>
            </w:r>
          </w:p>
        </w:tc>
        <w:tc>
          <w:tcPr>
            <w:tcW w:w="1380" w:type="dxa"/>
            <w:tcBorders>
              <w:top w:val="nil"/>
              <w:left w:val="nil"/>
              <w:bottom w:val="nil"/>
              <w:right w:val="nil"/>
            </w:tcBorders>
            <w:shd w:val="clear" w:color="auto" w:fill="auto"/>
            <w:noWrap/>
            <w:vAlign w:val="bottom"/>
            <w:hideMark/>
          </w:tcPr>
          <w:p w14:paraId="40F2B490"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4.362,35</w:t>
            </w:r>
          </w:p>
        </w:tc>
        <w:tc>
          <w:tcPr>
            <w:tcW w:w="1400" w:type="dxa"/>
            <w:tcBorders>
              <w:top w:val="nil"/>
              <w:left w:val="nil"/>
              <w:bottom w:val="nil"/>
              <w:right w:val="nil"/>
            </w:tcBorders>
            <w:shd w:val="clear" w:color="auto" w:fill="auto"/>
            <w:noWrap/>
            <w:vAlign w:val="bottom"/>
            <w:hideMark/>
          </w:tcPr>
          <w:p w14:paraId="3A05D633"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76,53%</w:t>
            </w:r>
          </w:p>
        </w:tc>
      </w:tr>
      <w:tr w:rsidR="00A360DB" w:rsidRPr="00A360DB" w14:paraId="4B7F929C"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180AE98"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 xml:space="preserve">Izvor 9.1. Višak iz prethodnih godina - </w:t>
            </w:r>
            <w:proofErr w:type="spellStart"/>
            <w:r w:rsidRPr="00A360DB">
              <w:rPr>
                <w:rFonts w:ascii="Arial" w:hAnsi="Arial" w:cs="Arial"/>
                <w:color w:val="333333"/>
                <w:sz w:val="18"/>
                <w:szCs w:val="18"/>
                <w:lang w:eastAsia="hr-HR"/>
              </w:rPr>
              <w:t>Prorač.korisnici</w:t>
            </w:r>
            <w:proofErr w:type="spellEnd"/>
          </w:p>
        </w:tc>
        <w:tc>
          <w:tcPr>
            <w:tcW w:w="1480" w:type="dxa"/>
            <w:tcBorders>
              <w:top w:val="nil"/>
              <w:left w:val="nil"/>
              <w:bottom w:val="nil"/>
              <w:right w:val="nil"/>
            </w:tcBorders>
            <w:shd w:val="clear" w:color="auto" w:fill="auto"/>
            <w:noWrap/>
            <w:vAlign w:val="bottom"/>
            <w:hideMark/>
          </w:tcPr>
          <w:p w14:paraId="40B6B950"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4.772,84</w:t>
            </w:r>
          </w:p>
        </w:tc>
        <w:tc>
          <w:tcPr>
            <w:tcW w:w="1380" w:type="dxa"/>
            <w:tcBorders>
              <w:top w:val="nil"/>
              <w:left w:val="nil"/>
              <w:bottom w:val="nil"/>
              <w:right w:val="nil"/>
            </w:tcBorders>
            <w:shd w:val="clear" w:color="auto" w:fill="auto"/>
            <w:noWrap/>
            <w:vAlign w:val="bottom"/>
            <w:hideMark/>
          </w:tcPr>
          <w:p w14:paraId="3CEFFF77"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4.362,35</w:t>
            </w:r>
          </w:p>
        </w:tc>
        <w:tc>
          <w:tcPr>
            <w:tcW w:w="1400" w:type="dxa"/>
            <w:tcBorders>
              <w:top w:val="nil"/>
              <w:left w:val="nil"/>
              <w:bottom w:val="nil"/>
              <w:right w:val="nil"/>
            </w:tcBorders>
            <w:shd w:val="clear" w:color="auto" w:fill="auto"/>
            <w:noWrap/>
            <w:vAlign w:val="bottom"/>
            <w:hideMark/>
          </w:tcPr>
          <w:p w14:paraId="5E284F8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91,40%</w:t>
            </w:r>
          </w:p>
        </w:tc>
      </w:tr>
      <w:tr w:rsidR="00A360DB" w:rsidRPr="00A360DB" w14:paraId="7E161FE6" w14:textId="77777777" w:rsidTr="00A360DB">
        <w:trPr>
          <w:trHeight w:val="240"/>
        </w:trPr>
        <w:tc>
          <w:tcPr>
            <w:tcW w:w="1697" w:type="dxa"/>
            <w:tcBorders>
              <w:top w:val="nil"/>
              <w:left w:val="nil"/>
              <w:bottom w:val="nil"/>
              <w:right w:val="nil"/>
            </w:tcBorders>
            <w:shd w:val="clear" w:color="auto" w:fill="auto"/>
            <w:noWrap/>
            <w:vAlign w:val="bottom"/>
            <w:hideMark/>
          </w:tcPr>
          <w:p w14:paraId="782836B9"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39C83F0F"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5227F2F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4.772,84</w:t>
            </w:r>
          </w:p>
        </w:tc>
        <w:tc>
          <w:tcPr>
            <w:tcW w:w="1380" w:type="dxa"/>
            <w:tcBorders>
              <w:top w:val="nil"/>
              <w:left w:val="nil"/>
              <w:bottom w:val="nil"/>
              <w:right w:val="nil"/>
            </w:tcBorders>
            <w:shd w:val="clear" w:color="auto" w:fill="auto"/>
            <w:noWrap/>
            <w:vAlign w:val="bottom"/>
            <w:hideMark/>
          </w:tcPr>
          <w:p w14:paraId="61A2049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4.362,35</w:t>
            </w:r>
          </w:p>
        </w:tc>
        <w:tc>
          <w:tcPr>
            <w:tcW w:w="1400" w:type="dxa"/>
            <w:tcBorders>
              <w:top w:val="nil"/>
              <w:left w:val="nil"/>
              <w:bottom w:val="nil"/>
              <w:right w:val="nil"/>
            </w:tcBorders>
            <w:shd w:val="clear" w:color="auto" w:fill="auto"/>
            <w:noWrap/>
            <w:vAlign w:val="bottom"/>
            <w:hideMark/>
          </w:tcPr>
          <w:p w14:paraId="1F96FA8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91,40%</w:t>
            </w:r>
          </w:p>
        </w:tc>
      </w:tr>
      <w:tr w:rsidR="00A360DB" w:rsidRPr="00A360DB" w14:paraId="16D51529" w14:textId="77777777" w:rsidTr="00A360DB">
        <w:trPr>
          <w:trHeight w:val="240"/>
        </w:trPr>
        <w:tc>
          <w:tcPr>
            <w:tcW w:w="1697" w:type="dxa"/>
            <w:tcBorders>
              <w:top w:val="nil"/>
              <w:left w:val="nil"/>
              <w:bottom w:val="nil"/>
              <w:right w:val="nil"/>
            </w:tcBorders>
            <w:shd w:val="clear" w:color="auto" w:fill="auto"/>
            <w:noWrap/>
            <w:vAlign w:val="bottom"/>
            <w:hideMark/>
          </w:tcPr>
          <w:p w14:paraId="31D2BB5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3225</w:t>
            </w:r>
          </w:p>
        </w:tc>
        <w:tc>
          <w:tcPr>
            <w:tcW w:w="8509" w:type="dxa"/>
            <w:tcBorders>
              <w:top w:val="nil"/>
              <w:left w:val="nil"/>
              <w:bottom w:val="nil"/>
              <w:right w:val="nil"/>
            </w:tcBorders>
            <w:shd w:val="clear" w:color="auto" w:fill="auto"/>
            <w:noWrap/>
            <w:vAlign w:val="bottom"/>
            <w:hideMark/>
          </w:tcPr>
          <w:p w14:paraId="7C6A752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Sitni inventar i auto gume</w:t>
            </w:r>
          </w:p>
        </w:tc>
        <w:tc>
          <w:tcPr>
            <w:tcW w:w="1480" w:type="dxa"/>
            <w:tcBorders>
              <w:top w:val="nil"/>
              <w:left w:val="nil"/>
              <w:bottom w:val="nil"/>
              <w:right w:val="nil"/>
            </w:tcBorders>
            <w:shd w:val="clear" w:color="auto" w:fill="auto"/>
            <w:noWrap/>
            <w:vAlign w:val="bottom"/>
            <w:hideMark/>
          </w:tcPr>
          <w:p w14:paraId="1B1E9831"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FC15D0C"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1.044,00</w:t>
            </w:r>
          </w:p>
        </w:tc>
        <w:tc>
          <w:tcPr>
            <w:tcW w:w="1400" w:type="dxa"/>
            <w:tcBorders>
              <w:top w:val="nil"/>
              <w:left w:val="nil"/>
              <w:bottom w:val="nil"/>
              <w:right w:val="nil"/>
            </w:tcBorders>
            <w:shd w:val="clear" w:color="auto" w:fill="auto"/>
            <w:noWrap/>
            <w:vAlign w:val="bottom"/>
            <w:hideMark/>
          </w:tcPr>
          <w:p w14:paraId="381B9FFA"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70746D8" w14:textId="77777777" w:rsidTr="00A360DB">
        <w:trPr>
          <w:trHeight w:val="240"/>
        </w:trPr>
        <w:tc>
          <w:tcPr>
            <w:tcW w:w="1697" w:type="dxa"/>
            <w:tcBorders>
              <w:top w:val="nil"/>
              <w:left w:val="nil"/>
              <w:bottom w:val="nil"/>
              <w:right w:val="nil"/>
            </w:tcBorders>
            <w:shd w:val="clear" w:color="auto" w:fill="auto"/>
            <w:noWrap/>
            <w:vAlign w:val="bottom"/>
            <w:hideMark/>
          </w:tcPr>
          <w:p w14:paraId="0799897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3232</w:t>
            </w:r>
          </w:p>
        </w:tc>
        <w:tc>
          <w:tcPr>
            <w:tcW w:w="8509" w:type="dxa"/>
            <w:tcBorders>
              <w:top w:val="nil"/>
              <w:left w:val="nil"/>
              <w:bottom w:val="nil"/>
              <w:right w:val="nil"/>
            </w:tcBorders>
            <w:shd w:val="clear" w:color="auto" w:fill="auto"/>
            <w:noWrap/>
            <w:vAlign w:val="bottom"/>
            <w:hideMark/>
          </w:tcPr>
          <w:p w14:paraId="283C076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Usluge tekućeg i investicijskog održavanja                                                          </w:t>
            </w:r>
          </w:p>
        </w:tc>
        <w:tc>
          <w:tcPr>
            <w:tcW w:w="1480" w:type="dxa"/>
            <w:tcBorders>
              <w:top w:val="nil"/>
              <w:left w:val="nil"/>
              <w:bottom w:val="nil"/>
              <w:right w:val="nil"/>
            </w:tcBorders>
            <w:shd w:val="clear" w:color="auto" w:fill="auto"/>
            <w:noWrap/>
            <w:vAlign w:val="bottom"/>
            <w:hideMark/>
          </w:tcPr>
          <w:p w14:paraId="21F3E9F5"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25632E0D"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2.700,00</w:t>
            </w:r>
          </w:p>
        </w:tc>
        <w:tc>
          <w:tcPr>
            <w:tcW w:w="1400" w:type="dxa"/>
            <w:tcBorders>
              <w:top w:val="nil"/>
              <w:left w:val="nil"/>
              <w:bottom w:val="nil"/>
              <w:right w:val="nil"/>
            </w:tcBorders>
            <w:shd w:val="clear" w:color="auto" w:fill="auto"/>
            <w:noWrap/>
            <w:vAlign w:val="bottom"/>
            <w:hideMark/>
          </w:tcPr>
          <w:p w14:paraId="68EA7E97"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2138864C" w14:textId="77777777" w:rsidTr="00A360DB">
        <w:trPr>
          <w:trHeight w:val="240"/>
        </w:trPr>
        <w:tc>
          <w:tcPr>
            <w:tcW w:w="1697" w:type="dxa"/>
            <w:tcBorders>
              <w:top w:val="nil"/>
              <w:left w:val="nil"/>
              <w:bottom w:val="nil"/>
              <w:right w:val="nil"/>
            </w:tcBorders>
            <w:shd w:val="clear" w:color="auto" w:fill="auto"/>
            <w:noWrap/>
            <w:vAlign w:val="bottom"/>
            <w:hideMark/>
          </w:tcPr>
          <w:p w14:paraId="3D3573B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3299</w:t>
            </w:r>
          </w:p>
        </w:tc>
        <w:tc>
          <w:tcPr>
            <w:tcW w:w="8509" w:type="dxa"/>
            <w:tcBorders>
              <w:top w:val="nil"/>
              <w:left w:val="nil"/>
              <w:bottom w:val="nil"/>
              <w:right w:val="nil"/>
            </w:tcBorders>
            <w:shd w:val="clear" w:color="auto" w:fill="auto"/>
            <w:noWrap/>
            <w:vAlign w:val="bottom"/>
            <w:hideMark/>
          </w:tcPr>
          <w:p w14:paraId="46A5ADA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Ostali nespomenuti rashodi poslovanja                                                               </w:t>
            </w:r>
          </w:p>
        </w:tc>
        <w:tc>
          <w:tcPr>
            <w:tcW w:w="1480" w:type="dxa"/>
            <w:tcBorders>
              <w:top w:val="nil"/>
              <w:left w:val="nil"/>
              <w:bottom w:val="nil"/>
              <w:right w:val="nil"/>
            </w:tcBorders>
            <w:shd w:val="clear" w:color="auto" w:fill="auto"/>
            <w:noWrap/>
            <w:vAlign w:val="bottom"/>
            <w:hideMark/>
          </w:tcPr>
          <w:p w14:paraId="5D043FB4"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70CBA48"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618,35</w:t>
            </w:r>
          </w:p>
        </w:tc>
        <w:tc>
          <w:tcPr>
            <w:tcW w:w="1400" w:type="dxa"/>
            <w:tcBorders>
              <w:top w:val="nil"/>
              <w:left w:val="nil"/>
              <w:bottom w:val="nil"/>
              <w:right w:val="nil"/>
            </w:tcBorders>
            <w:shd w:val="clear" w:color="auto" w:fill="auto"/>
            <w:noWrap/>
            <w:vAlign w:val="bottom"/>
            <w:hideMark/>
          </w:tcPr>
          <w:p w14:paraId="0E530020"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005CF18"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1084CDB5"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9.2. Višak iz prethodnih godina - Grad</w:t>
            </w:r>
          </w:p>
        </w:tc>
        <w:tc>
          <w:tcPr>
            <w:tcW w:w="1480" w:type="dxa"/>
            <w:tcBorders>
              <w:top w:val="nil"/>
              <w:left w:val="nil"/>
              <w:bottom w:val="nil"/>
              <w:right w:val="nil"/>
            </w:tcBorders>
            <w:shd w:val="clear" w:color="auto" w:fill="auto"/>
            <w:noWrap/>
            <w:vAlign w:val="bottom"/>
            <w:hideMark/>
          </w:tcPr>
          <w:p w14:paraId="51D43FCA"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927,16</w:t>
            </w:r>
          </w:p>
        </w:tc>
        <w:tc>
          <w:tcPr>
            <w:tcW w:w="1380" w:type="dxa"/>
            <w:tcBorders>
              <w:top w:val="nil"/>
              <w:left w:val="nil"/>
              <w:bottom w:val="nil"/>
              <w:right w:val="nil"/>
            </w:tcBorders>
            <w:shd w:val="clear" w:color="auto" w:fill="auto"/>
            <w:noWrap/>
            <w:vAlign w:val="bottom"/>
            <w:hideMark/>
          </w:tcPr>
          <w:p w14:paraId="56A01A93"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0,00</w:t>
            </w:r>
          </w:p>
        </w:tc>
        <w:tc>
          <w:tcPr>
            <w:tcW w:w="1400" w:type="dxa"/>
            <w:tcBorders>
              <w:top w:val="nil"/>
              <w:left w:val="nil"/>
              <w:bottom w:val="nil"/>
              <w:right w:val="nil"/>
            </w:tcBorders>
            <w:shd w:val="clear" w:color="auto" w:fill="auto"/>
            <w:noWrap/>
            <w:vAlign w:val="bottom"/>
            <w:hideMark/>
          </w:tcPr>
          <w:p w14:paraId="57284C59"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0,00%</w:t>
            </w:r>
          </w:p>
        </w:tc>
      </w:tr>
      <w:tr w:rsidR="00A360DB" w:rsidRPr="00A360DB" w14:paraId="0552BE63" w14:textId="77777777" w:rsidTr="00A360DB">
        <w:trPr>
          <w:trHeight w:val="240"/>
        </w:trPr>
        <w:tc>
          <w:tcPr>
            <w:tcW w:w="1697" w:type="dxa"/>
            <w:tcBorders>
              <w:top w:val="nil"/>
              <w:left w:val="nil"/>
              <w:bottom w:val="nil"/>
              <w:right w:val="nil"/>
            </w:tcBorders>
            <w:shd w:val="clear" w:color="auto" w:fill="auto"/>
            <w:noWrap/>
            <w:vAlign w:val="bottom"/>
            <w:hideMark/>
          </w:tcPr>
          <w:p w14:paraId="39E6A09D"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5FAC7928"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76B0D05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927,16</w:t>
            </w:r>
          </w:p>
        </w:tc>
        <w:tc>
          <w:tcPr>
            <w:tcW w:w="1380" w:type="dxa"/>
            <w:tcBorders>
              <w:top w:val="nil"/>
              <w:left w:val="nil"/>
              <w:bottom w:val="nil"/>
              <w:right w:val="nil"/>
            </w:tcBorders>
            <w:shd w:val="clear" w:color="auto" w:fill="auto"/>
            <w:noWrap/>
            <w:vAlign w:val="bottom"/>
            <w:hideMark/>
          </w:tcPr>
          <w:p w14:paraId="7836820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c>
          <w:tcPr>
            <w:tcW w:w="1400" w:type="dxa"/>
            <w:tcBorders>
              <w:top w:val="nil"/>
              <w:left w:val="nil"/>
              <w:bottom w:val="nil"/>
              <w:right w:val="nil"/>
            </w:tcBorders>
            <w:shd w:val="clear" w:color="auto" w:fill="auto"/>
            <w:noWrap/>
            <w:vAlign w:val="bottom"/>
            <w:hideMark/>
          </w:tcPr>
          <w:p w14:paraId="5E267B3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r>
      <w:tr w:rsidR="00A360DB" w:rsidRPr="00A360DB" w14:paraId="49441114" w14:textId="77777777" w:rsidTr="00A360DB">
        <w:trPr>
          <w:trHeight w:val="240"/>
        </w:trPr>
        <w:tc>
          <w:tcPr>
            <w:tcW w:w="1697" w:type="dxa"/>
            <w:tcBorders>
              <w:top w:val="nil"/>
              <w:left w:val="nil"/>
              <w:bottom w:val="nil"/>
              <w:right w:val="nil"/>
            </w:tcBorders>
            <w:shd w:val="clear" w:color="000000" w:fill="B4C6E7"/>
            <w:noWrap/>
            <w:vAlign w:val="bottom"/>
            <w:hideMark/>
          </w:tcPr>
          <w:p w14:paraId="525E8CAB"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A102009</w:t>
            </w:r>
          </w:p>
        </w:tc>
        <w:tc>
          <w:tcPr>
            <w:tcW w:w="8509" w:type="dxa"/>
            <w:tcBorders>
              <w:top w:val="nil"/>
              <w:left w:val="nil"/>
              <w:bottom w:val="nil"/>
              <w:right w:val="nil"/>
            </w:tcBorders>
            <w:shd w:val="clear" w:color="000000" w:fill="B4C6E7"/>
            <w:noWrap/>
            <w:vAlign w:val="bottom"/>
            <w:hideMark/>
          </w:tcPr>
          <w:p w14:paraId="10475883"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Prehrana za učenike osnovnih škola osigurana iz sredstava Državnog proračuna</w:t>
            </w:r>
          </w:p>
        </w:tc>
        <w:tc>
          <w:tcPr>
            <w:tcW w:w="1480" w:type="dxa"/>
            <w:tcBorders>
              <w:top w:val="nil"/>
              <w:left w:val="nil"/>
              <w:bottom w:val="nil"/>
              <w:right w:val="nil"/>
            </w:tcBorders>
            <w:shd w:val="clear" w:color="000000" w:fill="B4C6E7"/>
            <w:noWrap/>
            <w:vAlign w:val="bottom"/>
            <w:hideMark/>
          </w:tcPr>
          <w:p w14:paraId="1C1B4BA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18.000,00</w:t>
            </w:r>
          </w:p>
        </w:tc>
        <w:tc>
          <w:tcPr>
            <w:tcW w:w="1380" w:type="dxa"/>
            <w:tcBorders>
              <w:top w:val="nil"/>
              <w:left w:val="nil"/>
              <w:bottom w:val="nil"/>
              <w:right w:val="nil"/>
            </w:tcBorders>
            <w:shd w:val="clear" w:color="000000" w:fill="B4C6E7"/>
            <w:noWrap/>
            <w:vAlign w:val="bottom"/>
            <w:hideMark/>
          </w:tcPr>
          <w:p w14:paraId="5E31B94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14.040,52</w:t>
            </w:r>
          </w:p>
        </w:tc>
        <w:tc>
          <w:tcPr>
            <w:tcW w:w="1400" w:type="dxa"/>
            <w:tcBorders>
              <w:top w:val="nil"/>
              <w:left w:val="nil"/>
              <w:bottom w:val="nil"/>
              <w:right w:val="nil"/>
            </w:tcBorders>
            <w:shd w:val="clear" w:color="000000" w:fill="B4C6E7"/>
            <w:noWrap/>
            <w:vAlign w:val="bottom"/>
            <w:hideMark/>
          </w:tcPr>
          <w:p w14:paraId="349EC04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78,00%</w:t>
            </w:r>
          </w:p>
        </w:tc>
      </w:tr>
      <w:tr w:rsidR="00A360DB" w:rsidRPr="00A360DB" w14:paraId="2F4085F5"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53501491"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5. Pomoći</w:t>
            </w:r>
          </w:p>
        </w:tc>
        <w:tc>
          <w:tcPr>
            <w:tcW w:w="1480" w:type="dxa"/>
            <w:tcBorders>
              <w:top w:val="nil"/>
              <w:left w:val="nil"/>
              <w:bottom w:val="nil"/>
              <w:right w:val="nil"/>
            </w:tcBorders>
            <w:shd w:val="clear" w:color="auto" w:fill="auto"/>
            <w:noWrap/>
            <w:vAlign w:val="bottom"/>
            <w:hideMark/>
          </w:tcPr>
          <w:p w14:paraId="4231D285"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18.000,00</w:t>
            </w:r>
          </w:p>
        </w:tc>
        <w:tc>
          <w:tcPr>
            <w:tcW w:w="1380" w:type="dxa"/>
            <w:tcBorders>
              <w:top w:val="nil"/>
              <w:left w:val="nil"/>
              <w:bottom w:val="nil"/>
              <w:right w:val="nil"/>
            </w:tcBorders>
            <w:shd w:val="clear" w:color="auto" w:fill="auto"/>
            <w:noWrap/>
            <w:vAlign w:val="bottom"/>
            <w:hideMark/>
          </w:tcPr>
          <w:p w14:paraId="0C661BF9"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14.040,52</w:t>
            </w:r>
          </w:p>
        </w:tc>
        <w:tc>
          <w:tcPr>
            <w:tcW w:w="1400" w:type="dxa"/>
            <w:tcBorders>
              <w:top w:val="nil"/>
              <w:left w:val="nil"/>
              <w:bottom w:val="nil"/>
              <w:right w:val="nil"/>
            </w:tcBorders>
            <w:shd w:val="clear" w:color="auto" w:fill="auto"/>
            <w:noWrap/>
            <w:vAlign w:val="bottom"/>
            <w:hideMark/>
          </w:tcPr>
          <w:p w14:paraId="444BE943"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78,00%</w:t>
            </w:r>
          </w:p>
        </w:tc>
      </w:tr>
      <w:tr w:rsidR="00A360DB" w:rsidRPr="00A360DB" w14:paraId="42EF7F9D"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595FE0F1"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5.2. Državni proračun</w:t>
            </w:r>
          </w:p>
        </w:tc>
        <w:tc>
          <w:tcPr>
            <w:tcW w:w="1480" w:type="dxa"/>
            <w:tcBorders>
              <w:top w:val="nil"/>
              <w:left w:val="nil"/>
              <w:bottom w:val="nil"/>
              <w:right w:val="nil"/>
            </w:tcBorders>
            <w:shd w:val="clear" w:color="auto" w:fill="auto"/>
            <w:noWrap/>
            <w:vAlign w:val="bottom"/>
            <w:hideMark/>
          </w:tcPr>
          <w:p w14:paraId="4E456EB1"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18.000,00</w:t>
            </w:r>
          </w:p>
        </w:tc>
        <w:tc>
          <w:tcPr>
            <w:tcW w:w="1380" w:type="dxa"/>
            <w:tcBorders>
              <w:top w:val="nil"/>
              <w:left w:val="nil"/>
              <w:bottom w:val="nil"/>
              <w:right w:val="nil"/>
            </w:tcBorders>
            <w:shd w:val="clear" w:color="auto" w:fill="auto"/>
            <w:noWrap/>
            <w:vAlign w:val="bottom"/>
            <w:hideMark/>
          </w:tcPr>
          <w:p w14:paraId="58B460C7"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14.040,52</w:t>
            </w:r>
          </w:p>
        </w:tc>
        <w:tc>
          <w:tcPr>
            <w:tcW w:w="1400" w:type="dxa"/>
            <w:tcBorders>
              <w:top w:val="nil"/>
              <w:left w:val="nil"/>
              <w:bottom w:val="nil"/>
              <w:right w:val="nil"/>
            </w:tcBorders>
            <w:shd w:val="clear" w:color="auto" w:fill="auto"/>
            <w:noWrap/>
            <w:vAlign w:val="bottom"/>
            <w:hideMark/>
          </w:tcPr>
          <w:p w14:paraId="1AF1A263"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78,00%</w:t>
            </w:r>
          </w:p>
        </w:tc>
      </w:tr>
      <w:tr w:rsidR="00A360DB" w:rsidRPr="00A360DB" w14:paraId="23C18274" w14:textId="77777777" w:rsidTr="00A360DB">
        <w:trPr>
          <w:trHeight w:val="240"/>
        </w:trPr>
        <w:tc>
          <w:tcPr>
            <w:tcW w:w="1697" w:type="dxa"/>
            <w:tcBorders>
              <w:top w:val="nil"/>
              <w:left w:val="nil"/>
              <w:bottom w:val="nil"/>
              <w:right w:val="nil"/>
            </w:tcBorders>
            <w:shd w:val="clear" w:color="auto" w:fill="auto"/>
            <w:noWrap/>
            <w:vAlign w:val="bottom"/>
            <w:hideMark/>
          </w:tcPr>
          <w:p w14:paraId="78FF8718"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lastRenderedPageBreak/>
              <w:t>32</w:t>
            </w:r>
          </w:p>
        </w:tc>
        <w:tc>
          <w:tcPr>
            <w:tcW w:w="8509" w:type="dxa"/>
            <w:tcBorders>
              <w:top w:val="nil"/>
              <w:left w:val="nil"/>
              <w:bottom w:val="nil"/>
              <w:right w:val="nil"/>
            </w:tcBorders>
            <w:shd w:val="clear" w:color="auto" w:fill="auto"/>
            <w:noWrap/>
            <w:vAlign w:val="bottom"/>
            <w:hideMark/>
          </w:tcPr>
          <w:p w14:paraId="7DEE947B"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44C3411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18.000,00</w:t>
            </w:r>
          </w:p>
        </w:tc>
        <w:tc>
          <w:tcPr>
            <w:tcW w:w="1380" w:type="dxa"/>
            <w:tcBorders>
              <w:top w:val="nil"/>
              <w:left w:val="nil"/>
              <w:bottom w:val="nil"/>
              <w:right w:val="nil"/>
            </w:tcBorders>
            <w:shd w:val="clear" w:color="auto" w:fill="auto"/>
            <w:noWrap/>
            <w:vAlign w:val="bottom"/>
            <w:hideMark/>
          </w:tcPr>
          <w:p w14:paraId="11A627A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14.040,52</w:t>
            </w:r>
          </w:p>
        </w:tc>
        <w:tc>
          <w:tcPr>
            <w:tcW w:w="1400" w:type="dxa"/>
            <w:tcBorders>
              <w:top w:val="nil"/>
              <w:left w:val="nil"/>
              <w:bottom w:val="nil"/>
              <w:right w:val="nil"/>
            </w:tcBorders>
            <w:shd w:val="clear" w:color="auto" w:fill="auto"/>
            <w:noWrap/>
            <w:vAlign w:val="bottom"/>
            <w:hideMark/>
          </w:tcPr>
          <w:p w14:paraId="2E4B8F3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78,00%</w:t>
            </w:r>
          </w:p>
        </w:tc>
      </w:tr>
      <w:tr w:rsidR="00A360DB" w:rsidRPr="00A360DB" w14:paraId="42277D83" w14:textId="77777777" w:rsidTr="00A360DB">
        <w:trPr>
          <w:trHeight w:val="240"/>
        </w:trPr>
        <w:tc>
          <w:tcPr>
            <w:tcW w:w="1697" w:type="dxa"/>
            <w:tcBorders>
              <w:top w:val="nil"/>
              <w:left w:val="nil"/>
              <w:bottom w:val="nil"/>
              <w:right w:val="nil"/>
            </w:tcBorders>
            <w:shd w:val="clear" w:color="auto" w:fill="auto"/>
            <w:noWrap/>
            <w:vAlign w:val="bottom"/>
            <w:hideMark/>
          </w:tcPr>
          <w:p w14:paraId="51B65755"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3222</w:t>
            </w:r>
          </w:p>
        </w:tc>
        <w:tc>
          <w:tcPr>
            <w:tcW w:w="8509" w:type="dxa"/>
            <w:tcBorders>
              <w:top w:val="nil"/>
              <w:left w:val="nil"/>
              <w:bottom w:val="nil"/>
              <w:right w:val="nil"/>
            </w:tcBorders>
            <w:shd w:val="clear" w:color="auto" w:fill="auto"/>
            <w:noWrap/>
            <w:vAlign w:val="bottom"/>
            <w:hideMark/>
          </w:tcPr>
          <w:p w14:paraId="5B4144C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Materijal i sirovine                                                                                </w:t>
            </w:r>
          </w:p>
        </w:tc>
        <w:tc>
          <w:tcPr>
            <w:tcW w:w="1480" w:type="dxa"/>
            <w:tcBorders>
              <w:top w:val="nil"/>
              <w:left w:val="nil"/>
              <w:bottom w:val="nil"/>
              <w:right w:val="nil"/>
            </w:tcBorders>
            <w:shd w:val="clear" w:color="auto" w:fill="auto"/>
            <w:noWrap/>
            <w:vAlign w:val="bottom"/>
            <w:hideMark/>
          </w:tcPr>
          <w:p w14:paraId="71F750AA"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7DE7E92"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14.040,52</w:t>
            </w:r>
          </w:p>
        </w:tc>
        <w:tc>
          <w:tcPr>
            <w:tcW w:w="1400" w:type="dxa"/>
            <w:tcBorders>
              <w:top w:val="nil"/>
              <w:left w:val="nil"/>
              <w:bottom w:val="nil"/>
              <w:right w:val="nil"/>
            </w:tcBorders>
            <w:shd w:val="clear" w:color="auto" w:fill="auto"/>
            <w:noWrap/>
            <w:vAlign w:val="bottom"/>
            <w:hideMark/>
          </w:tcPr>
          <w:p w14:paraId="6DAA87C5"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0B021B3" w14:textId="77777777" w:rsidTr="00A360DB">
        <w:trPr>
          <w:trHeight w:val="240"/>
        </w:trPr>
        <w:tc>
          <w:tcPr>
            <w:tcW w:w="1697" w:type="dxa"/>
            <w:tcBorders>
              <w:top w:val="nil"/>
              <w:left w:val="nil"/>
              <w:bottom w:val="nil"/>
              <w:right w:val="nil"/>
            </w:tcBorders>
            <w:shd w:val="clear" w:color="000000" w:fill="B4C6E7"/>
            <w:noWrap/>
            <w:vAlign w:val="bottom"/>
            <w:hideMark/>
          </w:tcPr>
          <w:p w14:paraId="0006E8A1"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K102004</w:t>
            </w:r>
          </w:p>
        </w:tc>
        <w:tc>
          <w:tcPr>
            <w:tcW w:w="8509" w:type="dxa"/>
            <w:tcBorders>
              <w:top w:val="nil"/>
              <w:left w:val="nil"/>
              <w:bottom w:val="nil"/>
              <w:right w:val="nil"/>
            </w:tcBorders>
            <w:shd w:val="clear" w:color="000000" w:fill="B4C6E7"/>
            <w:noWrap/>
            <w:vAlign w:val="bottom"/>
            <w:hideMark/>
          </w:tcPr>
          <w:p w14:paraId="24171A64"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Kapitalni projekt: Opremanje OŠ (nabava knjiga i opreme) - decentralizirana sredstva</w:t>
            </w:r>
          </w:p>
        </w:tc>
        <w:tc>
          <w:tcPr>
            <w:tcW w:w="1480" w:type="dxa"/>
            <w:tcBorders>
              <w:top w:val="nil"/>
              <w:left w:val="nil"/>
              <w:bottom w:val="nil"/>
              <w:right w:val="nil"/>
            </w:tcBorders>
            <w:shd w:val="clear" w:color="000000" w:fill="B4C6E7"/>
            <w:noWrap/>
            <w:vAlign w:val="bottom"/>
            <w:hideMark/>
          </w:tcPr>
          <w:p w14:paraId="255C471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200,00</w:t>
            </w:r>
          </w:p>
        </w:tc>
        <w:tc>
          <w:tcPr>
            <w:tcW w:w="1380" w:type="dxa"/>
            <w:tcBorders>
              <w:top w:val="nil"/>
              <w:left w:val="nil"/>
              <w:bottom w:val="nil"/>
              <w:right w:val="nil"/>
            </w:tcBorders>
            <w:shd w:val="clear" w:color="000000" w:fill="B4C6E7"/>
            <w:noWrap/>
            <w:vAlign w:val="bottom"/>
            <w:hideMark/>
          </w:tcPr>
          <w:p w14:paraId="60213AB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c>
          <w:tcPr>
            <w:tcW w:w="1400" w:type="dxa"/>
            <w:tcBorders>
              <w:top w:val="nil"/>
              <w:left w:val="nil"/>
              <w:bottom w:val="nil"/>
              <w:right w:val="nil"/>
            </w:tcBorders>
            <w:shd w:val="clear" w:color="000000" w:fill="B4C6E7"/>
            <w:noWrap/>
            <w:vAlign w:val="bottom"/>
            <w:hideMark/>
          </w:tcPr>
          <w:p w14:paraId="75D753A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r>
      <w:tr w:rsidR="00A360DB" w:rsidRPr="00A360DB" w14:paraId="1DFEAE2D"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009C48A"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5. Pomoći</w:t>
            </w:r>
          </w:p>
        </w:tc>
        <w:tc>
          <w:tcPr>
            <w:tcW w:w="1480" w:type="dxa"/>
            <w:tcBorders>
              <w:top w:val="nil"/>
              <w:left w:val="nil"/>
              <w:bottom w:val="nil"/>
              <w:right w:val="nil"/>
            </w:tcBorders>
            <w:shd w:val="clear" w:color="auto" w:fill="auto"/>
            <w:noWrap/>
            <w:vAlign w:val="bottom"/>
            <w:hideMark/>
          </w:tcPr>
          <w:p w14:paraId="71C5CD47"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200,00</w:t>
            </w:r>
          </w:p>
        </w:tc>
        <w:tc>
          <w:tcPr>
            <w:tcW w:w="1380" w:type="dxa"/>
            <w:tcBorders>
              <w:top w:val="nil"/>
              <w:left w:val="nil"/>
              <w:bottom w:val="nil"/>
              <w:right w:val="nil"/>
            </w:tcBorders>
            <w:shd w:val="clear" w:color="auto" w:fill="auto"/>
            <w:noWrap/>
            <w:vAlign w:val="bottom"/>
            <w:hideMark/>
          </w:tcPr>
          <w:p w14:paraId="4C611341"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0,00</w:t>
            </w:r>
          </w:p>
        </w:tc>
        <w:tc>
          <w:tcPr>
            <w:tcW w:w="1400" w:type="dxa"/>
            <w:tcBorders>
              <w:top w:val="nil"/>
              <w:left w:val="nil"/>
              <w:bottom w:val="nil"/>
              <w:right w:val="nil"/>
            </w:tcBorders>
            <w:shd w:val="clear" w:color="auto" w:fill="auto"/>
            <w:noWrap/>
            <w:vAlign w:val="bottom"/>
            <w:hideMark/>
          </w:tcPr>
          <w:p w14:paraId="432C8532"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0,00%</w:t>
            </w:r>
          </w:p>
        </w:tc>
      </w:tr>
      <w:tr w:rsidR="00A360DB" w:rsidRPr="00A360DB" w14:paraId="49792F79"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E6CB41C"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5.2. Državni proračun</w:t>
            </w:r>
          </w:p>
        </w:tc>
        <w:tc>
          <w:tcPr>
            <w:tcW w:w="1480" w:type="dxa"/>
            <w:tcBorders>
              <w:top w:val="nil"/>
              <w:left w:val="nil"/>
              <w:bottom w:val="nil"/>
              <w:right w:val="nil"/>
            </w:tcBorders>
            <w:shd w:val="clear" w:color="auto" w:fill="auto"/>
            <w:noWrap/>
            <w:vAlign w:val="bottom"/>
            <w:hideMark/>
          </w:tcPr>
          <w:p w14:paraId="3B46861E"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200,00</w:t>
            </w:r>
          </w:p>
        </w:tc>
        <w:tc>
          <w:tcPr>
            <w:tcW w:w="1380" w:type="dxa"/>
            <w:tcBorders>
              <w:top w:val="nil"/>
              <w:left w:val="nil"/>
              <w:bottom w:val="nil"/>
              <w:right w:val="nil"/>
            </w:tcBorders>
            <w:shd w:val="clear" w:color="auto" w:fill="auto"/>
            <w:noWrap/>
            <w:vAlign w:val="bottom"/>
            <w:hideMark/>
          </w:tcPr>
          <w:p w14:paraId="1B93EE9D"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0,00</w:t>
            </w:r>
          </w:p>
        </w:tc>
        <w:tc>
          <w:tcPr>
            <w:tcW w:w="1400" w:type="dxa"/>
            <w:tcBorders>
              <w:top w:val="nil"/>
              <w:left w:val="nil"/>
              <w:bottom w:val="nil"/>
              <w:right w:val="nil"/>
            </w:tcBorders>
            <w:shd w:val="clear" w:color="auto" w:fill="auto"/>
            <w:noWrap/>
            <w:vAlign w:val="bottom"/>
            <w:hideMark/>
          </w:tcPr>
          <w:p w14:paraId="1535BBFA"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0,00%</w:t>
            </w:r>
          </w:p>
        </w:tc>
      </w:tr>
      <w:tr w:rsidR="00A360DB" w:rsidRPr="00A360DB" w14:paraId="41AE6E89" w14:textId="77777777" w:rsidTr="00A360DB">
        <w:trPr>
          <w:trHeight w:val="240"/>
        </w:trPr>
        <w:tc>
          <w:tcPr>
            <w:tcW w:w="1697" w:type="dxa"/>
            <w:tcBorders>
              <w:top w:val="nil"/>
              <w:left w:val="nil"/>
              <w:bottom w:val="nil"/>
              <w:right w:val="nil"/>
            </w:tcBorders>
            <w:shd w:val="clear" w:color="auto" w:fill="auto"/>
            <w:noWrap/>
            <w:vAlign w:val="bottom"/>
            <w:hideMark/>
          </w:tcPr>
          <w:p w14:paraId="491F2400"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42</w:t>
            </w:r>
          </w:p>
        </w:tc>
        <w:tc>
          <w:tcPr>
            <w:tcW w:w="8509" w:type="dxa"/>
            <w:tcBorders>
              <w:top w:val="nil"/>
              <w:left w:val="nil"/>
              <w:bottom w:val="nil"/>
              <w:right w:val="nil"/>
            </w:tcBorders>
            <w:shd w:val="clear" w:color="auto" w:fill="auto"/>
            <w:noWrap/>
            <w:vAlign w:val="bottom"/>
            <w:hideMark/>
          </w:tcPr>
          <w:p w14:paraId="4AB4F52F"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nabavu proizvedene dugotrajne imovine                                                    </w:t>
            </w:r>
          </w:p>
        </w:tc>
        <w:tc>
          <w:tcPr>
            <w:tcW w:w="1480" w:type="dxa"/>
            <w:tcBorders>
              <w:top w:val="nil"/>
              <w:left w:val="nil"/>
              <w:bottom w:val="nil"/>
              <w:right w:val="nil"/>
            </w:tcBorders>
            <w:shd w:val="clear" w:color="auto" w:fill="auto"/>
            <w:noWrap/>
            <w:vAlign w:val="bottom"/>
            <w:hideMark/>
          </w:tcPr>
          <w:p w14:paraId="1B2ED61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200,00</w:t>
            </w:r>
          </w:p>
        </w:tc>
        <w:tc>
          <w:tcPr>
            <w:tcW w:w="1380" w:type="dxa"/>
            <w:tcBorders>
              <w:top w:val="nil"/>
              <w:left w:val="nil"/>
              <w:bottom w:val="nil"/>
              <w:right w:val="nil"/>
            </w:tcBorders>
            <w:shd w:val="clear" w:color="auto" w:fill="auto"/>
            <w:noWrap/>
            <w:vAlign w:val="bottom"/>
            <w:hideMark/>
          </w:tcPr>
          <w:p w14:paraId="6ED88EF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c>
          <w:tcPr>
            <w:tcW w:w="1400" w:type="dxa"/>
            <w:tcBorders>
              <w:top w:val="nil"/>
              <w:left w:val="nil"/>
              <w:bottom w:val="nil"/>
              <w:right w:val="nil"/>
            </w:tcBorders>
            <w:shd w:val="clear" w:color="auto" w:fill="auto"/>
            <w:noWrap/>
            <w:vAlign w:val="bottom"/>
            <w:hideMark/>
          </w:tcPr>
          <w:p w14:paraId="04F18CA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r>
      <w:tr w:rsidR="00A360DB" w:rsidRPr="00A360DB" w14:paraId="1F185FCE" w14:textId="77777777" w:rsidTr="00A360DB">
        <w:trPr>
          <w:trHeight w:val="240"/>
        </w:trPr>
        <w:tc>
          <w:tcPr>
            <w:tcW w:w="1697" w:type="dxa"/>
            <w:tcBorders>
              <w:top w:val="nil"/>
              <w:left w:val="nil"/>
              <w:bottom w:val="nil"/>
              <w:right w:val="nil"/>
            </w:tcBorders>
            <w:shd w:val="clear" w:color="000000" w:fill="B4C6E7"/>
            <w:noWrap/>
            <w:vAlign w:val="bottom"/>
            <w:hideMark/>
          </w:tcPr>
          <w:p w14:paraId="5BD3659E"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K102005</w:t>
            </w:r>
          </w:p>
        </w:tc>
        <w:tc>
          <w:tcPr>
            <w:tcW w:w="8509" w:type="dxa"/>
            <w:tcBorders>
              <w:top w:val="nil"/>
              <w:left w:val="nil"/>
              <w:bottom w:val="nil"/>
              <w:right w:val="nil"/>
            </w:tcBorders>
            <w:shd w:val="clear" w:color="000000" w:fill="B4C6E7"/>
            <w:noWrap/>
            <w:vAlign w:val="bottom"/>
            <w:hideMark/>
          </w:tcPr>
          <w:p w14:paraId="57EE5529"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Kapitalni projekt: Opremanje OŠ (nabava knjiga i opreme) - izvan </w:t>
            </w:r>
            <w:proofErr w:type="spellStart"/>
            <w:r w:rsidRPr="00A360DB">
              <w:rPr>
                <w:rFonts w:ascii="Arial" w:hAnsi="Arial" w:cs="Arial"/>
                <w:b/>
                <w:bCs/>
                <w:sz w:val="18"/>
                <w:szCs w:val="18"/>
                <w:lang w:eastAsia="hr-HR"/>
              </w:rPr>
              <w:t>dec</w:t>
            </w:r>
            <w:proofErr w:type="spellEnd"/>
            <w:r w:rsidRPr="00A360DB">
              <w:rPr>
                <w:rFonts w:ascii="Arial" w:hAnsi="Arial" w:cs="Arial"/>
                <w:b/>
                <w:bCs/>
                <w:sz w:val="18"/>
                <w:szCs w:val="18"/>
                <w:lang w:eastAsia="hr-HR"/>
              </w:rPr>
              <w:t>. sredstava</w:t>
            </w:r>
          </w:p>
        </w:tc>
        <w:tc>
          <w:tcPr>
            <w:tcW w:w="1480" w:type="dxa"/>
            <w:tcBorders>
              <w:top w:val="nil"/>
              <w:left w:val="nil"/>
              <w:bottom w:val="nil"/>
              <w:right w:val="nil"/>
            </w:tcBorders>
            <w:shd w:val="clear" w:color="000000" w:fill="B4C6E7"/>
            <w:noWrap/>
            <w:vAlign w:val="bottom"/>
            <w:hideMark/>
          </w:tcPr>
          <w:p w14:paraId="6D45DBE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16.440,00</w:t>
            </w:r>
          </w:p>
        </w:tc>
        <w:tc>
          <w:tcPr>
            <w:tcW w:w="1380" w:type="dxa"/>
            <w:tcBorders>
              <w:top w:val="nil"/>
              <w:left w:val="nil"/>
              <w:bottom w:val="nil"/>
              <w:right w:val="nil"/>
            </w:tcBorders>
            <w:shd w:val="clear" w:color="000000" w:fill="B4C6E7"/>
            <w:noWrap/>
            <w:vAlign w:val="bottom"/>
            <w:hideMark/>
          </w:tcPr>
          <w:p w14:paraId="2C12679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6.419,36</w:t>
            </w:r>
          </w:p>
        </w:tc>
        <w:tc>
          <w:tcPr>
            <w:tcW w:w="1400" w:type="dxa"/>
            <w:tcBorders>
              <w:top w:val="nil"/>
              <w:left w:val="nil"/>
              <w:bottom w:val="nil"/>
              <w:right w:val="nil"/>
            </w:tcBorders>
            <w:shd w:val="clear" w:color="000000" w:fill="B4C6E7"/>
            <w:noWrap/>
            <w:vAlign w:val="bottom"/>
            <w:hideMark/>
          </w:tcPr>
          <w:p w14:paraId="591BEB2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39,05%</w:t>
            </w:r>
          </w:p>
        </w:tc>
      </w:tr>
      <w:tr w:rsidR="00A360DB" w:rsidRPr="00A360DB" w14:paraId="48B21220"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5201D42"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3. Vlastiti prihodi</w:t>
            </w:r>
          </w:p>
        </w:tc>
        <w:tc>
          <w:tcPr>
            <w:tcW w:w="1480" w:type="dxa"/>
            <w:tcBorders>
              <w:top w:val="nil"/>
              <w:left w:val="nil"/>
              <w:bottom w:val="nil"/>
              <w:right w:val="nil"/>
            </w:tcBorders>
            <w:shd w:val="clear" w:color="auto" w:fill="auto"/>
            <w:noWrap/>
            <w:vAlign w:val="bottom"/>
            <w:hideMark/>
          </w:tcPr>
          <w:p w14:paraId="3C0F2207"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6.440,00</w:t>
            </w:r>
          </w:p>
        </w:tc>
        <w:tc>
          <w:tcPr>
            <w:tcW w:w="1380" w:type="dxa"/>
            <w:tcBorders>
              <w:top w:val="nil"/>
              <w:left w:val="nil"/>
              <w:bottom w:val="nil"/>
              <w:right w:val="nil"/>
            </w:tcBorders>
            <w:shd w:val="clear" w:color="auto" w:fill="auto"/>
            <w:noWrap/>
            <w:vAlign w:val="bottom"/>
            <w:hideMark/>
          </w:tcPr>
          <w:p w14:paraId="2B993119"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0,00</w:t>
            </w:r>
          </w:p>
        </w:tc>
        <w:tc>
          <w:tcPr>
            <w:tcW w:w="1400" w:type="dxa"/>
            <w:tcBorders>
              <w:top w:val="nil"/>
              <w:left w:val="nil"/>
              <w:bottom w:val="nil"/>
              <w:right w:val="nil"/>
            </w:tcBorders>
            <w:shd w:val="clear" w:color="auto" w:fill="auto"/>
            <w:noWrap/>
            <w:vAlign w:val="bottom"/>
            <w:hideMark/>
          </w:tcPr>
          <w:p w14:paraId="2EFD5BA8"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0,00%</w:t>
            </w:r>
          </w:p>
        </w:tc>
      </w:tr>
      <w:tr w:rsidR="00A360DB" w:rsidRPr="00A360DB" w14:paraId="39295106"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26E2426"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3.1. Vlastiti prihodi</w:t>
            </w:r>
          </w:p>
        </w:tc>
        <w:tc>
          <w:tcPr>
            <w:tcW w:w="1480" w:type="dxa"/>
            <w:tcBorders>
              <w:top w:val="nil"/>
              <w:left w:val="nil"/>
              <w:bottom w:val="nil"/>
              <w:right w:val="nil"/>
            </w:tcBorders>
            <w:shd w:val="clear" w:color="auto" w:fill="auto"/>
            <w:noWrap/>
            <w:vAlign w:val="bottom"/>
            <w:hideMark/>
          </w:tcPr>
          <w:p w14:paraId="066DAD6F"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6.440,00</w:t>
            </w:r>
          </w:p>
        </w:tc>
        <w:tc>
          <w:tcPr>
            <w:tcW w:w="1380" w:type="dxa"/>
            <w:tcBorders>
              <w:top w:val="nil"/>
              <w:left w:val="nil"/>
              <w:bottom w:val="nil"/>
              <w:right w:val="nil"/>
            </w:tcBorders>
            <w:shd w:val="clear" w:color="auto" w:fill="auto"/>
            <w:noWrap/>
            <w:vAlign w:val="bottom"/>
            <w:hideMark/>
          </w:tcPr>
          <w:p w14:paraId="38A336E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0,00</w:t>
            </w:r>
          </w:p>
        </w:tc>
        <w:tc>
          <w:tcPr>
            <w:tcW w:w="1400" w:type="dxa"/>
            <w:tcBorders>
              <w:top w:val="nil"/>
              <w:left w:val="nil"/>
              <w:bottom w:val="nil"/>
              <w:right w:val="nil"/>
            </w:tcBorders>
            <w:shd w:val="clear" w:color="auto" w:fill="auto"/>
            <w:noWrap/>
            <w:vAlign w:val="bottom"/>
            <w:hideMark/>
          </w:tcPr>
          <w:p w14:paraId="687DB22D"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0,00%</w:t>
            </w:r>
          </w:p>
        </w:tc>
      </w:tr>
      <w:tr w:rsidR="00A360DB" w:rsidRPr="00A360DB" w14:paraId="03B366CB" w14:textId="77777777" w:rsidTr="00A360DB">
        <w:trPr>
          <w:trHeight w:val="240"/>
        </w:trPr>
        <w:tc>
          <w:tcPr>
            <w:tcW w:w="1697" w:type="dxa"/>
            <w:tcBorders>
              <w:top w:val="nil"/>
              <w:left w:val="nil"/>
              <w:bottom w:val="nil"/>
              <w:right w:val="nil"/>
            </w:tcBorders>
            <w:shd w:val="clear" w:color="auto" w:fill="auto"/>
            <w:noWrap/>
            <w:vAlign w:val="bottom"/>
            <w:hideMark/>
          </w:tcPr>
          <w:p w14:paraId="01162382"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42</w:t>
            </w:r>
          </w:p>
        </w:tc>
        <w:tc>
          <w:tcPr>
            <w:tcW w:w="8509" w:type="dxa"/>
            <w:tcBorders>
              <w:top w:val="nil"/>
              <w:left w:val="nil"/>
              <w:bottom w:val="nil"/>
              <w:right w:val="nil"/>
            </w:tcBorders>
            <w:shd w:val="clear" w:color="auto" w:fill="auto"/>
            <w:noWrap/>
            <w:vAlign w:val="bottom"/>
            <w:hideMark/>
          </w:tcPr>
          <w:p w14:paraId="495CDAEA"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nabavu proizvedene dugotrajne imovine                                                    </w:t>
            </w:r>
          </w:p>
        </w:tc>
        <w:tc>
          <w:tcPr>
            <w:tcW w:w="1480" w:type="dxa"/>
            <w:tcBorders>
              <w:top w:val="nil"/>
              <w:left w:val="nil"/>
              <w:bottom w:val="nil"/>
              <w:right w:val="nil"/>
            </w:tcBorders>
            <w:shd w:val="clear" w:color="auto" w:fill="auto"/>
            <w:noWrap/>
            <w:vAlign w:val="bottom"/>
            <w:hideMark/>
          </w:tcPr>
          <w:p w14:paraId="0A470EB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6.440,00</w:t>
            </w:r>
          </w:p>
        </w:tc>
        <w:tc>
          <w:tcPr>
            <w:tcW w:w="1380" w:type="dxa"/>
            <w:tcBorders>
              <w:top w:val="nil"/>
              <w:left w:val="nil"/>
              <w:bottom w:val="nil"/>
              <w:right w:val="nil"/>
            </w:tcBorders>
            <w:shd w:val="clear" w:color="auto" w:fill="auto"/>
            <w:noWrap/>
            <w:vAlign w:val="bottom"/>
            <w:hideMark/>
          </w:tcPr>
          <w:p w14:paraId="630B466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c>
          <w:tcPr>
            <w:tcW w:w="1400" w:type="dxa"/>
            <w:tcBorders>
              <w:top w:val="nil"/>
              <w:left w:val="nil"/>
              <w:bottom w:val="nil"/>
              <w:right w:val="nil"/>
            </w:tcBorders>
            <w:shd w:val="clear" w:color="auto" w:fill="auto"/>
            <w:noWrap/>
            <w:vAlign w:val="bottom"/>
            <w:hideMark/>
          </w:tcPr>
          <w:p w14:paraId="4299072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r>
      <w:tr w:rsidR="00A360DB" w:rsidRPr="00A360DB" w14:paraId="1354B258"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147B1925"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5. Pomoći</w:t>
            </w:r>
          </w:p>
        </w:tc>
        <w:tc>
          <w:tcPr>
            <w:tcW w:w="1480" w:type="dxa"/>
            <w:tcBorders>
              <w:top w:val="nil"/>
              <w:left w:val="nil"/>
              <w:bottom w:val="nil"/>
              <w:right w:val="nil"/>
            </w:tcBorders>
            <w:shd w:val="clear" w:color="auto" w:fill="auto"/>
            <w:noWrap/>
            <w:vAlign w:val="bottom"/>
            <w:hideMark/>
          </w:tcPr>
          <w:p w14:paraId="5180580A"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6.000,00</w:t>
            </w:r>
          </w:p>
        </w:tc>
        <w:tc>
          <w:tcPr>
            <w:tcW w:w="1380" w:type="dxa"/>
            <w:tcBorders>
              <w:top w:val="nil"/>
              <w:left w:val="nil"/>
              <w:bottom w:val="nil"/>
              <w:right w:val="nil"/>
            </w:tcBorders>
            <w:shd w:val="clear" w:color="auto" w:fill="auto"/>
            <w:noWrap/>
            <w:vAlign w:val="bottom"/>
            <w:hideMark/>
          </w:tcPr>
          <w:p w14:paraId="43BE48EE"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2.456,69</w:t>
            </w:r>
          </w:p>
        </w:tc>
        <w:tc>
          <w:tcPr>
            <w:tcW w:w="1400" w:type="dxa"/>
            <w:tcBorders>
              <w:top w:val="nil"/>
              <w:left w:val="nil"/>
              <w:bottom w:val="nil"/>
              <w:right w:val="nil"/>
            </w:tcBorders>
            <w:shd w:val="clear" w:color="auto" w:fill="auto"/>
            <w:noWrap/>
            <w:vAlign w:val="bottom"/>
            <w:hideMark/>
          </w:tcPr>
          <w:p w14:paraId="7600AF5E"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40,94%</w:t>
            </w:r>
          </w:p>
        </w:tc>
      </w:tr>
      <w:tr w:rsidR="00A360DB" w:rsidRPr="00A360DB" w14:paraId="5AD70977"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334AA3ED"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5.2. Državni proračun</w:t>
            </w:r>
          </w:p>
        </w:tc>
        <w:tc>
          <w:tcPr>
            <w:tcW w:w="1480" w:type="dxa"/>
            <w:tcBorders>
              <w:top w:val="nil"/>
              <w:left w:val="nil"/>
              <w:bottom w:val="nil"/>
              <w:right w:val="nil"/>
            </w:tcBorders>
            <w:shd w:val="clear" w:color="auto" w:fill="auto"/>
            <w:noWrap/>
            <w:vAlign w:val="bottom"/>
            <w:hideMark/>
          </w:tcPr>
          <w:p w14:paraId="517F794A"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6.000,00</w:t>
            </w:r>
          </w:p>
        </w:tc>
        <w:tc>
          <w:tcPr>
            <w:tcW w:w="1380" w:type="dxa"/>
            <w:tcBorders>
              <w:top w:val="nil"/>
              <w:left w:val="nil"/>
              <w:bottom w:val="nil"/>
              <w:right w:val="nil"/>
            </w:tcBorders>
            <w:shd w:val="clear" w:color="auto" w:fill="auto"/>
            <w:noWrap/>
            <w:vAlign w:val="bottom"/>
            <w:hideMark/>
          </w:tcPr>
          <w:p w14:paraId="225CDC9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2.456,69</w:t>
            </w:r>
          </w:p>
        </w:tc>
        <w:tc>
          <w:tcPr>
            <w:tcW w:w="1400" w:type="dxa"/>
            <w:tcBorders>
              <w:top w:val="nil"/>
              <w:left w:val="nil"/>
              <w:bottom w:val="nil"/>
              <w:right w:val="nil"/>
            </w:tcBorders>
            <w:shd w:val="clear" w:color="auto" w:fill="auto"/>
            <w:noWrap/>
            <w:vAlign w:val="bottom"/>
            <w:hideMark/>
          </w:tcPr>
          <w:p w14:paraId="5F870BA8"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40,94%</w:t>
            </w:r>
          </w:p>
        </w:tc>
      </w:tr>
      <w:tr w:rsidR="00A360DB" w:rsidRPr="00A360DB" w14:paraId="1456E971" w14:textId="77777777" w:rsidTr="00A360DB">
        <w:trPr>
          <w:trHeight w:val="240"/>
        </w:trPr>
        <w:tc>
          <w:tcPr>
            <w:tcW w:w="1697" w:type="dxa"/>
            <w:tcBorders>
              <w:top w:val="nil"/>
              <w:left w:val="nil"/>
              <w:bottom w:val="nil"/>
              <w:right w:val="nil"/>
            </w:tcBorders>
            <w:shd w:val="clear" w:color="auto" w:fill="auto"/>
            <w:noWrap/>
            <w:vAlign w:val="bottom"/>
            <w:hideMark/>
          </w:tcPr>
          <w:p w14:paraId="0693077B"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42</w:t>
            </w:r>
          </w:p>
        </w:tc>
        <w:tc>
          <w:tcPr>
            <w:tcW w:w="8509" w:type="dxa"/>
            <w:tcBorders>
              <w:top w:val="nil"/>
              <w:left w:val="nil"/>
              <w:bottom w:val="nil"/>
              <w:right w:val="nil"/>
            </w:tcBorders>
            <w:shd w:val="clear" w:color="auto" w:fill="auto"/>
            <w:noWrap/>
            <w:vAlign w:val="bottom"/>
            <w:hideMark/>
          </w:tcPr>
          <w:p w14:paraId="5192A6B7"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nabavu proizvedene dugotrajne imovine                                                    </w:t>
            </w:r>
          </w:p>
        </w:tc>
        <w:tc>
          <w:tcPr>
            <w:tcW w:w="1480" w:type="dxa"/>
            <w:tcBorders>
              <w:top w:val="nil"/>
              <w:left w:val="nil"/>
              <w:bottom w:val="nil"/>
              <w:right w:val="nil"/>
            </w:tcBorders>
            <w:shd w:val="clear" w:color="auto" w:fill="auto"/>
            <w:noWrap/>
            <w:vAlign w:val="bottom"/>
            <w:hideMark/>
          </w:tcPr>
          <w:p w14:paraId="02129AB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6.000,00</w:t>
            </w:r>
          </w:p>
        </w:tc>
        <w:tc>
          <w:tcPr>
            <w:tcW w:w="1380" w:type="dxa"/>
            <w:tcBorders>
              <w:top w:val="nil"/>
              <w:left w:val="nil"/>
              <w:bottom w:val="nil"/>
              <w:right w:val="nil"/>
            </w:tcBorders>
            <w:shd w:val="clear" w:color="auto" w:fill="auto"/>
            <w:noWrap/>
            <w:vAlign w:val="bottom"/>
            <w:hideMark/>
          </w:tcPr>
          <w:p w14:paraId="1EC5347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2.456,69</w:t>
            </w:r>
          </w:p>
        </w:tc>
        <w:tc>
          <w:tcPr>
            <w:tcW w:w="1400" w:type="dxa"/>
            <w:tcBorders>
              <w:top w:val="nil"/>
              <w:left w:val="nil"/>
              <w:bottom w:val="nil"/>
              <w:right w:val="nil"/>
            </w:tcBorders>
            <w:shd w:val="clear" w:color="auto" w:fill="auto"/>
            <w:noWrap/>
            <w:vAlign w:val="bottom"/>
            <w:hideMark/>
          </w:tcPr>
          <w:p w14:paraId="0E7AB3F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40,94%</w:t>
            </w:r>
          </w:p>
        </w:tc>
      </w:tr>
      <w:tr w:rsidR="00A360DB" w:rsidRPr="00A360DB" w14:paraId="1A24C49F" w14:textId="77777777" w:rsidTr="00A360DB">
        <w:trPr>
          <w:trHeight w:val="240"/>
        </w:trPr>
        <w:tc>
          <w:tcPr>
            <w:tcW w:w="1697" w:type="dxa"/>
            <w:tcBorders>
              <w:top w:val="nil"/>
              <w:left w:val="nil"/>
              <w:bottom w:val="nil"/>
              <w:right w:val="nil"/>
            </w:tcBorders>
            <w:shd w:val="clear" w:color="auto" w:fill="auto"/>
            <w:noWrap/>
            <w:vAlign w:val="bottom"/>
            <w:hideMark/>
          </w:tcPr>
          <w:p w14:paraId="65465E4E"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4241</w:t>
            </w:r>
          </w:p>
        </w:tc>
        <w:tc>
          <w:tcPr>
            <w:tcW w:w="8509" w:type="dxa"/>
            <w:tcBorders>
              <w:top w:val="nil"/>
              <w:left w:val="nil"/>
              <w:bottom w:val="nil"/>
              <w:right w:val="nil"/>
            </w:tcBorders>
            <w:shd w:val="clear" w:color="auto" w:fill="auto"/>
            <w:noWrap/>
            <w:vAlign w:val="bottom"/>
            <w:hideMark/>
          </w:tcPr>
          <w:p w14:paraId="579CB06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Knjige                                                                                              </w:t>
            </w:r>
          </w:p>
        </w:tc>
        <w:tc>
          <w:tcPr>
            <w:tcW w:w="1480" w:type="dxa"/>
            <w:tcBorders>
              <w:top w:val="nil"/>
              <w:left w:val="nil"/>
              <w:bottom w:val="nil"/>
              <w:right w:val="nil"/>
            </w:tcBorders>
            <w:shd w:val="clear" w:color="auto" w:fill="auto"/>
            <w:noWrap/>
            <w:vAlign w:val="bottom"/>
            <w:hideMark/>
          </w:tcPr>
          <w:p w14:paraId="31281FA2"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B5256E0"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2.456,69</w:t>
            </w:r>
          </w:p>
        </w:tc>
        <w:tc>
          <w:tcPr>
            <w:tcW w:w="1400" w:type="dxa"/>
            <w:tcBorders>
              <w:top w:val="nil"/>
              <w:left w:val="nil"/>
              <w:bottom w:val="nil"/>
              <w:right w:val="nil"/>
            </w:tcBorders>
            <w:shd w:val="clear" w:color="auto" w:fill="auto"/>
            <w:noWrap/>
            <w:vAlign w:val="bottom"/>
            <w:hideMark/>
          </w:tcPr>
          <w:p w14:paraId="50DBC516"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AE3BAFB"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F97C342"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6. Donacije</w:t>
            </w:r>
          </w:p>
        </w:tc>
        <w:tc>
          <w:tcPr>
            <w:tcW w:w="1480" w:type="dxa"/>
            <w:tcBorders>
              <w:top w:val="nil"/>
              <w:left w:val="nil"/>
              <w:bottom w:val="nil"/>
              <w:right w:val="nil"/>
            </w:tcBorders>
            <w:shd w:val="clear" w:color="auto" w:fill="auto"/>
            <w:noWrap/>
            <w:vAlign w:val="bottom"/>
            <w:hideMark/>
          </w:tcPr>
          <w:p w14:paraId="4C2A76FE"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200,00</w:t>
            </w:r>
          </w:p>
        </w:tc>
        <w:tc>
          <w:tcPr>
            <w:tcW w:w="1380" w:type="dxa"/>
            <w:tcBorders>
              <w:top w:val="nil"/>
              <w:left w:val="nil"/>
              <w:bottom w:val="nil"/>
              <w:right w:val="nil"/>
            </w:tcBorders>
            <w:shd w:val="clear" w:color="auto" w:fill="auto"/>
            <w:noWrap/>
            <w:vAlign w:val="bottom"/>
            <w:hideMark/>
          </w:tcPr>
          <w:p w14:paraId="1423DB13"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207,77</w:t>
            </w:r>
          </w:p>
        </w:tc>
        <w:tc>
          <w:tcPr>
            <w:tcW w:w="1400" w:type="dxa"/>
            <w:tcBorders>
              <w:top w:val="nil"/>
              <w:left w:val="nil"/>
              <w:bottom w:val="nil"/>
              <w:right w:val="nil"/>
            </w:tcBorders>
            <w:shd w:val="clear" w:color="auto" w:fill="auto"/>
            <w:noWrap/>
            <w:vAlign w:val="bottom"/>
            <w:hideMark/>
          </w:tcPr>
          <w:p w14:paraId="3E98117D"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103,89%</w:t>
            </w:r>
          </w:p>
        </w:tc>
      </w:tr>
      <w:tr w:rsidR="00A360DB" w:rsidRPr="00A360DB" w14:paraId="70EAC088"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3D890F78"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6.1. Donacije</w:t>
            </w:r>
          </w:p>
        </w:tc>
        <w:tc>
          <w:tcPr>
            <w:tcW w:w="1480" w:type="dxa"/>
            <w:tcBorders>
              <w:top w:val="nil"/>
              <w:left w:val="nil"/>
              <w:bottom w:val="nil"/>
              <w:right w:val="nil"/>
            </w:tcBorders>
            <w:shd w:val="clear" w:color="auto" w:fill="auto"/>
            <w:noWrap/>
            <w:vAlign w:val="bottom"/>
            <w:hideMark/>
          </w:tcPr>
          <w:p w14:paraId="4E2331CE"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200,00</w:t>
            </w:r>
          </w:p>
        </w:tc>
        <w:tc>
          <w:tcPr>
            <w:tcW w:w="1380" w:type="dxa"/>
            <w:tcBorders>
              <w:top w:val="nil"/>
              <w:left w:val="nil"/>
              <w:bottom w:val="nil"/>
              <w:right w:val="nil"/>
            </w:tcBorders>
            <w:shd w:val="clear" w:color="auto" w:fill="auto"/>
            <w:noWrap/>
            <w:vAlign w:val="bottom"/>
            <w:hideMark/>
          </w:tcPr>
          <w:p w14:paraId="373A830E"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207,77</w:t>
            </w:r>
          </w:p>
        </w:tc>
        <w:tc>
          <w:tcPr>
            <w:tcW w:w="1400" w:type="dxa"/>
            <w:tcBorders>
              <w:top w:val="nil"/>
              <w:left w:val="nil"/>
              <w:bottom w:val="nil"/>
              <w:right w:val="nil"/>
            </w:tcBorders>
            <w:shd w:val="clear" w:color="auto" w:fill="auto"/>
            <w:noWrap/>
            <w:vAlign w:val="bottom"/>
            <w:hideMark/>
          </w:tcPr>
          <w:p w14:paraId="5AC2740B"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103,89%</w:t>
            </w:r>
          </w:p>
        </w:tc>
      </w:tr>
      <w:tr w:rsidR="00A360DB" w:rsidRPr="00A360DB" w14:paraId="2C018AE0" w14:textId="77777777" w:rsidTr="00A360DB">
        <w:trPr>
          <w:trHeight w:val="240"/>
        </w:trPr>
        <w:tc>
          <w:tcPr>
            <w:tcW w:w="1697" w:type="dxa"/>
            <w:tcBorders>
              <w:top w:val="nil"/>
              <w:left w:val="nil"/>
              <w:bottom w:val="nil"/>
              <w:right w:val="nil"/>
            </w:tcBorders>
            <w:shd w:val="clear" w:color="auto" w:fill="auto"/>
            <w:noWrap/>
            <w:vAlign w:val="bottom"/>
            <w:hideMark/>
          </w:tcPr>
          <w:p w14:paraId="78E908E1"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42</w:t>
            </w:r>
          </w:p>
        </w:tc>
        <w:tc>
          <w:tcPr>
            <w:tcW w:w="8509" w:type="dxa"/>
            <w:tcBorders>
              <w:top w:val="nil"/>
              <w:left w:val="nil"/>
              <w:bottom w:val="nil"/>
              <w:right w:val="nil"/>
            </w:tcBorders>
            <w:shd w:val="clear" w:color="auto" w:fill="auto"/>
            <w:noWrap/>
            <w:vAlign w:val="bottom"/>
            <w:hideMark/>
          </w:tcPr>
          <w:p w14:paraId="1F069A19"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nabavu proizvedene dugotrajne imovine                                                    </w:t>
            </w:r>
          </w:p>
        </w:tc>
        <w:tc>
          <w:tcPr>
            <w:tcW w:w="1480" w:type="dxa"/>
            <w:tcBorders>
              <w:top w:val="nil"/>
              <w:left w:val="nil"/>
              <w:bottom w:val="nil"/>
              <w:right w:val="nil"/>
            </w:tcBorders>
            <w:shd w:val="clear" w:color="auto" w:fill="auto"/>
            <w:noWrap/>
            <w:vAlign w:val="bottom"/>
            <w:hideMark/>
          </w:tcPr>
          <w:p w14:paraId="5B527C6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200,00</w:t>
            </w:r>
          </w:p>
        </w:tc>
        <w:tc>
          <w:tcPr>
            <w:tcW w:w="1380" w:type="dxa"/>
            <w:tcBorders>
              <w:top w:val="nil"/>
              <w:left w:val="nil"/>
              <w:bottom w:val="nil"/>
              <w:right w:val="nil"/>
            </w:tcBorders>
            <w:shd w:val="clear" w:color="auto" w:fill="auto"/>
            <w:noWrap/>
            <w:vAlign w:val="bottom"/>
            <w:hideMark/>
          </w:tcPr>
          <w:p w14:paraId="067AAA8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207,77</w:t>
            </w:r>
          </w:p>
        </w:tc>
        <w:tc>
          <w:tcPr>
            <w:tcW w:w="1400" w:type="dxa"/>
            <w:tcBorders>
              <w:top w:val="nil"/>
              <w:left w:val="nil"/>
              <w:bottom w:val="nil"/>
              <w:right w:val="nil"/>
            </w:tcBorders>
            <w:shd w:val="clear" w:color="auto" w:fill="auto"/>
            <w:noWrap/>
            <w:vAlign w:val="bottom"/>
            <w:hideMark/>
          </w:tcPr>
          <w:p w14:paraId="2AEB9D6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103,89%</w:t>
            </w:r>
          </w:p>
        </w:tc>
      </w:tr>
      <w:tr w:rsidR="00A360DB" w:rsidRPr="00A360DB" w14:paraId="53EDCDFA" w14:textId="77777777" w:rsidTr="00A360DB">
        <w:trPr>
          <w:trHeight w:val="240"/>
        </w:trPr>
        <w:tc>
          <w:tcPr>
            <w:tcW w:w="1697" w:type="dxa"/>
            <w:tcBorders>
              <w:top w:val="nil"/>
              <w:left w:val="nil"/>
              <w:bottom w:val="nil"/>
              <w:right w:val="nil"/>
            </w:tcBorders>
            <w:shd w:val="clear" w:color="auto" w:fill="auto"/>
            <w:noWrap/>
            <w:vAlign w:val="bottom"/>
            <w:hideMark/>
          </w:tcPr>
          <w:p w14:paraId="523977C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4241</w:t>
            </w:r>
          </w:p>
        </w:tc>
        <w:tc>
          <w:tcPr>
            <w:tcW w:w="8509" w:type="dxa"/>
            <w:tcBorders>
              <w:top w:val="nil"/>
              <w:left w:val="nil"/>
              <w:bottom w:val="nil"/>
              <w:right w:val="nil"/>
            </w:tcBorders>
            <w:shd w:val="clear" w:color="auto" w:fill="auto"/>
            <w:noWrap/>
            <w:vAlign w:val="bottom"/>
            <w:hideMark/>
          </w:tcPr>
          <w:p w14:paraId="01B52DA5"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Knjige                                                                                              </w:t>
            </w:r>
          </w:p>
        </w:tc>
        <w:tc>
          <w:tcPr>
            <w:tcW w:w="1480" w:type="dxa"/>
            <w:tcBorders>
              <w:top w:val="nil"/>
              <w:left w:val="nil"/>
              <w:bottom w:val="nil"/>
              <w:right w:val="nil"/>
            </w:tcBorders>
            <w:shd w:val="clear" w:color="auto" w:fill="auto"/>
            <w:noWrap/>
            <w:vAlign w:val="bottom"/>
            <w:hideMark/>
          </w:tcPr>
          <w:p w14:paraId="1EA4BB55"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0B35BB0"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207,77</w:t>
            </w:r>
          </w:p>
        </w:tc>
        <w:tc>
          <w:tcPr>
            <w:tcW w:w="1400" w:type="dxa"/>
            <w:tcBorders>
              <w:top w:val="nil"/>
              <w:left w:val="nil"/>
              <w:bottom w:val="nil"/>
              <w:right w:val="nil"/>
            </w:tcBorders>
            <w:shd w:val="clear" w:color="auto" w:fill="auto"/>
            <w:noWrap/>
            <w:vAlign w:val="bottom"/>
            <w:hideMark/>
          </w:tcPr>
          <w:p w14:paraId="6BD13511"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617426D"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503D2F3"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9. Višak iz prethodnih razdoblja</w:t>
            </w:r>
          </w:p>
        </w:tc>
        <w:tc>
          <w:tcPr>
            <w:tcW w:w="1480" w:type="dxa"/>
            <w:tcBorders>
              <w:top w:val="nil"/>
              <w:left w:val="nil"/>
              <w:bottom w:val="nil"/>
              <w:right w:val="nil"/>
            </w:tcBorders>
            <w:shd w:val="clear" w:color="auto" w:fill="auto"/>
            <w:noWrap/>
            <w:vAlign w:val="bottom"/>
            <w:hideMark/>
          </w:tcPr>
          <w:p w14:paraId="5EC09A07"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3.800,00</w:t>
            </w:r>
          </w:p>
        </w:tc>
        <w:tc>
          <w:tcPr>
            <w:tcW w:w="1380" w:type="dxa"/>
            <w:tcBorders>
              <w:top w:val="nil"/>
              <w:left w:val="nil"/>
              <w:bottom w:val="nil"/>
              <w:right w:val="nil"/>
            </w:tcBorders>
            <w:shd w:val="clear" w:color="auto" w:fill="auto"/>
            <w:noWrap/>
            <w:vAlign w:val="bottom"/>
            <w:hideMark/>
          </w:tcPr>
          <w:p w14:paraId="1DE1F203"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3.754,90</w:t>
            </w:r>
          </w:p>
        </w:tc>
        <w:tc>
          <w:tcPr>
            <w:tcW w:w="1400" w:type="dxa"/>
            <w:tcBorders>
              <w:top w:val="nil"/>
              <w:left w:val="nil"/>
              <w:bottom w:val="nil"/>
              <w:right w:val="nil"/>
            </w:tcBorders>
            <w:shd w:val="clear" w:color="auto" w:fill="auto"/>
            <w:noWrap/>
            <w:vAlign w:val="bottom"/>
            <w:hideMark/>
          </w:tcPr>
          <w:p w14:paraId="000E0D0C"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98,81%</w:t>
            </w:r>
          </w:p>
        </w:tc>
      </w:tr>
      <w:tr w:rsidR="00A360DB" w:rsidRPr="00A360DB" w14:paraId="016F340E"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355C2ADD"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 xml:space="preserve">Izvor 9.1. Višak iz prethodnih godina - </w:t>
            </w:r>
            <w:proofErr w:type="spellStart"/>
            <w:r w:rsidRPr="00A360DB">
              <w:rPr>
                <w:rFonts w:ascii="Arial" w:hAnsi="Arial" w:cs="Arial"/>
                <w:color w:val="333333"/>
                <w:sz w:val="18"/>
                <w:szCs w:val="18"/>
                <w:lang w:eastAsia="hr-HR"/>
              </w:rPr>
              <w:t>Prorač.korisnici</w:t>
            </w:r>
            <w:proofErr w:type="spellEnd"/>
          </w:p>
        </w:tc>
        <w:tc>
          <w:tcPr>
            <w:tcW w:w="1480" w:type="dxa"/>
            <w:tcBorders>
              <w:top w:val="nil"/>
              <w:left w:val="nil"/>
              <w:bottom w:val="nil"/>
              <w:right w:val="nil"/>
            </w:tcBorders>
            <w:shd w:val="clear" w:color="auto" w:fill="auto"/>
            <w:noWrap/>
            <w:vAlign w:val="bottom"/>
            <w:hideMark/>
          </w:tcPr>
          <w:p w14:paraId="2BE52A8A"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3.800,00</w:t>
            </w:r>
          </w:p>
        </w:tc>
        <w:tc>
          <w:tcPr>
            <w:tcW w:w="1380" w:type="dxa"/>
            <w:tcBorders>
              <w:top w:val="nil"/>
              <w:left w:val="nil"/>
              <w:bottom w:val="nil"/>
              <w:right w:val="nil"/>
            </w:tcBorders>
            <w:shd w:val="clear" w:color="auto" w:fill="auto"/>
            <w:noWrap/>
            <w:vAlign w:val="bottom"/>
            <w:hideMark/>
          </w:tcPr>
          <w:p w14:paraId="119DCA33"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3.754,90</w:t>
            </w:r>
          </w:p>
        </w:tc>
        <w:tc>
          <w:tcPr>
            <w:tcW w:w="1400" w:type="dxa"/>
            <w:tcBorders>
              <w:top w:val="nil"/>
              <w:left w:val="nil"/>
              <w:bottom w:val="nil"/>
              <w:right w:val="nil"/>
            </w:tcBorders>
            <w:shd w:val="clear" w:color="auto" w:fill="auto"/>
            <w:noWrap/>
            <w:vAlign w:val="bottom"/>
            <w:hideMark/>
          </w:tcPr>
          <w:p w14:paraId="6D62C6BD"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98,81%</w:t>
            </w:r>
          </w:p>
        </w:tc>
      </w:tr>
      <w:tr w:rsidR="00A360DB" w:rsidRPr="00A360DB" w14:paraId="06993A9C" w14:textId="77777777" w:rsidTr="00A360DB">
        <w:trPr>
          <w:trHeight w:val="240"/>
        </w:trPr>
        <w:tc>
          <w:tcPr>
            <w:tcW w:w="1697" w:type="dxa"/>
            <w:tcBorders>
              <w:top w:val="nil"/>
              <w:left w:val="nil"/>
              <w:bottom w:val="nil"/>
              <w:right w:val="nil"/>
            </w:tcBorders>
            <w:shd w:val="clear" w:color="auto" w:fill="auto"/>
            <w:noWrap/>
            <w:vAlign w:val="bottom"/>
            <w:hideMark/>
          </w:tcPr>
          <w:p w14:paraId="222CA613"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42</w:t>
            </w:r>
          </w:p>
        </w:tc>
        <w:tc>
          <w:tcPr>
            <w:tcW w:w="8509" w:type="dxa"/>
            <w:tcBorders>
              <w:top w:val="nil"/>
              <w:left w:val="nil"/>
              <w:bottom w:val="nil"/>
              <w:right w:val="nil"/>
            </w:tcBorders>
            <w:shd w:val="clear" w:color="auto" w:fill="auto"/>
            <w:noWrap/>
            <w:vAlign w:val="bottom"/>
            <w:hideMark/>
          </w:tcPr>
          <w:p w14:paraId="25EBE818"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nabavu proizvedene dugotrajne imovine                                                    </w:t>
            </w:r>
          </w:p>
        </w:tc>
        <w:tc>
          <w:tcPr>
            <w:tcW w:w="1480" w:type="dxa"/>
            <w:tcBorders>
              <w:top w:val="nil"/>
              <w:left w:val="nil"/>
              <w:bottom w:val="nil"/>
              <w:right w:val="nil"/>
            </w:tcBorders>
            <w:shd w:val="clear" w:color="auto" w:fill="auto"/>
            <w:noWrap/>
            <w:vAlign w:val="bottom"/>
            <w:hideMark/>
          </w:tcPr>
          <w:p w14:paraId="6633A0B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3.800,00</w:t>
            </w:r>
          </w:p>
        </w:tc>
        <w:tc>
          <w:tcPr>
            <w:tcW w:w="1380" w:type="dxa"/>
            <w:tcBorders>
              <w:top w:val="nil"/>
              <w:left w:val="nil"/>
              <w:bottom w:val="nil"/>
              <w:right w:val="nil"/>
            </w:tcBorders>
            <w:shd w:val="clear" w:color="auto" w:fill="auto"/>
            <w:noWrap/>
            <w:vAlign w:val="bottom"/>
            <w:hideMark/>
          </w:tcPr>
          <w:p w14:paraId="65AA8E2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3.754,90</w:t>
            </w:r>
          </w:p>
        </w:tc>
        <w:tc>
          <w:tcPr>
            <w:tcW w:w="1400" w:type="dxa"/>
            <w:tcBorders>
              <w:top w:val="nil"/>
              <w:left w:val="nil"/>
              <w:bottom w:val="nil"/>
              <w:right w:val="nil"/>
            </w:tcBorders>
            <w:shd w:val="clear" w:color="auto" w:fill="auto"/>
            <w:noWrap/>
            <w:vAlign w:val="bottom"/>
            <w:hideMark/>
          </w:tcPr>
          <w:p w14:paraId="5B1D1AC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98,81%</w:t>
            </w:r>
          </w:p>
        </w:tc>
      </w:tr>
      <w:tr w:rsidR="00A360DB" w:rsidRPr="00A360DB" w14:paraId="2BB9D469" w14:textId="77777777" w:rsidTr="00A360DB">
        <w:trPr>
          <w:trHeight w:val="240"/>
        </w:trPr>
        <w:tc>
          <w:tcPr>
            <w:tcW w:w="1697" w:type="dxa"/>
            <w:tcBorders>
              <w:top w:val="nil"/>
              <w:left w:val="nil"/>
              <w:bottom w:val="nil"/>
              <w:right w:val="nil"/>
            </w:tcBorders>
            <w:shd w:val="clear" w:color="auto" w:fill="auto"/>
            <w:noWrap/>
            <w:vAlign w:val="bottom"/>
            <w:hideMark/>
          </w:tcPr>
          <w:p w14:paraId="3F6A1EE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4223</w:t>
            </w:r>
          </w:p>
        </w:tc>
        <w:tc>
          <w:tcPr>
            <w:tcW w:w="8509" w:type="dxa"/>
            <w:tcBorders>
              <w:top w:val="nil"/>
              <w:left w:val="nil"/>
              <w:bottom w:val="nil"/>
              <w:right w:val="nil"/>
            </w:tcBorders>
            <w:shd w:val="clear" w:color="auto" w:fill="auto"/>
            <w:noWrap/>
            <w:vAlign w:val="bottom"/>
            <w:hideMark/>
          </w:tcPr>
          <w:p w14:paraId="652F7E05"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Oprema za održavanje i zaštitu                                                                      </w:t>
            </w:r>
          </w:p>
        </w:tc>
        <w:tc>
          <w:tcPr>
            <w:tcW w:w="1480" w:type="dxa"/>
            <w:tcBorders>
              <w:top w:val="nil"/>
              <w:left w:val="nil"/>
              <w:bottom w:val="nil"/>
              <w:right w:val="nil"/>
            </w:tcBorders>
            <w:shd w:val="clear" w:color="auto" w:fill="auto"/>
            <w:noWrap/>
            <w:vAlign w:val="bottom"/>
            <w:hideMark/>
          </w:tcPr>
          <w:p w14:paraId="6A026F50"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A7546AC"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3.754,90</w:t>
            </w:r>
          </w:p>
        </w:tc>
        <w:tc>
          <w:tcPr>
            <w:tcW w:w="1400" w:type="dxa"/>
            <w:tcBorders>
              <w:top w:val="nil"/>
              <w:left w:val="nil"/>
              <w:bottom w:val="nil"/>
              <w:right w:val="nil"/>
            </w:tcBorders>
            <w:shd w:val="clear" w:color="auto" w:fill="auto"/>
            <w:noWrap/>
            <w:vAlign w:val="bottom"/>
            <w:hideMark/>
          </w:tcPr>
          <w:p w14:paraId="002522EF"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5187C039" w14:textId="77777777" w:rsidTr="00A360DB">
        <w:trPr>
          <w:trHeight w:val="240"/>
        </w:trPr>
        <w:tc>
          <w:tcPr>
            <w:tcW w:w="1697" w:type="dxa"/>
            <w:tcBorders>
              <w:top w:val="nil"/>
              <w:left w:val="nil"/>
              <w:bottom w:val="nil"/>
              <w:right w:val="nil"/>
            </w:tcBorders>
            <w:shd w:val="clear" w:color="000000" w:fill="B4C6E7"/>
            <w:noWrap/>
            <w:vAlign w:val="bottom"/>
            <w:hideMark/>
          </w:tcPr>
          <w:p w14:paraId="131692B8"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T102004</w:t>
            </w:r>
          </w:p>
        </w:tc>
        <w:tc>
          <w:tcPr>
            <w:tcW w:w="8509" w:type="dxa"/>
            <w:tcBorders>
              <w:top w:val="nil"/>
              <w:left w:val="nil"/>
              <w:bottom w:val="nil"/>
              <w:right w:val="nil"/>
            </w:tcBorders>
            <w:shd w:val="clear" w:color="000000" w:fill="B4C6E7"/>
            <w:noWrap/>
            <w:vAlign w:val="bottom"/>
            <w:hideMark/>
          </w:tcPr>
          <w:p w14:paraId="6407652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Tekući projekt: "Medni dan"</w:t>
            </w:r>
          </w:p>
        </w:tc>
        <w:tc>
          <w:tcPr>
            <w:tcW w:w="1480" w:type="dxa"/>
            <w:tcBorders>
              <w:top w:val="nil"/>
              <w:left w:val="nil"/>
              <w:bottom w:val="nil"/>
              <w:right w:val="nil"/>
            </w:tcBorders>
            <w:shd w:val="clear" w:color="000000" w:fill="B4C6E7"/>
            <w:noWrap/>
            <w:vAlign w:val="bottom"/>
            <w:hideMark/>
          </w:tcPr>
          <w:p w14:paraId="0AC0478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c>
          <w:tcPr>
            <w:tcW w:w="1380" w:type="dxa"/>
            <w:tcBorders>
              <w:top w:val="nil"/>
              <w:left w:val="nil"/>
              <w:bottom w:val="nil"/>
              <w:right w:val="nil"/>
            </w:tcBorders>
            <w:shd w:val="clear" w:color="000000" w:fill="B4C6E7"/>
            <w:noWrap/>
            <w:vAlign w:val="bottom"/>
            <w:hideMark/>
          </w:tcPr>
          <w:p w14:paraId="0D8424D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28,00</w:t>
            </w:r>
          </w:p>
        </w:tc>
        <w:tc>
          <w:tcPr>
            <w:tcW w:w="1400" w:type="dxa"/>
            <w:tcBorders>
              <w:top w:val="nil"/>
              <w:left w:val="nil"/>
              <w:bottom w:val="nil"/>
              <w:right w:val="nil"/>
            </w:tcBorders>
            <w:shd w:val="clear" w:color="000000" w:fill="B4C6E7"/>
            <w:noWrap/>
            <w:vAlign w:val="bottom"/>
            <w:hideMark/>
          </w:tcPr>
          <w:p w14:paraId="2186F59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28,00%</w:t>
            </w:r>
          </w:p>
        </w:tc>
      </w:tr>
      <w:tr w:rsidR="00A360DB" w:rsidRPr="00A360DB" w14:paraId="411748E1"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5FE630E8"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5. Pomoći</w:t>
            </w:r>
          </w:p>
        </w:tc>
        <w:tc>
          <w:tcPr>
            <w:tcW w:w="1480" w:type="dxa"/>
            <w:tcBorders>
              <w:top w:val="nil"/>
              <w:left w:val="nil"/>
              <w:bottom w:val="nil"/>
              <w:right w:val="nil"/>
            </w:tcBorders>
            <w:shd w:val="clear" w:color="auto" w:fill="auto"/>
            <w:noWrap/>
            <w:vAlign w:val="bottom"/>
            <w:hideMark/>
          </w:tcPr>
          <w:p w14:paraId="1CEF2B32"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w:t>
            </w:r>
          </w:p>
        </w:tc>
        <w:tc>
          <w:tcPr>
            <w:tcW w:w="1380" w:type="dxa"/>
            <w:tcBorders>
              <w:top w:val="nil"/>
              <w:left w:val="nil"/>
              <w:bottom w:val="nil"/>
              <w:right w:val="nil"/>
            </w:tcBorders>
            <w:shd w:val="clear" w:color="auto" w:fill="auto"/>
            <w:noWrap/>
            <w:vAlign w:val="bottom"/>
            <w:hideMark/>
          </w:tcPr>
          <w:p w14:paraId="1E58DAC2"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28,00</w:t>
            </w:r>
          </w:p>
        </w:tc>
        <w:tc>
          <w:tcPr>
            <w:tcW w:w="1400" w:type="dxa"/>
            <w:tcBorders>
              <w:top w:val="nil"/>
              <w:left w:val="nil"/>
              <w:bottom w:val="nil"/>
              <w:right w:val="nil"/>
            </w:tcBorders>
            <w:shd w:val="clear" w:color="auto" w:fill="auto"/>
            <w:noWrap/>
            <w:vAlign w:val="bottom"/>
            <w:hideMark/>
          </w:tcPr>
          <w:p w14:paraId="51CD03CA"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28,00%</w:t>
            </w:r>
          </w:p>
        </w:tc>
      </w:tr>
      <w:tr w:rsidR="00A360DB" w:rsidRPr="00A360DB" w14:paraId="6AE0177A"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3553BA2D"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5.2. Državni proračun</w:t>
            </w:r>
          </w:p>
        </w:tc>
        <w:tc>
          <w:tcPr>
            <w:tcW w:w="1480" w:type="dxa"/>
            <w:tcBorders>
              <w:top w:val="nil"/>
              <w:left w:val="nil"/>
              <w:bottom w:val="nil"/>
              <w:right w:val="nil"/>
            </w:tcBorders>
            <w:shd w:val="clear" w:color="auto" w:fill="auto"/>
            <w:noWrap/>
            <w:vAlign w:val="bottom"/>
            <w:hideMark/>
          </w:tcPr>
          <w:p w14:paraId="681A3367"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w:t>
            </w:r>
          </w:p>
        </w:tc>
        <w:tc>
          <w:tcPr>
            <w:tcW w:w="1380" w:type="dxa"/>
            <w:tcBorders>
              <w:top w:val="nil"/>
              <w:left w:val="nil"/>
              <w:bottom w:val="nil"/>
              <w:right w:val="nil"/>
            </w:tcBorders>
            <w:shd w:val="clear" w:color="auto" w:fill="auto"/>
            <w:noWrap/>
            <w:vAlign w:val="bottom"/>
            <w:hideMark/>
          </w:tcPr>
          <w:p w14:paraId="5032D534"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28,00</w:t>
            </w:r>
          </w:p>
        </w:tc>
        <w:tc>
          <w:tcPr>
            <w:tcW w:w="1400" w:type="dxa"/>
            <w:tcBorders>
              <w:top w:val="nil"/>
              <w:left w:val="nil"/>
              <w:bottom w:val="nil"/>
              <w:right w:val="nil"/>
            </w:tcBorders>
            <w:shd w:val="clear" w:color="auto" w:fill="auto"/>
            <w:noWrap/>
            <w:vAlign w:val="bottom"/>
            <w:hideMark/>
          </w:tcPr>
          <w:p w14:paraId="4929FD1D"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28,00%</w:t>
            </w:r>
          </w:p>
        </w:tc>
      </w:tr>
      <w:tr w:rsidR="00A360DB" w:rsidRPr="00A360DB" w14:paraId="77DE5B53" w14:textId="77777777" w:rsidTr="00A360DB">
        <w:trPr>
          <w:trHeight w:val="240"/>
        </w:trPr>
        <w:tc>
          <w:tcPr>
            <w:tcW w:w="1697" w:type="dxa"/>
            <w:tcBorders>
              <w:top w:val="nil"/>
              <w:left w:val="nil"/>
              <w:bottom w:val="nil"/>
              <w:right w:val="nil"/>
            </w:tcBorders>
            <w:shd w:val="clear" w:color="auto" w:fill="auto"/>
            <w:noWrap/>
            <w:vAlign w:val="bottom"/>
            <w:hideMark/>
          </w:tcPr>
          <w:p w14:paraId="31F18A4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1A52691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669639A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c>
          <w:tcPr>
            <w:tcW w:w="1380" w:type="dxa"/>
            <w:tcBorders>
              <w:top w:val="nil"/>
              <w:left w:val="nil"/>
              <w:bottom w:val="nil"/>
              <w:right w:val="nil"/>
            </w:tcBorders>
            <w:shd w:val="clear" w:color="auto" w:fill="auto"/>
            <w:noWrap/>
            <w:vAlign w:val="bottom"/>
            <w:hideMark/>
          </w:tcPr>
          <w:p w14:paraId="2C2F5CA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28,00</w:t>
            </w:r>
          </w:p>
        </w:tc>
        <w:tc>
          <w:tcPr>
            <w:tcW w:w="1400" w:type="dxa"/>
            <w:tcBorders>
              <w:top w:val="nil"/>
              <w:left w:val="nil"/>
              <w:bottom w:val="nil"/>
              <w:right w:val="nil"/>
            </w:tcBorders>
            <w:shd w:val="clear" w:color="auto" w:fill="auto"/>
            <w:noWrap/>
            <w:vAlign w:val="bottom"/>
            <w:hideMark/>
          </w:tcPr>
          <w:p w14:paraId="3002D62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28,00%</w:t>
            </w:r>
          </w:p>
        </w:tc>
      </w:tr>
      <w:tr w:rsidR="00A360DB" w:rsidRPr="00A360DB" w14:paraId="3F7A1C8D" w14:textId="77777777" w:rsidTr="00A360DB">
        <w:trPr>
          <w:trHeight w:val="240"/>
        </w:trPr>
        <w:tc>
          <w:tcPr>
            <w:tcW w:w="1697" w:type="dxa"/>
            <w:tcBorders>
              <w:top w:val="nil"/>
              <w:left w:val="nil"/>
              <w:bottom w:val="nil"/>
              <w:right w:val="nil"/>
            </w:tcBorders>
            <w:shd w:val="clear" w:color="auto" w:fill="auto"/>
            <w:noWrap/>
            <w:vAlign w:val="bottom"/>
            <w:hideMark/>
          </w:tcPr>
          <w:p w14:paraId="28627218"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3222</w:t>
            </w:r>
          </w:p>
        </w:tc>
        <w:tc>
          <w:tcPr>
            <w:tcW w:w="8509" w:type="dxa"/>
            <w:tcBorders>
              <w:top w:val="nil"/>
              <w:left w:val="nil"/>
              <w:bottom w:val="nil"/>
              <w:right w:val="nil"/>
            </w:tcBorders>
            <w:shd w:val="clear" w:color="auto" w:fill="auto"/>
            <w:noWrap/>
            <w:vAlign w:val="bottom"/>
            <w:hideMark/>
          </w:tcPr>
          <w:p w14:paraId="63BFCEC5"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Materijal i sirovine                                                                                </w:t>
            </w:r>
          </w:p>
        </w:tc>
        <w:tc>
          <w:tcPr>
            <w:tcW w:w="1480" w:type="dxa"/>
            <w:tcBorders>
              <w:top w:val="nil"/>
              <w:left w:val="nil"/>
              <w:bottom w:val="nil"/>
              <w:right w:val="nil"/>
            </w:tcBorders>
            <w:shd w:val="clear" w:color="auto" w:fill="auto"/>
            <w:noWrap/>
            <w:vAlign w:val="bottom"/>
            <w:hideMark/>
          </w:tcPr>
          <w:p w14:paraId="506C436B"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4633044"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28,00</w:t>
            </w:r>
          </w:p>
        </w:tc>
        <w:tc>
          <w:tcPr>
            <w:tcW w:w="1400" w:type="dxa"/>
            <w:tcBorders>
              <w:top w:val="nil"/>
              <w:left w:val="nil"/>
              <w:bottom w:val="nil"/>
              <w:right w:val="nil"/>
            </w:tcBorders>
            <w:shd w:val="clear" w:color="auto" w:fill="auto"/>
            <w:noWrap/>
            <w:vAlign w:val="bottom"/>
            <w:hideMark/>
          </w:tcPr>
          <w:p w14:paraId="4C3F9D15"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5B3653A" w14:textId="77777777" w:rsidTr="00A360DB">
        <w:trPr>
          <w:trHeight w:val="240"/>
        </w:trPr>
        <w:tc>
          <w:tcPr>
            <w:tcW w:w="1697" w:type="dxa"/>
            <w:tcBorders>
              <w:top w:val="nil"/>
              <w:left w:val="nil"/>
              <w:bottom w:val="nil"/>
              <w:right w:val="nil"/>
            </w:tcBorders>
            <w:shd w:val="clear" w:color="000000" w:fill="B4C6E7"/>
            <w:noWrap/>
            <w:vAlign w:val="bottom"/>
            <w:hideMark/>
          </w:tcPr>
          <w:p w14:paraId="4AA6129B"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T102007</w:t>
            </w:r>
          </w:p>
        </w:tc>
        <w:tc>
          <w:tcPr>
            <w:tcW w:w="8509" w:type="dxa"/>
            <w:tcBorders>
              <w:top w:val="nil"/>
              <w:left w:val="nil"/>
              <w:bottom w:val="nil"/>
              <w:right w:val="nil"/>
            </w:tcBorders>
            <w:shd w:val="clear" w:color="000000" w:fill="B4C6E7"/>
            <w:noWrap/>
            <w:vAlign w:val="bottom"/>
            <w:hideMark/>
          </w:tcPr>
          <w:p w14:paraId="6024A5CA"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Tekući projekt: "Mala škola"</w:t>
            </w:r>
          </w:p>
        </w:tc>
        <w:tc>
          <w:tcPr>
            <w:tcW w:w="1480" w:type="dxa"/>
            <w:tcBorders>
              <w:top w:val="nil"/>
              <w:left w:val="nil"/>
              <w:bottom w:val="nil"/>
              <w:right w:val="nil"/>
            </w:tcBorders>
            <w:shd w:val="clear" w:color="000000" w:fill="B4C6E7"/>
            <w:noWrap/>
            <w:vAlign w:val="bottom"/>
            <w:hideMark/>
          </w:tcPr>
          <w:p w14:paraId="78F91C4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2.920,00</w:t>
            </w:r>
          </w:p>
        </w:tc>
        <w:tc>
          <w:tcPr>
            <w:tcW w:w="1380" w:type="dxa"/>
            <w:tcBorders>
              <w:top w:val="nil"/>
              <w:left w:val="nil"/>
              <w:bottom w:val="nil"/>
              <w:right w:val="nil"/>
            </w:tcBorders>
            <w:shd w:val="clear" w:color="000000" w:fill="B4C6E7"/>
            <w:noWrap/>
            <w:vAlign w:val="bottom"/>
            <w:hideMark/>
          </w:tcPr>
          <w:p w14:paraId="07BEF79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2.619,99</w:t>
            </w:r>
          </w:p>
        </w:tc>
        <w:tc>
          <w:tcPr>
            <w:tcW w:w="1400" w:type="dxa"/>
            <w:tcBorders>
              <w:top w:val="nil"/>
              <w:left w:val="nil"/>
              <w:bottom w:val="nil"/>
              <w:right w:val="nil"/>
            </w:tcBorders>
            <w:shd w:val="clear" w:color="000000" w:fill="B4C6E7"/>
            <w:noWrap/>
            <w:vAlign w:val="bottom"/>
            <w:hideMark/>
          </w:tcPr>
          <w:p w14:paraId="442BF71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89,73%</w:t>
            </w:r>
          </w:p>
        </w:tc>
      </w:tr>
      <w:tr w:rsidR="00A360DB" w:rsidRPr="00A360DB" w14:paraId="00B055E2"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2E3F5889"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4F3439EA"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2.520,00</w:t>
            </w:r>
          </w:p>
        </w:tc>
        <w:tc>
          <w:tcPr>
            <w:tcW w:w="1380" w:type="dxa"/>
            <w:tcBorders>
              <w:top w:val="nil"/>
              <w:left w:val="nil"/>
              <w:bottom w:val="nil"/>
              <w:right w:val="nil"/>
            </w:tcBorders>
            <w:shd w:val="clear" w:color="auto" w:fill="auto"/>
            <w:noWrap/>
            <w:vAlign w:val="bottom"/>
            <w:hideMark/>
          </w:tcPr>
          <w:p w14:paraId="219E9E0D"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2.592,85</w:t>
            </w:r>
          </w:p>
        </w:tc>
        <w:tc>
          <w:tcPr>
            <w:tcW w:w="1400" w:type="dxa"/>
            <w:tcBorders>
              <w:top w:val="nil"/>
              <w:left w:val="nil"/>
              <w:bottom w:val="nil"/>
              <w:right w:val="nil"/>
            </w:tcBorders>
            <w:shd w:val="clear" w:color="auto" w:fill="auto"/>
            <w:noWrap/>
            <w:vAlign w:val="bottom"/>
            <w:hideMark/>
          </w:tcPr>
          <w:p w14:paraId="5D221C9B"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102,89%</w:t>
            </w:r>
          </w:p>
        </w:tc>
      </w:tr>
      <w:tr w:rsidR="00A360DB" w:rsidRPr="00A360DB" w14:paraId="52878961"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7DB5DFA"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05B0ED02"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2.520,00</w:t>
            </w:r>
          </w:p>
        </w:tc>
        <w:tc>
          <w:tcPr>
            <w:tcW w:w="1380" w:type="dxa"/>
            <w:tcBorders>
              <w:top w:val="nil"/>
              <w:left w:val="nil"/>
              <w:bottom w:val="nil"/>
              <w:right w:val="nil"/>
            </w:tcBorders>
            <w:shd w:val="clear" w:color="auto" w:fill="auto"/>
            <w:noWrap/>
            <w:vAlign w:val="bottom"/>
            <w:hideMark/>
          </w:tcPr>
          <w:p w14:paraId="6F8112A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2.592,85</w:t>
            </w:r>
          </w:p>
        </w:tc>
        <w:tc>
          <w:tcPr>
            <w:tcW w:w="1400" w:type="dxa"/>
            <w:tcBorders>
              <w:top w:val="nil"/>
              <w:left w:val="nil"/>
              <w:bottom w:val="nil"/>
              <w:right w:val="nil"/>
            </w:tcBorders>
            <w:shd w:val="clear" w:color="auto" w:fill="auto"/>
            <w:noWrap/>
            <w:vAlign w:val="bottom"/>
            <w:hideMark/>
          </w:tcPr>
          <w:p w14:paraId="45B52CE1"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102,89%</w:t>
            </w:r>
          </w:p>
        </w:tc>
      </w:tr>
      <w:tr w:rsidR="00A360DB" w:rsidRPr="00A360DB" w14:paraId="6F721332" w14:textId="77777777" w:rsidTr="00A360DB">
        <w:trPr>
          <w:trHeight w:val="240"/>
        </w:trPr>
        <w:tc>
          <w:tcPr>
            <w:tcW w:w="1697" w:type="dxa"/>
            <w:tcBorders>
              <w:top w:val="nil"/>
              <w:left w:val="nil"/>
              <w:bottom w:val="nil"/>
              <w:right w:val="nil"/>
            </w:tcBorders>
            <w:shd w:val="clear" w:color="auto" w:fill="auto"/>
            <w:noWrap/>
            <w:vAlign w:val="bottom"/>
            <w:hideMark/>
          </w:tcPr>
          <w:p w14:paraId="34AE3FAE"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31</w:t>
            </w:r>
          </w:p>
        </w:tc>
        <w:tc>
          <w:tcPr>
            <w:tcW w:w="8509" w:type="dxa"/>
            <w:tcBorders>
              <w:top w:val="nil"/>
              <w:left w:val="nil"/>
              <w:bottom w:val="nil"/>
              <w:right w:val="nil"/>
            </w:tcBorders>
            <w:shd w:val="clear" w:color="auto" w:fill="auto"/>
            <w:noWrap/>
            <w:vAlign w:val="bottom"/>
            <w:hideMark/>
          </w:tcPr>
          <w:p w14:paraId="1BCDD034"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zaposlene                                                                                </w:t>
            </w:r>
          </w:p>
        </w:tc>
        <w:tc>
          <w:tcPr>
            <w:tcW w:w="1480" w:type="dxa"/>
            <w:tcBorders>
              <w:top w:val="nil"/>
              <w:left w:val="nil"/>
              <w:bottom w:val="nil"/>
              <w:right w:val="nil"/>
            </w:tcBorders>
            <w:shd w:val="clear" w:color="auto" w:fill="auto"/>
            <w:noWrap/>
            <w:vAlign w:val="bottom"/>
            <w:hideMark/>
          </w:tcPr>
          <w:p w14:paraId="41B9142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2.370,00</w:t>
            </w:r>
          </w:p>
        </w:tc>
        <w:tc>
          <w:tcPr>
            <w:tcW w:w="1380" w:type="dxa"/>
            <w:tcBorders>
              <w:top w:val="nil"/>
              <w:left w:val="nil"/>
              <w:bottom w:val="nil"/>
              <w:right w:val="nil"/>
            </w:tcBorders>
            <w:shd w:val="clear" w:color="auto" w:fill="auto"/>
            <w:noWrap/>
            <w:vAlign w:val="bottom"/>
            <w:hideMark/>
          </w:tcPr>
          <w:p w14:paraId="744653D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2.465,17</w:t>
            </w:r>
          </w:p>
        </w:tc>
        <w:tc>
          <w:tcPr>
            <w:tcW w:w="1400" w:type="dxa"/>
            <w:tcBorders>
              <w:top w:val="nil"/>
              <w:left w:val="nil"/>
              <w:bottom w:val="nil"/>
              <w:right w:val="nil"/>
            </w:tcBorders>
            <w:shd w:val="clear" w:color="auto" w:fill="auto"/>
            <w:noWrap/>
            <w:vAlign w:val="bottom"/>
            <w:hideMark/>
          </w:tcPr>
          <w:p w14:paraId="490C144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104,02%</w:t>
            </w:r>
          </w:p>
        </w:tc>
      </w:tr>
      <w:tr w:rsidR="00A360DB" w:rsidRPr="00A360DB" w14:paraId="4513D83A" w14:textId="77777777" w:rsidTr="00A360DB">
        <w:trPr>
          <w:trHeight w:val="240"/>
        </w:trPr>
        <w:tc>
          <w:tcPr>
            <w:tcW w:w="1697" w:type="dxa"/>
            <w:tcBorders>
              <w:top w:val="nil"/>
              <w:left w:val="nil"/>
              <w:bottom w:val="nil"/>
              <w:right w:val="nil"/>
            </w:tcBorders>
            <w:shd w:val="clear" w:color="auto" w:fill="auto"/>
            <w:noWrap/>
            <w:vAlign w:val="bottom"/>
            <w:hideMark/>
          </w:tcPr>
          <w:p w14:paraId="0657629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3111</w:t>
            </w:r>
          </w:p>
        </w:tc>
        <w:tc>
          <w:tcPr>
            <w:tcW w:w="8509" w:type="dxa"/>
            <w:tcBorders>
              <w:top w:val="nil"/>
              <w:left w:val="nil"/>
              <w:bottom w:val="nil"/>
              <w:right w:val="nil"/>
            </w:tcBorders>
            <w:shd w:val="clear" w:color="auto" w:fill="auto"/>
            <w:noWrap/>
            <w:vAlign w:val="bottom"/>
            <w:hideMark/>
          </w:tcPr>
          <w:p w14:paraId="616E3DC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Plaće za redovan rad                                                                                </w:t>
            </w:r>
          </w:p>
        </w:tc>
        <w:tc>
          <w:tcPr>
            <w:tcW w:w="1480" w:type="dxa"/>
            <w:tcBorders>
              <w:top w:val="nil"/>
              <w:left w:val="nil"/>
              <w:bottom w:val="nil"/>
              <w:right w:val="nil"/>
            </w:tcBorders>
            <w:shd w:val="clear" w:color="auto" w:fill="auto"/>
            <w:noWrap/>
            <w:vAlign w:val="bottom"/>
            <w:hideMark/>
          </w:tcPr>
          <w:p w14:paraId="5D43FB77"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1412E2B8"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1.858,51</w:t>
            </w:r>
          </w:p>
        </w:tc>
        <w:tc>
          <w:tcPr>
            <w:tcW w:w="1400" w:type="dxa"/>
            <w:tcBorders>
              <w:top w:val="nil"/>
              <w:left w:val="nil"/>
              <w:bottom w:val="nil"/>
              <w:right w:val="nil"/>
            </w:tcBorders>
            <w:shd w:val="clear" w:color="auto" w:fill="auto"/>
            <w:noWrap/>
            <w:vAlign w:val="bottom"/>
            <w:hideMark/>
          </w:tcPr>
          <w:p w14:paraId="33906232"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209455C" w14:textId="77777777" w:rsidTr="00A360DB">
        <w:trPr>
          <w:trHeight w:val="240"/>
        </w:trPr>
        <w:tc>
          <w:tcPr>
            <w:tcW w:w="1697" w:type="dxa"/>
            <w:tcBorders>
              <w:top w:val="nil"/>
              <w:left w:val="nil"/>
              <w:bottom w:val="nil"/>
              <w:right w:val="nil"/>
            </w:tcBorders>
            <w:shd w:val="clear" w:color="auto" w:fill="auto"/>
            <w:noWrap/>
            <w:vAlign w:val="bottom"/>
            <w:hideMark/>
          </w:tcPr>
          <w:p w14:paraId="255B0E8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3121</w:t>
            </w:r>
          </w:p>
        </w:tc>
        <w:tc>
          <w:tcPr>
            <w:tcW w:w="8509" w:type="dxa"/>
            <w:tcBorders>
              <w:top w:val="nil"/>
              <w:left w:val="nil"/>
              <w:bottom w:val="nil"/>
              <w:right w:val="nil"/>
            </w:tcBorders>
            <w:shd w:val="clear" w:color="auto" w:fill="auto"/>
            <w:noWrap/>
            <w:vAlign w:val="bottom"/>
            <w:hideMark/>
          </w:tcPr>
          <w:p w14:paraId="3149024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Ostali rashodi za zaposlene                                                                         </w:t>
            </w:r>
          </w:p>
        </w:tc>
        <w:tc>
          <w:tcPr>
            <w:tcW w:w="1480" w:type="dxa"/>
            <w:tcBorders>
              <w:top w:val="nil"/>
              <w:left w:val="nil"/>
              <w:bottom w:val="nil"/>
              <w:right w:val="nil"/>
            </w:tcBorders>
            <w:shd w:val="clear" w:color="auto" w:fill="auto"/>
            <w:noWrap/>
            <w:vAlign w:val="bottom"/>
            <w:hideMark/>
          </w:tcPr>
          <w:p w14:paraId="58E8F7DE"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C79E194"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300,00</w:t>
            </w:r>
          </w:p>
        </w:tc>
        <w:tc>
          <w:tcPr>
            <w:tcW w:w="1400" w:type="dxa"/>
            <w:tcBorders>
              <w:top w:val="nil"/>
              <w:left w:val="nil"/>
              <w:bottom w:val="nil"/>
              <w:right w:val="nil"/>
            </w:tcBorders>
            <w:shd w:val="clear" w:color="auto" w:fill="auto"/>
            <w:noWrap/>
            <w:vAlign w:val="bottom"/>
            <w:hideMark/>
          </w:tcPr>
          <w:p w14:paraId="6ACFD41D"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51FC59E6" w14:textId="77777777" w:rsidTr="00A360DB">
        <w:trPr>
          <w:trHeight w:val="240"/>
        </w:trPr>
        <w:tc>
          <w:tcPr>
            <w:tcW w:w="1697" w:type="dxa"/>
            <w:tcBorders>
              <w:top w:val="nil"/>
              <w:left w:val="nil"/>
              <w:bottom w:val="nil"/>
              <w:right w:val="nil"/>
            </w:tcBorders>
            <w:shd w:val="clear" w:color="auto" w:fill="auto"/>
            <w:noWrap/>
            <w:vAlign w:val="bottom"/>
            <w:hideMark/>
          </w:tcPr>
          <w:p w14:paraId="78B6B8C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3132</w:t>
            </w:r>
          </w:p>
        </w:tc>
        <w:tc>
          <w:tcPr>
            <w:tcW w:w="8509" w:type="dxa"/>
            <w:tcBorders>
              <w:top w:val="nil"/>
              <w:left w:val="nil"/>
              <w:bottom w:val="nil"/>
              <w:right w:val="nil"/>
            </w:tcBorders>
            <w:shd w:val="clear" w:color="auto" w:fill="auto"/>
            <w:noWrap/>
            <w:vAlign w:val="bottom"/>
            <w:hideMark/>
          </w:tcPr>
          <w:p w14:paraId="14DAB84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Doprinosi za obvezno zdravstveno osiguranje                                                         </w:t>
            </w:r>
          </w:p>
        </w:tc>
        <w:tc>
          <w:tcPr>
            <w:tcW w:w="1480" w:type="dxa"/>
            <w:tcBorders>
              <w:top w:val="nil"/>
              <w:left w:val="nil"/>
              <w:bottom w:val="nil"/>
              <w:right w:val="nil"/>
            </w:tcBorders>
            <w:shd w:val="clear" w:color="auto" w:fill="auto"/>
            <w:noWrap/>
            <w:vAlign w:val="bottom"/>
            <w:hideMark/>
          </w:tcPr>
          <w:p w14:paraId="25DB5E12"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BB4A4D0"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306,66</w:t>
            </w:r>
          </w:p>
        </w:tc>
        <w:tc>
          <w:tcPr>
            <w:tcW w:w="1400" w:type="dxa"/>
            <w:tcBorders>
              <w:top w:val="nil"/>
              <w:left w:val="nil"/>
              <w:bottom w:val="nil"/>
              <w:right w:val="nil"/>
            </w:tcBorders>
            <w:shd w:val="clear" w:color="auto" w:fill="auto"/>
            <w:noWrap/>
            <w:vAlign w:val="bottom"/>
            <w:hideMark/>
          </w:tcPr>
          <w:p w14:paraId="0C23BC52"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2552F220" w14:textId="77777777" w:rsidTr="00A360DB">
        <w:trPr>
          <w:trHeight w:val="240"/>
        </w:trPr>
        <w:tc>
          <w:tcPr>
            <w:tcW w:w="1697" w:type="dxa"/>
            <w:tcBorders>
              <w:top w:val="nil"/>
              <w:left w:val="nil"/>
              <w:bottom w:val="nil"/>
              <w:right w:val="nil"/>
            </w:tcBorders>
            <w:shd w:val="clear" w:color="auto" w:fill="auto"/>
            <w:noWrap/>
            <w:vAlign w:val="bottom"/>
            <w:hideMark/>
          </w:tcPr>
          <w:p w14:paraId="5911AAAA"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15CD1AFF"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789156F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150,00</w:t>
            </w:r>
          </w:p>
        </w:tc>
        <w:tc>
          <w:tcPr>
            <w:tcW w:w="1380" w:type="dxa"/>
            <w:tcBorders>
              <w:top w:val="nil"/>
              <w:left w:val="nil"/>
              <w:bottom w:val="nil"/>
              <w:right w:val="nil"/>
            </w:tcBorders>
            <w:shd w:val="clear" w:color="auto" w:fill="auto"/>
            <w:noWrap/>
            <w:vAlign w:val="bottom"/>
            <w:hideMark/>
          </w:tcPr>
          <w:p w14:paraId="7AC13F2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127,68</w:t>
            </w:r>
          </w:p>
        </w:tc>
        <w:tc>
          <w:tcPr>
            <w:tcW w:w="1400" w:type="dxa"/>
            <w:tcBorders>
              <w:top w:val="nil"/>
              <w:left w:val="nil"/>
              <w:bottom w:val="nil"/>
              <w:right w:val="nil"/>
            </w:tcBorders>
            <w:shd w:val="clear" w:color="auto" w:fill="auto"/>
            <w:noWrap/>
            <w:vAlign w:val="bottom"/>
            <w:hideMark/>
          </w:tcPr>
          <w:p w14:paraId="629FBE4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85,12%</w:t>
            </w:r>
          </w:p>
        </w:tc>
      </w:tr>
      <w:tr w:rsidR="00A360DB" w:rsidRPr="00A360DB" w14:paraId="7AFB274F" w14:textId="77777777" w:rsidTr="00A360DB">
        <w:trPr>
          <w:trHeight w:val="240"/>
        </w:trPr>
        <w:tc>
          <w:tcPr>
            <w:tcW w:w="1697" w:type="dxa"/>
            <w:tcBorders>
              <w:top w:val="nil"/>
              <w:left w:val="nil"/>
              <w:bottom w:val="nil"/>
              <w:right w:val="nil"/>
            </w:tcBorders>
            <w:shd w:val="clear" w:color="auto" w:fill="auto"/>
            <w:noWrap/>
            <w:vAlign w:val="bottom"/>
            <w:hideMark/>
          </w:tcPr>
          <w:p w14:paraId="7A1F6AA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3212</w:t>
            </w:r>
          </w:p>
        </w:tc>
        <w:tc>
          <w:tcPr>
            <w:tcW w:w="8509" w:type="dxa"/>
            <w:tcBorders>
              <w:top w:val="nil"/>
              <w:left w:val="nil"/>
              <w:bottom w:val="nil"/>
              <w:right w:val="nil"/>
            </w:tcBorders>
            <w:shd w:val="clear" w:color="auto" w:fill="auto"/>
            <w:noWrap/>
            <w:vAlign w:val="bottom"/>
            <w:hideMark/>
          </w:tcPr>
          <w:p w14:paraId="224C3967"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Naknade za prijevoz, za rad na terenu i odvojeni život                                              </w:t>
            </w:r>
          </w:p>
        </w:tc>
        <w:tc>
          <w:tcPr>
            <w:tcW w:w="1480" w:type="dxa"/>
            <w:tcBorders>
              <w:top w:val="nil"/>
              <w:left w:val="nil"/>
              <w:bottom w:val="nil"/>
              <w:right w:val="nil"/>
            </w:tcBorders>
            <w:shd w:val="clear" w:color="auto" w:fill="auto"/>
            <w:noWrap/>
            <w:vAlign w:val="bottom"/>
            <w:hideMark/>
          </w:tcPr>
          <w:p w14:paraId="6142F411"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09A0D3C"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127,68</w:t>
            </w:r>
          </w:p>
        </w:tc>
        <w:tc>
          <w:tcPr>
            <w:tcW w:w="1400" w:type="dxa"/>
            <w:tcBorders>
              <w:top w:val="nil"/>
              <w:left w:val="nil"/>
              <w:bottom w:val="nil"/>
              <w:right w:val="nil"/>
            </w:tcBorders>
            <w:shd w:val="clear" w:color="auto" w:fill="auto"/>
            <w:noWrap/>
            <w:vAlign w:val="bottom"/>
            <w:hideMark/>
          </w:tcPr>
          <w:p w14:paraId="10FAA791"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49897A2"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10200667"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5. Pomoći</w:t>
            </w:r>
          </w:p>
        </w:tc>
        <w:tc>
          <w:tcPr>
            <w:tcW w:w="1480" w:type="dxa"/>
            <w:tcBorders>
              <w:top w:val="nil"/>
              <w:left w:val="nil"/>
              <w:bottom w:val="nil"/>
              <w:right w:val="nil"/>
            </w:tcBorders>
            <w:shd w:val="clear" w:color="auto" w:fill="auto"/>
            <w:noWrap/>
            <w:vAlign w:val="bottom"/>
            <w:hideMark/>
          </w:tcPr>
          <w:p w14:paraId="37A244E8"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400,00</w:t>
            </w:r>
          </w:p>
        </w:tc>
        <w:tc>
          <w:tcPr>
            <w:tcW w:w="1380" w:type="dxa"/>
            <w:tcBorders>
              <w:top w:val="nil"/>
              <w:left w:val="nil"/>
              <w:bottom w:val="nil"/>
              <w:right w:val="nil"/>
            </w:tcBorders>
            <w:shd w:val="clear" w:color="auto" w:fill="auto"/>
            <w:noWrap/>
            <w:vAlign w:val="bottom"/>
            <w:hideMark/>
          </w:tcPr>
          <w:p w14:paraId="673A478E"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27,14</w:t>
            </w:r>
          </w:p>
        </w:tc>
        <w:tc>
          <w:tcPr>
            <w:tcW w:w="1400" w:type="dxa"/>
            <w:tcBorders>
              <w:top w:val="nil"/>
              <w:left w:val="nil"/>
              <w:bottom w:val="nil"/>
              <w:right w:val="nil"/>
            </w:tcBorders>
            <w:shd w:val="clear" w:color="auto" w:fill="auto"/>
            <w:noWrap/>
            <w:vAlign w:val="bottom"/>
            <w:hideMark/>
          </w:tcPr>
          <w:p w14:paraId="41D7F32B"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6,79%</w:t>
            </w:r>
          </w:p>
        </w:tc>
      </w:tr>
      <w:tr w:rsidR="00A360DB" w:rsidRPr="00A360DB" w14:paraId="7FF11CA9"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3CFDE19E"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5.2. Državni proračun</w:t>
            </w:r>
          </w:p>
        </w:tc>
        <w:tc>
          <w:tcPr>
            <w:tcW w:w="1480" w:type="dxa"/>
            <w:tcBorders>
              <w:top w:val="nil"/>
              <w:left w:val="nil"/>
              <w:bottom w:val="nil"/>
              <w:right w:val="nil"/>
            </w:tcBorders>
            <w:shd w:val="clear" w:color="auto" w:fill="auto"/>
            <w:noWrap/>
            <w:vAlign w:val="bottom"/>
            <w:hideMark/>
          </w:tcPr>
          <w:p w14:paraId="72C533FA"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400,00</w:t>
            </w:r>
          </w:p>
        </w:tc>
        <w:tc>
          <w:tcPr>
            <w:tcW w:w="1380" w:type="dxa"/>
            <w:tcBorders>
              <w:top w:val="nil"/>
              <w:left w:val="nil"/>
              <w:bottom w:val="nil"/>
              <w:right w:val="nil"/>
            </w:tcBorders>
            <w:shd w:val="clear" w:color="auto" w:fill="auto"/>
            <w:noWrap/>
            <w:vAlign w:val="bottom"/>
            <w:hideMark/>
          </w:tcPr>
          <w:p w14:paraId="1267E5E6"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27,14</w:t>
            </w:r>
          </w:p>
        </w:tc>
        <w:tc>
          <w:tcPr>
            <w:tcW w:w="1400" w:type="dxa"/>
            <w:tcBorders>
              <w:top w:val="nil"/>
              <w:left w:val="nil"/>
              <w:bottom w:val="nil"/>
              <w:right w:val="nil"/>
            </w:tcBorders>
            <w:shd w:val="clear" w:color="auto" w:fill="auto"/>
            <w:noWrap/>
            <w:vAlign w:val="bottom"/>
            <w:hideMark/>
          </w:tcPr>
          <w:p w14:paraId="36EB6792"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6,79%</w:t>
            </w:r>
          </w:p>
        </w:tc>
      </w:tr>
      <w:tr w:rsidR="00A360DB" w:rsidRPr="00A360DB" w14:paraId="5340E35F" w14:textId="77777777" w:rsidTr="00A360DB">
        <w:trPr>
          <w:trHeight w:val="240"/>
        </w:trPr>
        <w:tc>
          <w:tcPr>
            <w:tcW w:w="1697" w:type="dxa"/>
            <w:tcBorders>
              <w:top w:val="nil"/>
              <w:left w:val="nil"/>
              <w:bottom w:val="nil"/>
              <w:right w:val="nil"/>
            </w:tcBorders>
            <w:shd w:val="clear" w:color="auto" w:fill="auto"/>
            <w:noWrap/>
            <w:vAlign w:val="bottom"/>
            <w:hideMark/>
          </w:tcPr>
          <w:p w14:paraId="5FE56A51"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7F2C870E"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6A4617E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400,00</w:t>
            </w:r>
          </w:p>
        </w:tc>
        <w:tc>
          <w:tcPr>
            <w:tcW w:w="1380" w:type="dxa"/>
            <w:tcBorders>
              <w:top w:val="nil"/>
              <w:left w:val="nil"/>
              <w:bottom w:val="nil"/>
              <w:right w:val="nil"/>
            </w:tcBorders>
            <w:shd w:val="clear" w:color="auto" w:fill="auto"/>
            <w:noWrap/>
            <w:vAlign w:val="bottom"/>
            <w:hideMark/>
          </w:tcPr>
          <w:p w14:paraId="1E10B20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27,14</w:t>
            </w:r>
          </w:p>
        </w:tc>
        <w:tc>
          <w:tcPr>
            <w:tcW w:w="1400" w:type="dxa"/>
            <w:tcBorders>
              <w:top w:val="nil"/>
              <w:left w:val="nil"/>
              <w:bottom w:val="nil"/>
              <w:right w:val="nil"/>
            </w:tcBorders>
            <w:shd w:val="clear" w:color="auto" w:fill="auto"/>
            <w:noWrap/>
            <w:vAlign w:val="bottom"/>
            <w:hideMark/>
          </w:tcPr>
          <w:p w14:paraId="018B2CC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6,79%</w:t>
            </w:r>
          </w:p>
        </w:tc>
      </w:tr>
      <w:tr w:rsidR="00A360DB" w:rsidRPr="00A360DB" w14:paraId="02C7B56C" w14:textId="77777777" w:rsidTr="00A360DB">
        <w:trPr>
          <w:trHeight w:val="240"/>
        </w:trPr>
        <w:tc>
          <w:tcPr>
            <w:tcW w:w="1697" w:type="dxa"/>
            <w:tcBorders>
              <w:top w:val="nil"/>
              <w:left w:val="nil"/>
              <w:bottom w:val="nil"/>
              <w:right w:val="nil"/>
            </w:tcBorders>
            <w:shd w:val="clear" w:color="auto" w:fill="auto"/>
            <w:noWrap/>
            <w:vAlign w:val="bottom"/>
            <w:hideMark/>
          </w:tcPr>
          <w:p w14:paraId="7B5F85A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3222</w:t>
            </w:r>
          </w:p>
        </w:tc>
        <w:tc>
          <w:tcPr>
            <w:tcW w:w="8509" w:type="dxa"/>
            <w:tcBorders>
              <w:top w:val="nil"/>
              <w:left w:val="nil"/>
              <w:bottom w:val="nil"/>
              <w:right w:val="nil"/>
            </w:tcBorders>
            <w:shd w:val="clear" w:color="auto" w:fill="auto"/>
            <w:noWrap/>
            <w:vAlign w:val="bottom"/>
            <w:hideMark/>
          </w:tcPr>
          <w:p w14:paraId="1A968028"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Materijal i sirovine                                                                                </w:t>
            </w:r>
          </w:p>
        </w:tc>
        <w:tc>
          <w:tcPr>
            <w:tcW w:w="1480" w:type="dxa"/>
            <w:tcBorders>
              <w:top w:val="nil"/>
              <w:left w:val="nil"/>
              <w:bottom w:val="nil"/>
              <w:right w:val="nil"/>
            </w:tcBorders>
            <w:shd w:val="clear" w:color="auto" w:fill="auto"/>
            <w:noWrap/>
            <w:vAlign w:val="bottom"/>
            <w:hideMark/>
          </w:tcPr>
          <w:p w14:paraId="1ABF2C04"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30852BF"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27,14</w:t>
            </w:r>
          </w:p>
        </w:tc>
        <w:tc>
          <w:tcPr>
            <w:tcW w:w="1400" w:type="dxa"/>
            <w:tcBorders>
              <w:top w:val="nil"/>
              <w:left w:val="nil"/>
              <w:bottom w:val="nil"/>
              <w:right w:val="nil"/>
            </w:tcBorders>
            <w:shd w:val="clear" w:color="auto" w:fill="auto"/>
            <w:noWrap/>
            <w:vAlign w:val="bottom"/>
            <w:hideMark/>
          </w:tcPr>
          <w:p w14:paraId="615B3330"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C953805" w14:textId="77777777" w:rsidTr="00A360DB">
        <w:trPr>
          <w:trHeight w:val="240"/>
        </w:trPr>
        <w:tc>
          <w:tcPr>
            <w:tcW w:w="1697" w:type="dxa"/>
            <w:tcBorders>
              <w:top w:val="nil"/>
              <w:left w:val="nil"/>
              <w:bottom w:val="nil"/>
              <w:right w:val="nil"/>
            </w:tcBorders>
            <w:shd w:val="clear" w:color="000000" w:fill="B4C6E7"/>
            <w:noWrap/>
            <w:vAlign w:val="bottom"/>
            <w:hideMark/>
          </w:tcPr>
          <w:p w14:paraId="4287A2D0"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lastRenderedPageBreak/>
              <w:t>T102008</w:t>
            </w:r>
          </w:p>
        </w:tc>
        <w:tc>
          <w:tcPr>
            <w:tcW w:w="8509" w:type="dxa"/>
            <w:tcBorders>
              <w:top w:val="nil"/>
              <w:left w:val="nil"/>
              <w:bottom w:val="nil"/>
              <w:right w:val="nil"/>
            </w:tcBorders>
            <w:shd w:val="clear" w:color="000000" w:fill="B4C6E7"/>
            <w:noWrap/>
            <w:vAlign w:val="bottom"/>
            <w:hideMark/>
          </w:tcPr>
          <w:p w14:paraId="687DD057"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Tekući projekt: Školska shema </w:t>
            </w:r>
          </w:p>
        </w:tc>
        <w:tc>
          <w:tcPr>
            <w:tcW w:w="1480" w:type="dxa"/>
            <w:tcBorders>
              <w:top w:val="nil"/>
              <w:left w:val="nil"/>
              <w:bottom w:val="nil"/>
              <w:right w:val="nil"/>
            </w:tcBorders>
            <w:shd w:val="clear" w:color="000000" w:fill="B4C6E7"/>
            <w:noWrap/>
            <w:vAlign w:val="bottom"/>
            <w:hideMark/>
          </w:tcPr>
          <w:p w14:paraId="3DAE951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1.064,55</w:t>
            </w:r>
          </w:p>
        </w:tc>
        <w:tc>
          <w:tcPr>
            <w:tcW w:w="1380" w:type="dxa"/>
            <w:tcBorders>
              <w:top w:val="nil"/>
              <w:left w:val="nil"/>
              <w:bottom w:val="nil"/>
              <w:right w:val="nil"/>
            </w:tcBorders>
            <w:shd w:val="clear" w:color="000000" w:fill="B4C6E7"/>
            <w:noWrap/>
            <w:vAlign w:val="bottom"/>
            <w:hideMark/>
          </w:tcPr>
          <w:p w14:paraId="6D9A540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843,18</w:t>
            </w:r>
          </w:p>
        </w:tc>
        <w:tc>
          <w:tcPr>
            <w:tcW w:w="1400" w:type="dxa"/>
            <w:tcBorders>
              <w:top w:val="nil"/>
              <w:left w:val="nil"/>
              <w:bottom w:val="nil"/>
              <w:right w:val="nil"/>
            </w:tcBorders>
            <w:shd w:val="clear" w:color="000000" w:fill="B4C6E7"/>
            <w:noWrap/>
            <w:vAlign w:val="bottom"/>
            <w:hideMark/>
          </w:tcPr>
          <w:p w14:paraId="5496144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79,21%</w:t>
            </w:r>
          </w:p>
        </w:tc>
      </w:tr>
      <w:tr w:rsidR="00A360DB" w:rsidRPr="00A360DB" w14:paraId="26872029"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2392E931"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5. Pomoći</w:t>
            </w:r>
          </w:p>
        </w:tc>
        <w:tc>
          <w:tcPr>
            <w:tcW w:w="1480" w:type="dxa"/>
            <w:tcBorders>
              <w:top w:val="nil"/>
              <w:left w:val="nil"/>
              <w:bottom w:val="nil"/>
              <w:right w:val="nil"/>
            </w:tcBorders>
            <w:shd w:val="clear" w:color="auto" w:fill="auto"/>
            <w:noWrap/>
            <w:vAlign w:val="bottom"/>
            <w:hideMark/>
          </w:tcPr>
          <w:p w14:paraId="5608BA51"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900,81</w:t>
            </w:r>
          </w:p>
        </w:tc>
        <w:tc>
          <w:tcPr>
            <w:tcW w:w="1380" w:type="dxa"/>
            <w:tcBorders>
              <w:top w:val="nil"/>
              <w:left w:val="nil"/>
              <w:bottom w:val="nil"/>
              <w:right w:val="nil"/>
            </w:tcBorders>
            <w:shd w:val="clear" w:color="auto" w:fill="auto"/>
            <w:noWrap/>
            <w:vAlign w:val="bottom"/>
            <w:hideMark/>
          </w:tcPr>
          <w:p w14:paraId="27E09423"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696,63</w:t>
            </w:r>
          </w:p>
        </w:tc>
        <w:tc>
          <w:tcPr>
            <w:tcW w:w="1400" w:type="dxa"/>
            <w:tcBorders>
              <w:top w:val="nil"/>
              <w:left w:val="nil"/>
              <w:bottom w:val="nil"/>
              <w:right w:val="nil"/>
            </w:tcBorders>
            <w:shd w:val="clear" w:color="auto" w:fill="auto"/>
            <w:noWrap/>
            <w:vAlign w:val="bottom"/>
            <w:hideMark/>
          </w:tcPr>
          <w:p w14:paraId="6D9FCCF7"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77,33%</w:t>
            </w:r>
          </w:p>
        </w:tc>
      </w:tr>
      <w:tr w:rsidR="00A360DB" w:rsidRPr="00A360DB" w14:paraId="0DCE80BA"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28E98542"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5.2. Državni proračun</w:t>
            </w:r>
          </w:p>
        </w:tc>
        <w:tc>
          <w:tcPr>
            <w:tcW w:w="1480" w:type="dxa"/>
            <w:tcBorders>
              <w:top w:val="nil"/>
              <w:left w:val="nil"/>
              <w:bottom w:val="nil"/>
              <w:right w:val="nil"/>
            </w:tcBorders>
            <w:shd w:val="clear" w:color="auto" w:fill="auto"/>
            <w:noWrap/>
            <w:vAlign w:val="bottom"/>
            <w:hideMark/>
          </w:tcPr>
          <w:p w14:paraId="21AA0FF1"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110,00</w:t>
            </w:r>
          </w:p>
        </w:tc>
        <w:tc>
          <w:tcPr>
            <w:tcW w:w="1380" w:type="dxa"/>
            <w:tcBorders>
              <w:top w:val="nil"/>
              <w:left w:val="nil"/>
              <w:bottom w:val="nil"/>
              <w:right w:val="nil"/>
            </w:tcBorders>
            <w:shd w:val="clear" w:color="auto" w:fill="auto"/>
            <w:noWrap/>
            <w:vAlign w:val="bottom"/>
            <w:hideMark/>
          </w:tcPr>
          <w:p w14:paraId="143257A9"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10,39</w:t>
            </w:r>
          </w:p>
        </w:tc>
        <w:tc>
          <w:tcPr>
            <w:tcW w:w="1400" w:type="dxa"/>
            <w:tcBorders>
              <w:top w:val="nil"/>
              <w:left w:val="nil"/>
              <w:bottom w:val="nil"/>
              <w:right w:val="nil"/>
            </w:tcBorders>
            <w:shd w:val="clear" w:color="auto" w:fill="auto"/>
            <w:noWrap/>
            <w:vAlign w:val="bottom"/>
            <w:hideMark/>
          </w:tcPr>
          <w:p w14:paraId="6A59B054"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9,45%</w:t>
            </w:r>
          </w:p>
        </w:tc>
      </w:tr>
      <w:tr w:rsidR="00A360DB" w:rsidRPr="00A360DB" w14:paraId="798FA3DB" w14:textId="77777777" w:rsidTr="00A360DB">
        <w:trPr>
          <w:trHeight w:val="240"/>
        </w:trPr>
        <w:tc>
          <w:tcPr>
            <w:tcW w:w="1697" w:type="dxa"/>
            <w:tcBorders>
              <w:top w:val="nil"/>
              <w:left w:val="nil"/>
              <w:bottom w:val="nil"/>
              <w:right w:val="nil"/>
            </w:tcBorders>
            <w:shd w:val="clear" w:color="auto" w:fill="auto"/>
            <w:noWrap/>
            <w:vAlign w:val="bottom"/>
            <w:hideMark/>
          </w:tcPr>
          <w:p w14:paraId="462D1CDD"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4BB91417"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16448CF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110,00</w:t>
            </w:r>
          </w:p>
        </w:tc>
        <w:tc>
          <w:tcPr>
            <w:tcW w:w="1380" w:type="dxa"/>
            <w:tcBorders>
              <w:top w:val="nil"/>
              <w:left w:val="nil"/>
              <w:bottom w:val="nil"/>
              <w:right w:val="nil"/>
            </w:tcBorders>
            <w:shd w:val="clear" w:color="auto" w:fill="auto"/>
            <w:noWrap/>
            <w:vAlign w:val="bottom"/>
            <w:hideMark/>
          </w:tcPr>
          <w:p w14:paraId="5EE1056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10,39</w:t>
            </w:r>
          </w:p>
        </w:tc>
        <w:tc>
          <w:tcPr>
            <w:tcW w:w="1400" w:type="dxa"/>
            <w:tcBorders>
              <w:top w:val="nil"/>
              <w:left w:val="nil"/>
              <w:bottom w:val="nil"/>
              <w:right w:val="nil"/>
            </w:tcBorders>
            <w:shd w:val="clear" w:color="auto" w:fill="auto"/>
            <w:noWrap/>
            <w:vAlign w:val="bottom"/>
            <w:hideMark/>
          </w:tcPr>
          <w:p w14:paraId="7998E4D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9,45%</w:t>
            </w:r>
          </w:p>
        </w:tc>
      </w:tr>
      <w:tr w:rsidR="00A360DB" w:rsidRPr="00A360DB" w14:paraId="05F82EED" w14:textId="77777777" w:rsidTr="00A360DB">
        <w:trPr>
          <w:trHeight w:val="240"/>
        </w:trPr>
        <w:tc>
          <w:tcPr>
            <w:tcW w:w="1697" w:type="dxa"/>
            <w:tcBorders>
              <w:top w:val="nil"/>
              <w:left w:val="nil"/>
              <w:bottom w:val="nil"/>
              <w:right w:val="nil"/>
            </w:tcBorders>
            <w:shd w:val="clear" w:color="auto" w:fill="auto"/>
            <w:noWrap/>
            <w:vAlign w:val="bottom"/>
            <w:hideMark/>
          </w:tcPr>
          <w:p w14:paraId="168DF8B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3222</w:t>
            </w:r>
          </w:p>
        </w:tc>
        <w:tc>
          <w:tcPr>
            <w:tcW w:w="8509" w:type="dxa"/>
            <w:tcBorders>
              <w:top w:val="nil"/>
              <w:left w:val="nil"/>
              <w:bottom w:val="nil"/>
              <w:right w:val="nil"/>
            </w:tcBorders>
            <w:shd w:val="clear" w:color="auto" w:fill="auto"/>
            <w:noWrap/>
            <w:vAlign w:val="bottom"/>
            <w:hideMark/>
          </w:tcPr>
          <w:p w14:paraId="5F8BCE4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Materijal i sirovine                                                                                </w:t>
            </w:r>
          </w:p>
        </w:tc>
        <w:tc>
          <w:tcPr>
            <w:tcW w:w="1480" w:type="dxa"/>
            <w:tcBorders>
              <w:top w:val="nil"/>
              <w:left w:val="nil"/>
              <w:bottom w:val="nil"/>
              <w:right w:val="nil"/>
            </w:tcBorders>
            <w:shd w:val="clear" w:color="auto" w:fill="auto"/>
            <w:noWrap/>
            <w:vAlign w:val="bottom"/>
            <w:hideMark/>
          </w:tcPr>
          <w:p w14:paraId="1174C040"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7001DE8"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10,39</w:t>
            </w:r>
          </w:p>
        </w:tc>
        <w:tc>
          <w:tcPr>
            <w:tcW w:w="1400" w:type="dxa"/>
            <w:tcBorders>
              <w:top w:val="nil"/>
              <w:left w:val="nil"/>
              <w:bottom w:val="nil"/>
              <w:right w:val="nil"/>
            </w:tcBorders>
            <w:shd w:val="clear" w:color="auto" w:fill="auto"/>
            <w:noWrap/>
            <w:vAlign w:val="bottom"/>
            <w:hideMark/>
          </w:tcPr>
          <w:p w14:paraId="6A883222"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6ED60FA"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1D2CF525"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5.4. Institucije i tijela EU</w:t>
            </w:r>
          </w:p>
        </w:tc>
        <w:tc>
          <w:tcPr>
            <w:tcW w:w="1480" w:type="dxa"/>
            <w:tcBorders>
              <w:top w:val="nil"/>
              <w:left w:val="nil"/>
              <w:bottom w:val="nil"/>
              <w:right w:val="nil"/>
            </w:tcBorders>
            <w:shd w:val="clear" w:color="auto" w:fill="auto"/>
            <w:noWrap/>
            <w:vAlign w:val="bottom"/>
            <w:hideMark/>
          </w:tcPr>
          <w:p w14:paraId="60C54503"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790,81</w:t>
            </w:r>
          </w:p>
        </w:tc>
        <w:tc>
          <w:tcPr>
            <w:tcW w:w="1380" w:type="dxa"/>
            <w:tcBorders>
              <w:top w:val="nil"/>
              <w:left w:val="nil"/>
              <w:bottom w:val="nil"/>
              <w:right w:val="nil"/>
            </w:tcBorders>
            <w:shd w:val="clear" w:color="auto" w:fill="auto"/>
            <w:noWrap/>
            <w:vAlign w:val="bottom"/>
            <w:hideMark/>
          </w:tcPr>
          <w:p w14:paraId="0AF56341"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686,24</w:t>
            </w:r>
          </w:p>
        </w:tc>
        <w:tc>
          <w:tcPr>
            <w:tcW w:w="1400" w:type="dxa"/>
            <w:tcBorders>
              <w:top w:val="nil"/>
              <w:left w:val="nil"/>
              <w:bottom w:val="nil"/>
              <w:right w:val="nil"/>
            </w:tcBorders>
            <w:shd w:val="clear" w:color="auto" w:fill="auto"/>
            <w:noWrap/>
            <w:vAlign w:val="bottom"/>
            <w:hideMark/>
          </w:tcPr>
          <w:p w14:paraId="02ED5BF4"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86,78%</w:t>
            </w:r>
          </w:p>
        </w:tc>
      </w:tr>
      <w:tr w:rsidR="00A360DB" w:rsidRPr="00A360DB" w14:paraId="07FFA92F" w14:textId="77777777" w:rsidTr="00A360DB">
        <w:trPr>
          <w:trHeight w:val="240"/>
        </w:trPr>
        <w:tc>
          <w:tcPr>
            <w:tcW w:w="1697" w:type="dxa"/>
            <w:tcBorders>
              <w:top w:val="nil"/>
              <w:left w:val="nil"/>
              <w:bottom w:val="nil"/>
              <w:right w:val="nil"/>
            </w:tcBorders>
            <w:shd w:val="clear" w:color="auto" w:fill="auto"/>
            <w:noWrap/>
            <w:vAlign w:val="bottom"/>
            <w:hideMark/>
          </w:tcPr>
          <w:p w14:paraId="3BAE3FA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26CC9235"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1111B8F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790,81</w:t>
            </w:r>
          </w:p>
        </w:tc>
        <w:tc>
          <w:tcPr>
            <w:tcW w:w="1380" w:type="dxa"/>
            <w:tcBorders>
              <w:top w:val="nil"/>
              <w:left w:val="nil"/>
              <w:bottom w:val="nil"/>
              <w:right w:val="nil"/>
            </w:tcBorders>
            <w:shd w:val="clear" w:color="auto" w:fill="auto"/>
            <w:noWrap/>
            <w:vAlign w:val="bottom"/>
            <w:hideMark/>
          </w:tcPr>
          <w:p w14:paraId="6FF2DBE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686,24</w:t>
            </w:r>
          </w:p>
        </w:tc>
        <w:tc>
          <w:tcPr>
            <w:tcW w:w="1400" w:type="dxa"/>
            <w:tcBorders>
              <w:top w:val="nil"/>
              <w:left w:val="nil"/>
              <w:bottom w:val="nil"/>
              <w:right w:val="nil"/>
            </w:tcBorders>
            <w:shd w:val="clear" w:color="auto" w:fill="auto"/>
            <w:noWrap/>
            <w:vAlign w:val="bottom"/>
            <w:hideMark/>
          </w:tcPr>
          <w:p w14:paraId="52EA77B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86,78%</w:t>
            </w:r>
          </w:p>
        </w:tc>
      </w:tr>
      <w:tr w:rsidR="00A360DB" w:rsidRPr="00A360DB" w14:paraId="6096B7D7" w14:textId="77777777" w:rsidTr="00A360DB">
        <w:trPr>
          <w:trHeight w:val="240"/>
        </w:trPr>
        <w:tc>
          <w:tcPr>
            <w:tcW w:w="1697" w:type="dxa"/>
            <w:tcBorders>
              <w:top w:val="nil"/>
              <w:left w:val="nil"/>
              <w:bottom w:val="nil"/>
              <w:right w:val="nil"/>
            </w:tcBorders>
            <w:shd w:val="clear" w:color="auto" w:fill="auto"/>
            <w:noWrap/>
            <w:vAlign w:val="bottom"/>
            <w:hideMark/>
          </w:tcPr>
          <w:p w14:paraId="760A33A8"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3222</w:t>
            </w:r>
          </w:p>
        </w:tc>
        <w:tc>
          <w:tcPr>
            <w:tcW w:w="8509" w:type="dxa"/>
            <w:tcBorders>
              <w:top w:val="nil"/>
              <w:left w:val="nil"/>
              <w:bottom w:val="nil"/>
              <w:right w:val="nil"/>
            </w:tcBorders>
            <w:shd w:val="clear" w:color="auto" w:fill="auto"/>
            <w:noWrap/>
            <w:vAlign w:val="bottom"/>
            <w:hideMark/>
          </w:tcPr>
          <w:p w14:paraId="006CAE18"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Materijal i sirovine                                                                                </w:t>
            </w:r>
          </w:p>
        </w:tc>
        <w:tc>
          <w:tcPr>
            <w:tcW w:w="1480" w:type="dxa"/>
            <w:tcBorders>
              <w:top w:val="nil"/>
              <w:left w:val="nil"/>
              <w:bottom w:val="nil"/>
              <w:right w:val="nil"/>
            </w:tcBorders>
            <w:shd w:val="clear" w:color="auto" w:fill="auto"/>
            <w:noWrap/>
            <w:vAlign w:val="bottom"/>
            <w:hideMark/>
          </w:tcPr>
          <w:p w14:paraId="645F7E25"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E7750D2"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686,24</w:t>
            </w:r>
          </w:p>
        </w:tc>
        <w:tc>
          <w:tcPr>
            <w:tcW w:w="1400" w:type="dxa"/>
            <w:tcBorders>
              <w:top w:val="nil"/>
              <w:left w:val="nil"/>
              <w:bottom w:val="nil"/>
              <w:right w:val="nil"/>
            </w:tcBorders>
            <w:shd w:val="clear" w:color="auto" w:fill="auto"/>
            <w:noWrap/>
            <w:vAlign w:val="bottom"/>
            <w:hideMark/>
          </w:tcPr>
          <w:p w14:paraId="02646581"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55AA62AB"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111792DF"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9. Višak iz prethodnih razdoblja</w:t>
            </w:r>
          </w:p>
        </w:tc>
        <w:tc>
          <w:tcPr>
            <w:tcW w:w="1480" w:type="dxa"/>
            <w:tcBorders>
              <w:top w:val="nil"/>
              <w:left w:val="nil"/>
              <w:bottom w:val="nil"/>
              <w:right w:val="nil"/>
            </w:tcBorders>
            <w:shd w:val="clear" w:color="auto" w:fill="auto"/>
            <w:noWrap/>
            <w:vAlign w:val="bottom"/>
            <w:hideMark/>
          </w:tcPr>
          <w:p w14:paraId="506A1E5F"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163,74</w:t>
            </w:r>
          </w:p>
        </w:tc>
        <w:tc>
          <w:tcPr>
            <w:tcW w:w="1380" w:type="dxa"/>
            <w:tcBorders>
              <w:top w:val="nil"/>
              <w:left w:val="nil"/>
              <w:bottom w:val="nil"/>
              <w:right w:val="nil"/>
            </w:tcBorders>
            <w:shd w:val="clear" w:color="auto" w:fill="auto"/>
            <w:noWrap/>
            <w:vAlign w:val="bottom"/>
            <w:hideMark/>
          </w:tcPr>
          <w:p w14:paraId="121C068B"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146,55</w:t>
            </w:r>
          </w:p>
        </w:tc>
        <w:tc>
          <w:tcPr>
            <w:tcW w:w="1400" w:type="dxa"/>
            <w:tcBorders>
              <w:top w:val="nil"/>
              <w:left w:val="nil"/>
              <w:bottom w:val="nil"/>
              <w:right w:val="nil"/>
            </w:tcBorders>
            <w:shd w:val="clear" w:color="auto" w:fill="auto"/>
            <w:noWrap/>
            <w:vAlign w:val="bottom"/>
            <w:hideMark/>
          </w:tcPr>
          <w:p w14:paraId="5833C8C7"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89,50%</w:t>
            </w:r>
          </w:p>
        </w:tc>
      </w:tr>
      <w:tr w:rsidR="00A360DB" w:rsidRPr="00A360DB" w14:paraId="706F8454"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49814F0"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9.2. Višak iz prethodnih godina - Grad</w:t>
            </w:r>
          </w:p>
        </w:tc>
        <w:tc>
          <w:tcPr>
            <w:tcW w:w="1480" w:type="dxa"/>
            <w:tcBorders>
              <w:top w:val="nil"/>
              <w:left w:val="nil"/>
              <w:bottom w:val="nil"/>
              <w:right w:val="nil"/>
            </w:tcBorders>
            <w:shd w:val="clear" w:color="auto" w:fill="auto"/>
            <w:noWrap/>
            <w:vAlign w:val="bottom"/>
            <w:hideMark/>
          </w:tcPr>
          <w:p w14:paraId="5967F45B"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163,74</w:t>
            </w:r>
          </w:p>
        </w:tc>
        <w:tc>
          <w:tcPr>
            <w:tcW w:w="1380" w:type="dxa"/>
            <w:tcBorders>
              <w:top w:val="nil"/>
              <w:left w:val="nil"/>
              <w:bottom w:val="nil"/>
              <w:right w:val="nil"/>
            </w:tcBorders>
            <w:shd w:val="clear" w:color="auto" w:fill="auto"/>
            <w:noWrap/>
            <w:vAlign w:val="bottom"/>
            <w:hideMark/>
          </w:tcPr>
          <w:p w14:paraId="0416379B"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146,55</w:t>
            </w:r>
          </w:p>
        </w:tc>
        <w:tc>
          <w:tcPr>
            <w:tcW w:w="1400" w:type="dxa"/>
            <w:tcBorders>
              <w:top w:val="nil"/>
              <w:left w:val="nil"/>
              <w:bottom w:val="nil"/>
              <w:right w:val="nil"/>
            </w:tcBorders>
            <w:shd w:val="clear" w:color="auto" w:fill="auto"/>
            <w:noWrap/>
            <w:vAlign w:val="bottom"/>
            <w:hideMark/>
          </w:tcPr>
          <w:p w14:paraId="635FE20A"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89,50%</w:t>
            </w:r>
          </w:p>
        </w:tc>
      </w:tr>
      <w:tr w:rsidR="00A360DB" w:rsidRPr="00A360DB" w14:paraId="3A57A275" w14:textId="77777777" w:rsidTr="00A360DB">
        <w:trPr>
          <w:trHeight w:val="240"/>
        </w:trPr>
        <w:tc>
          <w:tcPr>
            <w:tcW w:w="1697" w:type="dxa"/>
            <w:tcBorders>
              <w:top w:val="nil"/>
              <w:left w:val="nil"/>
              <w:bottom w:val="nil"/>
              <w:right w:val="nil"/>
            </w:tcBorders>
            <w:shd w:val="clear" w:color="auto" w:fill="auto"/>
            <w:noWrap/>
            <w:vAlign w:val="bottom"/>
            <w:hideMark/>
          </w:tcPr>
          <w:p w14:paraId="01347D89"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55C09D5A"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5961627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163,74</w:t>
            </w:r>
          </w:p>
        </w:tc>
        <w:tc>
          <w:tcPr>
            <w:tcW w:w="1380" w:type="dxa"/>
            <w:tcBorders>
              <w:top w:val="nil"/>
              <w:left w:val="nil"/>
              <w:bottom w:val="nil"/>
              <w:right w:val="nil"/>
            </w:tcBorders>
            <w:shd w:val="clear" w:color="auto" w:fill="auto"/>
            <w:noWrap/>
            <w:vAlign w:val="bottom"/>
            <w:hideMark/>
          </w:tcPr>
          <w:p w14:paraId="080B02D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146,55</w:t>
            </w:r>
          </w:p>
        </w:tc>
        <w:tc>
          <w:tcPr>
            <w:tcW w:w="1400" w:type="dxa"/>
            <w:tcBorders>
              <w:top w:val="nil"/>
              <w:left w:val="nil"/>
              <w:bottom w:val="nil"/>
              <w:right w:val="nil"/>
            </w:tcBorders>
            <w:shd w:val="clear" w:color="auto" w:fill="auto"/>
            <w:noWrap/>
            <w:vAlign w:val="bottom"/>
            <w:hideMark/>
          </w:tcPr>
          <w:p w14:paraId="2979A26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89,50%</w:t>
            </w:r>
          </w:p>
        </w:tc>
      </w:tr>
      <w:tr w:rsidR="00A360DB" w:rsidRPr="00A360DB" w14:paraId="6C07D040" w14:textId="77777777" w:rsidTr="00A360DB">
        <w:trPr>
          <w:trHeight w:val="240"/>
        </w:trPr>
        <w:tc>
          <w:tcPr>
            <w:tcW w:w="1697" w:type="dxa"/>
            <w:tcBorders>
              <w:top w:val="nil"/>
              <w:left w:val="nil"/>
              <w:bottom w:val="nil"/>
              <w:right w:val="nil"/>
            </w:tcBorders>
            <w:shd w:val="clear" w:color="auto" w:fill="auto"/>
            <w:noWrap/>
            <w:vAlign w:val="bottom"/>
            <w:hideMark/>
          </w:tcPr>
          <w:p w14:paraId="4F002AF5"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3222</w:t>
            </w:r>
          </w:p>
        </w:tc>
        <w:tc>
          <w:tcPr>
            <w:tcW w:w="8509" w:type="dxa"/>
            <w:tcBorders>
              <w:top w:val="nil"/>
              <w:left w:val="nil"/>
              <w:bottom w:val="nil"/>
              <w:right w:val="nil"/>
            </w:tcBorders>
            <w:shd w:val="clear" w:color="auto" w:fill="auto"/>
            <w:noWrap/>
            <w:vAlign w:val="bottom"/>
            <w:hideMark/>
          </w:tcPr>
          <w:p w14:paraId="547CEBA5"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Materijal i sirovine                                                                                </w:t>
            </w:r>
          </w:p>
        </w:tc>
        <w:tc>
          <w:tcPr>
            <w:tcW w:w="1480" w:type="dxa"/>
            <w:tcBorders>
              <w:top w:val="nil"/>
              <w:left w:val="nil"/>
              <w:bottom w:val="nil"/>
              <w:right w:val="nil"/>
            </w:tcBorders>
            <w:shd w:val="clear" w:color="auto" w:fill="auto"/>
            <w:noWrap/>
            <w:vAlign w:val="bottom"/>
            <w:hideMark/>
          </w:tcPr>
          <w:p w14:paraId="5768EF55"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FB27A46"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146,55</w:t>
            </w:r>
          </w:p>
        </w:tc>
        <w:tc>
          <w:tcPr>
            <w:tcW w:w="1400" w:type="dxa"/>
            <w:tcBorders>
              <w:top w:val="nil"/>
              <w:left w:val="nil"/>
              <w:bottom w:val="nil"/>
              <w:right w:val="nil"/>
            </w:tcBorders>
            <w:shd w:val="clear" w:color="auto" w:fill="auto"/>
            <w:noWrap/>
            <w:vAlign w:val="bottom"/>
            <w:hideMark/>
          </w:tcPr>
          <w:p w14:paraId="2D09CCF0"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E644DCB" w14:textId="77777777" w:rsidTr="00A360DB">
        <w:trPr>
          <w:trHeight w:val="240"/>
        </w:trPr>
        <w:tc>
          <w:tcPr>
            <w:tcW w:w="1697" w:type="dxa"/>
            <w:tcBorders>
              <w:top w:val="nil"/>
              <w:left w:val="nil"/>
              <w:bottom w:val="nil"/>
              <w:right w:val="nil"/>
            </w:tcBorders>
            <w:shd w:val="clear" w:color="000000" w:fill="B4C6E7"/>
            <w:noWrap/>
            <w:vAlign w:val="bottom"/>
            <w:hideMark/>
          </w:tcPr>
          <w:p w14:paraId="02CD28E1"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T102009</w:t>
            </w:r>
          </w:p>
        </w:tc>
        <w:tc>
          <w:tcPr>
            <w:tcW w:w="8509" w:type="dxa"/>
            <w:tcBorders>
              <w:top w:val="nil"/>
              <w:left w:val="nil"/>
              <w:bottom w:val="nil"/>
              <w:right w:val="nil"/>
            </w:tcBorders>
            <w:shd w:val="clear" w:color="000000" w:fill="B4C6E7"/>
            <w:noWrap/>
            <w:vAlign w:val="bottom"/>
            <w:hideMark/>
          </w:tcPr>
          <w:p w14:paraId="13A5FC82"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Tekući projekt: "Pomoćnici u nastavi"</w:t>
            </w:r>
          </w:p>
        </w:tc>
        <w:tc>
          <w:tcPr>
            <w:tcW w:w="1480" w:type="dxa"/>
            <w:tcBorders>
              <w:top w:val="nil"/>
              <w:left w:val="nil"/>
              <w:bottom w:val="nil"/>
              <w:right w:val="nil"/>
            </w:tcBorders>
            <w:shd w:val="clear" w:color="000000" w:fill="B4C6E7"/>
            <w:noWrap/>
            <w:vAlign w:val="bottom"/>
            <w:hideMark/>
          </w:tcPr>
          <w:p w14:paraId="61D4C69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3.000,00</w:t>
            </w:r>
          </w:p>
        </w:tc>
        <w:tc>
          <w:tcPr>
            <w:tcW w:w="1380" w:type="dxa"/>
            <w:tcBorders>
              <w:top w:val="nil"/>
              <w:left w:val="nil"/>
              <w:bottom w:val="nil"/>
              <w:right w:val="nil"/>
            </w:tcBorders>
            <w:shd w:val="clear" w:color="000000" w:fill="B4C6E7"/>
            <w:noWrap/>
            <w:vAlign w:val="bottom"/>
            <w:hideMark/>
          </w:tcPr>
          <w:p w14:paraId="3AD47F8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2.912,35</w:t>
            </w:r>
          </w:p>
        </w:tc>
        <w:tc>
          <w:tcPr>
            <w:tcW w:w="1400" w:type="dxa"/>
            <w:tcBorders>
              <w:top w:val="nil"/>
              <w:left w:val="nil"/>
              <w:bottom w:val="nil"/>
              <w:right w:val="nil"/>
            </w:tcBorders>
            <w:shd w:val="clear" w:color="000000" w:fill="B4C6E7"/>
            <w:noWrap/>
            <w:vAlign w:val="bottom"/>
            <w:hideMark/>
          </w:tcPr>
          <w:p w14:paraId="052C451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97,08%</w:t>
            </w:r>
          </w:p>
        </w:tc>
      </w:tr>
      <w:tr w:rsidR="00A360DB" w:rsidRPr="00A360DB" w14:paraId="4C6F28E0"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39091992"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2D26D20D"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3.000,00</w:t>
            </w:r>
          </w:p>
        </w:tc>
        <w:tc>
          <w:tcPr>
            <w:tcW w:w="1380" w:type="dxa"/>
            <w:tcBorders>
              <w:top w:val="nil"/>
              <w:left w:val="nil"/>
              <w:bottom w:val="nil"/>
              <w:right w:val="nil"/>
            </w:tcBorders>
            <w:shd w:val="clear" w:color="auto" w:fill="auto"/>
            <w:noWrap/>
            <w:vAlign w:val="bottom"/>
            <w:hideMark/>
          </w:tcPr>
          <w:p w14:paraId="455518A9"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2.912,35</w:t>
            </w:r>
          </w:p>
        </w:tc>
        <w:tc>
          <w:tcPr>
            <w:tcW w:w="1400" w:type="dxa"/>
            <w:tcBorders>
              <w:top w:val="nil"/>
              <w:left w:val="nil"/>
              <w:bottom w:val="nil"/>
              <w:right w:val="nil"/>
            </w:tcBorders>
            <w:shd w:val="clear" w:color="auto" w:fill="auto"/>
            <w:noWrap/>
            <w:vAlign w:val="bottom"/>
            <w:hideMark/>
          </w:tcPr>
          <w:p w14:paraId="6C9FE05C"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97,08%</w:t>
            </w:r>
          </w:p>
        </w:tc>
      </w:tr>
      <w:tr w:rsidR="00A360DB" w:rsidRPr="00A360DB" w14:paraId="6039386F"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5F7FF22A"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4A7A1876"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3.000,00</w:t>
            </w:r>
          </w:p>
        </w:tc>
        <w:tc>
          <w:tcPr>
            <w:tcW w:w="1380" w:type="dxa"/>
            <w:tcBorders>
              <w:top w:val="nil"/>
              <w:left w:val="nil"/>
              <w:bottom w:val="nil"/>
              <w:right w:val="nil"/>
            </w:tcBorders>
            <w:shd w:val="clear" w:color="auto" w:fill="auto"/>
            <w:noWrap/>
            <w:vAlign w:val="bottom"/>
            <w:hideMark/>
          </w:tcPr>
          <w:p w14:paraId="49095397"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2.912,35</w:t>
            </w:r>
          </w:p>
        </w:tc>
        <w:tc>
          <w:tcPr>
            <w:tcW w:w="1400" w:type="dxa"/>
            <w:tcBorders>
              <w:top w:val="nil"/>
              <w:left w:val="nil"/>
              <w:bottom w:val="nil"/>
              <w:right w:val="nil"/>
            </w:tcBorders>
            <w:shd w:val="clear" w:color="auto" w:fill="auto"/>
            <w:noWrap/>
            <w:vAlign w:val="bottom"/>
            <w:hideMark/>
          </w:tcPr>
          <w:p w14:paraId="05D890D7"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97,08%</w:t>
            </w:r>
          </w:p>
        </w:tc>
      </w:tr>
      <w:tr w:rsidR="00A360DB" w:rsidRPr="00A360DB" w14:paraId="10D7432F" w14:textId="77777777" w:rsidTr="00A360DB">
        <w:trPr>
          <w:trHeight w:val="240"/>
        </w:trPr>
        <w:tc>
          <w:tcPr>
            <w:tcW w:w="1697" w:type="dxa"/>
            <w:tcBorders>
              <w:top w:val="nil"/>
              <w:left w:val="nil"/>
              <w:bottom w:val="nil"/>
              <w:right w:val="nil"/>
            </w:tcBorders>
            <w:shd w:val="clear" w:color="auto" w:fill="auto"/>
            <w:noWrap/>
            <w:vAlign w:val="bottom"/>
            <w:hideMark/>
          </w:tcPr>
          <w:p w14:paraId="0E36DA3C"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31</w:t>
            </w:r>
          </w:p>
        </w:tc>
        <w:tc>
          <w:tcPr>
            <w:tcW w:w="8509" w:type="dxa"/>
            <w:tcBorders>
              <w:top w:val="nil"/>
              <w:left w:val="nil"/>
              <w:bottom w:val="nil"/>
              <w:right w:val="nil"/>
            </w:tcBorders>
            <w:shd w:val="clear" w:color="auto" w:fill="auto"/>
            <w:noWrap/>
            <w:vAlign w:val="bottom"/>
            <w:hideMark/>
          </w:tcPr>
          <w:p w14:paraId="695EF674"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zaposlene                                                                                </w:t>
            </w:r>
          </w:p>
        </w:tc>
        <w:tc>
          <w:tcPr>
            <w:tcW w:w="1480" w:type="dxa"/>
            <w:tcBorders>
              <w:top w:val="nil"/>
              <w:left w:val="nil"/>
              <w:bottom w:val="nil"/>
              <w:right w:val="nil"/>
            </w:tcBorders>
            <w:shd w:val="clear" w:color="auto" w:fill="auto"/>
            <w:noWrap/>
            <w:vAlign w:val="bottom"/>
            <w:hideMark/>
          </w:tcPr>
          <w:p w14:paraId="7B21A4F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2.900,00</w:t>
            </w:r>
          </w:p>
        </w:tc>
        <w:tc>
          <w:tcPr>
            <w:tcW w:w="1380" w:type="dxa"/>
            <w:tcBorders>
              <w:top w:val="nil"/>
              <w:left w:val="nil"/>
              <w:bottom w:val="nil"/>
              <w:right w:val="nil"/>
            </w:tcBorders>
            <w:shd w:val="clear" w:color="auto" w:fill="auto"/>
            <w:noWrap/>
            <w:vAlign w:val="bottom"/>
            <w:hideMark/>
          </w:tcPr>
          <w:p w14:paraId="54C390D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2.810,15</w:t>
            </w:r>
          </w:p>
        </w:tc>
        <w:tc>
          <w:tcPr>
            <w:tcW w:w="1400" w:type="dxa"/>
            <w:tcBorders>
              <w:top w:val="nil"/>
              <w:left w:val="nil"/>
              <w:bottom w:val="nil"/>
              <w:right w:val="nil"/>
            </w:tcBorders>
            <w:shd w:val="clear" w:color="auto" w:fill="auto"/>
            <w:noWrap/>
            <w:vAlign w:val="bottom"/>
            <w:hideMark/>
          </w:tcPr>
          <w:p w14:paraId="6D988FF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96,90%</w:t>
            </w:r>
          </w:p>
        </w:tc>
      </w:tr>
      <w:tr w:rsidR="00A360DB" w:rsidRPr="00A360DB" w14:paraId="23B51B58" w14:textId="77777777" w:rsidTr="00A360DB">
        <w:trPr>
          <w:trHeight w:val="240"/>
        </w:trPr>
        <w:tc>
          <w:tcPr>
            <w:tcW w:w="1697" w:type="dxa"/>
            <w:tcBorders>
              <w:top w:val="nil"/>
              <w:left w:val="nil"/>
              <w:bottom w:val="nil"/>
              <w:right w:val="nil"/>
            </w:tcBorders>
            <w:shd w:val="clear" w:color="auto" w:fill="auto"/>
            <w:noWrap/>
            <w:vAlign w:val="bottom"/>
            <w:hideMark/>
          </w:tcPr>
          <w:p w14:paraId="2D3916C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3111</w:t>
            </w:r>
          </w:p>
        </w:tc>
        <w:tc>
          <w:tcPr>
            <w:tcW w:w="8509" w:type="dxa"/>
            <w:tcBorders>
              <w:top w:val="nil"/>
              <w:left w:val="nil"/>
              <w:bottom w:val="nil"/>
              <w:right w:val="nil"/>
            </w:tcBorders>
            <w:shd w:val="clear" w:color="auto" w:fill="auto"/>
            <w:noWrap/>
            <w:vAlign w:val="bottom"/>
            <w:hideMark/>
          </w:tcPr>
          <w:p w14:paraId="022A91D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Plaće za redovan rad                                                                                </w:t>
            </w:r>
          </w:p>
        </w:tc>
        <w:tc>
          <w:tcPr>
            <w:tcW w:w="1480" w:type="dxa"/>
            <w:tcBorders>
              <w:top w:val="nil"/>
              <w:left w:val="nil"/>
              <w:bottom w:val="nil"/>
              <w:right w:val="nil"/>
            </w:tcBorders>
            <w:shd w:val="clear" w:color="auto" w:fill="auto"/>
            <w:noWrap/>
            <w:vAlign w:val="bottom"/>
            <w:hideMark/>
          </w:tcPr>
          <w:p w14:paraId="36292FD5"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51CD299"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2.326,31</w:t>
            </w:r>
          </w:p>
        </w:tc>
        <w:tc>
          <w:tcPr>
            <w:tcW w:w="1400" w:type="dxa"/>
            <w:tcBorders>
              <w:top w:val="nil"/>
              <w:left w:val="nil"/>
              <w:bottom w:val="nil"/>
              <w:right w:val="nil"/>
            </w:tcBorders>
            <w:shd w:val="clear" w:color="auto" w:fill="auto"/>
            <w:noWrap/>
            <w:vAlign w:val="bottom"/>
            <w:hideMark/>
          </w:tcPr>
          <w:p w14:paraId="1DC82EB8"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2F75C67" w14:textId="77777777" w:rsidTr="00A360DB">
        <w:trPr>
          <w:trHeight w:val="240"/>
        </w:trPr>
        <w:tc>
          <w:tcPr>
            <w:tcW w:w="1697" w:type="dxa"/>
            <w:tcBorders>
              <w:top w:val="nil"/>
              <w:left w:val="nil"/>
              <w:bottom w:val="nil"/>
              <w:right w:val="nil"/>
            </w:tcBorders>
            <w:shd w:val="clear" w:color="auto" w:fill="auto"/>
            <w:noWrap/>
            <w:vAlign w:val="bottom"/>
            <w:hideMark/>
          </w:tcPr>
          <w:p w14:paraId="75E6B1E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3121</w:t>
            </w:r>
          </w:p>
        </w:tc>
        <w:tc>
          <w:tcPr>
            <w:tcW w:w="8509" w:type="dxa"/>
            <w:tcBorders>
              <w:top w:val="nil"/>
              <w:left w:val="nil"/>
              <w:bottom w:val="nil"/>
              <w:right w:val="nil"/>
            </w:tcBorders>
            <w:shd w:val="clear" w:color="auto" w:fill="auto"/>
            <w:noWrap/>
            <w:vAlign w:val="bottom"/>
            <w:hideMark/>
          </w:tcPr>
          <w:p w14:paraId="2E4471FE"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Ostali rashodi za zaposlene                                                                         </w:t>
            </w:r>
          </w:p>
        </w:tc>
        <w:tc>
          <w:tcPr>
            <w:tcW w:w="1480" w:type="dxa"/>
            <w:tcBorders>
              <w:top w:val="nil"/>
              <w:left w:val="nil"/>
              <w:bottom w:val="nil"/>
              <w:right w:val="nil"/>
            </w:tcBorders>
            <w:shd w:val="clear" w:color="auto" w:fill="auto"/>
            <w:noWrap/>
            <w:vAlign w:val="bottom"/>
            <w:hideMark/>
          </w:tcPr>
          <w:p w14:paraId="12D5ED3A"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3FA7647"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100,00</w:t>
            </w:r>
          </w:p>
        </w:tc>
        <w:tc>
          <w:tcPr>
            <w:tcW w:w="1400" w:type="dxa"/>
            <w:tcBorders>
              <w:top w:val="nil"/>
              <w:left w:val="nil"/>
              <w:bottom w:val="nil"/>
              <w:right w:val="nil"/>
            </w:tcBorders>
            <w:shd w:val="clear" w:color="auto" w:fill="auto"/>
            <w:noWrap/>
            <w:vAlign w:val="bottom"/>
            <w:hideMark/>
          </w:tcPr>
          <w:p w14:paraId="2A986214"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54130F9" w14:textId="77777777" w:rsidTr="00A360DB">
        <w:trPr>
          <w:trHeight w:val="240"/>
        </w:trPr>
        <w:tc>
          <w:tcPr>
            <w:tcW w:w="1697" w:type="dxa"/>
            <w:tcBorders>
              <w:top w:val="nil"/>
              <w:left w:val="nil"/>
              <w:bottom w:val="nil"/>
              <w:right w:val="nil"/>
            </w:tcBorders>
            <w:shd w:val="clear" w:color="auto" w:fill="auto"/>
            <w:noWrap/>
            <w:vAlign w:val="bottom"/>
            <w:hideMark/>
          </w:tcPr>
          <w:p w14:paraId="56A0ABA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3132</w:t>
            </w:r>
          </w:p>
        </w:tc>
        <w:tc>
          <w:tcPr>
            <w:tcW w:w="8509" w:type="dxa"/>
            <w:tcBorders>
              <w:top w:val="nil"/>
              <w:left w:val="nil"/>
              <w:bottom w:val="nil"/>
              <w:right w:val="nil"/>
            </w:tcBorders>
            <w:shd w:val="clear" w:color="auto" w:fill="auto"/>
            <w:noWrap/>
            <w:vAlign w:val="bottom"/>
            <w:hideMark/>
          </w:tcPr>
          <w:p w14:paraId="6CE6873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Doprinosi za obvezno zdravstveno osiguranje                                                         </w:t>
            </w:r>
          </w:p>
        </w:tc>
        <w:tc>
          <w:tcPr>
            <w:tcW w:w="1480" w:type="dxa"/>
            <w:tcBorders>
              <w:top w:val="nil"/>
              <w:left w:val="nil"/>
              <w:bottom w:val="nil"/>
              <w:right w:val="nil"/>
            </w:tcBorders>
            <w:shd w:val="clear" w:color="auto" w:fill="auto"/>
            <w:noWrap/>
            <w:vAlign w:val="bottom"/>
            <w:hideMark/>
          </w:tcPr>
          <w:p w14:paraId="62DDA5B0"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C2A3C02"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383,84</w:t>
            </w:r>
          </w:p>
        </w:tc>
        <w:tc>
          <w:tcPr>
            <w:tcW w:w="1400" w:type="dxa"/>
            <w:tcBorders>
              <w:top w:val="nil"/>
              <w:left w:val="nil"/>
              <w:bottom w:val="nil"/>
              <w:right w:val="nil"/>
            </w:tcBorders>
            <w:shd w:val="clear" w:color="auto" w:fill="auto"/>
            <w:noWrap/>
            <w:vAlign w:val="bottom"/>
            <w:hideMark/>
          </w:tcPr>
          <w:p w14:paraId="2B4D0839"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7995947" w14:textId="77777777" w:rsidTr="00A360DB">
        <w:trPr>
          <w:trHeight w:val="240"/>
        </w:trPr>
        <w:tc>
          <w:tcPr>
            <w:tcW w:w="1697" w:type="dxa"/>
            <w:tcBorders>
              <w:top w:val="nil"/>
              <w:left w:val="nil"/>
              <w:bottom w:val="nil"/>
              <w:right w:val="nil"/>
            </w:tcBorders>
            <w:shd w:val="clear" w:color="auto" w:fill="auto"/>
            <w:noWrap/>
            <w:vAlign w:val="bottom"/>
            <w:hideMark/>
          </w:tcPr>
          <w:p w14:paraId="7100981F"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3ED8CB08"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1DF1CFC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c>
          <w:tcPr>
            <w:tcW w:w="1380" w:type="dxa"/>
            <w:tcBorders>
              <w:top w:val="nil"/>
              <w:left w:val="nil"/>
              <w:bottom w:val="nil"/>
              <w:right w:val="nil"/>
            </w:tcBorders>
            <w:shd w:val="clear" w:color="auto" w:fill="auto"/>
            <w:noWrap/>
            <w:vAlign w:val="bottom"/>
            <w:hideMark/>
          </w:tcPr>
          <w:p w14:paraId="60BD691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102,20</w:t>
            </w:r>
          </w:p>
        </w:tc>
        <w:tc>
          <w:tcPr>
            <w:tcW w:w="1400" w:type="dxa"/>
            <w:tcBorders>
              <w:top w:val="nil"/>
              <w:left w:val="nil"/>
              <w:bottom w:val="nil"/>
              <w:right w:val="nil"/>
            </w:tcBorders>
            <w:shd w:val="clear" w:color="auto" w:fill="auto"/>
            <w:noWrap/>
            <w:vAlign w:val="bottom"/>
            <w:hideMark/>
          </w:tcPr>
          <w:p w14:paraId="5D74DEE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102,20%</w:t>
            </w:r>
          </w:p>
        </w:tc>
      </w:tr>
      <w:tr w:rsidR="00A360DB" w:rsidRPr="00A360DB" w14:paraId="6E0FA3E1" w14:textId="77777777" w:rsidTr="00A360DB">
        <w:trPr>
          <w:trHeight w:val="240"/>
        </w:trPr>
        <w:tc>
          <w:tcPr>
            <w:tcW w:w="1697" w:type="dxa"/>
            <w:tcBorders>
              <w:top w:val="nil"/>
              <w:left w:val="nil"/>
              <w:bottom w:val="nil"/>
              <w:right w:val="nil"/>
            </w:tcBorders>
            <w:shd w:val="clear" w:color="auto" w:fill="auto"/>
            <w:noWrap/>
            <w:vAlign w:val="bottom"/>
            <w:hideMark/>
          </w:tcPr>
          <w:p w14:paraId="0102EC9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3212</w:t>
            </w:r>
          </w:p>
        </w:tc>
        <w:tc>
          <w:tcPr>
            <w:tcW w:w="8509" w:type="dxa"/>
            <w:tcBorders>
              <w:top w:val="nil"/>
              <w:left w:val="nil"/>
              <w:bottom w:val="nil"/>
              <w:right w:val="nil"/>
            </w:tcBorders>
            <w:shd w:val="clear" w:color="auto" w:fill="auto"/>
            <w:noWrap/>
            <w:vAlign w:val="bottom"/>
            <w:hideMark/>
          </w:tcPr>
          <w:p w14:paraId="6839F5C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Naknade za prijevoz, za rad na terenu i odvojeni život                                              </w:t>
            </w:r>
          </w:p>
        </w:tc>
        <w:tc>
          <w:tcPr>
            <w:tcW w:w="1480" w:type="dxa"/>
            <w:tcBorders>
              <w:top w:val="nil"/>
              <w:left w:val="nil"/>
              <w:bottom w:val="nil"/>
              <w:right w:val="nil"/>
            </w:tcBorders>
            <w:shd w:val="clear" w:color="auto" w:fill="auto"/>
            <w:noWrap/>
            <w:vAlign w:val="bottom"/>
            <w:hideMark/>
          </w:tcPr>
          <w:p w14:paraId="1296A63E"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8745A63"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102,20</w:t>
            </w:r>
          </w:p>
        </w:tc>
        <w:tc>
          <w:tcPr>
            <w:tcW w:w="1400" w:type="dxa"/>
            <w:tcBorders>
              <w:top w:val="nil"/>
              <w:left w:val="nil"/>
              <w:bottom w:val="nil"/>
              <w:right w:val="nil"/>
            </w:tcBorders>
            <w:shd w:val="clear" w:color="auto" w:fill="auto"/>
            <w:noWrap/>
            <w:vAlign w:val="bottom"/>
            <w:hideMark/>
          </w:tcPr>
          <w:p w14:paraId="62BC54D7"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D8A9D56" w14:textId="77777777" w:rsidTr="00A360DB">
        <w:trPr>
          <w:trHeight w:val="240"/>
        </w:trPr>
        <w:tc>
          <w:tcPr>
            <w:tcW w:w="1697" w:type="dxa"/>
            <w:tcBorders>
              <w:top w:val="nil"/>
              <w:left w:val="nil"/>
              <w:bottom w:val="nil"/>
              <w:right w:val="nil"/>
            </w:tcBorders>
            <w:shd w:val="clear" w:color="000000" w:fill="B4C6E7"/>
            <w:noWrap/>
            <w:vAlign w:val="bottom"/>
            <w:hideMark/>
          </w:tcPr>
          <w:p w14:paraId="690EDE87"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T102010</w:t>
            </w:r>
          </w:p>
        </w:tc>
        <w:tc>
          <w:tcPr>
            <w:tcW w:w="8509" w:type="dxa"/>
            <w:tcBorders>
              <w:top w:val="nil"/>
              <w:left w:val="nil"/>
              <w:bottom w:val="nil"/>
              <w:right w:val="nil"/>
            </w:tcBorders>
            <w:shd w:val="clear" w:color="000000" w:fill="B4C6E7"/>
            <w:noWrap/>
            <w:vAlign w:val="bottom"/>
            <w:hideMark/>
          </w:tcPr>
          <w:p w14:paraId="7A7BE18B"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Tekući projekt: "Pomoćnici u nastavi - faza VII"</w:t>
            </w:r>
          </w:p>
        </w:tc>
        <w:tc>
          <w:tcPr>
            <w:tcW w:w="1480" w:type="dxa"/>
            <w:tcBorders>
              <w:top w:val="nil"/>
              <w:left w:val="nil"/>
              <w:bottom w:val="nil"/>
              <w:right w:val="nil"/>
            </w:tcBorders>
            <w:shd w:val="clear" w:color="000000" w:fill="B4C6E7"/>
            <w:noWrap/>
            <w:vAlign w:val="bottom"/>
            <w:hideMark/>
          </w:tcPr>
          <w:p w14:paraId="7D887F0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13.464,00</w:t>
            </w:r>
          </w:p>
        </w:tc>
        <w:tc>
          <w:tcPr>
            <w:tcW w:w="1380" w:type="dxa"/>
            <w:tcBorders>
              <w:top w:val="nil"/>
              <w:left w:val="nil"/>
              <w:bottom w:val="nil"/>
              <w:right w:val="nil"/>
            </w:tcBorders>
            <w:shd w:val="clear" w:color="000000" w:fill="B4C6E7"/>
            <w:noWrap/>
            <w:vAlign w:val="bottom"/>
            <w:hideMark/>
          </w:tcPr>
          <w:p w14:paraId="787E920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13.183,34</w:t>
            </w:r>
          </w:p>
        </w:tc>
        <w:tc>
          <w:tcPr>
            <w:tcW w:w="1400" w:type="dxa"/>
            <w:tcBorders>
              <w:top w:val="nil"/>
              <w:left w:val="nil"/>
              <w:bottom w:val="nil"/>
              <w:right w:val="nil"/>
            </w:tcBorders>
            <w:shd w:val="clear" w:color="000000" w:fill="B4C6E7"/>
            <w:noWrap/>
            <w:vAlign w:val="bottom"/>
            <w:hideMark/>
          </w:tcPr>
          <w:p w14:paraId="2AB5DA7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97,92%</w:t>
            </w:r>
          </w:p>
        </w:tc>
      </w:tr>
      <w:tr w:rsidR="00A360DB" w:rsidRPr="00A360DB" w14:paraId="17574740"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9C2B61F"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6DD1A0D8"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6.813,00</w:t>
            </w:r>
          </w:p>
        </w:tc>
        <w:tc>
          <w:tcPr>
            <w:tcW w:w="1380" w:type="dxa"/>
            <w:tcBorders>
              <w:top w:val="nil"/>
              <w:left w:val="nil"/>
              <w:bottom w:val="nil"/>
              <w:right w:val="nil"/>
            </w:tcBorders>
            <w:shd w:val="clear" w:color="auto" w:fill="auto"/>
            <w:noWrap/>
            <w:vAlign w:val="bottom"/>
            <w:hideMark/>
          </w:tcPr>
          <w:p w14:paraId="1E1479A7"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6.676,26</w:t>
            </w:r>
          </w:p>
        </w:tc>
        <w:tc>
          <w:tcPr>
            <w:tcW w:w="1400" w:type="dxa"/>
            <w:tcBorders>
              <w:top w:val="nil"/>
              <w:left w:val="nil"/>
              <w:bottom w:val="nil"/>
              <w:right w:val="nil"/>
            </w:tcBorders>
            <w:shd w:val="clear" w:color="auto" w:fill="auto"/>
            <w:noWrap/>
            <w:vAlign w:val="bottom"/>
            <w:hideMark/>
          </w:tcPr>
          <w:p w14:paraId="128BC6D3"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97,99%</w:t>
            </w:r>
          </w:p>
        </w:tc>
      </w:tr>
      <w:tr w:rsidR="00A360DB" w:rsidRPr="00A360DB" w14:paraId="619E4389"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A551761"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7D6E8F6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6.813,00</w:t>
            </w:r>
          </w:p>
        </w:tc>
        <w:tc>
          <w:tcPr>
            <w:tcW w:w="1380" w:type="dxa"/>
            <w:tcBorders>
              <w:top w:val="nil"/>
              <w:left w:val="nil"/>
              <w:bottom w:val="nil"/>
              <w:right w:val="nil"/>
            </w:tcBorders>
            <w:shd w:val="clear" w:color="auto" w:fill="auto"/>
            <w:noWrap/>
            <w:vAlign w:val="bottom"/>
            <w:hideMark/>
          </w:tcPr>
          <w:p w14:paraId="15800783"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6.676,26</w:t>
            </w:r>
          </w:p>
        </w:tc>
        <w:tc>
          <w:tcPr>
            <w:tcW w:w="1400" w:type="dxa"/>
            <w:tcBorders>
              <w:top w:val="nil"/>
              <w:left w:val="nil"/>
              <w:bottom w:val="nil"/>
              <w:right w:val="nil"/>
            </w:tcBorders>
            <w:shd w:val="clear" w:color="auto" w:fill="auto"/>
            <w:noWrap/>
            <w:vAlign w:val="bottom"/>
            <w:hideMark/>
          </w:tcPr>
          <w:p w14:paraId="6BACDCC4"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97,99%</w:t>
            </w:r>
          </w:p>
        </w:tc>
      </w:tr>
      <w:tr w:rsidR="00A360DB" w:rsidRPr="00A360DB" w14:paraId="73DE9AFE" w14:textId="77777777" w:rsidTr="00A360DB">
        <w:trPr>
          <w:trHeight w:val="240"/>
        </w:trPr>
        <w:tc>
          <w:tcPr>
            <w:tcW w:w="1697" w:type="dxa"/>
            <w:tcBorders>
              <w:top w:val="nil"/>
              <w:left w:val="nil"/>
              <w:bottom w:val="nil"/>
              <w:right w:val="nil"/>
            </w:tcBorders>
            <w:shd w:val="clear" w:color="auto" w:fill="auto"/>
            <w:noWrap/>
            <w:vAlign w:val="bottom"/>
            <w:hideMark/>
          </w:tcPr>
          <w:p w14:paraId="0F91D42F"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31</w:t>
            </w:r>
          </w:p>
        </w:tc>
        <w:tc>
          <w:tcPr>
            <w:tcW w:w="8509" w:type="dxa"/>
            <w:tcBorders>
              <w:top w:val="nil"/>
              <w:left w:val="nil"/>
              <w:bottom w:val="nil"/>
              <w:right w:val="nil"/>
            </w:tcBorders>
            <w:shd w:val="clear" w:color="auto" w:fill="auto"/>
            <w:noWrap/>
            <w:vAlign w:val="bottom"/>
            <w:hideMark/>
          </w:tcPr>
          <w:p w14:paraId="6885DAC0"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zaposlene                                                                                </w:t>
            </w:r>
          </w:p>
        </w:tc>
        <w:tc>
          <w:tcPr>
            <w:tcW w:w="1480" w:type="dxa"/>
            <w:tcBorders>
              <w:top w:val="nil"/>
              <w:left w:val="nil"/>
              <w:bottom w:val="nil"/>
              <w:right w:val="nil"/>
            </w:tcBorders>
            <w:shd w:val="clear" w:color="auto" w:fill="auto"/>
            <w:noWrap/>
            <w:vAlign w:val="bottom"/>
            <w:hideMark/>
          </w:tcPr>
          <w:p w14:paraId="7225E31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6.455,00</w:t>
            </w:r>
          </w:p>
        </w:tc>
        <w:tc>
          <w:tcPr>
            <w:tcW w:w="1380" w:type="dxa"/>
            <w:tcBorders>
              <w:top w:val="nil"/>
              <w:left w:val="nil"/>
              <w:bottom w:val="nil"/>
              <w:right w:val="nil"/>
            </w:tcBorders>
            <w:shd w:val="clear" w:color="auto" w:fill="auto"/>
            <w:noWrap/>
            <w:vAlign w:val="bottom"/>
            <w:hideMark/>
          </w:tcPr>
          <w:p w14:paraId="3287014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6.380,65</w:t>
            </w:r>
          </w:p>
        </w:tc>
        <w:tc>
          <w:tcPr>
            <w:tcW w:w="1400" w:type="dxa"/>
            <w:tcBorders>
              <w:top w:val="nil"/>
              <w:left w:val="nil"/>
              <w:bottom w:val="nil"/>
              <w:right w:val="nil"/>
            </w:tcBorders>
            <w:shd w:val="clear" w:color="auto" w:fill="auto"/>
            <w:noWrap/>
            <w:vAlign w:val="bottom"/>
            <w:hideMark/>
          </w:tcPr>
          <w:p w14:paraId="004861D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98,85%</w:t>
            </w:r>
          </w:p>
        </w:tc>
      </w:tr>
      <w:tr w:rsidR="00A360DB" w:rsidRPr="00A360DB" w14:paraId="76EF98DE" w14:textId="77777777" w:rsidTr="00A360DB">
        <w:trPr>
          <w:trHeight w:val="240"/>
        </w:trPr>
        <w:tc>
          <w:tcPr>
            <w:tcW w:w="1697" w:type="dxa"/>
            <w:tcBorders>
              <w:top w:val="nil"/>
              <w:left w:val="nil"/>
              <w:bottom w:val="nil"/>
              <w:right w:val="nil"/>
            </w:tcBorders>
            <w:shd w:val="clear" w:color="auto" w:fill="auto"/>
            <w:noWrap/>
            <w:vAlign w:val="bottom"/>
            <w:hideMark/>
          </w:tcPr>
          <w:p w14:paraId="3DED085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3111</w:t>
            </w:r>
          </w:p>
        </w:tc>
        <w:tc>
          <w:tcPr>
            <w:tcW w:w="8509" w:type="dxa"/>
            <w:tcBorders>
              <w:top w:val="nil"/>
              <w:left w:val="nil"/>
              <w:bottom w:val="nil"/>
              <w:right w:val="nil"/>
            </w:tcBorders>
            <w:shd w:val="clear" w:color="auto" w:fill="auto"/>
            <w:noWrap/>
            <w:vAlign w:val="bottom"/>
            <w:hideMark/>
          </w:tcPr>
          <w:p w14:paraId="4965185E"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Plaće za redovan rad                                                                                </w:t>
            </w:r>
          </w:p>
        </w:tc>
        <w:tc>
          <w:tcPr>
            <w:tcW w:w="1480" w:type="dxa"/>
            <w:tcBorders>
              <w:top w:val="nil"/>
              <w:left w:val="nil"/>
              <w:bottom w:val="nil"/>
              <w:right w:val="nil"/>
            </w:tcBorders>
            <w:shd w:val="clear" w:color="auto" w:fill="auto"/>
            <w:noWrap/>
            <w:vAlign w:val="bottom"/>
            <w:hideMark/>
          </w:tcPr>
          <w:p w14:paraId="46649B2D"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1CA1DCB3"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4.694,48</w:t>
            </w:r>
          </w:p>
        </w:tc>
        <w:tc>
          <w:tcPr>
            <w:tcW w:w="1400" w:type="dxa"/>
            <w:tcBorders>
              <w:top w:val="nil"/>
              <w:left w:val="nil"/>
              <w:bottom w:val="nil"/>
              <w:right w:val="nil"/>
            </w:tcBorders>
            <w:shd w:val="clear" w:color="auto" w:fill="auto"/>
            <w:noWrap/>
            <w:vAlign w:val="bottom"/>
            <w:hideMark/>
          </w:tcPr>
          <w:p w14:paraId="089C8038"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B427636" w14:textId="77777777" w:rsidTr="00A360DB">
        <w:trPr>
          <w:trHeight w:val="240"/>
        </w:trPr>
        <w:tc>
          <w:tcPr>
            <w:tcW w:w="1697" w:type="dxa"/>
            <w:tcBorders>
              <w:top w:val="nil"/>
              <w:left w:val="nil"/>
              <w:bottom w:val="nil"/>
              <w:right w:val="nil"/>
            </w:tcBorders>
            <w:shd w:val="clear" w:color="auto" w:fill="auto"/>
            <w:noWrap/>
            <w:vAlign w:val="bottom"/>
            <w:hideMark/>
          </w:tcPr>
          <w:p w14:paraId="60C8632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3121</w:t>
            </w:r>
          </w:p>
        </w:tc>
        <w:tc>
          <w:tcPr>
            <w:tcW w:w="8509" w:type="dxa"/>
            <w:tcBorders>
              <w:top w:val="nil"/>
              <w:left w:val="nil"/>
              <w:bottom w:val="nil"/>
              <w:right w:val="nil"/>
            </w:tcBorders>
            <w:shd w:val="clear" w:color="auto" w:fill="auto"/>
            <w:noWrap/>
            <w:vAlign w:val="bottom"/>
            <w:hideMark/>
          </w:tcPr>
          <w:p w14:paraId="0290953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Ostali rashodi za zaposlene                                                                         </w:t>
            </w:r>
          </w:p>
        </w:tc>
        <w:tc>
          <w:tcPr>
            <w:tcW w:w="1480" w:type="dxa"/>
            <w:tcBorders>
              <w:top w:val="nil"/>
              <w:left w:val="nil"/>
              <w:bottom w:val="nil"/>
              <w:right w:val="nil"/>
            </w:tcBorders>
            <w:shd w:val="clear" w:color="auto" w:fill="auto"/>
            <w:noWrap/>
            <w:vAlign w:val="bottom"/>
            <w:hideMark/>
          </w:tcPr>
          <w:p w14:paraId="7FB9A589"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10108651"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911,55</w:t>
            </w:r>
          </w:p>
        </w:tc>
        <w:tc>
          <w:tcPr>
            <w:tcW w:w="1400" w:type="dxa"/>
            <w:tcBorders>
              <w:top w:val="nil"/>
              <w:left w:val="nil"/>
              <w:bottom w:val="nil"/>
              <w:right w:val="nil"/>
            </w:tcBorders>
            <w:shd w:val="clear" w:color="auto" w:fill="auto"/>
            <w:noWrap/>
            <w:vAlign w:val="bottom"/>
            <w:hideMark/>
          </w:tcPr>
          <w:p w14:paraId="64FD7A1C"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225B4001" w14:textId="77777777" w:rsidTr="00A360DB">
        <w:trPr>
          <w:trHeight w:val="240"/>
        </w:trPr>
        <w:tc>
          <w:tcPr>
            <w:tcW w:w="1697" w:type="dxa"/>
            <w:tcBorders>
              <w:top w:val="nil"/>
              <w:left w:val="nil"/>
              <w:bottom w:val="nil"/>
              <w:right w:val="nil"/>
            </w:tcBorders>
            <w:shd w:val="clear" w:color="auto" w:fill="auto"/>
            <w:noWrap/>
            <w:vAlign w:val="bottom"/>
            <w:hideMark/>
          </w:tcPr>
          <w:p w14:paraId="6FBDE0FD"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3132</w:t>
            </w:r>
          </w:p>
        </w:tc>
        <w:tc>
          <w:tcPr>
            <w:tcW w:w="8509" w:type="dxa"/>
            <w:tcBorders>
              <w:top w:val="nil"/>
              <w:left w:val="nil"/>
              <w:bottom w:val="nil"/>
              <w:right w:val="nil"/>
            </w:tcBorders>
            <w:shd w:val="clear" w:color="auto" w:fill="auto"/>
            <w:noWrap/>
            <w:vAlign w:val="bottom"/>
            <w:hideMark/>
          </w:tcPr>
          <w:p w14:paraId="626D2EFD"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Doprinosi za obvezno zdravstveno osiguranje                                                         </w:t>
            </w:r>
          </w:p>
        </w:tc>
        <w:tc>
          <w:tcPr>
            <w:tcW w:w="1480" w:type="dxa"/>
            <w:tcBorders>
              <w:top w:val="nil"/>
              <w:left w:val="nil"/>
              <w:bottom w:val="nil"/>
              <w:right w:val="nil"/>
            </w:tcBorders>
            <w:shd w:val="clear" w:color="auto" w:fill="auto"/>
            <w:noWrap/>
            <w:vAlign w:val="bottom"/>
            <w:hideMark/>
          </w:tcPr>
          <w:p w14:paraId="11B07B1A"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A6F4A18"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774,62</w:t>
            </w:r>
          </w:p>
        </w:tc>
        <w:tc>
          <w:tcPr>
            <w:tcW w:w="1400" w:type="dxa"/>
            <w:tcBorders>
              <w:top w:val="nil"/>
              <w:left w:val="nil"/>
              <w:bottom w:val="nil"/>
              <w:right w:val="nil"/>
            </w:tcBorders>
            <w:shd w:val="clear" w:color="auto" w:fill="auto"/>
            <w:noWrap/>
            <w:vAlign w:val="bottom"/>
            <w:hideMark/>
          </w:tcPr>
          <w:p w14:paraId="5A7A56A8"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588E91DF" w14:textId="77777777" w:rsidTr="00A360DB">
        <w:trPr>
          <w:trHeight w:val="240"/>
        </w:trPr>
        <w:tc>
          <w:tcPr>
            <w:tcW w:w="1697" w:type="dxa"/>
            <w:tcBorders>
              <w:top w:val="nil"/>
              <w:left w:val="nil"/>
              <w:bottom w:val="nil"/>
              <w:right w:val="nil"/>
            </w:tcBorders>
            <w:shd w:val="clear" w:color="auto" w:fill="auto"/>
            <w:noWrap/>
            <w:vAlign w:val="bottom"/>
            <w:hideMark/>
          </w:tcPr>
          <w:p w14:paraId="21B31918"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6ED66011"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31306EC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358,00</w:t>
            </w:r>
          </w:p>
        </w:tc>
        <w:tc>
          <w:tcPr>
            <w:tcW w:w="1380" w:type="dxa"/>
            <w:tcBorders>
              <w:top w:val="nil"/>
              <w:left w:val="nil"/>
              <w:bottom w:val="nil"/>
              <w:right w:val="nil"/>
            </w:tcBorders>
            <w:shd w:val="clear" w:color="auto" w:fill="auto"/>
            <w:noWrap/>
            <w:vAlign w:val="bottom"/>
            <w:hideMark/>
          </w:tcPr>
          <w:p w14:paraId="2A1692D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295,61</w:t>
            </w:r>
          </w:p>
        </w:tc>
        <w:tc>
          <w:tcPr>
            <w:tcW w:w="1400" w:type="dxa"/>
            <w:tcBorders>
              <w:top w:val="nil"/>
              <w:left w:val="nil"/>
              <w:bottom w:val="nil"/>
              <w:right w:val="nil"/>
            </w:tcBorders>
            <w:shd w:val="clear" w:color="auto" w:fill="auto"/>
            <w:noWrap/>
            <w:vAlign w:val="bottom"/>
            <w:hideMark/>
          </w:tcPr>
          <w:p w14:paraId="3F0C5E6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82,57%</w:t>
            </w:r>
          </w:p>
        </w:tc>
      </w:tr>
      <w:tr w:rsidR="00A360DB" w:rsidRPr="00A360DB" w14:paraId="142A9D55" w14:textId="77777777" w:rsidTr="00A360DB">
        <w:trPr>
          <w:trHeight w:val="240"/>
        </w:trPr>
        <w:tc>
          <w:tcPr>
            <w:tcW w:w="1697" w:type="dxa"/>
            <w:tcBorders>
              <w:top w:val="nil"/>
              <w:left w:val="nil"/>
              <w:bottom w:val="nil"/>
              <w:right w:val="nil"/>
            </w:tcBorders>
            <w:shd w:val="clear" w:color="auto" w:fill="auto"/>
            <w:noWrap/>
            <w:vAlign w:val="bottom"/>
            <w:hideMark/>
          </w:tcPr>
          <w:p w14:paraId="707F0CE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3212</w:t>
            </w:r>
          </w:p>
        </w:tc>
        <w:tc>
          <w:tcPr>
            <w:tcW w:w="8509" w:type="dxa"/>
            <w:tcBorders>
              <w:top w:val="nil"/>
              <w:left w:val="nil"/>
              <w:bottom w:val="nil"/>
              <w:right w:val="nil"/>
            </w:tcBorders>
            <w:shd w:val="clear" w:color="auto" w:fill="auto"/>
            <w:noWrap/>
            <w:vAlign w:val="bottom"/>
            <w:hideMark/>
          </w:tcPr>
          <w:p w14:paraId="551EBB2E"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Naknade za prijevoz, za rad na terenu i odvojeni život                                              </w:t>
            </w:r>
          </w:p>
        </w:tc>
        <w:tc>
          <w:tcPr>
            <w:tcW w:w="1480" w:type="dxa"/>
            <w:tcBorders>
              <w:top w:val="nil"/>
              <w:left w:val="nil"/>
              <w:bottom w:val="nil"/>
              <w:right w:val="nil"/>
            </w:tcBorders>
            <w:shd w:val="clear" w:color="auto" w:fill="auto"/>
            <w:noWrap/>
            <w:vAlign w:val="bottom"/>
            <w:hideMark/>
          </w:tcPr>
          <w:p w14:paraId="16FFB5A5"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AE83DED"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295,61</w:t>
            </w:r>
          </w:p>
        </w:tc>
        <w:tc>
          <w:tcPr>
            <w:tcW w:w="1400" w:type="dxa"/>
            <w:tcBorders>
              <w:top w:val="nil"/>
              <w:left w:val="nil"/>
              <w:bottom w:val="nil"/>
              <w:right w:val="nil"/>
            </w:tcBorders>
            <w:shd w:val="clear" w:color="auto" w:fill="auto"/>
            <w:noWrap/>
            <w:vAlign w:val="bottom"/>
            <w:hideMark/>
          </w:tcPr>
          <w:p w14:paraId="6A9C95C5"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7E2172D"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1E27589"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5. Pomoći</w:t>
            </w:r>
          </w:p>
        </w:tc>
        <w:tc>
          <w:tcPr>
            <w:tcW w:w="1480" w:type="dxa"/>
            <w:tcBorders>
              <w:top w:val="nil"/>
              <w:left w:val="nil"/>
              <w:bottom w:val="nil"/>
              <w:right w:val="nil"/>
            </w:tcBorders>
            <w:shd w:val="clear" w:color="auto" w:fill="auto"/>
            <w:noWrap/>
            <w:vAlign w:val="bottom"/>
            <w:hideMark/>
          </w:tcPr>
          <w:p w14:paraId="27C3D05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6.651,00</w:t>
            </w:r>
          </w:p>
        </w:tc>
        <w:tc>
          <w:tcPr>
            <w:tcW w:w="1380" w:type="dxa"/>
            <w:tcBorders>
              <w:top w:val="nil"/>
              <w:left w:val="nil"/>
              <w:bottom w:val="nil"/>
              <w:right w:val="nil"/>
            </w:tcBorders>
            <w:shd w:val="clear" w:color="auto" w:fill="auto"/>
            <w:noWrap/>
            <w:vAlign w:val="bottom"/>
            <w:hideMark/>
          </w:tcPr>
          <w:p w14:paraId="1E1BEBE7"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6.507,08</w:t>
            </w:r>
          </w:p>
        </w:tc>
        <w:tc>
          <w:tcPr>
            <w:tcW w:w="1400" w:type="dxa"/>
            <w:tcBorders>
              <w:top w:val="nil"/>
              <w:left w:val="nil"/>
              <w:bottom w:val="nil"/>
              <w:right w:val="nil"/>
            </w:tcBorders>
            <w:shd w:val="clear" w:color="auto" w:fill="auto"/>
            <w:noWrap/>
            <w:vAlign w:val="bottom"/>
            <w:hideMark/>
          </w:tcPr>
          <w:p w14:paraId="3035B80A"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97,84%</w:t>
            </w:r>
          </w:p>
        </w:tc>
      </w:tr>
      <w:tr w:rsidR="00A360DB" w:rsidRPr="00A360DB" w14:paraId="2B20E1DD"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579FCE05"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5.2. Državni proračun</w:t>
            </w:r>
          </w:p>
        </w:tc>
        <w:tc>
          <w:tcPr>
            <w:tcW w:w="1480" w:type="dxa"/>
            <w:tcBorders>
              <w:top w:val="nil"/>
              <w:left w:val="nil"/>
              <w:bottom w:val="nil"/>
              <w:right w:val="nil"/>
            </w:tcBorders>
            <w:shd w:val="clear" w:color="auto" w:fill="auto"/>
            <w:noWrap/>
            <w:vAlign w:val="bottom"/>
            <w:hideMark/>
          </w:tcPr>
          <w:p w14:paraId="28AF8A42"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1.000,00</w:t>
            </w:r>
          </w:p>
        </w:tc>
        <w:tc>
          <w:tcPr>
            <w:tcW w:w="1380" w:type="dxa"/>
            <w:tcBorders>
              <w:top w:val="nil"/>
              <w:left w:val="nil"/>
              <w:bottom w:val="nil"/>
              <w:right w:val="nil"/>
            </w:tcBorders>
            <w:shd w:val="clear" w:color="auto" w:fill="auto"/>
            <w:noWrap/>
            <w:vAlign w:val="bottom"/>
            <w:hideMark/>
          </w:tcPr>
          <w:p w14:paraId="7157C3CA"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976,06</w:t>
            </w:r>
          </w:p>
        </w:tc>
        <w:tc>
          <w:tcPr>
            <w:tcW w:w="1400" w:type="dxa"/>
            <w:tcBorders>
              <w:top w:val="nil"/>
              <w:left w:val="nil"/>
              <w:bottom w:val="nil"/>
              <w:right w:val="nil"/>
            </w:tcBorders>
            <w:shd w:val="clear" w:color="auto" w:fill="auto"/>
            <w:noWrap/>
            <w:vAlign w:val="bottom"/>
            <w:hideMark/>
          </w:tcPr>
          <w:p w14:paraId="4EFF16F7"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97,61%</w:t>
            </w:r>
          </w:p>
        </w:tc>
      </w:tr>
      <w:tr w:rsidR="00A360DB" w:rsidRPr="00A360DB" w14:paraId="6218267A" w14:textId="77777777" w:rsidTr="00A360DB">
        <w:trPr>
          <w:trHeight w:val="240"/>
        </w:trPr>
        <w:tc>
          <w:tcPr>
            <w:tcW w:w="1697" w:type="dxa"/>
            <w:tcBorders>
              <w:top w:val="nil"/>
              <w:left w:val="nil"/>
              <w:bottom w:val="nil"/>
              <w:right w:val="nil"/>
            </w:tcBorders>
            <w:shd w:val="clear" w:color="auto" w:fill="auto"/>
            <w:noWrap/>
            <w:vAlign w:val="bottom"/>
            <w:hideMark/>
          </w:tcPr>
          <w:p w14:paraId="2785B6D9"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31</w:t>
            </w:r>
          </w:p>
        </w:tc>
        <w:tc>
          <w:tcPr>
            <w:tcW w:w="8509" w:type="dxa"/>
            <w:tcBorders>
              <w:top w:val="nil"/>
              <w:left w:val="nil"/>
              <w:bottom w:val="nil"/>
              <w:right w:val="nil"/>
            </w:tcBorders>
            <w:shd w:val="clear" w:color="auto" w:fill="auto"/>
            <w:noWrap/>
            <w:vAlign w:val="bottom"/>
            <w:hideMark/>
          </w:tcPr>
          <w:p w14:paraId="4FC47B52"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zaposlene                                                                                </w:t>
            </w:r>
          </w:p>
        </w:tc>
        <w:tc>
          <w:tcPr>
            <w:tcW w:w="1480" w:type="dxa"/>
            <w:tcBorders>
              <w:top w:val="nil"/>
              <w:left w:val="nil"/>
              <w:bottom w:val="nil"/>
              <w:right w:val="nil"/>
            </w:tcBorders>
            <w:shd w:val="clear" w:color="auto" w:fill="auto"/>
            <w:noWrap/>
            <w:vAlign w:val="bottom"/>
            <w:hideMark/>
          </w:tcPr>
          <w:p w14:paraId="3FBBE67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947,00</w:t>
            </w:r>
          </w:p>
        </w:tc>
        <w:tc>
          <w:tcPr>
            <w:tcW w:w="1380" w:type="dxa"/>
            <w:tcBorders>
              <w:top w:val="nil"/>
              <w:left w:val="nil"/>
              <w:bottom w:val="nil"/>
              <w:right w:val="nil"/>
            </w:tcBorders>
            <w:shd w:val="clear" w:color="auto" w:fill="auto"/>
            <w:noWrap/>
            <w:vAlign w:val="bottom"/>
            <w:hideMark/>
          </w:tcPr>
          <w:p w14:paraId="2685F9E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932,84</w:t>
            </w:r>
          </w:p>
        </w:tc>
        <w:tc>
          <w:tcPr>
            <w:tcW w:w="1400" w:type="dxa"/>
            <w:tcBorders>
              <w:top w:val="nil"/>
              <w:left w:val="nil"/>
              <w:bottom w:val="nil"/>
              <w:right w:val="nil"/>
            </w:tcBorders>
            <w:shd w:val="clear" w:color="auto" w:fill="auto"/>
            <w:noWrap/>
            <w:vAlign w:val="bottom"/>
            <w:hideMark/>
          </w:tcPr>
          <w:p w14:paraId="7CD0674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98,50%</w:t>
            </w:r>
          </w:p>
        </w:tc>
      </w:tr>
      <w:tr w:rsidR="00A360DB" w:rsidRPr="00A360DB" w14:paraId="177BB22F" w14:textId="77777777" w:rsidTr="00A360DB">
        <w:trPr>
          <w:trHeight w:val="240"/>
        </w:trPr>
        <w:tc>
          <w:tcPr>
            <w:tcW w:w="1697" w:type="dxa"/>
            <w:tcBorders>
              <w:top w:val="nil"/>
              <w:left w:val="nil"/>
              <w:bottom w:val="nil"/>
              <w:right w:val="nil"/>
            </w:tcBorders>
            <w:shd w:val="clear" w:color="auto" w:fill="auto"/>
            <w:noWrap/>
            <w:vAlign w:val="bottom"/>
            <w:hideMark/>
          </w:tcPr>
          <w:p w14:paraId="5388FBF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3111</w:t>
            </w:r>
          </w:p>
        </w:tc>
        <w:tc>
          <w:tcPr>
            <w:tcW w:w="8509" w:type="dxa"/>
            <w:tcBorders>
              <w:top w:val="nil"/>
              <w:left w:val="nil"/>
              <w:bottom w:val="nil"/>
              <w:right w:val="nil"/>
            </w:tcBorders>
            <w:shd w:val="clear" w:color="auto" w:fill="auto"/>
            <w:noWrap/>
            <w:vAlign w:val="bottom"/>
            <w:hideMark/>
          </w:tcPr>
          <w:p w14:paraId="4938522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Plaće za redovan rad                                                                                </w:t>
            </w:r>
          </w:p>
        </w:tc>
        <w:tc>
          <w:tcPr>
            <w:tcW w:w="1480" w:type="dxa"/>
            <w:tcBorders>
              <w:top w:val="nil"/>
              <w:left w:val="nil"/>
              <w:bottom w:val="nil"/>
              <w:right w:val="nil"/>
            </w:tcBorders>
            <w:shd w:val="clear" w:color="auto" w:fill="auto"/>
            <w:noWrap/>
            <w:vAlign w:val="bottom"/>
            <w:hideMark/>
          </w:tcPr>
          <w:p w14:paraId="10B3BCCB"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5A5E7470"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686,33</w:t>
            </w:r>
          </w:p>
        </w:tc>
        <w:tc>
          <w:tcPr>
            <w:tcW w:w="1400" w:type="dxa"/>
            <w:tcBorders>
              <w:top w:val="nil"/>
              <w:left w:val="nil"/>
              <w:bottom w:val="nil"/>
              <w:right w:val="nil"/>
            </w:tcBorders>
            <w:shd w:val="clear" w:color="auto" w:fill="auto"/>
            <w:noWrap/>
            <w:vAlign w:val="bottom"/>
            <w:hideMark/>
          </w:tcPr>
          <w:p w14:paraId="74A5CB78"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536CD16" w14:textId="77777777" w:rsidTr="00A360DB">
        <w:trPr>
          <w:trHeight w:val="240"/>
        </w:trPr>
        <w:tc>
          <w:tcPr>
            <w:tcW w:w="1697" w:type="dxa"/>
            <w:tcBorders>
              <w:top w:val="nil"/>
              <w:left w:val="nil"/>
              <w:bottom w:val="nil"/>
              <w:right w:val="nil"/>
            </w:tcBorders>
            <w:shd w:val="clear" w:color="auto" w:fill="auto"/>
            <w:noWrap/>
            <w:vAlign w:val="bottom"/>
            <w:hideMark/>
          </w:tcPr>
          <w:p w14:paraId="7F6F64A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3121</w:t>
            </w:r>
          </w:p>
        </w:tc>
        <w:tc>
          <w:tcPr>
            <w:tcW w:w="8509" w:type="dxa"/>
            <w:tcBorders>
              <w:top w:val="nil"/>
              <w:left w:val="nil"/>
              <w:bottom w:val="nil"/>
              <w:right w:val="nil"/>
            </w:tcBorders>
            <w:shd w:val="clear" w:color="auto" w:fill="auto"/>
            <w:noWrap/>
            <w:vAlign w:val="bottom"/>
            <w:hideMark/>
          </w:tcPr>
          <w:p w14:paraId="6F75419E"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Ostali rashodi za zaposlene                                                                         </w:t>
            </w:r>
          </w:p>
        </w:tc>
        <w:tc>
          <w:tcPr>
            <w:tcW w:w="1480" w:type="dxa"/>
            <w:tcBorders>
              <w:top w:val="nil"/>
              <w:left w:val="nil"/>
              <w:bottom w:val="nil"/>
              <w:right w:val="nil"/>
            </w:tcBorders>
            <w:shd w:val="clear" w:color="auto" w:fill="auto"/>
            <w:noWrap/>
            <w:vAlign w:val="bottom"/>
            <w:hideMark/>
          </w:tcPr>
          <w:p w14:paraId="00633A6C"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9C4E3A0"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133,26</w:t>
            </w:r>
          </w:p>
        </w:tc>
        <w:tc>
          <w:tcPr>
            <w:tcW w:w="1400" w:type="dxa"/>
            <w:tcBorders>
              <w:top w:val="nil"/>
              <w:left w:val="nil"/>
              <w:bottom w:val="nil"/>
              <w:right w:val="nil"/>
            </w:tcBorders>
            <w:shd w:val="clear" w:color="auto" w:fill="auto"/>
            <w:noWrap/>
            <w:vAlign w:val="bottom"/>
            <w:hideMark/>
          </w:tcPr>
          <w:p w14:paraId="115D5948"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B7BAEA2" w14:textId="77777777" w:rsidTr="00A360DB">
        <w:trPr>
          <w:trHeight w:val="240"/>
        </w:trPr>
        <w:tc>
          <w:tcPr>
            <w:tcW w:w="1697" w:type="dxa"/>
            <w:tcBorders>
              <w:top w:val="nil"/>
              <w:left w:val="nil"/>
              <w:bottom w:val="nil"/>
              <w:right w:val="nil"/>
            </w:tcBorders>
            <w:shd w:val="clear" w:color="auto" w:fill="auto"/>
            <w:noWrap/>
            <w:vAlign w:val="bottom"/>
            <w:hideMark/>
          </w:tcPr>
          <w:p w14:paraId="6266AC17"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3132</w:t>
            </w:r>
          </w:p>
        </w:tc>
        <w:tc>
          <w:tcPr>
            <w:tcW w:w="8509" w:type="dxa"/>
            <w:tcBorders>
              <w:top w:val="nil"/>
              <w:left w:val="nil"/>
              <w:bottom w:val="nil"/>
              <w:right w:val="nil"/>
            </w:tcBorders>
            <w:shd w:val="clear" w:color="auto" w:fill="auto"/>
            <w:noWrap/>
            <w:vAlign w:val="bottom"/>
            <w:hideMark/>
          </w:tcPr>
          <w:p w14:paraId="17E4EC2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Doprinosi za obvezno zdravstveno osiguranje                                                         </w:t>
            </w:r>
          </w:p>
        </w:tc>
        <w:tc>
          <w:tcPr>
            <w:tcW w:w="1480" w:type="dxa"/>
            <w:tcBorders>
              <w:top w:val="nil"/>
              <w:left w:val="nil"/>
              <w:bottom w:val="nil"/>
              <w:right w:val="nil"/>
            </w:tcBorders>
            <w:shd w:val="clear" w:color="auto" w:fill="auto"/>
            <w:noWrap/>
            <w:vAlign w:val="bottom"/>
            <w:hideMark/>
          </w:tcPr>
          <w:p w14:paraId="4444B9C2"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1B9731A7"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113,25</w:t>
            </w:r>
          </w:p>
        </w:tc>
        <w:tc>
          <w:tcPr>
            <w:tcW w:w="1400" w:type="dxa"/>
            <w:tcBorders>
              <w:top w:val="nil"/>
              <w:left w:val="nil"/>
              <w:bottom w:val="nil"/>
              <w:right w:val="nil"/>
            </w:tcBorders>
            <w:shd w:val="clear" w:color="auto" w:fill="auto"/>
            <w:noWrap/>
            <w:vAlign w:val="bottom"/>
            <w:hideMark/>
          </w:tcPr>
          <w:p w14:paraId="125895E8"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2D608A47" w14:textId="77777777" w:rsidTr="00A360DB">
        <w:trPr>
          <w:trHeight w:val="240"/>
        </w:trPr>
        <w:tc>
          <w:tcPr>
            <w:tcW w:w="1697" w:type="dxa"/>
            <w:tcBorders>
              <w:top w:val="nil"/>
              <w:left w:val="nil"/>
              <w:bottom w:val="nil"/>
              <w:right w:val="nil"/>
            </w:tcBorders>
            <w:shd w:val="clear" w:color="auto" w:fill="auto"/>
            <w:noWrap/>
            <w:vAlign w:val="bottom"/>
            <w:hideMark/>
          </w:tcPr>
          <w:p w14:paraId="02E77664"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04B57F6C"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41E6025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53,00</w:t>
            </w:r>
          </w:p>
        </w:tc>
        <w:tc>
          <w:tcPr>
            <w:tcW w:w="1380" w:type="dxa"/>
            <w:tcBorders>
              <w:top w:val="nil"/>
              <w:left w:val="nil"/>
              <w:bottom w:val="nil"/>
              <w:right w:val="nil"/>
            </w:tcBorders>
            <w:shd w:val="clear" w:color="auto" w:fill="auto"/>
            <w:noWrap/>
            <w:vAlign w:val="bottom"/>
            <w:hideMark/>
          </w:tcPr>
          <w:p w14:paraId="2FF4A59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43,22</w:t>
            </w:r>
          </w:p>
        </w:tc>
        <w:tc>
          <w:tcPr>
            <w:tcW w:w="1400" w:type="dxa"/>
            <w:tcBorders>
              <w:top w:val="nil"/>
              <w:left w:val="nil"/>
              <w:bottom w:val="nil"/>
              <w:right w:val="nil"/>
            </w:tcBorders>
            <w:shd w:val="clear" w:color="auto" w:fill="auto"/>
            <w:noWrap/>
            <w:vAlign w:val="bottom"/>
            <w:hideMark/>
          </w:tcPr>
          <w:p w14:paraId="5781E5F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81,55%</w:t>
            </w:r>
          </w:p>
        </w:tc>
      </w:tr>
      <w:tr w:rsidR="00A360DB" w:rsidRPr="00A360DB" w14:paraId="56B85383" w14:textId="77777777" w:rsidTr="00A360DB">
        <w:trPr>
          <w:trHeight w:val="240"/>
        </w:trPr>
        <w:tc>
          <w:tcPr>
            <w:tcW w:w="1697" w:type="dxa"/>
            <w:tcBorders>
              <w:top w:val="nil"/>
              <w:left w:val="nil"/>
              <w:bottom w:val="nil"/>
              <w:right w:val="nil"/>
            </w:tcBorders>
            <w:shd w:val="clear" w:color="auto" w:fill="auto"/>
            <w:noWrap/>
            <w:vAlign w:val="bottom"/>
            <w:hideMark/>
          </w:tcPr>
          <w:p w14:paraId="6BA5933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3212</w:t>
            </w:r>
          </w:p>
        </w:tc>
        <w:tc>
          <w:tcPr>
            <w:tcW w:w="8509" w:type="dxa"/>
            <w:tcBorders>
              <w:top w:val="nil"/>
              <w:left w:val="nil"/>
              <w:bottom w:val="nil"/>
              <w:right w:val="nil"/>
            </w:tcBorders>
            <w:shd w:val="clear" w:color="auto" w:fill="auto"/>
            <w:noWrap/>
            <w:vAlign w:val="bottom"/>
            <w:hideMark/>
          </w:tcPr>
          <w:p w14:paraId="4A0CB0FE"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Naknade za prijevoz, za rad na terenu i odvojeni život                                              </w:t>
            </w:r>
          </w:p>
        </w:tc>
        <w:tc>
          <w:tcPr>
            <w:tcW w:w="1480" w:type="dxa"/>
            <w:tcBorders>
              <w:top w:val="nil"/>
              <w:left w:val="nil"/>
              <w:bottom w:val="nil"/>
              <w:right w:val="nil"/>
            </w:tcBorders>
            <w:shd w:val="clear" w:color="auto" w:fill="auto"/>
            <w:noWrap/>
            <w:vAlign w:val="bottom"/>
            <w:hideMark/>
          </w:tcPr>
          <w:p w14:paraId="63EED338"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5C29E81B"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43,22</w:t>
            </w:r>
          </w:p>
        </w:tc>
        <w:tc>
          <w:tcPr>
            <w:tcW w:w="1400" w:type="dxa"/>
            <w:tcBorders>
              <w:top w:val="nil"/>
              <w:left w:val="nil"/>
              <w:bottom w:val="nil"/>
              <w:right w:val="nil"/>
            </w:tcBorders>
            <w:shd w:val="clear" w:color="auto" w:fill="auto"/>
            <w:noWrap/>
            <w:vAlign w:val="bottom"/>
            <w:hideMark/>
          </w:tcPr>
          <w:p w14:paraId="4EBA28B4"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189A70B"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868A56C"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5.4. Institucije i tijela EU</w:t>
            </w:r>
          </w:p>
        </w:tc>
        <w:tc>
          <w:tcPr>
            <w:tcW w:w="1480" w:type="dxa"/>
            <w:tcBorders>
              <w:top w:val="nil"/>
              <w:left w:val="nil"/>
              <w:bottom w:val="nil"/>
              <w:right w:val="nil"/>
            </w:tcBorders>
            <w:shd w:val="clear" w:color="auto" w:fill="auto"/>
            <w:noWrap/>
            <w:vAlign w:val="bottom"/>
            <w:hideMark/>
          </w:tcPr>
          <w:p w14:paraId="619F227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5.651,00</w:t>
            </w:r>
          </w:p>
        </w:tc>
        <w:tc>
          <w:tcPr>
            <w:tcW w:w="1380" w:type="dxa"/>
            <w:tcBorders>
              <w:top w:val="nil"/>
              <w:left w:val="nil"/>
              <w:bottom w:val="nil"/>
              <w:right w:val="nil"/>
            </w:tcBorders>
            <w:shd w:val="clear" w:color="auto" w:fill="auto"/>
            <w:noWrap/>
            <w:vAlign w:val="bottom"/>
            <w:hideMark/>
          </w:tcPr>
          <w:p w14:paraId="30F9D70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5.531,02</w:t>
            </w:r>
          </w:p>
        </w:tc>
        <w:tc>
          <w:tcPr>
            <w:tcW w:w="1400" w:type="dxa"/>
            <w:tcBorders>
              <w:top w:val="nil"/>
              <w:left w:val="nil"/>
              <w:bottom w:val="nil"/>
              <w:right w:val="nil"/>
            </w:tcBorders>
            <w:shd w:val="clear" w:color="auto" w:fill="auto"/>
            <w:noWrap/>
            <w:vAlign w:val="bottom"/>
            <w:hideMark/>
          </w:tcPr>
          <w:p w14:paraId="7BBA9F99"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97,88%</w:t>
            </w:r>
          </w:p>
        </w:tc>
      </w:tr>
      <w:tr w:rsidR="00A360DB" w:rsidRPr="00A360DB" w14:paraId="3E324AB4" w14:textId="77777777" w:rsidTr="00A360DB">
        <w:trPr>
          <w:trHeight w:val="240"/>
        </w:trPr>
        <w:tc>
          <w:tcPr>
            <w:tcW w:w="1697" w:type="dxa"/>
            <w:tcBorders>
              <w:top w:val="nil"/>
              <w:left w:val="nil"/>
              <w:bottom w:val="nil"/>
              <w:right w:val="nil"/>
            </w:tcBorders>
            <w:shd w:val="clear" w:color="auto" w:fill="auto"/>
            <w:noWrap/>
            <w:vAlign w:val="bottom"/>
            <w:hideMark/>
          </w:tcPr>
          <w:p w14:paraId="58DA3194"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31</w:t>
            </w:r>
          </w:p>
        </w:tc>
        <w:tc>
          <w:tcPr>
            <w:tcW w:w="8509" w:type="dxa"/>
            <w:tcBorders>
              <w:top w:val="nil"/>
              <w:left w:val="nil"/>
              <w:bottom w:val="nil"/>
              <w:right w:val="nil"/>
            </w:tcBorders>
            <w:shd w:val="clear" w:color="auto" w:fill="auto"/>
            <w:noWrap/>
            <w:vAlign w:val="bottom"/>
            <w:hideMark/>
          </w:tcPr>
          <w:p w14:paraId="45ACD9C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zaposlene                                                                                </w:t>
            </w:r>
          </w:p>
        </w:tc>
        <w:tc>
          <w:tcPr>
            <w:tcW w:w="1480" w:type="dxa"/>
            <w:tcBorders>
              <w:top w:val="nil"/>
              <w:left w:val="nil"/>
              <w:bottom w:val="nil"/>
              <w:right w:val="nil"/>
            </w:tcBorders>
            <w:shd w:val="clear" w:color="auto" w:fill="auto"/>
            <w:noWrap/>
            <w:vAlign w:val="bottom"/>
            <w:hideMark/>
          </w:tcPr>
          <w:p w14:paraId="132B670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5.354,00</w:t>
            </w:r>
          </w:p>
        </w:tc>
        <w:tc>
          <w:tcPr>
            <w:tcW w:w="1380" w:type="dxa"/>
            <w:tcBorders>
              <w:top w:val="nil"/>
              <w:left w:val="nil"/>
              <w:bottom w:val="nil"/>
              <w:right w:val="nil"/>
            </w:tcBorders>
            <w:shd w:val="clear" w:color="auto" w:fill="auto"/>
            <w:noWrap/>
            <w:vAlign w:val="bottom"/>
            <w:hideMark/>
          </w:tcPr>
          <w:p w14:paraId="031D740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5.286,12</w:t>
            </w:r>
          </w:p>
        </w:tc>
        <w:tc>
          <w:tcPr>
            <w:tcW w:w="1400" w:type="dxa"/>
            <w:tcBorders>
              <w:top w:val="nil"/>
              <w:left w:val="nil"/>
              <w:bottom w:val="nil"/>
              <w:right w:val="nil"/>
            </w:tcBorders>
            <w:shd w:val="clear" w:color="auto" w:fill="auto"/>
            <w:noWrap/>
            <w:vAlign w:val="bottom"/>
            <w:hideMark/>
          </w:tcPr>
          <w:p w14:paraId="1BF9189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98,73%</w:t>
            </w:r>
          </w:p>
        </w:tc>
      </w:tr>
      <w:tr w:rsidR="00A360DB" w:rsidRPr="00A360DB" w14:paraId="6AD6E493" w14:textId="77777777" w:rsidTr="00A360DB">
        <w:trPr>
          <w:trHeight w:val="240"/>
        </w:trPr>
        <w:tc>
          <w:tcPr>
            <w:tcW w:w="1697" w:type="dxa"/>
            <w:tcBorders>
              <w:top w:val="nil"/>
              <w:left w:val="nil"/>
              <w:bottom w:val="nil"/>
              <w:right w:val="nil"/>
            </w:tcBorders>
            <w:shd w:val="clear" w:color="auto" w:fill="auto"/>
            <w:noWrap/>
            <w:vAlign w:val="bottom"/>
            <w:hideMark/>
          </w:tcPr>
          <w:p w14:paraId="2A68BC0D"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lastRenderedPageBreak/>
              <w:t>3111</w:t>
            </w:r>
          </w:p>
        </w:tc>
        <w:tc>
          <w:tcPr>
            <w:tcW w:w="8509" w:type="dxa"/>
            <w:tcBorders>
              <w:top w:val="nil"/>
              <w:left w:val="nil"/>
              <w:bottom w:val="nil"/>
              <w:right w:val="nil"/>
            </w:tcBorders>
            <w:shd w:val="clear" w:color="auto" w:fill="auto"/>
            <w:noWrap/>
            <w:vAlign w:val="bottom"/>
            <w:hideMark/>
          </w:tcPr>
          <w:p w14:paraId="0F02FE57"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Plaće za redovan rad                                                                                </w:t>
            </w:r>
          </w:p>
        </w:tc>
        <w:tc>
          <w:tcPr>
            <w:tcW w:w="1480" w:type="dxa"/>
            <w:tcBorders>
              <w:top w:val="nil"/>
              <w:left w:val="nil"/>
              <w:bottom w:val="nil"/>
              <w:right w:val="nil"/>
            </w:tcBorders>
            <w:shd w:val="clear" w:color="auto" w:fill="auto"/>
            <w:noWrap/>
            <w:vAlign w:val="bottom"/>
            <w:hideMark/>
          </w:tcPr>
          <w:p w14:paraId="00E40B41"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7906034"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3.889,19</w:t>
            </w:r>
          </w:p>
        </w:tc>
        <w:tc>
          <w:tcPr>
            <w:tcW w:w="1400" w:type="dxa"/>
            <w:tcBorders>
              <w:top w:val="nil"/>
              <w:left w:val="nil"/>
              <w:bottom w:val="nil"/>
              <w:right w:val="nil"/>
            </w:tcBorders>
            <w:shd w:val="clear" w:color="auto" w:fill="auto"/>
            <w:noWrap/>
            <w:vAlign w:val="bottom"/>
            <w:hideMark/>
          </w:tcPr>
          <w:p w14:paraId="08C78F73"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88D0CBF" w14:textId="77777777" w:rsidTr="00A360DB">
        <w:trPr>
          <w:trHeight w:val="240"/>
        </w:trPr>
        <w:tc>
          <w:tcPr>
            <w:tcW w:w="1697" w:type="dxa"/>
            <w:tcBorders>
              <w:top w:val="nil"/>
              <w:left w:val="nil"/>
              <w:bottom w:val="nil"/>
              <w:right w:val="nil"/>
            </w:tcBorders>
            <w:shd w:val="clear" w:color="auto" w:fill="auto"/>
            <w:noWrap/>
            <w:vAlign w:val="bottom"/>
            <w:hideMark/>
          </w:tcPr>
          <w:p w14:paraId="510BC54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3121</w:t>
            </w:r>
          </w:p>
        </w:tc>
        <w:tc>
          <w:tcPr>
            <w:tcW w:w="8509" w:type="dxa"/>
            <w:tcBorders>
              <w:top w:val="nil"/>
              <w:left w:val="nil"/>
              <w:bottom w:val="nil"/>
              <w:right w:val="nil"/>
            </w:tcBorders>
            <w:shd w:val="clear" w:color="auto" w:fill="auto"/>
            <w:noWrap/>
            <w:vAlign w:val="bottom"/>
            <w:hideMark/>
          </w:tcPr>
          <w:p w14:paraId="4B9C0198"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Ostali rashodi za zaposlene                                                                         </w:t>
            </w:r>
          </w:p>
        </w:tc>
        <w:tc>
          <w:tcPr>
            <w:tcW w:w="1480" w:type="dxa"/>
            <w:tcBorders>
              <w:top w:val="nil"/>
              <w:left w:val="nil"/>
              <w:bottom w:val="nil"/>
              <w:right w:val="nil"/>
            </w:tcBorders>
            <w:shd w:val="clear" w:color="auto" w:fill="auto"/>
            <w:noWrap/>
            <w:vAlign w:val="bottom"/>
            <w:hideMark/>
          </w:tcPr>
          <w:p w14:paraId="3AF60507"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B2BAB19"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755,19</w:t>
            </w:r>
          </w:p>
        </w:tc>
        <w:tc>
          <w:tcPr>
            <w:tcW w:w="1400" w:type="dxa"/>
            <w:tcBorders>
              <w:top w:val="nil"/>
              <w:left w:val="nil"/>
              <w:bottom w:val="nil"/>
              <w:right w:val="nil"/>
            </w:tcBorders>
            <w:shd w:val="clear" w:color="auto" w:fill="auto"/>
            <w:noWrap/>
            <w:vAlign w:val="bottom"/>
            <w:hideMark/>
          </w:tcPr>
          <w:p w14:paraId="254F917C"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5AD57215" w14:textId="77777777" w:rsidTr="00A360DB">
        <w:trPr>
          <w:trHeight w:val="240"/>
        </w:trPr>
        <w:tc>
          <w:tcPr>
            <w:tcW w:w="1697" w:type="dxa"/>
            <w:tcBorders>
              <w:top w:val="nil"/>
              <w:left w:val="nil"/>
              <w:bottom w:val="nil"/>
              <w:right w:val="nil"/>
            </w:tcBorders>
            <w:shd w:val="clear" w:color="auto" w:fill="auto"/>
            <w:noWrap/>
            <w:vAlign w:val="bottom"/>
            <w:hideMark/>
          </w:tcPr>
          <w:p w14:paraId="562EFF4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3132</w:t>
            </w:r>
          </w:p>
        </w:tc>
        <w:tc>
          <w:tcPr>
            <w:tcW w:w="8509" w:type="dxa"/>
            <w:tcBorders>
              <w:top w:val="nil"/>
              <w:left w:val="nil"/>
              <w:bottom w:val="nil"/>
              <w:right w:val="nil"/>
            </w:tcBorders>
            <w:shd w:val="clear" w:color="auto" w:fill="auto"/>
            <w:noWrap/>
            <w:vAlign w:val="bottom"/>
            <w:hideMark/>
          </w:tcPr>
          <w:p w14:paraId="64037B3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Doprinosi za obvezno zdravstveno osiguranje                                                         </w:t>
            </w:r>
          </w:p>
        </w:tc>
        <w:tc>
          <w:tcPr>
            <w:tcW w:w="1480" w:type="dxa"/>
            <w:tcBorders>
              <w:top w:val="nil"/>
              <w:left w:val="nil"/>
              <w:bottom w:val="nil"/>
              <w:right w:val="nil"/>
            </w:tcBorders>
            <w:shd w:val="clear" w:color="auto" w:fill="auto"/>
            <w:noWrap/>
            <w:vAlign w:val="bottom"/>
            <w:hideMark/>
          </w:tcPr>
          <w:p w14:paraId="7499D612"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CB6777C"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641,74</w:t>
            </w:r>
          </w:p>
        </w:tc>
        <w:tc>
          <w:tcPr>
            <w:tcW w:w="1400" w:type="dxa"/>
            <w:tcBorders>
              <w:top w:val="nil"/>
              <w:left w:val="nil"/>
              <w:bottom w:val="nil"/>
              <w:right w:val="nil"/>
            </w:tcBorders>
            <w:shd w:val="clear" w:color="auto" w:fill="auto"/>
            <w:noWrap/>
            <w:vAlign w:val="bottom"/>
            <w:hideMark/>
          </w:tcPr>
          <w:p w14:paraId="0F12AF22"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2BAE72B8" w14:textId="77777777" w:rsidTr="00A360DB">
        <w:trPr>
          <w:trHeight w:val="240"/>
        </w:trPr>
        <w:tc>
          <w:tcPr>
            <w:tcW w:w="1697" w:type="dxa"/>
            <w:tcBorders>
              <w:top w:val="nil"/>
              <w:left w:val="nil"/>
              <w:bottom w:val="nil"/>
              <w:right w:val="nil"/>
            </w:tcBorders>
            <w:shd w:val="clear" w:color="auto" w:fill="auto"/>
            <w:noWrap/>
            <w:vAlign w:val="bottom"/>
            <w:hideMark/>
          </w:tcPr>
          <w:p w14:paraId="49867B73"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473AD33A"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36C639D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297,00</w:t>
            </w:r>
          </w:p>
        </w:tc>
        <w:tc>
          <w:tcPr>
            <w:tcW w:w="1380" w:type="dxa"/>
            <w:tcBorders>
              <w:top w:val="nil"/>
              <w:left w:val="nil"/>
              <w:bottom w:val="nil"/>
              <w:right w:val="nil"/>
            </w:tcBorders>
            <w:shd w:val="clear" w:color="auto" w:fill="auto"/>
            <w:noWrap/>
            <w:vAlign w:val="bottom"/>
            <w:hideMark/>
          </w:tcPr>
          <w:p w14:paraId="6DA63B9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244,90</w:t>
            </w:r>
          </w:p>
        </w:tc>
        <w:tc>
          <w:tcPr>
            <w:tcW w:w="1400" w:type="dxa"/>
            <w:tcBorders>
              <w:top w:val="nil"/>
              <w:left w:val="nil"/>
              <w:bottom w:val="nil"/>
              <w:right w:val="nil"/>
            </w:tcBorders>
            <w:shd w:val="clear" w:color="auto" w:fill="auto"/>
            <w:noWrap/>
            <w:vAlign w:val="bottom"/>
            <w:hideMark/>
          </w:tcPr>
          <w:p w14:paraId="1D499A3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82,46%</w:t>
            </w:r>
          </w:p>
        </w:tc>
      </w:tr>
      <w:tr w:rsidR="00A360DB" w:rsidRPr="00A360DB" w14:paraId="636175FE" w14:textId="77777777" w:rsidTr="00A360DB">
        <w:trPr>
          <w:trHeight w:val="240"/>
        </w:trPr>
        <w:tc>
          <w:tcPr>
            <w:tcW w:w="1697" w:type="dxa"/>
            <w:tcBorders>
              <w:top w:val="nil"/>
              <w:left w:val="nil"/>
              <w:bottom w:val="nil"/>
              <w:right w:val="nil"/>
            </w:tcBorders>
            <w:shd w:val="clear" w:color="auto" w:fill="auto"/>
            <w:noWrap/>
            <w:vAlign w:val="bottom"/>
            <w:hideMark/>
          </w:tcPr>
          <w:p w14:paraId="5E73D9E7"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3212</w:t>
            </w:r>
          </w:p>
        </w:tc>
        <w:tc>
          <w:tcPr>
            <w:tcW w:w="8509" w:type="dxa"/>
            <w:tcBorders>
              <w:top w:val="nil"/>
              <w:left w:val="nil"/>
              <w:bottom w:val="nil"/>
              <w:right w:val="nil"/>
            </w:tcBorders>
            <w:shd w:val="clear" w:color="auto" w:fill="auto"/>
            <w:noWrap/>
            <w:vAlign w:val="bottom"/>
            <w:hideMark/>
          </w:tcPr>
          <w:p w14:paraId="1D7B63B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Naknade za prijevoz, za rad na terenu i odvojeni život                                              </w:t>
            </w:r>
          </w:p>
        </w:tc>
        <w:tc>
          <w:tcPr>
            <w:tcW w:w="1480" w:type="dxa"/>
            <w:tcBorders>
              <w:top w:val="nil"/>
              <w:left w:val="nil"/>
              <w:bottom w:val="nil"/>
              <w:right w:val="nil"/>
            </w:tcBorders>
            <w:shd w:val="clear" w:color="auto" w:fill="auto"/>
            <w:noWrap/>
            <w:vAlign w:val="bottom"/>
            <w:hideMark/>
          </w:tcPr>
          <w:p w14:paraId="21AC1894"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2379DBC"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244,90</w:t>
            </w:r>
          </w:p>
        </w:tc>
        <w:tc>
          <w:tcPr>
            <w:tcW w:w="1400" w:type="dxa"/>
            <w:tcBorders>
              <w:top w:val="nil"/>
              <w:left w:val="nil"/>
              <w:bottom w:val="nil"/>
              <w:right w:val="nil"/>
            </w:tcBorders>
            <w:shd w:val="clear" w:color="auto" w:fill="auto"/>
            <w:noWrap/>
            <w:vAlign w:val="bottom"/>
            <w:hideMark/>
          </w:tcPr>
          <w:p w14:paraId="0AAB2970"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57668F4" w14:textId="77777777" w:rsidTr="00A360DB">
        <w:trPr>
          <w:trHeight w:val="240"/>
        </w:trPr>
        <w:tc>
          <w:tcPr>
            <w:tcW w:w="10206" w:type="dxa"/>
            <w:gridSpan w:val="2"/>
            <w:tcBorders>
              <w:top w:val="nil"/>
              <w:left w:val="nil"/>
              <w:bottom w:val="nil"/>
              <w:right w:val="nil"/>
            </w:tcBorders>
            <w:shd w:val="clear" w:color="000000" w:fill="1300A2"/>
            <w:noWrap/>
            <w:vAlign w:val="bottom"/>
            <w:hideMark/>
          </w:tcPr>
          <w:p w14:paraId="2CF875FB" w14:textId="77777777" w:rsidR="00A360DB" w:rsidRPr="00A360DB" w:rsidRDefault="00A360DB" w:rsidP="00A360DB">
            <w:pPr>
              <w:spacing w:after="0" w:line="240" w:lineRule="auto"/>
              <w:rPr>
                <w:rFonts w:ascii="Arial" w:hAnsi="Arial" w:cs="Arial"/>
                <w:b/>
                <w:bCs/>
                <w:color w:val="FFFFFF"/>
                <w:sz w:val="18"/>
                <w:szCs w:val="18"/>
                <w:lang w:eastAsia="hr-HR"/>
              </w:rPr>
            </w:pPr>
            <w:r w:rsidRPr="00A360DB">
              <w:rPr>
                <w:rFonts w:ascii="Arial" w:hAnsi="Arial" w:cs="Arial"/>
                <w:b/>
                <w:bCs/>
                <w:color w:val="FFFFFF"/>
                <w:sz w:val="18"/>
                <w:szCs w:val="18"/>
                <w:lang w:eastAsia="hr-HR"/>
              </w:rPr>
              <w:t>RAZDJEL 003 UPRAVNI ODJEL ZA FINANCIJE</w:t>
            </w:r>
          </w:p>
        </w:tc>
        <w:tc>
          <w:tcPr>
            <w:tcW w:w="1480" w:type="dxa"/>
            <w:tcBorders>
              <w:top w:val="nil"/>
              <w:left w:val="nil"/>
              <w:bottom w:val="nil"/>
              <w:right w:val="nil"/>
            </w:tcBorders>
            <w:shd w:val="clear" w:color="000000" w:fill="1300A2"/>
            <w:noWrap/>
            <w:vAlign w:val="bottom"/>
            <w:hideMark/>
          </w:tcPr>
          <w:p w14:paraId="52D2D674"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272.556,86</w:t>
            </w:r>
          </w:p>
        </w:tc>
        <w:tc>
          <w:tcPr>
            <w:tcW w:w="1380" w:type="dxa"/>
            <w:tcBorders>
              <w:top w:val="nil"/>
              <w:left w:val="nil"/>
              <w:bottom w:val="nil"/>
              <w:right w:val="nil"/>
            </w:tcBorders>
            <w:shd w:val="clear" w:color="000000" w:fill="1300A2"/>
            <w:noWrap/>
            <w:vAlign w:val="bottom"/>
            <w:hideMark/>
          </w:tcPr>
          <w:p w14:paraId="7D7A09C9"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247.280,00</w:t>
            </w:r>
          </w:p>
        </w:tc>
        <w:tc>
          <w:tcPr>
            <w:tcW w:w="1400" w:type="dxa"/>
            <w:tcBorders>
              <w:top w:val="nil"/>
              <w:left w:val="nil"/>
              <w:bottom w:val="nil"/>
              <w:right w:val="nil"/>
            </w:tcBorders>
            <w:shd w:val="clear" w:color="000000" w:fill="1300A2"/>
            <w:noWrap/>
            <w:vAlign w:val="bottom"/>
            <w:hideMark/>
          </w:tcPr>
          <w:p w14:paraId="4DD66891"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90,73%</w:t>
            </w:r>
          </w:p>
        </w:tc>
      </w:tr>
      <w:tr w:rsidR="00A360DB" w:rsidRPr="00A360DB" w14:paraId="1FE7EDC1" w14:textId="77777777" w:rsidTr="00A360DB">
        <w:trPr>
          <w:trHeight w:val="240"/>
        </w:trPr>
        <w:tc>
          <w:tcPr>
            <w:tcW w:w="10206" w:type="dxa"/>
            <w:gridSpan w:val="2"/>
            <w:tcBorders>
              <w:top w:val="nil"/>
              <w:left w:val="nil"/>
              <w:bottom w:val="nil"/>
              <w:right w:val="nil"/>
            </w:tcBorders>
            <w:shd w:val="clear" w:color="000000" w:fill="8994FB"/>
            <w:noWrap/>
            <w:vAlign w:val="bottom"/>
            <w:hideMark/>
          </w:tcPr>
          <w:p w14:paraId="1AA53029"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GLAVA 00301 UPRAVNI ODJEL ZA FINANCIJE</w:t>
            </w:r>
          </w:p>
        </w:tc>
        <w:tc>
          <w:tcPr>
            <w:tcW w:w="1480" w:type="dxa"/>
            <w:tcBorders>
              <w:top w:val="nil"/>
              <w:left w:val="nil"/>
              <w:bottom w:val="nil"/>
              <w:right w:val="nil"/>
            </w:tcBorders>
            <w:shd w:val="clear" w:color="000000" w:fill="8994FB"/>
            <w:noWrap/>
            <w:vAlign w:val="bottom"/>
            <w:hideMark/>
          </w:tcPr>
          <w:p w14:paraId="4E354E5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272.556,86</w:t>
            </w:r>
          </w:p>
        </w:tc>
        <w:tc>
          <w:tcPr>
            <w:tcW w:w="1380" w:type="dxa"/>
            <w:tcBorders>
              <w:top w:val="nil"/>
              <w:left w:val="nil"/>
              <w:bottom w:val="nil"/>
              <w:right w:val="nil"/>
            </w:tcBorders>
            <w:shd w:val="clear" w:color="000000" w:fill="8994FB"/>
            <w:noWrap/>
            <w:vAlign w:val="bottom"/>
            <w:hideMark/>
          </w:tcPr>
          <w:p w14:paraId="6E0C2BD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247.280,00</w:t>
            </w:r>
          </w:p>
        </w:tc>
        <w:tc>
          <w:tcPr>
            <w:tcW w:w="1400" w:type="dxa"/>
            <w:tcBorders>
              <w:top w:val="nil"/>
              <w:left w:val="nil"/>
              <w:bottom w:val="nil"/>
              <w:right w:val="nil"/>
            </w:tcBorders>
            <w:shd w:val="clear" w:color="000000" w:fill="8994FB"/>
            <w:noWrap/>
            <w:vAlign w:val="bottom"/>
            <w:hideMark/>
          </w:tcPr>
          <w:p w14:paraId="63FA99B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90,73%</w:t>
            </w:r>
          </w:p>
        </w:tc>
      </w:tr>
      <w:tr w:rsidR="00A360DB" w:rsidRPr="00A360DB" w14:paraId="221282E8" w14:textId="77777777" w:rsidTr="00A360DB">
        <w:trPr>
          <w:trHeight w:val="240"/>
        </w:trPr>
        <w:tc>
          <w:tcPr>
            <w:tcW w:w="10206" w:type="dxa"/>
            <w:gridSpan w:val="2"/>
            <w:tcBorders>
              <w:top w:val="nil"/>
              <w:left w:val="nil"/>
              <w:bottom w:val="nil"/>
              <w:right w:val="nil"/>
            </w:tcBorders>
            <w:shd w:val="clear" w:color="000000" w:fill="8994FB"/>
            <w:noWrap/>
            <w:vAlign w:val="bottom"/>
            <w:hideMark/>
          </w:tcPr>
          <w:p w14:paraId="1F98CAA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PROR. KORISNIK 00001 UPRAVNI ODJEL ZA FINANCIJE</w:t>
            </w:r>
          </w:p>
        </w:tc>
        <w:tc>
          <w:tcPr>
            <w:tcW w:w="1480" w:type="dxa"/>
            <w:tcBorders>
              <w:top w:val="nil"/>
              <w:left w:val="nil"/>
              <w:bottom w:val="nil"/>
              <w:right w:val="nil"/>
            </w:tcBorders>
            <w:shd w:val="clear" w:color="000000" w:fill="8994FB"/>
            <w:noWrap/>
            <w:vAlign w:val="bottom"/>
            <w:hideMark/>
          </w:tcPr>
          <w:p w14:paraId="43A30B5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272.556,86</w:t>
            </w:r>
          </w:p>
        </w:tc>
        <w:tc>
          <w:tcPr>
            <w:tcW w:w="1380" w:type="dxa"/>
            <w:tcBorders>
              <w:top w:val="nil"/>
              <w:left w:val="nil"/>
              <w:bottom w:val="nil"/>
              <w:right w:val="nil"/>
            </w:tcBorders>
            <w:shd w:val="clear" w:color="000000" w:fill="8994FB"/>
            <w:noWrap/>
            <w:vAlign w:val="bottom"/>
            <w:hideMark/>
          </w:tcPr>
          <w:p w14:paraId="60F7A61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247.280,00</w:t>
            </w:r>
          </w:p>
        </w:tc>
        <w:tc>
          <w:tcPr>
            <w:tcW w:w="1400" w:type="dxa"/>
            <w:tcBorders>
              <w:top w:val="nil"/>
              <w:left w:val="nil"/>
              <w:bottom w:val="nil"/>
              <w:right w:val="nil"/>
            </w:tcBorders>
            <w:shd w:val="clear" w:color="000000" w:fill="8994FB"/>
            <w:noWrap/>
            <w:vAlign w:val="bottom"/>
            <w:hideMark/>
          </w:tcPr>
          <w:p w14:paraId="17AB4F6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90,73%</w:t>
            </w:r>
          </w:p>
        </w:tc>
      </w:tr>
      <w:tr w:rsidR="00A360DB" w:rsidRPr="00A360DB" w14:paraId="09F57CDB"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3B34B940"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70B3A437"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269.500,00</w:t>
            </w:r>
          </w:p>
        </w:tc>
        <w:tc>
          <w:tcPr>
            <w:tcW w:w="1380" w:type="dxa"/>
            <w:tcBorders>
              <w:top w:val="nil"/>
              <w:left w:val="nil"/>
              <w:bottom w:val="nil"/>
              <w:right w:val="nil"/>
            </w:tcBorders>
            <w:shd w:val="clear" w:color="auto" w:fill="auto"/>
            <w:noWrap/>
            <w:vAlign w:val="bottom"/>
            <w:hideMark/>
          </w:tcPr>
          <w:p w14:paraId="36AFB543"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244.223,14</w:t>
            </w:r>
          </w:p>
        </w:tc>
        <w:tc>
          <w:tcPr>
            <w:tcW w:w="1400" w:type="dxa"/>
            <w:tcBorders>
              <w:top w:val="nil"/>
              <w:left w:val="nil"/>
              <w:bottom w:val="nil"/>
              <w:right w:val="nil"/>
            </w:tcBorders>
            <w:shd w:val="clear" w:color="auto" w:fill="auto"/>
            <w:noWrap/>
            <w:vAlign w:val="bottom"/>
            <w:hideMark/>
          </w:tcPr>
          <w:p w14:paraId="0DC998BF"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90,62%</w:t>
            </w:r>
          </w:p>
        </w:tc>
      </w:tr>
      <w:tr w:rsidR="00A360DB" w:rsidRPr="00A360DB" w14:paraId="042AF01A"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29C38A25"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4D9763D7"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269.500,00</w:t>
            </w:r>
          </w:p>
        </w:tc>
        <w:tc>
          <w:tcPr>
            <w:tcW w:w="1380" w:type="dxa"/>
            <w:tcBorders>
              <w:top w:val="nil"/>
              <w:left w:val="nil"/>
              <w:bottom w:val="nil"/>
              <w:right w:val="nil"/>
            </w:tcBorders>
            <w:shd w:val="clear" w:color="auto" w:fill="auto"/>
            <w:noWrap/>
            <w:vAlign w:val="bottom"/>
            <w:hideMark/>
          </w:tcPr>
          <w:p w14:paraId="43DE0400"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244.223,14</w:t>
            </w:r>
          </w:p>
        </w:tc>
        <w:tc>
          <w:tcPr>
            <w:tcW w:w="1400" w:type="dxa"/>
            <w:tcBorders>
              <w:top w:val="nil"/>
              <w:left w:val="nil"/>
              <w:bottom w:val="nil"/>
              <w:right w:val="nil"/>
            </w:tcBorders>
            <w:shd w:val="clear" w:color="auto" w:fill="auto"/>
            <w:noWrap/>
            <w:vAlign w:val="bottom"/>
            <w:hideMark/>
          </w:tcPr>
          <w:p w14:paraId="374C461F"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90,62%</w:t>
            </w:r>
          </w:p>
        </w:tc>
      </w:tr>
      <w:tr w:rsidR="00A360DB" w:rsidRPr="00A360DB" w14:paraId="3F284C18"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E49CAF1"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9. Višak iz prethodnih razdoblja</w:t>
            </w:r>
          </w:p>
        </w:tc>
        <w:tc>
          <w:tcPr>
            <w:tcW w:w="1480" w:type="dxa"/>
            <w:tcBorders>
              <w:top w:val="nil"/>
              <w:left w:val="nil"/>
              <w:bottom w:val="nil"/>
              <w:right w:val="nil"/>
            </w:tcBorders>
            <w:shd w:val="clear" w:color="auto" w:fill="auto"/>
            <w:noWrap/>
            <w:vAlign w:val="bottom"/>
            <w:hideMark/>
          </w:tcPr>
          <w:p w14:paraId="6FFB73E9"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3.056,86</w:t>
            </w:r>
          </w:p>
        </w:tc>
        <w:tc>
          <w:tcPr>
            <w:tcW w:w="1380" w:type="dxa"/>
            <w:tcBorders>
              <w:top w:val="nil"/>
              <w:left w:val="nil"/>
              <w:bottom w:val="nil"/>
              <w:right w:val="nil"/>
            </w:tcBorders>
            <w:shd w:val="clear" w:color="auto" w:fill="auto"/>
            <w:noWrap/>
            <w:vAlign w:val="bottom"/>
            <w:hideMark/>
          </w:tcPr>
          <w:p w14:paraId="1C9AB54C"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3.056,86</w:t>
            </w:r>
          </w:p>
        </w:tc>
        <w:tc>
          <w:tcPr>
            <w:tcW w:w="1400" w:type="dxa"/>
            <w:tcBorders>
              <w:top w:val="nil"/>
              <w:left w:val="nil"/>
              <w:bottom w:val="nil"/>
              <w:right w:val="nil"/>
            </w:tcBorders>
            <w:shd w:val="clear" w:color="auto" w:fill="auto"/>
            <w:noWrap/>
            <w:vAlign w:val="bottom"/>
            <w:hideMark/>
          </w:tcPr>
          <w:p w14:paraId="7629DDA0"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w:t>
            </w:r>
          </w:p>
        </w:tc>
      </w:tr>
      <w:tr w:rsidR="00A360DB" w:rsidRPr="00A360DB" w14:paraId="14EB6DC6"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7FC100F"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9.2. Višak iz prethodnih godina - Grad</w:t>
            </w:r>
          </w:p>
        </w:tc>
        <w:tc>
          <w:tcPr>
            <w:tcW w:w="1480" w:type="dxa"/>
            <w:tcBorders>
              <w:top w:val="nil"/>
              <w:left w:val="nil"/>
              <w:bottom w:val="nil"/>
              <w:right w:val="nil"/>
            </w:tcBorders>
            <w:shd w:val="clear" w:color="auto" w:fill="auto"/>
            <w:noWrap/>
            <w:vAlign w:val="bottom"/>
            <w:hideMark/>
          </w:tcPr>
          <w:p w14:paraId="6C00D308"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3.056,86</w:t>
            </w:r>
          </w:p>
        </w:tc>
        <w:tc>
          <w:tcPr>
            <w:tcW w:w="1380" w:type="dxa"/>
            <w:tcBorders>
              <w:top w:val="nil"/>
              <w:left w:val="nil"/>
              <w:bottom w:val="nil"/>
              <w:right w:val="nil"/>
            </w:tcBorders>
            <w:shd w:val="clear" w:color="auto" w:fill="auto"/>
            <w:noWrap/>
            <w:vAlign w:val="bottom"/>
            <w:hideMark/>
          </w:tcPr>
          <w:p w14:paraId="76ACD3F6"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3.056,86</w:t>
            </w:r>
          </w:p>
        </w:tc>
        <w:tc>
          <w:tcPr>
            <w:tcW w:w="1400" w:type="dxa"/>
            <w:tcBorders>
              <w:top w:val="nil"/>
              <w:left w:val="nil"/>
              <w:bottom w:val="nil"/>
              <w:right w:val="nil"/>
            </w:tcBorders>
            <w:shd w:val="clear" w:color="auto" w:fill="auto"/>
            <w:noWrap/>
            <w:vAlign w:val="bottom"/>
            <w:hideMark/>
          </w:tcPr>
          <w:p w14:paraId="5F4C8086"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w:t>
            </w:r>
          </w:p>
        </w:tc>
      </w:tr>
      <w:tr w:rsidR="00A360DB" w:rsidRPr="00A360DB" w14:paraId="18E661B1" w14:textId="77777777" w:rsidTr="00A360DB">
        <w:trPr>
          <w:trHeight w:val="240"/>
        </w:trPr>
        <w:tc>
          <w:tcPr>
            <w:tcW w:w="1697" w:type="dxa"/>
            <w:tcBorders>
              <w:top w:val="nil"/>
              <w:left w:val="nil"/>
              <w:bottom w:val="nil"/>
              <w:right w:val="nil"/>
            </w:tcBorders>
            <w:shd w:val="clear" w:color="000000" w:fill="1D4BB3"/>
            <w:noWrap/>
            <w:vAlign w:val="bottom"/>
            <w:hideMark/>
          </w:tcPr>
          <w:p w14:paraId="26DEF749" w14:textId="77777777" w:rsidR="00A360DB" w:rsidRPr="00A360DB" w:rsidRDefault="00A360DB" w:rsidP="00A360DB">
            <w:pPr>
              <w:spacing w:after="0" w:line="240" w:lineRule="auto"/>
              <w:rPr>
                <w:rFonts w:ascii="Arial" w:hAnsi="Arial" w:cs="Arial"/>
                <w:b/>
                <w:bCs/>
                <w:color w:val="FFFFFF"/>
                <w:sz w:val="18"/>
                <w:szCs w:val="18"/>
                <w:lang w:eastAsia="hr-HR"/>
              </w:rPr>
            </w:pPr>
            <w:r w:rsidRPr="00A360DB">
              <w:rPr>
                <w:rFonts w:ascii="Arial" w:hAnsi="Arial" w:cs="Arial"/>
                <w:b/>
                <w:bCs/>
                <w:color w:val="FFFFFF"/>
                <w:sz w:val="18"/>
                <w:szCs w:val="18"/>
                <w:lang w:eastAsia="hr-HR"/>
              </w:rPr>
              <w:t>1021</w:t>
            </w:r>
          </w:p>
        </w:tc>
        <w:tc>
          <w:tcPr>
            <w:tcW w:w="8509" w:type="dxa"/>
            <w:tcBorders>
              <w:top w:val="nil"/>
              <w:left w:val="nil"/>
              <w:bottom w:val="nil"/>
              <w:right w:val="nil"/>
            </w:tcBorders>
            <w:shd w:val="clear" w:color="000000" w:fill="1D4BB3"/>
            <w:noWrap/>
            <w:vAlign w:val="bottom"/>
            <w:hideMark/>
          </w:tcPr>
          <w:p w14:paraId="52C16164" w14:textId="77777777" w:rsidR="00A360DB" w:rsidRPr="00A360DB" w:rsidRDefault="00A360DB" w:rsidP="00A360DB">
            <w:pPr>
              <w:spacing w:after="0" w:line="240" w:lineRule="auto"/>
              <w:rPr>
                <w:rFonts w:ascii="Arial" w:hAnsi="Arial" w:cs="Arial"/>
                <w:b/>
                <w:bCs/>
                <w:color w:val="FFFFFF"/>
                <w:sz w:val="18"/>
                <w:szCs w:val="18"/>
                <w:lang w:eastAsia="hr-HR"/>
              </w:rPr>
            </w:pPr>
            <w:r w:rsidRPr="00A360DB">
              <w:rPr>
                <w:rFonts w:ascii="Arial" w:hAnsi="Arial" w:cs="Arial"/>
                <w:b/>
                <w:bCs/>
                <w:color w:val="FFFFFF"/>
                <w:sz w:val="18"/>
                <w:szCs w:val="18"/>
                <w:lang w:eastAsia="hr-HR"/>
              </w:rPr>
              <w:t>Program: Priprema i donošenje akata iz djelokruga tijela</w:t>
            </w:r>
          </w:p>
        </w:tc>
        <w:tc>
          <w:tcPr>
            <w:tcW w:w="1480" w:type="dxa"/>
            <w:tcBorders>
              <w:top w:val="nil"/>
              <w:left w:val="nil"/>
              <w:bottom w:val="nil"/>
              <w:right w:val="nil"/>
            </w:tcBorders>
            <w:shd w:val="clear" w:color="000000" w:fill="1D4BB3"/>
            <w:noWrap/>
            <w:vAlign w:val="bottom"/>
            <w:hideMark/>
          </w:tcPr>
          <w:p w14:paraId="5FC22A2B"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272.556,86</w:t>
            </w:r>
          </w:p>
        </w:tc>
        <w:tc>
          <w:tcPr>
            <w:tcW w:w="1380" w:type="dxa"/>
            <w:tcBorders>
              <w:top w:val="nil"/>
              <w:left w:val="nil"/>
              <w:bottom w:val="nil"/>
              <w:right w:val="nil"/>
            </w:tcBorders>
            <w:shd w:val="clear" w:color="000000" w:fill="1D4BB3"/>
            <w:noWrap/>
            <w:vAlign w:val="bottom"/>
            <w:hideMark/>
          </w:tcPr>
          <w:p w14:paraId="36D8A297"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247.280,00</w:t>
            </w:r>
          </w:p>
        </w:tc>
        <w:tc>
          <w:tcPr>
            <w:tcW w:w="1400" w:type="dxa"/>
            <w:tcBorders>
              <w:top w:val="nil"/>
              <w:left w:val="nil"/>
              <w:bottom w:val="nil"/>
              <w:right w:val="nil"/>
            </w:tcBorders>
            <w:shd w:val="clear" w:color="000000" w:fill="1D4BB3"/>
            <w:noWrap/>
            <w:vAlign w:val="bottom"/>
            <w:hideMark/>
          </w:tcPr>
          <w:p w14:paraId="2FE25512"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90,73%</w:t>
            </w:r>
          </w:p>
        </w:tc>
      </w:tr>
      <w:tr w:rsidR="00A360DB" w:rsidRPr="00A360DB" w14:paraId="71F26E9F" w14:textId="77777777" w:rsidTr="00A360DB">
        <w:trPr>
          <w:trHeight w:val="240"/>
        </w:trPr>
        <w:tc>
          <w:tcPr>
            <w:tcW w:w="1697" w:type="dxa"/>
            <w:tcBorders>
              <w:top w:val="nil"/>
              <w:left w:val="nil"/>
              <w:bottom w:val="nil"/>
              <w:right w:val="nil"/>
            </w:tcBorders>
            <w:shd w:val="clear" w:color="000000" w:fill="B4C6E7"/>
            <w:noWrap/>
            <w:vAlign w:val="bottom"/>
            <w:hideMark/>
          </w:tcPr>
          <w:p w14:paraId="593E8815"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A102101</w:t>
            </w:r>
          </w:p>
        </w:tc>
        <w:tc>
          <w:tcPr>
            <w:tcW w:w="8509" w:type="dxa"/>
            <w:tcBorders>
              <w:top w:val="nil"/>
              <w:left w:val="nil"/>
              <w:bottom w:val="nil"/>
              <w:right w:val="nil"/>
            </w:tcBorders>
            <w:shd w:val="clear" w:color="000000" w:fill="B4C6E7"/>
            <w:noWrap/>
            <w:vAlign w:val="bottom"/>
            <w:hideMark/>
          </w:tcPr>
          <w:p w14:paraId="4EF78417"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Redovan rad upravnog odjela</w:t>
            </w:r>
          </w:p>
        </w:tc>
        <w:tc>
          <w:tcPr>
            <w:tcW w:w="1480" w:type="dxa"/>
            <w:tcBorders>
              <w:top w:val="nil"/>
              <w:left w:val="nil"/>
              <w:bottom w:val="nil"/>
              <w:right w:val="nil"/>
            </w:tcBorders>
            <w:shd w:val="clear" w:color="000000" w:fill="B4C6E7"/>
            <w:noWrap/>
            <w:vAlign w:val="bottom"/>
            <w:hideMark/>
          </w:tcPr>
          <w:p w14:paraId="089346D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243.556,86</w:t>
            </w:r>
          </w:p>
        </w:tc>
        <w:tc>
          <w:tcPr>
            <w:tcW w:w="1380" w:type="dxa"/>
            <w:tcBorders>
              <w:top w:val="nil"/>
              <w:left w:val="nil"/>
              <w:bottom w:val="nil"/>
              <w:right w:val="nil"/>
            </w:tcBorders>
            <w:shd w:val="clear" w:color="000000" w:fill="B4C6E7"/>
            <w:noWrap/>
            <w:vAlign w:val="bottom"/>
            <w:hideMark/>
          </w:tcPr>
          <w:p w14:paraId="1512645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224.839,11</w:t>
            </w:r>
          </w:p>
        </w:tc>
        <w:tc>
          <w:tcPr>
            <w:tcW w:w="1400" w:type="dxa"/>
            <w:tcBorders>
              <w:top w:val="nil"/>
              <w:left w:val="nil"/>
              <w:bottom w:val="nil"/>
              <w:right w:val="nil"/>
            </w:tcBorders>
            <w:shd w:val="clear" w:color="000000" w:fill="B4C6E7"/>
            <w:noWrap/>
            <w:vAlign w:val="bottom"/>
            <w:hideMark/>
          </w:tcPr>
          <w:p w14:paraId="7D9FAE6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92,31%</w:t>
            </w:r>
          </w:p>
        </w:tc>
      </w:tr>
      <w:tr w:rsidR="00A360DB" w:rsidRPr="00A360DB" w14:paraId="60B4A935"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C8AB56E"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705F3DE9"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240.500,00</w:t>
            </w:r>
          </w:p>
        </w:tc>
        <w:tc>
          <w:tcPr>
            <w:tcW w:w="1380" w:type="dxa"/>
            <w:tcBorders>
              <w:top w:val="nil"/>
              <w:left w:val="nil"/>
              <w:bottom w:val="nil"/>
              <w:right w:val="nil"/>
            </w:tcBorders>
            <w:shd w:val="clear" w:color="auto" w:fill="auto"/>
            <w:noWrap/>
            <w:vAlign w:val="bottom"/>
            <w:hideMark/>
          </w:tcPr>
          <w:p w14:paraId="10D704B7"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221.782,25</w:t>
            </w:r>
          </w:p>
        </w:tc>
        <w:tc>
          <w:tcPr>
            <w:tcW w:w="1400" w:type="dxa"/>
            <w:tcBorders>
              <w:top w:val="nil"/>
              <w:left w:val="nil"/>
              <w:bottom w:val="nil"/>
              <w:right w:val="nil"/>
            </w:tcBorders>
            <w:shd w:val="clear" w:color="auto" w:fill="auto"/>
            <w:noWrap/>
            <w:vAlign w:val="bottom"/>
            <w:hideMark/>
          </w:tcPr>
          <w:p w14:paraId="23DC97B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92,22%</w:t>
            </w:r>
          </w:p>
        </w:tc>
      </w:tr>
      <w:tr w:rsidR="00A360DB" w:rsidRPr="00A360DB" w14:paraId="08EDF2C5"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DCC47C6"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70EA318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240.500,00</w:t>
            </w:r>
          </w:p>
        </w:tc>
        <w:tc>
          <w:tcPr>
            <w:tcW w:w="1380" w:type="dxa"/>
            <w:tcBorders>
              <w:top w:val="nil"/>
              <w:left w:val="nil"/>
              <w:bottom w:val="nil"/>
              <w:right w:val="nil"/>
            </w:tcBorders>
            <w:shd w:val="clear" w:color="auto" w:fill="auto"/>
            <w:noWrap/>
            <w:vAlign w:val="bottom"/>
            <w:hideMark/>
          </w:tcPr>
          <w:p w14:paraId="637ABD2A"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221.782,25</w:t>
            </w:r>
          </w:p>
        </w:tc>
        <w:tc>
          <w:tcPr>
            <w:tcW w:w="1400" w:type="dxa"/>
            <w:tcBorders>
              <w:top w:val="nil"/>
              <w:left w:val="nil"/>
              <w:bottom w:val="nil"/>
              <w:right w:val="nil"/>
            </w:tcBorders>
            <w:shd w:val="clear" w:color="auto" w:fill="auto"/>
            <w:noWrap/>
            <w:vAlign w:val="bottom"/>
            <w:hideMark/>
          </w:tcPr>
          <w:p w14:paraId="76B7EC37"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92,22%</w:t>
            </w:r>
          </w:p>
        </w:tc>
      </w:tr>
      <w:tr w:rsidR="00A360DB" w:rsidRPr="00A360DB" w14:paraId="2A01C170" w14:textId="77777777" w:rsidTr="00A360DB">
        <w:trPr>
          <w:trHeight w:val="240"/>
        </w:trPr>
        <w:tc>
          <w:tcPr>
            <w:tcW w:w="1697" w:type="dxa"/>
            <w:tcBorders>
              <w:top w:val="nil"/>
              <w:left w:val="nil"/>
              <w:bottom w:val="nil"/>
              <w:right w:val="nil"/>
            </w:tcBorders>
            <w:shd w:val="clear" w:color="auto" w:fill="auto"/>
            <w:noWrap/>
            <w:vAlign w:val="bottom"/>
            <w:hideMark/>
          </w:tcPr>
          <w:p w14:paraId="2B871B8D"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31</w:t>
            </w:r>
          </w:p>
        </w:tc>
        <w:tc>
          <w:tcPr>
            <w:tcW w:w="8509" w:type="dxa"/>
            <w:tcBorders>
              <w:top w:val="nil"/>
              <w:left w:val="nil"/>
              <w:bottom w:val="nil"/>
              <w:right w:val="nil"/>
            </w:tcBorders>
            <w:shd w:val="clear" w:color="auto" w:fill="auto"/>
            <w:noWrap/>
            <w:vAlign w:val="bottom"/>
            <w:hideMark/>
          </w:tcPr>
          <w:p w14:paraId="7938BB99"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zaposlene                                                                                </w:t>
            </w:r>
          </w:p>
        </w:tc>
        <w:tc>
          <w:tcPr>
            <w:tcW w:w="1480" w:type="dxa"/>
            <w:tcBorders>
              <w:top w:val="nil"/>
              <w:left w:val="nil"/>
              <w:bottom w:val="nil"/>
              <w:right w:val="nil"/>
            </w:tcBorders>
            <w:shd w:val="clear" w:color="auto" w:fill="auto"/>
            <w:noWrap/>
            <w:vAlign w:val="bottom"/>
            <w:hideMark/>
          </w:tcPr>
          <w:p w14:paraId="1081D27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161.000,00</w:t>
            </w:r>
          </w:p>
        </w:tc>
        <w:tc>
          <w:tcPr>
            <w:tcW w:w="1380" w:type="dxa"/>
            <w:tcBorders>
              <w:top w:val="nil"/>
              <w:left w:val="nil"/>
              <w:bottom w:val="nil"/>
              <w:right w:val="nil"/>
            </w:tcBorders>
            <w:shd w:val="clear" w:color="auto" w:fill="auto"/>
            <w:noWrap/>
            <w:vAlign w:val="bottom"/>
            <w:hideMark/>
          </w:tcPr>
          <w:p w14:paraId="5F732E9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155.580,57</w:t>
            </w:r>
          </w:p>
        </w:tc>
        <w:tc>
          <w:tcPr>
            <w:tcW w:w="1400" w:type="dxa"/>
            <w:tcBorders>
              <w:top w:val="nil"/>
              <w:left w:val="nil"/>
              <w:bottom w:val="nil"/>
              <w:right w:val="nil"/>
            </w:tcBorders>
            <w:shd w:val="clear" w:color="auto" w:fill="auto"/>
            <w:noWrap/>
            <w:vAlign w:val="bottom"/>
            <w:hideMark/>
          </w:tcPr>
          <w:p w14:paraId="60D016A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96,63%</w:t>
            </w:r>
          </w:p>
        </w:tc>
      </w:tr>
      <w:tr w:rsidR="00A360DB" w:rsidRPr="00A360DB" w14:paraId="70E22702" w14:textId="77777777" w:rsidTr="00A360DB">
        <w:trPr>
          <w:trHeight w:val="240"/>
        </w:trPr>
        <w:tc>
          <w:tcPr>
            <w:tcW w:w="1697" w:type="dxa"/>
            <w:tcBorders>
              <w:top w:val="nil"/>
              <w:left w:val="nil"/>
              <w:bottom w:val="nil"/>
              <w:right w:val="nil"/>
            </w:tcBorders>
            <w:shd w:val="clear" w:color="auto" w:fill="auto"/>
            <w:noWrap/>
            <w:vAlign w:val="bottom"/>
            <w:hideMark/>
          </w:tcPr>
          <w:p w14:paraId="2066A51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3111</w:t>
            </w:r>
          </w:p>
        </w:tc>
        <w:tc>
          <w:tcPr>
            <w:tcW w:w="8509" w:type="dxa"/>
            <w:tcBorders>
              <w:top w:val="nil"/>
              <w:left w:val="nil"/>
              <w:bottom w:val="nil"/>
              <w:right w:val="nil"/>
            </w:tcBorders>
            <w:shd w:val="clear" w:color="auto" w:fill="auto"/>
            <w:noWrap/>
            <w:vAlign w:val="bottom"/>
            <w:hideMark/>
          </w:tcPr>
          <w:p w14:paraId="1CD7BD5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Plaće za redovan rad                                                                                </w:t>
            </w:r>
          </w:p>
        </w:tc>
        <w:tc>
          <w:tcPr>
            <w:tcW w:w="1480" w:type="dxa"/>
            <w:tcBorders>
              <w:top w:val="nil"/>
              <w:left w:val="nil"/>
              <w:bottom w:val="nil"/>
              <w:right w:val="nil"/>
            </w:tcBorders>
            <w:shd w:val="clear" w:color="auto" w:fill="auto"/>
            <w:noWrap/>
            <w:vAlign w:val="bottom"/>
            <w:hideMark/>
          </w:tcPr>
          <w:p w14:paraId="1B889578"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1DAD9A9"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136.013,81</w:t>
            </w:r>
          </w:p>
        </w:tc>
        <w:tc>
          <w:tcPr>
            <w:tcW w:w="1400" w:type="dxa"/>
            <w:tcBorders>
              <w:top w:val="nil"/>
              <w:left w:val="nil"/>
              <w:bottom w:val="nil"/>
              <w:right w:val="nil"/>
            </w:tcBorders>
            <w:shd w:val="clear" w:color="auto" w:fill="auto"/>
            <w:noWrap/>
            <w:vAlign w:val="bottom"/>
            <w:hideMark/>
          </w:tcPr>
          <w:p w14:paraId="23DD03A9"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AEBB5DE" w14:textId="77777777" w:rsidTr="00A360DB">
        <w:trPr>
          <w:trHeight w:val="240"/>
        </w:trPr>
        <w:tc>
          <w:tcPr>
            <w:tcW w:w="1697" w:type="dxa"/>
            <w:tcBorders>
              <w:top w:val="nil"/>
              <w:left w:val="nil"/>
              <w:bottom w:val="nil"/>
              <w:right w:val="nil"/>
            </w:tcBorders>
            <w:shd w:val="clear" w:color="auto" w:fill="auto"/>
            <w:noWrap/>
            <w:vAlign w:val="bottom"/>
            <w:hideMark/>
          </w:tcPr>
          <w:p w14:paraId="2EFF75E8"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3132</w:t>
            </w:r>
          </w:p>
        </w:tc>
        <w:tc>
          <w:tcPr>
            <w:tcW w:w="8509" w:type="dxa"/>
            <w:tcBorders>
              <w:top w:val="nil"/>
              <w:left w:val="nil"/>
              <w:bottom w:val="nil"/>
              <w:right w:val="nil"/>
            </w:tcBorders>
            <w:shd w:val="clear" w:color="auto" w:fill="auto"/>
            <w:noWrap/>
            <w:vAlign w:val="bottom"/>
            <w:hideMark/>
          </w:tcPr>
          <w:p w14:paraId="195B1AA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Doprinosi za obvezno zdravstveno osiguranje                                                         </w:t>
            </w:r>
          </w:p>
        </w:tc>
        <w:tc>
          <w:tcPr>
            <w:tcW w:w="1480" w:type="dxa"/>
            <w:tcBorders>
              <w:top w:val="nil"/>
              <w:left w:val="nil"/>
              <w:bottom w:val="nil"/>
              <w:right w:val="nil"/>
            </w:tcBorders>
            <w:shd w:val="clear" w:color="auto" w:fill="auto"/>
            <w:noWrap/>
            <w:vAlign w:val="bottom"/>
            <w:hideMark/>
          </w:tcPr>
          <w:p w14:paraId="571941B1"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EFA0DC5"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19.566,76</w:t>
            </w:r>
          </w:p>
        </w:tc>
        <w:tc>
          <w:tcPr>
            <w:tcW w:w="1400" w:type="dxa"/>
            <w:tcBorders>
              <w:top w:val="nil"/>
              <w:left w:val="nil"/>
              <w:bottom w:val="nil"/>
              <w:right w:val="nil"/>
            </w:tcBorders>
            <w:shd w:val="clear" w:color="auto" w:fill="auto"/>
            <w:noWrap/>
            <w:vAlign w:val="bottom"/>
            <w:hideMark/>
          </w:tcPr>
          <w:p w14:paraId="59EF430A"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4EF7F0E" w14:textId="77777777" w:rsidTr="00A360DB">
        <w:trPr>
          <w:trHeight w:val="240"/>
        </w:trPr>
        <w:tc>
          <w:tcPr>
            <w:tcW w:w="1697" w:type="dxa"/>
            <w:tcBorders>
              <w:top w:val="nil"/>
              <w:left w:val="nil"/>
              <w:bottom w:val="nil"/>
              <w:right w:val="nil"/>
            </w:tcBorders>
            <w:shd w:val="clear" w:color="auto" w:fill="auto"/>
            <w:noWrap/>
            <w:vAlign w:val="bottom"/>
            <w:hideMark/>
          </w:tcPr>
          <w:p w14:paraId="4FACDA51"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35403902"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7BD7C48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69.200,00</w:t>
            </w:r>
          </w:p>
        </w:tc>
        <w:tc>
          <w:tcPr>
            <w:tcW w:w="1380" w:type="dxa"/>
            <w:tcBorders>
              <w:top w:val="nil"/>
              <w:left w:val="nil"/>
              <w:bottom w:val="nil"/>
              <w:right w:val="nil"/>
            </w:tcBorders>
            <w:shd w:val="clear" w:color="auto" w:fill="auto"/>
            <w:noWrap/>
            <w:vAlign w:val="bottom"/>
            <w:hideMark/>
          </w:tcPr>
          <w:p w14:paraId="1F9CA30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57.519,03</w:t>
            </w:r>
          </w:p>
        </w:tc>
        <w:tc>
          <w:tcPr>
            <w:tcW w:w="1400" w:type="dxa"/>
            <w:tcBorders>
              <w:top w:val="nil"/>
              <w:left w:val="nil"/>
              <w:bottom w:val="nil"/>
              <w:right w:val="nil"/>
            </w:tcBorders>
            <w:shd w:val="clear" w:color="auto" w:fill="auto"/>
            <w:noWrap/>
            <w:vAlign w:val="bottom"/>
            <w:hideMark/>
          </w:tcPr>
          <w:p w14:paraId="5728025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83,12%</w:t>
            </w:r>
          </w:p>
        </w:tc>
      </w:tr>
      <w:tr w:rsidR="00A360DB" w:rsidRPr="00A360DB" w14:paraId="00571974" w14:textId="77777777" w:rsidTr="00A360DB">
        <w:trPr>
          <w:trHeight w:val="240"/>
        </w:trPr>
        <w:tc>
          <w:tcPr>
            <w:tcW w:w="1697" w:type="dxa"/>
            <w:tcBorders>
              <w:top w:val="nil"/>
              <w:left w:val="nil"/>
              <w:bottom w:val="nil"/>
              <w:right w:val="nil"/>
            </w:tcBorders>
            <w:shd w:val="clear" w:color="auto" w:fill="auto"/>
            <w:noWrap/>
            <w:vAlign w:val="bottom"/>
            <w:hideMark/>
          </w:tcPr>
          <w:p w14:paraId="62EA0AA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3211</w:t>
            </w:r>
          </w:p>
        </w:tc>
        <w:tc>
          <w:tcPr>
            <w:tcW w:w="8509" w:type="dxa"/>
            <w:tcBorders>
              <w:top w:val="nil"/>
              <w:left w:val="nil"/>
              <w:bottom w:val="nil"/>
              <w:right w:val="nil"/>
            </w:tcBorders>
            <w:shd w:val="clear" w:color="auto" w:fill="auto"/>
            <w:noWrap/>
            <w:vAlign w:val="bottom"/>
            <w:hideMark/>
          </w:tcPr>
          <w:p w14:paraId="47A8CA2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Službena putovanja                                                                                  </w:t>
            </w:r>
          </w:p>
        </w:tc>
        <w:tc>
          <w:tcPr>
            <w:tcW w:w="1480" w:type="dxa"/>
            <w:tcBorders>
              <w:top w:val="nil"/>
              <w:left w:val="nil"/>
              <w:bottom w:val="nil"/>
              <w:right w:val="nil"/>
            </w:tcBorders>
            <w:shd w:val="clear" w:color="auto" w:fill="auto"/>
            <w:noWrap/>
            <w:vAlign w:val="bottom"/>
            <w:hideMark/>
          </w:tcPr>
          <w:p w14:paraId="3160B15C"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580D2D0"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233,00</w:t>
            </w:r>
          </w:p>
        </w:tc>
        <w:tc>
          <w:tcPr>
            <w:tcW w:w="1400" w:type="dxa"/>
            <w:tcBorders>
              <w:top w:val="nil"/>
              <w:left w:val="nil"/>
              <w:bottom w:val="nil"/>
              <w:right w:val="nil"/>
            </w:tcBorders>
            <w:shd w:val="clear" w:color="auto" w:fill="auto"/>
            <w:noWrap/>
            <w:vAlign w:val="bottom"/>
            <w:hideMark/>
          </w:tcPr>
          <w:p w14:paraId="1A245ED7"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5C4C6F2" w14:textId="77777777" w:rsidTr="00A360DB">
        <w:trPr>
          <w:trHeight w:val="240"/>
        </w:trPr>
        <w:tc>
          <w:tcPr>
            <w:tcW w:w="1697" w:type="dxa"/>
            <w:tcBorders>
              <w:top w:val="nil"/>
              <w:left w:val="nil"/>
              <w:bottom w:val="nil"/>
              <w:right w:val="nil"/>
            </w:tcBorders>
            <w:shd w:val="clear" w:color="auto" w:fill="auto"/>
            <w:noWrap/>
            <w:vAlign w:val="bottom"/>
            <w:hideMark/>
          </w:tcPr>
          <w:p w14:paraId="2878253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3212</w:t>
            </w:r>
          </w:p>
        </w:tc>
        <w:tc>
          <w:tcPr>
            <w:tcW w:w="8509" w:type="dxa"/>
            <w:tcBorders>
              <w:top w:val="nil"/>
              <w:left w:val="nil"/>
              <w:bottom w:val="nil"/>
              <w:right w:val="nil"/>
            </w:tcBorders>
            <w:shd w:val="clear" w:color="auto" w:fill="auto"/>
            <w:noWrap/>
            <w:vAlign w:val="bottom"/>
            <w:hideMark/>
          </w:tcPr>
          <w:p w14:paraId="2438CA6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Naknade za prijevoz, za rad na terenu i odvojeni život                                              </w:t>
            </w:r>
          </w:p>
        </w:tc>
        <w:tc>
          <w:tcPr>
            <w:tcW w:w="1480" w:type="dxa"/>
            <w:tcBorders>
              <w:top w:val="nil"/>
              <w:left w:val="nil"/>
              <w:bottom w:val="nil"/>
              <w:right w:val="nil"/>
            </w:tcBorders>
            <w:shd w:val="clear" w:color="auto" w:fill="auto"/>
            <w:noWrap/>
            <w:vAlign w:val="bottom"/>
            <w:hideMark/>
          </w:tcPr>
          <w:p w14:paraId="31B8EF30"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1EBCD942"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2.530,59</w:t>
            </w:r>
          </w:p>
        </w:tc>
        <w:tc>
          <w:tcPr>
            <w:tcW w:w="1400" w:type="dxa"/>
            <w:tcBorders>
              <w:top w:val="nil"/>
              <w:left w:val="nil"/>
              <w:bottom w:val="nil"/>
              <w:right w:val="nil"/>
            </w:tcBorders>
            <w:shd w:val="clear" w:color="auto" w:fill="auto"/>
            <w:noWrap/>
            <w:vAlign w:val="bottom"/>
            <w:hideMark/>
          </w:tcPr>
          <w:p w14:paraId="4DE78421"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DBD52B3" w14:textId="77777777" w:rsidTr="00A360DB">
        <w:trPr>
          <w:trHeight w:val="240"/>
        </w:trPr>
        <w:tc>
          <w:tcPr>
            <w:tcW w:w="1697" w:type="dxa"/>
            <w:tcBorders>
              <w:top w:val="nil"/>
              <w:left w:val="nil"/>
              <w:bottom w:val="nil"/>
              <w:right w:val="nil"/>
            </w:tcBorders>
            <w:shd w:val="clear" w:color="auto" w:fill="auto"/>
            <w:noWrap/>
            <w:vAlign w:val="bottom"/>
            <w:hideMark/>
          </w:tcPr>
          <w:p w14:paraId="29110D67"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3213</w:t>
            </w:r>
          </w:p>
        </w:tc>
        <w:tc>
          <w:tcPr>
            <w:tcW w:w="8509" w:type="dxa"/>
            <w:tcBorders>
              <w:top w:val="nil"/>
              <w:left w:val="nil"/>
              <w:bottom w:val="nil"/>
              <w:right w:val="nil"/>
            </w:tcBorders>
            <w:shd w:val="clear" w:color="auto" w:fill="auto"/>
            <w:noWrap/>
            <w:vAlign w:val="bottom"/>
            <w:hideMark/>
          </w:tcPr>
          <w:p w14:paraId="0E3BF9F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Stručno usavršavanje zaposlenika                                                                    </w:t>
            </w:r>
          </w:p>
        </w:tc>
        <w:tc>
          <w:tcPr>
            <w:tcW w:w="1480" w:type="dxa"/>
            <w:tcBorders>
              <w:top w:val="nil"/>
              <w:left w:val="nil"/>
              <w:bottom w:val="nil"/>
              <w:right w:val="nil"/>
            </w:tcBorders>
            <w:shd w:val="clear" w:color="auto" w:fill="auto"/>
            <w:noWrap/>
            <w:vAlign w:val="bottom"/>
            <w:hideMark/>
          </w:tcPr>
          <w:p w14:paraId="2DF05E01"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95322D4"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714,38</w:t>
            </w:r>
          </w:p>
        </w:tc>
        <w:tc>
          <w:tcPr>
            <w:tcW w:w="1400" w:type="dxa"/>
            <w:tcBorders>
              <w:top w:val="nil"/>
              <w:left w:val="nil"/>
              <w:bottom w:val="nil"/>
              <w:right w:val="nil"/>
            </w:tcBorders>
            <w:shd w:val="clear" w:color="auto" w:fill="auto"/>
            <w:noWrap/>
            <w:vAlign w:val="bottom"/>
            <w:hideMark/>
          </w:tcPr>
          <w:p w14:paraId="056C1063"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8D702D0" w14:textId="77777777" w:rsidTr="00A360DB">
        <w:trPr>
          <w:trHeight w:val="240"/>
        </w:trPr>
        <w:tc>
          <w:tcPr>
            <w:tcW w:w="1697" w:type="dxa"/>
            <w:tcBorders>
              <w:top w:val="nil"/>
              <w:left w:val="nil"/>
              <w:bottom w:val="nil"/>
              <w:right w:val="nil"/>
            </w:tcBorders>
            <w:shd w:val="clear" w:color="auto" w:fill="auto"/>
            <w:noWrap/>
            <w:vAlign w:val="bottom"/>
            <w:hideMark/>
          </w:tcPr>
          <w:p w14:paraId="031A615E"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3235</w:t>
            </w:r>
          </w:p>
        </w:tc>
        <w:tc>
          <w:tcPr>
            <w:tcW w:w="8509" w:type="dxa"/>
            <w:tcBorders>
              <w:top w:val="nil"/>
              <w:left w:val="nil"/>
              <w:bottom w:val="nil"/>
              <w:right w:val="nil"/>
            </w:tcBorders>
            <w:shd w:val="clear" w:color="auto" w:fill="auto"/>
            <w:noWrap/>
            <w:vAlign w:val="bottom"/>
            <w:hideMark/>
          </w:tcPr>
          <w:p w14:paraId="2615F97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Zakupnine i najamnine                                                                               </w:t>
            </w:r>
          </w:p>
        </w:tc>
        <w:tc>
          <w:tcPr>
            <w:tcW w:w="1480" w:type="dxa"/>
            <w:tcBorders>
              <w:top w:val="nil"/>
              <w:left w:val="nil"/>
              <w:bottom w:val="nil"/>
              <w:right w:val="nil"/>
            </w:tcBorders>
            <w:shd w:val="clear" w:color="auto" w:fill="auto"/>
            <w:noWrap/>
            <w:vAlign w:val="bottom"/>
            <w:hideMark/>
          </w:tcPr>
          <w:p w14:paraId="340F1090"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0FB2ABF"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4.100,45</w:t>
            </w:r>
          </w:p>
        </w:tc>
        <w:tc>
          <w:tcPr>
            <w:tcW w:w="1400" w:type="dxa"/>
            <w:tcBorders>
              <w:top w:val="nil"/>
              <w:left w:val="nil"/>
              <w:bottom w:val="nil"/>
              <w:right w:val="nil"/>
            </w:tcBorders>
            <w:shd w:val="clear" w:color="auto" w:fill="auto"/>
            <w:noWrap/>
            <w:vAlign w:val="bottom"/>
            <w:hideMark/>
          </w:tcPr>
          <w:p w14:paraId="7EA3B155"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7DCCB21" w14:textId="77777777" w:rsidTr="00A360DB">
        <w:trPr>
          <w:trHeight w:val="240"/>
        </w:trPr>
        <w:tc>
          <w:tcPr>
            <w:tcW w:w="1697" w:type="dxa"/>
            <w:tcBorders>
              <w:top w:val="nil"/>
              <w:left w:val="nil"/>
              <w:bottom w:val="nil"/>
              <w:right w:val="nil"/>
            </w:tcBorders>
            <w:shd w:val="clear" w:color="auto" w:fill="auto"/>
            <w:noWrap/>
            <w:vAlign w:val="bottom"/>
            <w:hideMark/>
          </w:tcPr>
          <w:p w14:paraId="1B93C5F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3238</w:t>
            </w:r>
          </w:p>
        </w:tc>
        <w:tc>
          <w:tcPr>
            <w:tcW w:w="8509" w:type="dxa"/>
            <w:tcBorders>
              <w:top w:val="nil"/>
              <w:left w:val="nil"/>
              <w:bottom w:val="nil"/>
              <w:right w:val="nil"/>
            </w:tcBorders>
            <w:shd w:val="clear" w:color="auto" w:fill="auto"/>
            <w:noWrap/>
            <w:vAlign w:val="bottom"/>
            <w:hideMark/>
          </w:tcPr>
          <w:p w14:paraId="0F1F98B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Računalne usluge                                                                                    </w:t>
            </w:r>
          </w:p>
        </w:tc>
        <w:tc>
          <w:tcPr>
            <w:tcW w:w="1480" w:type="dxa"/>
            <w:tcBorders>
              <w:top w:val="nil"/>
              <w:left w:val="nil"/>
              <w:bottom w:val="nil"/>
              <w:right w:val="nil"/>
            </w:tcBorders>
            <w:shd w:val="clear" w:color="auto" w:fill="auto"/>
            <w:noWrap/>
            <w:vAlign w:val="bottom"/>
            <w:hideMark/>
          </w:tcPr>
          <w:p w14:paraId="4A32461F"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5B90276"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49.940,61</w:t>
            </w:r>
          </w:p>
        </w:tc>
        <w:tc>
          <w:tcPr>
            <w:tcW w:w="1400" w:type="dxa"/>
            <w:tcBorders>
              <w:top w:val="nil"/>
              <w:left w:val="nil"/>
              <w:bottom w:val="nil"/>
              <w:right w:val="nil"/>
            </w:tcBorders>
            <w:shd w:val="clear" w:color="auto" w:fill="auto"/>
            <w:noWrap/>
            <w:vAlign w:val="bottom"/>
            <w:hideMark/>
          </w:tcPr>
          <w:p w14:paraId="25A00B43"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2DBA628" w14:textId="77777777" w:rsidTr="00A360DB">
        <w:trPr>
          <w:trHeight w:val="240"/>
        </w:trPr>
        <w:tc>
          <w:tcPr>
            <w:tcW w:w="1697" w:type="dxa"/>
            <w:tcBorders>
              <w:top w:val="nil"/>
              <w:left w:val="nil"/>
              <w:bottom w:val="nil"/>
              <w:right w:val="nil"/>
            </w:tcBorders>
            <w:shd w:val="clear" w:color="auto" w:fill="auto"/>
            <w:noWrap/>
            <w:vAlign w:val="bottom"/>
            <w:hideMark/>
          </w:tcPr>
          <w:p w14:paraId="3C6976E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34</w:t>
            </w:r>
          </w:p>
        </w:tc>
        <w:tc>
          <w:tcPr>
            <w:tcW w:w="8509" w:type="dxa"/>
            <w:tcBorders>
              <w:top w:val="nil"/>
              <w:left w:val="nil"/>
              <w:bottom w:val="nil"/>
              <w:right w:val="nil"/>
            </w:tcBorders>
            <w:shd w:val="clear" w:color="auto" w:fill="auto"/>
            <w:noWrap/>
            <w:vAlign w:val="bottom"/>
            <w:hideMark/>
          </w:tcPr>
          <w:p w14:paraId="35031B17"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Financijski rashodi                                                                                 </w:t>
            </w:r>
          </w:p>
        </w:tc>
        <w:tc>
          <w:tcPr>
            <w:tcW w:w="1480" w:type="dxa"/>
            <w:tcBorders>
              <w:top w:val="nil"/>
              <w:left w:val="nil"/>
              <w:bottom w:val="nil"/>
              <w:right w:val="nil"/>
            </w:tcBorders>
            <w:shd w:val="clear" w:color="auto" w:fill="auto"/>
            <w:noWrap/>
            <w:vAlign w:val="bottom"/>
            <w:hideMark/>
          </w:tcPr>
          <w:p w14:paraId="53330A6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10.300,00</w:t>
            </w:r>
          </w:p>
        </w:tc>
        <w:tc>
          <w:tcPr>
            <w:tcW w:w="1380" w:type="dxa"/>
            <w:tcBorders>
              <w:top w:val="nil"/>
              <w:left w:val="nil"/>
              <w:bottom w:val="nil"/>
              <w:right w:val="nil"/>
            </w:tcBorders>
            <w:shd w:val="clear" w:color="auto" w:fill="auto"/>
            <w:noWrap/>
            <w:vAlign w:val="bottom"/>
            <w:hideMark/>
          </w:tcPr>
          <w:p w14:paraId="68233BC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8.682,65</w:t>
            </w:r>
          </w:p>
        </w:tc>
        <w:tc>
          <w:tcPr>
            <w:tcW w:w="1400" w:type="dxa"/>
            <w:tcBorders>
              <w:top w:val="nil"/>
              <w:left w:val="nil"/>
              <w:bottom w:val="nil"/>
              <w:right w:val="nil"/>
            </w:tcBorders>
            <w:shd w:val="clear" w:color="auto" w:fill="auto"/>
            <w:noWrap/>
            <w:vAlign w:val="bottom"/>
            <w:hideMark/>
          </w:tcPr>
          <w:p w14:paraId="2ABA29A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84,30%</w:t>
            </w:r>
          </w:p>
        </w:tc>
      </w:tr>
      <w:tr w:rsidR="00A360DB" w:rsidRPr="00A360DB" w14:paraId="7F240200" w14:textId="77777777" w:rsidTr="00A360DB">
        <w:trPr>
          <w:trHeight w:val="240"/>
        </w:trPr>
        <w:tc>
          <w:tcPr>
            <w:tcW w:w="1697" w:type="dxa"/>
            <w:tcBorders>
              <w:top w:val="nil"/>
              <w:left w:val="nil"/>
              <w:bottom w:val="nil"/>
              <w:right w:val="nil"/>
            </w:tcBorders>
            <w:shd w:val="clear" w:color="auto" w:fill="auto"/>
            <w:noWrap/>
            <w:vAlign w:val="bottom"/>
            <w:hideMark/>
          </w:tcPr>
          <w:p w14:paraId="7F822DD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3431</w:t>
            </w:r>
          </w:p>
        </w:tc>
        <w:tc>
          <w:tcPr>
            <w:tcW w:w="8509" w:type="dxa"/>
            <w:tcBorders>
              <w:top w:val="nil"/>
              <w:left w:val="nil"/>
              <w:bottom w:val="nil"/>
              <w:right w:val="nil"/>
            </w:tcBorders>
            <w:shd w:val="clear" w:color="auto" w:fill="auto"/>
            <w:noWrap/>
            <w:vAlign w:val="bottom"/>
            <w:hideMark/>
          </w:tcPr>
          <w:p w14:paraId="40264F4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Bankarske usluge i usluge platnog prometa                                                           </w:t>
            </w:r>
          </w:p>
        </w:tc>
        <w:tc>
          <w:tcPr>
            <w:tcW w:w="1480" w:type="dxa"/>
            <w:tcBorders>
              <w:top w:val="nil"/>
              <w:left w:val="nil"/>
              <w:bottom w:val="nil"/>
              <w:right w:val="nil"/>
            </w:tcBorders>
            <w:shd w:val="clear" w:color="auto" w:fill="auto"/>
            <w:noWrap/>
            <w:vAlign w:val="bottom"/>
            <w:hideMark/>
          </w:tcPr>
          <w:p w14:paraId="18BB2DAF"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5FD44779"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8.678,30</w:t>
            </w:r>
          </w:p>
        </w:tc>
        <w:tc>
          <w:tcPr>
            <w:tcW w:w="1400" w:type="dxa"/>
            <w:tcBorders>
              <w:top w:val="nil"/>
              <w:left w:val="nil"/>
              <w:bottom w:val="nil"/>
              <w:right w:val="nil"/>
            </w:tcBorders>
            <w:shd w:val="clear" w:color="auto" w:fill="auto"/>
            <w:noWrap/>
            <w:vAlign w:val="bottom"/>
            <w:hideMark/>
          </w:tcPr>
          <w:p w14:paraId="6DC6CFEF"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0B0B022" w14:textId="77777777" w:rsidTr="00A360DB">
        <w:trPr>
          <w:trHeight w:val="240"/>
        </w:trPr>
        <w:tc>
          <w:tcPr>
            <w:tcW w:w="1697" w:type="dxa"/>
            <w:tcBorders>
              <w:top w:val="nil"/>
              <w:left w:val="nil"/>
              <w:bottom w:val="nil"/>
              <w:right w:val="nil"/>
            </w:tcBorders>
            <w:shd w:val="clear" w:color="auto" w:fill="auto"/>
            <w:noWrap/>
            <w:vAlign w:val="bottom"/>
            <w:hideMark/>
          </w:tcPr>
          <w:p w14:paraId="236DB5B5"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3433</w:t>
            </w:r>
          </w:p>
        </w:tc>
        <w:tc>
          <w:tcPr>
            <w:tcW w:w="8509" w:type="dxa"/>
            <w:tcBorders>
              <w:top w:val="nil"/>
              <w:left w:val="nil"/>
              <w:bottom w:val="nil"/>
              <w:right w:val="nil"/>
            </w:tcBorders>
            <w:shd w:val="clear" w:color="auto" w:fill="auto"/>
            <w:noWrap/>
            <w:vAlign w:val="bottom"/>
            <w:hideMark/>
          </w:tcPr>
          <w:p w14:paraId="42E0B66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Zatezne kamate                                                                                      </w:t>
            </w:r>
          </w:p>
        </w:tc>
        <w:tc>
          <w:tcPr>
            <w:tcW w:w="1480" w:type="dxa"/>
            <w:tcBorders>
              <w:top w:val="nil"/>
              <w:left w:val="nil"/>
              <w:bottom w:val="nil"/>
              <w:right w:val="nil"/>
            </w:tcBorders>
            <w:shd w:val="clear" w:color="auto" w:fill="auto"/>
            <w:noWrap/>
            <w:vAlign w:val="bottom"/>
            <w:hideMark/>
          </w:tcPr>
          <w:p w14:paraId="41C23222"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520A1C57"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4,35</w:t>
            </w:r>
          </w:p>
        </w:tc>
        <w:tc>
          <w:tcPr>
            <w:tcW w:w="1400" w:type="dxa"/>
            <w:tcBorders>
              <w:top w:val="nil"/>
              <w:left w:val="nil"/>
              <w:bottom w:val="nil"/>
              <w:right w:val="nil"/>
            </w:tcBorders>
            <w:shd w:val="clear" w:color="auto" w:fill="auto"/>
            <w:noWrap/>
            <w:vAlign w:val="bottom"/>
            <w:hideMark/>
          </w:tcPr>
          <w:p w14:paraId="68EE1536"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B16F646"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561B0F6"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9. Višak iz prethodnih razdoblja</w:t>
            </w:r>
          </w:p>
        </w:tc>
        <w:tc>
          <w:tcPr>
            <w:tcW w:w="1480" w:type="dxa"/>
            <w:tcBorders>
              <w:top w:val="nil"/>
              <w:left w:val="nil"/>
              <w:bottom w:val="nil"/>
              <w:right w:val="nil"/>
            </w:tcBorders>
            <w:shd w:val="clear" w:color="auto" w:fill="auto"/>
            <w:noWrap/>
            <w:vAlign w:val="bottom"/>
            <w:hideMark/>
          </w:tcPr>
          <w:p w14:paraId="6FCEB870"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3.056,86</w:t>
            </w:r>
          </w:p>
        </w:tc>
        <w:tc>
          <w:tcPr>
            <w:tcW w:w="1380" w:type="dxa"/>
            <w:tcBorders>
              <w:top w:val="nil"/>
              <w:left w:val="nil"/>
              <w:bottom w:val="nil"/>
              <w:right w:val="nil"/>
            </w:tcBorders>
            <w:shd w:val="clear" w:color="auto" w:fill="auto"/>
            <w:noWrap/>
            <w:vAlign w:val="bottom"/>
            <w:hideMark/>
          </w:tcPr>
          <w:p w14:paraId="6886902E"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3.056,86</w:t>
            </w:r>
          </w:p>
        </w:tc>
        <w:tc>
          <w:tcPr>
            <w:tcW w:w="1400" w:type="dxa"/>
            <w:tcBorders>
              <w:top w:val="nil"/>
              <w:left w:val="nil"/>
              <w:bottom w:val="nil"/>
              <w:right w:val="nil"/>
            </w:tcBorders>
            <w:shd w:val="clear" w:color="auto" w:fill="auto"/>
            <w:noWrap/>
            <w:vAlign w:val="bottom"/>
            <w:hideMark/>
          </w:tcPr>
          <w:p w14:paraId="0D561958"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w:t>
            </w:r>
          </w:p>
        </w:tc>
      </w:tr>
      <w:tr w:rsidR="00A360DB" w:rsidRPr="00A360DB" w14:paraId="0BFA1A43"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AF2A2D5"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9.2. Višak iz prethodnih godina - Grad</w:t>
            </w:r>
          </w:p>
        </w:tc>
        <w:tc>
          <w:tcPr>
            <w:tcW w:w="1480" w:type="dxa"/>
            <w:tcBorders>
              <w:top w:val="nil"/>
              <w:left w:val="nil"/>
              <w:bottom w:val="nil"/>
              <w:right w:val="nil"/>
            </w:tcBorders>
            <w:shd w:val="clear" w:color="auto" w:fill="auto"/>
            <w:noWrap/>
            <w:vAlign w:val="bottom"/>
            <w:hideMark/>
          </w:tcPr>
          <w:p w14:paraId="495DC98D"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3.056,86</w:t>
            </w:r>
          </w:p>
        </w:tc>
        <w:tc>
          <w:tcPr>
            <w:tcW w:w="1380" w:type="dxa"/>
            <w:tcBorders>
              <w:top w:val="nil"/>
              <w:left w:val="nil"/>
              <w:bottom w:val="nil"/>
              <w:right w:val="nil"/>
            </w:tcBorders>
            <w:shd w:val="clear" w:color="auto" w:fill="auto"/>
            <w:noWrap/>
            <w:vAlign w:val="bottom"/>
            <w:hideMark/>
          </w:tcPr>
          <w:p w14:paraId="2E0A0FF3"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3.056,86</w:t>
            </w:r>
          </w:p>
        </w:tc>
        <w:tc>
          <w:tcPr>
            <w:tcW w:w="1400" w:type="dxa"/>
            <w:tcBorders>
              <w:top w:val="nil"/>
              <w:left w:val="nil"/>
              <w:bottom w:val="nil"/>
              <w:right w:val="nil"/>
            </w:tcBorders>
            <w:shd w:val="clear" w:color="auto" w:fill="auto"/>
            <w:noWrap/>
            <w:vAlign w:val="bottom"/>
            <w:hideMark/>
          </w:tcPr>
          <w:p w14:paraId="53129C11"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w:t>
            </w:r>
          </w:p>
        </w:tc>
      </w:tr>
      <w:tr w:rsidR="00A360DB" w:rsidRPr="00A360DB" w14:paraId="74E09BA0" w14:textId="77777777" w:rsidTr="00A360DB">
        <w:trPr>
          <w:trHeight w:val="240"/>
        </w:trPr>
        <w:tc>
          <w:tcPr>
            <w:tcW w:w="1697" w:type="dxa"/>
            <w:tcBorders>
              <w:top w:val="nil"/>
              <w:left w:val="nil"/>
              <w:bottom w:val="nil"/>
              <w:right w:val="nil"/>
            </w:tcBorders>
            <w:shd w:val="clear" w:color="auto" w:fill="auto"/>
            <w:noWrap/>
            <w:vAlign w:val="bottom"/>
            <w:hideMark/>
          </w:tcPr>
          <w:p w14:paraId="14CE26E7"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43B725FD"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64392BF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3.056,86</w:t>
            </w:r>
          </w:p>
        </w:tc>
        <w:tc>
          <w:tcPr>
            <w:tcW w:w="1380" w:type="dxa"/>
            <w:tcBorders>
              <w:top w:val="nil"/>
              <w:left w:val="nil"/>
              <w:bottom w:val="nil"/>
              <w:right w:val="nil"/>
            </w:tcBorders>
            <w:shd w:val="clear" w:color="auto" w:fill="auto"/>
            <w:noWrap/>
            <w:vAlign w:val="bottom"/>
            <w:hideMark/>
          </w:tcPr>
          <w:p w14:paraId="00592A8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3.056,86</w:t>
            </w:r>
          </w:p>
        </w:tc>
        <w:tc>
          <w:tcPr>
            <w:tcW w:w="1400" w:type="dxa"/>
            <w:tcBorders>
              <w:top w:val="nil"/>
              <w:left w:val="nil"/>
              <w:bottom w:val="nil"/>
              <w:right w:val="nil"/>
            </w:tcBorders>
            <w:shd w:val="clear" w:color="auto" w:fill="auto"/>
            <w:noWrap/>
            <w:vAlign w:val="bottom"/>
            <w:hideMark/>
          </w:tcPr>
          <w:p w14:paraId="77C2526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r>
      <w:tr w:rsidR="00A360DB" w:rsidRPr="00A360DB" w14:paraId="61E3EB1D" w14:textId="77777777" w:rsidTr="00A360DB">
        <w:trPr>
          <w:trHeight w:val="240"/>
        </w:trPr>
        <w:tc>
          <w:tcPr>
            <w:tcW w:w="1697" w:type="dxa"/>
            <w:tcBorders>
              <w:top w:val="nil"/>
              <w:left w:val="nil"/>
              <w:bottom w:val="nil"/>
              <w:right w:val="nil"/>
            </w:tcBorders>
            <w:shd w:val="clear" w:color="auto" w:fill="auto"/>
            <w:noWrap/>
            <w:vAlign w:val="bottom"/>
            <w:hideMark/>
          </w:tcPr>
          <w:p w14:paraId="67BF3FB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3238</w:t>
            </w:r>
          </w:p>
        </w:tc>
        <w:tc>
          <w:tcPr>
            <w:tcW w:w="8509" w:type="dxa"/>
            <w:tcBorders>
              <w:top w:val="nil"/>
              <w:left w:val="nil"/>
              <w:bottom w:val="nil"/>
              <w:right w:val="nil"/>
            </w:tcBorders>
            <w:shd w:val="clear" w:color="auto" w:fill="auto"/>
            <w:noWrap/>
            <w:vAlign w:val="bottom"/>
            <w:hideMark/>
          </w:tcPr>
          <w:p w14:paraId="2EFCFDD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Računalne usluge                                                                                    </w:t>
            </w:r>
          </w:p>
        </w:tc>
        <w:tc>
          <w:tcPr>
            <w:tcW w:w="1480" w:type="dxa"/>
            <w:tcBorders>
              <w:top w:val="nil"/>
              <w:left w:val="nil"/>
              <w:bottom w:val="nil"/>
              <w:right w:val="nil"/>
            </w:tcBorders>
            <w:shd w:val="clear" w:color="auto" w:fill="auto"/>
            <w:noWrap/>
            <w:vAlign w:val="bottom"/>
            <w:hideMark/>
          </w:tcPr>
          <w:p w14:paraId="3AA211B2"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68D9A2D"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3.056,86</w:t>
            </w:r>
          </w:p>
        </w:tc>
        <w:tc>
          <w:tcPr>
            <w:tcW w:w="1400" w:type="dxa"/>
            <w:tcBorders>
              <w:top w:val="nil"/>
              <w:left w:val="nil"/>
              <w:bottom w:val="nil"/>
              <w:right w:val="nil"/>
            </w:tcBorders>
            <w:shd w:val="clear" w:color="auto" w:fill="auto"/>
            <w:noWrap/>
            <w:vAlign w:val="bottom"/>
            <w:hideMark/>
          </w:tcPr>
          <w:p w14:paraId="31609940"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5A61D2FB" w14:textId="77777777" w:rsidTr="00A360DB">
        <w:trPr>
          <w:trHeight w:val="240"/>
        </w:trPr>
        <w:tc>
          <w:tcPr>
            <w:tcW w:w="1697" w:type="dxa"/>
            <w:tcBorders>
              <w:top w:val="nil"/>
              <w:left w:val="nil"/>
              <w:bottom w:val="nil"/>
              <w:right w:val="nil"/>
            </w:tcBorders>
            <w:shd w:val="clear" w:color="000000" w:fill="B4C6E7"/>
            <w:noWrap/>
            <w:vAlign w:val="bottom"/>
            <w:hideMark/>
          </w:tcPr>
          <w:p w14:paraId="7FBFA095"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A102102</w:t>
            </w:r>
          </w:p>
        </w:tc>
        <w:tc>
          <w:tcPr>
            <w:tcW w:w="8509" w:type="dxa"/>
            <w:tcBorders>
              <w:top w:val="nil"/>
              <w:left w:val="nil"/>
              <w:bottom w:val="nil"/>
              <w:right w:val="nil"/>
            </w:tcBorders>
            <w:shd w:val="clear" w:color="000000" w:fill="B4C6E7"/>
            <w:noWrap/>
            <w:vAlign w:val="bottom"/>
            <w:hideMark/>
          </w:tcPr>
          <w:p w14:paraId="7580674A"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Zaduživanje</w:t>
            </w:r>
          </w:p>
        </w:tc>
        <w:tc>
          <w:tcPr>
            <w:tcW w:w="1480" w:type="dxa"/>
            <w:tcBorders>
              <w:top w:val="nil"/>
              <w:left w:val="nil"/>
              <w:bottom w:val="nil"/>
              <w:right w:val="nil"/>
            </w:tcBorders>
            <w:shd w:val="clear" w:color="000000" w:fill="B4C6E7"/>
            <w:noWrap/>
            <w:vAlign w:val="bottom"/>
            <w:hideMark/>
          </w:tcPr>
          <w:p w14:paraId="5A07892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27.000,00</w:t>
            </w:r>
          </w:p>
        </w:tc>
        <w:tc>
          <w:tcPr>
            <w:tcW w:w="1380" w:type="dxa"/>
            <w:tcBorders>
              <w:top w:val="nil"/>
              <w:left w:val="nil"/>
              <w:bottom w:val="nil"/>
              <w:right w:val="nil"/>
            </w:tcBorders>
            <w:shd w:val="clear" w:color="000000" w:fill="B4C6E7"/>
            <w:noWrap/>
            <w:vAlign w:val="bottom"/>
            <w:hideMark/>
          </w:tcPr>
          <w:p w14:paraId="6E248B9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22.290,31</w:t>
            </w:r>
          </w:p>
        </w:tc>
        <w:tc>
          <w:tcPr>
            <w:tcW w:w="1400" w:type="dxa"/>
            <w:tcBorders>
              <w:top w:val="nil"/>
              <w:left w:val="nil"/>
              <w:bottom w:val="nil"/>
              <w:right w:val="nil"/>
            </w:tcBorders>
            <w:shd w:val="clear" w:color="000000" w:fill="B4C6E7"/>
            <w:noWrap/>
            <w:vAlign w:val="bottom"/>
            <w:hideMark/>
          </w:tcPr>
          <w:p w14:paraId="0B0BAFB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82,56%</w:t>
            </w:r>
          </w:p>
        </w:tc>
      </w:tr>
      <w:tr w:rsidR="00A360DB" w:rsidRPr="00A360DB" w14:paraId="719E9C11"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5E7C18B"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56F8F3F2"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27.000,00</w:t>
            </w:r>
          </w:p>
        </w:tc>
        <w:tc>
          <w:tcPr>
            <w:tcW w:w="1380" w:type="dxa"/>
            <w:tcBorders>
              <w:top w:val="nil"/>
              <w:left w:val="nil"/>
              <w:bottom w:val="nil"/>
              <w:right w:val="nil"/>
            </w:tcBorders>
            <w:shd w:val="clear" w:color="auto" w:fill="auto"/>
            <w:noWrap/>
            <w:vAlign w:val="bottom"/>
            <w:hideMark/>
          </w:tcPr>
          <w:p w14:paraId="27B36DE5"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22.290,31</w:t>
            </w:r>
          </w:p>
        </w:tc>
        <w:tc>
          <w:tcPr>
            <w:tcW w:w="1400" w:type="dxa"/>
            <w:tcBorders>
              <w:top w:val="nil"/>
              <w:left w:val="nil"/>
              <w:bottom w:val="nil"/>
              <w:right w:val="nil"/>
            </w:tcBorders>
            <w:shd w:val="clear" w:color="auto" w:fill="auto"/>
            <w:noWrap/>
            <w:vAlign w:val="bottom"/>
            <w:hideMark/>
          </w:tcPr>
          <w:p w14:paraId="298BC202"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82,56%</w:t>
            </w:r>
          </w:p>
        </w:tc>
      </w:tr>
      <w:tr w:rsidR="00A360DB" w:rsidRPr="00A360DB" w14:paraId="7B995305"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CD6341B"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7099DA6E"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27.000,00</w:t>
            </w:r>
          </w:p>
        </w:tc>
        <w:tc>
          <w:tcPr>
            <w:tcW w:w="1380" w:type="dxa"/>
            <w:tcBorders>
              <w:top w:val="nil"/>
              <w:left w:val="nil"/>
              <w:bottom w:val="nil"/>
              <w:right w:val="nil"/>
            </w:tcBorders>
            <w:shd w:val="clear" w:color="auto" w:fill="auto"/>
            <w:noWrap/>
            <w:vAlign w:val="bottom"/>
            <w:hideMark/>
          </w:tcPr>
          <w:p w14:paraId="595D9A1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22.290,31</w:t>
            </w:r>
          </w:p>
        </w:tc>
        <w:tc>
          <w:tcPr>
            <w:tcW w:w="1400" w:type="dxa"/>
            <w:tcBorders>
              <w:top w:val="nil"/>
              <w:left w:val="nil"/>
              <w:bottom w:val="nil"/>
              <w:right w:val="nil"/>
            </w:tcBorders>
            <w:shd w:val="clear" w:color="auto" w:fill="auto"/>
            <w:noWrap/>
            <w:vAlign w:val="bottom"/>
            <w:hideMark/>
          </w:tcPr>
          <w:p w14:paraId="76ECF5A9"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82,56%</w:t>
            </w:r>
          </w:p>
        </w:tc>
      </w:tr>
      <w:tr w:rsidR="00A360DB" w:rsidRPr="00A360DB" w14:paraId="30BF3520" w14:textId="77777777" w:rsidTr="00A360DB">
        <w:trPr>
          <w:trHeight w:val="240"/>
        </w:trPr>
        <w:tc>
          <w:tcPr>
            <w:tcW w:w="1697" w:type="dxa"/>
            <w:tcBorders>
              <w:top w:val="nil"/>
              <w:left w:val="nil"/>
              <w:bottom w:val="nil"/>
              <w:right w:val="nil"/>
            </w:tcBorders>
            <w:shd w:val="clear" w:color="auto" w:fill="auto"/>
            <w:noWrap/>
            <w:vAlign w:val="bottom"/>
            <w:hideMark/>
          </w:tcPr>
          <w:p w14:paraId="4412E61F"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34</w:t>
            </w:r>
          </w:p>
        </w:tc>
        <w:tc>
          <w:tcPr>
            <w:tcW w:w="8509" w:type="dxa"/>
            <w:tcBorders>
              <w:top w:val="nil"/>
              <w:left w:val="nil"/>
              <w:bottom w:val="nil"/>
              <w:right w:val="nil"/>
            </w:tcBorders>
            <w:shd w:val="clear" w:color="auto" w:fill="auto"/>
            <w:noWrap/>
            <w:vAlign w:val="bottom"/>
            <w:hideMark/>
          </w:tcPr>
          <w:p w14:paraId="2412FE1E"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Financijski rashodi                                                                                 </w:t>
            </w:r>
          </w:p>
        </w:tc>
        <w:tc>
          <w:tcPr>
            <w:tcW w:w="1480" w:type="dxa"/>
            <w:tcBorders>
              <w:top w:val="nil"/>
              <w:left w:val="nil"/>
              <w:bottom w:val="nil"/>
              <w:right w:val="nil"/>
            </w:tcBorders>
            <w:shd w:val="clear" w:color="auto" w:fill="auto"/>
            <w:noWrap/>
            <w:vAlign w:val="bottom"/>
            <w:hideMark/>
          </w:tcPr>
          <w:p w14:paraId="07AB89F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7.000,00</w:t>
            </w:r>
          </w:p>
        </w:tc>
        <w:tc>
          <w:tcPr>
            <w:tcW w:w="1380" w:type="dxa"/>
            <w:tcBorders>
              <w:top w:val="nil"/>
              <w:left w:val="nil"/>
              <w:bottom w:val="nil"/>
              <w:right w:val="nil"/>
            </w:tcBorders>
            <w:shd w:val="clear" w:color="auto" w:fill="auto"/>
            <w:noWrap/>
            <w:vAlign w:val="bottom"/>
            <w:hideMark/>
          </w:tcPr>
          <w:p w14:paraId="5AD94E2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2.290,31</w:t>
            </w:r>
          </w:p>
        </w:tc>
        <w:tc>
          <w:tcPr>
            <w:tcW w:w="1400" w:type="dxa"/>
            <w:tcBorders>
              <w:top w:val="nil"/>
              <w:left w:val="nil"/>
              <w:bottom w:val="nil"/>
              <w:right w:val="nil"/>
            </w:tcBorders>
            <w:shd w:val="clear" w:color="auto" w:fill="auto"/>
            <w:noWrap/>
            <w:vAlign w:val="bottom"/>
            <w:hideMark/>
          </w:tcPr>
          <w:p w14:paraId="5D98248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32,72%</w:t>
            </w:r>
          </w:p>
        </w:tc>
      </w:tr>
      <w:tr w:rsidR="00A360DB" w:rsidRPr="00A360DB" w14:paraId="7B35CF45" w14:textId="77777777" w:rsidTr="00A360DB">
        <w:trPr>
          <w:trHeight w:val="240"/>
        </w:trPr>
        <w:tc>
          <w:tcPr>
            <w:tcW w:w="1697" w:type="dxa"/>
            <w:tcBorders>
              <w:top w:val="nil"/>
              <w:left w:val="nil"/>
              <w:bottom w:val="nil"/>
              <w:right w:val="nil"/>
            </w:tcBorders>
            <w:shd w:val="clear" w:color="auto" w:fill="auto"/>
            <w:noWrap/>
            <w:vAlign w:val="bottom"/>
            <w:hideMark/>
          </w:tcPr>
          <w:p w14:paraId="3265E8C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3431</w:t>
            </w:r>
          </w:p>
        </w:tc>
        <w:tc>
          <w:tcPr>
            <w:tcW w:w="8509" w:type="dxa"/>
            <w:tcBorders>
              <w:top w:val="nil"/>
              <w:left w:val="nil"/>
              <w:bottom w:val="nil"/>
              <w:right w:val="nil"/>
            </w:tcBorders>
            <w:shd w:val="clear" w:color="auto" w:fill="auto"/>
            <w:noWrap/>
            <w:vAlign w:val="bottom"/>
            <w:hideMark/>
          </w:tcPr>
          <w:p w14:paraId="0AA050E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Bankarske usluge i usluge platnog prometa                                                           </w:t>
            </w:r>
          </w:p>
        </w:tc>
        <w:tc>
          <w:tcPr>
            <w:tcW w:w="1480" w:type="dxa"/>
            <w:tcBorders>
              <w:top w:val="nil"/>
              <w:left w:val="nil"/>
              <w:bottom w:val="nil"/>
              <w:right w:val="nil"/>
            </w:tcBorders>
            <w:shd w:val="clear" w:color="auto" w:fill="auto"/>
            <w:noWrap/>
            <w:vAlign w:val="bottom"/>
            <w:hideMark/>
          </w:tcPr>
          <w:p w14:paraId="434C2DEB"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5C8A6A35"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2.290,31</w:t>
            </w:r>
          </w:p>
        </w:tc>
        <w:tc>
          <w:tcPr>
            <w:tcW w:w="1400" w:type="dxa"/>
            <w:tcBorders>
              <w:top w:val="nil"/>
              <w:left w:val="nil"/>
              <w:bottom w:val="nil"/>
              <w:right w:val="nil"/>
            </w:tcBorders>
            <w:shd w:val="clear" w:color="auto" w:fill="auto"/>
            <w:noWrap/>
            <w:vAlign w:val="bottom"/>
            <w:hideMark/>
          </w:tcPr>
          <w:p w14:paraId="45196B4A"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17B2062" w14:textId="77777777" w:rsidTr="00A360DB">
        <w:trPr>
          <w:trHeight w:val="240"/>
        </w:trPr>
        <w:tc>
          <w:tcPr>
            <w:tcW w:w="1697" w:type="dxa"/>
            <w:tcBorders>
              <w:top w:val="nil"/>
              <w:left w:val="nil"/>
              <w:bottom w:val="nil"/>
              <w:right w:val="nil"/>
            </w:tcBorders>
            <w:shd w:val="clear" w:color="auto" w:fill="auto"/>
            <w:noWrap/>
            <w:vAlign w:val="bottom"/>
            <w:hideMark/>
          </w:tcPr>
          <w:p w14:paraId="5A5D7EA7"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54</w:t>
            </w:r>
          </w:p>
        </w:tc>
        <w:tc>
          <w:tcPr>
            <w:tcW w:w="8509" w:type="dxa"/>
            <w:tcBorders>
              <w:top w:val="nil"/>
              <w:left w:val="nil"/>
              <w:bottom w:val="nil"/>
              <w:right w:val="nil"/>
            </w:tcBorders>
            <w:shd w:val="clear" w:color="auto" w:fill="auto"/>
            <w:noWrap/>
            <w:vAlign w:val="bottom"/>
            <w:hideMark/>
          </w:tcPr>
          <w:p w14:paraId="4FD0BEC8"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Izdaci za otplatu glavnice primljenih kredita i zajmova                                             </w:t>
            </w:r>
          </w:p>
        </w:tc>
        <w:tc>
          <w:tcPr>
            <w:tcW w:w="1480" w:type="dxa"/>
            <w:tcBorders>
              <w:top w:val="nil"/>
              <w:left w:val="nil"/>
              <w:bottom w:val="nil"/>
              <w:right w:val="nil"/>
            </w:tcBorders>
            <w:shd w:val="clear" w:color="auto" w:fill="auto"/>
            <w:noWrap/>
            <w:vAlign w:val="bottom"/>
            <w:hideMark/>
          </w:tcPr>
          <w:p w14:paraId="1633F10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20.000,00</w:t>
            </w:r>
          </w:p>
        </w:tc>
        <w:tc>
          <w:tcPr>
            <w:tcW w:w="1380" w:type="dxa"/>
            <w:tcBorders>
              <w:top w:val="nil"/>
              <w:left w:val="nil"/>
              <w:bottom w:val="nil"/>
              <w:right w:val="nil"/>
            </w:tcBorders>
            <w:shd w:val="clear" w:color="auto" w:fill="auto"/>
            <w:noWrap/>
            <w:vAlign w:val="bottom"/>
            <w:hideMark/>
          </w:tcPr>
          <w:p w14:paraId="61B1478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20.000,00</w:t>
            </w:r>
          </w:p>
        </w:tc>
        <w:tc>
          <w:tcPr>
            <w:tcW w:w="1400" w:type="dxa"/>
            <w:tcBorders>
              <w:top w:val="nil"/>
              <w:left w:val="nil"/>
              <w:bottom w:val="nil"/>
              <w:right w:val="nil"/>
            </w:tcBorders>
            <w:shd w:val="clear" w:color="auto" w:fill="auto"/>
            <w:noWrap/>
            <w:vAlign w:val="bottom"/>
            <w:hideMark/>
          </w:tcPr>
          <w:p w14:paraId="69118DD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r>
      <w:tr w:rsidR="00A360DB" w:rsidRPr="00A360DB" w14:paraId="0F71A226" w14:textId="77777777" w:rsidTr="00A360DB">
        <w:trPr>
          <w:trHeight w:val="240"/>
        </w:trPr>
        <w:tc>
          <w:tcPr>
            <w:tcW w:w="1697" w:type="dxa"/>
            <w:tcBorders>
              <w:top w:val="nil"/>
              <w:left w:val="nil"/>
              <w:bottom w:val="nil"/>
              <w:right w:val="nil"/>
            </w:tcBorders>
            <w:shd w:val="clear" w:color="auto" w:fill="auto"/>
            <w:noWrap/>
            <w:vAlign w:val="bottom"/>
            <w:hideMark/>
          </w:tcPr>
          <w:p w14:paraId="4B96410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5471</w:t>
            </w:r>
          </w:p>
        </w:tc>
        <w:tc>
          <w:tcPr>
            <w:tcW w:w="8509" w:type="dxa"/>
            <w:tcBorders>
              <w:top w:val="nil"/>
              <w:left w:val="nil"/>
              <w:bottom w:val="nil"/>
              <w:right w:val="nil"/>
            </w:tcBorders>
            <w:shd w:val="clear" w:color="auto" w:fill="auto"/>
            <w:noWrap/>
            <w:vAlign w:val="bottom"/>
            <w:hideMark/>
          </w:tcPr>
          <w:p w14:paraId="5E4A1CF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Otplata glavnice primljenih zajmova od državnog proračuna                                           </w:t>
            </w:r>
          </w:p>
        </w:tc>
        <w:tc>
          <w:tcPr>
            <w:tcW w:w="1480" w:type="dxa"/>
            <w:tcBorders>
              <w:top w:val="nil"/>
              <w:left w:val="nil"/>
              <w:bottom w:val="nil"/>
              <w:right w:val="nil"/>
            </w:tcBorders>
            <w:shd w:val="clear" w:color="auto" w:fill="auto"/>
            <w:noWrap/>
            <w:vAlign w:val="bottom"/>
            <w:hideMark/>
          </w:tcPr>
          <w:p w14:paraId="5C46CF27"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238602AE"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20.000,00</w:t>
            </w:r>
          </w:p>
        </w:tc>
        <w:tc>
          <w:tcPr>
            <w:tcW w:w="1400" w:type="dxa"/>
            <w:tcBorders>
              <w:top w:val="nil"/>
              <w:left w:val="nil"/>
              <w:bottom w:val="nil"/>
              <w:right w:val="nil"/>
            </w:tcBorders>
            <w:shd w:val="clear" w:color="auto" w:fill="auto"/>
            <w:noWrap/>
            <w:vAlign w:val="bottom"/>
            <w:hideMark/>
          </w:tcPr>
          <w:p w14:paraId="67219C2F"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9DEF29F" w14:textId="77777777" w:rsidTr="00A360DB">
        <w:trPr>
          <w:trHeight w:val="240"/>
        </w:trPr>
        <w:tc>
          <w:tcPr>
            <w:tcW w:w="1697" w:type="dxa"/>
            <w:tcBorders>
              <w:top w:val="nil"/>
              <w:left w:val="nil"/>
              <w:bottom w:val="nil"/>
              <w:right w:val="nil"/>
            </w:tcBorders>
            <w:shd w:val="clear" w:color="000000" w:fill="B4C6E7"/>
            <w:noWrap/>
            <w:vAlign w:val="bottom"/>
            <w:hideMark/>
          </w:tcPr>
          <w:p w14:paraId="156654F0"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K102101</w:t>
            </w:r>
          </w:p>
        </w:tc>
        <w:tc>
          <w:tcPr>
            <w:tcW w:w="8509" w:type="dxa"/>
            <w:tcBorders>
              <w:top w:val="nil"/>
              <w:left w:val="nil"/>
              <w:bottom w:val="nil"/>
              <w:right w:val="nil"/>
            </w:tcBorders>
            <w:shd w:val="clear" w:color="000000" w:fill="B4C6E7"/>
            <w:noWrap/>
            <w:vAlign w:val="bottom"/>
            <w:hideMark/>
          </w:tcPr>
          <w:p w14:paraId="11D53975"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Kapitalni projekt: Razvoj sustava lokalne riznice</w:t>
            </w:r>
          </w:p>
        </w:tc>
        <w:tc>
          <w:tcPr>
            <w:tcW w:w="1480" w:type="dxa"/>
            <w:tcBorders>
              <w:top w:val="nil"/>
              <w:left w:val="nil"/>
              <w:bottom w:val="nil"/>
              <w:right w:val="nil"/>
            </w:tcBorders>
            <w:shd w:val="clear" w:color="000000" w:fill="B4C6E7"/>
            <w:noWrap/>
            <w:vAlign w:val="bottom"/>
            <w:hideMark/>
          </w:tcPr>
          <w:p w14:paraId="3C09EEC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2.000,00</w:t>
            </w:r>
          </w:p>
        </w:tc>
        <w:tc>
          <w:tcPr>
            <w:tcW w:w="1380" w:type="dxa"/>
            <w:tcBorders>
              <w:top w:val="nil"/>
              <w:left w:val="nil"/>
              <w:bottom w:val="nil"/>
              <w:right w:val="nil"/>
            </w:tcBorders>
            <w:shd w:val="clear" w:color="000000" w:fill="B4C6E7"/>
            <w:noWrap/>
            <w:vAlign w:val="bottom"/>
            <w:hideMark/>
          </w:tcPr>
          <w:p w14:paraId="641B429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150,58</w:t>
            </w:r>
          </w:p>
        </w:tc>
        <w:tc>
          <w:tcPr>
            <w:tcW w:w="1400" w:type="dxa"/>
            <w:tcBorders>
              <w:top w:val="nil"/>
              <w:left w:val="nil"/>
              <w:bottom w:val="nil"/>
              <w:right w:val="nil"/>
            </w:tcBorders>
            <w:shd w:val="clear" w:color="000000" w:fill="B4C6E7"/>
            <w:noWrap/>
            <w:vAlign w:val="bottom"/>
            <w:hideMark/>
          </w:tcPr>
          <w:p w14:paraId="04D7121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7,53%</w:t>
            </w:r>
          </w:p>
        </w:tc>
      </w:tr>
      <w:tr w:rsidR="00A360DB" w:rsidRPr="00A360DB" w14:paraId="7D5C1224"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90EA2EB"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lastRenderedPageBreak/>
              <w:t>Izvor 1. Opći prihodi i primici</w:t>
            </w:r>
          </w:p>
        </w:tc>
        <w:tc>
          <w:tcPr>
            <w:tcW w:w="1480" w:type="dxa"/>
            <w:tcBorders>
              <w:top w:val="nil"/>
              <w:left w:val="nil"/>
              <w:bottom w:val="nil"/>
              <w:right w:val="nil"/>
            </w:tcBorders>
            <w:shd w:val="clear" w:color="auto" w:fill="auto"/>
            <w:noWrap/>
            <w:vAlign w:val="bottom"/>
            <w:hideMark/>
          </w:tcPr>
          <w:p w14:paraId="118CCD18"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2.000,00</w:t>
            </w:r>
          </w:p>
        </w:tc>
        <w:tc>
          <w:tcPr>
            <w:tcW w:w="1380" w:type="dxa"/>
            <w:tcBorders>
              <w:top w:val="nil"/>
              <w:left w:val="nil"/>
              <w:bottom w:val="nil"/>
              <w:right w:val="nil"/>
            </w:tcBorders>
            <w:shd w:val="clear" w:color="auto" w:fill="auto"/>
            <w:noWrap/>
            <w:vAlign w:val="bottom"/>
            <w:hideMark/>
          </w:tcPr>
          <w:p w14:paraId="61A4BC47"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150,58</w:t>
            </w:r>
          </w:p>
        </w:tc>
        <w:tc>
          <w:tcPr>
            <w:tcW w:w="1400" w:type="dxa"/>
            <w:tcBorders>
              <w:top w:val="nil"/>
              <w:left w:val="nil"/>
              <w:bottom w:val="nil"/>
              <w:right w:val="nil"/>
            </w:tcBorders>
            <w:shd w:val="clear" w:color="auto" w:fill="auto"/>
            <w:noWrap/>
            <w:vAlign w:val="bottom"/>
            <w:hideMark/>
          </w:tcPr>
          <w:p w14:paraId="07D7D03B"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7,53%</w:t>
            </w:r>
          </w:p>
        </w:tc>
      </w:tr>
      <w:tr w:rsidR="00A360DB" w:rsidRPr="00A360DB" w14:paraId="6F51B6DC"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5030DD72"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7DAC4DAE"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2.000,00</w:t>
            </w:r>
          </w:p>
        </w:tc>
        <w:tc>
          <w:tcPr>
            <w:tcW w:w="1380" w:type="dxa"/>
            <w:tcBorders>
              <w:top w:val="nil"/>
              <w:left w:val="nil"/>
              <w:bottom w:val="nil"/>
              <w:right w:val="nil"/>
            </w:tcBorders>
            <w:shd w:val="clear" w:color="auto" w:fill="auto"/>
            <w:noWrap/>
            <w:vAlign w:val="bottom"/>
            <w:hideMark/>
          </w:tcPr>
          <w:p w14:paraId="562D024C"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150,58</w:t>
            </w:r>
          </w:p>
        </w:tc>
        <w:tc>
          <w:tcPr>
            <w:tcW w:w="1400" w:type="dxa"/>
            <w:tcBorders>
              <w:top w:val="nil"/>
              <w:left w:val="nil"/>
              <w:bottom w:val="nil"/>
              <w:right w:val="nil"/>
            </w:tcBorders>
            <w:shd w:val="clear" w:color="auto" w:fill="auto"/>
            <w:noWrap/>
            <w:vAlign w:val="bottom"/>
            <w:hideMark/>
          </w:tcPr>
          <w:p w14:paraId="17BE01A4"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7,53%</w:t>
            </w:r>
          </w:p>
        </w:tc>
      </w:tr>
      <w:tr w:rsidR="00A360DB" w:rsidRPr="00A360DB" w14:paraId="7756ABBF" w14:textId="77777777" w:rsidTr="00A360DB">
        <w:trPr>
          <w:trHeight w:val="240"/>
        </w:trPr>
        <w:tc>
          <w:tcPr>
            <w:tcW w:w="1697" w:type="dxa"/>
            <w:tcBorders>
              <w:top w:val="nil"/>
              <w:left w:val="nil"/>
              <w:bottom w:val="nil"/>
              <w:right w:val="nil"/>
            </w:tcBorders>
            <w:shd w:val="clear" w:color="auto" w:fill="auto"/>
            <w:noWrap/>
            <w:vAlign w:val="bottom"/>
            <w:hideMark/>
          </w:tcPr>
          <w:p w14:paraId="2CE0FE4C"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42</w:t>
            </w:r>
          </w:p>
        </w:tc>
        <w:tc>
          <w:tcPr>
            <w:tcW w:w="8509" w:type="dxa"/>
            <w:tcBorders>
              <w:top w:val="nil"/>
              <w:left w:val="nil"/>
              <w:bottom w:val="nil"/>
              <w:right w:val="nil"/>
            </w:tcBorders>
            <w:shd w:val="clear" w:color="auto" w:fill="auto"/>
            <w:noWrap/>
            <w:vAlign w:val="bottom"/>
            <w:hideMark/>
          </w:tcPr>
          <w:p w14:paraId="4E88847F"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nabavu proizvedene dugotrajne imovine                                                    </w:t>
            </w:r>
          </w:p>
        </w:tc>
        <w:tc>
          <w:tcPr>
            <w:tcW w:w="1480" w:type="dxa"/>
            <w:tcBorders>
              <w:top w:val="nil"/>
              <w:left w:val="nil"/>
              <w:bottom w:val="nil"/>
              <w:right w:val="nil"/>
            </w:tcBorders>
            <w:shd w:val="clear" w:color="auto" w:fill="auto"/>
            <w:noWrap/>
            <w:vAlign w:val="bottom"/>
            <w:hideMark/>
          </w:tcPr>
          <w:p w14:paraId="664FE2A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2.000,00</w:t>
            </w:r>
          </w:p>
        </w:tc>
        <w:tc>
          <w:tcPr>
            <w:tcW w:w="1380" w:type="dxa"/>
            <w:tcBorders>
              <w:top w:val="nil"/>
              <w:left w:val="nil"/>
              <w:bottom w:val="nil"/>
              <w:right w:val="nil"/>
            </w:tcBorders>
            <w:shd w:val="clear" w:color="auto" w:fill="auto"/>
            <w:noWrap/>
            <w:vAlign w:val="bottom"/>
            <w:hideMark/>
          </w:tcPr>
          <w:p w14:paraId="21B673A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150,58</w:t>
            </w:r>
          </w:p>
        </w:tc>
        <w:tc>
          <w:tcPr>
            <w:tcW w:w="1400" w:type="dxa"/>
            <w:tcBorders>
              <w:top w:val="nil"/>
              <w:left w:val="nil"/>
              <w:bottom w:val="nil"/>
              <w:right w:val="nil"/>
            </w:tcBorders>
            <w:shd w:val="clear" w:color="auto" w:fill="auto"/>
            <w:noWrap/>
            <w:vAlign w:val="bottom"/>
            <w:hideMark/>
          </w:tcPr>
          <w:p w14:paraId="6F7F07A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7,53%</w:t>
            </w:r>
          </w:p>
        </w:tc>
      </w:tr>
      <w:tr w:rsidR="00A360DB" w:rsidRPr="00A360DB" w14:paraId="5C85565D" w14:textId="77777777" w:rsidTr="00A360DB">
        <w:trPr>
          <w:trHeight w:val="240"/>
        </w:trPr>
        <w:tc>
          <w:tcPr>
            <w:tcW w:w="1697" w:type="dxa"/>
            <w:tcBorders>
              <w:top w:val="nil"/>
              <w:left w:val="nil"/>
              <w:bottom w:val="nil"/>
              <w:right w:val="nil"/>
            </w:tcBorders>
            <w:shd w:val="clear" w:color="auto" w:fill="auto"/>
            <w:noWrap/>
            <w:vAlign w:val="bottom"/>
            <w:hideMark/>
          </w:tcPr>
          <w:p w14:paraId="5307C33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4262</w:t>
            </w:r>
          </w:p>
        </w:tc>
        <w:tc>
          <w:tcPr>
            <w:tcW w:w="8509" w:type="dxa"/>
            <w:tcBorders>
              <w:top w:val="nil"/>
              <w:left w:val="nil"/>
              <w:bottom w:val="nil"/>
              <w:right w:val="nil"/>
            </w:tcBorders>
            <w:shd w:val="clear" w:color="auto" w:fill="auto"/>
            <w:noWrap/>
            <w:vAlign w:val="bottom"/>
            <w:hideMark/>
          </w:tcPr>
          <w:p w14:paraId="6BD9B095"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Ulaganja u računalne programe                                                                       </w:t>
            </w:r>
          </w:p>
        </w:tc>
        <w:tc>
          <w:tcPr>
            <w:tcW w:w="1480" w:type="dxa"/>
            <w:tcBorders>
              <w:top w:val="nil"/>
              <w:left w:val="nil"/>
              <w:bottom w:val="nil"/>
              <w:right w:val="nil"/>
            </w:tcBorders>
            <w:shd w:val="clear" w:color="auto" w:fill="auto"/>
            <w:noWrap/>
            <w:vAlign w:val="bottom"/>
            <w:hideMark/>
          </w:tcPr>
          <w:p w14:paraId="19583187"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770C302"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150,58</w:t>
            </w:r>
          </w:p>
        </w:tc>
        <w:tc>
          <w:tcPr>
            <w:tcW w:w="1400" w:type="dxa"/>
            <w:tcBorders>
              <w:top w:val="nil"/>
              <w:left w:val="nil"/>
              <w:bottom w:val="nil"/>
              <w:right w:val="nil"/>
            </w:tcBorders>
            <w:shd w:val="clear" w:color="auto" w:fill="auto"/>
            <w:noWrap/>
            <w:vAlign w:val="bottom"/>
            <w:hideMark/>
          </w:tcPr>
          <w:p w14:paraId="6BF6220E"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BC0764C" w14:textId="77777777" w:rsidTr="00A360DB">
        <w:trPr>
          <w:trHeight w:val="240"/>
        </w:trPr>
        <w:tc>
          <w:tcPr>
            <w:tcW w:w="10206" w:type="dxa"/>
            <w:gridSpan w:val="2"/>
            <w:tcBorders>
              <w:top w:val="nil"/>
              <w:left w:val="nil"/>
              <w:bottom w:val="nil"/>
              <w:right w:val="nil"/>
            </w:tcBorders>
            <w:shd w:val="clear" w:color="000000" w:fill="1300A2"/>
            <w:noWrap/>
            <w:vAlign w:val="bottom"/>
            <w:hideMark/>
          </w:tcPr>
          <w:p w14:paraId="024F218E" w14:textId="77777777" w:rsidR="00A360DB" w:rsidRPr="00A360DB" w:rsidRDefault="00A360DB" w:rsidP="00A360DB">
            <w:pPr>
              <w:spacing w:after="0" w:line="240" w:lineRule="auto"/>
              <w:rPr>
                <w:rFonts w:ascii="Arial" w:hAnsi="Arial" w:cs="Arial"/>
                <w:b/>
                <w:bCs/>
                <w:color w:val="FFFFFF"/>
                <w:sz w:val="18"/>
                <w:szCs w:val="18"/>
                <w:lang w:eastAsia="hr-HR"/>
              </w:rPr>
            </w:pPr>
            <w:r w:rsidRPr="00A360DB">
              <w:rPr>
                <w:rFonts w:ascii="Arial" w:hAnsi="Arial" w:cs="Arial"/>
                <w:b/>
                <w:bCs/>
                <w:color w:val="FFFFFF"/>
                <w:sz w:val="18"/>
                <w:szCs w:val="18"/>
                <w:lang w:eastAsia="hr-HR"/>
              </w:rPr>
              <w:t>RAZDJEL 004 UPRAVNI ODJEL ZA GOSPODARSTVO I KOMUNALNI SUSTAV</w:t>
            </w:r>
          </w:p>
        </w:tc>
        <w:tc>
          <w:tcPr>
            <w:tcW w:w="1480" w:type="dxa"/>
            <w:tcBorders>
              <w:top w:val="nil"/>
              <w:left w:val="nil"/>
              <w:bottom w:val="nil"/>
              <w:right w:val="nil"/>
            </w:tcBorders>
            <w:shd w:val="clear" w:color="000000" w:fill="1300A2"/>
            <w:noWrap/>
            <w:vAlign w:val="bottom"/>
            <w:hideMark/>
          </w:tcPr>
          <w:p w14:paraId="30C6EA0D"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4.351.775,28</w:t>
            </w:r>
          </w:p>
        </w:tc>
        <w:tc>
          <w:tcPr>
            <w:tcW w:w="1380" w:type="dxa"/>
            <w:tcBorders>
              <w:top w:val="nil"/>
              <w:left w:val="nil"/>
              <w:bottom w:val="nil"/>
              <w:right w:val="nil"/>
            </w:tcBorders>
            <w:shd w:val="clear" w:color="000000" w:fill="1300A2"/>
            <w:noWrap/>
            <w:vAlign w:val="bottom"/>
            <w:hideMark/>
          </w:tcPr>
          <w:p w14:paraId="5A0DC7AB"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3.817.315,34</w:t>
            </w:r>
          </w:p>
        </w:tc>
        <w:tc>
          <w:tcPr>
            <w:tcW w:w="1400" w:type="dxa"/>
            <w:tcBorders>
              <w:top w:val="nil"/>
              <w:left w:val="nil"/>
              <w:bottom w:val="nil"/>
              <w:right w:val="nil"/>
            </w:tcBorders>
            <w:shd w:val="clear" w:color="000000" w:fill="1300A2"/>
            <w:noWrap/>
            <w:vAlign w:val="bottom"/>
            <w:hideMark/>
          </w:tcPr>
          <w:p w14:paraId="5DB1DEE2"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87,72%</w:t>
            </w:r>
          </w:p>
        </w:tc>
      </w:tr>
      <w:tr w:rsidR="00A360DB" w:rsidRPr="00A360DB" w14:paraId="549DAD7E" w14:textId="77777777" w:rsidTr="00A360DB">
        <w:trPr>
          <w:trHeight w:val="240"/>
        </w:trPr>
        <w:tc>
          <w:tcPr>
            <w:tcW w:w="10206" w:type="dxa"/>
            <w:gridSpan w:val="2"/>
            <w:tcBorders>
              <w:top w:val="nil"/>
              <w:left w:val="nil"/>
              <w:bottom w:val="nil"/>
              <w:right w:val="nil"/>
            </w:tcBorders>
            <w:shd w:val="clear" w:color="000000" w:fill="8994FB"/>
            <w:noWrap/>
            <w:vAlign w:val="bottom"/>
            <w:hideMark/>
          </w:tcPr>
          <w:p w14:paraId="7186EE30"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GLAVA 00401 UPRAVNI ODJEL ZA GOSPODARSTVO I KOMUNALNI SUSTAV</w:t>
            </w:r>
          </w:p>
        </w:tc>
        <w:tc>
          <w:tcPr>
            <w:tcW w:w="1480" w:type="dxa"/>
            <w:tcBorders>
              <w:top w:val="nil"/>
              <w:left w:val="nil"/>
              <w:bottom w:val="nil"/>
              <w:right w:val="nil"/>
            </w:tcBorders>
            <w:shd w:val="clear" w:color="000000" w:fill="8994FB"/>
            <w:noWrap/>
            <w:vAlign w:val="bottom"/>
            <w:hideMark/>
          </w:tcPr>
          <w:p w14:paraId="606CAA8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4.351.775,28</w:t>
            </w:r>
          </w:p>
        </w:tc>
        <w:tc>
          <w:tcPr>
            <w:tcW w:w="1380" w:type="dxa"/>
            <w:tcBorders>
              <w:top w:val="nil"/>
              <w:left w:val="nil"/>
              <w:bottom w:val="nil"/>
              <w:right w:val="nil"/>
            </w:tcBorders>
            <w:shd w:val="clear" w:color="000000" w:fill="8994FB"/>
            <w:noWrap/>
            <w:vAlign w:val="bottom"/>
            <w:hideMark/>
          </w:tcPr>
          <w:p w14:paraId="43D82B5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3.817.315,34</w:t>
            </w:r>
          </w:p>
        </w:tc>
        <w:tc>
          <w:tcPr>
            <w:tcW w:w="1400" w:type="dxa"/>
            <w:tcBorders>
              <w:top w:val="nil"/>
              <w:left w:val="nil"/>
              <w:bottom w:val="nil"/>
              <w:right w:val="nil"/>
            </w:tcBorders>
            <w:shd w:val="clear" w:color="000000" w:fill="8994FB"/>
            <w:noWrap/>
            <w:vAlign w:val="bottom"/>
            <w:hideMark/>
          </w:tcPr>
          <w:p w14:paraId="5704221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87,72%</w:t>
            </w:r>
          </w:p>
        </w:tc>
      </w:tr>
      <w:tr w:rsidR="00A360DB" w:rsidRPr="00A360DB" w14:paraId="301CEE9A" w14:textId="77777777" w:rsidTr="00A360DB">
        <w:trPr>
          <w:trHeight w:val="240"/>
        </w:trPr>
        <w:tc>
          <w:tcPr>
            <w:tcW w:w="10206" w:type="dxa"/>
            <w:gridSpan w:val="2"/>
            <w:tcBorders>
              <w:top w:val="nil"/>
              <w:left w:val="nil"/>
              <w:bottom w:val="nil"/>
              <w:right w:val="nil"/>
            </w:tcBorders>
            <w:shd w:val="clear" w:color="000000" w:fill="8994FB"/>
            <w:noWrap/>
            <w:vAlign w:val="bottom"/>
            <w:hideMark/>
          </w:tcPr>
          <w:p w14:paraId="40159763"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PROR. KORISNIK 00001 UPRAVNI ODJEL ZA GOSPODARSTVO I KOMUNALNI SUSTAV</w:t>
            </w:r>
          </w:p>
        </w:tc>
        <w:tc>
          <w:tcPr>
            <w:tcW w:w="1480" w:type="dxa"/>
            <w:tcBorders>
              <w:top w:val="nil"/>
              <w:left w:val="nil"/>
              <w:bottom w:val="nil"/>
              <w:right w:val="nil"/>
            </w:tcBorders>
            <w:shd w:val="clear" w:color="000000" w:fill="8994FB"/>
            <w:noWrap/>
            <w:vAlign w:val="bottom"/>
            <w:hideMark/>
          </w:tcPr>
          <w:p w14:paraId="175D77E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4.351.775,28</w:t>
            </w:r>
          </w:p>
        </w:tc>
        <w:tc>
          <w:tcPr>
            <w:tcW w:w="1380" w:type="dxa"/>
            <w:tcBorders>
              <w:top w:val="nil"/>
              <w:left w:val="nil"/>
              <w:bottom w:val="nil"/>
              <w:right w:val="nil"/>
            </w:tcBorders>
            <w:shd w:val="clear" w:color="000000" w:fill="8994FB"/>
            <w:noWrap/>
            <w:vAlign w:val="bottom"/>
            <w:hideMark/>
          </w:tcPr>
          <w:p w14:paraId="77CE731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3.817.315,34</w:t>
            </w:r>
          </w:p>
        </w:tc>
        <w:tc>
          <w:tcPr>
            <w:tcW w:w="1400" w:type="dxa"/>
            <w:tcBorders>
              <w:top w:val="nil"/>
              <w:left w:val="nil"/>
              <w:bottom w:val="nil"/>
              <w:right w:val="nil"/>
            </w:tcBorders>
            <w:shd w:val="clear" w:color="000000" w:fill="8994FB"/>
            <w:noWrap/>
            <w:vAlign w:val="bottom"/>
            <w:hideMark/>
          </w:tcPr>
          <w:p w14:paraId="4622622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87,72%</w:t>
            </w:r>
          </w:p>
        </w:tc>
      </w:tr>
      <w:tr w:rsidR="00A360DB" w:rsidRPr="00A360DB" w14:paraId="0D8EF956"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0FA61C2"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00854B30"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1.337.550,00</w:t>
            </w:r>
          </w:p>
        </w:tc>
        <w:tc>
          <w:tcPr>
            <w:tcW w:w="1380" w:type="dxa"/>
            <w:tcBorders>
              <w:top w:val="nil"/>
              <w:left w:val="nil"/>
              <w:bottom w:val="nil"/>
              <w:right w:val="nil"/>
            </w:tcBorders>
            <w:shd w:val="clear" w:color="auto" w:fill="auto"/>
            <w:noWrap/>
            <w:vAlign w:val="bottom"/>
            <w:hideMark/>
          </w:tcPr>
          <w:p w14:paraId="14A21FA5"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1.104.963,50</w:t>
            </w:r>
          </w:p>
        </w:tc>
        <w:tc>
          <w:tcPr>
            <w:tcW w:w="1400" w:type="dxa"/>
            <w:tcBorders>
              <w:top w:val="nil"/>
              <w:left w:val="nil"/>
              <w:bottom w:val="nil"/>
              <w:right w:val="nil"/>
            </w:tcBorders>
            <w:shd w:val="clear" w:color="auto" w:fill="auto"/>
            <w:noWrap/>
            <w:vAlign w:val="bottom"/>
            <w:hideMark/>
          </w:tcPr>
          <w:p w14:paraId="2AA4C10E"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82,61%</w:t>
            </w:r>
          </w:p>
        </w:tc>
      </w:tr>
      <w:tr w:rsidR="00A360DB" w:rsidRPr="00A360DB" w14:paraId="7F02BE40"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1001FC3"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3CCF50EC"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1.337.550,00</w:t>
            </w:r>
          </w:p>
        </w:tc>
        <w:tc>
          <w:tcPr>
            <w:tcW w:w="1380" w:type="dxa"/>
            <w:tcBorders>
              <w:top w:val="nil"/>
              <w:left w:val="nil"/>
              <w:bottom w:val="nil"/>
              <w:right w:val="nil"/>
            </w:tcBorders>
            <w:shd w:val="clear" w:color="auto" w:fill="auto"/>
            <w:noWrap/>
            <w:vAlign w:val="bottom"/>
            <w:hideMark/>
          </w:tcPr>
          <w:p w14:paraId="78603E0E"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1.104.963,50</w:t>
            </w:r>
          </w:p>
        </w:tc>
        <w:tc>
          <w:tcPr>
            <w:tcW w:w="1400" w:type="dxa"/>
            <w:tcBorders>
              <w:top w:val="nil"/>
              <w:left w:val="nil"/>
              <w:bottom w:val="nil"/>
              <w:right w:val="nil"/>
            </w:tcBorders>
            <w:shd w:val="clear" w:color="auto" w:fill="auto"/>
            <w:noWrap/>
            <w:vAlign w:val="bottom"/>
            <w:hideMark/>
          </w:tcPr>
          <w:p w14:paraId="1F399480"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82,61%</w:t>
            </w:r>
          </w:p>
        </w:tc>
      </w:tr>
      <w:tr w:rsidR="00A360DB" w:rsidRPr="00A360DB" w14:paraId="56A4838B"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27498F98"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3. Vlastiti prihodi</w:t>
            </w:r>
          </w:p>
        </w:tc>
        <w:tc>
          <w:tcPr>
            <w:tcW w:w="1480" w:type="dxa"/>
            <w:tcBorders>
              <w:top w:val="nil"/>
              <w:left w:val="nil"/>
              <w:bottom w:val="nil"/>
              <w:right w:val="nil"/>
            </w:tcBorders>
            <w:shd w:val="clear" w:color="auto" w:fill="auto"/>
            <w:noWrap/>
            <w:vAlign w:val="bottom"/>
            <w:hideMark/>
          </w:tcPr>
          <w:p w14:paraId="4C1674E3"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55.000,00</w:t>
            </w:r>
          </w:p>
        </w:tc>
        <w:tc>
          <w:tcPr>
            <w:tcW w:w="1380" w:type="dxa"/>
            <w:tcBorders>
              <w:top w:val="nil"/>
              <w:left w:val="nil"/>
              <w:bottom w:val="nil"/>
              <w:right w:val="nil"/>
            </w:tcBorders>
            <w:shd w:val="clear" w:color="auto" w:fill="auto"/>
            <w:noWrap/>
            <w:vAlign w:val="bottom"/>
            <w:hideMark/>
          </w:tcPr>
          <w:p w14:paraId="148F0AEC"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53.087,68</w:t>
            </w:r>
          </w:p>
        </w:tc>
        <w:tc>
          <w:tcPr>
            <w:tcW w:w="1400" w:type="dxa"/>
            <w:tcBorders>
              <w:top w:val="nil"/>
              <w:left w:val="nil"/>
              <w:bottom w:val="nil"/>
              <w:right w:val="nil"/>
            </w:tcBorders>
            <w:shd w:val="clear" w:color="auto" w:fill="auto"/>
            <w:noWrap/>
            <w:vAlign w:val="bottom"/>
            <w:hideMark/>
          </w:tcPr>
          <w:p w14:paraId="4EA2CD22"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96,52%</w:t>
            </w:r>
          </w:p>
        </w:tc>
      </w:tr>
      <w:tr w:rsidR="00A360DB" w:rsidRPr="00A360DB" w14:paraId="0A940522"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0573E72"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3.1. Vlastiti prihodi</w:t>
            </w:r>
          </w:p>
        </w:tc>
        <w:tc>
          <w:tcPr>
            <w:tcW w:w="1480" w:type="dxa"/>
            <w:tcBorders>
              <w:top w:val="nil"/>
              <w:left w:val="nil"/>
              <w:bottom w:val="nil"/>
              <w:right w:val="nil"/>
            </w:tcBorders>
            <w:shd w:val="clear" w:color="auto" w:fill="auto"/>
            <w:noWrap/>
            <w:vAlign w:val="bottom"/>
            <w:hideMark/>
          </w:tcPr>
          <w:p w14:paraId="2E0351D0"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55.000,00</w:t>
            </w:r>
          </w:p>
        </w:tc>
        <w:tc>
          <w:tcPr>
            <w:tcW w:w="1380" w:type="dxa"/>
            <w:tcBorders>
              <w:top w:val="nil"/>
              <w:left w:val="nil"/>
              <w:bottom w:val="nil"/>
              <w:right w:val="nil"/>
            </w:tcBorders>
            <w:shd w:val="clear" w:color="auto" w:fill="auto"/>
            <w:noWrap/>
            <w:vAlign w:val="bottom"/>
            <w:hideMark/>
          </w:tcPr>
          <w:p w14:paraId="50666D7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53.087,68</w:t>
            </w:r>
          </w:p>
        </w:tc>
        <w:tc>
          <w:tcPr>
            <w:tcW w:w="1400" w:type="dxa"/>
            <w:tcBorders>
              <w:top w:val="nil"/>
              <w:left w:val="nil"/>
              <w:bottom w:val="nil"/>
              <w:right w:val="nil"/>
            </w:tcBorders>
            <w:shd w:val="clear" w:color="auto" w:fill="auto"/>
            <w:noWrap/>
            <w:vAlign w:val="bottom"/>
            <w:hideMark/>
          </w:tcPr>
          <w:p w14:paraId="04820204"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96,52%</w:t>
            </w:r>
          </w:p>
        </w:tc>
      </w:tr>
      <w:tr w:rsidR="00A360DB" w:rsidRPr="00A360DB" w14:paraId="25F14B7B"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B95AD3C"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4. Prihodi za posebne namjene</w:t>
            </w:r>
          </w:p>
        </w:tc>
        <w:tc>
          <w:tcPr>
            <w:tcW w:w="1480" w:type="dxa"/>
            <w:tcBorders>
              <w:top w:val="nil"/>
              <w:left w:val="nil"/>
              <w:bottom w:val="nil"/>
              <w:right w:val="nil"/>
            </w:tcBorders>
            <w:shd w:val="clear" w:color="auto" w:fill="auto"/>
            <w:noWrap/>
            <w:vAlign w:val="bottom"/>
            <w:hideMark/>
          </w:tcPr>
          <w:p w14:paraId="6823C65D"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675.650,00</w:t>
            </w:r>
          </w:p>
        </w:tc>
        <w:tc>
          <w:tcPr>
            <w:tcW w:w="1380" w:type="dxa"/>
            <w:tcBorders>
              <w:top w:val="nil"/>
              <w:left w:val="nil"/>
              <w:bottom w:val="nil"/>
              <w:right w:val="nil"/>
            </w:tcBorders>
            <w:shd w:val="clear" w:color="auto" w:fill="auto"/>
            <w:noWrap/>
            <w:vAlign w:val="bottom"/>
            <w:hideMark/>
          </w:tcPr>
          <w:p w14:paraId="3F7DC975"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566.054,78</w:t>
            </w:r>
          </w:p>
        </w:tc>
        <w:tc>
          <w:tcPr>
            <w:tcW w:w="1400" w:type="dxa"/>
            <w:tcBorders>
              <w:top w:val="nil"/>
              <w:left w:val="nil"/>
              <w:bottom w:val="nil"/>
              <w:right w:val="nil"/>
            </w:tcBorders>
            <w:shd w:val="clear" w:color="auto" w:fill="auto"/>
            <w:noWrap/>
            <w:vAlign w:val="bottom"/>
            <w:hideMark/>
          </w:tcPr>
          <w:p w14:paraId="57A6680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83,78%</w:t>
            </w:r>
          </w:p>
        </w:tc>
      </w:tr>
      <w:tr w:rsidR="00A360DB" w:rsidRPr="00A360DB" w14:paraId="137D613C"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34E961FC"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4.1. Prihodi za posebne namjene</w:t>
            </w:r>
          </w:p>
        </w:tc>
        <w:tc>
          <w:tcPr>
            <w:tcW w:w="1480" w:type="dxa"/>
            <w:tcBorders>
              <w:top w:val="nil"/>
              <w:left w:val="nil"/>
              <w:bottom w:val="nil"/>
              <w:right w:val="nil"/>
            </w:tcBorders>
            <w:shd w:val="clear" w:color="auto" w:fill="auto"/>
            <w:noWrap/>
            <w:vAlign w:val="bottom"/>
            <w:hideMark/>
          </w:tcPr>
          <w:p w14:paraId="7860D224"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675.650,00</w:t>
            </w:r>
          </w:p>
        </w:tc>
        <w:tc>
          <w:tcPr>
            <w:tcW w:w="1380" w:type="dxa"/>
            <w:tcBorders>
              <w:top w:val="nil"/>
              <w:left w:val="nil"/>
              <w:bottom w:val="nil"/>
              <w:right w:val="nil"/>
            </w:tcBorders>
            <w:shd w:val="clear" w:color="auto" w:fill="auto"/>
            <w:noWrap/>
            <w:vAlign w:val="bottom"/>
            <w:hideMark/>
          </w:tcPr>
          <w:p w14:paraId="356AA7DD"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566.054,78</w:t>
            </w:r>
          </w:p>
        </w:tc>
        <w:tc>
          <w:tcPr>
            <w:tcW w:w="1400" w:type="dxa"/>
            <w:tcBorders>
              <w:top w:val="nil"/>
              <w:left w:val="nil"/>
              <w:bottom w:val="nil"/>
              <w:right w:val="nil"/>
            </w:tcBorders>
            <w:shd w:val="clear" w:color="auto" w:fill="auto"/>
            <w:noWrap/>
            <w:vAlign w:val="bottom"/>
            <w:hideMark/>
          </w:tcPr>
          <w:p w14:paraId="57B69BA1"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83,78%</w:t>
            </w:r>
          </w:p>
        </w:tc>
      </w:tr>
      <w:tr w:rsidR="00A360DB" w:rsidRPr="00A360DB" w14:paraId="4CB7E6ED"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C07E3EF"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5. Pomoći</w:t>
            </w:r>
          </w:p>
        </w:tc>
        <w:tc>
          <w:tcPr>
            <w:tcW w:w="1480" w:type="dxa"/>
            <w:tcBorders>
              <w:top w:val="nil"/>
              <w:left w:val="nil"/>
              <w:bottom w:val="nil"/>
              <w:right w:val="nil"/>
            </w:tcBorders>
            <w:shd w:val="clear" w:color="auto" w:fill="auto"/>
            <w:noWrap/>
            <w:vAlign w:val="bottom"/>
            <w:hideMark/>
          </w:tcPr>
          <w:p w14:paraId="65C016F2"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1.251.937,00</w:t>
            </w:r>
          </w:p>
        </w:tc>
        <w:tc>
          <w:tcPr>
            <w:tcW w:w="1380" w:type="dxa"/>
            <w:tcBorders>
              <w:top w:val="nil"/>
              <w:left w:val="nil"/>
              <w:bottom w:val="nil"/>
              <w:right w:val="nil"/>
            </w:tcBorders>
            <w:shd w:val="clear" w:color="auto" w:fill="auto"/>
            <w:noWrap/>
            <w:vAlign w:val="bottom"/>
            <w:hideMark/>
          </w:tcPr>
          <w:p w14:paraId="153D3AED"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1.220.829,80</w:t>
            </w:r>
          </w:p>
        </w:tc>
        <w:tc>
          <w:tcPr>
            <w:tcW w:w="1400" w:type="dxa"/>
            <w:tcBorders>
              <w:top w:val="nil"/>
              <w:left w:val="nil"/>
              <w:bottom w:val="nil"/>
              <w:right w:val="nil"/>
            </w:tcBorders>
            <w:shd w:val="clear" w:color="auto" w:fill="auto"/>
            <w:noWrap/>
            <w:vAlign w:val="bottom"/>
            <w:hideMark/>
          </w:tcPr>
          <w:p w14:paraId="690A56FC"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97,52%</w:t>
            </w:r>
          </w:p>
        </w:tc>
      </w:tr>
      <w:tr w:rsidR="00A360DB" w:rsidRPr="00A360DB" w14:paraId="367D0353"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622E2B8"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5.1. Županijski proračun</w:t>
            </w:r>
          </w:p>
        </w:tc>
        <w:tc>
          <w:tcPr>
            <w:tcW w:w="1480" w:type="dxa"/>
            <w:tcBorders>
              <w:top w:val="nil"/>
              <w:left w:val="nil"/>
              <w:bottom w:val="nil"/>
              <w:right w:val="nil"/>
            </w:tcBorders>
            <w:shd w:val="clear" w:color="auto" w:fill="auto"/>
            <w:noWrap/>
            <w:vAlign w:val="bottom"/>
            <w:hideMark/>
          </w:tcPr>
          <w:p w14:paraId="436097C4"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22.560,00</w:t>
            </w:r>
          </w:p>
        </w:tc>
        <w:tc>
          <w:tcPr>
            <w:tcW w:w="1380" w:type="dxa"/>
            <w:tcBorders>
              <w:top w:val="nil"/>
              <w:left w:val="nil"/>
              <w:bottom w:val="nil"/>
              <w:right w:val="nil"/>
            </w:tcBorders>
            <w:shd w:val="clear" w:color="auto" w:fill="auto"/>
            <w:noWrap/>
            <w:vAlign w:val="bottom"/>
            <w:hideMark/>
          </w:tcPr>
          <w:p w14:paraId="6BAB1BC2"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21.560,00</w:t>
            </w:r>
          </w:p>
        </w:tc>
        <w:tc>
          <w:tcPr>
            <w:tcW w:w="1400" w:type="dxa"/>
            <w:tcBorders>
              <w:top w:val="nil"/>
              <w:left w:val="nil"/>
              <w:bottom w:val="nil"/>
              <w:right w:val="nil"/>
            </w:tcBorders>
            <w:shd w:val="clear" w:color="auto" w:fill="auto"/>
            <w:noWrap/>
            <w:vAlign w:val="bottom"/>
            <w:hideMark/>
          </w:tcPr>
          <w:p w14:paraId="1E54CE5A"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95,57%</w:t>
            </w:r>
          </w:p>
        </w:tc>
      </w:tr>
      <w:tr w:rsidR="00A360DB" w:rsidRPr="00A360DB" w14:paraId="2CA37730"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4F55C91"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5.2. Državni proračun</w:t>
            </w:r>
          </w:p>
        </w:tc>
        <w:tc>
          <w:tcPr>
            <w:tcW w:w="1480" w:type="dxa"/>
            <w:tcBorders>
              <w:top w:val="nil"/>
              <w:left w:val="nil"/>
              <w:bottom w:val="nil"/>
              <w:right w:val="nil"/>
            </w:tcBorders>
            <w:shd w:val="clear" w:color="auto" w:fill="auto"/>
            <w:noWrap/>
            <w:vAlign w:val="bottom"/>
            <w:hideMark/>
          </w:tcPr>
          <w:p w14:paraId="03ED2994"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46.700,00</w:t>
            </w:r>
          </w:p>
        </w:tc>
        <w:tc>
          <w:tcPr>
            <w:tcW w:w="1380" w:type="dxa"/>
            <w:tcBorders>
              <w:top w:val="nil"/>
              <w:left w:val="nil"/>
              <w:bottom w:val="nil"/>
              <w:right w:val="nil"/>
            </w:tcBorders>
            <w:shd w:val="clear" w:color="auto" w:fill="auto"/>
            <w:noWrap/>
            <w:vAlign w:val="bottom"/>
            <w:hideMark/>
          </w:tcPr>
          <w:p w14:paraId="3C60D2D4"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40.700,00</w:t>
            </w:r>
          </w:p>
        </w:tc>
        <w:tc>
          <w:tcPr>
            <w:tcW w:w="1400" w:type="dxa"/>
            <w:tcBorders>
              <w:top w:val="nil"/>
              <w:left w:val="nil"/>
              <w:bottom w:val="nil"/>
              <w:right w:val="nil"/>
            </w:tcBorders>
            <w:shd w:val="clear" w:color="auto" w:fill="auto"/>
            <w:noWrap/>
            <w:vAlign w:val="bottom"/>
            <w:hideMark/>
          </w:tcPr>
          <w:p w14:paraId="6984F477"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87,15%</w:t>
            </w:r>
          </w:p>
        </w:tc>
      </w:tr>
      <w:tr w:rsidR="00A360DB" w:rsidRPr="00A360DB" w14:paraId="7A5CCD50"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16202CE1"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5.3. Izvanproračunski korisnici</w:t>
            </w:r>
          </w:p>
        </w:tc>
        <w:tc>
          <w:tcPr>
            <w:tcW w:w="1480" w:type="dxa"/>
            <w:tcBorders>
              <w:top w:val="nil"/>
              <w:left w:val="nil"/>
              <w:bottom w:val="nil"/>
              <w:right w:val="nil"/>
            </w:tcBorders>
            <w:shd w:val="clear" w:color="auto" w:fill="auto"/>
            <w:noWrap/>
            <w:vAlign w:val="bottom"/>
            <w:hideMark/>
          </w:tcPr>
          <w:p w14:paraId="6B666F4E"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1.182.677,00</w:t>
            </w:r>
          </w:p>
        </w:tc>
        <w:tc>
          <w:tcPr>
            <w:tcW w:w="1380" w:type="dxa"/>
            <w:tcBorders>
              <w:top w:val="nil"/>
              <w:left w:val="nil"/>
              <w:bottom w:val="nil"/>
              <w:right w:val="nil"/>
            </w:tcBorders>
            <w:shd w:val="clear" w:color="auto" w:fill="auto"/>
            <w:noWrap/>
            <w:vAlign w:val="bottom"/>
            <w:hideMark/>
          </w:tcPr>
          <w:p w14:paraId="53C8ECAF"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1.158.569,80</w:t>
            </w:r>
          </w:p>
        </w:tc>
        <w:tc>
          <w:tcPr>
            <w:tcW w:w="1400" w:type="dxa"/>
            <w:tcBorders>
              <w:top w:val="nil"/>
              <w:left w:val="nil"/>
              <w:bottom w:val="nil"/>
              <w:right w:val="nil"/>
            </w:tcBorders>
            <w:shd w:val="clear" w:color="auto" w:fill="auto"/>
            <w:noWrap/>
            <w:vAlign w:val="bottom"/>
            <w:hideMark/>
          </w:tcPr>
          <w:p w14:paraId="5E2CDE66"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97,96%</w:t>
            </w:r>
          </w:p>
        </w:tc>
      </w:tr>
      <w:tr w:rsidR="00A360DB" w:rsidRPr="00A360DB" w14:paraId="2C4DD8B1"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553D633B"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7. Prihodi od prodaje nefin. imovine</w:t>
            </w:r>
          </w:p>
        </w:tc>
        <w:tc>
          <w:tcPr>
            <w:tcW w:w="1480" w:type="dxa"/>
            <w:tcBorders>
              <w:top w:val="nil"/>
              <w:left w:val="nil"/>
              <w:bottom w:val="nil"/>
              <w:right w:val="nil"/>
            </w:tcBorders>
            <w:shd w:val="clear" w:color="auto" w:fill="auto"/>
            <w:noWrap/>
            <w:vAlign w:val="bottom"/>
            <w:hideMark/>
          </w:tcPr>
          <w:p w14:paraId="2F14C14D"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147.000,00</w:t>
            </w:r>
          </w:p>
        </w:tc>
        <w:tc>
          <w:tcPr>
            <w:tcW w:w="1380" w:type="dxa"/>
            <w:tcBorders>
              <w:top w:val="nil"/>
              <w:left w:val="nil"/>
              <w:bottom w:val="nil"/>
              <w:right w:val="nil"/>
            </w:tcBorders>
            <w:shd w:val="clear" w:color="auto" w:fill="auto"/>
            <w:noWrap/>
            <w:vAlign w:val="bottom"/>
            <w:hideMark/>
          </w:tcPr>
          <w:p w14:paraId="4A486BE8"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106.376,45</w:t>
            </w:r>
          </w:p>
        </w:tc>
        <w:tc>
          <w:tcPr>
            <w:tcW w:w="1400" w:type="dxa"/>
            <w:tcBorders>
              <w:top w:val="nil"/>
              <w:left w:val="nil"/>
              <w:bottom w:val="nil"/>
              <w:right w:val="nil"/>
            </w:tcBorders>
            <w:shd w:val="clear" w:color="auto" w:fill="auto"/>
            <w:noWrap/>
            <w:vAlign w:val="bottom"/>
            <w:hideMark/>
          </w:tcPr>
          <w:p w14:paraId="57608151"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72,36%</w:t>
            </w:r>
          </w:p>
        </w:tc>
      </w:tr>
      <w:tr w:rsidR="00A360DB" w:rsidRPr="00A360DB" w14:paraId="3B8D78EC"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17ED717"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 xml:space="preserve">Izvor 7.1. Prihodi od prodaje </w:t>
            </w:r>
            <w:proofErr w:type="spellStart"/>
            <w:r w:rsidRPr="00A360DB">
              <w:rPr>
                <w:rFonts w:ascii="Arial" w:hAnsi="Arial" w:cs="Arial"/>
                <w:color w:val="333333"/>
                <w:sz w:val="18"/>
                <w:szCs w:val="18"/>
                <w:lang w:eastAsia="hr-HR"/>
              </w:rPr>
              <w:t>nef</w:t>
            </w:r>
            <w:proofErr w:type="spellEnd"/>
            <w:r w:rsidRPr="00A360DB">
              <w:rPr>
                <w:rFonts w:ascii="Arial" w:hAnsi="Arial" w:cs="Arial"/>
                <w:color w:val="333333"/>
                <w:sz w:val="18"/>
                <w:szCs w:val="18"/>
                <w:lang w:eastAsia="hr-HR"/>
              </w:rPr>
              <w:t>. imovine</w:t>
            </w:r>
          </w:p>
        </w:tc>
        <w:tc>
          <w:tcPr>
            <w:tcW w:w="1480" w:type="dxa"/>
            <w:tcBorders>
              <w:top w:val="nil"/>
              <w:left w:val="nil"/>
              <w:bottom w:val="nil"/>
              <w:right w:val="nil"/>
            </w:tcBorders>
            <w:shd w:val="clear" w:color="auto" w:fill="auto"/>
            <w:noWrap/>
            <w:vAlign w:val="bottom"/>
            <w:hideMark/>
          </w:tcPr>
          <w:p w14:paraId="3A0E7090"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147.000,00</w:t>
            </w:r>
          </w:p>
        </w:tc>
        <w:tc>
          <w:tcPr>
            <w:tcW w:w="1380" w:type="dxa"/>
            <w:tcBorders>
              <w:top w:val="nil"/>
              <w:left w:val="nil"/>
              <w:bottom w:val="nil"/>
              <w:right w:val="nil"/>
            </w:tcBorders>
            <w:shd w:val="clear" w:color="auto" w:fill="auto"/>
            <w:noWrap/>
            <w:vAlign w:val="bottom"/>
            <w:hideMark/>
          </w:tcPr>
          <w:p w14:paraId="57010AAB"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106.376,45</w:t>
            </w:r>
          </w:p>
        </w:tc>
        <w:tc>
          <w:tcPr>
            <w:tcW w:w="1400" w:type="dxa"/>
            <w:tcBorders>
              <w:top w:val="nil"/>
              <w:left w:val="nil"/>
              <w:bottom w:val="nil"/>
              <w:right w:val="nil"/>
            </w:tcBorders>
            <w:shd w:val="clear" w:color="auto" w:fill="auto"/>
            <w:noWrap/>
            <w:vAlign w:val="bottom"/>
            <w:hideMark/>
          </w:tcPr>
          <w:p w14:paraId="5E033177"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72,36%</w:t>
            </w:r>
          </w:p>
        </w:tc>
      </w:tr>
      <w:tr w:rsidR="00A360DB" w:rsidRPr="00A360DB" w14:paraId="6BEA0F99"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3D64D5A5"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8. Namjenski primici /od fin. imovine i zaduživanja</w:t>
            </w:r>
          </w:p>
        </w:tc>
        <w:tc>
          <w:tcPr>
            <w:tcW w:w="1480" w:type="dxa"/>
            <w:tcBorders>
              <w:top w:val="nil"/>
              <w:left w:val="nil"/>
              <w:bottom w:val="nil"/>
              <w:right w:val="nil"/>
            </w:tcBorders>
            <w:shd w:val="clear" w:color="auto" w:fill="auto"/>
            <w:noWrap/>
            <w:vAlign w:val="bottom"/>
            <w:hideMark/>
          </w:tcPr>
          <w:p w14:paraId="6064E199"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437.831,00</w:t>
            </w:r>
          </w:p>
        </w:tc>
        <w:tc>
          <w:tcPr>
            <w:tcW w:w="1380" w:type="dxa"/>
            <w:tcBorders>
              <w:top w:val="nil"/>
              <w:left w:val="nil"/>
              <w:bottom w:val="nil"/>
              <w:right w:val="nil"/>
            </w:tcBorders>
            <w:shd w:val="clear" w:color="auto" w:fill="auto"/>
            <w:noWrap/>
            <w:vAlign w:val="bottom"/>
            <w:hideMark/>
          </w:tcPr>
          <w:p w14:paraId="192F8F70"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345.831,00</w:t>
            </w:r>
          </w:p>
        </w:tc>
        <w:tc>
          <w:tcPr>
            <w:tcW w:w="1400" w:type="dxa"/>
            <w:tcBorders>
              <w:top w:val="nil"/>
              <w:left w:val="nil"/>
              <w:bottom w:val="nil"/>
              <w:right w:val="nil"/>
            </w:tcBorders>
            <w:shd w:val="clear" w:color="auto" w:fill="auto"/>
            <w:noWrap/>
            <w:vAlign w:val="bottom"/>
            <w:hideMark/>
          </w:tcPr>
          <w:p w14:paraId="509E81E5"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78,99%</w:t>
            </w:r>
          </w:p>
        </w:tc>
      </w:tr>
      <w:tr w:rsidR="00A360DB" w:rsidRPr="00A360DB" w14:paraId="34000888"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D653F85"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 xml:space="preserve">Izvor 8.1. Namjenski primici /od fin. imovine i zaduživanja </w:t>
            </w:r>
          </w:p>
        </w:tc>
        <w:tc>
          <w:tcPr>
            <w:tcW w:w="1480" w:type="dxa"/>
            <w:tcBorders>
              <w:top w:val="nil"/>
              <w:left w:val="nil"/>
              <w:bottom w:val="nil"/>
              <w:right w:val="nil"/>
            </w:tcBorders>
            <w:shd w:val="clear" w:color="auto" w:fill="auto"/>
            <w:noWrap/>
            <w:vAlign w:val="bottom"/>
            <w:hideMark/>
          </w:tcPr>
          <w:p w14:paraId="00428A31"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437.831,00</w:t>
            </w:r>
          </w:p>
        </w:tc>
        <w:tc>
          <w:tcPr>
            <w:tcW w:w="1380" w:type="dxa"/>
            <w:tcBorders>
              <w:top w:val="nil"/>
              <w:left w:val="nil"/>
              <w:bottom w:val="nil"/>
              <w:right w:val="nil"/>
            </w:tcBorders>
            <w:shd w:val="clear" w:color="auto" w:fill="auto"/>
            <w:noWrap/>
            <w:vAlign w:val="bottom"/>
            <w:hideMark/>
          </w:tcPr>
          <w:p w14:paraId="13BC281C"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345.831,00</w:t>
            </w:r>
          </w:p>
        </w:tc>
        <w:tc>
          <w:tcPr>
            <w:tcW w:w="1400" w:type="dxa"/>
            <w:tcBorders>
              <w:top w:val="nil"/>
              <w:left w:val="nil"/>
              <w:bottom w:val="nil"/>
              <w:right w:val="nil"/>
            </w:tcBorders>
            <w:shd w:val="clear" w:color="auto" w:fill="auto"/>
            <w:noWrap/>
            <w:vAlign w:val="bottom"/>
            <w:hideMark/>
          </w:tcPr>
          <w:p w14:paraId="345B7764"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78,99%</w:t>
            </w:r>
          </w:p>
        </w:tc>
      </w:tr>
      <w:tr w:rsidR="00A360DB" w:rsidRPr="00A360DB" w14:paraId="1007EBDC"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0542738"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9. Višak iz prethodnih razdoblja</w:t>
            </w:r>
          </w:p>
        </w:tc>
        <w:tc>
          <w:tcPr>
            <w:tcW w:w="1480" w:type="dxa"/>
            <w:tcBorders>
              <w:top w:val="nil"/>
              <w:left w:val="nil"/>
              <w:bottom w:val="nil"/>
              <w:right w:val="nil"/>
            </w:tcBorders>
            <w:shd w:val="clear" w:color="auto" w:fill="auto"/>
            <w:noWrap/>
            <w:vAlign w:val="bottom"/>
            <w:hideMark/>
          </w:tcPr>
          <w:p w14:paraId="377152B5"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446.807,28</w:t>
            </w:r>
          </w:p>
        </w:tc>
        <w:tc>
          <w:tcPr>
            <w:tcW w:w="1380" w:type="dxa"/>
            <w:tcBorders>
              <w:top w:val="nil"/>
              <w:left w:val="nil"/>
              <w:bottom w:val="nil"/>
              <w:right w:val="nil"/>
            </w:tcBorders>
            <w:shd w:val="clear" w:color="auto" w:fill="auto"/>
            <w:noWrap/>
            <w:vAlign w:val="bottom"/>
            <w:hideMark/>
          </w:tcPr>
          <w:p w14:paraId="117EA88C"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420.172,13</w:t>
            </w:r>
          </w:p>
        </w:tc>
        <w:tc>
          <w:tcPr>
            <w:tcW w:w="1400" w:type="dxa"/>
            <w:tcBorders>
              <w:top w:val="nil"/>
              <w:left w:val="nil"/>
              <w:bottom w:val="nil"/>
              <w:right w:val="nil"/>
            </w:tcBorders>
            <w:shd w:val="clear" w:color="auto" w:fill="auto"/>
            <w:noWrap/>
            <w:vAlign w:val="bottom"/>
            <w:hideMark/>
          </w:tcPr>
          <w:p w14:paraId="4314CCF7"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94,04%</w:t>
            </w:r>
          </w:p>
        </w:tc>
      </w:tr>
      <w:tr w:rsidR="00A360DB" w:rsidRPr="00A360DB" w14:paraId="0227654B"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1AF01F61"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9.2. Višak iz prethodnih godina - Grad</w:t>
            </w:r>
          </w:p>
        </w:tc>
        <w:tc>
          <w:tcPr>
            <w:tcW w:w="1480" w:type="dxa"/>
            <w:tcBorders>
              <w:top w:val="nil"/>
              <w:left w:val="nil"/>
              <w:bottom w:val="nil"/>
              <w:right w:val="nil"/>
            </w:tcBorders>
            <w:shd w:val="clear" w:color="auto" w:fill="auto"/>
            <w:noWrap/>
            <w:vAlign w:val="bottom"/>
            <w:hideMark/>
          </w:tcPr>
          <w:p w14:paraId="08F0988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446.807,28</w:t>
            </w:r>
          </w:p>
        </w:tc>
        <w:tc>
          <w:tcPr>
            <w:tcW w:w="1380" w:type="dxa"/>
            <w:tcBorders>
              <w:top w:val="nil"/>
              <w:left w:val="nil"/>
              <w:bottom w:val="nil"/>
              <w:right w:val="nil"/>
            </w:tcBorders>
            <w:shd w:val="clear" w:color="auto" w:fill="auto"/>
            <w:noWrap/>
            <w:vAlign w:val="bottom"/>
            <w:hideMark/>
          </w:tcPr>
          <w:p w14:paraId="1117D659"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420.172,13</w:t>
            </w:r>
          </w:p>
        </w:tc>
        <w:tc>
          <w:tcPr>
            <w:tcW w:w="1400" w:type="dxa"/>
            <w:tcBorders>
              <w:top w:val="nil"/>
              <w:left w:val="nil"/>
              <w:bottom w:val="nil"/>
              <w:right w:val="nil"/>
            </w:tcBorders>
            <w:shd w:val="clear" w:color="auto" w:fill="auto"/>
            <w:noWrap/>
            <w:vAlign w:val="bottom"/>
            <w:hideMark/>
          </w:tcPr>
          <w:p w14:paraId="5A86D85E"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94,04%</w:t>
            </w:r>
          </w:p>
        </w:tc>
      </w:tr>
      <w:tr w:rsidR="00A360DB" w:rsidRPr="00A360DB" w14:paraId="2E33E8A5" w14:textId="77777777" w:rsidTr="00A360DB">
        <w:trPr>
          <w:trHeight w:val="240"/>
        </w:trPr>
        <w:tc>
          <w:tcPr>
            <w:tcW w:w="1697" w:type="dxa"/>
            <w:tcBorders>
              <w:top w:val="nil"/>
              <w:left w:val="nil"/>
              <w:bottom w:val="nil"/>
              <w:right w:val="nil"/>
            </w:tcBorders>
            <w:shd w:val="clear" w:color="000000" w:fill="1D4BB3"/>
            <w:noWrap/>
            <w:vAlign w:val="bottom"/>
            <w:hideMark/>
          </w:tcPr>
          <w:p w14:paraId="3C65AB3D" w14:textId="77777777" w:rsidR="00A360DB" w:rsidRPr="00A360DB" w:rsidRDefault="00A360DB" w:rsidP="00A360DB">
            <w:pPr>
              <w:spacing w:after="0" w:line="240" w:lineRule="auto"/>
              <w:rPr>
                <w:rFonts w:ascii="Arial" w:hAnsi="Arial" w:cs="Arial"/>
                <w:b/>
                <w:bCs/>
                <w:color w:val="FFFFFF"/>
                <w:sz w:val="18"/>
                <w:szCs w:val="18"/>
                <w:lang w:eastAsia="hr-HR"/>
              </w:rPr>
            </w:pPr>
            <w:r w:rsidRPr="00A360DB">
              <w:rPr>
                <w:rFonts w:ascii="Arial" w:hAnsi="Arial" w:cs="Arial"/>
                <w:b/>
                <w:bCs/>
                <w:color w:val="FFFFFF"/>
                <w:sz w:val="18"/>
                <w:szCs w:val="18"/>
                <w:lang w:eastAsia="hr-HR"/>
              </w:rPr>
              <w:t>1003</w:t>
            </w:r>
          </w:p>
        </w:tc>
        <w:tc>
          <w:tcPr>
            <w:tcW w:w="8509" w:type="dxa"/>
            <w:tcBorders>
              <w:top w:val="nil"/>
              <w:left w:val="nil"/>
              <w:bottom w:val="nil"/>
              <w:right w:val="nil"/>
            </w:tcBorders>
            <w:shd w:val="clear" w:color="000000" w:fill="1D4BB3"/>
            <w:noWrap/>
            <w:vAlign w:val="bottom"/>
            <w:hideMark/>
          </w:tcPr>
          <w:p w14:paraId="23671775" w14:textId="77777777" w:rsidR="00A360DB" w:rsidRPr="00A360DB" w:rsidRDefault="00A360DB" w:rsidP="00A360DB">
            <w:pPr>
              <w:spacing w:after="0" w:line="240" w:lineRule="auto"/>
              <w:rPr>
                <w:rFonts w:ascii="Arial" w:hAnsi="Arial" w:cs="Arial"/>
                <w:b/>
                <w:bCs/>
                <w:color w:val="FFFFFF"/>
                <w:sz w:val="18"/>
                <w:szCs w:val="18"/>
                <w:lang w:eastAsia="hr-HR"/>
              </w:rPr>
            </w:pPr>
            <w:r w:rsidRPr="00A360DB">
              <w:rPr>
                <w:rFonts w:ascii="Arial" w:hAnsi="Arial" w:cs="Arial"/>
                <w:b/>
                <w:bCs/>
                <w:color w:val="FFFFFF"/>
                <w:sz w:val="18"/>
                <w:szCs w:val="18"/>
                <w:lang w:eastAsia="hr-HR"/>
              </w:rPr>
              <w:t>Program: Priprema i donošenje akata iz djelokruga tijela</w:t>
            </w:r>
          </w:p>
        </w:tc>
        <w:tc>
          <w:tcPr>
            <w:tcW w:w="1480" w:type="dxa"/>
            <w:tcBorders>
              <w:top w:val="nil"/>
              <w:left w:val="nil"/>
              <w:bottom w:val="nil"/>
              <w:right w:val="nil"/>
            </w:tcBorders>
            <w:shd w:val="clear" w:color="000000" w:fill="1D4BB3"/>
            <w:noWrap/>
            <w:vAlign w:val="bottom"/>
            <w:hideMark/>
          </w:tcPr>
          <w:p w14:paraId="44FBBB3F"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1.203.560,00</w:t>
            </w:r>
          </w:p>
        </w:tc>
        <w:tc>
          <w:tcPr>
            <w:tcW w:w="1380" w:type="dxa"/>
            <w:tcBorders>
              <w:top w:val="nil"/>
              <w:left w:val="nil"/>
              <w:bottom w:val="nil"/>
              <w:right w:val="nil"/>
            </w:tcBorders>
            <w:shd w:val="clear" w:color="000000" w:fill="1D4BB3"/>
            <w:noWrap/>
            <w:vAlign w:val="bottom"/>
            <w:hideMark/>
          </w:tcPr>
          <w:p w14:paraId="084B2E44"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943.705,45</w:t>
            </w:r>
          </w:p>
        </w:tc>
        <w:tc>
          <w:tcPr>
            <w:tcW w:w="1400" w:type="dxa"/>
            <w:tcBorders>
              <w:top w:val="nil"/>
              <w:left w:val="nil"/>
              <w:bottom w:val="nil"/>
              <w:right w:val="nil"/>
            </w:tcBorders>
            <w:shd w:val="clear" w:color="000000" w:fill="1D4BB3"/>
            <w:noWrap/>
            <w:vAlign w:val="bottom"/>
            <w:hideMark/>
          </w:tcPr>
          <w:p w14:paraId="473A9A07"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78,41%</w:t>
            </w:r>
          </w:p>
        </w:tc>
      </w:tr>
      <w:tr w:rsidR="00A360DB" w:rsidRPr="00A360DB" w14:paraId="2633AB56" w14:textId="77777777" w:rsidTr="00A360DB">
        <w:trPr>
          <w:trHeight w:val="240"/>
        </w:trPr>
        <w:tc>
          <w:tcPr>
            <w:tcW w:w="1697" w:type="dxa"/>
            <w:tcBorders>
              <w:top w:val="nil"/>
              <w:left w:val="nil"/>
              <w:bottom w:val="nil"/>
              <w:right w:val="nil"/>
            </w:tcBorders>
            <w:shd w:val="clear" w:color="000000" w:fill="B4C6E7"/>
            <w:noWrap/>
            <w:vAlign w:val="bottom"/>
            <w:hideMark/>
          </w:tcPr>
          <w:p w14:paraId="1870BD3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A100301</w:t>
            </w:r>
          </w:p>
        </w:tc>
        <w:tc>
          <w:tcPr>
            <w:tcW w:w="8509" w:type="dxa"/>
            <w:tcBorders>
              <w:top w:val="nil"/>
              <w:left w:val="nil"/>
              <w:bottom w:val="nil"/>
              <w:right w:val="nil"/>
            </w:tcBorders>
            <w:shd w:val="clear" w:color="000000" w:fill="B4C6E7"/>
            <w:noWrap/>
            <w:vAlign w:val="bottom"/>
            <w:hideMark/>
          </w:tcPr>
          <w:p w14:paraId="38178E18"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Redovan rad upravnog tijela</w:t>
            </w:r>
          </w:p>
        </w:tc>
        <w:tc>
          <w:tcPr>
            <w:tcW w:w="1480" w:type="dxa"/>
            <w:tcBorders>
              <w:top w:val="nil"/>
              <w:left w:val="nil"/>
              <w:bottom w:val="nil"/>
              <w:right w:val="nil"/>
            </w:tcBorders>
            <w:shd w:val="clear" w:color="000000" w:fill="B4C6E7"/>
            <w:noWrap/>
            <w:vAlign w:val="bottom"/>
            <w:hideMark/>
          </w:tcPr>
          <w:p w14:paraId="7AB3018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638.700,00</w:t>
            </w:r>
          </w:p>
        </w:tc>
        <w:tc>
          <w:tcPr>
            <w:tcW w:w="1380" w:type="dxa"/>
            <w:tcBorders>
              <w:top w:val="nil"/>
              <w:left w:val="nil"/>
              <w:bottom w:val="nil"/>
              <w:right w:val="nil"/>
            </w:tcBorders>
            <w:shd w:val="clear" w:color="000000" w:fill="B4C6E7"/>
            <w:noWrap/>
            <w:vAlign w:val="bottom"/>
            <w:hideMark/>
          </w:tcPr>
          <w:p w14:paraId="404DF3C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576.741,23</w:t>
            </w:r>
          </w:p>
        </w:tc>
        <w:tc>
          <w:tcPr>
            <w:tcW w:w="1400" w:type="dxa"/>
            <w:tcBorders>
              <w:top w:val="nil"/>
              <w:left w:val="nil"/>
              <w:bottom w:val="nil"/>
              <w:right w:val="nil"/>
            </w:tcBorders>
            <w:shd w:val="clear" w:color="000000" w:fill="B4C6E7"/>
            <w:noWrap/>
            <w:vAlign w:val="bottom"/>
            <w:hideMark/>
          </w:tcPr>
          <w:p w14:paraId="098DF66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90,30%</w:t>
            </w:r>
          </w:p>
        </w:tc>
      </w:tr>
      <w:tr w:rsidR="00A360DB" w:rsidRPr="00A360DB" w14:paraId="00794D3D"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2740BFC3"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7A09542F"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604.800,00</w:t>
            </w:r>
          </w:p>
        </w:tc>
        <w:tc>
          <w:tcPr>
            <w:tcW w:w="1380" w:type="dxa"/>
            <w:tcBorders>
              <w:top w:val="nil"/>
              <w:left w:val="nil"/>
              <w:bottom w:val="nil"/>
              <w:right w:val="nil"/>
            </w:tcBorders>
            <w:shd w:val="clear" w:color="auto" w:fill="auto"/>
            <w:noWrap/>
            <w:vAlign w:val="bottom"/>
            <w:hideMark/>
          </w:tcPr>
          <w:p w14:paraId="52EF7FB1"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542.841,23</w:t>
            </w:r>
          </w:p>
        </w:tc>
        <w:tc>
          <w:tcPr>
            <w:tcW w:w="1400" w:type="dxa"/>
            <w:tcBorders>
              <w:top w:val="nil"/>
              <w:left w:val="nil"/>
              <w:bottom w:val="nil"/>
              <w:right w:val="nil"/>
            </w:tcBorders>
            <w:shd w:val="clear" w:color="auto" w:fill="auto"/>
            <w:noWrap/>
            <w:vAlign w:val="bottom"/>
            <w:hideMark/>
          </w:tcPr>
          <w:p w14:paraId="49028370"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89,76%</w:t>
            </w:r>
          </w:p>
        </w:tc>
      </w:tr>
      <w:tr w:rsidR="00A360DB" w:rsidRPr="00A360DB" w14:paraId="7DBB60A6"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894BFB4"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0D8B2C1E"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604.800,00</w:t>
            </w:r>
          </w:p>
        </w:tc>
        <w:tc>
          <w:tcPr>
            <w:tcW w:w="1380" w:type="dxa"/>
            <w:tcBorders>
              <w:top w:val="nil"/>
              <w:left w:val="nil"/>
              <w:bottom w:val="nil"/>
              <w:right w:val="nil"/>
            </w:tcBorders>
            <w:shd w:val="clear" w:color="auto" w:fill="auto"/>
            <w:noWrap/>
            <w:vAlign w:val="bottom"/>
            <w:hideMark/>
          </w:tcPr>
          <w:p w14:paraId="2F284408"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542.841,23</w:t>
            </w:r>
          </w:p>
        </w:tc>
        <w:tc>
          <w:tcPr>
            <w:tcW w:w="1400" w:type="dxa"/>
            <w:tcBorders>
              <w:top w:val="nil"/>
              <w:left w:val="nil"/>
              <w:bottom w:val="nil"/>
              <w:right w:val="nil"/>
            </w:tcBorders>
            <w:shd w:val="clear" w:color="auto" w:fill="auto"/>
            <w:noWrap/>
            <w:vAlign w:val="bottom"/>
            <w:hideMark/>
          </w:tcPr>
          <w:p w14:paraId="36C6A52C"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89,76%</w:t>
            </w:r>
          </w:p>
        </w:tc>
      </w:tr>
      <w:tr w:rsidR="00A360DB" w:rsidRPr="00A360DB" w14:paraId="445131BE" w14:textId="77777777" w:rsidTr="00A360DB">
        <w:trPr>
          <w:trHeight w:val="240"/>
        </w:trPr>
        <w:tc>
          <w:tcPr>
            <w:tcW w:w="1697" w:type="dxa"/>
            <w:tcBorders>
              <w:top w:val="nil"/>
              <w:left w:val="nil"/>
              <w:bottom w:val="nil"/>
              <w:right w:val="nil"/>
            </w:tcBorders>
            <w:shd w:val="clear" w:color="auto" w:fill="auto"/>
            <w:noWrap/>
            <w:vAlign w:val="bottom"/>
            <w:hideMark/>
          </w:tcPr>
          <w:p w14:paraId="1877AE14"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31</w:t>
            </w:r>
          </w:p>
        </w:tc>
        <w:tc>
          <w:tcPr>
            <w:tcW w:w="8509" w:type="dxa"/>
            <w:tcBorders>
              <w:top w:val="nil"/>
              <w:left w:val="nil"/>
              <w:bottom w:val="nil"/>
              <w:right w:val="nil"/>
            </w:tcBorders>
            <w:shd w:val="clear" w:color="auto" w:fill="auto"/>
            <w:noWrap/>
            <w:vAlign w:val="bottom"/>
            <w:hideMark/>
          </w:tcPr>
          <w:p w14:paraId="425DECCA"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zaposlene                                                                                </w:t>
            </w:r>
          </w:p>
        </w:tc>
        <w:tc>
          <w:tcPr>
            <w:tcW w:w="1480" w:type="dxa"/>
            <w:tcBorders>
              <w:top w:val="nil"/>
              <w:left w:val="nil"/>
              <w:bottom w:val="nil"/>
              <w:right w:val="nil"/>
            </w:tcBorders>
            <w:shd w:val="clear" w:color="auto" w:fill="auto"/>
            <w:noWrap/>
            <w:vAlign w:val="bottom"/>
            <w:hideMark/>
          </w:tcPr>
          <w:p w14:paraId="2851CBB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169.000,00</w:t>
            </w:r>
          </w:p>
        </w:tc>
        <w:tc>
          <w:tcPr>
            <w:tcW w:w="1380" w:type="dxa"/>
            <w:tcBorders>
              <w:top w:val="nil"/>
              <w:left w:val="nil"/>
              <w:bottom w:val="nil"/>
              <w:right w:val="nil"/>
            </w:tcBorders>
            <w:shd w:val="clear" w:color="auto" w:fill="auto"/>
            <w:noWrap/>
            <w:vAlign w:val="bottom"/>
            <w:hideMark/>
          </w:tcPr>
          <w:p w14:paraId="6500E62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163.887,16</w:t>
            </w:r>
          </w:p>
        </w:tc>
        <w:tc>
          <w:tcPr>
            <w:tcW w:w="1400" w:type="dxa"/>
            <w:tcBorders>
              <w:top w:val="nil"/>
              <w:left w:val="nil"/>
              <w:bottom w:val="nil"/>
              <w:right w:val="nil"/>
            </w:tcBorders>
            <w:shd w:val="clear" w:color="auto" w:fill="auto"/>
            <w:noWrap/>
            <w:vAlign w:val="bottom"/>
            <w:hideMark/>
          </w:tcPr>
          <w:p w14:paraId="6E8A224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96,97%</w:t>
            </w:r>
          </w:p>
        </w:tc>
      </w:tr>
      <w:tr w:rsidR="00A360DB" w:rsidRPr="00A360DB" w14:paraId="491F2414" w14:textId="77777777" w:rsidTr="00A360DB">
        <w:trPr>
          <w:trHeight w:val="240"/>
        </w:trPr>
        <w:tc>
          <w:tcPr>
            <w:tcW w:w="1697" w:type="dxa"/>
            <w:tcBorders>
              <w:top w:val="nil"/>
              <w:left w:val="nil"/>
              <w:bottom w:val="nil"/>
              <w:right w:val="nil"/>
            </w:tcBorders>
            <w:shd w:val="clear" w:color="auto" w:fill="auto"/>
            <w:noWrap/>
            <w:vAlign w:val="bottom"/>
            <w:hideMark/>
          </w:tcPr>
          <w:p w14:paraId="79EE11E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3111</w:t>
            </w:r>
          </w:p>
        </w:tc>
        <w:tc>
          <w:tcPr>
            <w:tcW w:w="8509" w:type="dxa"/>
            <w:tcBorders>
              <w:top w:val="nil"/>
              <w:left w:val="nil"/>
              <w:bottom w:val="nil"/>
              <w:right w:val="nil"/>
            </w:tcBorders>
            <w:shd w:val="clear" w:color="auto" w:fill="auto"/>
            <w:noWrap/>
            <w:vAlign w:val="bottom"/>
            <w:hideMark/>
          </w:tcPr>
          <w:p w14:paraId="3D328B0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Plaće za redovan rad                                                                                </w:t>
            </w:r>
          </w:p>
        </w:tc>
        <w:tc>
          <w:tcPr>
            <w:tcW w:w="1480" w:type="dxa"/>
            <w:tcBorders>
              <w:top w:val="nil"/>
              <w:left w:val="nil"/>
              <w:bottom w:val="nil"/>
              <w:right w:val="nil"/>
            </w:tcBorders>
            <w:shd w:val="clear" w:color="auto" w:fill="auto"/>
            <w:noWrap/>
            <w:vAlign w:val="bottom"/>
            <w:hideMark/>
          </w:tcPr>
          <w:p w14:paraId="570BCABB"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A6D3D33"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140.675,65</w:t>
            </w:r>
          </w:p>
        </w:tc>
        <w:tc>
          <w:tcPr>
            <w:tcW w:w="1400" w:type="dxa"/>
            <w:tcBorders>
              <w:top w:val="nil"/>
              <w:left w:val="nil"/>
              <w:bottom w:val="nil"/>
              <w:right w:val="nil"/>
            </w:tcBorders>
            <w:shd w:val="clear" w:color="auto" w:fill="auto"/>
            <w:noWrap/>
            <w:vAlign w:val="bottom"/>
            <w:hideMark/>
          </w:tcPr>
          <w:p w14:paraId="4BD1C27D"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21083070" w14:textId="77777777" w:rsidTr="00A360DB">
        <w:trPr>
          <w:trHeight w:val="240"/>
        </w:trPr>
        <w:tc>
          <w:tcPr>
            <w:tcW w:w="1697" w:type="dxa"/>
            <w:tcBorders>
              <w:top w:val="nil"/>
              <w:left w:val="nil"/>
              <w:bottom w:val="nil"/>
              <w:right w:val="nil"/>
            </w:tcBorders>
            <w:shd w:val="clear" w:color="auto" w:fill="auto"/>
            <w:noWrap/>
            <w:vAlign w:val="bottom"/>
            <w:hideMark/>
          </w:tcPr>
          <w:p w14:paraId="4AB7F7F8"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3132</w:t>
            </w:r>
          </w:p>
        </w:tc>
        <w:tc>
          <w:tcPr>
            <w:tcW w:w="8509" w:type="dxa"/>
            <w:tcBorders>
              <w:top w:val="nil"/>
              <w:left w:val="nil"/>
              <w:bottom w:val="nil"/>
              <w:right w:val="nil"/>
            </w:tcBorders>
            <w:shd w:val="clear" w:color="auto" w:fill="auto"/>
            <w:noWrap/>
            <w:vAlign w:val="bottom"/>
            <w:hideMark/>
          </w:tcPr>
          <w:p w14:paraId="0EB0C3B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Doprinosi za obvezno zdravstveno osiguranje                                                         </w:t>
            </w:r>
          </w:p>
        </w:tc>
        <w:tc>
          <w:tcPr>
            <w:tcW w:w="1480" w:type="dxa"/>
            <w:tcBorders>
              <w:top w:val="nil"/>
              <w:left w:val="nil"/>
              <w:bottom w:val="nil"/>
              <w:right w:val="nil"/>
            </w:tcBorders>
            <w:shd w:val="clear" w:color="auto" w:fill="auto"/>
            <w:noWrap/>
            <w:vAlign w:val="bottom"/>
            <w:hideMark/>
          </w:tcPr>
          <w:p w14:paraId="2E51A038"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C7C6288"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23.211,51</w:t>
            </w:r>
          </w:p>
        </w:tc>
        <w:tc>
          <w:tcPr>
            <w:tcW w:w="1400" w:type="dxa"/>
            <w:tcBorders>
              <w:top w:val="nil"/>
              <w:left w:val="nil"/>
              <w:bottom w:val="nil"/>
              <w:right w:val="nil"/>
            </w:tcBorders>
            <w:shd w:val="clear" w:color="auto" w:fill="auto"/>
            <w:noWrap/>
            <w:vAlign w:val="bottom"/>
            <w:hideMark/>
          </w:tcPr>
          <w:p w14:paraId="1ADCBB3F"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2C1CB842" w14:textId="77777777" w:rsidTr="00A360DB">
        <w:trPr>
          <w:trHeight w:val="240"/>
        </w:trPr>
        <w:tc>
          <w:tcPr>
            <w:tcW w:w="1697" w:type="dxa"/>
            <w:tcBorders>
              <w:top w:val="nil"/>
              <w:left w:val="nil"/>
              <w:bottom w:val="nil"/>
              <w:right w:val="nil"/>
            </w:tcBorders>
            <w:shd w:val="clear" w:color="auto" w:fill="auto"/>
            <w:noWrap/>
            <w:vAlign w:val="bottom"/>
            <w:hideMark/>
          </w:tcPr>
          <w:p w14:paraId="5236F647"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2192E779"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1BC6D31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435.800,00</w:t>
            </w:r>
          </w:p>
        </w:tc>
        <w:tc>
          <w:tcPr>
            <w:tcW w:w="1380" w:type="dxa"/>
            <w:tcBorders>
              <w:top w:val="nil"/>
              <w:left w:val="nil"/>
              <w:bottom w:val="nil"/>
              <w:right w:val="nil"/>
            </w:tcBorders>
            <w:shd w:val="clear" w:color="auto" w:fill="auto"/>
            <w:noWrap/>
            <w:vAlign w:val="bottom"/>
            <w:hideMark/>
          </w:tcPr>
          <w:p w14:paraId="359CF3C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378.954,07</w:t>
            </w:r>
          </w:p>
        </w:tc>
        <w:tc>
          <w:tcPr>
            <w:tcW w:w="1400" w:type="dxa"/>
            <w:tcBorders>
              <w:top w:val="nil"/>
              <w:left w:val="nil"/>
              <w:bottom w:val="nil"/>
              <w:right w:val="nil"/>
            </w:tcBorders>
            <w:shd w:val="clear" w:color="auto" w:fill="auto"/>
            <w:noWrap/>
            <w:vAlign w:val="bottom"/>
            <w:hideMark/>
          </w:tcPr>
          <w:p w14:paraId="614195C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86,96%</w:t>
            </w:r>
          </w:p>
        </w:tc>
      </w:tr>
      <w:tr w:rsidR="00A360DB" w:rsidRPr="00A360DB" w14:paraId="4CC7E92F" w14:textId="77777777" w:rsidTr="00A360DB">
        <w:trPr>
          <w:trHeight w:val="240"/>
        </w:trPr>
        <w:tc>
          <w:tcPr>
            <w:tcW w:w="1697" w:type="dxa"/>
            <w:tcBorders>
              <w:top w:val="nil"/>
              <w:left w:val="nil"/>
              <w:bottom w:val="nil"/>
              <w:right w:val="nil"/>
            </w:tcBorders>
            <w:shd w:val="clear" w:color="auto" w:fill="auto"/>
            <w:noWrap/>
            <w:vAlign w:val="bottom"/>
            <w:hideMark/>
          </w:tcPr>
          <w:p w14:paraId="64D58D3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3211</w:t>
            </w:r>
          </w:p>
        </w:tc>
        <w:tc>
          <w:tcPr>
            <w:tcW w:w="8509" w:type="dxa"/>
            <w:tcBorders>
              <w:top w:val="nil"/>
              <w:left w:val="nil"/>
              <w:bottom w:val="nil"/>
              <w:right w:val="nil"/>
            </w:tcBorders>
            <w:shd w:val="clear" w:color="auto" w:fill="auto"/>
            <w:noWrap/>
            <w:vAlign w:val="bottom"/>
            <w:hideMark/>
          </w:tcPr>
          <w:p w14:paraId="6F96B378"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Službena putovanja                                                                                  </w:t>
            </w:r>
          </w:p>
        </w:tc>
        <w:tc>
          <w:tcPr>
            <w:tcW w:w="1480" w:type="dxa"/>
            <w:tcBorders>
              <w:top w:val="nil"/>
              <w:left w:val="nil"/>
              <w:bottom w:val="nil"/>
              <w:right w:val="nil"/>
            </w:tcBorders>
            <w:shd w:val="clear" w:color="auto" w:fill="auto"/>
            <w:noWrap/>
            <w:vAlign w:val="bottom"/>
            <w:hideMark/>
          </w:tcPr>
          <w:p w14:paraId="036FE98D"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75F6983"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450,74</w:t>
            </w:r>
          </w:p>
        </w:tc>
        <w:tc>
          <w:tcPr>
            <w:tcW w:w="1400" w:type="dxa"/>
            <w:tcBorders>
              <w:top w:val="nil"/>
              <w:left w:val="nil"/>
              <w:bottom w:val="nil"/>
              <w:right w:val="nil"/>
            </w:tcBorders>
            <w:shd w:val="clear" w:color="auto" w:fill="auto"/>
            <w:noWrap/>
            <w:vAlign w:val="bottom"/>
            <w:hideMark/>
          </w:tcPr>
          <w:p w14:paraId="225FB5A3"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3C7F220" w14:textId="77777777" w:rsidTr="00A360DB">
        <w:trPr>
          <w:trHeight w:val="240"/>
        </w:trPr>
        <w:tc>
          <w:tcPr>
            <w:tcW w:w="1697" w:type="dxa"/>
            <w:tcBorders>
              <w:top w:val="nil"/>
              <w:left w:val="nil"/>
              <w:bottom w:val="nil"/>
              <w:right w:val="nil"/>
            </w:tcBorders>
            <w:shd w:val="clear" w:color="auto" w:fill="auto"/>
            <w:noWrap/>
            <w:vAlign w:val="bottom"/>
            <w:hideMark/>
          </w:tcPr>
          <w:p w14:paraId="2C49880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3212</w:t>
            </w:r>
          </w:p>
        </w:tc>
        <w:tc>
          <w:tcPr>
            <w:tcW w:w="8509" w:type="dxa"/>
            <w:tcBorders>
              <w:top w:val="nil"/>
              <w:left w:val="nil"/>
              <w:bottom w:val="nil"/>
              <w:right w:val="nil"/>
            </w:tcBorders>
            <w:shd w:val="clear" w:color="auto" w:fill="auto"/>
            <w:noWrap/>
            <w:vAlign w:val="bottom"/>
            <w:hideMark/>
          </w:tcPr>
          <w:p w14:paraId="1BF4CAE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Naknade za prijevoz, za rad na terenu i odvojeni život                                              </w:t>
            </w:r>
          </w:p>
        </w:tc>
        <w:tc>
          <w:tcPr>
            <w:tcW w:w="1480" w:type="dxa"/>
            <w:tcBorders>
              <w:top w:val="nil"/>
              <w:left w:val="nil"/>
              <w:bottom w:val="nil"/>
              <w:right w:val="nil"/>
            </w:tcBorders>
            <w:shd w:val="clear" w:color="auto" w:fill="auto"/>
            <w:noWrap/>
            <w:vAlign w:val="bottom"/>
            <w:hideMark/>
          </w:tcPr>
          <w:p w14:paraId="19194056"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8C5E819"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2.307,82</w:t>
            </w:r>
          </w:p>
        </w:tc>
        <w:tc>
          <w:tcPr>
            <w:tcW w:w="1400" w:type="dxa"/>
            <w:tcBorders>
              <w:top w:val="nil"/>
              <w:left w:val="nil"/>
              <w:bottom w:val="nil"/>
              <w:right w:val="nil"/>
            </w:tcBorders>
            <w:shd w:val="clear" w:color="auto" w:fill="auto"/>
            <w:noWrap/>
            <w:vAlign w:val="bottom"/>
            <w:hideMark/>
          </w:tcPr>
          <w:p w14:paraId="5B660483"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55357E49" w14:textId="77777777" w:rsidTr="00A360DB">
        <w:trPr>
          <w:trHeight w:val="240"/>
        </w:trPr>
        <w:tc>
          <w:tcPr>
            <w:tcW w:w="1697" w:type="dxa"/>
            <w:tcBorders>
              <w:top w:val="nil"/>
              <w:left w:val="nil"/>
              <w:bottom w:val="nil"/>
              <w:right w:val="nil"/>
            </w:tcBorders>
            <w:shd w:val="clear" w:color="auto" w:fill="auto"/>
            <w:noWrap/>
            <w:vAlign w:val="bottom"/>
            <w:hideMark/>
          </w:tcPr>
          <w:p w14:paraId="58A09BF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3213</w:t>
            </w:r>
          </w:p>
        </w:tc>
        <w:tc>
          <w:tcPr>
            <w:tcW w:w="8509" w:type="dxa"/>
            <w:tcBorders>
              <w:top w:val="nil"/>
              <w:left w:val="nil"/>
              <w:bottom w:val="nil"/>
              <w:right w:val="nil"/>
            </w:tcBorders>
            <w:shd w:val="clear" w:color="auto" w:fill="auto"/>
            <w:noWrap/>
            <w:vAlign w:val="bottom"/>
            <w:hideMark/>
          </w:tcPr>
          <w:p w14:paraId="248CA475"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Stručno usavršavanje zaposlenika                                                                    </w:t>
            </w:r>
          </w:p>
        </w:tc>
        <w:tc>
          <w:tcPr>
            <w:tcW w:w="1480" w:type="dxa"/>
            <w:tcBorders>
              <w:top w:val="nil"/>
              <w:left w:val="nil"/>
              <w:bottom w:val="nil"/>
              <w:right w:val="nil"/>
            </w:tcBorders>
            <w:shd w:val="clear" w:color="auto" w:fill="auto"/>
            <w:noWrap/>
            <w:vAlign w:val="bottom"/>
            <w:hideMark/>
          </w:tcPr>
          <w:p w14:paraId="428DDFCA"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57CF2691"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2.489,37</w:t>
            </w:r>
          </w:p>
        </w:tc>
        <w:tc>
          <w:tcPr>
            <w:tcW w:w="1400" w:type="dxa"/>
            <w:tcBorders>
              <w:top w:val="nil"/>
              <w:left w:val="nil"/>
              <w:bottom w:val="nil"/>
              <w:right w:val="nil"/>
            </w:tcBorders>
            <w:shd w:val="clear" w:color="auto" w:fill="auto"/>
            <w:noWrap/>
            <w:vAlign w:val="bottom"/>
            <w:hideMark/>
          </w:tcPr>
          <w:p w14:paraId="41076EE1"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2DBDD8D" w14:textId="77777777" w:rsidTr="00A360DB">
        <w:trPr>
          <w:trHeight w:val="240"/>
        </w:trPr>
        <w:tc>
          <w:tcPr>
            <w:tcW w:w="1697" w:type="dxa"/>
            <w:tcBorders>
              <w:top w:val="nil"/>
              <w:left w:val="nil"/>
              <w:bottom w:val="nil"/>
              <w:right w:val="nil"/>
            </w:tcBorders>
            <w:shd w:val="clear" w:color="auto" w:fill="auto"/>
            <w:noWrap/>
            <w:vAlign w:val="bottom"/>
            <w:hideMark/>
          </w:tcPr>
          <w:p w14:paraId="003A9A7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3223</w:t>
            </w:r>
          </w:p>
        </w:tc>
        <w:tc>
          <w:tcPr>
            <w:tcW w:w="8509" w:type="dxa"/>
            <w:tcBorders>
              <w:top w:val="nil"/>
              <w:left w:val="nil"/>
              <w:bottom w:val="nil"/>
              <w:right w:val="nil"/>
            </w:tcBorders>
            <w:shd w:val="clear" w:color="auto" w:fill="auto"/>
            <w:noWrap/>
            <w:vAlign w:val="bottom"/>
            <w:hideMark/>
          </w:tcPr>
          <w:p w14:paraId="6344F9A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Energija                                                                                            </w:t>
            </w:r>
          </w:p>
        </w:tc>
        <w:tc>
          <w:tcPr>
            <w:tcW w:w="1480" w:type="dxa"/>
            <w:tcBorders>
              <w:top w:val="nil"/>
              <w:left w:val="nil"/>
              <w:bottom w:val="nil"/>
              <w:right w:val="nil"/>
            </w:tcBorders>
            <w:shd w:val="clear" w:color="auto" w:fill="auto"/>
            <w:noWrap/>
            <w:vAlign w:val="bottom"/>
            <w:hideMark/>
          </w:tcPr>
          <w:p w14:paraId="6829A859"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212C4729"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86.680,54</w:t>
            </w:r>
          </w:p>
        </w:tc>
        <w:tc>
          <w:tcPr>
            <w:tcW w:w="1400" w:type="dxa"/>
            <w:tcBorders>
              <w:top w:val="nil"/>
              <w:left w:val="nil"/>
              <w:bottom w:val="nil"/>
              <w:right w:val="nil"/>
            </w:tcBorders>
            <w:shd w:val="clear" w:color="auto" w:fill="auto"/>
            <w:noWrap/>
            <w:vAlign w:val="bottom"/>
            <w:hideMark/>
          </w:tcPr>
          <w:p w14:paraId="3AB2A7CB"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170CF9C" w14:textId="77777777" w:rsidTr="00A360DB">
        <w:trPr>
          <w:trHeight w:val="240"/>
        </w:trPr>
        <w:tc>
          <w:tcPr>
            <w:tcW w:w="1697" w:type="dxa"/>
            <w:tcBorders>
              <w:top w:val="nil"/>
              <w:left w:val="nil"/>
              <w:bottom w:val="nil"/>
              <w:right w:val="nil"/>
            </w:tcBorders>
            <w:shd w:val="clear" w:color="auto" w:fill="auto"/>
            <w:noWrap/>
            <w:vAlign w:val="bottom"/>
            <w:hideMark/>
          </w:tcPr>
          <w:p w14:paraId="77CF5D0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3227</w:t>
            </w:r>
          </w:p>
        </w:tc>
        <w:tc>
          <w:tcPr>
            <w:tcW w:w="8509" w:type="dxa"/>
            <w:tcBorders>
              <w:top w:val="nil"/>
              <w:left w:val="nil"/>
              <w:bottom w:val="nil"/>
              <w:right w:val="nil"/>
            </w:tcBorders>
            <w:shd w:val="clear" w:color="auto" w:fill="auto"/>
            <w:noWrap/>
            <w:vAlign w:val="bottom"/>
            <w:hideMark/>
          </w:tcPr>
          <w:p w14:paraId="6930206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Službena, radna i zaštitna odjeća i obuća                                                           </w:t>
            </w:r>
          </w:p>
        </w:tc>
        <w:tc>
          <w:tcPr>
            <w:tcW w:w="1480" w:type="dxa"/>
            <w:tcBorders>
              <w:top w:val="nil"/>
              <w:left w:val="nil"/>
              <w:bottom w:val="nil"/>
              <w:right w:val="nil"/>
            </w:tcBorders>
            <w:shd w:val="clear" w:color="auto" w:fill="auto"/>
            <w:noWrap/>
            <w:vAlign w:val="bottom"/>
            <w:hideMark/>
          </w:tcPr>
          <w:p w14:paraId="76588B19"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DDD434E"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79,90</w:t>
            </w:r>
          </w:p>
        </w:tc>
        <w:tc>
          <w:tcPr>
            <w:tcW w:w="1400" w:type="dxa"/>
            <w:tcBorders>
              <w:top w:val="nil"/>
              <w:left w:val="nil"/>
              <w:bottom w:val="nil"/>
              <w:right w:val="nil"/>
            </w:tcBorders>
            <w:shd w:val="clear" w:color="auto" w:fill="auto"/>
            <w:noWrap/>
            <w:vAlign w:val="bottom"/>
            <w:hideMark/>
          </w:tcPr>
          <w:p w14:paraId="6C6BDFAD"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0F57B7A" w14:textId="77777777" w:rsidTr="00A360DB">
        <w:trPr>
          <w:trHeight w:val="240"/>
        </w:trPr>
        <w:tc>
          <w:tcPr>
            <w:tcW w:w="1697" w:type="dxa"/>
            <w:tcBorders>
              <w:top w:val="nil"/>
              <w:left w:val="nil"/>
              <w:bottom w:val="nil"/>
              <w:right w:val="nil"/>
            </w:tcBorders>
            <w:shd w:val="clear" w:color="auto" w:fill="auto"/>
            <w:noWrap/>
            <w:vAlign w:val="bottom"/>
            <w:hideMark/>
          </w:tcPr>
          <w:p w14:paraId="5FD94C8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3234</w:t>
            </w:r>
          </w:p>
        </w:tc>
        <w:tc>
          <w:tcPr>
            <w:tcW w:w="8509" w:type="dxa"/>
            <w:tcBorders>
              <w:top w:val="nil"/>
              <w:left w:val="nil"/>
              <w:bottom w:val="nil"/>
              <w:right w:val="nil"/>
            </w:tcBorders>
            <w:shd w:val="clear" w:color="auto" w:fill="auto"/>
            <w:noWrap/>
            <w:vAlign w:val="bottom"/>
            <w:hideMark/>
          </w:tcPr>
          <w:p w14:paraId="2E5A452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Komunalne usluge                                                                                    </w:t>
            </w:r>
          </w:p>
        </w:tc>
        <w:tc>
          <w:tcPr>
            <w:tcW w:w="1480" w:type="dxa"/>
            <w:tcBorders>
              <w:top w:val="nil"/>
              <w:left w:val="nil"/>
              <w:bottom w:val="nil"/>
              <w:right w:val="nil"/>
            </w:tcBorders>
            <w:shd w:val="clear" w:color="auto" w:fill="auto"/>
            <w:noWrap/>
            <w:vAlign w:val="bottom"/>
            <w:hideMark/>
          </w:tcPr>
          <w:p w14:paraId="581C4B4D"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5081AA27"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24.109,80</w:t>
            </w:r>
          </w:p>
        </w:tc>
        <w:tc>
          <w:tcPr>
            <w:tcW w:w="1400" w:type="dxa"/>
            <w:tcBorders>
              <w:top w:val="nil"/>
              <w:left w:val="nil"/>
              <w:bottom w:val="nil"/>
              <w:right w:val="nil"/>
            </w:tcBorders>
            <w:shd w:val="clear" w:color="auto" w:fill="auto"/>
            <w:noWrap/>
            <w:vAlign w:val="bottom"/>
            <w:hideMark/>
          </w:tcPr>
          <w:p w14:paraId="19698A90"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76D9073" w14:textId="77777777" w:rsidTr="00A360DB">
        <w:trPr>
          <w:trHeight w:val="240"/>
        </w:trPr>
        <w:tc>
          <w:tcPr>
            <w:tcW w:w="1697" w:type="dxa"/>
            <w:tcBorders>
              <w:top w:val="nil"/>
              <w:left w:val="nil"/>
              <w:bottom w:val="nil"/>
              <w:right w:val="nil"/>
            </w:tcBorders>
            <w:shd w:val="clear" w:color="auto" w:fill="auto"/>
            <w:noWrap/>
            <w:vAlign w:val="bottom"/>
            <w:hideMark/>
          </w:tcPr>
          <w:p w14:paraId="648E9D88"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3235</w:t>
            </w:r>
          </w:p>
        </w:tc>
        <w:tc>
          <w:tcPr>
            <w:tcW w:w="8509" w:type="dxa"/>
            <w:tcBorders>
              <w:top w:val="nil"/>
              <w:left w:val="nil"/>
              <w:bottom w:val="nil"/>
              <w:right w:val="nil"/>
            </w:tcBorders>
            <w:shd w:val="clear" w:color="auto" w:fill="auto"/>
            <w:noWrap/>
            <w:vAlign w:val="bottom"/>
            <w:hideMark/>
          </w:tcPr>
          <w:p w14:paraId="4E3E5CA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Zakupnine i najamnine                                                                               </w:t>
            </w:r>
          </w:p>
        </w:tc>
        <w:tc>
          <w:tcPr>
            <w:tcW w:w="1480" w:type="dxa"/>
            <w:tcBorders>
              <w:top w:val="nil"/>
              <w:left w:val="nil"/>
              <w:bottom w:val="nil"/>
              <w:right w:val="nil"/>
            </w:tcBorders>
            <w:shd w:val="clear" w:color="auto" w:fill="auto"/>
            <w:noWrap/>
            <w:vAlign w:val="bottom"/>
            <w:hideMark/>
          </w:tcPr>
          <w:p w14:paraId="497617DD"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527E49E8"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24.334,94</w:t>
            </w:r>
          </w:p>
        </w:tc>
        <w:tc>
          <w:tcPr>
            <w:tcW w:w="1400" w:type="dxa"/>
            <w:tcBorders>
              <w:top w:val="nil"/>
              <w:left w:val="nil"/>
              <w:bottom w:val="nil"/>
              <w:right w:val="nil"/>
            </w:tcBorders>
            <w:shd w:val="clear" w:color="auto" w:fill="auto"/>
            <w:noWrap/>
            <w:vAlign w:val="bottom"/>
            <w:hideMark/>
          </w:tcPr>
          <w:p w14:paraId="51E63434"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71DA26A" w14:textId="77777777" w:rsidTr="00A360DB">
        <w:trPr>
          <w:trHeight w:val="240"/>
        </w:trPr>
        <w:tc>
          <w:tcPr>
            <w:tcW w:w="1697" w:type="dxa"/>
            <w:tcBorders>
              <w:top w:val="nil"/>
              <w:left w:val="nil"/>
              <w:bottom w:val="nil"/>
              <w:right w:val="nil"/>
            </w:tcBorders>
            <w:shd w:val="clear" w:color="auto" w:fill="auto"/>
            <w:noWrap/>
            <w:vAlign w:val="bottom"/>
            <w:hideMark/>
          </w:tcPr>
          <w:p w14:paraId="114B524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3237</w:t>
            </w:r>
          </w:p>
        </w:tc>
        <w:tc>
          <w:tcPr>
            <w:tcW w:w="8509" w:type="dxa"/>
            <w:tcBorders>
              <w:top w:val="nil"/>
              <w:left w:val="nil"/>
              <w:bottom w:val="nil"/>
              <w:right w:val="nil"/>
            </w:tcBorders>
            <w:shd w:val="clear" w:color="auto" w:fill="auto"/>
            <w:noWrap/>
            <w:vAlign w:val="bottom"/>
            <w:hideMark/>
          </w:tcPr>
          <w:p w14:paraId="11A0917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Intelektualne i osobne usluge                                                                       </w:t>
            </w:r>
          </w:p>
        </w:tc>
        <w:tc>
          <w:tcPr>
            <w:tcW w:w="1480" w:type="dxa"/>
            <w:tcBorders>
              <w:top w:val="nil"/>
              <w:left w:val="nil"/>
              <w:bottom w:val="nil"/>
              <w:right w:val="nil"/>
            </w:tcBorders>
            <w:shd w:val="clear" w:color="auto" w:fill="auto"/>
            <w:noWrap/>
            <w:vAlign w:val="bottom"/>
            <w:hideMark/>
          </w:tcPr>
          <w:p w14:paraId="57F84423"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A5AD35F"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225.414,88</w:t>
            </w:r>
          </w:p>
        </w:tc>
        <w:tc>
          <w:tcPr>
            <w:tcW w:w="1400" w:type="dxa"/>
            <w:tcBorders>
              <w:top w:val="nil"/>
              <w:left w:val="nil"/>
              <w:bottom w:val="nil"/>
              <w:right w:val="nil"/>
            </w:tcBorders>
            <w:shd w:val="clear" w:color="auto" w:fill="auto"/>
            <w:noWrap/>
            <w:vAlign w:val="bottom"/>
            <w:hideMark/>
          </w:tcPr>
          <w:p w14:paraId="396BC97D"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E798CFC" w14:textId="77777777" w:rsidTr="00A360DB">
        <w:trPr>
          <w:trHeight w:val="240"/>
        </w:trPr>
        <w:tc>
          <w:tcPr>
            <w:tcW w:w="1697" w:type="dxa"/>
            <w:tcBorders>
              <w:top w:val="nil"/>
              <w:left w:val="nil"/>
              <w:bottom w:val="nil"/>
              <w:right w:val="nil"/>
            </w:tcBorders>
            <w:shd w:val="clear" w:color="auto" w:fill="auto"/>
            <w:noWrap/>
            <w:vAlign w:val="bottom"/>
            <w:hideMark/>
          </w:tcPr>
          <w:p w14:paraId="46ECACD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3293</w:t>
            </w:r>
          </w:p>
        </w:tc>
        <w:tc>
          <w:tcPr>
            <w:tcW w:w="8509" w:type="dxa"/>
            <w:tcBorders>
              <w:top w:val="nil"/>
              <w:left w:val="nil"/>
              <w:bottom w:val="nil"/>
              <w:right w:val="nil"/>
            </w:tcBorders>
            <w:shd w:val="clear" w:color="auto" w:fill="auto"/>
            <w:noWrap/>
            <w:vAlign w:val="bottom"/>
            <w:hideMark/>
          </w:tcPr>
          <w:p w14:paraId="00AEFF4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Reprezentacija                                                                                      </w:t>
            </w:r>
          </w:p>
        </w:tc>
        <w:tc>
          <w:tcPr>
            <w:tcW w:w="1480" w:type="dxa"/>
            <w:tcBorders>
              <w:top w:val="nil"/>
              <w:left w:val="nil"/>
              <w:bottom w:val="nil"/>
              <w:right w:val="nil"/>
            </w:tcBorders>
            <w:shd w:val="clear" w:color="auto" w:fill="auto"/>
            <w:noWrap/>
            <w:vAlign w:val="bottom"/>
            <w:hideMark/>
          </w:tcPr>
          <w:p w14:paraId="548444D2"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1511A0F"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1.415,34</w:t>
            </w:r>
          </w:p>
        </w:tc>
        <w:tc>
          <w:tcPr>
            <w:tcW w:w="1400" w:type="dxa"/>
            <w:tcBorders>
              <w:top w:val="nil"/>
              <w:left w:val="nil"/>
              <w:bottom w:val="nil"/>
              <w:right w:val="nil"/>
            </w:tcBorders>
            <w:shd w:val="clear" w:color="auto" w:fill="auto"/>
            <w:noWrap/>
            <w:vAlign w:val="bottom"/>
            <w:hideMark/>
          </w:tcPr>
          <w:p w14:paraId="4F619AB9"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42B2A92" w14:textId="77777777" w:rsidTr="00A360DB">
        <w:trPr>
          <w:trHeight w:val="240"/>
        </w:trPr>
        <w:tc>
          <w:tcPr>
            <w:tcW w:w="1697" w:type="dxa"/>
            <w:tcBorders>
              <w:top w:val="nil"/>
              <w:left w:val="nil"/>
              <w:bottom w:val="nil"/>
              <w:right w:val="nil"/>
            </w:tcBorders>
            <w:shd w:val="clear" w:color="auto" w:fill="auto"/>
            <w:noWrap/>
            <w:vAlign w:val="bottom"/>
            <w:hideMark/>
          </w:tcPr>
          <w:p w14:paraId="4822A15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lastRenderedPageBreak/>
              <w:t>3295</w:t>
            </w:r>
          </w:p>
        </w:tc>
        <w:tc>
          <w:tcPr>
            <w:tcW w:w="8509" w:type="dxa"/>
            <w:tcBorders>
              <w:top w:val="nil"/>
              <w:left w:val="nil"/>
              <w:bottom w:val="nil"/>
              <w:right w:val="nil"/>
            </w:tcBorders>
            <w:shd w:val="clear" w:color="auto" w:fill="auto"/>
            <w:noWrap/>
            <w:vAlign w:val="bottom"/>
            <w:hideMark/>
          </w:tcPr>
          <w:p w14:paraId="7393B7B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Pristojbe i naknade                                                                                 </w:t>
            </w:r>
          </w:p>
        </w:tc>
        <w:tc>
          <w:tcPr>
            <w:tcW w:w="1480" w:type="dxa"/>
            <w:tcBorders>
              <w:top w:val="nil"/>
              <w:left w:val="nil"/>
              <w:bottom w:val="nil"/>
              <w:right w:val="nil"/>
            </w:tcBorders>
            <w:shd w:val="clear" w:color="auto" w:fill="auto"/>
            <w:noWrap/>
            <w:vAlign w:val="bottom"/>
            <w:hideMark/>
          </w:tcPr>
          <w:p w14:paraId="04FB6A55"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C2AEEC2"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11.372,24</w:t>
            </w:r>
          </w:p>
        </w:tc>
        <w:tc>
          <w:tcPr>
            <w:tcW w:w="1400" w:type="dxa"/>
            <w:tcBorders>
              <w:top w:val="nil"/>
              <w:left w:val="nil"/>
              <w:bottom w:val="nil"/>
              <w:right w:val="nil"/>
            </w:tcBorders>
            <w:shd w:val="clear" w:color="auto" w:fill="auto"/>
            <w:noWrap/>
            <w:vAlign w:val="bottom"/>
            <w:hideMark/>
          </w:tcPr>
          <w:p w14:paraId="561664F0"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A0E3190" w14:textId="77777777" w:rsidTr="00A360DB">
        <w:trPr>
          <w:trHeight w:val="240"/>
        </w:trPr>
        <w:tc>
          <w:tcPr>
            <w:tcW w:w="1697" w:type="dxa"/>
            <w:tcBorders>
              <w:top w:val="nil"/>
              <w:left w:val="nil"/>
              <w:bottom w:val="nil"/>
              <w:right w:val="nil"/>
            </w:tcBorders>
            <w:shd w:val="clear" w:color="auto" w:fill="auto"/>
            <w:noWrap/>
            <w:vAlign w:val="bottom"/>
            <w:hideMark/>
          </w:tcPr>
          <w:p w14:paraId="770D05A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3299</w:t>
            </w:r>
          </w:p>
        </w:tc>
        <w:tc>
          <w:tcPr>
            <w:tcW w:w="8509" w:type="dxa"/>
            <w:tcBorders>
              <w:top w:val="nil"/>
              <w:left w:val="nil"/>
              <w:bottom w:val="nil"/>
              <w:right w:val="nil"/>
            </w:tcBorders>
            <w:shd w:val="clear" w:color="auto" w:fill="auto"/>
            <w:noWrap/>
            <w:vAlign w:val="bottom"/>
            <w:hideMark/>
          </w:tcPr>
          <w:p w14:paraId="499E6647"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Ostali nespomenuti rashodi poslovanja                                                               </w:t>
            </w:r>
          </w:p>
        </w:tc>
        <w:tc>
          <w:tcPr>
            <w:tcW w:w="1480" w:type="dxa"/>
            <w:tcBorders>
              <w:top w:val="nil"/>
              <w:left w:val="nil"/>
              <w:bottom w:val="nil"/>
              <w:right w:val="nil"/>
            </w:tcBorders>
            <w:shd w:val="clear" w:color="auto" w:fill="auto"/>
            <w:noWrap/>
            <w:vAlign w:val="bottom"/>
            <w:hideMark/>
          </w:tcPr>
          <w:p w14:paraId="5CC69BD1"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A547B97"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298,50</w:t>
            </w:r>
          </w:p>
        </w:tc>
        <w:tc>
          <w:tcPr>
            <w:tcW w:w="1400" w:type="dxa"/>
            <w:tcBorders>
              <w:top w:val="nil"/>
              <w:left w:val="nil"/>
              <w:bottom w:val="nil"/>
              <w:right w:val="nil"/>
            </w:tcBorders>
            <w:shd w:val="clear" w:color="auto" w:fill="auto"/>
            <w:noWrap/>
            <w:vAlign w:val="bottom"/>
            <w:hideMark/>
          </w:tcPr>
          <w:p w14:paraId="26162174"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46D29A4"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D9033A8"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9. Višak iz prethodnih razdoblja</w:t>
            </w:r>
          </w:p>
        </w:tc>
        <w:tc>
          <w:tcPr>
            <w:tcW w:w="1480" w:type="dxa"/>
            <w:tcBorders>
              <w:top w:val="nil"/>
              <w:left w:val="nil"/>
              <w:bottom w:val="nil"/>
              <w:right w:val="nil"/>
            </w:tcBorders>
            <w:shd w:val="clear" w:color="auto" w:fill="auto"/>
            <w:noWrap/>
            <w:vAlign w:val="bottom"/>
            <w:hideMark/>
          </w:tcPr>
          <w:p w14:paraId="301AA5C6"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33.900,00</w:t>
            </w:r>
          </w:p>
        </w:tc>
        <w:tc>
          <w:tcPr>
            <w:tcW w:w="1380" w:type="dxa"/>
            <w:tcBorders>
              <w:top w:val="nil"/>
              <w:left w:val="nil"/>
              <w:bottom w:val="nil"/>
              <w:right w:val="nil"/>
            </w:tcBorders>
            <w:shd w:val="clear" w:color="auto" w:fill="auto"/>
            <w:noWrap/>
            <w:vAlign w:val="bottom"/>
            <w:hideMark/>
          </w:tcPr>
          <w:p w14:paraId="09566C6F"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33.900,00</w:t>
            </w:r>
          </w:p>
        </w:tc>
        <w:tc>
          <w:tcPr>
            <w:tcW w:w="1400" w:type="dxa"/>
            <w:tcBorders>
              <w:top w:val="nil"/>
              <w:left w:val="nil"/>
              <w:bottom w:val="nil"/>
              <w:right w:val="nil"/>
            </w:tcBorders>
            <w:shd w:val="clear" w:color="auto" w:fill="auto"/>
            <w:noWrap/>
            <w:vAlign w:val="bottom"/>
            <w:hideMark/>
          </w:tcPr>
          <w:p w14:paraId="538A8716"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w:t>
            </w:r>
          </w:p>
        </w:tc>
      </w:tr>
      <w:tr w:rsidR="00A360DB" w:rsidRPr="00A360DB" w14:paraId="3401E912"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AE33977"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9.2. Višak iz prethodnih godina - Grad</w:t>
            </w:r>
          </w:p>
        </w:tc>
        <w:tc>
          <w:tcPr>
            <w:tcW w:w="1480" w:type="dxa"/>
            <w:tcBorders>
              <w:top w:val="nil"/>
              <w:left w:val="nil"/>
              <w:bottom w:val="nil"/>
              <w:right w:val="nil"/>
            </w:tcBorders>
            <w:shd w:val="clear" w:color="auto" w:fill="auto"/>
            <w:noWrap/>
            <w:vAlign w:val="bottom"/>
            <w:hideMark/>
          </w:tcPr>
          <w:p w14:paraId="2A206F9C"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33.900,00</w:t>
            </w:r>
          </w:p>
        </w:tc>
        <w:tc>
          <w:tcPr>
            <w:tcW w:w="1380" w:type="dxa"/>
            <w:tcBorders>
              <w:top w:val="nil"/>
              <w:left w:val="nil"/>
              <w:bottom w:val="nil"/>
              <w:right w:val="nil"/>
            </w:tcBorders>
            <w:shd w:val="clear" w:color="auto" w:fill="auto"/>
            <w:noWrap/>
            <w:vAlign w:val="bottom"/>
            <w:hideMark/>
          </w:tcPr>
          <w:p w14:paraId="3966845F"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33.900,00</w:t>
            </w:r>
          </w:p>
        </w:tc>
        <w:tc>
          <w:tcPr>
            <w:tcW w:w="1400" w:type="dxa"/>
            <w:tcBorders>
              <w:top w:val="nil"/>
              <w:left w:val="nil"/>
              <w:bottom w:val="nil"/>
              <w:right w:val="nil"/>
            </w:tcBorders>
            <w:shd w:val="clear" w:color="auto" w:fill="auto"/>
            <w:noWrap/>
            <w:vAlign w:val="bottom"/>
            <w:hideMark/>
          </w:tcPr>
          <w:p w14:paraId="2CF0FC0A"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w:t>
            </w:r>
          </w:p>
        </w:tc>
      </w:tr>
      <w:tr w:rsidR="00A360DB" w:rsidRPr="00A360DB" w14:paraId="0235C87B" w14:textId="77777777" w:rsidTr="00A360DB">
        <w:trPr>
          <w:trHeight w:val="240"/>
        </w:trPr>
        <w:tc>
          <w:tcPr>
            <w:tcW w:w="1697" w:type="dxa"/>
            <w:tcBorders>
              <w:top w:val="nil"/>
              <w:left w:val="nil"/>
              <w:bottom w:val="nil"/>
              <w:right w:val="nil"/>
            </w:tcBorders>
            <w:shd w:val="clear" w:color="auto" w:fill="auto"/>
            <w:noWrap/>
            <w:vAlign w:val="bottom"/>
            <w:hideMark/>
          </w:tcPr>
          <w:p w14:paraId="48571E6C"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5136E8A1"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428748B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33.900,00</w:t>
            </w:r>
          </w:p>
        </w:tc>
        <w:tc>
          <w:tcPr>
            <w:tcW w:w="1380" w:type="dxa"/>
            <w:tcBorders>
              <w:top w:val="nil"/>
              <w:left w:val="nil"/>
              <w:bottom w:val="nil"/>
              <w:right w:val="nil"/>
            </w:tcBorders>
            <w:shd w:val="clear" w:color="auto" w:fill="auto"/>
            <w:noWrap/>
            <w:vAlign w:val="bottom"/>
            <w:hideMark/>
          </w:tcPr>
          <w:p w14:paraId="5AFCB73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33.900,00</w:t>
            </w:r>
          </w:p>
        </w:tc>
        <w:tc>
          <w:tcPr>
            <w:tcW w:w="1400" w:type="dxa"/>
            <w:tcBorders>
              <w:top w:val="nil"/>
              <w:left w:val="nil"/>
              <w:bottom w:val="nil"/>
              <w:right w:val="nil"/>
            </w:tcBorders>
            <w:shd w:val="clear" w:color="auto" w:fill="auto"/>
            <w:noWrap/>
            <w:vAlign w:val="bottom"/>
            <w:hideMark/>
          </w:tcPr>
          <w:p w14:paraId="2C0CCD8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r>
      <w:tr w:rsidR="00A360DB" w:rsidRPr="00A360DB" w14:paraId="22A6AA5A" w14:textId="77777777" w:rsidTr="00A360DB">
        <w:trPr>
          <w:trHeight w:val="240"/>
        </w:trPr>
        <w:tc>
          <w:tcPr>
            <w:tcW w:w="1697" w:type="dxa"/>
            <w:tcBorders>
              <w:top w:val="nil"/>
              <w:left w:val="nil"/>
              <w:bottom w:val="nil"/>
              <w:right w:val="nil"/>
            </w:tcBorders>
            <w:shd w:val="clear" w:color="auto" w:fill="auto"/>
            <w:noWrap/>
            <w:vAlign w:val="bottom"/>
            <w:hideMark/>
          </w:tcPr>
          <w:p w14:paraId="6458C3A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3235</w:t>
            </w:r>
          </w:p>
        </w:tc>
        <w:tc>
          <w:tcPr>
            <w:tcW w:w="8509" w:type="dxa"/>
            <w:tcBorders>
              <w:top w:val="nil"/>
              <w:left w:val="nil"/>
              <w:bottom w:val="nil"/>
              <w:right w:val="nil"/>
            </w:tcBorders>
            <w:shd w:val="clear" w:color="auto" w:fill="auto"/>
            <w:noWrap/>
            <w:vAlign w:val="bottom"/>
            <w:hideMark/>
          </w:tcPr>
          <w:p w14:paraId="3C5643D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Zakupnine i najamnine                                                                               </w:t>
            </w:r>
          </w:p>
        </w:tc>
        <w:tc>
          <w:tcPr>
            <w:tcW w:w="1480" w:type="dxa"/>
            <w:tcBorders>
              <w:top w:val="nil"/>
              <w:left w:val="nil"/>
              <w:bottom w:val="nil"/>
              <w:right w:val="nil"/>
            </w:tcBorders>
            <w:shd w:val="clear" w:color="auto" w:fill="auto"/>
            <w:noWrap/>
            <w:vAlign w:val="bottom"/>
            <w:hideMark/>
          </w:tcPr>
          <w:p w14:paraId="5474A694"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1A276D0F"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3.000,00</w:t>
            </w:r>
          </w:p>
        </w:tc>
        <w:tc>
          <w:tcPr>
            <w:tcW w:w="1400" w:type="dxa"/>
            <w:tcBorders>
              <w:top w:val="nil"/>
              <w:left w:val="nil"/>
              <w:bottom w:val="nil"/>
              <w:right w:val="nil"/>
            </w:tcBorders>
            <w:shd w:val="clear" w:color="auto" w:fill="auto"/>
            <w:noWrap/>
            <w:vAlign w:val="bottom"/>
            <w:hideMark/>
          </w:tcPr>
          <w:p w14:paraId="758FA480"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825E9BB" w14:textId="77777777" w:rsidTr="00A360DB">
        <w:trPr>
          <w:trHeight w:val="240"/>
        </w:trPr>
        <w:tc>
          <w:tcPr>
            <w:tcW w:w="1697" w:type="dxa"/>
            <w:tcBorders>
              <w:top w:val="nil"/>
              <w:left w:val="nil"/>
              <w:bottom w:val="nil"/>
              <w:right w:val="nil"/>
            </w:tcBorders>
            <w:shd w:val="clear" w:color="auto" w:fill="auto"/>
            <w:noWrap/>
            <w:vAlign w:val="bottom"/>
            <w:hideMark/>
          </w:tcPr>
          <w:p w14:paraId="6EE20F3E"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3237</w:t>
            </w:r>
          </w:p>
        </w:tc>
        <w:tc>
          <w:tcPr>
            <w:tcW w:w="8509" w:type="dxa"/>
            <w:tcBorders>
              <w:top w:val="nil"/>
              <w:left w:val="nil"/>
              <w:bottom w:val="nil"/>
              <w:right w:val="nil"/>
            </w:tcBorders>
            <w:shd w:val="clear" w:color="auto" w:fill="auto"/>
            <w:noWrap/>
            <w:vAlign w:val="bottom"/>
            <w:hideMark/>
          </w:tcPr>
          <w:p w14:paraId="716FA17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Intelektualne i osobne usluge                                                                       </w:t>
            </w:r>
          </w:p>
        </w:tc>
        <w:tc>
          <w:tcPr>
            <w:tcW w:w="1480" w:type="dxa"/>
            <w:tcBorders>
              <w:top w:val="nil"/>
              <w:left w:val="nil"/>
              <w:bottom w:val="nil"/>
              <w:right w:val="nil"/>
            </w:tcBorders>
            <w:shd w:val="clear" w:color="auto" w:fill="auto"/>
            <w:noWrap/>
            <w:vAlign w:val="bottom"/>
            <w:hideMark/>
          </w:tcPr>
          <w:p w14:paraId="6292AB25"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2FBCA4F3"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30.900,00</w:t>
            </w:r>
          </w:p>
        </w:tc>
        <w:tc>
          <w:tcPr>
            <w:tcW w:w="1400" w:type="dxa"/>
            <w:tcBorders>
              <w:top w:val="nil"/>
              <w:left w:val="nil"/>
              <w:bottom w:val="nil"/>
              <w:right w:val="nil"/>
            </w:tcBorders>
            <w:shd w:val="clear" w:color="auto" w:fill="auto"/>
            <w:noWrap/>
            <w:vAlign w:val="bottom"/>
            <w:hideMark/>
          </w:tcPr>
          <w:p w14:paraId="7310D770"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EE21834" w14:textId="77777777" w:rsidTr="00A360DB">
        <w:trPr>
          <w:trHeight w:val="240"/>
        </w:trPr>
        <w:tc>
          <w:tcPr>
            <w:tcW w:w="1697" w:type="dxa"/>
            <w:tcBorders>
              <w:top w:val="nil"/>
              <w:left w:val="nil"/>
              <w:bottom w:val="nil"/>
              <w:right w:val="nil"/>
            </w:tcBorders>
            <w:shd w:val="clear" w:color="000000" w:fill="B4C6E7"/>
            <w:noWrap/>
            <w:vAlign w:val="bottom"/>
            <w:hideMark/>
          </w:tcPr>
          <w:p w14:paraId="1184A97E"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A100302</w:t>
            </w:r>
          </w:p>
        </w:tc>
        <w:tc>
          <w:tcPr>
            <w:tcW w:w="8509" w:type="dxa"/>
            <w:tcBorders>
              <w:top w:val="nil"/>
              <w:left w:val="nil"/>
              <w:bottom w:val="nil"/>
              <w:right w:val="nil"/>
            </w:tcBorders>
            <w:shd w:val="clear" w:color="000000" w:fill="B4C6E7"/>
            <w:noWrap/>
            <w:vAlign w:val="bottom"/>
            <w:hideMark/>
          </w:tcPr>
          <w:p w14:paraId="2966F23C"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Održavanje građevinskih objekata za redovno korištenje</w:t>
            </w:r>
          </w:p>
        </w:tc>
        <w:tc>
          <w:tcPr>
            <w:tcW w:w="1480" w:type="dxa"/>
            <w:tcBorders>
              <w:top w:val="nil"/>
              <w:left w:val="nil"/>
              <w:bottom w:val="nil"/>
              <w:right w:val="nil"/>
            </w:tcBorders>
            <w:shd w:val="clear" w:color="000000" w:fill="B4C6E7"/>
            <w:noWrap/>
            <w:vAlign w:val="bottom"/>
            <w:hideMark/>
          </w:tcPr>
          <w:p w14:paraId="6D67A8C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211.700,00</w:t>
            </w:r>
          </w:p>
        </w:tc>
        <w:tc>
          <w:tcPr>
            <w:tcW w:w="1380" w:type="dxa"/>
            <w:tcBorders>
              <w:top w:val="nil"/>
              <w:left w:val="nil"/>
              <w:bottom w:val="nil"/>
              <w:right w:val="nil"/>
            </w:tcBorders>
            <w:shd w:val="clear" w:color="000000" w:fill="B4C6E7"/>
            <w:noWrap/>
            <w:vAlign w:val="bottom"/>
            <w:hideMark/>
          </w:tcPr>
          <w:p w14:paraId="3CC206D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148.764,80</w:t>
            </w:r>
          </w:p>
        </w:tc>
        <w:tc>
          <w:tcPr>
            <w:tcW w:w="1400" w:type="dxa"/>
            <w:tcBorders>
              <w:top w:val="nil"/>
              <w:left w:val="nil"/>
              <w:bottom w:val="nil"/>
              <w:right w:val="nil"/>
            </w:tcBorders>
            <w:shd w:val="clear" w:color="000000" w:fill="B4C6E7"/>
            <w:noWrap/>
            <w:vAlign w:val="bottom"/>
            <w:hideMark/>
          </w:tcPr>
          <w:p w14:paraId="7A8C994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70,27%</w:t>
            </w:r>
          </w:p>
        </w:tc>
      </w:tr>
      <w:tr w:rsidR="00A360DB" w:rsidRPr="00A360DB" w14:paraId="449B4E1F"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2C77F32"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7A678830"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120.000,00</w:t>
            </w:r>
          </w:p>
        </w:tc>
        <w:tc>
          <w:tcPr>
            <w:tcW w:w="1380" w:type="dxa"/>
            <w:tcBorders>
              <w:top w:val="nil"/>
              <w:left w:val="nil"/>
              <w:bottom w:val="nil"/>
              <w:right w:val="nil"/>
            </w:tcBorders>
            <w:shd w:val="clear" w:color="auto" w:fill="auto"/>
            <w:noWrap/>
            <w:vAlign w:val="bottom"/>
            <w:hideMark/>
          </w:tcPr>
          <w:p w14:paraId="70E09045"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59.977,12</w:t>
            </w:r>
          </w:p>
        </w:tc>
        <w:tc>
          <w:tcPr>
            <w:tcW w:w="1400" w:type="dxa"/>
            <w:tcBorders>
              <w:top w:val="nil"/>
              <w:left w:val="nil"/>
              <w:bottom w:val="nil"/>
              <w:right w:val="nil"/>
            </w:tcBorders>
            <w:shd w:val="clear" w:color="auto" w:fill="auto"/>
            <w:noWrap/>
            <w:vAlign w:val="bottom"/>
            <w:hideMark/>
          </w:tcPr>
          <w:p w14:paraId="720BAA90"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49,98%</w:t>
            </w:r>
          </w:p>
        </w:tc>
      </w:tr>
      <w:tr w:rsidR="00A360DB" w:rsidRPr="00A360DB" w14:paraId="204F8F0F"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1510E630"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445B7AA2"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120.000,00</w:t>
            </w:r>
          </w:p>
        </w:tc>
        <w:tc>
          <w:tcPr>
            <w:tcW w:w="1380" w:type="dxa"/>
            <w:tcBorders>
              <w:top w:val="nil"/>
              <w:left w:val="nil"/>
              <w:bottom w:val="nil"/>
              <w:right w:val="nil"/>
            </w:tcBorders>
            <w:shd w:val="clear" w:color="auto" w:fill="auto"/>
            <w:noWrap/>
            <w:vAlign w:val="bottom"/>
            <w:hideMark/>
          </w:tcPr>
          <w:p w14:paraId="047C5F5D"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59.977,12</w:t>
            </w:r>
          </w:p>
        </w:tc>
        <w:tc>
          <w:tcPr>
            <w:tcW w:w="1400" w:type="dxa"/>
            <w:tcBorders>
              <w:top w:val="nil"/>
              <w:left w:val="nil"/>
              <w:bottom w:val="nil"/>
              <w:right w:val="nil"/>
            </w:tcBorders>
            <w:shd w:val="clear" w:color="auto" w:fill="auto"/>
            <w:noWrap/>
            <w:vAlign w:val="bottom"/>
            <w:hideMark/>
          </w:tcPr>
          <w:p w14:paraId="32632357"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49,98%</w:t>
            </w:r>
          </w:p>
        </w:tc>
      </w:tr>
      <w:tr w:rsidR="00A360DB" w:rsidRPr="00A360DB" w14:paraId="01FDA5E8" w14:textId="77777777" w:rsidTr="00A360DB">
        <w:trPr>
          <w:trHeight w:val="240"/>
        </w:trPr>
        <w:tc>
          <w:tcPr>
            <w:tcW w:w="1697" w:type="dxa"/>
            <w:tcBorders>
              <w:top w:val="nil"/>
              <w:left w:val="nil"/>
              <w:bottom w:val="nil"/>
              <w:right w:val="nil"/>
            </w:tcBorders>
            <w:shd w:val="clear" w:color="auto" w:fill="auto"/>
            <w:noWrap/>
            <w:vAlign w:val="bottom"/>
            <w:hideMark/>
          </w:tcPr>
          <w:p w14:paraId="272FECBF"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749A1AFF"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570AB10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120.000,00</w:t>
            </w:r>
          </w:p>
        </w:tc>
        <w:tc>
          <w:tcPr>
            <w:tcW w:w="1380" w:type="dxa"/>
            <w:tcBorders>
              <w:top w:val="nil"/>
              <w:left w:val="nil"/>
              <w:bottom w:val="nil"/>
              <w:right w:val="nil"/>
            </w:tcBorders>
            <w:shd w:val="clear" w:color="auto" w:fill="auto"/>
            <w:noWrap/>
            <w:vAlign w:val="bottom"/>
            <w:hideMark/>
          </w:tcPr>
          <w:p w14:paraId="503563A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59.977,12</w:t>
            </w:r>
          </w:p>
        </w:tc>
        <w:tc>
          <w:tcPr>
            <w:tcW w:w="1400" w:type="dxa"/>
            <w:tcBorders>
              <w:top w:val="nil"/>
              <w:left w:val="nil"/>
              <w:bottom w:val="nil"/>
              <w:right w:val="nil"/>
            </w:tcBorders>
            <w:shd w:val="clear" w:color="auto" w:fill="auto"/>
            <w:noWrap/>
            <w:vAlign w:val="bottom"/>
            <w:hideMark/>
          </w:tcPr>
          <w:p w14:paraId="2B3DEEC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49,98%</w:t>
            </w:r>
          </w:p>
        </w:tc>
      </w:tr>
      <w:tr w:rsidR="00A360DB" w:rsidRPr="00A360DB" w14:paraId="6B70159D" w14:textId="77777777" w:rsidTr="00A360DB">
        <w:trPr>
          <w:trHeight w:val="240"/>
        </w:trPr>
        <w:tc>
          <w:tcPr>
            <w:tcW w:w="1697" w:type="dxa"/>
            <w:tcBorders>
              <w:top w:val="nil"/>
              <w:left w:val="nil"/>
              <w:bottom w:val="nil"/>
              <w:right w:val="nil"/>
            </w:tcBorders>
            <w:shd w:val="clear" w:color="auto" w:fill="auto"/>
            <w:noWrap/>
            <w:vAlign w:val="bottom"/>
            <w:hideMark/>
          </w:tcPr>
          <w:p w14:paraId="7AD25A7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3224</w:t>
            </w:r>
          </w:p>
        </w:tc>
        <w:tc>
          <w:tcPr>
            <w:tcW w:w="8509" w:type="dxa"/>
            <w:tcBorders>
              <w:top w:val="nil"/>
              <w:left w:val="nil"/>
              <w:bottom w:val="nil"/>
              <w:right w:val="nil"/>
            </w:tcBorders>
            <w:shd w:val="clear" w:color="auto" w:fill="auto"/>
            <w:noWrap/>
            <w:vAlign w:val="bottom"/>
            <w:hideMark/>
          </w:tcPr>
          <w:p w14:paraId="72E4A4D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Materijal i dijelovi za tekuće i investicijsko održavanje                                           </w:t>
            </w:r>
          </w:p>
        </w:tc>
        <w:tc>
          <w:tcPr>
            <w:tcW w:w="1480" w:type="dxa"/>
            <w:tcBorders>
              <w:top w:val="nil"/>
              <w:left w:val="nil"/>
              <w:bottom w:val="nil"/>
              <w:right w:val="nil"/>
            </w:tcBorders>
            <w:shd w:val="clear" w:color="auto" w:fill="auto"/>
            <w:noWrap/>
            <w:vAlign w:val="bottom"/>
            <w:hideMark/>
          </w:tcPr>
          <w:p w14:paraId="48951D15"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1B897909"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20.867,56</w:t>
            </w:r>
          </w:p>
        </w:tc>
        <w:tc>
          <w:tcPr>
            <w:tcW w:w="1400" w:type="dxa"/>
            <w:tcBorders>
              <w:top w:val="nil"/>
              <w:left w:val="nil"/>
              <w:bottom w:val="nil"/>
              <w:right w:val="nil"/>
            </w:tcBorders>
            <w:shd w:val="clear" w:color="auto" w:fill="auto"/>
            <w:noWrap/>
            <w:vAlign w:val="bottom"/>
            <w:hideMark/>
          </w:tcPr>
          <w:p w14:paraId="03F50FE9"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6E79C47" w14:textId="77777777" w:rsidTr="00A360DB">
        <w:trPr>
          <w:trHeight w:val="240"/>
        </w:trPr>
        <w:tc>
          <w:tcPr>
            <w:tcW w:w="1697" w:type="dxa"/>
            <w:tcBorders>
              <w:top w:val="nil"/>
              <w:left w:val="nil"/>
              <w:bottom w:val="nil"/>
              <w:right w:val="nil"/>
            </w:tcBorders>
            <w:shd w:val="clear" w:color="auto" w:fill="auto"/>
            <w:noWrap/>
            <w:vAlign w:val="bottom"/>
            <w:hideMark/>
          </w:tcPr>
          <w:p w14:paraId="45FA1C2D"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3232</w:t>
            </w:r>
          </w:p>
        </w:tc>
        <w:tc>
          <w:tcPr>
            <w:tcW w:w="8509" w:type="dxa"/>
            <w:tcBorders>
              <w:top w:val="nil"/>
              <w:left w:val="nil"/>
              <w:bottom w:val="nil"/>
              <w:right w:val="nil"/>
            </w:tcBorders>
            <w:shd w:val="clear" w:color="auto" w:fill="auto"/>
            <w:noWrap/>
            <w:vAlign w:val="bottom"/>
            <w:hideMark/>
          </w:tcPr>
          <w:p w14:paraId="2717B2CE"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Usluge tekućeg i investicijskog održavanja                                                          </w:t>
            </w:r>
          </w:p>
        </w:tc>
        <w:tc>
          <w:tcPr>
            <w:tcW w:w="1480" w:type="dxa"/>
            <w:tcBorders>
              <w:top w:val="nil"/>
              <w:left w:val="nil"/>
              <w:bottom w:val="nil"/>
              <w:right w:val="nil"/>
            </w:tcBorders>
            <w:shd w:val="clear" w:color="auto" w:fill="auto"/>
            <w:noWrap/>
            <w:vAlign w:val="bottom"/>
            <w:hideMark/>
          </w:tcPr>
          <w:p w14:paraId="5333551D"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3550FED"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39.109,56</w:t>
            </w:r>
          </w:p>
        </w:tc>
        <w:tc>
          <w:tcPr>
            <w:tcW w:w="1400" w:type="dxa"/>
            <w:tcBorders>
              <w:top w:val="nil"/>
              <w:left w:val="nil"/>
              <w:bottom w:val="nil"/>
              <w:right w:val="nil"/>
            </w:tcBorders>
            <w:shd w:val="clear" w:color="auto" w:fill="auto"/>
            <w:noWrap/>
            <w:vAlign w:val="bottom"/>
            <w:hideMark/>
          </w:tcPr>
          <w:p w14:paraId="2150E17F"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25D9B95"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E633325"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3. Vlastiti prihodi</w:t>
            </w:r>
          </w:p>
        </w:tc>
        <w:tc>
          <w:tcPr>
            <w:tcW w:w="1480" w:type="dxa"/>
            <w:tcBorders>
              <w:top w:val="nil"/>
              <w:left w:val="nil"/>
              <w:bottom w:val="nil"/>
              <w:right w:val="nil"/>
            </w:tcBorders>
            <w:shd w:val="clear" w:color="auto" w:fill="auto"/>
            <w:noWrap/>
            <w:vAlign w:val="bottom"/>
            <w:hideMark/>
          </w:tcPr>
          <w:p w14:paraId="6EAE0D19"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55.000,00</w:t>
            </w:r>
          </w:p>
        </w:tc>
        <w:tc>
          <w:tcPr>
            <w:tcW w:w="1380" w:type="dxa"/>
            <w:tcBorders>
              <w:top w:val="nil"/>
              <w:left w:val="nil"/>
              <w:bottom w:val="nil"/>
              <w:right w:val="nil"/>
            </w:tcBorders>
            <w:shd w:val="clear" w:color="auto" w:fill="auto"/>
            <w:noWrap/>
            <w:vAlign w:val="bottom"/>
            <w:hideMark/>
          </w:tcPr>
          <w:p w14:paraId="26395F43"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53.087,68</w:t>
            </w:r>
          </w:p>
        </w:tc>
        <w:tc>
          <w:tcPr>
            <w:tcW w:w="1400" w:type="dxa"/>
            <w:tcBorders>
              <w:top w:val="nil"/>
              <w:left w:val="nil"/>
              <w:bottom w:val="nil"/>
              <w:right w:val="nil"/>
            </w:tcBorders>
            <w:shd w:val="clear" w:color="auto" w:fill="auto"/>
            <w:noWrap/>
            <w:vAlign w:val="bottom"/>
            <w:hideMark/>
          </w:tcPr>
          <w:p w14:paraId="02084577"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96,52%</w:t>
            </w:r>
          </w:p>
        </w:tc>
      </w:tr>
      <w:tr w:rsidR="00A360DB" w:rsidRPr="00A360DB" w14:paraId="0F6AE47C"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2C266332"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3.1. Vlastiti prihodi</w:t>
            </w:r>
          </w:p>
        </w:tc>
        <w:tc>
          <w:tcPr>
            <w:tcW w:w="1480" w:type="dxa"/>
            <w:tcBorders>
              <w:top w:val="nil"/>
              <w:left w:val="nil"/>
              <w:bottom w:val="nil"/>
              <w:right w:val="nil"/>
            </w:tcBorders>
            <w:shd w:val="clear" w:color="auto" w:fill="auto"/>
            <w:noWrap/>
            <w:vAlign w:val="bottom"/>
            <w:hideMark/>
          </w:tcPr>
          <w:p w14:paraId="57B84B41"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55.000,00</w:t>
            </w:r>
          </w:p>
        </w:tc>
        <w:tc>
          <w:tcPr>
            <w:tcW w:w="1380" w:type="dxa"/>
            <w:tcBorders>
              <w:top w:val="nil"/>
              <w:left w:val="nil"/>
              <w:bottom w:val="nil"/>
              <w:right w:val="nil"/>
            </w:tcBorders>
            <w:shd w:val="clear" w:color="auto" w:fill="auto"/>
            <w:noWrap/>
            <w:vAlign w:val="bottom"/>
            <w:hideMark/>
          </w:tcPr>
          <w:p w14:paraId="542BF180"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53.087,68</w:t>
            </w:r>
          </w:p>
        </w:tc>
        <w:tc>
          <w:tcPr>
            <w:tcW w:w="1400" w:type="dxa"/>
            <w:tcBorders>
              <w:top w:val="nil"/>
              <w:left w:val="nil"/>
              <w:bottom w:val="nil"/>
              <w:right w:val="nil"/>
            </w:tcBorders>
            <w:shd w:val="clear" w:color="auto" w:fill="auto"/>
            <w:noWrap/>
            <w:vAlign w:val="bottom"/>
            <w:hideMark/>
          </w:tcPr>
          <w:p w14:paraId="34DCA320"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96,52%</w:t>
            </w:r>
          </w:p>
        </w:tc>
      </w:tr>
      <w:tr w:rsidR="00A360DB" w:rsidRPr="00A360DB" w14:paraId="4FE29078" w14:textId="77777777" w:rsidTr="00A360DB">
        <w:trPr>
          <w:trHeight w:val="240"/>
        </w:trPr>
        <w:tc>
          <w:tcPr>
            <w:tcW w:w="1697" w:type="dxa"/>
            <w:tcBorders>
              <w:top w:val="nil"/>
              <w:left w:val="nil"/>
              <w:bottom w:val="nil"/>
              <w:right w:val="nil"/>
            </w:tcBorders>
            <w:shd w:val="clear" w:color="auto" w:fill="auto"/>
            <w:noWrap/>
            <w:vAlign w:val="bottom"/>
            <w:hideMark/>
          </w:tcPr>
          <w:p w14:paraId="12CC2511"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3CB6C39C"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4A7B079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55.000,00</w:t>
            </w:r>
          </w:p>
        </w:tc>
        <w:tc>
          <w:tcPr>
            <w:tcW w:w="1380" w:type="dxa"/>
            <w:tcBorders>
              <w:top w:val="nil"/>
              <w:left w:val="nil"/>
              <w:bottom w:val="nil"/>
              <w:right w:val="nil"/>
            </w:tcBorders>
            <w:shd w:val="clear" w:color="auto" w:fill="auto"/>
            <w:noWrap/>
            <w:vAlign w:val="bottom"/>
            <w:hideMark/>
          </w:tcPr>
          <w:p w14:paraId="6CE0315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53.087,68</w:t>
            </w:r>
          </w:p>
        </w:tc>
        <w:tc>
          <w:tcPr>
            <w:tcW w:w="1400" w:type="dxa"/>
            <w:tcBorders>
              <w:top w:val="nil"/>
              <w:left w:val="nil"/>
              <w:bottom w:val="nil"/>
              <w:right w:val="nil"/>
            </w:tcBorders>
            <w:shd w:val="clear" w:color="auto" w:fill="auto"/>
            <w:noWrap/>
            <w:vAlign w:val="bottom"/>
            <w:hideMark/>
          </w:tcPr>
          <w:p w14:paraId="6FD16A2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96,52%</w:t>
            </w:r>
          </w:p>
        </w:tc>
      </w:tr>
      <w:tr w:rsidR="00A360DB" w:rsidRPr="00A360DB" w14:paraId="60E8A7D7" w14:textId="77777777" w:rsidTr="00A360DB">
        <w:trPr>
          <w:trHeight w:val="240"/>
        </w:trPr>
        <w:tc>
          <w:tcPr>
            <w:tcW w:w="1697" w:type="dxa"/>
            <w:tcBorders>
              <w:top w:val="nil"/>
              <w:left w:val="nil"/>
              <w:bottom w:val="nil"/>
              <w:right w:val="nil"/>
            </w:tcBorders>
            <w:shd w:val="clear" w:color="auto" w:fill="auto"/>
            <w:noWrap/>
            <w:vAlign w:val="bottom"/>
            <w:hideMark/>
          </w:tcPr>
          <w:p w14:paraId="41CD22E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3232</w:t>
            </w:r>
          </w:p>
        </w:tc>
        <w:tc>
          <w:tcPr>
            <w:tcW w:w="8509" w:type="dxa"/>
            <w:tcBorders>
              <w:top w:val="nil"/>
              <w:left w:val="nil"/>
              <w:bottom w:val="nil"/>
              <w:right w:val="nil"/>
            </w:tcBorders>
            <w:shd w:val="clear" w:color="auto" w:fill="auto"/>
            <w:noWrap/>
            <w:vAlign w:val="bottom"/>
            <w:hideMark/>
          </w:tcPr>
          <w:p w14:paraId="75C0296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Usluge tekućeg i investicijskog održavanja                                                          </w:t>
            </w:r>
          </w:p>
        </w:tc>
        <w:tc>
          <w:tcPr>
            <w:tcW w:w="1480" w:type="dxa"/>
            <w:tcBorders>
              <w:top w:val="nil"/>
              <w:left w:val="nil"/>
              <w:bottom w:val="nil"/>
              <w:right w:val="nil"/>
            </w:tcBorders>
            <w:shd w:val="clear" w:color="auto" w:fill="auto"/>
            <w:noWrap/>
            <w:vAlign w:val="bottom"/>
            <w:hideMark/>
          </w:tcPr>
          <w:p w14:paraId="6800D3BE"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2C807F4"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53.087,68</w:t>
            </w:r>
          </w:p>
        </w:tc>
        <w:tc>
          <w:tcPr>
            <w:tcW w:w="1400" w:type="dxa"/>
            <w:tcBorders>
              <w:top w:val="nil"/>
              <w:left w:val="nil"/>
              <w:bottom w:val="nil"/>
              <w:right w:val="nil"/>
            </w:tcBorders>
            <w:shd w:val="clear" w:color="auto" w:fill="auto"/>
            <w:noWrap/>
            <w:vAlign w:val="bottom"/>
            <w:hideMark/>
          </w:tcPr>
          <w:p w14:paraId="4EE5CCA5"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058235C"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587BC20A"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5. Pomoći</w:t>
            </w:r>
          </w:p>
        </w:tc>
        <w:tc>
          <w:tcPr>
            <w:tcW w:w="1480" w:type="dxa"/>
            <w:tcBorders>
              <w:top w:val="nil"/>
              <w:left w:val="nil"/>
              <w:bottom w:val="nil"/>
              <w:right w:val="nil"/>
            </w:tcBorders>
            <w:shd w:val="clear" w:color="auto" w:fill="auto"/>
            <w:noWrap/>
            <w:vAlign w:val="bottom"/>
            <w:hideMark/>
          </w:tcPr>
          <w:p w14:paraId="1ECFD8CB"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1.000,00</w:t>
            </w:r>
          </w:p>
        </w:tc>
        <w:tc>
          <w:tcPr>
            <w:tcW w:w="1380" w:type="dxa"/>
            <w:tcBorders>
              <w:top w:val="nil"/>
              <w:left w:val="nil"/>
              <w:bottom w:val="nil"/>
              <w:right w:val="nil"/>
            </w:tcBorders>
            <w:shd w:val="clear" w:color="auto" w:fill="auto"/>
            <w:noWrap/>
            <w:vAlign w:val="bottom"/>
            <w:hideMark/>
          </w:tcPr>
          <w:p w14:paraId="26BCB173"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0,00</w:t>
            </w:r>
          </w:p>
        </w:tc>
        <w:tc>
          <w:tcPr>
            <w:tcW w:w="1400" w:type="dxa"/>
            <w:tcBorders>
              <w:top w:val="nil"/>
              <w:left w:val="nil"/>
              <w:bottom w:val="nil"/>
              <w:right w:val="nil"/>
            </w:tcBorders>
            <w:shd w:val="clear" w:color="auto" w:fill="auto"/>
            <w:noWrap/>
            <w:vAlign w:val="bottom"/>
            <w:hideMark/>
          </w:tcPr>
          <w:p w14:paraId="2FF04A1E"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0,00%</w:t>
            </w:r>
          </w:p>
        </w:tc>
      </w:tr>
      <w:tr w:rsidR="00A360DB" w:rsidRPr="00A360DB" w14:paraId="1701973F"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0515EAF"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5.1. Županijski proračun</w:t>
            </w:r>
          </w:p>
        </w:tc>
        <w:tc>
          <w:tcPr>
            <w:tcW w:w="1480" w:type="dxa"/>
            <w:tcBorders>
              <w:top w:val="nil"/>
              <w:left w:val="nil"/>
              <w:bottom w:val="nil"/>
              <w:right w:val="nil"/>
            </w:tcBorders>
            <w:shd w:val="clear" w:color="auto" w:fill="auto"/>
            <w:noWrap/>
            <w:vAlign w:val="bottom"/>
            <w:hideMark/>
          </w:tcPr>
          <w:p w14:paraId="0CAA2663"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1.000,00</w:t>
            </w:r>
          </w:p>
        </w:tc>
        <w:tc>
          <w:tcPr>
            <w:tcW w:w="1380" w:type="dxa"/>
            <w:tcBorders>
              <w:top w:val="nil"/>
              <w:left w:val="nil"/>
              <w:bottom w:val="nil"/>
              <w:right w:val="nil"/>
            </w:tcBorders>
            <w:shd w:val="clear" w:color="auto" w:fill="auto"/>
            <w:noWrap/>
            <w:vAlign w:val="bottom"/>
            <w:hideMark/>
          </w:tcPr>
          <w:p w14:paraId="768F4A07"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0,00</w:t>
            </w:r>
          </w:p>
        </w:tc>
        <w:tc>
          <w:tcPr>
            <w:tcW w:w="1400" w:type="dxa"/>
            <w:tcBorders>
              <w:top w:val="nil"/>
              <w:left w:val="nil"/>
              <w:bottom w:val="nil"/>
              <w:right w:val="nil"/>
            </w:tcBorders>
            <w:shd w:val="clear" w:color="auto" w:fill="auto"/>
            <w:noWrap/>
            <w:vAlign w:val="bottom"/>
            <w:hideMark/>
          </w:tcPr>
          <w:p w14:paraId="7217D2DF"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0,00%</w:t>
            </w:r>
          </w:p>
        </w:tc>
      </w:tr>
      <w:tr w:rsidR="00A360DB" w:rsidRPr="00A360DB" w14:paraId="3FC76FBE" w14:textId="77777777" w:rsidTr="00A360DB">
        <w:trPr>
          <w:trHeight w:val="240"/>
        </w:trPr>
        <w:tc>
          <w:tcPr>
            <w:tcW w:w="1697" w:type="dxa"/>
            <w:tcBorders>
              <w:top w:val="nil"/>
              <w:left w:val="nil"/>
              <w:bottom w:val="nil"/>
              <w:right w:val="nil"/>
            </w:tcBorders>
            <w:shd w:val="clear" w:color="auto" w:fill="auto"/>
            <w:noWrap/>
            <w:vAlign w:val="bottom"/>
            <w:hideMark/>
          </w:tcPr>
          <w:p w14:paraId="33140475"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21FBDBAA"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5626D67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1.000,00</w:t>
            </w:r>
          </w:p>
        </w:tc>
        <w:tc>
          <w:tcPr>
            <w:tcW w:w="1380" w:type="dxa"/>
            <w:tcBorders>
              <w:top w:val="nil"/>
              <w:left w:val="nil"/>
              <w:bottom w:val="nil"/>
              <w:right w:val="nil"/>
            </w:tcBorders>
            <w:shd w:val="clear" w:color="auto" w:fill="auto"/>
            <w:noWrap/>
            <w:vAlign w:val="bottom"/>
            <w:hideMark/>
          </w:tcPr>
          <w:p w14:paraId="2AFE2E3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c>
          <w:tcPr>
            <w:tcW w:w="1400" w:type="dxa"/>
            <w:tcBorders>
              <w:top w:val="nil"/>
              <w:left w:val="nil"/>
              <w:bottom w:val="nil"/>
              <w:right w:val="nil"/>
            </w:tcBorders>
            <w:shd w:val="clear" w:color="auto" w:fill="auto"/>
            <w:noWrap/>
            <w:vAlign w:val="bottom"/>
            <w:hideMark/>
          </w:tcPr>
          <w:p w14:paraId="743F69B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r>
      <w:tr w:rsidR="00A360DB" w:rsidRPr="00A360DB" w14:paraId="5C59A223"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11692FB"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9. Višak iz prethodnih razdoblja</w:t>
            </w:r>
          </w:p>
        </w:tc>
        <w:tc>
          <w:tcPr>
            <w:tcW w:w="1480" w:type="dxa"/>
            <w:tcBorders>
              <w:top w:val="nil"/>
              <w:left w:val="nil"/>
              <w:bottom w:val="nil"/>
              <w:right w:val="nil"/>
            </w:tcBorders>
            <w:shd w:val="clear" w:color="auto" w:fill="auto"/>
            <w:noWrap/>
            <w:vAlign w:val="bottom"/>
            <w:hideMark/>
          </w:tcPr>
          <w:p w14:paraId="3A11818C"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35.700,00</w:t>
            </w:r>
          </w:p>
        </w:tc>
        <w:tc>
          <w:tcPr>
            <w:tcW w:w="1380" w:type="dxa"/>
            <w:tcBorders>
              <w:top w:val="nil"/>
              <w:left w:val="nil"/>
              <w:bottom w:val="nil"/>
              <w:right w:val="nil"/>
            </w:tcBorders>
            <w:shd w:val="clear" w:color="auto" w:fill="auto"/>
            <w:noWrap/>
            <w:vAlign w:val="bottom"/>
            <w:hideMark/>
          </w:tcPr>
          <w:p w14:paraId="4CA3B3F2"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35.700,00</w:t>
            </w:r>
          </w:p>
        </w:tc>
        <w:tc>
          <w:tcPr>
            <w:tcW w:w="1400" w:type="dxa"/>
            <w:tcBorders>
              <w:top w:val="nil"/>
              <w:left w:val="nil"/>
              <w:bottom w:val="nil"/>
              <w:right w:val="nil"/>
            </w:tcBorders>
            <w:shd w:val="clear" w:color="auto" w:fill="auto"/>
            <w:noWrap/>
            <w:vAlign w:val="bottom"/>
            <w:hideMark/>
          </w:tcPr>
          <w:p w14:paraId="3F3B2DD2"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w:t>
            </w:r>
          </w:p>
        </w:tc>
      </w:tr>
      <w:tr w:rsidR="00A360DB" w:rsidRPr="00A360DB" w14:paraId="65D0ABAC"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5ADF22D"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9.2. Višak iz prethodnih godina - Grad</w:t>
            </w:r>
          </w:p>
        </w:tc>
        <w:tc>
          <w:tcPr>
            <w:tcW w:w="1480" w:type="dxa"/>
            <w:tcBorders>
              <w:top w:val="nil"/>
              <w:left w:val="nil"/>
              <w:bottom w:val="nil"/>
              <w:right w:val="nil"/>
            </w:tcBorders>
            <w:shd w:val="clear" w:color="auto" w:fill="auto"/>
            <w:noWrap/>
            <w:vAlign w:val="bottom"/>
            <w:hideMark/>
          </w:tcPr>
          <w:p w14:paraId="2D30A3E8"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35.700,00</w:t>
            </w:r>
          </w:p>
        </w:tc>
        <w:tc>
          <w:tcPr>
            <w:tcW w:w="1380" w:type="dxa"/>
            <w:tcBorders>
              <w:top w:val="nil"/>
              <w:left w:val="nil"/>
              <w:bottom w:val="nil"/>
              <w:right w:val="nil"/>
            </w:tcBorders>
            <w:shd w:val="clear" w:color="auto" w:fill="auto"/>
            <w:noWrap/>
            <w:vAlign w:val="bottom"/>
            <w:hideMark/>
          </w:tcPr>
          <w:p w14:paraId="3E0CC2FD"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35.700,00</w:t>
            </w:r>
          </w:p>
        </w:tc>
        <w:tc>
          <w:tcPr>
            <w:tcW w:w="1400" w:type="dxa"/>
            <w:tcBorders>
              <w:top w:val="nil"/>
              <w:left w:val="nil"/>
              <w:bottom w:val="nil"/>
              <w:right w:val="nil"/>
            </w:tcBorders>
            <w:shd w:val="clear" w:color="auto" w:fill="auto"/>
            <w:noWrap/>
            <w:vAlign w:val="bottom"/>
            <w:hideMark/>
          </w:tcPr>
          <w:p w14:paraId="0AA1373C"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w:t>
            </w:r>
          </w:p>
        </w:tc>
      </w:tr>
      <w:tr w:rsidR="00A360DB" w:rsidRPr="00A360DB" w14:paraId="18E4B9D9" w14:textId="77777777" w:rsidTr="00A360DB">
        <w:trPr>
          <w:trHeight w:val="240"/>
        </w:trPr>
        <w:tc>
          <w:tcPr>
            <w:tcW w:w="1697" w:type="dxa"/>
            <w:tcBorders>
              <w:top w:val="nil"/>
              <w:left w:val="nil"/>
              <w:bottom w:val="nil"/>
              <w:right w:val="nil"/>
            </w:tcBorders>
            <w:shd w:val="clear" w:color="auto" w:fill="auto"/>
            <w:noWrap/>
            <w:vAlign w:val="bottom"/>
            <w:hideMark/>
          </w:tcPr>
          <w:p w14:paraId="1156CC24"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49E22EB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0526C75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35.700,00</w:t>
            </w:r>
          </w:p>
        </w:tc>
        <w:tc>
          <w:tcPr>
            <w:tcW w:w="1380" w:type="dxa"/>
            <w:tcBorders>
              <w:top w:val="nil"/>
              <w:left w:val="nil"/>
              <w:bottom w:val="nil"/>
              <w:right w:val="nil"/>
            </w:tcBorders>
            <w:shd w:val="clear" w:color="auto" w:fill="auto"/>
            <w:noWrap/>
            <w:vAlign w:val="bottom"/>
            <w:hideMark/>
          </w:tcPr>
          <w:p w14:paraId="3BBA62E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35.700,00</w:t>
            </w:r>
          </w:p>
        </w:tc>
        <w:tc>
          <w:tcPr>
            <w:tcW w:w="1400" w:type="dxa"/>
            <w:tcBorders>
              <w:top w:val="nil"/>
              <w:left w:val="nil"/>
              <w:bottom w:val="nil"/>
              <w:right w:val="nil"/>
            </w:tcBorders>
            <w:shd w:val="clear" w:color="auto" w:fill="auto"/>
            <w:noWrap/>
            <w:vAlign w:val="bottom"/>
            <w:hideMark/>
          </w:tcPr>
          <w:p w14:paraId="7870C28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r>
      <w:tr w:rsidR="00A360DB" w:rsidRPr="00A360DB" w14:paraId="6F5EC781" w14:textId="77777777" w:rsidTr="00A360DB">
        <w:trPr>
          <w:trHeight w:val="240"/>
        </w:trPr>
        <w:tc>
          <w:tcPr>
            <w:tcW w:w="1697" w:type="dxa"/>
            <w:tcBorders>
              <w:top w:val="nil"/>
              <w:left w:val="nil"/>
              <w:bottom w:val="nil"/>
              <w:right w:val="nil"/>
            </w:tcBorders>
            <w:shd w:val="clear" w:color="auto" w:fill="auto"/>
            <w:noWrap/>
            <w:vAlign w:val="bottom"/>
            <w:hideMark/>
          </w:tcPr>
          <w:p w14:paraId="19BA81D7"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3232</w:t>
            </w:r>
          </w:p>
        </w:tc>
        <w:tc>
          <w:tcPr>
            <w:tcW w:w="8509" w:type="dxa"/>
            <w:tcBorders>
              <w:top w:val="nil"/>
              <w:left w:val="nil"/>
              <w:bottom w:val="nil"/>
              <w:right w:val="nil"/>
            </w:tcBorders>
            <w:shd w:val="clear" w:color="auto" w:fill="auto"/>
            <w:noWrap/>
            <w:vAlign w:val="bottom"/>
            <w:hideMark/>
          </w:tcPr>
          <w:p w14:paraId="2313DDF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Usluge tekućeg i investicijskog održavanja                                                          </w:t>
            </w:r>
          </w:p>
        </w:tc>
        <w:tc>
          <w:tcPr>
            <w:tcW w:w="1480" w:type="dxa"/>
            <w:tcBorders>
              <w:top w:val="nil"/>
              <w:left w:val="nil"/>
              <w:bottom w:val="nil"/>
              <w:right w:val="nil"/>
            </w:tcBorders>
            <w:shd w:val="clear" w:color="auto" w:fill="auto"/>
            <w:noWrap/>
            <w:vAlign w:val="bottom"/>
            <w:hideMark/>
          </w:tcPr>
          <w:p w14:paraId="4C3608F1"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5001EDB3"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35.700,00</w:t>
            </w:r>
          </w:p>
        </w:tc>
        <w:tc>
          <w:tcPr>
            <w:tcW w:w="1400" w:type="dxa"/>
            <w:tcBorders>
              <w:top w:val="nil"/>
              <w:left w:val="nil"/>
              <w:bottom w:val="nil"/>
              <w:right w:val="nil"/>
            </w:tcBorders>
            <w:shd w:val="clear" w:color="auto" w:fill="auto"/>
            <w:noWrap/>
            <w:vAlign w:val="bottom"/>
            <w:hideMark/>
          </w:tcPr>
          <w:p w14:paraId="7508D84C"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D68ED12" w14:textId="77777777" w:rsidTr="00A360DB">
        <w:trPr>
          <w:trHeight w:val="240"/>
        </w:trPr>
        <w:tc>
          <w:tcPr>
            <w:tcW w:w="1697" w:type="dxa"/>
            <w:tcBorders>
              <w:top w:val="nil"/>
              <w:left w:val="nil"/>
              <w:bottom w:val="nil"/>
              <w:right w:val="nil"/>
            </w:tcBorders>
            <w:shd w:val="clear" w:color="000000" w:fill="B4C6E7"/>
            <w:noWrap/>
            <w:vAlign w:val="bottom"/>
            <w:hideMark/>
          </w:tcPr>
          <w:p w14:paraId="22188F49"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A100303</w:t>
            </w:r>
          </w:p>
        </w:tc>
        <w:tc>
          <w:tcPr>
            <w:tcW w:w="8509" w:type="dxa"/>
            <w:tcBorders>
              <w:top w:val="nil"/>
              <w:left w:val="nil"/>
              <w:bottom w:val="nil"/>
              <w:right w:val="nil"/>
            </w:tcBorders>
            <w:shd w:val="clear" w:color="000000" w:fill="B4C6E7"/>
            <w:noWrap/>
            <w:vAlign w:val="bottom"/>
            <w:hideMark/>
          </w:tcPr>
          <w:p w14:paraId="233D9AE5"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Održavanje opreme za redovno korištenje</w:t>
            </w:r>
          </w:p>
        </w:tc>
        <w:tc>
          <w:tcPr>
            <w:tcW w:w="1480" w:type="dxa"/>
            <w:tcBorders>
              <w:top w:val="nil"/>
              <w:left w:val="nil"/>
              <w:bottom w:val="nil"/>
              <w:right w:val="nil"/>
            </w:tcBorders>
            <w:shd w:val="clear" w:color="000000" w:fill="B4C6E7"/>
            <w:noWrap/>
            <w:vAlign w:val="bottom"/>
            <w:hideMark/>
          </w:tcPr>
          <w:p w14:paraId="0D6BFF9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33.000,00</w:t>
            </w:r>
          </w:p>
        </w:tc>
        <w:tc>
          <w:tcPr>
            <w:tcW w:w="1380" w:type="dxa"/>
            <w:tcBorders>
              <w:top w:val="nil"/>
              <w:left w:val="nil"/>
              <w:bottom w:val="nil"/>
              <w:right w:val="nil"/>
            </w:tcBorders>
            <w:shd w:val="clear" w:color="000000" w:fill="B4C6E7"/>
            <w:noWrap/>
            <w:vAlign w:val="bottom"/>
            <w:hideMark/>
          </w:tcPr>
          <w:p w14:paraId="0338E06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26.925,92</w:t>
            </w:r>
          </w:p>
        </w:tc>
        <w:tc>
          <w:tcPr>
            <w:tcW w:w="1400" w:type="dxa"/>
            <w:tcBorders>
              <w:top w:val="nil"/>
              <w:left w:val="nil"/>
              <w:bottom w:val="nil"/>
              <w:right w:val="nil"/>
            </w:tcBorders>
            <w:shd w:val="clear" w:color="000000" w:fill="B4C6E7"/>
            <w:noWrap/>
            <w:vAlign w:val="bottom"/>
            <w:hideMark/>
          </w:tcPr>
          <w:p w14:paraId="3805B12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81,59%</w:t>
            </w:r>
          </w:p>
        </w:tc>
      </w:tr>
      <w:tr w:rsidR="00A360DB" w:rsidRPr="00A360DB" w14:paraId="33954631"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D5BB137"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51AA777A"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23.000,00</w:t>
            </w:r>
          </w:p>
        </w:tc>
        <w:tc>
          <w:tcPr>
            <w:tcW w:w="1380" w:type="dxa"/>
            <w:tcBorders>
              <w:top w:val="nil"/>
              <w:left w:val="nil"/>
              <w:bottom w:val="nil"/>
              <w:right w:val="nil"/>
            </w:tcBorders>
            <w:shd w:val="clear" w:color="auto" w:fill="auto"/>
            <w:noWrap/>
            <w:vAlign w:val="bottom"/>
            <w:hideMark/>
          </w:tcPr>
          <w:p w14:paraId="13B65DC3"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16.925,92</w:t>
            </w:r>
          </w:p>
        </w:tc>
        <w:tc>
          <w:tcPr>
            <w:tcW w:w="1400" w:type="dxa"/>
            <w:tcBorders>
              <w:top w:val="nil"/>
              <w:left w:val="nil"/>
              <w:bottom w:val="nil"/>
              <w:right w:val="nil"/>
            </w:tcBorders>
            <w:shd w:val="clear" w:color="auto" w:fill="auto"/>
            <w:noWrap/>
            <w:vAlign w:val="bottom"/>
            <w:hideMark/>
          </w:tcPr>
          <w:p w14:paraId="5637BE88"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73,59%</w:t>
            </w:r>
          </w:p>
        </w:tc>
      </w:tr>
      <w:tr w:rsidR="00A360DB" w:rsidRPr="00A360DB" w14:paraId="3E5AAC5E"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0B29707"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5E58971F"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23.000,00</w:t>
            </w:r>
          </w:p>
        </w:tc>
        <w:tc>
          <w:tcPr>
            <w:tcW w:w="1380" w:type="dxa"/>
            <w:tcBorders>
              <w:top w:val="nil"/>
              <w:left w:val="nil"/>
              <w:bottom w:val="nil"/>
              <w:right w:val="nil"/>
            </w:tcBorders>
            <w:shd w:val="clear" w:color="auto" w:fill="auto"/>
            <w:noWrap/>
            <w:vAlign w:val="bottom"/>
            <w:hideMark/>
          </w:tcPr>
          <w:p w14:paraId="07AA6738"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16.925,92</w:t>
            </w:r>
          </w:p>
        </w:tc>
        <w:tc>
          <w:tcPr>
            <w:tcW w:w="1400" w:type="dxa"/>
            <w:tcBorders>
              <w:top w:val="nil"/>
              <w:left w:val="nil"/>
              <w:bottom w:val="nil"/>
              <w:right w:val="nil"/>
            </w:tcBorders>
            <w:shd w:val="clear" w:color="auto" w:fill="auto"/>
            <w:noWrap/>
            <w:vAlign w:val="bottom"/>
            <w:hideMark/>
          </w:tcPr>
          <w:p w14:paraId="2F467DF3"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73,59%</w:t>
            </w:r>
          </w:p>
        </w:tc>
      </w:tr>
      <w:tr w:rsidR="00A360DB" w:rsidRPr="00A360DB" w14:paraId="791CCEA1" w14:textId="77777777" w:rsidTr="00A360DB">
        <w:trPr>
          <w:trHeight w:val="240"/>
        </w:trPr>
        <w:tc>
          <w:tcPr>
            <w:tcW w:w="1697" w:type="dxa"/>
            <w:tcBorders>
              <w:top w:val="nil"/>
              <w:left w:val="nil"/>
              <w:bottom w:val="nil"/>
              <w:right w:val="nil"/>
            </w:tcBorders>
            <w:shd w:val="clear" w:color="auto" w:fill="auto"/>
            <w:noWrap/>
            <w:vAlign w:val="bottom"/>
            <w:hideMark/>
          </w:tcPr>
          <w:p w14:paraId="37936ADD"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2D777C8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5BF0EB2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23.000,00</w:t>
            </w:r>
          </w:p>
        </w:tc>
        <w:tc>
          <w:tcPr>
            <w:tcW w:w="1380" w:type="dxa"/>
            <w:tcBorders>
              <w:top w:val="nil"/>
              <w:left w:val="nil"/>
              <w:bottom w:val="nil"/>
              <w:right w:val="nil"/>
            </w:tcBorders>
            <w:shd w:val="clear" w:color="auto" w:fill="auto"/>
            <w:noWrap/>
            <w:vAlign w:val="bottom"/>
            <w:hideMark/>
          </w:tcPr>
          <w:p w14:paraId="447A4C8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16.925,92</w:t>
            </w:r>
          </w:p>
        </w:tc>
        <w:tc>
          <w:tcPr>
            <w:tcW w:w="1400" w:type="dxa"/>
            <w:tcBorders>
              <w:top w:val="nil"/>
              <w:left w:val="nil"/>
              <w:bottom w:val="nil"/>
              <w:right w:val="nil"/>
            </w:tcBorders>
            <w:shd w:val="clear" w:color="auto" w:fill="auto"/>
            <w:noWrap/>
            <w:vAlign w:val="bottom"/>
            <w:hideMark/>
          </w:tcPr>
          <w:p w14:paraId="22D5A4B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73,59%</w:t>
            </w:r>
          </w:p>
        </w:tc>
      </w:tr>
      <w:tr w:rsidR="00A360DB" w:rsidRPr="00A360DB" w14:paraId="423D90E5" w14:textId="77777777" w:rsidTr="00A360DB">
        <w:trPr>
          <w:trHeight w:val="240"/>
        </w:trPr>
        <w:tc>
          <w:tcPr>
            <w:tcW w:w="1697" w:type="dxa"/>
            <w:tcBorders>
              <w:top w:val="nil"/>
              <w:left w:val="nil"/>
              <w:bottom w:val="nil"/>
              <w:right w:val="nil"/>
            </w:tcBorders>
            <w:shd w:val="clear" w:color="auto" w:fill="auto"/>
            <w:noWrap/>
            <w:vAlign w:val="bottom"/>
            <w:hideMark/>
          </w:tcPr>
          <w:p w14:paraId="612FE1A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3224</w:t>
            </w:r>
          </w:p>
        </w:tc>
        <w:tc>
          <w:tcPr>
            <w:tcW w:w="8509" w:type="dxa"/>
            <w:tcBorders>
              <w:top w:val="nil"/>
              <w:left w:val="nil"/>
              <w:bottom w:val="nil"/>
              <w:right w:val="nil"/>
            </w:tcBorders>
            <w:shd w:val="clear" w:color="auto" w:fill="auto"/>
            <w:noWrap/>
            <w:vAlign w:val="bottom"/>
            <w:hideMark/>
          </w:tcPr>
          <w:p w14:paraId="04EFFA78"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Materijal i dijelovi za tekuće i investicijsko održavanje                                           </w:t>
            </w:r>
          </w:p>
        </w:tc>
        <w:tc>
          <w:tcPr>
            <w:tcW w:w="1480" w:type="dxa"/>
            <w:tcBorders>
              <w:top w:val="nil"/>
              <w:left w:val="nil"/>
              <w:bottom w:val="nil"/>
              <w:right w:val="nil"/>
            </w:tcBorders>
            <w:shd w:val="clear" w:color="auto" w:fill="auto"/>
            <w:noWrap/>
            <w:vAlign w:val="bottom"/>
            <w:hideMark/>
          </w:tcPr>
          <w:p w14:paraId="05686F51"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12831FDD"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4.545,35</w:t>
            </w:r>
          </w:p>
        </w:tc>
        <w:tc>
          <w:tcPr>
            <w:tcW w:w="1400" w:type="dxa"/>
            <w:tcBorders>
              <w:top w:val="nil"/>
              <w:left w:val="nil"/>
              <w:bottom w:val="nil"/>
              <w:right w:val="nil"/>
            </w:tcBorders>
            <w:shd w:val="clear" w:color="auto" w:fill="auto"/>
            <w:noWrap/>
            <w:vAlign w:val="bottom"/>
            <w:hideMark/>
          </w:tcPr>
          <w:p w14:paraId="4B6A25EB"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791BDF2" w14:textId="77777777" w:rsidTr="00A360DB">
        <w:trPr>
          <w:trHeight w:val="240"/>
        </w:trPr>
        <w:tc>
          <w:tcPr>
            <w:tcW w:w="1697" w:type="dxa"/>
            <w:tcBorders>
              <w:top w:val="nil"/>
              <w:left w:val="nil"/>
              <w:bottom w:val="nil"/>
              <w:right w:val="nil"/>
            </w:tcBorders>
            <w:shd w:val="clear" w:color="auto" w:fill="auto"/>
            <w:noWrap/>
            <w:vAlign w:val="bottom"/>
            <w:hideMark/>
          </w:tcPr>
          <w:p w14:paraId="4EEC89F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3232</w:t>
            </w:r>
          </w:p>
        </w:tc>
        <w:tc>
          <w:tcPr>
            <w:tcW w:w="8509" w:type="dxa"/>
            <w:tcBorders>
              <w:top w:val="nil"/>
              <w:left w:val="nil"/>
              <w:bottom w:val="nil"/>
              <w:right w:val="nil"/>
            </w:tcBorders>
            <w:shd w:val="clear" w:color="auto" w:fill="auto"/>
            <w:noWrap/>
            <w:vAlign w:val="bottom"/>
            <w:hideMark/>
          </w:tcPr>
          <w:p w14:paraId="6374B9D7"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Usluge tekućeg i investicijskog održavanja                                                          </w:t>
            </w:r>
          </w:p>
        </w:tc>
        <w:tc>
          <w:tcPr>
            <w:tcW w:w="1480" w:type="dxa"/>
            <w:tcBorders>
              <w:top w:val="nil"/>
              <w:left w:val="nil"/>
              <w:bottom w:val="nil"/>
              <w:right w:val="nil"/>
            </w:tcBorders>
            <w:shd w:val="clear" w:color="auto" w:fill="auto"/>
            <w:noWrap/>
            <w:vAlign w:val="bottom"/>
            <w:hideMark/>
          </w:tcPr>
          <w:p w14:paraId="100A5E66"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8D43B1B"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12.380,57</w:t>
            </w:r>
          </w:p>
        </w:tc>
        <w:tc>
          <w:tcPr>
            <w:tcW w:w="1400" w:type="dxa"/>
            <w:tcBorders>
              <w:top w:val="nil"/>
              <w:left w:val="nil"/>
              <w:bottom w:val="nil"/>
              <w:right w:val="nil"/>
            </w:tcBorders>
            <w:shd w:val="clear" w:color="auto" w:fill="auto"/>
            <w:noWrap/>
            <w:vAlign w:val="bottom"/>
            <w:hideMark/>
          </w:tcPr>
          <w:p w14:paraId="00EC62AA"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28CC51D"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D30AA81"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9. Višak iz prethodnih razdoblja</w:t>
            </w:r>
          </w:p>
        </w:tc>
        <w:tc>
          <w:tcPr>
            <w:tcW w:w="1480" w:type="dxa"/>
            <w:tcBorders>
              <w:top w:val="nil"/>
              <w:left w:val="nil"/>
              <w:bottom w:val="nil"/>
              <w:right w:val="nil"/>
            </w:tcBorders>
            <w:shd w:val="clear" w:color="auto" w:fill="auto"/>
            <w:noWrap/>
            <w:vAlign w:val="bottom"/>
            <w:hideMark/>
          </w:tcPr>
          <w:p w14:paraId="4F0A080B"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10.000,00</w:t>
            </w:r>
          </w:p>
        </w:tc>
        <w:tc>
          <w:tcPr>
            <w:tcW w:w="1380" w:type="dxa"/>
            <w:tcBorders>
              <w:top w:val="nil"/>
              <w:left w:val="nil"/>
              <w:bottom w:val="nil"/>
              <w:right w:val="nil"/>
            </w:tcBorders>
            <w:shd w:val="clear" w:color="auto" w:fill="auto"/>
            <w:noWrap/>
            <w:vAlign w:val="bottom"/>
            <w:hideMark/>
          </w:tcPr>
          <w:p w14:paraId="4EE362E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10.000,00</w:t>
            </w:r>
          </w:p>
        </w:tc>
        <w:tc>
          <w:tcPr>
            <w:tcW w:w="1400" w:type="dxa"/>
            <w:tcBorders>
              <w:top w:val="nil"/>
              <w:left w:val="nil"/>
              <w:bottom w:val="nil"/>
              <w:right w:val="nil"/>
            </w:tcBorders>
            <w:shd w:val="clear" w:color="auto" w:fill="auto"/>
            <w:noWrap/>
            <w:vAlign w:val="bottom"/>
            <w:hideMark/>
          </w:tcPr>
          <w:p w14:paraId="045596F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w:t>
            </w:r>
          </w:p>
        </w:tc>
      </w:tr>
      <w:tr w:rsidR="00A360DB" w:rsidRPr="00A360DB" w14:paraId="56982709"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D72C566"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9.2. Višak iz prethodnih godina - Grad</w:t>
            </w:r>
          </w:p>
        </w:tc>
        <w:tc>
          <w:tcPr>
            <w:tcW w:w="1480" w:type="dxa"/>
            <w:tcBorders>
              <w:top w:val="nil"/>
              <w:left w:val="nil"/>
              <w:bottom w:val="nil"/>
              <w:right w:val="nil"/>
            </w:tcBorders>
            <w:shd w:val="clear" w:color="auto" w:fill="auto"/>
            <w:noWrap/>
            <w:vAlign w:val="bottom"/>
            <w:hideMark/>
          </w:tcPr>
          <w:p w14:paraId="470BA80E"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10.000,00</w:t>
            </w:r>
          </w:p>
        </w:tc>
        <w:tc>
          <w:tcPr>
            <w:tcW w:w="1380" w:type="dxa"/>
            <w:tcBorders>
              <w:top w:val="nil"/>
              <w:left w:val="nil"/>
              <w:bottom w:val="nil"/>
              <w:right w:val="nil"/>
            </w:tcBorders>
            <w:shd w:val="clear" w:color="auto" w:fill="auto"/>
            <w:noWrap/>
            <w:vAlign w:val="bottom"/>
            <w:hideMark/>
          </w:tcPr>
          <w:p w14:paraId="253AFE4C"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10.000,00</w:t>
            </w:r>
          </w:p>
        </w:tc>
        <w:tc>
          <w:tcPr>
            <w:tcW w:w="1400" w:type="dxa"/>
            <w:tcBorders>
              <w:top w:val="nil"/>
              <w:left w:val="nil"/>
              <w:bottom w:val="nil"/>
              <w:right w:val="nil"/>
            </w:tcBorders>
            <w:shd w:val="clear" w:color="auto" w:fill="auto"/>
            <w:noWrap/>
            <w:vAlign w:val="bottom"/>
            <w:hideMark/>
          </w:tcPr>
          <w:p w14:paraId="633A81F3"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w:t>
            </w:r>
          </w:p>
        </w:tc>
      </w:tr>
      <w:tr w:rsidR="00A360DB" w:rsidRPr="00A360DB" w14:paraId="41DA5A45" w14:textId="77777777" w:rsidTr="00A360DB">
        <w:trPr>
          <w:trHeight w:val="240"/>
        </w:trPr>
        <w:tc>
          <w:tcPr>
            <w:tcW w:w="1697" w:type="dxa"/>
            <w:tcBorders>
              <w:top w:val="nil"/>
              <w:left w:val="nil"/>
              <w:bottom w:val="nil"/>
              <w:right w:val="nil"/>
            </w:tcBorders>
            <w:shd w:val="clear" w:color="auto" w:fill="auto"/>
            <w:noWrap/>
            <w:vAlign w:val="bottom"/>
            <w:hideMark/>
          </w:tcPr>
          <w:p w14:paraId="261E635B"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76D660CA"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194C113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10.000,00</w:t>
            </w:r>
          </w:p>
        </w:tc>
        <w:tc>
          <w:tcPr>
            <w:tcW w:w="1380" w:type="dxa"/>
            <w:tcBorders>
              <w:top w:val="nil"/>
              <w:left w:val="nil"/>
              <w:bottom w:val="nil"/>
              <w:right w:val="nil"/>
            </w:tcBorders>
            <w:shd w:val="clear" w:color="auto" w:fill="auto"/>
            <w:noWrap/>
            <w:vAlign w:val="bottom"/>
            <w:hideMark/>
          </w:tcPr>
          <w:p w14:paraId="163CE06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10.000,00</w:t>
            </w:r>
          </w:p>
        </w:tc>
        <w:tc>
          <w:tcPr>
            <w:tcW w:w="1400" w:type="dxa"/>
            <w:tcBorders>
              <w:top w:val="nil"/>
              <w:left w:val="nil"/>
              <w:bottom w:val="nil"/>
              <w:right w:val="nil"/>
            </w:tcBorders>
            <w:shd w:val="clear" w:color="auto" w:fill="auto"/>
            <w:noWrap/>
            <w:vAlign w:val="bottom"/>
            <w:hideMark/>
          </w:tcPr>
          <w:p w14:paraId="387A2B4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r>
      <w:tr w:rsidR="00A360DB" w:rsidRPr="00A360DB" w14:paraId="62F61DA5" w14:textId="77777777" w:rsidTr="00A360DB">
        <w:trPr>
          <w:trHeight w:val="240"/>
        </w:trPr>
        <w:tc>
          <w:tcPr>
            <w:tcW w:w="1697" w:type="dxa"/>
            <w:tcBorders>
              <w:top w:val="nil"/>
              <w:left w:val="nil"/>
              <w:bottom w:val="nil"/>
              <w:right w:val="nil"/>
            </w:tcBorders>
            <w:shd w:val="clear" w:color="auto" w:fill="auto"/>
            <w:noWrap/>
            <w:vAlign w:val="bottom"/>
            <w:hideMark/>
          </w:tcPr>
          <w:p w14:paraId="70C5D3FE"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3232</w:t>
            </w:r>
          </w:p>
        </w:tc>
        <w:tc>
          <w:tcPr>
            <w:tcW w:w="8509" w:type="dxa"/>
            <w:tcBorders>
              <w:top w:val="nil"/>
              <w:left w:val="nil"/>
              <w:bottom w:val="nil"/>
              <w:right w:val="nil"/>
            </w:tcBorders>
            <w:shd w:val="clear" w:color="auto" w:fill="auto"/>
            <w:noWrap/>
            <w:vAlign w:val="bottom"/>
            <w:hideMark/>
          </w:tcPr>
          <w:p w14:paraId="7062A9B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Usluge tekućeg i investicijskog održavanja                                                          </w:t>
            </w:r>
          </w:p>
        </w:tc>
        <w:tc>
          <w:tcPr>
            <w:tcW w:w="1480" w:type="dxa"/>
            <w:tcBorders>
              <w:top w:val="nil"/>
              <w:left w:val="nil"/>
              <w:bottom w:val="nil"/>
              <w:right w:val="nil"/>
            </w:tcBorders>
            <w:shd w:val="clear" w:color="auto" w:fill="auto"/>
            <w:noWrap/>
            <w:vAlign w:val="bottom"/>
            <w:hideMark/>
          </w:tcPr>
          <w:p w14:paraId="1414ACDE"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83871B9"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10.000,00</w:t>
            </w:r>
          </w:p>
        </w:tc>
        <w:tc>
          <w:tcPr>
            <w:tcW w:w="1400" w:type="dxa"/>
            <w:tcBorders>
              <w:top w:val="nil"/>
              <w:left w:val="nil"/>
              <w:bottom w:val="nil"/>
              <w:right w:val="nil"/>
            </w:tcBorders>
            <w:shd w:val="clear" w:color="auto" w:fill="auto"/>
            <w:noWrap/>
            <w:vAlign w:val="bottom"/>
            <w:hideMark/>
          </w:tcPr>
          <w:p w14:paraId="286FC570"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55339354" w14:textId="77777777" w:rsidTr="00A360DB">
        <w:trPr>
          <w:trHeight w:val="240"/>
        </w:trPr>
        <w:tc>
          <w:tcPr>
            <w:tcW w:w="1697" w:type="dxa"/>
            <w:tcBorders>
              <w:top w:val="nil"/>
              <w:left w:val="nil"/>
              <w:bottom w:val="nil"/>
              <w:right w:val="nil"/>
            </w:tcBorders>
            <w:shd w:val="clear" w:color="000000" w:fill="B4C6E7"/>
            <w:noWrap/>
            <w:vAlign w:val="bottom"/>
            <w:hideMark/>
          </w:tcPr>
          <w:p w14:paraId="16DC397B"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A100305</w:t>
            </w:r>
          </w:p>
        </w:tc>
        <w:tc>
          <w:tcPr>
            <w:tcW w:w="8509" w:type="dxa"/>
            <w:tcBorders>
              <w:top w:val="nil"/>
              <w:left w:val="nil"/>
              <w:bottom w:val="nil"/>
              <w:right w:val="nil"/>
            </w:tcBorders>
            <w:shd w:val="clear" w:color="000000" w:fill="B4C6E7"/>
            <w:noWrap/>
            <w:vAlign w:val="bottom"/>
            <w:hideMark/>
          </w:tcPr>
          <w:p w14:paraId="1995E4CD"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Higijeničarska služba</w:t>
            </w:r>
          </w:p>
        </w:tc>
        <w:tc>
          <w:tcPr>
            <w:tcW w:w="1480" w:type="dxa"/>
            <w:tcBorders>
              <w:top w:val="nil"/>
              <w:left w:val="nil"/>
              <w:bottom w:val="nil"/>
              <w:right w:val="nil"/>
            </w:tcBorders>
            <w:shd w:val="clear" w:color="000000" w:fill="B4C6E7"/>
            <w:noWrap/>
            <w:vAlign w:val="bottom"/>
            <w:hideMark/>
          </w:tcPr>
          <w:p w14:paraId="26773A0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27.500,00</w:t>
            </w:r>
          </w:p>
        </w:tc>
        <w:tc>
          <w:tcPr>
            <w:tcW w:w="1380" w:type="dxa"/>
            <w:tcBorders>
              <w:top w:val="nil"/>
              <w:left w:val="nil"/>
              <w:bottom w:val="nil"/>
              <w:right w:val="nil"/>
            </w:tcBorders>
            <w:shd w:val="clear" w:color="000000" w:fill="B4C6E7"/>
            <w:noWrap/>
            <w:vAlign w:val="bottom"/>
            <w:hideMark/>
          </w:tcPr>
          <w:p w14:paraId="46FA092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24.058,07</w:t>
            </w:r>
          </w:p>
        </w:tc>
        <w:tc>
          <w:tcPr>
            <w:tcW w:w="1400" w:type="dxa"/>
            <w:tcBorders>
              <w:top w:val="nil"/>
              <w:left w:val="nil"/>
              <w:bottom w:val="nil"/>
              <w:right w:val="nil"/>
            </w:tcBorders>
            <w:shd w:val="clear" w:color="000000" w:fill="B4C6E7"/>
            <w:noWrap/>
            <w:vAlign w:val="bottom"/>
            <w:hideMark/>
          </w:tcPr>
          <w:p w14:paraId="013E7C4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87,48%</w:t>
            </w:r>
          </w:p>
        </w:tc>
      </w:tr>
      <w:tr w:rsidR="00A360DB" w:rsidRPr="00A360DB" w14:paraId="596B093E"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36A7D2F0"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5F5402D3"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27.500,00</w:t>
            </w:r>
          </w:p>
        </w:tc>
        <w:tc>
          <w:tcPr>
            <w:tcW w:w="1380" w:type="dxa"/>
            <w:tcBorders>
              <w:top w:val="nil"/>
              <w:left w:val="nil"/>
              <w:bottom w:val="nil"/>
              <w:right w:val="nil"/>
            </w:tcBorders>
            <w:shd w:val="clear" w:color="auto" w:fill="auto"/>
            <w:noWrap/>
            <w:vAlign w:val="bottom"/>
            <w:hideMark/>
          </w:tcPr>
          <w:p w14:paraId="34FD36FD"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24.058,07</w:t>
            </w:r>
          </w:p>
        </w:tc>
        <w:tc>
          <w:tcPr>
            <w:tcW w:w="1400" w:type="dxa"/>
            <w:tcBorders>
              <w:top w:val="nil"/>
              <w:left w:val="nil"/>
              <w:bottom w:val="nil"/>
              <w:right w:val="nil"/>
            </w:tcBorders>
            <w:shd w:val="clear" w:color="auto" w:fill="auto"/>
            <w:noWrap/>
            <w:vAlign w:val="bottom"/>
            <w:hideMark/>
          </w:tcPr>
          <w:p w14:paraId="713355AF"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87,48%</w:t>
            </w:r>
          </w:p>
        </w:tc>
      </w:tr>
      <w:tr w:rsidR="00A360DB" w:rsidRPr="00A360DB" w14:paraId="6097927F"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A4E744C"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2ED09394"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27.500,00</w:t>
            </w:r>
          </w:p>
        </w:tc>
        <w:tc>
          <w:tcPr>
            <w:tcW w:w="1380" w:type="dxa"/>
            <w:tcBorders>
              <w:top w:val="nil"/>
              <w:left w:val="nil"/>
              <w:bottom w:val="nil"/>
              <w:right w:val="nil"/>
            </w:tcBorders>
            <w:shd w:val="clear" w:color="auto" w:fill="auto"/>
            <w:noWrap/>
            <w:vAlign w:val="bottom"/>
            <w:hideMark/>
          </w:tcPr>
          <w:p w14:paraId="12BA53EF"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24.058,07</w:t>
            </w:r>
          </w:p>
        </w:tc>
        <w:tc>
          <w:tcPr>
            <w:tcW w:w="1400" w:type="dxa"/>
            <w:tcBorders>
              <w:top w:val="nil"/>
              <w:left w:val="nil"/>
              <w:bottom w:val="nil"/>
              <w:right w:val="nil"/>
            </w:tcBorders>
            <w:shd w:val="clear" w:color="auto" w:fill="auto"/>
            <w:noWrap/>
            <w:vAlign w:val="bottom"/>
            <w:hideMark/>
          </w:tcPr>
          <w:p w14:paraId="1132B006"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87,48%</w:t>
            </w:r>
          </w:p>
        </w:tc>
      </w:tr>
      <w:tr w:rsidR="00A360DB" w:rsidRPr="00A360DB" w14:paraId="5A536BBF" w14:textId="77777777" w:rsidTr="00A360DB">
        <w:trPr>
          <w:trHeight w:val="240"/>
        </w:trPr>
        <w:tc>
          <w:tcPr>
            <w:tcW w:w="1697" w:type="dxa"/>
            <w:tcBorders>
              <w:top w:val="nil"/>
              <w:left w:val="nil"/>
              <w:bottom w:val="nil"/>
              <w:right w:val="nil"/>
            </w:tcBorders>
            <w:shd w:val="clear" w:color="auto" w:fill="auto"/>
            <w:noWrap/>
            <w:vAlign w:val="bottom"/>
            <w:hideMark/>
          </w:tcPr>
          <w:p w14:paraId="31DBF472"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5E3D78E0"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775323C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23.500,00</w:t>
            </w:r>
          </w:p>
        </w:tc>
        <w:tc>
          <w:tcPr>
            <w:tcW w:w="1380" w:type="dxa"/>
            <w:tcBorders>
              <w:top w:val="nil"/>
              <w:left w:val="nil"/>
              <w:bottom w:val="nil"/>
              <w:right w:val="nil"/>
            </w:tcBorders>
            <w:shd w:val="clear" w:color="auto" w:fill="auto"/>
            <w:noWrap/>
            <w:vAlign w:val="bottom"/>
            <w:hideMark/>
          </w:tcPr>
          <w:p w14:paraId="4B918E6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21.451,70</w:t>
            </w:r>
          </w:p>
        </w:tc>
        <w:tc>
          <w:tcPr>
            <w:tcW w:w="1400" w:type="dxa"/>
            <w:tcBorders>
              <w:top w:val="nil"/>
              <w:left w:val="nil"/>
              <w:bottom w:val="nil"/>
              <w:right w:val="nil"/>
            </w:tcBorders>
            <w:shd w:val="clear" w:color="auto" w:fill="auto"/>
            <w:noWrap/>
            <w:vAlign w:val="bottom"/>
            <w:hideMark/>
          </w:tcPr>
          <w:p w14:paraId="2A109C9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91,28%</w:t>
            </w:r>
          </w:p>
        </w:tc>
      </w:tr>
      <w:tr w:rsidR="00A360DB" w:rsidRPr="00A360DB" w14:paraId="2F01F806" w14:textId="77777777" w:rsidTr="00A360DB">
        <w:trPr>
          <w:trHeight w:val="240"/>
        </w:trPr>
        <w:tc>
          <w:tcPr>
            <w:tcW w:w="1697" w:type="dxa"/>
            <w:tcBorders>
              <w:top w:val="nil"/>
              <w:left w:val="nil"/>
              <w:bottom w:val="nil"/>
              <w:right w:val="nil"/>
            </w:tcBorders>
            <w:shd w:val="clear" w:color="auto" w:fill="auto"/>
            <w:noWrap/>
            <w:vAlign w:val="bottom"/>
            <w:hideMark/>
          </w:tcPr>
          <w:p w14:paraId="4D596F0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3236</w:t>
            </w:r>
          </w:p>
        </w:tc>
        <w:tc>
          <w:tcPr>
            <w:tcW w:w="8509" w:type="dxa"/>
            <w:tcBorders>
              <w:top w:val="nil"/>
              <w:left w:val="nil"/>
              <w:bottom w:val="nil"/>
              <w:right w:val="nil"/>
            </w:tcBorders>
            <w:shd w:val="clear" w:color="auto" w:fill="auto"/>
            <w:noWrap/>
            <w:vAlign w:val="bottom"/>
            <w:hideMark/>
          </w:tcPr>
          <w:p w14:paraId="7B04536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Zdravstvene i veterinarske usluge                                                                   </w:t>
            </w:r>
          </w:p>
        </w:tc>
        <w:tc>
          <w:tcPr>
            <w:tcW w:w="1480" w:type="dxa"/>
            <w:tcBorders>
              <w:top w:val="nil"/>
              <w:left w:val="nil"/>
              <w:bottom w:val="nil"/>
              <w:right w:val="nil"/>
            </w:tcBorders>
            <w:shd w:val="clear" w:color="auto" w:fill="auto"/>
            <w:noWrap/>
            <w:vAlign w:val="bottom"/>
            <w:hideMark/>
          </w:tcPr>
          <w:p w14:paraId="7001632C"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0468274"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21.451,70</w:t>
            </w:r>
          </w:p>
        </w:tc>
        <w:tc>
          <w:tcPr>
            <w:tcW w:w="1400" w:type="dxa"/>
            <w:tcBorders>
              <w:top w:val="nil"/>
              <w:left w:val="nil"/>
              <w:bottom w:val="nil"/>
              <w:right w:val="nil"/>
            </w:tcBorders>
            <w:shd w:val="clear" w:color="auto" w:fill="auto"/>
            <w:noWrap/>
            <w:vAlign w:val="bottom"/>
            <w:hideMark/>
          </w:tcPr>
          <w:p w14:paraId="2C074C2C"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2B953359" w14:textId="77777777" w:rsidTr="00A360DB">
        <w:trPr>
          <w:trHeight w:val="240"/>
        </w:trPr>
        <w:tc>
          <w:tcPr>
            <w:tcW w:w="1697" w:type="dxa"/>
            <w:tcBorders>
              <w:top w:val="nil"/>
              <w:left w:val="nil"/>
              <w:bottom w:val="nil"/>
              <w:right w:val="nil"/>
            </w:tcBorders>
            <w:shd w:val="clear" w:color="auto" w:fill="auto"/>
            <w:noWrap/>
            <w:vAlign w:val="bottom"/>
            <w:hideMark/>
          </w:tcPr>
          <w:p w14:paraId="7994BD57"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37</w:t>
            </w:r>
          </w:p>
        </w:tc>
        <w:tc>
          <w:tcPr>
            <w:tcW w:w="8509" w:type="dxa"/>
            <w:tcBorders>
              <w:top w:val="nil"/>
              <w:left w:val="nil"/>
              <w:bottom w:val="nil"/>
              <w:right w:val="nil"/>
            </w:tcBorders>
            <w:shd w:val="clear" w:color="auto" w:fill="auto"/>
            <w:noWrap/>
            <w:vAlign w:val="bottom"/>
            <w:hideMark/>
          </w:tcPr>
          <w:p w14:paraId="5A30B787"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Naknade građanima i kućanstvima na temelju osiguranja i druge naknade                               </w:t>
            </w:r>
          </w:p>
        </w:tc>
        <w:tc>
          <w:tcPr>
            <w:tcW w:w="1480" w:type="dxa"/>
            <w:tcBorders>
              <w:top w:val="nil"/>
              <w:left w:val="nil"/>
              <w:bottom w:val="nil"/>
              <w:right w:val="nil"/>
            </w:tcBorders>
            <w:shd w:val="clear" w:color="auto" w:fill="auto"/>
            <w:noWrap/>
            <w:vAlign w:val="bottom"/>
            <w:hideMark/>
          </w:tcPr>
          <w:p w14:paraId="19FD98E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4.000,00</w:t>
            </w:r>
          </w:p>
        </w:tc>
        <w:tc>
          <w:tcPr>
            <w:tcW w:w="1380" w:type="dxa"/>
            <w:tcBorders>
              <w:top w:val="nil"/>
              <w:left w:val="nil"/>
              <w:bottom w:val="nil"/>
              <w:right w:val="nil"/>
            </w:tcBorders>
            <w:shd w:val="clear" w:color="auto" w:fill="auto"/>
            <w:noWrap/>
            <w:vAlign w:val="bottom"/>
            <w:hideMark/>
          </w:tcPr>
          <w:p w14:paraId="30DE934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2.606,37</w:t>
            </w:r>
          </w:p>
        </w:tc>
        <w:tc>
          <w:tcPr>
            <w:tcW w:w="1400" w:type="dxa"/>
            <w:tcBorders>
              <w:top w:val="nil"/>
              <w:left w:val="nil"/>
              <w:bottom w:val="nil"/>
              <w:right w:val="nil"/>
            </w:tcBorders>
            <w:shd w:val="clear" w:color="auto" w:fill="auto"/>
            <w:noWrap/>
            <w:vAlign w:val="bottom"/>
            <w:hideMark/>
          </w:tcPr>
          <w:p w14:paraId="65C4023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65,16%</w:t>
            </w:r>
          </w:p>
        </w:tc>
      </w:tr>
      <w:tr w:rsidR="00A360DB" w:rsidRPr="00A360DB" w14:paraId="25999F14" w14:textId="77777777" w:rsidTr="00A360DB">
        <w:trPr>
          <w:trHeight w:val="240"/>
        </w:trPr>
        <w:tc>
          <w:tcPr>
            <w:tcW w:w="1697" w:type="dxa"/>
            <w:tcBorders>
              <w:top w:val="nil"/>
              <w:left w:val="nil"/>
              <w:bottom w:val="nil"/>
              <w:right w:val="nil"/>
            </w:tcBorders>
            <w:shd w:val="clear" w:color="auto" w:fill="auto"/>
            <w:noWrap/>
            <w:vAlign w:val="bottom"/>
            <w:hideMark/>
          </w:tcPr>
          <w:p w14:paraId="15DFA87D"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lastRenderedPageBreak/>
              <w:t>3722</w:t>
            </w:r>
          </w:p>
        </w:tc>
        <w:tc>
          <w:tcPr>
            <w:tcW w:w="8509" w:type="dxa"/>
            <w:tcBorders>
              <w:top w:val="nil"/>
              <w:left w:val="nil"/>
              <w:bottom w:val="nil"/>
              <w:right w:val="nil"/>
            </w:tcBorders>
            <w:shd w:val="clear" w:color="auto" w:fill="auto"/>
            <w:noWrap/>
            <w:vAlign w:val="bottom"/>
            <w:hideMark/>
          </w:tcPr>
          <w:p w14:paraId="404F7E0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Naknade građanima i kućanstvima u naravi                                                            </w:t>
            </w:r>
          </w:p>
        </w:tc>
        <w:tc>
          <w:tcPr>
            <w:tcW w:w="1480" w:type="dxa"/>
            <w:tcBorders>
              <w:top w:val="nil"/>
              <w:left w:val="nil"/>
              <w:bottom w:val="nil"/>
              <w:right w:val="nil"/>
            </w:tcBorders>
            <w:shd w:val="clear" w:color="auto" w:fill="auto"/>
            <w:noWrap/>
            <w:vAlign w:val="bottom"/>
            <w:hideMark/>
          </w:tcPr>
          <w:p w14:paraId="44A1C7DA"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D7CC7B9"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2.606,37</w:t>
            </w:r>
          </w:p>
        </w:tc>
        <w:tc>
          <w:tcPr>
            <w:tcW w:w="1400" w:type="dxa"/>
            <w:tcBorders>
              <w:top w:val="nil"/>
              <w:left w:val="nil"/>
              <w:bottom w:val="nil"/>
              <w:right w:val="nil"/>
            </w:tcBorders>
            <w:shd w:val="clear" w:color="auto" w:fill="auto"/>
            <w:noWrap/>
            <w:vAlign w:val="bottom"/>
            <w:hideMark/>
          </w:tcPr>
          <w:p w14:paraId="0706A94D"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2EA8E87" w14:textId="77777777" w:rsidTr="00A360DB">
        <w:trPr>
          <w:trHeight w:val="240"/>
        </w:trPr>
        <w:tc>
          <w:tcPr>
            <w:tcW w:w="1697" w:type="dxa"/>
            <w:tcBorders>
              <w:top w:val="nil"/>
              <w:left w:val="nil"/>
              <w:bottom w:val="nil"/>
              <w:right w:val="nil"/>
            </w:tcBorders>
            <w:shd w:val="clear" w:color="000000" w:fill="B4C6E7"/>
            <w:noWrap/>
            <w:vAlign w:val="bottom"/>
            <w:hideMark/>
          </w:tcPr>
          <w:p w14:paraId="11788D4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A100306</w:t>
            </w:r>
          </w:p>
        </w:tc>
        <w:tc>
          <w:tcPr>
            <w:tcW w:w="8509" w:type="dxa"/>
            <w:tcBorders>
              <w:top w:val="nil"/>
              <w:left w:val="nil"/>
              <w:bottom w:val="nil"/>
              <w:right w:val="nil"/>
            </w:tcBorders>
            <w:shd w:val="clear" w:color="000000" w:fill="B4C6E7"/>
            <w:noWrap/>
            <w:vAlign w:val="bottom"/>
            <w:hideMark/>
          </w:tcPr>
          <w:p w14:paraId="58D0631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Izmjera poljoprivrednog zemljišta i sređivanje zemljišnih knjiga</w:t>
            </w:r>
          </w:p>
        </w:tc>
        <w:tc>
          <w:tcPr>
            <w:tcW w:w="1480" w:type="dxa"/>
            <w:tcBorders>
              <w:top w:val="nil"/>
              <w:left w:val="nil"/>
              <w:bottom w:val="nil"/>
              <w:right w:val="nil"/>
            </w:tcBorders>
            <w:shd w:val="clear" w:color="000000" w:fill="B4C6E7"/>
            <w:noWrap/>
            <w:vAlign w:val="bottom"/>
            <w:hideMark/>
          </w:tcPr>
          <w:p w14:paraId="4D7626B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3.110,00</w:t>
            </w:r>
          </w:p>
        </w:tc>
        <w:tc>
          <w:tcPr>
            <w:tcW w:w="1380" w:type="dxa"/>
            <w:tcBorders>
              <w:top w:val="nil"/>
              <w:left w:val="nil"/>
              <w:bottom w:val="nil"/>
              <w:right w:val="nil"/>
            </w:tcBorders>
            <w:shd w:val="clear" w:color="000000" w:fill="B4C6E7"/>
            <w:noWrap/>
            <w:vAlign w:val="bottom"/>
            <w:hideMark/>
          </w:tcPr>
          <w:p w14:paraId="48B857F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1.407,19</w:t>
            </w:r>
          </w:p>
        </w:tc>
        <w:tc>
          <w:tcPr>
            <w:tcW w:w="1400" w:type="dxa"/>
            <w:tcBorders>
              <w:top w:val="nil"/>
              <w:left w:val="nil"/>
              <w:bottom w:val="nil"/>
              <w:right w:val="nil"/>
            </w:tcBorders>
            <w:shd w:val="clear" w:color="000000" w:fill="B4C6E7"/>
            <w:noWrap/>
            <w:vAlign w:val="bottom"/>
            <w:hideMark/>
          </w:tcPr>
          <w:p w14:paraId="63140AA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45,25%</w:t>
            </w:r>
          </w:p>
        </w:tc>
      </w:tr>
      <w:tr w:rsidR="00A360DB" w:rsidRPr="00A360DB" w14:paraId="2E9A1BB2"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B6A984D"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536191D8"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1.000,00</w:t>
            </w:r>
          </w:p>
        </w:tc>
        <w:tc>
          <w:tcPr>
            <w:tcW w:w="1380" w:type="dxa"/>
            <w:tcBorders>
              <w:top w:val="nil"/>
              <w:left w:val="nil"/>
              <w:bottom w:val="nil"/>
              <w:right w:val="nil"/>
            </w:tcBorders>
            <w:shd w:val="clear" w:color="auto" w:fill="auto"/>
            <w:noWrap/>
            <w:vAlign w:val="bottom"/>
            <w:hideMark/>
          </w:tcPr>
          <w:p w14:paraId="6124FD6F"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404,91</w:t>
            </w:r>
          </w:p>
        </w:tc>
        <w:tc>
          <w:tcPr>
            <w:tcW w:w="1400" w:type="dxa"/>
            <w:tcBorders>
              <w:top w:val="nil"/>
              <w:left w:val="nil"/>
              <w:bottom w:val="nil"/>
              <w:right w:val="nil"/>
            </w:tcBorders>
            <w:shd w:val="clear" w:color="auto" w:fill="auto"/>
            <w:noWrap/>
            <w:vAlign w:val="bottom"/>
            <w:hideMark/>
          </w:tcPr>
          <w:p w14:paraId="631B6FBA"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40,49%</w:t>
            </w:r>
          </w:p>
        </w:tc>
      </w:tr>
      <w:tr w:rsidR="00A360DB" w:rsidRPr="00A360DB" w14:paraId="6CF1DF20"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9254F6F"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57653202"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1.000,00</w:t>
            </w:r>
          </w:p>
        </w:tc>
        <w:tc>
          <w:tcPr>
            <w:tcW w:w="1380" w:type="dxa"/>
            <w:tcBorders>
              <w:top w:val="nil"/>
              <w:left w:val="nil"/>
              <w:bottom w:val="nil"/>
              <w:right w:val="nil"/>
            </w:tcBorders>
            <w:shd w:val="clear" w:color="auto" w:fill="auto"/>
            <w:noWrap/>
            <w:vAlign w:val="bottom"/>
            <w:hideMark/>
          </w:tcPr>
          <w:p w14:paraId="603C6B03"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404,91</w:t>
            </w:r>
          </w:p>
        </w:tc>
        <w:tc>
          <w:tcPr>
            <w:tcW w:w="1400" w:type="dxa"/>
            <w:tcBorders>
              <w:top w:val="nil"/>
              <w:left w:val="nil"/>
              <w:bottom w:val="nil"/>
              <w:right w:val="nil"/>
            </w:tcBorders>
            <w:shd w:val="clear" w:color="auto" w:fill="auto"/>
            <w:noWrap/>
            <w:vAlign w:val="bottom"/>
            <w:hideMark/>
          </w:tcPr>
          <w:p w14:paraId="08E24EB3"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40,49%</w:t>
            </w:r>
          </w:p>
        </w:tc>
      </w:tr>
      <w:tr w:rsidR="00A360DB" w:rsidRPr="00A360DB" w14:paraId="08167D9F" w14:textId="77777777" w:rsidTr="00A360DB">
        <w:trPr>
          <w:trHeight w:val="240"/>
        </w:trPr>
        <w:tc>
          <w:tcPr>
            <w:tcW w:w="1697" w:type="dxa"/>
            <w:tcBorders>
              <w:top w:val="nil"/>
              <w:left w:val="nil"/>
              <w:bottom w:val="nil"/>
              <w:right w:val="nil"/>
            </w:tcBorders>
            <w:shd w:val="clear" w:color="auto" w:fill="auto"/>
            <w:noWrap/>
            <w:vAlign w:val="bottom"/>
            <w:hideMark/>
          </w:tcPr>
          <w:p w14:paraId="1609AE03"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0C656569"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28F0291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1.000,00</w:t>
            </w:r>
          </w:p>
        </w:tc>
        <w:tc>
          <w:tcPr>
            <w:tcW w:w="1380" w:type="dxa"/>
            <w:tcBorders>
              <w:top w:val="nil"/>
              <w:left w:val="nil"/>
              <w:bottom w:val="nil"/>
              <w:right w:val="nil"/>
            </w:tcBorders>
            <w:shd w:val="clear" w:color="auto" w:fill="auto"/>
            <w:noWrap/>
            <w:vAlign w:val="bottom"/>
            <w:hideMark/>
          </w:tcPr>
          <w:p w14:paraId="206516D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404,91</w:t>
            </w:r>
          </w:p>
        </w:tc>
        <w:tc>
          <w:tcPr>
            <w:tcW w:w="1400" w:type="dxa"/>
            <w:tcBorders>
              <w:top w:val="nil"/>
              <w:left w:val="nil"/>
              <w:bottom w:val="nil"/>
              <w:right w:val="nil"/>
            </w:tcBorders>
            <w:shd w:val="clear" w:color="auto" w:fill="auto"/>
            <w:noWrap/>
            <w:vAlign w:val="bottom"/>
            <w:hideMark/>
          </w:tcPr>
          <w:p w14:paraId="61294A5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40,49%</w:t>
            </w:r>
          </w:p>
        </w:tc>
      </w:tr>
      <w:tr w:rsidR="00A360DB" w:rsidRPr="00A360DB" w14:paraId="57D6EC08" w14:textId="77777777" w:rsidTr="00A360DB">
        <w:trPr>
          <w:trHeight w:val="240"/>
        </w:trPr>
        <w:tc>
          <w:tcPr>
            <w:tcW w:w="1697" w:type="dxa"/>
            <w:tcBorders>
              <w:top w:val="nil"/>
              <w:left w:val="nil"/>
              <w:bottom w:val="nil"/>
              <w:right w:val="nil"/>
            </w:tcBorders>
            <w:shd w:val="clear" w:color="auto" w:fill="auto"/>
            <w:noWrap/>
            <w:vAlign w:val="bottom"/>
            <w:hideMark/>
          </w:tcPr>
          <w:p w14:paraId="61DDFA3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3296</w:t>
            </w:r>
          </w:p>
        </w:tc>
        <w:tc>
          <w:tcPr>
            <w:tcW w:w="8509" w:type="dxa"/>
            <w:tcBorders>
              <w:top w:val="nil"/>
              <w:left w:val="nil"/>
              <w:bottom w:val="nil"/>
              <w:right w:val="nil"/>
            </w:tcBorders>
            <w:shd w:val="clear" w:color="auto" w:fill="auto"/>
            <w:noWrap/>
            <w:vAlign w:val="bottom"/>
            <w:hideMark/>
          </w:tcPr>
          <w:p w14:paraId="1BD474A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Troškovi sudskih postupaka</w:t>
            </w:r>
          </w:p>
        </w:tc>
        <w:tc>
          <w:tcPr>
            <w:tcW w:w="1480" w:type="dxa"/>
            <w:tcBorders>
              <w:top w:val="nil"/>
              <w:left w:val="nil"/>
              <w:bottom w:val="nil"/>
              <w:right w:val="nil"/>
            </w:tcBorders>
            <w:shd w:val="clear" w:color="auto" w:fill="auto"/>
            <w:noWrap/>
            <w:vAlign w:val="bottom"/>
            <w:hideMark/>
          </w:tcPr>
          <w:p w14:paraId="408B393A"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81F3FC3"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404,91</w:t>
            </w:r>
          </w:p>
        </w:tc>
        <w:tc>
          <w:tcPr>
            <w:tcW w:w="1400" w:type="dxa"/>
            <w:tcBorders>
              <w:top w:val="nil"/>
              <w:left w:val="nil"/>
              <w:bottom w:val="nil"/>
              <w:right w:val="nil"/>
            </w:tcBorders>
            <w:shd w:val="clear" w:color="auto" w:fill="auto"/>
            <w:noWrap/>
            <w:vAlign w:val="bottom"/>
            <w:hideMark/>
          </w:tcPr>
          <w:p w14:paraId="21DDDF94"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6E06291"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B29E2BE"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4. Prihodi za posebne namjene</w:t>
            </w:r>
          </w:p>
        </w:tc>
        <w:tc>
          <w:tcPr>
            <w:tcW w:w="1480" w:type="dxa"/>
            <w:tcBorders>
              <w:top w:val="nil"/>
              <w:left w:val="nil"/>
              <w:bottom w:val="nil"/>
              <w:right w:val="nil"/>
            </w:tcBorders>
            <w:shd w:val="clear" w:color="auto" w:fill="auto"/>
            <w:noWrap/>
            <w:vAlign w:val="bottom"/>
            <w:hideMark/>
          </w:tcPr>
          <w:p w14:paraId="40EC8C2F"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2.110,00</w:t>
            </w:r>
          </w:p>
        </w:tc>
        <w:tc>
          <w:tcPr>
            <w:tcW w:w="1380" w:type="dxa"/>
            <w:tcBorders>
              <w:top w:val="nil"/>
              <w:left w:val="nil"/>
              <w:bottom w:val="nil"/>
              <w:right w:val="nil"/>
            </w:tcBorders>
            <w:shd w:val="clear" w:color="auto" w:fill="auto"/>
            <w:noWrap/>
            <w:vAlign w:val="bottom"/>
            <w:hideMark/>
          </w:tcPr>
          <w:p w14:paraId="4DCAB5F9"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1.002,28</w:t>
            </w:r>
          </w:p>
        </w:tc>
        <w:tc>
          <w:tcPr>
            <w:tcW w:w="1400" w:type="dxa"/>
            <w:tcBorders>
              <w:top w:val="nil"/>
              <w:left w:val="nil"/>
              <w:bottom w:val="nil"/>
              <w:right w:val="nil"/>
            </w:tcBorders>
            <w:shd w:val="clear" w:color="auto" w:fill="auto"/>
            <w:noWrap/>
            <w:vAlign w:val="bottom"/>
            <w:hideMark/>
          </w:tcPr>
          <w:p w14:paraId="74B3F58F"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47,50%</w:t>
            </w:r>
          </w:p>
        </w:tc>
      </w:tr>
      <w:tr w:rsidR="00A360DB" w:rsidRPr="00A360DB" w14:paraId="73CD4F24"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593212A4"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4.1. Prihodi za posebne namjene</w:t>
            </w:r>
          </w:p>
        </w:tc>
        <w:tc>
          <w:tcPr>
            <w:tcW w:w="1480" w:type="dxa"/>
            <w:tcBorders>
              <w:top w:val="nil"/>
              <w:left w:val="nil"/>
              <w:bottom w:val="nil"/>
              <w:right w:val="nil"/>
            </w:tcBorders>
            <w:shd w:val="clear" w:color="auto" w:fill="auto"/>
            <w:noWrap/>
            <w:vAlign w:val="bottom"/>
            <w:hideMark/>
          </w:tcPr>
          <w:p w14:paraId="7101FFBB"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2.110,00</w:t>
            </w:r>
          </w:p>
        </w:tc>
        <w:tc>
          <w:tcPr>
            <w:tcW w:w="1380" w:type="dxa"/>
            <w:tcBorders>
              <w:top w:val="nil"/>
              <w:left w:val="nil"/>
              <w:bottom w:val="nil"/>
              <w:right w:val="nil"/>
            </w:tcBorders>
            <w:shd w:val="clear" w:color="auto" w:fill="auto"/>
            <w:noWrap/>
            <w:vAlign w:val="bottom"/>
            <w:hideMark/>
          </w:tcPr>
          <w:p w14:paraId="74BCA72F"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1.002,28</w:t>
            </w:r>
          </w:p>
        </w:tc>
        <w:tc>
          <w:tcPr>
            <w:tcW w:w="1400" w:type="dxa"/>
            <w:tcBorders>
              <w:top w:val="nil"/>
              <w:left w:val="nil"/>
              <w:bottom w:val="nil"/>
              <w:right w:val="nil"/>
            </w:tcBorders>
            <w:shd w:val="clear" w:color="auto" w:fill="auto"/>
            <w:noWrap/>
            <w:vAlign w:val="bottom"/>
            <w:hideMark/>
          </w:tcPr>
          <w:p w14:paraId="0466B8D4"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47,50%</w:t>
            </w:r>
          </w:p>
        </w:tc>
      </w:tr>
      <w:tr w:rsidR="00A360DB" w:rsidRPr="00A360DB" w14:paraId="5E46C1C5" w14:textId="77777777" w:rsidTr="00A360DB">
        <w:trPr>
          <w:trHeight w:val="240"/>
        </w:trPr>
        <w:tc>
          <w:tcPr>
            <w:tcW w:w="1697" w:type="dxa"/>
            <w:tcBorders>
              <w:top w:val="nil"/>
              <w:left w:val="nil"/>
              <w:bottom w:val="nil"/>
              <w:right w:val="nil"/>
            </w:tcBorders>
            <w:shd w:val="clear" w:color="auto" w:fill="auto"/>
            <w:noWrap/>
            <w:vAlign w:val="bottom"/>
            <w:hideMark/>
          </w:tcPr>
          <w:p w14:paraId="266205C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198453C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048E9A6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2.110,00</w:t>
            </w:r>
          </w:p>
        </w:tc>
        <w:tc>
          <w:tcPr>
            <w:tcW w:w="1380" w:type="dxa"/>
            <w:tcBorders>
              <w:top w:val="nil"/>
              <w:left w:val="nil"/>
              <w:bottom w:val="nil"/>
              <w:right w:val="nil"/>
            </w:tcBorders>
            <w:shd w:val="clear" w:color="auto" w:fill="auto"/>
            <w:noWrap/>
            <w:vAlign w:val="bottom"/>
            <w:hideMark/>
          </w:tcPr>
          <w:p w14:paraId="6DC692E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1.002,28</w:t>
            </w:r>
          </w:p>
        </w:tc>
        <w:tc>
          <w:tcPr>
            <w:tcW w:w="1400" w:type="dxa"/>
            <w:tcBorders>
              <w:top w:val="nil"/>
              <w:left w:val="nil"/>
              <w:bottom w:val="nil"/>
              <w:right w:val="nil"/>
            </w:tcBorders>
            <w:shd w:val="clear" w:color="auto" w:fill="auto"/>
            <w:noWrap/>
            <w:vAlign w:val="bottom"/>
            <w:hideMark/>
          </w:tcPr>
          <w:p w14:paraId="75FF4D5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47,50%</w:t>
            </w:r>
          </w:p>
        </w:tc>
      </w:tr>
      <w:tr w:rsidR="00A360DB" w:rsidRPr="00A360DB" w14:paraId="72A03B4C" w14:textId="77777777" w:rsidTr="00A360DB">
        <w:trPr>
          <w:trHeight w:val="240"/>
        </w:trPr>
        <w:tc>
          <w:tcPr>
            <w:tcW w:w="1697" w:type="dxa"/>
            <w:tcBorders>
              <w:top w:val="nil"/>
              <w:left w:val="nil"/>
              <w:bottom w:val="nil"/>
              <w:right w:val="nil"/>
            </w:tcBorders>
            <w:shd w:val="clear" w:color="auto" w:fill="auto"/>
            <w:noWrap/>
            <w:vAlign w:val="bottom"/>
            <w:hideMark/>
          </w:tcPr>
          <w:p w14:paraId="5B84813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3237</w:t>
            </w:r>
          </w:p>
        </w:tc>
        <w:tc>
          <w:tcPr>
            <w:tcW w:w="8509" w:type="dxa"/>
            <w:tcBorders>
              <w:top w:val="nil"/>
              <w:left w:val="nil"/>
              <w:bottom w:val="nil"/>
              <w:right w:val="nil"/>
            </w:tcBorders>
            <w:shd w:val="clear" w:color="auto" w:fill="auto"/>
            <w:noWrap/>
            <w:vAlign w:val="bottom"/>
            <w:hideMark/>
          </w:tcPr>
          <w:p w14:paraId="055D6B2E"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Intelektualne i osobne usluge                                                                       </w:t>
            </w:r>
          </w:p>
        </w:tc>
        <w:tc>
          <w:tcPr>
            <w:tcW w:w="1480" w:type="dxa"/>
            <w:tcBorders>
              <w:top w:val="nil"/>
              <w:left w:val="nil"/>
              <w:bottom w:val="nil"/>
              <w:right w:val="nil"/>
            </w:tcBorders>
            <w:shd w:val="clear" w:color="auto" w:fill="auto"/>
            <w:noWrap/>
            <w:vAlign w:val="bottom"/>
            <w:hideMark/>
          </w:tcPr>
          <w:p w14:paraId="6BE57B88"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5DC0F69B"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1.000,00</w:t>
            </w:r>
          </w:p>
        </w:tc>
        <w:tc>
          <w:tcPr>
            <w:tcW w:w="1400" w:type="dxa"/>
            <w:tcBorders>
              <w:top w:val="nil"/>
              <w:left w:val="nil"/>
              <w:bottom w:val="nil"/>
              <w:right w:val="nil"/>
            </w:tcBorders>
            <w:shd w:val="clear" w:color="auto" w:fill="auto"/>
            <w:noWrap/>
            <w:vAlign w:val="bottom"/>
            <w:hideMark/>
          </w:tcPr>
          <w:p w14:paraId="4EC18F38"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56B320E" w14:textId="77777777" w:rsidTr="00A360DB">
        <w:trPr>
          <w:trHeight w:val="240"/>
        </w:trPr>
        <w:tc>
          <w:tcPr>
            <w:tcW w:w="1697" w:type="dxa"/>
            <w:tcBorders>
              <w:top w:val="nil"/>
              <w:left w:val="nil"/>
              <w:bottom w:val="nil"/>
              <w:right w:val="nil"/>
            </w:tcBorders>
            <w:shd w:val="clear" w:color="auto" w:fill="auto"/>
            <w:noWrap/>
            <w:vAlign w:val="bottom"/>
            <w:hideMark/>
          </w:tcPr>
          <w:p w14:paraId="080FB84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3296</w:t>
            </w:r>
          </w:p>
        </w:tc>
        <w:tc>
          <w:tcPr>
            <w:tcW w:w="8509" w:type="dxa"/>
            <w:tcBorders>
              <w:top w:val="nil"/>
              <w:left w:val="nil"/>
              <w:bottom w:val="nil"/>
              <w:right w:val="nil"/>
            </w:tcBorders>
            <w:shd w:val="clear" w:color="auto" w:fill="auto"/>
            <w:noWrap/>
            <w:vAlign w:val="bottom"/>
            <w:hideMark/>
          </w:tcPr>
          <w:p w14:paraId="5E1DB517"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Troškovi sudskih postupaka</w:t>
            </w:r>
          </w:p>
        </w:tc>
        <w:tc>
          <w:tcPr>
            <w:tcW w:w="1480" w:type="dxa"/>
            <w:tcBorders>
              <w:top w:val="nil"/>
              <w:left w:val="nil"/>
              <w:bottom w:val="nil"/>
              <w:right w:val="nil"/>
            </w:tcBorders>
            <w:shd w:val="clear" w:color="auto" w:fill="auto"/>
            <w:noWrap/>
            <w:vAlign w:val="bottom"/>
            <w:hideMark/>
          </w:tcPr>
          <w:p w14:paraId="34B914C3"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B5E5BC6"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2,28</w:t>
            </w:r>
          </w:p>
        </w:tc>
        <w:tc>
          <w:tcPr>
            <w:tcW w:w="1400" w:type="dxa"/>
            <w:tcBorders>
              <w:top w:val="nil"/>
              <w:left w:val="nil"/>
              <w:bottom w:val="nil"/>
              <w:right w:val="nil"/>
            </w:tcBorders>
            <w:shd w:val="clear" w:color="auto" w:fill="auto"/>
            <w:noWrap/>
            <w:vAlign w:val="bottom"/>
            <w:hideMark/>
          </w:tcPr>
          <w:p w14:paraId="2DF39A17"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AB001FB" w14:textId="77777777" w:rsidTr="00A360DB">
        <w:trPr>
          <w:trHeight w:val="240"/>
        </w:trPr>
        <w:tc>
          <w:tcPr>
            <w:tcW w:w="1697" w:type="dxa"/>
            <w:tcBorders>
              <w:top w:val="nil"/>
              <w:left w:val="nil"/>
              <w:bottom w:val="nil"/>
              <w:right w:val="nil"/>
            </w:tcBorders>
            <w:shd w:val="clear" w:color="000000" w:fill="B4C6E7"/>
            <w:noWrap/>
            <w:vAlign w:val="bottom"/>
            <w:hideMark/>
          </w:tcPr>
          <w:p w14:paraId="2C6C2ACA"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A100308</w:t>
            </w:r>
          </w:p>
        </w:tc>
        <w:tc>
          <w:tcPr>
            <w:tcW w:w="8509" w:type="dxa"/>
            <w:tcBorders>
              <w:top w:val="nil"/>
              <w:left w:val="nil"/>
              <w:bottom w:val="nil"/>
              <w:right w:val="nil"/>
            </w:tcBorders>
            <w:shd w:val="clear" w:color="000000" w:fill="B4C6E7"/>
            <w:noWrap/>
            <w:vAlign w:val="bottom"/>
            <w:hideMark/>
          </w:tcPr>
          <w:p w14:paraId="4CB249D8"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Zimska služba</w:t>
            </w:r>
          </w:p>
        </w:tc>
        <w:tc>
          <w:tcPr>
            <w:tcW w:w="1480" w:type="dxa"/>
            <w:tcBorders>
              <w:top w:val="nil"/>
              <w:left w:val="nil"/>
              <w:bottom w:val="nil"/>
              <w:right w:val="nil"/>
            </w:tcBorders>
            <w:shd w:val="clear" w:color="000000" w:fill="B4C6E7"/>
            <w:noWrap/>
            <w:vAlign w:val="bottom"/>
            <w:hideMark/>
          </w:tcPr>
          <w:p w14:paraId="6EC7C1B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16.300,00</w:t>
            </w:r>
          </w:p>
        </w:tc>
        <w:tc>
          <w:tcPr>
            <w:tcW w:w="1380" w:type="dxa"/>
            <w:tcBorders>
              <w:top w:val="nil"/>
              <w:left w:val="nil"/>
              <w:bottom w:val="nil"/>
              <w:right w:val="nil"/>
            </w:tcBorders>
            <w:shd w:val="clear" w:color="000000" w:fill="B4C6E7"/>
            <w:noWrap/>
            <w:vAlign w:val="bottom"/>
            <w:hideMark/>
          </w:tcPr>
          <w:p w14:paraId="005FE9B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10.308,46</w:t>
            </w:r>
          </w:p>
        </w:tc>
        <w:tc>
          <w:tcPr>
            <w:tcW w:w="1400" w:type="dxa"/>
            <w:tcBorders>
              <w:top w:val="nil"/>
              <w:left w:val="nil"/>
              <w:bottom w:val="nil"/>
              <w:right w:val="nil"/>
            </w:tcBorders>
            <w:shd w:val="clear" w:color="000000" w:fill="B4C6E7"/>
            <w:noWrap/>
            <w:vAlign w:val="bottom"/>
            <w:hideMark/>
          </w:tcPr>
          <w:p w14:paraId="7A96EA8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63,24%</w:t>
            </w:r>
          </w:p>
        </w:tc>
      </w:tr>
      <w:tr w:rsidR="00A360DB" w:rsidRPr="00A360DB" w14:paraId="13F9B82F"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1D48C03E"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0B03DDFF"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16.300,00</w:t>
            </w:r>
          </w:p>
        </w:tc>
        <w:tc>
          <w:tcPr>
            <w:tcW w:w="1380" w:type="dxa"/>
            <w:tcBorders>
              <w:top w:val="nil"/>
              <w:left w:val="nil"/>
              <w:bottom w:val="nil"/>
              <w:right w:val="nil"/>
            </w:tcBorders>
            <w:shd w:val="clear" w:color="auto" w:fill="auto"/>
            <w:noWrap/>
            <w:vAlign w:val="bottom"/>
            <w:hideMark/>
          </w:tcPr>
          <w:p w14:paraId="2E684073"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10.308,46</w:t>
            </w:r>
          </w:p>
        </w:tc>
        <w:tc>
          <w:tcPr>
            <w:tcW w:w="1400" w:type="dxa"/>
            <w:tcBorders>
              <w:top w:val="nil"/>
              <w:left w:val="nil"/>
              <w:bottom w:val="nil"/>
              <w:right w:val="nil"/>
            </w:tcBorders>
            <w:shd w:val="clear" w:color="auto" w:fill="auto"/>
            <w:noWrap/>
            <w:vAlign w:val="bottom"/>
            <w:hideMark/>
          </w:tcPr>
          <w:p w14:paraId="707D5A2F"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63,24%</w:t>
            </w:r>
          </w:p>
        </w:tc>
      </w:tr>
      <w:tr w:rsidR="00A360DB" w:rsidRPr="00A360DB" w14:paraId="17D63940"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E1BA755"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35EF53ED"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16.300,00</w:t>
            </w:r>
          </w:p>
        </w:tc>
        <w:tc>
          <w:tcPr>
            <w:tcW w:w="1380" w:type="dxa"/>
            <w:tcBorders>
              <w:top w:val="nil"/>
              <w:left w:val="nil"/>
              <w:bottom w:val="nil"/>
              <w:right w:val="nil"/>
            </w:tcBorders>
            <w:shd w:val="clear" w:color="auto" w:fill="auto"/>
            <w:noWrap/>
            <w:vAlign w:val="bottom"/>
            <w:hideMark/>
          </w:tcPr>
          <w:p w14:paraId="3973823D"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10.308,46</w:t>
            </w:r>
          </w:p>
        </w:tc>
        <w:tc>
          <w:tcPr>
            <w:tcW w:w="1400" w:type="dxa"/>
            <w:tcBorders>
              <w:top w:val="nil"/>
              <w:left w:val="nil"/>
              <w:bottom w:val="nil"/>
              <w:right w:val="nil"/>
            </w:tcBorders>
            <w:shd w:val="clear" w:color="auto" w:fill="auto"/>
            <w:noWrap/>
            <w:vAlign w:val="bottom"/>
            <w:hideMark/>
          </w:tcPr>
          <w:p w14:paraId="1F584184"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63,24%</w:t>
            </w:r>
          </w:p>
        </w:tc>
      </w:tr>
      <w:tr w:rsidR="00A360DB" w:rsidRPr="00A360DB" w14:paraId="623E6E82" w14:textId="77777777" w:rsidTr="00A360DB">
        <w:trPr>
          <w:trHeight w:val="240"/>
        </w:trPr>
        <w:tc>
          <w:tcPr>
            <w:tcW w:w="1697" w:type="dxa"/>
            <w:tcBorders>
              <w:top w:val="nil"/>
              <w:left w:val="nil"/>
              <w:bottom w:val="nil"/>
              <w:right w:val="nil"/>
            </w:tcBorders>
            <w:shd w:val="clear" w:color="auto" w:fill="auto"/>
            <w:noWrap/>
            <w:vAlign w:val="bottom"/>
            <w:hideMark/>
          </w:tcPr>
          <w:p w14:paraId="105F0CFE"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29821D5A"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7FACDE8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16.300,00</w:t>
            </w:r>
          </w:p>
        </w:tc>
        <w:tc>
          <w:tcPr>
            <w:tcW w:w="1380" w:type="dxa"/>
            <w:tcBorders>
              <w:top w:val="nil"/>
              <w:left w:val="nil"/>
              <w:bottom w:val="nil"/>
              <w:right w:val="nil"/>
            </w:tcBorders>
            <w:shd w:val="clear" w:color="auto" w:fill="auto"/>
            <w:noWrap/>
            <w:vAlign w:val="bottom"/>
            <w:hideMark/>
          </w:tcPr>
          <w:p w14:paraId="25E2FE2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10.308,46</w:t>
            </w:r>
          </w:p>
        </w:tc>
        <w:tc>
          <w:tcPr>
            <w:tcW w:w="1400" w:type="dxa"/>
            <w:tcBorders>
              <w:top w:val="nil"/>
              <w:left w:val="nil"/>
              <w:bottom w:val="nil"/>
              <w:right w:val="nil"/>
            </w:tcBorders>
            <w:shd w:val="clear" w:color="auto" w:fill="auto"/>
            <w:noWrap/>
            <w:vAlign w:val="bottom"/>
            <w:hideMark/>
          </w:tcPr>
          <w:p w14:paraId="103BD3F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63,24%</w:t>
            </w:r>
          </w:p>
        </w:tc>
      </w:tr>
      <w:tr w:rsidR="00A360DB" w:rsidRPr="00A360DB" w14:paraId="65CA1D50" w14:textId="77777777" w:rsidTr="00A360DB">
        <w:trPr>
          <w:trHeight w:val="240"/>
        </w:trPr>
        <w:tc>
          <w:tcPr>
            <w:tcW w:w="1697" w:type="dxa"/>
            <w:tcBorders>
              <w:top w:val="nil"/>
              <w:left w:val="nil"/>
              <w:bottom w:val="nil"/>
              <w:right w:val="nil"/>
            </w:tcBorders>
            <w:shd w:val="clear" w:color="auto" w:fill="auto"/>
            <w:noWrap/>
            <w:vAlign w:val="bottom"/>
            <w:hideMark/>
          </w:tcPr>
          <w:p w14:paraId="102266A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3232</w:t>
            </w:r>
          </w:p>
        </w:tc>
        <w:tc>
          <w:tcPr>
            <w:tcW w:w="8509" w:type="dxa"/>
            <w:tcBorders>
              <w:top w:val="nil"/>
              <w:left w:val="nil"/>
              <w:bottom w:val="nil"/>
              <w:right w:val="nil"/>
            </w:tcBorders>
            <w:shd w:val="clear" w:color="auto" w:fill="auto"/>
            <w:noWrap/>
            <w:vAlign w:val="bottom"/>
            <w:hideMark/>
          </w:tcPr>
          <w:p w14:paraId="12C86D4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Usluge tekućeg i investicijskog održavanja                                                          </w:t>
            </w:r>
          </w:p>
        </w:tc>
        <w:tc>
          <w:tcPr>
            <w:tcW w:w="1480" w:type="dxa"/>
            <w:tcBorders>
              <w:top w:val="nil"/>
              <w:left w:val="nil"/>
              <w:bottom w:val="nil"/>
              <w:right w:val="nil"/>
            </w:tcBorders>
            <w:shd w:val="clear" w:color="auto" w:fill="auto"/>
            <w:noWrap/>
            <w:vAlign w:val="bottom"/>
            <w:hideMark/>
          </w:tcPr>
          <w:p w14:paraId="2E1441FD"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5A34458D"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10.308,46</w:t>
            </w:r>
          </w:p>
        </w:tc>
        <w:tc>
          <w:tcPr>
            <w:tcW w:w="1400" w:type="dxa"/>
            <w:tcBorders>
              <w:top w:val="nil"/>
              <w:left w:val="nil"/>
              <w:bottom w:val="nil"/>
              <w:right w:val="nil"/>
            </w:tcBorders>
            <w:shd w:val="clear" w:color="auto" w:fill="auto"/>
            <w:noWrap/>
            <w:vAlign w:val="bottom"/>
            <w:hideMark/>
          </w:tcPr>
          <w:p w14:paraId="225D065F"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1A3C490" w14:textId="77777777" w:rsidTr="00A360DB">
        <w:trPr>
          <w:trHeight w:val="240"/>
        </w:trPr>
        <w:tc>
          <w:tcPr>
            <w:tcW w:w="1697" w:type="dxa"/>
            <w:tcBorders>
              <w:top w:val="nil"/>
              <w:left w:val="nil"/>
              <w:bottom w:val="nil"/>
              <w:right w:val="nil"/>
            </w:tcBorders>
            <w:shd w:val="clear" w:color="000000" w:fill="B4C6E7"/>
            <w:noWrap/>
            <w:vAlign w:val="bottom"/>
            <w:hideMark/>
          </w:tcPr>
          <w:p w14:paraId="15D365C0"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K100301</w:t>
            </w:r>
          </w:p>
        </w:tc>
        <w:tc>
          <w:tcPr>
            <w:tcW w:w="8509" w:type="dxa"/>
            <w:tcBorders>
              <w:top w:val="nil"/>
              <w:left w:val="nil"/>
              <w:bottom w:val="nil"/>
              <w:right w:val="nil"/>
            </w:tcBorders>
            <w:shd w:val="clear" w:color="000000" w:fill="B4C6E7"/>
            <w:noWrap/>
            <w:vAlign w:val="bottom"/>
            <w:hideMark/>
          </w:tcPr>
          <w:p w14:paraId="69F32880"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Kapitalni projekt: Nabava opreme i vozila</w:t>
            </w:r>
          </w:p>
        </w:tc>
        <w:tc>
          <w:tcPr>
            <w:tcW w:w="1480" w:type="dxa"/>
            <w:tcBorders>
              <w:top w:val="nil"/>
              <w:left w:val="nil"/>
              <w:bottom w:val="nil"/>
              <w:right w:val="nil"/>
            </w:tcBorders>
            <w:shd w:val="clear" w:color="000000" w:fill="B4C6E7"/>
            <w:noWrap/>
            <w:vAlign w:val="bottom"/>
            <w:hideMark/>
          </w:tcPr>
          <w:p w14:paraId="3065A7B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95.400,00</w:t>
            </w:r>
          </w:p>
        </w:tc>
        <w:tc>
          <w:tcPr>
            <w:tcW w:w="1380" w:type="dxa"/>
            <w:tcBorders>
              <w:top w:val="nil"/>
              <w:left w:val="nil"/>
              <w:bottom w:val="nil"/>
              <w:right w:val="nil"/>
            </w:tcBorders>
            <w:shd w:val="clear" w:color="000000" w:fill="B4C6E7"/>
            <w:noWrap/>
            <w:vAlign w:val="bottom"/>
            <w:hideMark/>
          </w:tcPr>
          <w:p w14:paraId="46E002E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41.484,64</w:t>
            </w:r>
          </w:p>
        </w:tc>
        <w:tc>
          <w:tcPr>
            <w:tcW w:w="1400" w:type="dxa"/>
            <w:tcBorders>
              <w:top w:val="nil"/>
              <w:left w:val="nil"/>
              <w:bottom w:val="nil"/>
              <w:right w:val="nil"/>
            </w:tcBorders>
            <w:shd w:val="clear" w:color="000000" w:fill="B4C6E7"/>
            <w:noWrap/>
            <w:vAlign w:val="bottom"/>
            <w:hideMark/>
          </w:tcPr>
          <w:p w14:paraId="1ADD2A1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43,48%</w:t>
            </w:r>
          </w:p>
        </w:tc>
      </w:tr>
      <w:tr w:rsidR="00A360DB" w:rsidRPr="00A360DB" w14:paraId="54B7D7D8"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2B8A1D9"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3026045C"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72.400,00</w:t>
            </w:r>
          </w:p>
        </w:tc>
        <w:tc>
          <w:tcPr>
            <w:tcW w:w="1380" w:type="dxa"/>
            <w:tcBorders>
              <w:top w:val="nil"/>
              <w:left w:val="nil"/>
              <w:bottom w:val="nil"/>
              <w:right w:val="nil"/>
            </w:tcBorders>
            <w:shd w:val="clear" w:color="auto" w:fill="auto"/>
            <w:noWrap/>
            <w:vAlign w:val="bottom"/>
            <w:hideMark/>
          </w:tcPr>
          <w:p w14:paraId="3D820115"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18.484,64</w:t>
            </w:r>
          </w:p>
        </w:tc>
        <w:tc>
          <w:tcPr>
            <w:tcW w:w="1400" w:type="dxa"/>
            <w:tcBorders>
              <w:top w:val="nil"/>
              <w:left w:val="nil"/>
              <w:bottom w:val="nil"/>
              <w:right w:val="nil"/>
            </w:tcBorders>
            <w:shd w:val="clear" w:color="auto" w:fill="auto"/>
            <w:noWrap/>
            <w:vAlign w:val="bottom"/>
            <w:hideMark/>
          </w:tcPr>
          <w:p w14:paraId="3F705D4B"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25,53%</w:t>
            </w:r>
          </w:p>
        </w:tc>
      </w:tr>
      <w:tr w:rsidR="00A360DB" w:rsidRPr="00A360DB" w14:paraId="1D29D1BE"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2BE04BE4"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56CC3C2C"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72.400,00</w:t>
            </w:r>
          </w:p>
        </w:tc>
        <w:tc>
          <w:tcPr>
            <w:tcW w:w="1380" w:type="dxa"/>
            <w:tcBorders>
              <w:top w:val="nil"/>
              <w:left w:val="nil"/>
              <w:bottom w:val="nil"/>
              <w:right w:val="nil"/>
            </w:tcBorders>
            <w:shd w:val="clear" w:color="auto" w:fill="auto"/>
            <w:noWrap/>
            <w:vAlign w:val="bottom"/>
            <w:hideMark/>
          </w:tcPr>
          <w:p w14:paraId="742D55B9"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18.484,64</w:t>
            </w:r>
          </w:p>
        </w:tc>
        <w:tc>
          <w:tcPr>
            <w:tcW w:w="1400" w:type="dxa"/>
            <w:tcBorders>
              <w:top w:val="nil"/>
              <w:left w:val="nil"/>
              <w:bottom w:val="nil"/>
              <w:right w:val="nil"/>
            </w:tcBorders>
            <w:shd w:val="clear" w:color="auto" w:fill="auto"/>
            <w:noWrap/>
            <w:vAlign w:val="bottom"/>
            <w:hideMark/>
          </w:tcPr>
          <w:p w14:paraId="0A3E9013"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25,53%</w:t>
            </w:r>
          </w:p>
        </w:tc>
      </w:tr>
      <w:tr w:rsidR="00A360DB" w:rsidRPr="00A360DB" w14:paraId="0CDDA7BC" w14:textId="77777777" w:rsidTr="00A360DB">
        <w:trPr>
          <w:trHeight w:val="240"/>
        </w:trPr>
        <w:tc>
          <w:tcPr>
            <w:tcW w:w="1697" w:type="dxa"/>
            <w:tcBorders>
              <w:top w:val="nil"/>
              <w:left w:val="nil"/>
              <w:bottom w:val="nil"/>
              <w:right w:val="nil"/>
            </w:tcBorders>
            <w:shd w:val="clear" w:color="auto" w:fill="auto"/>
            <w:noWrap/>
            <w:vAlign w:val="bottom"/>
            <w:hideMark/>
          </w:tcPr>
          <w:p w14:paraId="6860194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49B6758F"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77C8D4B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6.500,00</w:t>
            </w:r>
          </w:p>
        </w:tc>
        <w:tc>
          <w:tcPr>
            <w:tcW w:w="1380" w:type="dxa"/>
            <w:tcBorders>
              <w:top w:val="nil"/>
              <w:left w:val="nil"/>
              <w:bottom w:val="nil"/>
              <w:right w:val="nil"/>
            </w:tcBorders>
            <w:shd w:val="clear" w:color="auto" w:fill="auto"/>
            <w:noWrap/>
            <w:vAlign w:val="bottom"/>
            <w:hideMark/>
          </w:tcPr>
          <w:p w14:paraId="6E94CA7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6.036,29</w:t>
            </w:r>
          </w:p>
        </w:tc>
        <w:tc>
          <w:tcPr>
            <w:tcW w:w="1400" w:type="dxa"/>
            <w:tcBorders>
              <w:top w:val="nil"/>
              <w:left w:val="nil"/>
              <w:bottom w:val="nil"/>
              <w:right w:val="nil"/>
            </w:tcBorders>
            <w:shd w:val="clear" w:color="auto" w:fill="auto"/>
            <w:noWrap/>
            <w:vAlign w:val="bottom"/>
            <w:hideMark/>
          </w:tcPr>
          <w:p w14:paraId="5D291A2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92,87%</w:t>
            </w:r>
          </w:p>
        </w:tc>
      </w:tr>
      <w:tr w:rsidR="00A360DB" w:rsidRPr="00A360DB" w14:paraId="2036BBFB" w14:textId="77777777" w:rsidTr="00A360DB">
        <w:trPr>
          <w:trHeight w:val="240"/>
        </w:trPr>
        <w:tc>
          <w:tcPr>
            <w:tcW w:w="1697" w:type="dxa"/>
            <w:tcBorders>
              <w:top w:val="nil"/>
              <w:left w:val="nil"/>
              <w:bottom w:val="nil"/>
              <w:right w:val="nil"/>
            </w:tcBorders>
            <w:shd w:val="clear" w:color="auto" w:fill="auto"/>
            <w:noWrap/>
            <w:vAlign w:val="bottom"/>
            <w:hideMark/>
          </w:tcPr>
          <w:p w14:paraId="2E788F0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3225</w:t>
            </w:r>
          </w:p>
        </w:tc>
        <w:tc>
          <w:tcPr>
            <w:tcW w:w="8509" w:type="dxa"/>
            <w:tcBorders>
              <w:top w:val="nil"/>
              <w:left w:val="nil"/>
              <w:bottom w:val="nil"/>
              <w:right w:val="nil"/>
            </w:tcBorders>
            <w:shd w:val="clear" w:color="auto" w:fill="auto"/>
            <w:noWrap/>
            <w:vAlign w:val="bottom"/>
            <w:hideMark/>
          </w:tcPr>
          <w:p w14:paraId="6214783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Sitni inventar i auto gume</w:t>
            </w:r>
          </w:p>
        </w:tc>
        <w:tc>
          <w:tcPr>
            <w:tcW w:w="1480" w:type="dxa"/>
            <w:tcBorders>
              <w:top w:val="nil"/>
              <w:left w:val="nil"/>
              <w:bottom w:val="nil"/>
              <w:right w:val="nil"/>
            </w:tcBorders>
            <w:shd w:val="clear" w:color="auto" w:fill="auto"/>
            <w:noWrap/>
            <w:vAlign w:val="bottom"/>
            <w:hideMark/>
          </w:tcPr>
          <w:p w14:paraId="4655441A"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50227D06"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6.036,29</w:t>
            </w:r>
          </w:p>
        </w:tc>
        <w:tc>
          <w:tcPr>
            <w:tcW w:w="1400" w:type="dxa"/>
            <w:tcBorders>
              <w:top w:val="nil"/>
              <w:left w:val="nil"/>
              <w:bottom w:val="nil"/>
              <w:right w:val="nil"/>
            </w:tcBorders>
            <w:shd w:val="clear" w:color="auto" w:fill="auto"/>
            <w:noWrap/>
            <w:vAlign w:val="bottom"/>
            <w:hideMark/>
          </w:tcPr>
          <w:p w14:paraId="56233861"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2D4F642" w14:textId="77777777" w:rsidTr="00A360DB">
        <w:trPr>
          <w:trHeight w:val="240"/>
        </w:trPr>
        <w:tc>
          <w:tcPr>
            <w:tcW w:w="1697" w:type="dxa"/>
            <w:tcBorders>
              <w:top w:val="nil"/>
              <w:left w:val="nil"/>
              <w:bottom w:val="nil"/>
              <w:right w:val="nil"/>
            </w:tcBorders>
            <w:shd w:val="clear" w:color="auto" w:fill="auto"/>
            <w:noWrap/>
            <w:vAlign w:val="bottom"/>
            <w:hideMark/>
          </w:tcPr>
          <w:p w14:paraId="6ED63E62"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42</w:t>
            </w:r>
          </w:p>
        </w:tc>
        <w:tc>
          <w:tcPr>
            <w:tcW w:w="8509" w:type="dxa"/>
            <w:tcBorders>
              <w:top w:val="nil"/>
              <w:left w:val="nil"/>
              <w:bottom w:val="nil"/>
              <w:right w:val="nil"/>
            </w:tcBorders>
            <w:shd w:val="clear" w:color="auto" w:fill="auto"/>
            <w:noWrap/>
            <w:vAlign w:val="bottom"/>
            <w:hideMark/>
          </w:tcPr>
          <w:p w14:paraId="2C242A44"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nabavu proizvedene dugotrajne imovine                                                    </w:t>
            </w:r>
          </w:p>
        </w:tc>
        <w:tc>
          <w:tcPr>
            <w:tcW w:w="1480" w:type="dxa"/>
            <w:tcBorders>
              <w:top w:val="nil"/>
              <w:left w:val="nil"/>
              <w:bottom w:val="nil"/>
              <w:right w:val="nil"/>
            </w:tcBorders>
            <w:shd w:val="clear" w:color="auto" w:fill="auto"/>
            <w:noWrap/>
            <w:vAlign w:val="bottom"/>
            <w:hideMark/>
          </w:tcPr>
          <w:p w14:paraId="0276458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65.900,00</w:t>
            </w:r>
          </w:p>
        </w:tc>
        <w:tc>
          <w:tcPr>
            <w:tcW w:w="1380" w:type="dxa"/>
            <w:tcBorders>
              <w:top w:val="nil"/>
              <w:left w:val="nil"/>
              <w:bottom w:val="nil"/>
              <w:right w:val="nil"/>
            </w:tcBorders>
            <w:shd w:val="clear" w:color="auto" w:fill="auto"/>
            <w:noWrap/>
            <w:vAlign w:val="bottom"/>
            <w:hideMark/>
          </w:tcPr>
          <w:p w14:paraId="0E550E5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12.448,35</w:t>
            </w:r>
          </w:p>
        </w:tc>
        <w:tc>
          <w:tcPr>
            <w:tcW w:w="1400" w:type="dxa"/>
            <w:tcBorders>
              <w:top w:val="nil"/>
              <w:left w:val="nil"/>
              <w:bottom w:val="nil"/>
              <w:right w:val="nil"/>
            </w:tcBorders>
            <w:shd w:val="clear" w:color="auto" w:fill="auto"/>
            <w:noWrap/>
            <w:vAlign w:val="bottom"/>
            <w:hideMark/>
          </w:tcPr>
          <w:p w14:paraId="7013634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18,89%</w:t>
            </w:r>
          </w:p>
        </w:tc>
      </w:tr>
      <w:tr w:rsidR="00A360DB" w:rsidRPr="00A360DB" w14:paraId="6A674439" w14:textId="77777777" w:rsidTr="00A360DB">
        <w:trPr>
          <w:trHeight w:val="240"/>
        </w:trPr>
        <w:tc>
          <w:tcPr>
            <w:tcW w:w="1697" w:type="dxa"/>
            <w:tcBorders>
              <w:top w:val="nil"/>
              <w:left w:val="nil"/>
              <w:bottom w:val="nil"/>
              <w:right w:val="nil"/>
            </w:tcBorders>
            <w:shd w:val="clear" w:color="auto" w:fill="auto"/>
            <w:noWrap/>
            <w:vAlign w:val="bottom"/>
            <w:hideMark/>
          </w:tcPr>
          <w:p w14:paraId="2EF81CDE"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4221</w:t>
            </w:r>
          </w:p>
        </w:tc>
        <w:tc>
          <w:tcPr>
            <w:tcW w:w="8509" w:type="dxa"/>
            <w:tcBorders>
              <w:top w:val="nil"/>
              <w:left w:val="nil"/>
              <w:bottom w:val="nil"/>
              <w:right w:val="nil"/>
            </w:tcBorders>
            <w:shd w:val="clear" w:color="auto" w:fill="auto"/>
            <w:noWrap/>
            <w:vAlign w:val="bottom"/>
            <w:hideMark/>
          </w:tcPr>
          <w:p w14:paraId="7F7830C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Uredska oprema i namještaj                                                                          </w:t>
            </w:r>
          </w:p>
        </w:tc>
        <w:tc>
          <w:tcPr>
            <w:tcW w:w="1480" w:type="dxa"/>
            <w:tcBorders>
              <w:top w:val="nil"/>
              <w:left w:val="nil"/>
              <w:bottom w:val="nil"/>
              <w:right w:val="nil"/>
            </w:tcBorders>
            <w:shd w:val="clear" w:color="auto" w:fill="auto"/>
            <w:noWrap/>
            <w:vAlign w:val="bottom"/>
            <w:hideMark/>
          </w:tcPr>
          <w:p w14:paraId="40F47B71"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E307198"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9.484,05</w:t>
            </w:r>
          </w:p>
        </w:tc>
        <w:tc>
          <w:tcPr>
            <w:tcW w:w="1400" w:type="dxa"/>
            <w:tcBorders>
              <w:top w:val="nil"/>
              <w:left w:val="nil"/>
              <w:bottom w:val="nil"/>
              <w:right w:val="nil"/>
            </w:tcBorders>
            <w:shd w:val="clear" w:color="auto" w:fill="auto"/>
            <w:noWrap/>
            <w:vAlign w:val="bottom"/>
            <w:hideMark/>
          </w:tcPr>
          <w:p w14:paraId="2382C25E"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1A383F9" w14:textId="77777777" w:rsidTr="00A360DB">
        <w:trPr>
          <w:trHeight w:val="240"/>
        </w:trPr>
        <w:tc>
          <w:tcPr>
            <w:tcW w:w="1697" w:type="dxa"/>
            <w:tcBorders>
              <w:top w:val="nil"/>
              <w:left w:val="nil"/>
              <w:bottom w:val="nil"/>
              <w:right w:val="nil"/>
            </w:tcBorders>
            <w:shd w:val="clear" w:color="auto" w:fill="auto"/>
            <w:noWrap/>
            <w:vAlign w:val="bottom"/>
            <w:hideMark/>
          </w:tcPr>
          <w:p w14:paraId="16B121C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4223</w:t>
            </w:r>
          </w:p>
        </w:tc>
        <w:tc>
          <w:tcPr>
            <w:tcW w:w="8509" w:type="dxa"/>
            <w:tcBorders>
              <w:top w:val="nil"/>
              <w:left w:val="nil"/>
              <w:bottom w:val="nil"/>
              <w:right w:val="nil"/>
            </w:tcBorders>
            <w:shd w:val="clear" w:color="auto" w:fill="auto"/>
            <w:noWrap/>
            <w:vAlign w:val="bottom"/>
            <w:hideMark/>
          </w:tcPr>
          <w:p w14:paraId="246914A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Oprema za održavanje i zaštitu                                                                      </w:t>
            </w:r>
          </w:p>
        </w:tc>
        <w:tc>
          <w:tcPr>
            <w:tcW w:w="1480" w:type="dxa"/>
            <w:tcBorders>
              <w:top w:val="nil"/>
              <w:left w:val="nil"/>
              <w:bottom w:val="nil"/>
              <w:right w:val="nil"/>
            </w:tcBorders>
            <w:shd w:val="clear" w:color="auto" w:fill="auto"/>
            <w:noWrap/>
            <w:vAlign w:val="bottom"/>
            <w:hideMark/>
          </w:tcPr>
          <w:p w14:paraId="6E490F58"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3DE9F47"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401,80</w:t>
            </w:r>
          </w:p>
        </w:tc>
        <w:tc>
          <w:tcPr>
            <w:tcW w:w="1400" w:type="dxa"/>
            <w:tcBorders>
              <w:top w:val="nil"/>
              <w:left w:val="nil"/>
              <w:bottom w:val="nil"/>
              <w:right w:val="nil"/>
            </w:tcBorders>
            <w:shd w:val="clear" w:color="auto" w:fill="auto"/>
            <w:noWrap/>
            <w:vAlign w:val="bottom"/>
            <w:hideMark/>
          </w:tcPr>
          <w:p w14:paraId="0E912776"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23DA5A0E" w14:textId="77777777" w:rsidTr="00A360DB">
        <w:trPr>
          <w:trHeight w:val="240"/>
        </w:trPr>
        <w:tc>
          <w:tcPr>
            <w:tcW w:w="1697" w:type="dxa"/>
            <w:tcBorders>
              <w:top w:val="nil"/>
              <w:left w:val="nil"/>
              <w:bottom w:val="nil"/>
              <w:right w:val="nil"/>
            </w:tcBorders>
            <w:shd w:val="clear" w:color="auto" w:fill="auto"/>
            <w:noWrap/>
            <w:vAlign w:val="bottom"/>
            <w:hideMark/>
          </w:tcPr>
          <w:p w14:paraId="290AEAC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4227</w:t>
            </w:r>
          </w:p>
        </w:tc>
        <w:tc>
          <w:tcPr>
            <w:tcW w:w="8509" w:type="dxa"/>
            <w:tcBorders>
              <w:top w:val="nil"/>
              <w:left w:val="nil"/>
              <w:bottom w:val="nil"/>
              <w:right w:val="nil"/>
            </w:tcBorders>
            <w:shd w:val="clear" w:color="auto" w:fill="auto"/>
            <w:noWrap/>
            <w:vAlign w:val="bottom"/>
            <w:hideMark/>
          </w:tcPr>
          <w:p w14:paraId="22DECAB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Uređaji, strojevi i oprema za ostale namjene                                                        </w:t>
            </w:r>
          </w:p>
        </w:tc>
        <w:tc>
          <w:tcPr>
            <w:tcW w:w="1480" w:type="dxa"/>
            <w:tcBorders>
              <w:top w:val="nil"/>
              <w:left w:val="nil"/>
              <w:bottom w:val="nil"/>
              <w:right w:val="nil"/>
            </w:tcBorders>
            <w:shd w:val="clear" w:color="auto" w:fill="auto"/>
            <w:noWrap/>
            <w:vAlign w:val="bottom"/>
            <w:hideMark/>
          </w:tcPr>
          <w:p w14:paraId="581374D8"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D765C4E"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2.562,50</w:t>
            </w:r>
          </w:p>
        </w:tc>
        <w:tc>
          <w:tcPr>
            <w:tcW w:w="1400" w:type="dxa"/>
            <w:tcBorders>
              <w:top w:val="nil"/>
              <w:left w:val="nil"/>
              <w:bottom w:val="nil"/>
              <w:right w:val="nil"/>
            </w:tcBorders>
            <w:shd w:val="clear" w:color="auto" w:fill="auto"/>
            <w:noWrap/>
            <w:vAlign w:val="bottom"/>
            <w:hideMark/>
          </w:tcPr>
          <w:p w14:paraId="40C0145F"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A6EA6B4"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ABD80E3"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9. Višak iz prethodnih razdoblja</w:t>
            </w:r>
          </w:p>
        </w:tc>
        <w:tc>
          <w:tcPr>
            <w:tcW w:w="1480" w:type="dxa"/>
            <w:tcBorders>
              <w:top w:val="nil"/>
              <w:left w:val="nil"/>
              <w:bottom w:val="nil"/>
              <w:right w:val="nil"/>
            </w:tcBorders>
            <w:shd w:val="clear" w:color="auto" w:fill="auto"/>
            <w:noWrap/>
            <w:vAlign w:val="bottom"/>
            <w:hideMark/>
          </w:tcPr>
          <w:p w14:paraId="230647FA"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23.000,00</w:t>
            </w:r>
          </w:p>
        </w:tc>
        <w:tc>
          <w:tcPr>
            <w:tcW w:w="1380" w:type="dxa"/>
            <w:tcBorders>
              <w:top w:val="nil"/>
              <w:left w:val="nil"/>
              <w:bottom w:val="nil"/>
              <w:right w:val="nil"/>
            </w:tcBorders>
            <w:shd w:val="clear" w:color="auto" w:fill="auto"/>
            <w:noWrap/>
            <w:vAlign w:val="bottom"/>
            <w:hideMark/>
          </w:tcPr>
          <w:p w14:paraId="43040E8C"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23.000,00</w:t>
            </w:r>
          </w:p>
        </w:tc>
        <w:tc>
          <w:tcPr>
            <w:tcW w:w="1400" w:type="dxa"/>
            <w:tcBorders>
              <w:top w:val="nil"/>
              <w:left w:val="nil"/>
              <w:bottom w:val="nil"/>
              <w:right w:val="nil"/>
            </w:tcBorders>
            <w:shd w:val="clear" w:color="auto" w:fill="auto"/>
            <w:noWrap/>
            <w:vAlign w:val="bottom"/>
            <w:hideMark/>
          </w:tcPr>
          <w:p w14:paraId="0DAEEAB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w:t>
            </w:r>
          </w:p>
        </w:tc>
      </w:tr>
      <w:tr w:rsidR="00A360DB" w:rsidRPr="00A360DB" w14:paraId="339863BA"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51FDFA6B"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9.2. Višak iz prethodnih godina - Grad</w:t>
            </w:r>
          </w:p>
        </w:tc>
        <w:tc>
          <w:tcPr>
            <w:tcW w:w="1480" w:type="dxa"/>
            <w:tcBorders>
              <w:top w:val="nil"/>
              <w:left w:val="nil"/>
              <w:bottom w:val="nil"/>
              <w:right w:val="nil"/>
            </w:tcBorders>
            <w:shd w:val="clear" w:color="auto" w:fill="auto"/>
            <w:noWrap/>
            <w:vAlign w:val="bottom"/>
            <w:hideMark/>
          </w:tcPr>
          <w:p w14:paraId="177CA919"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23.000,00</w:t>
            </w:r>
          </w:p>
        </w:tc>
        <w:tc>
          <w:tcPr>
            <w:tcW w:w="1380" w:type="dxa"/>
            <w:tcBorders>
              <w:top w:val="nil"/>
              <w:left w:val="nil"/>
              <w:bottom w:val="nil"/>
              <w:right w:val="nil"/>
            </w:tcBorders>
            <w:shd w:val="clear" w:color="auto" w:fill="auto"/>
            <w:noWrap/>
            <w:vAlign w:val="bottom"/>
            <w:hideMark/>
          </w:tcPr>
          <w:p w14:paraId="246FEFD6"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23.000,00</w:t>
            </w:r>
          </w:p>
        </w:tc>
        <w:tc>
          <w:tcPr>
            <w:tcW w:w="1400" w:type="dxa"/>
            <w:tcBorders>
              <w:top w:val="nil"/>
              <w:left w:val="nil"/>
              <w:bottom w:val="nil"/>
              <w:right w:val="nil"/>
            </w:tcBorders>
            <w:shd w:val="clear" w:color="auto" w:fill="auto"/>
            <w:noWrap/>
            <w:vAlign w:val="bottom"/>
            <w:hideMark/>
          </w:tcPr>
          <w:p w14:paraId="7550B0B7"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w:t>
            </w:r>
          </w:p>
        </w:tc>
      </w:tr>
      <w:tr w:rsidR="00A360DB" w:rsidRPr="00A360DB" w14:paraId="15F216C4" w14:textId="77777777" w:rsidTr="00A360DB">
        <w:trPr>
          <w:trHeight w:val="240"/>
        </w:trPr>
        <w:tc>
          <w:tcPr>
            <w:tcW w:w="1697" w:type="dxa"/>
            <w:tcBorders>
              <w:top w:val="nil"/>
              <w:left w:val="nil"/>
              <w:bottom w:val="nil"/>
              <w:right w:val="nil"/>
            </w:tcBorders>
            <w:shd w:val="clear" w:color="auto" w:fill="auto"/>
            <w:noWrap/>
            <w:vAlign w:val="bottom"/>
            <w:hideMark/>
          </w:tcPr>
          <w:p w14:paraId="7836AB29"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42</w:t>
            </w:r>
          </w:p>
        </w:tc>
        <w:tc>
          <w:tcPr>
            <w:tcW w:w="8509" w:type="dxa"/>
            <w:tcBorders>
              <w:top w:val="nil"/>
              <w:left w:val="nil"/>
              <w:bottom w:val="nil"/>
              <w:right w:val="nil"/>
            </w:tcBorders>
            <w:shd w:val="clear" w:color="auto" w:fill="auto"/>
            <w:noWrap/>
            <w:vAlign w:val="bottom"/>
            <w:hideMark/>
          </w:tcPr>
          <w:p w14:paraId="645146DE"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nabavu proizvedene dugotrajne imovine                                                    </w:t>
            </w:r>
          </w:p>
        </w:tc>
        <w:tc>
          <w:tcPr>
            <w:tcW w:w="1480" w:type="dxa"/>
            <w:tcBorders>
              <w:top w:val="nil"/>
              <w:left w:val="nil"/>
              <w:bottom w:val="nil"/>
              <w:right w:val="nil"/>
            </w:tcBorders>
            <w:shd w:val="clear" w:color="auto" w:fill="auto"/>
            <w:noWrap/>
            <w:vAlign w:val="bottom"/>
            <w:hideMark/>
          </w:tcPr>
          <w:p w14:paraId="1D189FF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23.000,00</w:t>
            </w:r>
          </w:p>
        </w:tc>
        <w:tc>
          <w:tcPr>
            <w:tcW w:w="1380" w:type="dxa"/>
            <w:tcBorders>
              <w:top w:val="nil"/>
              <w:left w:val="nil"/>
              <w:bottom w:val="nil"/>
              <w:right w:val="nil"/>
            </w:tcBorders>
            <w:shd w:val="clear" w:color="auto" w:fill="auto"/>
            <w:noWrap/>
            <w:vAlign w:val="bottom"/>
            <w:hideMark/>
          </w:tcPr>
          <w:p w14:paraId="54BDC77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23.000,00</w:t>
            </w:r>
          </w:p>
        </w:tc>
        <w:tc>
          <w:tcPr>
            <w:tcW w:w="1400" w:type="dxa"/>
            <w:tcBorders>
              <w:top w:val="nil"/>
              <w:left w:val="nil"/>
              <w:bottom w:val="nil"/>
              <w:right w:val="nil"/>
            </w:tcBorders>
            <w:shd w:val="clear" w:color="auto" w:fill="auto"/>
            <w:noWrap/>
            <w:vAlign w:val="bottom"/>
            <w:hideMark/>
          </w:tcPr>
          <w:p w14:paraId="0F99AF9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r>
      <w:tr w:rsidR="00A360DB" w:rsidRPr="00A360DB" w14:paraId="1DDFD152" w14:textId="77777777" w:rsidTr="00A360DB">
        <w:trPr>
          <w:trHeight w:val="240"/>
        </w:trPr>
        <w:tc>
          <w:tcPr>
            <w:tcW w:w="1697" w:type="dxa"/>
            <w:tcBorders>
              <w:top w:val="nil"/>
              <w:left w:val="nil"/>
              <w:bottom w:val="nil"/>
              <w:right w:val="nil"/>
            </w:tcBorders>
            <w:shd w:val="clear" w:color="auto" w:fill="auto"/>
            <w:noWrap/>
            <w:vAlign w:val="bottom"/>
            <w:hideMark/>
          </w:tcPr>
          <w:p w14:paraId="036007B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4223</w:t>
            </w:r>
          </w:p>
        </w:tc>
        <w:tc>
          <w:tcPr>
            <w:tcW w:w="8509" w:type="dxa"/>
            <w:tcBorders>
              <w:top w:val="nil"/>
              <w:left w:val="nil"/>
              <w:bottom w:val="nil"/>
              <w:right w:val="nil"/>
            </w:tcBorders>
            <w:shd w:val="clear" w:color="auto" w:fill="auto"/>
            <w:noWrap/>
            <w:vAlign w:val="bottom"/>
            <w:hideMark/>
          </w:tcPr>
          <w:p w14:paraId="1613C468"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Oprema za održavanje i zaštitu                                                                      </w:t>
            </w:r>
          </w:p>
        </w:tc>
        <w:tc>
          <w:tcPr>
            <w:tcW w:w="1480" w:type="dxa"/>
            <w:tcBorders>
              <w:top w:val="nil"/>
              <w:left w:val="nil"/>
              <w:bottom w:val="nil"/>
              <w:right w:val="nil"/>
            </w:tcBorders>
            <w:shd w:val="clear" w:color="auto" w:fill="auto"/>
            <w:noWrap/>
            <w:vAlign w:val="bottom"/>
            <w:hideMark/>
          </w:tcPr>
          <w:p w14:paraId="0F62789D"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FB9E6AA"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23.000,00</w:t>
            </w:r>
          </w:p>
        </w:tc>
        <w:tc>
          <w:tcPr>
            <w:tcW w:w="1400" w:type="dxa"/>
            <w:tcBorders>
              <w:top w:val="nil"/>
              <w:left w:val="nil"/>
              <w:bottom w:val="nil"/>
              <w:right w:val="nil"/>
            </w:tcBorders>
            <w:shd w:val="clear" w:color="auto" w:fill="auto"/>
            <w:noWrap/>
            <w:vAlign w:val="bottom"/>
            <w:hideMark/>
          </w:tcPr>
          <w:p w14:paraId="29D2FA7A"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1AF286E" w14:textId="77777777" w:rsidTr="00A360DB">
        <w:trPr>
          <w:trHeight w:val="240"/>
        </w:trPr>
        <w:tc>
          <w:tcPr>
            <w:tcW w:w="1697" w:type="dxa"/>
            <w:tcBorders>
              <w:top w:val="nil"/>
              <w:left w:val="nil"/>
              <w:bottom w:val="nil"/>
              <w:right w:val="nil"/>
            </w:tcBorders>
            <w:shd w:val="clear" w:color="000000" w:fill="B4C6E7"/>
            <w:noWrap/>
            <w:vAlign w:val="bottom"/>
            <w:hideMark/>
          </w:tcPr>
          <w:p w14:paraId="2E6DF6B4"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K100302</w:t>
            </w:r>
          </w:p>
        </w:tc>
        <w:tc>
          <w:tcPr>
            <w:tcW w:w="8509" w:type="dxa"/>
            <w:tcBorders>
              <w:top w:val="nil"/>
              <w:left w:val="nil"/>
              <w:bottom w:val="nil"/>
              <w:right w:val="nil"/>
            </w:tcBorders>
            <w:shd w:val="clear" w:color="000000" w:fill="B4C6E7"/>
            <w:noWrap/>
            <w:vAlign w:val="bottom"/>
            <w:hideMark/>
          </w:tcPr>
          <w:p w14:paraId="4B9E2EE8"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Kapitalni projekt: Izgradnja i dodatna ulaganja na građevinskim objektima</w:t>
            </w:r>
          </w:p>
        </w:tc>
        <w:tc>
          <w:tcPr>
            <w:tcW w:w="1480" w:type="dxa"/>
            <w:tcBorders>
              <w:top w:val="nil"/>
              <w:left w:val="nil"/>
              <w:bottom w:val="nil"/>
              <w:right w:val="nil"/>
            </w:tcBorders>
            <w:shd w:val="clear" w:color="000000" w:fill="B4C6E7"/>
            <w:noWrap/>
            <w:vAlign w:val="bottom"/>
            <w:hideMark/>
          </w:tcPr>
          <w:p w14:paraId="0E7A5A1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41.000,00</w:t>
            </w:r>
          </w:p>
        </w:tc>
        <w:tc>
          <w:tcPr>
            <w:tcW w:w="1380" w:type="dxa"/>
            <w:tcBorders>
              <w:top w:val="nil"/>
              <w:left w:val="nil"/>
              <w:bottom w:val="nil"/>
              <w:right w:val="nil"/>
            </w:tcBorders>
            <w:shd w:val="clear" w:color="000000" w:fill="B4C6E7"/>
            <w:noWrap/>
            <w:vAlign w:val="bottom"/>
            <w:hideMark/>
          </w:tcPr>
          <w:p w14:paraId="06DFF09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28.940,39</w:t>
            </w:r>
          </w:p>
        </w:tc>
        <w:tc>
          <w:tcPr>
            <w:tcW w:w="1400" w:type="dxa"/>
            <w:tcBorders>
              <w:top w:val="nil"/>
              <w:left w:val="nil"/>
              <w:bottom w:val="nil"/>
              <w:right w:val="nil"/>
            </w:tcBorders>
            <w:shd w:val="clear" w:color="000000" w:fill="B4C6E7"/>
            <w:noWrap/>
            <w:vAlign w:val="bottom"/>
            <w:hideMark/>
          </w:tcPr>
          <w:p w14:paraId="581D937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70,59%</w:t>
            </w:r>
          </w:p>
        </w:tc>
      </w:tr>
      <w:tr w:rsidR="00A360DB" w:rsidRPr="00A360DB" w14:paraId="1B33A02F"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37AEC287"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7. Prihodi od prodaje nefin. imovine</w:t>
            </w:r>
          </w:p>
        </w:tc>
        <w:tc>
          <w:tcPr>
            <w:tcW w:w="1480" w:type="dxa"/>
            <w:tcBorders>
              <w:top w:val="nil"/>
              <w:left w:val="nil"/>
              <w:bottom w:val="nil"/>
              <w:right w:val="nil"/>
            </w:tcBorders>
            <w:shd w:val="clear" w:color="auto" w:fill="auto"/>
            <w:noWrap/>
            <w:vAlign w:val="bottom"/>
            <w:hideMark/>
          </w:tcPr>
          <w:p w14:paraId="46698239"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41.000,00</w:t>
            </w:r>
          </w:p>
        </w:tc>
        <w:tc>
          <w:tcPr>
            <w:tcW w:w="1380" w:type="dxa"/>
            <w:tcBorders>
              <w:top w:val="nil"/>
              <w:left w:val="nil"/>
              <w:bottom w:val="nil"/>
              <w:right w:val="nil"/>
            </w:tcBorders>
            <w:shd w:val="clear" w:color="auto" w:fill="auto"/>
            <w:noWrap/>
            <w:vAlign w:val="bottom"/>
            <w:hideMark/>
          </w:tcPr>
          <w:p w14:paraId="58B592A2"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28.940,39</w:t>
            </w:r>
          </w:p>
        </w:tc>
        <w:tc>
          <w:tcPr>
            <w:tcW w:w="1400" w:type="dxa"/>
            <w:tcBorders>
              <w:top w:val="nil"/>
              <w:left w:val="nil"/>
              <w:bottom w:val="nil"/>
              <w:right w:val="nil"/>
            </w:tcBorders>
            <w:shd w:val="clear" w:color="auto" w:fill="auto"/>
            <w:noWrap/>
            <w:vAlign w:val="bottom"/>
            <w:hideMark/>
          </w:tcPr>
          <w:p w14:paraId="48C72718"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70,59%</w:t>
            </w:r>
          </w:p>
        </w:tc>
      </w:tr>
      <w:tr w:rsidR="00A360DB" w:rsidRPr="00A360DB" w14:paraId="4006FC1E"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2694E419"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 xml:space="preserve">Izvor 7.1. Prihodi od prodaje </w:t>
            </w:r>
            <w:proofErr w:type="spellStart"/>
            <w:r w:rsidRPr="00A360DB">
              <w:rPr>
                <w:rFonts w:ascii="Arial" w:hAnsi="Arial" w:cs="Arial"/>
                <w:color w:val="333333"/>
                <w:sz w:val="18"/>
                <w:szCs w:val="18"/>
                <w:lang w:eastAsia="hr-HR"/>
              </w:rPr>
              <w:t>nef</w:t>
            </w:r>
            <w:proofErr w:type="spellEnd"/>
            <w:r w:rsidRPr="00A360DB">
              <w:rPr>
                <w:rFonts w:ascii="Arial" w:hAnsi="Arial" w:cs="Arial"/>
                <w:color w:val="333333"/>
                <w:sz w:val="18"/>
                <w:szCs w:val="18"/>
                <w:lang w:eastAsia="hr-HR"/>
              </w:rPr>
              <w:t>. imovine</w:t>
            </w:r>
          </w:p>
        </w:tc>
        <w:tc>
          <w:tcPr>
            <w:tcW w:w="1480" w:type="dxa"/>
            <w:tcBorders>
              <w:top w:val="nil"/>
              <w:left w:val="nil"/>
              <w:bottom w:val="nil"/>
              <w:right w:val="nil"/>
            </w:tcBorders>
            <w:shd w:val="clear" w:color="auto" w:fill="auto"/>
            <w:noWrap/>
            <w:vAlign w:val="bottom"/>
            <w:hideMark/>
          </w:tcPr>
          <w:p w14:paraId="38FF4F53"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41.000,00</w:t>
            </w:r>
          </w:p>
        </w:tc>
        <w:tc>
          <w:tcPr>
            <w:tcW w:w="1380" w:type="dxa"/>
            <w:tcBorders>
              <w:top w:val="nil"/>
              <w:left w:val="nil"/>
              <w:bottom w:val="nil"/>
              <w:right w:val="nil"/>
            </w:tcBorders>
            <w:shd w:val="clear" w:color="auto" w:fill="auto"/>
            <w:noWrap/>
            <w:vAlign w:val="bottom"/>
            <w:hideMark/>
          </w:tcPr>
          <w:p w14:paraId="3592FE7E"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28.940,39</w:t>
            </w:r>
          </w:p>
        </w:tc>
        <w:tc>
          <w:tcPr>
            <w:tcW w:w="1400" w:type="dxa"/>
            <w:tcBorders>
              <w:top w:val="nil"/>
              <w:left w:val="nil"/>
              <w:bottom w:val="nil"/>
              <w:right w:val="nil"/>
            </w:tcBorders>
            <w:shd w:val="clear" w:color="auto" w:fill="auto"/>
            <w:noWrap/>
            <w:vAlign w:val="bottom"/>
            <w:hideMark/>
          </w:tcPr>
          <w:p w14:paraId="6339EB5B"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70,59%</w:t>
            </w:r>
          </w:p>
        </w:tc>
      </w:tr>
      <w:tr w:rsidR="00A360DB" w:rsidRPr="00A360DB" w14:paraId="1F0F0EE9" w14:textId="77777777" w:rsidTr="00A360DB">
        <w:trPr>
          <w:trHeight w:val="240"/>
        </w:trPr>
        <w:tc>
          <w:tcPr>
            <w:tcW w:w="1697" w:type="dxa"/>
            <w:tcBorders>
              <w:top w:val="nil"/>
              <w:left w:val="nil"/>
              <w:bottom w:val="nil"/>
              <w:right w:val="nil"/>
            </w:tcBorders>
            <w:shd w:val="clear" w:color="auto" w:fill="auto"/>
            <w:noWrap/>
            <w:vAlign w:val="bottom"/>
            <w:hideMark/>
          </w:tcPr>
          <w:p w14:paraId="6702E09D"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45</w:t>
            </w:r>
          </w:p>
        </w:tc>
        <w:tc>
          <w:tcPr>
            <w:tcW w:w="8509" w:type="dxa"/>
            <w:tcBorders>
              <w:top w:val="nil"/>
              <w:left w:val="nil"/>
              <w:bottom w:val="nil"/>
              <w:right w:val="nil"/>
            </w:tcBorders>
            <w:shd w:val="clear" w:color="auto" w:fill="auto"/>
            <w:noWrap/>
            <w:vAlign w:val="bottom"/>
            <w:hideMark/>
          </w:tcPr>
          <w:p w14:paraId="746FDF71"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dodatna ulaganja na nefinancijskoj imovini                                               </w:t>
            </w:r>
          </w:p>
        </w:tc>
        <w:tc>
          <w:tcPr>
            <w:tcW w:w="1480" w:type="dxa"/>
            <w:tcBorders>
              <w:top w:val="nil"/>
              <w:left w:val="nil"/>
              <w:bottom w:val="nil"/>
              <w:right w:val="nil"/>
            </w:tcBorders>
            <w:shd w:val="clear" w:color="auto" w:fill="auto"/>
            <w:noWrap/>
            <w:vAlign w:val="bottom"/>
            <w:hideMark/>
          </w:tcPr>
          <w:p w14:paraId="02DBEE4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41.000,00</w:t>
            </w:r>
          </w:p>
        </w:tc>
        <w:tc>
          <w:tcPr>
            <w:tcW w:w="1380" w:type="dxa"/>
            <w:tcBorders>
              <w:top w:val="nil"/>
              <w:left w:val="nil"/>
              <w:bottom w:val="nil"/>
              <w:right w:val="nil"/>
            </w:tcBorders>
            <w:shd w:val="clear" w:color="auto" w:fill="auto"/>
            <w:noWrap/>
            <w:vAlign w:val="bottom"/>
            <w:hideMark/>
          </w:tcPr>
          <w:p w14:paraId="4A51204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28.940,39</w:t>
            </w:r>
          </w:p>
        </w:tc>
        <w:tc>
          <w:tcPr>
            <w:tcW w:w="1400" w:type="dxa"/>
            <w:tcBorders>
              <w:top w:val="nil"/>
              <w:left w:val="nil"/>
              <w:bottom w:val="nil"/>
              <w:right w:val="nil"/>
            </w:tcBorders>
            <w:shd w:val="clear" w:color="auto" w:fill="auto"/>
            <w:noWrap/>
            <w:vAlign w:val="bottom"/>
            <w:hideMark/>
          </w:tcPr>
          <w:p w14:paraId="2550927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70,59%</w:t>
            </w:r>
          </w:p>
        </w:tc>
      </w:tr>
      <w:tr w:rsidR="00A360DB" w:rsidRPr="00A360DB" w14:paraId="1DB7E872" w14:textId="77777777" w:rsidTr="00A360DB">
        <w:trPr>
          <w:trHeight w:val="240"/>
        </w:trPr>
        <w:tc>
          <w:tcPr>
            <w:tcW w:w="1697" w:type="dxa"/>
            <w:tcBorders>
              <w:top w:val="nil"/>
              <w:left w:val="nil"/>
              <w:bottom w:val="nil"/>
              <w:right w:val="nil"/>
            </w:tcBorders>
            <w:shd w:val="clear" w:color="auto" w:fill="auto"/>
            <w:noWrap/>
            <w:vAlign w:val="bottom"/>
            <w:hideMark/>
          </w:tcPr>
          <w:p w14:paraId="1FBBBEE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4511</w:t>
            </w:r>
          </w:p>
        </w:tc>
        <w:tc>
          <w:tcPr>
            <w:tcW w:w="8509" w:type="dxa"/>
            <w:tcBorders>
              <w:top w:val="nil"/>
              <w:left w:val="nil"/>
              <w:bottom w:val="nil"/>
              <w:right w:val="nil"/>
            </w:tcBorders>
            <w:shd w:val="clear" w:color="auto" w:fill="auto"/>
            <w:noWrap/>
            <w:vAlign w:val="bottom"/>
            <w:hideMark/>
          </w:tcPr>
          <w:p w14:paraId="0097C85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Dodatna ulaganja na građevinskim objektima                                                          </w:t>
            </w:r>
          </w:p>
        </w:tc>
        <w:tc>
          <w:tcPr>
            <w:tcW w:w="1480" w:type="dxa"/>
            <w:tcBorders>
              <w:top w:val="nil"/>
              <w:left w:val="nil"/>
              <w:bottom w:val="nil"/>
              <w:right w:val="nil"/>
            </w:tcBorders>
            <w:shd w:val="clear" w:color="auto" w:fill="auto"/>
            <w:noWrap/>
            <w:vAlign w:val="bottom"/>
            <w:hideMark/>
          </w:tcPr>
          <w:p w14:paraId="59EC6C78"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5E0A1567"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28.940,39</w:t>
            </w:r>
          </w:p>
        </w:tc>
        <w:tc>
          <w:tcPr>
            <w:tcW w:w="1400" w:type="dxa"/>
            <w:tcBorders>
              <w:top w:val="nil"/>
              <w:left w:val="nil"/>
              <w:bottom w:val="nil"/>
              <w:right w:val="nil"/>
            </w:tcBorders>
            <w:shd w:val="clear" w:color="auto" w:fill="auto"/>
            <w:noWrap/>
            <w:vAlign w:val="bottom"/>
            <w:hideMark/>
          </w:tcPr>
          <w:p w14:paraId="43E4059B"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9464FC0" w14:textId="77777777" w:rsidTr="00A360DB">
        <w:trPr>
          <w:trHeight w:val="240"/>
        </w:trPr>
        <w:tc>
          <w:tcPr>
            <w:tcW w:w="1697" w:type="dxa"/>
            <w:tcBorders>
              <w:top w:val="nil"/>
              <w:left w:val="nil"/>
              <w:bottom w:val="nil"/>
              <w:right w:val="nil"/>
            </w:tcBorders>
            <w:shd w:val="clear" w:color="000000" w:fill="B4C6E7"/>
            <w:noWrap/>
            <w:vAlign w:val="bottom"/>
            <w:hideMark/>
          </w:tcPr>
          <w:p w14:paraId="335D2ECA"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K100305</w:t>
            </w:r>
          </w:p>
        </w:tc>
        <w:tc>
          <w:tcPr>
            <w:tcW w:w="8509" w:type="dxa"/>
            <w:tcBorders>
              <w:top w:val="nil"/>
              <w:left w:val="nil"/>
              <w:bottom w:val="nil"/>
              <w:right w:val="nil"/>
            </w:tcBorders>
            <w:shd w:val="clear" w:color="000000" w:fill="B4C6E7"/>
            <w:noWrap/>
            <w:vAlign w:val="bottom"/>
            <w:hideMark/>
          </w:tcPr>
          <w:p w14:paraId="18D8B8E7"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Kapitalni projekt: Izrada ostale projektne dokumentacije</w:t>
            </w:r>
          </w:p>
        </w:tc>
        <w:tc>
          <w:tcPr>
            <w:tcW w:w="1480" w:type="dxa"/>
            <w:tcBorders>
              <w:top w:val="nil"/>
              <w:left w:val="nil"/>
              <w:bottom w:val="nil"/>
              <w:right w:val="nil"/>
            </w:tcBorders>
            <w:shd w:val="clear" w:color="000000" w:fill="B4C6E7"/>
            <w:noWrap/>
            <w:vAlign w:val="bottom"/>
            <w:hideMark/>
          </w:tcPr>
          <w:p w14:paraId="4D3A2E4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8.100,00</w:t>
            </w:r>
          </w:p>
        </w:tc>
        <w:tc>
          <w:tcPr>
            <w:tcW w:w="1380" w:type="dxa"/>
            <w:tcBorders>
              <w:top w:val="nil"/>
              <w:left w:val="nil"/>
              <w:bottom w:val="nil"/>
              <w:right w:val="nil"/>
            </w:tcBorders>
            <w:shd w:val="clear" w:color="000000" w:fill="B4C6E7"/>
            <w:noWrap/>
            <w:vAlign w:val="bottom"/>
            <w:hideMark/>
          </w:tcPr>
          <w:p w14:paraId="4C0DB0F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1.806,25</w:t>
            </w:r>
          </w:p>
        </w:tc>
        <w:tc>
          <w:tcPr>
            <w:tcW w:w="1400" w:type="dxa"/>
            <w:tcBorders>
              <w:top w:val="nil"/>
              <w:left w:val="nil"/>
              <w:bottom w:val="nil"/>
              <w:right w:val="nil"/>
            </w:tcBorders>
            <w:shd w:val="clear" w:color="000000" w:fill="B4C6E7"/>
            <w:noWrap/>
            <w:vAlign w:val="bottom"/>
            <w:hideMark/>
          </w:tcPr>
          <w:p w14:paraId="444A811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22,30%</w:t>
            </w:r>
          </w:p>
        </w:tc>
      </w:tr>
      <w:tr w:rsidR="00A360DB" w:rsidRPr="00A360DB" w14:paraId="613F5DCD"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196E6C24"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3C37706E"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6.100,00</w:t>
            </w:r>
          </w:p>
        </w:tc>
        <w:tc>
          <w:tcPr>
            <w:tcW w:w="1380" w:type="dxa"/>
            <w:tcBorders>
              <w:top w:val="nil"/>
              <w:left w:val="nil"/>
              <w:bottom w:val="nil"/>
              <w:right w:val="nil"/>
            </w:tcBorders>
            <w:shd w:val="clear" w:color="auto" w:fill="auto"/>
            <w:noWrap/>
            <w:vAlign w:val="bottom"/>
            <w:hideMark/>
          </w:tcPr>
          <w:p w14:paraId="35E0ED26"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225,87</w:t>
            </w:r>
          </w:p>
        </w:tc>
        <w:tc>
          <w:tcPr>
            <w:tcW w:w="1400" w:type="dxa"/>
            <w:tcBorders>
              <w:top w:val="nil"/>
              <w:left w:val="nil"/>
              <w:bottom w:val="nil"/>
              <w:right w:val="nil"/>
            </w:tcBorders>
            <w:shd w:val="clear" w:color="auto" w:fill="auto"/>
            <w:noWrap/>
            <w:vAlign w:val="bottom"/>
            <w:hideMark/>
          </w:tcPr>
          <w:p w14:paraId="10F6A5B2"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3,70%</w:t>
            </w:r>
          </w:p>
        </w:tc>
      </w:tr>
      <w:tr w:rsidR="00A360DB" w:rsidRPr="00A360DB" w14:paraId="7A8D8E77"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56FE6DE5"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79CABDA9"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6.100,00</w:t>
            </w:r>
          </w:p>
        </w:tc>
        <w:tc>
          <w:tcPr>
            <w:tcW w:w="1380" w:type="dxa"/>
            <w:tcBorders>
              <w:top w:val="nil"/>
              <w:left w:val="nil"/>
              <w:bottom w:val="nil"/>
              <w:right w:val="nil"/>
            </w:tcBorders>
            <w:shd w:val="clear" w:color="auto" w:fill="auto"/>
            <w:noWrap/>
            <w:vAlign w:val="bottom"/>
            <w:hideMark/>
          </w:tcPr>
          <w:p w14:paraId="71DAE391"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225,87</w:t>
            </w:r>
          </w:p>
        </w:tc>
        <w:tc>
          <w:tcPr>
            <w:tcW w:w="1400" w:type="dxa"/>
            <w:tcBorders>
              <w:top w:val="nil"/>
              <w:left w:val="nil"/>
              <w:bottom w:val="nil"/>
              <w:right w:val="nil"/>
            </w:tcBorders>
            <w:shd w:val="clear" w:color="auto" w:fill="auto"/>
            <w:noWrap/>
            <w:vAlign w:val="bottom"/>
            <w:hideMark/>
          </w:tcPr>
          <w:p w14:paraId="7559368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3,70%</w:t>
            </w:r>
          </w:p>
        </w:tc>
      </w:tr>
      <w:tr w:rsidR="00A360DB" w:rsidRPr="00A360DB" w14:paraId="720D6F86" w14:textId="77777777" w:rsidTr="00A360DB">
        <w:trPr>
          <w:trHeight w:val="240"/>
        </w:trPr>
        <w:tc>
          <w:tcPr>
            <w:tcW w:w="1697" w:type="dxa"/>
            <w:tcBorders>
              <w:top w:val="nil"/>
              <w:left w:val="nil"/>
              <w:bottom w:val="nil"/>
              <w:right w:val="nil"/>
            </w:tcBorders>
            <w:shd w:val="clear" w:color="auto" w:fill="auto"/>
            <w:noWrap/>
            <w:vAlign w:val="bottom"/>
            <w:hideMark/>
          </w:tcPr>
          <w:p w14:paraId="239F58B4"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42</w:t>
            </w:r>
          </w:p>
        </w:tc>
        <w:tc>
          <w:tcPr>
            <w:tcW w:w="8509" w:type="dxa"/>
            <w:tcBorders>
              <w:top w:val="nil"/>
              <w:left w:val="nil"/>
              <w:bottom w:val="nil"/>
              <w:right w:val="nil"/>
            </w:tcBorders>
            <w:shd w:val="clear" w:color="auto" w:fill="auto"/>
            <w:noWrap/>
            <w:vAlign w:val="bottom"/>
            <w:hideMark/>
          </w:tcPr>
          <w:p w14:paraId="331AB367"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nabavu proizvedene dugotrajne imovine                                                    </w:t>
            </w:r>
          </w:p>
        </w:tc>
        <w:tc>
          <w:tcPr>
            <w:tcW w:w="1480" w:type="dxa"/>
            <w:tcBorders>
              <w:top w:val="nil"/>
              <w:left w:val="nil"/>
              <w:bottom w:val="nil"/>
              <w:right w:val="nil"/>
            </w:tcBorders>
            <w:shd w:val="clear" w:color="auto" w:fill="auto"/>
            <w:noWrap/>
            <w:vAlign w:val="bottom"/>
            <w:hideMark/>
          </w:tcPr>
          <w:p w14:paraId="2261513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6.100,00</w:t>
            </w:r>
          </w:p>
        </w:tc>
        <w:tc>
          <w:tcPr>
            <w:tcW w:w="1380" w:type="dxa"/>
            <w:tcBorders>
              <w:top w:val="nil"/>
              <w:left w:val="nil"/>
              <w:bottom w:val="nil"/>
              <w:right w:val="nil"/>
            </w:tcBorders>
            <w:shd w:val="clear" w:color="auto" w:fill="auto"/>
            <w:noWrap/>
            <w:vAlign w:val="bottom"/>
            <w:hideMark/>
          </w:tcPr>
          <w:p w14:paraId="0A7623F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225,87</w:t>
            </w:r>
          </w:p>
        </w:tc>
        <w:tc>
          <w:tcPr>
            <w:tcW w:w="1400" w:type="dxa"/>
            <w:tcBorders>
              <w:top w:val="nil"/>
              <w:left w:val="nil"/>
              <w:bottom w:val="nil"/>
              <w:right w:val="nil"/>
            </w:tcBorders>
            <w:shd w:val="clear" w:color="auto" w:fill="auto"/>
            <w:noWrap/>
            <w:vAlign w:val="bottom"/>
            <w:hideMark/>
          </w:tcPr>
          <w:p w14:paraId="714EAB4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3,70%</w:t>
            </w:r>
          </w:p>
        </w:tc>
      </w:tr>
      <w:tr w:rsidR="00A360DB" w:rsidRPr="00A360DB" w14:paraId="36D0315C" w14:textId="77777777" w:rsidTr="00A360DB">
        <w:trPr>
          <w:trHeight w:val="240"/>
        </w:trPr>
        <w:tc>
          <w:tcPr>
            <w:tcW w:w="1697" w:type="dxa"/>
            <w:tcBorders>
              <w:top w:val="nil"/>
              <w:left w:val="nil"/>
              <w:bottom w:val="nil"/>
              <w:right w:val="nil"/>
            </w:tcBorders>
            <w:shd w:val="clear" w:color="auto" w:fill="auto"/>
            <w:noWrap/>
            <w:vAlign w:val="bottom"/>
            <w:hideMark/>
          </w:tcPr>
          <w:p w14:paraId="087C5275"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4264</w:t>
            </w:r>
          </w:p>
        </w:tc>
        <w:tc>
          <w:tcPr>
            <w:tcW w:w="8509" w:type="dxa"/>
            <w:tcBorders>
              <w:top w:val="nil"/>
              <w:left w:val="nil"/>
              <w:bottom w:val="nil"/>
              <w:right w:val="nil"/>
            </w:tcBorders>
            <w:shd w:val="clear" w:color="auto" w:fill="auto"/>
            <w:noWrap/>
            <w:vAlign w:val="bottom"/>
            <w:hideMark/>
          </w:tcPr>
          <w:p w14:paraId="2473FFD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Ostala nematerijalna proizvedena imovina                                                            </w:t>
            </w:r>
          </w:p>
        </w:tc>
        <w:tc>
          <w:tcPr>
            <w:tcW w:w="1480" w:type="dxa"/>
            <w:tcBorders>
              <w:top w:val="nil"/>
              <w:left w:val="nil"/>
              <w:bottom w:val="nil"/>
              <w:right w:val="nil"/>
            </w:tcBorders>
            <w:shd w:val="clear" w:color="auto" w:fill="auto"/>
            <w:noWrap/>
            <w:vAlign w:val="bottom"/>
            <w:hideMark/>
          </w:tcPr>
          <w:p w14:paraId="112A8A77"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280EA2EA"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225,87</w:t>
            </w:r>
          </w:p>
        </w:tc>
        <w:tc>
          <w:tcPr>
            <w:tcW w:w="1400" w:type="dxa"/>
            <w:tcBorders>
              <w:top w:val="nil"/>
              <w:left w:val="nil"/>
              <w:bottom w:val="nil"/>
              <w:right w:val="nil"/>
            </w:tcBorders>
            <w:shd w:val="clear" w:color="auto" w:fill="auto"/>
            <w:noWrap/>
            <w:vAlign w:val="bottom"/>
            <w:hideMark/>
          </w:tcPr>
          <w:p w14:paraId="548CC0E0"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13A3324"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C02640C"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4. Prihodi za posebne namjene</w:t>
            </w:r>
          </w:p>
        </w:tc>
        <w:tc>
          <w:tcPr>
            <w:tcW w:w="1480" w:type="dxa"/>
            <w:tcBorders>
              <w:top w:val="nil"/>
              <w:left w:val="nil"/>
              <w:bottom w:val="nil"/>
              <w:right w:val="nil"/>
            </w:tcBorders>
            <w:shd w:val="clear" w:color="auto" w:fill="auto"/>
            <w:noWrap/>
            <w:vAlign w:val="bottom"/>
            <w:hideMark/>
          </w:tcPr>
          <w:p w14:paraId="32C50118"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2.000,00</w:t>
            </w:r>
          </w:p>
        </w:tc>
        <w:tc>
          <w:tcPr>
            <w:tcW w:w="1380" w:type="dxa"/>
            <w:tcBorders>
              <w:top w:val="nil"/>
              <w:left w:val="nil"/>
              <w:bottom w:val="nil"/>
              <w:right w:val="nil"/>
            </w:tcBorders>
            <w:shd w:val="clear" w:color="auto" w:fill="auto"/>
            <w:noWrap/>
            <w:vAlign w:val="bottom"/>
            <w:hideMark/>
          </w:tcPr>
          <w:p w14:paraId="4AC7BC60"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1.580,38</w:t>
            </w:r>
          </w:p>
        </w:tc>
        <w:tc>
          <w:tcPr>
            <w:tcW w:w="1400" w:type="dxa"/>
            <w:tcBorders>
              <w:top w:val="nil"/>
              <w:left w:val="nil"/>
              <w:bottom w:val="nil"/>
              <w:right w:val="nil"/>
            </w:tcBorders>
            <w:shd w:val="clear" w:color="auto" w:fill="auto"/>
            <w:noWrap/>
            <w:vAlign w:val="bottom"/>
            <w:hideMark/>
          </w:tcPr>
          <w:p w14:paraId="6B9293BA"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79,02%</w:t>
            </w:r>
          </w:p>
        </w:tc>
      </w:tr>
      <w:tr w:rsidR="00A360DB" w:rsidRPr="00A360DB" w14:paraId="4E219065"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0C8CD8F"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lastRenderedPageBreak/>
              <w:t>Izvor 4.1. Prihodi za posebne namjene</w:t>
            </w:r>
          </w:p>
        </w:tc>
        <w:tc>
          <w:tcPr>
            <w:tcW w:w="1480" w:type="dxa"/>
            <w:tcBorders>
              <w:top w:val="nil"/>
              <w:left w:val="nil"/>
              <w:bottom w:val="nil"/>
              <w:right w:val="nil"/>
            </w:tcBorders>
            <w:shd w:val="clear" w:color="auto" w:fill="auto"/>
            <w:noWrap/>
            <w:vAlign w:val="bottom"/>
            <w:hideMark/>
          </w:tcPr>
          <w:p w14:paraId="1282CCEE"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2.000,00</w:t>
            </w:r>
          </w:p>
        </w:tc>
        <w:tc>
          <w:tcPr>
            <w:tcW w:w="1380" w:type="dxa"/>
            <w:tcBorders>
              <w:top w:val="nil"/>
              <w:left w:val="nil"/>
              <w:bottom w:val="nil"/>
              <w:right w:val="nil"/>
            </w:tcBorders>
            <w:shd w:val="clear" w:color="auto" w:fill="auto"/>
            <w:noWrap/>
            <w:vAlign w:val="bottom"/>
            <w:hideMark/>
          </w:tcPr>
          <w:p w14:paraId="3EFC821B"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1.580,38</w:t>
            </w:r>
          </w:p>
        </w:tc>
        <w:tc>
          <w:tcPr>
            <w:tcW w:w="1400" w:type="dxa"/>
            <w:tcBorders>
              <w:top w:val="nil"/>
              <w:left w:val="nil"/>
              <w:bottom w:val="nil"/>
              <w:right w:val="nil"/>
            </w:tcBorders>
            <w:shd w:val="clear" w:color="auto" w:fill="auto"/>
            <w:noWrap/>
            <w:vAlign w:val="bottom"/>
            <w:hideMark/>
          </w:tcPr>
          <w:p w14:paraId="78180FC2"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79,02%</w:t>
            </w:r>
          </w:p>
        </w:tc>
      </w:tr>
      <w:tr w:rsidR="00A360DB" w:rsidRPr="00A360DB" w14:paraId="7D18F29D" w14:textId="77777777" w:rsidTr="00A360DB">
        <w:trPr>
          <w:trHeight w:val="240"/>
        </w:trPr>
        <w:tc>
          <w:tcPr>
            <w:tcW w:w="1697" w:type="dxa"/>
            <w:tcBorders>
              <w:top w:val="nil"/>
              <w:left w:val="nil"/>
              <w:bottom w:val="nil"/>
              <w:right w:val="nil"/>
            </w:tcBorders>
            <w:shd w:val="clear" w:color="auto" w:fill="auto"/>
            <w:noWrap/>
            <w:vAlign w:val="bottom"/>
            <w:hideMark/>
          </w:tcPr>
          <w:p w14:paraId="78AD4389"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42</w:t>
            </w:r>
          </w:p>
        </w:tc>
        <w:tc>
          <w:tcPr>
            <w:tcW w:w="8509" w:type="dxa"/>
            <w:tcBorders>
              <w:top w:val="nil"/>
              <w:left w:val="nil"/>
              <w:bottom w:val="nil"/>
              <w:right w:val="nil"/>
            </w:tcBorders>
            <w:shd w:val="clear" w:color="auto" w:fill="auto"/>
            <w:noWrap/>
            <w:vAlign w:val="bottom"/>
            <w:hideMark/>
          </w:tcPr>
          <w:p w14:paraId="2A04DE99"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nabavu proizvedene dugotrajne imovine                                                    </w:t>
            </w:r>
          </w:p>
        </w:tc>
        <w:tc>
          <w:tcPr>
            <w:tcW w:w="1480" w:type="dxa"/>
            <w:tcBorders>
              <w:top w:val="nil"/>
              <w:left w:val="nil"/>
              <w:bottom w:val="nil"/>
              <w:right w:val="nil"/>
            </w:tcBorders>
            <w:shd w:val="clear" w:color="auto" w:fill="auto"/>
            <w:noWrap/>
            <w:vAlign w:val="bottom"/>
            <w:hideMark/>
          </w:tcPr>
          <w:p w14:paraId="17DC68E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2.000,00</w:t>
            </w:r>
          </w:p>
        </w:tc>
        <w:tc>
          <w:tcPr>
            <w:tcW w:w="1380" w:type="dxa"/>
            <w:tcBorders>
              <w:top w:val="nil"/>
              <w:left w:val="nil"/>
              <w:bottom w:val="nil"/>
              <w:right w:val="nil"/>
            </w:tcBorders>
            <w:shd w:val="clear" w:color="auto" w:fill="auto"/>
            <w:noWrap/>
            <w:vAlign w:val="bottom"/>
            <w:hideMark/>
          </w:tcPr>
          <w:p w14:paraId="7DB221A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1.580,38</w:t>
            </w:r>
          </w:p>
        </w:tc>
        <w:tc>
          <w:tcPr>
            <w:tcW w:w="1400" w:type="dxa"/>
            <w:tcBorders>
              <w:top w:val="nil"/>
              <w:left w:val="nil"/>
              <w:bottom w:val="nil"/>
              <w:right w:val="nil"/>
            </w:tcBorders>
            <w:shd w:val="clear" w:color="auto" w:fill="auto"/>
            <w:noWrap/>
            <w:vAlign w:val="bottom"/>
            <w:hideMark/>
          </w:tcPr>
          <w:p w14:paraId="35C2613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79,02%</w:t>
            </w:r>
          </w:p>
        </w:tc>
      </w:tr>
      <w:tr w:rsidR="00A360DB" w:rsidRPr="00A360DB" w14:paraId="19ECB60B" w14:textId="77777777" w:rsidTr="00A360DB">
        <w:trPr>
          <w:trHeight w:val="240"/>
        </w:trPr>
        <w:tc>
          <w:tcPr>
            <w:tcW w:w="1697" w:type="dxa"/>
            <w:tcBorders>
              <w:top w:val="nil"/>
              <w:left w:val="nil"/>
              <w:bottom w:val="nil"/>
              <w:right w:val="nil"/>
            </w:tcBorders>
            <w:shd w:val="clear" w:color="auto" w:fill="auto"/>
            <w:noWrap/>
            <w:vAlign w:val="bottom"/>
            <w:hideMark/>
          </w:tcPr>
          <w:p w14:paraId="41207D9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4264</w:t>
            </w:r>
          </w:p>
        </w:tc>
        <w:tc>
          <w:tcPr>
            <w:tcW w:w="8509" w:type="dxa"/>
            <w:tcBorders>
              <w:top w:val="nil"/>
              <w:left w:val="nil"/>
              <w:bottom w:val="nil"/>
              <w:right w:val="nil"/>
            </w:tcBorders>
            <w:shd w:val="clear" w:color="auto" w:fill="auto"/>
            <w:noWrap/>
            <w:vAlign w:val="bottom"/>
            <w:hideMark/>
          </w:tcPr>
          <w:p w14:paraId="167F4D7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Ostala nematerijalna proizvedena imovina                                                            </w:t>
            </w:r>
          </w:p>
        </w:tc>
        <w:tc>
          <w:tcPr>
            <w:tcW w:w="1480" w:type="dxa"/>
            <w:tcBorders>
              <w:top w:val="nil"/>
              <w:left w:val="nil"/>
              <w:bottom w:val="nil"/>
              <w:right w:val="nil"/>
            </w:tcBorders>
            <w:shd w:val="clear" w:color="auto" w:fill="auto"/>
            <w:noWrap/>
            <w:vAlign w:val="bottom"/>
            <w:hideMark/>
          </w:tcPr>
          <w:p w14:paraId="2CCCBEBB"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5BDCB3F"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1.580,38</w:t>
            </w:r>
          </w:p>
        </w:tc>
        <w:tc>
          <w:tcPr>
            <w:tcW w:w="1400" w:type="dxa"/>
            <w:tcBorders>
              <w:top w:val="nil"/>
              <w:left w:val="nil"/>
              <w:bottom w:val="nil"/>
              <w:right w:val="nil"/>
            </w:tcBorders>
            <w:shd w:val="clear" w:color="auto" w:fill="auto"/>
            <w:noWrap/>
            <w:vAlign w:val="bottom"/>
            <w:hideMark/>
          </w:tcPr>
          <w:p w14:paraId="1D2B1C63"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2FB79185" w14:textId="77777777" w:rsidTr="00A360DB">
        <w:trPr>
          <w:trHeight w:val="240"/>
        </w:trPr>
        <w:tc>
          <w:tcPr>
            <w:tcW w:w="1697" w:type="dxa"/>
            <w:tcBorders>
              <w:top w:val="nil"/>
              <w:left w:val="nil"/>
              <w:bottom w:val="nil"/>
              <w:right w:val="nil"/>
            </w:tcBorders>
            <w:shd w:val="clear" w:color="000000" w:fill="B4C6E7"/>
            <w:noWrap/>
            <w:vAlign w:val="bottom"/>
            <w:hideMark/>
          </w:tcPr>
          <w:p w14:paraId="291080B1"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K100306</w:t>
            </w:r>
          </w:p>
        </w:tc>
        <w:tc>
          <w:tcPr>
            <w:tcW w:w="8509" w:type="dxa"/>
            <w:tcBorders>
              <w:top w:val="nil"/>
              <w:left w:val="nil"/>
              <w:bottom w:val="nil"/>
              <w:right w:val="nil"/>
            </w:tcBorders>
            <w:shd w:val="clear" w:color="000000" w:fill="B4C6E7"/>
            <w:noWrap/>
            <w:vAlign w:val="bottom"/>
            <w:hideMark/>
          </w:tcPr>
          <w:p w14:paraId="7925BEB8"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Kapitalni projekt: Izrada prostornih planova nove generacije -  "</w:t>
            </w:r>
            <w:proofErr w:type="spellStart"/>
            <w:r w:rsidRPr="00A360DB">
              <w:rPr>
                <w:rFonts w:ascii="Arial" w:hAnsi="Arial" w:cs="Arial"/>
                <w:b/>
                <w:bCs/>
                <w:sz w:val="18"/>
                <w:szCs w:val="18"/>
                <w:lang w:eastAsia="hr-HR"/>
              </w:rPr>
              <w:t>ePlanovi</w:t>
            </w:r>
            <w:proofErr w:type="spellEnd"/>
            <w:r w:rsidRPr="00A360DB">
              <w:rPr>
                <w:rFonts w:ascii="Arial" w:hAnsi="Arial" w:cs="Arial"/>
                <w:b/>
                <w:bCs/>
                <w:sz w:val="18"/>
                <w:szCs w:val="18"/>
                <w:lang w:eastAsia="hr-HR"/>
              </w:rPr>
              <w:t>"</w:t>
            </w:r>
          </w:p>
        </w:tc>
        <w:tc>
          <w:tcPr>
            <w:tcW w:w="1480" w:type="dxa"/>
            <w:tcBorders>
              <w:top w:val="nil"/>
              <w:left w:val="nil"/>
              <w:bottom w:val="nil"/>
              <w:right w:val="nil"/>
            </w:tcBorders>
            <w:shd w:val="clear" w:color="000000" w:fill="B4C6E7"/>
            <w:noWrap/>
            <w:vAlign w:val="bottom"/>
            <w:hideMark/>
          </w:tcPr>
          <w:p w14:paraId="3812906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6.000,00</w:t>
            </w:r>
          </w:p>
        </w:tc>
        <w:tc>
          <w:tcPr>
            <w:tcW w:w="1380" w:type="dxa"/>
            <w:tcBorders>
              <w:top w:val="nil"/>
              <w:left w:val="nil"/>
              <w:bottom w:val="nil"/>
              <w:right w:val="nil"/>
            </w:tcBorders>
            <w:shd w:val="clear" w:color="000000" w:fill="B4C6E7"/>
            <w:noWrap/>
            <w:vAlign w:val="bottom"/>
            <w:hideMark/>
          </w:tcPr>
          <w:p w14:paraId="3B3BA1E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c>
          <w:tcPr>
            <w:tcW w:w="1400" w:type="dxa"/>
            <w:tcBorders>
              <w:top w:val="nil"/>
              <w:left w:val="nil"/>
              <w:bottom w:val="nil"/>
              <w:right w:val="nil"/>
            </w:tcBorders>
            <w:shd w:val="clear" w:color="000000" w:fill="B4C6E7"/>
            <w:noWrap/>
            <w:vAlign w:val="bottom"/>
            <w:hideMark/>
          </w:tcPr>
          <w:p w14:paraId="79BF01D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r>
      <w:tr w:rsidR="00A360DB" w:rsidRPr="00A360DB" w14:paraId="20F3A18A"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30565623"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5. Pomoći</w:t>
            </w:r>
          </w:p>
        </w:tc>
        <w:tc>
          <w:tcPr>
            <w:tcW w:w="1480" w:type="dxa"/>
            <w:tcBorders>
              <w:top w:val="nil"/>
              <w:left w:val="nil"/>
              <w:bottom w:val="nil"/>
              <w:right w:val="nil"/>
            </w:tcBorders>
            <w:shd w:val="clear" w:color="auto" w:fill="auto"/>
            <w:noWrap/>
            <w:vAlign w:val="bottom"/>
            <w:hideMark/>
          </w:tcPr>
          <w:p w14:paraId="7B3346BE"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6.000,00</w:t>
            </w:r>
          </w:p>
        </w:tc>
        <w:tc>
          <w:tcPr>
            <w:tcW w:w="1380" w:type="dxa"/>
            <w:tcBorders>
              <w:top w:val="nil"/>
              <w:left w:val="nil"/>
              <w:bottom w:val="nil"/>
              <w:right w:val="nil"/>
            </w:tcBorders>
            <w:shd w:val="clear" w:color="auto" w:fill="auto"/>
            <w:noWrap/>
            <w:vAlign w:val="bottom"/>
            <w:hideMark/>
          </w:tcPr>
          <w:p w14:paraId="792DD28B"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0,00</w:t>
            </w:r>
          </w:p>
        </w:tc>
        <w:tc>
          <w:tcPr>
            <w:tcW w:w="1400" w:type="dxa"/>
            <w:tcBorders>
              <w:top w:val="nil"/>
              <w:left w:val="nil"/>
              <w:bottom w:val="nil"/>
              <w:right w:val="nil"/>
            </w:tcBorders>
            <w:shd w:val="clear" w:color="auto" w:fill="auto"/>
            <w:noWrap/>
            <w:vAlign w:val="bottom"/>
            <w:hideMark/>
          </w:tcPr>
          <w:p w14:paraId="6DF31182"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0,00%</w:t>
            </w:r>
          </w:p>
        </w:tc>
      </w:tr>
      <w:tr w:rsidR="00A360DB" w:rsidRPr="00A360DB" w14:paraId="394476D1"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3D88E19B"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5.2. Državni proračun</w:t>
            </w:r>
          </w:p>
        </w:tc>
        <w:tc>
          <w:tcPr>
            <w:tcW w:w="1480" w:type="dxa"/>
            <w:tcBorders>
              <w:top w:val="nil"/>
              <w:left w:val="nil"/>
              <w:bottom w:val="nil"/>
              <w:right w:val="nil"/>
            </w:tcBorders>
            <w:shd w:val="clear" w:color="auto" w:fill="auto"/>
            <w:noWrap/>
            <w:vAlign w:val="bottom"/>
            <w:hideMark/>
          </w:tcPr>
          <w:p w14:paraId="4743D32C"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6.000,00</w:t>
            </w:r>
          </w:p>
        </w:tc>
        <w:tc>
          <w:tcPr>
            <w:tcW w:w="1380" w:type="dxa"/>
            <w:tcBorders>
              <w:top w:val="nil"/>
              <w:left w:val="nil"/>
              <w:bottom w:val="nil"/>
              <w:right w:val="nil"/>
            </w:tcBorders>
            <w:shd w:val="clear" w:color="auto" w:fill="auto"/>
            <w:noWrap/>
            <w:vAlign w:val="bottom"/>
            <w:hideMark/>
          </w:tcPr>
          <w:p w14:paraId="10090CFD"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0,00</w:t>
            </w:r>
          </w:p>
        </w:tc>
        <w:tc>
          <w:tcPr>
            <w:tcW w:w="1400" w:type="dxa"/>
            <w:tcBorders>
              <w:top w:val="nil"/>
              <w:left w:val="nil"/>
              <w:bottom w:val="nil"/>
              <w:right w:val="nil"/>
            </w:tcBorders>
            <w:shd w:val="clear" w:color="auto" w:fill="auto"/>
            <w:noWrap/>
            <w:vAlign w:val="bottom"/>
            <w:hideMark/>
          </w:tcPr>
          <w:p w14:paraId="4643FCC2"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0,00%</w:t>
            </w:r>
          </w:p>
        </w:tc>
      </w:tr>
      <w:tr w:rsidR="00A360DB" w:rsidRPr="00A360DB" w14:paraId="55BA9511" w14:textId="77777777" w:rsidTr="00A360DB">
        <w:trPr>
          <w:trHeight w:val="240"/>
        </w:trPr>
        <w:tc>
          <w:tcPr>
            <w:tcW w:w="1697" w:type="dxa"/>
            <w:tcBorders>
              <w:top w:val="nil"/>
              <w:left w:val="nil"/>
              <w:bottom w:val="nil"/>
              <w:right w:val="nil"/>
            </w:tcBorders>
            <w:shd w:val="clear" w:color="auto" w:fill="auto"/>
            <w:noWrap/>
            <w:vAlign w:val="bottom"/>
            <w:hideMark/>
          </w:tcPr>
          <w:p w14:paraId="128F0FB0"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42</w:t>
            </w:r>
          </w:p>
        </w:tc>
        <w:tc>
          <w:tcPr>
            <w:tcW w:w="8509" w:type="dxa"/>
            <w:tcBorders>
              <w:top w:val="nil"/>
              <w:left w:val="nil"/>
              <w:bottom w:val="nil"/>
              <w:right w:val="nil"/>
            </w:tcBorders>
            <w:shd w:val="clear" w:color="auto" w:fill="auto"/>
            <w:noWrap/>
            <w:vAlign w:val="bottom"/>
            <w:hideMark/>
          </w:tcPr>
          <w:p w14:paraId="15598BA9"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nabavu proizvedene dugotrajne imovine                                                    </w:t>
            </w:r>
          </w:p>
        </w:tc>
        <w:tc>
          <w:tcPr>
            <w:tcW w:w="1480" w:type="dxa"/>
            <w:tcBorders>
              <w:top w:val="nil"/>
              <w:left w:val="nil"/>
              <w:bottom w:val="nil"/>
              <w:right w:val="nil"/>
            </w:tcBorders>
            <w:shd w:val="clear" w:color="auto" w:fill="auto"/>
            <w:noWrap/>
            <w:vAlign w:val="bottom"/>
            <w:hideMark/>
          </w:tcPr>
          <w:p w14:paraId="274F992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6.000,00</w:t>
            </w:r>
          </w:p>
        </w:tc>
        <w:tc>
          <w:tcPr>
            <w:tcW w:w="1380" w:type="dxa"/>
            <w:tcBorders>
              <w:top w:val="nil"/>
              <w:left w:val="nil"/>
              <w:bottom w:val="nil"/>
              <w:right w:val="nil"/>
            </w:tcBorders>
            <w:shd w:val="clear" w:color="auto" w:fill="auto"/>
            <w:noWrap/>
            <w:vAlign w:val="bottom"/>
            <w:hideMark/>
          </w:tcPr>
          <w:p w14:paraId="33B24C7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c>
          <w:tcPr>
            <w:tcW w:w="1400" w:type="dxa"/>
            <w:tcBorders>
              <w:top w:val="nil"/>
              <w:left w:val="nil"/>
              <w:bottom w:val="nil"/>
              <w:right w:val="nil"/>
            </w:tcBorders>
            <w:shd w:val="clear" w:color="auto" w:fill="auto"/>
            <w:noWrap/>
            <w:vAlign w:val="bottom"/>
            <w:hideMark/>
          </w:tcPr>
          <w:p w14:paraId="5A2B99D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r>
      <w:tr w:rsidR="00A360DB" w:rsidRPr="00A360DB" w14:paraId="5781FAB5" w14:textId="77777777" w:rsidTr="00A360DB">
        <w:trPr>
          <w:trHeight w:val="240"/>
        </w:trPr>
        <w:tc>
          <w:tcPr>
            <w:tcW w:w="1697" w:type="dxa"/>
            <w:tcBorders>
              <w:top w:val="nil"/>
              <w:left w:val="nil"/>
              <w:bottom w:val="nil"/>
              <w:right w:val="nil"/>
            </w:tcBorders>
            <w:shd w:val="clear" w:color="000000" w:fill="B4C6E7"/>
            <w:noWrap/>
            <w:vAlign w:val="bottom"/>
            <w:hideMark/>
          </w:tcPr>
          <w:p w14:paraId="71F5889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K100319</w:t>
            </w:r>
          </w:p>
        </w:tc>
        <w:tc>
          <w:tcPr>
            <w:tcW w:w="8509" w:type="dxa"/>
            <w:tcBorders>
              <w:top w:val="nil"/>
              <w:left w:val="nil"/>
              <w:bottom w:val="nil"/>
              <w:right w:val="nil"/>
            </w:tcBorders>
            <w:shd w:val="clear" w:color="000000" w:fill="B4C6E7"/>
            <w:noWrap/>
            <w:vAlign w:val="bottom"/>
            <w:hideMark/>
          </w:tcPr>
          <w:p w14:paraId="7385D368"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Kapitalni projekt: Izgradnja Parka za pse</w:t>
            </w:r>
          </w:p>
        </w:tc>
        <w:tc>
          <w:tcPr>
            <w:tcW w:w="1480" w:type="dxa"/>
            <w:tcBorders>
              <w:top w:val="nil"/>
              <w:left w:val="nil"/>
              <w:bottom w:val="nil"/>
              <w:right w:val="nil"/>
            </w:tcBorders>
            <w:shd w:val="clear" w:color="000000" w:fill="B4C6E7"/>
            <w:noWrap/>
            <w:vAlign w:val="bottom"/>
            <w:hideMark/>
          </w:tcPr>
          <w:p w14:paraId="700C32C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122.750,00</w:t>
            </w:r>
          </w:p>
        </w:tc>
        <w:tc>
          <w:tcPr>
            <w:tcW w:w="1380" w:type="dxa"/>
            <w:tcBorders>
              <w:top w:val="nil"/>
              <w:left w:val="nil"/>
              <w:bottom w:val="nil"/>
              <w:right w:val="nil"/>
            </w:tcBorders>
            <w:shd w:val="clear" w:color="000000" w:fill="B4C6E7"/>
            <w:noWrap/>
            <w:vAlign w:val="bottom"/>
            <w:hideMark/>
          </w:tcPr>
          <w:p w14:paraId="1F0572E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83.268,50</w:t>
            </w:r>
          </w:p>
        </w:tc>
        <w:tc>
          <w:tcPr>
            <w:tcW w:w="1400" w:type="dxa"/>
            <w:tcBorders>
              <w:top w:val="nil"/>
              <w:left w:val="nil"/>
              <w:bottom w:val="nil"/>
              <w:right w:val="nil"/>
            </w:tcBorders>
            <w:shd w:val="clear" w:color="000000" w:fill="B4C6E7"/>
            <w:noWrap/>
            <w:vAlign w:val="bottom"/>
            <w:hideMark/>
          </w:tcPr>
          <w:p w14:paraId="2F15198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67,84%</w:t>
            </w:r>
          </w:p>
        </w:tc>
      </w:tr>
      <w:tr w:rsidR="00A360DB" w:rsidRPr="00A360DB" w14:paraId="459817A2"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307BCC58"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185B169A"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63.000,00</w:t>
            </w:r>
          </w:p>
        </w:tc>
        <w:tc>
          <w:tcPr>
            <w:tcW w:w="1380" w:type="dxa"/>
            <w:tcBorders>
              <w:top w:val="nil"/>
              <w:left w:val="nil"/>
              <w:bottom w:val="nil"/>
              <w:right w:val="nil"/>
            </w:tcBorders>
            <w:shd w:val="clear" w:color="auto" w:fill="auto"/>
            <w:noWrap/>
            <w:vAlign w:val="bottom"/>
            <w:hideMark/>
          </w:tcPr>
          <w:p w14:paraId="797EC21F"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83.268,50</w:t>
            </w:r>
          </w:p>
        </w:tc>
        <w:tc>
          <w:tcPr>
            <w:tcW w:w="1400" w:type="dxa"/>
            <w:tcBorders>
              <w:top w:val="nil"/>
              <w:left w:val="nil"/>
              <w:bottom w:val="nil"/>
              <w:right w:val="nil"/>
            </w:tcBorders>
            <w:shd w:val="clear" w:color="auto" w:fill="auto"/>
            <w:noWrap/>
            <w:vAlign w:val="bottom"/>
            <w:hideMark/>
          </w:tcPr>
          <w:p w14:paraId="0EEA179A"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132,17%</w:t>
            </w:r>
          </w:p>
        </w:tc>
      </w:tr>
      <w:tr w:rsidR="00A360DB" w:rsidRPr="00A360DB" w14:paraId="0AA3EA5B"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6CF6D87"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0EA9BF6B"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63.000,00</w:t>
            </w:r>
          </w:p>
        </w:tc>
        <w:tc>
          <w:tcPr>
            <w:tcW w:w="1380" w:type="dxa"/>
            <w:tcBorders>
              <w:top w:val="nil"/>
              <w:left w:val="nil"/>
              <w:bottom w:val="nil"/>
              <w:right w:val="nil"/>
            </w:tcBorders>
            <w:shd w:val="clear" w:color="auto" w:fill="auto"/>
            <w:noWrap/>
            <w:vAlign w:val="bottom"/>
            <w:hideMark/>
          </w:tcPr>
          <w:p w14:paraId="21212A97"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83.268,50</w:t>
            </w:r>
          </w:p>
        </w:tc>
        <w:tc>
          <w:tcPr>
            <w:tcW w:w="1400" w:type="dxa"/>
            <w:tcBorders>
              <w:top w:val="nil"/>
              <w:left w:val="nil"/>
              <w:bottom w:val="nil"/>
              <w:right w:val="nil"/>
            </w:tcBorders>
            <w:shd w:val="clear" w:color="auto" w:fill="auto"/>
            <w:noWrap/>
            <w:vAlign w:val="bottom"/>
            <w:hideMark/>
          </w:tcPr>
          <w:p w14:paraId="106B979C"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132,17%</w:t>
            </w:r>
          </w:p>
        </w:tc>
      </w:tr>
      <w:tr w:rsidR="00A360DB" w:rsidRPr="00A360DB" w14:paraId="29B23913" w14:textId="77777777" w:rsidTr="00A360DB">
        <w:trPr>
          <w:trHeight w:val="240"/>
        </w:trPr>
        <w:tc>
          <w:tcPr>
            <w:tcW w:w="1697" w:type="dxa"/>
            <w:tcBorders>
              <w:top w:val="nil"/>
              <w:left w:val="nil"/>
              <w:bottom w:val="nil"/>
              <w:right w:val="nil"/>
            </w:tcBorders>
            <w:shd w:val="clear" w:color="auto" w:fill="auto"/>
            <w:noWrap/>
            <w:vAlign w:val="bottom"/>
            <w:hideMark/>
          </w:tcPr>
          <w:p w14:paraId="4D625EC1"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42</w:t>
            </w:r>
          </w:p>
        </w:tc>
        <w:tc>
          <w:tcPr>
            <w:tcW w:w="8509" w:type="dxa"/>
            <w:tcBorders>
              <w:top w:val="nil"/>
              <w:left w:val="nil"/>
              <w:bottom w:val="nil"/>
              <w:right w:val="nil"/>
            </w:tcBorders>
            <w:shd w:val="clear" w:color="auto" w:fill="auto"/>
            <w:noWrap/>
            <w:vAlign w:val="bottom"/>
            <w:hideMark/>
          </w:tcPr>
          <w:p w14:paraId="51D9E6B5"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nabavu proizvedene dugotrajne imovine                                                    </w:t>
            </w:r>
          </w:p>
        </w:tc>
        <w:tc>
          <w:tcPr>
            <w:tcW w:w="1480" w:type="dxa"/>
            <w:tcBorders>
              <w:top w:val="nil"/>
              <w:left w:val="nil"/>
              <w:bottom w:val="nil"/>
              <w:right w:val="nil"/>
            </w:tcBorders>
            <w:shd w:val="clear" w:color="auto" w:fill="auto"/>
            <w:noWrap/>
            <w:vAlign w:val="bottom"/>
            <w:hideMark/>
          </w:tcPr>
          <w:p w14:paraId="2F748A5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63.000,00</w:t>
            </w:r>
          </w:p>
        </w:tc>
        <w:tc>
          <w:tcPr>
            <w:tcW w:w="1380" w:type="dxa"/>
            <w:tcBorders>
              <w:top w:val="nil"/>
              <w:left w:val="nil"/>
              <w:bottom w:val="nil"/>
              <w:right w:val="nil"/>
            </w:tcBorders>
            <w:shd w:val="clear" w:color="auto" w:fill="auto"/>
            <w:noWrap/>
            <w:vAlign w:val="bottom"/>
            <w:hideMark/>
          </w:tcPr>
          <w:p w14:paraId="24ECFF1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83.268,50</w:t>
            </w:r>
          </w:p>
        </w:tc>
        <w:tc>
          <w:tcPr>
            <w:tcW w:w="1400" w:type="dxa"/>
            <w:tcBorders>
              <w:top w:val="nil"/>
              <w:left w:val="nil"/>
              <w:bottom w:val="nil"/>
              <w:right w:val="nil"/>
            </w:tcBorders>
            <w:shd w:val="clear" w:color="auto" w:fill="auto"/>
            <w:noWrap/>
            <w:vAlign w:val="bottom"/>
            <w:hideMark/>
          </w:tcPr>
          <w:p w14:paraId="3303892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132,17%</w:t>
            </w:r>
          </w:p>
        </w:tc>
      </w:tr>
      <w:tr w:rsidR="00A360DB" w:rsidRPr="00A360DB" w14:paraId="16D3577D" w14:textId="77777777" w:rsidTr="00A360DB">
        <w:trPr>
          <w:trHeight w:val="240"/>
        </w:trPr>
        <w:tc>
          <w:tcPr>
            <w:tcW w:w="1697" w:type="dxa"/>
            <w:tcBorders>
              <w:top w:val="nil"/>
              <w:left w:val="nil"/>
              <w:bottom w:val="nil"/>
              <w:right w:val="nil"/>
            </w:tcBorders>
            <w:shd w:val="clear" w:color="auto" w:fill="auto"/>
            <w:noWrap/>
            <w:vAlign w:val="bottom"/>
            <w:hideMark/>
          </w:tcPr>
          <w:p w14:paraId="35444A7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4214</w:t>
            </w:r>
          </w:p>
        </w:tc>
        <w:tc>
          <w:tcPr>
            <w:tcW w:w="8509" w:type="dxa"/>
            <w:tcBorders>
              <w:top w:val="nil"/>
              <w:left w:val="nil"/>
              <w:bottom w:val="nil"/>
              <w:right w:val="nil"/>
            </w:tcBorders>
            <w:shd w:val="clear" w:color="auto" w:fill="auto"/>
            <w:noWrap/>
            <w:vAlign w:val="bottom"/>
            <w:hideMark/>
          </w:tcPr>
          <w:p w14:paraId="17E8C84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Ostali građevinski objekti                                                                          </w:t>
            </w:r>
          </w:p>
        </w:tc>
        <w:tc>
          <w:tcPr>
            <w:tcW w:w="1480" w:type="dxa"/>
            <w:tcBorders>
              <w:top w:val="nil"/>
              <w:left w:val="nil"/>
              <w:bottom w:val="nil"/>
              <w:right w:val="nil"/>
            </w:tcBorders>
            <w:shd w:val="clear" w:color="auto" w:fill="auto"/>
            <w:noWrap/>
            <w:vAlign w:val="bottom"/>
            <w:hideMark/>
          </w:tcPr>
          <w:p w14:paraId="58578BCE"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19B3308"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83.268,50</w:t>
            </w:r>
          </w:p>
        </w:tc>
        <w:tc>
          <w:tcPr>
            <w:tcW w:w="1400" w:type="dxa"/>
            <w:tcBorders>
              <w:top w:val="nil"/>
              <w:left w:val="nil"/>
              <w:bottom w:val="nil"/>
              <w:right w:val="nil"/>
            </w:tcBorders>
            <w:shd w:val="clear" w:color="auto" w:fill="auto"/>
            <w:noWrap/>
            <w:vAlign w:val="bottom"/>
            <w:hideMark/>
          </w:tcPr>
          <w:p w14:paraId="2A01818A"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2F8E405E"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4D00D68"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8. Namjenski primici /od fin. imovine i zaduživanja</w:t>
            </w:r>
          </w:p>
        </w:tc>
        <w:tc>
          <w:tcPr>
            <w:tcW w:w="1480" w:type="dxa"/>
            <w:tcBorders>
              <w:top w:val="nil"/>
              <w:left w:val="nil"/>
              <w:bottom w:val="nil"/>
              <w:right w:val="nil"/>
            </w:tcBorders>
            <w:shd w:val="clear" w:color="auto" w:fill="auto"/>
            <w:noWrap/>
            <w:vAlign w:val="bottom"/>
            <w:hideMark/>
          </w:tcPr>
          <w:p w14:paraId="7C9F350E"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59.750,00</w:t>
            </w:r>
          </w:p>
        </w:tc>
        <w:tc>
          <w:tcPr>
            <w:tcW w:w="1380" w:type="dxa"/>
            <w:tcBorders>
              <w:top w:val="nil"/>
              <w:left w:val="nil"/>
              <w:bottom w:val="nil"/>
              <w:right w:val="nil"/>
            </w:tcBorders>
            <w:shd w:val="clear" w:color="auto" w:fill="auto"/>
            <w:noWrap/>
            <w:vAlign w:val="bottom"/>
            <w:hideMark/>
          </w:tcPr>
          <w:p w14:paraId="02C357F8"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0,00</w:t>
            </w:r>
          </w:p>
        </w:tc>
        <w:tc>
          <w:tcPr>
            <w:tcW w:w="1400" w:type="dxa"/>
            <w:tcBorders>
              <w:top w:val="nil"/>
              <w:left w:val="nil"/>
              <w:bottom w:val="nil"/>
              <w:right w:val="nil"/>
            </w:tcBorders>
            <w:shd w:val="clear" w:color="auto" w:fill="auto"/>
            <w:noWrap/>
            <w:vAlign w:val="bottom"/>
            <w:hideMark/>
          </w:tcPr>
          <w:p w14:paraId="1B127E91"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0,00%</w:t>
            </w:r>
          </w:p>
        </w:tc>
      </w:tr>
      <w:tr w:rsidR="00A360DB" w:rsidRPr="00A360DB" w14:paraId="26162B09"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F482FC2"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 xml:space="preserve">Izvor 8.1. Namjenski primici /od fin. imovine i zaduživanja </w:t>
            </w:r>
          </w:p>
        </w:tc>
        <w:tc>
          <w:tcPr>
            <w:tcW w:w="1480" w:type="dxa"/>
            <w:tcBorders>
              <w:top w:val="nil"/>
              <w:left w:val="nil"/>
              <w:bottom w:val="nil"/>
              <w:right w:val="nil"/>
            </w:tcBorders>
            <w:shd w:val="clear" w:color="auto" w:fill="auto"/>
            <w:noWrap/>
            <w:vAlign w:val="bottom"/>
            <w:hideMark/>
          </w:tcPr>
          <w:p w14:paraId="0F5D2EF9"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59.750,00</w:t>
            </w:r>
          </w:p>
        </w:tc>
        <w:tc>
          <w:tcPr>
            <w:tcW w:w="1380" w:type="dxa"/>
            <w:tcBorders>
              <w:top w:val="nil"/>
              <w:left w:val="nil"/>
              <w:bottom w:val="nil"/>
              <w:right w:val="nil"/>
            </w:tcBorders>
            <w:shd w:val="clear" w:color="auto" w:fill="auto"/>
            <w:noWrap/>
            <w:vAlign w:val="bottom"/>
            <w:hideMark/>
          </w:tcPr>
          <w:p w14:paraId="04DFC5ED"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0,00</w:t>
            </w:r>
          </w:p>
        </w:tc>
        <w:tc>
          <w:tcPr>
            <w:tcW w:w="1400" w:type="dxa"/>
            <w:tcBorders>
              <w:top w:val="nil"/>
              <w:left w:val="nil"/>
              <w:bottom w:val="nil"/>
              <w:right w:val="nil"/>
            </w:tcBorders>
            <w:shd w:val="clear" w:color="auto" w:fill="auto"/>
            <w:noWrap/>
            <w:vAlign w:val="bottom"/>
            <w:hideMark/>
          </w:tcPr>
          <w:p w14:paraId="17B8C2CF"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0,00%</w:t>
            </w:r>
          </w:p>
        </w:tc>
      </w:tr>
      <w:tr w:rsidR="00A360DB" w:rsidRPr="00A360DB" w14:paraId="12C9DB42" w14:textId="77777777" w:rsidTr="00A360DB">
        <w:trPr>
          <w:trHeight w:val="240"/>
        </w:trPr>
        <w:tc>
          <w:tcPr>
            <w:tcW w:w="1697" w:type="dxa"/>
            <w:tcBorders>
              <w:top w:val="nil"/>
              <w:left w:val="nil"/>
              <w:bottom w:val="nil"/>
              <w:right w:val="nil"/>
            </w:tcBorders>
            <w:shd w:val="clear" w:color="auto" w:fill="auto"/>
            <w:noWrap/>
            <w:vAlign w:val="bottom"/>
            <w:hideMark/>
          </w:tcPr>
          <w:p w14:paraId="3B7DB5B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42</w:t>
            </w:r>
          </w:p>
        </w:tc>
        <w:tc>
          <w:tcPr>
            <w:tcW w:w="8509" w:type="dxa"/>
            <w:tcBorders>
              <w:top w:val="nil"/>
              <w:left w:val="nil"/>
              <w:bottom w:val="nil"/>
              <w:right w:val="nil"/>
            </w:tcBorders>
            <w:shd w:val="clear" w:color="auto" w:fill="auto"/>
            <w:noWrap/>
            <w:vAlign w:val="bottom"/>
            <w:hideMark/>
          </w:tcPr>
          <w:p w14:paraId="60B0DEDB"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nabavu proizvedene dugotrajne imovine                                                    </w:t>
            </w:r>
          </w:p>
        </w:tc>
        <w:tc>
          <w:tcPr>
            <w:tcW w:w="1480" w:type="dxa"/>
            <w:tcBorders>
              <w:top w:val="nil"/>
              <w:left w:val="nil"/>
              <w:bottom w:val="nil"/>
              <w:right w:val="nil"/>
            </w:tcBorders>
            <w:shd w:val="clear" w:color="auto" w:fill="auto"/>
            <w:noWrap/>
            <w:vAlign w:val="bottom"/>
            <w:hideMark/>
          </w:tcPr>
          <w:p w14:paraId="7C626C4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59.750,00</w:t>
            </w:r>
          </w:p>
        </w:tc>
        <w:tc>
          <w:tcPr>
            <w:tcW w:w="1380" w:type="dxa"/>
            <w:tcBorders>
              <w:top w:val="nil"/>
              <w:left w:val="nil"/>
              <w:bottom w:val="nil"/>
              <w:right w:val="nil"/>
            </w:tcBorders>
            <w:shd w:val="clear" w:color="auto" w:fill="auto"/>
            <w:noWrap/>
            <w:vAlign w:val="bottom"/>
            <w:hideMark/>
          </w:tcPr>
          <w:p w14:paraId="66E1794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c>
          <w:tcPr>
            <w:tcW w:w="1400" w:type="dxa"/>
            <w:tcBorders>
              <w:top w:val="nil"/>
              <w:left w:val="nil"/>
              <w:bottom w:val="nil"/>
              <w:right w:val="nil"/>
            </w:tcBorders>
            <w:shd w:val="clear" w:color="auto" w:fill="auto"/>
            <w:noWrap/>
            <w:vAlign w:val="bottom"/>
            <w:hideMark/>
          </w:tcPr>
          <w:p w14:paraId="72F742C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r>
      <w:tr w:rsidR="00A360DB" w:rsidRPr="00A360DB" w14:paraId="0EE878F8" w14:textId="77777777" w:rsidTr="00A360DB">
        <w:trPr>
          <w:trHeight w:val="240"/>
        </w:trPr>
        <w:tc>
          <w:tcPr>
            <w:tcW w:w="1697" w:type="dxa"/>
            <w:tcBorders>
              <w:top w:val="nil"/>
              <w:left w:val="nil"/>
              <w:bottom w:val="nil"/>
              <w:right w:val="nil"/>
            </w:tcBorders>
            <w:shd w:val="clear" w:color="000000" w:fill="1D4BB3"/>
            <w:noWrap/>
            <w:vAlign w:val="bottom"/>
            <w:hideMark/>
          </w:tcPr>
          <w:p w14:paraId="64ED3C54" w14:textId="77777777" w:rsidR="00A360DB" w:rsidRPr="00A360DB" w:rsidRDefault="00A360DB" w:rsidP="00A360DB">
            <w:pPr>
              <w:spacing w:after="0" w:line="240" w:lineRule="auto"/>
              <w:rPr>
                <w:rFonts w:ascii="Arial" w:hAnsi="Arial" w:cs="Arial"/>
                <w:b/>
                <w:bCs/>
                <w:color w:val="FFFFFF"/>
                <w:sz w:val="18"/>
                <w:szCs w:val="18"/>
                <w:lang w:eastAsia="hr-HR"/>
              </w:rPr>
            </w:pPr>
            <w:r w:rsidRPr="00A360DB">
              <w:rPr>
                <w:rFonts w:ascii="Arial" w:hAnsi="Arial" w:cs="Arial"/>
                <w:b/>
                <w:bCs/>
                <w:color w:val="FFFFFF"/>
                <w:sz w:val="18"/>
                <w:szCs w:val="18"/>
                <w:lang w:eastAsia="hr-HR"/>
              </w:rPr>
              <w:t>1004</w:t>
            </w:r>
          </w:p>
        </w:tc>
        <w:tc>
          <w:tcPr>
            <w:tcW w:w="8509" w:type="dxa"/>
            <w:tcBorders>
              <w:top w:val="nil"/>
              <w:left w:val="nil"/>
              <w:bottom w:val="nil"/>
              <w:right w:val="nil"/>
            </w:tcBorders>
            <w:shd w:val="clear" w:color="000000" w:fill="1D4BB3"/>
            <w:noWrap/>
            <w:vAlign w:val="bottom"/>
            <w:hideMark/>
          </w:tcPr>
          <w:p w14:paraId="7C305C0C" w14:textId="77777777" w:rsidR="00A360DB" w:rsidRPr="00A360DB" w:rsidRDefault="00A360DB" w:rsidP="00A360DB">
            <w:pPr>
              <w:spacing w:after="0" w:line="240" w:lineRule="auto"/>
              <w:rPr>
                <w:rFonts w:ascii="Arial" w:hAnsi="Arial" w:cs="Arial"/>
                <w:b/>
                <w:bCs/>
                <w:color w:val="FFFFFF"/>
                <w:sz w:val="18"/>
                <w:szCs w:val="18"/>
                <w:lang w:eastAsia="hr-HR"/>
              </w:rPr>
            </w:pPr>
            <w:r w:rsidRPr="00A360DB">
              <w:rPr>
                <w:rFonts w:ascii="Arial" w:hAnsi="Arial" w:cs="Arial"/>
                <w:b/>
                <w:bCs/>
                <w:color w:val="FFFFFF"/>
                <w:sz w:val="18"/>
                <w:szCs w:val="18"/>
                <w:lang w:eastAsia="hr-HR"/>
              </w:rPr>
              <w:t>Program: Zaštita okoliša i prirode</w:t>
            </w:r>
          </w:p>
        </w:tc>
        <w:tc>
          <w:tcPr>
            <w:tcW w:w="1480" w:type="dxa"/>
            <w:tcBorders>
              <w:top w:val="nil"/>
              <w:left w:val="nil"/>
              <w:bottom w:val="nil"/>
              <w:right w:val="nil"/>
            </w:tcBorders>
            <w:shd w:val="clear" w:color="000000" w:fill="1D4BB3"/>
            <w:noWrap/>
            <w:vAlign w:val="bottom"/>
            <w:hideMark/>
          </w:tcPr>
          <w:p w14:paraId="66482A06"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1.549.538,00</w:t>
            </w:r>
          </w:p>
        </w:tc>
        <w:tc>
          <w:tcPr>
            <w:tcW w:w="1380" w:type="dxa"/>
            <w:tcBorders>
              <w:top w:val="nil"/>
              <w:left w:val="nil"/>
              <w:bottom w:val="nil"/>
              <w:right w:val="nil"/>
            </w:tcBorders>
            <w:shd w:val="clear" w:color="000000" w:fill="1D4BB3"/>
            <w:noWrap/>
            <w:vAlign w:val="bottom"/>
            <w:hideMark/>
          </w:tcPr>
          <w:p w14:paraId="79811725"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1.485.074,90</w:t>
            </w:r>
          </w:p>
        </w:tc>
        <w:tc>
          <w:tcPr>
            <w:tcW w:w="1400" w:type="dxa"/>
            <w:tcBorders>
              <w:top w:val="nil"/>
              <w:left w:val="nil"/>
              <w:bottom w:val="nil"/>
              <w:right w:val="nil"/>
            </w:tcBorders>
            <w:shd w:val="clear" w:color="000000" w:fill="1D4BB3"/>
            <w:noWrap/>
            <w:vAlign w:val="bottom"/>
            <w:hideMark/>
          </w:tcPr>
          <w:p w14:paraId="6861E704"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95,84%</w:t>
            </w:r>
          </w:p>
        </w:tc>
      </w:tr>
      <w:tr w:rsidR="00A360DB" w:rsidRPr="00A360DB" w14:paraId="56F64480" w14:textId="77777777" w:rsidTr="00A360DB">
        <w:trPr>
          <w:trHeight w:val="240"/>
        </w:trPr>
        <w:tc>
          <w:tcPr>
            <w:tcW w:w="1697" w:type="dxa"/>
            <w:tcBorders>
              <w:top w:val="nil"/>
              <w:left w:val="nil"/>
              <w:bottom w:val="nil"/>
              <w:right w:val="nil"/>
            </w:tcBorders>
            <w:shd w:val="clear" w:color="000000" w:fill="B4C6E7"/>
            <w:noWrap/>
            <w:vAlign w:val="bottom"/>
            <w:hideMark/>
          </w:tcPr>
          <w:p w14:paraId="077586E2"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A100402</w:t>
            </w:r>
          </w:p>
        </w:tc>
        <w:tc>
          <w:tcPr>
            <w:tcW w:w="8509" w:type="dxa"/>
            <w:tcBorders>
              <w:top w:val="nil"/>
              <w:left w:val="nil"/>
              <w:bottom w:val="nil"/>
              <w:right w:val="nil"/>
            </w:tcBorders>
            <w:shd w:val="clear" w:color="000000" w:fill="B4C6E7"/>
            <w:noWrap/>
            <w:vAlign w:val="bottom"/>
            <w:hideMark/>
          </w:tcPr>
          <w:p w14:paraId="42C435D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Energetski certifikat gradskih objekata</w:t>
            </w:r>
          </w:p>
        </w:tc>
        <w:tc>
          <w:tcPr>
            <w:tcW w:w="1480" w:type="dxa"/>
            <w:tcBorders>
              <w:top w:val="nil"/>
              <w:left w:val="nil"/>
              <w:bottom w:val="nil"/>
              <w:right w:val="nil"/>
            </w:tcBorders>
            <w:shd w:val="clear" w:color="000000" w:fill="B4C6E7"/>
            <w:noWrap/>
            <w:vAlign w:val="bottom"/>
            <w:hideMark/>
          </w:tcPr>
          <w:p w14:paraId="7C52333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2.000,00</w:t>
            </w:r>
          </w:p>
        </w:tc>
        <w:tc>
          <w:tcPr>
            <w:tcW w:w="1380" w:type="dxa"/>
            <w:tcBorders>
              <w:top w:val="nil"/>
              <w:left w:val="nil"/>
              <w:bottom w:val="nil"/>
              <w:right w:val="nil"/>
            </w:tcBorders>
            <w:shd w:val="clear" w:color="000000" w:fill="B4C6E7"/>
            <w:noWrap/>
            <w:vAlign w:val="bottom"/>
            <w:hideMark/>
          </w:tcPr>
          <w:p w14:paraId="7884F64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c>
          <w:tcPr>
            <w:tcW w:w="1400" w:type="dxa"/>
            <w:tcBorders>
              <w:top w:val="nil"/>
              <w:left w:val="nil"/>
              <w:bottom w:val="nil"/>
              <w:right w:val="nil"/>
            </w:tcBorders>
            <w:shd w:val="clear" w:color="000000" w:fill="B4C6E7"/>
            <w:noWrap/>
            <w:vAlign w:val="bottom"/>
            <w:hideMark/>
          </w:tcPr>
          <w:p w14:paraId="1FE95F3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r>
      <w:tr w:rsidR="00A360DB" w:rsidRPr="00A360DB" w14:paraId="39EA6D33"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0AED0F2"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4. Prihodi za posebne namjene</w:t>
            </w:r>
          </w:p>
        </w:tc>
        <w:tc>
          <w:tcPr>
            <w:tcW w:w="1480" w:type="dxa"/>
            <w:tcBorders>
              <w:top w:val="nil"/>
              <w:left w:val="nil"/>
              <w:bottom w:val="nil"/>
              <w:right w:val="nil"/>
            </w:tcBorders>
            <w:shd w:val="clear" w:color="auto" w:fill="auto"/>
            <w:noWrap/>
            <w:vAlign w:val="bottom"/>
            <w:hideMark/>
          </w:tcPr>
          <w:p w14:paraId="0D92A3B7"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2.000,00</w:t>
            </w:r>
          </w:p>
        </w:tc>
        <w:tc>
          <w:tcPr>
            <w:tcW w:w="1380" w:type="dxa"/>
            <w:tcBorders>
              <w:top w:val="nil"/>
              <w:left w:val="nil"/>
              <w:bottom w:val="nil"/>
              <w:right w:val="nil"/>
            </w:tcBorders>
            <w:shd w:val="clear" w:color="auto" w:fill="auto"/>
            <w:noWrap/>
            <w:vAlign w:val="bottom"/>
            <w:hideMark/>
          </w:tcPr>
          <w:p w14:paraId="4D9F681D"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0,00</w:t>
            </w:r>
          </w:p>
        </w:tc>
        <w:tc>
          <w:tcPr>
            <w:tcW w:w="1400" w:type="dxa"/>
            <w:tcBorders>
              <w:top w:val="nil"/>
              <w:left w:val="nil"/>
              <w:bottom w:val="nil"/>
              <w:right w:val="nil"/>
            </w:tcBorders>
            <w:shd w:val="clear" w:color="auto" w:fill="auto"/>
            <w:noWrap/>
            <w:vAlign w:val="bottom"/>
            <w:hideMark/>
          </w:tcPr>
          <w:p w14:paraId="776A090F"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0,00%</w:t>
            </w:r>
          </w:p>
        </w:tc>
      </w:tr>
      <w:tr w:rsidR="00A360DB" w:rsidRPr="00A360DB" w14:paraId="2A2C1C6A"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16C14F7"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4.1. Prihodi za posebne namjene</w:t>
            </w:r>
          </w:p>
        </w:tc>
        <w:tc>
          <w:tcPr>
            <w:tcW w:w="1480" w:type="dxa"/>
            <w:tcBorders>
              <w:top w:val="nil"/>
              <w:left w:val="nil"/>
              <w:bottom w:val="nil"/>
              <w:right w:val="nil"/>
            </w:tcBorders>
            <w:shd w:val="clear" w:color="auto" w:fill="auto"/>
            <w:noWrap/>
            <w:vAlign w:val="bottom"/>
            <w:hideMark/>
          </w:tcPr>
          <w:p w14:paraId="5A6D46F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2.000,00</w:t>
            </w:r>
          </w:p>
        </w:tc>
        <w:tc>
          <w:tcPr>
            <w:tcW w:w="1380" w:type="dxa"/>
            <w:tcBorders>
              <w:top w:val="nil"/>
              <w:left w:val="nil"/>
              <w:bottom w:val="nil"/>
              <w:right w:val="nil"/>
            </w:tcBorders>
            <w:shd w:val="clear" w:color="auto" w:fill="auto"/>
            <w:noWrap/>
            <w:vAlign w:val="bottom"/>
            <w:hideMark/>
          </w:tcPr>
          <w:p w14:paraId="2D480F54"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0,00</w:t>
            </w:r>
          </w:p>
        </w:tc>
        <w:tc>
          <w:tcPr>
            <w:tcW w:w="1400" w:type="dxa"/>
            <w:tcBorders>
              <w:top w:val="nil"/>
              <w:left w:val="nil"/>
              <w:bottom w:val="nil"/>
              <w:right w:val="nil"/>
            </w:tcBorders>
            <w:shd w:val="clear" w:color="auto" w:fill="auto"/>
            <w:noWrap/>
            <w:vAlign w:val="bottom"/>
            <w:hideMark/>
          </w:tcPr>
          <w:p w14:paraId="4080D9B0"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0,00%</w:t>
            </w:r>
          </w:p>
        </w:tc>
      </w:tr>
      <w:tr w:rsidR="00A360DB" w:rsidRPr="00A360DB" w14:paraId="5B97D5BC" w14:textId="77777777" w:rsidTr="00A360DB">
        <w:trPr>
          <w:trHeight w:val="240"/>
        </w:trPr>
        <w:tc>
          <w:tcPr>
            <w:tcW w:w="1697" w:type="dxa"/>
            <w:tcBorders>
              <w:top w:val="nil"/>
              <w:left w:val="nil"/>
              <w:bottom w:val="nil"/>
              <w:right w:val="nil"/>
            </w:tcBorders>
            <w:shd w:val="clear" w:color="auto" w:fill="auto"/>
            <w:noWrap/>
            <w:vAlign w:val="bottom"/>
            <w:hideMark/>
          </w:tcPr>
          <w:p w14:paraId="794AE26D"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48DD5A38"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6EDB027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2.000,00</w:t>
            </w:r>
          </w:p>
        </w:tc>
        <w:tc>
          <w:tcPr>
            <w:tcW w:w="1380" w:type="dxa"/>
            <w:tcBorders>
              <w:top w:val="nil"/>
              <w:left w:val="nil"/>
              <w:bottom w:val="nil"/>
              <w:right w:val="nil"/>
            </w:tcBorders>
            <w:shd w:val="clear" w:color="auto" w:fill="auto"/>
            <w:noWrap/>
            <w:vAlign w:val="bottom"/>
            <w:hideMark/>
          </w:tcPr>
          <w:p w14:paraId="62FA6D3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c>
          <w:tcPr>
            <w:tcW w:w="1400" w:type="dxa"/>
            <w:tcBorders>
              <w:top w:val="nil"/>
              <w:left w:val="nil"/>
              <w:bottom w:val="nil"/>
              <w:right w:val="nil"/>
            </w:tcBorders>
            <w:shd w:val="clear" w:color="auto" w:fill="auto"/>
            <w:noWrap/>
            <w:vAlign w:val="bottom"/>
            <w:hideMark/>
          </w:tcPr>
          <w:p w14:paraId="3C3BC24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r>
      <w:tr w:rsidR="00A360DB" w:rsidRPr="00A360DB" w14:paraId="6BCE0B3B" w14:textId="77777777" w:rsidTr="00A360DB">
        <w:trPr>
          <w:trHeight w:val="240"/>
        </w:trPr>
        <w:tc>
          <w:tcPr>
            <w:tcW w:w="1697" w:type="dxa"/>
            <w:tcBorders>
              <w:top w:val="nil"/>
              <w:left w:val="nil"/>
              <w:bottom w:val="nil"/>
              <w:right w:val="nil"/>
            </w:tcBorders>
            <w:shd w:val="clear" w:color="000000" w:fill="B4C6E7"/>
            <w:noWrap/>
            <w:vAlign w:val="bottom"/>
            <w:hideMark/>
          </w:tcPr>
          <w:p w14:paraId="6AEF67E2"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A100405</w:t>
            </w:r>
          </w:p>
        </w:tc>
        <w:tc>
          <w:tcPr>
            <w:tcW w:w="8509" w:type="dxa"/>
            <w:tcBorders>
              <w:top w:val="nil"/>
              <w:left w:val="nil"/>
              <w:bottom w:val="nil"/>
              <w:right w:val="nil"/>
            </w:tcBorders>
            <w:shd w:val="clear" w:color="000000" w:fill="B4C6E7"/>
            <w:noWrap/>
            <w:vAlign w:val="bottom"/>
            <w:hideMark/>
          </w:tcPr>
          <w:p w14:paraId="7D713A17"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Sanacija divljih odlagališta i zapuštenih okućnica</w:t>
            </w:r>
          </w:p>
        </w:tc>
        <w:tc>
          <w:tcPr>
            <w:tcW w:w="1480" w:type="dxa"/>
            <w:tcBorders>
              <w:top w:val="nil"/>
              <w:left w:val="nil"/>
              <w:bottom w:val="nil"/>
              <w:right w:val="nil"/>
            </w:tcBorders>
            <w:shd w:val="clear" w:color="000000" w:fill="B4C6E7"/>
            <w:noWrap/>
            <w:vAlign w:val="bottom"/>
            <w:hideMark/>
          </w:tcPr>
          <w:p w14:paraId="7BCE814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12.000,00</w:t>
            </w:r>
          </w:p>
        </w:tc>
        <w:tc>
          <w:tcPr>
            <w:tcW w:w="1380" w:type="dxa"/>
            <w:tcBorders>
              <w:top w:val="nil"/>
              <w:left w:val="nil"/>
              <w:bottom w:val="nil"/>
              <w:right w:val="nil"/>
            </w:tcBorders>
            <w:shd w:val="clear" w:color="000000" w:fill="B4C6E7"/>
            <w:noWrap/>
            <w:vAlign w:val="bottom"/>
            <w:hideMark/>
          </w:tcPr>
          <w:p w14:paraId="3C41B96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7.125,00</w:t>
            </w:r>
          </w:p>
        </w:tc>
        <w:tc>
          <w:tcPr>
            <w:tcW w:w="1400" w:type="dxa"/>
            <w:tcBorders>
              <w:top w:val="nil"/>
              <w:left w:val="nil"/>
              <w:bottom w:val="nil"/>
              <w:right w:val="nil"/>
            </w:tcBorders>
            <w:shd w:val="clear" w:color="000000" w:fill="B4C6E7"/>
            <w:noWrap/>
            <w:vAlign w:val="bottom"/>
            <w:hideMark/>
          </w:tcPr>
          <w:p w14:paraId="4071E0E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59,38%</w:t>
            </w:r>
          </w:p>
        </w:tc>
      </w:tr>
      <w:tr w:rsidR="00A360DB" w:rsidRPr="00A360DB" w14:paraId="0AF5088A"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5A91C64D"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25715928"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2.000,00</w:t>
            </w:r>
          </w:p>
        </w:tc>
        <w:tc>
          <w:tcPr>
            <w:tcW w:w="1380" w:type="dxa"/>
            <w:tcBorders>
              <w:top w:val="nil"/>
              <w:left w:val="nil"/>
              <w:bottom w:val="nil"/>
              <w:right w:val="nil"/>
            </w:tcBorders>
            <w:shd w:val="clear" w:color="auto" w:fill="auto"/>
            <w:noWrap/>
            <w:vAlign w:val="bottom"/>
            <w:hideMark/>
          </w:tcPr>
          <w:p w14:paraId="08761D90"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0,00</w:t>
            </w:r>
          </w:p>
        </w:tc>
        <w:tc>
          <w:tcPr>
            <w:tcW w:w="1400" w:type="dxa"/>
            <w:tcBorders>
              <w:top w:val="nil"/>
              <w:left w:val="nil"/>
              <w:bottom w:val="nil"/>
              <w:right w:val="nil"/>
            </w:tcBorders>
            <w:shd w:val="clear" w:color="auto" w:fill="auto"/>
            <w:noWrap/>
            <w:vAlign w:val="bottom"/>
            <w:hideMark/>
          </w:tcPr>
          <w:p w14:paraId="3658E279"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0,00%</w:t>
            </w:r>
          </w:p>
        </w:tc>
      </w:tr>
      <w:tr w:rsidR="00A360DB" w:rsidRPr="00A360DB" w14:paraId="0C36B06D"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5553BAB"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61DF0F66"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2.000,00</w:t>
            </w:r>
          </w:p>
        </w:tc>
        <w:tc>
          <w:tcPr>
            <w:tcW w:w="1380" w:type="dxa"/>
            <w:tcBorders>
              <w:top w:val="nil"/>
              <w:left w:val="nil"/>
              <w:bottom w:val="nil"/>
              <w:right w:val="nil"/>
            </w:tcBorders>
            <w:shd w:val="clear" w:color="auto" w:fill="auto"/>
            <w:noWrap/>
            <w:vAlign w:val="bottom"/>
            <w:hideMark/>
          </w:tcPr>
          <w:p w14:paraId="455E94B2"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0,00</w:t>
            </w:r>
          </w:p>
        </w:tc>
        <w:tc>
          <w:tcPr>
            <w:tcW w:w="1400" w:type="dxa"/>
            <w:tcBorders>
              <w:top w:val="nil"/>
              <w:left w:val="nil"/>
              <w:bottom w:val="nil"/>
              <w:right w:val="nil"/>
            </w:tcBorders>
            <w:shd w:val="clear" w:color="auto" w:fill="auto"/>
            <w:noWrap/>
            <w:vAlign w:val="bottom"/>
            <w:hideMark/>
          </w:tcPr>
          <w:p w14:paraId="587B45EE"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0,00%</w:t>
            </w:r>
          </w:p>
        </w:tc>
      </w:tr>
      <w:tr w:rsidR="00A360DB" w:rsidRPr="00A360DB" w14:paraId="2ECEE4AE" w14:textId="77777777" w:rsidTr="00A360DB">
        <w:trPr>
          <w:trHeight w:val="240"/>
        </w:trPr>
        <w:tc>
          <w:tcPr>
            <w:tcW w:w="1697" w:type="dxa"/>
            <w:tcBorders>
              <w:top w:val="nil"/>
              <w:left w:val="nil"/>
              <w:bottom w:val="nil"/>
              <w:right w:val="nil"/>
            </w:tcBorders>
            <w:shd w:val="clear" w:color="auto" w:fill="auto"/>
            <w:noWrap/>
            <w:vAlign w:val="bottom"/>
            <w:hideMark/>
          </w:tcPr>
          <w:p w14:paraId="291B0DD5"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0DEE5BC1"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0C42B78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2.000,00</w:t>
            </w:r>
          </w:p>
        </w:tc>
        <w:tc>
          <w:tcPr>
            <w:tcW w:w="1380" w:type="dxa"/>
            <w:tcBorders>
              <w:top w:val="nil"/>
              <w:left w:val="nil"/>
              <w:bottom w:val="nil"/>
              <w:right w:val="nil"/>
            </w:tcBorders>
            <w:shd w:val="clear" w:color="auto" w:fill="auto"/>
            <w:noWrap/>
            <w:vAlign w:val="bottom"/>
            <w:hideMark/>
          </w:tcPr>
          <w:p w14:paraId="7686B92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c>
          <w:tcPr>
            <w:tcW w:w="1400" w:type="dxa"/>
            <w:tcBorders>
              <w:top w:val="nil"/>
              <w:left w:val="nil"/>
              <w:bottom w:val="nil"/>
              <w:right w:val="nil"/>
            </w:tcBorders>
            <w:shd w:val="clear" w:color="auto" w:fill="auto"/>
            <w:noWrap/>
            <w:vAlign w:val="bottom"/>
            <w:hideMark/>
          </w:tcPr>
          <w:p w14:paraId="2979556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r>
      <w:tr w:rsidR="00A360DB" w:rsidRPr="00A360DB" w14:paraId="35F7CB55"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5227B5E3"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9. Višak iz prethodnih razdoblja</w:t>
            </w:r>
          </w:p>
        </w:tc>
        <w:tc>
          <w:tcPr>
            <w:tcW w:w="1480" w:type="dxa"/>
            <w:tcBorders>
              <w:top w:val="nil"/>
              <w:left w:val="nil"/>
              <w:bottom w:val="nil"/>
              <w:right w:val="nil"/>
            </w:tcBorders>
            <w:shd w:val="clear" w:color="auto" w:fill="auto"/>
            <w:noWrap/>
            <w:vAlign w:val="bottom"/>
            <w:hideMark/>
          </w:tcPr>
          <w:p w14:paraId="587994AA"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10.000,00</w:t>
            </w:r>
          </w:p>
        </w:tc>
        <w:tc>
          <w:tcPr>
            <w:tcW w:w="1380" w:type="dxa"/>
            <w:tcBorders>
              <w:top w:val="nil"/>
              <w:left w:val="nil"/>
              <w:bottom w:val="nil"/>
              <w:right w:val="nil"/>
            </w:tcBorders>
            <w:shd w:val="clear" w:color="auto" w:fill="auto"/>
            <w:noWrap/>
            <w:vAlign w:val="bottom"/>
            <w:hideMark/>
          </w:tcPr>
          <w:p w14:paraId="4B49175F"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7.125,00</w:t>
            </w:r>
          </w:p>
        </w:tc>
        <w:tc>
          <w:tcPr>
            <w:tcW w:w="1400" w:type="dxa"/>
            <w:tcBorders>
              <w:top w:val="nil"/>
              <w:left w:val="nil"/>
              <w:bottom w:val="nil"/>
              <w:right w:val="nil"/>
            </w:tcBorders>
            <w:shd w:val="clear" w:color="auto" w:fill="auto"/>
            <w:noWrap/>
            <w:vAlign w:val="bottom"/>
            <w:hideMark/>
          </w:tcPr>
          <w:p w14:paraId="4E127AA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71,25%</w:t>
            </w:r>
          </w:p>
        </w:tc>
      </w:tr>
      <w:tr w:rsidR="00A360DB" w:rsidRPr="00A360DB" w14:paraId="01886432"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E4048FA"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9.2. Višak iz prethodnih godina - Grad</w:t>
            </w:r>
          </w:p>
        </w:tc>
        <w:tc>
          <w:tcPr>
            <w:tcW w:w="1480" w:type="dxa"/>
            <w:tcBorders>
              <w:top w:val="nil"/>
              <w:left w:val="nil"/>
              <w:bottom w:val="nil"/>
              <w:right w:val="nil"/>
            </w:tcBorders>
            <w:shd w:val="clear" w:color="auto" w:fill="auto"/>
            <w:noWrap/>
            <w:vAlign w:val="bottom"/>
            <w:hideMark/>
          </w:tcPr>
          <w:p w14:paraId="033C9B81"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10.000,00</w:t>
            </w:r>
          </w:p>
        </w:tc>
        <w:tc>
          <w:tcPr>
            <w:tcW w:w="1380" w:type="dxa"/>
            <w:tcBorders>
              <w:top w:val="nil"/>
              <w:left w:val="nil"/>
              <w:bottom w:val="nil"/>
              <w:right w:val="nil"/>
            </w:tcBorders>
            <w:shd w:val="clear" w:color="auto" w:fill="auto"/>
            <w:noWrap/>
            <w:vAlign w:val="bottom"/>
            <w:hideMark/>
          </w:tcPr>
          <w:p w14:paraId="472660EE"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7.125,00</w:t>
            </w:r>
          </w:p>
        </w:tc>
        <w:tc>
          <w:tcPr>
            <w:tcW w:w="1400" w:type="dxa"/>
            <w:tcBorders>
              <w:top w:val="nil"/>
              <w:left w:val="nil"/>
              <w:bottom w:val="nil"/>
              <w:right w:val="nil"/>
            </w:tcBorders>
            <w:shd w:val="clear" w:color="auto" w:fill="auto"/>
            <w:noWrap/>
            <w:vAlign w:val="bottom"/>
            <w:hideMark/>
          </w:tcPr>
          <w:p w14:paraId="266165BA"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71,25%</w:t>
            </w:r>
          </w:p>
        </w:tc>
      </w:tr>
      <w:tr w:rsidR="00A360DB" w:rsidRPr="00A360DB" w14:paraId="0A99126F" w14:textId="77777777" w:rsidTr="00A360DB">
        <w:trPr>
          <w:trHeight w:val="240"/>
        </w:trPr>
        <w:tc>
          <w:tcPr>
            <w:tcW w:w="1697" w:type="dxa"/>
            <w:tcBorders>
              <w:top w:val="nil"/>
              <w:left w:val="nil"/>
              <w:bottom w:val="nil"/>
              <w:right w:val="nil"/>
            </w:tcBorders>
            <w:shd w:val="clear" w:color="auto" w:fill="auto"/>
            <w:noWrap/>
            <w:vAlign w:val="bottom"/>
            <w:hideMark/>
          </w:tcPr>
          <w:p w14:paraId="68787A8C"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71024964"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7FC6624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10.000,00</w:t>
            </w:r>
          </w:p>
        </w:tc>
        <w:tc>
          <w:tcPr>
            <w:tcW w:w="1380" w:type="dxa"/>
            <w:tcBorders>
              <w:top w:val="nil"/>
              <w:left w:val="nil"/>
              <w:bottom w:val="nil"/>
              <w:right w:val="nil"/>
            </w:tcBorders>
            <w:shd w:val="clear" w:color="auto" w:fill="auto"/>
            <w:noWrap/>
            <w:vAlign w:val="bottom"/>
            <w:hideMark/>
          </w:tcPr>
          <w:p w14:paraId="78B5662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7.125,00</w:t>
            </w:r>
          </w:p>
        </w:tc>
        <w:tc>
          <w:tcPr>
            <w:tcW w:w="1400" w:type="dxa"/>
            <w:tcBorders>
              <w:top w:val="nil"/>
              <w:left w:val="nil"/>
              <w:bottom w:val="nil"/>
              <w:right w:val="nil"/>
            </w:tcBorders>
            <w:shd w:val="clear" w:color="auto" w:fill="auto"/>
            <w:noWrap/>
            <w:vAlign w:val="bottom"/>
            <w:hideMark/>
          </w:tcPr>
          <w:p w14:paraId="621CEC1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71,25%</w:t>
            </w:r>
          </w:p>
        </w:tc>
      </w:tr>
      <w:tr w:rsidR="00A360DB" w:rsidRPr="00A360DB" w14:paraId="7BA27A81" w14:textId="77777777" w:rsidTr="00A360DB">
        <w:trPr>
          <w:trHeight w:val="240"/>
        </w:trPr>
        <w:tc>
          <w:tcPr>
            <w:tcW w:w="1697" w:type="dxa"/>
            <w:tcBorders>
              <w:top w:val="nil"/>
              <w:left w:val="nil"/>
              <w:bottom w:val="nil"/>
              <w:right w:val="nil"/>
            </w:tcBorders>
            <w:shd w:val="clear" w:color="auto" w:fill="auto"/>
            <w:noWrap/>
            <w:vAlign w:val="bottom"/>
            <w:hideMark/>
          </w:tcPr>
          <w:p w14:paraId="2D64E007"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3234</w:t>
            </w:r>
          </w:p>
        </w:tc>
        <w:tc>
          <w:tcPr>
            <w:tcW w:w="8509" w:type="dxa"/>
            <w:tcBorders>
              <w:top w:val="nil"/>
              <w:left w:val="nil"/>
              <w:bottom w:val="nil"/>
              <w:right w:val="nil"/>
            </w:tcBorders>
            <w:shd w:val="clear" w:color="auto" w:fill="auto"/>
            <w:noWrap/>
            <w:vAlign w:val="bottom"/>
            <w:hideMark/>
          </w:tcPr>
          <w:p w14:paraId="11F32CC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Komunalne usluge                                                                                    </w:t>
            </w:r>
          </w:p>
        </w:tc>
        <w:tc>
          <w:tcPr>
            <w:tcW w:w="1480" w:type="dxa"/>
            <w:tcBorders>
              <w:top w:val="nil"/>
              <w:left w:val="nil"/>
              <w:bottom w:val="nil"/>
              <w:right w:val="nil"/>
            </w:tcBorders>
            <w:shd w:val="clear" w:color="auto" w:fill="auto"/>
            <w:noWrap/>
            <w:vAlign w:val="bottom"/>
            <w:hideMark/>
          </w:tcPr>
          <w:p w14:paraId="3908DB81"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23D9B337"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7.125,00</w:t>
            </w:r>
          </w:p>
        </w:tc>
        <w:tc>
          <w:tcPr>
            <w:tcW w:w="1400" w:type="dxa"/>
            <w:tcBorders>
              <w:top w:val="nil"/>
              <w:left w:val="nil"/>
              <w:bottom w:val="nil"/>
              <w:right w:val="nil"/>
            </w:tcBorders>
            <w:shd w:val="clear" w:color="auto" w:fill="auto"/>
            <w:noWrap/>
            <w:vAlign w:val="bottom"/>
            <w:hideMark/>
          </w:tcPr>
          <w:p w14:paraId="71BD062A"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DDB4113" w14:textId="77777777" w:rsidTr="00A360DB">
        <w:trPr>
          <w:trHeight w:val="240"/>
        </w:trPr>
        <w:tc>
          <w:tcPr>
            <w:tcW w:w="1697" w:type="dxa"/>
            <w:tcBorders>
              <w:top w:val="nil"/>
              <w:left w:val="nil"/>
              <w:bottom w:val="nil"/>
              <w:right w:val="nil"/>
            </w:tcBorders>
            <w:shd w:val="clear" w:color="000000" w:fill="B4C6E7"/>
            <w:noWrap/>
            <w:vAlign w:val="bottom"/>
            <w:hideMark/>
          </w:tcPr>
          <w:p w14:paraId="2342B3CE"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A100406</w:t>
            </w:r>
          </w:p>
        </w:tc>
        <w:tc>
          <w:tcPr>
            <w:tcW w:w="8509" w:type="dxa"/>
            <w:tcBorders>
              <w:top w:val="nil"/>
              <w:left w:val="nil"/>
              <w:bottom w:val="nil"/>
              <w:right w:val="nil"/>
            </w:tcBorders>
            <w:shd w:val="clear" w:color="000000" w:fill="B4C6E7"/>
            <w:noWrap/>
            <w:vAlign w:val="bottom"/>
            <w:hideMark/>
          </w:tcPr>
          <w:p w14:paraId="50F8B2F0"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Deratizacija i dezinsekcija javnih površina i napuštenih okućnica</w:t>
            </w:r>
          </w:p>
        </w:tc>
        <w:tc>
          <w:tcPr>
            <w:tcW w:w="1480" w:type="dxa"/>
            <w:tcBorders>
              <w:top w:val="nil"/>
              <w:left w:val="nil"/>
              <w:bottom w:val="nil"/>
              <w:right w:val="nil"/>
            </w:tcBorders>
            <w:shd w:val="clear" w:color="000000" w:fill="B4C6E7"/>
            <w:noWrap/>
            <w:vAlign w:val="bottom"/>
            <w:hideMark/>
          </w:tcPr>
          <w:p w14:paraId="6FF5778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32.500,00</w:t>
            </w:r>
          </w:p>
        </w:tc>
        <w:tc>
          <w:tcPr>
            <w:tcW w:w="1380" w:type="dxa"/>
            <w:tcBorders>
              <w:top w:val="nil"/>
              <w:left w:val="nil"/>
              <w:bottom w:val="nil"/>
              <w:right w:val="nil"/>
            </w:tcBorders>
            <w:shd w:val="clear" w:color="000000" w:fill="B4C6E7"/>
            <w:noWrap/>
            <w:vAlign w:val="bottom"/>
            <w:hideMark/>
          </w:tcPr>
          <w:p w14:paraId="36F6734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32.381,06</w:t>
            </w:r>
          </w:p>
        </w:tc>
        <w:tc>
          <w:tcPr>
            <w:tcW w:w="1400" w:type="dxa"/>
            <w:tcBorders>
              <w:top w:val="nil"/>
              <w:left w:val="nil"/>
              <w:bottom w:val="nil"/>
              <w:right w:val="nil"/>
            </w:tcBorders>
            <w:shd w:val="clear" w:color="000000" w:fill="B4C6E7"/>
            <w:noWrap/>
            <w:vAlign w:val="bottom"/>
            <w:hideMark/>
          </w:tcPr>
          <w:p w14:paraId="27B1DF9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99,63%</w:t>
            </w:r>
          </w:p>
        </w:tc>
      </w:tr>
      <w:tr w:rsidR="00A360DB" w:rsidRPr="00A360DB" w14:paraId="1AFCEBC3"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F5C6FF7"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68400628"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32.500,00</w:t>
            </w:r>
          </w:p>
        </w:tc>
        <w:tc>
          <w:tcPr>
            <w:tcW w:w="1380" w:type="dxa"/>
            <w:tcBorders>
              <w:top w:val="nil"/>
              <w:left w:val="nil"/>
              <w:bottom w:val="nil"/>
              <w:right w:val="nil"/>
            </w:tcBorders>
            <w:shd w:val="clear" w:color="auto" w:fill="auto"/>
            <w:noWrap/>
            <w:vAlign w:val="bottom"/>
            <w:hideMark/>
          </w:tcPr>
          <w:p w14:paraId="7B392BE8"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32.381,06</w:t>
            </w:r>
          </w:p>
        </w:tc>
        <w:tc>
          <w:tcPr>
            <w:tcW w:w="1400" w:type="dxa"/>
            <w:tcBorders>
              <w:top w:val="nil"/>
              <w:left w:val="nil"/>
              <w:bottom w:val="nil"/>
              <w:right w:val="nil"/>
            </w:tcBorders>
            <w:shd w:val="clear" w:color="auto" w:fill="auto"/>
            <w:noWrap/>
            <w:vAlign w:val="bottom"/>
            <w:hideMark/>
          </w:tcPr>
          <w:p w14:paraId="5B565B6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99,63%</w:t>
            </w:r>
          </w:p>
        </w:tc>
      </w:tr>
      <w:tr w:rsidR="00A360DB" w:rsidRPr="00A360DB" w14:paraId="1171FB6B"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3ED68E9"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75DEA103"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32.500,00</w:t>
            </w:r>
          </w:p>
        </w:tc>
        <w:tc>
          <w:tcPr>
            <w:tcW w:w="1380" w:type="dxa"/>
            <w:tcBorders>
              <w:top w:val="nil"/>
              <w:left w:val="nil"/>
              <w:bottom w:val="nil"/>
              <w:right w:val="nil"/>
            </w:tcBorders>
            <w:shd w:val="clear" w:color="auto" w:fill="auto"/>
            <w:noWrap/>
            <w:vAlign w:val="bottom"/>
            <w:hideMark/>
          </w:tcPr>
          <w:p w14:paraId="78D3DF5B"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32.381,06</w:t>
            </w:r>
          </w:p>
        </w:tc>
        <w:tc>
          <w:tcPr>
            <w:tcW w:w="1400" w:type="dxa"/>
            <w:tcBorders>
              <w:top w:val="nil"/>
              <w:left w:val="nil"/>
              <w:bottom w:val="nil"/>
              <w:right w:val="nil"/>
            </w:tcBorders>
            <w:shd w:val="clear" w:color="auto" w:fill="auto"/>
            <w:noWrap/>
            <w:vAlign w:val="bottom"/>
            <w:hideMark/>
          </w:tcPr>
          <w:p w14:paraId="732C9C38"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99,63%</w:t>
            </w:r>
          </w:p>
        </w:tc>
      </w:tr>
      <w:tr w:rsidR="00A360DB" w:rsidRPr="00A360DB" w14:paraId="69AEFD57" w14:textId="77777777" w:rsidTr="00A360DB">
        <w:trPr>
          <w:trHeight w:val="240"/>
        </w:trPr>
        <w:tc>
          <w:tcPr>
            <w:tcW w:w="1697" w:type="dxa"/>
            <w:tcBorders>
              <w:top w:val="nil"/>
              <w:left w:val="nil"/>
              <w:bottom w:val="nil"/>
              <w:right w:val="nil"/>
            </w:tcBorders>
            <w:shd w:val="clear" w:color="auto" w:fill="auto"/>
            <w:noWrap/>
            <w:vAlign w:val="bottom"/>
            <w:hideMark/>
          </w:tcPr>
          <w:p w14:paraId="5CC70113"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59812180"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49EEFF0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32.500,00</w:t>
            </w:r>
          </w:p>
        </w:tc>
        <w:tc>
          <w:tcPr>
            <w:tcW w:w="1380" w:type="dxa"/>
            <w:tcBorders>
              <w:top w:val="nil"/>
              <w:left w:val="nil"/>
              <w:bottom w:val="nil"/>
              <w:right w:val="nil"/>
            </w:tcBorders>
            <w:shd w:val="clear" w:color="auto" w:fill="auto"/>
            <w:noWrap/>
            <w:vAlign w:val="bottom"/>
            <w:hideMark/>
          </w:tcPr>
          <w:p w14:paraId="70BB372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32.381,06</w:t>
            </w:r>
          </w:p>
        </w:tc>
        <w:tc>
          <w:tcPr>
            <w:tcW w:w="1400" w:type="dxa"/>
            <w:tcBorders>
              <w:top w:val="nil"/>
              <w:left w:val="nil"/>
              <w:bottom w:val="nil"/>
              <w:right w:val="nil"/>
            </w:tcBorders>
            <w:shd w:val="clear" w:color="auto" w:fill="auto"/>
            <w:noWrap/>
            <w:vAlign w:val="bottom"/>
            <w:hideMark/>
          </w:tcPr>
          <w:p w14:paraId="593F3A5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99,63%</w:t>
            </w:r>
          </w:p>
        </w:tc>
      </w:tr>
      <w:tr w:rsidR="00A360DB" w:rsidRPr="00A360DB" w14:paraId="083E9095" w14:textId="77777777" w:rsidTr="00A360DB">
        <w:trPr>
          <w:trHeight w:val="240"/>
        </w:trPr>
        <w:tc>
          <w:tcPr>
            <w:tcW w:w="1697" w:type="dxa"/>
            <w:tcBorders>
              <w:top w:val="nil"/>
              <w:left w:val="nil"/>
              <w:bottom w:val="nil"/>
              <w:right w:val="nil"/>
            </w:tcBorders>
            <w:shd w:val="clear" w:color="auto" w:fill="auto"/>
            <w:noWrap/>
            <w:vAlign w:val="bottom"/>
            <w:hideMark/>
          </w:tcPr>
          <w:p w14:paraId="7939E09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3234</w:t>
            </w:r>
          </w:p>
        </w:tc>
        <w:tc>
          <w:tcPr>
            <w:tcW w:w="8509" w:type="dxa"/>
            <w:tcBorders>
              <w:top w:val="nil"/>
              <w:left w:val="nil"/>
              <w:bottom w:val="nil"/>
              <w:right w:val="nil"/>
            </w:tcBorders>
            <w:shd w:val="clear" w:color="auto" w:fill="auto"/>
            <w:noWrap/>
            <w:vAlign w:val="bottom"/>
            <w:hideMark/>
          </w:tcPr>
          <w:p w14:paraId="3C6A404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Komunalne usluge                                                                                    </w:t>
            </w:r>
          </w:p>
        </w:tc>
        <w:tc>
          <w:tcPr>
            <w:tcW w:w="1480" w:type="dxa"/>
            <w:tcBorders>
              <w:top w:val="nil"/>
              <w:left w:val="nil"/>
              <w:bottom w:val="nil"/>
              <w:right w:val="nil"/>
            </w:tcBorders>
            <w:shd w:val="clear" w:color="auto" w:fill="auto"/>
            <w:noWrap/>
            <w:vAlign w:val="bottom"/>
            <w:hideMark/>
          </w:tcPr>
          <w:p w14:paraId="5331810B"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2D30703E"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32.381,06</w:t>
            </w:r>
          </w:p>
        </w:tc>
        <w:tc>
          <w:tcPr>
            <w:tcW w:w="1400" w:type="dxa"/>
            <w:tcBorders>
              <w:top w:val="nil"/>
              <w:left w:val="nil"/>
              <w:bottom w:val="nil"/>
              <w:right w:val="nil"/>
            </w:tcBorders>
            <w:shd w:val="clear" w:color="auto" w:fill="auto"/>
            <w:noWrap/>
            <w:vAlign w:val="bottom"/>
            <w:hideMark/>
          </w:tcPr>
          <w:p w14:paraId="364ECDEB"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E2C34A5" w14:textId="77777777" w:rsidTr="00A360DB">
        <w:trPr>
          <w:trHeight w:val="240"/>
        </w:trPr>
        <w:tc>
          <w:tcPr>
            <w:tcW w:w="1697" w:type="dxa"/>
            <w:tcBorders>
              <w:top w:val="nil"/>
              <w:left w:val="nil"/>
              <w:bottom w:val="nil"/>
              <w:right w:val="nil"/>
            </w:tcBorders>
            <w:shd w:val="clear" w:color="000000" w:fill="B4C6E7"/>
            <w:noWrap/>
            <w:vAlign w:val="bottom"/>
            <w:hideMark/>
          </w:tcPr>
          <w:p w14:paraId="633D604B"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A100407</w:t>
            </w:r>
          </w:p>
        </w:tc>
        <w:tc>
          <w:tcPr>
            <w:tcW w:w="8509" w:type="dxa"/>
            <w:tcBorders>
              <w:top w:val="nil"/>
              <w:left w:val="nil"/>
              <w:bottom w:val="nil"/>
              <w:right w:val="nil"/>
            </w:tcBorders>
            <w:shd w:val="clear" w:color="000000" w:fill="B4C6E7"/>
            <w:noWrap/>
            <w:vAlign w:val="bottom"/>
            <w:hideMark/>
          </w:tcPr>
          <w:p w14:paraId="44A417FB"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Aktivnost: Ekološka renta Općini Velika </w:t>
            </w:r>
            <w:proofErr w:type="spellStart"/>
            <w:r w:rsidRPr="00A360DB">
              <w:rPr>
                <w:rFonts w:ascii="Arial" w:hAnsi="Arial" w:cs="Arial"/>
                <w:b/>
                <w:bCs/>
                <w:sz w:val="18"/>
                <w:szCs w:val="18"/>
                <w:lang w:eastAsia="hr-HR"/>
              </w:rPr>
              <w:t>Trnovitica</w:t>
            </w:r>
            <w:proofErr w:type="spellEnd"/>
          </w:p>
        </w:tc>
        <w:tc>
          <w:tcPr>
            <w:tcW w:w="1480" w:type="dxa"/>
            <w:tcBorders>
              <w:top w:val="nil"/>
              <w:left w:val="nil"/>
              <w:bottom w:val="nil"/>
              <w:right w:val="nil"/>
            </w:tcBorders>
            <w:shd w:val="clear" w:color="000000" w:fill="B4C6E7"/>
            <w:noWrap/>
            <w:vAlign w:val="bottom"/>
            <w:hideMark/>
          </w:tcPr>
          <w:p w14:paraId="6638BFE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12.000,00</w:t>
            </w:r>
          </w:p>
        </w:tc>
        <w:tc>
          <w:tcPr>
            <w:tcW w:w="1380" w:type="dxa"/>
            <w:tcBorders>
              <w:top w:val="nil"/>
              <w:left w:val="nil"/>
              <w:bottom w:val="nil"/>
              <w:right w:val="nil"/>
            </w:tcBorders>
            <w:shd w:val="clear" w:color="000000" w:fill="B4C6E7"/>
            <w:noWrap/>
            <w:vAlign w:val="bottom"/>
            <w:hideMark/>
          </w:tcPr>
          <w:p w14:paraId="2A26612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10.913,04</w:t>
            </w:r>
          </w:p>
        </w:tc>
        <w:tc>
          <w:tcPr>
            <w:tcW w:w="1400" w:type="dxa"/>
            <w:tcBorders>
              <w:top w:val="nil"/>
              <w:left w:val="nil"/>
              <w:bottom w:val="nil"/>
              <w:right w:val="nil"/>
            </w:tcBorders>
            <w:shd w:val="clear" w:color="000000" w:fill="B4C6E7"/>
            <w:noWrap/>
            <w:vAlign w:val="bottom"/>
            <w:hideMark/>
          </w:tcPr>
          <w:p w14:paraId="1D69C80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90,94%</w:t>
            </w:r>
          </w:p>
        </w:tc>
      </w:tr>
      <w:tr w:rsidR="00A360DB" w:rsidRPr="00A360DB" w14:paraId="64463B83"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0EC984E"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0F9B8D47"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12.000,00</w:t>
            </w:r>
          </w:p>
        </w:tc>
        <w:tc>
          <w:tcPr>
            <w:tcW w:w="1380" w:type="dxa"/>
            <w:tcBorders>
              <w:top w:val="nil"/>
              <w:left w:val="nil"/>
              <w:bottom w:val="nil"/>
              <w:right w:val="nil"/>
            </w:tcBorders>
            <w:shd w:val="clear" w:color="auto" w:fill="auto"/>
            <w:noWrap/>
            <w:vAlign w:val="bottom"/>
            <w:hideMark/>
          </w:tcPr>
          <w:p w14:paraId="5D87A553"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10.913,04</w:t>
            </w:r>
          </w:p>
        </w:tc>
        <w:tc>
          <w:tcPr>
            <w:tcW w:w="1400" w:type="dxa"/>
            <w:tcBorders>
              <w:top w:val="nil"/>
              <w:left w:val="nil"/>
              <w:bottom w:val="nil"/>
              <w:right w:val="nil"/>
            </w:tcBorders>
            <w:shd w:val="clear" w:color="auto" w:fill="auto"/>
            <w:noWrap/>
            <w:vAlign w:val="bottom"/>
            <w:hideMark/>
          </w:tcPr>
          <w:p w14:paraId="37DE3FE6"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90,94%</w:t>
            </w:r>
          </w:p>
        </w:tc>
      </w:tr>
      <w:tr w:rsidR="00A360DB" w:rsidRPr="00A360DB" w14:paraId="606D769E"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565EC13"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621E8CC9"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12.000,00</w:t>
            </w:r>
          </w:p>
        </w:tc>
        <w:tc>
          <w:tcPr>
            <w:tcW w:w="1380" w:type="dxa"/>
            <w:tcBorders>
              <w:top w:val="nil"/>
              <w:left w:val="nil"/>
              <w:bottom w:val="nil"/>
              <w:right w:val="nil"/>
            </w:tcBorders>
            <w:shd w:val="clear" w:color="auto" w:fill="auto"/>
            <w:noWrap/>
            <w:vAlign w:val="bottom"/>
            <w:hideMark/>
          </w:tcPr>
          <w:p w14:paraId="490BECD6"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10.913,04</w:t>
            </w:r>
          </w:p>
        </w:tc>
        <w:tc>
          <w:tcPr>
            <w:tcW w:w="1400" w:type="dxa"/>
            <w:tcBorders>
              <w:top w:val="nil"/>
              <w:left w:val="nil"/>
              <w:bottom w:val="nil"/>
              <w:right w:val="nil"/>
            </w:tcBorders>
            <w:shd w:val="clear" w:color="auto" w:fill="auto"/>
            <w:noWrap/>
            <w:vAlign w:val="bottom"/>
            <w:hideMark/>
          </w:tcPr>
          <w:p w14:paraId="6989A43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90,94%</w:t>
            </w:r>
          </w:p>
        </w:tc>
      </w:tr>
      <w:tr w:rsidR="00A360DB" w:rsidRPr="00A360DB" w14:paraId="4F3D55DF" w14:textId="77777777" w:rsidTr="00A360DB">
        <w:trPr>
          <w:trHeight w:val="240"/>
        </w:trPr>
        <w:tc>
          <w:tcPr>
            <w:tcW w:w="1697" w:type="dxa"/>
            <w:tcBorders>
              <w:top w:val="nil"/>
              <w:left w:val="nil"/>
              <w:bottom w:val="nil"/>
              <w:right w:val="nil"/>
            </w:tcBorders>
            <w:shd w:val="clear" w:color="auto" w:fill="auto"/>
            <w:noWrap/>
            <w:vAlign w:val="bottom"/>
            <w:hideMark/>
          </w:tcPr>
          <w:p w14:paraId="626C84C8"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38</w:t>
            </w:r>
          </w:p>
        </w:tc>
        <w:tc>
          <w:tcPr>
            <w:tcW w:w="8509" w:type="dxa"/>
            <w:tcBorders>
              <w:top w:val="nil"/>
              <w:left w:val="nil"/>
              <w:bottom w:val="nil"/>
              <w:right w:val="nil"/>
            </w:tcBorders>
            <w:shd w:val="clear" w:color="auto" w:fill="auto"/>
            <w:noWrap/>
            <w:vAlign w:val="bottom"/>
            <w:hideMark/>
          </w:tcPr>
          <w:p w14:paraId="782ED062"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Ostali rashodi                                                                                      </w:t>
            </w:r>
          </w:p>
        </w:tc>
        <w:tc>
          <w:tcPr>
            <w:tcW w:w="1480" w:type="dxa"/>
            <w:tcBorders>
              <w:top w:val="nil"/>
              <w:left w:val="nil"/>
              <w:bottom w:val="nil"/>
              <w:right w:val="nil"/>
            </w:tcBorders>
            <w:shd w:val="clear" w:color="auto" w:fill="auto"/>
            <w:noWrap/>
            <w:vAlign w:val="bottom"/>
            <w:hideMark/>
          </w:tcPr>
          <w:p w14:paraId="36FD36B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12.000,00</w:t>
            </w:r>
          </w:p>
        </w:tc>
        <w:tc>
          <w:tcPr>
            <w:tcW w:w="1380" w:type="dxa"/>
            <w:tcBorders>
              <w:top w:val="nil"/>
              <w:left w:val="nil"/>
              <w:bottom w:val="nil"/>
              <w:right w:val="nil"/>
            </w:tcBorders>
            <w:shd w:val="clear" w:color="auto" w:fill="auto"/>
            <w:noWrap/>
            <w:vAlign w:val="bottom"/>
            <w:hideMark/>
          </w:tcPr>
          <w:p w14:paraId="2B29C34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10.913,04</w:t>
            </w:r>
          </w:p>
        </w:tc>
        <w:tc>
          <w:tcPr>
            <w:tcW w:w="1400" w:type="dxa"/>
            <w:tcBorders>
              <w:top w:val="nil"/>
              <w:left w:val="nil"/>
              <w:bottom w:val="nil"/>
              <w:right w:val="nil"/>
            </w:tcBorders>
            <w:shd w:val="clear" w:color="auto" w:fill="auto"/>
            <w:noWrap/>
            <w:vAlign w:val="bottom"/>
            <w:hideMark/>
          </w:tcPr>
          <w:p w14:paraId="7C366E9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90,94%</w:t>
            </w:r>
          </w:p>
        </w:tc>
      </w:tr>
      <w:tr w:rsidR="00A360DB" w:rsidRPr="00A360DB" w14:paraId="6244F4FB" w14:textId="77777777" w:rsidTr="00A360DB">
        <w:trPr>
          <w:trHeight w:val="240"/>
        </w:trPr>
        <w:tc>
          <w:tcPr>
            <w:tcW w:w="1697" w:type="dxa"/>
            <w:tcBorders>
              <w:top w:val="nil"/>
              <w:left w:val="nil"/>
              <w:bottom w:val="nil"/>
              <w:right w:val="nil"/>
            </w:tcBorders>
            <w:shd w:val="clear" w:color="auto" w:fill="auto"/>
            <w:noWrap/>
            <w:vAlign w:val="bottom"/>
            <w:hideMark/>
          </w:tcPr>
          <w:p w14:paraId="7F141CB5"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3831</w:t>
            </w:r>
          </w:p>
        </w:tc>
        <w:tc>
          <w:tcPr>
            <w:tcW w:w="8509" w:type="dxa"/>
            <w:tcBorders>
              <w:top w:val="nil"/>
              <w:left w:val="nil"/>
              <w:bottom w:val="nil"/>
              <w:right w:val="nil"/>
            </w:tcBorders>
            <w:shd w:val="clear" w:color="auto" w:fill="auto"/>
            <w:noWrap/>
            <w:vAlign w:val="bottom"/>
            <w:hideMark/>
          </w:tcPr>
          <w:p w14:paraId="419E3DA5"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Naknade šteta pravnim i fizičkim osobama                                                            </w:t>
            </w:r>
          </w:p>
        </w:tc>
        <w:tc>
          <w:tcPr>
            <w:tcW w:w="1480" w:type="dxa"/>
            <w:tcBorders>
              <w:top w:val="nil"/>
              <w:left w:val="nil"/>
              <w:bottom w:val="nil"/>
              <w:right w:val="nil"/>
            </w:tcBorders>
            <w:shd w:val="clear" w:color="auto" w:fill="auto"/>
            <w:noWrap/>
            <w:vAlign w:val="bottom"/>
            <w:hideMark/>
          </w:tcPr>
          <w:p w14:paraId="6EAFC060"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774101E"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10.913,04</w:t>
            </w:r>
          </w:p>
        </w:tc>
        <w:tc>
          <w:tcPr>
            <w:tcW w:w="1400" w:type="dxa"/>
            <w:tcBorders>
              <w:top w:val="nil"/>
              <w:left w:val="nil"/>
              <w:bottom w:val="nil"/>
              <w:right w:val="nil"/>
            </w:tcBorders>
            <w:shd w:val="clear" w:color="auto" w:fill="auto"/>
            <w:noWrap/>
            <w:vAlign w:val="bottom"/>
            <w:hideMark/>
          </w:tcPr>
          <w:p w14:paraId="6A9B48CE"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BF1F300" w14:textId="77777777" w:rsidTr="00A360DB">
        <w:trPr>
          <w:trHeight w:val="240"/>
        </w:trPr>
        <w:tc>
          <w:tcPr>
            <w:tcW w:w="1697" w:type="dxa"/>
            <w:tcBorders>
              <w:top w:val="nil"/>
              <w:left w:val="nil"/>
              <w:bottom w:val="nil"/>
              <w:right w:val="nil"/>
            </w:tcBorders>
            <w:shd w:val="clear" w:color="000000" w:fill="B4C6E7"/>
            <w:noWrap/>
            <w:vAlign w:val="bottom"/>
            <w:hideMark/>
          </w:tcPr>
          <w:p w14:paraId="0A771B7A"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A100411</w:t>
            </w:r>
          </w:p>
        </w:tc>
        <w:tc>
          <w:tcPr>
            <w:tcW w:w="8509" w:type="dxa"/>
            <w:tcBorders>
              <w:top w:val="nil"/>
              <w:left w:val="nil"/>
              <w:bottom w:val="nil"/>
              <w:right w:val="nil"/>
            </w:tcBorders>
            <w:shd w:val="clear" w:color="000000" w:fill="B4C6E7"/>
            <w:noWrap/>
            <w:vAlign w:val="bottom"/>
            <w:hideMark/>
          </w:tcPr>
          <w:p w14:paraId="1665C614"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SECAP - Izrada akcijskih planova</w:t>
            </w:r>
          </w:p>
        </w:tc>
        <w:tc>
          <w:tcPr>
            <w:tcW w:w="1480" w:type="dxa"/>
            <w:tcBorders>
              <w:top w:val="nil"/>
              <w:left w:val="nil"/>
              <w:bottom w:val="nil"/>
              <w:right w:val="nil"/>
            </w:tcBorders>
            <w:shd w:val="clear" w:color="000000" w:fill="B4C6E7"/>
            <w:noWrap/>
            <w:vAlign w:val="bottom"/>
            <w:hideMark/>
          </w:tcPr>
          <w:p w14:paraId="596CADE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8.700,00</w:t>
            </w:r>
          </w:p>
        </w:tc>
        <w:tc>
          <w:tcPr>
            <w:tcW w:w="1380" w:type="dxa"/>
            <w:tcBorders>
              <w:top w:val="nil"/>
              <w:left w:val="nil"/>
              <w:bottom w:val="nil"/>
              <w:right w:val="nil"/>
            </w:tcBorders>
            <w:shd w:val="clear" w:color="000000" w:fill="B4C6E7"/>
            <w:noWrap/>
            <w:vAlign w:val="bottom"/>
            <w:hideMark/>
          </w:tcPr>
          <w:p w14:paraId="395953E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8.625,00</w:t>
            </w:r>
          </w:p>
        </w:tc>
        <w:tc>
          <w:tcPr>
            <w:tcW w:w="1400" w:type="dxa"/>
            <w:tcBorders>
              <w:top w:val="nil"/>
              <w:left w:val="nil"/>
              <w:bottom w:val="nil"/>
              <w:right w:val="nil"/>
            </w:tcBorders>
            <w:shd w:val="clear" w:color="000000" w:fill="B4C6E7"/>
            <w:noWrap/>
            <w:vAlign w:val="bottom"/>
            <w:hideMark/>
          </w:tcPr>
          <w:p w14:paraId="32F5D4D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99,14%</w:t>
            </w:r>
          </w:p>
        </w:tc>
      </w:tr>
      <w:tr w:rsidR="00A360DB" w:rsidRPr="00A360DB" w14:paraId="76E82855"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2C040CC3"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326A4C70"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5.200,00</w:t>
            </w:r>
          </w:p>
        </w:tc>
        <w:tc>
          <w:tcPr>
            <w:tcW w:w="1380" w:type="dxa"/>
            <w:tcBorders>
              <w:top w:val="nil"/>
              <w:left w:val="nil"/>
              <w:bottom w:val="nil"/>
              <w:right w:val="nil"/>
            </w:tcBorders>
            <w:shd w:val="clear" w:color="auto" w:fill="auto"/>
            <w:noWrap/>
            <w:vAlign w:val="bottom"/>
            <w:hideMark/>
          </w:tcPr>
          <w:p w14:paraId="330335FC"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5.175,00</w:t>
            </w:r>
          </w:p>
        </w:tc>
        <w:tc>
          <w:tcPr>
            <w:tcW w:w="1400" w:type="dxa"/>
            <w:tcBorders>
              <w:top w:val="nil"/>
              <w:left w:val="nil"/>
              <w:bottom w:val="nil"/>
              <w:right w:val="nil"/>
            </w:tcBorders>
            <w:shd w:val="clear" w:color="auto" w:fill="auto"/>
            <w:noWrap/>
            <w:vAlign w:val="bottom"/>
            <w:hideMark/>
          </w:tcPr>
          <w:p w14:paraId="1D3AE176"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99,52%</w:t>
            </w:r>
          </w:p>
        </w:tc>
      </w:tr>
      <w:tr w:rsidR="00A360DB" w:rsidRPr="00A360DB" w14:paraId="059D96A8"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360351F"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lastRenderedPageBreak/>
              <w:t>Izvor 1.1. Opći prihodi i primici</w:t>
            </w:r>
          </w:p>
        </w:tc>
        <w:tc>
          <w:tcPr>
            <w:tcW w:w="1480" w:type="dxa"/>
            <w:tcBorders>
              <w:top w:val="nil"/>
              <w:left w:val="nil"/>
              <w:bottom w:val="nil"/>
              <w:right w:val="nil"/>
            </w:tcBorders>
            <w:shd w:val="clear" w:color="auto" w:fill="auto"/>
            <w:noWrap/>
            <w:vAlign w:val="bottom"/>
            <w:hideMark/>
          </w:tcPr>
          <w:p w14:paraId="5CE2C3FF"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5.200,00</w:t>
            </w:r>
          </w:p>
        </w:tc>
        <w:tc>
          <w:tcPr>
            <w:tcW w:w="1380" w:type="dxa"/>
            <w:tcBorders>
              <w:top w:val="nil"/>
              <w:left w:val="nil"/>
              <w:bottom w:val="nil"/>
              <w:right w:val="nil"/>
            </w:tcBorders>
            <w:shd w:val="clear" w:color="auto" w:fill="auto"/>
            <w:noWrap/>
            <w:vAlign w:val="bottom"/>
            <w:hideMark/>
          </w:tcPr>
          <w:p w14:paraId="0285F06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5.175,00</w:t>
            </w:r>
          </w:p>
        </w:tc>
        <w:tc>
          <w:tcPr>
            <w:tcW w:w="1400" w:type="dxa"/>
            <w:tcBorders>
              <w:top w:val="nil"/>
              <w:left w:val="nil"/>
              <w:bottom w:val="nil"/>
              <w:right w:val="nil"/>
            </w:tcBorders>
            <w:shd w:val="clear" w:color="auto" w:fill="auto"/>
            <w:noWrap/>
            <w:vAlign w:val="bottom"/>
            <w:hideMark/>
          </w:tcPr>
          <w:p w14:paraId="6764159A"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99,52%</w:t>
            </w:r>
          </w:p>
        </w:tc>
      </w:tr>
      <w:tr w:rsidR="00A360DB" w:rsidRPr="00A360DB" w14:paraId="64CB565E" w14:textId="77777777" w:rsidTr="00A360DB">
        <w:trPr>
          <w:trHeight w:val="240"/>
        </w:trPr>
        <w:tc>
          <w:tcPr>
            <w:tcW w:w="1697" w:type="dxa"/>
            <w:tcBorders>
              <w:top w:val="nil"/>
              <w:left w:val="nil"/>
              <w:bottom w:val="nil"/>
              <w:right w:val="nil"/>
            </w:tcBorders>
            <w:shd w:val="clear" w:color="auto" w:fill="auto"/>
            <w:noWrap/>
            <w:vAlign w:val="bottom"/>
            <w:hideMark/>
          </w:tcPr>
          <w:p w14:paraId="09A9701E"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443EF482"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3E36EF4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5.200,00</w:t>
            </w:r>
          </w:p>
        </w:tc>
        <w:tc>
          <w:tcPr>
            <w:tcW w:w="1380" w:type="dxa"/>
            <w:tcBorders>
              <w:top w:val="nil"/>
              <w:left w:val="nil"/>
              <w:bottom w:val="nil"/>
              <w:right w:val="nil"/>
            </w:tcBorders>
            <w:shd w:val="clear" w:color="auto" w:fill="auto"/>
            <w:noWrap/>
            <w:vAlign w:val="bottom"/>
            <w:hideMark/>
          </w:tcPr>
          <w:p w14:paraId="5C8543C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5.175,00</w:t>
            </w:r>
          </w:p>
        </w:tc>
        <w:tc>
          <w:tcPr>
            <w:tcW w:w="1400" w:type="dxa"/>
            <w:tcBorders>
              <w:top w:val="nil"/>
              <w:left w:val="nil"/>
              <w:bottom w:val="nil"/>
              <w:right w:val="nil"/>
            </w:tcBorders>
            <w:shd w:val="clear" w:color="auto" w:fill="auto"/>
            <w:noWrap/>
            <w:vAlign w:val="bottom"/>
            <w:hideMark/>
          </w:tcPr>
          <w:p w14:paraId="7F86788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99,52%</w:t>
            </w:r>
          </w:p>
        </w:tc>
      </w:tr>
      <w:tr w:rsidR="00A360DB" w:rsidRPr="00A360DB" w14:paraId="6B3FAA9A" w14:textId="77777777" w:rsidTr="00A360DB">
        <w:trPr>
          <w:trHeight w:val="240"/>
        </w:trPr>
        <w:tc>
          <w:tcPr>
            <w:tcW w:w="1697" w:type="dxa"/>
            <w:tcBorders>
              <w:top w:val="nil"/>
              <w:left w:val="nil"/>
              <w:bottom w:val="nil"/>
              <w:right w:val="nil"/>
            </w:tcBorders>
            <w:shd w:val="clear" w:color="auto" w:fill="auto"/>
            <w:noWrap/>
            <w:vAlign w:val="bottom"/>
            <w:hideMark/>
          </w:tcPr>
          <w:p w14:paraId="67BD475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3237</w:t>
            </w:r>
          </w:p>
        </w:tc>
        <w:tc>
          <w:tcPr>
            <w:tcW w:w="8509" w:type="dxa"/>
            <w:tcBorders>
              <w:top w:val="nil"/>
              <w:left w:val="nil"/>
              <w:bottom w:val="nil"/>
              <w:right w:val="nil"/>
            </w:tcBorders>
            <w:shd w:val="clear" w:color="auto" w:fill="auto"/>
            <w:noWrap/>
            <w:vAlign w:val="bottom"/>
            <w:hideMark/>
          </w:tcPr>
          <w:p w14:paraId="6365A8DE"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Intelektualne i osobne usluge                                                                       </w:t>
            </w:r>
          </w:p>
        </w:tc>
        <w:tc>
          <w:tcPr>
            <w:tcW w:w="1480" w:type="dxa"/>
            <w:tcBorders>
              <w:top w:val="nil"/>
              <w:left w:val="nil"/>
              <w:bottom w:val="nil"/>
              <w:right w:val="nil"/>
            </w:tcBorders>
            <w:shd w:val="clear" w:color="auto" w:fill="auto"/>
            <w:noWrap/>
            <w:vAlign w:val="bottom"/>
            <w:hideMark/>
          </w:tcPr>
          <w:p w14:paraId="4E0C4090"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715AE14"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5.175,00</w:t>
            </w:r>
          </w:p>
        </w:tc>
        <w:tc>
          <w:tcPr>
            <w:tcW w:w="1400" w:type="dxa"/>
            <w:tcBorders>
              <w:top w:val="nil"/>
              <w:left w:val="nil"/>
              <w:bottom w:val="nil"/>
              <w:right w:val="nil"/>
            </w:tcBorders>
            <w:shd w:val="clear" w:color="auto" w:fill="auto"/>
            <w:noWrap/>
            <w:vAlign w:val="bottom"/>
            <w:hideMark/>
          </w:tcPr>
          <w:p w14:paraId="25C3FFF9"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A3222E2"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480CA2A"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5. Pomoći</w:t>
            </w:r>
          </w:p>
        </w:tc>
        <w:tc>
          <w:tcPr>
            <w:tcW w:w="1480" w:type="dxa"/>
            <w:tcBorders>
              <w:top w:val="nil"/>
              <w:left w:val="nil"/>
              <w:bottom w:val="nil"/>
              <w:right w:val="nil"/>
            </w:tcBorders>
            <w:shd w:val="clear" w:color="auto" w:fill="auto"/>
            <w:noWrap/>
            <w:vAlign w:val="bottom"/>
            <w:hideMark/>
          </w:tcPr>
          <w:p w14:paraId="5BD8563E"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3.500,00</w:t>
            </w:r>
          </w:p>
        </w:tc>
        <w:tc>
          <w:tcPr>
            <w:tcW w:w="1380" w:type="dxa"/>
            <w:tcBorders>
              <w:top w:val="nil"/>
              <w:left w:val="nil"/>
              <w:bottom w:val="nil"/>
              <w:right w:val="nil"/>
            </w:tcBorders>
            <w:shd w:val="clear" w:color="auto" w:fill="auto"/>
            <w:noWrap/>
            <w:vAlign w:val="bottom"/>
            <w:hideMark/>
          </w:tcPr>
          <w:p w14:paraId="1571701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3.450,00</w:t>
            </w:r>
          </w:p>
        </w:tc>
        <w:tc>
          <w:tcPr>
            <w:tcW w:w="1400" w:type="dxa"/>
            <w:tcBorders>
              <w:top w:val="nil"/>
              <w:left w:val="nil"/>
              <w:bottom w:val="nil"/>
              <w:right w:val="nil"/>
            </w:tcBorders>
            <w:shd w:val="clear" w:color="auto" w:fill="auto"/>
            <w:noWrap/>
            <w:vAlign w:val="bottom"/>
            <w:hideMark/>
          </w:tcPr>
          <w:p w14:paraId="3BE563CA"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98,57%</w:t>
            </w:r>
          </w:p>
        </w:tc>
      </w:tr>
      <w:tr w:rsidR="00A360DB" w:rsidRPr="00A360DB" w14:paraId="554C8EF6"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20712486"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5.3. Izvanproračunski korisnici</w:t>
            </w:r>
          </w:p>
        </w:tc>
        <w:tc>
          <w:tcPr>
            <w:tcW w:w="1480" w:type="dxa"/>
            <w:tcBorders>
              <w:top w:val="nil"/>
              <w:left w:val="nil"/>
              <w:bottom w:val="nil"/>
              <w:right w:val="nil"/>
            </w:tcBorders>
            <w:shd w:val="clear" w:color="auto" w:fill="auto"/>
            <w:noWrap/>
            <w:vAlign w:val="bottom"/>
            <w:hideMark/>
          </w:tcPr>
          <w:p w14:paraId="2F92FC27"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3.500,00</w:t>
            </w:r>
          </w:p>
        </w:tc>
        <w:tc>
          <w:tcPr>
            <w:tcW w:w="1380" w:type="dxa"/>
            <w:tcBorders>
              <w:top w:val="nil"/>
              <w:left w:val="nil"/>
              <w:bottom w:val="nil"/>
              <w:right w:val="nil"/>
            </w:tcBorders>
            <w:shd w:val="clear" w:color="auto" w:fill="auto"/>
            <w:noWrap/>
            <w:vAlign w:val="bottom"/>
            <w:hideMark/>
          </w:tcPr>
          <w:p w14:paraId="34E024FB"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3.450,00</w:t>
            </w:r>
          </w:p>
        </w:tc>
        <w:tc>
          <w:tcPr>
            <w:tcW w:w="1400" w:type="dxa"/>
            <w:tcBorders>
              <w:top w:val="nil"/>
              <w:left w:val="nil"/>
              <w:bottom w:val="nil"/>
              <w:right w:val="nil"/>
            </w:tcBorders>
            <w:shd w:val="clear" w:color="auto" w:fill="auto"/>
            <w:noWrap/>
            <w:vAlign w:val="bottom"/>
            <w:hideMark/>
          </w:tcPr>
          <w:p w14:paraId="15F78F99"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98,57%</w:t>
            </w:r>
          </w:p>
        </w:tc>
      </w:tr>
      <w:tr w:rsidR="00A360DB" w:rsidRPr="00A360DB" w14:paraId="6A2DF368" w14:textId="77777777" w:rsidTr="00A360DB">
        <w:trPr>
          <w:trHeight w:val="240"/>
        </w:trPr>
        <w:tc>
          <w:tcPr>
            <w:tcW w:w="1697" w:type="dxa"/>
            <w:tcBorders>
              <w:top w:val="nil"/>
              <w:left w:val="nil"/>
              <w:bottom w:val="nil"/>
              <w:right w:val="nil"/>
            </w:tcBorders>
            <w:shd w:val="clear" w:color="auto" w:fill="auto"/>
            <w:noWrap/>
            <w:vAlign w:val="bottom"/>
            <w:hideMark/>
          </w:tcPr>
          <w:p w14:paraId="75155DEA"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4FC0BF1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306F8A2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3.500,00</w:t>
            </w:r>
          </w:p>
        </w:tc>
        <w:tc>
          <w:tcPr>
            <w:tcW w:w="1380" w:type="dxa"/>
            <w:tcBorders>
              <w:top w:val="nil"/>
              <w:left w:val="nil"/>
              <w:bottom w:val="nil"/>
              <w:right w:val="nil"/>
            </w:tcBorders>
            <w:shd w:val="clear" w:color="auto" w:fill="auto"/>
            <w:noWrap/>
            <w:vAlign w:val="bottom"/>
            <w:hideMark/>
          </w:tcPr>
          <w:p w14:paraId="4214E2B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3.450,00</w:t>
            </w:r>
          </w:p>
        </w:tc>
        <w:tc>
          <w:tcPr>
            <w:tcW w:w="1400" w:type="dxa"/>
            <w:tcBorders>
              <w:top w:val="nil"/>
              <w:left w:val="nil"/>
              <w:bottom w:val="nil"/>
              <w:right w:val="nil"/>
            </w:tcBorders>
            <w:shd w:val="clear" w:color="auto" w:fill="auto"/>
            <w:noWrap/>
            <w:vAlign w:val="bottom"/>
            <w:hideMark/>
          </w:tcPr>
          <w:p w14:paraId="364AAF2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98,57%</w:t>
            </w:r>
          </w:p>
        </w:tc>
      </w:tr>
      <w:tr w:rsidR="00A360DB" w:rsidRPr="00A360DB" w14:paraId="012E0B13" w14:textId="77777777" w:rsidTr="00A360DB">
        <w:trPr>
          <w:trHeight w:val="240"/>
        </w:trPr>
        <w:tc>
          <w:tcPr>
            <w:tcW w:w="1697" w:type="dxa"/>
            <w:tcBorders>
              <w:top w:val="nil"/>
              <w:left w:val="nil"/>
              <w:bottom w:val="nil"/>
              <w:right w:val="nil"/>
            </w:tcBorders>
            <w:shd w:val="clear" w:color="auto" w:fill="auto"/>
            <w:noWrap/>
            <w:vAlign w:val="bottom"/>
            <w:hideMark/>
          </w:tcPr>
          <w:p w14:paraId="7FDFDC3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3237</w:t>
            </w:r>
          </w:p>
        </w:tc>
        <w:tc>
          <w:tcPr>
            <w:tcW w:w="8509" w:type="dxa"/>
            <w:tcBorders>
              <w:top w:val="nil"/>
              <w:left w:val="nil"/>
              <w:bottom w:val="nil"/>
              <w:right w:val="nil"/>
            </w:tcBorders>
            <w:shd w:val="clear" w:color="auto" w:fill="auto"/>
            <w:noWrap/>
            <w:vAlign w:val="bottom"/>
            <w:hideMark/>
          </w:tcPr>
          <w:p w14:paraId="4A10C28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Intelektualne i osobne usluge                                                                       </w:t>
            </w:r>
          </w:p>
        </w:tc>
        <w:tc>
          <w:tcPr>
            <w:tcW w:w="1480" w:type="dxa"/>
            <w:tcBorders>
              <w:top w:val="nil"/>
              <w:left w:val="nil"/>
              <w:bottom w:val="nil"/>
              <w:right w:val="nil"/>
            </w:tcBorders>
            <w:shd w:val="clear" w:color="auto" w:fill="auto"/>
            <w:noWrap/>
            <w:vAlign w:val="bottom"/>
            <w:hideMark/>
          </w:tcPr>
          <w:p w14:paraId="0002F7D5"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CEA4A7F"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3.450,00</w:t>
            </w:r>
          </w:p>
        </w:tc>
        <w:tc>
          <w:tcPr>
            <w:tcW w:w="1400" w:type="dxa"/>
            <w:tcBorders>
              <w:top w:val="nil"/>
              <w:left w:val="nil"/>
              <w:bottom w:val="nil"/>
              <w:right w:val="nil"/>
            </w:tcBorders>
            <w:shd w:val="clear" w:color="auto" w:fill="auto"/>
            <w:noWrap/>
            <w:vAlign w:val="bottom"/>
            <w:hideMark/>
          </w:tcPr>
          <w:p w14:paraId="1338B2BF"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5C6345C6" w14:textId="77777777" w:rsidTr="00A360DB">
        <w:trPr>
          <w:trHeight w:val="240"/>
        </w:trPr>
        <w:tc>
          <w:tcPr>
            <w:tcW w:w="1697" w:type="dxa"/>
            <w:tcBorders>
              <w:top w:val="nil"/>
              <w:left w:val="nil"/>
              <w:bottom w:val="nil"/>
              <w:right w:val="nil"/>
            </w:tcBorders>
            <w:shd w:val="clear" w:color="000000" w:fill="B4C6E7"/>
            <w:noWrap/>
            <w:vAlign w:val="bottom"/>
            <w:hideMark/>
          </w:tcPr>
          <w:p w14:paraId="5E6B8F6C"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K100404</w:t>
            </w:r>
          </w:p>
        </w:tc>
        <w:tc>
          <w:tcPr>
            <w:tcW w:w="8509" w:type="dxa"/>
            <w:tcBorders>
              <w:top w:val="nil"/>
              <w:left w:val="nil"/>
              <w:bottom w:val="nil"/>
              <w:right w:val="nil"/>
            </w:tcBorders>
            <w:shd w:val="clear" w:color="000000" w:fill="B4C6E7"/>
            <w:noWrap/>
            <w:vAlign w:val="bottom"/>
            <w:hideMark/>
          </w:tcPr>
          <w:p w14:paraId="5F6A12ED"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Kapitalni projekt: Sanacija odlagališta komunalnog otpada "</w:t>
            </w:r>
            <w:proofErr w:type="spellStart"/>
            <w:r w:rsidRPr="00A360DB">
              <w:rPr>
                <w:rFonts w:ascii="Arial" w:hAnsi="Arial" w:cs="Arial"/>
                <w:b/>
                <w:bCs/>
                <w:sz w:val="18"/>
                <w:szCs w:val="18"/>
                <w:lang w:eastAsia="hr-HR"/>
              </w:rPr>
              <w:t>Johovača</w:t>
            </w:r>
            <w:proofErr w:type="spellEnd"/>
            <w:r w:rsidRPr="00A360DB">
              <w:rPr>
                <w:rFonts w:ascii="Arial" w:hAnsi="Arial" w:cs="Arial"/>
                <w:b/>
                <w:bCs/>
                <w:sz w:val="18"/>
                <w:szCs w:val="18"/>
                <w:lang w:eastAsia="hr-HR"/>
              </w:rPr>
              <w:t>"</w:t>
            </w:r>
          </w:p>
        </w:tc>
        <w:tc>
          <w:tcPr>
            <w:tcW w:w="1480" w:type="dxa"/>
            <w:tcBorders>
              <w:top w:val="nil"/>
              <w:left w:val="nil"/>
              <w:bottom w:val="nil"/>
              <w:right w:val="nil"/>
            </w:tcBorders>
            <w:shd w:val="clear" w:color="000000" w:fill="B4C6E7"/>
            <w:noWrap/>
            <w:vAlign w:val="bottom"/>
            <w:hideMark/>
          </w:tcPr>
          <w:p w14:paraId="0364FA9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1.482.338,00</w:t>
            </w:r>
          </w:p>
        </w:tc>
        <w:tc>
          <w:tcPr>
            <w:tcW w:w="1380" w:type="dxa"/>
            <w:tcBorders>
              <w:top w:val="nil"/>
              <w:left w:val="nil"/>
              <w:bottom w:val="nil"/>
              <w:right w:val="nil"/>
            </w:tcBorders>
            <w:shd w:val="clear" w:color="000000" w:fill="B4C6E7"/>
            <w:noWrap/>
            <w:vAlign w:val="bottom"/>
            <w:hideMark/>
          </w:tcPr>
          <w:p w14:paraId="53EE73A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1.426.030,80</w:t>
            </w:r>
          </w:p>
        </w:tc>
        <w:tc>
          <w:tcPr>
            <w:tcW w:w="1400" w:type="dxa"/>
            <w:tcBorders>
              <w:top w:val="nil"/>
              <w:left w:val="nil"/>
              <w:bottom w:val="nil"/>
              <w:right w:val="nil"/>
            </w:tcBorders>
            <w:shd w:val="clear" w:color="000000" w:fill="B4C6E7"/>
            <w:noWrap/>
            <w:vAlign w:val="bottom"/>
            <w:hideMark/>
          </w:tcPr>
          <w:p w14:paraId="7DD7D71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96,20%</w:t>
            </w:r>
          </w:p>
        </w:tc>
      </w:tr>
      <w:tr w:rsidR="00A360DB" w:rsidRPr="00A360DB" w14:paraId="1F9F7D64"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778B497"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5. Pomoći</w:t>
            </w:r>
          </w:p>
        </w:tc>
        <w:tc>
          <w:tcPr>
            <w:tcW w:w="1480" w:type="dxa"/>
            <w:tcBorders>
              <w:top w:val="nil"/>
              <w:left w:val="nil"/>
              <w:bottom w:val="nil"/>
              <w:right w:val="nil"/>
            </w:tcBorders>
            <w:shd w:val="clear" w:color="auto" w:fill="auto"/>
            <w:noWrap/>
            <w:vAlign w:val="bottom"/>
            <w:hideMark/>
          </w:tcPr>
          <w:p w14:paraId="1CB4E1C5"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1.104.257,00</w:t>
            </w:r>
          </w:p>
        </w:tc>
        <w:tc>
          <w:tcPr>
            <w:tcW w:w="1380" w:type="dxa"/>
            <w:tcBorders>
              <w:top w:val="nil"/>
              <w:left w:val="nil"/>
              <w:bottom w:val="nil"/>
              <w:right w:val="nil"/>
            </w:tcBorders>
            <w:shd w:val="clear" w:color="auto" w:fill="auto"/>
            <w:noWrap/>
            <w:vAlign w:val="bottom"/>
            <w:hideMark/>
          </w:tcPr>
          <w:p w14:paraId="6245FF08"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1.080.199,80</w:t>
            </w:r>
          </w:p>
        </w:tc>
        <w:tc>
          <w:tcPr>
            <w:tcW w:w="1400" w:type="dxa"/>
            <w:tcBorders>
              <w:top w:val="nil"/>
              <w:left w:val="nil"/>
              <w:bottom w:val="nil"/>
              <w:right w:val="nil"/>
            </w:tcBorders>
            <w:shd w:val="clear" w:color="auto" w:fill="auto"/>
            <w:noWrap/>
            <w:vAlign w:val="bottom"/>
            <w:hideMark/>
          </w:tcPr>
          <w:p w14:paraId="3255C626"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97,82%</w:t>
            </w:r>
          </w:p>
        </w:tc>
      </w:tr>
      <w:tr w:rsidR="00A360DB" w:rsidRPr="00A360DB" w14:paraId="78798FD2"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49A3A26"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5.3. Izvanproračunski korisnici</w:t>
            </w:r>
          </w:p>
        </w:tc>
        <w:tc>
          <w:tcPr>
            <w:tcW w:w="1480" w:type="dxa"/>
            <w:tcBorders>
              <w:top w:val="nil"/>
              <w:left w:val="nil"/>
              <w:bottom w:val="nil"/>
              <w:right w:val="nil"/>
            </w:tcBorders>
            <w:shd w:val="clear" w:color="auto" w:fill="auto"/>
            <w:noWrap/>
            <w:vAlign w:val="bottom"/>
            <w:hideMark/>
          </w:tcPr>
          <w:p w14:paraId="6BB58EF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1.104.257,00</w:t>
            </w:r>
          </w:p>
        </w:tc>
        <w:tc>
          <w:tcPr>
            <w:tcW w:w="1380" w:type="dxa"/>
            <w:tcBorders>
              <w:top w:val="nil"/>
              <w:left w:val="nil"/>
              <w:bottom w:val="nil"/>
              <w:right w:val="nil"/>
            </w:tcBorders>
            <w:shd w:val="clear" w:color="auto" w:fill="auto"/>
            <w:noWrap/>
            <w:vAlign w:val="bottom"/>
            <w:hideMark/>
          </w:tcPr>
          <w:p w14:paraId="2F3A2DF6"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1.080.199,80</w:t>
            </w:r>
          </w:p>
        </w:tc>
        <w:tc>
          <w:tcPr>
            <w:tcW w:w="1400" w:type="dxa"/>
            <w:tcBorders>
              <w:top w:val="nil"/>
              <w:left w:val="nil"/>
              <w:bottom w:val="nil"/>
              <w:right w:val="nil"/>
            </w:tcBorders>
            <w:shd w:val="clear" w:color="auto" w:fill="auto"/>
            <w:noWrap/>
            <w:vAlign w:val="bottom"/>
            <w:hideMark/>
          </w:tcPr>
          <w:p w14:paraId="66021201"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97,82%</w:t>
            </w:r>
          </w:p>
        </w:tc>
      </w:tr>
      <w:tr w:rsidR="00A360DB" w:rsidRPr="00A360DB" w14:paraId="02B7CA27" w14:textId="77777777" w:rsidTr="00A360DB">
        <w:trPr>
          <w:trHeight w:val="240"/>
        </w:trPr>
        <w:tc>
          <w:tcPr>
            <w:tcW w:w="1697" w:type="dxa"/>
            <w:tcBorders>
              <w:top w:val="nil"/>
              <w:left w:val="nil"/>
              <w:bottom w:val="nil"/>
              <w:right w:val="nil"/>
            </w:tcBorders>
            <w:shd w:val="clear" w:color="auto" w:fill="auto"/>
            <w:noWrap/>
            <w:vAlign w:val="bottom"/>
            <w:hideMark/>
          </w:tcPr>
          <w:p w14:paraId="6A8F54DC"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41</w:t>
            </w:r>
          </w:p>
        </w:tc>
        <w:tc>
          <w:tcPr>
            <w:tcW w:w="8509" w:type="dxa"/>
            <w:tcBorders>
              <w:top w:val="nil"/>
              <w:left w:val="nil"/>
              <w:bottom w:val="nil"/>
              <w:right w:val="nil"/>
            </w:tcBorders>
            <w:shd w:val="clear" w:color="auto" w:fill="auto"/>
            <w:noWrap/>
            <w:vAlign w:val="bottom"/>
            <w:hideMark/>
          </w:tcPr>
          <w:p w14:paraId="17B77994"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nabavu </w:t>
            </w:r>
            <w:proofErr w:type="spellStart"/>
            <w:r w:rsidRPr="00A360DB">
              <w:rPr>
                <w:rFonts w:ascii="Arial" w:hAnsi="Arial" w:cs="Arial"/>
                <w:b/>
                <w:bCs/>
                <w:sz w:val="18"/>
                <w:szCs w:val="18"/>
                <w:lang w:eastAsia="hr-HR"/>
              </w:rPr>
              <w:t>neproizvedene</w:t>
            </w:r>
            <w:proofErr w:type="spellEnd"/>
            <w:r w:rsidRPr="00A360DB">
              <w:rPr>
                <w:rFonts w:ascii="Arial" w:hAnsi="Arial" w:cs="Arial"/>
                <w:b/>
                <w:bCs/>
                <w:sz w:val="18"/>
                <w:szCs w:val="18"/>
                <w:lang w:eastAsia="hr-HR"/>
              </w:rPr>
              <w:t xml:space="preserve"> dugotrajne imovine                                                  </w:t>
            </w:r>
          </w:p>
        </w:tc>
        <w:tc>
          <w:tcPr>
            <w:tcW w:w="1480" w:type="dxa"/>
            <w:tcBorders>
              <w:top w:val="nil"/>
              <w:left w:val="nil"/>
              <w:bottom w:val="nil"/>
              <w:right w:val="nil"/>
            </w:tcBorders>
            <w:shd w:val="clear" w:color="auto" w:fill="auto"/>
            <w:noWrap/>
            <w:vAlign w:val="bottom"/>
            <w:hideMark/>
          </w:tcPr>
          <w:p w14:paraId="74BFEDB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757.919,00</w:t>
            </w:r>
          </w:p>
        </w:tc>
        <w:tc>
          <w:tcPr>
            <w:tcW w:w="1380" w:type="dxa"/>
            <w:tcBorders>
              <w:top w:val="nil"/>
              <w:left w:val="nil"/>
              <w:bottom w:val="nil"/>
              <w:right w:val="nil"/>
            </w:tcBorders>
            <w:shd w:val="clear" w:color="auto" w:fill="auto"/>
            <w:noWrap/>
            <w:vAlign w:val="bottom"/>
            <w:hideMark/>
          </w:tcPr>
          <w:p w14:paraId="020E91B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733.862,30</w:t>
            </w:r>
          </w:p>
        </w:tc>
        <w:tc>
          <w:tcPr>
            <w:tcW w:w="1400" w:type="dxa"/>
            <w:tcBorders>
              <w:top w:val="nil"/>
              <w:left w:val="nil"/>
              <w:bottom w:val="nil"/>
              <w:right w:val="nil"/>
            </w:tcBorders>
            <w:shd w:val="clear" w:color="auto" w:fill="auto"/>
            <w:noWrap/>
            <w:vAlign w:val="bottom"/>
            <w:hideMark/>
          </w:tcPr>
          <w:p w14:paraId="03F9016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96,83%</w:t>
            </w:r>
          </w:p>
        </w:tc>
      </w:tr>
      <w:tr w:rsidR="00A360DB" w:rsidRPr="00A360DB" w14:paraId="59789ADD" w14:textId="77777777" w:rsidTr="00A360DB">
        <w:trPr>
          <w:trHeight w:val="240"/>
        </w:trPr>
        <w:tc>
          <w:tcPr>
            <w:tcW w:w="1697" w:type="dxa"/>
            <w:tcBorders>
              <w:top w:val="nil"/>
              <w:left w:val="nil"/>
              <w:bottom w:val="nil"/>
              <w:right w:val="nil"/>
            </w:tcBorders>
            <w:shd w:val="clear" w:color="auto" w:fill="auto"/>
            <w:noWrap/>
            <w:vAlign w:val="bottom"/>
            <w:hideMark/>
          </w:tcPr>
          <w:p w14:paraId="5FD2FCB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4124</w:t>
            </w:r>
          </w:p>
        </w:tc>
        <w:tc>
          <w:tcPr>
            <w:tcW w:w="8509" w:type="dxa"/>
            <w:tcBorders>
              <w:top w:val="nil"/>
              <w:left w:val="nil"/>
              <w:bottom w:val="nil"/>
              <w:right w:val="nil"/>
            </w:tcBorders>
            <w:shd w:val="clear" w:color="auto" w:fill="auto"/>
            <w:noWrap/>
            <w:vAlign w:val="bottom"/>
            <w:hideMark/>
          </w:tcPr>
          <w:p w14:paraId="3C350EA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Ostala prava                                                                                        </w:t>
            </w:r>
          </w:p>
        </w:tc>
        <w:tc>
          <w:tcPr>
            <w:tcW w:w="1480" w:type="dxa"/>
            <w:tcBorders>
              <w:top w:val="nil"/>
              <w:left w:val="nil"/>
              <w:bottom w:val="nil"/>
              <w:right w:val="nil"/>
            </w:tcBorders>
            <w:shd w:val="clear" w:color="auto" w:fill="auto"/>
            <w:noWrap/>
            <w:vAlign w:val="bottom"/>
            <w:hideMark/>
          </w:tcPr>
          <w:p w14:paraId="5A7F6239"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3E80AD5"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733.862,30</w:t>
            </w:r>
          </w:p>
        </w:tc>
        <w:tc>
          <w:tcPr>
            <w:tcW w:w="1400" w:type="dxa"/>
            <w:tcBorders>
              <w:top w:val="nil"/>
              <w:left w:val="nil"/>
              <w:bottom w:val="nil"/>
              <w:right w:val="nil"/>
            </w:tcBorders>
            <w:shd w:val="clear" w:color="auto" w:fill="auto"/>
            <w:noWrap/>
            <w:vAlign w:val="bottom"/>
            <w:hideMark/>
          </w:tcPr>
          <w:p w14:paraId="57F47D52"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C9E97A4" w14:textId="77777777" w:rsidTr="00A360DB">
        <w:trPr>
          <w:trHeight w:val="240"/>
        </w:trPr>
        <w:tc>
          <w:tcPr>
            <w:tcW w:w="1697" w:type="dxa"/>
            <w:tcBorders>
              <w:top w:val="nil"/>
              <w:left w:val="nil"/>
              <w:bottom w:val="nil"/>
              <w:right w:val="nil"/>
            </w:tcBorders>
            <w:shd w:val="clear" w:color="auto" w:fill="auto"/>
            <w:noWrap/>
            <w:vAlign w:val="bottom"/>
            <w:hideMark/>
          </w:tcPr>
          <w:p w14:paraId="02D9F598"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42</w:t>
            </w:r>
          </w:p>
        </w:tc>
        <w:tc>
          <w:tcPr>
            <w:tcW w:w="8509" w:type="dxa"/>
            <w:tcBorders>
              <w:top w:val="nil"/>
              <w:left w:val="nil"/>
              <w:bottom w:val="nil"/>
              <w:right w:val="nil"/>
            </w:tcBorders>
            <w:shd w:val="clear" w:color="auto" w:fill="auto"/>
            <w:noWrap/>
            <w:vAlign w:val="bottom"/>
            <w:hideMark/>
          </w:tcPr>
          <w:p w14:paraId="7EAF6B82"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nabavu proizvedene dugotrajne imovine                                                    </w:t>
            </w:r>
          </w:p>
        </w:tc>
        <w:tc>
          <w:tcPr>
            <w:tcW w:w="1480" w:type="dxa"/>
            <w:tcBorders>
              <w:top w:val="nil"/>
              <w:left w:val="nil"/>
              <w:bottom w:val="nil"/>
              <w:right w:val="nil"/>
            </w:tcBorders>
            <w:shd w:val="clear" w:color="auto" w:fill="auto"/>
            <w:noWrap/>
            <w:vAlign w:val="bottom"/>
            <w:hideMark/>
          </w:tcPr>
          <w:p w14:paraId="2ABC494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346.338,00</w:t>
            </w:r>
          </w:p>
        </w:tc>
        <w:tc>
          <w:tcPr>
            <w:tcW w:w="1380" w:type="dxa"/>
            <w:tcBorders>
              <w:top w:val="nil"/>
              <w:left w:val="nil"/>
              <w:bottom w:val="nil"/>
              <w:right w:val="nil"/>
            </w:tcBorders>
            <w:shd w:val="clear" w:color="auto" w:fill="auto"/>
            <w:noWrap/>
            <w:vAlign w:val="bottom"/>
            <w:hideMark/>
          </w:tcPr>
          <w:p w14:paraId="1453D45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346.337,50</w:t>
            </w:r>
          </w:p>
        </w:tc>
        <w:tc>
          <w:tcPr>
            <w:tcW w:w="1400" w:type="dxa"/>
            <w:tcBorders>
              <w:top w:val="nil"/>
              <w:left w:val="nil"/>
              <w:bottom w:val="nil"/>
              <w:right w:val="nil"/>
            </w:tcBorders>
            <w:shd w:val="clear" w:color="auto" w:fill="auto"/>
            <w:noWrap/>
            <w:vAlign w:val="bottom"/>
            <w:hideMark/>
          </w:tcPr>
          <w:p w14:paraId="6F05627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r>
      <w:tr w:rsidR="00A360DB" w:rsidRPr="00A360DB" w14:paraId="198EA028" w14:textId="77777777" w:rsidTr="00A360DB">
        <w:trPr>
          <w:trHeight w:val="240"/>
        </w:trPr>
        <w:tc>
          <w:tcPr>
            <w:tcW w:w="1697" w:type="dxa"/>
            <w:tcBorders>
              <w:top w:val="nil"/>
              <w:left w:val="nil"/>
              <w:bottom w:val="nil"/>
              <w:right w:val="nil"/>
            </w:tcBorders>
            <w:shd w:val="clear" w:color="auto" w:fill="auto"/>
            <w:noWrap/>
            <w:vAlign w:val="bottom"/>
            <w:hideMark/>
          </w:tcPr>
          <w:p w14:paraId="2B2C3B88"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4227</w:t>
            </w:r>
          </w:p>
        </w:tc>
        <w:tc>
          <w:tcPr>
            <w:tcW w:w="8509" w:type="dxa"/>
            <w:tcBorders>
              <w:top w:val="nil"/>
              <w:left w:val="nil"/>
              <w:bottom w:val="nil"/>
              <w:right w:val="nil"/>
            </w:tcBorders>
            <w:shd w:val="clear" w:color="auto" w:fill="auto"/>
            <w:noWrap/>
            <w:vAlign w:val="bottom"/>
            <w:hideMark/>
          </w:tcPr>
          <w:p w14:paraId="5AF498C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Uređaji, strojevi i oprema za ostale namjene                                                        </w:t>
            </w:r>
          </w:p>
        </w:tc>
        <w:tc>
          <w:tcPr>
            <w:tcW w:w="1480" w:type="dxa"/>
            <w:tcBorders>
              <w:top w:val="nil"/>
              <w:left w:val="nil"/>
              <w:bottom w:val="nil"/>
              <w:right w:val="nil"/>
            </w:tcBorders>
            <w:shd w:val="clear" w:color="auto" w:fill="auto"/>
            <w:noWrap/>
            <w:vAlign w:val="bottom"/>
            <w:hideMark/>
          </w:tcPr>
          <w:p w14:paraId="749642B0"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3895AD0"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346.337,50</w:t>
            </w:r>
          </w:p>
        </w:tc>
        <w:tc>
          <w:tcPr>
            <w:tcW w:w="1400" w:type="dxa"/>
            <w:tcBorders>
              <w:top w:val="nil"/>
              <w:left w:val="nil"/>
              <w:bottom w:val="nil"/>
              <w:right w:val="nil"/>
            </w:tcBorders>
            <w:shd w:val="clear" w:color="auto" w:fill="auto"/>
            <w:noWrap/>
            <w:vAlign w:val="bottom"/>
            <w:hideMark/>
          </w:tcPr>
          <w:p w14:paraId="076DC797"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095A28A"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FA2F022"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8. Namjenski primici /od fin. imovine i zaduživanja</w:t>
            </w:r>
          </w:p>
        </w:tc>
        <w:tc>
          <w:tcPr>
            <w:tcW w:w="1480" w:type="dxa"/>
            <w:tcBorders>
              <w:top w:val="nil"/>
              <w:left w:val="nil"/>
              <w:bottom w:val="nil"/>
              <w:right w:val="nil"/>
            </w:tcBorders>
            <w:shd w:val="clear" w:color="auto" w:fill="auto"/>
            <w:noWrap/>
            <w:vAlign w:val="bottom"/>
            <w:hideMark/>
          </w:tcPr>
          <w:p w14:paraId="78E2F468"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378.081,00</w:t>
            </w:r>
          </w:p>
        </w:tc>
        <w:tc>
          <w:tcPr>
            <w:tcW w:w="1380" w:type="dxa"/>
            <w:tcBorders>
              <w:top w:val="nil"/>
              <w:left w:val="nil"/>
              <w:bottom w:val="nil"/>
              <w:right w:val="nil"/>
            </w:tcBorders>
            <w:shd w:val="clear" w:color="auto" w:fill="auto"/>
            <w:noWrap/>
            <w:vAlign w:val="bottom"/>
            <w:hideMark/>
          </w:tcPr>
          <w:p w14:paraId="35C7327E"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345.831,00</w:t>
            </w:r>
          </w:p>
        </w:tc>
        <w:tc>
          <w:tcPr>
            <w:tcW w:w="1400" w:type="dxa"/>
            <w:tcBorders>
              <w:top w:val="nil"/>
              <w:left w:val="nil"/>
              <w:bottom w:val="nil"/>
              <w:right w:val="nil"/>
            </w:tcBorders>
            <w:shd w:val="clear" w:color="auto" w:fill="auto"/>
            <w:noWrap/>
            <w:vAlign w:val="bottom"/>
            <w:hideMark/>
          </w:tcPr>
          <w:p w14:paraId="35E8D73A"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91,47%</w:t>
            </w:r>
          </w:p>
        </w:tc>
      </w:tr>
      <w:tr w:rsidR="00A360DB" w:rsidRPr="00A360DB" w14:paraId="4124C6CB"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7895323"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 xml:space="preserve">Izvor 8.1. Namjenski primici /od fin. imovine i zaduživanja </w:t>
            </w:r>
          </w:p>
        </w:tc>
        <w:tc>
          <w:tcPr>
            <w:tcW w:w="1480" w:type="dxa"/>
            <w:tcBorders>
              <w:top w:val="nil"/>
              <w:left w:val="nil"/>
              <w:bottom w:val="nil"/>
              <w:right w:val="nil"/>
            </w:tcBorders>
            <w:shd w:val="clear" w:color="auto" w:fill="auto"/>
            <w:noWrap/>
            <w:vAlign w:val="bottom"/>
            <w:hideMark/>
          </w:tcPr>
          <w:p w14:paraId="7A4738BB"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378.081,00</w:t>
            </w:r>
          </w:p>
        </w:tc>
        <w:tc>
          <w:tcPr>
            <w:tcW w:w="1380" w:type="dxa"/>
            <w:tcBorders>
              <w:top w:val="nil"/>
              <w:left w:val="nil"/>
              <w:bottom w:val="nil"/>
              <w:right w:val="nil"/>
            </w:tcBorders>
            <w:shd w:val="clear" w:color="auto" w:fill="auto"/>
            <w:noWrap/>
            <w:vAlign w:val="bottom"/>
            <w:hideMark/>
          </w:tcPr>
          <w:p w14:paraId="19586807"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345.831,00</w:t>
            </w:r>
          </w:p>
        </w:tc>
        <w:tc>
          <w:tcPr>
            <w:tcW w:w="1400" w:type="dxa"/>
            <w:tcBorders>
              <w:top w:val="nil"/>
              <w:left w:val="nil"/>
              <w:bottom w:val="nil"/>
              <w:right w:val="nil"/>
            </w:tcBorders>
            <w:shd w:val="clear" w:color="auto" w:fill="auto"/>
            <w:noWrap/>
            <w:vAlign w:val="bottom"/>
            <w:hideMark/>
          </w:tcPr>
          <w:p w14:paraId="6F9BA563"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91,47%</w:t>
            </w:r>
          </w:p>
        </w:tc>
      </w:tr>
      <w:tr w:rsidR="00A360DB" w:rsidRPr="00A360DB" w14:paraId="3F3F9A60" w14:textId="77777777" w:rsidTr="00A360DB">
        <w:trPr>
          <w:trHeight w:val="240"/>
        </w:trPr>
        <w:tc>
          <w:tcPr>
            <w:tcW w:w="1697" w:type="dxa"/>
            <w:tcBorders>
              <w:top w:val="nil"/>
              <w:left w:val="nil"/>
              <w:bottom w:val="nil"/>
              <w:right w:val="nil"/>
            </w:tcBorders>
            <w:shd w:val="clear" w:color="auto" w:fill="auto"/>
            <w:noWrap/>
            <w:vAlign w:val="bottom"/>
            <w:hideMark/>
          </w:tcPr>
          <w:p w14:paraId="3AEB2F17"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41</w:t>
            </w:r>
          </w:p>
        </w:tc>
        <w:tc>
          <w:tcPr>
            <w:tcW w:w="8509" w:type="dxa"/>
            <w:tcBorders>
              <w:top w:val="nil"/>
              <w:left w:val="nil"/>
              <w:bottom w:val="nil"/>
              <w:right w:val="nil"/>
            </w:tcBorders>
            <w:shd w:val="clear" w:color="auto" w:fill="auto"/>
            <w:noWrap/>
            <w:vAlign w:val="bottom"/>
            <w:hideMark/>
          </w:tcPr>
          <w:p w14:paraId="6B7A5AEC"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nabavu </w:t>
            </w:r>
            <w:proofErr w:type="spellStart"/>
            <w:r w:rsidRPr="00A360DB">
              <w:rPr>
                <w:rFonts w:ascii="Arial" w:hAnsi="Arial" w:cs="Arial"/>
                <w:b/>
                <w:bCs/>
                <w:sz w:val="18"/>
                <w:szCs w:val="18"/>
                <w:lang w:eastAsia="hr-HR"/>
              </w:rPr>
              <w:t>neproizvedene</w:t>
            </w:r>
            <w:proofErr w:type="spellEnd"/>
            <w:r w:rsidRPr="00A360DB">
              <w:rPr>
                <w:rFonts w:ascii="Arial" w:hAnsi="Arial" w:cs="Arial"/>
                <w:b/>
                <w:bCs/>
                <w:sz w:val="18"/>
                <w:szCs w:val="18"/>
                <w:lang w:eastAsia="hr-HR"/>
              </w:rPr>
              <w:t xml:space="preserve"> dugotrajne imovine                                                  </w:t>
            </w:r>
          </w:p>
        </w:tc>
        <w:tc>
          <w:tcPr>
            <w:tcW w:w="1480" w:type="dxa"/>
            <w:tcBorders>
              <w:top w:val="nil"/>
              <w:left w:val="nil"/>
              <w:bottom w:val="nil"/>
              <w:right w:val="nil"/>
            </w:tcBorders>
            <w:shd w:val="clear" w:color="auto" w:fill="auto"/>
            <w:noWrap/>
            <w:vAlign w:val="bottom"/>
            <w:hideMark/>
          </w:tcPr>
          <w:p w14:paraId="4FFEFA3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262.081,00</w:t>
            </w:r>
          </w:p>
        </w:tc>
        <w:tc>
          <w:tcPr>
            <w:tcW w:w="1380" w:type="dxa"/>
            <w:tcBorders>
              <w:top w:val="nil"/>
              <w:left w:val="nil"/>
              <w:bottom w:val="nil"/>
              <w:right w:val="nil"/>
            </w:tcBorders>
            <w:shd w:val="clear" w:color="auto" w:fill="auto"/>
            <w:noWrap/>
            <w:vAlign w:val="bottom"/>
            <w:hideMark/>
          </w:tcPr>
          <w:p w14:paraId="03D1A17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229.831,00</w:t>
            </w:r>
          </w:p>
        </w:tc>
        <w:tc>
          <w:tcPr>
            <w:tcW w:w="1400" w:type="dxa"/>
            <w:tcBorders>
              <w:top w:val="nil"/>
              <w:left w:val="nil"/>
              <w:bottom w:val="nil"/>
              <w:right w:val="nil"/>
            </w:tcBorders>
            <w:shd w:val="clear" w:color="auto" w:fill="auto"/>
            <w:noWrap/>
            <w:vAlign w:val="bottom"/>
            <w:hideMark/>
          </w:tcPr>
          <w:p w14:paraId="1C2B2BE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87,69%</w:t>
            </w:r>
          </w:p>
        </w:tc>
      </w:tr>
      <w:tr w:rsidR="00A360DB" w:rsidRPr="00A360DB" w14:paraId="3BCEE0F1" w14:textId="77777777" w:rsidTr="00A360DB">
        <w:trPr>
          <w:trHeight w:val="240"/>
        </w:trPr>
        <w:tc>
          <w:tcPr>
            <w:tcW w:w="1697" w:type="dxa"/>
            <w:tcBorders>
              <w:top w:val="nil"/>
              <w:left w:val="nil"/>
              <w:bottom w:val="nil"/>
              <w:right w:val="nil"/>
            </w:tcBorders>
            <w:shd w:val="clear" w:color="auto" w:fill="auto"/>
            <w:noWrap/>
            <w:vAlign w:val="bottom"/>
            <w:hideMark/>
          </w:tcPr>
          <w:p w14:paraId="061238D5"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4124</w:t>
            </w:r>
          </w:p>
        </w:tc>
        <w:tc>
          <w:tcPr>
            <w:tcW w:w="8509" w:type="dxa"/>
            <w:tcBorders>
              <w:top w:val="nil"/>
              <w:left w:val="nil"/>
              <w:bottom w:val="nil"/>
              <w:right w:val="nil"/>
            </w:tcBorders>
            <w:shd w:val="clear" w:color="auto" w:fill="auto"/>
            <w:noWrap/>
            <w:vAlign w:val="bottom"/>
            <w:hideMark/>
          </w:tcPr>
          <w:p w14:paraId="041B02B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Ostala prava                                                                                        </w:t>
            </w:r>
          </w:p>
        </w:tc>
        <w:tc>
          <w:tcPr>
            <w:tcW w:w="1480" w:type="dxa"/>
            <w:tcBorders>
              <w:top w:val="nil"/>
              <w:left w:val="nil"/>
              <w:bottom w:val="nil"/>
              <w:right w:val="nil"/>
            </w:tcBorders>
            <w:shd w:val="clear" w:color="auto" w:fill="auto"/>
            <w:noWrap/>
            <w:vAlign w:val="bottom"/>
            <w:hideMark/>
          </w:tcPr>
          <w:p w14:paraId="1B432CCD"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B1A688B"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229.831,00</w:t>
            </w:r>
          </w:p>
        </w:tc>
        <w:tc>
          <w:tcPr>
            <w:tcW w:w="1400" w:type="dxa"/>
            <w:tcBorders>
              <w:top w:val="nil"/>
              <w:left w:val="nil"/>
              <w:bottom w:val="nil"/>
              <w:right w:val="nil"/>
            </w:tcBorders>
            <w:shd w:val="clear" w:color="auto" w:fill="auto"/>
            <w:noWrap/>
            <w:vAlign w:val="bottom"/>
            <w:hideMark/>
          </w:tcPr>
          <w:p w14:paraId="3F29A5EA"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AE6DAF0" w14:textId="77777777" w:rsidTr="00A360DB">
        <w:trPr>
          <w:trHeight w:val="240"/>
        </w:trPr>
        <w:tc>
          <w:tcPr>
            <w:tcW w:w="1697" w:type="dxa"/>
            <w:tcBorders>
              <w:top w:val="nil"/>
              <w:left w:val="nil"/>
              <w:bottom w:val="nil"/>
              <w:right w:val="nil"/>
            </w:tcBorders>
            <w:shd w:val="clear" w:color="auto" w:fill="auto"/>
            <w:noWrap/>
            <w:vAlign w:val="bottom"/>
            <w:hideMark/>
          </w:tcPr>
          <w:p w14:paraId="0A985CB7"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42</w:t>
            </w:r>
          </w:p>
        </w:tc>
        <w:tc>
          <w:tcPr>
            <w:tcW w:w="8509" w:type="dxa"/>
            <w:tcBorders>
              <w:top w:val="nil"/>
              <w:left w:val="nil"/>
              <w:bottom w:val="nil"/>
              <w:right w:val="nil"/>
            </w:tcBorders>
            <w:shd w:val="clear" w:color="auto" w:fill="auto"/>
            <w:noWrap/>
            <w:vAlign w:val="bottom"/>
            <w:hideMark/>
          </w:tcPr>
          <w:p w14:paraId="12297FD2"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nabavu proizvedene dugotrajne imovine                                                    </w:t>
            </w:r>
          </w:p>
        </w:tc>
        <w:tc>
          <w:tcPr>
            <w:tcW w:w="1480" w:type="dxa"/>
            <w:tcBorders>
              <w:top w:val="nil"/>
              <w:left w:val="nil"/>
              <w:bottom w:val="nil"/>
              <w:right w:val="nil"/>
            </w:tcBorders>
            <w:shd w:val="clear" w:color="auto" w:fill="auto"/>
            <w:noWrap/>
            <w:vAlign w:val="bottom"/>
            <w:hideMark/>
          </w:tcPr>
          <w:p w14:paraId="5D195CA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116.000,00</w:t>
            </w:r>
          </w:p>
        </w:tc>
        <w:tc>
          <w:tcPr>
            <w:tcW w:w="1380" w:type="dxa"/>
            <w:tcBorders>
              <w:top w:val="nil"/>
              <w:left w:val="nil"/>
              <w:bottom w:val="nil"/>
              <w:right w:val="nil"/>
            </w:tcBorders>
            <w:shd w:val="clear" w:color="auto" w:fill="auto"/>
            <w:noWrap/>
            <w:vAlign w:val="bottom"/>
            <w:hideMark/>
          </w:tcPr>
          <w:p w14:paraId="31034EF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116.000,00</w:t>
            </w:r>
          </w:p>
        </w:tc>
        <w:tc>
          <w:tcPr>
            <w:tcW w:w="1400" w:type="dxa"/>
            <w:tcBorders>
              <w:top w:val="nil"/>
              <w:left w:val="nil"/>
              <w:bottom w:val="nil"/>
              <w:right w:val="nil"/>
            </w:tcBorders>
            <w:shd w:val="clear" w:color="auto" w:fill="auto"/>
            <w:noWrap/>
            <w:vAlign w:val="bottom"/>
            <w:hideMark/>
          </w:tcPr>
          <w:p w14:paraId="66F89E8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r>
      <w:tr w:rsidR="00A360DB" w:rsidRPr="00A360DB" w14:paraId="2D80EE55" w14:textId="77777777" w:rsidTr="00A360DB">
        <w:trPr>
          <w:trHeight w:val="240"/>
        </w:trPr>
        <w:tc>
          <w:tcPr>
            <w:tcW w:w="1697" w:type="dxa"/>
            <w:tcBorders>
              <w:top w:val="nil"/>
              <w:left w:val="nil"/>
              <w:bottom w:val="nil"/>
              <w:right w:val="nil"/>
            </w:tcBorders>
            <w:shd w:val="clear" w:color="auto" w:fill="auto"/>
            <w:noWrap/>
            <w:vAlign w:val="bottom"/>
            <w:hideMark/>
          </w:tcPr>
          <w:p w14:paraId="356A1BF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4227</w:t>
            </w:r>
          </w:p>
        </w:tc>
        <w:tc>
          <w:tcPr>
            <w:tcW w:w="8509" w:type="dxa"/>
            <w:tcBorders>
              <w:top w:val="nil"/>
              <w:left w:val="nil"/>
              <w:bottom w:val="nil"/>
              <w:right w:val="nil"/>
            </w:tcBorders>
            <w:shd w:val="clear" w:color="auto" w:fill="auto"/>
            <w:noWrap/>
            <w:vAlign w:val="bottom"/>
            <w:hideMark/>
          </w:tcPr>
          <w:p w14:paraId="42C02A2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Uređaji, strojevi i oprema za ostale namjene                                                        </w:t>
            </w:r>
          </w:p>
        </w:tc>
        <w:tc>
          <w:tcPr>
            <w:tcW w:w="1480" w:type="dxa"/>
            <w:tcBorders>
              <w:top w:val="nil"/>
              <w:left w:val="nil"/>
              <w:bottom w:val="nil"/>
              <w:right w:val="nil"/>
            </w:tcBorders>
            <w:shd w:val="clear" w:color="auto" w:fill="auto"/>
            <w:noWrap/>
            <w:vAlign w:val="bottom"/>
            <w:hideMark/>
          </w:tcPr>
          <w:p w14:paraId="611DD5F6"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50A61642"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116.000,00</w:t>
            </w:r>
          </w:p>
        </w:tc>
        <w:tc>
          <w:tcPr>
            <w:tcW w:w="1400" w:type="dxa"/>
            <w:tcBorders>
              <w:top w:val="nil"/>
              <w:left w:val="nil"/>
              <w:bottom w:val="nil"/>
              <w:right w:val="nil"/>
            </w:tcBorders>
            <w:shd w:val="clear" w:color="auto" w:fill="auto"/>
            <w:noWrap/>
            <w:vAlign w:val="bottom"/>
            <w:hideMark/>
          </w:tcPr>
          <w:p w14:paraId="0EB0BE4B"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26EA5F04" w14:textId="77777777" w:rsidTr="00A360DB">
        <w:trPr>
          <w:trHeight w:val="240"/>
        </w:trPr>
        <w:tc>
          <w:tcPr>
            <w:tcW w:w="1697" w:type="dxa"/>
            <w:tcBorders>
              <w:top w:val="nil"/>
              <w:left w:val="nil"/>
              <w:bottom w:val="nil"/>
              <w:right w:val="nil"/>
            </w:tcBorders>
            <w:shd w:val="clear" w:color="000000" w:fill="1D4BB3"/>
            <w:noWrap/>
            <w:vAlign w:val="bottom"/>
            <w:hideMark/>
          </w:tcPr>
          <w:p w14:paraId="4643F75D" w14:textId="77777777" w:rsidR="00A360DB" w:rsidRPr="00A360DB" w:rsidRDefault="00A360DB" w:rsidP="00A360DB">
            <w:pPr>
              <w:spacing w:after="0" w:line="240" w:lineRule="auto"/>
              <w:rPr>
                <w:rFonts w:ascii="Arial" w:hAnsi="Arial" w:cs="Arial"/>
                <w:b/>
                <w:bCs/>
                <w:color w:val="FFFFFF"/>
                <w:sz w:val="18"/>
                <w:szCs w:val="18"/>
                <w:lang w:eastAsia="hr-HR"/>
              </w:rPr>
            </w:pPr>
            <w:r w:rsidRPr="00A360DB">
              <w:rPr>
                <w:rFonts w:ascii="Arial" w:hAnsi="Arial" w:cs="Arial"/>
                <w:b/>
                <w:bCs/>
                <w:color w:val="FFFFFF"/>
                <w:sz w:val="18"/>
                <w:szCs w:val="18"/>
                <w:lang w:eastAsia="hr-HR"/>
              </w:rPr>
              <w:t>1009</w:t>
            </w:r>
          </w:p>
        </w:tc>
        <w:tc>
          <w:tcPr>
            <w:tcW w:w="8509" w:type="dxa"/>
            <w:tcBorders>
              <w:top w:val="nil"/>
              <w:left w:val="nil"/>
              <w:bottom w:val="nil"/>
              <w:right w:val="nil"/>
            </w:tcBorders>
            <w:shd w:val="clear" w:color="000000" w:fill="1D4BB3"/>
            <w:noWrap/>
            <w:vAlign w:val="bottom"/>
            <w:hideMark/>
          </w:tcPr>
          <w:p w14:paraId="38758560" w14:textId="77777777" w:rsidR="00A360DB" w:rsidRPr="00A360DB" w:rsidRDefault="00A360DB" w:rsidP="00A360DB">
            <w:pPr>
              <w:spacing w:after="0" w:line="240" w:lineRule="auto"/>
              <w:rPr>
                <w:rFonts w:ascii="Arial" w:hAnsi="Arial" w:cs="Arial"/>
                <w:b/>
                <w:bCs/>
                <w:color w:val="FFFFFF"/>
                <w:sz w:val="18"/>
                <w:szCs w:val="18"/>
                <w:lang w:eastAsia="hr-HR"/>
              </w:rPr>
            </w:pPr>
            <w:r w:rsidRPr="00A360DB">
              <w:rPr>
                <w:rFonts w:ascii="Arial" w:hAnsi="Arial" w:cs="Arial"/>
                <w:b/>
                <w:bCs/>
                <w:color w:val="FFFFFF"/>
                <w:sz w:val="18"/>
                <w:szCs w:val="18"/>
                <w:lang w:eastAsia="hr-HR"/>
              </w:rPr>
              <w:t>Program: Poticanje razvoja gospodarstva</w:t>
            </w:r>
          </w:p>
        </w:tc>
        <w:tc>
          <w:tcPr>
            <w:tcW w:w="1480" w:type="dxa"/>
            <w:tcBorders>
              <w:top w:val="nil"/>
              <w:left w:val="nil"/>
              <w:bottom w:val="nil"/>
              <w:right w:val="nil"/>
            </w:tcBorders>
            <w:shd w:val="clear" w:color="000000" w:fill="1D4BB3"/>
            <w:noWrap/>
            <w:vAlign w:val="bottom"/>
            <w:hideMark/>
          </w:tcPr>
          <w:p w14:paraId="0F8A7E82"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255.220,00</w:t>
            </w:r>
          </w:p>
        </w:tc>
        <w:tc>
          <w:tcPr>
            <w:tcW w:w="1380" w:type="dxa"/>
            <w:tcBorders>
              <w:top w:val="nil"/>
              <w:left w:val="nil"/>
              <w:bottom w:val="nil"/>
              <w:right w:val="nil"/>
            </w:tcBorders>
            <w:shd w:val="clear" w:color="000000" w:fill="1D4BB3"/>
            <w:noWrap/>
            <w:vAlign w:val="bottom"/>
            <w:hideMark/>
          </w:tcPr>
          <w:p w14:paraId="4F23F168"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223.925,02</w:t>
            </w:r>
          </w:p>
        </w:tc>
        <w:tc>
          <w:tcPr>
            <w:tcW w:w="1400" w:type="dxa"/>
            <w:tcBorders>
              <w:top w:val="nil"/>
              <w:left w:val="nil"/>
              <w:bottom w:val="nil"/>
              <w:right w:val="nil"/>
            </w:tcBorders>
            <w:shd w:val="clear" w:color="000000" w:fill="1D4BB3"/>
            <w:noWrap/>
            <w:vAlign w:val="bottom"/>
            <w:hideMark/>
          </w:tcPr>
          <w:p w14:paraId="30F0F4C1"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87,74%</w:t>
            </w:r>
          </w:p>
        </w:tc>
      </w:tr>
      <w:tr w:rsidR="00A360DB" w:rsidRPr="00A360DB" w14:paraId="38BC0A86" w14:textId="77777777" w:rsidTr="00A360DB">
        <w:trPr>
          <w:trHeight w:val="240"/>
        </w:trPr>
        <w:tc>
          <w:tcPr>
            <w:tcW w:w="1697" w:type="dxa"/>
            <w:tcBorders>
              <w:top w:val="nil"/>
              <w:left w:val="nil"/>
              <w:bottom w:val="nil"/>
              <w:right w:val="nil"/>
            </w:tcBorders>
            <w:shd w:val="clear" w:color="000000" w:fill="B4C6E7"/>
            <w:noWrap/>
            <w:vAlign w:val="bottom"/>
            <w:hideMark/>
          </w:tcPr>
          <w:p w14:paraId="084BDA33"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A100902</w:t>
            </w:r>
          </w:p>
        </w:tc>
        <w:tc>
          <w:tcPr>
            <w:tcW w:w="8509" w:type="dxa"/>
            <w:tcBorders>
              <w:top w:val="nil"/>
              <w:left w:val="nil"/>
              <w:bottom w:val="nil"/>
              <w:right w:val="nil"/>
            </w:tcBorders>
            <w:shd w:val="clear" w:color="000000" w:fill="B4C6E7"/>
            <w:noWrap/>
            <w:vAlign w:val="bottom"/>
            <w:hideMark/>
          </w:tcPr>
          <w:p w14:paraId="60FE7D6A"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Održavanje poljskih puteva</w:t>
            </w:r>
          </w:p>
        </w:tc>
        <w:tc>
          <w:tcPr>
            <w:tcW w:w="1480" w:type="dxa"/>
            <w:tcBorders>
              <w:top w:val="nil"/>
              <w:left w:val="nil"/>
              <w:bottom w:val="nil"/>
              <w:right w:val="nil"/>
            </w:tcBorders>
            <w:shd w:val="clear" w:color="000000" w:fill="B4C6E7"/>
            <w:noWrap/>
            <w:vAlign w:val="bottom"/>
            <w:hideMark/>
          </w:tcPr>
          <w:p w14:paraId="1E1E2FC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105.520,00</w:t>
            </w:r>
          </w:p>
        </w:tc>
        <w:tc>
          <w:tcPr>
            <w:tcW w:w="1380" w:type="dxa"/>
            <w:tcBorders>
              <w:top w:val="nil"/>
              <w:left w:val="nil"/>
              <w:bottom w:val="nil"/>
              <w:right w:val="nil"/>
            </w:tcBorders>
            <w:shd w:val="clear" w:color="000000" w:fill="B4C6E7"/>
            <w:noWrap/>
            <w:vAlign w:val="bottom"/>
            <w:hideMark/>
          </w:tcPr>
          <w:p w14:paraId="071B270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99.236,67</w:t>
            </w:r>
          </w:p>
        </w:tc>
        <w:tc>
          <w:tcPr>
            <w:tcW w:w="1400" w:type="dxa"/>
            <w:tcBorders>
              <w:top w:val="nil"/>
              <w:left w:val="nil"/>
              <w:bottom w:val="nil"/>
              <w:right w:val="nil"/>
            </w:tcBorders>
            <w:shd w:val="clear" w:color="000000" w:fill="B4C6E7"/>
            <w:noWrap/>
            <w:vAlign w:val="bottom"/>
            <w:hideMark/>
          </w:tcPr>
          <w:p w14:paraId="37B5138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94,05%</w:t>
            </w:r>
          </w:p>
        </w:tc>
      </w:tr>
      <w:tr w:rsidR="00A360DB" w:rsidRPr="00A360DB" w14:paraId="4BE51F4B"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20EC8BA7"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2DB63865"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10.000,00</w:t>
            </w:r>
          </w:p>
        </w:tc>
        <w:tc>
          <w:tcPr>
            <w:tcW w:w="1380" w:type="dxa"/>
            <w:tcBorders>
              <w:top w:val="nil"/>
              <w:left w:val="nil"/>
              <w:bottom w:val="nil"/>
              <w:right w:val="nil"/>
            </w:tcBorders>
            <w:shd w:val="clear" w:color="auto" w:fill="auto"/>
            <w:noWrap/>
            <w:vAlign w:val="bottom"/>
            <w:hideMark/>
          </w:tcPr>
          <w:p w14:paraId="429E5368"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22.661,98</w:t>
            </w:r>
          </w:p>
        </w:tc>
        <w:tc>
          <w:tcPr>
            <w:tcW w:w="1400" w:type="dxa"/>
            <w:tcBorders>
              <w:top w:val="nil"/>
              <w:left w:val="nil"/>
              <w:bottom w:val="nil"/>
              <w:right w:val="nil"/>
            </w:tcBorders>
            <w:shd w:val="clear" w:color="auto" w:fill="auto"/>
            <w:noWrap/>
            <w:vAlign w:val="bottom"/>
            <w:hideMark/>
          </w:tcPr>
          <w:p w14:paraId="4EF2990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226,62%</w:t>
            </w:r>
          </w:p>
        </w:tc>
      </w:tr>
      <w:tr w:rsidR="00A360DB" w:rsidRPr="00A360DB" w14:paraId="5317F2B7"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2FEE6F37"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692D6B31"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10.000,00</w:t>
            </w:r>
          </w:p>
        </w:tc>
        <w:tc>
          <w:tcPr>
            <w:tcW w:w="1380" w:type="dxa"/>
            <w:tcBorders>
              <w:top w:val="nil"/>
              <w:left w:val="nil"/>
              <w:bottom w:val="nil"/>
              <w:right w:val="nil"/>
            </w:tcBorders>
            <w:shd w:val="clear" w:color="auto" w:fill="auto"/>
            <w:noWrap/>
            <w:vAlign w:val="bottom"/>
            <w:hideMark/>
          </w:tcPr>
          <w:p w14:paraId="0E762B51"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22.661,98</w:t>
            </w:r>
          </w:p>
        </w:tc>
        <w:tc>
          <w:tcPr>
            <w:tcW w:w="1400" w:type="dxa"/>
            <w:tcBorders>
              <w:top w:val="nil"/>
              <w:left w:val="nil"/>
              <w:bottom w:val="nil"/>
              <w:right w:val="nil"/>
            </w:tcBorders>
            <w:shd w:val="clear" w:color="auto" w:fill="auto"/>
            <w:noWrap/>
            <w:vAlign w:val="bottom"/>
            <w:hideMark/>
          </w:tcPr>
          <w:p w14:paraId="6668873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226,62%</w:t>
            </w:r>
          </w:p>
        </w:tc>
      </w:tr>
      <w:tr w:rsidR="00A360DB" w:rsidRPr="00A360DB" w14:paraId="0715FF61" w14:textId="77777777" w:rsidTr="00A360DB">
        <w:trPr>
          <w:trHeight w:val="240"/>
        </w:trPr>
        <w:tc>
          <w:tcPr>
            <w:tcW w:w="1697" w:type="dxa"/>
            <w:tcBorders>
              <w:top w:val="nil"/>
              <w:left w:val="nil"/>
              <w:bottom w:val="nil"/>
              <w:right w:val="nil"/>
            </w:tcBorders>
            <w:shd w:val="clear" w:color="auto" w:fill="auto"/>
            <w:noWrap/>
            <w:vAlign w:val="bottom"/>
            <w:hideMark/>
          </w:tcPr>
          <w:p w14:paraId="58C736FD"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6D955FF3"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168ED78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10.000,00</w:t>
            </w:r>
          </w:p>
        </w:tc>
        <w:tc>
          <w:tcPr>
            <w:tcW w:w="1380" w:type="dxa"/>
            <w:tcBorders>
              <w:top w:val="nil"/>
              <w:left w:val="nil"/>
              <w:bottom w:val="nil"/>
              <w:right w:val="nil"/>
            </w:tcBorders>
            <w:shd w:val="clear" w:color="auto" w:fill="auto"/>
            <w:noWrap/>
            <w:vAlign w:val="bottom"/>
            <w:hideMark/>
          </w:tcPr>
          <w:p w14:paraId="00EF1F6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22.661,98</w:t>
            </w:r>
          </w:p>
        </w:tc>
        <w:tc>
          <w:tcPr>
            <w:tcW w:w="1400" w:type="dxa"/>
            <w:tcBorders>
              <w:top w:val="nil"/>
              <w:left w:val="nil"/>
              <w:bottom w:val="nil"/>
              <w:right w:val="nil"/>
            </w:tcBorders>
            <w:shd w:val="clear" w:color="auto" w:fill="auto"/>
            <w:noWrap/>
            <w:vAlign w:val="bottom"/>
            <w:hideMark/>
          </w:tcPr>
          <w:p w14:paraId="70945F3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226,62%</w:t>
            </w:r>
          </w:p>
        </w:tc>
      </w:tr>
      <w:tr w:rsidR="00A360DB" w:rsidRPr="00A360DB" w14:paraId="451E38F0" w14:textId="77777777" w:rsidTr="00A360DB">
        <w:trPr>
          <w:trHeight w:val="240"/>
        </w:trPr>
        <w:tc>
          <w:tcPr>
            <w:tcW w:w="1697" w:type="dxa"/>
            <w:tcBorders>
              <w:top w:val="nil"/>
              <w:left w:val="nil"/>
              <w:bottom w:val="nil"/>
              <w:right w:val="nil"/>
            </w:tcBorders>
            <w:shd w:val="clear" w:color="auto" w:fill="auto"/>
            <w:noWrap/>
            <w:vAlign w:val="bottom"/>
            <w:hideMark/>
          </w:tcPr>
          <w:p w14:paraId="71F2DA0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3232</w:t>
            </w:r>
          </w:p>
        </w:tc>
        <w:tc>
          <w:tcPr>
            <w:tcW w:w="8509" w:type="dxa"/>
            <w:tcBorders>
              <w:top w:val="nil"/>
              <w:left w:val="nil"/>
              <w:bottom w:val="nil"/>
              <w:right w:val="nil"/>
            </w:tcBorders>
            <w:shd w:val="clear" w:color="auto" w:fill="auto"/>
            <w:noWrap/>
            <w:vAlign w:val="bottom"/>
            <w:hideMark/>
          </w:tcPr>
          <w:p w14:paraId="0CA2CAF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Usluge tekućeg i investicijskog održavanja                                                          </w:t>
            </w:r>
          </w:p>
        </w:tc>
        <w:tc>
          <w:tcPr>
            <w:tcW w:w="1480" w:type="dxa"/>
            <w:tcBorders>
              <w:top w:val="nil"/>
              <w:left w:val="nil"/>
              <w:bottom w:val="nil"/>
              <w:right w:val="nil"/>
            </w:tcBorders>
            <w:shd w:val="clear" w:color="auto" w:fill="auto"/>
            <w:noWrap/>
            <w:vAlign w:val="bottom"/>
            <w:hideMark/>
          </w:tcPr>
          <w:p w14:paraId="5C51DF04"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BE58281"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22.661,98</w:t>
            </w:r>
          </w:p>
        </w:tc>
        <w:tc>
          <w:tcPr>
            <w:tcW w:w="1400" w:type="dxa"/>
            <w:tcBorders>
              <w:top w:val="nil"/>
              <w:left w:val="nil"/>
              <w:bottom w:val="nil"/>
              <w:right w:val="nil"/>
            </w:tcBorders>
            <w:shd w:val="clear" w:color="auto" w:fill="auto"/>
            <w:noWrap/>
            <w:vAlign w:val="bottom"/>
            <w:hideMark/>
          </w:tcPr>
          <w:p w14:paraId="3ECC77D7"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56BF2106"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337B341E"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4. Prihodi za posebne namjene</w:t>
            </w:r>
          </w:p>
        </w:tc>
        <w:tc>
          <w:tcPr>
            <w:tcW w:w="1480" w:type="dxa"/>
            <w:tcBorders>
              <w:top w:val="nil"/>
              <w:left w:val="nil"/>
              <w:bottom w:val="nil"/>
              <w:right w:val="nil"/>
            </w:tcBorders>
            <w:shd w:val="clear" w:color="auto" w:fill="auto"/>
            <w:noWrap/>
            <w:vAlign w:val="bottom"/>
            <w:hideMark/>
          </w:tcPr>
          <w:p w14:paraId="188B301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40.000,00</w:t>
            </w:r>
          </w:p>
        </w:tc>
        <w:tc>
          <w:tcPr>
            <w:tcW w:w="1380" w:type="dxa"/>
            <w:tcBorders>
              <w:top w:val="nil"/>
              <w:left w:val="nil"/>
              <w:bottom w:val="nil"/>
              <w:right w:val="nil"/>
            </w:tcBorders>
            <w:shd w:val="clear" w:color="auto" w:fill="auto"/>
            <w:noWrap/>
            <w:vAlign w:val="bottom"/>
            <w:hideMark/>
          </w:tcPr>
          <w:p w14:paraId="2EC02630"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21.054,69</w:t>
            </w:r>
          </w:p>
        </w:tc>
        <w:tc>
          <w:tcPr>
            <w:tcW w:w="1400" w:type="dxa"/>
            <w:tcBorders>
              <w:top w:val="nil"/>
              <w:left w:val="nil"/>
              <w:bottom w:val="nil"/>
              <w:right w:val="nil"/>
            </w:tcBorders>
            <w:shd w:val="clear" w:color="auto" w:fill="auto"/>
            <w:noWrap/>
            <w:vAlign w:val="bottom"/>
            <w:hideMark/>
          </w:tcPr>
          <w:p w14:paraId="1C85DEC0"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52,64%</w:t>
            </w:r>
          </w:p>
        </w:tc>
      </w:tr>
      <w:tr w:rsidR="00A360DB" w:rsidRPr="00A360DB" w14:paraId="32832559"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D62C2A3"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4.1. Prihodi za posebne namjene</w:t>
            </w:r>
          </w:p>
        </w:tc>
        <w:tc>
          <w:tcPr>
            <w:tcW w:w="1480" w:type="dxa"/>
            <w:tcBorders>
              <w:top w:val="nil"/>
              <w:left w:val="nil"/>
              <w:bottom w:val="nil"/>
              <w:right w:val="nil"/>
            </w:tcBorders>
            <w:shd w:val="clear" w:color="auto" w:fill="auto"/>
            <w:noWrap/>
            <w:vAlign w:val="bottom"/>
            <w:hideMark/>
          </w:tcPr>
          <w:p w14:paraId="50D1D0CA"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40.000,00</w:t>
            </w:r>
          </w:p>
        </w:tc>
        <w:tc>
          <w:tcPr>
            <w:tcW w:w="1380" w:type="dxa"/>
            <w:tcBorders>
              <w:top w:val="nil"/>
              <w:left w:val="nil"/>
              <w:bottom w:val="nil"/>
              <w:right w:val="nil"/>
            </w:tcBorders>
            <w:shd w:val="clear" w:color="auto" w:fill="auto"/>
            <w:noWrap/>
            <w:vAlign w:val="bottom"/>
            <w:hideMark/>
          </w:tcPr>
          <w:p w14:paraId="1C43ACAD"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21.054,69</w:t>
            </w:r>
          </w:p>
        </w:tc>
        <w:tc>
          <w:tcPr>
            <w:tcW w:w="1400" w:type="dxa"/>
            <w:tcBorders>
              <w:top w:val="nil"/>
              <w:left w:val="nil"/>
              <w:bottom w:val="nil"/>
              <w:right w:val="nil"/>
            </w:tcBorders>
            <w:shd w:val="clear" w:color="auto" w:fill="auto"/>
            <w:noWrap/>
            <w:vAlign w:val="bottom"/>
            <w:hideMark/>
          </w:tcPr>
          <w:p w14:paraId="6B4433C6"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52,64%</w:t>
            </w:r>
          </w:p>
        </w:tc>
      </w:tr>
      <w:tr w:rsidR="00A360DB" w:rsidRPr="00A360DB" w14:paraId="34ED6D75" w14:textId="77777777" w:rsidTr="00A360DB">
        <w:trPr>
          <w:trHeight w:val="240"/>
        </w:trPr>
        <w:tc>
          <w:tcPr>
            <w:tcW w:w="1697" w:type="dxa"/>
            <w:tcBorders>
              <w:top w:val="nil"/>
              <w:left w:val="nil"/>
              <w:bottom w:val="nil"/>
              <w:right w:val="nil"/>
            </w:tcBorders>
            <w:shd w:val="clear" w:color="auto" w:fill="auto"/>
            <w:noWrap/>
            <w:vAlign w:val="bottom"/>
            <w:hideMark/>
          </w:tcPr>
          <w:p w14:paraId="6C3C88E4"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695C908E"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1F228FF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40.000,00</w:t>
            </w:r>
          </w:p>
        </w:tc>
        <w:tc>
          <w:tcPr>
            <w:tcW w:w="1380" w:type="dxa"/>
            <w:tcBorders>
              <w:top w:val="nil"/>
              <w:left w:val="nil"/>
              <w:bottom w:val="nil"/>
              <w:right w:val="nil"/>
            </w:tcBorders>
            <w:shd w:val="clear" w:color="auto" w:fill="auto"/>
            <w:noWrap/>
            <w:vAlign w:val="bottom"/>
            <w:hideMark/>
          </w:tcPr>
          <w:p w14:paraId="0BFAFF8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21.054,69</w:t>
            </w:r>
          </w:p>
        </w:tc>
        <w:tc>
          <w:tcPr>
            <w:tcW w:w="1400" w:type="dxa"/>
            <w:tcBorders>
              <w:top w:val="nil"/>
              <w:left w:val="nil"/>
              <w:bottom w:val="nil"/>
              <w:right w:val="nil"/>
            </w:tcBorders>
            <w:shd w:val="clear" w:color="auto" w:fill="auto"/>
            <w:noWrap/>
            <w:vAlign w:val="bottom"/>
            <w:hideMark/>
          </w:tcPr>
          <w:p w14:paraId="3728D7D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52,64%</w:t>
            </w:r>
          </w:p>
        </w:tc>
      </w:tr>
      <w:tr w:rsidR="00A360DB" w:rsidRPr="00A360DB" w14:paraId="320550DE" w14:textId="77777777" w:rsidTr="00A360DB">
        <w:trPr>
          <w:trHeight w:val="240"/>
        </w:trPr>
        <w:tc>
          <w:tcPr>
            <w:tcW w:w="1697" w:type="dxa"/>
            <w:tcBorders>
              <w:top w:val="nil"/>
              <w:left w:val="nil"/>
              <w:bottom w:val="nil"/>
              <w:right w:val="nil"/>
            </w:tcBorders>
            <w:shd w:val="clear" w:color="auto" w:fill="auto"/>
            <w:noWrap/>
            <w:vAlign w:val="bottom"/>
            <w:hideMark/>
          </w:tcPr>
          <w:p w14:paraId="138D023D"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3224</w:t>
            </w:r>
          </w:p>
        </w:tc>
        <w:tc>
          <w:tcPr>
            <w:tcW w:w="8509" w:type="dxa"/>
            <w:tcBorders>
              <w:top w:val="nil"/>
              <w:left w:val="nil"/>
              <w:bottom w:val="nil"/>
              <w:right w:val="nil"/>
            </w:tcBorders>
            <w:shd w:val="clear" w:color="auto" w:fill="auto"/>
            <w:noWrap/>
            <w:vAlign w:val="bottom"/>
            <w:hideMark/>
          </w:tcPr>
          <w:p w14:paraId="239BA4B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Materijal i dijelovi za tekuće i investicijsko održavanje                                           </w:t>
            </w:r>
          </w:p>
        </w:tc>
        <w:tc>
          <w:tcPr>
            <w:tcW w:w="1480" w:type="dxa"/>
            <w:tcBorders>
              <w:top w:val="nil"/>
              <w:left w:val="nil"/>
              <w:bottom w:val="nil"/>
              <w:right w:val="nil"/>
            </w:tcBorders>
            <w:shd w:val="clear" w:color="auto" w:fill="auto"/>
            <w:noWrap/>
            <w:vAlign w:val="bottom"/>
            <w:hideMark/>
          </w:tcPr>
          <w:p w14:paraId="250BEAE9"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553FB6F9"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21.054,69</w:t>
            </w:r>
          </w:p>
        </w:tc>
        <w:tc>
          <w:tcPr>
            <w:tcW w:w="1400" w:type="dxa"/>
            <w:tcBorders>
              <w:top w:val="nil"/>
              <w:left w:val="nil"/>
              <w:bottom w:val="nil"/>
              <w:right w:val="nil"/>
            </w:tcBorders>
            <w:shd w:val="clear" w:color="auto" w:fill="auto"/>
            <w:noWrap/>
            <w:vAlign w:val="bottom"/>
            <w:hideMark/>
          </w:tcPr>
          <w:p w14:paraId="085B4F7E"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EBEE6A5"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10FC220D"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9. Višak iz prethodnih razdoblja</w:t>
            </w:r>
          </w:p>
        </w:tc>
        <w:tc>
          <w:tcPr>
            <w:tcW w:w="1480" w:type="dxa"/>
            <w:tcBorders>
              <w:top w:val="nil"/>
              <w:left w:val="nil"/>
              <w:bottom w:val="nil"/>
              <w:right w:val="nil"/>
            </w:tcBorders>
            <w:shd w:val="clear" w:color="auto" w:fill="auto"/>
            <w:noWrap/>
            <w:vAlign w:val="bottom"/>
            <w:hideMark/>
          </w:tcPr>
          <w:p w14:paraId="33B3188D"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55.520,00</w:t>
            </w:r>
          </w:p>
        </w:tc>
        <w:tc>
          <w:tcPr>
            <w:tcW w:w="1380" w:type="dxa"/>
            <w:tcBorders>
              <w:top w:val="nil"/>
              <w:left w:val="nil"/>
              <w:bottom w:val="nil"/>
              <w:right w:val="nil"/>
            </w:tcBorders>
            <w:shd w:val="clear" w:color="auto" w:fill="auto"/>
            <w:noWrap/>
            <w:vAlign w:val="bottom"/>
            <w:hideMark/>
          </w:tcPr>
          <w:p w14:paraId="78C1AC2A"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55.520,00</w:t>
            </w:r>
          </w:p>
        </w:tc>
        <w:tc>
          <w:tcPr>
            <w:tcW w:w="1400" w:type="dxa"/>
            <w:tcBorders>
              <w:top w:val="nil"/>
              <w:left w:val="nil"/>
              <w:bottom w:val="nil"/>
              <w:right w:val="nil"/>
            </w:tcBorders>
            <w:shd w:val="clear" w:color="auto" w:fill="auto"/>
            <w:noWrap/>
            <w:vAlign w:val="bottom"/>
            <w:hideMark/>
          </w:tcPr>
          <w:p w14:paraId="38F6CA62"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w:t>
            </w:r>
          </w:p>
        </w:tc>
      </w:tr>
      <w:tr w:rsidR="00A360DB" w:rsidRPr="00A360DB" w14:paraId="3DD8CF03"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2CA32800"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9.2. Višak iz prethodnih godina - Grad</w:t>
            </w:r>
          </w:p>
        </w:tc>
        <w:tc>
          <w:tcPr>
            <w:tcW w:w="1480" w:type="dxa"/>
            <w:tcBorders>
              <w:top w:val="nil"/>
              <w:left w:val="nil"/>
              <w:bottom w:val="nil"/>
              <w:right w:val="nil"/>
            </w:tcBorders>
            <w:shd w:val="clear" w:color="auto" w:fill="auto"/>
            <w:noWrap/>
            <w:vAlign w:val="bottom"/>
            <w:hideMark/>
          </w:tcPr>
          <w:p w14:paraId="0A425CBF"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55.520,00</w:t>
            </w:r>
          </w:p>
        </w:tc>
        <w:tc>
          <w:tcPr>
            <w:tcW w:w="1380" w:type="dxa"/>
            <w:tcBorders>
              <w:top w:val="nil"/>
              <w:left w:val="nil"/>
              <w:bottom w:val="nil"/>
              <w:right w:val="nil"/>
            </w:tcBorders>
            <w:shd w:val="clear" w:color="auto" w:fill="auto"/>
            <w:noWrap/>
            <w:vAlign w:val="bottom"/>
            <w:hideMark/>
          </w:tcPr>
          <w:p w14:paraId="2EECCF93"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55.520,00</w:t>
            </w:r>
          </w:p>
        </w:tc>
        <w:tc>
          <w:tcPr>
            <w:tcW w:w="1400" w:type="dxa"/>
            <w:tcBorders>
              <w:top w:val="nil"/>
              <w:left w:val="nil"/>
              <w:bottom w:val="nil"/>
              <w:right w:val="nil"/>
            </w:tcBorders>
            <w:shd w:val="clear" w:color="auto" w:fill="auto"/>
            <w:noWrap/>
            <w:vAlign w:val="bottom"/>
            <w:hideMark/>
          </w:tcPr>
          <w:p w14:paraId="4DE3F91E"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w:t>
            </w:r>
          </w:p>
        </w:tc>
      </w:tr>
      <w:tr w:rsidR="00A360DB" w:rsidRPr="00A360DB" w14:paraId="7700DC37" w14:textId="77777777" w:rsidTr="00A360DB">
        <w:trPr>
          <w:trHeight w:val="240"/>
        </w:trPr>
        <w:tc>
          <w:tcPr>
            <w:tcW w:w="1697" w:type="dxa"/>
            <w:tcBorders>
              <w:top w:val="nil"/>
              <w:left w:val="nil"/>
              <w:bottom w:val="nil"/>
              <w:right w:val="nil"/>
            </w:tcBorders>
            <w:shd w:val="clear" w:color="auto" w:fill="auto"/>
            <w:noWrap/>
            <w:vAlign w:val="bottom"/>
            <w:hideMark/>
          </w:tcPr>
          <w:p w14:paraId="418A7B22"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78A2A768"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12FD3BB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55.520,00</w:t>
            </w:r>
          </w:p>
        </w:tc>
        <w:tc>
          <w:tcPr>
            <w:tcW w:w="1380" w:type="dxa"/>
            <w:tcBorders>
              <w:top w:val="nil"/>
              <w:left w:val="nil"/>
              <w:bottom w:val="nil"/>
              <w:right w:val="nil"/>
            </w:tcBorders>
            <w:shd w:val="clear" w:color="auto" w:fill="auto"/>
            <w:noWrap/>
            <w:vAlign w:val="bottom"/>
            <w:hideMark/>
          </w:tcPr>
          <w:p w14:paraId="17E99E5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55.520,00</w:t>
            </w:r>
          </w:p>
        </w:tc>
        <w:tc>
          <w:tcPr>
            <w:tcW w:w="1400" w:type="dxa"/>
            <w:tcBorders>
              <w:top w:val="nil"/>
              <w:left w:val="nil"/>
              <w:bottom w:val="nil"/>
              <w:right w:val="nil"/>
            </w:tcBorders>
            <w:shd w:val="clear" w:color="auto" w:fill="auto"/>
            <w:noWrap/>
            <w:vAlign w:val="bottom"/>
            <w:hideMark/>
          </w:tcPr>
          <w:p w14:paraId="786C8A4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r>
      <w:tr w:rsidR="00A360DB" w:rsidRPr="00A360DB" w14:paraId="12CCD677" w14:textId="77777777" w:rsidTr="00A360DB">
        <w:trPr>
          <w:trHeight w:val="240"/>
        </w:trPr>
        <w:tc>
          <w:tcPr>
            <w:tcW w:w="1697" w:type="dxa"/>
            <w:tcBorders>
              <w:top w:val="nil"/>
              <w:left w:val="nil"/>
              <w:bottom w:val="nil"/>
              <w:right w:val="nil"/>
            </w:tcBorders>
            <w:shd w:val="clear" w:color="auto" w:fill="auto"/>
            <w:noWrap/>
            <w:vAlign w:val="bottom"/>
            <w:hideMark/>
          </w:tcPr>
          <w:p w14:paraId="770D2CE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3232</w:t>
            </w:r>
          </w:p>
        </w:tc>
        <w:tc>
          <w:tcPr>
            <w:tcW w:w="8509" w:type="dxa"/>
            <w:tcBorders>
              <w:top w:val="nil"/>
              <w:left w:val="nil"/>
              <w:bottom w:val="nil"/>
              <w:right w:val="nil"/>
            </w:tcBorders>
            <w:shd w:val="clear" w:color="auto" w:fill="auto"/>
            <w:noWrap/>
            <w:vAlign w:val="bottom"/>
            <w:hideMark/>
          </w:tcPr>
          <w:p w14:paraId="4F7F9A2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Usluge tekućeg i investicijskog održavanja                                                          </w:t>
            </w:r>
          </w:p>
        </w:tc>
        <w:tc>
          <w:tcPr>
            <w:tcW w:w="1480" w:type="dxa"/>
            <w:tcBorders>
              <w:top w:val="nil"/>
              <w:left w:val="nil"/>
              <w:bottom w:val="nil"/>
              <w:right w:val="nil"/>
            </w:tcBorders>
            <w:shd w:val="clear" w:color="auto" w:fill="auto"/>
            <w:noWrap/>
            <w:vAlign w:val="bottom"/>
            <w:hideMark/>
          </w:tcPr>
          <w:p w14:paraId="6D4A22C9"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50255794"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55.520,00</w:t>
            </w:r>
          </w:p>
        </w:tc>
        <w:tc>
          <w:tcPr>
            <w:tcW w:w="1400" w:type="dxa"/>
            <w:tcBorders>
              <w:top w:val="nil"/>
              <w:left w:val="nil"/>
              <w:bottom w:val="nil"/>
              <w:right w:val="nil"/>
            </w:tcBorders>
            <w:shd w:val="clear" w:color="auto" w:fill="auto"/>
            <w:noWrap/>
            <w:vAlign w:val="bottom"/>
            <w:hideMark/>
          </w:tcPr>
          <w:p w14:paraId="439DAB99"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5AE567E4" w14:textId="77777777" w:rsidTr="00A360DB">
        <w:trPr>
          <w:trHeight w:val="240"/>
        </w:trPr>
        <w:tc>
          <w:tcPr>
            <w:tcW w:w="1697" w:type="dxa"/>
            <w:tcBorders>
              <w:top w:val="nil"/>
              <w:left w:val="nil"/>
              <w:bottom w:val="nil"/>
              <w:right w:val="nil"/>
            </w:tcBorders>
            <w:shd w:val="clear" w:color="000000" w:fill="B4C6E7"/>
            <w:noWrap/>
            <w:vAlign w:val="bottom"/>
            <w:hideMark/>
          </w:tcPr>
          <w:p w14:paraId="574C4A74"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A100904</w:t>
            </w:r>
          </w:p>
        </w:tc>
        <w:tc>
          <w:tcPr>
            <w:tcW w:w="8509" w:type="dxa"/>
            <w:tcBorders>
              <w:top w:val="nil"/>
              <w:left w:val="nil"/>
              <w:bottom w:val="nil"/>
              <w:right w:val="nil"/>
            </w:tcBorders>
            <w:shd w:val="clear" w:color="000000" w:fill="B4C6E7"/>
            <w:noWrap/>
            <w:vAlign w:val="bottom"/>
            <w:hideMark/>
          </w:tcPr>
          <w:p w14:paraId="24D118F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Potpora za nabavu i ugradnju strojeva i opreme</w:t>
            </w:r>
          </w:p>
        </w:tc>
        <w:tc>
          <w:tcPr>
            <w:tcW w:w="1480" w:type="dxa"/>
            <w:tcBorders>
              <w:top w:val="nil"/>
              <w:left w:val="nil"/>
              <w:bottom w:val="nil"/>
              <w:right w:val="nil"/>
            </w:tcBorders>
            <w:shd w:val="clear" w:color="000000" w:fill="B4C6E7"/>
            <w:noWrap/>
            <w:vAlign w:val="bottom"/>
            <w:hideMark/>
          </w:tcPr>
          <w:p w14:paraId="04B7608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37.400,00</w:t>
            </w:r>
          </w:p>
        </w:tc>
        <w:tc>
          <w:tcPr>
            <w:tcW w:w="1380" w:type="dxa"/>
            <w:tcBorders>
              <w:top w:val="nil"/>
              <w:left w:val="nil"/>
              <w:bottom w:val="nil"/>
              <w:right w:val="nil"/>
            </w:tcBorders>
            <w:shd w:val="clear" w:color="000000" w:fill="B4C6E7"/>
            <w:noWrap/>
            <w:vAlign w:val="bottom"/>
            <w:hideMark/>
          </w:tcPr>
          <w:p w14:paraId="09FEAF4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37.222,85</w:t>
            </w:r>
          </w:p>
        </w:tc>
        <w:tc>
          <w:tcPr>
            <w:tcW w:w="1400" w:type="dxa"/>
            <w:tcBorders>
              <w:top w:val="nil"/>
              <w:left w:val="nil"/>
              <w:bottom w:val="nil"/>
              <w:right w:val="nil"/>
            </w:tcBorders>
            <w:shd w:val="clear" w:color="000000" w:fill="B4C6E7"/>
            <w:noWrap/>
            <w:vAlign w:val="bottom"/>
            <w:hideMark/>
          </w:tcPr>
          <w:p w14:paraId="0A96EBE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99,53%</w:t>
            </w:r>
          </w:p>
        </w:tc>
      </w:tr>
      <w:tr w:rsidR="00A360DB" w:rsidRPr="00A360DB" w14:paraId="18897C62"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2DCF87A5"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0D939B69"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27.400,00</w:t>
            </w:r>
          </w:p>
        </w:tc>
        <w:tc>
          <w:tcPr>
            <w:tcW w:w="1380" w:type="dxa"/>
            <w:tcBorders>
              <w:top w:val="nil"/>
              <w:left w:val="nil"/>
              <w:bottom w:val="nil"/>
              <w:right w:val="nil"/>
            </w:tcBorders>
            <w:shd w:val="clear" w:color="auto" w:fill="auto"/>
            <w:noWrap/>
            <w:vAlign w:val="bottom"/>
            <w:hideMark/>
          </w:tcPr>
          <w:p w14:paraId="72BDD625"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27.222,85</w:t>
            </w:r>
          </w:p>
        </w:tc>
        <w:tc>
          <w:tcPr>
            <w:tcW w:w="1400" w:type="dxa"/>
            <w:tcBorders>
              <w:top w:val="nil"/>
              <w:left w:val="nil"/>
              <w:bottom w:val="nil"/>
              <w:right w:val="nil"/>
            </w:tcBorders>
            <w:shd w:val="clear" w:color="auto" w:fill="auto"/>
            <w:noWrap/>
            <w:vAlign w:val="bottom"/>
            <w:hideMark/>
          </w:tcPr>
          <w:p w14:paraId="77CD42D2"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99,35%</w:t>
            </w:r>
          </w:p>
        </w:tc>
      </w:tr>
      <w:tr w:rsidR="00A360DB" w:rsidRPr="00A360DB" w14:paraId="0C3BA675"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D758C72"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5199F13E"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27.400,00</w:t>
            </w:r>
          </w:p>
        </w:tc>
        <w:tc>
          <w:tcPr>
            <w:tcW w:w="1380" w:type="dxa"/>
            <w:tcBorders>
              <w:top w:val="nil"/>
              <w:left w:val="nil"/>
              <w:bottom w:val="nil"/>
              <w:right w:val="nil"/>
            </w:tcBorders>
            <w:shd w:val="clear" w:color="auto" w:fill="auto"/>
            <w:noWrap/>
            <w:vAlign w:val="bottom"/>
            <w:hideMark/>
          </w:tcPr>
          <w:p w14:paraId="19C8ACDF"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27.222,85</w:t>
            </w:r>
          </w:p>
        </w:tc>
        <w:tc>
          <w:tcPr>
            <w:tcW w:w="1400" w:type="dxa"/>
            <w:tcBorders>
              <w:top w:val="nil"/>
              <w:left w:val="nil"/>
              <w:bottom w:val="nil"/>
              <w:right w:val="nil"/>
            </w:tcBorders>
            <w:shd w:val="clear" w:color="auto" w:fill="auto"/>
            <w:noWrap/>
            <w:vAlign w:val="bottom"/>
            <w:hideMark/>
          </w:tcPr>
          <w:p w14:paraId="429C9637"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99,35%</w:t>
            </w:r>
          </w:p>
        </w:tc>
      </w:tr>
      <w:tr w:rsidR="00A360DB" w:rsidRPr="00A360DB" w14:paraId="0E04BFD4" w14:textId="77777777" w:rsidTr="00A360DB">
        <w:trPr>
          <w:trHeight w:val="240"/>
        </w:trPr>
        <w:tc>
          <w:tcPr>
            <w:tcW w:w="1697" w:type="dxa"/>
            <w:tcBorders>
              <w:top w:val="nil"/>
              <w:left w:val="nil"/>
              <w:bottom w:val="nil"/>
              <w:right w:val="nil"/>
            </w:tcBorders>
            <w:shd w:val="clear" w:color="auto" w:fill="auto"/>
            <w:noWrap/>
            <w:vAlign w:val="bottom"/>
            <w:hideMark/>
          </w:tcPr>
          <w:p w14:paraId="676D8E40"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35</w:t>
            </w:r>
          </w:p>
        </w:tc>
        <w:tc>
          <w:tcPr>
            <w:tcW w:w="8509" w:type="dxa"/>
            <w:tcBorders>
              <w:top w:val="nil"/>
              <w:left w:val="nil"/>
              <w:bottom w:val="nil"/>
              <w:right w:val="nil"/>
            </w:tcBorders>
            <w:shd w:val="clear" w:color="auto" w:fill="auto"/>
            <w:noWrap/>
            <w:vAlign w:val="bottom"/>
            <w:hideMark/>
          </w:tcPr>
          <w:p w14:paraId="70F70C7B"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Subvencije                                                                                          </w:t>
            </w:r>
          </w:p>
        </w:tc>
        <w:tc>
          <w:tcPr>
            <w:tcW w:w="1480" w:type="dxa"/>
            <w:tcBorders>
              <w:top w:val="nil"/>
              <w:left w:val="nil"/>
              <w:bottom w:val="nil"/>
              <w:right w:val="nil"/>
            </w:tcBorders>
            <w:shd w:val="clear" w:color="auto" w:fill="auto"/>
            <w:noWrap/>
            <w:vAlign w:val="bottom"/>
            <w:hideMark/>
          </w:tcPr>
          <w:p w14:paraId="50A6C5B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27.400,00</w:t>
            </w:r>
          </w:p>
        </w:tc>
        <w:tc>
          <w:tcPr>
            <w:tcW w:w="1380" w:type="dxa"/>
            <w:tcBorders>
              <w:top w:val="nil"/>
              <w:left w:val="nil"/>
              <w:bottom w:val="nil"/>
              <w:right w:val="nil"/>
            </w:tcBorders>
            <w:shd w:val="clear" w:color="auto" w:fill="auto"/>
            <w:noWrap/>
            <w:vAlign w:val="bottom"/>
            <w:hideMark/>
          </w:tcPr>
          <w:p w14:paraId="28FBE13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27.222,85</w:t>
            </w:r>
          </w:p>
        </w:tc>
        <w:tc>
          <w:tcPr>
            <w:tcW w:w="1400" w:type="dxa"/>
            <w:tcBorders>
              <w:top w:val="nil"/>
              <w:left w:val="nil"/>
              <w:bottom w:val="nil"/>
              <w:right w:val="nil"/>
            </w:tcBorders>
            <w:shd w:val="clear" w:color="auto" w:fill="auto"/>
            <w:noWrap/>
            <w:vAlign w:val="bottom"/>
            <w:hideMark/>
          </w:tcPr>
          <w:p w14:paraId="61FBA56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99,35%</w:t>
            </w:r>
          </w:p>
        </w:tc>
      </w:tr>
      <w:tr w:rsidR="00A360DB" w:rsidRPr="00A360DB" w14:paraId="0B82DC50" w14:textId="77777777" w:rsidTr="00A360DB">
        <w:trPr>
          <w:trHeight w:val="240"/>
        </w:trPr>
        <w:tc>
          <w:tcPr>
            <w:tcW w:w="1697" w:type="dxa"/>
            <w:tcBorders>
              <w:top w:val="nil"/>
              <w:left w:val="nil"/>
              <w:bottom w:val="nil"/>
              <w:right w:val="nil"/>
            </w:tcBorders>
            <w:shd w:val="clear" w:color="auto" w:fill="auto"/>
            <w:noWrap/>
            <w:vAlign w:val="bottom"/>
            <w:hideMark/>
          </w:tcPr>
          <w:p w14:paraId="673FDAF7"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3522</w:t>
            </w:r>
          </w:p>
        </w:tc>
        <w:tc>
          <w:tcPr>
            <w:tcW w:w="8509" w:type="dxa"/>
            <w:tcBorders>
              <w:top w:val="nil"/>
              <w:left w:val="nil"/>
              <w:bottom w:val="nil"/>
              <w:right w:val="nil"/>
            </w:tcBorders>
            <w:shd w:val="clear" w:color="auto" w:fill="auto"/>
            <w:noWrap/>
            <w:vAlign w:val="bottom"/>
            <w:hideMark/>
          </w:tcPr>
          <w:p w14:paraId="17C0235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Subvencije trgovačkim društvima izvan javnog sektora                                                </w:t>
            </w:r>
          </w:p>
        </w:tc>
        <w:tc>
          <w:tcPr>
            <w:tcW w:w="1480" w:type="dxa"/>
            <w:tcBorders>
              <w:top w:val="nil"/>
              <w:left w:val="nil"/>
              <w:bottom w:val="nil"/>
              <w:right w:val="nil"/>
            </w:tcBorders>
            <w:shd w:val="clear" w:color="auto" w:fill="auto"/>
            <w:noWrap/>
            <w:vAlign w:val="bottom"/>
            <w:hideMark/>
          </w:tcPr>
          <w:p w14:paraId="41190392"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7AAC3A3"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16.598,78</w:t>
            </w:r>
          </w:p>
        </w:tc>
        <w:tc>
          <w:tcPr>
            <w:tcW w:w="1400" w:type="dxa"/>
            <w:tcBorders>
              <w:top w:val="nil"/>
              <w:left w:val="nil"/>
              <w:bottom w:val="nil"/>
              <w:right w:val="nil"/>
            </w:tcBorders>
            <w:shd w:val="clear" w:color="auto" w:fill="auto"/>
            <w:noWrap/>
            <w:vAlign w:val="bottom"/>
            <w:hideMark/>
          </w:tcPr>
          <w:p w14:paraId="6D204EFB"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B3B503F" w14:textId="77777777" w:rsidTr="00A360DB">
        <w:trPr>
          <w:trHeight w:val="240"/>
        </w:trPr>
        <w:tc>
          <w:tcPr>
            <w:tcW w:w="1697" w:type="dxa"/>
            <w:tcBorders>
              <w:top w:val="nil"/>
              <w:left w:val="nil"/>
              <w:bottom w:val="nil"/>
              <w:right w:val="nil"/>
            </w:tcBorders>
            <w:shd w:val="clear" w:color="auto" w:fill="auto"/>
            <w:noWrap/>
            <w:vAlign w:val="bottom"/>
            <w:hideMark/>
          </w:tcPr>
          <w:p w14:paraId="364A968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3523</w:t>
            </w:r>
          </w:p>
        </w:tc>
        <w:tc>
          <w:tcPr>
            <w:tcW w:w="8509" w:type="dxa"/>
            <w:tcBorders>
              <w:top w:val="nil"/>
              <w:left w:val="nil"/>
              <w:bottom w:val="nil"/>
              <w:right w:val="nil"/>
            </w:tcBorders>
            <w:shd w:val="clear" w:color="auto" w:fill="auto"/>
            <w:noWrap/>
            <w:vAlign w:val="bottom"/>
            <w:hideMark/>
          </w:tcPr>
          <w:p w14:paraId="667E362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Subvencije poljoprivrednicima i obrtnicima                                                          </w:t>
            </w:r>
          </w:p>
        </w:tc>
        <w:tc>
          <w:tcPr>
            <w:tcW w:w="1480" w:type="dxa"/>
            <w:tcBorders>
              <w:top w:val="nil"/>
              <w:left w:val="nil"/>
              <w:bottom w:val="nil"/>
              <w:right w:val="nil"/>
            </w:tcBorders>
            <w:shd w:val="clear" w:color="auto" w:fill="auto"/>
            <w:noWrap/>
            <w:vAlign w:val="bottom"/>
            <w:hideMark/>
          </w:tcPr>
          <w:p w14:paraId="12F03FFA"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25D30A13"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10.624,07</w:t>
            </w:r>
          </w:p>
        </w:tc>
        <w:tc>
          <w:tcPr>
            <w:tcW w:w="1400" w:type="dxa"/>
            <w:tcBorders>
              <w:top w:val="nil"/>
              <w:left w:val="nil"/>
              <w:bottom w:val="nil"/>
              <w:right w:val="nil"/>
            </w:tcBorders>
            <w:shd w:val="clear" w:color="auto" w:fill="auto"/>
            <w:noWrap/>
            <w:vAlign w:val="bottom"/>
            <w:hideMark/>
          </w:tcPr>
          <w:p w14:paraId="2C3653D8"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BB8ACF2"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D82655D"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lastRenderedPageBreak/>
              <w:t>Izvor 9. Višak iz prethodnih razdoblja</w:t>
            </w:r>
          </w:p>
        </w:tc>
        <w:tc>
          <w:tcPr>
            <w:tcW w:w="1480" w:type="dxa"/>
            <w:tcBorders>
              <w:top w:val="nil"/>
              <w:left w:val="nil"/>
              <w:bottom w:val="nil"/>
              <w:right w:val="nil"/>
            </w:tcBorders>
            <w:shd w:val="clear" w:color="auto" w:fill="auto"/>
            <w:noWrap/>
            <w:vAlign w:val="bottom"/>
            <w:hideMark/>
          </w:tcPr>
          <w:p w14:paraId="3E7790E1"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10.000,00</w:t>
            </w:r>
          </w:p>
        </w:tc>
        <w:tc>
          <w:tcPr>
            <w:tcW w:w="1380" w:type="dxa"/>
            <w:tcBorders>
              <w:top w:val="nil"/>
              <w:left w:val="nil"/>
              <w:bottom w:val="nil"/>
              <w:right w:val="nil"/>
            </w:tcBorders>
            <w:shd w:val="clear" w:color="auto" w:fill="auto"/>
            <w:noWrap/>
            <w:vAlign w:val="bottom"/>
            <w:hideMark/>
          </w:tcPr>
          <w:p w14:paraId="0BFDD76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10.000,00</w:t>
            </w:r>
          </w:p>
        </w:tc>
        <w:tc>
          <w:tcPr>
            <w:tcW w:w="1400" w:type="dxa"/>
            <w:tcBorders>
              <w:top w:val="nil"/>
              <w:left w:val="nil"/>
              <w:bottom w:val="nil"/>
              <w:right w:val="nil"/>
            </w:tcBorders>
            <w:shd w:val="clear" w:color="auto" w:fill="auto"/>
            <w:noWrap/>
            <w:vAlign w:val="bottom"/>
            <w:hideMark/>
          </w:tcPr>
          <w:p w14:paraId="243CCE07"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w:t>
            </w:r>
          </w:p>
        </w:tc>
      </w:tr>
      <w:tr w:rsidR="00A360DB" w:rsidRPr="00A360DB" w14:paraId="4C0C7D01"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6CFA7EB"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9.2. Višak iz prethodnih godina - Grad</w:t>
            </w:r>
          </w:p>
        </w:tc>
        <w:tc>
          <w:tcPr>
            <w:tcW w:w="1480" w:type="dxa"/>
            <w:tcBorders>
              <w:top w:val="nil"/>
              <w:left w:val="nil"/>
              <w:bottom w:val="nil"/>
              <w:right w:val="nil"/>
            </w:tcBorders>
            <w:shd w:val="clear" w:color="auto" w:fill="auto"/>
            <w:noWrap/>
            <w:vAlign w:val="bottom"/>
            <w:hideMark/>
          </w:tcPr>
          <w:p w14:paraId="67699A57"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10.000,00</w:t>
            </w:r>
          </w:p>
        </w:tc>
        <w:tc>
          <w:tcPr>
            <w:tcW w:w="1380" w:type="dxa"/>
            <w:tcBorders>
              <w:top w:val="nil"/>
              <w:left w:val="nil"/>
              <w:bottom w:val="nil"/>
              <w:right w:val="nil"/>
            </w:tcBorders>
            <w:shd w:val="clear" w:color="auto" w:fill="auto"/>
            <w:noWrap/>
            <w:vAlign w:val="bottom"/>
            <w:hideMark/>
          </w:tcPr>
          <w:p w14:paraId="5952EFBE"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10.000,00</w:t>
            </w:r>
          </w:p>
        </w:tc>
        <w:tc>
          <w:tcPr>
            <w:tcW w:w="1400" w:type="dxa"/>
            <w:tcBorders>
              <w:top w:val="nil"/>
              <w:left w:val="nil"/>
              <w:bottom w:val="nil"/>
              <w:right w:val="nil"/>
            </w:tcBorders>
            <w:shd w:val="clear" w:color="auto" w:fill="auto"/>
            <w:noWrap/>
            <w:vAlign w:val="bottom"/>
            <w:hideMark/>
          </w:tcPr>
          <w:p w14:paraId="5DC43AB1"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w:t>
            </w:r>
          </w:p>
        </w:tc>
      </w:tr>
      <w:tr w:rsidR="00A360DB" w:rsidRPr="00A360DB" w14:paraId="693C4428" w14:textId="77777777" w:rsidTr="00A360DB">
        <w:trPr>
          <w:trHeight w:val="240"/>
        </w:trPr>
        <w:tc>
          <w:tcPr>
            <w:tcW w:w="1697" w:type="dxa"/>
            <w:tcBorders>
              <w:top w:val="nil"/>
              <w:left w:val="nil"/>
              <w:bottom w:val="nil"/>
              <w:right w:val="nil"/>
            </w:tcBorders>
            <w:shd w:val="clear" w:color="auto" w:fill="auto"/>
            <w:noWrap/>
            <w:vAlign w:val="bottom"/>
            <w:hideMark/>
          </w:tcPr>
          <w:p w14:paraId="16246E00"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35</w:t>
            </w:r>
          </w:p>
        </w:tc>
        <w:tc>
          <w:tcPr>
            <w:tcW w:w="8509" w:type="dxa"/>
            <w:tcBorders>
              <w:top w:val="nil"/>
              <w:left w:val="nil"/>
              <w:bottom w:val="nil"/>
              <w:right w:val="nil"/>
            </w:tcBorders>
            <w:shd w:val="clear" w:color="auto" w:fill="auto"/>
            <w:noWrap/>
            <w:vAlign w:val="bottom"/>
            <w:hideMark/>
          </w:tcPr>
          <w:p w14:paraId="0E9CB94A"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Subvencije                                                                                          </w:t>
            </w:r>
          </w:p>
        </w:tc>
        <w:tc>
          <w:tcPr>
            <w:tcW w:w="1480" w:type="dxa"/>
            <w:tcBorders>
              <w:top w:val="nil"/>
              <w:left w:val="nil"/>
              <w:bottom w:val="nil"/>
              <w:right w:val="nil"/>
            </w:tcBorders>
            <w:shd w:val="clear" w:color="auto" w:fill="auto"/>
            <w:noWrap/>
            <w:vAlign w:val="bottom"/>
            <w:hideMark/>
          </w:tcPr>
          <w:p w14:paraId="2D7D03B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10.000,00</w:t>
            </w:r>
          </w:p>
        </w:tc>
        <w:tc>
          <w:tcPr>
            <w:tcW w:w="1380" w:type="dxa"/>
            <w:tcBorders>
              <w:top w:val="nil"/>
              <w:left w:val="nil"/>
              <w:bottom w:val="nil"/>
              <w:right w:val="nil"/>
            </w:tcBorders>
            <w:shd w:val="clear" w:color="auto" w:fill="auto"/>
            <w:noWrap/>
            <w:vAlign w:val="bottom"/>
            <w:hideMark/>
          </w:tcPr>
          <w:p w14:paraId="3003F69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10.000,00</w:t>
            </w:r>
          </w:p>
        </w:tc>
        <w:tc>
          <w:tcPr>
            <w:tcW w:w="1400" w:type="dxa"/>
            <w:tcBorders>
              <w:top w:val="nil"/>
              <w:left w:val="nil"/>
              <w:bottom w:val="nil"/>
              <w:right w:val="nil"/>
            </w:tcBorders>
            <w:shd w:val="clear" w:color="auto" w:fill="auto"/>
            <w:noWrap/>
            <w:vAlign w:val="bottom"/>
            <w:hideMark/>
          </w:tcPr>
          <w:p w14:paraId="2317F5C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r>
      <w:tr w:rsidR="00A360DB" w:rsidRPr="00A360DB" w14:paraId="3585F82C" w14:textId="77777777" w:rsidTr="00A360DB">
        <w:trPr>
          <w:trHeight w:val="240"/>
        </w:trPr>
        <w:tc>
          <w:tcPr>
            <w:tcW w:w="1697" w:type="dxa"/>
            <w:tcBorders>
              <w:top w:val="nil"/>
              <w:left w:val="nil"/>
              <w:bottom w:val="nil"/>
              <w:right w:val="nil"/>
            </w:tcBorders>
            <w:shd w:val="clear" w:color="auto" w:fill="auto"/>
            <w:noWrap/>
            <w:vAlign w:val="bottom"/>
            <w:hideMark/>
          </w:tcPr>
          <w:p w14:paraId="480F9835"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3522</w:t>
            </w:r>
          </w:p>
        </w:tc>
        <w:tc>
          <w:tcPr>
            <w:tcW w:w="8509" w:type="dxa"/>
            <w:tcBorders>
              <w:top w:val="nil"/>
              <w:left w:val="nil"/>
              <w:bottom w:val="nil"/>
              <w:right w:val="nil"/>
            </w:tcBorders>
            <w:shd w:val="clear" w:color="auto" w:fill="auto"/>
            <w:noWrap/>
            <w:vAlign w:val="bottom"/>
            <w:hideMark/>
          </w:tcPr>
          <w:p w14:paraId="194F15C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Subvencije trgovačkim društvima izvan javnog sektora                                                </w:t>
            </w:r>
          </w:p>
        </w:tc>
        <w:tc>
          <w:tcPr>
            <w:tcW w:w="1480" w:type="dxa"/>
            <w:tcBorders>
              <w:top w:val="nil"/>
              <w:left w:val="nil"/>
              <w:bottom w:val="nil"/>
              <w:right w:val="nil"/>
            </w:tcBorders>
            <w:shd w:val="clear" w:color="auto" w:fill="auto"/>
            <w:noWrap/>
            <w:vAlign w:val="bottom"/>
            <w:hideMark/>
          </w:tcPr>
          <w:p w14:paraId="0A024131"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138BB17F"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5.000,00</w:t>
            </w:r>
          </w:p>
        </w:tc>
        <w:tc>
          <w:tcPr>
            <w:tcW w:w="1400" w:type="dxa"/>
            <w:tcBorders>
              <w:top w:val="nil"/>
              <w:left w:val="nil"/>
              <w:bottom w:val="nil"/>
              <w:right w:val="nil"/>
            </w:tcBorders>
            <w:shd w:val="clear" w:color="auto" w:fill="auto"/>
            <w:noWrap/>
            <w:vAlign w:val="bottom"/>
            <w:hideMark/>
          </w:tcPr>
          <w:p w14:paraId="71250D8E"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3C58A9D" w14:textId="77777777" w:rsidTr="00A360DB">
        <w:trPr>
          <w:trHeight w:val="240"/>
        </w:trPr>
        <w:tc>
          <w:tcPr>
            <w:tcW w:w="1697" w:type="dxa"/>
            <w:tcBorders>
              <w:top w:val="nil"/>
              <w:left w:val="nil"/>
              <w:bottom w:val="nil"/>
              <w:right w:val="nil"/>
            </w:tcBorders>
            <w:shd w:val="clear" w:color="auto" w:fill="auto"/>
            <w:noWrap/>
            <w:vAlign w:val="bottom"/>
            <w:hideMark/>
          </w:tcPr>
          <w:p w14:paraId="6F8E85ED"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3523</w:t>
            </w:r>
          </w:p>
        </w:tc>
        <w:tc>
          <w:tcPr>
            <w:tcW w:w="8509" w:type="dxa"/>
            <w:tcBorders>
              <w:top w:val="nil"/>
              <w:left w:val="nil"/>
              <w:bottom w:val="nil"/>
              <w:right w:val="nil"/>
            </w:tcBorders>
            <w:shd w:val="clear" w:color="auto" w:fill="auto"/>
            <w:noWrap/>
            <w:vAlign w:val="bottom"/>
            <w:hideMark/>
          </w:tcPr>
          <w:p w14:paraId="49B4BC0D"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Subvencije poljoprivrednicima i obrtnicima                                                          </w:t>
            </w:r>
          </w:p>
        </w:tc>
        <w:tc>
          <w:tcPr>
            <w:tcW w:w="1480" w:type="dxa"/>
            <w:tcBorders>
              <w:top w:val="nil"/>
              <w:left w:val="nil"/>
              <w:bottom w:val="nil"/>
              <w:right w:val="nil"/>
            </w:tcBorders>
            <w:shd w:val="clear" w:color="auto" w:fill="auto"/>
            <w:noWrap/>
            <w:vAlign w:val="bottom"/>
            <w:hideMark/>
          </w:tcPr>
          <w:p w14:paraId="359F0861"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11139EC"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5.000,00</w:t>
            </w:r>
          </w:p>
        </w:tc>
        <w:tc>
          <w:tcPr>
            <w:tcW w:w="1400" w:type="dxa"/>
            <w:tcBorders>
              <w:top w:val="nil"/>
              <w:left w:val="nil"/>
              <w:bottom w:val="nil"/>
              <w:right w:val="nil"/>
            </w:tcBorders>
            <w:shd w:val="clear" w:color="auto" w:fill="auto"/>
            <w:noWrap/>
            <w:vAlign w:val="bottom"/>
            <w:hideMark/>
          </w:tcPr>
          <w:p w14:paraId="7CE7CD8D"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F90C499" w14:textId="77777777" w:rsidTr="00A360DB">
        <w:trPr>
          <w:trHeight w:val="240"/>
        </w:trPr>
        <w:tc>
          <w:tcPr>
            <w:tcW w:w="1697" w:type="dxa"/>
            <w:tcBorders>
              <w:top w:val="nil"/>
              <w:left w:val="nil"/>
              <w:bottom w:val="nil"/>
              <w:right w:val="nil"/>
            </w:tcBorders>
            <w:shd w:val="clear" w:color="000000" w:fill="B4C6E7"/>
            <w:noWrap/>
            <w:vAlign w:val="bottom"/>
            <w:hideMark/>
          </w:tcPr>
          <w:p w14:paraId="2C63948F"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A100905</w:t>
            </w:r>
          </w:p>
        </w:tc>
        <w:tc>
          <w:tcPr>
            <w:tcW w:w="8509" w:type="dxa"/>
            <w:tcBorders>
              <w:top w:val="nil"/>
              <w:left w:val="nil"/>
              <w:bottom w:val="nil"/>
              <w:right w:val="nil"/>
            </w:tcBorders>
            <w:shd w:val="clear" w:color="000000" w:fill="B4C6E7"/>
            <w:noWrap/>
            <w:vAlign w:val="bottom"/>
            <w:hideMark/>
          </w:tcPr>
          <w:p w14:paraId="0346FE88"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Potpora za korištenje poslovnog prostora u START UP  inkubatoru</w:t>
            </w:r>
          </w:p>
        </w:tc>
        <w:tc>
          <w:tcPr>
            <w:tcW w:w="1480" w:type="dxa"/>
            <w:tcBorders>
              <w:top w:val="nil"/>
              <w:left w:val="nil"/>
              <w:bottom w:val="nil"/>
              <w:right w:val="nil"/>
            </w:tcBorders>
            <w:shd w:val="clear" w:color="000000" w:fill="B4C6E7"/>
            <w:noWrap/>
            <w:vAlign w:val="bottom"/>
            <w:hideMark/>
          </w:tcPr>
          <w:p w14:paraId="559F4CF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3.000,00</w:t>
            </w:r>
          </w:p>
        </w:tc>
        <w:tc>
          <w:tcPr>
            <w:tcW w:w="1380" w:type="dxa"/>
            <w:tcBorders>
              <w:top w:val="nil"/>
              <w:left w:val="nil"/>
              <w:bottom w:val="nil"/>
              <w:right w:val="nil"/>
            </w:tcBorders>
            <w:shd w:val="clear" w:color="000000" w:fill="B4C6E7"/>
            <w:noWrap/>
            <w:vAlign w:val="bottom"/>
            <w:hideMark/>
          </w:tcPr>
          <w:p w14:paraId="5B57B9D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633,90</w:t>
            </w:r>
          </w:p>
        </w:tc>
        <w:tc>
          <w:tcPr>
            <w:tcW w:w="1400" w:type="dxa"/>
            <w:tcBorders>
              <w:top w:val="nil"/>
              <w:left w:val="nil"/>
              <w:bottom w:val="nil"/>
              <w:right w:val="nil"/>
            </w:tcBorders>
            <w:shd w:val="clear" w:color="000000" w:fill="B4C6E7"/>
            <w:noWrap/>
            <w:vAlign w:val="bottom"/>
            <w:hideMark/>
          </w:tcPr>
          <w:p w14:paraId="4F80E9A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21,13%</w:t>
            </w:r>
          </w:p>
        </w:tc>
      </w:tr>
      <w:tr w:rsidR="00A360DB" w:rsidRPr="00A360DB" w14:paraId="18E71595"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FD2F102"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2A74A1E2"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3.000,00</w:t>
            </w:r>
          </w:p>
        </w:tc>
        <w:tc>
          <w:tcPr>
            <w:tcW w:w="1380" w:type="dxa"/>
            <w:tcBorders>
              <w:top w:val="nil"/>
              <w:left w:val="nil"/>
              <w:bottom w:val="nil"/>
              <w:right w:val="nil"/>
            </w:tcBorders>
            <w:shd w:val="clear" w:color="auto" w:fill="auto"/>
            <w:noWrap/>
            <w:vAlign w:val="bottom"/>
            <w:hideMark/>
          </w:tcPr>
          <w:p w14:paraId="577331DE"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633,90</w:t>
            </w:r>
          </w:p>
        </w:tc>
        <w:tc>
          <w:tcPr>
            <w:tcW w:w="1400" w:type="dxa"/>
            <w:tcBorders>
              <w:top w:val="nil"/>
              <w:left w:val="nil"/>
              <w:bottom w:val="nil"/>
              <w:right w:val="nil"/>
            </w:tcBorders>
            <w:shd w:val="clear" w:color="auto" w:fill="auto"/>
            <w:noWrap/>
            <w:vAlign w:val="bottom"/>
            <w:hideMark/>
          </w:tcPr>
          <w:p w14:paraId="794CF886"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21,13%</w:t>
            </w:r>
          </w:p>
        </w:tc>
      </w:tr>
      <w:tr w:rsidR="00A360DB" w:rsidRPr="00A360DB" w14:paraId="7C46E5FB"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433B3FE"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7E8D0052"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3.000,00</w:t>
            </w:r>
          </w:p>
        </w:tc>
        <w:tc>
          <w:tcPr>
            <w:tcW w:w="1380" w:type="dxa"/>
            <w:tcBorders>
              <w:top w:val="nil"/>
              <w:left w:val="nil"/>
              <w:bottom w:val="nil"/>
              <w:right w:val="nil"/>
            </w:tcBorders>
            <w:shd w:val="clear" w:color="auto" w:fill="auto"/>
            <w:noWrap/>
            <w:vAlign w:val="bottom"/>
            <w:hideMark/>
          </w:tcPr>
          <w:p w14:paraId="02523D1C"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633,90</w:t>
            </w:r>
          </w:p>
        </w:tc>
        <w:tc>
          <w:tcPr>
            <w:tcW w:w="1400" w:type="dxa"/>
            <w:tcBorders>
              <w:top w:val="nil"/>
              <w:left w:val="nil"/>
              <w:bottom w:val="nil"/>
              <w:right w:val="nil"/>
            </w:tcBorders>
            <w:shd w:val="clear" w:color="auto" w:fill="auto"/>
            <w:noWrap/>
            <w:vAlign w:val="bottom"/>
            <w:hideMark/>
          </w:tcPr>
          <w:p w14:paraId="27FEFD44"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21,13%</w:t>
            </w:r>
          </w:p>
        </w:tc>
      </w:tr>
      <w:tr w:rsidR="00A360DB" w:rsidRPr="00A360DB" w14:paraId="0CCF2125" w14:textId="77777777" w:rsidTr="00A360DB">
        <w:trPr>
          <w:trHeight w:val="240"/>
        </w:trPr>
        <w:tc>
          <w:tcPr>
            <w:tcW w:w="1697" w:type="dxa"/>
            <w:tcBorders>
              <w:top w:val="nil"/>
              <w:left w:val="nil"/>
              <w:bottom w:val="nil"/>
              <w:right w:val="nil"/>
            </w:tcBorders>
            <w:shd w:val="clear" w:color="auto" w:fill="auto"/>
            <w:noWrap/>
            <w:vAlign w:val="bottom"/>
            <w:hideMark/>
          </w:tcPr>
          <w:p w14:paraId="46F1BB94"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35</w:t>
            </w:r>
          </w:p>
        </w:tc>
        <w:tc>
          <w:tcPr>
            <w:tcW w:w="8509" w:type="dxa"/>
            <w:tcBorders>
              <w:top w:val="nil"/>
              <w:left w:val="nil"/>
              <w:bottom w:val="nil"/>
              <w:right w:val="nil"/>
            </w:tcBorders>
            <w:shd w:val="clear" w:color="auto" w:fill="auto"/>
            <w:noWrap/>
            <w:vAlign w:val="bottom"/>
            <w:hideMark/>
          </w:tcPr>
          <w:p w14:paraId="42B5FE19"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Subvencije                                                                                          </w:t>
            </w:r>
          </w:p>
        </w:tc>
        <w:tc>
          <w:tcPr>
            <w:tcW w:w="1480" w:type="dxa"/>
            <w:tcBorders>
              <w:top w:val="nil"/>
              <w:left w:val="nil"/>
              <w:bottom w:val="nil"/>
              <w:right w:val="nil"/>
            </w:tcBorders>
            <w:shd w:val="clear" w:color="auto" w:fill="auto"/>
            <w:noWrap/>
            <w:vAlign w:val="bottom"/>
            <w:hideMark/>
          </w:tcPr>
          <w:p w14:paraId="5AE1DD0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3.000,00</w:t>
            </w:r>
          </w:p>
        </w:tc>
        <w:tc>
          <w:tcPr>
            <w:tcW w:w="1380" w:type="dxa"/>
            <w:tcBorders>
              <w:top w:val="nil"/>
              <w:left w:val="nil"/>
              <w:bottom w:val="nil"/>
              <w:right w:val="nil"/>
            </w:tcBorders>
            <w:shd w:val="clear" w:color="auto" w:fill="auto"/>
            <w:noWrap/>
            <w:vAlign w:val="bottom"/>
            <w:hideMark/>
          </w:tcPr>
          <w:p w14:paraId="25E9F8A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633,90</w:t>
            </w:r>
          </w:p>
        </w:tc>
        <w:tc>
          <w:tcPr>
            <w:tcW w:w="1400" w:type="dxa"/>
            <w:tcBorders>
              <w:top w:val="nil"/>
              <w:left w:val="nil"/>
              <w:bottom w:val="nil"/>
              <w:right w:val="nil"/>
            </w:tcBorders>
            <w:shd w:val="clear" w:color="auto" w:fill="auto"/>
            <w:noWrap/>
            <w:vAlign w:val="bottom"/>
            <w:hideMark/>
          </w:tcPr>
          <w:p w14:paraId="1BF478E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21,13%</w:t>
            </w:r>
          </w:p>
        </w:tc>
      </w:tr>
      <w:tr w:rsidR="00A360DB" w:rsidRPr="00A360DB" w14:paraId="63869F5F" w14:textId="77777777" w:rsidTr="00A360DB">
        <w:trPr>
          <w:trHeight w:val="240"/>
        </w:trPr>
        <w:tc>
          <w:tcPr>
            <w:tcW w:w="1697" w:type="dxa"/>
            <w:tcBorders>
              <w:top w:val="nil"/>
              <w:left w:val="nil"/>
              <w:bottom w:val="nil"/>
              <w:right w:val="nil"/>
            </w:tcBorders>
            <w:shd w:val="clear" w:color="auto" w:fill="auto"/>
            <w:noWrap/>
            <w:vAlign w:val="bottom"/>
            <w:hideMark/>
          </w:tcPr>
          <w:p w14:paraId="0137392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3522</w:t>
            </w:r>
          </w:p>
        </w:tc>
        <w:tc>
          <w:tcPr>
            <w:tcW w:w="8509" w:type="dxa"/>
            <w:tcBorders>
              <w:top w:val="nil"/>
              <w:left w:val="nil"/>
              <w:bottom w:val="nil"/>
              <w:right w:val="nil"/>
            </w:tcBorders>
            <w:shd w:val="clear" w:color="auto" w:fill="auto"/>
            <w:noWrap/>
            <w:vAlign w:val="bottom"/>
            <w:hideMark/>
          </w:tcPr>
          <w:p w14:paraId="3E981CD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Subvencije trgovačkim društvima izvan javnog sektora                                                </w:t>
            </w:r>
          </w:p>
        </w:tc>
        <w:tc>
          <w:tcPr>
            <w:tcW w:w="1480" w:type="dxa"/>
            <w:tcBorders>
              <w:top w:val="nil"/>
              <w:left w:val="nil"/>
              <w:bottom w:val="nil"/>
              <w:right w:val="nil"/>
            </w:tcBorders>
            <w:shd w:val="clear" w:color="auto" w:fill="auto"/>
            <w:noWrap/>
            <w:vAlign w:val="bottom"/>
            <w:hideMark/>
          </w:tcPr>
          <w:p w14:paraId="6C96C96E"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FBA7326"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312,30</w:t>
            </w:r>
          </w:p>
        </w:tc>
        <w:tc>
          <w:tcPr>
            <w:tcW w:w="1400" w:type="dxa"/>
            <w:tcBorders>
              <w:top w:val="nil"/>
              <w:left w:val="nil"/>
              <w:bottom w:val="nil"/>
              <w:right w:val="nil"/>
            </w:tcBorders>
            <w:shd w:val="clear" w:color="auto" w:fill="auto"/>
            <w:noWrap/>
            <w:vAlign w:val="bottom"/>
            <w:hideMark/>
          </w:tcPr>
          <w:p w14:paraId="5EE0721D"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C2453CD" w14:textId="77777777" w:rsidTr="00A360DB">
        <w:trPr>
          <w:trHeight w:val="240"/>
        </w:trPr>
        <w:tc>
          <w:tcPr>
            <w:tcW w:w="1697" w:type="dxa"/>
            <w:tcBorders>
              <w:top w:val="nil"/>
              <w:left w:val="nil"/>
              <w:bottom w:val="nil"/>
              <w:right w:val="nil"/>
            </w:tcBorders>
            <w:shd w:val="clear" w:color="auto" w:fill="auto"/>
            <w:noWrap/>
            <w:vAlign w:val="bottom"/>
            <w:hideMark/>
          </w:tcPr>
          <w:p w14:paraId="3E9CDB6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3523</w:t>
            </w:r>
          </w:p>
        </w:tc>
        <w:tc>
          <w:tcPr>
            <w:tcW w:w="8509" w:type="dxa"/>
            <w:tcBorders>
              <w:top w:val="nil"/>
              <w:left w:val="nil"/>
              <w:bottom w:val="nil"/>
              <w:right w:val="nil"/>
            </w:tcBorders>
            <w:shd w:val="clear" w:color="auto" w:fill="auto"/>
            <w:noWrap/>
            <w:vAlign w:val="bottom"/>
            <w:hideMark/>
          </w:tcPr>
          <w:p w14:paraId="2298BFE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Subvencije poljoprivrednicima i obrtnicima                                                          </w:t>
            </w:r>
          </w:p>
        </w:tc>
        <w:tc>
          <w:tcPr>
            <w:tcW w:w="1480" w:type="dxa"/>
            <w:tcBorders>
              <w:top w:val="nil"/>
              <w:left w:val="nil"/>
              <w:bottom w:val="nil"/>
              <w:right w:val="nil"/>
            </w:tcBorders>
            <w:shd w:val="clear" w:color="auto" w:fill="auto"/>
            <w:noWrap/>
            <w:vAlign w:val="bottom"/>
            <w:hideMark/>
          </w:tcPr>
          <w:p w14:paraId="5905D196"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F463FD5"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321,60</w:t>
            </w:r>
          </w:p>
        </w:tc>
        <w:tc>
          <w:tcPr>
            <w:tcW w:w="1400" w:type="dxa"/>
            <w:tcBorders>
              <w:top w:val="nil"/>
              <w:left w:val="nil"/>
              <w:bottom w:val="nil"/>
              <w:right w:val="nil"/>
            </w:tcBorders>
            <w:shd w:val="clear" w:color="auto" w:fill="auto"/>
            <w:noWrap/>
            <w:vAlign w:val="bottom"/>
            <w:hideMark/>
          </w:tcPr>
          <w:p w14:paraId="550BAE23"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2AA49EED" w14:textId="77777777" w:rsidTr="00A360DB">
        <w:trPr>
          <w:trHeight w:val="240"/>
        </w:trPr>
        <w:tc>
          <w:tcPr>
            <w:tcW w:w="1697" w:type="dxa"/>
            <w:tcBorders>
              <w:top w:val="nil"/>
              <w:left w:val="nil"/>
              <w:bottom w:val="nil"/>
              <w:right w:val="nil"/>
            </w:tcBorders>
            <w:shd w:val="clear" w:color="000000" w:fill="B4C6E7"/>
            <w:noWrap/>
            <w:vAlign w:val="bottom"/>
            <w:hideMark/>
          </w:tcPr>
          <w:p w14:paraId="58AFA634"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A100912</w:t>
            </w:r>
          </w:p>
        </w:tc>
        <w:tc>
          <w:tcPr>
            <w:tcW w:w="8509" w:type="dxa"/>
            <w:tcBorders>
              <w:top w:val="nil"/>
              <w:left w:val="nil"/>
              <w:bottom w:val="nil"/>
              <w:right w:val="nil"/>
            </w:tcBorders>
            <w:shd w:val="clear" w:color="000000" w:fill="B4C6E7"/>
            <w:noWrap/>
            <w:vAlign w:val="bottom"/>
            <w:hideMark/>
          </w:tcPr>
          <w:p w14:paraId="658804B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Potpora za pokretanje gospodarskih aktivnosti poduzetnika početnika</w:t>
            </w:r>
          </w:p>
        </w:tc>
        <w:tc>
          <w:tcPr>
            <w:tcW w:w="1480" w:type="dxa"/>
            <w:tcBorders>
              <w:top w:val="nil"/>
              <w:left w:val="nil"/>
              <w:bottom w:val="nil"/>
              <w:right w:val="nil"/>
            </w:tcBorders>
            <w:shd w:val="clear" w:color="000000" w:fill="B4C6E7"/>
            <w:noWrap/>
            <w:vAlign w:val="bottom"/>
            <w:hideMark/>
          </w:tcPr>
          <w:p w14:paraId="2E29A29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13.100,00</w:t>
            </w:r>
          </w:p>
        </w:tc>
        <w:tc>
          <w:tcPr>
            <w:tcW w:w="1380" w:type="dxa"/>
            <w:tcBorders>
              <w:top w:val="nil"/>
              <w:left w:val="nil"/>
              <w:bottom w:val="nil"/>
              <w:right w:val="nil"/>
            </w:tcBorders>
            <w:shd w:val="clear" w:color="000000" w:fill="B4C6E7"/>
            <w:noWrap/>
            <w:vAlign w:val="bottom"/>
            <w:hideMark/>
          </w:tcPr>
          <w:p w14:paraId="0E4E767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12.276,01</w:t>
            </w:r>
          </w:p>
        </w:tc>
        <w:tc>
          <w:tcPr>
            <w:tcW w:w="1400" w:type="dxa"/>
            <w:tcBorders>
              <w:top w:val="nil"/>
              <w:left w:val="nil"/>
              <w:bottom w:val="nil"/>
              <w:right w:val="nil"/>
            </w:tcBorders>
            <w:shd w:val="clear" w:color="000000" w:fill="B4C6E7"/>
            <w:noWrap/>
            <w:vAlign w:val="bottom"/>
            <w:hideMark/>
          </w:tcPr>
          <w:p w14:paraId="732341E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93,71%</w:t>
            </w:r>
          </w:p>
        </w:tc>
      </w:tr>
      <w:tr w:rsidR="00A360DB" w:rsidRPr="00A360DB" w14:paraId="3B986B74"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871B9C0"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0DEFB173"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12.090,00</w:t>
            </w:r>
          </w:p>
        </w:tc>
        <w:tc>
          <w:tcPr>
            <w:tcW w:w="1380" w:type="dxa"/>
            <w:tcBorders>
              <w:top w:val="nil"/>
              <w:left w:val="nil"/>
              <w:bottom w:val="nil"/>
              <w:right w:val="nil"/>
            </w:tcBorders>
            <w:shd w:val="clear" w:color="auto" w:fill="auto"/>
            <w:noWrap/>
            <w:vAlign w:val="bottom"/>
            <w:hideMark/>
          </w:tcPr>
          <w:p w14:paraId="3F77532E"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11.266,01</w:t>
            </w:r>
          </w:p>
        </w:tc>
        <w:tc>
          <w:tcPr>
            <w:tcW w:w="1400" w:type="dxa"/>
            <w:tcBorders>
              <w:top w:val="nil"/>
              <w:left w:val="nil"/>
              <w:bottom w:val="nil"/>
              <w:right w:val="nil"/>
            </w:tcBorders>
            <w:shd w:val="clear" w:color="auto" w:fill="auto"/>
            <w:noWrap/>
            <w:vAlign w:val="bottom"/>
            <w:hideMark/>
          </w:tcPr>
          <w:p w14:paraId="5FBEF3B6"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93,18%</w:t>
            </w:r>
          </w:p>
        </w:tc>
      </w:tr>
      <w:tr w:rsidR="00A360DB" w:rsidRPr="00A360DB" w14:paraId="1C8CE036"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15F0EEA"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16CC15AE"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12.090,00</w:t>
            </w:r>
          </w:p>
        </w:tc>
        <w:tc>
          <w:tcPr>
            <w:tcW w:w="1380" w:type="dxa"/>
            <w:tcBorders>
              <w:top w:val="nil"/>
              <w:left w:val="nil"/>
              <w:bottom w:val="nil"/>
              <w:right w:val="nil"/>
            </w:tcBorders>
            <w:shd w:val="clear" w:color="auto" w:fill="auto"/>
            <w:noWrap/>
            <w:vAlign w:val="bottom"/>
            <w:hideMark/>
          </w:tcPr>
          <w:p w14:paraId="2E68728D"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11.266,01</w:t>
            </w:r>
          </w:p>
        </w:tc>
        <w:tc>
          <w:tcPr>
            <w:tcW w:w="1400" w:type="dxa"/>
            <w:tcBorders>
              <w:top w:val="nil"/>
              <w:left w:val="nil"/>
              <w:bottom w:val="nil"/>
              <w:right w:val="nil"/>
            </w:tcBorders>
            <w:shd w:val="clear" w:color="auto" w:fill="auto"/>
            <w:noWrap/>
            <w:vAlign w:val="bottom"/>
            <w:hideMark/>
          </w:tcPr>
          <w:p w14:paraId="77FF69DB"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93,18%</w:t>
            </w:r>
          </w:p>
        </w:tc>
      </w:tr>
      <w:tr w:rsidR="00A360DB" w:rsidRPr="00A360DB" w14:paraId="6ECB289B" w14:textId="77777777" w:rsidTr="00A360DB">
        <w:trPr>
          <w:trHeight w:val="240"/>
        </w:trPr>
        <w:tc>
          <w:tcPr>
            <w:tcW w:w="1697" w:type="dxa"/>
            <w:tcBorders>
              <w:top w:val="nil"/>
              <w:left w:val="nil"/>
              <w:bottom w:val="nil"/>
              <w:right w:val="nil"/>
            </w:tcBorders>
            <w:shd w:val="clear" w:color="auto" w:fill="auto"/>
            <w:noWrap/>
            <w:vAlign w:val="bottom"/>
            <w:hideMark/>
          </w:tcPr>
          <w:p w14:paraId="63822F9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35</w:t>
            </w:r>
          </w:p>
        </w:tc>
        <w:tc>
          <w:tcPr>
            <w:tcW w:w="8509" w:type="dxa"/>
            <w:tcBorders>
              <w:top w:val="nil"/>
              <w:left w:val="nil"/>
              <w:bottom w:val="nil"/>
              <w:right w:val="nil"/>
            </w:tcBorders>
            <w:shd w:val="clear" w:color="auto" w:fill="auto"/>
            <w:noWrap/>
            <w:vAlign w:val="bottom"/>
            <w:hideMark/>
          </w:tcPr>
          <w:p w14:paraId="146881A2"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Subvencije                                                                                          </w:t>
            </w:r>
          </w:p>
        </w:tc>
        <w:tc>
          <w:tcPr>
            <w:tcW w:w="1480" w:type="dxa"/>
            <w:tcBorders>
              <w:top w:val="nil"/>
              <w:left w:val="nil"/>
              <w:bottom w:val="nil"/>
              <w:right w:val="nil"/>
            </w:tcBorders>
            <w:shd w:val="clear" w:color="auto" w:fill="auto"/>
            <w:noWrap/>
            <w:vAlign w:val="bottom"/>
            <w:hideMark/>
          </w:tcPr>
          <w:p w14:paraId="0841EC2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12.090,00</w:t>
            </w:r>
          </w:p>
        </w:tc>
        <w:tc>
          <w:tcPr>
            <w:tcW w:w="1380" w:type="dxa"/>
            <w:tcBorders>
              <w:top w:val="nil"/>
              <w:left w:val="nil"/>
              <w:bottom w:val="nil"/>
              <w:right w:val="nil"/>
            </w:tcBorders>
            <w:shd w:val="clear" w:color="auto" w:fill="auto"/>
            <w:noWrap/>
            <w:vAlign w:val="bottom"/>
            <w:hideMark/>
          </w:tcPr>
          <w:p w14:paraId="640D9F3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11.266,01</w:t>
            </w:r>
          </w:p>
        </w:tc>
        <w:tc>
          <w:tcPr>
            <w:tcW w:w="1400" w:type="dxa"/>
            <w:tcBorders>
              <w:top w:val="nil"/>
              <w:left w:val="nil"/>
              <w:bottom w:val="nil"/>
              <w:right w:val="nil"/>
            </w:tcBorders>
            <w:shd w:val="clear" w:color="auto" w:fill="auto"/>
            <w:noWrap/>
            <w:vAlign w:val="bottom"/>
            <w:hideMark/>
          </w:tcPr>
          <w:p w14:paraId="79A29F6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93,18%</w:t>
            </w:r>
          </w:p>
        </w:tc>
      </w:tr>
      <w:tr w:rsidR="00A360DB" w:rsidRPr="00A360DB" w14:paraId="0848BE8D" w14:textId="77777777" w:rsidTr="00A360DB">
        <w:trPr>
          <w:trHeight w:val="240"/>
        </w:trPr>
        <w:tc>
          <w:tcPr>
            <w:tcW w:w="1697" w:type="dxa"/>
            <w:tcBorders>
              <w:top w:val="nil"/>
              <w:left w:val="nil"/>
              <w:bottom w:val="nil"/>
              <w:right w:val="nil"/>
            </w:tcBorders>
            <w:shd w:val="clear" w:color="auto" w:fill="auto"/>
            <w:noWrap/>
            <w:vAlign w:val="bottom"/>
            <w:hideMark/>
          </w:tcPr>
          <w:p w14:paraId="02E1C70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3522</w:t>
            </w:r>
          </w:p>
        </w:tc>
        <w:tc>
          <w:tcPr>
            <w:tcW w:w="8509" w:type="dxa"/>
            <w:tcBorders>
              <w:top w:val="nil"/>
              <w:left w:val="nil"/>
              <w:bottom w:val="nil"/>
              <w:right w:val="nil"/>
            </w:tcBorders>
            <w:shd w:val="clear" w:color="auto" w:fill="auto"/>
            <w:noWrap/>
            <w:vAlign w:val="bottom"/>
            <w:hideMark/>
          </w:tcPr>
          <w:p w14:paraId="2A9C659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Subvencije trgovačkim društvima izvan javnog sektora                                                </w:t>
            </w:r>
          </w:p>
        </w:tc>
        <w:tc>
          <w:tcPr>
            <w:tcW w:w="1480" w:type="dxa"/>
            <w:tcBorders>
              <w:top w:val="nil"/>
              <w:left w:val="nil"/>
              <w:bottom w:val="nil"/>
              <w:right w:val="nil"/>
            </w:tcBorders>
            <w:shd w:val="clear" w:color="auto" w:fill="auto"/>
            <w:noWrap/>
            <w:vAlign w:val="bottom"/>
            <w:hideMark/>
          </w:tcPr>
          <w:p w14:paraId="4CF1AE0B"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EAEAD37"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5.813,62</w:t>
            </w:r>
          </w:p>
        </w:tc>
        <w:tc>
          <w:tcPr>
            <w:tcW w:w="1400" w:type="dxa"/>
            <w:tcBorders>
              <w:top w:val="nil"/>
              <w:left w:val="nil"/>
              <w:bottom w:val="nil"/>
              <w:right w:val="nil"/>
            </w:tcBorders>
            <w:shd w:val="clear" w:color="auto" w:fill="auto"/>
            <w:noWrap/>
            <w:vAlign w:val="bottom"/>
            <w:hideMark/>
          </w:tcPr>
          <w:p w14:paraId="3E381349"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E17356B" w14:textId="77777777" w:rsidTr="00A360DB">
        <w:trPr>
          <w:trHeight w:val="240"/>
        </w:trPr>
        <w:tc>
          <w:tcPr>
            <w:tcW w:w="1697" w:type="dxa"/>
            <w:tcBorders>
              <w:top w:val="nil"/>
              <w:left w:val="nil"/>
              <w:bottom w:val="nil"/>
              <w:right w:val="nil"/>
            </w:tcBorders>
            <w:shd w:val="clear" w:color="auto" w:fill="auto"/>
            <w:noWrap/>
            <w:vAlign w:val="bottom"/>
            <w:hideMark/>
          </w:tcPr>
          <w:p w14:paraId="69C2D155"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3523</w:t>
            </w:r>
          </w:p>
        </w:tc>
        <w:tc>
          <w:tcPr>
            <w:tcW w:w="8509" w:type="dxa"/>
            <w:tcBorders>
              <w:top w:val="nil"/>
              <w:left w:val="nil"/>
              <w:bottom w:val="nil"/>
              <w:right w:val="nil"/>
            </w:tcBorders>
            <w:shd w:val="clear" w:color="auto" w:fill="auto"/>
            <w:noWrap/>
            <w:vAlign w:val="bottom"/>
            <w:hideMark/>
          </w:tcPr>
          <w:p w14:paraId="71E586DD"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Subvencije poljoprivrednicima i obrtnicima                                                          </w:t>
            </w:r>
          </w:p>
        </w:tc>
        <w:tc>
          <w:tcPr>
            <w:tcW w:w="1480" w:type="dxa"/>
            <w:tcBorders>
              <w:top w:val="nil"/>
              <w:left w:val="nil"/>
              <w:bottom w:val="nil"/>
              <w:right w:val="nil"/>
            </w:tcBorders>
            <w:shd w:val="clear" w:color="auto" w:fill="auto"/>
            <w:noWrap/>
            <w:vAlign w:val="bottom"/>
            <w:hideMark/>
          </w:tcPr>
          <w:p w14:paraId="0D73B616"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2B1D2FC1"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5.452,39</w:t>
            </w:r>
          </w:p>
        </w:tc>
        <w:tc>
          <w:tcPr>
            <w:tcW w:w="1400" w:type="dxa"/>
            <w:tcBorders>
              <w:top w:val="nil"/>
              <w:left w:val="nil"/>
              <w:bottom w:val="nil"/>
              <w:right w:val="nil"/>
            </w:tcBorders>
            <w:shd w:val="clear" w:color="auto" w:fill="auto"/>
            <w:noWrap/>
            <w:vAlign w:val="bottom"/>
            <w:hideMark/>
          </w:tcPr>
          <w:p w14:paraId="19BDB6B6"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CA2DB61"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B69006A"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9. Višak iz prethodnih razdoblja</w:t>
            </w:r>
          </w:p>
        </w:tc>
        <w:tc>
          <w:tcPr>
            <w:tcW w:w="1480" w:type="dxa"/>
            <w:tcBorders>
              <w:top w:val="nil"/>
              <w:left w:val="nil"/>
              <w:bottom w:val="nil"/>
              <w:right w:val="nil"/>
            </w:tcBorders>
            <w:shd w:val="clear" w:color="auto" w:fill="auto"/>
            <w:noWrap/>
            <w:vAlign w:val="bottom"/>
            <w:hideMark/>
          </w:tcPr>
          <w:p w14:paraId="0641EBB5"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1.010,00</w:t>
            </w:r>
          </w:p>
        </w:tc>
        <w:tc>
          <w:tcPr>
            <w:tcW w:w="1380" w:type="dxa"/>
            <w:tcBorders>
              <w:top w:val="nil"/>
              <w:left w:val="nil"/>
              <w:bottom w:val="nil"/>
              <w:right w:val="nil"/>
            </w:tcBorders>
            <w:shd w:val="clear" w:color="auto" w:fill="auto"/>
            <w:noWrap/>
            <w:vAlign w:val="bottom"/>
            <w:hideMark/>
          </w:tcPr>
          <w:p w14:paraId="29FC2259"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1.010,00</w:t>
            </w:r>
          </w:p>
        </w:tc>
        <w:tc>
          <w:tcPr>
            <w:tcW w:w="1400" w:type="dxa"/>
            <w:tcBorders>
              <w:top w:val="nil"/>
              <w:left w:val="nil"/>
              <w:bottom w:val="nil"/>
              <w:right w:val="nil"/>
            </w:tcBorders>
            <w:shd w:val="clear" w:color="auto" w:fill="auto"/>
            <w:noWrap/>
            <w:vAlign w:val="bottom"/>
            <w:hideMark/>
          </w:tcPr>
          <w:p w14:paraId="48BE6E86"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w:t>
            </w:r>
          </w:p>
        </w:tc>
      </w:tr>
      <w:tr w:rsidR="00A360DB" w:rsidRPr="00A360DB" w14:paraId="06A54D8D"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1EC6E3C5"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9.2. Višak iz prethodnih godina - Grad</w:t>
            </w:r>
          </w:p>
        </w:tc>
        <w:tc>
          <w:tcPr>
            <w:tcW w:w="1480" w:type="dxa"/>
            <w:tcBorders>
              <w:top w:val="nil"/>
              <w:left w:val="nil"/>
              <w:bottom w:val="nil"/>
              <w:right w:val="nil"/>
            </w:tcBorders>
            <w:shd w:val="clear" w:color="auto" w:fill="auto"/>
            <w:noWrap/>
            <w:vAlign w:val="bottom"/>
            <w:hideMark/>
          </w:tcPr>
          <w:p w14:paraId="4F1CB3A3"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1.010,00</w:t>
            </w:r>
          </w:p>
        </w:tc>
        <w:tc>
          <w:tcPr>
            <w:tcW w:w="1380" w:type="dxa"/>
            <w:tcBorders>
              <w:top w:val="nil"/>
              <w:left w:val="nil"/>
              <w:bottom w:val="nil"/>
              <w:right w:val="nil"/>
            </w:tcBorders>
            <w:shd w:val="clear" w:color="auto" w:fill="auto"/>
            <w:noWrap/>
            <w:vAlign w:val="bottom"/>
            <w:hideMark/>
          </w:tcPr>
          <w:p w14:paraId="1B246176"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1.010,00</w:t>
            </w:r>
          </w:p>
        </w:tc>
        <w:tc>
          <w:tcPr>
            <w:tcW w:w="1400" w:type="dxa"/>
            <w:tcBorders>
              <w:top w:val="nil"/>
              <w:left w:val="nil"/>
              <w:bottom w:val="nil"/>
              <w:right w:val="nil"/>
            </w:tcBorders>
            <w:shd w:val="clear" w:color="auto" w:fill="auto"/>
            <w:noWrap/>
            <w:vAlign w:val="bottom"/>
            <w:hideMark/>
          </w:tcPr>
          <w:p w14:paraId="5DBBBF43"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w:t>
            </w:r>
          </w:p>
        </w:tc>
      </w:tr>
      <w:tr w:rsidR="00A360DB" w:rsidRPr="00A360DB" w14:paraId="1C963FDD" w14:textId="77777777" w:rsidTr="00A360DB">
        <w:trPr>
          <w:trHeight w:val="240"/>
        </w:trPr>
        <w:tc>
          <w:tcPr>
            <w:tcW w:w="1697" w:type="dxa"/>
            <w:tcBorders>
              <w:top w:val="nil"/>
              <w:left w:val="nil"/>
              <w:bottom w:val="nil"/>
              <w:right w:val="nil"/>
            </w:tcBorders>
            <w:shd w:val="clear" w:color="auto" w:fill="auto"/>
            <w:noWrap/>
            <w:vAlign w:val="bottom"/>
            <w:hideMark/>
          </w:tcPr>
          <w:p w14:paraId="0E9CD665"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35</w:t>
            </w:r>
          </w:p>
        </w:tc>
        <w:tc>
          <w:tcPr>
            <w:tcW w:w="8509" w:type="dxa"/>
            <w:tcBorders>
              <w:top w:val="nil"/>
              <w:left w:val="nil"/>
              <w:bottom w:val="nil"/>
              <w:right w:val="nil"/>
            </w:tcBorders>
            <w:shd w:val="clear" w:color="auto" w:fill="auto"/>
            <w:noWrap/>
            <w:vAlign w:val="bottom"/>
            <w:hideMark/>
          </w:tcPr>
          <w:p w14:paraId="31D98EB3"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Subvencije                                                                                          </w:t>
            </w:r>
          </w:p>
        </w:tc>
        <w:tc>
          <w:tcPr>
            <w:tcW w:w="1480" w:type="dxa"/>
            <w:tcBorders>
              <w:top w:val="nil"/>
              <w:left w:val="nil"/>
              <w:bottom w:val="nil"/>
              <w:right w:val="nil"/>
            </w:tcBorders>
            <w:shd w:val="clear" w:color="auto" w:fill="auto"/>
            <w:noWrap/>
            <w:vAlign w:val="bottom"/>
            <w:hideMark/>
          </w:tcPr>
          <w:p w14:paraId="024430B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1.010,00</w:t>
            </w:r>
          </w:p>
        </w:tc>
        <w:tc>
          <w:tcPr>
            <w:tcW w:w="1380" w:type="dxa"/>
            <w:tcBorders>
              <w:top w:val="nil"/>
              <w:left w:val="nil"/>
              <w:bottom w:val="nil"/>
              <w:right w:val="nil"/>
            </w:tcBorders>
            <w:shd w:val="clear" w:color="auto" w:fill="auto"/>
            <w:noWrap/>
            <w:vAlign w:val="bottom"/>
            <w:hideMark/>
          </w:tcPr>
          <w:p w14:paraId="0D0E6F9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1.010,00</w:t>
            </w:r>
          </w:p>
        </w:tc>
        <w:tc>
          <w:tcPr>
            <w:tcW w:w="1400" w:type="dxa"/>
            <w:tcBorders>
              <w:top w:val="nil"/>
              <w:left w:val="nil"/>
              <w:bottom w:val="nil"/>
              <w:right w:val="nil"/>
            </w:tcBorders>
            <w:shd w:val="clear" w:color="auto" w:fill="auto"/>
            <w:noWrap/>
            <w:vAlign w:val="bottom"/>
            <w:hideMark/>
          </w:tcPr>
          <w:p w14:paraId="7DDCD9A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r>
      <w:tr w:rsidR="00A360DB" w:rsidRPr="00A360DB" w14:paraId="7729413D" w14:textId="77777777" w:rsidTr="00A360DB">
        <w:trPr>
          <w:trHeight w:val="240"/>
        </w:trPr>
        <w:tc>
          <w:tcPr>
            <w:tcW w:w="1697" w:type="dxa"/>
            <w:tcBorders>
              <w:top w:val="nil"/>
              <w:left w:val="nil"/>
              <w:bottom w:val="nil"/>
              <w:right w:val="nil"/>
            </w:tcBorders>
            <w:shd w:val="clear" w:color="auto" w:fill="auto"/>
            <w:noWrap/>
            <w:vAlign w:val="bottom"/>
            <w:hideMark/>
          </w:tcPr>
          <w:p w14:paraId="4B1CBD0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3522</w:t>
            </w:r>
          </w:p>
        </w:tc>
        <w:tc>
          <w:tcPr>
            <w:tcW w:w="8509" w:type="dxa"/>
            <w:tcBorders>
              <w:top w:val="nil"/>
              <w:left w:val="nil"/>
              <w:bottom w:val="nil"/>
              <w:right w:val="nil"/>
            </w:tcBorders>
            <w:shd w:val="clear" w:color="auto" w:fill="auto"/>
            <w:noWrap/>
            <w:vAlign w:val="bottom"/>
            <w:hideMark/>
          </w:tcPr>
          <w:p w14:paraId="288BA04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Subvencije trgovačkim društvima izvan javnog sektora                                                </w:t>
            </w:r>
          </w:p>
        </w:tc>
        <w:tc>
          <w:tcPr>
            <w:tcW w:w="1480" w:type="dxa"/>
            <w:tcBorders>
              <w:top w:val="nil"/>
              <w:left w:val="nil"/>
              <w:bottom w:val="nil"/>
              <w:right w:val="nil"/>
            </w:tcBorders>
            <w:shd w:val="clear" w:color="auto" w:fill="auto"/>
            <w:noWrap/>
            <w:vAlign w:val="bottom"/>
            <w:hideMark/>
          </w:tcPr>
          <w:p w14:paraId="0F90F0F5"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67891B7"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1.010,00</w:t>
            </w:r>
          </w:p>
        </w:tc>
        <w:tc>
          <w:tcPr>
            <w:tcW w:w="1400" w:type="dxa"/>
            <w:tcBorders>
              <w:top w:val="nil"/>
              <w:left w:val="nil"/>
              <w:bottom w:val="nil"/>
              <w:right w:val="nil"/>
            </w:tcBorders>
            <w:shd w:val="clear" w:color="auto" w:fill="auto"/>
            <w:noWrap/>
            <w:vAlign w:val="bottom"/>
            <w:hideMark/>
          </w:tcPr>
          <w:p w14:paraId="1A7AE17D"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02A84CF" w14:textId="77777777" w:rsidTr="00A360DB">
        <w:trPr>
          <w:trHeight w:val="240"/>
        </w:trPr>
        <w:tc>
          <w:tcPr>
            <w:tcW w:w="1697" w:type="dxa"/>
            <w:tcBorders>
              <w:top w:val="nil"/>
              <w:left w:val="nil"/>
              <w:bottom w:val="nil"/>
              <w:right w:val="nil"/>
            </w:tcBorders>
            <w:shd w:val="clear" w:color="000000" w:fill="B4C6E7"/>
            <w:noWrap/>
            <w:vAlign w:val="bottom"/>
            <w:hideMark/>
          </w:tcPr>
          <w:p w14:paraId="04B8B048"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A100915</w:t>
            </w:r>
          </w:p>
        </w:tc>
        <w:tc>
          <w:tcPr>
            <w:tcW w:w="8509" w:type="dxa"/>
            <w:tcBorders>
              <w:top w:val="nil"/>
              <w:left w:val="nil"/>
              <w:bottom w:val="nil"/>
              <w:right w:val="nil"/>
            </w:tcBorders>
            <w:shd w:val="clear" w:color="000000" w:fill="B4C6E7"/>
            <w:noWrap/>
            <w:vAlign w:val="bottom"/>
            <w:hideMark/>
          </w:tcPr>
          <w:p w14:paraId="3C4F7C05"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Potpora za razvoj voćarstva, vinogradarstva i povrtlarstva</w:t>
            </w:r>
          </w:p>
        </w:tc>
        <w:tc>
          <w:tcPr>
            <w:tcW w:w="1480" w:type="dxa"/>
            <w:tcBorders>
              <w:top w:val="nil"/>
              <w:left w:val="nil"/>
              <w:bottom w:val="nil"/>
              <w:right w:val="nil"/>
            </w:tcBorders>
            <w:shd w:val="clear" w:color="000000" w:fill="B4C6E7"/>
            <w:noWrap/>
            <w:vAlign w:val="bottom"/>
            <w:hideMark/>
          </w:tcPr>
          <w:p w14:paraId="505598B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8.000,00</w:t>
            </w:r>
          </w:p>
        </w:tc>
        <w:tc>
          <w:tcPr>
            <w:tcW w:w="1380" w:type="dxa"/>
            <w:tcBorders>
              <w:top w:val="nil"/>
              <w:left w:val="nil"/>
              <w:bottom w:val="nil"/>
              <w:right w:val="nil"/>
            </w:tcBorders>
            <w:shd w:val="clear" w:color="000000" w:fill="B4C6E7"/>
            <w:noWrap/>
            <w:vAlign w:val="bottom"/>
            <w:hideMark/>
          </w:tcPr>
          <w:p w14:paraId="7ECFA61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5.554,08</w:t>
            </w:r>
          </w:p>
        </w:tc>
        <w:tc>
          <w:tcPr>
            <w:tcW w:w="1400" w:type="dxa"/>
            <w:tcBorders>
              <w:top w:val="nil"/>
              <w:left w:val="nil"/>
              <w:bottom w:val="nil"/>
              <w:right w:val="nil"/>
            </w:tcBorders>
            <w:shd w:val="clear" w:color="000000" w:fill="B4C6E7"/>
            <w:noWrap/>
            <w:vAlign w:val="bottom"/>
            <w:hideMark/>
          </w:tcPr>
          <w:p w14:paraId="7F2316B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69,43%</w:t>
            </w:r>
          </w:p>
        </w:tc>
      </w:tr>
      <w:tr w:rsidR="00A360DB" w:rsidRPr="00A360DB" w14:paraId="6BC18A4D"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A359A17"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4. Prihodi za posebne namjene</w:t>
            </w:r>
          </w:p>
        </w:tc>
        <w:tc>
          <w:tcPr>
            <w:tcW w:w="1480" w:type="dxa"/>
            <w:tcBorders>
              <w:top w:val="nil"/>
              <w:left w:val="nil"/>
              <w:bottom w:val="nil"/>
              <w:right w:val="nil"/>
            </w:tcBorders>
            <w:shd w:val="clear" w:color="auto" w:fill="auto"/>
            <w:noWrap/>
            <w:vAlign w:val="bottom"/>
            <w:hideMark/>
          </w:tcPr>
          <w:p w14:paraId="75655A97"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8.000,00</w:t>
            </w:r>
          </w:p>
        </w:tc>
        <w:tc>
          <w:tcPr>
            <w:tcW w:w="1380" w:type="dxa"/>
            <w:tcBorders>
              <w:top w:val="nil"/>
              <w:left w:val="nil"/>
              <w:bottom w:val="nil"/>
              <w:right w:val="nil"/>
            </w:tcBorders>
            <w:shd w:val="clear" w:color="auto" w:fill="auto"/>
            <w:noWrap/>
            <w:vAlign w:val="bottom"/>
            <w:hideMark/>
          </w:tcPr>
          <w:p w14:paraId="4C515335"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5.554,08</w:t>
            </w:r>
          </w:p>
        </w:tc>
        <w:tc>
          <w:tcPr>
            <w:tcW w:w="1400" w:type="dxa"/>
            <w:tcBorders>
              <w:top w:val="nil"/>
              <w:left w:val="nil"/>
              <w:bottom w:val="nil"/>
              <w:right w:val="nil"/>
            </w:tcBorders>
            <w:shd w:val="clear" w:color="auto" w:fill="auto"/>
            <w:noWrap/>
            <w:vAlign w:val="bottom"/>
            <w:hideMark/>
          </w:tcPr>
          <w:p w14:paraId="66F1F7EF"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69,43%</w:t>
            </w:r>
          </w:p>
        </w:tc>
      </w:tr>
      <w:tr w:rsidR="00A360DB" w:rsidRPr="00A360DB" w14:paraId="268472BB"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AE39D30"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4.1. Prihodi za posebne namjene</w:t>
            </w:r>
          </w:p>
        </w:tc>
        <w:tc>
          <w:tcPr>
            <w:tcW w:w="1480" w:type="dxa"/>
            <w:tcBorders>
              <w:top w:val="nil"/>
              <w:left w:val="nil"/>
              <w:bottom w:val="nil"/>
              <w:right w:val="nil"/>
            </w:tcBorders>
            <w:shd w:val="clear" w:color="auto" w:fill="auto"/>
            <w:noWrap/>
            <w:vAlign w:val="bottom"/>
            <w:hideMark/>
          </w:tcPr>
          <w:p w14:paraId="091225F7"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8.000,00</w:t>
            </w:r>
          </w:p>
        </w:tc>
        <w:tc>
          <w:tcPr>
            <w:tcW w:w="1380" w:type="dxa"/>
            <w:tcBorders>
              <w:top w:val="nil"/>
              <w:left w:val="nil"/>
              <w:bottom w:val="nil"/>
              <w:right w:val="nil"/>
            </w:tcBorders>
            <w:shd w:val="clear" w:color="auto" w:fill="auto"/>
            <w:noWrap/>
            <w:vAlign w:val="bottom"/>
            <w:hideMark/>
          </w:tcPr>
          <w:p w14:paraId="18471B06"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5.554,08</w:t>
            </w:r>
          </w:p>
        </w:tc>
        <w:tc>
          <w:tcPr>
            <w:tcW w:w="1400" w:type="dxa"/>
            <w:tcBorders>
              <w:top w:val="nil"/>
              <w:left w:val="nil"/>
              <w:bottom w:val="nil"/>
              <w:right w:val="nil"/>
            </w:tcBorders>
            <w:shd w:val="clear" w:color="auto" w:fill="auto"/>
            <w:noWrap/>
            <w:vAlign w:val="bottom"/>
            <w:hideMark/>
          </w:tcPr>
          <w:p w14:paraId="7AE461AF"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69,43%</w:t>
            </w:r>
          </w:p>
        </w:tc>
      </w:tr>
      <w:tr w:rsidR="00A360DB" w:rsidRPr="00A360DB" w14:paraId="2AAD0C3F" w14:textId="77777777" w:rsidTr="00A360DB">
        <w:trPr>
          <w:trHeight w:val="240"/>
        </w:trPr>
        <w:tc>
          <w:tcPr>
            <w:tcW w:w="1697" w:type="dxa"/>
            <w:tcBorders>
              <w:top w:val="nil"/>
              <w:left w:val="nil"/>
              <w:bottom w:val="nil"/>
              <w:right w:val="nil"/>
            </w:tcBorders>
            <w:shd w:val="clear" w:color="auto" w:fill="auto"/>
            <w:noWrap/>
            <w:vAlign w:val="bottom"/>
            <w:hideMark/>
          </w:tcPr>
          <w:p w14:paraId="4232490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35</w:t>
            </w:r>
          </w:p>
        </w:tc>
        <w:tc>
          <w:tcPr>
            <w:tcW w:w="8509" w:type="dxa"/>
            <w:tcBorders>
              <w:top w:val="nil"/>
              <w:left w:val="nil"/>
              <w:bottom w:val="nil"/>
              <w:right w:val="nil"/>
            </w:tcBorders>
            <w:shd w:val="clear" w:color="auto" w:fill="auto"/>
            <w:noWrap/>
            <w:vAlign w:val="bottom"/>
            <w:hideMark/>
          </w:tcPr>
          <w:p w14:paraId="1E2843E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Subvencije                                                                                          </w:t>
            </w:r>
          </w:p>
        </w:tc>
        <w:tc>
          <w:tcPr>
            <w:tcW w:w="1480" w:type="dxa"/>
            <w:tcBorders>
              <w:top w:val="nil"/>
              <w:left w:val="nil"/>
              <w:bottom w:val="nil"/>
              <w:right w:val="nil"/>
            </w:tcBorders>
            <w:shd w:val="clear" w:color="auto" w:fill="auto"/>
            <w:noWrap/>
            <w:vAlign w:val="bottom"/>
            <w:hideMark/>
          </w:tcPr>
          <w:p w14:paraId="09C1846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8.000,00</w:t>
            </w:r>
          </w:p>
        </w:tc>
        <w:tc>
          <w:tcPr>
            <w:tcW w:w="1380" w:type="dxa"/>
            <w:tcBorders>
              <w:top w:val="nil"/>
              <w:left w:val="nil"/>
              <w:bottom w:val="nil"/>
              <w:right w:val="nil"/>
            </w:tcBorders>
            <w:shd w:val="clear" w:color="auto" w:fill="auto"/>
            <w:noWrap/>
            <w:vAlign w:val="bottom"/>
            <w:hideMark/>
          </w:tcPr>
          <w:p w14:paraId="60023A7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5.554,08</w:t>
            </w:r>
          </w:p>
        </w:tc>
        <w:tc>
          <w:tcPr>
            <w:tcW w:w="1400" w:type="dxa"/>
            <w:tcBorders>
              <w:top w:val="nil"/>
              <w:left w:val="nil"/>
              <w:bottom w:val="nil"/>
              <w:right w:val="nil"/>
            </w:tcBorders>
            <w:shd w:val="clear" w:color="auto" w:fill="auto"/>
            <w:noWrap/>
            <w:vAlign w:val="bottom"/>
            <w:hideMark/>
          </w:tcPr>
          <w:p w14:paraId="5088C9A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69,43%</w:t>
            </w:r>
          </w:p>
        </w:tc>
      </w:tr>
      <w:tr w:rsidR="00A360DB" w:rsidRPr="00A360DB" w14:paraId="24E78BB0" w14:textId="77777777" w:rsidTr="00A360DB">
        <w:trPr>
          <w:trHeight w:val="240"/>
        </w:trPr>
        <w:tc>
          <w:tcPr>
            <w:tcW w:w="1697" w:type="dxa"/>
            <w:tcBorders>
              <w:top w:val="nil"/>
              <w:left w:val="nil"/>
              <w:bottom w:val="nil"/>
              <w:right w:val="nil"/>
            </w:tcBorders>
            <w:shd w:val="clear" w:color="auto" w:fill="auto"/>
            <w:noWrap/>
            <w:vAlign w:val="bottom"/>
            <w:hideMark/>
          </w:tcPr>
          <w:p w14:paraId="4BBB9B0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3523</w:t>
            </w:r>
          </w:p>
        </w:tc>
        <w:tc>
          <w:tcPr>
            <w:tcW w:w="8509" w:type="dxa"/>
            <w:tcBorders>
              <w:top w:val="nil"/>
              <w:left w:val="nil"/>
              <w:bottom w:val="nil"/>
              <w:right w:val="nil"/>
            </w:tcBorders>
            <w:shd w:val="clear" w:color="auto" w:fill="auto"/>
            <w:noWrap/>
            <w:vAlign w:val="bottom"/>
            <w:hideMark/>
          </w:tcPr>
          <w:p w14:paraId="7737936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Subvencije poljoprivrednicima i obrtnicima                                                          </w:t>
            </w:r>
          </w:p>
        </w:tc>
        <w:tc>
          <w:tcPr>
            <w:tcW w:w="1480" w:type="dxa"/>
            <w:tcBorders>
              <w:top w:val="nil"/>
              <w:left w:val="nil"/>
              <w:bottom w:val="nil"/>
              <w:right w:val="nil"/>
            </w:tcBorders>
            <w:shd w:val="clear" w:color="auto" w:fill="auto"/>
            <w:noWrap/>
            <w:vAlign w:val="bottom"/>
            <w:hideMark/>
          </w:tcPr>
          <w:p w14:paraId="2A1F3FF9"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BE5EDAE"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5.554,08</w:t>
            </w:r>
          </w:p>
        </w:tc>
        <w:tc>
          <w:tcPr>
            <w:tcW w:w="1400" w:type="dxa"/>
            <w:tcBorders>
              <w:top w:val="nil"/>
              <w:left w:val="nil"/>
              <w:bottom w:val="nil"/>
              <w:right w:val="nil"/>
            </w:tcBorders>
            <w:shd w:val="clear" w:color="auto" w:fill="auto"/>
            <w:noWrap/>
            <w:vAlign w:val="bottom"/>
            <w:hideMark/>
          </w:tcPr>
          <w:p w14:paraId="0EDBE4DC"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2F3A728A" w14:textId="77777777" w:rsidTr="00A360DB">
        <w:trPr>
          <w:trHeight w:val="240"/>
        </w:trPr>
        <w:tc>
          <w:tcPr>
            <w:tcW w:w="1697" w:type="dxa"/>
            <w:tcBorders>
              <w:top w:val="nil"/>
              <w:left w:val="nil"/>
              <w:bottom w:val="nil"/>
              <w:right w:val="nil"/>
            </w:tcBorders>
            <w:shd w:val="clear" w:color="000000" w:fill="B4C6E7"/>
            <w:noWrap/>
            <w:vAlign w:val="bottom"/>
            <w:hideMark/>
          </w:tcPr>
          <w:p w14:paraId="61E6A884"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A100917</w:t>
            </w:r>
          </w:p>
        </w:tc>
        <w:tc>
          <w:tcPr>
            <w:tcW w:w="8509" w:type="dxa"/>
            <w:tcBorders>
              <w:top w:val="nil"/>
              <w:left w:val="nil"/>
              <w:bottom w:val="nil"/>
              <w:right w:val="nil"/>
            </w:tcBorders>
            <w:shd w:val="clear" w:color="000000" w:fill="B4C6E7"/>
            <w:noWrap/>
            <w:vAlign w:val="bottom"/>
            <w:hideMark/>
          </w:tcPr>
          <w:p w14:paraId="68DBB807"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Potpora za korištenje uredskih prostora u Tehno parku Garešnica</w:t>
            </w:r>
          </w:p>
        </w:tc>
        <w:tc>
          <w:tcPr>
            <w:tcW w:w="1480" w:type="dxa"/>
            <w:tcBorders>
              <w:top w:val="nil"/>
              <w:left w:val="nil"/>
              <w:bottom w:val="nil"/>
              <w:right w:val="nil"/>
            </w:tcBorders>
            <w:shd w:val="clear" w:color="000000" w:fill="B4C6E7"/>
            <w:noWrap/>
            <w:vAlign w:val="bottom"/>
            <w:hideMark/>
          </w:tcPr>
          <w:p w14:paraId="502FC9D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29.000,00</w:t>
            </w:r>
          </w:p>
        </w:tc>
        <w:tc>
          <w:tcPr>
            <w:tcW w:w="1380" w:type="dxa"/>
            <w:tcBorders>
              <w:top w:val="nil"/>
              <w:left w:val="nil"/>
              <w:bottom w:val="nil"/>
              <w:right w:val="nil"/>
            </w:tcBorders>
            <w:shd w:val="clear" w:color="000000" w:fill="B4C6E7"/>
            <w:noWrap/>
            <w:vAlign w:val="bottom"/>
            <w:hideMark/>
          </w:tcPr>
          <w:p w14:paraId="545F537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22.832,83</w:t>
            </w:r>
          </w:p>
        </w:tc>
        <w:tc>
          <w:tcPr>
            <w:tcW w:w="1400" w:type="dxa"/>
            <w:tcBorders>
              <w:top w:val="nil"/>
              <w:left w:val="nil"/>
              <w:bottom w:val="nil"/>
              <w:right w:val="nil"/>
            </w:tcBorders>
            <w:shd w:val="clear" w:color="000000" w:fill="B4C6E7"/>
            <w:noWrap/>
            <w:vAlign w:val="bottom"/>
            <w:hideMark/>
          </w:tcPr>
          <w:p w14:paraId="6812AB1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78,73%</w:t>
            </w:r>
          </w:p>
        </w:tc>
      </w:tr>
      <w:tr w:rsidR="00A360DB" w:rsidRPr="00A360DB" w14:paraId="3091F104"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048E229"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37192A6B"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29.000,00</w:t>
            </w:r>
          </w:p>
        </w:tc>
        <w:tc>
          <w:tcPr>
            <w:tcW w:w="1380" w:type="dxa"/>
            <w:tcBorders>
              <w:top w:val="nil"/>
              <w:left w:val="nil"/>
              <w:bottom w:val="nil"/>
              <w:right w:val="nil"/>
            </w:tcBorders>
            <w:shd w:val="clear" w:color="auto" w:fill="auto"/>
            <w:noWrap/>
            <w:vAlign w:val="bottom"/>
            <w:hideMark/>
          </w:tcPr>
          <w:p w14:paraId="5B7D1785"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22.832,83</w:t>
            </w:r>
          </w:p>
        </w:tc>
        <w:tc>
          <w:tcPr>
            <w:tcW w:w="1400" w:type="dxa"/>
            <w:tcBorders>
              <w:top w:val="nil"/>
              <w:left w:val="nil"/>
              <w:bottom w:val="nil"/>
              <w:right w:val="nil"/>
            </w:tcBorders>
            <w:shd w:val="clear" w:color="auto" w:fill="auto"/>
            <w:noWrap/>
            <w:vAlign w:val="bottom"/>
            <w:hideMark/>
          </w:tcPr>
          <w:p w14:paraId="68FC428C"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78,73%</w:t>
            </w:r>
          </w:p>
        </w:tc>
      </w:tr>
      <w:tr w:rsidR="00A360DB" w:rsidRPr="00A360DB" w14:paraId="5FC177DE"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9D7FF77"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1E707058"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29.000,00</w:t>
            </w:r>
          </w:p>
        </w:tc>
        <w:tc>
          <w:tcPr>
            <w:tcW w:w="1380" w:type="dxa"/>
            <w:tcBorders>
              <w:top w:val="nil"/>
              <w:left w:val="nil"/>
              <w:bottom w:val="nil"/>
              <w:right w:val="nil"/>
            </w:tcBorders>
            <w:shd w:val="clear" w:color="auto" w:fill="auto"/>
            <w:noWrap/>
            <w:vAlign w:val="bottom"/>
            <w:hideMark/>
          </w:tcPr>
          <w:p w14:paraId="5A9299F6"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22.832,83</w:t>
            </w:r>
          </w:p>
        </w:tc>
        <w:tc>
          <w:tcPr>
            <w:tcW w:w="1400" w:type="dxa"/>
            <w:tcBorders>
              <w:top w:val="nil"/>
              <w:left w:val="nil"/>
              <w:bottom w:val="nil"/>
              <w:right w:val="nil"/>
            </w:tcBorders>
            <w:shd w:val="clear" w:color="auto" w:fill="auto"/>
            <w:noWrap/>
            <w:vAlign w:val="bottom"/>
            <w:hideMark/>
          </w:tcPr>
          <w:p w14:paraId="452962D6"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78,73%</w:t>
            </w:r>
          </w:p>
        </w:tc>
      </w:tr>
      <w:tr w:rsidR="00A360DB" w:rsidRPr="00A360DB" w14:paraId="68D5C787" w14:textId="77777777" w:rsidTr="00A360DB">
        <w:trPr>
          <w:trHeight w:val="240"/>
        </w:trPr>
        <w:tc>
          <w:tcPr>
            <w:tcW w:w="1697" w:type="dxa"/>
            <w:tcBorders>
              <w:top w:val="nil"/>
              <w:left w:val="nil"/>
              <w:bottom w:val="nil"/>
              <w:right w:val="nil"/>
            </w:tcBorders>
            <w:shd w:val="clear" w:color="auto" w:fill="auto"/>
            <w:noWrap/>
            <w:vAlign w:val="bottom"/>
            <w:hideMark/>
          </w:tcPr>
          <w:p w14:paraId="1C206E78"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35</w:t>
            </w:r>
          </w:p>
        </w:tc>
        <w:tc>
          <w:tcPr>
            <w:tcW w:w="8509" w:type="dxa"/>
            <w:tcBorders>
              <w:top w:val="nil"/>
              <w:left w:val="nil"/>
              <w:bottom w:val="nil"/>
              <w:right w:val="nil"/>
            </w:tcBorders>
            <w:shd w:val="clear" w:color="auto" w:fill="auto"/>
            <w:noWrap/>
            <w:vAlign w:val="bottom"/>
            <w:hideMark/>
          </w:tcPr>
          <w:p w14:paraId="233ABDDF"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Subvencije                                                                                          </w:t>
            </w:r>
          </w:p>
        </w:tc>
        <w:tc>
          <w:tcPr>
            <w:tcW w:w="1480" w:type="dxa"/>
            <w:tcBorders>
              <w:top w:val="nil"/>
              <w:left w:val="nil"/>
              <w:bottom w:val="nil"/>
              <w:right w:val="nil"/>
            </w:tcBorders>
            <w:shd w:val="clear" w:color="auto" w:fill="auto"/>
            <w:noWrap/>
            <w:vAlign w:val="bottom"/>
            <w:hideMark/>
          </w:tcPr>
          <w:p w14:paraId="1F92EA6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29.000,00</w:t>
            </w:r>
          </w:p>
        </w:tc>
        <w:tc>
          <w:tcPr>
            <w:tcW w:w="1380" w:type="dxa"/>
            <w:tcBorders>
              <w:top w:val="nil"/>
              <w:left w:val="nil"/>
              <w:bottom w:val="nil"/>
              <w:right w:val="nil"/>
            </w:tcBorders>
            <w:shd w:val="clear" w:color="auto" w:fill="auto"/>
            <w:noWrap/>
            <w:vAlign w:val="bottom"/>
            <w:hideMark/>
          </w:tcPr>
          <w:p w14:paraId="62375BD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22.832,83</w:t>
            </w:r>
          </w:p>
        </w:tc>
        <w:tc>
          <w:tcPr>
            <w:tcW w:w="1400" w:type="dxa"/>
            <w:tcBorders>
              <w:top w:val="nil"/>
              <w:left w:val="nil"/>
              <w:bottom w:val="nil"/>
              <w:right w:val="nil"/>
            </w:tcBorders>
            <w:shd w:val="clear" w:color="auto" w:fill="auto"/>
            <w:noWrap/>
            <w:vAlign w:val="bottom"/>
            <w:hideMark/>
          </w:tcPr>
          <w:p w14:paraId="00CA381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78,73%</w:t>
            </w:r>
          </w:p>
        </w:tc>
      </w:tr>
      <w:tr w:rsidR="00A360DB" w:rsidRPr="00A360DB" w14:paraId="0599FE21" w14:textId="77777777" w:rsidTr="00A360DB">
        <w:trPr>
          <w:trHeight w:val="240"/>
        </w:trPr>
        <w:tc>
          <w:tcPr>
            <w:tcW w:w="1697" w:type="dxa"/>
            <w:tcBorders>
              <w:top w:val="nil"/>
              <w:left w:val="nil"/>
              <w:bottom w:val="nil"/>
              <w:right w:val="nil"/>
            </w:tcBorders>
            <w:shd w:val="clear" w:color="auto" w:fill="auto"/>
            <w:noWrap/>
            <w:vAlign w:val="bottom"/>
            <w:hideMark/>
          </w:tcPr>
          <w:p w14:paraId="6C5480B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3522</w:t>
            </w:r>
          </w:p>
        </w:tc>
        <w:tc>
          <w:tcPr>
            <w:tcW w:w="8509" w:type="dxa"/>
            <w:tcBorders>
              <w:top w:val="nil"/>
              <w:left w:val="nil"/>
              <w:bottom w:val="nil"/>
              <w:right w:val="nil"/>
            </w:tcBorders>
            <w:shd w:val="clear" w:color="auto" w:fill="auto"/>
            <w:noWrap/>
            <w:vAlign w:val="bottom"/>
            <w:hideMark/>
          </w:tcPr>
          <w:p w14:paraId="00DA459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Subvencije trgovačkim društvima izvan javnog sektora                                                </w:t>
            </w:r>
          </w:p>
        </w:tc>
        <w:tc>
          <w:tcPr>
            <w:tcW w:w="1480" w:type="dxa"/>
            <w:tcBorders>
              <w:top w:val="nil"/>
              <w:left w:val="nil"/>
              <w:bottom w:val="nil"/>
              <w:right w:val="nil"/>
            </w:tcBorders>
            <w:shd w:val="clear" w:color="auto" w:fill="auto"/>
            <w:noWrap/>
            <w:vAlign w:val="bottom"/>
            <w:hideMark/>
          </w:tcPr>
          <w:p w14:paraId="50ACA7B8"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AAB0CF9"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19.962,24</w:t>
            </w:r>
          </w:p>
        </w:tc>
        <w:tc>
          <w:tcPr>
            <w:tcW w:w="1400" w:type="dxa"/>
            <w:tcBorders>
              <w:top w:val="nil"/>
              <w:left w:val="nil"/>
              <w:bottom w:val="nil"/>
              <w:right w:val="nil"/>
            </w:tcBorders>
            <w:shd w:val="clear" w:color="auto" w:fill="auto"/>
            <w:noWrap/>
            <w:vAlign w:val="bottom"/>
            <w:hideMark/>
          </w:tcPr>
          <w:p w14:paraId="5F1D6434"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03D9DD5" w14:textId="77777777" w:rsidTr="00A360DB">
        <w:trPr>
          <w:trHeight w:val="240"/>
        </w:trPr>
        <w:tc>
          <w:tcPr>
            <w:tcW w:w="1697" w:type="dxa"/>
            <w:tcBorders>
              <w:top w:val="nil"/>
              <w:left w:val="nil"/>
              <w:bottom w:val="nil"/>
              <w:right w:val="nil"/>
            </w:tcBorders>
            <w:shd w:val="clear" w:color="auto" w:fill="auto"/>
            <w:noWrap/>
            <w:vAlign w:val="bottom"/>
            <w:hideMark/>
          </w:tcPr>
          <w:p w14:paraId="7FB6E64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3523</w:t>
            </w:r>
          </w:p>
        </w:tc>
        <w:tc>
          <w:tcPr>
            <w:tcW w:w="8509" w:type="dxa"/>
            <w:tcBorders>
              <w:top w:val="nil"/>
              <w:left w:val="nil"/>
              <w:bottom w:val="nil"/>
              <w:right w:val="nil"/>
            </w:tcBorders>
            <w:shd w:val="clear" w:color="auto" w:fill="auto"/>
            <w:noWrap/>
            <w:vAlign w:val="bottom"/>
            <w:hideMark/>
          </w:tcPr>
          <w:p w14:paraId="26ADAED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Subvencije poljoprivrednicima i obrtnicima                                                          </w:t>
            </w:r>
          </w:p>
        </w:tc>
        <w:tc>
          <w:tcPr>
            <w:tcW w:w="1480" w:type="dxa"/>
            <w:tcBorders>
              <w:top w:val="nil"/>
              <w:left w:val="nil"/>
              <w:bottom w:val="nil"/>
              <w:right w:val="nil"/>
            </w:tcBorders>
            <w:shd w:val="clear" w:color="auto" w:fill="auto"/>
            <w:noWrap/>
            <w:vAlign w:val="bottom"/>
            <w:hideMark/>
          </w:tcPr>
          <w:p w14:paraId="7018BDED"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03B0ECF"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2.870,59</w:t>
            </w:r>
          </w:p>
        </w:tc>
        <w:tc>
          <w:tcPr>
            <w:tcW w:w="1400" w:type="dxa"/>
            <w:tcBorders>
              <w:top w:val="nil"/>
              <w:left w:val="nil"/>
              <w:bottom w:val="nil"/>
              <w:right w:val="nil"/>
            </w:tcBorders>
            <w:shd w:val="clear" w:color="auto" w:fill="auto"/>
            <w:noWrap/>
            <w:vAlign w:val="bottom"/>
            <w:hideMark/>
          </w:tcPr>
          <w:p w14:paraId="74B3C947"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2546CFFD" w14:textId="77777777" w:rsidTr="00A360DB">
        <w:trPr>
          <w:trHeight w:val="240"/>
        </w:trPr>
        <w:tc>
          <w:tcPr>
            <w:tcW w:w="1697" w:type="dxa"/>
            <w:tcBorders>
              <w:top w:val="nil"/>
              <w:left w:val="nil"/>
              <w:bottom w:val="nil"/>
              <w:right w:val="nil"/>
            </w:tcBorders>
            <w:shd w:val="clear" w:color="000000" w:fill="B4C6E7"/>
            <w:noWrap/>
            <w:vAlign w:val="bottom"/>
            <w:hideMark/>
          </w:tcPr>
          <w:p w14:paraId="46DCD1F7"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A100919</w:t>
            </w:r>
          </w:p>
        </w:tc>
        <w:tc>
          <w:tcPr>
            <w:tcW w:w="8509" w:type="dxa"/>
            <w:tcBorders>
              <w:top w:val="nil"/>
              <w:left w:val="nil"/>
              <w:bottom w:val="nil"/>
              <w:right w:val="nil"/>
            </w:tcBorders>
            <w:shd w:val="clear" w:color="000000" w:fill="B4C6E7"/>
            <w:noWrap/>
            <w:vAlign w:val="bottom"/>
            <w:hideMark/>
          </w:tcPr>
          <w:p w14:paraId="206FC58D"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Potpora za kupnju zemljišta u Poduzetničkoj zoni Kapelica</w:t>
            </w:r>
          </w:p>
        </w:tc>
        <w:tc>
          <w:tcPr>
            <w:tcW w:w="1480" w:type="dxa"/>
            <w:tcBorders>
              <w:top w:val="nil"/>
              <w:left w:val="nil"/>
              <w:bottom w:val="nil"/>
              <w:right w:val="nil"/>
            </w:tcBorders>
            <w:shd w:val="clear" w:color="000000" w:fill="B4C6E7"/>
            <w:noWrap/>
            <w:vAlign w:val="bottom"/>
            <w:hideMark/>
          </w:tcPr>
          <w:p w14:paraId="7AFA7D5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54.200,00</w:t>
            </w:r>
          </w:p>
        </w:tc>
        <w:tc>
          <w:tcPr>
            <w:tcW w:w="1380" w:type="dxa"/>
            <w:tcBorders>
              <w:top w:val="nil"/>
              <w:left w:val="nil"/>
              <w:bottom w:val="nil"/>
              <w:right w:val="nil"/>
            </w:tcBorders>
            <w:shd w:val="clear" w:color="000000" w:fill="B4C6E7"/>
            <w:noWrap/>
            <w:vAlign w:val="bottom"/>
            <w:hideMark/>
          </w:tcPr>
          <w:p w14:paraId="76A8ACD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44.117,92</w:t>
            </w:r>
          </w:p>
        </w:tc>
        <w:tc>
          <w:tcPr>
            <w:tcW w:w="1400" w:type="dxa"/>
            <w:tcBorders>
              <w:top w:val="nil"/>
              <w:left w:val="nil"/>
              <w:bottom w:val="nil"/>
              <w:right w:val="nil"/>
            </w:tcBorders>
            <w:shd w:val="clear" w:color="000000" w:fill="B4C6E7"/>
            <w:noWrap/>
            <w:vAlign w:val="bottom"/>
            <w:hideMark/>
          </w:tcPr>
          <w:p w14:paraId="3FFB430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81,40%</w:t>
            </w:r>
          </w:p>
        </w:tc>
      </w:tr>
      <w:tr w:rsidR="00A360DB" w:rsidRPr="00A360DB" w14:paraId="64CA2D53"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28A5E717"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7F9F3073"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54.200,00</w:t>
            </w:r>
          </w:p>
        </w:tc>
        <w:tc>
          <w:tcPr>
            <w:tcW w:w="1380" w:type="dxa"/>
            <w:tcBorders>
              <w:top w:val="nil"/>
              <w:left w:val="nil"/>
              <w:bottom w:val="nil"/>
              <w:right w:val="nil"/>
            </w:tcBorders>
            <w:shd w:val="clear" w:color="auto" w:fill="auto"/>
            <w:noWrap/>
            <w:vAlign w:val="bottom"/>
            <w:hideMark/>
          </w:tcPr>
          <w:p w14:paraId="1912967A"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44.117,92</w:t>
            </w:r>
          </w:p>
        </w:tc>
        <w:tc>
          <w:tcPr>
            <w:tcW w:w="1400" w:type="dxa"/>
            <w:tcBorders>
              <w:top w:val="nil"/>
              <w:left w:val="nil"/>
              <w:bottom w:val="nil"/>
              <w:right w:val="nil"/>
            </w:tcBorders>
            <w:shd w:val="clear" w:color="auto" w:fill="auto"/>
            <w:noWrap/>
            <w:vAlign w:val="bottom"/>
            <w:hideMark/>
          </w:tcPr>
          <w:p w14:paraId="792392F8"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81,40%</w:t>
            </w:r>
          </w:p>
        </w:tc>
      </w:tr>
      <w:tr w:rsidR="00A360DB" w:rsidRPr="00A360DB" w14:paraId="42B98FCE"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3B39C576"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3259007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54.200,00</w:t>
            </w:r>
          </w:p>
        </w:tc>
        <w:tc>
          <w:tcPr>
            <w:tcW w:w="1380" w:type="dxa"/>
            <w:tcBorders>
              <w:top w:val="nil"/>
              <w:left w:val="nil"/>
              <w:bottom w:val="nil"/>
              <w:right w:val="nil"/>
            </w:tcBorders>
            <w:shd w:val="clear" w:color="auto" w:fill="auto"/>
            <w:noWrap/>
            <w:vAlign w:val="bottom"/>
            <w:hideMark/>
          </w:tcPr>
          <w:p w14:paraId="1B735203"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44.117,92</w:t>
            </w:r>
          </w:p>
        </w:tc>
        <w:tc>
          <w:tcPr>
            <w:tcW w:w="1400" w:type="dxa"/>
            <w:tcBorders>
              <w:top w:val="nil"/>
              <w:left w:val="nil"/>
              <w:bottom w:val="nil"/>
              <w:right w:val="nil"/>
            </w:tcBorders>
            <w:shd w:val="clear" w:color="auto" w:fill="auto"/>
            <w:noWrap/>
            <w:vAlign w:val="bottom"/>
            <w:hideMark/>
          </w:tcPr>
          <w:p w14:paraId="321DF7D6"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81,40%</w:t>
            </w:r>
          </w:p>
        </w:tc>
      </w:tr>
      <w:tr w:rsidR="00A360DB" w:rsidRPr="00A360DB" w14:paraId="26122DD8" w14:textId="77777777" w:rsidTr="00A360DB">
        <w:trPr>
          <w:trHeight w:val="240"/>
        </w:trPr>
        <w:tc>
          <w:tcPr>
            <w:tcW w:w="1697" w:type="dxa"/>
            <w:tcBorders>
              <w:top w:val="nil"/>
              <w:left w:val="nil"/>
              <w:bottom w:val="nil"/>
              <w:right w:val="nil"/>
            </w:tcBorders>
            <w:shd w:val="clear" w:color="auto" w:fill="auto"/>
            <w:noWrap/>
            <w:vAlign w:val="bottom"/>
            <w:hideMark/>
          </w:tcPr>
          <w:p w14:paraId="63CE9B1D"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35</w:t>
            </w:r>
          </w:p>
        </w:tc>
        <w:tc>
          <w:tcPr>
            <w:tcW w:w="8509" w:type="dxa"/>
            <w:tcBorders>
              <w:top w:val="nil"/>
              <w:left w:val="nil"/>
              <w:bottom w:val="nil"/>
              <w:right w:val="nil"/>
            </w:tcBorders>
            <w:shd w:val="clear" w:color="auto" w:fill="auto"/>
            <w:noWrap/>
            <w:vAlign w:val="bottom"/>
            <w:hideMark/>
          </w:tcPr>
          <w:p w14:paraId="08219A1B"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Subvencije                                                                                          </w:t>
            </w:r>
          </w:p>
        </w:tc>
        <w:tc>
          <w:tcPr>
            <w:tcW w:w="1480" w:type="dxa"/>
            <w:tcBorders>
              <w:top w:val="nil"/>
              <w:left w:val="nil"/>
              <w:bottom w:val="nil"/>
              <w:right w:val="nil"/>
            </w:tcBorders>
            <w:shd w:val="clear" w:color="auto" w:fill="auto"/>
            <w:noWrap/>
            <w:vAlign w:val="bottom"/>
            <w:hideMark/>
          </w:tcPr>
          <w:p w14:paraId="0C21A6D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54.200,00</w:t>
            </w:r>
          </w:p>
        </w:tc>
        <w:tc>
          <w:tcPr>
            <w:tcW w:w="1380" w:type="dxa"/>
            <w:tcBorders>
              <w:top w:val="nil"/>
              <w:left w:val="nil"/>
              <w:bottom w:val="nil"/>
              <w:right w:val="nil"/>
            </w:tcBorders>
            <w:shd w:val="clear" w:color="auto" w:fill="auto"/>
            <w:noWrap/>
            <w:vAlign w:val="bottom"/>
            <w:hideMark/>
          </w:tcPr>
          <w:p w14:paraId="020B812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44.117,92</w:t>
            </w:r>
          </w:p>
        </w:tc>
        <w:tc>
          <w:tcPr>
            <w:tcW w:w="1400" w:type="dxa"/>
            <w:tcBorders>
              <w:top w:val="nil"/>
              <w:left w:val="nil"/>
              <w:bottom w:val="nil"/>
              <w:right w:val="nil"/>
            </w:tcBorders>
            <w:shd w:val="clear" w:color="auto" w:fill="auto"/>
            <w:noWrap/>
            <w:vAlign w:val="bottom"/>
            <w:hideMark/>
          </w:tcPr>
          <w:p w14:paraId="0E67256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81,40%</w:t>
            </w:r>
          </w:p>
        </w:tc>
      </w:tr>
      <w:tr w:rsidR="00A360DB" w:rsidRPr="00A360DB" w14:paraId="4C027384" w14:textId="77777777" w:rsidTr="00A360DB">
        <w:trPr>
          <w:trHeight w:val="240"/>
        </w:trPr>
        <w:tc>
          <w:tcPr>
            <w:tcW w:w="1697" w:type="dxa"/>
            <w:tcBorders>
              <w:top w:val="nil"/>
              <w:left w:val="nil"/>
              <w:bottom w:val="nil"/>
              <w:right w:val="nil"/>
            </w:tcBorders>
            <w:shd w:val="clear" w:color="auto" w:fill="auto"/>
            <w:noWrap/>
            <w:vAlign w:val="bottom"/>
            <w:hideMark/>
          </w:tcPr>
          <w:p w14:paraId="2275910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3522</w:t>
            </w:r>
          </w:p>
        </w:tc>
        <w:tc>
          <w:tcPr>
            <w:tcW w:w="8509" w:type="dxa"/>
            <w:tcBorders>
              <w:top w:val="nil"/>
              <w:left w:val="nil"/>
              <w:bottom w:val="nil"/>
              <w:right w:val="nil"/>
            </w:tcBorders>
            <w:shd w:val="clear" w:color="auto" w:fill="auto"/>
            <w:noWrap/>
            <w:vAlign w:val="bottom"/>
            <w:hideMark/>
          </w:tcPr>
          <w:p w14:paraId="1348D5E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Subvencije trgovačkim društvima izvan javnog sektora                                                </w:t>
            </w:r>
          </w:p>
        </w:tc>
        <w:tc>
          <w:tcPr>
            <w:tcW w:w="1480" w:type="dxa"/>
            <w:tcBorders>
              <w:top w:val="nil"/>
              <w:left w:val="nil"/>
              <w:bottom w:val="nil"/>
              <w:right w:val="nil"/>
            </w:tcBorders>
            <w:shd w:val="clear" w:color="auto" w:fill="auto"/>
            <w:noWrap/>
            <w:vAlign w:val="bottom"/>
            <w:hideMark/>
          </w:tcPr>
          <w:p w14:paraId="6C424F56"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46EA8955"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44.117,92</w:t>
            </w:r>
          </w:p>
        </w:tc>
        <w:tc>
          <w:tcPr>
            <w:tcW w:w="1400" w:type="dxa"/>
            <w:tcBorders>
              <w:top w:val="nil"/>
              <w:left w:val="nil"/>
              <w:bottom w:val="nil"/>
              <w:right w:val="nil"/>
            </w:tcBorders>
            <w:shd w:val="clear" w:color="auto" w:fill="auto"/>
            <w:noWrap/>
            <w:vAlign w:val="bottom"/>
            <w:hideMark/>
          </w:tcPr>
          <w:p w14:paraId="2EA35BB8"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AA48700" w14:textId="77777777" w:rsidTr="00A360DB">
        <w:trPr>
          <w:trHeight w:val="240"/>
        </w:trPr>
        <w:tc>
          <w:tcPr>
            <w:tcW w:w="1697" w:type="dxa"/>
            <w:tcBorders>
              <w:top w:val="nil"/>
              <w:left w:val="nil"/>
              <w:bottom w:val="nil"/>
              <w:right w:val="nil"/>
            </w:tcBorders>
            <w:shd w:val="clear" w:color="000000" w:fill="B4C6E7"/>
            <w:noWrap/>
            <w:vAlign w:val="bottom"/>
            <w:hideMark/>
          </w:tcPr>
          <w:p w14:paraId="15166858"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A100920</w:t>
            </w:r>
          </w:p>
        </w:tc>
        <w:tc>
          <w:tcPr>
            <w:tcW w:w="8509" w:type="dxa"/>
            <w:tcBorders>
              <w:top w:val="nil"/>
              <w:left w:val="nil"/>
              <w:bottom w:val="nil"/>
              <w:right w:val="nil"/>
            </w:tcBorders>
            <w:shd w:val="clear" w:color="000000" w:fill="B4C6E7"/>
            <w:noWrap/>
            <w:vAlign w:val="bottom"/>
            <w:hideMark/>
          </w:tcPr>
          <w:p w14:paraId="17ADC632"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Aktivnost: Potpora za </w:t>
            </w:r>
            <w:proofErr w:type="spellStart"/>
            <w:r w:rsidRPr="00A360DB">
              <w:rPr>
                <w:rFonts w:ascii="Arial" w:hAnsi="Arial" w:cs="Arial"/>
                <w:b/>
                <w:bCs/>
                <w:sz w:val="18"/>
                <w:szCs w:val="18"/>
                <w:lang w:eastAsia="hr-HR"/>
              </w:rPr>
              <w:t>osjemenjivanje</w:t>
            </w:r>
            <w:proofErr w:type="spellEnd"/>
            <w:r w:rsidRPr="00A360DB">
              <w:rPr>
                <w:rFonts w:ascii="Arial" w:hAnsi="Arial" w:cs="Arial"/>
                <w:b/>
                <w:bCs/>
                <w:sz w:val="18"/>
                <w:szCs w:val="18"/>
                <w:lang w:eastAsia="hr-HR"/>
              </w:rPr>
              <w:t xml:space="preserve"> stoke</w:t>
            </w:r>
          </w:p>
        </w:tc>
        <w:tc>
          <w:tcPr>
            <w:tcW w:w="1480" w:type="dxa"/>
            <w:tcBorders>
              <w:top w:val="nil"/>
              <w:left w:val="nil"/>
              <w:bottom w:val="nil"/>
              <w:right w:val="nil"/>
            </w:tcBorders>
            <w:shd w:val="clear" w:color="000000" w:fill="B4C6E7"/>
            <w:noWrap/>
            <w:vAlign w:val="bottom"/>
            <w:hideMark/>
          </w:tcPr>
          <w:p w14:paraId="009937E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1.000,00</w:t>
            </w:r>
          </w:p>
        </w:tc>
        <w:tc>
          <w:tcPr>
            <w:tcW w:w="1380" w:type="dxa"/>
            <w:tcBorders>
              <w:top w:val="nil"/>
              <w:left w:val="nil"/>
              <w:bottom w:val="nil"/>
              <w:right w:val="nil"/>
            </w:tcBorders>
            <w:shd w:val="clear" w:color="000000" w:fill="B4C6E7"/>
            <w:noWrap/>
            <w:vAlign w:val="bottom"/>
            <w:hideMark/>
          </w:tcPr>
          <w:p w14:paraId="1102FE5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790,78</w:t>
            </w:r>
          </w:p>
        </w:tc>
        <w:tc>
          <w:tcPr>
            <w:tcW w:w="1400" w:type="dxa"/>
            <w:tcBorders>
              <w:top w:val="nil"/>
              <w:left w:val="nil"/>
              <w:bottom w:val="nil"/>
              <w:right w:val="nil"/>
            </w:tcBorders>
            <w:shd w:val="clear" w:color="000000" w:fill="B4C6E7"/>
            <w:noWrap/>
            <w:vAlign w:val="bottom"/>
            <w:hideMark/>
          </w:tcPr>
          <w:p w14:paraId="3AE47D3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79,08%</w:t>
            </w:r>
          </w:p>
        </w:tc>
      </w:tr>
      <w:tr w:rsidR="00A360DB" w:rsidRPr="00A360DB" w14:paraId="18A19385"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4DBEF41"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4. Prihodi za posebne namjene</w:t>
            </w:r>
          </w:p>
        </w:tc>
        <w:tc>
          <w:tcPr>
            <w:tcW w:w="1480" w:type="dxa"/>
            <w:tcBorders>
              <w:top w:val="nil"/>
              <w:left w:val="nil"/>
              <w:bottom w:val="nil"/>
              <w:right w:val="nil"/>
            </w:tcBorders>
            <w:shd w:val="clear" w:color="auto" w:fill="auto"/>
            <w:noWrap/>
            <w:vAlign w:val="bottom"/>
            <w:hideMark/>
          </w:tcPr>
          <w:p w14:paraId="44766BCD"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1.000,00</w:t>
            </w:r>
          </w:p>
        </w:tc>
        <w:tc>
          <w:tcPr>
            <w:tcW w:w="1380" w:type="dxa"/>
            <w:tcBorders>
              <w:top w:val="nil"/>
              <w:left w:val="nil"/>
              <w:bottom w:val="nil"/>
              <w:right w:val="nil"/>
            </w:tcBorders>
            <w:shd w:val="clear" w:color="auto" w:fill="auto"/>
            <w:noWrap/>
            <w:vAlign w:val="bottom"/>
            <w:hideMark/>
          </w:tcPr>
          <w:p w14:paraId="0E12737D"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790,78</w:t>
            </w:r>
          </w:p>
        </w:tc>
        <w:tc>
          <w:tcPr>
            <w:tcW w:w="1400" w:type="dxa"/>
            <w:tcBorders>
              <w:top w:val="nil"/>
              <w:left w:val="nil"/>
              <w:bottom w:val="nil"/>
              <w:right w:val="nil"/>
            </w:tcBorders>
            <w:shd w:val="clear" w:color="auto" w:fill="auto"/>
            <w:noWrap/>
            <w:vAlign w:val="bottom"/>
            <w:hideMark/>
          </w:tcPr>
          <w:p w14:paraId="74E537FB"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79,08%</w:t>
            </w:r>
          </w:p>
        </w:tc>
      </w:tr>
      <w:tr w:rsidR="00A360DB" w:rsidRPr="00A360DB" w14:paraId="38736E7A"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9A50832"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4.1. Prihodi za posebne namjene</w:t>
            </w:r>
          </w:p>
        </w:tc>
        <w:tc>
          <w:tcPr>
            <w:tcW w:w="1480" w:type="dxa"/>
            <w:tcBorders>
              <w:top w:val="nil"/>
              <w:left w:val="nil"/>
              <w:bottom w:val="nil"/>
              <w:right w:val="nil"/>
            </w:tcBorders>
            <w:shd w:val="clear" w:color="auto" w:fill="auto"/>
            <w:noWrap/>
            <w:vAlign w:val="bottom"/>
            <w:hideMark/>
          </w:tcPr>
          <w:p w14:paraId="1B38267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1.000,00</w:t>
            </w:r>
          </w:p>
        </w:tc>
        <w:tc>
          <w:tcPr>
            <w:tcW w:w="1380" w:type="dxa"/>
            <w:tcBorders>
              <w:top w:val="nil"/>
              <w:left w:val="nil"/>
              <w:bottom w:val="nil"/>
              <w:right w:val="nil"/>
            </w:tcBorders>
            <w:shd w:val="clear" w:color="auto" w:fill="auto"/>
            <w:noWrap/>
            <w:vAlign w:val="bottom"/>
            <w:hideMark/>
          </w:tcPr>
          <w:p w14:paraId="54280422"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790,78</w:t>
            </w:r>
          </w:p>
        </w:tc>
        <w:tc>
          <w:tcPr>
            <w:tcW w:w="1400" w:type="dxa"/>
            <w:tcBorders>
              <w:top w:val="nil"/>
              <w:left w:val="nil"/>
              <w:bottom w:val="nil"/>
              <w:right w:val="nil"/>
            </w:tcBorders>
            <w:shd w:val="clear" w:color="auto" w:fill="auto"/>
            <w:noWrap/>
            <w:vAlign w:val="bottom"/>
            <w:hideMark/>
          </w:tcPr>
          <w:p w14:paraId="1E337DF2"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79,08%</w:t>
            </w:r>
          </w:p>
        </w:tc>
      </w:tr>
      <w:tr w:rsidR="00A360DB" w:rsidRPr="00A360DB" w14:paraId="1499CF0D" w14:textId="77777777" w:rsidTr="00A360DB">
        <w:trPr>
          <w:trHeight w:val="240"/>
        </w:trPr>
        <w:tc>
          <w:tcPr>
            <w:tcW w:w="1697" w:type="dxa"/>
            <w:tcBorders>
              <w:top w:val="nil"/>
              <w:left w:val="nil"/>
              <w:bottom w:val="nil"/>
              <w:right w:val="nil"/>
            </w:tcBorders>
            <w:shd w:val="clear" w:color="auto" w:fill="auto"/>
            <w:noWrap/>
            <w:vAlign w:val="bottom"/>
            <w:hideMark/>
          </w:tcPr>
          <w:p w14:paraId="3F6215B0"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lastRenderedPageBreak/>
              <w:t>35</w:t>
            </w:r>
          </w:p>
        </w:tc>
        <w:tc>
          <w:tcPr>
            <w:tcW w:w="8509" w:type="dxa"/>
            <w:tcBorders>
              <w:top w:val="nil"/>
              <w:left w:val="nil"/>
              <w:bottom w:val="nil"/>
              <w:right w:val="nil"/>
            </w:tcBorders>
            <w:shd w:val="clear" w:color="auto" w:fill="auto"/>
            <w:noWrap/>
            <w:vAlign w:val="bottom"/>
            <w:hideMark/>
          </w:tcPr>
          <w:p w14:paraId="30E6D2D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Subvencije                                                                                          </w:t>
            </w:r>
          </w:p>
        </w:tc>
        <w:tc>
          <w:tcPr>
            <w:tcW w:w="1480" w:type="dxa"/>
            <w:tcBorders>
              <w:top w:val="nil"/>
              <w:left w:val="nil"/>
              <w:bottom w:val="nil"/>
              <w:right w:val="nil"/>
            </w:tcBorders>
            <w:shd w:val="clear" w:color="auto" w:fill="auto"/>
            <w:noWrap/>
            <w:vAlign w:val="bottom"/>
            <w:hideMark/>
          </w:tcPr>
          <w:p w14:paraId="223323A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1.000,00</w:t>
            </w:r>
          </w:p>
        </w:tc>
        <w:tc>
          <w:tcPr>
            <w:tcW w:w="1380" w:type="dxa"/>
            <w:tcBorders>
              <w:top w:val="nil"/>
              <w:left w:val="nil"/>
              <w:bottom w:val="nil"/>
              <w:right w:val="nil"/>
            </w:tcBorders>
            <w:shd w:val="clear" w:color="auto" w:fill="auto"/>
            <w:noWrap/>
            <w:vAlign w:val="bottom"/>
            <w:hideMark/>
          </w:tcPr>
          <w:p w14:paraId="1EEC65B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790,78</w:t>
            </w:r>
          </w:p>
        </w:tc>
        <w:tc>
          <w:tcPr>
            <w:tcW w:w="1400" w:type="dxa"/>
            <w:tcBorders>
              <w:top w:val="nil"/>
              <w:left w:val="nil"/>
              <w:bottom w:val="nil"/>
              <w:right w:val="nil"/>
            </w:tcBorders>
            <w:shd w:val="clear" w:color="auto" w:fill="auto"/>
            <w:noWrap/>
            <w:vAlign w:val="bottom"/>
            <w:hideMark/>
          </w:tcPr>
          <w:p w14:paraId="6E06C3F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79,08%</w:t>
            </w:r>
          </w:p>
        </w:tc>
      </w:tr>
      <w:tr w:rsidR="00A360DB" w:rsidRPr="00A360DB" w14:paraId="414953B7" w14:textId="77777777" w:rsidTr="00A360DB">
        <w:trPr>
          <w:trHeight w:val="240"/>
        </w:trPr>
        <w:tc>
          <w:tcPr>
            <w:tcW w:w="1697" w:type="dxa"/>
            <w:tcBorders>
              <w:top w:val="nil"/>
              <w:left w:val="nil"/>
              <w:bottom w:val="nil"/>
              <w:right w:val="nil"/>
            </w:tcBorders>
            <w:shd w:val="clear" w:color="auto" w:fill="auto"/>
            <w:noWrap/>
            <w:vAlign w:val="bottom"/>
            <w:hideMark/>
          </w:tcPr>
          <w:p w14:paraId="6BA8EF3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3523</w:t>
            </w:r>
          </w:p>
        </w:tc>
        <w:tc>
          <w:tcPr>
            <w:tcW w:w="8509" w:type="dxa"/>
            <w:tcBorders>
              <w:top w:val="nil"/>
              <w:left w:val="nil"/>
              <w:bottom w:val="nil"/>
              <w:right w:val="nil"/>
            </w:tcBorders>
            <w:shd w:val="clear" w:color="auto" w:fill="auto"/>
            <w:noWrap/>
            <w:vAlign w:val="bottom"/>
            <w:hideMark/>
          </w:tcPr>
          <w:p w14:paraId="4AEE652D"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Subvencije poljoprivrednicima i obrtnicima                                                          </w:t>
            </w:r>
          </w:p>
        </w:tc>
        <w:tc>
          <w:tcPr>
            <w:tcW w:w="1480" w:type="dxa"/>
            <w:tcBorders>
              <w:top w:val="nil"/>
              <w:left w:val="nil"/>
              <w:bottom w:val="nil"/>
              <w:right w:val="nil"/>
            </w:tcBorders>
            <w:shd w:val="clear" w:color="auto" w:fill="auto"/>
            <w:noWrap/>
            <w:vAlign w:val="bottom"/>
            <w:hideMark/>
          </w:tcPr>
          <w:p w14:paraId="36AC58C6"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CD66D37"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790,78</w:t>
            </w:r>
          </w:p>
        </w:tc>
        <w:tc>
          <w:tcPr>
            <w:tcW w:w="1400" w:type="dxa"/>
            <w:tcBorders>
              <w:top w:val="nil"/>
              <w:left w:val="nil"/>
              <w:bottom w:val="nil"/>
              <w:right w:val="nil"/>
            </w:tcBorders>
            <w:shd w:val="clear" w:color="auto" w:fill="auto"/>
            <w:noWrap/>
            <w:vAlign w:val="bottom"/>
            <w:hideMark/>
          </w:tcPr>
          <w:p w14:paraId="19287CD2"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758B401" w14:textId="77777777" w:rsidTr="00A360DB">
        <w:trPr>
          <w:trHeight w:val="240"/>
        </w:trPr>
        <w:tc>
          <w:tcPr>
            <w:tcW w:w="1697" w:type="dxa"/>
            <w:tcBorders>
              <w:top w:val="nil"/>
              <w:left w:val="nil"/>
              <w:bottom w:val="nil"/>
              <w:right w:val="nil"/>
            </w:tcBorders>
            <w:shd w:val="clear" w:color="000000" w:fill="B4C6E7"/>
            <w:noWrap/>
            <w:vAlign w:val="bottom"/>
            <w:hideMark/>
          </w:tcPr>
          <w:p w14:paraId="351D5BA3"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A100921</w:t>
            </w:r>
          </w:p>
        </w:tc>
        <w:tc>
          <w:tcPr>
            <w:tcW w:w="8509" w:type="dxa"/>
            <w:tcBorders>
              <w:top w:val="nil"/>
              <w:left w:val="nil"/>
              <w:bottom w:val="nil"/>
              <w:right w:val="nil"/>
            </w:tcBorders>
            <w:shd w:val="clear" w:color="000000" w:fill="B4C6E7"/>
            <w:noWrap/>
            <w:vAlign w:val="bottom"/>
            <w:hideMark/>
          </w:tcPr>
          <w:p w14:paraId="425152FB"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Aktivnost: Potpora za </w:t>
            </w:r>
            <w:proofErr w:type="spellStart"/>
            <w:r w:rsidRPr="00A360DB">
              <w:rPr>
                <w:rFonts w:ascii="Arial" w:hAnsi="Arial" w:cs="Arial"/>
                <w:b/>
                <w:bCs/>
                <w:sz w:val="18"/>
                <w:szCs w:val="18"/>
                <w:lang w:eastAsia="hr-HR"/>
              </w:rPr>
              <w:t>sufinaniranje</w:t>
            </w:r>
            <w:proofErr w:type="spellEnd"/>
            <w:r w:rsidRPr="00A360DB">
              <w:rPr>
                <w:rFonts w:ascii="Arial" w:hAnsi="Arial" w:cs="Arial"/>
                <w:b/>
                <w:bCs/>
                <w:sz w:val="18"/>
                <w:szCs w:val="18"/>
                <w:lang w:eastAsia="hr-HR"/>
              </w:rPr>
              <w:t xml:space="preserve"> troškova godišnjeg zakupa prodajnog mjesta na tržnici u Garešnici</w:t>
            </w:r>
          </w:p>
        </w:tc>
        <w:tc>
          <w:tcPr>
            <w:tcW w:w="1480" w:type="dxa"/>
            <w:tcBorders>
              <w:top w:val="nil"/>
              <w:left w:val="nil"/>
              <w:bottom w:val="nil"/>
              <w:right w:val="nil"/>
            </w:tcBorders>
            <w:shd w:val="clear" w:color="000000" w:fill="B4C6E7"/>
            <w:noWrap/>
            <w:vAlign w:val="bottom"/>
            <w:hideMark/>
          </w:tcPr>
          <w:p w14:paraId="44E94E0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1.000,00</w:t>
            </w:r>
          </w:p>
        </w:tc>
        <w:tc>
          <w:tcPr>
            <w:tcW w:w="1380" w:type="dxa"/>
            <w:tcBorders>
              <w:top w:val="nil"/>
              <w:left w:val="nil"/>
              <w:bottom w:val="nil"/>
              <w:right w:val="nil"/>
            </w:tcBorders>
            <w:shd w:val="clear" w:color="000000" w:fill="B4C6E7"/>
            <w:noWrap/>
            <w:vAlign w:val="bottom"/>
            <w:hideMark/>
          </w:tcPr>
          <w:p w14:paraId="45647E5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222,98</w:t>
            </w:r>
          </w:p>
        </w:tc>
        <w:tc>
          <w:tcPr>
            <w:tcW w:w="1400" w:type="dxa"/>
            <w:tcBorders>
              <w:top w:val="nil"/>
              <w:left w:val="nil"/>
              <w:bottom w:val="nil"/>
              <w:right w:val="nil"/>
            </w:tcBorders>
            <w:shd w:val="clear" w:color="000000" w:fill="B4C6E7"/>
            <w:noWrap/>
            <w:vAlign w:val="bottom"/>
            <w:hideMark/>
          </w:tcPr>
          <w:p w14:paraId="3B50019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22,30%</w:t>
            </w:r>
          </w:p>
        </w:tc>
      </w:tr>
      <w:tr w:rsidR="00A360DB" w:rsidRPr="00A360DB" w14:paraId="77D3EA04"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0FE30CD"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62A30947"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1.000,00</w:t>
            </w:r>
          </w:p>
        </w:tc>
        <w:tc>
          <w:tcPr>
            <w:tcW w:w="1380" w:type="dxa"/>
            <w:tcBorders>
              <w:top w:val="nil"/>
              <w:left w:val="nil"/>
              <w:bottom w:val="nil"/>
              <w:right w:val="nil"/>
            </w:tcBorders>
            <w:shd w:val="clear" w:color="auto" w:fill="auto"/>
            <w:noWrap/>
            <w:vAlign w:val="bottom"/>
            <w:hideMark/>
          </w:tcPr>
          <w:p w14:paraId="23A7DCB6"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222,98</w:t>
            </w:r>
          </w:p>
        </w:tc>
        <w:tc>
          <w:tcPr>
            <w:tcW w:w="1400" w:type="dxa"/>
            <w:tcBorders>
              <w:top w:val="nil"/>
              <w:left w:val="nil"/>
              <w:bottom w:val="nil"/>
              <w:right w:val="nil"/>
            </w:tcBorders>
            <w:shd w:val="clear" w:color="auto" w:fill="auto"/>
            <w:noWrap/>
            <w:vAlign w:val="bottom"/>
            <w:hideMark/>
          </w:tcPr>
          <w:p w14:paraId="79CAE58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22,30%</w:t>
            </w:r>
          </w:p>
        </w:tc>
      </w:tr>
      <w:tr w:rsidR="00A360DB" w:rsidRPr="00A360DB" w14:paraId="61FF5B81"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17C59F68"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13810751"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1.000,00</w:t>
            </w:r>
          </w:p>
        </w:tc>
        <w:tc>
          <w:tcPr>
            <w:tcW w:w="1380" w:type="dxa"/>
            <w:tcBorders>
              <w:top w:val="nil"/>
              <w:left w:val="nil"/>
              <w:bottom w:val="nil"/>
              <w:right w:val="nil"/>
            </w:tcBorders>
            <w:shd w:val="clear" w:color="auto" w:fill="auto"/>
            <w:noWrap/>
            <w:vAlign w:val="bottom"/>
            <w:hideMark/>
          </w:tcPr>
          <w:p w14:paraId="58025A2F"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222,98</w:t>
            </w:r>
          </w:p>
        </w:tc>
        <w:tc>
          <w:tcPr>
            <w:tcW w:w="1400" w:type="dxa"/>
            <w:tcBorders>
              <w:top w:val="nil"/>
              <w:left w:val="nil"/>
              <w:bottom w:val="nil"/>
              <w:right w:val="nil"/>
            </w:tcBorders>
            <w:shd w:val="clear" w:color="auto" w:fill="auto"/>
            <w:noWrap/>
            <w:vAlign w:val="bottom"/>
            <w:hideMark/>
          </w:tcPr>
          <w:p w14:paraId="6D4A99E8"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22,30%</w:t>
            </w:r>
          </w:p>
        </w:tc>
      </w:tr>
      <w:tr w:rsidR="00A360DB" w:rsidRPr="00A360DB" w14:paraId="0FE04F57" w14:textId="77777777" w:rsidTr="00A360DB">
        <w:trPr>
          <w:trHeight w:val="240"/>
        </w:trPr>
        <w:tc>
          <w:tcPr>
            <w:tcW w:w="1697" w:type="dxa"/>
            <w:tcBorders>
              <w:top w:val="nil"/>
              <w:left w:val="nil"/>
              <w:bottom w:val="nil"/>
              <w:right w:val="nil"/>
            </w:tcBorders>
            <w:shd w:val="clear" w:color="auto" w:fill="auto"/>
            <w:noWrap/>
            <w:vAlign w:val="bottom"/>
            <w:hideMark/>
          </w:tcPr>
          <w:p w14:paraId="1C665861"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35</w:t>
            </w:r>
          </w:p>
        </w:tc>
        <w:tc>
          <w:tcPr>
            <w:tcW w:w="8509" w:type="dxa"/>
            <w:tcBorders>
              <w:top w:val="nil"/>
              <w:left w:val="nil"/>
              <w:bottom w:val="nil"/>
              <w:right w:val="nil"/>
            </w:tcBorders>
            <w:shd w:val="clear" w:color="auto" w:fill="auto"/>
            <w:noWrap/>
            <w:vAlign w:val="bottom"/>
            <w:hideMark/>
          </w:tcPr>
          <w:p w14:paraId="1D59460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Subvencije                                                                                          </w:t>
            </w:r>
          </w:p>
        </w:tc>
        <w:tc>
          <w:tcPr>
            <w:tcW w:w="1480" w:type="dxa"/>
            <w:tcBorders>
              <w:top w:val="nil"/>
              <w:left w:val="nil"/>
              <w:bottom w:val="nil"/>
              <w:right w:val="nil"/>
            </w:tcBorders>
            <w:shd w:val="clear" w:color="auto" w:fill="auto"/>
            <w:noWrap/>
            <w:vAlign w:val="bottom"/>
            <w:hideMark/>
          </w:tcPr>
          <w:p w14:paraId="04E0244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1.000,00</w:t>
            </w:r>
          </w:p>
        </w:tc>
        <w:tc>
          <w:tcPr>
            <w:tcW w:w="1380" w:type="dxa"/>
            <w:tcBorders>
              <w:top w:val="nil"/>
              <w:left w:val="nil"/>
              <w:bottom w:val="nil"/>
              <w:right w:val="nil"/>
            </w:tcBorders>
            <w:shd w:val="clear" w:color="auto" w:fill="auto"/>
            <w:noWrap/>
            <w:vAlign w:val="bottom"/>
            <w:hideMark/>
          </w:tcPr>
          <w:p w14:paraId="25DC984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222,98</w:t>
            </w:r>
          </w:p>
        </w:tc>
        <w:tc>
          <w:tcPr>
            <w:tcW w:w="1400" w:type="dxa"/>
            <w:tcBorders>
              <w:top w:val="nil"/>
              <w:left w:val="nil"/>
              <w:bottom w:val="nil"/>
              <w:right w:val="nil"/>
            </w:tcBorders>
            <w:shd w:val="clear" w:color="auto" w:fill="auto"/>
            <w:noWrap/>
            <w:vAlign w:val="bottom"/>
            <w:hideMark/>
          </w:tcPr>
          <w:p w14:paraId="1ACB9A0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22,30%</w:t>
            </w:r>
          </w:p>
        </w:tc>
      </w:tr>
      <w:tr w:rsidR="00A360DB" w:rsidRPr="00A360DB" w14:paraId="1040EF51" w14:textId="77777777" w:rsidTr="00A360DB">
        <w:trPr>
          <w:trHeight w:val="240"/>
        </w:trPr>
        <w:tc>
          <w:tcPr>
            <w:tcW w:w="1697" w:type="dxa"/>
            <w:tcBorders>
              <w:top w:val="nil"/>
              <w:left w:val="nil"/>
              <w:bottom w:val="nil"/>
              <w:right w:val="nil"/>
            </w:tcBorders>
            <w:shd w:val="clear" w:color="auto" w:fill="auto"/>
            <w:noWrap/>
            <w:vAlign w:val="bottom"/>
            <w:hideMark/>
          </w:tcPr>
          <w:p w14:paraId="2B5085D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3523</w:t>
            </w:r>
          </w:p>
        </w:tc>
        <w:tc>
          <w:tcPr>
            <w:tcW w:w="8509" w:type="dxa"/>
            <w:tcBorders>
              <w:top w:val="nil"/>
              <w:left w:val="nil"/>
              <w:bottom w:val="nil"/>
              <w:right w:val="nil"/>
            </w:tcBorders>
            <w:shd w:val="clear" w:color="auto" w:fill="auto"/>
            <w:noWrap/>
            <w:vAlign w:val="bottom"/>
            <w:hideMark/>
          </w:tcPr>
          <w:p w14:paraId="4B2A41C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Subvencije poljoprivrednicima i obrtnicima                                                          </w:t>
            </w:r>
          </w:p>
        </w:tc>
        <w:tc>
          <w:tcPr>
            <w:tcW w:w="1480" w:type="dxa"/>
            <w:tcBorders>
              <w:top w:val="nil"/>
              <w:left w:val="nil"/>
              <w:bottom w:val="nil"/>
              <w:right w:val="nil"/>
            </w:tcBorders>
            <w:shd w:val="clear" w:color="auto" w:fill="auto"/>
            <w:noWrap/>
            <w:vAlign w:val="bottom"/>
            <w:hideMark/>
          </w:tcPr>
          <w:p w14:paraId="2F2B02A8"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2011AED1"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222,98</w:t>
            </w:r>
          </w:p>
        </w:tc>
        <w:tc>
          <w:tcPr>
            <w:tcW w:w="1400" w:type="dxa"/>
            <w:tcBorders>
              <w:top w:val="nil"/>
              <w:left w:val="nil"/>
              <w:bottom w:val="nil"/>
              <w:right w:val="nil"/>
            </w:tcBorders>
            <w:shd w:val="clear" w:color="auto" w:fill="auto"/>
            <w:noWrap/>
            <w:vAlign w:val="bottom"/>
            <w:hideMark/>
          </w:tcPr>
          <w:p w14:paraId="616C3BD9"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303E365" w14:textId="77777777" w:rsidTr="00A360DB">
        <w:trPr>
          <w:trHeight w:val="240"/>
        </w:trPr>
        <w:tc>
          <w:tcPr>
            <w:tcW w:w="1697" w:type="dxa"/>
            <w:tcBorders>
              <w:top w:val="nil"/>
              <w:left w:val="nil"/>
              <w:bottom w:val="nil"/>
              <w:right w:val="nil"/>
            </w:tcBorders>
            <w:shd w:val="clear" w:color="000000" w:fill="B4C6E7"/>
            <w:noWrap/>
            <w:vAlign w:val="bottom"/>
            <w:hideMark/>
          </w:tcPr>
          <w:p w14:paraId="2629B717"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A100922</w:t>
            </w:r>
          </w:p>
        </w:tc>
        <w:tc>
          <w:tcPr>
            <w:tcW w:w="8509" w:type="dxa"/>
            <w:tcBorders>
              <w:top w:val="nil"/>
              <w:left w:val="nil"/>
              <w:bottom w:val="nil"/>
              <w:right w:val="nil"/>
            </w:tcBorders>
            <w:shd w:val="clear" w:color="000000" w:fill="B4C6E7"/>
            <w:noWrap/>
            <w:vAlign w:val="bottom"/>
            <w:hideMark/>
          </w:tcPr>
          <w:p w14:paraId="2961BDD5"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Potpora za očuvanje pčelinjeg fonda</w:t>
            </w:r>
          </w:p>
        </w:tc>
        <w:tc>
          <w:tcPr>
            <w:tcW w:w="1480" w:type="dxa"/>
            <w:tcBorders>
              <w:top w:val="nil"/>
              <w:left w:val="nil"/>
              <w:bottom w:val="nil"/>
              <w:right w:val="nil"/>
            </w:tcBorders>
            <w:shd w:val="clear" w:color="000000" w:fill="B4C6E7"/>
            <w:noWrap/>
            <w:vAlign w:val="bottom"/>
            <w:hideMark/>
          </w:tcPr>
          <w:p w14:paraId="25BC4B0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2.000,00</w:t>
            </w:r>
          </w:p>
        </w:tc>
        <w:tc>
          <w:tcPr>
            <w:tcW w:w="1380" w:type="dxa"/>
            <w:tcBorders>
              <w:top w:val="nil"/>
              <w:left w:val="nil"/>
              <w:bottom w:val="nil"/>
              <w:right w:val="nil"/>
            </w:tcBorders>
            <w:shd w:val="clear" w:color="000000" w:fill="B4C6E7"/>
            <w:noWrap/>
            <w:vAlign w:val="bottom"/>
            <w:hideMark/>
          </w:tcPr>
          <w:p w14:paraId="439628C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637,00</w:t>
            </w:r>
          </w:p>
        </w:tc>
        <w:tc>
          <w:tcPr>
            <w:tcW w:w="1400" w:type="dxa"/>
            <w:tcBorders>
              <w:top w:val="nil"/>
              <w:left w:val="nil"/>
              <w:bottom w:val="nil"/>
              <w:right w:val="nil"/>
            </w:tcBorders>
            <w:shd w:val="clear" w:color="000000" w:fill="B4C6E7"/>
            <w:noWrap/>
            <w:vAlign w:val="bottom"/>
            <w:hideMark/>
          </w:tcPr>
          <w:p w14:paraId="72A8063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31,85%</w:t>
            </w:r>
          </w:p>
        </w:tc>
      </w:tr>
      <w:tr w:rsidR="00A360DB" w:rsidRPr="00A360DB" w14:paraId="12B71F68"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37376B24"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64160890"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2.000,00</w:t>
            </w:r>
          </w:p>
        </w:tc>
        <w:tc>
          <w:tcPr>
            <w:tcW w:w="1380" w:type="dxa"/>
            <w:tcBorders>
              <w:top w:val="nil"/>
              <w:left w:val="nil"/>
              <w:bottom w:val="nil"/>
              <w:right w:val="nil"/>
            </w:tcBorders>
            <w:shd w:val="clear" w:color="auto" w:fill="auto"/>
            <w:noWrap/>
            <w:vAlign w:val="bottom"/>
            <w:hideMark/>
          </w:tcPr>
          <w:p w14:paraId="3C5356E7"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637,00</w:t>
            </w:r>
          </w:p>
        </w:tc>
        <w:tc>
          <w:tcPr>
            <w:tcW w:w="1400" w:type="dxa"/>
            <w:tcBorders>
              <w:top w:val="nil"/>
              <w:left w:val="nil"/>
              <w:bottom w:val="nil"/>
              <w:right w:val="nil"/>
            </w:tcBorders>
            <w:shd w:val="clear" w:color="auto" w:fill="auto"/>
            <w:noWrap/>
            <w:vAlign w:val="bottom"/>
            <w:hideMark/>
          </w:tcPr>
          <w:p w14:paraId="6439A68B"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31,85%</w:t>
            </w:r>
          </w:p>
        </w:tc>
      </w:tr>
      <w:tr w:rsidR="00A360DB" w:rsidRPr="00A360DB" w14:paraId="457908D6"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163C8464"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2AAFBF3B"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2.000,00</w:t>
            </w:r>
          </w:p>
        </w:tc>
        <w:tc>
          <w:tcPr>
            <w:tcW w:w="1380" w:type="dxa"/>
            <w:tcBorders>
              <w:top w:val="nil"/>
              <w:left w:val="nil"/>
              <w:bottom w:val="nil"/>
              <w:right w:val="nil"/>
            </w:tcBorders>
            <w:shd w:val="clear" w:color="auto" w:fill="auto"/>
            <w:noWrap/>
            <w:vAlign w:val="bottom"/>
            <w:hideMark/>
          </w:tcPr>
          <w:p w14:paraId="3347F82D"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637,00</w:t>
            </w:r>
          </w:p>
        </w:tc>
        <w:tc>
          <w:tcPr>
            <w:tcW w:w="1400" w:type="dxa"/>
            <w:tcBorders>
              <w:top w:val="nil"/>
              <w:left w:val="nil"/>
              <w:bottom w:val="nil"/>
              <w:right w:val="nil"/>
            </w:tcBorders>
            <w:shd w:val="clear" w:color="auto" w:fill="auto"/>
            <w:noWrap/>
            <w:vAlign w:val="bottom"/>
            <w:hideMark/>
          </w:tcPr>
          <w:p w14:paraId="6B08A399"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31,85%</w:t>
            </w:r>
          </w:p>
        </w:tc>
      </w:tr>
      <w:tr w:rsidR="00A360DB" w:rsidRPr="00A360DB" w14:paraId="66887C13" w14:textId="77777777" w:rsidTr="00A360DB">
        <w:trPr>
          <w:trHeight w:val="240"/>
        </w:trPr>
        <w:tc>
          <w:tcPr>
            <w:tcW w:w="1697" w:type="dxa"/>
            <w:tcBorders>
              <w:top w:val="nil"/>
              <w:left w:val="nil"/>
              <w:bottom w:val="nil"/>
              <w:right w:val="nil"/>
            </w:tcBorders>
            <w:shd w:val="clear" w:color="auto" w:fill="auto"/>
            <w:noWrap/>
            <w:vAlign w:val="bottom"/>
            <w:hideMark/>
          </w:tcPr>
          <w:p w14:paraId="4F54D514"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35</w:t>
            </w:r>
          </w:p>
        </w:tc>
        <w:tc>
          <w:tcPr>
            <w:tcW w:w="8509" w:type="dxa"/>
            <w:tcBorders>
              <w:top w:val="nil"/>
              <w:left w:val="nil"/>
              <w:bottom w:val="nil"/>
              <w:right w:val="nil"/>
            </w:tcBorders>
            <w:shd w:val="clear" w:color="auto" w:fill="auto"/>
            <w:noWrap/>
            <w:vAlign w:val="bottom"/>
            <w:hideMark/>
          </w:tcPr>
          <w:p w14:paraId="047F4A38"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Subvencije                                                                                          </w:t>
            </w:r>
          </w:p>
        </w:tc>
        <w:tc>
          <w:tcPr>
            <w:tcW w:w="1480" w:type="dxa"/>
            <w:tcBorders>
              <w:top w:val="nil"/>
              <w:left w:val="nil"/>
              <w:bottom w:val="nil"/>
              <w:right w:val="nil"/>
            </w:tcBorders>
            <w:shd w:val="clear" w:color="auto" w:fill="auto"/>
            <w:noWrap/>
            <w:vAlign w:val="bottom"/>
            <w:hideMark/>
          </w:tcPr>
          <w:p w14:paraId="224EF3A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2.000,00</w:t>
            </w:r>
          </w:p>
        </w:tc>
        <w:tc>
          <w:tcPr>
            <w:tcW w:w="1380" w:type="dxa"/>
            <w:tcBorders>
              <w:top w:val="nil"/>
              <w:left w:val="nil"/>
              <w:bottom w:val="nil"/>
              <w:right w:val="nil"/>
            </w:tcBorders>
            <w:shd w:val="clear" w:color="auto" w:fill="auto"/>
            <w:noWrap/>
            <w:vAlign w:val="bottom"/>
            <w:hideMark/>
          </w:tcPr>
          <w:p w14:paraId="49E7099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637,00</w:t>
            </w:r>
          </w:p>
        </w:tc>
        <w:tc>
          <w:tcPr>
            <w:tcW w:w="1400" w:type="dxa"/>
            <w:tcBorders>
              <w:top w:val="nil"/>
              <w:left w:val="nil"/>
              <w:bottom w:val="nil"/>
              <w:right w:val="nil"/>
            </w:tcBorders>
            <w:shd w:val="clear" w:color="auto" w:fill="auto"/>
            <w:noWrap/>
            <w:vAlign w:val="bottom"/>
            <w:hideMark/>
          </w:tcPr>
          <w:p w14:paraId="3F66D1B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31,85%</w:t>
            </w:r>
          </w:p>
        </w:tc>
      </w:tr>
      <w:tr w:rsidR="00A360DB" w:rsidRPr="00A360DB" w14:paraId="3221813B" w14:textId="77777777" w:rsidTr="00A360DB">
        <w:trPr>
          <w:trHeight w:val="240"/>
        </w:trPr>
        <w:tc>
          <w:tcPr>
            <w:tcW w:w="1697" w:type="dxa"/>
            <w:tcBorders>
              <w:top w:val="nil"/>
              <w:left w:val="nil"/>
              <w:bottom w:val="nil"/>
              <w:right w:val="nil"/>
            </w:tcBorders>
            <w:shd w:val="clear" w:color="auto" w:fill="auto"/>
            <w:noWrap/>
            <w:vAlign w:val="bottom"/>
            <w:hideMark/>
          </w:tcPr>
          <w:p w14:paraId="1D0CC4E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3523</w:t>
            </w:r>
          </w:p>
        </w:tc>
        <w:tc>
          <w:tcPr>
            <w:tcW w:w="8509" w:type="dxa"/>
            <w:tcBorders>
              <w:top w:val="nil"/>
              <w:left w:val="nil"/>
              <w:bottom w:val="nil"/>
              <w:right w:val="nil"/>
            </w:tcBorders>
            <w:shd w:val="clear" w:color="auto" w:fill="auto"/>
            <w:noWrap/>
            <w:vAlign w:val="bottom"/>
            <w:hideMark/>
          </w:tcPr>
          <w:p w14:paraId="0DEA0618"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Subvencije poljoprivrednicima i obrtnicima                                                          </w:t>
            </w:r>
          </w:p>
        </w:tc>
        <w:tc>
          <w:tcPr>
            <w:tcW w:w="1480" w:type="dxa"/>
            <w:tcBorders>
              <w:top w:val="nil"/>
              <w:left w:val="nil"/>
              <w:bottom w:val="nil"/>
              <w:right w:val="nil"/>
            </w:tcBorders>
            <w:shd w:val="clear" w:color="auto" w:fill="auto"/>
            <w:noWrap/>
            <w:vAlign w:val="bottom"/>
            <w:hideMark/>
          </w:tcPr>
          <w:p w14:paraId="65F88116"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97D15F1"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637,00</w:t>
            </w:r>
          </w:p>
        </w:tc>
        <w:tc>
          <w:tcPr>
            <w:tcW w:w="1400" w:type="dxa"/>
            <w:tcBorders>
              <w:top w:val="nil"/>
              <w:left w:val="nil"/>
              <w:bottom w:val="nil"/>
              <w:right w:val="nil"/>
            </w:tcBorders>
            <w:shd w:val="clear" w:color="auto" w:fill="auto"/>
            <w:noWrap/>
            <w:vAlign w:val="bottom"/>
            <w:hideMark/>
          </w:tcPr>
          <w:p w14:paraId="1EBF7613"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F15A346" w14:textId="77777777" w:rsidTr="00A360DB">
        <w:trPr>
          <w:trHeight w:val="240"/>
        </w:trPr>
        <w:tc>
          <w:tcPr>
            <w:tcW w:w="1697" w:type="dxa"/>
            <w:tcBorders>
              <w:top w:val="nil"/>
              <w:left w:val="nil"/>
              <w:bottom w:val="nil"/>
              <w:right w:val="nil"/>
            </w:tcBorders>
            <w:shd w:val="clear" w:color="000000" w:fill="B4C6E7"/>
            <w:noWrap/>
            <w:vAlign w:val="bottom"/>
            <w:hideMark/>
          </w:tcPr>
          <w:p w14:paraId="4A679577"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A100923</w:t>
            </w:r>
          </w:p>
        </w:tc>
        <w:tc>
          <w:tcPr>
            <w:tcW w:w="8509" w:type="dxa"/>
            <w:tcBorders>
              <w:top w:val="nil"/>
              <w:left w:val="nil"/>
              <w:bottom w:val="nil"/>
              <w:right w:val="nil"/>
            </w:tcBorders>
            <w:shd w:val="clear" w:color="000000" w:fill="B4C6E7"/>
            <w:noWrap/>
            <w:vAlign w:val="bottom"/>
            <w:hideMark/>
          </w:tcPr>
          <w:p w14:paraId="02DDD8B1"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Potpora za ekološku proizvodnju</w:t>
            </w:r>
          </w:p>
        </w:tc>
        <w:tc>
          <w:tcPr>
            <w:tcW w:w="1480" w:type="dxa"/>
            <w:tcBorders>
              <w:top w:val="nil"/>
              <w:left w:val="nil"/>
              <w:bottom w:val="nil"/>
              <w:right w:val="nil"/>
            </w:tcBorders>
            <w:shd w:val="clear" w:color="000000" w:fill="B4C6E7"/>
            <w:noWrap/>
            <w:vAlign w:val="bottom"/>
            <w:hideMark/>
          </w:tcPr>
          <w:p w14:paraId="13CEA55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1.000,00</w:t>
            </w:r>
          </w:p>
        </w:tc>
        <w:tc>
          <w:tcPr>
            <w:tcW w:w="1380" w:type="dxa"/>
            <w:tcBorders>
              <w:top w:val="nil"/>
              <w:left w:val="nil"/>
              <w:bottom w:val="nil"/>
              <w:right w:val="nil"/>
            </w:tcBorders>
            <w:shd w:val="clear" w:color="000000" w:fill="B4C6E7"/>
            <w:noWrap/>
            <w:vAlign w:val="bottom"/>
            <w:hideMark/>
          </w:tcPr>
          <w:p w14:paraId="79A9C66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400,00</w:t>
            </w:r>
          </w:p>
        </w:tc>
        <w:tc>
          <w:tcPr>
            <w:tcW w:w="1400" w:type="dxa"/>
            <w:tcBorders>
              <w:top w:val="nil"/>
              <w:left w:val="nil"/>
              <w:bottom w:val="nil"/>
              <w:right w:val="nil"/>
            </w:tcBorders>
            <w:shd w:val="clear" w:color="000000" w:fill="B4C6E7"/>
            <w:noWrap/>
            <w:vAlign w:val="bottom"/>
            <w:hideMark/>
          </w:tcPr>
          <w:p w14:paraId="012E7A4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40,00%</w:t>
            </w:r>
          </w:p>
        </w:tc>
      </w:tr>
      <w:tr w:rsidR="00A360DB" w:rsidRPr="00A360DB" w14:paraId="0A91AC99"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2C259816"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39485956"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1.000,00</w:t>
            </w:r>
          </w:p>
        </w:tc>
        <w:tc>
          <w:tcPr>
            <w:tcW w:w="1380" w:type="dxa"/>
            <w:tcBorders>
              <w:top w:val="nil"/>
              <w:left w:val="nil"/>
              <w:bottom w:val="nil"/>
              <w:right w:val="nil"/>
            </w:tcBorders>
            <w:shd w:val="clear" w:color="auto" w:fill="auto"/>
            <w:noWrap/>
            <w:vAlign w:val="bottom"/>
            <w:hideMark/>
          </w:tcPr>
          <w:p w14:paraId="27980DD0"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400,00</w:t>
            </w:r>
          </w:p>
        </w:tc>
        <w:tc>
          <w:tcPr>
            <w:tcW w:w="1400" w:type="dxa"/>
            <w:tcBorders>
              <w:top w:val="nil"/>
              <w:left w:val="nil"/>
              <w:bottom w:val="nil"/>
              <w:right w:val="nil"/>
            </w:tcBorders>
            <w:shd w:val="clear" w:color="auto" w:fill="auto"/>
            <w:noWrap/>
            <w:vAlign w:val="bottom"/>
            <w:hideMark/>
          </w:tcPr>
          <w:p w14:paraId="0F56A8AD"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40,00%</w:t>
            </w:r>
          </w:p>
        </w:tc>
      </w:tr>
      <w:tr w:rsidR="00A360DB" w:rsidRPr="00A360DB" w14:paraId="38038362"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11972275"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6E1190CF"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1.000,00</w:t>
            </w:r>
          </w:p>
        </w:tc>
        <w:tc>
          <w:tcPr>
            <w:tcW w:w="1380" w:type="dxa"/>
            <w:tcBorders>
              <w:top w:val="nil"/>
              <w:left w:val="nil"/>
              <w:bottom w:val="nil"/>
              <w:right w:val="nil"/>
            </w:tcBorders>
            <w:shd w:val="clear" w:color="auto" w:fill="auto"/>
            <w:noWrap/>
            <w:vAlign w:val="bottom"/>
            <w:hideMark/>
          </w:tcPr>
          <w:p w14:paraId="32ED38C8"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400,00</w:t>
            </w:r>
          </w:p>
        </w:tc>
        <w:tc>
          <w:tcPr>
            <w:tcW w:w="1400" w:type="dxa"/>
            <w:tcBorders>
              <w:top w:val="nil"/>
              <w:left w:val="nil"/>
              <w:bottom w:val="nil"/>
              <w:right w:val="nil"/>
            </w:tcBorders>
            <w:shd w:val="clear" w:color="auto" w:fill="auto"/>
            <w:noWrap/>
            <w:vAlign w:val="bottom"/>
            <w:hideMark/>
          </w:tcPr>
          <w:p w14:paraId="51A81391"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40,00%</w:t>
            </w:r>
          </w:p>
        </w:tc>
      </w:tr>
      <w:tr w:rsidR="00A360DB" w:rsidRPr="00A360DB" w14:paraId="563A8880" w14:textId="77777777" w:rsidTr="00A360DB">
        <w:trPr>
          <w:trHeight w:val="240"/>
        </w:trPr>
        <w:tc>
          <w:tcPr>
            <w:tcW w:w="1697" w:type="dxa"/>
            <w:tcBorders>
              <w:top w:val="nil"/>
              <w:left w:val="nil"/>
              <w:bottom w:val="nil"/>
              <w:right w:val="nil"/>
            </w:tcBorders>
            <w:shd w:val="clear" w:color="auto" w:fill="auto"/>
            <w:noWrap/>
            <w:vAlign w:val="bottom"/>
            <w:hideMark/>
          </w:tcPr>
          <w:p w14:paraId="79D41B0B"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35</w:t>
            </w:r>
          </w:p>
        </w:tc>
        <w:tc>
          <w:tcPr>
            <w:tcW w:w="8509" w:type="dxa"/>
            <w:tcBorders>
              <w:top w:val="nil"/>
              <w:left w:val="nil"/>
              <w:bottom w:val="nil"/>
              <w:right w:val="nil"/>
            </w:tcBorders>
            <w:shd w:val="clear" w:color="auto" w:fill="auto"/>
            <w:noWrap/>
            <w:vAlign w:val="bottom"/>
            <w:hideMark/>
          </w:tcPr>
          <w:p w14:paraId="591E6A08"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Subvencije                                                                                          </w:t>
            </w:r>
          </w:p>
        </w:tc>
        <w:tc>
          <w:tcPr>
            <w:tcW w:w="1480" w:type="dxa"/>
            <w:tcBorders>
              <w:top w:val="nil"/>
              <w:left w:val="nil"/>
              <w:bottom w:val="nil"/>
              <w:right w:val="nil"/>
            </w:tcBorders>
            <w:shd w:val="clear" w:color="auto" w:fill="auto"/>
            <w:noWrap/>
            <w:vAlign w:val="bottom"/>
            <w:hideMark/>
          </w:tcPr>
          <w:p w14:paraId="7ED6AA9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1.000,00</w:t>
            </w:r>
          </w:p>
        </w:tc>
        <w:tc>
          <w:tcPr>
            <w:tcW w:w="1380" w:type="dxa"/>
            <w:tcBorders>
              <w:top w:val="nil"/>
              <w:left w:val="nil"/>
              <w:bottom w:val="nil"/>
              <w:right w:val="nil"/>
            </w:tcBorders>
            <w:shd w:val="clear" w:color="auto" w:fill="auto"/>
            <w:noWrap/>
            <w:vAlign w:val="bottom"/>
            <w:hideMark/>
          </w:tcPr>
          <w:p w14:paraId="0C5C56F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400,00</w:t>
            </w:r>
          </w:p>
        </w:tc>
        <w:tc>
          <w:tcPr>
            <w:tcW w:w="1400" w:type="dxa"/>
            <w:tcBorders>
              <w:top w:val="nil"/>
              <w:left w:val="nil"/>
              <w:bottom w:val="nil"/>
              <w:right w:val="nil"/>
            </w:tcBorders>
            <w:shd w:val="clear" w:color="auto" w:fill="auto"/>
            <w:noWrap/>
            <w:vAlign w:val="bottom"/>
            <w:hideMark/>
          </w:tcPr>
          <w:p w14:paraId="4D80835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40,00%</w:t>
            </w:r>
          </w:p>
        </w:tc>
      </w:tr>
      <w:tr w:rsidR="00A360DB" w:rsidRPr="00A360DB" w14:paraId="6B9CEAA2" w14:textId="77777777" w:rsidTr="00A360DB">
        <w:trPr>
          <w:trHeight w:val="240"/>
        </w:trPr>
        <w:tc>
          <w:tcPr>
            <w:tcW w:w="1697" w:type="dxa"/>
            <w:tcBorders>
              <w:top w:val="nil"/>
              <w:left w:val="nil"/>
              <w:bottom w:val="nil"/>
              <w:right w:val="nil"/>
            </w:tcBorders>
            <w:shd w:val="clear" w:color="auto" w:fill="auto"/>
            <w:noWrap/>
            <w:vAlign w:val="bottom"/>
            <w:hideMark/>
          </w:tcPr>
          <w:p w14:paraId="1E937AAE"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3523</w:t>
            </w:r>
          </w:p>
        </w:tc>
        <w:tc>
          <w:tcPr>
            <w:tcW w:w="8509" w:type="dxa"/>
            <w:tcBorders>
              <w:top w:val="nil"/>
              <w:left w:val="nil"/>
              <w:bottom w:val="nil"/>
              <w:right w:val="nil"/>
            </w:tcBorders>
            <w:shd w:val="clear" w:color="auto" w:fill="auto"/>
            <w:noWrap/>
            <w:vAlign w:val="bottom"/>
            <w:hideMark/>
          </w:tcPr>
          <w:p w14:paraId="1AD6396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Subvencije poljoprivrednicima i obrtnicima                                                          </w:t>
            </w:r>
          </w:p>
        </w:tc>
        <w:tc>
          <w:tcPr>
            <w:tcW w:w="1480" w:type="dxa"/>
            <w:tcBorders>
              <w:top w:val="nil"/>
              <w:left w:val="nil"/>
              <w:bottom w:val="nil"/>
              <w:right w:val="nil"/>
            </w:tcBorders>
            <w:shd w:val="clear" w:color="auto" w:fill="auto"/>
            <w:noWrap/>
            <w:vAlign w:val="bottom"/>
            <w:hideMark/>
          </w:tcPr>
          <w:p w14:paraId="27661119"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11AAA149"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400,00</w:t>
            </w:r>
          </w:p>
        </w:tc>
        <w:tc>
          <w:tcPr>
            <w:tcW w:w="1400" w:type="dxa"/>
            <w:tcBorders>
              <w:top w:val="nil"/>
              <w:left w:val="nil"/>
              <w:bottom w:val="nil"/>
              <w:right w:val="nil"/>
            </w:tcBorders>
            <w:shd w:val="clear" w:color="auto" w:fill="auto"/>
            <w:noWrap/>
            <w:vAlign w:val="bottom"/>
            <w:hideMark/>
          </w:tcPr>
          <w:p w14:paraId="59FA1FA5"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33CFC2B" w14:textId="77777777" w:rsidTr="00A360DB">
        <w:trPr>
          <w:trHeight w:val="240"/>
        </w:trPr>
        <w:tc>
          <w:tcPr>
            <w:tcW w:w="1697" w:type="dxa"/>
            <w:tcBorders>
              <w:top w:val="nil"/>
              <w:left w:val="nil"/>
              <w:bottom w:val="nil"/>
              <w:right w:val="nil"/>
            </w:tcBorders>
            <w:shd w:val="clear" w:color="000000" w:fill="1D4BB3"/>
            <w:noWrap/>
            <w:vAlign w:val="bottom"/>
            <w:hideMark/>
          </w:tcPr>
          <w:p w14:paraId="7DE2460E" w14:textId="77777777" w:rsidR="00A360DB" w:rsidRPr="00A360DB" w:rsidRDefault="00A360DB" w:rsidP="00A360DB">
            <w:pPr>
              <w:spacing w:after="0" w:line="240" w:lineRule="auto"/>
              <w:rPr>
                <w:rFonts w:ascii="Arial" w:hAnsi="Arial" w:cs="Arial"/>
                <w:b/>
                <w:bCs/>
                <w:color w:val="FFFFFF"/>
                <w:sz w:val="18"/>
                <w:szCs w:val="18"/>
                <w:lang w:eastAsia="hr-HR"/>
              </w:rPr>
            </w:pPr>
            <w:r w:rsidRPr="00A360DB">
              <w:rPr>
                <w:rFonts w:ascii="Arial" w:hAnsi="Arial" w:cs="Arial"/>
                <w:b/>
                <w:bCs/>
                <w:color w:val="FFFFFF"/>
                <w:sz w:val="18"/>
                <w:szCs w:val="18"/>
                <w:lang w:eastAsia="hr-HR"/>
              </w:rPr>
              <w:t>1010</w:t>
            </w:r>
          </w:p>
        </w:tc>
        <w:tc>
          <w:tcPr>
            <w:tcW w:w="8509" w:type="dxa"/>
            <w:tcBorders>
              <w:top w:val="nil"/>
              <w:left w:val="nil"/>
              <w:bottom w:val="nil"/>
              <w:right w:val="nil"/>
            </w:tcBorders>
            <w:shd w:val="clear" w:color="000000" w:fill="1D4BB3"/>
            <w:noWrap/>
            <w:vAlign w:val="bottom"/>
            <w:hideMark/>
          </w:tcPr>
          <w:p w14:paraId="6CA67501" w14:textId="77777777" w:rsidR="00A360DB" w:rsidRPr="00A360DB" w:rsidRDefault="00A360DB" w:rsidP="00A360DB">
            <w:pPr>
              <w:spacing w:after="0" w:line="240" w:lineRule="auto"/>
              <w:rPr>
                <w:rFonts w:ascii="Arial" w:hAnsi="Arial" w:cs="Arial"/>
                <w:b/>
                <w:bCs/>
                <w:color w:val="FFFFFF"/>
                <w:sz w:val="18"/>
                <w:szCs w:val="18"/>
                <w:lang w:eastAsia="hr-HR"/>
              </w:rPr>
            </w:pPr>
            <w:r w:rsidRPr="00A360DB">
              <w:rPr>
                <w:rFonts w:ascii="Arial" w:hAnsi="Arial" w:cs="Arial"/>
                <w:b/>
                <w:bCs/>
                <w:color w:val="FFFFFF"/>
                <w:sz w:val="18"/>
                <w:szCs w:val="18"/>
                <w:lang w:eastAsia="hr-HR"/>
              </w:rPr>
              <w:t>Program: Održavanje komunalne infrastrukture</w:t>
            </w:r>
          </w:p>
        </w:tc>
        <w:tc>
          <w:tcPr>
            <w:tcW w:w="1480" w:type="dxa"/>
            <w:tcBorders>
              <w:top w:val="nil"/>
              <w:left w:val="nil"/>
              <w:bottom w:val="nil"/>
              <w:right w:val="nil"/>
            </w:tcBorders>
            <w:shd w:val="clear" w:color="000000" w:fill="1D4BB3"/>
            <w:noWrap/>
            <w:vAlign w:val="bottom"/>
            <w:hideMark/>
          </w:tcPr>
          <w:p w14:paraId="48E3932F"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904.980,00</w:t>
            </w:r>
          </w:p>
        </w:tc>
        <w:tc>
          <w:tcPr>
            <w:tcW w:w="1380" w:type="dxa"/>
            <w:tcBorders>
              <w:top w:val="nil"/>
              <w:left w:val="nil"/>
              <w:bottom w:val="nil"/>
              <w:right w:val="nil"/>
            </w:tcBorders>
            <w:shd w:val="clear" w:color="000000" w:fill="1D4BB3"/>
            <w:noWrap/>
            <w:vAlign w:val="bottom"/>
            <w:hideMark/>
          </w:tcPr>
          <w:p w14:paraId="5D925A99"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768.127,41</w:t>
            </w:r>
          </w:p>
        </w:tc>
        <w:tc>
          <w:tcPr>
            <w:tcW w:w="1400" w:type="dxa"/>
            <w:tcBorders>
              <w:top w:val="nil"/>
              <w:left w:val="nil"/>
              <w:bottom w:val="nil"/>
              <w:right w:val="nil"/>
            </w:tcBorders>
            <w:shd w:val="clear" w:color="000000" w:fill="1D4BB3"/>
            <w:noWrap/>
            <w:vAlign w:val="bottom"/>
            <w:hideMark/>
          </w:tcPr>
          <w:p w14:paraId="52AA8855"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84,88%</w:t>
            </w:r>
          </w:p>
        </w:tc>
      </w:tr>
      <w:tr w:rsidR="00A360DB" w:rsidRPr="00A360DB" w14:paraId="1893E2F7" w14:textId="77777777" w:rsidTr="00A360DB">
        <w:trPr>
          <w:trHeight w:val="240"/>
        </w:trPr>
        <w:tc>
          <w:tcPr>
            <w:tcW w:w="1697" w:type="dxa"/>
            <w:tcBorders>
              <w:top w:val="nil"/>
              <w:left w:val="nil"/>
              <w:bottom w:val="nil"/>
              <w:right w:val="nil"/>
            </w:tcBorders>
            <w:shd w:val="clear" w:color="000000" w:fill="B4C6E7"/>
            <w:noWrap/>
            <w:vAlign w:val="bottom"/>
            <w:hideMark/>
          </w:tcPr>
          <w:p w14:paraId="05A2EEEB"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A101001</w:t>
            </w:r>
          </w:p>
        </w:tc>
        <w:tc>
          <w:tcPr>
            <w:tcW w:w="8509" w:type="dxa"/>
            <w:tcBorders>
              <w:top w:val="nil"/>
              <w:left w:val="nil"/>
              <w:bottom w:val="nil"/>
              <w:right w:val="nil"/>
            </w:tcBorders>
            <w:shd w:val="clear" w:color="000000" w:fill="B4C6E7"/>
            <w:noWrap/>
            <w:vAlign w:val="bottom"/>
            <w:hideMark/>
          </w:tcPr>
          <w:p w14:paraId="56B4530F"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Javna rasvjeta</w:t>
            </w:r>
          </w:p>
        </w:tc>
        <w:tc>
          <w:tcPr>
            <w:tcW w:w="1480" w:type="dxa"/>
            <w:tcBorders>
              <w:top w:val="nil"/>
              <w:left w:val="nil"/>
              <w:bottom w:val="nil"/>
              <w:right w:val="nil"/>
            </w:tcBorders>
            <w:shd w:val="clear" w:color="000000" w:fill="B4C6E7"/>
            <w:noWrap/>
            <w:vAlign w:val="bottom"/>
            <w:hideMark/>
          </w:tcPr>
          <w:p w14:paraId="5EE34E4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170.400,00</w:t>
            </w:r>
          </w:p>
        </w:tc>
        <w:tc>
          <w:tcPr>
            <w:tcW w:w="1380" w:type="dxa"/>
            <w:tcBorders>
              <w:top w:val="nil"/>
              <w:left w:val="nil"/>
              <w:bottom w:val="nil"/>
              <w:right w:val="nil"/>
            </w:tcBorders>
            <w:shd w:val="clear" w:color="000000" w:fill="B4C6E7"/>
            <w:noWrap/>
            <w:vAlign w:val="bottom"/>
            <w:hideMark/>
          </w:tcPr>
          <w:p w14:paraId="513FB05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156.677,95</w:t>
            </w:r>
          </w:p>
        </w:tc>
        <w:tc>
          <w:tcPr>
            <w:tcW w:w="1400" w:type="dxa"/>
            <w:tcBorders>
              <w:top w:val="nil"/>
              <w:left w:val="nil"/>
              <w:bottom w:val="nil"/>
              <w:right w:val="nil"/>
            </w:tcBorders>
            <w:shd w:val="clear" w:color="000000" w:fill="B4C6E7"/>
            <w:noWrap/>
            <w:vAlign w:val="bottom"/>
            <w:hideMark/>
          </w:tcPr>
          <w:p w14:paraId="135E028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91,95%</w:t>
            </w:r>
          </w:p>
        </w:tc>
      </w:tr>
      <w:tr w:rsidR="00A360DB" w:rsidRPr="00A360DB" w14:paraId="6313C8EB"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C76E31C"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77F3B10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20.000,00</w:t>
            </w:r>
          </w:p>
        </w:tc>
        <w:tc>
          <w:tcPr>
            <w:tcW w:w="1380" w:type="dxa"/>
            <w:tcBorders>
              <w:top w:val="nil"/>
              <w:left w:val="nil"/>
              <w:bottom w:val="nil"/>
              <w:right w:val="nil"/>
            </w:tcBorders>
            <w:shd w:val="clear" w:color="auto" w:fill="auto"/>
            <w:noWrap/>
            <w:vAlign w:val="bottom"/>
            <w:hideMark/>
          </w:tcPr>
          <w:p w14:paraId="5ADACC6E"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9.707,60</w:t>
            </w:r>
          </w:p>
        </w:tc>
        <w:tc>
          <w:tcPr>
            <w:tcW w:w="1400" w:type="dxa"/>
            <w:tcBorders>
              <w:top w:val="nil"/>
              <w:left w:val="nil"/>
              <w:bottom w:val="nil"/>
              <w:right w:val="nil"/>
            </w:tcBorders>
            <w:shd w:val="clear" w:color="auto" w:fill="auto"/>
            <w:noWrap/>
            <w:vAlign w:val="bottom"/>
            <w:hideMark/>
          </w:tcPr>
          <w:p w14:paraId="16E17A0B"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48,54%</w:t>
            </w:r>
          </w:p>
        </w:tc>
      </w:tr>
      <w:tr w:rsidR="00A360DB" w:rsidRPr="00A360DB" w14:paraId="72B94641"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90FBFCF"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3C3E12E9"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20.000,00</w:t>
            </w:r>
          </w:p>
        </w:tc>
        <w:tc>
          <w:tcPr>
            <w:tcW w:w="1380" w:type="dxa"/>
            <w:tcBorders>
              <w:top w:val="nil"/>
              <w:left w:val="nil"/>
              <w:bottom w:val="nil"/>
              <w:right w:val="nil"/>
            </w:tcBorders>
            <w:shd w:val="clear" w:color="auto" w:fill="auto"/>
            <w:noWrap/>
            <w:vAlign w:val="bottom"/>
            <w:hideMark/>
          </w:tcPr>
          <w:p w14:paraId="34683CA7"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9.707,60</w:t>
            </w:r>
          </w:p>
        </w:tc>
        <w:tc>
          <w:tcPr>
            <w:tcW w:w="1400" w:type="dxa"/>
            <w:tcBorders>
              <w:top w:val="nil"/>
              <w:left w:val="nil"/>
              <w:bottom w:val="nil"/>
              <w:right w:val="nil"/>
            </w:tcBorders>
            <w:shd w:val="clear" w:color="auto" w:fill="auto"/>
            <w:noWrap/>
            <w:vAlign w:val="bottom"/>
            <w:hideMark/>
          </w:tcPr>
          <w:p w14:paraId="1DEB9B80"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48,54%</w:t>
            </w:r>
          </w:p>
        </w:tc>
      </w:tr>
      <w:tr w:rsidR="00A360DB" w:rsidRPr="00A360DB" w14:paraId="19DCD6C4" w14:textId="77777777" w:rsidTr="00A360DB">
        <w:trPr>
          <w:trHeight w:val="240"/>
        </w:trPr>
        <w:tc>
          <w:tcPr>
            <w:tcW w:w="1697" w:type="dxa"/>
            <w:tcBorders>
              <w:top w:val="nil"/>
              <w:left w:val="nil"/>
              <w:bottom w:val="nil"/>
              <w:right w:val="nil"/>
            </w:tcBorders>
            <w:shd w:val="clear" w:color="auto" w:fill="auto"/>
            <w:noWrap/>
            <w:vAlign w:val="bottom"/>
            <w:hideMark/>
          </w:tcPr>
          <w:p w14:paraId="48C913C3"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65080C42"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00CB39D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20.000,00</w:t>
            </w:r>
          </w:p>
        </w:tc>
        <w:tc>
          <w:tcPr>
            <w:tcW w:w="1380" w:type="dxa"/>
            <w:tcBorders>
              <w:top w:val="nil"/>
              <w:left w:val="nil"/>
              <w:bottom w:val="nil"/>
              <w:right w:val="nil"/>
            </w:tcBorders>
            <w:shd w:val="clear" w:color="auto" w:fill="auto"/>
            <w:noWrap/>
            <w:vAlign w:val="bottom"/>
            <w:hideMark/>
          </w:tcPr>
          <w:p w14:paraId="0F75A16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9.707,60</w:t>
            </w:r>
          </w:p>
        </w:tc>
        <w:tc>
          <w:tcPr>
            <w:tcW w:w="1400" w:type="dxa"/>
            <w:tcBorders>
              <w:top w:val="nil"/>
              <w:left w:val="nil"/>
              <w:bottom w:val="nil"/>
              <w:right w:val="nil"/>
            </w:tcBorders>
            <w:shd w:val="clear" w:color="auto" w:fill="auto"/>
            <w:noWrap/>
            <w:vAlign w:val="bottom"/>
            <w:hideMark/>
          </w:tcPr>
          <w:p w14:paraId="2EBCBE4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48,54%</w:t>
            </w:r>
          </w:p>
        </w:tc>
      </w:tr>
      <w:tr w:rsidR="00A360DB" w:rsidRPr="00A360DB" w14:paraId="088E768B" w14:textId="77777777" w:rsidTr="00A360DB">
        <w:trPr>
          <w:trHeight w:val="240"/>
        </w:trPr>
        <w:tc>
          <w:tcPr>
            <w:tcW w:w="1697" w:type="dxa"/>
            <w:tcBorders>
              <w:top w:val="nil"/>
              <w:left w:val="nil"/>
              <w:bottom w:val="nil"/>
              <w:right w:val="nil"/>
            </w:tcBorders>
            <w:shd w:val="clear" w:color="auto" w:fill="auto"/>
            <w:noWrap/>
            <w:vAlign w:val="bottom"/>
            <w:hideMark/>
          </w:tcPr>
          <w:p w14:paraId="4827F00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3223</w:t>
            </w:r>
          </w:p>
        </w:tc>
        <w:tc>
          <w:tcPr>
            <w:tcW w:w="8509" w:type="dxa"/>
            <w:tcBorders>
              <w:top w:val="nil"/>
              <w:left w:val="nil"/>
              <w:bottom w:val="nil"/>
              <w:right w:val="nil"/>
            </w:tcBorders>
            <w:shd w:val="clear" w:color="auto" w:fill="auto"/>
            <w:noWrap/>
            <w:vAlign w:val="bottom"/>
            <w:hideMark/>
          </w:tcPr>
          <w:p w14:paraId="3F306EC3"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Energija                                                                                            </w:t>
            </w:r>
          </w:p>
        </w:tc>
        <w:tc>
          <w:tcPr>
            <w:tcW w:w="1480" w:type="dxa"/>
            <w:tcBorders>
              <w:top w:val="nil"/>
              <w:left w:val="nil"/>
              <w:bottom w:val="nil"/>
              <w:right w:val="nil"/>
            </w:tcBorders>
            <w:shd w:val="clear" w:color="auto" w:fill="auto"/>
            <w:noWrap/>
            <w:vAlign w:val="bottom"/>
            <w:hideMark/>
          </w:tcPr>
          <w:p w14:paraId="4015F6C5"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25A8CBCB"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9.707,60</w:t>
            </w:r>
          </w:p>
        </w:tc>
        <w:tc>
          <w:tcPr>
            <w:tcW w:w="1400" w:type="dxa"/>
            <w:tcBorders>
              <w:top w:val="nil"/>
              <w:left w:val="nil"/>
              <w:bottom w:val="nil"/>
              <w:right w:val="nil"/>
            </w:tcBorders>
            <w:shd w:val="clear" w:color="auto" w:fill="auto"/>
            <w:noWrap/>
            <w:vAlign w:val="bottom"/>
            <w:hideMark/>
          </w:tcPr>
          <w:p w14:paraId="579EF79F"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2AFC802D"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5C665590"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4. Prihodi za posebne namjene</w:t>
            </w:r>
          </w:p>
        </w:tc>
        <w:tc>
          <w:tcPr>
            <w:tcW w:w="1480" w:type="dxa"/>
            <w:tcBorders>
              <w:top w:val="nil"/>
              <w:left w:val="nil"/>
              <w:bottom w:val="nil"/>
              <w:right w:val="nil"/>
            </w:tcBorders>
            <w:shd w:val="clear" w:color="auto" w:fill="auto"/>
            <w:noWrap/>
            <w:vAlign w:val="bottom"/>
            <w:hideMark/>
          </w:tcPr>
          <w:p w14:paraId="5CED4F73"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150.400,00</w:t>
            </w:r>
          </w:p>
        </w:tc>
        <w:tc>
          <w:tcPr>
            <w:tcW w:w="1380" w:type="dxa"/>
            <w:tcBorders>
              <w:top w:val="nil"/>
              <w:left w:val="nil"/>
              <w:bottom w:val="nil"/>
              <w:right w:val="nil"/>
            </w:tcBorders>
            <w:shd w:val="clear" w:color="auto" w:fill="auto"/>
            <w:noWrap/>
            <w:vAlign w:val="bottom"/>
            <w:hideMark/>
          </w:tcPr>
          <w:p w14:paraId="170DDC53"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146.970,35</w:t>
            </w:r>
          </w:p>
        </w:tc>
        <w:tc>
          <w:tcPr>
            <w:tcW w:w="1400" w:type="dxa"/>
            <w:tcBorders>
              <w:top w:val="nil"/>
              <w:left w:val="nil"/>
              <w:bottom w:val="nil"/>
              <w:right w:val="nil"/>
            </w:tcBorders>
            <w:shd w:val="clear" w:color="auto" w:fill="auto"/>
            <w:noWrap/>
            <w:vAlign w:val="bottom"/>
            <w:hideMark/>
          </w:tcPr>
          <w:p w14:paraId="09CA2510"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97,72%</w:t>
            </w:r>
          </w:p>
        </w:tc>
      </w:tr>
      <w:tr w:rsidR="00A360DB" w:rsidRPr="00A360DB" w14:paraId="39151988"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33CDFC04"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4.1. Prihodi za posebne namjene</w:t>
            </w:r>
          </w:p>
        </w:tc>
        <w:tc>
          <w:tcPr>
            <w:tcW w:w="1480" w:type="dxa"/>
            <w:tcBorders>
              <w:top w:val="nil"/>
              <w:left w:val="nil"/>
              <w:bottom w:val="nil"/>
              <w:right w:val="nil"/>
            </w:tcBorders>
            <w:shd w:val="clear" w:color="auto" w:fill="auto"/>
            <w:noWrap/>
            <w:vAlign w:val="bottom"/>
            <w:hideMark/>
          </w:tcPr>
          <w:p w14:paraId="0049EBBD"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150.400,00</w:t>
            </w:r>
          </w:p>
        </w:tc>
        <w:tc>
          <w:tcPr>
            <w:tcW w:w="1380" w:type="dxa"/>
            <w:tcBorders>
              <w:top w:val="nil"/>
              <w:left w:val="nil"/>
              <w:bottom w:val="nil"/>
              <w:right w:val="nil"/>
            </w:tcBorders>
            <w:shd w:val="clear" w:color="auto" w:fill="auto"/>
            <w:noWrap/>
            <w:vAlign w:val="bottom"/>
            <w:hideMark/>
          </w:tcPr>
          <w:p w14:paraId="2EE573AC"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146.970,35</w:t>
            </w:r>
          </w:p>
        </w:tc>
        <w:tc>
          <w:tcPr>
            <w:tcW w:w="1400" w:type="dxa"/>
            <w:tcBorders>
              <w:top w:val="nil"/>
              <w:left w:val="nil"/>
              <w:bottom w:val="nil"/>
              <w:right w:val="nil"/>
            </w:tcBorders>
            <w:shd w:val="clear" w:color="auto" w:fill="auto"/>
            <w:noWrap/>
            <w:vAlign w:val="bottom"/>
            <w:hideMark/>
          </w:tcPr>
          <w:p w14:paraId="3393684D"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97,72%</w:t>
            </w:r>
          </w:p>
        </w:tc>
      </w:tr>
      <w:tr w:rsidR="00A360DB" w:rsidRPr="00A360DB" w14:paraId="1758E3F7" w14:textId="77777777" w:rsidTr="00A360DB">
        <w:trPr>
          <w:trHeight w:val="240"/>
        </w:trPr>
        <w:tc>
          <w:tcPr>
            <w:tcW w:w="1697" w:type="dxa"/>
            <w:tcBorders>
              <w:top w:val="nil"/>
              <w:left w:val="nil"/>
              <w:bottom w:val="nil"/>
              <w:right w:val="nil"/>
            </w:tcBorders>
            <w:shd w:val="clear" w:color="auto" w:fill="auto"/>
            <w:noWrap/>
            <w:vAlign w:val="bottom"/>
            <w:hideMark/>
          </w:tcPr>
          <w:p w14:paraId="79813BC9"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6DDF95DD"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3585254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150.400,00</w:t>
            </w:r>
          </w:p>
        </w:tc>
        <w:tc>
          <w:tcPr>
            <w:tcW w:w="1380" w:type="dxa"/>
            <w:tcBorders>
              <w:top w:val="nil"/>
              <w:left w:val="nil"/>
              <w:bottom w:val="nil"/>
              <w:right w:val="nil"/>
            </w:tcBorders>
            <w:shd w:val="clear" w:color="auto" w:fill="auto"/>
            <w:noWrap/>
            <w:vAlign w:val="bottom"/>
            <w:hideMark/>
          </w:tcPr>
          <w:p w14:paraId="4FF35D6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146.970,35</w:t>
            </w:r>
          </w:p>
        </w:tc>
        <w:tc>
          <w:tcPr>
            <w:tcW w:w="1400" w:type="dxa"/>
            <w:tcBorders>
              <w:top w:val="nil"/>
              <w:left w:val="nil"/>
              <w:bottom w:val="nil"/>
              <w:right w:val="nil"/>
            </w:tcBorders>
            <w:shd w:val="clear" w:color="auto" w:fill="auto"/>
            <w:noWrap/>
            <w:vAlign w:val="bottom"/>
            <w:hideMark/>
          </w:tcPr>
          <w:p w14:paraId="4653C92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97,72%</w:t>
            </w:r>
          </w:p>
        </w:tc>
      </w:tr>
      <w:tr w:rsidR="00A360DB" w:rsidRPr="00A360DB" w14:paraId="2CDAE444" w14:textId="77777777" w:rsidTr="00A360DB">
        <w:trPr>
          <w:trHeight w:val="240"/>
        </w:trPr>
        <w:tc>
          <w:tcPr>
            <w:tcW w:w="1697" w:type="dxa"/>
            <w:tcBorders>
              <w:top w:val="nil"/>
              <w:left w:val="nil"/>
              <w:bottom w:val="nil"/>
              <w:right w:val="nil"/>
            </w:tcBorders>
            <w:shd w:val="clear" w:color="auto" w:fill="auto"/>
            <w:noWrap/>
            <w:vAlign w:val="bottom"/>
            <w:hideMark/>
          </w:tcPr>
          <w:p w14:paraId="482E4BCD"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3223</w:t>
            </w:r>
          </w:p>
        </w:tc>
        <w:tc>
          <w:tcPr>
            <w:tcW w:w="8509" w:type="dxa"/>
            <w:tcBorders>
              <w:top w:val="nil"/>
              <w:left w:val="nil"/>
              <w:bottom w:val="nil"/>
              <w:right w:val="nil"/>
            </w:tcBorders>
            <w:shd w:val="clear" w:color="auto" w:fill="auto"/>
            <w:noWrap/>
            <w:vAlign w:val="bottom"/>
            <w:hideMark/>
          </w:tcPr>
          <w:p w14:paraId="331EE5D8"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Energija                                                                                            </w:t>
            </w:r>
          </w:p>
        </w:tc>
        <w:tc>
          <w:tcPr>
            <w:tcW w:w="1480" w:type="dxa"/>
            <w:tcBorders>
              <w:top w:val="nil"/>
              <w:left w:val="nil"/>
              <w:bottom w:val="nil"/>
              <w:right w:val="nil"/>
            </w:tcBorders>
            <w:shd w:val="clear" w:color="auto" w:fill="auto"/>
            <w:noWrap/>
            <w:vAlign w:val="bottom"/>
            <w:hideMark/>
          </w:tcPr>
          <w:p w14:paraId="4364584D"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B9C4ABA"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33.407,13</w:t>
            </w:r>
          </w:p>
        </w:tc>
        <w:tc>
          <w:tcPr>
            <w:tcW w:w="1400" w:type="dxa"/>
            <w:tcBorders>
              <w:top w:val="nil"/>
              <w:left w:val="nil"/>
              <w:bottom w:val="nil"/>
              <w:right w:val="nil"/>
            </w:tcBorders>
            <w:shd w:val="clear" w:color="auto" w:fill="auto"/>
            <w:noWrap/>
            <w:vAlign w:val="bottom"/>
            <w:hideMark/>
          </w:tcPr>
          <w:p w14:paraId="35EBA9B9"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794D8A3" w14:textId="77777777" w:rsidTr="00A360DB">
        <w:trPr>
          <w:trHeight w:val="240"/>
        </w:trPr>
        <w:tc>
          <w:tcPr>
            <w:tcW w:w="1697" w:type="dxa"/>
            <w:tcBorders>
              <w:top w:val="nil"/>
              <w:left w:val="nil"/>
              <w:bottom w:val="nil"/>
              <w:right w:val="nil"/>
            </w:tcBorders>
            <w:shd w:val="clear" w:color="auto" w:fill="auto"/>
            <w:noWrap/>
            <w:vAlign w:val="bottom"/>
            <w:hideMark/>
          </w:tcPr>
          <w:p w14:paraId="6473D82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3232</w:t>
            </w:r>
          </w:p>
        </w:tc>
        <w:tc>
          <w:tcPr>
            <w:tcW w:w="8509" w:type="dxa"/>
            <w:tcBorders>
              <w:top w:val="nil"/>
              <w:left w:val="nil"/>
              <w:bottom w:val="nil"/>
              <w:right w:val="nil"/>
            </w:tcBorders>
            <w:shd w:val="clear" w:color="auto" w:fill="auto"/>
            <w:noWrap/>
            <w:vAlign w:val="bottom"/>
            <w:hideMark/>
          </w:tcPr>
          <w:p w14:paraId="4B38F72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Usluge tekućeg i investicijskog održavanja                                                          </w:t>
            </w:r>
          </w:p>
        </w:tc>
        <w:tc>
          <w:tcPr>
            <w:tcW w:w="1480" w:type="dxa"/>
            <w:tcBorders>
              <w:top w:val="nil"/>
              <w:left w:val="nil"/>
              <w:bottom w:val="nil"/>
              <w:right w:val="nil"/>
            </w:tcBorders>
            <w:shd w:val="clear" w:color="auto" w:fill="auto"/>
            <w:noWrap/>
            <w:vAlign w:val="bottom"/>
            <w:hideMark/>
          </w:tcPr>
          <w:p w14:paraId="636EBE4D"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2A878B15"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13.466,30</w:t>
            </w:r>
          </w:p>
        </w:tc>
        <w:tc>
          <w:tcPr>
            <w:tcW w:w="1400" w:type="dxa"/>
            <w:tcBorders>
              <w:top w:val="nil"/>
              <w:left w:val="nil"/>
              <w:bottom w:val="nil"/>
              <w:right w:val="nil"/>
            </w:tcBorders>
            <w:shd w:val="clear" w:color="auto" w:fill="auto"/>
            <w:noWrap/>
            <w:vAlign w:val="bottom"/>
            <w:hideMark/>
          </w:tcPr>
          <w:p w14:paraId="2CEF68D1"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57A1221" w14:textId="77777777" w:rsidTr="00A360DB">
        <w:trPr>
          <w:trHeight w:val="240"/>
        </w:trPr>
        <w:tc>
          <w:tcPr>
            <w:tcW w:w="1697" w:type="dxa"/>
            <w:tcBorders>
              <w:top w:val="nil"/>
              <w:left w:val="nil"/>
              <w:bottom w:val="nil"/>
              <w:right w:val="nil"/>
            </w:tcBorders>
            <w:shd w:val="clear" w:color="auto" w:fill="auto"/>
            <w:noWrap/>
            <w:vAlign w:val="bottom"/>
            <w:hideMark/>
          </w:tcPr>
          <w:p w14:paraId="2447E6B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3239</w:t>
            </w:r>
          </w:p>
        </w:tc>
        <w:tc>
          <w:tcPr>
            <w:tcW w:w="8509" w:type="dxa"/>
            <w:tcBorders>
              <w:top w:val="nil"/>
              <w:left w:val="nil"/>
              <w:bottom w:val="nil"/>
              <w:right w:val="nil"/>
            </w:tcBorders>
            <w:shd w:val="clear" w:color="auto" w:fill="auto"/>
            <w:noWrap/>
            <w:vAlign w:val="bottom"/>
            <w:hideMark/>
          </w:tcPr>
          <w:p w14:paraId="7569E957"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Ostale usluge                                                                                       </w:t>
            </w:r>
          </w:p>
        </w:tc>
        <w:tc>
          <w:tcPr>
            <w:tcW w:w="1480" w:type="dxa"/>
            <w:tcBorders>
              <w:top w:val="nil"/>
              <w:left w:val="nil"/>
              <w:bottom w:val="nil"/>
              <w:right w:val="nil"/>
            </w:tcBorders>
            <w:shd w:val="clear" w:color="auto" w:fill="auto"/>
            <w:noWrap/>
            <w:vAlign w:val="bottom"/>
            <w:hideMark/>
          </w:tcPr>
          <w:p w14:paraId="7B29B506"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A12A24A"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100.096,92</w:t>
            </w:r>
          </w:p>
        </w:tc>
        <w:tc>
          <w:tcPr>
            <w:tcW w:w="1400" w:type="dxa"/>
            <w:tcBorders>
              <w:top w:val="nil"/>
              <w:left w:val="nil"/>
              <w:bottom w:val="nil"/>
              <w:right w:val="nil"/>
            </w:tcBorders>
            <w:shd w:val="clear" w:color="auto" w:fill="auto"/>
            <w:noWrap/>
            <w:vAlign w:val="bottom"/>
            <w:hideMark/>
          </w:tcPr>
          <w:p w14:paraId="07E8B525"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2755BCD" w14:textId="77777777" w:rsidTr="00A360DB">
        <w:trPr>
          <w:trHeight w:val="240"/>
        </w:trPr>
        <w:tc>
          <w:tcPr>
            <w:tcW w:w="1697" w:type="dxa"/>
            <w:tcBorders>
              <w:top w:val="nil"/>
              <w:left w:val="nil"/>
              <w:bottom w:val="nil"/>
              <w:right w:val="nil"/>
            </w:tcBorders>
            <w:shd w:val="clear" w:color="000000" w:fill="B4C6E7"/>
            <w:noWrap/>
            <w:vAlign w:val="bottom"/>
            <w:hideMark/>
          </w:tcPr>
          <w:p w14:paraId="37162C9E"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A101005</w:t>
            </w:r>
          </w:p>
        </w:tc>
        <w:tc>
          <w:tcPr>
            <w:tcW w:w="8509" w:type="dxa"/>
            <w:tcBorders>
              <w:top w:val="nil"/>
              <w:left w:val="nil"/>
              <w:bottom w:val="nil"/>
              <w:right w:val="nil"/>
            </w:tcBorders>
            <w:shd w:val="clear" w:color="000000" w:fill="B4C6E7"/>
            <w:noWrap/>
            <w:vAlign w:val="bottom"/>
            <w:hideMark/>
          </w:tcPr>
          <w:p w14:paraId="68BA7ED1"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Održavanje i upravljanje nerazvrstanim cestama</w:t>
            </w:r>
          </w:p>
        </w:tc>
        <w:tc>
          <w:tcPr>
            <w:tcW w:w="1480" w:type="dxa"/>
            <w:tcBorders>
              <w:top w:val="nil"/>
              <w:left w:val="nil"/>
              <w:bottom w:val="nil"/>
              <w:right w:val="nil"/>
            </w:tcBorders>
            <w:shd w:val="clear" w:color="000000" w:fill="B4C6E7"/>
            <w:noWrap/>
            <w:vAlign w:val="bottom"/>
            <w:hideMark/>
          </w:tcPr>
          <w:p w14:paraId="559FF47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271.640,00</w:t>
            </w:r>
          </w:p>
        </w:tc>
        <w:tc>
          <w:tcPr>
            <w:tcW w:w="1380" w:type="dxa"/>
            <w:tcBorders>
              <w:top w:val="nil"/>
              <w:left w:val="nil"/>
              <w:bottom w:val="nil"/>
              <w:right w:val="nil"/>
            </w:tcBorders>
            <w:shd w:val="clear" w:color="000000" w:fill="B4C6E7"/>
            <w:noWrap/>
            <w:vAlign w:val="bottom"/>
            <w:hideMark/>
          </w:tcPr>
          <w:p w14:paraId="7472393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196.293,79</w:t>
            </w:r>
          </w:p>
        </w:tc>
        <w:tc>
          <w:tcPr>
            <w:tcW w:w="1400" w:type="dxa"/>
            <w:tcBorders>
              <w:top w:val="nil"/>
              <w:left w:val="nil"/>
              <w:bottom w:val="nil"/>
              <w:right w:val="nil"/>
            </w:tcBorders>
            <w:shd w:val="clear" w:color="000000" w:fill="B4C6E7"/>
            <w:noWrap/>
            <w:vAlign w:val="bottom"/>
            <w:hideMark/>
          </w:tcPr>
          <w:p w14:paraId="5D09F7D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72,26%</w:t>
            </w:r>
          </w:p>
        </w:tc>
      </w:tr>
      <w:tr w:rsidR="00A360DB" w:rsidRPr="00A360DB" w14:paraId="3A39C452"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B4FB4DE"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4BDA89FB"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21.500,00</w:t>
            </w:r>
          </w:p>
        </w:tc>
        <w:tc>
          <w:tcPr>
            <w:tcW w:w="1380" w:type="dxa"/>
            <w:tcBorders>
              <w:top w:val="nil"/>
              <w:left w:val="nil"/>
              <w:bottom w:val="nil"/>
              <w:right w:val="nil"/>
            </w:tcBorders>
            <w:shd w:val="clear" w:color="auto" w:fill="auto"/>
            <w:noWrap/>
            <w:vAlign w:val="bottom"/>
            <w:hideMark/>
          </w:tcPr>
          <w:p w14:paraId="19EC3A27"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12.106,65</w:t>
            </w:r>
          </w:p>
        </w:tc>
        <w:tc>
          <w:tcPr>
            <w:tcW w:w="1400" w:type="dxa"/>
            <w:tcBorders>
              <w:top w:val="nil"/>
              <w:left w:val="nil"/>
              <w:bottom w:val="nil"/>
              <w:right w:val="nil"/>
            </w:tcBorders>
            <w:shd w:val="clear" w:color="auto" w:fill="auto"/>
            <w:noWrap/>
            <w:vAlign w:val="bottom"/>
            <w:hideMark/>
          </w:tcPr>
          <w:p w14:paraId="167FA716"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56,31%</w:t>
            </w:r>
          </w:p>
        </w:tc>
      </w:tr>
      <w:tr w:rsidR="00A360DB" w:rsidRPr="00A360DB" w14:paraId="054F10D3"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552D42A6"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4462B15F"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21.500,00</w:t>
            </w:r>
          </w:p>
        </w:tc>
        <w:tc>
          <w:tcPr>
            <w:tcW w:w="1380" w:type="dxa"/>
            <w:tcBorders>
              <w:top w:val="nil"/>
              <w:left w:val="nil"/>
              <w:bottom w:val="nil"/>
              <w:right w:val="nil"/>
            </w:tcBorders>
            <w:shd w:val="clear" w:color="auto" w:fill="auto"/>
            <w:noWrap/>
            <w:vAlign w:val="bottom"/>
            <w:hideMark/>
          </w:tcPr>
          <w:p w14:paraId="193B65E7"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12.106,65</w:t>
            </w:r>
          </w:p>
        </w:tc>
        <w:tc>
          <w:tcPr>
            <w:tcW w:w="1400" w:type="dxa"/>
            <w:tcBorders>
              <w:top w:val="nil"/>
              <w:left w:val="nil"/>
              <w:bottom w:val="nil"/>
              <w:right w:val="nil"/>
            </w:tcBorders>
            <w:shd w:val="clear" w:color="auto" w:fill="auto"/>
            <w:noWrap/>
            <w:vAlign w:val="bottom"/>
            <w:hideMark/>
          </w:tcPr>
          <w:p w14:paraId="16C100F9"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56,31%</w:t>
            </w:r>
          </w:p>
        </w:tc>
      </w:tr>
      <w:tr w:rsidR="00A360DB" w:rsidRPr="00A360DB" w14:paraId="14D8B528" w14:textId="77777777" w:rsidTr="00A360DB">
        <w:trPr>
          <w:trHeight w:val="240"/>
        </w:trPr>
        <w:tc>
          <w:tcPr>
            <w:tcW w:w="1697" w:type="dxa"/>
            <w:tcBorders>
              <w:top w:val="nil"/>
              <w:left w:val="nil"/>
              <w:bottom w:val="nil"/>
              <w:right w:val="nil"/>
            </w:tcBorders>
            <w:shd w:val="clear" w:color="auto" w:fill="auto"/>
            <w:noWrap/>
            <w:vAlign w:val="bottom"/>
            <w:hideMark/>
          </w:tcPr>
          <w:p w14:paraId="45452341"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08663BB9"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550DEA2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21.500,00</w:t>
            </w:r>
          </w:p>
        </w:tc>
        <w:tc>
          <w:tcPr>
            <w:tcW w:w="1380" w:type="dxa"/>
            <w:tcBorders>
              <w:top w:val="nil"/>
              <w:left w:val="nil"/>
              <w:bottom w:val="nil"/>
              <w:right w:val="nil"/>
            </w:tcBorders>
            <w:shd w:val="clear" w:color="auto" w:fill="auto"/>
            <w:noWrap/>
            <w:vAlign w:val="bottom"/>
            <w:hideMark/>
          </w:tcPr>
          <w:p w14:paraId="11DC614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12.106,65</w:t>
            </w:r>
          </w:p>
        </w:tc>
        <w:tc>
          <w:tcPr>
            <w:tcW w:w="1400" w:type="dxa"/>
            <w:tcBorders>
              <w:top w:val="nil"/>
              <w:left w:val="nil"/>
              <w:bottom w:val="nil"/>
              <w:right w:val="nil"/>
            </w:tcBorders>
            <w:shd w:val="clear" w:color="auto" w:fill="auto"/>
            <w:noWrap/>
            <w:vAlign w:val="bottom"/>
            <w:hideMark/>
          </w:tcPr>
          <w:p w14:paraId="4E8D112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56,31%</w:t>
            </w:r>
          </w:p>
        </w:tc>
      </w:tr>
      <w:tr w:rsidR="00A360DB" w:rsidRPr="00A360DB" w14:paraId="23CCA8E2" w14:textId="77777777" w:rsidTr="00A360DB">
        <w:trPr>
          <w:trHeight w:val="240"/>
        </w:trPr>
        <w:tc>
          <w:tcPr>
            <w:tcW w:w="1697" w:type="dxa"/>
            <w:tcBorders>
              <w:top w:val="nil"/>
              <w:left w:val="nil"/>
              <w:bottom w:val="nil"/>
              <w:right w:val="nil"/>
            </w:tcBorders>
            <w:shd w:val="clear" w:color="auto" w:fill="auto"/>
            <w:noWrap/>
            <w:vAlign w:val="bottom"/>
            <w:hideMark/>
          </w:tcPr>
          <w:p w14:paraId="58AA6FC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3232</w:t>
            </w:r>
          </w:p>
        </w:tc>
        <w:tc>
          <w:tcPr>
            <w:tcW w:w="8509" w:type="dxa"/>
            <w:tcBorders>
              <w:top w:val="nil"/>
              <w:left w:val="nil"/>
              <w:bottom w:val="nil"/>
              <w:right w:val="nil"/>
            </w:tcBorders>
            <w:shd w:val="clear" w:color="auto" w:fill="auto"/>
            <w:noWrap/>
            <w:vAlign w:val="bottom"/>
            <w:hideMark/>
          </w:tcPr>
          <w:p w14:paraId="1D8F4AF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Usluge tekućeg i investicijskog održavanja                                                          </w:t>
            </w:r>
          </w:p>
        </w:tc>
        <w:tc>
          <w:tcPr>
            <w:tcW w:w="1480" w:type="dxa"/>
            <w:tcBorders>
              <w:top w:val="nil"/>
              <w:left w:val="nil"/>
              <w:bottom w:val="nil"/>
              <w:right w:val="nil"/>
            </w:tcBorders>
            <w:shd w:val="clear" w:color="auto" w:fill="auto"/>
            <w:noWrap/>
            <w:vAlign w:val="bottom"/>
            <w:hideMark/>
          </w:tcPr>
          <w:p w14:paraId="1D3B8A26"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102F91EC"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12.106,65</w:t>
            </w:r>
          </w:p>
        </w:tc>
        <w:tc>
          <w:tcPr>
            <w:tcW w:w="1400" w:type="dxa"/>
            <w:tcBorders>
              <w:top w:val="nil"/>
              <w:left w:val="nil"/>
              <w:bottom w:val="nil"/>
              <w:right w:val="nil"/>
            </w:tcBorders>
            <w:shd w:val="clear" w:color="auto" w:fill="auto"/>
            <w:noWrap/>
            <w:vAlign w:val="bottom"/>
            <w:hideMark/>
          </w:tcPr>
          <w:p w14:paraId="0BFDD478"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590B328"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D779CCC"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4. Prihodi za posebne namjene</w:t>
            </w:r>
          </w:p>
        </w:tc>
        <w:tc>
          <w:tcPr>
            <w:tcW w:w="1480" w:type="dxa"/>
            <w:tcBorders>
              <w:top w:val="nil"/>
              <w:left w:val="nil"/>
              <w:bottom w:val="nil"/>
              <w:right w:val="nil"/>
            </w:tcBorders>
            <w:shd w:val="clear" w:color="auto" w:fill="auto"/>
            <w:noWrap/>
            <w:vAlign w:val="bottom"/>
            <w:hideMark/>
          </w:tcPr>
          <w:p w14:paraId="70C72EE0"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150.140,00</w:t>
            </w:r>
          </w:p>
        </w:tc>
        <w:tc>
          <w:tcPr>
            <w:tcW w:w="1380" w:type="dxa"/>
            <w:tcBorders>
              <w:top w:val="nil"/>
              <w:left w:val="nil"/>
              <w:bottom w:val="nil"/>
              <w:right w:val="nil"/>
            </w:tcBorders>
            <w:shd w:val="clear" w:color="auto" w:fill="auto"/>
            <w:noWrap/>
            <w:vAlign w:val="bottom"/>
            <w:hideMark/>
          </w:tcPr>
          <w:p w14:paraId="245E2F7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84.187,14</w:t>
            </w:r>
          </w:p>
        </w:tc>
        <w:tc>
          <w:tcPr>
            <w:tcW w:w="1400" w:type="dxa"/>
            <w:tcBorders>
              <w:top w:val="nil"/>
              <w:left w:val="nil"/>
              <w:bottom w:val="nil"/>
              <w:right w:val="nil"/>
            </w:tcBorders>
            <w:shd w:val="clear" w:color="auto" w:fill="auto"/>
            <w:noWrap/>
            <w:vAlign w:val="bottom"/>
            <w:hideMark/>
          </w:tcPr>
          <w:p w14:paraId="4C4F3428"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56,07%</w:t>
            </w:r>
          </w:p>
        </w:tc>
      </w:tr>
      <w:tr w:rsidR="00A360DB" w:rsidRPr="00A360DB" w14:paraId="59ACCB64"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B35CA17"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4.1. Prihodi za posebne namjene</w:t>
            </w:r>
          </w:p>
        </w:tc>
        <w:tc>
          <w:tcPr>
            <w:tcW w:w="1480" w:type="dxa"/>
            <w:tcBorders>
              <w:top w:val="nil"/>
              <w:left w:val="nil"/>
              <w:bottom w:val="nil"/>
              <w:right w:val="nil"/>
            </w:tcBorders>
            <w:shd w:val="clear" w:color="auto" w:fill="auto"/>
            <w:noWrap/>
            <w:vAlign w:val="bottom"/>
            <w:hideMark/>
          </w:tcPr>
          <w:p w14:paraId="0996B5EA"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150.140,00</w:t>
            </w:r>
          </w:p>
        </w:tc>
        <w:tc>
          <w:tcPr>
            <w:tcW w:w="1380" w:type="dxa"/>
            <w:tcBorders>
              <w:top w:val="nil"/>
              <w:left w:val="nil"/>
              <w:bottom w:val="nil"/>
              <w:right w:val="nil"/>
            </w:tcBorders>
            <w:shd w:val="clear" w:color="auto" w:fill="auto"/>
            <w:noWrap/>
            <w:vAlign w:val="bottom"/>
            <w:hideMark/>
          </w:tcPr>
          <w:p w14:paraId="75CD98AA"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84.187,14</w:t>
            </w:r>
          </w:p>
        </w:tc>
        <w:tc>
          <w:tcPr>
            <w:tcW w:w="1400" w:type="dxa"/>
            <w:tcBorders>
              <w:top w:val="nil"/>
              <w:left w:val="nil"/>
              <w:bottom w:val="nil"/>
              <w:right w:val="nil"/>
            </w:tcBorders>
            <w:shd w:val="clear" w:color="auto" w:fill="auto"/>
            <w:noWrap/>
            <w:vAlign w:val="bottom"/>
            <w:hideMark/>
          </w:tcPr>
          <w:p w14:paraId="6B66969C"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56,07%</w:t>
            </w:r>
          </w:p>
        </w:tc>
      </w:tr>
      <w:tr w:rsidR="00A360DB" w:rsidRPr="00A360DB" w14:paraId="747DE6F1" w14:textId="77777777" w:rsidTr="00A360DB">
        <w:trPr>
          <w:trHeight w:val="240"/>
        </w:trPr>
        <w:tc>
          <w:tcPr>
            <w:tcW w:w="1697" w:type="dxa"/>
            <w:tcBorders>
              <w:top w:val="nil"/>
              <w:left w:val="nil"/>
              <w:bottom w:val="nil"/>
              <w:right w:val="nil"/>
            </w:tcBorders>
            <w:shd w:val="clear" w:color="auto" w:fill="auto"/>
            <w:noWrap/>
            <w:vAlign w:val="bottom"/>
            <w:hideMark/>
          </w:tcPr>
          <w:p w14:paraId="5503AABF"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08BA3F0D"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6C118B2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150.140,00</w:t>
            </w:r>
          </w:p>
        </w:tc>
        <w:tc>
          <w:tcPr>
            <w:tcW w:w="1380" w:type="dxa"/>
            <w:tcBorders>
              <w:top w:val="nil"/>
              <w:left w:val="nil"/>
              <w:bottom w:val="nil"/>
              <w:right w:val="nil"/>
            </w:tcBorders>
            <w:shd w:val="clear" w:color="auto" w:fill="auto"/>
            <w:noWrap/>
            <w:vAlign w:val="bottom"/>
            <w:hideMark/>
          </w:tcPr>
          <w:p w14:paraId="7813F7D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84.187,14</w:t>
            </w:r>
          </w:p>
        </w:tc>
        <w:tc>
          <w:tcPr>
            <w:tcW w:w="1400" w:type="dxa"/>
            <w:tcBorders>
              <w:top w:val="nil"/>
              <w:left w:val="nil"/>
              <w:bottom w:val="nil"/>
              <w:right w:val="nil"/>
            </w:tcBorders>
            <w:shd w:val="clear" w:color="auto" w:fill="auto"/>
            <w:noWrap/>
            <w:vAlign w:val="bottom"/>
            <w:hideMark/>
          </w:tcPr>
          <w:p w14:paraId="3117AE1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56,07%</w:t>
            </w:r>
          </w:p>
        </w:tc>
      </w:tr>
      <w:tr w:rsidR="00A360DB" w:rsidRPr="00A360DB" w14:paraId="2F3ECDD5" w14:textId="77777777" w:rsidTr="00A360DB">
        <w:trPr>
          <w:trHeight w:val="240"/>
        </w:trPr>
        <w:tc>
          <w:tcPr>
            <w:tcW w:w="1697" w:type="dxa"/>
            <w:tcBorders>
              <w:top w:val="nil"/>
              <w:left w:val="nil"/>
              <w:bottom w:val="nil"/>
              <w:right w:val="nil"/>
            </w:tcBorders>
            <w:shd w:val="clear" w:color="auto" w:fill="auto"/>
            <w:noWrap/>
            <w:vAlign w:val="bottom"/>
            <w:hideMark/>
          </w:tcPr>
          <w:p w14:paraId="1D1195CD"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3232</w:t>
            </w:r>
          </w:p>
        </w:tc>
        <w:tc>
          <w:tcPr>
            <w:tcW w:w="8509" w:type="dxa"/>
            <w:tcBorders>
              <w:top w:val="nil"/>
              <w:left w:val="nil"/>
              <w:bottom w:val="nil"/>
              <w:right w:val="nil"/>
            </w:tcBorders>
            <w:shd w:val="clear" w:color="auto" w:fill="auto"/>
            <w:noWrap/>
            <w:vAlign w:val="bottom"/>
            <w:hideMark/>
          </w:tcPr>
          <w:p w14:paraId="46ACA2D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Usluge tekućeg i investicijskog održavanja                                                          </w:t>
            </w:r>
          </w:p>
        </w:tc>
        <w:tc>
          <w:tcPr>
            <w:tcW w:w="1480" w:type="dxa"/>
            <w:tcBorders>
              <w:top w:val="nil"/>
              <w:left w:val="nil"/>
              <w:bottom w:val="nil"/>
              <w:right w:val="nil"/>
            </w:tcBorders>
            <w:shd w:val="clear" w:color="auto" w:fill="auto"/>
            <w:noWrap/>
            <w:vAlign w:val="bottom"/>
            <w:hideMark/>
          </w:tcPr>
          <w:p w14:paraId="67EF722F"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7FC66BD"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84.187,14</w:t>
            </w:r>
          </w:p>
        </w:tc>
        <w:tc>
          <w:tcPr>
            <w:tcW w:w="1400" w:type="dxa"/>
            <w:tcBorders>
              <w:top w:val="nil"/>
              <w:left w:val="nil"/>
              <w:bottom w:val="nil"/>
              <w:right w:val="nil"/>
            </w:tcBorders>
            <w:shd w:val="clear" w:color="auto" w:fill="auto"/>
            <w:noWrap/>
            <w:vAlign w:val="bottom"/>
            <w:hideMark/>
          </w:tcPr>
          <w:p w14:paraId="58FE4F8E"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A75AA25"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176B36A7"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9. Višak iz prethodnih razdoblja</w:t>
            </w:r>
          </w:p>
        </w:tc>
        <w:tc>
          <w:tcPr>
            <w:tcW w:w="1480" w:type="dxa"/>
            <w:tcBorders>
              <w:top w:val="nil"/>
              <w:left w:val="nil"/>
              <w:bottom w:val="nil"/>
              <w:right w:val="nil"/>
            </w:tcBorders>
            <w:shd w:val="clear" w:color="auto" w:fill="auto"/>
            <w:noWrap/>
            <w:vAlign w:val="bottom"/>
            <w:hideMark/>
          </w:tcPr>
          <w:p w14:paraId="071C6915"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100.000,00</w:t>
            </w:r>
          </w:p>
        </w:tc>
        <w:tc>
          <w:tcPr>
            <w:tcW w:w="1380" w:type="dxa"/>
            <w:tcBorders>
              <w:top w:val="nil"/>
              <w:left w:val="nil"/>
              <w:bottom w:val="nil"/>
              <w:right w:val="nil"/>
            </w:tcBorders>
            <w:shd w:val="clear" w:color="auto" w:fill="auto"/>
            <w:noWrap/>
            <w:vAlign w:val="bottom"/>
            <w:hideMark/>
          </w:tcPr>
          <w:p w14:paraId="67F7F7E2"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100.000,00</w:t>
            </w:r>
          </w:p>
        </w:tc>
        <w:tc>
          <w:tcPr>
            <w:tcW w:w="1400" w:type="dxa"/>
            <w:tcBorders>
              <w:top w:val="nil"/>
              <w:left w:val="nil"/>
              <w:bottom w:val="nil"/>
              <w:right w:val="nil"/>
            </w:tcBorders>
            <w:shd w:val="clear" w:color="auto" w:fill="auto"/>
            <w:noWrap/>
            <w:vAlign w:val="bottom"/>
            <w:hideMark/>
          </w:tcPr>
          <w:p w14:paraId="2EED8E37"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w:t>
            </w:r>
          </w:p>
        </w:tc>
      </w:tr>
      <w:tr w:rsidR="00A360DB" w:rsidRPr="00A360DB" w14:paraId="732029DF"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3F0D494C"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lastRenderedPageBreak/>
              <w:t>Izvor 9.2. Višak iz prethodnih godina - Grad</w:t>
            </w:r>
          </w:p>
        </w:tc>
        <w:tc>
          <w:tcPr>
            <w:tcW w:w="1480" w:type="dxa"/>
            <w:tcBorders>
              <w:top w:val="nil"/>
              <w:left w:val="nil"/>
              <w:bottom w:val="nil"/>
              <w:right w:val="nil"/>
            </w:tcBorders>
            <w:shd w:val="clear" w:color="auto" w:fill="auto"/>
            <w:noWrap/>
            <w:vAlign w:val="bottom"/>
            <w:hideMark/>
          </w:tcPr>
          <w:p w14:paraId="7BC1CC1C"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100.000,00</w:t>
            </w:r>
          </w:p>
        </w:tc>
        <w:tc>
          <w:tcPr>
            <w:tcW w:w="1380" w:type="dxa"/>
            <w:tcBorders>
              <w:top w:val="nil"/>
              <w:left w:val="nil"/>
              <w:bottom w:val="nil"/>
              <w:right w:val="nil"/>
            </w:tcBorders>
            <w:shd w:val="clear" w:color="auto" w:fill="auto"/>
            <w:noWrap/>
            <w:vAlign w:val="bottom"/>
            <w:hideMark/>
          </w:tcPr>
          <w:p w14:paraId="54C056C4"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100.000,00</w:t>
            </w:r>
          </w:p>
        </w:tc>
        <w:tc>
          <w:tcPr>
            <w:tcW w:w="1400" w:type="dxa"/>
            <w:tcBorders>
              <w:top w:val="nil"/>
              <w:left w:val="nil"/>
              <w:bottom w:val="nil"/>
              <w:right w:val="nil"/>
            </w:tcBorders>
            <w:shd w:val="clear" w:color="auto" w:fill="auto"/>
            <w:noWrap/>
            <w:vAlign w:val="bottom"/>
            <w:hideMark/>
          </w:tcPr>
          <w:p w14:paraId="71CD7C22"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w:t>
            </w:r>
          </w:p>
        </w:tc>
      </w:tr>
      <w:tr w:rsidR="00A360DB" w:rsidRPr="00A360DB" w14:paraId="679EA243" w14:textId="77777777" w:rsidTr="00A360DB">
        <w:trPr>
          <w:trHeight w:val="240"/>
        </w:trPr>
        <w:tc>
          <w:tcPr>
            <w:tcW w:w="1697" w:type="dxa"/>
            <w:tcBorders>
              <w:top w:val="nil"/>
              <w:left w:val="nil"/>
              <w:bottom w:val="nil"/>
              <w:right w:val="nil"/>
            </w:tcBorders>
            <w:shd w:val="clear" w:color="auto" w:fill="auto"/>
            <w:noWrap/>
            <w:vAlign w:val="bottom"/>
            <w:hideMark/>
          </w:tcPr>
          <w:p w14:paraId="33F3443A"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168D346C"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4220D46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100.000,00</w:t>
            </w:r>
          </w:p>
        </w:tc>
        <w:tc>
          <w:tcPr>
            <w:tcW w:w="1380" w:type="dxa"/>
            <w:tcBorders>
              <w:top w:val="nil"/>
              <w:left w:val="nil"/>
              <w:bottom w:val="nil"/>
              <w:right w:val="nil"/>
            </w:tcBorders>
            <w:shd w:val="clear" w:color="auto" w:fill="auto"/>
            <w:noWrap/>
            <w:vAlign w:val="bottom"/>
            <w:hideMark/>
          </w:tcPr>
          <w:p w14:paraId="00820E2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100.000,00</w:t>
            </w:r>
          </w:p>
        </w:tc>
        <w:tc>
          <w:tcPr>
            <w:tcW w:w="1400" w:type="dxa"/>
            <w:tcBorders>
              <w:top w:val="nil"/>
              <w:left w:val="nil"/>
              <w:bottom w:val="nil"/>
              <w:right w:val="nil"/>
            </w:tcBorders>
            <w:shd w:val="clear" w:color="auto" w:fill="auto"/>
            <w:noWrap/>
            <w:vAlign w:val="bottom"/>
            <w:hideMark/>
          </w:tcPr>
          <w:p w14:paraId="1864A1C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r>
      <w:tr w:rsidR="00A360DB" w:rsidRPr="00A360DB" w14:paraId="0E8D4900" w14:textId="77777777" w:rsidTr="00A360DB">
        <w:trPr>
          <w:trHeight w:val="240"/>
        </w:trPr>
        <w:tc>
          <w:tcPr>
            <w:tcW w:w="1697" w:type="dxa"/>
            <w:tcBorders>
              <w:top w:val="nil"/>
              <w:left w:val="nil"/>
              <w:bottom w:val="nil"/>
              <w:right w:val="nil"/>
            </w:tcBorders>
            <w:shd w:val="clear" w:color="auto" w:fill="auto"/>
            <w:noWrap/>
            <w:vAlign w:val="bottom"/>
            <w:hideMark/>
          </w:tcPr>
          <w:p w14:paraId="4BC3C35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3232</w:t>
            </w:r>
          </w:p>
        </w:tc>
        <w:tc>
          <w:tcPr>
            <w:tcW w:w="8509" w:type="dxa"/>
            <w:tcBorders>
              <w:top w:val="nil"/>
              <w:left w:val="nil"/>
              <w:bottom w:val="nil"/>
              <w:right w:val="nil"/>
            </w:tcBorders>
            <w:shd w:val="clear" w:color="auto" w:fill="auto"/>
            <w:noWrap/>
            <w:vAlign w:val="bottom"/>
            <w:hideMark/>
          </w:tcPr>
          <w:p w14:paraId="3028A37D"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Usluge tekućeg i investicijskog održavanja                                                          </w:t>
            </w:r>
          </w:p>
        </w:tc>
        <w:tc>
          <w:tcPr>
            <w:tcW w:w="1480" w:type="dxa"/>
            <w:tcBorders>
              <w:top w:val="nil"/>
              <w:left w:val="nil"/>
              <w:bottom w:val="nil"/>
              <w:right w:val="nil"/>
            </w:tcBorders>
            <w:shd w:val="clear" w:color="auto" w:fill="auto"/>
            <w:noWrap/>
            <w:vAlign w:val="bottom"/>
            <w:hideMark/>
          </w:tcPr>
          <w:p w14:paraId="2214BA91"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10462372"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100.000,00</w:t>
            </w:r>
          </w:p>
        </w:tc>
        <w:tc>
          <w:tcPr>
            <w:tcW w:w="1400" w:type="dxa"/>
            <w:tcBorders>
              <w:top w:val="nil"/>
              <w:left w:val="nil"/>
              <w:bottom w:val="nil"/>
              <w:right w:val="nil"/>
            </w:tcBorders>
            <w:shd w:val="clear" w:color="auto" w:fill="auto"/>
            <w:noWrap/>
            <w:vAlign w:val="bottom"/>
            <w:hideMark/>
          </w:tcPr>
          <w:p w14:paraId="6DCA8CED"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53AB8FBA" w14:textId="77777777" w:rsidTr="00A360DB">
        <w:trPr>
          <w:trHeight w:val="240"/>
        </w:trPr>
        <w:tc>
          <w:tcPr>
            <w:tcW w:w="1697" w:type="dxa"/>
            <w:tcBorders>
              <w:top w:val="nil"/>
              <w:left w:val="nil"/>
              <w:bottom w:val="nil"/>
              <w:right w:val="nil"/>
            </w:tcBorders>
            <w:shd w:val="clear" w:color="000000" w:fill="B4C6E7"/>
            <w:noWrap/>
            <w:vAlign w:val="bottom"/>
            <w:hideMark/>
          </w:tcPr>
          <w:p w14:paraId="5D3643DD"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A101007</w:t>
            </w:r>
          </w:p>
        </w:tc>
        <w:tc>
          <w:tcPr>
            <w:tcW w:w="8509" w:type="dxa"/>
            <w:tcBorders>
              <w:top w:val="nil"/>
              <w:left w:val="nil"/>
              <w:bottom w:val="nil"/>
              <w:right w:val="nil"/>
            </w:tcBorders>
            <w:shd w:val="clear" w:color="000000" w:fill="B4C6E7"/>
            <w:noWrap/>
            <w:vAlign w:val="bottom"/>
            <w:hideMark/>
          </w:tcPr>
          <w:p w14:paraId="05D65E57"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Aktivnost: Održavanje javnih površina </w:t>
            </w:r>
          </w:p>
        </w:tc>
        <w:tc>
          <w:tcPr>
            <w:tcW w:w="1480" w:type="dxa"/>
            <w:tcBorders>
              <w:top w:val="nil"/>
              <w:left w:val="nil"/>
              <w:bottom w:val="nil"/>
              <w:right w:val="nil"/>
            </w:tcBorders>
            <w:shd w:val="clear" w:color="000000" w:fill="B4C6E7"/>
            <w:noWrap/>
            <w:vAlign w:val="bottom"/>
            <w:hideMark/>
          </w:tcPr>
          <w:p w14:paraId="0BEDD60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317.900,00</w:t>
            </w:r>
          </w:p>
        </w:tc>
        <w:tc>
          <w:tcPr>
            <w:tcW w:w="1380" w:type="dxa"/>
            <w:tcBorders>
              <w:top w:val="nil"/>
              <w:left w:val="nil"/>
              <w:bottom w:val="nil"/>
              <w:right w:val="nil"/>
            </w:tcBorders>
            <w:shd w:val="clear" w:color="000000" w:fill="B4C6E7"/>
            <w:noWrap/>
            <w:vAlign w:val="bottom"/>
            <w:hideMark/>
          </w:tcPr>
          <w:p w14:paraId="3E3944C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279.952,09</w:t>
            </w:r>
          </w:p>
        </w:tc>
        <w:tc>
          <w:tcPr>
            <w:tcW w:w="1400" w:type="dxa"/>
            <w:tcBorders>
              <w:top w:val="nil"/>
              <w:left w:val="nil"/>
              <w:bottom w:val="nil"/>
              <w:right w:val="nil"/>
            </w:tcBorders>
            <w:shd w:val="clear" w:color="000000" w:fill="B4C6E7"/>
            <w:noWrap/>
            <w:vAlign w:val="bottom"/>
            <w:hideMark/>
          </w:tcPr>
          <w:p w14:paraId="3611606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88,06%</w:t>
            </w:r>
          </w:p>
        </w:tc>
      </w:tr>
      <w:tr w:rsidR="00A360DB" w:rsidRPr="00A360DB" w14:paraId="14691BD0"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7B5C3A2"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131F21BA"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72.000,00</w:t>
            </w:r>
          </w:p>
        </w:tc>
        <w:tc>
          <w:tcPr>
            <w:tcW w:w="1380" w:type="dxa"/>
            <w:tcBorders>
              <w:top w:val="nil"/>
              <w:left w:val="nil"/>
              <w:bottom w:val="nil"/>
              <w:right w:val="nil"/>
            </w:tcBorders>
            <w:shd w:val="clear" w:color="auto" w:fill="auto"/>
            <w:noWrap/>
            <w:vAlign w:val="bottom"/>
            <w:hideMark/>
          </w:tcPr>
          <w:p w14:paraId="2C5DAA6C"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61.780,08</w:t>
            </w:r>
          </w:p>
        </w:tc>
        <w:tc>
          <w:tcPr>
            <w:tcW w:w="1400" w:type="dxa"/>
            <w:tcBorders>
              <w:top w:val="nil"/>
              <w:left w:val="nil"/>
              <w:bottom w:val="nil"/>
              <w:right w:val="nil"/>
            </w:tcBorders>
            <w:shd w:val="clear" w:color="auto" w:fill="auto"/>
            <w:noWrap/>
            <w:vAlign w:val="bottom"/>
            <w:hideMark/>
          </w:tcPr>
          <w:p w14:paraId="205FC083"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85,81%</w:t>
            </w:r>
          </w:p>
        </w:tc>
      </w:tr>
      <w:tr w:rsidR="00A360DB" w:rsidRPr="00A360DB" w14:paraId="049E7754"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1F5CB336"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4253DE62"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72.000,00</w:t>
            </w:r>
          </w:p>
        </w:tc>
        <w:tc>
          <w:tcPr>
            <w:tcW w:w="1380" w:type="dxa"/>
            <w:tcBorders>
              <w:top w:val="nil"/>
              <w:left w:val="nil"/>
              <w:bottom w:val="nil"/>
              <w:right w:val="nil"/>
            </w:tcBorders>
            <w:shd w:val="clear" w:color="auto" w:fill="auto"/>
            <w:noWrap/>
            <w:vAlign w:val="bottom"/>
            <w:hideMark/>
          </w:tcPr>
          <w:p w14:paraId="26871F2F"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61.780,08</w:t>
            </w:r>
          </w:p>
        </w:tc>
        <w:tc>
          <w:tcPr>
            <w:tcW w:w="1400" w:type="dxa"/>
            <w:tcBorders>
              <w:top w:val="nil"/>
              <w:left w:val="nil"/>
              <w:bottom w:val="nil"/>
              <w:right w:val="nil"/>
            </w:tcBorders>
            <w:shd w:val="clear" w:color="auto" w:fill="auto"/>
            <w:noWrap/>
            <w:vAlign w:val="bottom"/>
            <w:hideMark/>
          </w:tcPr>
          <w:p w14:paraId="28C40FCA"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85,81%</w:t>
            </w:r>
          </w:p>
        </w:tc>
      </w:tr>
      <w:tr w:rsidR="00A360DB" w:rsidRPr="00A360DB" w14:paraId="3FA1285D" w14:textId="77777777" w:rsidTr="00A360DB">
        <w:trPr>
          <w:trHeight w:val="240"/>
        </w:trPr>
        <w:tc>
          <w:tcPr>
            <w:tcW w:w="1697" w:type="dxa"/>
            <w:tcBorders>
              <w:top w:val="nil"/>
              <w:left w:val="nil"/>
              <w:bottom w:val="nil"/>
              <w:right w:val="nil"/>
            </w:tcBorders>
            <w:shd w:val="clear" w:color="auto" w:fill="auto"/>
            <w:noWrap/>
            <w:vAlign w:val="bottom"/>
            <w:hideMark/>
          </w:tcPr>
          <w:p w14:paraId="4E5474CE"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1911F1E2"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607925E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72.000,00</w:t>
            </w:r>
          </w:p>
        </w:tc>
        <w:tc>
          <w:tcPr>
            <w:tcW w:w="1380" w:type="dxa"/>
            <w:tcBorders>
              <w:top w:val="nil"/>
              <w:left w:val="nil"/>
              <w:bottom w:val="nil"/>
              <w:right w:val="nil"/>
            </w:tcBorders>
            <w:shd w:val="clear" w:color="auto" w:fill="auto"/>
            <w:noWrap/>
            <w:vAlign w:val="bottom"/>
            <w:hideMark/>
          </w:tcPr>
          <w:p w14:paraId="22B098C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61.780,08</w:t>
            </w:r>
          </w:p>
        </w:tc>
        <w:tc>
          <w:tcPr>
            <w:tcW w:w="1400" w:type="dxa"/>
            <w:tcBorders>
              <w:top w:val="nil"/>
              <w:left w:val="nil"/>
              <w:bottom w:val="nil"/>
              <w:right w:val="nil"/>
            </w:tcBorders>
            <w:shd w:val="clear" w:color="auto" w:fill="auto"/>
            <w:noWrap/>
            <w:vAlign w:val="bottom"/>
            <w:hideMark/>
          </w:tcPr>
          <w:p w14:paraId="6BE15C5C"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85,81%</w:t>
            </w:r>
          </w:p>
        </w:tc>
      </w:tr>
      <w:tr w:rsidR="00A360DB" w:rsidRPr="00A360DB" w14:paraId="31B6EF59" w14:textId="77777777" w:rsidTr="00A360DB">
        <w:trPr>
          <w:trHeight w:val="240"/>
        </w:trPr>
        <w:tc>
          <w:tcPr>
            <w:tcW w:w="1697" w:type="dxa"/>
            <w:tcBorders>
              <w:top w:val="nil"/>
              <w:left w:val="nil"/>
              <w:bottom w:val="nil"/>
              <w:right w:val="nil"/>
            </w:tcBorders>
            <w:shd w:val="clear" w:color="auto" w:fill="auto"/>
            <w:noWrap/>
            <w:vAlign w:val="bottom"/>
            <w:hideMark/>
          </w:tcPr>
          <w:p w14:paraId="249643D7"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3232</w:t>
            </w:r>
          </w:p>
        </w:tc>
        <w:tc>
          <w:tcPr>
            <w:tcW w:w="8509" w:type="dxa"/>
            <w:tcBorders>
              <w:top w:val="nil"/>
              <w:left w:val="nil"/>
              <w:bottom w:val="nil"/>
              <w:right w:val="nil"/>
            </w:tcBorders>
            <w:shd w:val="clear" w:color="auto" w:fill="auto"/>
            <w:noWrap/>
            <w:vAlign w:val="bottom"/>
            <w:hideMark/>
          </w:tcPr>
          <w:p w14:paraId="33B55098"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Usluge tekućeg i investicijskog održavanja                                                          </w:t>
            </w:r>
          </w:p>
        </w:tc>
        <w:tc>
          <w:tcPr>
            <w:tcW w:w="1480" w:type="dxa"/>
            <w:tcBorders>
              <w:top w:val="nil"/>
              <w:left w:val="nil"/>
              <w:bottom w:val="nil"/>
              <w:right w:val="nil"/>
            </w:tcBorders>
            <w:shd w:val="clear" w:color="auto" w:fill="auto"/>
            <w:noWrap/>
            <w:vAlign w:val="bottom"/>
            <w:hideMark/>
          </w:tcPr>
          <w:p w14:paraId="4DE1A79E"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4E82E6A"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61.780,08</w:t>
            </w:r>
          </w:p>
        </w:tc>
        <w:tc>
          <w:tcPr>
            <w:tcW w:w="1400" w:type="dxa"/>
            <w:tcBorders>
              <w:top w:val="nil"/>
              <w:left w:val="nil"/>
              <w:bottom w:val="nil"/>
              <w:right w:val="nil"/>
            </w:tcBorders>
            <w:shd w:val="clear" w:color="auto" w:fill="auto"/>
            <w:noWrap/>
            <w:vAlign w:val="bottom"/>
            <w:hideMark/>
          </w:tcPr>
          <w:p w14:paraId="3A49866E"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7DDAC56"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5208E473"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4. Prihodi za posebne namjene</w:t>
            </w:r>
          </w:p>
        </w:tc>
        <w:tc>
          <w:tcPr>
            <w:tcW w:w="1480" w:type="dxa"/>
            <w:tcBorders>
              <w:top w:val="nil"/>
              <w:left w:val="nil"/>
              <w:bottom w:val="nil"/>
              <w:right w:val="nil"/>
            </w:tcBorders>
            <w:shd w:val="clear" w:color="auto" w:fill="auto"/>
            <w:noWrap/>
            <w:vAlign w:val="bottom"/>
            <w:hideMark/>
          </w:tcPr>
          <w:p w14:paraId="3A30F5AE"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245.900,00</w:t>
            </w:r>
          </w:p>
        </w:tc>
        <w:tc>
          <w:tcPr>
            <w:tcW w:w="1380" w:type="dxa"/>
            <w:tcBorders>
              <w:top w:val="nil"/>
              <w:left w:val="nil"/>
              <w:bottom w:val="nil"/>
              <w:right w:val="nil"/>
            </w:tcBorders>
            <w:shd w:val="clear" w:color="auto" w:fill="auto"/>
            <w:noWrap/>
            <w:vAlign w:val="bottom"/>
            <w:hideMark/>
          </w:tcPr>
          <w:p w14:paraId="034DEF41"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218.172,01</w:t>
            </w:r>
          </w:p>
        </w:tc>
        <w:tc>
          <w:tcPr>
            <w:tcW w:w="1400" w:type="dxa"/>
            <w:tcBorders>
              <w:top w:val="nil"/>
              <w:left w:val="nil"/>
              <w:bottom w:val="nil"/>
              <w:right w:val="nil"/>
            </w:tcBorders>
            <w:shd w:val="clear" w:color="auto" w:fill="auto"/>
            <w:noWrap/>
            <w:vAlign w:val="bottom"/>
            <w:hideMark/>
          </w:tcPr>
          <w:p w14:paraId="5FE03853"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88,72%</w:t>
            </w:r>
          </w:p>
        </w:tc>
      </w:tr>
      <w:tr w:rsidR="00A360DB" w:rsidRPr="00A360DB" w14:paraId="6B27CC85"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E29241A"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4.1. Prihodi za posebne namjene</w:t>
            </w:r>
          </w:p>
        </w:tc>
        <w:tc>
          <w:tcPr>
            <w:tcW w:w="1480" w:type="dxa"/>
            <w:tcBorders>
              <w:top w:val="nil"/>
              <w:left w:val="nil"/>
              <w:bottom w:val="nil"/>
              <w:right w:val="nil"/>
            </w:tcBorders>
            <w:shd w:val="clear" w:color="auto" w:fill="auto"/>
            <w:noWrap/>
            <w:vAlign w:val="bottom"/>
            <w:hideMark/>
          </w:tcPr>
          <w:p w14:paraId="1B5AD084"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245.900,00</w:t>
            </w:r>
          </w:p>
        </w:tc>
        <w:tc>
          <w:tcPr>
            <w:tcW w:w="1380" w:type="dxa"/>
            <w:tcBorders>
              <w:top w:val="nil"/>
              <w:left w:val="nil"/>
              <w:bottom w:val="nil"/>
              <w:right w:val="nil"/>
            </w:tcBorders>
            <w:shd w:val="clear" w:color="auto" w:fill="auto"/>
            <w:noWrap/>
            <w:vAlign w:val="bottom"/>
            <w:hideMark/>
          </w:tcPr>
          <w:p w14:paraId="05FE0DFB"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218.172,01</w:t>
            </w:r>
          </w:p>
        </w:tc>
        <w:tc>
          <w:tcPr>
            <w:tcW w:w="1400" w:type="dxa"/>
            <w:tcBorders>
              <w:top w:val="nil"/>
              <w:left w:val="nil"/>
              <w:bottom w:val="nil"/>
              <w:right w:val="nil"/>
            </w:tcBorders>
            <w:shd w:val="clear" w:color="auto" w:fill="auto"/>
            <w:noWrap/>
            <w:vAlign w:val="bottom"/>
            <w:hideMark/>
          </w:tcPr>
          <w:p w14:paraId="7E6B083B"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88,72%</w:t>
            </w:r>
          </w:p>
        </w:tc>
      </w:tr>
      <w:tr w:rsidR="00A360DB" w:rsidRPr="00A360DB" w14:paraId="665CB435" w14:textId="77777777" w:rsidTr="00A360DB">
        <w:trPr>
          <w:trHeight w:val="240"/>
        </w:trPr>
        <w:tc>
          <w:tcPr>
            <w:tcW w:w="1697" w:type="dxa"/>
            <w:tcBorders>
              <w:top w:val="nil"/>
              <w:left w:val="nil"/>
              <w:bottom w:val="nil"/>
              <w:right w:val="nil"/>
            </w:tcBorders>
            <w:shd w:val="clear" w:color="auto" w:fill="auto"/>
            <w:noWrap/>
            <w:vAlign w:val="bottom"/>
            <w:hideMark/>
          </w:tcPr>
          <w:p w14:paraId="70DE0BB7"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11745FFF"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38937E7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245.900,00</w:t>
            </w:r>
          </w:p>
        </w:tc>
        <w:tc>
          <w:tcPr>
            <w:tcW w:w="1380" w:type="dxa"/>
            <w:tcBorders>
              <w:top w:val="nil"/>
              <w:left w:val="nil"/>
              <w:bottom w:val="nil"/>
              <w:right w:val="nil"/>
            </w:tcBorders>
            <w:shd w:val="clear" w:color="auto" w:fill="auto"/>
            <w:noWrap/>
            <w:vAlign w:val="bottom"/>
            <w:hideMark/>
          </w:tcPr>
          <w:p w14:paraId="0D68A53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218.172,01</w:t>
            </w:r>
          </w:p>
        </w:tc>
        <w:tc>
          <w:tcPr>
            <w:tcW w:w="1400" w:type="dxa"/>
            <w:tcBorders>
              <w:top w:val="nil"/>
              <w:left w:val="nil"/>
              <w:bottom w:val="nil"/>
              <w:right w:val="nil"/>
            </w:tcBorders>
            <w:shd w:val="clear" w:color="auto" w:fill="auto"/>
            <w:noWrap/>
            <w:vAlign w:val="bottom"/>
            <w:hideMark/>
          </w:tcPr>
          <w:p w14:paraId="0296984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88,72%</w:t>
            </w:r>
          </w:p>
        </w:tc>
      </w:tr>
      <w:tr w:rsidR="00A360DB" w:rsidRPr="00A360DB" w14:paraId="43F66890" w14:textId="77777777" w:rsidTr="00A360DB">
        <w:trPr>
          <w:trHeight w:val="240"/>
        </w:trPr>
        <w:tc>
          <w:tcPr>
            <w:tcW w:w="1697" w:type="dxa"/>
            <w:tcBorders>
              <w:top w:val="nil"/>
              <w:left w:val="nil"/>
              <w:bottom w:val="nil"/>
              <w:right w:val="nil"/>
            </w:tcBorders>
            <w:shd w:val="clear" w:color="auto" w:fill="auto"/>
            <w:noWrap/>
            <w:vAlign w:val="bottom"/>
            <w:hideMark/>
          </w:tcPr>
          <w:p w14:paraId="0D7A3BFD"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3232</w:t>
            </w:r>
          </w:p>
        </w:tc>
        <w:tc>
          <w:tcPr>
            <w:tcW w:w="8509" w:type="dxa"/>
            <w:tcBorders>
              <w:top w:val="nil"/>
              <w:left w:val="nil"/>
              <w:bottom w:val="nil"/>
              <w:right w:val="nil"/>
            </w:tcBorders>
            <w:shd w:val="clear" w:color="auto" w:fill="auto"/>
            <w:noWrap/>
            <w:vAlign w:val="bottom"/>
            <w:hideMark/>
          </w:tcPr>
          <w:p w14:paraId="255BFE27"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Usluge tekućeg i investicijskog održavanja                                                          </w:t>
            </w:r>
          </w:p>
        </w:tc>
        <w:tc>
          <w:tcPr>
            <w:tcW w:w="1480" w:type="dxa"/>
            <w:tcBorders>
              <w:top w:val="nil"/>
              <w:left w:val="nil"/>
              <w:bottom w:val="nil"/>
              <w:right w:val="nil"/>
            </w:tcBorders>
            <w:shd w:val="clear" w:color="auto" w:fill="auto"/>
            <w:noWrap/>
            <w:vAlign w:val="bottom"/>
            <w:hideMark/>
          </w:tcPr>
          <w:p w14:paraId="5531DC35"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4D9C660"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218.172,01</w:t>
            </w:r>
          </w:p>
        </w:tc>
        <w:tc>
          <w:tcPr>
            <w:tcW w:w="1400" w:type="dxa"/>
            <w:tcBorders>
              <w:top w:val="nil"/>
              <w:left w:val="nil"/>
              <w:bottom w:val="nil"/>
              <w:right w:val="nil"/>
            </w:tcBorders>
            <w:shd w:val="clear" w:color="auto" w:fill="auto"/>
            <w:noWrap/>
            <w:vAlign w:val="bottom"/>
            <w:hideMark/>
          </w:tcPr>
          <w:p w14:paraId="619C4B02"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CFBC996" w14:textId="77777777" w:rsidTr="00A360DB">
        <w:trPr>
          <w:trHeight w:val="240"/>
        </w:trPr>
        <w:tc>
          <w:tcPr>
            <w:tcW w:w="1697" w:type="dxa"/>
            <w:tcBorders>
              <w:top w:val="nil"/>
              <w:left w:val="nil"/>
              <w:bottom w:val="nil"/>
              <w:right w:val="nil"/>
            </w:tcBorders>
            <w:shd w:val="clear" w:color="000000" w:fill="B4C6E7"/>
            <w:noWrap/>
            <w:vAlign w:val="bottom"/>
            <w:hideMark/>
          </w:tcPr>
          <w:p w14:paraId="5F16382C"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A101010</w:t>
            </w:r>
          </w:p>
        </w:tc>
        <w:tc>
          <w:tcPr>
            <w:tcW w:w="8509" w:type="dxa"/>
            <w:tcBorders>
              <w:top w:val="nil"/>
              <w:left w:val="nil"/>
              <w:bottom w:val="nil"/>
              <w:right w:val="nil"/>
            </w:tcBorders>
            <w:shd w:val="clear" w:color="000000" w:fill="B4C6E7"/>
            <w:noWrap/>
            <w:vAlign w:val="bottom"/>
            <w:hideMark/>
          </w:tcPr>
          <w:p w14:paraId="7275E458"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Održavanje građevina, uređaja i predmeta javne namjene</w:t>
            </w:r>
          </w:p>
        </w:tc>
        <w:tc>
          <w:tcPr>
            <w:tcW w:w="1480" w:type="dxa"/>
            <w:tcBorders>
              <w:top w:val="nil"/>
              <w:left w:val="nil"/>
              <w:bottom w:val="nil"/>
              <w:right w:val="nil"/>
            </w:tcBorders>
            <w:shd w:val="clear" w:color="000000" w:fill="B4C6E7"/>
            <w:noWrap/>
            <w:vAlign w:val="bottom"/>
            <w:hideMark/>
          </w:tcPr>
          <w:p w14:paraId="2FC6078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11.000,00</w:t>
            </w:r>
          </w:p>
        </w:tc>
        <w:tc>
          <w:tcPr>
            <w:tcW w:w="1380" w:type="dxa"/>
            <w:tcBorders>
              <w:top w:val="nil"/>
              <w:left w:val="nil"/>
              <w:bottom w:val="nil"/>
              <w:right w:val="nil"/>
            </w:tcBorders>
            <w:shd w:val="clear" w:color="000000" w:fill="B4C6E7"/>
            <w:noWrap/>
            <w:vAlign w:val="bottom"/>
            <w:hideMark/>
          </w:tcPr>
          <w:p w14:paraId="5B1C37D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11.420,98</w:t>
            </w:r>
          </w:p>
        </w:tc>
        <w:tc>
          <w:tcPr>
            <w:tcW w:w="1400" w:type="dxa"/>
            <w:tcBorders>
              <w:top w:val="nil"/>
              <w:left w:val="nil"/>
              <w:bottom w:val="nil"/>
              <w:right w:val="nil"/>
            </w:tcBorders>
            <w:shd w:val="clear" w:color="000000" w:fill="B4C6E7"/>
            <w:noWrap/>
            <w:vAlign w:val="bottom"/>
            <w:hideMark/>
          </w:tcPr>
          <w:p w14:paraId="6496EC8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103,83%</w:t>
            </w:r>
          </w:p>
        </w:tc>
      </w:tr>
      <w:tr w:rsidR="00A360DB" w:rsidRPr="00A360DB" w14:paraId="1CB8E900"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3271463A"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4. Prihodi za posebne namjene</w:t>
            </w:r>
          </w:p>
        </w:tc>
        <w:tc>
          <w:tcPr>
            <w:tcW w:w="1480" w:type="dxa"/>
            <w:tcBorders>
              <w:top w:val="nil"/>
              <w:left w:val="nil"/>
              <w:bottom w:val="nil"/>
              <w:right w:val="nil"/>
            </w:tcBorders>
            <w:shd w:val="clear" w:color="auto" w:fill="auto"/>
            <w:noWrap/>
            <w:vAlign w:val="bottom"/>
            <w:hideMark/>
          </w:tcPr>
          <w:p w14:paraId="3E9FE487"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11.000,00</w:t>
            </w:r>
          </w:p>
        </w:tc>
        <w:tc>
          <w:tcPr>
            <w:tcW w:w="1380" w:type="dxa"/>
            <w:tcBorders>
              <w:top w:val="nil"/>
              <w:left w:val="nil"/>
              <w:bottom w:val="nil"/>
              <w:right w:val="nil"/>
            </w:tcBorders>
            <w:shd w:val="clear" w:color="auto" w:fill="auto"/>
            <w:noWrap/>
            <w:vAlign w:val="bottom"/>
            <w:hideMark/>
          </w:tcPr>
          <w:p w14:paraId="170EF77F"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11.420,98</w:t>
            </w:r>
          </w:p>
        </w:tc>
        <w:tc>
          <w:tcPr>
            <w:tcW w:w="1400" w:type="dxa"/>
            <w:tcBorders>
              <w:top w:val="nil"/>
              <w:left w:val="nil"/>
              <w:bottom w:val="nil"/>
              <w:right w:val="nil"/>
            </w:tcBorders>
            <w:shd w:val="clear" w:color="auto" w:fill="auto"/>
            <w:noWrap/>
            <w:vAlign w:val="bottom"/>
            <w:hideMark/>
          </w:tcPr>
          <w:p w14:paraId="34397E8E"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103,83%</w:t>
            </w:r>
          </w:p>
        </w:tc>
      </w:tr>
      <w:tr w:rsidR="00A360DB" w:rsidRPr="00A360DB" w14:paraId="048491E3"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CCF6F8D"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4.1. Prihodi za posebne namjene</w:t>
            </w:r>
          </w:p>
        </w:tc>
        <w:tc>
          <w:tcPr>
            <w:tcW w:w="1480" w:type="dxa"/>
            <w:tcBorders>
              <w:top w:val="nil"/>
              <w:left w:val="nil"/>
              <w:bottom w:val="nil"/>
              <w:right w:val="nil"/>
            </w:tcBorders>
            <w:shd w:val="clear" w:color="auto" w:fill="auto"/>
            <w:noWrap/>
            <w:vAlign w:val="bottom"/>
            <w:hideMark/>
          </w:tcPr>
          <w:p w14:paraId="3CF76A29"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11.000,00</w:t>
            </w:r>
          </w:p>
        </w:tc>
        <w:tc>
          <w:tcPr>
            <w:tcW w:w="1380" w:type="dxa"/>
            <w:tcBorders>
              <w:top w:val="nil"/>
              <w:left w:val="nil"/>
              <w:bottom w:val="nil"/>
              <w:right w:val="nil"/>
            </w:tcBorders>
            <w:shd w:val="clear" w:color="auto" w:fill="auto"/>
            <w:noWrap/>
            <w:vAlign w:val="bottom"/>
            <w:hideMark/>
          </w:tcPr>
          <w:p w14:paraId="7AB07D22"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11.420,98</w:t>
            </w:r>
          </w:p>
        </w:tc>
        <w:tc>
          <w:tcPr>
            <w:tcW w:w="1400" w:type="dxa"/>
            <w:tcBorders>
              <w:top w:val="nil"/>
              <w:left w:val="nil"/>
              <w:bottom w:val="nil"/>
              <w:right w:val="nil"/>
            </w:tcBorders>
            <w:shd w:val="clear" w:color="auto" w:fill="auto"/>
            <w:noWrap/>
            <w:vAlign w:val="bottom"/>
            <w:hideMark/>
          </w:tcPr>
          <w:p w14:paraId="5FBD842D"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103,83%</w:t>
            </w:r>
          </w:p>
        </w:tc>
      </w:tr>
      <w:tr w:rsidR="00A360DB" w:rsidRPr="00A360DB" w14:paraId="74838D2B" w14:textId="77777777" w:rsidTr="00A360DB">
        <w:trPr>
          <w:trHeight w:val="240"/>
        </w:trPr>
        <w:tc>
          <w:tcPr>
            <w:tcW w:w="1697" w:type="dxa"/>
            <w:tcBorders>
              <w:top w:val="nil"/>
              <w:left w:val="nil"/>
              <w:bottom w:val="nil"/>
              <w:right w:val="nil"/>
            </w:tcBorders>
            <w:shd w:val="clear" w:color="auto" w:fill="auto"/>
            <w:noWrap/>
            <w:vAlign w:val="bottom"/>
            <w:hideMark/>
          </w:tcPr>
          <w:p w14:paraId="6CDD5547"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021D7E41"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4081480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11.000,00</w:t>
            </w:r>
          </w:p>
        </w:tc>
        <w:tc>
          <w:tcPr>
            <w:tcW w:w="1380" w:type="dxa"/>
            <w:tcBorders>
              <w:top w:val="nil"/>
              <w:left w:val="nil"/>
              <w:bottom w:val="nil"/>
              <w:right w:val="nil"/>
            </w:tcBorders>
            <w:shd w:val="clear" w:color="auto" w:fill="auto"/>
            <w:noWrap/>
            <w:vAlign w:val="bottom"/>
            <w:hideMark/>
          </w:tcPr>
          <w:p w14:paraId="3AB4E1C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11.420,98</w:t>
            </w:r>
          </w:p>
        </w:tc>
        <w:tc>
          <w:tcPr>
            <w:tcW w:w="1400" w:type="dxa"/>
            <w:tcBorders>
              <w:top w:val="nil"/>
              <w:left w:val="nil"/>
              <w:bottom w:val="nil"/>
              <w:right w:val="nil"/>
            </w:tcBorders>
            <w:shd w:val="clear" w:color="auto" w:fill="auto"/>
            <w:noWrap/>
            <w:vAlign w:val="bottom"/>
            <w:hideMark/>
          </w:tcPr>
          <w:p w14:paraId="48475B3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103,83%</w:t>
            </w:r>
          </w:p>
        </w:tc>
      </w:tr>
      <w:tr w:rsidR="00A360DB" w:rsidRPr="00A360DB" w14:paraId="634C15F1" w14:textId="77777777" w:rsidTr="00A360DB">
        <w:trPr>
          <w:trHeight w:val="240"/>
        </w:trPr>
        <w:tc>
          <w:tcPr>
            <w:tcW w:w="1697" w:type="dxa"/>
            <w:tcBorders>
              <w:top w:val="nil"/>
              <w:left w:val="nil"/>
              <w:bottom w:val="nil"/>
              <w:right w:val="nil"/>
            </w:tcBorders>
            <w:shd w:val="clear" w:color="auto" w:fill="auto"/>
            <w:noWrap/>
            <w:vAlign w:val="bottom"/>
            <w:hideMark/>
          </w:tcPr>
          <w:p w14:paraId="75CBA74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3232</w:t>
            </w:r>
          </w:p>
        </w:tc>
        <w:tc>
          <w:tcPr>
            <w:tcW w:w="8509" w:type="dxa"/>
            <w:tcBorders>
              <w:top w:val="nil"/>
              <w:left w:val="nil"/>
              <w:bottom w:val="nil"/>
              <w:right w:val="nil"/>
            </w:tcBorders>
            <w:shd w:val="clear" w:color="auto" w:fill="auto"/>
            <w:noWrap/>
            <w:vAlign w:val="bottom"/>
            <w:hideMark/>
          </w:tcPr>
          <w:p w14:paraId="20DE1868"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Usluge tekućeg i investicijskog održavanja                                                          </w:t>
            </w:r>
          </w:p>
        </w:tc>
        <w:tc>
          <w:tcPr>
            <w:tcW w:w="1480" w:type="dxa"/>
            <w:tcBorders>
              <w:top w:val="nil"/>
              <w:left w:val="nil"/>
              <w:bottom w:val="nil"/>
              <w:right w:val="nil"/>
            </w:tcBorders>
            <w:shd w:val="clear" w:color="auto" w:fill="auto"/>
            <w:noWrap/>
            <w:vAlign w:val="bottom"/>
            <w:hideMark/>
          </w:tcPr>
          <w:p w14:paraId="035B02C2"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55859010"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11.420,98</w:t>
            </w:r>
          </w:p>
        </w:tc>
        <w:tc>
          <w:tcPr>
            <w:tcW w:w="1400" w:type="dxa"/>
            <w:tcBorders>
              <w:top w:val="nil"/>
              <w:left w:val="nil"/>
              <w:bottom w:val="nil"/>
              <w:right w:val="nil"/>
            </w:tcBorders>
            <w:shd w:val="clear" w:color="auto" w:fill="auto"/>
            <w:noWrap/>
            <w:vAlign w:val="bottom"/>
            <w:hideMark/>
          </w:tcPr>
          <w:p w14:paraId="7FF48981"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5F67BBD1" w14:textId="77777777" w:rsidTr="00A360DB">
        <w:trPr>
          <w:trHeight w:val="240"/>
        </w:trPr>
        <w:tc>
          <w:tcPr>
            <w:tcW w:w="1697" w:type="dxa"/>
            <w:tcBorders>
              <w:top w:val="nil"/>
              <w:left w:val="nil"/>
              <w:bottom w:val="nil"/>
              <w:right w:val="nil"/>
            </w:tcBorders>
            <w:shd w:val="clear" w:color="000000" w:fill="B4C6E7"/>
            <w:noWrap/>
            <w:vAlign w:val="bottom"/>
            <w:hideMark/>
          </w:tcPr>
          <w:p w14:paraId="78F2B6F5"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A101011</w:t>
            </w:r>
          </w:p>
        </w:tc>
        <w:tc>
          <w:tcPr>
            <w:tcW w:w="8509" w:type="dxa"/>
            <w:tcBorders>
              <w:top w:val="nil"/>
              <w:left w:val="nil"/>
              <w:bottom w:val="nil"/>
              <w:right w:val="nil"/>
            </w:tcBorders>
            <w:shd w:val="clear" w:color="000000" w:fill="B4C6E7"/>
            <w:noWrap/>
            <w:vAlign w:val="bottom"/>
            <w:hideMark/>
          </w:tcPr>
          <w:p w14:paraId="1261D13D"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Održavanje građevina javne odvodnje oborinskih voda</w:t>
            </w:r>
          </w:p>
        </w:tc>
        <w:tc>
          <w:tcPr>
            <w:tcW w:w="1480" w:type="dxa"/>
            <w:tcBorders>
              <w:top w:val="nil"/>
              <w:left w:val="nil"/>
              <w:bottom w:val="nil"/>
              <w:right w:val="nil"/>
            </w:tcBorders>
            <w:shd w:val="clear" w:color="000000" w:fill="B4C6E7"/>
            <w:noWrap/>
            <w:vAlign w:val="bottom"/>
            <w:hideMark/>
          </w:tcPr>
          <w:p w14:paraId="4DA4CAE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1.000,00</w:t>
            </w:r>
          </w:p>
        </w:tc>
        <w:tc>
          <w:tcPr>
            <w:tcW w:w="1380" w:type="dxa"/>
            <w:tcBorders>
              <w:top w:val="nil"/>
              <w:left w:val="nil"/>
              <w:bottom w:val="nil"/>
              <w:right w:val="nil"/>
            </w:tcBorders>
            <w:shd w:val="clear" w:color="000000" w:fill="B4C6E7"/>
            <w:noWrap/>
            <w:vAlign w:val="bottom"/>
            <w:hideMark/>
          </w:tcPr>
          <w:p w14:paraId="4609E80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142,30</w:t>
            </w:r>
          </w:p>
        </w:tc>
        <w:tc>
          <w:tcPr>
            <w:tcW w:w="1400" w:type="dxa"/>
            <w:tcBorders>
              <w:top w:val="nil"/>
              <w:left w:val="nil"/>
              <w:bottom w:val="nil"/>
              <w:right w:val="nil"/>
            </w:tcBorders>
            <w:shd w:val="clear" w:color="000000" w:fill="B4C6E7"/>
            <w:noWrap/>
            <w:vAlign w:val="bottom"/>
            <w:hideMark/>
          </w:tcPr>
          <w:p w14:paraId="051706A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14,23%</w:t>
            </w:r>
          </w:p>
        </w:tc>
      </w:tr>
      <w:tr w:rsidR="00A360DB" w:rsidRPr="00A360DB" w14:paraId="60BA5DF4"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299D17C5"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4. Prihodi za posebne namjene</w:t>
            </w:r>
          </w:p>
        </w:tc>
        <w:tc>
          <w:tcPr>
            <w:tcW w:w="1480" w:type="dxa"/>
            <w:tcBorders>
              <w:top w:val="nil"/>
              <w:left w:val="nil"/>
              <w:bottom w:val="nil"/>
              <w:right w:val="nil"/>
            </w:tcBorders>
            <w:shd w:val="clear" w:color="auto" w:fill="auto"/>
            <w:noWrap/>
            <w:vAlign w:val="bottom"/>
            <w:hideMark/>
          </w:tcPr>
          <w:p w14:paraId="0AA5A80D"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1.000,00</w:t>
            </w:r>
          </w:p>
        </w:tc>
        <w:tc>
          <w:tcPr>
            <w:tcW w:w="1380" w:type="dxa"/>
            <w:tcBorders>
              <w:top w:val="nil"/>
              <w:left w:val="nil"/>
              <w:bottom w:val="nil"/>
              <w:right w:val="nil"/>
            </w:tcBorders>
            <w:shd w:val="clear" w:color="auto" w:fill="auto"/>
            <w:noWrap/>
            <w:vAlign w:val="bottom"/>
            <w:hideMark/>
          </w:tcPr>
          <w:p w14:paraId="102CB92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142,30</w:t>
            </w:r>
          </w:p>
        </w:tc>
        <w:tc>
          <w:tcPr>
            <w:tcW w:w="1400" w:type="dxa"/>
            <w:tcBorders>
              <w:top w:val="nil"/>
              <w:left w:val="nil"/>
              <w:bottom w:val="nil"/>
              <w:right w:val="nil"/>
            </w:tcBorders>
            <w:shd w:val="clear" w:color="auto" w:fill="auto"/>
            <w:noWrap/>
            <w:vAlign w:val="bottom"/>
            <w:hideMark/>
          </w:tcPr>
          <w:p w14:paraId="1EC75952"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14,23%</w:t>
            </w:r>
          </w:p>
        </w:tc>
      </w:tr>
      <w:tr w:rsidR="00A360DB" w:rsidRPr="00A360DB" w14:paraId="0ACCD35E"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8B33833"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4.1. Prihodi za posebne namjene</w:t>
            </w:r>
          </w:p>
        </w:tc>
        <w:tc>
          <w:tcPr>
            <w:tcW w:w="1480" w:type="dxa"/>
            <w:tcBorders>
              <w:top w:val="nil"/>
              <w:left w:val="nil"/>
              <w:bottom w:val="nil"/>
              <w:right w:val="nil"/>
            </w:tcBorders>
            <w:shd w:val="clear" w:color="auto" w:fill="auto"/>
            <w:noWrap/>
            <w:vAlign w:val="bottom"/>
            <w:hideMark/>
          </w:tcPr>
          <w:p w14:paraId="3E7FDF3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1.000,00</w:t>
            </w:r>
          </w:p>
        </w:tc>
        <w:tc>
          <w:tcPr>
            <w:tcW w:w="1380" w:type="dxa"/>
            <w:tcBorders>
              <w:top w:val="nil"/>
              <w:left w:val="nil"/>
              <w:bottom w:val="nil"/>
              <w:right w:val="nil"/>
            </w:tcBorders>
            <w:shd w:val="clear" w:color="auto" w:fill="auto"/>
            <w:noWrap/>
            <w:vAlign w:val="bottom"/>
            <w:hideMark/>
          </w:tcPr>
          <w:p w14:paraId="4AA2D68F"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142,30</w:t>
            </w:r>
          </w:p>
        </w:tc>
        <w:tc>
          <w:tcPr>
            <w:tcW w:w="1400" w:type="dxa"/>
            <w:tcBorders>
              <w:top w:val="nil"/>
              <w:left w:val="nil"/>
              <w:bottom w:val="nil"/>
              <w:right w:val="nil"/>
            </w:tcBorders>
            <w:shd w:val="clear" w:color="auto" w:fill="auto"/>
            <w:noWrap/>
            <w:vAlign w:val="bottom"/>
            <w:hideMark/>
          </w:tcPr>
          <w:p w14:paraId="640E11C6"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14,23%</w:t>
            </w:r>
          </w:p>
        </w:tc>
      </w:tr>
      <w:tr w:rsidR="00A360DB" w:rsidRPr="00A360DB" w14:paraId="0BAC10AD" w14:textId="77777777" w:rsidTr="00A360DB">
        <w:trPr>
          <w:trHeight w:val="240"/>
        </w:trPr>
        <w:tc>
          <w:tcPr>
            <w:tcW w:w="1697" w:type="dxa"/>
            <w:tcBorders>
              <w:top w:val="nil"/>
              <w:left w:val="nil"/>
              <w:bottom w:val="nil"/>
              <w:right w:val="nil"/>
            </w:tcBorders>
            <w:shd w:val="clear" w:color="auto" w:fill="auto"/>
            <w:noWrap/>
            <w:vAlign w:val="bottom"/>
            <w:hideMark/>
          </w:tcPr>
          <w:p w14:paraId="6ED568FB"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0C2948FE"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26E1E9A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1.000,00</w:t>
            </w:r>
          </w:p>
        </w:tc>
        <w:tc>
          <w:tcPr>
            <w:tcW w:w="1380" w:type="dxa"/>
            <w:tcBorders>
              <w:top w:val="nil"/>
              <w:left w:val="nil"/>
              <w:bottom w:val="nil"/>
              <w:right w:val="nil"/>
            </w:tcBorders>
            <w:shd w:val="clear" w:color="auto" w:fill="auto"/>
            <w:noWrap/>
            <w:vAlign w:val="bottom"/>
            <w:hideMark/>
          </w:tcPr>
          <w:p w14:paraId="43CD7A0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142,30</w:t>
            </w:r>
          </w:p>
        </w:tc>
        <w:tc>
          <w:tcPr>
            <w:tcW w:w="1400" w:type="dxa"/>
            <w:tcBorders>
              <w:top w:val="nil"/>
              <w:left w:val="nil"/>
              <w:bottom w:val="nil"/>
              <w:right w:val="nil"/>
            </w:tcBorders>
            <w:shd w:val="clear" w:color="auto" w:fill="auto"/>
            <w:noWrap/>
            <w:vAlign w:val="bottom"/>
            <w:hideMark/>
          </w:tcPr>
          <w:p w14:paraId="3CCFD1B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14,23%</w:t>
            </w:r>
          </w:p>
        </w:tc>
      </w:tr>
      <w:tr w:rsidR="00A360DB" w:rsidRPr="00A360DB" w14:paraId="139E141E" w14:textId="77777777" w:rsidTr="00A360DB">
        <w:trPr>
          <w:trHeight w:val="240"/>
        </w:trPr>
        <w:tc>
          <w:tcPr>
            <w:tcW w:w="1697" w:type="dxa"/>
            <w:tcBorders>
              <w:top w:val="nil"/>
              <w:left w:val="nil"/>
              <w:bottom w:val="nil"/>
              <w:right w:val="nil"/>
            </w:tcBorders>
            <w:shd w:val="clear" w:color="auto" w:fill="auto"/>
            <w:noWrap/>
            <w:vAlign w:val="bottom"/>
            <w:hideMark/>
          </w:tcPr>
          <w:p w14:paraId="6308781D"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3232</w:t>
            </w:r>
          </w:p>
        </w:tc>
        <w:tc>
          <w:tcPr>
            <w:tcW w:w="8509" w:type="dxa"/>
            <w:tcBorders>
              <w:top w:val="nil"/>
              <w:left w:val="nil"/>
              <w:bottom w:val="nil"/>
              <w:right w:val="nil"/>
            </w:tcBorders>
            <w:shd w:val="clear" w:color="auto" w:fill="auto"/>
            <w:noWrap/>
            <w:vAlign w:val="bottom"/>
            <w:hideMark/>
          </w:tcPr>
          <w:p w14:paraId="56F4E46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Usluge tekućeg i investicijskog održavanja                                                          </w:t>
            </w:r>
          </w:p>
        </w:tc>
        <w:tc>
          <w:tcPr>
            <w:tcW w:w="1480" w:type="dxa"/>
            <w:tcBorders>
              <w:top w:val="nil"/>
              <w:left w:val="nil"/>
              <w:bottom w:val="nil"/>
              <w:right w:val="nil"/>
            </w:tcBorders>
            <w:shd w:val="clear" w:color="auto" w:fill="auto"/>
            <w:noWrap/>
            <w:vAlign w:val="bottom"/>
            <w:hideMark/>
          </w:tcPr>
          <w:p w14:paraId="0BEA09AD"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2C81DA4F"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142,30</w:t>
            </w:r>
          </w:p>
        </w:tc>
        <w:tc>
          <w:tcPr>
            <w:tcW w:w="1400" w:type="dxa"/>
            <w:tcBorders>
              <w:top w:val="nil"/>
              <w:left w:val="nil"/>
              <w:bottom w:val="nil"/>
              <w:right w:val="nil"/>
            </w:tcBorders>
            <w:shd w:val="clear" w:color="auto" w:fill="auto"/>
            <w:noWrap/>
            <w:vAlign w:val="bottom"/>
            <w:hideMark/>
          </w:tcPr>
          <w:p w14:paraId="0CA0E5D7"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EBD1158" w14:textId="77777777" w:rsidTr="00A360DB">
        <w:trPr>
          <w:trHeight w:val="240"/>
        </w:trPr>
        <w:tc>
          <w:tcPr>
            <w:tcW w:w="1697" w:type="dxa"/>
            <w:tcBorders>
              <w:top w:val="nil"/>
              <w:left w:val="nil"/>
              <w:bottom w:val="nil"/>
              <w:right w:val="nil"/>
            </w:tcBorders>
            <w:shd w:val="clear" w:color="000000" w:fill="B4C6E7"/>
            <w:noWrap/>
            <w:vAlign w:val="bottom"/>
            <w:hideMark/>
          </w:tcPr>
          <w:p w14:paraId="3276806A"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A101012</w:t>
            </w:r>
          </w:p>
        </w:tc>
        <w:tc>
          <w:tcPr>
            <w:tcW w:w="8509" w:type="dxa"/>
            <w:tcBorders>
              <w:top w:val="nil"/>
              <w:left w:val="nil"/>
              <w:bottom w:val="nil"/>
              <w:right w:val="nil"/>
            </w:tcBorders>
            <w:shd w:val="clear" w:color="000000" w:fill="B4C6E7"/>
            <w:noWrap/>
            <w:vAlign w:val="bottom"/>
            <w:hideMark/>
          </w:tcPr>
          <w:p w14:paraId="07294139"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Održavanje groblja</w:t>
            </w:r>
          </w:p>
        </w:tc>
        <w:tc>
          <w:tcPr>
            <w:tcW w:w="1480" w:type="dxa"/>
            <w:tcBorders>
              <w:top w:val="nil"/>
              <w:left w:val="nil"/>
              <w:bottom w:val="nil"/>
              <w:right w:val="nil"/>
            </w:tcBorders>
            <w:shd w:val="clear" w:color="000000" w:fill="B4C6E7"/>
            <w:noWrap/>
            <w:vAlign w:val="bottom"/>
            <w:hideMark/>
          </w:tcPr>
          <w:p w14:paraId="54B7CB9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15.000,00</w:t>
            </w:r>
          </w:p>
        </w:tc>
        <w:tc>
          <w:tcPr>
            <w:tcW w:w="1380" w:type="dxa"/>
            <w:tcBorders>
              <w:top w:val="nil"/>
              <w:left w:val="nil"/>
              <w:bottom w:val="nil"/>
              <w:right w:val="nil"/>
            </w:tcBorders>
            <w:shd w:val="clear" w:color="000000" w:fill="B4C6E7"/>
            <w:noWrap/>
            <w:vAlign w:val="bottom"/>
            <w:hideMark/>
          </w:tcPr>
          <w:p w14:paraId="2A0A86A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4.946,92</w:t>
            </w:r>
          </w:p>
        </w:tc>
        <w:tc>
          <w:tcPr>
            <w:tcW w:w="1400" w:type="dxa"/>
            <w:tcBorders>
              <w:top w:val="nil"/>
              <w:left w:val="nil"/>
              <w:bottom w:val="nil"/>
              <w:right w:val="nil"/>
            </w:tcBorders>
            <w:shd w:val="clear" w:color="000000" w:fill="B4C6E7"/>
            <w:noWrap/>
            <w:vAlign w:val="bottom"/>
            <w:hideMark/>
          </w:tcPr>
          <w:p w14:paraId="70DC4E8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32,98%</w:t>
            </w:r>
          </w:p>
        </w:tc>
      </w:tr>
      <w:tr w:rsidR="00A360DB" w:rsidRPr="00A360DB" w14:paraId="6F778F08"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64F2C51"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666406FA"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15.000,00</w:t>
            </w:r>
          </w:p>
        </w:tc>
        <w:tc>
          <w:tcPr>
            <w:tcW w:w="1380" w:type="dxa"/>
            <w:tcBorders>
              <w:top w:val="nil"/>
              <w:left w:val="nil"/>
              <w:bottom w:val="nil"/>
              <w:right w:val="nil"/>
            </w:tcBorders>
            <w:shd w:val="clear" w:color="auto" w:fill="auto"/>
            <w:noWrap/>
            <w:vAlign w:val="bottom"/>
            <w:hideMark/>
          </w:tcPr>
          <w:p w14:paraId="266C7FB6"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4.946,92</w:t>
            </w:r>
          </w:p>
        </w:tc>
        <w:tc>
          <w:tcPr>
            <w:tcW w:w="1400" w:type="dxa"/>
            <w:tcBorders>
              <w:top w:val="nil"/>
              <w:left w:val="nil"/>
              <w:bottom w:val="nil"/>
              <w:right w:val="nil"/>
            </w:tcBorders>
            <w:shd w:val="clear" w:color="auto" w:fill="auto"/>
            <w:noWrap/>
            <w:vAlign w:val="bottom"/>
            <w:hideMark/>
          </w:tcPr>
          <w:p w14:paraId="2B6C2942"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32,98%</w:t>
            </w:r>
          </w:p>
        </w:tc>
      </w:tr>
      <w:tr w:rsidR="00A360DB" w:rsidRPr="00A360DB" w14:paraId="02E0CD9A"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58B71FBD"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04497CFE"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15.000,00</w:t>
            </w:r>
          </w:p>
        </w:tc>
        <w:tc>
          <w:tcPr>
            <w:tcW w:w="1380" w:type="dxa"/>
            <w:tcBorders>
              <w:top w:val="nil"/>
              <w:left w:val="nil"/>
              <w:bottom w:val="nil"/>
              <w:right w:val="nil"/>
            </w:tcBorders>
            <w:shd w:val="clear" w:color="auto" w:fill="auto"/>
            <w:noWrap/>
            <w:vAlign w:val="bottom"/>
            <w:hideMark/>
          </w:tcPr>
          <w:p w14:paraId="124CBBE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4.946,92</w:t>
            </w:r>
          </w:p>
        </w:tc>
        <w:tc>
          <w:tcPr>
            <w:tcW w:w="1400" w:type="dxa"/>
            <w:tcBorders>
              <w:top w:val="nil"/>
              <w:left w:val="nil"/>
              <w:bottom w:val="nil"/>
              <w:right w:val="nil"/>
            </w:tcBorders>
            <w:shd w:val="clear" w:color="auto" w:fill="auto"/>
            <w:noWrap/>
            <w:vAlign w:val="bottom"/>
            <w:hideMark/>
          </w:tcPr>
          <w:p w14:paraId="24D10CB2"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32,98%</w:t>
            </w:r>
          </w:p>
        </w:tc>
      </w:tr>
      <w:tr w:rsidR="00A360DB" w:rsidRPr="00A360DB" w14:paraId="58869C0B" w14:textId="77777777" w:rsidTr="00A360DB">
        <w:trPr>
          <w:trHeight w:val="240"/>
        </w:trPr>
        <w:tc>
          <w:tcPr>
            <w:tcW w:w="1697" w:type="dxa"/>
            <w:tcBorders>
              <w:top w:val="nil"/>
              <w:left w:val="nil"/>
              <w:bottom w:val="nil"/>
              <w:right w:val="nil"/>
            </w:tcBorders>
            <w:shd w:val="clear" w:color="auto" w:fill="auto"/>
            <w:noWrap/>
            <w:vAlign w:val="bottom"/>
            <w:hideMark/>
          </w:tcPr>
          <w:p w14:paraId="053C449F"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742139AA"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39AE1E8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15.000,00</w:t>
            </w:r>
          </w:p>
        </w:tc>
        <w:tc>
          <w:tcPr>
            <w:tcW w:w="1380" w:type="dxa"/>
            <w:tcBorders>
              <w:top w:val="nil"/>
              <w:left w:val="nil"/>
              <w:bottom w:val="nil"/>
              <w:right w:val="nil"/>
            </w:tcBorders>
            <w:shd w:val="clear" w:color="auto" w:fill="auto"/>
            <w:noWrap/>
            <w:vAlign w:val="bottom"/>
            <w:hideMark/>
          </w:tcPr>
          <w:p w14:paraId="67D6857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4.946,92</w:t>
            </w:r>
          </w:p>
        </w:tc>
        <w:tc>
          <w:tcPr>
            <w:tcW w:w="1400" w:type="dxa"/>
            <w:tcBorders>
              <w:top w:val="nil"/>
              <w:left w:val="nil"/>
              <w:bottom w:val="nil"/>
              <w:right w:val="nil"/>
            </w:tcBorders>
            <w:shd w:val="clear" w:color="auto" w:fill="auto"/>
            <w:noWrap/>
            <w:vAlign w:val="bottom"/>
            <w:hideMark/>
          </w:tcPr>
          <w:p w14:paraId="2BCC528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32,98%</w:t>
            </w:r>
          </w:p>
        </w:tc>
      </w:tr>
      <w:tr w:rsidR="00A360DB" w:rsidRPr="00A360DB" w14:paraId="6D32E28A" w14:textId="77777777" w:rsidTr="00A360DB">
        <w:trPr>
          <w:trHeight w:val="240"/>
        </w:trPr>
        <w:tc>
          <w:tcPr>
            <w:tcW w:w="1697" w:type="dxa"/>
            <w:tcBorders>
              <w:top w:val="nil"/>
              <w:left w:val="nil"/>
              <w:bottom w:val="nil"/>
              <w:right w:val="nil"/>
            </w:tcBorders>
            <w:shd w:val="clear" w:color="auto" w:fill="auto"/>
            <w:noWrap/>
            <w:vAlign w:val="bottom"/>
            <w:hideMark/>
          </w:tcPr>
          <w:p w14:paraId="3F1D492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3232</w:t>
            </w:r>
          </w:p>
        </w:tc>
        <w:tc>
          <w:tcPr>
            <w:tcW w:w="8509" w:type="dxa"/>
            <w:tcBorders>
              <w:top w:val="nil"/>
              <w:left w:val="nil"/>
              <w:bottom w:val="nil"/>
              <w:right w:val="nil"/>
            </w:tcBorders>
            <w:shd w:val="clear" w:color="auto" w:fill="auto"/>
            <w:noWrap/>
            <w:vAlign w:val="bottom"/>
            <w:hideMark/>
          </w:tcPr>
          <w:p w14:paraId="618B6FD9"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Usluge tekućeg i investicijskog održavanja                                                          </w:t>
            </w:r>
          </w:p>
        </w:tc>
        <w:tc>
          <w:tcPr>
            <w:tcW w:w="1480" w:type="dxa"/>
            <w:tcBorders>
              <w:top w:val="nil"/>
              <w:left w:val="nil"/>
              <w:bottom w:val="nil"/>
              <w:right w:val="nil"/>
            </w:tcBorders>
            <w:shd w:val="clear" w:color="auto" w:fill="auto"/>
            <w:noWrap/>
            <w:vAlign w:val="bottom"/>
            <w:hideMark/>
          </w:tcPr>
          <w:p w14:paraId="3D4EB126"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EEEC611"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4.946,92</w:t>
            </w:r>
          </w:p>
        </w:tc>
        <w:tc>
          <w:tcPr>
            <w:tcW w:w="1400" w:type="dxa"/>
            <w:tcBorders>
              <w:top w:val="nil"/>
              <w:left w:val="nil"/>
              <w:bottom w:val="nil"/>
              <w:right w:val="nil"/>
            </w:tcBorders>
            <w:shd w:val="clear" w:color="auto" w:fill="auto"/>
            <w:noWrap/>
            <w:vAlign w:val="bottom"/>
            <w:hideMark/>
          </w:tcPr>
          <w:p w14:paraId="793123AF"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5A71B8C2" w14:textId="77777777" w:rsidTr="00A360DB">
        <w:trPr>
          <w:trHeight w:val="240"/>
        </w:trPr>
        <w:tc>
          <w:tcPr>
            <w:tcW w:w="1697" w:type="dxa"/>
            <w:tcBorders>
              <w:top w:val="nil"/>
              <w:left w:val="nil"/>
              <w:bottom w:val="nil"/>
              <w:right w:val="nil"/>
            </w:tcBorders>
            <w:shd w:val="clear" w:color="000000" w:fill="B4C6E7"/>
            <w:noWrap/>
            <w:vAlign w:val="bottom"/>
            <w:hideMark/>
          </w:tcPr>
          <w:p w14:paraId="5429AC9C"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A101013</w:t>
            </w:r>
          </w:p>
        </w:tc>
        <w:tc>
          <w:tcPr>
            <w:tcW w:w="8509" w:type="dxa"/>
            <w:tcBorders>
              <w:top w:val="nil"/>
              <w:left w:val="nil"/>
              <w:bottom w:val="nil"/>
              <w:right w:val="nil"/>
            </w:tcBorders>
            <w:shd w:val="clear" w:color="000000" w:fill="B4C6E7"/>
            <w:noWrap/>
            <w:vAlign w:val="bottom"/>
            <w:hideMark/>
          </w:tcPr>
          <w:p w14:paraId="5DCFCCD7"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Aktivnost: Sanacija klizišta</w:t>
            </w:r>
          </w:p>
        </w:tc>
        <w:tc>
          <w:tcPr>
            <w:tcW w:w="1480" w:type="dxa"/>
            <w:tcBorders>
              <w:top w:val="nil"/>
              <w:left w:val="nil"/>
              <w:bottom w:val="nil"/>
              <w:right w:val="nil"/>
            </w:tcBorders>
            <w:shd w:val="clear" w:color="000000" w:fill="B4C6E7"/>
            <w:noWrap/>
            <w:vAlign w:val="bottom"/>
            <w:hideMark/>
          </w:tcPr>
          <w:p w14:paraId="07F22AB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118.040,00</w:t>
            </w:r>
          </w:p>
        </w:tc>
        <w:tc>
          <w:tcPr>
            <w:tcW w:w="1380" w:type="dxa"/>
            <w:tcBorders>
              <w:top w:val="nil"/>
              <w:left w:val="nil"/>
              <w:bottom w:val="nil"/>
              <w:right w:val="nil"/>
            </w:tcBorders>
            <w:shd w:val="clear" w:color="000000" w:fill="B4C6E7"/>
            <w:noWrap/>
            <w:vAlign w:val="bottom"/>
            <w:hideMark/>
          </w:tcPr>
          <w:p w14:paraId="705DD42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118.693,38</w:t>
            </w:r>
          </w:p>
        </w:tc>
        <w:tc>
          <w:tcPr>
            <w:tcW w:w="1400" w:type="dxa"/>
            <w:tcBorders>
              <w:top w:val="nil"/>
              <w:left w:val="nil"/>
              <w:bottom w:val="nil"/>
              <w:right w:val="nil"/>
            </w:tcBorders>
            <w:shd w:val="clear" w:color="000000" w:fill="B4C6E7"/>
            <w:noWrap/>
            <w:vAlign w:val="bottom"/>
            <w:hideMark/>
          </w:tcPr>
          <w:p w14:paraId="5AA0809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100,55%</w:t>
            </w:r>
          </w:p>
        </w:tc>
      </w:tr>
      <w:tr w:rsidR="00A360DB" w:rsidRPr="00A360DB" w14:paraId="0471C621"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57C9C224"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7229CCD8"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21.560,00</w:t>
            </w:r>
          </w:p>
        </w:tc>
        <w:tc>
          <w:tcPr>
            <w:tcW w:w="1380" w:type="dxa"/>
            <w:tcBorders>
              <w:top w:val="nil"/>
              <w:left w:val="nil"/>
              <w:bottom w:val="nil"/>
              <w:right w:val="nil"/>
            </w:tcBorders>
            <w:shd w:val="clear" w:color="auto" w:fill="auto"/>
            <w:noWrap/>
            <w:vAlign w:val="bottom"/>
            <w:hideMark/>
          </w:tcPr>
          <w:p w14:paraId="48A47EA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22.213,38</w:t>
            </w:r>
          </w:p>
        </w:tc>
        <w:tc>
          <w:tcPr>
            <w:tcW w:w="1400" w:type="dxa"/>
            <w:tcBorders>
              <w:top w:val="nil"/>
              <w:left w:val="nil"/>
              <w:bottom w:val="nil"/>
              <w:right w:val="nil"/>
            </w:tcBorders>
            <w:shd w:val="clear" w:color="auto" w:fill="auto"/>
            <w:noWrap/>
            <w:vAlign w:val="bottom"/>
            <w:hideMark/>
          </w:tcPr>
          <w:p w14:paraId="699B434D"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103,03%</w:t>
            </w:r>
          </w:p>
        </w:tc>
      </w:tr>
      <w:tr w:rsidR="00A360DB" w:rsidRPr="00A360DB" w14:paraId="7D881E96"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1BCA9BB5"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46C43FAD"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21.560,00</w:t>
            </w:r>
          </w:p>
        </w:tc>
        <w:tc>
          <w:tcPr>
            <w:tcW w:w="1380" w:type="dxa"/>
            <w:tcBorders>
              <w:top w:val="nil"/>
              <w:left w:val="nil"/>
              <w:bottom w:val="nil"/>
              <w:right w:val="nil"/>
            </w:tcBorders>
            <w:shd w:val="clear" w:color="auto" w:fill="auto"/>
            <w:noWrap/>
            <w:vAlign w:val="bottom"/>
            <w:hideMark/>
          </w:tcPr>
          <w:p w14:paraId="71CBB047"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22.213,38</w:t>
            </w:r>
          </w:p>
        </w:tc>
        <w:tc>
          <w:tcPr>
            <w:tcW w:w="1400" w:type="dxa"/>
            <w:tcBorders>
              <w:top w:val="nil"/>
              <w:left w:val="nil"/>
              <w:bottom w:val="nil"/>
              <w:right w:val="nil"/>
            </w:tcBorders>
            <w:shd w:val="clear" w:color="auto" w:fill="auto"/>
            <w:noWrap/>
            <w:vAlign w:val="bottom"/>
            <w:hideMark/>
          </w:tcPr>
          <w:p w14:paraId="2E368B3B"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103,03%</w:t>
            </w:r>
          </w:p>
        </w:tc>
      </w:tr>
      <w:tr w:rsidR="00A360DB" w:rsidRPr="00A360DB" w14:paraId="07D7295F" w14:textId="77777777" w:rsidTr="00A360DB">
        <w:trPr>
          <w:trHeight w:val="240"/>
        </w:trPr>
        <w:tc>
          <w:tcPr>
            <w:tcW w:w="1697" w:type="dxa"/>
            <w:tcBorders>
              <w:top w:val="nil"/>
              <w:left w:val="nil"/>
              <w:bottom w:val="nil"/>
              <w:right w:val="nil"/>
            </w:tcBorders>
            <w:shd w:val="clear" w:color="auto" w:fill="auto"/>
            <w:noWrap/>
            <w:vAlign w:val="bottom"/>
            <w:hideMark/>
          </w:tcPr>
          <w:p w14:paraId="6A0A5D9F"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2AB683CA"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36EAACD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21.560,00</w:t>
            </w:r>
          </w:p>
        </w:tc>
        <w:tc>
          <w:tcPr>
            <w:tcW w:w="1380" w:type="dxa"/>
            <w:tcBorders>
              <w:top w:val="nil"/>
              <w:left w:val="nil"/>
              <w:bottom w:val="nil"/>
              <w:right w:val="nil"/>
            </w:tcBorders>
            <w:shd w:val="clear" w:color="auto" w:fill="auto"/>
            <w:noWrap/>
            <w:vAlign w:val="bottom"/>
            <w:hideMark/>
          </w:tcPr>
          <w:p w14:paraId="63F62A8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22.213,38</w:t>
            </w:r>
          </w:p>
        </w:tc>
        <w:tc>
          <w:tcPr>
            <w:tcW w:w="1400" w:type="dxa"/>
            <w:tcBorders>
              <w:top w:val="nil"/>
              <w:left w:val="nil"/>
              <w:bottom w:val="nil"/>
              <w:right w:val="nil"/>
            </w:tcBorders>
            <w:shd w:val="clear" w:color="auto" w:fill="auto"/>
            <w:noWrap/>
            <w:vAlign w:val="bottom"/>
            <w:hideMark/>
          </w:tcPr>
          <w:p w14:paraId="75CB004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103,03%</w:t>
            </w:r>
          </w:p>
        </w:tc>
      </w:tr>
      <w:tr w:rsidR="00A360DB" w:rsidRPr="00A360DB" w14:paraId="513191FD" w14:textId="77777777" w:rsidTr="00A360DB">
        <w:trPr>
          <w:trHeight w:val="240"/>
        </w:trPr>
        <w:tc>
          <w:tcPr>
            <w:tcW w:w="1697" w:type="dxa"/>
            <w:tcBorders>
              <w:top w:val="nil"/>
              <w:left w:val="nil"/>
              <w:bottom w:val="nil"/>
              <w:right w:val="nil"/>
            </w:tcBorders>
            <w:shd w:val="clear" w:color="auto" w:fill="auto"/>
            <w:noWrap/>
            <w:vAlign w:val="bottom"/>
            <w:hideMark/>
          </w:tcPr>
          <w:p w14:paraId="645AD92E"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3232</w:t>
            </w:r>
          </w:p>
        </w:tc>
        <w:tc>
          <w:tcPr>
            <w:tcW w:w="8509" w:type="dxa"/>
            <w:tcBorders>
              <w:top w:val="nil"/>
              <w:left w:val="nil"/>
              <w:bottom w:val="nil"/>
              <w:right w:val="nil"/>
            </w:tcBorders>
            <w:shd w:val="clear" w:color="auto" w:fill="auto"/>
            <w:noWrap/>
            <w:vAlign w:val="bottom"/>
            <w:hideMark/>
          </w:tcPr>
          <w:p w14:paraId="0C4AB858"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Usluge tekućeg i investicijskog održavanja                                                          </w:t>
            </w:r>
          </w:p>
        </w:tc>
        <w:tc>
          <w:tcPr>
            <w:tcW w:w="1480" w:type="dxa"/>
            <w:tcBorders>
              <w:top w:val="nil"/>
              <w:left w:val="nil"/>
              <w:bottom w:val="nil"/>
              <w:right w:val="nil"/>
            </w:tcBorders>
            <w:shd w:val="clear" w:color="auto" w:fill="auto"/>
            <w:noWrap/>
            <w:vAlign w:val="bottom"/>
            <w:hideMark/>
          </w:tcPr>
          <w:p w14:paraId="298EBA66"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39197E5"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22.213,38</w:t>
            </w:r>
          </w:p>
        </w:tc>
        <w:tc>
          <w:tcPr>
            <w:tcW w:w="1400" w:type="dxa"/>
            <w:tcBorders>
              <w:top w:val="nil"/>
              <w:left w:val="nil"/>
              <w:bottom w:val="nil"/>
              <w:right w:val="nil"/>
            </w:tcBorders>
            <w:shd w:val="clear" w:color="auto" w:fill="auto"/>
            <w:noWrap/>
            <w:vAlign w:val="bottom"/>
            <w:hideMark/>
          </w:tcPr>
          <w:p w14:paraId="637D18E9"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228445F4"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5BA6D99"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5. Pomoći</w:t>
            </w:r>
          </w:p>
        </w:tc>
        <w:tc>
          <w:tcPr>
            <w:tcW w:w="1480" w:type="dxa"/>
            <w:tcBorders>
              <w:top w:val="nil"/>
              <w:left w:val="nil"/>
              <w:bottom w:val="nil"/>
              <w:right w:val="nil"/>
            </w:tcBorders>
            <w:shd w:val="clear" w:color="auto" w:fill="auto"/>
            <w:noWrap/>
            <w:vAlign w:val="bottom"/>
            <w:hideMark/>
          </w:tcPr>
          <w:p w14:paraId="0C0B8CDB"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96.480,00</w:t>
            </w:r>
          </w:p>
        </w:tc>
        <w:tc>
          <w:tcPr>
            <w:tcW w:w="1380" w:type="dxa"/>
            <w:tcBorders>
              <w:top w:val="nil"/>
              <w:left w:val="nil"/>
              <w:bottom w:val="nil"/>
              <w:right w:val="nil"/>
            </w:tcBorders>
            <w:shd w:val="clear" w:color="auto" w:fill="auto"/>
            <w:noWrap/>
            <w:vAlign w:val="bottom"/>
            <w:hideMark/>
          </w:tcPr>
          <w:p w14:paraId="32277438"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96.480,00</w:t>
            </w:r>
          </w:p>
        </w:tc>
        <w:tc>
          <w:tcPr>
            <w:tcW w:w="1400" w:type="dxa"/>
            <w:tcBorders>
              <w:top w:val="nil"/>
              <w:left w:val="nil"/>
              <w:bottom w:val="nil"/>
              <w:right w:val="nil"/>
            </w:tcBorders>
            <w:shd w:val="clear" w:color="auto" w:fill="auto"/>
            <w:noWrap/>
            <w:vAlign w:val="bottom"/>
            <w:hideMark/>
          </w:tcPr>
          <w:p w14:paraId="2EA246D6"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w:t>
            </w:r>
          </w:p>
        </w:tc>
      </w:tr>
      <w:tr w:rsidR="00A360DB" w:rsidRPr="00A360DB" w14:paraId="2349D676"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77C5CAF"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5.1. Županijski proračun</w:t>
            </w:r>
          </w:p>
        </w:tc>
        <w:tc>
          <w:tcPr>
            <w:tcW w:w="1480" w:type="dxa"/>
            <w:tcBorders>
              <w:top w:val="nil"/>
              <w:left w:val="nil"/>
              <w:bottom w:val="nil"/>
              <w:right w:val="nil"/>
            </w:tcBorders>
            <w:shd w:val="clear" w:color="auto" w:fill="auto"/>
            <w:noWrap/>
            <w:vAlign w:val="bottom"/>
            <w:hideMark/>
          </w:tcPr>
          <w:p w14:paraId="08FC8483"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21.560,00</w:t>
            </w:r>
          </w:p>
        </w:tc>
        <w:tc>
          <w:tcPr>
            <w:tcW w:w="1380" w:type="dxa"/>
            <w:tcBorders>
              <w:top w:val="nil"/>
              <w:left w:val="nil"/>
              <w:bottom w:val="nil"/>
              <w:right w:val="nil"/>
            </w:tcBorders>
            <w:shd w:val="clear" w:color="auto" w:fill="auto"/>
            <w:noWrap/>
            <w:vAlign w:val="bottom"/>
            <w:hideMark/>
          </w:tcPr>
          <w:p w14:paraId="5A744E62"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21.560,00</w:t>
            </w:r>
          </w:p>
        </w:tc>
        <w:tc>
          <w:tcPr>
            <w:tcW w:w="1400" w:type="dxa"/>
            <w:tcBorders>
              <w:top w:val="nil"/>
              <w:left w:val="nil"/>
              <w:bottom w:val="nil"/>
              <w:right w:val="nil"/>
            </w:tcBorders>
            <w:shd w:val="clear" w:color="auto" w:fill="auto"/>
            <w:noWrap/>
            <w:vAlign w:val="bottom"/>
            <w:hideMark/>
          </w:tcPr>
          <w:p w14:paraId="3AEFF9AB"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w:t>
            </w:r>
          </w:p>
        </w:tc>
      </w:tr>
      <w:tr w:rsidR="00A360DB" w:rsidRPr="00A360DB" w14:paraId="267FCBC3" w14:textId="77777777" w:rsidTr="00A360DB">
        <w:trPr>
          <w:trHeight w:val="240"/>
        </w:trPr>
        <w:tc>
          <w:tcPr>
            <w:tcW w:w="1697" w:type="dxa"/>
            <w:tcBorders>
              <w:top w:val="nil"/>
              <w:left w:val="nil"/>
              <w:bottom w:val="nil"/>
              <w:right w:val="nil"/>
            </w:tcBorders>
            <w:shd w:val="clear" w:color="auto" w:fill="auto"/>
            <w:noWrap/>
            <w:vAlign w:val="bottom"/>
            <w:hideMark/>
          </w:tcPr>
          <w:p w14:paraId="62B52F54"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5BE587C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0F96A41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21.560,00</w:t>
            </w:r>
          </w:p>
        </w:tc>
        <w:tc>
          <w:tcPr>
            <w:tcW w:w="1380" w:type="dxa"/>
            <w:tcBorders>
              <w:top w:val="nil"/>
              <w:left w:val="nil"/>
              <w:bottom w:val="nil"/>
              <w:right w:val="nil"/>
            </w:tcBorders>
            <w:shd w:val="clear" w:color="auto" w:fill="auto"/>
            <w:noWrap/>
            <w:vAlign w:val="bottom"/>
            <w:hideMark/>
          </w:tcPr>
          <w:p w14:paraId="212245E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21.560,00</w:t>
            </w:r>
          </w:p>
        </w:tc>
        <w:tc>
          <w:tcPr>
            <w:tcW w:w="1400" w:type="dxa"/>
            <w:tcBorders>
              <w:top w:val="nil"/>
              <w:left w:val="nil"/>
              <w:bottom w:val="nil"/>
              <w:right w:val="nil"/>
            </w:tcBorders>
            <w:shd w:val="clear" w:color="auto" w:fill="auto"/>
            <w:noWrap/>
            <w:vAlign w:val="bottom"/>
            <w:hideMark/>
          </w:tcPr>
          <w:p w14:paraId="3ADF605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r>
      <w:tr w:rsidR="00A360DB" w:rsidRPr="00A360DB" w14:paraId="7D530F85" w14:textId="77777777" w:rsidTr="00A360DB">
        <w:trPr>
          <w:trHeight w:val="240"/>
        </w:trPr>
        <w:tc>
          <w:tcPr>
            <w:tcW w:w="1697" w:type="dxa"/>
            <w:tcBorders>
              <w:top w:val="nil"/>
              <w:left w:val="nil"/>
              <w:bottom w:val="nil"/>
              <w:right w:val="nil"/>
            </w:tcBorders>
            <w:shd w:val="clear" w:color="auto" w:fill="auto"/>
            <w:noWrap/>
            <w:vAlign w:val="bottom"/>
            <w:hideMark/>
          </w:tcPr>
          <w:p w14:paraId="0FB8CFB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3232</w:t>
            </w:r>
          </w:p>
        </w:tc>
        <w:tc>
          <w:tcPr>
            <w:tcW w:w="8509" w:type="dxa"/>
            <w:tcBorders>
              <w:top w:val="nil"/>
              <w:left w:val="nil"/>
              <w:bottom w:val="nil"/>
              <w:right w:val="nil"/>
            </w:tcBorders>
            <w:shd w:val="clear" w:color="auto" w:fill="auto"/>
            <w:noWrap/>
            <w:vAlign w:val="bottom"/>
            <w:hideMark/>
          </w:tcPr>
          <w:p w14:paraId="4006153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Usluge tekućeg i investicijskog održavanja                                                          </w:t>
            </w:r>
          </w:p>
        </w:tc>
        <w:tc>
          <w:tcPr>
            <w:tcW w:w="1480" w:type="dxa"/>
            <w:tcBorders>
              <w:top w:val="nil"/>
              <w:left w:val="nil"/>
              <w:bottom w:val="nil"/>
              <w:right w:val="nil"/>
            </w:tcBorders>
            <w:shd w:val="clear" w:color="auto" w:fill="auto"/>
            <w:noWrap/>
            <w:vAlign w:val="bottom"/>
            <w:hideMark/>
          </w:tcPr>
          <w:p w14:paraId="4469E355"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2D431EBA"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21.560,00</w:t>
            </w:r>
          </w:p>
        </w:tc>
        <w:tc>
          <w:tcPr>
            <w:tcW w:w="1400" w:type="dxa"/>
            <w:tcBorders>
              <w:top w:val="nil"/>
              <w:left w:val="nil"/>
              <w:bottom w:val="nil"/>
              <w:right w:val="nil"/>
            </w:tcBorders>
            <w:shd w:val="clear" w:color="auto" w:fill="auto"/>
            <w:noWrap/>
            <w:vAlign w:val="bottom"/>
            <w:hideMark/>
          </w:tcPr>
          <w:p w14:paraId="02FEA02A"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75D0330"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6875E39"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5.3. Izvanproračunski korisnici</w:t>
            </w:r>
          </w:p>
        </w:tc>
        <w:tc>
          <w:tcPr>
            <w:tcW w:w="1480" w:type="dxa"/>
            <w:tcBorders>
              <w:top w:val="nil"/>
              <w:left w:val="nil"/>
              <w:bottom w:val="nil"/>
              <w:right w:val="nil"/>
            </w:tcBorders>
            <w:shd w:val="clear" w:color="auto" w:fill="auto"/>
            <w:noWrap/>
            <w:vAlign w:val="bottom"/>
            <w:hideMark/>
          </w:tcPr>
          <w:p w14:paraId="423699AF"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74.920,00</w:t>
            </w:r>
          </w:p>
        </w:tc>
        <w:tc>
          <w:tcPr>
            <w:tcW w:w="1380" w:type="dxa"/>
            <w:tcBorders>
              <w:top w:val="nil"/>
              <w:left w:val="nil"/>
              <w:bottom w:val="nil"/>
              <w:right w:val="nil"/>
            </w:tcBorders>
            <w:shd w:val="clear" w:color="auto" w:fill="auto"/>
            <w:noWrap/>
            <w:vAlign w:val="bottom"/>
            <w:hideMark/>
          </w:tcPr>
          <w:p w14:paraId="43B2947B"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74.920,00</w:t>
            </w:r>
          </w:p>
        </w:tc>
        <w:tc>
          <w:tcPr>
            <w:tcW w:w="1400" w:type="dxa"/>
            <w:tcBorders>
              <w:top w:val="nil"/>
              <w:left w:val="nil"/>
              <w:bottom w:val="nil"/>
              <w:right w:val="nil"/>
            </w:tcBorders>
            <w:shd w:val="clear" w:color="auto" w:fill="auto"/>
            <w:noWrap/>
            <w:vAlign w:val="bottom"/>
            <w:hideMark/>
          </w:tcPr>
          <w:p w14:paraId="34F71E9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w:t>
            </w:r>
          </w:p>
        </w:tc>
      </w:tr>
      <w:tr w:rsidR="00A360DB" w:rsidRPr="00A360DB" w14:paraId="51D358DD" w14:textId="77777777" w:rsidTr="00A360DB">
        <w:trPr>
          <w:trHeight w:val="240"/>
        </w:trPr>
        <w:tc>
          <w:tcPr>
            <w:tcW w:w="1697" w:type="dxa"/>
            <w:tcBorders>
              <w:top w:val="nil"/>
              <w:left w:val="nil"/>
              <w:bottom w:val="nil"/>
              <w:right w:val="nil"/>
            </w:tcBorders>
            <w:shd w:val="clear" w:color="auto" w:fill="auto"/>
            <w:noWrap/>
            <w:vAlign w:val="bottom"/>
            <w:hideMark/>
          </w:tcPr>
          <w:p w14:paraId="164FFFBD"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32</w:t>
            </w:r>
          </w:p>
        </w:tc>
        <w:tc>
          <w:tcPr>
            <w:tcW w:w="8509" w:type="dxa"/>
            <w:tcBorders>
              <w:top w:val="nil"/>
              <w:left w:val="nil"/>
              <w:bottom w:val="nil"/>
              <w:right w:val="nil"/>
            </w:tcBorders>
            <w:shd w:val="clear" w:color="auto" w:fill="auto"/>
            <w:noWrap/>
            <w:vAlign w:val="bottom"/>
            <w:hideMark/>
          </w:tcPr>
          <w:p w14:paraId="1612AB1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Materijalni rashodi                                                                                 </w:t>
            </w:r>
          </w:p>
        </w:tc>
        <w:tc>
          <w:tcPr>
            <w:tcW w:w="1480" w:type="dxa"/>
            <w:tcBorders>
              <w:top w:val="nil"/>
              <w:left w:val="nil"/>
              <w:bottom w:val="nil"/>
              <w:right w:val="nil"/>
            </w:tcBorders>
            <w:shd w:val="clear" w:color="auto" w:fill="auto"/>
            <w:noWrap/>
            <w:vAlign w:val="bottom"/>
            <w:hideMark/>
          </w:tcPr>
          <w:p w14:paraId="653A320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74.920,00</w:t>
            </w:r>
          </w:p>
        </w:tc>
        <w:tc>
          <w:tcPr>
            <w:tcW w:w="1380" w:type="dxa"/>
            <w:tcBorders>
              <w:top w:val="nil"/>
              <w:left w:val="nil"/>
              <w:bottom w:val="nil"/>
              <w:right w:val="nil"/>
            </w:tcBorders>
            <w:shd w:val="clear" w:color="auto" w:fill="auto"/>
            <w:noWrap/>
            <w:vAlign w:val="bottom"/>
            <w:hideMark/>
          </w:tcPr>
          <w:p w14:paraId="049DF18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74.920,00</w:t>
            </w:r>
          </w:p>
        </w:tc>
        <w:tc>
          <w:tcPr>
            <w:tcW w:w="1400" w:type="dxa"/>
            <w:tcBorders>
              <w:top w:val="nil"/>
              <w:left w:val="nil"/>
              <w:bottom w:val="nil"/>
              <w:right w:val="nil"/>
            </w:tcBorders>
            <w:shd w:val="clear" w:color="auto" w:fill="auto"/>
            <w:noWrap/>
            <w:vAlign w:val="bottom"/>
            <w:hideMark/>
          </w:tcPr>
          <w:p w14:paraId="3A47068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r>
      <w:tr w:rsidR="00A360DB" w:rsidRPr="00A360DB" w14:paraId="0DD5ED5B" w14:textId="77777777" w:rsidTr="00A360DB">
        <w:trPr>
          <w:trHeight w:val="240"/>
        </w:trPr>
        <w:tc>
          <w:tcPr>
            <w:tcW w:w="1697" w:type="dxa"/>
            <w:tcBorders>
              <w:top w:val="nil"/>
              <w:left w:val="nil"/>
              <w:bottom w:val="nil"/>
              <w:right w:val="nil"/>
            </w:tcBorders>
            <w:shd w:val="clear" w:color="auto" w:fill="auto"/>
            <w:noWrap/>
            <w:vAlign w:val="bottom"/>
            <w:hideMark/>
          </w:tcPr>
          <w:p w14:paraId="340509F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3232</w:t>
            </w:r>
          </w:p>
        </w:tc>
        <w:tc>
          <w:tcPr>
            <w:tcW w:w="8509" w:type="dxa"/>
            <w:tcBorders>
              <w:top w:val="nil"/>
              <w:left w:val="nil"/>
              <w:bottom w:val="nil"/>
              <w:right w:val="nil"/>
            </w:tcBorders>
            <w:shd w:val="clear" w:color="auto" w:fill="auto"/>
            <w:noWrap/>
            <w:vAlign w:val="bottom"/>
            <w:hideMark/>
          </w:tcPr>
          <w:p w14:paraId="405C80AE"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Usluge tekućeg i investicijskog održavanja                                                          </w:t>
            </w:r>
          </w:p>
        </w:tc>
        <w:tc>
          <w:tcPr>
            <w:tcW w:w="1480" w:type="dxa"/>
            <w:tcBorders>
              <w:top w:val="nil"/>
              <w:left w:val="nil"/>
              <w:bottom w:val="nil"/>
              <w:right w:val="nil"/>
            </w:tcBorders>
            <w:shd w:val="clear" w:color="auto" w:fill="auto"/>
            <w:noWrap/>
            <w:vAlign w:val="bottom"/>
            <w:hideMark/>
          </w:tcPr>
          <w:p w14:paraId="37C16A47"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1217022F"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74.920,00</w:t>
            </w:r>
          </w:p>
        </w:tc>
        <w:tc>
          <w:tcPr>
            <w:tcW w:w="1400" w:type="dxa"/>
            <w:tcBorders>
              <w:top w:val="nil"/>
              <w:left w:val="nil"/>
              <w:bottom w:val="nil"/>
              <w:right w:val="nil"/>
            </w:tcBorders>
            <w:shd w:val="clear" w:color="auto" w:fill="auto"/>
            <w:noWrap/>
            <w:vAlign w:val="bottom"/>
            <w:hideMark/>
          </w:tcPr>
          <w:p w14:paraId="17BB7721"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FDACC11" w14:textId="77777777" w:rsidTr="00A360DB">
        <w:trPr>
          <w:trHeight w:val="240"/>
        </w:trPr>
        <w:tc>
          <w:tcPr>
            <w:tcW w:w="1697" w:type="dxa"/>
            <w:tcBorders>
              <w:top w:val="nil"/>
              <w:left w:val="nil"/>
              <w:bottom w:val="nil"/>
              <w:right w:val="nil"/>
            </w:tcBorders>
            <w:shd w:val="clear" w:color="000000" w:fill="1D4BB3"/>
            <w:noWrap/>
            <w:vAlign w:val="bottom"/>
            <w:hideMark/>
          </w:tcPr>
          <w:p w14:paraId="62FF70A8" w14:textId="77777777" w:rsidR="00A360DB" w:rsidRPr="00A360DB" w:rsidRDefault="00A360DB" w:rsidP="00A360DB">
            <w:pPr>
              <w:spacing w:after="0" w:line="240" w:lineRule="auto"/>
              <w:rPr>
                <w:rFonts w:ascii="Arial" w:hAnsi="Arial" w:cs="Arial"/>
                <w:b/>
                <w:bCs/>
                <w:color w:val="FFFFFF"/>
                <w:sz w:val="18"/>
                <w:szCs w:val="18"/>
                <w:lang w:eastAsia="hr-HR"/>
              </w:rPr>
            </w:pPr>
            <w:r w:rsidRPr="00A360DB">
              <w:rPr>
                <w:rFonts w:ascii="Arial" w:hAnsi="Arial" w:cs="Arial"/>
                <w:b/>
                <w:bCs/>
                <w:color w:val="FFFFFF"/>
                <w:sz w:val="18"/>
                <w:szCs w:val="18"/>
                <w:lang w:eastAsia="hr-HR"/>
              </w:rPr>
              <w:t>1011</w:t>
            </w:r>
          </w:p>
        </w:tc>
        <w:tc>
          <w:tcPr>
            <w:tcW w:w="8509" w:type="dxa"/>
            <w:tcBorders>
              <w:top w:val="nil"/>
              <w:left w:val="nil"/>
              <w:bottom w:val="nil"/>
              <w:right w:val="nil"/>
            </w:tcBorders>
            <w:shd w:val="clear" w:color="000000" w:fill="1D4BB3"/>
            <w:noWrap/>
            <w:vAlign w:val="bottom"/>
            <w:hideMark/>
          </w:tcPr>
          <w:p w14:paraId="7C91CA80" w14:textId="77777777" w:rsidR="00A360DB" w:rsidRPr="00A360DB" w:rsidRDefault="00A360DB" w:rsidP="00A360DB">
            <w:pPr>
              <w:spacing w:after="0" w:line="240" w:lineRule="auto"/>
              <w:rPr>
                <w:rFonts w:ascii="Arial" w:hAnsi="Arial" w:cs="Arial"/>
                <w:b/>
                <w:bCs/>
                <w:color w:val="FFFFFF"/>
                <w:sz w:val="18"/>
                <w:szCs w:val="18"/>
                <w:lang w:eastAsia="hr-HR"/>
              </w:rPr>
            </w:pPr>
            <w:r w:rsidRPr="00A360DB">
              <w:rPr>
                <w:rFonts w:ascii="Arial" w:hAnsi="Arial" w:cs="Arial"/>
                <w:b/>
                <w:bCs/>
                <w:color w:val="FFFFFF"/>
                <w:sz w:val="18"/>
                <w:szCs w:val="18"/>
                <w:lang w:eastAsia="hr-HR"/>
              </w:rPr>
              <w:t>Program: Izgradnja komunalne infrastrukture</w:t>
            </w:r>
          </w:p>
        </w:tc>
        <w:tc>
          <w:tcPr>
            <w:tcW w:w="1480" w:type="dxa"/>
            <w:tcBorders>
              <w:top w:val="nil"/>
              <w:left w:val="nil"/>
              <w:bottom w:val="nil"/>
              <w:right w:val="nil"/>
            </w:tcBorders>
            <w:shd w:val="clear" w:color="000000" w:fill="1D4BB3"/>
            <w:noWrap/>
            <w:vAlign w:val="bottom"/>
            <w:hideMark/>
          </w:tcPr>
          <w:p w14:paraId="001278CE"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374.477,28</w:t>
            </w:r>
          </w:p>
        </w:tc>
        <w:tc>
          <w:tcPr>
            <w:tcW w:w="1380" w:type="dxa"/>
            <w:tcBorders>
              <w:top w:val="nil"/>
              <w:left w:val="nil"/>
              <w:bottom w:val="nil"/>
              <w:right w:val="nil"/>
            </w:tcBorders>
            <w:shd w:val="clear" w:color="000000" w:fill="1D4BB3"/>
            <w:noWrap/>
            <w:vAlign w:val="bottom"/>
            <w:hideMark/>
          </w:tcPr>
          <w:p w14:paraId="5FB12451"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335.276,69</w:t>
            </w:r>
          </w:p>
        </w:tc>
        <w:tc>
          <w:tcPr>
            <w:tcW w:w="1400" w:type="dxa"/>
            <w:tcBorders>
              <w:top w:val="nil"/>
              <w:left w:val="nil"/>
              <w:bottom w:val="nil"/>
              <w:right w:val="nil"/>
            </w:tcBorders>
            <w:shd w:val="clear" w:color="000000" w:fill="1D4BB3"/>
            <w:noWrap/>
            <w:vAlign w:val="bottom"/>
            <w:hideMark/>
          </w:tcPr>
          <w:p w14:paraId="29CB1B15"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89,53%</w:t>
            </w:r>
          </w:p>
        </w:tc>
      </w:tr>
      <w:tr w:rsidR="00A360DB" w:rsidRPr="00A360DB" w14:paraId="6EF45BC2" w14:textId="77777777" w:rsidTr="00A360DB">
        <w:trPr>
          <w:trHeight w:val="240"/>
        </w:trPr>
        <w:tc>
          <w:tcPr>
            <w:tcW w:w="1697" w:type="dxa"/>
            <w:tcBorders>
              <w:top w:val="nil"/>
              <w:left w:val="nil"/>
              <w:bottom w:val="nil"/>
              <w:right w:val="nil"/>
            </w:tcBorders>
            <w:shd w:val="clear" w:color="000000" w:fill="B4C6E7"/>
            <w:noWrap/>
            <w:vAlign w:val="bottom"/>
            <w:hideMark/>
          </w:tcPr>
          <w:p w14:paraId="37D3A768"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lastRenderedPageBreak/>
              <w:t>K101104</w:t>
            </w:r>
          </w:p>
        </w:tc>
        <w:tc>
          <w:tcPr>
            <w:tcW w:w="8509" w:type="dxa"/>
            <w:tcBorders>
              <w:top w:val="nil"/>
              <w:left w:val="nil"/>
              <w:bottom w:val="nil"/>
              <w:right w:val="nil"/>
            </w:tcBorders>
            <w:shd w:val="clear" w:color="000000" w:fill="B4C6E7"/>
            <w:noWrap/>
            <w:vAlign w:val="bottom"/>
            <w:hideMark/>
          </w:tcPr>
          <w:p w14:paraId="4DCA04BE"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Kapitalni projekt: Izgradnja nogostupa</w:t>
            </w:r>
          </w:p>
        </w:tc>
        <w:tc>
          <w:tcPr>
            <w:tcW w:w="1480" w:type="dxa"/>
            <w:tcBorders>
              <w:top w:val="nil"/>
              <w:left w:val="nil"/>
              <w:bottom w:val="nil"/>
              <w:right w:val="nil"/>
            </w:tcBorders>
            <w:shd w:val="clear" w:color="000000" w:fill="B4C6E7"/>
            <w:noWrap/>
            <w:vAlign w:val="bottom"/>
            <w:hideMark/>
          </w:tcPr>
          <w:p w14:paraId="5A24BD3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20.000,00</w:t>
            </w:r>
          </w:p>
        </w:tc>
        <w:tc>
          <w:tcPr>
            <w:tcW w:w="1380" w:type="dxa"/>
            <w:tcBorders>
              <w:top w:val="nil"/>
              <w:left w:val="nil"/>
              <w:bottom w:val="nil"/>
              <w:right w:val="nil"/>
            </w:tcBorders>
            <w:shd w:val="clear" w:color="000000" w:fill="B4C6E7"/>
            <w:noWrap/>
            <w:vAlign w:val="bottom"/>
            <w:hideMark/>
          </w:tcPr>
          <w:p w14:paraId="4E7B0EA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12.513,34</w:t>
            </w:r>
          </w:p>
        </w:tc>
        <w:tc>
          <w:tcPr>
            <w:tcW w:w="1400" w:type="dxa"/>
            <w:tcBorders>
              <w:top w:val="nil"/>
              <w:left w:val="nil"/>
              <w:bottom w:val="nil"/>
              <w:right w:val="nil"/>
            </w:tcBorders>
            <w:shd w:val="clear" w:color="000000" w:fill="B4C6E7"/>
            <w:noWrap/>
            <w:vAlign w:val="bottom"/>
            <w:hideMark/>
          </w:tcPr>
          <w:p w14:paraId="61ED7D7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62,57%</w:t>
            </w:r>
          </w:p>
        </w:tc>
      </w:tr>
      <w:tr w:rsidR="00A360DB" w:rsidRPr="00A360DB" w14:paraId="4C9421E6"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2F710D86"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9. Višak iz prethodnih razdoblja</w:t>
            </w:r>
          </w:p>
        </w:tc>
        <w:tc>
          <w:tcPr>
            <w:tcW w:w="1480" w:type="dxa"/>
            <w:tcBorders>
              <w:top w:val="nil"/>
              <w:left w:val="nil"/>
              <w:bottom w:val="nil"/>
              <w:right w:val="nil"/>
            </w:tcBorders>
            <w:shd w:val="clear" w:color="auto" w:fill="auto"/>
            <w:noWrap/>
            <w:vAlign w:val="bottom"/>
            <w:hideMark/>
          </w:tcPr>
          <w:p w14:paraId="1F20A4D3"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20.000,00</w:t>
            </w:r>
          </w:p>
        </w:tc>
        <w:tc>
          <w:tcPr>
            <w:tcW w:w="1380" w:type="dxa"/>
            <w:tcBorders>
              <w:top w:val="nil"/>
              <w:left w:val="nil"/>
              <w:bottom w:val="nil"/>
              <w:right w:val="nil"/>
            </w:tcBorders>
            <w:shd w:val="clear" w:color="auto" w:fill="auto"/>
            <w:noWrap/>
            <w:vAlign w:val="bottom"/>
            <w:hideMark/>
          </w:tcPr>
          <w:p w14:paraId="425FEFA5"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12.513,34</w:t>
            </w:r>
          </w:p>
        </w:tc>
        <w:tc>
          <w:tcPr>
            <w:tcW w:w="1400" w:type="dxa"/>
            <w:tcBorders>
              <w:top w:val="nil"/>
              <w:left w:val="nil"/>
              <w:bottom w:val="nil"/>
              <w:right w:val="nil"/>
            </w:tcBorders>
            <w:shd w:val="clear" w:color="auto" w:fill="auto"/>
            <w:noWrap/>
            <w:vAlign w:val="bottom"/>
            <w:hideMark/>
          </w:tcPr>
          <w:p w14:paraId="7579613C"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62,57%</w:t>
            </w:r>
          </w:p>
        </w:tc>
      </w:tr>
      <w:tr w:rsidR="00A360DB" w:rsidRPr="00A360DB" w14:paraId="7A190658"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9E54BFE"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9.2. Višak iz prethodnih godina - Grad</w:t>
            </w:r>
          </w:p>
        </w:tc>
        <w:tc>
          <w:tcPr>
            <w:tcW w:w="1480" w:type="dxa"/>
            <w:tcBorders>
              <w:top w:val="nil"/>
              <w:left w:val="nil"/>
              <w:bottom w:val="nil"/>
              <w:right w:val="nil"/>
            </w:tcBorders>
            <w:shd w:val="clear" w:color="auto" w:fill="auto"/>
            <w:noWrap/>
            <w:vAlign w:val="bottom"/>
            <w:hideMark/>
          </w:tcPr>
          <w:p w14:paraId="1CA14E81"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20.000,00</w:t>
            </w:r>
          </w:p>
        </w:tc>
        <w:tc>
          <w:tcPr>
            <w:tcW w:w="1380" w:type="dxa"/>
            <w:tcBorders>
              <w:top w:val="nil"/>
              <w:left w:val="nil"/>
              <w:bottom w:val="nil"/>
              <w:right w:val="nil"/>
            </w:tcBorders>
            <w:shd w:val="clear" w:color="auto" w:fill="auto"/>
            <w:noWrap/>
            <w:vAlign w:val="bottom"/>
            <w:hideMark/>
          </w:tcPr>
          <w:p w14:paraId="734D6EAC"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12.513,34</w:t>
            </w:r>
          </w:p>
        </w:tc>
        <w:tc>
          <w:tcPr>
            <w:tcW w:w="1400" w:type="dxa"/>
            <w:tcBorders>
              <w:top w:val="nil"/>
              <w:left w:val="nil"/>
              <w:bottom w:val="nil"/>
              <w:right w:val="nil"/>
            </w:tcBorders>
            <w:shd w:val="clear" w:color="auto" w:fill="auto"/>
            <w:noWrap/>
            <w:vAlign w:val="bottom"/>
            <w:hideMark/>
          </w:tcPr>
          <w:p w14:paraId="7C9BA51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62,57%</w:t>
            </w:r>
          </w:p>
        </w:tc>
      </w:tr>
      <w:tr w:rsidR="00A360DB" w:rsidRPr="00A360DB" w14:paraId="1CAE4B58" w14:textId="77777777" w:rsidTr="00A360DB">
        <w:trPr>
          <w:trHeight w:val="240"/>
        </w:trPr>
        <w:tc>
          <w:tcPr>
            <w:tcW w:w="1697" w:type="dxa"/>
            <w:tcBorders>
              <w:top w:val="nil"/>
              <w:left w:val="nil"/>
              <w:bottom w:val="nil"/>
              <w:right w:val="nil"/>
            </w:tcBorders>
            <w:shd w:val="clear" w:color="auto" w:fill="auto"/>
            <w:noWrap/>
            <w:vAlign w:val="bottom"/>
            <w:hideMark/>
          </w:tcPr>
          <w:p w14:paraId="2D155794"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42</w:t>
            </w:r>
          </w:p>
        </w:tc>
        <w:tc>
          <w:tcPr>
            <w:tcW w:w="8509" w:type="dxa"/>
            <w:tcBorders>
              <w:top w:val="nil"/>
              <w:left w:val="nil"/>
              <w:bottom w:val="nil"/>
              <w:right w:val="nil"/>
            </w:tcBorders>
            <w:shd w:val="clear" w:color="auto" w:fill="auto"/>
            <w:noWrap/>
            <w:vAlign w:val="bottom"/>
            <w:hideMark/>
          </w:tcPr>
          <w:p w14:paraId="26CD9B1D"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nabavu proizvedene dugotrajne imovine                                                    </w:t>
            </w:r>
          </w:p>
        </w:tc>
        <w:tc>
          <w:tcPr>
            <w:tcW w:w="1480" w:type="dxa"/>
            <w:tcBorders>
              <w:top w:val="nil"/>
              <w:left w:val="nil"/>
              <w:bottom w:val="nil"/>
              <w:right w:val="nil"/>
            </w:tcBorders>
            <w:shd w:val="clear" w:color="auto" w:fill="auto"/>
            <w:noWrap/>
            <w:vAlign w:val="bottom"/>
            <w:hideMark/>
          </w:tcPr>
          <w:p w14:paraId="38C472E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20.000,00</w:t>
            </w:r>
          </w:p>
        </w:tc>
        <w:tc>
          <w:tcPr>
            <w:tcW w:w="1380" w:type="dxa"/>
            <w:tcBorders>
              <w:top w:val="nil"/>
              <w:left w:val="nil"/>
              <w:bottom w:val="nil"/>
              <w:right w:val="nil"/>
            </w:tcBorders>
            <w:shd w:val="clear" w:color="auto" w:fill="auto"/>
            <w:noWrap/>
            <w:vAlign w:val="bottom"/>
            <w:hideMark/>
          </w:tcPr>
          <w:p w14:paraId="63794A8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12.513,34</w:t>
            </w:r>
          </w:p>
        </w:tc>
        <w:tc>
          <w:tcPr>
            <w:tcW w:w="1400" w:type="dxa"/>
            <w:tcBorders>
              <w:top w:val="nil"/>
              <w:left w:val="nil"/>
              <w:bottom w:val="nil"/>
              <w:right w:val="nil"/>
            </w:tcBorders>
            <w:shd w:val="clear" w:color="auto" w:fill="auto"/>
            <w:noWrap/>
            <w:vAlign w:val="bottom"/>
            <w:hideMark/>
          </w:tcPr>
          <w:p w14:paraId="3F2C2C5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62,57%</w:t>
            </w:r>
          </w:p>
        </w:tc>
      </w:tr>
      <w:tr w:rsidR="00A360DB" w:rsidRPr="00A360DB" w14:paraId="014D58CD" w14:textId="77777777" w:rsidTr="00A360DB">
        <w:trPr>
          <w:trHeight w:val="240"/>
        </w:trPr>
        <w:tc>
          <w:tcPr>
            <w:tcW w:w="1697" w:type="dxa"/>
            <w:tcBorders>
              <w:top w:val="nil"/>
              <w:left w:val="nil"/>
              <w:bottom w:val="nil"/>
              <w:right w:val="nil"/>
            </w:tcBorders>
            <w:shd w:val="clear" w:color="auto" w:fill="auto"/>
            <w:noWrap/>
            <w:vAlign w:val="bottom"/>
            <w:hideMark/>
          </w:tcPr>
          <w:p w14:paraId="658D2FD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4214</w:t>
            </w:r>
          </w:p>
        </w:tc>
        <w:tc>
          <w:tcPr>
            <w:tcW w:w="8509" w:type="dxa"/>
            <w:tcBorders>
              <w:top w:val="nil"/>
              <w:left w:val="nil"/>
              <w:bottom w:val="nil"/>
              <w:right w:val="nil"/>
            </w:tcBorders>
            <w:shd w:val="clear" w:color="auto" w:fill="auto"/>
            <w:noWrap/>
            <w:vAlign w:val="bottom"/>
            <w:hideMark/>
          </w:tcPr>
          <w:p w14:paraId="7471C9E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Ostali građevinski objekti                                                                          </w:t>
            </w:r>
          </w:p>
        </w:tc>
        <w:tc>
          <w:tcPr>
            <w:tcW w:w="1480" w:type="dxa"/>
            <w:tcBorders>
              <w:top w:val="nil"/>
              <w:left w:val="nil"/>
              <w:bottom w:val="nil"/>
              <w:right w:val="nil"/>
            </w:tcBorders>
            <w:shd w:val="clear" w:color="auto" w:fill="auto"/>
            <w:noWrap/>
            <w:vAlign w:val="bottom"/>
            <w:hideMark/>
          </w:tcPr>
          <w:p w14:paraId="4C5CCCCF"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1F2A0C20"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12.513,34</w:t>
            </w:r>
          </w:p>
        </w:tc>
        <w:tc>
          <w:tcPr>
            <w:tcW w:w="1400" w:type="dxa"/>
            <w:tcBorders>
              <w:top w:val="nil"/>
              <w:left w:val="nil"/>
              <w:bottom w:val="nil"/>
              <w:right w:val="nil"/>
            </w:tcBorders>
            <w:shd w:val="clear" w:color="auto" w:fill="auto"/>
            <w:noWrap/>
            <w:vAlign w:val="bottom"/>
            <w:hideMark/>
          </w:tcPr>
          <w:p w14:paraId="2B1FE2D2"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5CBAD6B4" w14:textId="77777777" w:rsidTr="00A360DB">
        <w:trPr>
          <w:trHeight w:val="240"/>
        </w:trPr>
        <w:tc>
          <w:tcPr>
            <w:tcW w:w="1697" w:type="dxa"/>
            <w:tcBorders>
              <w:top w:val="nil"/>
              <w:left w:val="nil"/>
              <w:bottom w:val="nil"/>
              <w:right w:val="nil"/>
            </w:tcBorders>
            <w:shd w:val="clear" w:color="000000" w:fill="B4C6E7"/>
            <w:noWrap/>
            <w:vAlign w:val="bottom"/>
            <w:hideMark/>
          </w:tcPr>
          <w:p w14:paraId="0F546108"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K101107</w:t>
            </w:r>
          </w:p>
        </w:tc>
        <w:tc>
          <w:tcPr>
            <w:tcW w:w="8509" w:type="dxa"/>
            <w:tcBorders>
              <w:top w:val="nil"/>
              <w:left w:val="nil"/>
              <w:bottom w:val="nil"/>
              <w:right w:val="nil"/>
            </w:tcBorders>
            <w:shd w:val="clear" w:color="000000" w:fill="B4C6E7"/>
            <w:noWrap/>
            <w:vAlign w:val="bottom"/>
            <w:hideMark/>
          </w:tcPr>
          <w:p w14:paraId="331B17FF"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Kapitalni projekt: Građevine i uređaji javne namjene</w:t>
            </w:r>
          </w:p>
        </w:tc>
        <w:tc>
          <w:tcPr>
            <w:tcW w:w="1480" w:type="dxa"/>
            <w:tcBorders>
              <w:top w:val="nil"/>
              <w:left w:val="nil"/>
              <w:bottom w:val="nil"/>
              <w:right w:val="nil"/>
            </w:tcBorders>
            <w:shd w:val="clear" w:color="000000" w:fill="B4C6E7"/>
            <w:noWrap/>
            <w:vAlign w:val="bottom"/>
            <w:hideMark/>
          </w:tcPr>
          <w:p w14:paraId="3174576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17.900,00</w:t>
            </w:r>
          </w:p>
        </w:tc>
        <w:tc>
          <w:tcPr>
            <w:tcW w:w="1380" w:type="dxa"/>
            <w:tcBorders>
              <w:top w:val="nil"/>
              <w:left w:val="nil"/>
              <w:bottom w:val="nil"/>
              <w:right w:val="nil"/>
            </w:tcBorders>
            <w:shd w:val="clear" w:color="000000" w:fill="B4C6E7"/>
            <w:noWrap/>
            <w:vAlign w:val="bottom"/>
            <w:hideMark/>
          </w:tcPr>
          <w:p w14:paraId="574B0B9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2.900,00</w:t>
            </w:r>
          </w:p>
        </w:tc>
        <w:tc>
          <w:tcPr>
            <w:tcW w:w="1400" w:type="dxa"/>
            <w:tcBorders>
              <w:top w:val="nil"/>
              <w:left w:val="nil"/>
              <w:bottom w:val="nil"/>
              <w:right w:val="nil"/>
            </w:tcBorders>
            <w:shd w:val="clear" w:color="000000" w:fill="B4C6E7"/>
            <w:noWrap/>
            <w:vAlign w:val="bottom"/>
            <w:hideMark/>
          </w:tcPr>
          <w:p w14:paraId="75085BE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16,20%</w:t>
            </w:r>
          </w:p>
        </w:tc>
      </w:tr>
      <w:tr w:rsidR="00A360DB" w:rsidRPr="00A360DB" w14:paraId="5A57BA84"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6CBA850"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4. Prihodi za posebne namjene</w:t>
            </w:r>
          </w:p>
        </w:tc>
        <w:tc>
          <w:tcPr>
            <w:tcW w:w="1480" w:type="dxa"/>
            <w:tcBorders>
              <w:top w:val="nil"/>
              <w:left w:val="nil"/>
              <w:bottom w:val="nil"/>
              <w:right w:val="nil"/>
            </w:tcBorders>
            <w:shd w:val="clear" w:color="auto" w:fill="auto"/>
            <w:noWrap/>
            <w:vAlign w:val="bottom"/>
            <w:hideMark/>
          </w:tcPr>
          <w:p w14:paraId="4E04AE46"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2.900,00</w:t>
            </w:r>
          </w:p>
        </w:tc>
        <w:tc>
          <w:tcPr>
            <w:tcW w:w="1380" w:type="dxa"/>
            <w:tcBorders>
              <w:top w:val="nil"/>
              <w:left w:val="nil"/>
              <w:bottom w:val="nil"/>
              <w:right w:val="nil"/>
            </w:tcBorders>
            <w:shd w:val="clear" w:color="auto" w:fill="auto"/>
            <w:noWrap/>
            <w:vAlign w:val="bottom"/>
            <w:hideMark/>
          </w:tcPr>
          <w:p w14:paraId="249E8986"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2.900,00</w:t>
            </w:r>
          </w:p>
        </w:tc>
        <w:tc>
          <w:tcPr>
            <w:tcW w:w="1400" w:type="dxa"/>
            <w:tcBorders>
              <w:top w:val="nil"/>
              <w:left w:val="nil"/>
              <w:bottom w:val="nil"/>
              <w:right w:val="nil"/>
            </w:tcBorders>
            <w:shd w:val="clear" w:color="auto" w:fill="auto"/>
            <w:noWrap/>
            <w:vAlign w:val="bottom"/>
            <w:hideMark/>
          </w:tcPr>
          <w:p w14:paraId="710EA83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w:t>
            </w:r>
          </w:p>
        </w:tc>
      </w:tr>
      <w:tr w:rsidR="00A360DB" w:rsidRPr="00A360DB" w14:paraId="3227F410"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29B3BE2"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4.1. Prihodi za posebne namjene</w:t>
            </w:r>
          </w:p>
        </w:tc>
        <w:tc>
          <w:tcPr>
            <w:tcW w:w="1480" w:type="dxa"/>
            <w:tcBorders>
              <w:top w:val="nil"/>
              <w:left w:val="nil"/>
              <w:bottom w:val="nil"/>
              <w:right w:val="nil"/>
            </w:tcBorders>
            <w:shd w:val="clear" w:color="auto" w:fill="auto"/>
            <w:noWrap/>
            <w:vAlign w:val="bottom"/>
            <w:hideMark/>
          </w:tcPr>
          <w:p w14:paraId="48553673"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2.900,00</w:t>
            </w:r>
          </w:p>
        </w:tc>
        <w:tc>
          <w:tcPr>
            <w:tcW w:w="1380" w:type="dxa"/>
            <w:tcBorders>
              <w:top w:val="nil"/>
              <w:left w:val="nil"/>
              <w:bottom w:val="nil"/>
              <w:right w:val="nil"/>
            </w:tcBorders>
            <w:shd w:val="clear" w:color="auto" w:fill="auto"/>
            <w:noWrap/>
            <w:vAlign w:val="bottom"/>
            <w:hideMark/>
          </w:tcPr>
          <w:p w14:paraId="0816C29B"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2.900,00</w:t>
            </w:r>
          </w:p>
        </w:tc>
        <w:tc>
          <w:tcPr>
            <w:tcW w:w="1400" w:type="dxa"/>
            <w:tcBorders>
              <w:top w:val="nil"/>
              <w:left w:val="nil"/>
              <w:bottom w:val="nil"/>
              <w:right w:val="nil"/>
            </w:tcBorders>
            <w:shd w:val="clear" w:color="auto" w:fill="auto"/>
            <w:noWrap/>
            <w:vAlign w:val="bottom"/>
            <w:hideMark/>
          </w:tcPr>
          <w:p w14:paraId="6C346C34"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w:t>
            </w:r>
          </w:p>
        </w:tc>
      </w:tr>
      <w:tr w:rsidR="00A360DB" w:rsidRPr="00A360DB" w14:paraId="10C6D544" w14:textId="77777777" w:rsidTr="00A360DB">
        <w:trPr>
          <w:trHeight w:val="240"/>
        </w:trPr>
        <w:tc>
          <w:tcPr>
            <w:tcW w:w="1697" w:type="dxa"/>
            <w:tcBorders>
              <w:top w:val="nil"/>
              <w:left w:val="nil"/>
              <w:bottom w:val="nil"/>
              <w:right w:val="nil"/>
            </w:tcBorders>
            <w:shd w:val="clear" w:color="auto" w:fill="auto"/>
            <w:noWrap/>
            <w:vAlign w:val="bottom"/>
            <w:hideMark/>
          </w:tcPr>
          <w:p w14:paraId="41CAD651"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42</w:t>
            </w:r>
          </w:p>
        </w:tc>
        <w:tc>
          <w:tcPr>
            <w:tcW w:w="8509" w:type="dxa"/>
            <w:tcBorders>
              <w:top w:val="nil"/>
              <w:left w:val="nil"/>
              <w:bottom w:val="nil"/>
              <w:right w:val="nil"/>
            </w:tcBorders>
            <w:shd w:val="clear" w:color="auto" w:fill="auto"/>
            <w:noWrap/>
            <w:vAlign w:val="bottom"/>
            <w:hideMark/>
          </w:tcPr>
          <w:p w14:paraId="1D8CA65D"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nabavu proizvedene dugotrajne imovine                                                    </w:t>
            </w:r>
          </w:p>
        </w:tc>
        <w:tc>
          <w:tcPr>
            <w:tcW w:w="1480" w:type="dxa"/>
            <w:tcBorders>
              <w:top w:val="nil"/>
              <w:left w:val="nil"/>
              <w:bottom w:val="nil"/>
              <w:right w:val="nil"/>
            </w:tcBorders>
            <w:shd w:val="clear" w:color="auto" w:fill="auto"/>
            <w:noWrap/>
            <w:vAlign w:val="bottom"/>
            <w:hideMark/>
          </w:tcPr>
          <w:p w14:paraId="37D6F57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2.900,00</w:t>
            </w:r>
          </w:p>
        </w:tc>
        <w:tc>
          <w:tcPr>
            <w:tcW w:w="1380" w:type="dxa"/>
            <w:tcBorders>
              <w:top w:val="nil"/>
              <w:left w:val="nil"/>
              <w:bottom w:val="nil"/>
              <w:right w:val="nil"/>
            </w:tcBorders>
            <w:shd w:val="clear" w:color="auto" w:fill="auto"/>
            <w:noWrap/>
            <w:vAlign w:val="bottom"/>
            <w:hideMark/>
          </w:tcPr>
          <w:p w14:paraId="4C9361C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2.900,00</w:t>
            </w:r>
          </w:p>
        </w:tc>
        <w:tc>
          <w:tcPr>
            <w:tcW w:w="1400" w:type="dxa"/>
            <w:tcBorders>
              <w:top w:val="nil"/>
              <w:left w:val="nil"/>
              <w:bottom w:val="nil"/>
              <w:right w:val="nil"/>
            </w:tcBorders>
            <w:shd w:val="clear" w:color="auto" w:fill="auto"/>
            <w:noWrap/>
            <w:vAlign w:val="bottom"/>
            <w:hideMark/>
          </w:tcPr>
          <w:p w14:paraId="4D1A9B5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r>
      <w:tr w:rsidR="00A360DB" w:rsidRPr="00A360DB" w14:paraId="2487A504" w14:textId="77777777" w:rsidTr="00A360DB">
        <w:trPr>
          <w:trHeight w:val="240"/>
        </w:trPr>
        <w:tc>
          <w:tcPr>
            <w:tcW w:w="1697" w:type="dxa"/>
            <w:tcBorders>
              <w:top w:val="nil"/>
              <w:left w:val="nil"/>
              <w:bottom w:val="nil"/>
              <w:right w:val="nil"/>
            </w:tcBorders>
            <w:shd w:val="clear" w:color="auto" w:fill="auto"/>
            <w:noWrap/>
            <w:vAlign w:val="bottom"/>
            <w:hideMark/>
          </w:tcPr>
          <w:p w14:paraId="36F0581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4214</w:t>
            </w:r>
          </w:p>
        </w:tc>
        <w:tc>
          <w:tcPr>
            <w:tcW w:w="8509" w:type="dxa"/>
            <w:tcBorders>
              <w:top w:val="nil"/>
              <w:left w:val="nil"/>
              <w:bottom w:val="nil"/>
              <w:right w:val="nil"/>
            </w:tcBorders>
            <w:shd w:val="clear" w:color="auto" w:fill="auto"/>
            <w:noWrap/>
            <w:vAlign w:val="bottom"/>
            <w:hideMark/>
          </w:tcPr>
          <w:p w14:paraId="3D6F26C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Ostali građevinski objekti                                                                          </w:t>
            </w:r>
          </w:p>
        </w:tc>
        <w:tc>
          <w:tcPr>
            <w:tcW w:w="1480" w:type="dxa"/>
            <w:tcBorders>
              <w:top w:val="nil"/>
              <w:left w:val="nil"/>
              <w:bottom w:val="nil"/>
              <w:right w:val="nil"/>
            </w:tcBorders>
            <w:shd w:val="clear" w:color="auto" w:fill="auto"/>
            <w:noWrap/>
            <w:vAlign w:val="bottom"/>
            <w:hideMark/>
          </w:tcPr>
          <w:p w14:paraId="6C301070"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AF37899"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2.900,00</w:t>
            </w:r>
          </w:p>
        </w:tc>
        <w:tc>
          <w:tcPr>
            <w:tcW w:w="1400" w:type="dxa"/>
            <w:tcBorders>
              <w:top w:val="nil"/>
              <w:left w:val="nil"/>
              <w:bottom w:val="nil"/>
              <w:right w:val="nil"/>
            </w:tcBorders>
            <w:shd w:val="clear" w:color="auto" w:fill="auto"/>
            <w:noWrap/>
            <w:vAlign w:val="bottom"/>
            <w:hideMark/>
          </w:tcPr>
          <w:p w14:paraId="39664C3D"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6286A8D"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2D250AA"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9. Višak iz prethodnih razdoblja</w:t>
            </w:r>
          </w:p>
        </w:tc>
        <w:tc>
          <w:tcPr>
            <w:tcW w:w="1480" w:type="dxa"/>
            <w:tcBorders>
              <w:top w:val="nil"/>
              <w:left w:val="nil"/>
              <w:bottom w:val="nil"/>
              <w:right w:val="nil"/>
            </w:tcBorders>
            <w:shd w:val="clear" w:color="auto" w:fill="auto"/>
            <w:noWrap/>
            <w:vAlign w:val="bottom"/>
            <w:hideMark/>
          </w:tcPr>
          <w:p w14:paraId="596D44CD"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15.000,00</w:t>
            </w:r>
          </w:p>
        </w:tc>
        <w:tc>
          <w:tcPr>
            <w:tcW w:w="1380" w:type="dxa"/>
            <w:tcBorders>
              <w:top w:val="nil"/>
              <w:left w:val="nil"/>
              <w:bottom w:val="nil"/>
              <w:right w:val="nil"/>
            </w:tcBorders>
            <w:shd w:val="clear" w:color="auto" w:fill="auto"/>
            <w:noWrap/>
            <w:vAlign w:val="bottom"/>
            <w:hideMark/>
          </w:tcPr>
          <w:p w14:paraId="4FF54B69"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0,00</w:t>
            </w:r>
          </w:p>
        </w:tc>
        <w:tc>
          <w:tcPr>
            <w:tcW w:w="1400" w:type="dxa"/>
            <w:tcBorders>
              <w:top w:val="nil"/>
              <w:left w:val="nil"/>
              <w:bottom w:val="nil"/>
              <w:right w:val="nil"/>
            </w:tcBorders>
            <w:shd w:val="clear" w:color="auto" w:fill="auto"/>
            <w:noWrap/>
            <w:vAlign w:val="bottom"/>
            <w:hideMark/>
          </w:tcPr>
          <w:p w14:paraId="105ACAF2"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0,00%</w:t>
            </w:r>
          </w:p>
        </w:tc>
      </w:tr>
      <w:tr w:rsidR="00A360DB" w:rsidRPr="00A360DB" w14:paraId="1BCE0029"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578C6562"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9.2. Višak iz prethodnih godina - Grad</w:t>
            </w:r>
          </w:p>
        </w:tc>
        <w:tc>
          <w:tcPr>
            <w:tcW w:w="1480" w:type="dxa"/>
            <w:tcBorders>
              <w:top w:val="nil"/>
              <w:left w:val="nil"/>
              <w:bottom w:val="nil"/>
              <w:right w:val="nil"/>
            </w:tcBorders>
            <w:shd w:val="clear" w:color="auto" w:fill="auto"/>
            <w:noWrap/>
            <w:vAlign w:val="bottom"/>
            <w:hideMark/>
          </w:tcPr>
          <w:p w14:paraId="401A495A"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15.000,00</w:t>
            </w:r>
          </w:p>
        </w:tc>
        <w:tc>
          <w:tcPr>
            <w:tcW w:w="1380" w:type="dxa"/>
            <w:tcBorders>
              <w:top w:val="nil"/>
              <w:left w:val="nil"/>
              <w:bottom w:val="nil"/>
              <w:right w:val="nil"/>
            </w:tcBorders>
            <w:shd w:val="clear" w:color="auto" w:fill="auto"/>
            <w:noWrap/>
            <w:vAlign w:val="bottom"/>
            <w:hideMark/>
          </w:tcPr>
          <w:p w14:paraId="4B7CD8FD"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0,00</w:t>
            </w:r>
          </w:p>
        </w:tc>
        <w:tc>
          <w:tcPr>
            <w:tcW w:w="1400" w:type="dxa"/>
            <w:tcBorders>
              <w:top w:val="nil"/>
              <w:left w:val="nil"/>
              <w:bottom w:val="nil"/>
              <w:right w:val="nil"/>
            </w:tcBorders>
            <w:shd w:val="clear" w:color="auto" w:fill="auto"/>
            <w:noWrap/>
            <w:vAlign w:val="bottom"/>
            <w:hideMark/>
          </w:tcPr>
          <w:p w14:paraId="0F9D2CD7"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0,00%</w:t>
            </w:r>
          </w:p>
        </w:tc>
      </w:tr>
      <w:tr w:rsidR="00A360DB" w:rsidRPr="00A360DB" w14:paraId="6E16E875" w14:textId="77777777" w:rsidTr="00A360DB">
        <w:trPr>
          <w:trHeight w:val="240"/>
        </w:trPr>
        <w:tc>
          <w:tcPr>
            <w:tcW w:w="1697" w:type="dxa"/>
            <w:tcBorders>
              <w:top w:val="nil"/>
              <w:left w:val="nil"/>
              <w:bottom w:val="nil"/>
              <w:right w:val="nil"/>
            </w:tcBorders>
            <w:shd w:val="clear" w:color="auto" w:fill="auto"/>
            <w:noWrap/>
            <w:vAlign w:val="bottom"/>
            <w:hideMark/>
          </w:tcPr>
          <w:p w14:paraId="48E8E662"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42</w:t>
            </w:r>
          </w:p>
        </w:tc>
        <w:tc>
          <w:tcPr>
            <w:tcW w:w="8509" w:type="dxa"/>
            <w:tcBorders>
              <w:top w:val="nil"/>
              <w:left w:val="nil"/>
              <w:bottom w:val="nil"/>
              <w:right w:val="nil"/>
            </w:tcBorders>
            <w:shd w:val="clear" w:color="auto" w:fill="auto"/>
            <w:noWrap/>
            <w:vAlign w:val="bottom"/>
            <w:hideMark/>
          </w:tcPr>
          <w:p w14:paraId="29DB0E00"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nabavu proizvedene dugotrajne imovine                                                    </w:t>
            </w:r>
          </w:p>
        </w:tc>
        <w:tc>
          <w:tcPr>
            <w:tcW w:w="1480" w:type="dxa"/>
            <w:tcBorders>
              <w:top w:val="nil"/>
              <w:left w:val="nil"/>
              <w:bottom w:val="nil"/>
              <w:right w:val="nil"/>
            </w:tcBorders>
            <w:shd w:val="clear" w:color="auto" w:fill="auto"/>
            <w:noWrap/>
            <w:vAlign w:val="bottom"/>
            <w:hideMark/>
          </w:tcPr>
          <w:p w14:paraId="53B4EC0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15.000,00</w:t>
            </w:r>
          </w:p>
        </w:tc>
        <w:tc>
          <w:tcPr>
            <w:tcW w:w="1380" w:type="dxa"/>
            <w:tcBorders>
              <w:top w:val="nil"/>
              <w:left w:val="nil"/>
              <w:bottom w:val="nil"/>
              <w:right w:val="nil"/>
            </w:tcBorders>
            <w:shd w:val="clear" w:color="auto" w:fill="auto"/>
            <w:noWrap/>
            <w:vAlign w:val="bottom"/>
            <w:hideMark/>
          </w:tcPr>
          <w:p w14:paraId="5ECF435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c>
          <w:tcPr>
            <w:tcW w:w="1400" w:type="dxa"/>
            <w:tcBorders>
              <w:top w:val="nil"/>
              <w:left w:val="nil"/>
              <w:bottom w:val="nil"/>
              <w:right w:val="nil"/>
            </w:tcBorders>
            <w:shd w:val="clear" w:color="auto" w:fill="auto"/>
            <w:noWrap/>
            <w:vAlign w:val="bottom"/>
            <w:hideMark/>
          </w:tcPr>
          <w:p w14:paraId="50587F4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r>
      <w:tr w:rsidR="00A360DB" w:rsidRPr="00A360DB" w14:paraId="68DEACB0" w14:textId="77777777" w:rsidTr="00A360DB">
        <w:trPr>
          <w:trHeight w:val="240"/>
        </w:trPr>
        <w:tc>
          <w:tcPr>
            <w:tcW w:w="1697" w:type="dxa"/>
            <w:tcBorders>
              <w:top w:val="nil"/>
              <w:left w:val="nil"/>
              <w:bottom w:val="nil"/>
              <w:right w:val="nil"/>
            </w:tcBorders>
            <w:shd w:val="clear" w:color="000000" w:fill="B4C6E7"/>
            <w:noWrap/>
            <w:vAlign w:val="bottom"/>
            <w:hideMark/>
          </w:tcPr>
          <w:p w14:paraId="7FE0B667"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K101109</w:t>
            </w:r>
          </w:p>
        </w:tc>
        <w:tc>
          <w:tcPr>
            <w:tcW w:w="8509" w:type="dxa"/>
            <w:tcBorders>
              <w:top w:val="nil"/>
              <w:left w:val="nil"/>
              <w:bottom w:val="nil"/>
              <w:right w:val="nil"/>
            </w:tcBorders>
            <w:shd w:val="clear" w:color="000000" w:fill="B4C6E7"/>
            <w:noWrap/>
            <w:vAlign w:val="bottom"/>
            <w:hideMark/>
          </w:tcPr>
          <w:p w14:paraId="6AC28ED1"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Kapitalni projekt: Modernizacija javne rasvjete</w:t>
            </w:r>
          </w:p>
        </w:tc>
        <w:tc>
          <w:tcPr>
            <w:tcW w:w="1480" w:type="dxa"/>
            <w:tcBorders>
              <w:top w:val="nil"/>
              <w:left w:val="nil"/>
              <w:bottom w:val="nil"/>
              <w:right w:val="nil"/>
            </w:tcBorders>
            <w:shd w:val="clear" w:color="000000" w:fill="B4C6E7"/>
            <w:noWrap/>
            <w:vAlign w:val="bottom"/>
            <w:hideMark/>
          </w:tcPr>
          <w:p w14:paraId="44EDDC7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7.200,00</w:t>
            </w:r>
          </w:p>
        </w:tc>
        <w:tc>
          <w:tcPr>
            <w:tcW w:w="1380" w:type="dxa"/>
            <w:tcBorders>
              <w:top w:val="nil"/>
              <w:left w:val="nil"/>
              <w:bottom w:val="nil"/>
              <w:right w:val="nil"/>
            </w:tcBorders>
            <w:shd w:val="clear" w:color="000000" w:fill="B4C6E7"/>
            <w:noWrap/>
            <w:vAlign w:val="bottom"/>
            <w:hideMark/>
          </w:tcPr>
          <w:p w14:paraId="742E9FD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7.153,75</w:t>
            </w:r>
          </w:p>
        </w:tc>
        <w:tc>
          <w:tcPr>
            <w:tcW w:w="1400" w:type="dxa"/>
            <w:tcBorders>
              <w:top w:val="nil"/>
              <w:left w:val="nil"/>
              <w:bottom w:val="nil"/>
              <w:right w:val="nil"/>
            </w:tcBorders>
            <w:shd w:val="clear" w:color="000000" w:fill="B4C6E7"/>
            <w:noWrap/>
            <w:vAlign w:val="bottom"/>
            <w:hideMark/>
          </w:tcPr>
          <w:p w14:paraId="3BB6A4D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99,36%</w:t>
            </w:r>
          </w:p>
        </w:tc>
      </w:tr>
      <w:tr w:rsidR="00A360DB" w:rsidRPr="00A360DB" w14:paraId="25C8D3A0"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193BAF2"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4. Prihodi za posebne namjene</w:t>
            </w:r>
          </w:p>
        </w:tc>
        <w:tc>
          <w:tcPr>
            <w:tcW w:w="1480" w:type="dxa"/>
            <w:tcBorders>
              <w:top w:val="nil"/>
              <w:left w:val="nil"/>
              <w:bottom w:val="nil"/>
              <w:right w:val="nil"/>
            </w:tcBorders>
            <w:shd w:val="clear" w:color="auto" w:fill="auto"/>
            <w:noWrap/>
            <w:vAlign w:val="bottom"/>
            <w:hideMark/>
          </w:tcPr>
          <w:p w14:paraId="5B77BC0A"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7.200,00</w:t>
            </w:r>
          </w:p>
        </w:tc>
        <w:tc>
          <w:tcPr>
            <w:tcW w:w="1380" w:type="dxa"/>
            <w:tcBorders>
              <w:top w:val="nil"/>
              <w:left w:val="nil"/>
              <w:bottom w:val="nil"/>
              <w:right w:val="nil"/>
            </w:tcBorders>
            <w:shd w:val="clear" w:color="auto" w:fill="auto"/>
            <w:noWrap/>
            <w:vAlign w:val="bottom"/>
            <w:hideMark/>
          </w:tcPr>
          <w:p w14:paraId="1B75BB9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7.153,75</w:t>
            </w:r>
          </w:p>
        </w:tc>
        <w:tc>
          <w:tcPr>
            <w:tcW w:w="1400" w:type="dxa"/>
            <w:tcBorders>
              <w:top w:val="nil"/>
              <w:left w:val="nil"/>
              <w:bottom w:val="nil"/>
              <w:right w:val="nil"/>
            </w:tcBorders>
            <w:shd w:val="clear" w:color="auto" w:fill="auto"/>
            <w:noWrap/>
            <w:vAlign w:val="bottom"/>
            <w:hideMark/>
          </w:tcPr>
          <w:p w14:paraId="0EA9DE7B"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99,36%</w:t>
            </w:r>
          </w:p>
        </w:tc>
      </w:tr>
      <w:tr w:rsidR="00A360DB" w:rsidRPr="00A360DB" w14:paraId="05375BA7"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246B6AC8"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4.1. Prihodi za posebne namjene</w:t>
            </w:r>
          </w:p>
        </w:tc>
        <w:tc>
          <w:tcPr>
            <w:tcW w:w="1480" w:type="dxa"/>
            <w:tcBorders>
              <w:top w:val="nil"/>
              <w:left w:val="nil"/>
              <w:bottom w:val="nil"/>
              <w:right w:val="nil"/>
            </w:tcBorders>
            <w:shd w:val="clear" w:color="auto" w:fill="auto"/>
            <w:noWrap/>
            <w:vAlign w:val="bottom"/>
            <w:hideMark/>
          </w:tcPr>
          <w:p w14:paraId="47EC4356"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7.200,00</w:t>
            </w:r>
          </w:p>
        </w:tc>
        <w:tc>
          <w:tcPr>
            <w:tcW w:w="1380" w:type="dxa"/>
            <w:tcBorders>
              <w:top w:val="nil"/>
              <w:left w:val="nil"/>
              <w:bottom w:val="nil"/>
              <w:right w:val="nil"/>
            </w:tcBorders>
            <w:shd w:val="clear" w:color="auto" w:fill="auto"/>
            <w:noWrap/>
            <w:vAlign w:val="bottom"/>
            <w:hideMark/>
          </w:tcPr>
          <w:p w14:paraId="4DE01B6C"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7.153,75</w:t>
            </w:r>
          </w:p>
        </w:tc>
        <w:tc>
          <w:tcPr>
            <w:tcW w:w="1400" w:type="dxa"/>
            <w:tcBorders>
              <w:top w:val="nil"/>
              <w:left w:val="nil"/>
              <w:bottom w:val="nil"/>
              <w:right w:val="nil"/>
            </w:tcBorders>
            <w:shd w:val="clear" w:color="auto" w:fill="auto"/>
            <w:noWrap/>
            <w:vAlign w:val="bottom"/>
            <w:hideMark/>
          </w:tcPr>
          <w:p w14:paraId="2988EEA1"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99,36%</w:t>
            </w:r>
          </w:p>
        </w:tc>
      </w:tr>
      <w:tr w:rsidR="00A360DB" w:rsidRPr="00A360DB" w14:paraId="52C615D1" w14:textId="77777777" w:rsidTr="00A360DB">
        <w:trPr>
          <w:trHeight w:val="240"/>
        </w:trPr>
        <w:tc>
          <w:tcPr>
            <w:tcW w:w="1697" w:type="dxa"/>
            <w:tcBorders>
              <w:top w:val="nil"/>
              <w:left w:val="nil"/>
              <w:bottom w:val="nil"/>
              <w:right w:val="nil"/>
            </w:tcBorders>
            <w:shd w:val="clear" w:color="auto" w:fill="auto"/>
            <w:noWrap/>
            <w:vAlign w:val="bottom"/>
            <w:hideMark/>
          </w:tcPr>
          <w:p w14:paraId="37C3BBE2"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42</w:t>
            </w:r>
          </w:p>
        </w:tc>
        <w:tc>
          <w:tcPr>
            <w:tcW w:w="8509" w:type="dxa"/>
            <w:tcBorders>
              <w:top w:val="nil"/>
              <w:left w:val="nil"/>
              <w:bottom w:val="nil"/>
              <w:right w:val="nil"/>
            </w:tcBorders>
            <w:shd w:val="clear" w:color="auto" w:fill="auto"/>
            <w:noWrap/>
            <w:vAlign w:val="bottom"/>
            <w:hideMark/>
          </w:tcPr>
          <w:p w14:paraId="6B0B9900"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nabavu proizvedene dugotrajne imovine                                                    </w:t>
            </w:r>
          </w:p>
        </w:tc>
        <w:tc>
          <w:tcPr>
            <w:tcW w:w="1480" w:type="dxa"/>
            <w:tcBorders>
              <w:top w:val="nil"/>
              <w:left w:val="nil"/>
              <w:bottom w:val="nil"/>
              <w:right w:val="nil"/>
            </w:tcBorders>
            <w:shd w:val="clear" w:color="auto" w:fill="auto"/>
            <w:noWrap/>
            <w:vAlign w:val="bottom"/>
            <w:hideMark/>
          </w:tcPr>
          <w:p w14:paraId="36F9954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7.200,00</w:t>
            </w:r>
          </w:p>
        </w:tc>
        <w:tc>
          <w:tcPr>
            <w:tcW w:w="1380" w:type="dxa"/>
            <w:tcBorders>
              <w:top w:val="nil"/>
              <w:left w:val="nil"/>
              <w:bottom w:val="nil"/>
              <w:right w:val="nil"/>
            </w:tcBorders>
            <w:shd w:val="clear" w:color="auto" w:fill="auto"/>
            <w:noWrap/>
            <w:vAlign w:val="bottom"/>
            <w:hideMark/>
          </w:tcPr>
          <w:p w14:paraId="1FE09D6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7.153,75</w:t>
            </w:r>
          </w:p>
        </w:tc>
        <w:tc>
          <w:tcPr>
            <w:tcW w:w="1400" w:type="dxa"/>
            <w:tcBorders>
              <w:top w:val="nil"/>
              <w:left w:val="nil"/>
              <w:bottom w:val="nil"/>
              <w:right w:val="nil"/>
            </w:tcBorders>
            <w:shd w:val="clear" w:color="auto" w:fill="auto"/>
            <w:noWrap/>
            <w:vAlign w:val="bottom"/>
            <w:hideMark/>
          </w:tcPr>
          <w:p w14:paraId="0704809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99,36%</w:t>
            </w:r>
          </w:p>
        </w:tc>
      </w:tr>
      <w:tr w:rsidR="00A360DB" w:rsidRPr="00A360DB" w14:paraId="1B37AF53" w14:textId="77777777" w:rsidTr="00A360DB">
        <w:trPr>
          <w:trHeight w:val="240"/>
        </w:trPr>
        <w:tc>
          <w:tcPr>
            <w:tcW w:w="1697" w:type="dxa"/>
            <w:tcBorders>
              <w:top w:val="nil"/>
              <w:left w:val="nil"/>
              <w:bottom w:val="nil"/>
              <w:right w:val="nil"/>
            </w:tcBorders>
            <w:shd w:val="clear" w:color="auto" w:fill="auto"/>
            <w:noWrap/>
            <w:vAlign w:val="bottom"/>
            <w:hideMark/>
          </w:tcPr>
          <w:p w14:paraId="143FE18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4214</w:t>
            </w:r>
          </w:p>
        </w:tc>
        <w:tc>
          <w:tcPr>
            <w:tcW w:w="8509" w:type="dxa"/>
            <w:tcBorders>
              <w:top w:val="nil"/>
              <w:left w:val="nil"/>
              <w:bottom w:val="nil"/>
              <w:right w:val="nil"/>
            </w:tcBorders>
            <w:shd w:val="clear" w:color="auto" w:fill="auto"/>
            <w:noWrap/>
            <w:vAlign w:val="bottom"/>
            <w:hideMark/>
          </w:tcPr>
          <w:p w14:paraId="71BB890D"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Ostali građevinski objekti                                                                          </w:t>
            </w:r>
          </w:p>
        </w:tc>
        <w:tc>
          <w:tcPr>
            <w:tcW w:w="1480" w:type="dxa"/>
            <w:tcBorders>
              <w:top w:val="nil"/>
              <w:left w:val="nil"/>
              <w:bottom w:val="nil"/>
              <w:right w:val="nil"/>
            </w:tcBorders>
            <w:shd w:val="clear" w:color="auto" w:fill="auto"/>
            <w:noWrap/>
            <w:vAlign w:val="bottom"/>
            <w:hideMark/>
          </w:tcPr>
          <w:p w14:paraId="42859A7A"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1A8423BF"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7.153,75</w:t>
            </w:r>
          </w:p>
        </w:tc>
        <w:tc>
          <w:tcPr>
            <w:tcW w:w="1400" w:type="dxa"/>
            <w:tcBorders>
              <w:top w:val="nil"/>
              <w:left w:val="nil"/>
              <w:bottom w:val="nil"/>
              <w:right w:val="nil"/>
            </w:tcBorders>
            <w:shd w:val="clear" w:color="auto" w:fill="auto"/>
            <w:noWrap/>
            <w:vAlign w:val="bottom"/>
            <w:hideMark/>
          </w:tcPr>
          <w:p w14:paraId="5A5C1FAA"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50D9C028" w14:textId="77777777" w:rsidTr="00A360DB">
        <w:trPr>
          <w:trHeight w:val="240"/>
        </w:trPr>
        <w:tc>
          <w:tcPr>
            <w:tcW w:w="1697" w:type="dxa"/>
            <w:tcBorders>
              <w:top w:val="nil"/>
              <w:left w:val="nil"/>
              <w:bottom w:val="nil"/>
              <w:right w:val="nil"/>
            </w:tcBorders>
            <w:shd w:val="clear" w:color="000000" w:fill="B4C6E7"/>
            <w:noWrap/>
            <w:vAlign w:val="bottom"/>
            <w:hideMark/>
          </w:tcPr>
          <w:p w14:paraId="424DD294"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K101112</w:t>
            </w:r>
          </w:p>
        </w:tc>
        <w:tc>
          <w:tcPr>
            <w:tcW w:w="8509" w:type="dxa"/>
            <w:tcBorders>
              <w:top w:val="nil"/>
              <w:left w:val="nil"/>
              <w:bottom w:val="nil"/>
              <w:right w:val="nil"/>
            </w:tcBorders>
            <w:shd w:val="clear" w:color="000000" w:fill="B4C6E7"/>
            <w:noWrap/>
            <w:vAlign w:val="bottom"/>
            <w:hideMark/>
          </w:tcPr>
          <w:p w14:paraId="3E943FEC"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Kapitalni projekt: Izgradnja objekata na grobljima</w:t>
            </w:r>
          </w:p>
        </w:tc>
        <w:tc>
          <w:tcPr>
            <w:tcW w:w="1480" w:type="dxa"/>
            <w:tcBorders>
              <w:top w:val="nil"/>
              <w:left w:val="nil"/>
              <w:bottom w:val="nil"/>
              <w:right w:val="nil"/>
            </w:tcBorders>
            <w:shd w:val="clear" w:color="000000" w:fill="B4C6E7"/>
            <w:noWrap/>
            <w:vAlign w:val="bottom"/>
            <w:hideMark/>
          </w:tcPr>
          <w:p w14:paraId="5865178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103.677,28</w:t>
            </w:r>
          </w:p>
        </w:tc>
        <w:tc>
          <w:tcPr>
            <w:tcW w:w="1380" w:type="dxa"/>
            <w:tcBorders>
              <w:top w:val="nil"/>
              <w:left w:val="nil"/>
              <w:bottom w:val="nil"/>
              <w:right w:val="nil"/>
            </w:tcBorders>
            <w:shd w:val="clear" w:color="000000" w:fill="B4C6E7"/>
            <w:noWrap/>
            <w:vAlign w:val="bottom"/>
            <w:hideMark/>
          </w:tcPr>
          <w:p w14:paraId="3943706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90.899,34</w:t>
            </w:r>
          </w:p>
        </w:tc>
        <w:tc>
          <w:tcPr>
            <w:tcW w:w="1400" w:type="dxa"/>
            <w:tcBorders>
              <w:top w:val="nil"/>
              <w:left w:val="nil"/>
              <w:bottom w:val="nil"/>
              <w:right w:val="nil"/>
            </w:tcBorders>
            <w:shd w:val="clear" w:color="000000" w:fill="B4C6E7"/>
            <w:noWrap/>
            <w:vAlign w:val="bottom"/>
            <w:hideMark/>
          </w:tcPr>
          <w:p w14:paraId="6B3AFBC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87,68%</w:t>
            </w:r>
          </w:p>
        </w:tc>
      </w:tr>
      <w:tr w:rsidR="00A360DB" w:rsidRPr="00A360DB" w14:paraId="7DE78C87"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CADA7A8"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4. Prihodi za posebne namjene</w:t>
            </w:r>
          </w:p>
        </w:tc>
        <w:tc>
          <w:tcPr>
            <w:tcW w:w="1480" w:type="dxa"/>
            <w:tcBorders>
              <w:top w:val="nil"/>
              <w:left w:val="nil"/>
              <w:bottom w:val="nil"/>
              <w:right w:val="nil"/>
            </w:tcBorders>
            <w:shd w:val="clear" w:color="auto" w:fill="auto"/>
            <w:noWrap/>
            <w:vAlign w:val="bottom"/>
            <w:hideMark/>
          </w:tcPr>
          <w:p w14:paraId="3D05ABCD"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7.000,00</w:t>
            </w:r>
          </w:p>
        </w:tc>
        <w:tc>
          <w:tcPr>
            <w:tcW w:w="1380" w:type="dxa"/>
            <w:tcBorders>
              <w:top w:val="nil"/>
              <w:left w:val="nil"/>
              <w:bottom w:val="nil"/>
              <w:right w:val="nil"/>
            </w:tcBorders>
            <w:shd w:val="clear" w:color="auto" w:fill="auto"/>
            <w:noWrap/>
            <w:vAlign w:val="bottom"/>
            <w:hideMark/>
          </w:tcPr>
          <w:p w14:paraId="1D9CB429"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5.247,63</w:t>
            </w:r>
          </w:p>
        </w:tc>
        <w:tc>
          <w:tcPr>
            <w:tcW w:w="1400" w:type="dxa"/>
            <w:tcBorders>
              <w:top w:val="nil"/>
              <w:left w:val="nil"/>
              <w:bottom w:val="nil"/>
              <w:right w:val="nil"/>
            </w:tcBorders>
            <w:shd w:val="clear" w:color="auto" w:fill="auto"/>
            <w:noWrap/>
            <w:vAlign w:val="bottom"/>
            <w:hideMark/>
          </w:tcPr>
          <w:p w14:paraId="1FB856D2"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74,97%</w:t>
            </w:r>
          </w:p>
        </w:tc>
      </w:tr>
      <w:tr w:rsidR="00A360DB" w:rsidRPr="00A360DB" w14:paraId="456EB487"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370719DE"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4.1. Prihodi za posebne namjene</w:t>
            </w:r>
          </w:p>
        </w:tc>
        <w:tc>
          <w:tcPr>
            <w:tcW w:w="1480" w:type="dxa"/>
            <w:tcBorders>
              <w:top w:val="nil"/>
              <w:left w:val="nil"/>
              <w:bottom w:val="nil"/>
              <w:right w:val="nil"/>
            </w:tcBorders>
            <w:shd w:val="clear" w:color="auto" w:fill="auto"/>
            <w:noWrap/>
            <w:vAlign w:val="bottom"/>
            <w:hideMark/>
          </w:tcPr>
          <w:p w14:paraId="2678392F"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7.000,00</w:t>
            </w:r>
          </w:p>
        </w:tc>
        <w:tc>
          <w:tcPr>
            <w:tcW w:w="1380" w:type="dxa"/>
            <w:tcBorders>
              <w:top w:val="nil"/>
              <w:left w:val="nil"/>
              <w:bottom w:val="nil"/>
              <w:right w:val="nil"/>
            </w:tcBorders>
            <w:shd w:val="clear" w:color="auto" w:fill="auto"/>
            <w:noWrap/>
            <w:vAlign w:val="bottom"/>
            <w:hideMark/>
          </w:tcPr>
          <w:p w14:paraId="6D368A40"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5.247,63</w:t>
            </w:r>
          </w:p>
        </w:tc>
        <w:tc>
          <w:tcPr>
            <w:tcW w:w="1400" w:type="dxa"/>
            <w:tcBorders>
              <w:top w:val="nil"/>
              <w:left w:val="nil"/>
              <w:bottom w:val="nil"/>
              <w:right w:val="nil"/>
            </w:tcBorders>
            <w:shd w:val="clear" w:color="auto" w:fill="auto"/>
            <w:noWrap/>
            <w:vAlign w:val="bottom"/>
            <w:hideMark/>
          </w:tcPr>
          <w:p w14:paraId="6062B2B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74,97%</w:t>
            </w:r>
          </w:p>
        </w:tc>
      </w:tr>
      <w:tr w:rsidR="00A360DB" w:rsidRPr="00A360DB" w14:paraId="1ED63080" w14:textId="77777777" w:rsidTr="00A360DB">
        <w:trPr>
          <w:trHeight w:val="240"/>
        </w:trPr>
        <w:tc>
          <w:tcPr>
            <w:tcW w:w="1697" w:type="dxa"/>
            <w:tcBorders>
              <w:top w:val="nil"/>
              <w:left w:val="nil"/>
              <w:bottom w:val="nil"/>
              <w:right w:val="nil"/>
            </w:tcBorders>
            <w:shd w:val="clear" w:color="auto" w:fill="auto"/>
            <w:noWrap/>
            <w:vAlign w:val="bottom"/>
            <w:hideMark/>
          </w:tcPr>
          <w:p w14:paraId="431072AA"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42</w:t>
            </w:r>
          </w:p>
        </w:tc>
        <w:tc>
          <w:tcPr>
            <w:tcW w:w="8509" w:type="dxa"/>
            <w:tcBorders>
              <w:top w:val="nil"/>
              <w:left w:val="nil"/>
              <w:bottom w:val="nil"/>
              <w:right w:val="nil"/>
            </w:tcBorders>
            <w:shd w:val="clear" w:color="auto" w:fill="auto"/>
            <w:noWrap/>
            <w:vAlign w:val="bottom"/>
            <w:hideMark/>
          </w:tcPr>
          <w:p w14:paraId="690BB281"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nabavu proizvedene dugotrajne imovine                                                    </w:t>
            </w:r>
          </w:p>
        </w:tc>
        <w:tc>
          <w:tcPr>
            <w:tcW w:w="1480" w:type="dxa"/>
            <w:tcBorders>
              <w:top w:val="nil"/>
              <w:left w:val="nil"/>
              <w:bottom w:val="nil"/>
              <w:right w:val="nil"/>
            </w:tcBorders>
            <w:shd w:val="clear" w:color="auto" w:fill="auto"/>
            <w:noWrap/>
            <w:vAlign w:val="bottom"/>
            <w:hideMark/>
          </w:tcPr>
          <w:p w14:paraId="00CBFB6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7.000,00</w:t>
            </w:r>
          </w:p>
        </w:tc>
        <w:tc>
          <w:tcPr>
            <w:tcW w:w="1380" w:type="dxa"/>
            <w:tcBorders>
              <w:top w:val="nil"/>
              <w:left w:val="nil"/>
              <w:bottom w:val="nil"/>
              <w:right w:val="nil"/>
            </w:tcBorders>
            <w:shd w:val="clear" w:color="auto" w:fill="auto"/>
            <w:noWrap/>
            <w:vAlign w:val="bottom"/>
            <w:hideMark/>
          </w:tcPr>
          <w:p w14:paraId="2C78273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5.247,63</w:t>
            </w:r>
          </w:p>
        </w:tc>
        <w:tc>
          <w:tcPr>
            <w:tcW w:w="1400" w:type="dxa"/>
            <w:tcBorders>
              <w:top w:val="nil"/>
              <w:left w:val="nil"/>
              <w:bottom w:val="nil"/>
              <w:right w:val="nil"/>
            </w:tcBorders>
            <w:shd w:val="clear" w:color="auto" w:fill="auto"/>
            <w:noWrap/>
            <w:vAlign w:val="bottom"/>
            <w:hideMark/>
          </w:tcPr>
          <w:p w14:paraId="1884199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74,97%</w:t>
            </w:r>
          </w:p>
        </w:tc>
      </w:tr>
      <w:tr w:rsidR="00A360DB" w:rsidRPr="00A360DB" w14:paraId="7562D771" w14:textId="77777777" w:rsidTr="00A360DB">
        <w:trPr>
          <w:trHeight w:val="240"/>
        </w:trPr>
        <w:tc>
          <w:tcPr>
            <w:tcW w:w="1697" w:type="dxa"/>
            <w:tcBorders>
              <w:top w:val="nil"/>
              <w:left w:val="nil"/>
              <w:bottom w:val="nil"/>
              <w:right w:val="nil"/>
            </w:tcBorders>
            <w:shd w:val="clear" w:color="auto" w:fill="auto"/>
            <w:noWrap/>
            <w:vAlign w:val="bottom"/>
            <w:hideMark/>
          </w:tcPr>
          <w:p w14:paraId="1A0F65A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4214</w:t>
            </w:r>
          </w:p>
        </w:tc>
        <w:tc>
          <w:tcPr>
            <w:tcW w:w="8509" w:type="dxa"/>
            <w:tcBorders>
              <w:top w:val="nil"/>
              <w:left w:val="nil"/>
              <w:bottom w:val="nil"/>
              <w:right w:val="nil"/>
            </w:tcBorders>
            <w:shd w:val="clear" w:color="auto" w:fill="auto"/>
            <w:noWrap/>
            <w:vAlign w:val="bottom"/>
            <w:hideMark/>
          </w:tcPr>
          <w:p w14:paraId="5BBB438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Ostali građevinski objekti                                                                          </w:t>
            </w:r>
          </w:p>
        </w:tc>
        <w:tc>
          <w:tcPr>
            <w:tcW w:w="1480" w:type="dxa"/>
            <w:tcBorders>
              <w:top w:val="nil"/>
              <w:left w:val="nil"/>
              <w:bottom w:val="nil"/>
              <w:right w:val="nil"/>
            </w:tcBorders>
            <w:shd w:val="clear" w:color="auto" w:fill="auto"/>
            <w:noWrap/>
            <w:vAlign w:val="bottom"/>
            <w:hideMark/>
          </w:tcPr>
          <w:p w14:paraId="3A1B1076"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B5362AC"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5.247,63</w:t>
            </w:r>
          </w:p>
        </w:tc>
        <w:tc>
          <w:tcPr>
            <w:tcW w:w="1400" w:type="dxa"/>
            <w:tcBorders>
              <w:top w:val="nil"/>
              <w:left w:val="nil"/>
              <w:bottom w:val="nil"/>
              <w:right w:val="nil"/>
            </w:tcBorders>
            <w:shd w:val="clear" w:color="auto" w:fill="auto"/>
            <w:noWrap/>
            <w:vAlign w:val="bottom"/>
            <w:hideMark/>
          </w:tcPr>
          <w:p w14:paraId="08FD383B"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860BFFE"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BF00A1A"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7. Prihodi od prodaje nefin. imovine</w:t>
            </w:r>
          </w:p>
        </w:tc>
        <w:tc>
          <w:tcPr>
            <w:tcW w:w="1480" w:type="dxa"/>
            <w:tcBorders>
              <w:top w:val="nil"/>
              <w:left w:val="nil"/>
              <w:bottom w:val="nil"/>
              <w:right w:val="nil"/>
            </w:tcBorders>
            <w:shd w:val="clear" w:color="auto" w:fill="auto"/>
            <w:noWrap/>
            <w:vAlign w:val="bottom"/>
            <w:hideMark/>
          </w:tcPr>
          <w:p w14:paraId="72C0719E"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11.000,00</w:t>
            </w:r>
          </w:p>
        </w:tc>
        <w:tc>
          <w:tcPr>
            <w:tcW w:w="1380" w:type="dxa"/>
            <w:tcBorders>
              <w:top w:val="nil"/>
              <w:left w:val="nil"/>
              <w:bottom w:val="nil"/>
              <w:right w:val="nil"/>
            </w:tcBorders>
            <w:shd w:val="clear" w:color="auto" w:fill="auto"/>
            <w:noWrap/>
            <w:vAlign w:val="bottom"/>
            <w:hideMark/>
          </w:tcPr>
          <w:p w14:paraId="5BD3A312"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0,00</w:t>
            </w:r>
          </w:p>
        </w:tc>
        <w:tc>
          <w:tcPr>
            <w:tcW w:w="1400" w:type="dxa"/>
            <w:tcBorders>
              <w:top w:val="nil"/>
              <w:left w:val="nil"/>
              <w:bottom w:val="nil"/>
              <w:right w:val="nil"/>
            </w:tcBorders>
            <w:shd w:val="clear" w:color="auto" w:fill="auto"/>
            <w:noWrap/>
            <w:vAlign w:val="bottom"/>
            <w:hideMark/>
          </w:tcPr>
          <w:p w14:paraId="6123E04C"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0,00%</w:t>
            </w:r>
          </w:p>
        </w:tc>
      </w:tr>
      <w:tr w:rsidR="00A360DB" w:rsidRPr="00A360DB" w14:paraId="764B7C1E"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2B23AD4"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 xml:space="preserve">Izvor 7.1. Prihodi od prodaje </w:t>
            </w:r>
            <w:proofErr w:type="spellStart"/>
            <w:r w:rsidRPr="00A360DB">
              <w:rPr>
                <w:rFonts w:ascii="Arial" w:hAnsi="Arial" w:cs="Arial"/>
                <w:color w:val="333333"/>
                <w:sz w:val="18"/>
                <w:szCs w:val="18"/>
                <w:lang w:eastAsia="hr-HR"/>
              </w:rPr>
              <w:t>nef</w:t>
            </w:r>
            <w:proofErr w:type="spellEnd"/>
            <w:r w:rsidRPr="00A360DB">
              <w:rPr>
                <w:rFonts w:ascii="Arial" w:hAnsi="Arial" w:cs="Arial"/>
                <w:color w:val="333333"/>
                <w:sz w:val="18"/>
                <w:szCs w:val="18"/>
                <w:lang w:eastAsia="hr-HR"/>
              </w:rPr>
              <w:t>. imovine</w:t>
            </w:r>
          </w:p>
        </w:tc>
        <w:tc>
          <w:tcPr>
            <w:tcW w:w="1480" w:type="dxa"/>
            <w:tcBorders>
              <w:top w:val="nil"/>
              <w:left w:val="nil"/>
              <w:bottom w:val="nil"/>
              <w:right w:val="nil"/>
            </w:tcBorders>
            <w:shd w:val="clear" w:color="auto" w:fill="auto"/>
            <w:noWrap/>
            <w:vAlign w:val="bottom"/>
            <w:hideMark/>
          </w:tcPr>
          <w:p w14:paraId="3A87C2C3"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11.000,00</w:t>
            </w:r>
          </w:p>
        </w:tc>
        <w:tc>
          <w:tcPr>
            <w:tcW w:w="1380" w:type="dxa"/>
            <w:tcBorders>
              <w:top w:val="nil"/>
              <w:left w:val="nil"/>
              <w:bottom w:val="nil"/>
              <w:right w:val="nil"/>
            </w:tcBorders>
            <w:shd w:val="clear" w:color="auto" w:fill="auto"/>
            <w:noWrap/>
            <w:vAlign w:val="bottom"/>
            <w:hideMark/>
          </w:tcPr>
          <w:p w14:paraId="0547947A"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0,00</w:t>
            </w:r>
          </w:p>
        </w:tc>
        <w:tc>
          <w:tcPr>
            <w:tcW w:w="1400" w:type="dxa"/>
            <w:tcBorders>
              <w:top w:val="nil"/>
              <w:left w:val="nil"/>
              <w:bottom w:val="nil"/>
              <w:right w:val="nil"/>
            </w:tcBorders>
            <w:shd w:val="clear" w:color="auto" w:fill="auto"/>
            <w:noWrap/>
            <w:vAlign w:val="bottom"/>
            <w:hideMark/>
          </w:tcPr>
          <w:p w14:paraId="2617B36F"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0,00%</w:t>
            </w:r>
          </w:p>
        </w:tc>
      </w:tr>
      <w:tr w:rsidR="00A360DB" w:rsidRPr="00A360DB" w14:paraId="7EF87FD4" w14:textId="77777777" w:rsidTr="00A360DB">
        <w:trPr>
          <w:trHeight w:val="240"/>
        </w:trPr>
        <w:tc>
          <w:tcPr>
            <w:tcW w:w="1697" w:type="dxa"/>
            <w:tcBorders>
              <w:top w:val="nil"/>
              <w:left w:val="nil"/>
              <w:bottom w:val="nil"/>
              <w:right w:val="nil"/>
            </w:tcBorders>
            <w:shd w:val="clear" w:color="auto" w:fill="auto"/>
            <w:noWrap/>
            <w:vAlign w:val="bottom"/>
            <w:hideMark/>
          </w:tcPr>
          <w:p w14:paraId="48E5801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42</w:t>
            </w:r>
          </w:p>
        </w:tc>
        <w:tc>
          <w:tcPr>
            <w:tcW w:w="8509" w:type="dxa"/>
            <w:tcBorders>
              <w:top w:val="nil"/>
              <w:left w:val="nil"/>
              <w:bottom w:val="nil"/>
              <w:right w:val="nil"/>
            </w:tcBorders>
            <w:shd w:val="clear" w:color="auto" w:fill="auto"/>
            <w:noWrap/>
            <w:vAlign w:val="bottom"/>
            <w:hideMark/>
          </w:tcPr>
          <w:p w14:paraId="276FA921"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nabavu proizvedene dugotrajne imovine                                                    </w:t>
            </w:r>
          </w:p>
        </w:tc>
        <w:tc>
          <w:tcPr>
            <w:tcW w:w="1480" w:type="dxa"/>
            <w:tcBorders>
              <w:top w:val="nil"/>
              <w:left w:val="nil"/>
              <w:bottom w:val="nil"/>
              <w:right w:val="nil"/>
            </w:tcBorders>
            <w:shd w:val="clear" w:color="auto" w:fill="auto"/>
            <w:noWrap/>
            <w:vAlign w:val="bottom"/>
            <w:hideMark/>
          </w:tcPr>
          <w:p w14:paraId="01B8285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11.000,00</w:t>
            </w:r>
          </w:p>
        </w:tc>
        <w:tc>
          <w:tcPr>
            <w:tcW w:w="1380" w:type="dxa"/>
            <w:tcBorders>
              <w:top w:val="nil"/>
              <w:left w:val="nil"/>
              <w:bottom w:val="nil"/>
              <w:right w:val="nil"/>
            </w:tcBorders>
            <w:shd w:val="clear" w:color="auto" w:fill="auto"/>
            <w:noWrap/>
            <w:vAlign w:val="bottom"/>
            <w:hideMark/>
          </w:tcPr>
          <w:p w14:paraId="10F1354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c>
          <w:tcPr>
            <w:tcW w:w="1400" w:type="dxa"/>
            <w:tcBorders>
              <w:top w:val="nil"/>
              <w:left w:val="nil"/>
              <w:bottom w:val="nil"/>
              <w:right w:val="nil"/>
            </w:tcBorders>
            <w:shd w:val="clear" w:color="auto" w:fill="auto"/>
            <w:noWrap/>
            <w:vAlign w:val="bottom"/>
            <w:hideMark/>
          </w:tcPr>
          <w:p w14:paraId="1096A9B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r>
      <w:tr w:rsidR="00A360DB" w:rsidRPr="00A360DB" w14:paraId="26B57728"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1E4CDF61"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9. Višak iz prethodnih razdoblja</w:t>
            </w:r>
          </w:p>
        </w:tc>
        <w:tc>
          <w:tcPr>
            <w:tcW w:w="1480" w:type="dxa"/>
            <w:tcBorders>
              <w:top w:val="nil"/>
              <w:left w:val="nil"/>
              <w:bottom w:val="nil"/>
              <w:right w:val="nil"/>
            </w:tcBorders>
            <w:shd w:val="clear" w:color="auto" w:fill="auto"/>
            <w:noWrap/>
            <w:vAlign w:val="bottom"/>
            <w:hideMark/>
          </w:tcPr>
          <w:p w14:paraId="06224D5B"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85.677,28</w:t>
            </w:r>
          </w:p>
        </w:tc>
        <w:tc>
          <w:tcPr>
            <w:tcW w:w="1380" w:type="dxa"/>
            <w:tcBorders>
              <w:top w:val="nil"/>
              <w:left w:val="nil"/>
              <w:bottom w:val="nil"/>
              <w:right w:val="nil"/>
            </w:tcBorders>
            <w:shd w:val="clear" w:color="auto" w:fill="auto"/>
            <w:noWrap/>
            <w:vAlign w:val="bottom"/>
            <w:hideMark/>
          </w:tcPr>
          <w:p w14:paraId="6CFE499D"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85.651,71</w:t>
            </w:r>
          </w:p>
        </w:tc>
        <w:tc>
          <w:tcPr>
            <w:tcW w:w="1400" w:type="dxa"/>
            <w:tcBorders>
              <w:top w:val="nil"/>
              <w:left w:val="nil"/>
              <w:bottom w:val="nil"/>
              <w:right w:val="nil"/>
            </w:tcBorders>
            <w:shd w:val="clear" w:color="auto" w:fill="auto"/>
            <w:noWrap/>
            <w:vAlign w:val="bottom"/>
            <w:hideMark/>
          </w:tcPr>
          <w:p w14:paraId="725AF6A8"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99,97%</w:t>
            </w:r>
          </w:p>
        </w:tc>
      </w:tr>
      <w:tr w:rsidR="00A360DB" w:rsidRPr="00A360DB" w14:paraId="2008B7FF"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1AA8F135"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9.2. Višak iz prethodnih godina - Grad</w:t>
            </w:r>
          </w:p>
        </w:tc>
        <w:tc>
          <w:tcPr>
            <w:tcW w:w="1480" w:type="dxa"/>
            <w:tcBorders>
              <w:top w:val="nil"/>
              <w:left w:val="nil"/>
              <w:bottom w:val="nil"/>
              <w:right w:val="nil"/>
            </w:tcBorders>
            <w:shd w:val="clear" w:color="auto" w:fill="auto"/>
            <w:noWrap/>
            <w:vAlign w:val="bottom"/>
            <w:hideMark/>
          </w:tcPr>
          <w:p w14:paraId="5E3A3028"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85.677,28</w:t>
            </w:r>
          </w:p>
        </w:tc>
        <w:tc>
          <w:tcPr>
            <w:tcW w:w="1380" w:type="dxa"/>
            <w:tcBorders>
              <w:top w:val="nil"/>
              <w:left w:val="nil"/>
              <w:bottom w:val="nil"/>
              <w:right w:val="nil"/>
            </w:tcBorders>
            <w:shd w:val="clear" w:color="auto" w:fill="auto"/>
            <w:noWrap/>
            <w:vAlign w:val="bottom"/>
            <w:hideMark/>
          </w:tcPr>
          <w:p w14:paraId="79564751"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85.651,71</w:t>
            </w:r>
          </w:p>
        </w:tc>
        <w:tc>
          <w:tcPr>
            <w:tcW w:w="1400" w:type="dxa"/>
            <w:tcBorders>
              <w:top w:val="nil"/>
              <w:left w:val="nil"/>
              <w:bottom w:val="nil"/>
              <w:right w:val="nil"/>
            </w:tcBorders>
            <w:shd w:val="clear" w:color="auto" w:fill="auto"/>
            <w:noWrap/>
            <w:vAlign w:val="bottom"/>
            <w:hideMark/>
          </w:tcPr>
          <w:p w14:paraId="7DFAF7FE"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99,97%</w:t>
            </w:r>
          </w:p>
        </w:tc>
      </w:tr>
      <w:tr w:rsidR="00A360DB" w:rsidRPr="00A360DB" w14:paraId="27B721E9" w14:textId="77777777" w:rsidTr="00A360DB">
        <w:trPr>
          <w:trHeight w:val="240"/>
        </w:trPr>
        <w:tc>
          <w:tcPr>
            <w:tcW w:w="1697" w:type="dxa"/>
            <w:tcBorders>
              <w:top w:val="nil"/>
              <w:left w:val="nil"/>
              <w:bottom w:val="nil"/>
              <w:right w:val="nil"/>
            </w:tcBorders>
            <w:shd w:val="clear" w:color="auto" w:fill="auto"/>
            <w:noWrap/>
            <w:vAlign w:val="bottom"/>
            <w:hideMark/>
          </w:tcPr>
          <w:p w14:paraId="09877AB2"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41</w:t>
            </w:r>
          </w:p>
        </w:tc>
        <w:tc>
          <w:tcPr>
            <w:tcW w:w="8509" w:type="dxa"/>
            <w:tcBorders>
              <w:top w:val="nil"/>
              <w:left w:val="nil"/>
              <w:bottom w:val="nil"/>
              <w:right w:val="nil"/>
            </w:tcBorders>
            <w:shd w:val="clear" w:color="auto" w:fill="auto"/>
            <w:noWrap/>
            <w:vAlign w:val="bottom"/>
            <w:hideMark/>
          </w:tcPr>
          <w:p w14:paraId="2D7AB5F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nabavu </w:t>
            </w:r>
            <w:proofErr w:type="spellStart"/>
            <w:r w:rsidRPr="00A360DB">
              <w:rPr>
                <w:rFonts w:ascii="Arial" w:hAnsi="Arial" w:cs="Arial"/>
                <w:b/>
                <w:bCs/>
                <w:sz w:val="18"/>
                <w:szCs w:val="18"/>
                <w:lang w:eastAsia="hr-HR"/>
              </w:rPr>
              <w:t>neproizvedene</w:t>
            </w:r>
            <w:proofErr w:type="spellEnd"/>
            <w:r w:rsidRPr="00A360DB">
              <w:rPr>
                <w:rFonts w:ascii="Arial" w:hAnsi="Arial" w:cs="Arial"/>
                <w:b/>
                <w:bCs/>
                <w:sz w:val="18"/>
                <w:szCs w:val="18"/>
                <w:lang w:eastAsia="hr-HR"/>
              </w:rPr>
              <w:t xml:space="preserve"> dugotrajne imovine                                                  </w:t>
            </w:r>
          </w:p>
        </w:tc>
        <w:tc>
          <w:tcPr>
            <w:tcW w:w="1480" w:type="dxa"/>
            <w:tcBorders>
              <w:top w:val="nil"/>
              <w:left w:val="nil"/>
              <w:bottom w:val="nil"/>
              <w:right w:val="nil"/>
            </w:tcBorders>
            <w:shd w:val="clear" w:color="auto" w:fill="auto"/>
            <w:noWrap/>
            <w:vAlign w:val="bottom"/>
            <w:hideMark/>
          </w:tcPr>
          <w:p w14:paraId="57A37A2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11.500,00</w:t>
            </w:r>
          </w:p>
        </w:tc>
        <w:tc>
          <w:tcPr>
            <w:tcW w:w="1380" w:type="dxa"/>
            <w:tcBorders>
              <w:top w:val="nil"/>
              <w:left w:val="nil"/>
              <w:bottom w:val="nil"/>
              <w:right w:val="nil"/>
            </w:tcBorders>
            <w:shd w:val="clear" w:color="auto" w:fill="auto"/>
            <w:noWrap/>
            <w:vAlign w:val="bottom"/>
            <w:hideMark/>
          </w:tcPr>
          <w:p w14:paraId="3592179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11.500,00</w:t>
            </w:r>
          </w:p>
        </w:tc>
        <w:tc>
          <w:tcPr>
            <w:tcW w:w="1400" w:type="dxa"/>
            <w:tcBorders>
              <w:top w:val="nil"/>
              <w:left w:val="nil"/>
              <w:bottom w:val="nil"/>
              <w:right w:val="nil"/>
            </w:tcBorders>
            <w:shd w:val="clear" w:color="auto" w:fill="auto"/>
            <w:noWrap/>
            <w:vAlign w:val="bottom"/>
            <w:hideMark/>
          </w:tcPr>
          <w:p w14:paraId="409ED0A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r>
      <w:tr w:rsidR="00A360DB" w:rsidRPr="00A360DB" w14:paraId="4BA942EA" w14:textId="77777777" w:rsidTr="00A360DB">
        <w:trPr>
          <w:trHeight w:val="240"/>
        </w:trPr>
        <w:tc>
          <w:tcPr>
            <w:tcW w:w="1697" w:type="dxa"/>
            <w:tcBorders>
              <w:top w:val="nil"/>
              <w:left w:val="nil"/>
              <w:bottom w:val="nil"/>
              <w:right w:val="nil"/>
            </w:tcBorders>
            <w:shd w:val="clear" w:color="auto" w:fill="auto"/>
            <w:noWrap/>
            <w:vAlign w:val="bottom"/>
            <w:hideMark/>
          </w:tcPr>
          <w:p w14:paraId="379CA49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4111</w:t>
            </w:r>
          </w:p>
        </w:tc>
        <w:tc>
          <w:tcPr>
            <w:tcW w:w="8509" w:type="dxa"/>
            <w:tcBorders>
              <w:top w:val="nil"/>
              <w:left w:val="nil"/>
              <w:bottom w:val="nil"/>
              <w:right w:val="nil"/>
            </w:tcBorders>
            <w:shd w:val="clear" w:color="auto" w:fill="auto"/>
            <w:noWrap/>
            <w:vAlign w:val="bottom"/>
            <w:hideMark/>
          </w:tcPr>
          <w:p w14:paraId="0F61F5A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Zemljište                                                                                           </w:t>
            </w:r>
          </w:p>
        </w:tc>
        <w:tc>
          <w:tcPr>
            <w:tcW w:w="1480" w:type="dxa"/>
            <w:tcBorders>
              <w:top w:val="nil"/>
              <w:left w:val="nil"/>
              <w:bottom w:val="nil"/>
              <w:right w:val="nil"/>
            </w:tcBorders>
            <w:shd w:val="clear" w:color="auto" w:fill="auto"/>
            <w:noWrap/>
            <w:vAlign w:val="bottom"/>
            <w:hideMark/>
          </w:tcPr>
          <w:p w14:paraId="3C195970"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388F4C1"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11.500,00</w:t>
            </w:r>
          </w:p>
        </w:tc>
        <w:tc>
          <w:tcPr>
            <w:tcW w:w="1400" w:type="dxa"/>
            <w:tcBorders>
              <w:top w:val="nil"/>
              <w:left w:val="nil"/>
              <w:bottom w:val="nil"/>
              <w:right w:val="nil"/>
            </w:tcBorders>
            <w:shd w:val="clear" w:color="auto" w:fill="auto"/>
            <w:noWrap/>
            <w:vAlign w:val="bottom"/>
            <w:hideMark/>
          </w:tcPr>
          <w:p w14:paraId="28226C80"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498A21CF" w14:textId="77777777" w:rsidTr="00A360DB">
        <w:trPr>
          <w:trHeight w:val="240"/>
        </w:trPr>
        <w:tc>
          <w:tcPr>
            <w:tcW w:w="1697" w:type="dxa"/>
            <w:tcBorders>
              <w:top w:val="nil"/>
              <w:left w:val="nil"/>
              <w:bottom w:val="nil"/>
              <w:right w:val="nil"/>
            </w:tcBorders>
            <w:shd w:val="clear" w:color="auto" w:fill="auto"/>
            <w:noWrap/>
            <w:vAlign w:val="bottom"/>
            <w:hideMark/>
          </w:tcPr>
          <w:p w14:paraId="3778F1BC"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45</w:t>
            </w:r>
          </w:p>
        </w:tc>
        <w:tc>
          <w:tcPr>
            <w:tcW w:w="8509" w:type="dxa"/>
            <w:tcBorders>
              <w:top w:val="nil"/>
              <w:left w:val="nil"/>
              <w:bottom w:val="nil"/>
              <w:right w:val="nil"/>
            </w:tcBorders>
            <w:shd w:val="clear" w:color="auto" w:fill="auto"/>
            <w:noWrap/>
            <w:vAlign w:val="bottom"/>
            <w:hideMark/>
          </w:tcPr>
          <w:p w14:paraId="35DE9443"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dodatna ulaganja na nefinancijskoj imovini                                               </w:t>
            </w:r>
          </w:p>
        </w:tc>
        <w:tc>
          <w:tcPr>
            <w:tcW w:w="1480" w:type="dxa"/>
            <w:tcBorders>
              <w:top w:val="nil"/>
              <w:left w:val="nil"/>
              <w:bottom w:val="nil"/>
              <w:right w:val="nil"/>
            </w:tcBorders>
            <w:shd w:val="clear" w:color="auto" w:fill="auto"/>
            <w:noWrap/>
            <w:vAlign w:val="bottom"/>
            <w:hideMark/>
          </w:tcPr>
          <w:p w14:paraId="36EA957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74.177,28</w:t>
            </w:r>
          </w:p>
        </w:tc>
        <w:tc>
          <w:tcPr>
            <w:tcW w:w="1380" w:type="dxa"/>
            <w:tcBorders>
              <w:top w:val="nil"/>
              <w:left w:val="nil"/>
              <w:bottom w:val="nil"/>
              <w:right w:val="nil"/>
            </w:tcBorders>
            <w:shd w:val="clear" w:color="auto" w:fill="auto"/>
            <w:noWrap/>
            <w:vAlign w:val="bottom"/>
            <w:hideMark/>
          </w:tcPr>
          <w:p w14:paraId="60741EB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74.151,71</w:t>
            </w:r>
          </w:p>
        </w:tc>
        <w:tc>
          <w:tcPr>
            <w:tcW w:w="1400" w:type="dxa"/>
            <w:tcBorders>
              <w:top w:val="nil"/>
              <w:left w:val="nil"/>
              <w:bottom w:val="nil"/>
              <w:right w:val="nil"/>
            </w:tcBorders>
            <w:shd w:val="clear" w:color="auto" w:fill="auto"/>
            <w:noWrap/>
            <w:vAlign w:val="bottom"/>
            <w:hideMark/>
          </w:tcPr>
          <w:p w14:paraId="61CB265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99,97%</w:t>
            </w:r>
          </w:p>
        </w:tc>
      </w:tr>
      <w:tr w:rsidR="00A360DB" w:rsidRPr="00A360DB" w14:paraId="6862145B" w14:textId="77777777" w:rsidTr="00A360DB">
        <w:trPr>
          <w:trHeight w:val="240"/>
        </w:trPr>
        <w:tc>
          <w:tcPr>
            <w:tcW w:w="1697" w:type="dxa"/>
            <w:tcBorders>
              <w:top w:val="nil"/>
              <w:left w:val="nil"/>
              <w:bottom w:val="nil"/>
              <w:right w:val="nil"/>
            </w:tcBorders>
            <w:shd w:val="clear" w:color="auto" w:fill="auto"/>
            <w:noWrap/>
            <w:vAlign w:val="bottom"/>
            <w:hideMark/>
          </w:tcPr>
          <w:p w14:paraId="533FCC0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4511</w:t>
            </w:r>
          </w:p>
        </w:tc>
        <w:tc>
          <w:tcPr>
            <w:tcW w:w="8509" w:type="dxa"/>
            <w:tcBorders>
              <w:top w:val="nil"/>
              <w:left w:val="nil"/>
              <w:bottom w:val="nil"/>
              <w:right w:val="nil"/>
            </w:tcBorders>
            <w:shd w:val="clear" w:color="auto" w:fill="auto"/>
            <w:noWrap/>
            <w:vAlign w:val="bottom"/>
            <w:hideMark/>
          </w:tcPr>
          <w:p w14:paraId="518218F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Dodatna ulaganja na građevinskim objektima                                                          </w:t>
            </w:r>
          </w:p>
        </w:tc>
        <w:tc>
          <w:tcPr>
            <w:tcW w:w="1480" w:type="dxa"/>
            <w:tcBorders>
              <w:top w:val="nil"/>
              <w:left w:val="nil"/>
              <w:bottom w:val="nil"/>
              <w:right w:val="nil"/>
            </w:tcBorders>
            <w:shd w:val="clear" w:color="auto" w:fill="auto"/>
            <w:noWrap/>
            <w:vAlign w:val="bottom"/>
            <w:hideMark/>
          </w:tcPr>
          <w:p w14:paraId="07052E21"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6CC74C67"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74.151,71</w:t>
            </w:r>
          </w:p>
        </w:tc>
        <w:tc>
          <w:tcPr>
            <w:tcW w:w="1400" w:type="dxa"/>
            <w:tcBorders>
              <w:top w:val="nil"/>
              <w:left w:val="nil"/>
              <w:bottom w:val="nil"/>
              <w:right w:val="nil"/>
            </w:tcBorders>
            <w:shd w:val="clear" w:color="auto" w:fill="auto"/>
            <w:noWrap/>
            <w:vAlign w:val="bottom"/>
            <w:hideMark/>
          </w:tcPr>
          <w:p w14:paraId="34CAEFE6"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1C1B050F" w14:textId="77777777" w:rsidTr="00A360DB">
        <w:trPr>
          <w:trHeight w:val="240"/>
        </w:trPr>
        <w:tc>
          <w:tcPr>
            <w:tcW w:w="1697" w:type="dxa"/>
            <w:tcBorders>
              <w:top w:val="nil"/>
              <w:left w:val="nil"/>
              <w:bottom w:val="nil"/>
              <w:right w:val="nil"/>
            </w:tcBorders>
            <w:shd w:val="clear" w:color="000000" w:fill="B4C6E7"/>
            <w:noWrap/>
            <w:vAlign w:val="bottom"/>
            <w:hideMark/>
          </w:tcPr>
          <w:p w14:paraId="15B3E40B"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K101114</w:t>
            </w:r>
          </w:p>
        </w:tc>
        <w:tc>
          <w:tcPr>
            <w:tcW w:w="8509" w:type="dxa"/>
            <w:tcBorders>
              <w:top w:val="nil"/>
              <w:left w:val="nil"/>
              <w:bottom w:val="nil"/>
              <w:right w:val="nil"/>
            </w:tcBorders>
            <w:shd w:val="clear" w:color="000000" w:fill="B4C6E7"/>
            <w:noWrap/>
            <w:vAlign w:val="bottom"/>
            <w:hideMark/>
          </w:tcPr>
          <w:p w14:paraId="31402C93"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Kapitalni projekt: Javna parkirališta</w:t>
            </w:r>
          </w:p>
        </w:tc>
        <w:tc>
          <w:tcPr>
            <w:tcW w:w="1480" w:type="dxa"/>
            <w:tcBorders>
              <w:top w:val="nil"/>
              <w:left w:val="nil"/>
              <w:bottom w:val="nil"/>
              <w:right w:val="nil"/>
            </w:tcBorders>
            <w:shd w:val="clear" w:color="000000" w:fill="B4C6E7"/>
            <w:noWrap/>
            <w:vAlign w:val="bottom"/>
            <w:hideMark/>
          </w:tcPr>
          <w:p w14:paraId="05FACE2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60.000,00</w:t>
            </w:r>
          </w:p>
        </w:tc>
        <w:tc>
          <w:tcPr>
            <w:tcW w:w="1380" w:type="dxa"/>
            <w:tcBorders>
              <w:top w:val="nil"/>
              <w:left w:val="nil"/>
              <w:bottom w:val="nil"/>
              <w:right w:val="nil"/>
            </w:tcBorders>
            <w:shd w:val="clear" w:color="000000" w:fill="B4C6E7"/>
            <w:noWrap/>
            <w:vAlign w:val="bottom"/>
            <w:hideMark/>
          </w:tcPr>
          <w:p w14:paraId="01C49F3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59.878,41</w:t>
            </w:r>
          </w:p>
        </w:tc>
        <w:tc>
          <w:tcPr>
            <w:tcW w:w="1400" w:type="dxa"/>
            <w:tcBorders>
              <w:top w:val="nil"/>
              <w:left w:val="nil"/>
              <w:bottom w:val="nil"/>
              <w:right w:val="nil"/>
            </w:tcBorders>
            <w:shd w:val="clear" w:color="000000" w:fill="B4C6E7"/>
            <w:noWrap/>
            <w:vAlign w:val="bottom"/>
            <w:hideMark/>
          </w:tcPr>
          <w:p w14:paraId="6F1BE48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99,80%</w:t>
            </w:r>
          </w:p>
        </w:tc>
      </w:tr>
      <w:tr w:rsidR="00A360DB" w:rsidRPr="00A360DB" w14:paraId="19FC1156"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539DDE26"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4. Prihodi za posebne namjene</w:t>
            </w:r>
          </w:p>
        </w:tc>
        <w:tc>
          <w:tcPr>
            <w:tcW w:w="1480" w:type="dxa"/>
            <w:tcBorders>
              <w:top w:val="nil"/>
              <w:left w:val="nil"/>
              <w:bottom w:val="nil"/>
              <w:right w:val="nil"/>
            </w:tcBorders>
            <w:shd w:val="clear" w:color="auto" w:fill="auto"/>
            <w:noWrap/>
            <w:vAlign w:val="bottom"/>
            <w:hideMark/>
          </w:tcPr>
          <w:p w14:paraId="6A603F81"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45.000,00</w:t>
            </w:r>
          </w:p>
        </w:tc>
        <w:tc>
          <w:tcPr>
            <w:tcW w:w="1380" w:type="dxa"/>
            <w:tcBorders>
              <w:top w:val="nil"/>
              <w:left w:val="nil"/>
              <w:bottom w:val="nil"/>
              <w:right w:val="nil"/>
            </w:tcBorders>
            <w:shd w:val="clear" w:color="auto" w:fill="auto"/>
            <w:noWrap/>
            <w:vAlign w:val="bottom"/>
            <w:hideMark/>
          </w:tcPr>
          <w:p w14:paraId="097120B1"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59.878,41</w:t>
            </w:r>
          </w:p>
        </w:tc>
        <w:tc>
          <w:tcPr>
            <w:tcW w:w="1400" w:type="dxa"/>
            <w:tcBorders>
              <w:top w:val="nil"/>
              <w:left w:val="nil"/>
              <w:bottom w:val="nil"/>
              <w:right w:val="nil"/>
            </w:tcBorders>
            <w:shd w:val="clear" w:color="auto" w:fill="auto"/>
            <w:noWrap/>
            <w:vAlign w:val="bottom"/>
            <w:hideMark/>
          </w:tcPr>
          <w:p w14:paraId="53FFDE32"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133,06%</w:t>
            </w:r>
          </w:p>
        </w:tc>
      </w:tr>
      <w:tr w:rsidR="00A360DB" w:rsidRPr="00A360DB" w14:paraId="45358FA1"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631DCAB"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4.1. Prihodi za posebne namjene</w:t>
            </w:r>
          </w:p>
        </w:tc>
        <w:tc>
          <w:tcPr>
            <w:tcW w:w="1480" w:type="dxa"/>
            <w:tcBorders>
              <w:top w:val="nil"/>
              <w:left w:val="nil"/>
              <w:bottom w:val="nil"/>
              <w:right w:val="nil"/>
            </w:tcBorders>
            <w:shd w:val="clear" w:color="auto" w:fill="auto"/>
            <w:noWrap/>
            <w:vAlign w:val="bottom"/>
            <w:hideMark/>
          </w:tcPr>
          <w:p w14:paraId="71EB7073"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45.000,00</w:t>
            </w:r>
          </w:p>
        </w:tc>
        <w:tc>
          <w:tcPr>
            <w:tcW w:w="1380" w:type="dxa"/>
            <w:tcBorders>
              <w:top w:val="nil"/>
              <w:left w:val="nil"/>
              <w:bottom w:val="nil"/>
              <w:right w:val="nil"/>
            </w:tcBorders>
            <w:shd w:val="clear" w:color="auto" w:fill="auto"/>
            <w:noWrap/>
            <w:vAlign w:val="bottom"/>
            <w:hideMark/>
          </w:tcPr>
          <w:p w14:paraId="7045CE01"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59.878,41</w:t>
            </w:r>
          </w:p>
        </w:tc>
        <w:tc>
          <w:tcPr>
            <w:tcW w:w="1400" w:type="dxa"/>
            <w:tcBorders>
              <w:top w:val="nil"/>
              <w:left w:val="nil"/>
              <w:bottom w:val="nil"/>
              <w:right w:val="nil"/>
            </w:tcBorders>
            <w:shd w:val="clear" w:color="auto" w:fill="auto"/>
            <w:noWrap/>
            <w:vAlign w:val="bottom"/>
            <w:hideMark/>
          </w:tcPr>
          <w:p w14:paraId="40FD01A9"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133,06%</w:t>
            </w:r>
          </w:p>
        </w:tc>
      </w:tr>
      <w:tr w:rsidR="00A360DB" w:rsidRPr="00A360DB" w14:paraId="2D60533A" w14:textId="77777777" w:rsidTr="00A360DB">
        <w:trPr>
          <w:trHeight w:val="240"/>
        </w:trPr>
        <w:tc>
          <w:tcPr>
            <w:tcW w:w="1697" w:type="dxa"/>
            <w:tcBorders>
              <w:top w:val="nil"/>
              <w:left w:val="nil"/>
              <w:bottom w:val="nil"/>
              <w:right w:val="nil"/>
            </w:tcBorders>
            <w:shd w:val="clear" w:color="auto" w:fill="auto"/>
            <w:noWrap/>
            <w:vAlign w:val="bottom"/>
            <w:hideMark/>
          </w:tcPr>
          <w:p w14:paraId="32D3E829"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42</w:t>
            </w:r>
          </w:p>
        </w:tc>
        <w:tc>
          <w:tcPr>
            <w:tcW w:w="8509" w:type="dxa"/>
            <w:tcBorders>
              <w:top w:val="nil"/>
              <w:left w:val="nil"/>
              <w:bottom w:val="nil"/>
              <w:right w:val="nil"/>
            </w:tcBorders>
            <w:shd w:val="clear" w:color="auto" w:fill="auto"/>
            <w:noWrap/>
            <w:vAlign w:val="bottom"/>
            <w:hideMark/>
          </w:tcPr>
          <w:p w14:paraId="067E2A1D"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nabavu proizvedene dugotrajne imovine                                                    </w:t>
            </w:r>
          </w:p>
        </w:tc>
        <w:tc>
          <w:tcPr>
            <w:tcW w:w="1480" w:type="dxa"/>
            <w:tcBorders>
              <w:top w:val="nil"/>
              <w:left w:val="nil"/>
              <w:bottom w:val="nil"/>
              <w:right w:val="nil"/>
            </w:tcBorders>
            <w:shd w:val="clear" w:color="auto" w:fill="auto"/>
            <w:noWrap/>
            <w:vAlign w:val="bottom"/>
            <w:hideMark/>
          </w:tcPr>
          <w:p w14:paraId="31225D5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45.000,00</w:t>
            </w:r>
          </w:p>
        </w:tc>
        <w:tc>
          <w:tcPr>
            <w:tcW w:w="1380" w:type="dxa"/>
            <w:tcBorders>
              <w:top w:val="nil"/>
              <w:left w:val="nil"/>
              <w:bottom w:val="nil"/>
              <w:right w:val="nil"/>
            </w:tcBorders>
            <w:shd w:val="clear" w:color="auto" w:fill="auto"/>
            <w:noWrap/>
            <w:vAlign w:val="bottom"/>
            <w:hideMark/>
          </w:tcPr>
          <w:p w14:paraId="0E64E04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59.878,41</w:t>
            </w:r>
          </w:p>
        </w:tc>
        <w:tc>
          <w:tcPr>
            <w:tcW w:w="1400" w:type="dxa"/>
            <w:tcBorders>
              <w:top w:val="nil"/>
              <w:left w:val="nil"/>
              <w:bottom w:val="nil"/>
              <w:right w:val="nil"/>
            </w:tcBorders>
            <w:shd w:val="clear" w:color="auto" w:fill="auto"/>
            <w:noWrap/>
            <w:vAlign w:val="bottom"/>
            <w:hideMark/>
          </w:tcPr>
          <w:p w14:paraId="4EFBCFD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133,06%</w:t>
            </w:r>
          </w:p>
        </w:tc>
      </w:tr>
      <w:tr w:rsidR="00A360DB" w:rsidRPr="00A360DB" w14:paraId="4893F199" w14:textId="77777777" w:rsidTr="00A360DB">
        <w:trPr>
          <w:trHeight w:val="240"/>
        </w:trPr>
        <w:tc>
          <w:tcPr>
            <w:tcW w:w="1697" w:type="dxa"/>
            <w:tcBorders>
              <w:top w:val="nil"/>
              <w:left w:val="nil"/>
              <w:bottom w:val="nil"/>
              <w:right w:val="nil"/>
            </w:tcBorders>
            <w:shd w:val="clear" w:color="auto" w:fill="auto"/>
            <w:noWrap/>
            <w:vAlign w:val="bottom"/>
            <w:hideMark/>
          </w:tcPr>
          <w:p w14:paraId="6365AAC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4214</w:t>
            </w:r>
          </w:p>
        </w:tc>
        <w:tc>
          <w:tcPr>
            <w:tcW w:w="8509" w:type="dxa"/>
            <w:tcBorders>
              <w:top w:val="nil"/>
              <w:left w:val="nil"/>
              <w:bottom w:val="nil"/>
              <w:right w:val="nil"/>
            </w:tcBorders>
            <w:shd w:val="clear" w:color="auto" w:fill="auto"/>
            <w:noWrap/>
            <w:vAlign w:val="bottom"/>
            <w:hideMark/>
          </w:tcPr>
          <w:p w14:paraId="4E55F59A"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Ostali građevinski objekti                                                                          </w:t>
            </w:r>
          </w:p>
        </w:tc>
        <w:tc>
          <w:tcPr>
            <w:tcW w:w="1480" w:type="dxa"/>
            <w:tcBorders>
              <w:top w:val="nil"/>
              <w:left w:val="nil"/>
              <w:bottom w:val="nil"/>
              <w:right w:val="nil"/>
            </w:tcBorders>
            <w:shd w:val="clear" w:color="auto" w:fill="auto"/>
            <w:noWrap/>
            <w:vAlign w:val="bottom"/>
            <w:hideMark/>
          </w:tcPr>
          <w:p w14:paraId="52BBF634"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0FE0F9E4"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59.878,41</w:t>
            </w:r>
          </w:p>
        </w:tc>
        <w:tc>
          <w:tcPr>
            <w:tcW w:w="1400" w:type="dxa"/>
            <w:tcBorders>
              <w:top w:val="nil"/>
              <w:left w:val="nil"/>
              <w:bottom w:val="nil"/>
              <w:right w:val="nil"/>
            </w:tcBorders>
            <w:shd w:val="clear" w:color="auto" w:fill="auto"/>
            <w:noWrap/>
            <w:vAlign w:val="bottom"/>
            <w:hideMark/>
          </w:tcPr>
          <w:p w14:paraId="44DF60DE"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3CC9D0B6"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EA86953"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7. Prihodi od prodaje nefin. imovine</w:t>
            </w:r>
          </w:p>
        </w:tc>
        <w:tc>
          <w:tcPr>
            <w:tcW w:w="1480" w:type="dxa"/>
            <w:tcBorders>
              <w:top w:val="nil"/>
              <w:left w:val="nil"/>
              <w:bottom w:val="nil"/>
              <w:right w:val="nil"/>
            </w:tcBorders>
            <w:shd w:val="clear" w:color="auto" w:fill="auto"/>
            <w:noWrap/>
            <w:vAlign w:val="bottom"/>
            <w:hideMark/>
          </w:tcPr>
          <w:p w14:paraId="4DDD80D3"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15.000,00</w:t>
            </w:r>
          </w:p>
        </w:tc>
        <w:tc>
          <w:tcPr>
            <w:tcW w:w="1380" w:type="dxa"/>
            <w:tcBorders>
              <w:top w:val="nil"/>
              <w:left w:val="nil"/>
              <w:bottom w:val="nil"/>
              <w:right w:val="nil"/>
            </w:tcBorders>
            <w:shd w:val="clear" w:color="auto" w:fill="auto"/>
            <w:noWrap/>
            <w:vAlign w:val="bottom"/>
            <w:hideMark/>
          </w:tcPr>
          <w:p w14:paraId="45A3F93E"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0,00</w:t>
            </w:r>
          </w:p>
        </w:tc>
        <w:tc>
          <w:tcPr>
            <w:tcW w:w="1400" w:type="dxa"/>
            <w:tcBorders>
              <w:top w:val="nil"/>
              <w:left w:val="nil"/>
              <w:bottom w:val="nil"/>
              <w:right w:val="nil"/>
            </w:tcBorders>
            <w:shd w:val="clear" w:color="auto" w:fill="auto"/>
            <w:noWrap/>
            <w:vAlign w:val="bottom"/>
            <w:hideMark/>
          </w:tcPr>
          <w:p w14:paraId="3E9D8A27"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0,00%</w:t>
            </w:r>
          </w:p>
        </w:tc>
      </w:tr>
      <w:tr w:rsidR="00A360DB" w:rsidRPr="00A360DB" w14:paraId="05AF330D"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2558A817"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 xml:space="preserve">Izvor 7.1. Prihodi od prodaje </w:t>
            </w:r>
            <w:proofErr w:type="spellStart"/>
            <w:r w:rsidRPr="00A360DB">
              <w:rPr>
                <w:rFonts w:ascii="Arial" w:hAnsi="Arial" w:cs="Arial"/>
                <w:color w:val="333333"/>
                <w:sz w:val="18"/>
                <w:szCs w:val="18"/>
                <w:lang w:eastAsia="hr-HR"/>
              </w:rPr>
              <w:t>nef</w:t>
            </w:r>
            <w:proofErr w:type="spellEnd"/>
            <w:r w:rsidRPr="00A360DB">
              <w:rPr>
                <w:rFonts w:ascii="Arial" w:hAnsi="Arial" w:cs="Arial"/>
                <w:color w:val="333333"/>
                <w:sz w:val="18"/>
                <w:szCs w:val="18"/>
                <w:lang w:eastAsia="hr-HR"/>
              </w:rPr>
              <w:t>. imovine</w:t>
            </w:r>
          </w:p>
        </w:tc>
        <w:tc>
          <w:tcPr>
            <w:tcW w:w="1480" w:type="dxa"/>
            <w:tcBorders>
              <w:top w:val="nil"/>
              <w:left w:val="nil"/>
              <w:bottom w:val="nil"/>
              <w:right w:val="nil"/>
            </w:tcBorders>
            <w:shd w:val="clear" w:color="auto" w:fill="auto"/>
            <w:noWrap/>
            <w:vAlign w:val="bottom"/>
            <w:hideMark/>
          </w:tcPr>
          <w:p w14:paraId="55354941"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15.000,00</w:t>
            </w:r>
          </w:p>
        </w:tc>
        <w:tc>
          <w:tcPr>
            <w:tcW w:w="1380" w:type="dxa"/>
            <w:tcBorders>
              <w:top w:val="nil"/>
              <w:left w:val="nil"/>
              <w:bottom w:val="nil"/>
              <w:right w:val="nil"/>
            </w:tcBorders>
            <w:shd w:val="clear" w:color="auto" w:fill="auto"/>
            <w:noWrap/>
            <w:vAlign w:val="bottom"/>
            <w:hideMark/>
          </w:tcPr>
          <w:p w14:paraId="784826B7"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0,00</w:t>
            </w:r>
          </w:p>
        </w:tc>
        <w:tc>
          <w:tcPr>
            <w:tcW w:w="1400" w:type="dxa"/>
            <w:tcBorders>
              <w:top w:val="nil"/>
              <w:left w:val="nil"/>
              <w:bottom w:val="nil"/>
              <w:right w:val="nil"/>
            </w:tcBorders>
            <w:shd w:val="clear" w:color="auto" w:fill="auto"/>
            <w:noWrap/>
            <w:vAlign w:val="bottom"/>
            <w:hideMark/>
          </w:tcPr>
          <w:p w14:paraId="03022E19"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0,00%</w:t>
            </w:r>
          </w:p>
        </w:tc>
      </w:tr>
      <w:tr w:rsidR="00A360DB" w:rsidRPr="00A360DB" w14:paraId="7A212E2A" w14:textId="77777777" w:rsidTr="00A360DB">
        <w:trPr>
          <w:trHeight w:val="240"/>
        </w:trPr>
        <w:tc>
          <w:tcPr>
            <w:tcW w:w="1697" w:type="dxa"/>
            <w:tcBorders>
              <w:top w:val="nil"/>
              <w:left w:val="nil"/>
              <w:bottom w:val="nil"/>
              <w:right w:val="nil"/>
            </w:tcBorders>
            <w:shd w:val="clear" w:color="auto" w:fill="auto"/>
            <w:noWrap/>
            <w:vAlign w:val="bottom"/>
            <w:hideMark/>
          </w:tcPr>
          <w:p w14:paraId="2D463585"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42</w:t>
            </w:r>
          </w:p>
        </w:tc>
        <w:tc>
          <w:tcPr>
            <w:tcW w:w="8509" w:type="dxa"/>
            <w:tcBorders>
              <w:top w:val="nil"/>
              <w:left w:val="nil"/>
              <w:bottom w:val="nil"/>
              <w:right w:val="nil"/>
            </w:tcBorders>
            <w:shd w:val="clear" w:color="auto" w:fill="auto"/>
            <w:noWrap/>
            <w:vAlign w:val="bottom"/>
            <w:hideMark/>
          </w:tcPr>
          <w:p w14:paraId="797FF7D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nabavu proizvedene dugotrajne imovine                                                    </w:t>
            </w:r>
          </w:p>
        </w:tc>
        <w:tc>
          <w:tcPr>
            <w:tcW w:w="1480" w:type="dxa"/>
            <w:tcBorders>
              <w:top w:val="nil"/>
              <w:left w:val="nil"/>
              <w:bottom w:val="nil"/>
              <w:right w:val="nil"/>
            </w:tcBorders>
            <w:shd w:val="clear" w:color="auto" w:fill="auto"/>
            <w:noWrap/>
            <w:vAlign w:val="bottom"/>
            <w:hideMark/>
          </w:tcPr>
          <w:p w14:paraId="3D53B71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15.000,00</w:t>
            </w:r>
          </w:p>
        </w:tc>
        <w:tc>
          <w:tcPr>
            <w:tcW w:w="1380" w:type="dxa"/>
            <w:tcBorders>
              <w:top w:val="nil"/>
              <w:left w:val="nil"/>
              <w:bottom w:val="nil"/>
              <w:right w:val="nil"/>
            </w:tcBorders>
            <w:shd w:val="clear" w:color="auto" w:fill="auto"/>
            <w:noWrap/>
            <w:vAlign w:val="bottom"/>
            <w:hideMark/>
          </w:tcPr>
          <w:p w14:paraId="4FA4475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c>
          <w:tcPr>
            <w:tcW w:w="1400" w:type="dxa"/>
            <w:tcBorders>
              <w:top w:val="nil"/>
              <w:left w:val="nil"/>
              <w:bottom w:val="nil"/>
              <w:right w:val="nil"/>
            </w:tcBorders>
            <w:shd w:val="clear" w:color="auto" w:fill="auto"/>
            <w:noWrap/>
            <w:vAlign w:val="bottom"/>
            <w:hideMark/>
          </w:tcPr>
          <w:p w14:paraId="6C50FDB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0,00%</w:t>
            </w:r>
          </w:p>
        </w:tc>
      </w:tr>
      <w:tr w:rsidR="00A360DB" w:rsidRPr="00A360DB" w14:paraId="6A9D0328" w14:textId="77777777" w:rsidTr="00A360DB">
        <w:trPr>
          <w:trHeight w:val="240"/>
        </w:trPr>
        <w:tc>
          <w:tcPr>
            <w:tcW w:w="1697" w:type="dxa"/>
            <w:tcBorders>
              <w:top w:val="nil"/>
              <w:left w:val="nil"/>
              <w:bottom w:val="nil"/>
              <w:right w:val="nil"/>
            </w:tcBorders>
            <w:shd w:val="clear" w:color="000000" w:fill="B4C6E7"/>
            <w:noWrap/>
            <w:vAlign w:val="bottom"/>
            <w:hideMark/>
          </w:tcPr>
          <w:p w14:paraId="65F4EA61"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lastRenderedPageBreak/>
              <w:t>K101115</w:t>
            </w:r>
          </w:p>
        </w:tc>
        <w:tc>
          <w:tcPr>
            <w:tcW w:w="8509" w:type="dxa"/>
            <w:tcBorders>
              <w:top w:val="nil"/>
              <w:left w:val="nil"/>
              <w:bottom w:val="nil"/>
              <w:right w:val="nil"/>
            </w:tcBorders>
            <w:shd w:val="clear" w:color="000000" w:fill="B4C6E7"/>
            <w:noWrap/>
            <w:vAlign w:val="bottom"/>
            <w:hideMark/>
          </w:tcPr>
          <w:p w14:paraId="7FD08571"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Kapitalni projekt: Nerazvrstane ceste</w:t>
            </w:r>
          </w:p>
        </w:tc>
        <w:tc>
          <w:tcPr>
            <w:tcW w:w="1480" w:type="dxa"/>
            <w:tcBorders>
              <w:top w:val="nil"/>
              <w:left w:val="nil"/>
              <w:bottom w:val="nil"/>
              <w:right w:val="nil"/>
            </w:tcBorders>
            <w:shd w:val="clear" w:color="000000" w:fill="B4C6E7"/>
            <w:noWrap/>
            <w:vAlign w:val="bottom"/>
            <w:hideMark/>
          </w:tcPr>
          <w:p w14:paraId="7D9C4A1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165.700,00</w:t>
            </w:r>
          </w:p>
        </w:tc>
        <w:tc>
          <w:tcPr>
            <w:tcW w:w="1380" w:type="dxa"/>
            <w:tcBorders>
              <w:top w:val="nil"/>
              <w:left w:val="nil"/>
              <w:bottom w:val="nil"/>
              <w:right w:val="nil"/>
            </w:tcBorders>
            <w:shd w:val="clear" w:color="000000" w:fill="B4C6E7"/>
            <w:noWrap/>
            <w:vAlign w:val="bottom"/>
            <w:hideMark/>
          </w:tcPr>
          <w:p w14:paraId="6FD25E7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161.931,85</w:t>
            </w:r>
          </w:p>
        </w:tc>
        <w:tc>
          <w:tcPr>
            <w:tcW w:w="1400" w:type="dxa"/>
            <w:tcBorders>
              <w:top w:val="nil"/>
              <w:left w:val="nil"/>
              <w:bottom w:val="nil"/>
              <w:right w:val="nil"/>
            </w:tcBorders>
            <w:shd w:val="clear" w:color="000000" w:fill="B4C6E7"/>
            <w:noWrap/>
            <w:vAlign w:val="bottom"/>
            <w:hideMark/>
          </w:tcPr>
          <w:p w14:paraId="747FEC6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97,73%</w:t>
            </w:r>
          </w:p>
        </w:tc>
      </w:tr>
      <w:tr w:rsidR="00A360DB" w:rsidRPr="00A360DB" w14:paraId="50E3D118"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248F0A59"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5. Pomoći</w:t>
            </w:r>
          </w:p>
        </w:tc>
        <w:tc>
          <w:tcPr>
            <w:tcW w:w="1480" w:type="dxa"/>
            <w:tcBorders>
              <w:top w:val="nil"/>
              <w:left w:val="nil"/>
              <w:bottom w:val="nil"/>
              <w:right w:val="nil"/>
            </w:tcBorders>
            <w:shd w:val="clear" w:color="auto" w:fill="auto"/>
            <w:noWrap/>
            <w:vAlign w:val="bottom"/>
            <w:hideMark/>
          </w:tcPr>
          <w:p w14:paraId="1E8CB2A1"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40.700,00</w:t>
            </w:r>
          </w:p>
        </w:tc>
        <w:tc>
          <w:tcPr>
            <w:tcW w:w="1380" w:type="dxa"/>
            <w:tcBorders>
              <w:top w:val="nil"/>
              <w:left w:val="nil"/>
              <w:bottom w:val="nil"/>
              <w:right w:val="nil"/>
            </w:tcBorders>
            <w:shd w:val="clear" w:color="auto" w:fill="auto"/>
            <w:noWrap/>
            <w:vAlign w:val="bottom"/>
            <w:hideMark/>
          </w:tcPr>
          <w:p w14:paraId="16AD8A1B"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40.700,00</w:t>
            </w:r>
          </w:p>
        </w:tc>
        <w:tc>
          <w:tcPr>
            <w:tcW w:w="1400" w:type="dxa"/>
            <w:tcBorders>
              <w:top w:val="nil"/>
              <w:left w:val="nil"/>
              <w:bottom w:val="nil"/>
              <w:right w:val="nil"/>
            </w:tcBorders>
            <w:shd w:val="clear" w:color="auto" w:fill="auto"/>
            <w:noWrap/>
            <w:vAlign w:val="bottom"/>
            <w:hideMark/>
          </w:tcPr>
          <w:p w14:paraId="1A97E97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w:t>
            </w:r>
          </w:p>
        </w:tc>
      </w:tr>
      <w:tr w:rsidR="00A360DB" w:rsidRPr="00A360DB" w14:paraId="4A762936"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ED96A46"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5.2. Državni proračun</w:t>
            </w:r>
          </w:p>
        </w:tc>
        <w:tc>
          <w:tcPr>
            <w:tcW w:w="1480" w:type="dxa"/>
            <w:tcBorders>
              <w:top w:val="nil"/>
              <w:left w:val="nil"/>
              <w:bottom w:val="nil"/>
              <w:right w:val="nil"/>
            </w:tcBorders>
            <w:shd w:val="clear" w:color="auto" w:fill="auto"/>
            <w:noWrap/>
            <w:vAlign w:val="bottom"/>
            <w:hideMark/>
          </w:tcPr>
          <w:p w14:paraId="05CED022"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40.700,00</w:t>
            </w:r>
          </w:p>
        </w:tc>
        <w:tc>
          <w:tcPr>
            <w:tcW w:w="1380" w:type="dxa"/>
            <w:tcBorders>
              <w:top w:val="nil"/>
              <w:left w:val="nil"/>
              <w:bottom w:val="nil"/>
              <w:right w:val="nil"/>
            </w:tcBorders>
            <w:shd w:val="clear" w:color="auto" w:fill="auto"/>
            <w:noWrap/>
            <w:vAlign w:val="bottom"/>
            <w:hideMark/>
          </w:tcPr>
          <w:p w14:paraId="6A134D84"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40.700,00</w:t>
            </w:r>
          </w:p>
        </w:tc>
        <w:tc>
          <w:tcPr>
            <w:tcW w:w="1400" w:type="dxa"/>
            <w:tcBorders>
              <w:top w:val="nil"/>
              <w:left w:val="nil"/>
              <w:bottom w:val="nil"/>
              <w:right w:val="nil"/>
            </w:tcBorders>
            <w:shd w:val="clear" w:color="auto" w:fill="auto"/>
            <w:noWrap/>
            <w:vAlign w:val="bottom"/>
            <w:hideMark/>
          </w:tcPr>
          <w:p w14:paraId="01919E6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w:t>
            </w:r>
          </w:p>
        </w:tc>
      </w:tr>
      <w:tr w:rsidR="00A360DB" w:rsidRPr="00A360DB" w14:paraId="5B37A8F9" w14:textId="77777777" w:rsidTr="00A360DB">
        <w:trPr>
          <w:trHeight w:val="240"/>
        </w:trPr>
        <w:tc>
          <w:tcPr>
            <w:tcW w:w="1697" w:type="dxa"/>
            <w:tcBorders>
              <w:top w:val="nil"/>
              <w:left w:val="nil"/>
              <w:bottom w:val="nil"/>
              <w:right w:val="nil"/>
            </w:tcBorders>
            <w:shd w:val="clear" w:color="auto" w:fill="auto"/>
            <w:noWrap/>
            <w:vAlign w:val="bottom"/>
            <w:hideMark/>
          </w:tcPr>
          <w:p w14:paraId="3217D004"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45</w:t>
            </w:r>
          </w:p>
        </w:tc>
        <w:tc>
          <w:tcPr>
            <w:tcW w:w="8509" w:type="dxa"/>
            <w:tcBorders>
              <w:top w:val="nil"/>
              <w:left w:val="nil"/>
              <w:bottom w:val="nil"/>
              <w:right w:val="nil"/>
            </w:tcBorders>
            <w:shd w:val="clear" w:color="auto" w:fill="auto"/>
            <w:noWrap/>
            <w:vAlign w:val="bottom"/>
            <w:hideMark/>
          </w:tcPr>
          <w:p w14:paraId="5693EEC3"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dodatna ulaganja na nefinancijskoj imovini                                               </w:t>
            </w:r>
          </w:p>
        </w:tc>
        <w:tc>
          <w:tcPr>
            <w:tcW w:w="1480" w:type="dxa"/>
            <w:tcBorders>
              <w:top w:val="nil"/>
              <w:left w:val="nil"/>
              <w:bottom w:val="nil"/>
              <w:right w:val="nil"/>
            </w:tcBorders>
            <w:shd w:val="clear" w:color="auto" w:fill="auto"/>
            <w:noWrap/>
            <w:vAlign w:val="bottom"/>
            <w:hideMark/>
          </w:tcPr>
          <w:p w14:paraId="043B895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40.700,00</w:t>
            </w:r>
          </w:p>
        </w:tc>
        <w:tc>
          <w:tcPr>
            <w:tcW w:w="1380" w:type="dxa"/>
            <w:tcBorders>
              <w:top w:val="nil"/>
              <w:left w:val="nil"/>
              <w:bottom w:val="nil"/>
              <w:right w:val="nil"/>
            </w:tcBorders>
            <w:shd w:val="clear" w:color="auto" w:fill="auto"/>
            <w:noWrap/>
            <w:vAlign w:val="bottom"/>
            <w:hideMark/>
          </w:tcPr>
          <w:p w14:paraId="7B112BB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40.700,00</w:t>
            </w:r>
          </w:p>
        </w:tc>
        <w:tc>
          <w:tcPr>
            <w:tcW w:w="1400" w:type="dxa"/>
            <w:tcBorders>
              <w:top w:val="nil"/>
              <w:left w:val="nil"/>
              <w:bottom w:val="nil"/>
              <w:right w:val="nil"/>
            </w:tcBorders>
            <w:shd w:val="clear" w:color="auto" w:fill="auto"/>
            <w:noWrap/>
            <w:vAlign w:val="bottom"/>
            <w:hideMark/>
          </w:tcPr>
          <w:p w14:paraId="5CC70C81"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r>
      <w:tr w:rsidR="00A360DB" w:rsidRPr="00A360DB" w14:paraId="4793A555" w14:textId="77777777" w:rsidTr="00A360DB">
        <w:trPr>
          <w:trHeight w:val="240"/>
        </w:trPr>
        <w:tc>
          <w:tcPr>
            <w:tcW w:w="1697" w:type="dxa"/>
            <w:tcBorders>
              <w:top w:val="nil"/>
              <w:left w:val="nil"/>
              <w:bottom w:val="nil"/>
              <w:right w:val="nil"/>
            </w:tcBorders>
            <w:shd w:val="clear" w:color="auto" w:fill="auto"/>
            <w:noWrap/>
            <w:vAlign w:val="bottom"/>
            <w:hideMark/>
          </w:tcPr>
          <w:p w14:paraId="015A38D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4511</w:t>
            </w:r>
          </w:p>
        </w:tc>
        <w:tc>
          <w:tcPr>
            <w:tcW w:w="8509" w:type="dxa"/>
            <w:tcBorders>
              <w:top w:val="nil"/>
              <w:left w:val="nil"/>
              <w:bottom w:val="nil"/>
              <w:right w:val="nil"/>
            </w:tcBorders>
            <w:shd w:val="clear" w:color="auto" w:fill="auto"/>
            <w:noWrap/>
            <w:vAlign w:val="bottom"/>
            <w:hideMark/>
          </w:tcPr>
          <w:p w14:paraId="7D427407"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Dodatna ulaganja na građevinskim objektima                                                          </w:t>
            </w:r>
          </w:p>
        </w:tc>
        <w:tc>
          <w:tcPr>
            <w:tcW w:w="1480" w:type="dxa"/>
            <w:tcBorders>
              <w:top w:val="nil"/>
              <w:left w:val="nil"/>
              <w:bottom w:val="nil"/>
              <w:right w:val="nil"/>
            </w:tcBorders>
            <w:shd w:val="clear" w:color="auto" w:fill="auto"/>
            <w:noWrap/>
            <w:vAlign w:val="bottom"/>
            <w:hideMark/>
          </w:tcPr>
          <w:p w14:paraId="796A2308"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7CEE443"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40.700,00</w:t>
            </w:r>
          </w:p>
        </w:tc>
        <w:tc>
          <w:tcPr>
            <w:tcW w:w="1400" w:type="dxa"/>
            <w:tcBorders>
              <w:top w:val="nil"/>
              <w:left w:val="nil"/>
              <w:bottom w:val="nil"/>
              <w:right w:val="nil"/>
            </w:tcBorders>
            <w:shd w:val="clear" w:color="auto" w:fill="auto"/>
            <w:noWrap/>
            <w:vAlign w:val="bottom"/>
            <w:hideMark/>
          </w:tcPr>
          <w:p w14:paraId="5717D001"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6DC58D5"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63A8819"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7. Prihodi od prodaje nefin. imovine</w:t>
            </w:r>
          </w:p>
        </w:tc>
        <w:tc>
          <w:tcPr>
            <w:tcW w:w="1480" w:type="dxa"/>
            <w:tcBorders>
              <w:top w:val="nil"/>
              <w:left w:val="nil"/>
              <w:bottom w:val="nil"/>
              <w:right w:val="nil"/>
            </w:tcBorders>
            <w:shd w:val="clear" w:color="auto" w:fill="auto"/>
            <w:noWrap/>
            <w:vAlign w:val="bottom"/>
            <w:hideMark/>
          </w:tcPr>
          <w:p w14:paraId="0E83CEDF"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78.000,00</w:t>
            </w:r>
          </w:p>
        </w:tc>
        <w:tc>
          <w:tcPr>
            <w:tcW w:w="1380" w:type="dxa"/>
            <w:tcBorders>
              <w:top w:val="nil"/>
              <w:left w:val="nil"/>
              <w:bottom w:val="nil"/>
              <w:right w:val="nil"/>
            </w:tcBorders>
            <w:shd w:val="clear" w:color="auto" w:fill="auto"/>
            <w:noWrap/>
            <w:vAlign w:val="bottom"/>
            <w:hideMark/>
          </w:tcPr>
          <w:p w14:paraId="71A405CB"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75.479,77</w:t>
            </w:r>
          </w:p>
        </w:tc>
        <w:tc>
          <w:tcPr>
            <w:tcW w:w="1400" w:type="dxa"/>
            <w:tcBorders>
              <w:top w:val="nil"/>
              <w:left w:val="nil"/>
              <w:bottom w:val="nil"/>
              <w:right w:val="nil"/>
            </w:tcBorders>
            <w:shd w:val="clear" w:color="auto" w:fill="auto"/>
            <w:noWrap/>
            <w:vAlign w:val="bottom"/>
            <w:hideMark/>
          </w:tcPr>
          <w:p w14:paraId="3C7F3335"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96,77%</w:t>
            </w:r>
          </w:p>
        </w:tc>
      </w:tr>
      <w:tr w:rsidR="00A360DB" w:rsidRPr="00A360DB" w14:paraId="7A2784B1"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7E48E8BF"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 xml:space="preserve">Izvor 7.1. Prihodi od prodaje </w:t>
            </w:r>
            <w:proofErr w:type="spellStart"/>
            <w:r w:rsidRPr="00A360DB">
              <w:rPr>
                <w:rFonts w:ascii="Arial" w:hAnsi="Arial" w:cs="Arial"/>
                <w:color w:val="333333"/>
                <w:sz w:val="18"/>
                <w:szCs w:val="18"/>
                <w:lang w:eastAsia="hr-HR"/>
              </w:rPr>
              <w:t>nef</w:t>
            </w:r>
            <w:proofErr w:type="spellEnd"/>
            <w:r w:rsidRPr="00A360DB">
              <w:rPr>
                <w:rFonts w:ascii="Arial" w:hAnsi="Arial" w:cs="Arial"/>
                <w:color w:val="333333"/>
                <w:sz w:val="18"/>
                <w:szCs w:val="18"/>
                <w:lang w:eastAsia="hr-HR"/>
              </w:rPr>
              <w:t>. imovine</w:t>
            </w:r>
          </w:p>
        </w:tc>
        <w:tc>
          <w:tcPr>
            <w:tcW w:w="1480" w:type="dxa"/>
            <w:tcBorders>
              <w:top w:val="nil"/>
              <w:left w:val="nil"/>
              <w:bottom w:val="nil"/>
              <w:right w:val="nil"/>
            </w:tcBorders>
            <w:shd w:val="clear" w:color="auto" w:fill="auto"/>
            <w:noWrap/>
            <w:vAlign w:val="bottom"/>
            <w:hideMark/>
          </w:tcPr>
          <w:p w14:paraId="4E15F3E0"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78.000,00</w:t>
            </w:r>
          </w:p>
        </w:tc>
        <w:tc>
          <w:tcPr>
            <w:tcW w:w="1380" w:type="dxa"/>
            <w:tcBorders>
              <w:top w:val="nil"/>
              <w:left w:val="nil"/>
              <w:bottom w:val="nil"/>
              <w:right w:val="nil"/>
            </w:tcBorders>
            <w:shd w:val="clear" w:color="auto" w:fill="auto"/>
            <w:noWrap/>
            <w:vAlign w:val="bottom"/>
            <w:hideMark/>
          </w:tcPr>
          <w:p w14:paraId="3B39C86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75.479,77</w:t>
            </w:r>
          </w:p>
        </w:tc>
        <w:tc>
          <w:tcPr>
            <w:tcW w:w="1400" w:type="dxa"/>
            <w:tcBorders>
              <w:top w:val="nil"/>
              <w:left w:val="nil"/>
              <w:bottom w:val="nil"/>
              <w:right w:val="nil"/>
            </w:tcBorders>
            <w:shd w:val="clear" w:color="auto" w:fill="auto"/>
            <w:noWrap/>
            <w:vAlign w:val="bottom"/>
            <w:hideMark/>
          </w:tcPr>
          <w:p w14:paraId="32C9935F"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96,77%</w:t>
            </w:r>
          </w:p>
        </w:tc>
      </w:tr>
      <w:tr w:rsidR="00A360DB" w:rsidRPr="00A360DB" w14:paraId="253AF52C" w14:textId="77777777" w:rsidTr="00A360DB">
        <w:trPr>
          <w:trHeight w:val="240"/>
        </w:trPr>
        <w:tc>
          <w:tcPr>
            <w:tcW w:w="1697" w:type="dxa"/>
            <w:tcBorders>
              <w:top w:val="nil"/>
              <w:left w:val="nil"/>
              <w:bottom w:val="nil"/>
              <w:right w:val="nil"/>
            </w:tcBorders>
            <w:shd w:val="clear" w:color="auto" w:fill="auto"/>
            <w:noWrap/>
            <w:vAlign w:val="bottom"/>
            <w:hideMark/>
          </w:tcPr>
          <w:p w14:paraId="591A6AB1"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45</w:t>
            </w:r>
          </w:p>
        </w:tc>
        <w:tc>
          <w:tcPr>
            <w:tcW w:w="8509" w:type="dxa"/>
            <w:tcBorders>
              <w:top w:val="nil"/>
              <w:left w:val="nil"/>
              <w:bottom w:val="nil"/>
              <w:right w:val="nil"/>
            </w:tcBorders>
            <w:shd w:val="clear" w:color="auto" w:fill="auto"/>
            <w:noWrap/>
            <w:vAlign w:val="bottom"/>
            <w:hideMark/>
          </w:tcPr>
          <w:p w14:paraId="657BF3D2"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dodatna ulaganja na nefinancijskoj imovini                                               </w:t>
            </w:r>
          </w:p>
        </w:tc>
        <w:tc>
          <w:tcPr>
            <w:tcW w:w="1480" w:type="dxa"/>
            <w:tcBorders>
              <w:top w:val="nil"/>
              <w:left w:val="nil"/>
              <w:bottom w:val="nil"/>
              <w:right w:val="nil"/>
            </w:tcBorders>
            <w:shd w:val="clear" w:color="auto" w:fill="auto"/>
            <w:noWrap/>
            <w:vAlign w:val="bottom"/>
            <w:hideMark/>
          </w:tcPr>
          <w:p w14:paraId="5F45B23A"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78.000,00</w:t>
            </w:r>
          </w:p>
        </w:tc>
        <w:tc>
          <w:tcPr>
            <w:tcW w:w="1380" w:type="dxa"/>
            <w:tcBorders>
              <w:top w:val="nil"/>
              <w:left w:val="nil"/>
              <w:bottom w:val="nil"/>
              <w:right w:val="nil"/>
            </w:tcBorders>
            <w:shd w:val="clear" w:color="auto" w:fill="auto"/>
            <w:noWrap/>
            <w:vAlign w:val="bottom"/>
            <w:hideMark/>
          </w:tcPr>
          <w:p w14:paraId="0FD34D5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75.479,77</w:t>
            </w:r>
          </w:p>
        </w:tc>
        <w:tc>
          <w:tcPr>
            <w:tcW w:w="1400" w:type="dxa"/>
            <w:tcBorders>
              <w:top w:val="nil"/>
              <w:left w:val="nil"/>
              <w:bottom w:val="nil"/>
              <w:right w:val="nil"/>
            </w:tcBorders>
            <w:shd w:val="clear" w:color="auto" w:fill="auto"/>
            <w:noWrap/>
            <w:vAlign w:val="bottom"/>
            <w:hideMark/>
          </w:tcPr>
          <w:p w14:paraId="384AB62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96,77%</w:t>
            </w:r>
          </w:p>
        </w:tc>
      </w:tr>
      <w:tr w:rsidR="00A360DB" w:rsidRPr="00A360DB" w14:paraId="38D424EC" w14:textId="77777777" w:rsidTr="00A360DB">
        <w:trPr>
          <w:trHeight w:val="240"/>
        </w:trPr>
        <w:tc>
          <w:tcPr>
            <w:tcW w:w="1697" w:type="dxa"/>
            <w:tcBorders>
              <w:top w:val="nil"/>
              <w:left w:val="nil"/>
              <w:bottom w:val="nil"/>
              <w:right w:val="nil"/>
            </w:tcBorders>
            <w:shd w:val="clear" w:color="auto" w:fill="auto"/>
            <w:noWrap/>
            <w:vAlign w:val="bottom"/>
            <w:hideMark/>
          </w:tcPr>
          <w:p w14:paraId="61DC6E40"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4511</w:t>
            </w:r>
          </w:p>
        </w:tc>
        <w:tc>
          <w:tcPr>
            <w:tcW w:w="8509" w:type="dxa"/>
            <w:tcBorders>
              <w:top w:val="nil"/>
              <w:left w:val="nil"/>
              <w:bottom w:val="nil"/>
              <w:right w:val="nil"/>
            </w:tcBorders>
            <w:shd w:val="clear" w:color="auto" w:fill="auto"/>
            <w:noWrap/>
            <w:vAlign w:val="bottom"/>
            <w:hideMark/>
          </w:tcPr>
          <w:p w14:paraId="607E823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Dodatna ulaganja na građevinskim objektima                                                          </w:t>
            </w:r>
          </w:p>
        </w:tc>
        <w:tc>
          <w:tcPr>
            <w:tcW w:w="1480" w:type="dxa"/>
            <w:tcBorders>
              <w:top w:val="nil"/>
              <w:left w:val="nil"/>
              <w:bottom w:val="nil"/>
              <w:right w:val="nil"/>
            </w:tcBorders>
            <w:shd w:val="clear" w:color="auto" w:fill="auto"/>
            <w:noWrap/>
            <w:vAlign w:val="bottom"/>
            <w:hideMark/>
          </w:tcPr>
          <w:p w14:paraId="70564035"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7EA355A"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75.479,77</w:t>
            </w:r>
          </w:p>
        </w:tc>
        <w:tc>
          <w:tcPr>
            <w:tcW w:w="1400" w:type="dxa"/>
            <w:tcBorders>
              <w:top w:val="nil"/>
              <w:left w:val="nil"/>
              <w:bottom w:val="nil"/>
              <w:right w:val="nil"/>
            </w:tcBorders>
            <w:shd w:val="clear" w:color="auto" w:fill="auto"/>
            <w:noWrap/>
            <w:vAlign w:val="bottom"/>
            <w:hideMark/>
          </w:tcPr>
          <w:p w14:paraId="2F0DA087"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672D3728"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3D994F52"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9. Višak iz prethodnih razdoblja</w:t>
            </w:r>
          </w:p>
        </w:tc>
        <w:tc>
          <w:tcPr>
            <w:tcW w:w="1480" w:type="dxa"/>
            <w:tcBorders>
              <w:top w:val="nil"/>
              <w:left w:val="nil"/>
              <w:bottom w:val="nil"/>
              <w:right w:val="nil"/>
            </w:tcBorders>
            <w:shd w:val="clear" w:color="auto" w:fill="auto"/>
            <w:noWrap/>
            <w:vAlign w:val="bottom"/>
            <w:hideMark/>
          </w:tcPr>
          <w:p w14:paraId="3D84D19C"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47.000,00</w:t>
            </w:r>
          </w:p>
        </w:tc>
        <w:tc>
          <w:tcPr>
            <w:tcW w:w="1380" w:type="dxa"/>
            <w:tcBorders>
              <w:top w:val="nil"/>
              <w:left w:val="nil"/>
              <w:bottom w:val="nil"/>
              <w:right w:val="nil"/>
            </w:tcBorders>
            <w:shd w:val="clear" w:color="auto" w:fill="auto"/>
            <w:noWrap/>
            <w:vAlign w:val="bottom"/>
            <w:hideMark/>
          </w:tcPr>
          <w:p w14:paraId="2B6A18D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45.752,08</w:t>
            </w:r>
          </w:p>
        </w:tc>
        <w:tc>
          <w:tcPr>
            <w:tcW w:w="1400" w:type="dxa"/>
            <w:tcBorders>
              <w:top w:val="nil"/>
              <w:left w:val="nil"/>
              <w:bottom w:val="nil"/>
              <w:right w:val="nil"/>
            </w:tcBorders>
            <w:shd w:val="clear" w:color="auto" w:fill="auto"/>
            <w:noWrap/>
            <w:vAlign w:val="bottom"/>
            <w:hideMark/>
          </w:tcPr>
          <w:p w14:paraId="2047379D"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97,34%</w:t>
            </w:r>
          </w:p>
        </w:tc>
      </w:tr>
      <w:tr w:rsidR="00A360DB" w:rsidRPr="00A360DB" w14:paraId="70567339"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CA9F16B"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9.2. Višak iz prethodnih godina - Grad</w:t>
            </w:r>
          </w:p>
        </w:tc>
        <w:tc>
          <w:tcPr>
            <w:tcW w:w="1480" w:type="dxa"/>
            <w:tcBorders>
              <w:top w:val="nil"/>
              <w:left w:val="nil"/>
              <w:bottom w:val="nil"/>
              <w:right w:val="nil"/>
            </w:tcBorders>
            <w:shd w:val="clear" w:color="auto" w:fill="auto"/>
            <w:noWrap/>
            <w:vAlign w:val="bottom"/>
            <w:hideMark/>
          </w:tcPr>
          <w:p w14:paraId="2E9F6153"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47.000,00</w:t>
            </w:r>
          </w:p>
        </w:tc>
        <w:tc>
          <w:tcPr>
            <w:tcW w:w="1380" w:type="dxa"/>
            <w:tcBorders>
              <w:top w:val="nil"/>
              <w:left w:val="nil"/>
              <w:bottom w:val="nil"/>
              <w:right w:val="nil"/>
            </w:tcBorders>
            <w:shd w:val="clear" w:color="auto" w:fill="auto"/>
            <w:noWrap/>
            <w:vAlign w:val="bottom"/>
            <w:hideMark/>
          </w:tcPr>
          <w:p w14:paraId="3365839F"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45.752,08</w:t>
            </w:r>
          </w:p>
        </w:tc>
        <w:tc>
          <w:tcPr>
            <w:tcW w:w="1400" w:type="dxa"/>
            <w:tcBorders>
              <w:top w:val="nil"/>
              <w:left w:val="nil"/>
              <w:bottom w:val="nil"/>
              <w:right w:val="nil"/>
            </w:tcBorders>
            <w:shd w:val="clear" w:color="auto" w:fill="auto"/>
            <w:noWrap/>
            <w:vAlign w:val="bottom"/>
            <w:hideMark/>
          </w:tcPr>
          <w:p w14:paraId="587735C4"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97,34%</w:t>
            </w:r>
          </w:p>
        </w:tc>
      </w:tr>
      <w:tr w:rsidR="00A360DB" w:rsidRPr="00A360DB" w14:paraId="35F2406A" w14:textId="77777777" w:rsidTr="00A360DB">
        <w:trPr>
          <w:trHeight w:val="240"/>
        </w:trPr>
        <w:tc>
          <w:tcPr>
            <w:tcW w:w="1697" w:type="dxa"/>
            <w:tcBorders>
              <w:top w:val="nil"/>
              <w:left w:val="nil"/>
              <w:bottom w:val="nil"/>
              <w:right w:val="nil"/>
            </w:tcBorders>
            <w:shd w:val="clear" w:color="auto" w:fill="auto"/>
            <w:noWrap/>
            <w:vAlign w:val="bottom"/>
            <w:hideMark/>
          </w:tcPr>
          <w:p w14:paraId="3F8F3570"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45</w:t>
            </w:r>
          </w:p>
        </w:tc>
        <w:tc>
          <w:tcPr>
            <w:tcW w:w="8509" w:type="dxa"/>
            <w:tcBorders>
              <w:top w:val="nil"/>
              <w:left w:val="nil"/>
              <w:bottom w:val="nil"/>
              <w:right w:val="nil"/>
            </w:tcBorders>
            <w:shd w:val="clear" w:color="auto" w:fill="auto"/>
            <w:noWrap/>
            <w:vAlign w:val="bottom"/>
            <w:hideMark/>
          </w:tcPr>
          <w:p w14:paraId="7401DA88"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Rashodi za dodatna ulaganja na nefinancijskoj imovini                                               </w:t>
            </w:r>
          </w:p>
        </w:tc>
        <w:tc>
          <w:tcPr>
            <w:tcW w:w="1480" w:type="dxa"/>
            <w:tcBorders>
              <w:top w:val="nil"/>
              <w:left w:val="nil"/>
              <w:bottom w:val="nil"/>
              <w:right w:val="nil"/>
            </w:tcBorders>
            <w:shd w:val="clear" w:color="auto" w:fill="auto"/>
            <w:noWrap/>
            <w:vAlign w:val="bottom"/>
            <w:hideMark/>
          </w:tcPr>
          <w:p w14:paraId="0629933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47.000,00</w:t>
            </w:r>
          </w:p>
        </w:tc>
        <w:tc>
          <w:tcPr>
            <w:tcW w:w="1380" w:type="dxa"/>
            <w:tcBorders>
              <w:top w:val="nil"/>
              <w:left w:val="nil"/>
              <w:bottom w:val="nil"/>
              <w:right w:val="nil"/>
            </w:tcBorders>
            <w:shd w:val="clear" w:color="auto" w:fill="auto"/>
            <w:noWrap/>
            <w:vAlign w:val="bottom"/>
            <w:hideMark/>
          </w:tcPr>
          <w:p w14:paraId="04023A2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45.752,08</w:t>
            </w:r>
          </w:p>
        </w:tc>
        <w:tc>
          <w:tcPr>
            <w:tcW w:w="1400" w:type="dxa"/>
            <w:tcBorders>
              <w:top w:val="nil"/>
              <w:left w:val="nil"/>
              <w:bottom w:val="nil"/>
              <w:right w:val="nil"/>
            </w:tcBorders>
            <w:shd w:val="clear" w:color="auto" w:fill="auto"/>
            <w:noWrap/>
            <w:vAlign w:val="bottom"/>
            <w:hideMark/>
          </w:tcPr>
          <w:p w14:paraId="647D4CA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97,34%</w:t>
            </w:r>
          </w:p>
        </w:tc>
      </w:tr>
      <w:tr w:rsidR="00A360DB" w:rsidRPr="00A360DB" w14:paraId="2632D511" w14:textId="77777777" w:rsidTr="00A360DB">
        <w:trPr>
          <w:trHeight w:val="240"/>
        </w:trPr>
        <w:tc>
          <w:tcPr>
            <w:tcW w:w="1697" w:type="dxa"/>
            <w:tcBorders>
              <w:top w:val="nil"/>
              <w:left w:val="nil"/>
              <w:bottom w:val="nil"/>
              <w:right w:val="nil"/>
            </w:tcBorders>
            <w:shd w:val="clear" w:color="auto" w:fill="auto"/>
            <w:noWrap/>
            <w:vAlign w:val="bottom"/>
            <w:hideMark/>
          </w:tcPr>
          <w:p w14:paraId="299E009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4511</w:t>
            </w:r>
          </w:p>
        </w:tc>
        <w:tc>
          <w:tcPr>
            <w:tcW w:w="8509" w:type="dxa"/>
            <w:tcBorders>
              <w:top w:val="nil"/>
              <w:left w:val="nil"/>
              <w:bottom w:val="nil"/>
              <w:right w:val="nil"/>
            </w:tcBorders>
            <w:shd w:val="clear" w:color="auto" w:fill="auto"/>
            <w:noWrap/>
            <w:vAlign w:val="bottom"/>
            <w:hideMark/>
          </w:tcPr>
          <w:p w14:paraId="2D8A8CA2"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Dodatna ulaganja na građevinskim objektima                                                          </w:t>
            </w:r>
          </w:p>
        </w:tc>
        <w:tc>
          <w:tcPr>
            <w:tcW w:w="1480" w:type="dxa"/>
            <w:tcBorders>
              <w:top w:val="nil"/>
              <w:left w:val="nil"/>
              <w:bottom w:val="nil"/>
              <w:right w:val="nil"/>
            </w:tcBorders>
            <w:shd w:val="clear" w:color="auto" w:fill="auto"/>
            <w:noWrap/>
            <w:vAlign w:val="bottom"/>
            <w:hideMark/>
          </w:tcPr>
          <w:p w14:paraId="3741F785"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8C18CE5"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45.752,08</w:t>
            </w:r>
          </w:p>
        </w:tc>
        <w:tc>
          <w:tcPr>
            <w:tcW w:w="1400" w:type="dxa"/>
            <w:tcBorders>
              <w:top w:val="nil"/>
              <w:left w:val="nil"/>
              <w:bottom w:val="nil"/>
              <w:right w:val="nil"/>
            </w:tcBorders>
            <w:shd w:val="clear" w:color="auto" w:fill="auto"/>
            <w:noWrap/>
            <w:vAlign w:val="bottom"/>
            <w:hideMark/>
          </w:tcPr>
          <w:p w14:paraId="34471664"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67CB24C" w14:textId="77777777" w:rsidTr="00A360DB">
        <w:trPr>
          <w:trHeight w:val="240"/>
        </w:trPr>
        <w:tc>
          <w:tcPr>
            <w:tcW w:w="1697" w:type="dxa"/>
            <w:tcBorders>
              <w:top w:val="nil"/>
              <w:left w:val="nil"/>
              <w:bottom w:val="nil"/>
              <w:right w:val="nil"/>
            </w:tcBorders>
            <w:shd w:val="clear" w:color="000000" w:fill="1D4BB3"/>
            <w:noWrap/>
            <w:vAlign w:val="bottom"/>
            <w:hideMark/>
          </w:tcPr>
          <w:p w14:paraId="0724C5BF" w14:textId="77777777" w:rsidR="00A360DB" w:rsidRPr="00A360DB" w:rsidRDefault="00A360DB" w:rsidP="00A360DB">
            <w:pPr>
              <w:spacing w:after="0" w:line="240" w:lineRule="auto"/>
              <w:rPr>
                <w:rFonts w:ascii="Arial" w:hAnsi="Arial" w:cs="Arial"/>
                <w:b/>
                <w:bCs/>
                <w:color w:val="FFFFFF"/>
                <w:sz w:val="18"/>
                <w:szCs w:val="18"/>
                <w:lang w:eastAsia="hr-HR"/>
              </w:rPr>
            </w:pPr>
            <w:r w:rsidRPr="00A360DB">
              <w:rPr>
                <w:rFonts w:ascii="Arial" w:hAnsi="Arial" w:cs="Arial"/>
                <w:b/>
                <w:bCs/>
                <w:color w:val="FFFFFF"/>
                <w:sz w:val="18"/>
                <w:szCs w:val="18"/>
                <w:lang w:eastAsia="hr-HR"/>
              </w:rPr>
              <w:t>1012</w:t>
            </w:r>
          </w:p>
        </w:tc>
        <w:tc>
          <w:tcPr>
            <w:tcW w:w="8509" w:type="dxa"/>
            <w:tcBorders>
              <w:top w:val="nil"/>
              <w:left w:val="nil"/>
              <w:bottom w:val="nil"/>
              <w:right w:val="nil"/>
            </w:tcBorders>
            <w:shd w:val="clear" w:color="000000" w:fill="1D4BB3"/>
            <w:noWrap/>
            <w:vAlign w:val="bottom"/>
            <w:hideMark/>
          </w:tcPr>
          <w:p w14:paraId="28C2D853" w14:textId="77777777" w:rsidR="00A360DB" w:rsidRPr="00A360DB" w:rsidRDefault="00A360DB" w:rsidP="00A360DB">
            <w:pPr>
              <w:spacing w:after="0" w:line="240" w:lineRule="auto"/>
              <w:rPr>
                <w:rFonts w:ascii="Arial" w:hAnsi="Arial" w:cs="Arial"/>
                <w:b/>
                <w:bCs/>
                <w:color w:val="FFFFFF"/>
                <w:sz w:val="18"/>
                <w:szCs w:val="18"/>
                <w:lang w:eastAsia="hr-HR"/>
              </w:rPr>
            </w:pPr>
            <w:r w:rsidRPr="00A360DB">
              <w:rPr>
                <w:rFonts w:ascii="Arial" w:hAnsi="Arial" w:cs="Arial"/>
                <w:b/>
                <w:bCs/>
                <w:color w:val="FFFFFF"/>
                <w:sz w:val="18"/>
                <w:szCs w:val="18"/>
                <w:lang w:eastAsia="hr-HR"/>
              </w:rPr>
              <w:t>Program: Sufinanciranje izrade projektne dokumentacije i izgradnje vodnih građevina</w:t>
            </w:r>
          </w:p>
        </w:tc>
        <w:tc>
          <w:tcPr>
            <w:tcW w:w="1480" w:type="dxa"/>
            <w:tcBorders>
              <w:top w:val="nil"/>
              <w:left w:val="nil"/>
              <w:bottom w:val="nil"/>
              <w:right w:val="nil"/>
            </w:tcBorders>
            <w:shd w:val="clear" w:color="000000" w:fill="1D4BB3"/>
            <w:noWrap/>
            <w:vAlign w:val="bottom"/>
            <w:hideMark/>
          </w:tcPr>
          <w:p w14:paraId="55F1BADF"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64.000,00</w:t>
            </w:r>
          </w:p>
        </w:tc>
        <w:tc>
          <w:tcPr>
            <w:tcW w:w="1380" w:type="dxa"/>
            <w:tcBorders>
              <w:top w:val="nil"/>
              <w:left w:val="nil"/>
              <w:bottom w:val="nil"/>
              <w:right w:val="nil"/>
            </w:tcBorders>
            <w:shd w:val="clear" w:color="000000" w:fill="1D4BB3"/>
            <w:noWrap/>
            <w:vAlign w:val="bottom"/>
            <w:hideMark/>
          </w:tcPr>
          <w:p w14:paraId="359AEB3B"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61.205,87</w:t>
            </w:r>
          </w:p>
        </w:tc>
        <w:tc>
          <w:tcPr>
            <w:tcW w:w="1400" w:type="dxa"/>
            <w:tcBorders>
              <w:top w:val="nil"/>
              <w:left w:val="nil"/>
              <w:bottom w:val="nil"/>
              <w:right w:val="nil"/>
            </w:tcBorders>
            <w:shd w:val="clear" w:color="000000" w:fill="1D4BB3"/>
            <w:noWrap/>
            <w:vAlign w:val="bottom"/>
            <w:hideMark/>
          </w:tcPr>
          <w:p w14:paraId="133F17B2" w14:textId="77777777" w:rsidR="00A360DB" w:rsidRPr="00A360DB" w:rsidRDefault="00A360DB" w:rsidP="00A360DB">
            <w:pPr>
              <w:spacing w:after="0" w:line="240" w:lineRule="auto"/>
              <w:jc w:val="right"/>
              <w:rPr>
                <w:rFonts w:ascii="Arial" w:hAnsi="Arial" w:cs="Arial"/>
                <w:b/>
                <w:bCs/>
                <w:color w:val="FFFFFF"/>
                <w:sz w:val="18"/>
                <w:szCs w:val="18"/>
                <w:lang w:eastAsia="hr-HR"/>
              </w:rPr>
            </w:pPr>
            <w:r w:rsidRPr="00A360DB">
              <w:rPr>
                <w:rFonts w:ascii="Arial" w:hAnsi="Arial" w:cs="Arial"/>
                <w:b/>
                <w:bCs/>
                <w:color w:val="FFFFFF"/>
                <w:sz w:val="18"/>
                <w:szCs w:val="18"/>
                <w:lang w:eastAsia="hr-HR"/>
              </w:rPr>
              <w:t>95,63%</w:t>
            </w:r>
          </w:p>
        </w:tc>
      </w:tr>
      <w:tr w:rsidR="00A360DB" w:rsidRPr="00A360DB" w14:paraId="20BEE752" w14:textId="77777777" w:rsidTr="00A360DB">
        <w:trPr>
          <w:trHeight w:val="240"/>
        </w:trPr>
        <w:tc>
          <w:tcPr>
            <w:tcW w:w="1697" w:type="dxa"/>
            <w:tcBorders>
              <w:top w:val="nil"/>
              <w:left w:val="nil"/>
              <w:bottom w:val="nil"/>
              <w:right w:val="nil"/>
            </w:tcBorders>
            <w:shd w:val="clear" w:color="000000" w:fill="B4C6E7"/>
            <w:noWrap/>
            <w:vAlign w:val="bottom"/>
            <w:hideMark/>
          </w:tcPr>
          <w:p w14:paraId="28D0F503"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K101201</w:t>
            </w:r>
          </w:p>
        </w:tc>
        <w:tc>
          <w:tcPr>
            <w:tcW w:w="8509" w:type="dxa"/>
            <w:tcBorders>
              <w:top w:val="nil"/>
              <w:left w:val="nil"/>
              <w:bottom w:val="nil"/>
              <w:right w:val="nil"/>
            </w:tcBorders>
            <w:shd w:val="clear" w:color="000000" w:fill="B4C6E7"/>
            <w:noWrap/>
            <w:vAlign w:val="bottom"/>
            <w:hideMark/>
          </w:tcPr>
          <w:p w14:paraId="7354410A"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Kapitalni projekt: Sufinanciranje izmjene starog azbest-cementnog cjevovoda</w:t>
            </w:r>
          </w:p>
        </w:tc>
        <w:tc>
          <w:tcPr>
            <w:tcW w:w="1480" w:type="dxa"/>
            <w:tcBorders>
              <w:top w:val="nil"/>
              <w:left w:val="nil"/>
              <w:bottom w:val="nil"/>
              <w:right w:val="nil"/>
            </w:tcBorders>
            <w:shd w:val="clear" w:color="000000" w:fill="B4C6E7"/>
            <w:noWrap/>
            <w:vAlign w:val="bottom"/>
            <w:hideMark/>
          </w:tcPr>
          <w:p w14:paraId="02500B6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12.400,00</w:t>
            </w:r>
          </w:p>
        </w:tc>
        <w:tc>
          <w:tcPr>
            <w:tcW w:w="1380" w:type="dxa"/>
            <w:tcBorders>
              <w:top w:val="nil"/>
              <w:left w:val="nil"/>
              <w:bottom w:val="nil"/>
              <w:right w:val="nil"/>
            </w:tcBorders>
            <w:shd w:val="clear" w:color="000000" w:fill="B4C6E7"/>
            <w:noWrap/>
            <w:vAlign w:val="bottom"/>
            <w:hideMark/>
          </w:tcPr>
          <w:p w14:paraId="53D14DB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12.229,90</w:t>
            </w:r>
          </w:p>
        </w:tc>
        <w:tc>
          <w:tcPr>
            <w:tcW w:w="1400" w:type="dxa"/>
            <w:tcBorders>
              <w:top w:val="nil"/>
              <w:left w:val="nil"/>
              <w:bottom w:val="nil"/>
              <w:right w:val="nil"/>
            </w:tcBorders>
            <w:shd w:val="clear" w:color="000000" w:fill="B4C6E7"/>
            <w:noWrap/>
            <w:vAlign w:val="bottom"/>
            <w:hideMark/>
          </w:tcPr>
          <w:p w14:paraId="1F9E8E1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98,63%</w:t>
            </w:r>
          </w:p>
        </w:tc>
      </w:tr>
      <w:tr w:rsidR="00A360DB" w:rsidRPr="00A360DB" w14:paraId="275BE63E"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56BD0722"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2CC79518"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12.400,00</w:t>
            </w:r>
          </w:p>
        </w:tc>
        <w:tc>
          <w:tcPr>
            <w:tcW w:w="1380" w:type="dxa"/>
            <w:tcBorders>
              <w:top w:val="nil"/>
              <w:left w:val="nil"/>
              <w:bottom w:val="nil"/>
              <w:right w:val="nil"/>
            </w:tcBorders>
            <w:shd w:val="clear" w:color="auto" w:fill="auto"/>
            <w:noWrap/>
            <w:vAlign w:val="bottom"/>
            <w:hideMark/>
          </w:tcPr>
          <w:p w14:paraId="7FAF8937"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12.229,90</w:t>
            </w:r>
          </w:p>
        </w:tc>
        <w:tc>
          <w:tcPr>
            <w:tcW w:w="1400" w:type="dxa"/>
            <w:tcBorders>
              <w:top w:val="nil"/>
              <w:left w:val="nil"/>
              <w:bottom w:val="nil"/>
              <w:right w:val="nil"/>
            </w:tcBorders>
            <w:shd w:val="clear" w:color="auto" w:fill="auto"/>
            <w:noWrap/>
            <w:vAlign w:val="bottom"/>
            <w:hideMark/>
          </w:tcPr>
          <w:p w14:paraId="0C2FF879"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98,63%</w:t>
            </w:r>
          </w:p>
        </w:tc>
      </w:tr>
      <w:tr w:rsidR="00A360DB" w:rsidRPr="00A360DB" w14:paraId="39ED31C0"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B9C996A"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11B63687"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12.400,00</w:t>
            </w:r>
          </w:p>
        </w:tc>
        <w:tc>
          <w:tcPr>
            <w:tcW w:w="1380" w:type="dxa"/>
            <w:tcBorders>
              <w:top w:val="nil"/>
              <w:left w:val="nil"/>
              <w:bottom w:val="nil"/>
              <w:right w:val="nil"/>
            </w:tcBorders>
            <w:shd w:val="clear" w:color="auto" w:fill="auto"/>
            <w:noWrap/>
            <w:vAlign w:val="bottom"/>
            <w:hideMark/>
          </w:tcPr>
          <w:p w14:paraId="1656834E"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12.229,90</w:t>
            </w:r>
          </w:p>
        </w:tc>
        <w:tc>
          <w:tcPr>
            <w:tcW w:w="1400" w:type="dxa"/>
            <w:tcBorders>
              <w:top w:val="nil"/>
              <w:left w:val="nil"/>
              <w:bottom w:val="nil"/>
              <w:right w:val="nil"/>
            </w:tcBorders>
            <w:shd w:val="clear" w:color="auto" w:fill="auto"/>
            <w:noWrap/>
            <w:vAlign w:val="bottom"/>
            <w:hideMark/>
          </w:tcPr>
          <w:p w14:paraId="0FF80BE6"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98,63%</w:t>
            </w:r>
          </w:p>
        </w:tc>
      </w:tr>
      <w:tr w:rsidR="00A360DB" w:rsidRPr="00A360DB" w14:paraId="41A3F2F0" w14:textId="77777777" w:rsidTr="00A360DB">
        <w:trPr>
          <w:trHeight w:val="240"/>
        </w:trPr>
        <w:tc>
          <w:tcPr>
            <w:tcW w:w="1697" w:type="dxa"/>
            <w:tcBorders>
              <w:top w:val="nil"/>
              <w:left w:val="nil"/>
              <w:bottom w:val="nil"/>
              <w:right w:val="nil"/>
            </w:tcBorders>
            <w:shd w:val="clear" w:color="auto" w:fill="auto"/>
            <w:noWrap/>
            <w:vAlign w:val="bottom"/>
            <w:hideMark/>
          </w:tcPr>
          <w:p w14:paraId="5B9A5942"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38</w:t>
            </w:r>
          </w:p>
        </w:tc>
        <w:tc>
          <w:tcPr>
            <w:tcW w:w="8509" w:type="dxa"/>
            <w:tcBorders>
              <w:top w:val="nil"/>
              <w:left w:val="nil"/>
              <w:bottom w:val="nil"/>
              <w:right w:val="nil"/>
            </w:tcBorders>
            <w:shd w:val="clear" w:color="auto" w:fill="auto"/>
            <w:noWrap/>
            <w:vAlign w:val="bottom"/>
            <w:hideMark/>
          </w:tcPr>
          <w:p w14:paraId="4B5F0FE5"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Ostali rashodi                                                                                      </w:t>
            </w:r>
          </w:p>
        </w:tc>
        <w:tc>
          <w:tcPr>
            <w:tcW w:w="1480" w:type="dxa"/>
            <w:tcBorders>
              <w:top w:val="nil"/>
              <w:left w:val="nil"/>
              <w:bottom w:val="nil"/>
              <w:right w:val="nil"/>
            </w:tcBorders>
            <w:shd w:val="clear" w:color="auto" w:fill="auto"/>
            <w:noWrap/>
            <w:vAlign w:val="bottom"/>
            <w:hideMark/>
          </w:tcPr>
          <w:p w14:paraId="18F192A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12.400,00</w:t>
            </w:r>
          </w:p>
        </w:tc>
        <w:tc>
          <w:tcPr>
            <w:tcW w:w="1380" w:type="dxa"/>
            <w:tcBorders>
              <w:top w:val="nil"/>
              <w:left w:val="nil"/>
              <w:bottom w:val="nil"/>
              <w:right w:val="nil"/>
            </w:tcBorders>
            <w:shd w:val="clear" w:color="auto" w:fill="auto"/>
            <w:noWrap/>
            <w:vAlign w:val="bottom"/>
            <w:hideMark/>
          </w:tcPr>
          <w:p w14:paraId="06937E3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12.229,90</w:t>
            </w:r>
          </w:p>
        </w:tc>
        <w:tc>
          <w:tcPr>
            <w:tcW w:w="1400" w:type="dxa"/>
            <w:tcBorders>
              <w:top w:val="nil"/>
              <w:left w:val="nil"/>
              <w:bottom w:val="nil"/>
              <w:right w:val="nil"/>
            </w:tcBorders>
            <w:shd w:val="clear" w:color="auto" w:fill="auto"/>
            <w:noWrap/>
            <w:vAlign w:val="bottom"/>
            <w:hideMark/>
          </w:tcPr>
          <w:p w14:paraId="635EA9C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98,63%</w:t>
            </w:r>
          </w:p>
        </w:tc>
      </w:tr>
      <w:tr w:rsidR="00A360DB" w:rsidRPr="00A360DB" w14:paraId="1FC3D652" w14:textId="77777777" w:rsidTr="00A360DB">
        <w:trPr>
          <w:trHeight w:val="240"/>
        </w:trPr>
        <w:tc>
          <w:tcPr>
            <w:tcW w:w="1697" w:type="dxa"/>
            <w:tcBorders>
              <w:top w:val="nil"/>
              <w:left w:val="nil"/>
              <w:bottom w:val="nil"/>
              <w:right w:val="nil"/>
            </w:tcBorders>
            <w:shd w:val="clear" w:color="auto" w:fill="auto"/>
            <w:noWrap/>
            <w:vAlign w:val="bottom"/>
            <w:hideMark/>
          </w:tcPr>
          <w:p w14:paraId="49ABAB24"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3861</w:t>
            </w:r>
          </w:p>
        </w:tc>
        <w:tc>
          <w:tcPr>
            <w:tcW w:w="8509" w:type="dxa"/>
            <w:tcBorders>
              <w:top w:val="nil"/>
              <w:left w:val="nil"/>
              <w:bottom w:val="nil"/>
              <w:right w:val="nil"/>
            </w:tcBorders>
            <w:shd w:val="clear" w:color="auto" w:fill="auto"/>
            <w:noWrap/>
            <w:vAlign w:val="bottom"/>
            <w:hideMark/>
          </w:tcPr>
          <w:p w14:paraId="59D168A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Kapitalne pomoći kreditnim i ostalim financijskim institucijama te trgovačkim društvima u javnom </w:t>
            </w:r>
            <w:proofErr w:type="spellStart"/>
            <w:r w:rsidRPr="00A360DB">
              <w:rPr>
                <w:rFonts w:ascii="Arial" w:hAnsi="Arial" w:cs="Arial"/>
                <w:sz w:val="18"/>
                <w:szCs w:val="18"/>
                <w:lang w:eastAsia="hr-HR"/>
              </w:rPr>
              <w:t>sek</w:t>
            </w:r>
            <w:proofErr w:type="spellEnd"/>
          </w:p>
        </w:tc>
        <w:tc>
          <w:tcPr>
            <w:tcW w:w="1480" w:type="dxa"/>
            <w:tcBorders>
              <w:top w:val="nil"/>
              <w:left w:val="nil"/>
              <w:bottom w:val="nil"/>
              <w:right w:val="nil"/>
            </w:tcBorders>
            <w:shd w:val="clear" w:color="auto" w:fill="auto"/>
            <w:noWrap/>
            <w:vAlign w:val="bottom"/>
            <w:hideMark/>
          </w:tcPr>
          <w:p w14:paraId="51A7DF8C"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037EFC0"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12.229,90</w:t>
            </w:r>
          </w:p>
        </w:tc>
        <w:tc>
          <w:tcPr>
            <w:tcW w:w="1400" w:type="dxa"/>
            <w:tcBorders>
              <w:top w:val="nil"/>
              <w:left w:val="nil"/>
              <w:bottom w:val="nil"/>
              <w:right w:val="nil"/>
            </w:tcBorders>
            <w:shd w:val="clear" w:color="auto" w:fill="auto"/>
            <w:noWrap/>
            <w:vAlign w:val="bottom"/>
            <w:hideMark/>
          </w:tcPr>
          <w:p w14:paraId="6CF5762F"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26AC1EEB" w14:textId="77777777" w:rsidTr="00A360DB">
        <w:trPr>
          <w:trHeight w:val="240"/>
        </w:trPr>
        <w:tc>
          <w:tcPr>
            <w:tcW w:w="1697" w:type="dxa"/>
            <w:tcBorders>
              <w:top w:val="nil"/>
              <w:left w:val="nil"/>
              <w:bottom w:val="nil"/>
              <w:right w:val="nil"/>
            </w:tcBorders>
            <w:shd w:val="clear" w:color="000000" w:fill="B4C6E7"/>
            <w:noWrap/>
            <w:vAlign w:val="bottom"/>
            <w:hideMark/>
          </w:tcPr>
          <w:p w14:paraId="3701DB5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K101203</w:t>
            </w:r>
          </w:p>
        </w:tc>
        <w:tc>
          <w:tcPr>
            <w:tcW w:w="8509" w:type="dxa"/>
            <w:tcBorders>
              <w:top w:val="nil"/>
              <w:left w:val="nil"/>
              <w:bottom w:val="nil"/>
              <w:right w:val="nil"/>
            </w:tcBorders>
            <w:shd w:val="clear" w:color="000000" w:fill="B4C6E7"/>
            <w:noWrap/>
            <w:vAlign w:val="bottom"/>
            <w:hideMark/>
          </w:tcPr>
          <w:p w14:paraId="5D483A0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Kapitalni projekt: Sufinanciranje aglomeracije</w:t>
            </w:r>
          </w:p>
        </w:tc>
        <w:tc>
          <w:tcPr>
            <w:tcW w:w="1480" w:type="dxa"/>
            <w:tcBorders>
              <w:top w:val="nil"/>
              <w:left w:val="nil"/>
              <w:bottom w:val="nil"/>
              <w:right w:val="nil"/>
            </w:tcBorders>
            <w:shd w:val="clear" w:color="000000" w:fill="B4C6E7"/>
            <w:noWrap/>
            <w:vAlign w:val="bottom"/>
            <w:hideMark/>
          </w:tcPr>
          <w:p w14:paraId="36E6D27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3.250,00</w:t>
            </w:r>
          </w:p>
        </w:tc>
        <w:tc>
          <w:tcPr>
            <w:tcW w:w="1380" w:type="dxa"/>
            <w:tcBorders>
              <w:top w:val="nil"/>
              <w:left w:val="nil"/>
              <w:bottom w:val="nil"/>
              <w:right w:val="nil"/>
            </w:tcBorders>
            <w:shd w:val="clear" w:color="000000" w:fill="B4C6E7"/>
            <w:noWrap/>
            <w:vAlign w:val="bottom"/>
            <w:hideMark/>
          </w:tcPr>
          <w:p w14:paraId="50251AB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3.213,30</w:t>
            </w:r>
          </w:p>
        </w:tc>
        <w:tc>
          <w:tcPr>
            <w:tcW w:w="1400" w:type="dxa"/>
            <w:tcBorders>
              <w:top w:val="nil"/>
              <w:left w:val="nil"/>
              <w:bottom w:val="nil"/>
              <w:right w:val="nil"/>
            </w:tcBorders>
            <w:shd w:val="clear" w:color="000000" w:fill="B4C6E7"/>
            <w:noWrap/>
            <w:vAlign w:val="bottom"/>
            <w:hideMark/>
          </w:tcPr>
          <w:p w14:paraId="3A7E9F2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98,87%</w:t>
            </w:r>
          </w:p>
        </w:tc>
      </w:tr>
      <w:tr w:rsidR="00A360DB" w:rsidRPr="00A360DB" w14:paraId="6753745B"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342AD3FF"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6A13A112"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3.250,00</w:t>
            </w:r>
          </w:p>
        </w:tc>
        <w:tc>
          <w:tcPr>
            <w:tcW w:w="1380" w:type="dxa"/>
            <w:tcBorders>
              <w:top w:val="nil"/>
              <w:left w:val="nil"/>
              <w:bottom w:val="nil"/>
              <w:right w:val="nil"/>
            </w:tcBorders>
            <w:shd w:val="clear" w:color="auto" w:fill="auto"/>
            <w:noWrap/>
            <w:vAlign w:val="bottom"/>
            <w:hideMark/>
          </w:tcPr>
          <w:p w14:paraId="0E171BAA"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3.213,30</w:t>
            </w:r>
          </w:p>
        </w:tc>
        <w:tc>
          <w:tcPr>
            <w:tcW w:w="1400" w:type="dxa"/>
            <w:tcBorders>
              <w:top w:val="nil"/>
              <w:left w:val="nil"/>
              <w:bottom w:val="nil"/>
              <w:right w:val="nil"/>
            </w:tcBorders>
            <w:shd w:val="clear" w:color="auto" w:fill="auto"/>
            <w:noWrap/>
            <w:vAlign w:val="bottom"/>
            <w:hideMark/>
          </w:tcPr>
          <w:p w14:paraId="278D005B"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98,87%</w:t>
            </w:r>
          </w:p>
        </w:tc>
      </w:tr>
      <w:tr w:rsidR="00A360DB" w:rsidRPr="00A360DB" w14:paraId="6229B299"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7A3A3F9"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2BD643ED"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3.250,00</w:t>
            </w:r>
          </w:p>
        </w:tc>
        <w:tc>
          <w:tcPr>
            <w:tcW w:w="1380" w:type="dxa"/>
            <w:tcBorders>
              <w:top w:val="nil"/>
              <w:left w:val="nil"/>
              <w:bottom w:val="nil"/>
              <w:right w:val="nil"/>
            </w:tcBorders>
            <w:shd w:val="clear" w:color="auto" w:fill="auto"/>
            <w:noWrap/>
            <w:vAlign w:val="bottom"/>
            <w:hideMark/>
          </w:tcPr>
          <w:p w14:paraId="55F8A4FA"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3.213,30</w:t>
            </w:r>
          </w:p>
        </w:tc>
        <w:tc>
          <w:tcPr>
            <w:tcW w:w="1400" w:type="dxa"/>
            <w:tcBorders>
              <w:top w:val="nil"/>
              <w:left w:val="nil"/>
              <w:bottom w:val="nil"/>
              <w:right w:val="nil"/>
            </w:tcBorders>
            <w:shd w:val="clear" w:color="auto" w:fill="auto"/>
            <w:noWrap/>
            <w:vAlign w:val="bottom"/>
            <w:hideMark/>
          </w:tcPr>
          <w:p w14:paraId="3EDDE868"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98,87%</w:t>
            </w:r>
          </w:p>
        </w:tc>
      </w:tr>
      <w:tr w:rsidR="00A360DB" w:rsidRPr="00A360DB" w14:paraId="7F22E6DE" w14:textId="77777777" w:rsidTr="00A360DB">
        <w:trPr>
          <w:trHeight w:val="240"/>
        </w:trPr>
        <w:tc>
          <w:tcPr>
            <w:tcW w:w="1697" w:type="dxa"/>
            <w:tcBorders>
              <w:top w:val="nil"/>
              <w:left w:val="nil"/>
              <w:bottom w:val="nil"/>
              <w:right w:val="nil"/>
            </w:tcBorders>
            <w:shd w:val="clear" w:color="auto" w:fill="auto"/>
            <w:noWrap/>
            <w:vAlign w:val="bottom"/>
            <w:hideMark/>
          </w:tcPr>
          <w:p w14:paraId="74B58918"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38</w:t>
            </w:r>
          </w:p>
        </w:tc>
        <w:tc>
          <w:tcPr>
            <w:tcW w:w="8509" w:type="dxa"/>
            <w:tcBorders>
              <w:top w:val="nil"/>
              <w:left w:val="nil"/>
              <w:bottom w:val="nil"/>
              <w:right w:val="nil"/>
            </w:tcBorders>
            <w:shd w:val="clear" w:color="auto" w:fill="auto"/>
            <w:noWrap/>
            <w:vAlign w:val="bottom"/>
            <w:hideMark/>
          </w:tcPr>
          <w:p w14:paraId="73596509"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Ostali rashodi                                                                                      </w:t>
            </w:r>
          </w:p>
        </w:tc>
        <w:tc>
          <w:tcPr>
            <w:tcW w:w="1480" w:type="dxa"/>
            <w:tcBorders>
              <w:top w:val="nil"/>
              <w:left w:val="nil"/>
              <w:bottom w:val="nil"/>
              <w:right w:val="nil"/>
            </w:tcBorders>
            <w:shd w:val="clear" w:color="auto" w:fill="auto"/>
            <w:noWrap/>
            <w:vAlign w:val="bottom"/>
            <w:hideMark/>
          </w:tcPr>
          <w:p w14:paraId="47860C4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3.250,00</w:t>
            </w:r>
          </w:p>
        </w:tc>
        <w:tc>
          <w:tcPr>
            <w:tcW w:w="1380" w:type="dxa"/>
            <w:tcBorders>
              <w:top w:val="nil"/>
              <w:left w:val="nil"/>
              <w:bottom w:val="nil"/>
              <w:right w:val="nil"/>
            </w:tcBorders>
            <w:shd w:val="clear" w:color="auto" w:fill="auto"/>
            <w:noWrap/>
            <w:vAlign w:val="bottom"/>
            <w:hideMark/>
          </w:tcPr>
          <w:p w14:paraId="7C91929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3.213,30</w:t>
            </w:r>
          </w:p>
        </w:tc>
        <w:tc>
          <w:tcPr>
            <w:tcW w:w="1400" w:type="dxa"/>
            <w:tcBorders>
              <w:top w:val="nil"/>
              <w:left w:val="nil"/>
              <w:bottom w:val="nil"/>
              <w:right w:val="nil"/>
            </w:tcBorders>
            <w:shd w:val="clear" w:color="auto" w:fill="auto"/>
            <w:noWrap/>
            <w:vAlign w:val="bottom"/>
            <w:hideMark/>
          </w:tcPr>
          <w:p w14:paraId="77B1E81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98,87%</w:t>
            </w:r>
          </w:p>
        </w:tc>
      </w:tr>
      <w:tr w:rsidR="00A360DB" w:rsidRPr="00A360DB" w14:paraId="2D3145C1" w14:textId="77777777" w:rsidTr="00A360DB">
        <w:trPr>
          <w:trHeight w:val="240"/>
        </w:trPr>
        <w:tc>
          <w:tcPr>
            <w:tcW w:w="1697" w:type="dxa"/>
            <w:tcBorders>
              <w:top w:val="nil"/>
              <w:left w:val="nil"/>
              <w:bottom w:val="nil"/>
              <w:right w:val="nil"/>
            </w:tcBorders>
            <w:shd w:val="clear" w:color="auto" w:fill="auto"/>
            <w:noWrap/>
            <w:vAlign w:val="bottom"/>
            <w:hideMark/>
          </w:tcPr>
          <w:p w14:paraId="78FFCB5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3861</w:t>
            </w:r>
          </w:p>
        </w:tc>
        <w:tc>
          <w:tcPr>
            <w:tcW w:w="8509" w:type="dxa"/>
            <w:tcBorders>
              <w:top w:val="nil"/>
              <w:left w:val="nil"/>
              <w:bottom w:val="nil"/>
              <w:right w:val="nil"/>
            </w:tcBorders>
            <w:shd w:val="clear" w:color="auto" w:fill="auto"/>
            <w:noWrap/>
            <w:vAlign w:val="bottom"/>
            <w:hideMark/>
          </w:tcPr>
          <w:p w14:paraId="082953E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Kapitalne pomoći kreditnim i ostalim financijskim institucijama te trgovačkim društvima u javnom </w:t>
            </w:r>
            <w:proofErr w:type="spellStart"/>
            <w:r w:rsidRPr="00A360DB">
              <w:rPr>
                <w:rFonts w:ascii="Arial" w:hAnsi="Arial" w:cs="Arial"/>
                <w:sz w:val="18"/>
                <w:szCs w:val="18"/>
                <w:lang w:eastAsia="hr-HR"/>
              </w:rPr>
              <w:t>sek</w:t>
            </w:r>
            <w:proofErr w:type="spellEnd"/>
          </w:p>
        </w:tc>
        <w:tc>
          <w:tcPr>
            <w:tcW w:w="1480" w:type="dxa"/>
            <w:tcBorders>
              <w:top w:val="nil"/>
              <w:left w:val="nil"/>
              <w:bottom w:val="nil"/>
              <w:right w:val="nil"/>
            </w:tcBorders>
            <w:shd w:val="clear" w:color="auto" w:fill="auto"/>
            <w:noWrap/>
            <w:vAlign w:val="bottom"/>
            <w:hideMark/>
          </w:tcPr>
          <w:p w14:paraId="34838EEB"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360E9F58"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3.213,30</w:t>
            </w:r>
          </w:p>
        </w:tc>
        <w:tc>
          <w:tcPr>
            <w:tcW w:w="1400" w:type="dxa"/>
            <w:tcBorders>
              <w:top w:val="nil"/>
              <w:left w:val="nil"/>
              <w:bottom w:val="nil"/>
              <w:right w:val="nil"/>
            </w:tcBorders>
            <w:shd w:val="clear" w:color="auto" w:fill="auto"/>
            <w:noWrap/>
            <w:vAlign w:val="bottom"/>
            <w:hideMark/>
          </w:tcPr>
          <w:p w14:paraId="6A03C1DE"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79BB08D3" w14:textId="77777777" w:rsidTr="00A360DB">
        <w:trPr>
          <w:trHeight w:val="240"/>
        </w:trPr>
        <w:tc>
          <w:tcPr>
            <w:tcW w:w="1697" w:type="dxa"/>
            <w:tcBorders>
              <w:top w:val="nil"/>
              <w:left w:val="nil"/>
              <w:bottom w:val="nil"/>
              <w:right w:val="nil"/>
            </w:tcBorders>
            <w:shd w:val="clear" w:color="000000" w:fill="B4C6E7"/>
            <w:noWrap/>
            <w:vAlign w:val="bottom"/>
            <w:hideMark/>
          </w:tcPr>
          <w:p w14:paraId="564DCA5D"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K101204</w:t>
            </w:r>
          </w:p>
        </w:tc>
        <w:tc>
          <w:tcPr>
            <w:tcW w:w="8509" w:type="dxa"/>
            <w:tcBorders>
              <w:top w:val="nil"/>
              <w:left w:val="nil"/>
              <w:bottom w:val="nil"/>
              <w:right w:val="nil"/>
            </w:tcBorders>
            <w:shd w:val="clear" w:color="000000" w:fill="B4C6E7"/>
            <w:noWrap/>
            <w:vAlign w:val="bottom"/>
            <w:hideMark/>
          </w:tcPr>
          <w:p w14:paraId="0159360B"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Kapitalni projekt: Sufinanciranje izgradnje vodovoda </w:t>
            </w:r>
            <w:proofErr w:type="spellStart"/>
            <w:r w:rsidRPr="00A360DB">
              <w:rPr>
                <w:rFonts w:ascii="Arial" w:hAnsi="Arial" w:cs="Arial"/>
                <w:b/>
                <w:bCs/>
                <w:sz w:val="18"/>
                <w:szCs w:val="18"/>
                <w:lang w:eastAsia="hr-HR"/>
              </w:rPr>
              <w:t>Dišnik</w:t>
            </w:r>
            <w:proofErr w:type="spellEnd"/>
          </w:p>
        </w:tc>
        <w:tc>
          <w:tcPr>
            <w:tcW w:w="1480" w:type="dxa"/>
            <w:tcBorders>
              <w:top w:val="nil"/>
              <w:left w:val="nil"/>
              <w:bottom w:val="nil"/>
              <w:right w:val="nil"/>
            </w:tcBorders>
            <w:shd w:val="clear" w:color="000000" w:fill="B4C6E7"/>
            <w:noWrap/>
            <w:vAlign w:val="bottom"/>
            <w:hideMark/>
          </w:tcPr>
          <w:p w14:paraId="567AF8D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2.000,00</w:t>
            </w:r>
          </w:p>
        </w:tc>
        <w:tc>
          <w:tcPr>
            <w:tcW w:w="1380" w:type="dxa"/>
            <w:tcBorders>
              <w:top w:val="nil"/>
              <w:left w:val="nil"/>
              <w:bottom w:val="nil"/>
              <w:right w:val="nil"/>
            </w:tcBorders>
            <w:shd w:val="clear" w:color="000000" w:fill="B4C6E7"/>
            <w:noWrap/>
            <w:vAlign w:val="bottom"/>
            <w:hideMark/>
          </w:tcPr>
          <w:p w14:paraId="46A86C4D"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1.956,29</w:t>
            </w:r>
          </w:p>
        </w:tc>
        <w:tc>
          <w:tcPr>
            <w:tcW w:w="1400" w:type="dxa"/>
            <w:tcBorders>
              <w:top w:val="nil"/>
              <w:left w:val="nil"/>
              <w:bottom w:val="nil"/>
              <w:right w:val="nil"/>
            </w:tcBorders>
            <w:shd w:val="clear" w:color="000000" w:fill="B4C6E7"/>
            <w:noWrap/>
            <w:vAlign w:val="bottom"/>
            <w:hideMark/>
          </w:tcPr>
          <w:p w14:paraId="464FAD6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97,81%</w:t>
            </w:r>
          </w:p>
        </w:tc>
      </w:tr>
      <w:tr w:rsidR="00A360DB" w:rsidRPr="00A360DB" w14:paraId="0EC71FEC"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174E7566"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7. Prihodi od prodaje nefin. imovine</w:t>
            </w:r>
          </w:p>
        </w:tc>
        <w:tc>
          <w:tcPr>
            <w:tcW w:w="1480" w:type="dxa"/>
            <w:tcBorders>
              <w:top w:val="nil"/>
              <w:left w:val="nil"/>
              <w:bottom w:val="nil"/>
              <w:right w:val="nil"/>
            </w:tcBorders>
            <w:shd w:val="clear" w:color="auto" w:fill="auto"/>
            <w:noWrap/>
            <w:vAlign w:val="bottom"/>
            <w:hideMark/>
          </w:tcPr>
          <w:p w14:paraId="37FA8F8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2.000,00</w:t>
            </w:r>
          </w:p>
        </w:tc>
        <w:tc>
          <w:tcPr>
            <w:tcW w:w="1380" w:type="dxa"/>
            <w:tcBorders>
              <w:top w:val="nil"/>
              <w:left w:val="nil"/>
              <w:bottom w:val="nil"/>
              <w:right w:val="nil"/>
            </w:tcBorders>
            <w:shd w:val="clear" w:color="auto" w:fill="auto"/>
            <w:noWrap/>
            <w:vAlign w:val="bottom"/>
            <w:hideMark/>
          </w:tcPr>
          <w:p w14:paraId="22607D0B"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1.956,29</w:t>
            </w:r>
          </w:p>
        </w:tc>
        <w:tc>
          <w:tcPr>
            <w:tcW w:w="1400" w:type="dxa"/>
            <w:tcBorders>
              <w:top w:val="nil"/>
              <w:left w:val="nil"/>
              <w:bottom w:val="nil"/>
              <w:right w:val="nil"/>
            </w:tcBorders>
            <w:shd w:val="clear" w:color="auto" w:fill="auto"/>
            <w:noWrap/>
            <w:vAlign w:val="bottom"/>
            <w:hideMark/>
          </w:tcPr>
          <w:p w14:paraId="6AA9CA69"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97,81%</w:t>
            </w:r>
          </w:p>
        </w:tc>
      </w:tr>
      <w:tr w:rsidR="00A360DB" w:rsidRPr="00A360DB" w14:paraId="6FDDE66F"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08206B4B"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 xml:space="preserve">Izvor 7.1. Prihodi od prodaje </w:t>
            </w:r>
            <w:proofErr w:type="spellStart"/>
            <w:r w:rsidRPr="00A360DB">
              <w:rPr>
                <w:rFonts w:ascii="Arial" w:hAnsi="Arial" w:cs="Arial"/>
                <w:color w:val="333333"/>
                <w:sz w:val="18"/>
                <w:szCs w:val="18"/>
                <w:lang w:eastAsia="hr-HR"/>
              </w:rPr>
              <w:t>nef</w:t>
            </w:r>
            <w:proofErr w:type="spellEnd"/>
            <w:r w:rsidRPr="00A360DB">
              <w:rPr>
                <w:rFonts w:ascii="Arial" w:hAnsi="Arial" w:cs="Arial"/>
                <w:color w:val="333333"/>
                <w:sz w:val="18"/>
                <w:szCs w:val="18"/>
                <w:lang w:eastAsia="hr-HR"/>
              </w:rPr>
              <w:t>. imovine</w:t>
            </w:r>
          </w:p>
        </w:tc>
        <w:tc>
          <w:tcPr>
            <w:tcW w:w="1480" w:type="dxa"/>
            <w:tcBorders>
              <w:top w:val="nil"/>
              <w:left w:val="nil"/>
              <w:bottom w:val="nil"/>
              <w:right w:val="nil"/>
            </w:tcBorders>
            <w:shd w:val="clear" w:color="auto" w:fill="auto"/>
            <w:noWrap/>
            <w:vAlign w:val="bottom"/>
            <w:hideMark/>
          </w:tcPr>
          <w:p w14:paraId="5EC0C57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2.000,00</w:t>
            </w:r>
          </w:p>
        </w:tc>
        <w:tc>
          <w:tcPr>
            <w:tcW w:w="1380" w:type="dxa"/>
            <w:tcBorders>
              <w:top w:val="nil"/>
              <w:left w:val="nil"/>
              <w:bottom w:val="nil"/>
              <w:right w:val="nil"/>
            </w:tcBorders>
            <w:shd w:val="clear" w:color="auto" w:fill="auto"/>
            <w:noWrap/>
            <w:vAlign w:val="bottom"/>
            <w:hideMark/>
          </w:tcPr>
          <w:p w14:paraId="2463EF99"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1.956,29</w:t>
            </w:r>
          </w:p>
        </w:tc>
        <w:tc>
          <w:tcPr>
            <w:tcW w:w="1400" w:type="dxa"/>
            <w:tcBorders>
              <w:top w:val="nil"/>
              <w:left w:val="nil"/>
              <w:bottom w:val="nil"/>
              <w:right w:val="nil"/>
            </w:tcBorders>
            <w:shd w:val="clear" w:color="auto" w:fill="auto"/>
            <w:noWrap/>
            <w:vAlign w:val="bottom"/>
            <w:hideMark/>
          </w:tcPr>
          <w:p w14:paraId="28EB8F1C"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97,81%</w:t>
            </w:r>
          </w:p>
        </w:tc>
      </w:tr>
      <w:tr w:rsidR="00A360DB" w:rsidRPr="00A360DB" w14:paraId="32EDDB9E" w14:textId="77777777" w:rsidTr="00A360DB">
        <w:trPr>
          <w:trHeight w:val="240"/>
        </w:trPr>
        <w:tc>
          <w:tcPr>
            <w:tcW w:w="1697" w:type="dxa"/>
            <w:tcBorders>
              <w:top w:val="nil"/>
              <w:left w:val="nil"/>
              <w:bottom w:val="nil"/>
              <w:right w:val="nil"/>
            </w:tcBorders>
            <w:shd w:val="clear" w:color="auto" w:fill="auto"/>
            <w:noWrap/>
            <w:vAlign w:val="bottom"/>
            <w:hideMark/>
          </w:tcPr>
          <w:p w14:paraId="2EDE122F"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38</w:t>
            </w:r>
          </w:p>
        </w:tc>
        <w:tc>
          <w:tcPr>
            <w:tcW w:w="8509" w:type="dxa"/>
            <w:tcBorders>
              <w:top w:val="nil"/>
              <w:left w:val="nil"/>
              <w:bottom w:val="nil"/>
              <w:right w:val="nil"/>
            </w:tcBorders>
            <w:shd w:val="clear" w:color="auto" w:fill="auto"/>
            <w:noWrap/>
            <w:vAlign w:val="bottom"/>
            <w:hideMark/>
          </w:tcPr>
          <w:p w14:paraId="186C513F"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Ostali rashodi                                                                                      </w:t>
            </w:r>
          </w:p>
        </w:tc>
        <w:tc>
          <w:tcPr>
            <w:tcW w:w="1480" w:type="dxa"/>
            <w:tcBorders>
              <w:top w:val="nil"/>
              <w:left w:val="nil"/>
              <w:bottom w:val="nil"/>
              <w:right w:val="nil"/>
            </w:tcBorders>
            <w:shd w:val="clear" w:color="auto" w:fill="auto"/>
            <w:noWrap/>
            <w:vAlign w:val="bottom"/>
            <w:hideMark/>
          </w:tcPr>
          <w:p w14:paraId="0E758BE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2.000,00</w:t>
            </w:r>
          </w:p>
        </w:tc>
        <w:tc>
          <w:tcPr>
            <w:tcW w:w="1380" w:type="dxa"/>
            <w:tcBorders>
              <w:top w:val="nil"/>
              <w:left w:val="nil"/>
              <w:bottom w:val="nil"/>
              <w:right w:val="nil"/>
            </w:tcBorders>
            <w:shd w:val="clear" w:color="auto" w:fill="auto"/>
            <w:noWrap/>
            <w:vAlign w:val="bottom"/>
            <w:hideMark/>
          </w:tcPr>
          <w:p w14:paraId="4E8497E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1.956,29</w:t>
            </w:r>
          </w:p>
        </w:tc>
        <w:tc>
          <w:tcPr>
            <w:tcW w:w="1400" w:type="dxa"/>
            <w:tcBorders>
              <w:top w:val="nil"/>
              <w:left w:val="nil"/>
              <w:bottom w:val="nil"/>
              <w:right w:val="nil"/>
            </w:tcBorders>
            <w:shd w:val="clear" w:color="auto" w:fill="auto"/>
            <w:noWrap/>
            <w:vAlign w:val="bottom"/>
            <w:hideMark/>
          </w:tcPr>
          <w:p w14:paraId="4FC425E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97,81%</w:t>
            </w:r>
          </w:p>
        </w:tc>
      </w:tr>
      <w:tr w:rsidR="00A360DB" w:rsidRPr="00A360DB" w14:paraId="4BE73888" w14:textId="77777777" w:rsidTr="00A360DB">
        <w:trPr>
          <w:trHeight w:val="240"/>
        </w:trPr>
        <w:tc>
          <w:tcPr>
            <w:tcW w:w="1697" w:type="dxa"/>
            <w:tcBorders>
              <w:top w:val="nil"/>
              <w:left w:val="nil"/>
              <w:bottom w:val="nil"/>
              <w:right w:val="nil"/>
            </w:tcBorders>
            <w:shd w:val="clear" w:color="auto" w:fill="auto"/>
            <w:noWrap/>
            <w:vAlign w:val="bottom"/>
            <w:hideMark/>
          </w:tcPr>
          <w:p w14:paraId="6A0EFCAF"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3861</w:t>
            </w:r>
          </w:p>
        </w:tc>
        <w:tc>
          <w:tcPr>
            <w:tcW w:w="8509" w:type="dxa"/>
            <w:tcBorders>
              <w:top w:val="nil"/>
              <w:left w:val="nil"/>
              <w:bottom w:val="nil"/>
              <w:right w:val="nil"/>
            </w:tcBorders>
            <w:shd w:val="clear" w:color="auto" w:fill="auto"/>
            <w:noWrap/>
            <w:vAlign w:val="bottom"/>
            <w:hideMark/>
          </w:tcPr>
          <w:p w14:paraId="5C00BFEE"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Kapitalne pomoći kreditnim i ostalim financijskim institucijama te trgovačkim društvima u javnom </w:t>
            </w:r>
            <w:proofErr w:type="spellStart"/>
            <w:r w:rsidRPr="00A360DB">
              <w:rPr>
                <w:rFonts w:ascii="Arial" w:hAnsi="Arial" w:cs="Arial"/>
                <w:sz w:val="18"/>
                <w:szCs w:val="18"/>
                <w:lang w:eastAsia="hr-HR"/>
              </w:rPr>
              <w:t>sek</w:t>
            </w:r>
            <w:proofErr w:type="spellEnd"/>
          </w:p>
        </w:tc>
        <w:tc>
          <w:tcPr>
            <w:tcW w:w="1480" w:type="dxa"/>
            <w:tcBorders>
              <w:top w:val="nil"/>
              <w:left w:val="nil"/>
              <w:bottom w:val="nil"/>
              <w:right w:val="nil"/>
            </w:tcBorders>
            <w:shd w:val="clear" w:color="auto" w:fill="auto"/>
            <w:noWrap/>
            <w:vAlign w:val="bottom"/>
            <w:hideMark/>
          </w:tcPr>
          <w:p w14:paraId="23CFFF0E"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7D787DA5"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1.956,29</w:t>
            </w:r>
          </w:p>
        </w:tc>
        <w:tc>
          <w:tcPr>
            <w:tcW w:w="1400" w:type="dxa"/>
            <w:tcBorders>
              <w:top w:val="nil"/>
              <w:left w:val="nil"/>
              <w:bottom w:val="nil"/>
              <w:right w:val="nil"/>
            </w:tcBorders>
            <w:shd w:val="clear" w:color="auto" w:fill="auto"/>
            <w:noWrap/>
            <w:vAlign w:val="bottom"/>
            <w:hideMark/>
          </w:tcPr>
          <w:p w14:paraId="127920AD"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5EB86373" w14:textId="77777777" w:rsidTr="00A360DB">
        <w:trPr>
          <w:trHeight w:val="240"/>
        </w:trPr>
        <w:tc>
          <w:tcPr>
            <w:tcW w:w="1697" w:type="dxa"/>
            <w:tcBorders>
              <w:top w:val="nil"/>
              <w:left w:val="nil"/>
              <w:bottom w:val="nil"/>
              <w:right w:val="nil"/>
            </w:tcBorders>
            <w:shd w:val="clear" w:color="000000" w:fill="B4C6E7"/>
            <w:noWrap/>
            <w:vAlign w:val="bottom"/>
            <w:hideMark/>
          </w:tcPr>
          <w:p w14:paraId="00708F47"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K101217</w:t>
            </w:r>
          </w:p>
        </w:tc>
        <w:tc>
          <w:tcPr>
            <w:tcW w:w="8509" w:type="dxa"/>
            <w:tcBorders>
              <w:top w:val="nil"/>
              <w:left w:val="nil"/>
              <w:bottom w:val="nil"/>
              <w:right w:val="nil"/>
            </w:tcBorders>
            <w:shd w:val="clear" w:color="000000" w:fill="B4C6E7"/>
            <w:noWrap/>
            <w:vAlign w:val="bottom"/>
            <w:hideMark/>
          </w:tcPr>
          <w:p w14:paraId="79355069"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Kapitalni projekt: Sufinanciranje magistralnog cjevovoda </w:t>
            </w:r>
            <w:proofErr w:type="spellStart"/>
            <w:r w:rsidRPr="00A360DB">
              <w:rPr>
                <w:rFonts w:ascii="Arial" w:hAnsi="Arial" w:cs="Arial"/>
                <w:b/>
                <w:bCs/>
                <w:sz w:val="18"/>
                <w:szCs w:val="18"/>
                <w:lang w:eastAsia="hr-HR"/>
              </w:rPr>
              <w:t>Vel.Trnovitica</w:t>
            </w:r>
            <w:proofErr w:type="spellEnd"/>
            <w:r w:rsidRPr="00A360DB">
              <w:rPr>
                <w:rFonts w:ascii="Arial" w:hAnsi="Arial" w:cs="Arial"/>
                <w:b/>
                <w:bCs/>
                <w:sz w:val="18"/>
                <w:szCs w:val="18"/>
                <w:lang w:eastAsia="hr-HR"/>
              </w:rPr>
              <w:t xml:space="preserve"> - Garešnica</w:t>
            </w:r>
          </w:p>
        </w:tc>
        <w:tc>
          <w:tcPr>
            <w:tcW w:w="1480" w:type="dxa"/>
            <w:tcBorders>
              <w:top w:val="nil"/>
              <w:left w:val="nil"/>
              <w:bottom w:val="nil"/>
              <w:right w:val="nil"/>
            </w:tcBorders>
            <w:shd w:val="clear" w:color="000000" w:fill="B4C6E7"/>
            <w:noWrap/>
            <w:vAlign w:val="bottom"/>
            <w:hideMark/>
          </w:tcPr>
          <w:p w14:paraId="0D5AC023"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38.800,00</w:t>
            </w:r>
          </w:p>
        </w:tc>
        <w:tc>
          <w:tcPr>
            <w:tcW w:w="1380" w:type="dxa"/>
            <w:tcBorders>
              <w:top w:val="nil"/>
              <w:left w:val="nil"/>
              <w:bottom w:val="nil"/>
              <w:right w:val="nil"/>
            </w:tcBorders>
            <w:shd w:val="clear" w:color="000000" w:fill="B4C6E7"/>
            <w:noWrap/>
            <w:vAlign w:val="bottom"/>
            <w:hideMark/>
          </w:tcPr>
          <w:p w14:paraId="6D89C49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36.266,38</w:t>
            </w:r>
          </w:p>
        </w:tc>
        <w:tc>
          <w:tcPr>
            <w:tcW w:w="1400" w:type="dxa"/>
            <w:tcBorders>
              <w:top w:val="nil"/>
              <w:left w:val="nil"/>
              <w:bottom w:val="nil"/>
              <w:right w:val="nil"/>
            </w:tcBorders>
            <w:shd w:val="clear" w:color="000000" w:fill="B4C6E7"/>
            <w:noWrap/>
            <w:vAlign w:val="bottom"/>
            <w:hideMark/>
          </w:tcPr>
          <w:p w14:paraId="5948F3A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93,47%</w:t>
            </w:r>
          </w:p>
        </w:tc>
      </w:tr>
      <w:tr w:rsidR="00A360DB" w:rsidRPr="00A360DB" w14:paraId="66C91582"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62CC1070"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499F7479"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38.800,00</w:t>
            </w:r>
          </w:p>
        </w:tc>
        <w:tc>
          <w:tcPr>
            <w:tcW w:w="1380" w:type="dxa"/>
            <w:tcBorders>
              <w:top w:val="nil"/>
              <w:left w:val="nil"/>
              <w:bottom w:val="nil"/>
              <w:right w:val="nil"/>
            </w:tcBorders>
            <w:shd w:val="clear" w:color="auto" w:fill="auto"/>
            <w:noWrap/>
            <w:vAlign w:val="bottom"/>
            <w:hideMark/>
          </w:tcPr>
          <w:p w14:paraId="0544335B"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36.266,38</w:t>
            </w:r>
          </w:p>
        </w:tc>
        <w:tc>
          <w:tcPr>
            <w:tcW w:w="1400" w:type="dxa"/>
            <w:tcBorders>
              <w:top w:val="nil"/>
              <w:left w:val="nil"/>
              <w:bottom w:val="nil"/>
              <w:right w:val="nil"/>
            </w:tcBorders>
            <w:shd w:val="clear" w:color="auto" w:fill="auto"/>
            <w:noWrap/>
            <w:vAlign w:val="bottom"/>
            <w:hideMark/>
          </w:tcPr>
          <w:p w14:paraId="2472E507"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93,47%</w:t>
            </w:r>
          </w:p>
        </w:tc>
      </w:tr>
      <w:tr w:rsidR="00A360DB" w:rsidRPr="00A360DB" w14:paraId="67520A38"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B4AFF82"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1738EB8E"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38.800,00</w:t>
            </w:r>
          </w:p>
        </w:tc>
        <w:tc>
          <w:tcPr>
            <w:tcW w:w="1380" w:type="dxa"/>
            <w:tcBorders>
              <w:top w:val="nil"/>
              <w:left w:val="nil"/>
              <w:bottom w:val="nil"/>
              <w:right w:val="nil"/>
            </w:tcBorders>
            <w:shd w:val="clear" w:color="auto" w:fill="auto"/>
            <w:noWrap/>
            <w:vAlign w:val="bottom"/>
            <w:hideMark/>
          </w:tcPr>
          <w:p w14:paraId="7DB16B71"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36.266,38</w:t>
            </w:r>
          </w:p>
        </w:tc>
        <w:tc>
          <w:tcPr>
            <w:tcW w:w="1400" w:type="dxa"/>
            <w:tcBorders>
              <w:top w:val="nil"/>
              <w:left w:val="nil"/>
              <w:bottom w:val="nil"/>
              <w:right w:val="nil"/>
            </w:tcBorders>
            <w:shd w:val="clear" w:color="auto" w:fill="auto"/>
            <w:noWrap/>
            <w:vAlign w:val="bottom"/>
            <w:hideMark/>
          </w:tcPr>
          <w:p w14:paraId="1A73CB7C"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93,47%</w:t>
            </w:r>
          </w:p>
        </w:tc>
      </w:tr>
      <w:tr w:rsidR="00A360DB" w:rsidRPr="00A360DB" w14:paraId="687BA9E4" w14:textId="77777777" w:rsidTr="00A360DB">
        <w:trPr>
          <w:trHeight w:val="240"/>
        </w:trPr>
        <w:tc>
          <w:tcPr>
            <w:tcW w:w="1697" w:type="dxa"/>
            <w:tcBorders>
              <w:top w:val="nil"/>
              <w:left w:val="nil"/>
              <w:bottom w:val="nil"/>
              <w:right w:val="nil"/>
            </w:tcBorders>
            <w:shd w:val="clear" w:color="auto" w:fill="auto"/>
            <w:noWrap/>
            <w:vAlign w:val="bottom"/>
            <w:hideMark/>
          </w:tcPr>
          <w:p w14:paraId="515EECB2"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38</w:t>
            </w:r>
          </w:p>
        </w:tc>
        <w:tc>
          <w:tcPr>
            <w:tcW w:w="8509" w:type="dxa"/>
            <w:tcBorders>
              <w:top w:val="nil"/>
              <w:left w:val="nil"/>
              <w:bottom w:val="nil"/>
              <w:right w:val="nil"/>
            </w:tcBorders>
            <w:shd w:val="clear" w:color="auto" w:fill="auto"/>
            <w:noWrap/>
            <w:vAlign w:val="bottom"/>
            <w:hideMark/>
          </w:tcPr>
          <w:p w14:paraId="41AB472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Ostali rashodi                                                                                      </w:t>
            </w:r>
          </w:p>
        </w:tc>
        <w:tc>
          <w:tcPr>
            <w:tcW w:w="1480" w:type="dxa"/>
            <w:tcBorders>
              <w:top w:val="nil"/>
              <w:left w:val="nil"/>
              <w:bottom w:val="nil"/>
              <w:right w:val="nil"/>
            </w:tcBorders>
            <w:shd w:val="clear" w:color="auto" w:fill="auto"/>
            <w:noWrap/>
            <w:vAlign w:val="bottom"/>
            <w:hideMark/>
          </w:tcPr>
          <w:p w14:paraId="62D5588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38.800,00</w:t>
            </w:r>
          </w:p>
        </w:tc>
        <w:tc>
          <w:tcPr>
            <w:tcW w:w="1380" w:type="dxa"/>
            <w:tcBorders>
              <w:top w:val="nil"/>
              <w:left w:val="nil"/>
              <w:bottom w:val="nil"/>
              <w:right w:val="nil"/>
            </w:tcBorders>
            <w:shd w:val="clear" w:color="auto" w:fill="auto"/>
            <w:noWrap/>
            <w:vAlign w:val="bottom"/>
            <w:hideMark/>
          </w:tcPr>
          <w:p w14:paraId="2DB1A66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36.266,38</w:t>
            </w:r>
          </w:p>
        </w:tc>
        <w:tc>
          <w:tcPr>
            <w:tcW w:w="1400" w:type="dxa"/>
            <w:tcBorders>
              <w:top w:val="nil"/>
              <w:left w:val="nil"/>
              <w:bottom w:val="nil"/>
              <w:right w:val="nil"/>
            </w:tcBorders>
            <w:shd w:val="clear" w:color="auto" w:fill="auto"/>
            <w:noWrap/>
            <w:vAlign w:val="bottom"/>
            <w:hideMark/>
          </w:tcPr>
          <w:p w14:paraId="1348BCB2"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93,47%</w:t>
            </w:r>
          </w:p>
        </w:tc>
      </w:tr>
      <w:tr w:rsidR="00A360DB" w:rsidRPr="00A360DB" w14:paraId="1155E355" w14:textId="77777777" w:rsidTr="00A360DB">
        <w:trPr>
          <w:trHeight w:val="240"/>
        </w:trPr>
        <w:tc>
          <w:tcPr>
            <w:tcW w:w="1697" w:type="dxa"/>
            <w:tcBorders>
              <w:top w:val="nil"/>
              <w:left w:val="nil"/>
              <w:bottom w:val="nil"/>
              <w:right w:val="nil"/>
            </w:tcBorders>
            <w:shd w:val="clear" w:color="auto" w:fill="auto"/>
            <w:noWrap/>
            <w:vAlign w:val="bottom"/>
            <w:hideMark/>
          </w:tcPr>
          <w:p w14:paraId="6B3176A1"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3861</w:t>
            </w:r>
          </w:p>
        </w:tc>
        <w:tc>
          <w:tcPr>
            <w:tcW w:w="8509" w:type="dxa"/>
            <w:tcBorders>
              <w:top w:val="nil"/>
              <w:left w:val="nil"/>
              <w:bottom w:val="nil"/>
              <w:right w:val="nil"/>
            </w:tcBorders>
            <w:shd w:val="clear" w:color="auto" w:fill="auto"/>
            <w:noWrap/>
            <w:vAlign w:val="bottom"/>
            <w:hideMark/>
          </w:tcPr>
          <w:p w14:paraId="63A0E06B"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Kapitalne pomoći kreditnim i ostalim financijskim institucijama te trgovačkim društvima u javnom </w:t>
            </w:r>
            <w:proofErr w:type="spellStart"/>
            <w:r w:rsidRPr="00A360DB">
              <w:rPr>
                <w:rFonts w:ascii="Arial" w:hAnsi="Arial" w:cs="Arial"/>
                <w:sz w:val="18"/>
                <w:szCs w:val="18"/>
                <w:lang w:eastAsia="hr-HR"/>
              </w:rPr>
              <w:t>sek</w:t>
            </w:r>
            <w:proofErr w:type="spellEnd"/>
          </w:p>
        </w:tc>
        <w:tc>
          <w:tcPr>
            <w:tcW w:w="1480" w:type="dxa"/>
            <w:tcBorders>
              <w:top w:val="nil"/>
              <w:left w:val="nil"/>
              <w:bottom w:val="nil"/>
              <w:right w:val="nil"/>
            </w:tcBorders>
            <w:shd w:val="clear" w:color="auto" w:fill="auto"/>
            <w:noWrap/>
            <w:vAlign w:val="bottom"/>
            <w:hideMark/>
          </w:tcPr>
          <w:p w14:paraId="2DCE524C"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5F37F6E3"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36.266,38</w:t>
            </w:r>
          </w:p>
        </w:tc>
        <w:tc>
          <w:tcPr>
            <w:tcW w:w="1400" w:type="dxa"/>
            <w:tcBorders>
              <w:top w:val="nil"/>
              <w:left w:val="nil"/>
              <w:bottom w:val="nil"/>
              <w:right w:val="nil"/>
            </w:tcBorders>
            <w:shd w:val="clear" w:color="auto" w:fill="auto"/>
            <w:noWrap/>
            <w:vAlign w:val="bottom"/>
            <w:hideMark/>
          </w:tcPr>
          <w:p w14:paraId="01075509"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0BCBAD82" w14:textId="77777777" w:rsidTr="00A360DB">
        <w:trPr>
          <w:trHeight w:val="240"/>
        </w:trPr>
        <w:tc>
          <w:tcPr>
            <w:tcW w:w="1697" w:type="dxa"/>
            <w:tcBorders>
              <w:top w:val="nil"/>
              <w:left w:val="nil"/>
              <w:bottom w:val="nil"/>
              <w:right w:val="nil"/>
            </w:tcBorders>
            <w:shd w:val="clear" w:color="000000" w:fill="B4C6E7"/>
            <w:noWrap/>
            <w:vAlign w:val="bottom"/>
            <w:hideMark/>
          </w:tcPr>
          <w:p w14:paraId="26FEFC0A"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K101218</w:t>
            </w:r>
          </w:p>
        </w:tc>
        <w:tc>
          <w:tcPr>
            <w:tcW w:w="8509" w:type="dxa"/>
            <w:tcBorders>
              <w:top w:val="nil"/>
              <w:left w:val="nil"/>
              <w:bottom w:val="nil"/>
              <w:right w:val="nil"/>
            </w:tcBorders>
            <w:shd w:val="clear" w:color="000000" w:fill="B4C6E7"/>
            <w:noWrap/>
            <w:vAlign w:val="bottom"/>
            <w:hideMark/>
          </w:tcPr>
          <w:p w14:paraId="1F17C78A"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Kapitalni projekt: Sufinanciranje sanacije problematičnih parametara u vodi</w:t>
            </w:r>
          </w:p>
        </w:tc>
        <w:tc>
          <w:tcPr>
            <w:tcW w:w="1480" w:type="dxa"/>
            <w:tcBorders>
              <w:top w:val="nil"/>
              <w:left w:val="nil"/>
              <w:bottom w:val="nil"/>
              <w:right w:val="nil"/>
            </w:tcBorders>
            <w:shd w:val="clear" w:color="000000" w:fill="B4C6E7"/>
            <w:noWrap/>
            <w:vAlign w:val="bottom"/>
            <w:hideMark/>
          </w:tcPr>
          <w:p w14:paraId="6E4EC84B"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3.250,00</w:t>
            </w:r>
          </w:p>
        </w:tc>
        <w:tc>
          <w:tcPr>
            <w:tcW w:w="1380" w:type="dxa"/>
            <w:tcBorders>
              <w:top w:val="nil"/>
              <w:left w:val="nil"/>
              <w:bottom w:val="nil"/>
              <w:right w:val="nil"/>
            </w:tcBorders>
            <w:shd w:val="clear" w:color="000000" w:fill="B4C6E7"/>
            <w:noWrap/>
            <w:vAlign w:val="bottom"/>
            <w:hideMark/>
          </w:tcPr>
          <w:p w14:paraId="5F66CE8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3.240,00</w:t>
            </w:r>
          </w:p>
        </w:tc>
        <w:tc>
          <w:tcPr>
            <w:tcW w:w="1400" w:type="dxa"/>
            <w:tcBorders>
              <w:top w:val="nil"/>
              <w:left w:val="nil"/>
              <w:bottom w:val="nil"/>
              <w:right w:val="nil"/>
            </w:tcBorders>
            <w:shd w:val="clear" w:color="000000" w:fill="B4C6E7"/>
            <w:noWrap/>
            <w:vAlign w:val="bottom"/>
            <w:hideMark/>
          </w:tcPr>
          <w:p w14:paraId="060F160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99,69%</w:t>
            </w:r>
          </w:p>
        </w:tc>
      </w:tr>
      <w:tr w:rsidR="00A360DB" w:rsidRPr="00A360DB" w14:paraId="7D07E0C7"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1FCC0DD9"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t>Izvor 1. Opći prihodi i primici</w:t>
            </w:r>
          </w:p>
        </w:tc>
        <w:tc>
          <w:tcPr>
            <w:tcW w:w="1480" w:type="dxa"/>
            <w:tcBorders>
              <w:top w:val="nil"/>
              <w:left w:val="nil"/>
              <w:bottom w:val="nil"/>
              <w:right w:val="nil"/>
            </w:tcBorders>
            <w:shd w:val="clear" w:color="auto" w:fill="auto"/>
            <w:noWrap/>
            <w:vAlign w:val="bottom"/>
            <w:hideMark/>
          </w:tcPr>
          <w:p w14:paraId="723C0B74"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3.250,00</w:t>
            </w:r>
          </w:p>
        </w:tc>
        <w:tc>
          <w:tcPr>
            <w:tcW w:w="1380" w:type="dxa"/>
            <w:tcBorders>
              <w:top w:val="nil"/>
              <w:left w:val="nil"/>
              <w:bottom w:val="nil"/>
              <w:right w:val="nil"/>
            </w:tcBorders>
            <w:shd w:val="clear" w:color="auto" w:fill="auto"/>
            <w:noWrap/>
            <w:vAlign w:val="bottom"/>
            <w:hideMark/>
          </w:tcPr>
          <w:p w14:paraId="0490683E"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3.240,00</w:t>
            </w:r>
          </w:p>
        </w:tc>
        <w:tc>
          <w:tcPr>
            <w:tcW w:w="1400" w:type="dxa"/>
            <w:tcBorders>
              <w:top w:val="nil"/>
              <w:left w:val="nil"/>
              <w:bottom w:val="nil"/>
              <w:right w:val="nil"/>
            </w:tcBorders>
            <w:shd w:val="clear" w:color="auto" w:fill="auto"/>
            <w:noWrap/>
            <w:vAlign w:val="bottom"/>
            <w:hideMark/>
          </w:tcPr>
          <w:p w14:paraId="32FBB2D2"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99,69%</w:t>
            </w:r>
          </w:p>
        </w:tc>
      </w:tr>
      <w:tr w:rsidR="00A360DB" w:rsidRPr="00A360DB" w14:paraId="03D586E9"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32471EDD"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6D77E5C4"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3.250,00</w:t>
            </w:r>
          </w:p>
        </w:tc>
        <w:tc>
          <w:tcPr>
            <w:tcW w:w="1380" w:type="dxa"/>
            <w:tcBorders>
              <w:top w:val="nil"/>
              <w:left w:val="nil"/>
              <w:bottom w:val="nil"/>
              <w:right w:val="nil"/>
            </w:tcBorders>
            <w:shd w:val="clear" w:color="auto" w:fill="auto"/>
            <w:noWrap/>
            <w:vAlign w:val="bottom"/>
            <w:hideMark/>
          </w:tcPr>
          <w:p w14:paraId="2BB6761B"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3.240,00</w:t>
            </w:r>
          </w:p>
        </w:tc>
        <w:tc>
          <w:tcPr>
            <w:tcW w:w="1400" w:type="dxa"/>
            <w:tcBorders>
              <w:top w:val="nil"/>
              <w:left w:val="nil"/>
              <w:bottom w:val="nil"/>
              <w:right w:val="nil"/>
            </w:tcBorders>
            <w:shd w:val="clear" w:color="auto" w:fill="auto"/>
            <w:noWrap/>
            <w:vAlign w:val="bottom"/>
            <w:hideMark/>
          </w:tcPr>
          <w:p w14:paraId="11DDC4DA"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99,69%</w:t>
            </w:r>
          </w:p>
        </w:tc>
      </w:tr>
      <w:tr w:rsidR="00A360DB" w:rsidRPr="00A360DB" w14:paraId="5A7C42CB" w14:textId="77777777" w:rsidTr="00A360DB">
        <w:trPr>
          <w:trHeight w:val="240"/>
        </w:trPr>
        <w:tc>
          <w:tcPr>
            <w:tcW w:w="1697" w:type="dxa"/>
            <w:tcBorders>
              <w:top w:val="nil"/>
              <w:left w:val="nil"/>
              <w:bottom w:val="nil"/>
              <w:right w:val="nil"/>
            </w:tcBorders>
            <w:shd w:val="clear" w:color="auto" w:fill="auto"/>
            <w:noWrap/>
            <w:vAlign w:val="bottom"/>
            <w:hideMark/>
          </w:tcPr>
          <w:p w14:paraId="31A55676"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38</w:t>
            </w:r>
          </w:p>
        </w:tc>
        <w:tc>
          <w:tcPr>
            <w:tcW w:w="8509" w:type="dxa"/>
            <w:tcBorders>
              <w:top w:val="nil"/>
              <w:left w:val="nil"/>
              <w:bottom w:val="nil"/>
              <w:right w:val="nil"/>
            </w:tcBorders>
            <w:shd w:val="clear" w:color="auto" w:fill="auto"/>
            <w:noWrap/>
            <w:vAlign w:val="bottom"/>
            <w:hideMark/>
          </w:tcPr>
          <w:p w14:paraId="2EF2C117"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Ostali rashodi                                                                                      </w:t>
            </w:r>
          </w:p>
        </w:tc>
        <w:tc>
          <w:tcPr>
            <w:tcW w:w="1480" w:type="dxa"/>
            <w:tcBorders>
              <w:top w:val="nil"/>
              <w:left w:val="nil"/>
              <w:bottom w:val="nil"/>
              <w:right w:val="nil"/>
            </w:tcBorders>
            <w:shd w:val="clear" w:color="auto" w:fill="auto"/>
            <w:noWrap/>
            <w:vAlign w:val="bottom"/>
            <w:hideMark/>
          </w:tcPr>
          <w:p w14:paraId="31E64920"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3.250,00</w:t>
            </w:r>
          </w:p>
        </w:tc>
        <w:tc>
          <w:tcPr>
            <w:tcW w:w="1380" w:type="dxa"/>
            <w:tcBorders>
              <w:top w:val="nil"/>
              <w:left w:val="nil"/>
              <w:bottom w:val="nil"/>
              <w:right w:val="nil"/>
            </w:tcBorders>
            <w:shd w:val="clear" w:color="auto" w:fill="auto"/>
            <w:noWrap/>
            <w:vAlign w:val="bottom"/>
            <w:hideMark/>
          </w:tcPr>
          <w:p w14:paraId="6A902C2F"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3.240,00</w:t>
            </w:r>
          </w:p>
        </w:tc>
        <w:tc>
          <w:tcPr>
            <w:tcW w:w="1400" w:type="dxa"/>
            <w:tcBorders>
              <w:top w:val="nil"/>
              <w:left w:val="nil"/>
              <w:bottom w:val="nil"/>
              <w:right w:val="nil"/>
            </w:tcBorders>
            <w:shd w:val="clear" w:color="auto" w:fill="auto"/>
            <w:noWrap/>
            <w:vAlign w:val="bottom"/>
            <w:hideMark/>
          </w:tcPr>
          <w:p w14:paraId="37FC05EE"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99,69%</w:t>
            </w:r>
          </w:p>
        </w:tc>
      </w:tr>
      <w:tr w:rsidR="00A360DB" w:rsidRPr="00A360DB" w14:paraId="682370C7" w14:textId="77777777" w:rsidTr="00A360DB">
        <w:trPr>
          <w:trHeight w:val="240"/>
        </w:trPr>
        <w:tc>
          <w:tcPr>
            <w:tcW w:w="1697" w:type="dxa"/>
            <w:tcBorders>
              <w:top w:val="nil"/>
              <w:left w:val="nil"/>
              <w:bottom w:val="nil"/>
              <w:right w:val="nil"/>
            </w:tcBorders>
            <w:shd w:val="clear" w:color="auto" w:fill="auto"/>
            <w:noWrap/>
            <w:vAlign w:val="bottom"/>
            <w:hideMark/>
          </w:tcPr>
          <w:p w14:paraId="6C1B3C9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3861</w:t>
            </w:r>
          </w:p>
        </w:tc>
        <w:tc>
          <w:tcPr>
            <w:tcW w:w="8509" w:type="dxa"/>
            <w:tcBorders>
              <w:top w:val="nil"/>
              <w:left w:val="nil"/>
              <w:bottom w:val="nil"/>
              <w:right w:val="nil"/>
            </w:tcBorders>
            <w:shd w:val="clear" w:color="auto" w:fill="auto"/>
            <w:noWrap/>
            <w:vAlign w:val="bottom"/>
            <w:hideMark/>
          </w:tcPr>
          <w:p w14:paraId="6BF03456"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Kapitalne pomoći kreditnim i ostalim financijskim institucijama te trgovačkim društvima u javnom </w:t>
            </w:r>
            <w:proofErr w:type="spellStart"/>
            <w:r w:rsidRPr="00A360DB">
              <w:rPr>
                <w:rFonts w:ascii="Arial" w:hAnsi="Arial" w:cs="Arial"/>
                <w:sz w:val="18"/>
                <w:szCs w:val="18"/>
                <w:lang w:eastAsia="hr-HR"/>
              </w:rPr>
              <w:t>sek</w:t>
            </w:r>
            <w:proofErr w:type="spellEnd"/>
          </w:p>
        </w:tc>
        <w:tc>
          <w:tcPr>
            <w:tcW w:w="1480" w:type="dxa"/>
            <w:tcBorders>
              <w:top w:val="nil"/>
              <w:left w:val="nil"/>
              <w:bottom w:val="nil"/>
              <w:right w:val="nil"/>
            </w:tcBorders>
            <w:shd w:val="clear" w:color="auto" w:fill="auto"/>
            <w:noWrap/>
            <w:vAlign w:val="bottom"/>
            <w:hideMark/>
          </w:tcPr>
          <w:p w14:paraId="7914AC2B"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291DE13D"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3.240,00</w:t>
            </w:r>
          </w:p>
        </w:tc>
        <w:tc>
          <w:tcPr>
            <w:tcW w:w="1400" w:type="dxa"/>
            <w:tcBorders>
              <w:top w:val="nil"/>
              <w:left w:val="nil"/>
              <w:bottom w:val="nil"/>
              <w:right w:val="nil"/>
            </w:tcBorders>
            <w:shd w:val="clear" w:color="auto" w:fill="auto"/>
            <w:noWrap/>
            <w:vAlign w:val="bottom"/>
            <w:hideMark/>
          </w:tcPr>
          <w:p w14:paraId="7A569F1F" w14:textId="77777777" w:rsidR="00A360DB" w:rsidRPr="00A360DB" w:rsidRDefault="00A360DB" w:rsidP="00A360DB">
            <w:pPr>
              <w:spacing w:after="0" w:line="240" w:lineRule="auto"/>
              <w:jc w:val="right"/>
              <w:rPr>
                <w:rFonts w:ascii="Arial" w:hAnsi="Arial" w:cs="Arial"/>
                <w:sz w:val="18"/>
                <w:szCs w:val="18"/>
                <w:lang w:eastAsia="hr-HR"/>
              </w:rPr>
            </w:pPr>
          </w:p>
        </w:tc>
      </w:tr>
      <w:tr w:rsidR="00A360DB" w:rsidRPr="00A360DB" w14:paraId="24C7CE4A" w14:textId="77777777" w:rsidTr="00A360DB">
        <w:trPr>
          <w:trHeight w:val="240"/>
        </w:trPr>
        <w:tc>
          <w:tcPr>
            <w:tcW w:w="1697" w:type="dxa"/>
            <w:tcBorders>
              <w:top w:val="nil"/>
              <w:left w:val="nil"/>
              <w:bottom w:val="nil"/>
              <w:right w:val="nil"/>
            </w:tcBorders>
            <w:shd w:val="clear" w:color="000000" w:fill="B4C6E7"/>
            <w:noWrap/>
            <w:vAlign w:val="bottom"/>
            <w:hideMark/>
          </w:tcPr>
          <w:p w14:paraId="32AA80B3"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K101222</w:t>
            </w:r>
          </w:p>
        </w:tc>
        <w:tc>
          <w:tcPr>
            <w:tcW w:w="8509" w:type="dxa"/>
            <w:tcBorders>
              <w:top w:val="nil"/>
              <w:left w:val="nil"/>
              <w:bottom w:val="nil"/>
              <w:right w:val="nil"/>
            </w:tcBorders>
            <w:shd w:val="clear" w:color="000000" w:fill="B4C6E7"/>
            <w:noWrap/>
            <w:vAlign w:val="bottom"/>
            <w:hideMark/>
          </w:tcPr>
          <w:p w14:paraId="521816E9"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Kapitalni projekt: Sufinanciranje sanacije vodocrpilišta Garešnica</w:t>
            </w:r>
          </w:p>
        </w:tc>
        <w:tc>
          <w:tcPr>
            <w:tcW w:w="1480" w:type="dxa"/>
            <w:tcBorders>
              <w:top w:val="nil"/>
              <w:left w:val="nil"/>
              <w:bottom w:val="nil"/>
              <w:right w:val="nil"/>
            </w:tcBorders>
            <w:shd w:val="clear" w:color="000000" w:fill="B4C6E7"/>
            <w:noWrap/>
            <w:vAlign w:val="bottom"/>
            <w:hideMark/>
          </w:tcPr>
          <w:p w14:paraId="0133D838"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4.300,00</w:t>
            </w:r>
          </w:p>
        </w:tc>
        <w:tc>
          <w:tcPr>
            <w:tcW w:w="1380" w:type="dxa"/>
            <w:tcBorders>
              <w:top w:val="nil"/>
              <w:left w:val="nil"/>
              <w:bottom w:val="nil"/>
              <w:right w:val="nil"/>
            </w:tcBorders>
            <w:shd w:val="clear" w:color="000000" w:fill="B4C6E7"/>
            <w:noWrap/>
            <w:vAlign w:val="bottom"/>
            <w:hideMark/>
          </w:tcPr>
          <w:p w14:paraId="3CFA7B37"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4.300,00</w:t>
            </w:r>
          </w:p>
        </w:tc>
        <w:tc>
          <w:tcPr>
            <w:tcW w:w="1400" w:type="dxa"/>
            <w:tcBorders>
              <w:top w:val="nil"/>
              <w:left w:val="nil"/>
              <w:bottom w:val="nil"/>
              <w:right w:val="nil"/>
            </w:tcBorders>
            <w:shd w:val="clear" w:color="000000" w:fill="B4C6E7"/>
            <w:noWrap/>
            <w:vAlign w:val="bottom"/>
            <w:hideMark/>
          </w:tcPr>
          <w:p w14:paraId="7055C086"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r>
      <w:tr w:rsidR="00A360DB" w:rsidRPr="00A360DB" w14:paraId="61C7D9D5"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2041BF3B" w14:textId="77777777" w:rsidR="00A360DB" w:rsidRPr="00A360DB" w:rsidRDefault="00A360DB" w:rsidP="00A360DB">
            <w:pPr>
              <w:spacing w:after="0" w:line="240" w:lineRule="auto"/>
              <w:rPr>
                <w:rFonts w:ascii="Arial" w:hAnsi="Arial" w:cs="Arial"/>
                <w:b/>
                <w:bCs/>
                <w:color w:val="333333"/>
                <w:sz w:val="18"/>
                <w:szCs w:val="18"/>
                <w:lang w:eastAsia="hr-HR"/>
              </w:rPr>
            </w:pPr>
            <w:r w:rsidRPr="00A360DB">
              <w:rPr>
                <w:rFonts w:ascii="Arial" w:hAnsi="Arial" w:cs="Arial"/>
                <w:b/>
                <w:bCs/>
                <w:color w:val="333333"/>
                <w:sz w:val="18"/>
                <w:szCs w:val="18"/>
                <w:lang w:eastAsia="hr-HR"/>
              </w:rPr>
              <w:lastRenderedPageBreak/>
              <w:t>Izvor 1. Opći prihodi i primici</w:t>
            </w:r>
          </w:p>
        </w:tc>
        <w:tc>
          <w:tcPr>
            <w:tcW w:w="1480" w:type="dxa"/>
            <w:tcBorders>
              <w:top w:val="nil"/>
              <w:left w:val="nil"/>
              <w:bottom w:val="nil"/>
              <w:right w:val="nil"/>
            </w:tcBorders>
            <w:shd w:val="clear" w:color="auto" w:fill="auto"/>
            <w:noWrap/>
            <w:vAlign w:val="bottom"/>
            <w:hideMark/>
          </w:tcPr>
          <w:p w14:paraId="155205D0"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4.300,00</w:t>
            </w:r>
          </w:p>
        </w:tc>
        <w:tc>
          <w:tcPr>
            <w:tcW w:w="1380" w:type="dxa"/>
            <w:tcBorders>
              <w:top w:val="nil"/>
              <w:left w:val="nil"/>
              <w:bottom w:val="nil"/>
              <w:right w:val="nil"/>
            </w:tcBorders>
            <w:shd w:val="clear" w:color="auto" w:fill="auto"/>
            <w:noWrap/>
            <w:vAlign w:val="bottom"/>
            <w:hideMark/>
          </w:tcPr>
          <w:p w14:paraId="06B5CC11"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4.300,00</w:t>
            </w:r>
          </w:p>
        </w:tc>
        <w:tc>
          <w:tcPr>
            <w:tcW w:w="1400" w:type="dxa"/>
            <w:tcBorders>
              <w:top w:val="nil"/>
              <w:left w:val="nil"/>
              <w:bottom w:val="nil"/>
              <w:right w:val="nil"/>
            </w:tcBorders>
            <w:shd w:val="clear" w:color="auto" w:fill="auto"/>
            <w:noWrap/>
            <w:vAlign w:val="bottom"/>
            <w:hideMark/>
          </w:tcPr>
          <w:p w14:paraId="076250F1" w14:textId="77777777" w:rsidR="00A360DB" w:rsidRPr="00A360DB" w:rsidRDefault="00A360DB" w:rsidP="00A360DB">
            <w:pPr>
              <w:spacing w:after="0" w:line="240" w:lineRule="auto"/>
              <w:jc w:val="right"/>
              <w:rPr>
                <w:rFonts w:ascii="Arial" w:hAnsi="Arial" w:cs="Arial"/>
                <w:b/>
                <w:bCs/>
                <w:color w:val="333333"/>
                <w:sz w:val="18"/>
                <w:szCs w:val="18"/>
                <w:lang w:eastAsia="hr-HR"/>
              </w:rPr>
            </w:pPr>
            <w:r w:rsidRPr="00A360DB">
              <w:rPr>
                <w:rFonts w:ascii="Arial" w:hAnsi="Arial" w:cs="Arial"/>
                <w:b/>
                <w:bCs/>
                <w:color w:val="333333"/>
                <w:sz w:val="18"/>
                <w:szCs w:val="18"/>
                <w:lang w:eastAsia="hr-HR"/>
              </w:rPr>
              <w:t>100,00%</w:t>
            </w:r>
          </w:p>
        </w:tc>
      </w:tr>
      <w:tr w:rsidR="00A360DB" w:rsidRPr="00A360DB" w14:paraId="4011558B" w14:textId="77777777" w:rsidTr="00A360DB">
        <w:trPr>
          <w:trHeight w:val="240"/>
        </w:trPr>
        <w:tc>
          <w:tcPr>
            <w:tcW w:w="10206" w:type="dxa"/>
            <w:gridSpan w:val="2"/>
            <w:tcBorders>
              <w:top w:val="nil"/>
              <w:left w:val="nil"/>
              <w:bottom w:val="nil"/>
              <w:right w:val="nil"/>
            </w:tcBorders>
            <w:shd w:val="clear" w:color="auto" w:fill="auto"/>
            <w:noWrap/>
            <w:vAlign w:val="bottom"/>
            <w:hideMark/>
          </w:tcPr>
          <w:p w14:paraId="4AFCA7A1" w14:textId="77777777" w:rsidR="00A360DB" w:rsidRPr="00A360DB" w:rsidRDefault="00A360DB" w:rsidP="00A360DB">
            <w:pPr>
              <w:spacing w:after="0" w:line="240" w:lineRule="auto"/>
              <w:rPr>
                <w:rFonts w:ascii="Arial" w:hAnsi="Arial" w:cs="Arial"/>
                <w:color w:val="333333"/>
                <w:sz w:val="18"/>
                <w:szCs w:val="18"/>
                <w:lang w:eastAsia="hr-HR"/>
              </w:rPr>
            </w:pPr>
            <w:r w:rsidRPr="00A360DB">
              <w:rPr>
                <w:rFonts w:ascii="Arial" w:hAnsi="Arial" w:cs="Arial"/>
                <w:color w:val="333333"/>
                <w:sz w:val="18"/>
                <w:szCs w:val="18"/>
                <w:lang w:eastAsia="hr-HR"/>
              </w:rPr>
              <w:t>Izvor 1.1. Opći prihodi i primici</w:t>
            </w:r>
          </w:p>
        </w:tc>
        <w:tc>
          <w:tcPr>
            <w:tcW w:w="1480" w:type="dxa"/>
            <w:tcBorders>
              <w:top w:val="nil"/>
              <w:left w:val="nil"/>
              <w:bottom w:val="nil"/>
              <w:right w:val="nil"/>
            </w:tcBorders>
            <w:shd w:val="clear" w:color="auto" w:fill="auto"/>
            <w:noWrap/>
            <w:vAlign w:val="bottom"/>
            <w:hideMark/>
          </w:tcPr>
          <w:p w14:paraId="59B7B0DD"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4.300,00</w:t>
            </w:r>
          </w:p>
        </w:tc>
        <w:tc>
          <w:tcPr>
            <w:tcW w:w="1380" w:type="dxa"/>
            <w:tcBorders>
              <w:top w:val="nil"/>
              <w:left w:val="nil"/>
              <w:bottom w:val="nil"/>
              <w:right w:val="nil"/>
            </w:tcBorders>
            <w:shd w:val="clear" w:color="auto" w:fill="auto"/>
            <w:noWrap/>
            <w:vAlign w:val="bottom"/>
            <w:hideMark/>
          </w:tcPr>
          <w:p w14:paraId="77090545"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4.300,00</w:t>
            </w:r>
          </w:p>
        </w:tc>
        <w:tc>
          <w:tcPr>
            <w:tcW w:w="1400" w:type="dxa"/>
            <w:tcBorders>
              <w:top w:val="nil"/>
              <w:left w:val="nil"/>
              <w:bottom w:val="nil"/>
              <w:right w:val="nil"/>
            </w:tcBorders>
            <w:shd w:val="clear" w:color="auto" w:fill="auto"/>
            <w:noWrap/>
            <w:vAlign w:val="bottom"/>
            <w:hideMark/>
          </w:tcPr>
          <w:p w14:paraId="301C12FE" w14:textId="77777777" w:rsidR="00A360DB" w:rsidRPr="00A360DB" w:rsidRDefault="00A360DB" w:rsidP="00A360DB">
            <w:pPr>
              <w:spacing w:after="0" w:line="240" w:lineRule="auto"/>
              <w:jc w:val="right"/>
              <w:rPr>
                <w:rFonts w:ascii="Arial" w:hAnsi="Arial" w:cs="Arial"/>
                <w:color w:val="333333"/>
                <w:sz w:val="18"/>
                <w:szCs w:val="18"/>
                <w:lang w:eastAsia="hr-HR"/>
              </w:rPr>
            </w:pPr>
            <w:r w:rsidRPr="00A360DB">
              <w:rPr>
                <w:rFonts w:ascii="Arial" w:hAnsi="Arial" w:cs="Arial"/>
                <w:color w:val="333333"/>
                <w:sz w:val="18"/>
                <w:szCs w:val="18"/>
                <w:lang w:eastAsia="hr-HR"/>
              </w:rPr>
              <w:t>100,00%</w:t>
            </w:r>
          </w:p>
        </w:tc>
      </w:tr>
      <w:tr w:rsidR="00A360DB" w:rsidRPr="00A360DB" w14:paraId="53706A27" w14:textId="77777777" w:rsidTr="00A360DB">
        <w:trPr>
          <w:trHeight w:val="240"/>
        </w:trPr>
        <w:tc>
          <w:tcPr>
            <w:tcW w:w="1697" w:type="dxa"/>
            <w:tcBorders>
              <w:top w:val="nil"/>
              <w:left w:val="nil"/>
              <w:bottom w:val="nil"/>
              <w:right w:val="nil"/>
            </w:tcBorders>
            <w:shd w:val="clear" w:color="auto" w:fill="auto"/>
            <w:noWrap/>
            <w:vAlign w:val="bottom"/>
            <w:hideMark/>
          </w:tcPr>
          <w:p w14:paraId="740B82F8"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38</w:t>
            </w:r>
          </w:p>
        </w:tc>
        <w:tc>
          <w:tcPr>
            <w:tcW w:w="8509" w:type="dxa"/>
            <w:tcBorders>
              <w:top w:val="nil"/>
              <w:left w:val="nil"/>
              <w:bottom w:val="nil"/>
              <w:right w:val="nil"/>
            </w:tcBorders>
            <w:shd w:val="clear" w:color="auto" w:fill="auto"/>
            <w:noWrap/>
            <w:vAlign w:val="bottom"/>
            <w:hideMark/>
          </w:tcPr>
          <w:p w14:paraId="78AC5D40" w14:textId="77777777" w:rsidR="00A360DB" w:rsidRPr="00A360DB" w:rsidRDefault="00A360DB" w:rsidP="00A360DB">
            <w:pPr>
              <w:spacing w:after="0" w:line="240" w:lineRule="auto"/>
              <w:rPr>
                <w:rFonts w:ascii="Arial" w:hAnsi="Arial" w:cs="Arial"/>
                <w:b/>
                <w:bCs/>
                <w:sz w:val="18"/>
                <w:szCs w:val="18"/>
                <w:lang w:eastAsia="hr-HR"/>
              </w:rPr>
            </w:pPr>
            <w:r w:rsidRPr="00A360DB">
              <w:rPr>
                <w:rFonts w:ascii="Arial" w:hAnsi="Arial" w:cs="Arial"/>
                <w:b/>
                <w:bCs/>
                <w:sz w:val="18"/>
                <w:szCs w:val="18"/>
                <w:lang w:eastAsia="hr-HR"/>
              </w:rPr>
              <w:t xml:space="preserve">Ostali rashodi                                                                                      </w:t>
            </w:r>
          </w:p>
        </w:tc>
        <w:tc>
          <w:tcPr>
            <w:tcW w:w="1480" w:type="dxa"/>
            <w:tcBorders>
              <w:top w:val="nil"/>
              <w:left w:val="nil"/>
              <w:bottom w:val="nil"/>
              <w:right w:val="nil"/>
            </w:tcBorders>
            <w:shd w:val="clear" w:color="auto" w:fill="auto"/>
            <w:noWrap/>
            <w:vAlign w:val="bottom"/>
            <w:hideMark/>
          </w:tcPr>
          <w:p w14:paraId="07825584"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4.300,00</w:t>
            </w:r>
          </w:p>
        </w:tc>
        <w:tc>
          <w:tcPr>
            <w:tcW w:w="1380" w:type="dxa"/>
            <w:tcBorders>
              <w:top w:val="nil"/>
              <w:left w:val="nil"/>
              <w:bottom w:val="nil"/>
              <w:right w:val="nil"/>
            </w:tcBorders>
            <w:shd w:val="clear" w:color="auto" w:fill="auto"/>
            <w:noWrap/>
            <w:vAlign w:val="bottom"/>
            <w:hideMark/>
          </w:tcPr>
          <w:p w14:paraId="2E1766C5"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4.300,00</w:t>
            </w:r>
          </w:p>
        </w:tc>
        <w:tc>
          <w:tcPr>
            <w:tcW w:w="1400" w:type="dxa"/>
            <w:tcBorders>
              <w:top w:val="nil"/>
              <w:left w:val="nil"/>
              <w:bottom w:val="nil"/>
              <w:right w:val="nil"/>
            </w:tcBorders>
            <w:shd w:val="clear" w:color="auto" w:fill="auto"/>
            <w:noWrap/>
            <w:vAlign w:val="bottom"/>
            <w:hideMark/>
          </w:tcPr>
          <w:p w14:paraId="52CE67C9" w14:textId="77777777" w:rsidR="00A360DB" w:rsidRPr="00A360DB" w:rsidRDefault="00A360DB" w:rsidP="00A360DB">
            <w:pPr>
              <w:spacing w:after="0" w:line="240" w:lineRule="auto"/>
              <w:jc w:val="right"/>
              <w:rPr>
                <w:rFonts w:ascii="Arial" w:hAnsi="Arial" w:cs="Arial"/>
                <w:b/>
                <w:bCs/>
                <w:sz w:val="18"/>
                <w:szCs w:val="18"/>
                <w:lang w:eastAsia="hr-HR"/>
              </w:rPr>
            </w:pPr>
            <w:r w:rsidRPr="00A360DB">
              <w:rPr>
                <w:rFonts w:ascii="Arial" w:hAnsi="Arial" w:cs="Arial"/>
                <w:b/>
                <w:bCs/>
                <w:sz w:val="18"/>
                <w:szCs w:val="18"/>
                <w:lang w:eastAsia="hr-HR"/>
              </w:rPr>
              <w:t>100,00%</w:t>
            </w:r>
          </w:p>
        </w:tc>
      </w:tr>
      <w:tr w:rsidR="00A360DB" w:rsidRPr="00A360DB" w14:paraId="370D7593" w14:textId="77777777" w:rsidTr="00A360DB">
        <w:trPr>
          <w:trHeight w:val="240"/>
        </w:trPr>
        <w:tc>
          <w:tcPr>
            <w:tcW w:w="1697" w:type="dxa"/>
            <w:tcBorders>
              <w:top w:val="nil"/>
              <w:left w:val="nil"/>
              <w:bottom w:val="nil"/>
              <w:right w:val="nil"/>
            </w:tcBorders>
            <w:shd w:val="clear" w:color="auto" w:fill="auto"/>
            <w:noWrap/>
            <w:vAlign w:val="bottom"/>
            <w:hideMark/>
          </w:tcPr>
          <w:p w14:paraId="1AA535B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3861</w:t>
            </w:r>
          </w:p>
        </w:tc>
        <w:tc>
          <w:tcPr>
            <w:tcW w:w="8509" w:type="dxa"/>
            <w:tcBorders>
              <w:top w:val="nil"/>
              <w:left w:val="nil"/>
              <w:bottom w:val="nil"/>
              <w:right w:val="nil"/>
            </w:tcBorders>
            <w:shd w:val="clear" w:color="auto" w:fill="auto"/>
            <w:noWrap/>
            <w:vAlign w:val="bottom"/>
            <w:hideMark/>
          </w:tcPr>
          <w:p w14:paraId="4F0B1F6C" w14:textId="77777777" w:rsidR="00A360DB" w:rsidRPr="00A360DB" w:rsidRDefault="00A360DB" w:rsidP="00A360DB">
            <w:pPr>
              <w:spacing w:after="0" w:line="240" w:lineRule="auto"/>
              <w:rPr>
                <w:rFonts w:ascii="Arial" w:hAnsi="Arial" w:cs="Arial"/>
                <w:sz w:val="18"/>
                <w:szCs w:val="18"/>
                <w:lang w:eastAsia="hr-HR"/>
              </w:rPr>
            </w:pPr>
            <w:r w:rsidRPr="00A360DB">
              <w:rPr>
                <w:rFonts w:ascii="Arial" w:hAnsi="Arial" w:cs="Arial"/>
                <w:sz w:val="18"/>
                <w:szCs w:val="18"/>
                <w:lang w:eastAsia="hr-HR"/>
              </w:rPr>
              <w:t xml:space="preserve">Kapitalne pomoći kreditnim i ostalim financijskim institucijama te trgovačkim društvima u javnom </w:t>
            </w:r>
            <w:proofErr w:type="spellStart"/>
            <w:r w:rsidRPr="00A360DB">
              <w:rPr>
                <w:rFonts w:ascii="Arial" w:hAnsi="Arial" w:cs="Arial"/>
                <w:sz w:val="18"/>
                <w:szCs w:val="18"/>
                <w:lang w:eastAsia="hr-HR"/>
              </w:rPr>
              <w:t>sek</w:t>
            </w:r>
            <w:proofErr w:type="spellEnd"/>
          </w:p>
        </w:tc>
        <w:tc>
          <w:tcPr>
            <w:tcW w:w="1480" w:type="dxa"/>
            <w:tcBorders>
              <w:top w:val="nil"/>
              <w:left w:val="nil"/>
              <w:bottom w:val="nil"/>
              <w:right w:val="nil"/>
            </w:tcBorders>
            <w:shd w:val="clear" w:color="auto" w:fill="auto"/>
            <w:noWrap/>
            <w:vAlign w:val="bottom"/>
            <w:hideMark/>
          </w:tcPr>
          <w:p w14:paraId="78C15FED" w14:textId="77777777" w:rsidR="00A360DB" w:rsidRPr="00A360DB" w:rsidRDefault="00A360DB" w:rsidP="00A360DB">
            <w:pPr>
              <w:spacing w:after="0" w:line="240" w:lineRule="auto"/>
              <w:rPr>
                <w:rFonts w:ascii="Arial" w:hAnsi="Arial" w:cs="Arial"/>
                <w:sz w:val="18"/>
                <w:szCs w:val="18"/>
                <w:lang w:eastAsia="hr-HR"/>
              </w:rPr>
            </w:pPr>
          </w:p>
        </w:tc>
        <w:tc>
          <w:tcPr>
            <w:tcW w:w="1380" w:type="dxa"/>
            <w:tcBorders>
              <w:top w:val="nil"/>
              <w:left w:val="nil"/>
              <w:bottom w:val="nil"/>
              <w:right w:val="nil"/>
            </w:tcBorders>
            <w:shd w:val="clear" w:color="auto" w:fill="auto"/>
            <w:noWrap/>
            <w:vAlign w:val="bottom"/>
            <w:hideMark/>
          </w:tcPr>
          <w:p w14:paraId="2D8A044E" w14:textId="77777777" w:rsidR="00A360DB" w:rsidRPr="00A360DB" w:rsidRDefault="00A360DB" w:rsidP="00A360DB">
            <w:pPr>
              <w:spacing w:after="0" w:line="240" w:lineRule="auto"/>
              <w:jc w:val="right"/>
              <w:rPr>
                <w:rFonts w:ascii="Arial" w:hAnsi="Arial" w:cs="Arial"/>
                <w:sz w:val="18"/>
                <w:szCs w:val="18"/>
                <w:lang w:eastAsia="hr-HR"/>
              </w:rPr>
            </w:pPr>
            <w:r w:rsidRPr="00A360DB">
              <w:rPr>
                <w:rFonts w:ascii="Arial" w:hAnsi="Arial" w:cs="Arial"/>
                <w:sz w:val="18"/>
                <w:szCs w:val="18"/>
                <w:lang w:eastAsia="hr-HR"/>
              </w:rPr>
              <w:t>4.300,00</w:t>
            </w:r>
          </w:p>
        </w:tc>
        <w:tc>
          <w:tcPr>
            <w:tcW w:w="1400" w:type="dxa"/>
            <w:tcBorders>
              <w:top w:val="nil"/>
              <w:left w:val="nil"/>
              <w:bottom w:val="nil"/>
              <w:right w:val="nil"/>
            </w:tcBorders>
            <w:shd w:val="clear" w:color="auto" w:fill="auto"/>
            <w:noWrap/>
            <w:vAlign w:val="bottom"/>
            <w:hideMark/>
          </w:tcPr>
          <w:p w14:paraId="22D3EBE5" w14:textId="77777777" w:rsidR="00A360DB" w:rsidRPr="00A360DB" w:rsidRDefault="00A360DB" w:rsidP="00A360DB">
            <w:pPr>
              <w:spacing w:after="0" w:line="240" w:lineRule="auto"/>
              <w:jc w:val="right"/>
              <w:rPr>
                <w:rFonts w:ascii="Arial" w:hAnsi="Arial" w:cs="Arial"/>
                <w:sz w:val="18"/>
                <w:szCs w:val="18"/>
                <w:lang w:eastAsia="hr-HR"/>
              </w:rPr>
            </w:pPr>
          </w:p>
        </w:tc>
      </w:tr>
    </w:tbl>
    <w:p w14:paraId="77FD41C8" w14:textId="77777777" w:rsidR="00A360DB" w:rsidRDefault="00A360DB" w:rsidP="0013643F">
      <w:pPr>
        <w:jc w:val="center"/>
        <w:rPr>
          <w:rFonts w:asciiTheme="minorHAnsi" w:hAnsiTheme="minorHAnsi" w:cstheme="minorHAnsi"/>
          <w:b/>
          <w:color w:val="000000"/>
        </w:rPr>
      </w:pPr>
    </w:p>
    <w:p w14:paraId="76C65B75" w14:textId="77777777" w:rsidR="00A360DB" w:rsidRDefault="00A360DB" w:rsidP="0013643F">
      <w:pPr>
        <w:jc w:val="center"/>
        <w:rPr>
          <w:rFonts w:asciiTheme="minorHAnsi" w:hAnsiTheme="minorHAnsi" w:cstheme="minorHAnsi"/>
          <w:b/>
          <w:color w:val="000000"/>
        </w:rPr>
      </w:pPr>
    </w:p>
    <w:p w14:paraId="131FC62A" w14:textId="77777777" w:rsidR="00A360DB" w:rsidRPr="00722358" w:rsidRDefault="00A360DB" w:rsidP="0013643F">
      <w:pPr>
        <w:jc w:val="center"/>
        <w:rPr>
          <w:rFonts w:asciiTheme="minorHAnsi" w:hAnsiTheme="minorHAnsi" w:cstheme="minorHAnsi"/>
          <w:b/>
          <w:color w:val="000000"/>
        </w:rPr>
      </w:pPr>
    </w:p>
    <w:p w14:paraId="5B3AFE92" w14:textId="77777777" w:rsidR="004B4E0C" w:rsidRPr="00722358" w:rsidRDefault="004B4E0C" w:rsidP="0013643F">
      <w:pPr>
        <w:jc w:val="center"/>
        <w:rPr>
          <w:rFonts w:asciiTheme="minorHAnsi" w:hAnsiTheme="minorHAnsi" w:cstheme="minorHAnsi"/>
          <w:b/>
          <w:color w:val="000000"/>
        </w:rPr>
      </w:pPr>
    </w:p>
    <w:p w14:paraId="4EAA1022" w14:textId="77777777" w:rsidR="004B4E0C" w:rsidRPr="00722358" w:rsidRDefault="004B4E0C" w:rsidP="0013643F">
      <w:pPr>
        <w:jc w:val="center"/>
        <w:rPr>
          <w:rFonts w:asciiTheme="minorHAnsi" w:hAnsiTheme="minorHAnsi" w:cstheme="minorHAnsi"/>
          <w:b/>
          <w:color w:val="000000"/>
        </w:rPr>
      </w:pPr>
    </w:p>
    <w:p w14:paraId="5F28C8EA" w14:textId="77777777" w:rsidR="004B4E0C" w:rsidRPr="00722358" w:rsidRDefault="004B4E0C" w:rsidP="0013643F">
      <w:pPr>
        <w:jc w:val="center"/>
        <w:rPr>
          <w:rFonts w:asciiTheme="minorHAnsi" w:hAnsiTheme="minorHAnsi" w:cstheme="minorHAnsi"/>
          <w:b/>
          <w:color w:val="000000"/>
        </w:rPr>
      </w:pPr>
    </w:p>
    <w:p w14:paraId="24239351" w14:textId="77777777" w:rsidR="004B4E0C" w:rsidRPr="00722358" w:rsidRDefault="004B4E0C" w:rsidP="0013643F">
      <w:pPr>
        <w:jc w:val="center"/>
        <w:rPr>
          <w:rFonts w:asciiTheme="minorHAnsi" w:hAnsiTheme="minorHAnsi" w:cstheme="minorHAnsi"/>
          <w:b/>
          <w:color w:val="000000"/>
        </w:rPr>
      </w:pPr>
    </w:p>
    <w:p w14:paraId="5F082B0E" w14:textId="77777777" w:rsidR="00F63781" w:rsidRPr="00722358" w:rsidRDefault="00F63781" w:rsidP="0013643F">
      <w:pPr>
        <w:jc w:val="center"/>
        <w:rPr>
          <w:rFonts w:asciiTheme="minorHAnsi" w:hAnsiTheme="minorHAnsi" w:cstheme="minorHAnsi"/>
          <w:b/>
          <w:color w:val="000000"/>
        </w:rPr>
      </w:pPr>
    </w:p>
    <w:p w14:paraId="525A945F" w14:textId="77777777" w:rsidR="004F1260" w:rsidRPr="00722358" w:rsidRDefault="004F1260" w:rsidP="00BC3810">
      <w:pPr>
        <w:spacing w:after="0" w:line="240" w:lineRule="auto"/>
        <w:rPr>
          <w:rFonts w:asciiTheme="minorHAnsi" w:hAnsiTheme="minorHAnsi" w:cstheme="minorHAnsi"/>
          <w:color w:val="000000"/>
          <w:lang w:eastAsia="hr-HR"/>
        </w:rPr>
      </w:pPr>
    </w:p>
    <w:p w14:paraId="64621284" w14:textId="77777777" w:rsidR="00376E44" w:rsidRPr="00722358" w:rsidRDefault="00376E44" w:rsidP="00BC3810">
      <w:pPr>
        <w:spacing w:after="0" w:line="240" w:lineRule="auto"/>
        <w:rPr>
          <w:rFonts w:asciiTheme="minorHAnsi" w:hAnsiTheme="minorHAnsi" w:cstheme="minorHAnsi"/>
          <w:color w:val="000000"/>
          <w:lang w:eastAsia="hr-HR"/>
        </w:rPr>
        <w:sectPr w:rsidR="00376E44" w:rsidRPr="00722358" w:rsidSect="007523DF">
          <w:headerReference w:type="default" r:id="rId10"/>
          <w:pgSz w:w="16838" w:h="11906" w:orient="landscape"/>
          <w:pgMar w:top="1077" w:right="1304" w:bottom="1021" w:left="1134" w:header="709" w:footer="709" w:gutter="0"/>
          <w:cols w:space="708"/>
          <w:docGrid w:linePitch="360"/>
        </w:sectPr>
      </w:pPr>
    </w:p>
    <w:p w14:paraId="1E6461D0" w14:textId="373880EC" w:rsidR="00BD182E" w:rsidRPr="003C25A4" w:rsidRDefault="003C25A4" w:rsidP="00BD182E">
      <w:pPr>
        <w:rPr>
          <w:rFonts w:ascii="Times New Roman" w:hAnsi="Times New Roman" w:cs="Times New Roman"/>
          <w:b/>
          <w:sz w:val="24"/>
          <w:szCs w:val="24"/>
        </w:rPr>
      </w:pPr>
      <w:r w:rsidRPr="003C25A4">
        <w:rPr>
          <w:rFonts w:ascii="Times New Roman" w:hAnsi="Times New Roman" w:cs="Times New Roman"/>
          <w:b/>
          <w:sz w:val="24"/>
          <w:szCs w:val="24"/>
        </w:rPr>
        <w:lastRenderedPageBreak/>
        <w:t>3</w:t>
      </w:r>
      <w:r w:rsidR="00BD182E" w:rsidRPr="003C25A4">
        <w:rPr>
          <w:rFonts w:ascii="Times New Roman" w:hAnsi="Times New Roman" w:cs="Times New Roman"/>
          <w:b/>
          <w:sz w:val="24"/>
          <w:szCs w:val="24"/>
        </w:rPr>
        <w:t xml:space="preserve">. </w:t>
      </w:r>
      <w:r w:rsidRPr="003C25A4">
        <w:rPr>
          <w:rFonts w:ascii="Times New Roman" w:hAnsi="Times New Roman" w:cs="Times New Roman"/>
          <w:b/>
          <w:sz w:val="24"/>
          <w:szCs w:val="24"/>
        </w:rPr>
        <w:t xml:space="preserve"> Obrazloženje općeg dijela izvještaja o izvršenju proračuna</w:t>
      </w:r>
    </w:p>
    <w:p w14:paraId="0C093BA9" w14:textId="74C964DC" w:rsidR="00BD182E" w:rsidRPr="00722358" w:rsidRDefault="00BD182E" w:rsidP="00BD182E">
      <w:pPr>
        <w:jc w:val="both"/>
        <w:rPr>
          <w:rFonts w:ascii="Times New Roman" w:hAnsi="Times New Roman" w:cs="Times New Roman"/>
        </w:rPr>
      </w:pPr>
      <w:r w:rsidRPr="00722358">
        <w:rPr>
          <w:rFonts w:ascii="Times New Roman" w:hAnsi="Times New Roman" w:cs="Times New Roman"/>
        </w:rPr>
        <w:t xml:space="preserve">Temeljem članka 4. i čl. </w:t>
      </w:r>
      <w:r w:rsidR="004616F4" w:rsidRPr="00722358">
        <w:rPr>
          <w:rFonts w:ascii="Times New Roman" w:hAnsi="Times New Roman" w:cs="Times New Roman"/>
        </w:rPr>
        <w:t>28</w:t>
      </w:r>
      <w:r w:rsidRPr="00722358">
        <w:rPr>
          <w:rFonts w:ascii="Times New Roman" w:hAnsi="Times New Roman" w:cs="Times New Roman"/>
        </w:rPr>
        <w:t>. Zakona o proračunu i Uputa za izradu proračuna jedinica lokalne i područne (regionaln</w:t>
      </w:r>
      <w:r w:rsidR="00C6684A" w:rsidRPr="00722358">
        <w:rPr>
          <w:rFonts w:ascii="Times New Roman" w:hAnsi="Times New Roman" w:cs="Times New Roman"/>
        </w:rPr>
        <w:t>e</w:t>
      </w:r>
      <w:r w:rsidRPr="00722358">
        <w:rPr>
          <w:rFonts w:ascii="Times New Roman" w:hAnsi="Times New Roman" w:cs="Times New Roman"/>
        </w:rPr>
        <w:t xml:space="preserve">) samouprave u Proračun Grada Garešnice uključeni </w:t>
      </w:r>
      <w:r w:rsidR="00C6684A" w:rsidRPr="00722358">
        <w:rPr>
          <w:rFonts w:ascii="Times New Roman" w:hAnsi="Times New Roman" w:cs="Times New Roman"/>
        </w:rPr>
        <w:t xml:space="preserve">su </w:t>
      </w:r>
      <w:r w:rsidRPr="00722358">
        <w:rPr>
          <w:rFonts w:ascii="Times New Roman" w:hAnsi="Times New Roman" w:cs="Times New Roman"/>
        </w:rPr>
        <w:t xml:space="preserve">svi vlastiti i namjenski prihodi i primici, te ukupni rashodi i izdaci proračunskih korisnika koji se izvršavaju preko jedinstvenog računa riznice. </w:t>
      </w:r>
      <w:r w:rsidR="00C91827">
        <w:rPr>
          <w:rFonts w:ascii="Times New Roman" w:hAnsi="Times New Roman" w:cs="Times New Roman"/>
        </w:rPr>
        <w:t>G</w:t>
      </w:r>
      <w:r w:rsidRPr="00722358">
        <w:rPr>
          <w:rFonts w:ascii="Times New Roman" w:hAnsi="Times New Roman" w:cs="Times New Roman"/>
        </w:rPr>
        <w:t>odišnje izvršenje proračuna za 202</w:t>
      </w:r>
      <w:r w:rsidR="00D22ACF">
        <w:rPr>
          <w:rFonts w:ascii="Times New Roman" w:hAnsi="Times New Roman" w:cs="Times New Roman"/>
        </w:rPr>
        <w:t>4</w:t>
      </w:r>
      <w:r w:rsidRPr="00722358">
        <w:rPr>
          <w:rFonts w:ascii="Times New Roman" w:hAnsi="Times New Roman" w:cs="Times New Roman"/>
        </w:rPr>
        <w:t>. godinu time predstavlja konsolidirano izvješće koje obuhvaća Grad Garešnicu i proračunske korisnike Javnu vatrogasnu postrojbu Garešnica, Dječji vrtić „Maslačak“ Garešnica</w:t>
      </w:r>
      <w:r w:rsidR="0070334C" w:rsidRPr="00722358">
        <w:rPr>
          <w:rFonts w:ascii="Times New Roman" w:hAnsi="Times New Roman" w:cs="Times New Roman"/>
        </w:rPr>
        <w:t>,</w:t>
      </w:r>
      <w:r w:rsidRPr="00722358">
        <w:rPr>
          <w:rFonts w:ascii="Times New Roman" w:hAnsi="Times New Roman" w:cs="Times New Roman"/>
        </w:rPr>
        <w:t xml:space="preserve"> Hrvatsku knjižnicu i čitaonicu „Đuro Sudeta“ Garešnica</w:t>
      </w:r>
      <w:r w:rsidR="005E2624">
        <w:rPr>
          <w:rFonts w:ascii="Times New Roman" w:hAnsi="Times New Roman" w:cs="Times New Roman"/>
        </w:rPr>
        <w:t>,</w:t>
      </w:r>
      <w:r w:rsidR="0070334C" w:rsidRPr="00722358">
        <w:rPr>
          <w:rFonts w:ascii="Times New Roman" w:hAnsi="Times New Roman" w:cs="Times New Roman"/>
        </w:rPr>
        <w:t xml:space="preserve"> Javnu ustanovu za upravljanje centrom za posjetitelje Garešnica</w:t>
      </w:r>
      <w:r w:rsidR="00C91827">
        <w:rPr>
          <w:rFonts w:ascii="Times New Roman" w:hAnsi="Times New Roman" w:cs="Times New Roman"/>
        </w:rPr>
        <w:t xml:space="preserve">, Osnovnu školu Garešnica i Osnovnu školu </w:t>
      </w:r>
      <w:proofErr w:type="spellStart"/>
      <w:r w:rsidR="00C91827">
        <w:rPr>
          <w:rFonts w:ascii="Times New Roman" w:hAnsi="Times New Roman" w:cs="Times New Roman"/>
        </w:rPr>
        <w:t>Trnovitički</w:t>
      </w:r>
      <w:proofErr w:type="spellEnd"/>
      <w:r w:rsidR="00C91827">
        <w:rPr>
          <w:rFonts w:ascii="Times New Roman" w:hAnsi="Times New Roman" w:cs="Times New Roman"/>
        </w:rPr>
        <w:t xml:space="preserve"> Popovac.</w:t>
      </w:r>
    </w:p>
    <w:p w14:paraId="594286BA" w14:textId="6AA995AD" w:rsidR="00BD182E" w:rsidRPr="00722358" w:rsidRDefault="00BD182E" w:rsidP="00BD182E">
      <w:pPr>
        <w:jc w:val="both"/>
        <w:rPr>
          <w:rFonts w:ascii="Times New Roman" w:hAnsi="Times New Roman" w:cs="Times New Roman"/>
        </w:rPr>
      </w:pPr>
      <w:r w:rsidRPr="00722358">
        <w:rPr>
          <w:rFonts w:ascii="Times New Roman" w:hAnsi="Times New Roman" w:cs="Times New Roman"/>
          <w:b/>
        </w:rPr>
        <w:t>Proračunski prihodi i primici</w:t>
      </w:r>
      <w:r w:rsidRPr="00722358">
        <w:rPr>
          <w:rFonts w:ascii="Times New Roman" w:hAnsi="Times New Roman" w:cs="Times New Roman"/>
        </w:rPr>
        <w:t xml:space="preserve"> ostvareni su u iznosu od </w:t>
      </w:r>
      <w:r w:rsidR="00CC4F98">
        <w:rPr>
          <w:rFonts w:ascii="Times New Roman" w:hAnsi="Times New Roman" w:cs="Times New Roman"/>
          <w:b/>
          <w:bCs/>
        </w:rPr>
        <w:t>12.0</w:t>
      </w:r>
      <w:r w:rsidR="004554BB">
        <w:rPr>
          <w:rFonts w:ascii="Times New Roman" w:hAnsi="Times New Roman" w:cs="Times New Roman"/>
          <w:b/>
          <w:bCs/>
        </w:rPr>
        <w:t>64.612,48</w:t>
      </w:r>
      <w:r w:rsidR="00F63781" w:rsidRPr="00722358">
        <w:rPr>
          <w:rFonts w:ascii="Times New Roman" w:hAnsi="Times New Roman" w:cs="Times New Roman"/>
          <w:b/>
          <w:bCs/>
        </w:rPr>
        <w:t xml:space="preserve"> eura</w:t>
      </w:r>
      <w:r w:rsidRPr="00722358">
        <w:rPr>
          <w:rFonts w:ascii="Times New Roman" w:hAnsi="Times New Roman" w:cs="Times New Roman"/>
        </w:rPr>
        <w:t xml:space="preserve"> što iznosi </w:t>
      </w:r>
      <w:r w:rsidR="00085243">
        <w:rPr>
          <w:rFonts w:ascii="Times New Roman" w:hAnsi="Times New Roman" w:cs="Times New Roman"/>
        </w:rPr>
        <w:t>92,50</w:t>
      </w:r>
      <w:r w:rsidRPr="00722358">
        <w:rPr>
          <w:rFonts w:ascii="Times New Roman" w:hAnsi="Times New Roman" w:cs="Times New Roman"/>
        </w:rPr>
        <w:t>% izvršenja  plana. U odnosu na isto razdoblje 202</w:t>
      </w:r>
      <w:r w:rsidR="00BA5E15">
        <w:rPr>
          <w:rFonts w:ascii="Times New Roman" w:hAnsi="Times New Roman" w:cs="Times New Roman"/>
        </w:rPr>
        <w:t>3</w:t>
      </w:r>
      <w:r w:rsidRPr="00722358">
        <w:rPr>
          <w:rFonts w:ascii="Times New Roman" w:hAnsi="Times New Roman" w:cs="Times New Roman"/>
        </w:rPr>
        <w:t xml:space="preserve">. godine proračunski prihodi i primici </w:t>
      </w:r>
      <w:r w:rsidR="00F63781" w:rsidRPr="00722358">
        <w:rPr>
          <w:rFonts w:ascii="Times New Roman" w:hAnsi="Times New Roman" w:cs="Times New Roman"/>
        </w:rPr>
        <w:t xml:space="preserve">povećani su za </w:t>
      </w:r>
      <w:r w:rsidR="00BA5E15">
        <w:rPr>
          <w:rFonts w:ascii="Times New Roman" w:hAnsi="Times New Roman" w:cs="Times New Roman"/>
        </w:rPr>
        <w:t>27,</w:t>
      </w:r>
      <w:r w:rsidR="00085243">
        <w:rPr>
          <w:rFonts w:ascii="Times New Roman" w:hAnsi="Times New Roman" w:cs="Times New Roman"/>
        </w:rPr>
        <w:t>3</w:t>
      </w:r>
      <w:r w:rsidR="00BA5E15">
        <w:rPr>
          <w:rFonts w:ascii="Times New Roman" w:hAnsi="Times New Roman" w:cs="Times New Roman"/>
        </w:rPr>
        <w:t>0</w:t>
      </w:r>
      <w:r w:rsidR="00F63781" w:rsidRPr="00722358">
        <w:rPr>
          <w:rFonts w:ascii="Times New Roman" w:hAnsi="Times New Roman" w:cs="Times New Roman"/>
        </w:rPr>
        <w:t>%.</w:t>
      </w:r>
    </w:p>
    <w:p w14:paraId="016F3E95" w14:textId="2A854EA1" w:rsidR="00BD182E" w:rsidRPr="00722358" w:rsidRDefault="00BD182E" w:rsidP="00BD182E">
      <w:pPr>
        <w:jc w:val="both"/>
        <w:rPr>
          <w:rFonts w:ascii="Times New Roman" w:hAnsi="Times New Roman" w:cs="Times New Roman"/>
        </w:rPr>
      </w:pPr>
      <w:r w:rsidRPr="00722358">
        <w:rPr>
          <w:rFonts w:ascii="Times New Roman" w:hAnsi="Times New Roman" w:cs="Times New Roman"/>
          <w:b/>
        </w:rPr>
        <w:t>Proračunski rashodi i izdaci</w:t>
      </w:r>
      <w:r w:rsidRPr="00722358">
        <w:rPr>
          <w:rFonts w:ascii="Times New Roman" w:hAnsi="Times New Roman" w:cs="Times New Roman"/>
        </w:rPr>
        <w:t xml:space="preserve"> iznose </w:t>
      </w:r>
      <w:r w:rsidR="00BA5E15">
        <w:rPr>
          <w:rFonts w:ascii="Times New Roman" w:hAnsi="Times New Roman" w:cs="Times New Roman"/>
          <w:b/>
          <w:bCs/>
        </w:rPr>
        <w:t>12.</w:t>
      </w:r>
      <w:r w:rsidR="00085243">
        <w:rPr>
          <w:rFonts w:ascii="Times New Roman" w:hAnsi="Times New Roman" w:cs="Times New Roman"/>
          <w:b/>
          <w:bCs/>
        </w:rPr>
        <w:t>812.977,94</w:t>
      </w:r>
      <w:r w:rsidR="001A5416" w:rsidRPr="00722358">
        <w:rPr>
          <w:rFonts w:ascii="Times New Roman" w:hAnsi="Times New Roman" w:cs="Times New Roman"/>
          <w:b/>
          <w:bCs/>
        </w:rPr>
        <w:t xml:space="preserve"> eura</w:t>
      </w:r>
      <w:r w:rsidRPr="00722358">
        <w:rPr>
          <w:rFonts w:ascii="Times New Roman" w:hAnsi="Times New Roman" w:cs="Times New Roman"/>
        </w:rPr>
        <w:t xml:space="preserve"> što predstavlja </w:t>
      </w:r>
      <w:r w:rsidR="00640B7C">
        <w:rPr>
          <w:rFonts w:ascii="Times New Roman" w:hAnsi="Times New Roman" w:cs="Times New Roman"/>
        </w:rPr>
        <w:t>9</w:t>
      </w:r>
      <w:r w:rsidR="00085243">
        <w:rPr>
          <w:rFonts w:ascii="Times New Roman" w:hAnsi="Times New Roman" w:cs="Times New Roman"/>
        </w:rPr>
        <w:t>2,02</w:t>
      </w:r>
      <w:r w:rsidRPr="00722358">
        <w:rPr>
          <w:rFonts w:ascii="Times New Roman" w:hAnsi="Times New Roman" w:cs="Times New Roman"/>
        </w:rPr>
        <w:t>% izvršenja tekućeg   plana za 202</w:t>
      </w:r>
      <w:r w:rsidR="00BA5E15">
        <w:rPr>
          <w:rFonts w:ascii="Times New Roman" w:hAnsi="Times New Roman" w:cs="Times New Roman"/>
        </w:rPr>
        <w:t>4</w:t>
      </w:r>
      <w:r w:rsidRPr="00722358">
        <w:rPr>
          <w:rFonts w:ascii="Times New Roman" w:hAnsi="Times New Roman" w:cs="Times New Roman"/>
        </w:rPr>
        <w:t>. godinu. U odnosu na isto razdoblje 202</w:t>
      </w:r>
      <w:r w:rsidR="00BA5E15">
        <w:rPr>
          <w:rFonts w:ascii="Times New Roman" w:hAnsi="Times New Roman" w:cs="Times New Roman"/>
        </w:rPr>
        <w:t>3</w:t>
      </w:r>
      <w:r w:rsidRPr="00722358">
        <w:rPr>
          <w:rFonts w:ascii="Times New Roman" w:hAnsi="Times New Roman" w:cs="Times New Roman"/>
        </w:rPr>
        <w:t xml:space="preserve">. godine isti su </w:t>
      </w:r>
      <w:r w:rsidR="001A5416" w:rsidRPr="00722358">
        <w:rPr>
          <w:rFonts w:ascii="Times New Roman" w:hAnsi="Times New Roman" w:cs="Times New Roman"/>
        </w:rPr>
        <w:t>povećani</w:t>
      </w:r>
      <w:r w:rsidRPr="00722358">
        <w:rPr>
          <w:rFonts w:ascii="Times New Roman" w:hAnsi="Times New Roman" w:cs="Times New Roman"/>
        </w:rPr>
        <w:t xml:space="preserve"> za </w:t>
      </w:r>
      <w:r w:rsidR="00BA5E15">
        <w:rPr>
          <w:rFonts w:ascii="Times New Roman" w:hAnsi="Times New Roman" w:cs="Times New Roman"/>
        </w:rPr>
        <w:t>45,</w:t>
      </w:r>
      <w:r w:rsidR="00085243">
        <w:rPr>
          <w:rFonts w:ascii="Times New Roman" w:hAnsi="Times New Roman" w:cs="Times New Roman"/>
        </w:rPr>
        <w:t>7</w:t>
      </w:r>
      <w:r w:rsidR="00BA5E15">
        <w:rPr>
          <w:rFonts w:ascii="Times New Roman" w:hAnsi="Times New Roman" w:cs="Times New Roman"/>
        </w:rPr>
        <w:t>5</w:t>
      </w:r>
      <w:r w:rsidRPr="00722358">
        <w:rPr>
          <w:rFonts w:ascii="Times New Roman" w:hAnsi="Times New Roman" w:cs="Times New Roman"/>
        </w:rPr>
        <w:t>%.</w:t>
      </w:r>
    </w:p>
    <w:p w14:paraId="23C08CC8" w14:textId="7EE93451" w:rsidR="00BD182E" w:rsidRPr="00722358" w:rsidRDefault="00BD182E" w:rsidP="00BD182E">
      <w:pPr>
        <w:jc w:val="both"/>
        <w:rPr>
          <w:rFonts w:ascii="Times New Roman" w:hAnsi="Times New Roman" w:cs="Times New Roman"/>
        </w:rPr>
      </w:pPr>
      <w:r w:rsidRPr="00D92743">
        <w:rPr>
          <w:rFonts w:ascii="Times New Roman" w:hAnsi="Times New Roman" w:cs="Times New Roman"/>
        </w:rPr>
        <w:t>Strukturu ukupnog</w:t>
      </w:r>
      <w:r w:rsidRPr="00722358">
        <w:rPr>
          <w:rFonts w:ascii="Times New Roman" w:hAnsi="Times New Roman" w:cs="Times New Roman"/>
        </w:rPr>
        <w:t xml:space="preserve"> proračunskog </w:t>
      </w:r>
      <w:r w:rsidR="006B2247">
        <w:rPr>
          <w:rFonts w:ascii="Times New Roman" w:hAnsi="Times New Roman" w:cs="Times New Roman"/>
        </w:rPr>
        <w:t>manjka</w:t>
      </w:r>
      <w:r w:rsidRPr="00722358">
        <w:rPr>
          <w:rFonts w:ascii="Times New Roman" w:hAnsi="Times New Roman" w:cs="Times New Roman"/>
        </w:rPr>
        <w:t xml:space="preserve"> Grada Garešnice i njegovih proračunskih korisnika</w:t>
      </w:r>
      <w:r w:rsidR="00A777FE">
        <w:rPr>
          <w:rFonts w:ascii="Times New Roman" w:hAnsi="Times New Roman" w:cs="Times New Roman"/>
        </w:rPr>
        <w:t xml:space="preserve"> u 2024. </w:t>
      </w:r>
      <w:proofErr w:type="spellStart"/>
      <w:r w:rsidR="00A777FE">
        <w:rPr>
          <w:rFonts w:ascii="Times New Roman" w:hAnsi="Times New Roman" w:cs="Times New Roman"/>
        </w:rPr>
        <w:t>go</w:t>
      </w:r>
      <w:proofErr w:type="spellEnd"/>
      <w:r w:rsidRPr="00722358">
        <w:rPr>
          <w:rFonts w:ascii="Times New Roman" w:hAnsi="Times New Roman" w:cs="Times New Roman"/>
        </w:rPr>
        <w:t xml:space="preserve"> čini:</w:t>
      </w:r>
    </w:p>
    <w:tbl>
      <w:tblPr>
        <w:tblStyle w:val="Reetkatablice"/>
        <w:tblW w:w="7433" w:type="dxa"/>
        <w:tblInd w:w="472" w:type="dxa"/>
        <w:tblLook w:val="04A0" w:firstRow="1" w:lastRow="0" w:firstColumn="1" w:lastColumn="0" w:noHBand="0" w:noVBand="1"/>
      </w:tblPr>
      <w:tblGrid>
        <w:gridCol w:w="4456"/>
        <w:gridCol w:w="2977"/>
      </w:tblGrid>
      <w:tr w:rsidR="00BD182E" w:rsidRPr="00722358" w14:paraId="4FC3E18B" w14:textId="77777777" w:rsidTr="00044AF5">
        <w:tc>
          <w:tcPr>
            <w:tcW w:w="4456" w:type="dxa"/>
            <w:shd w:val="clear" w:color="auto" w:fill="F2F2F2" w:themeFill="background1" w:themeFillShade="F2"/>
          </w:tcPr>
          <w:p w14:paraId="2CE5A668" w14:textId="77777777" w:rsidR="00BD182E" w:rsidRPr="00722358" w:rsidRDefault="00BD182E" w:rsidP="00873D9A">
            <w:pPr>
              <w:jc w:val="both"/>
              <w:rPr>
                <w:rFonts w:ascii="Times New Roman" w:hAnsi="Times New Roman" w:cs="Times New Roman"/>
                <w:b/>
              </w:rPr>
            </w:pPr>
            <w:r w:rsidRPr="00722358">
              <w:rPr>
                <w:rFonts w:ascii="Times New Roman" w:hAnsi="Times New Roman" w:cs="Times New Roman"/>
                <w:b/>
              </w:rPr>
              <w:t>NAZIV</w:t>
            </w:r>
          </w:p>
        </w:tc>
        <w:tc>
          <w:tcPr>
            <w:tcW w:w="2977" w:type="dxa"/>
            <w:shd w:val="clear" w:color="auto" w:fill="F2F2F2" w:themeFill="background1" w:themeFillShade="F2"/>
          </w:tcPr>
          <w:p w14:paraId="012DA948" w14:textId="77777777" w:rsidR="00BD182E" w:rsidRPr="00722358" w:rsidRDefault="00BD182E" w:rsidP="00873D9A">
            <w:pPr>
              <w:jc w:val="center"/>
              <w:rPr>
                <w:rFonts w:ascii="Times New Roman" w:hAnsi="Times New Roman" w:cs="Times New Roman"/>
                <w:b/>
              </w:rPr>
            </w:pPr>
            <w:r w:rsidRPr="00722358">
              <w:rPr>
                <w:rFonts w:ascii="Times New Roman" w:hAnsi="Times New Roman" w:cs="Times New Roman"/>
                <w:b/>
              </w:rPr>
              <w:t>Višak/manjak</w:t>
            </w:r>
          </w:p>
        </w:tc>
      </w:tr>
      <w:tr w:rsidR="00BD182E" w:rsidRPr="00722358" w14:paraId="637BE9F9" w14:textId="77777777" w:rsidTr="00873D9A">
        <w:tc>
          <w:tcPr>
            <w:tcW w:w="4456" w:type="dxa"/>
          </w:tcPr>
          <w:p w14:paraId="28B08467" w14:textId="77777777" w:rsidR="00BD182E" w:rsidRPr="00722358" w:rsidRDefault="00BD182E" w:rsidP="00873D9A">
            <w:pPr>
              <w:jc w:val="both"/>
              <w:rPr>
                <w:rFonts w:ascii="Times New Roman" w:hAnsi="Times New Roman" w:cs="Times New Roman"/>
              </w:rPr>
            </w:pPr>
            <w:r w:rsidRPr="00722358">
              <w:rPr>
                <w:rFonts w:ascii="Times New Roman" w:hAnsi="Times New Roman" w:cs="Times New Roman"/>
              </w:rPr>
              <w:t>Grad Garešnica</w:t>
            </w:r>
          </w:p>
        </w:tc>
        <w:tc>
          <w:tcPr>
            <w:tcW w:w="2977" w:type="dxa"/>
          </w:tcPr>
          <w:p w14:paraId="16D42429" w14:textId="1584D159" w:rsidR="00BD182E" w:rsidRPr="00722358" w:rsidRDefault="006B2247" w:rsidP="00873D9A">
            <w:pPr>
              <w:jc w:val="right"/>
              <w:rPr>
                <w:rFonts w:ascii="Times New Roman" w:hAnsi="Times New Roman" w:cs="Times New Roman"/>
              </w:rPr>
            </w:pPr>
            <w:r>
              <w:rPr>
                <w:rFonts w:ascii="Times New Roman" w:hAnsi="Times New Roman" w:cs="Times New Roman"/>
              </w:rPr>
              <w:t>-756.183,09</w:t>
            </w:r>
          </w:p>
        </w:tc>
      </w:tr>
      <w:tr w:rsidR="00BD182E" w:rsidRPr="00722358" w14:paraId="75060AF7" w14:textId="77777777" w:rsidTr="00873D9A">
        <w:tc>
          <w:tcPr>
            <w:tcW w:w="4456" w:type="dxa"/>
          </w:tcPr>
          <w:p w14:paraId="23CBCE53" w14:textId="77777777" w:rsidR="00BD182E" w:rsidRPr="00722358" w:rsidRDefault="00BD182E" w:rsidP="00873D9A">
            <w:pPr>
              <w:jc w:val="both"/>
              <w:rPr>
                <w:rFonts w:ascii="Times New Roman" w:hAnsi="Times New Roman" w:cs="Times New Roman"/>
              </w:rPr>
            </w:pPr>
            <w:r w:rsidRPr="00722358">
              <w:rPr>
                <w:rFonts w:ascii="Times New Roman" w:hAnsi="Times New Roman" w:cs="Times New Roman"/>
              </w:rPr>
              <w:t>Javna vatrogasna postrojba</w:t>
            </w:r>
          </w:p>
        </w:tc>
        <w:tc>
          <w:tcPr>
            <w:tcW w:w="2977" w:type="dxa"/>
          </w:tcPr>
          <w:p w14:paraId="5CB709F6" w14:textId="177EF250" w:rsidR="00BD182E" w:rsidRPr="00722358" w:rsidRDefault="006B2247" w:rsidP="00873D9A">
            <w:pPr>
              <w:jc w:val="right"/>
              <w:rPr>
                <w:rFonts w:ascii="Times New Roman" w:hAnsi="Times New Roman" w:cs="Times New Roman"/>
              </w:rPr>
            </w:pPr>
            <w:r>
              <w:rPr>
                <w:rFonts w:ascii="Times New Roman" w:hAnsi="Times New Roman" w:cs="Times New Roman"/>
              </w:rPr>
              <w:t>-6.624,38</w:t>
            </w:r>
          </w:p>
        </w:tc>
      </w:tr>
      <w:tr w:rsidR="00BD182E" w:rsidRPr="00722358" w14:paraId="31C02874" w14:textId="77777777" w:rsidTr="00873D9A">
        <w:tc>
          <w:tcPr>
            <w:tcW w:w="4456" w:type="dxa"/>
          </w:tcPr>
          <w:p w14:paraId="03DF9574" w14:textId="77777777" w:rsidR="00BD182E" w:rsidRPr="00722358" w:rsidRDefault="00BD182E" w:rsidP="00873D9A">
            <w:pPr>
              <w:jc w:val="both"/>
              <w:rPr>
                <w:rFonts w:ascii="Times New Roman" w:hAnsi="Times New Roman" w:cs="Times New Roman"/>
              </w:rPr>
            </w:pPr>
            <w:r w:rsidRPr="00722358">
              <w:rPr>
                <w:rFonts w:ascii="Times New Roman" w:hAnsi="Times New Roman" w:cs="Times New Roman"/>
              </w:rPr>
              <w:t>Dječji vrtić „Maslačak“</w:t>
            </w:r>
          </w:p>
        </w:tc>
        <w:tc>
          <w:tcPr>
            <w:tcW w:w="2977" w:type="dxa"/>
          </w:tcPr>
          <w:p w14:paraId="33753006" w14:textId="6E2911FC" w:rsidR="00BD182E" w:rsidRPr="00722358" w:rsidRDefault="006B2247" w:rsidP="00873D9A">
            <w:pPr>
              <w:jc w:val="right"/>
              <w:rPr>
                <w:rFonts w:ascii="Times New Roman" w:hAnsi="Times New Roman" w:cs="Times New Roman"/>
              </w:rPr>
            </w:pPr>
            <w:r>
              <w:rPr>
                <w:rFonts w:ascii="Times New Roman" w:hAnsi="Times New Roman" w:cs="Times New Roman"/>
              </w:rPr>
              <w:t>26.533,56</w:t>
            </w:r>
          </w:p>
        </w:tc>
      </w:tr>
      <w:tr w:rsidR="00BD182E" w:rsidRPr="00722358" w14:paraId="77756F37" w14:textId="77777777" w:rsidTr="00873D9A">
        <w:tc>
          <w:tcPr>
            <w:tcW w:w="4456" w:type="dxa"/>
          </w:tcPr>
          <w:p w14:paraId="33DCAE8D" w14:textId="77777777" w:rsidR="00BD182E" w:rsidRPr="00722358" w:rsidRDefault="00BD182E" w:rsidP="00873D9A">
            <w:pPr>
              <w:jc w:val="both"/>
              <w:rPr>
                <w:rFonts w:ascii="Times New Roman" w:hAnsi="Times New Roman" w:cs="Times New Roman"/>
              </w:rPr>
            </w:pPr>
            <w:r w:rsidRPr="00722358">
              <w:rPr>
                <w:rFonts w:ascii="Times New Roman" w:hAnsi="Times New Roman" w:cs="Times New Roman"/>
              </w:rPr>
              <w:t>Hrvatska knjižnica i čitaonica</w:t>
            </w:r>
          </w:p>
        </w:tc>
        <w:tc>
          <w:tcPr>
            <w:tcW w:w="2977" w:type="dxa"/>
          </w:tcPr>
          <w:p w14:paraId="34212AD8" w14:textId="5D1BDF83" w:rsidR="00BD182E" w:rsidRPr="00722358" w:rsidRDefault="006B2247" w:rsidP="00873D9A">
            <w:pPr>
              <w:jc w:val="right"/>
              <w:rPr>
                <w:rFonts w:ascii="Times New Roman" w:hAnsi="Times New Roman" w:cs="Times New Roman"/>
              </w:rPr>
            </w:pPr>
            <w:r>
              <w:rPr>
                <w:rFonts w:ascii="Times New Roman" w:hAnsi="Times New Roman" w:cs="Times New Roman"/>
              </w:rPr>
              <w:t>-2.326,31</w:t>
            </w:r>
          </w:p>
        </w:tc>
      </w:tr>
      <w:tr w:rsidR="004D6EE5" w:rsidRPr="00722358" w14:paraId="68C66B3D" w14:textId="77777777" w:rsidTr="00873D9A">
        <w:tc>
          <w:tcPr>
            <w:tcW w:w="4456" w:type="dxa"/>
          </w:tcPr>
          <w:p w14:paraId="67A4D3B5" w14:textId="4F1A7E09" w:rsidR="004D6EE5" w:rsidRPr="00722358" w:rsidRDefault="004D6EE5" w:rsidP="00873D9A">
            <w:pPr>
              <w:jc w:val="both"/>
              <w:rPr>
                <w:rFonts w:ascii="Times New Roman" w:hAnsi="Times New Roman" w:cs="Times New Roman"/>
              </w:rPr>
            </w:pPr>
            <w:r w:rsidRPr="00722358">
              <w:rPr>
                <w:rFonts w:ascii="Times New Roman" w:hAnsi="Times New Roman" w:cs="Times New Roman"/>
              </w:rPr>
              <w:t>Javna ustanova Garešnica</w:t>
            </w:r>
          </w:p>
        </w:tc>
        <w:tc>
          <w:tcPr>
            <w:tcW w:w="2977" w:type="dxa"/>
          </w:tcPr>
          <w:p w14:paraId="395ABB0B" w14:textId="4F9F2D79" w:rsidR="004D6EE5" w:rsidRPr="00722358" w:rsidRDefault="006B2247" w:rsidP="00873D9A">
            <w:pPr>
              <w:jc w:val="right"/>
              <w:rPr>
                <w:rFonts w:ascii="Times New Roman" w:hAnsi="Times New Roman" w:cs="Times New Roman"/>
              </w:rPr>
            </w:pPr>
            <w:r>
              <w:rPr>
                <w:rFonts w:ascii="Times New Roman" w:hAnsi="Times New Roman" w:cs="Times New Roman"/>
              </w:rPr>
              <w:t>2.840,22</w:t>
            </w:r>
          </w:p>
        </w:tc>
      </w:tr>
      <w:tr w:rsidR="00B6366A" w:rsidRPr="00722358" w14:paraId="0466C4A2" w14:textId="77777777" w:rsidTr="00873D9A">
        <w:tc>
          <w:tcPr>
            <w:tcW w:w="4456" w:type="dxa"/>
          </w:tcPr>
          <w:p w14:paraId="6EF210DA" w14:textId="2687D923" w:rsidR="00B6366A" w:rsidRPr="00722358" w:rsidRDefault="00B6366A" w:rsidP="00873D9A">
            <w:pPr>
              <w:jc w:val="both"/>
              <w:rPr>
                <w:rFonts w:ascii="Times New Roman" w:hAnsi="Times New Roman" w:cs="Times New Roman"/>
              </w:rPr>
            </w:pPr>
            <w:r w:rsidRPr="00722358">
              <w:rPr>
                <w:rFonts w:ascii="Times New Roman" w:hAnsi="Times New Roman" w:cs="Times New Roman"/>
              </w:rPr>
              <w:t>Osnovna škola Garešnica</w:t>
            </w:r>
          </w:p>
        </w:tc>
        <w:tc>
          <w:tcPr>
            <w:tcW w:w="2977" w:type="dxa"/>
          </w:tcPr>
          <w:p w14:paraId="577D7E65" w14:textId="7B172A2B" w:rsidR="00B6366A" w:rsidRPr="00722358" w:rsidRDefault="006B2247" w:rsidP="00873D9A">
            <w:pPr>
              <w:jc w:val="right"/>
              <w:rPr>
                <w:rFonts w:ascii="Times New Roman" w:hAnsi="Times New Roman" w:cs="Times New Roman"/>
              </w:rPr>
            </w:pPr>
            <w:r>
              <w:rPr>
                <w:rFonts w:ascii="Times New Roman" w:hAnsi="Times New Roman" w:cs="Times New Roman"/>
              </w:rPr>
              <w:t>-6.771,80</w:t>
            </w:r>
          </w:p>
        </w:tc>
      </w:tr>
      <w:tr w:rsidR="00B6366A" w:rsidRPr="00722358" w14:paraId="013FBF30" w14:textId="77777777" w:rsidTr="00873D9A">
        <w:tc>
          <w:tcPr>
            <w:tcW w:w="4456" w:type="dxa"/>
          </w:tcPr>
          <w:p w14:paraId="469A0E02" w14:textId="6D379207" w:rsidR="00B6366A" w:rsidRPr="00722358" w:rsidRDefault="00B6366A" w:rsidP="00873D9A">
            <w:pPr>
              <w:jc w:val="both"/>
              <w:rPr>
                <w:rFonts w:ascii="Times New Roman" w:hAnsi="Times New Roman" w:cs="Times New Roman"/>
              </w:rPr>
            </w:pPr>
            <w:r w:rsidRPr="00722358">
              <w:rPr>
                <w:rFonts w:ascii="Times New Roman" w:hAnsi="Times New Roman" w:cs="Times New Roman"/>
              </w:rPr>
              <w:t xml:space="preserve">Osnovna škola </w:t>
            </w:r>
            <w:proofErr w:type="spellStart"/>
            <w:r w:rsidRPr="00722358">
              <w:rPr>
                <w:rFonts w:ascii="Times New Roman" w:hAnsi="Times New Roman" w:cs="Times New Roman"/>
              </w:rPr>
              <w:t>Trnovitički</w:t>
            </w:r>
            <w:proofErr w:type="spellEnd"/>
            <w:r w:rsidRPr="00722358">
              <w:rPr>
                <w:rFonts w:ascii="Times New Roman" w:hAnsi="Times New Roman" w:cs="Times New Roman"/>
              </w:rPr>
              <w:t xml:space="preserve"> Popovac</w:t>
            </w:r>
          </w:p>
        </w:tc>
        <w:tc>
          <w:tcPr>
            <w:tcW w:w="2977" w:type="dxa"/>
          </w:tcPr>
          <w:p w14:paraId="1F1845F0" w14:textId="7CCAEDBD" w:rsidR="00B6366A" w:rsidRPr="00722358" w:rsidRDefault="006B2247" w:rsidP="00873D9A">
            <w:pPr>
              <w:jc w:val="right"/>
              <w:rPr>
                <w:rFonts w:ascii="Times New Roman" w:hAnsi="Times New Roman" w:cs="Times New Roman"/>
              </w:rPr>
            </w:pPr>
            <w:r>
              <w:rPr>
                <w:rFonts w:ascii="Times New Roman" w:hAnsi="Times New Roman" w:cs="Times New Roman"/>
              </w:rPr>
              <w:t>-5.833,66</w:t>
            </w:r>
          </w:p>
        </w:tc>
      </w:tr>
      <w:tr w:rsidR="00BD182E" w:rsidRPr="00722358" w14:paraId="0E0AB8F4" w14:textId="77777777" w:rsidTr="00044AF5">
        <w:tc>
          <w:tcPr>
            <w:tcW w:w="4456" w:type="dxa"/>
            <w:shd w:val="clear" w:color="auto" w:fill="F2F2F2" w:themeFill="background1" w:themeFillShade="F2"/>
          </w:tcPr>
          <w:p w14:paraId="6F388D82" w14:textId="4757CA18" w:rsidR="00BD182E" w:rsidRPr="00044AF5" w:rsidRDefault="006B2247" w:rsidP="00873D9A">
            <w:pPr>
              <w:jc w:val="both"/>
              <w:rPr>
                <w:rFonts w:ascii="Times New Roman" w:hAnsi="Times New Roman" w:cs="Times New Roman"/>
                <w:bCs/>
              </w:rPr>
            </w:pPr>
            <w:r w:rsidRPr="00044AF5">
              <w:rPr>
                <w:rFonts w:ascii="Times New Roman" w:hAnsi="Times New Roman" w:cs="Times New Roman"/>
                <w:bCs/>
              </w:rPr>
              <w:t>MANJAK</w:t>
            </w:r>
          </w:p>
        </w:tc>
        <w:tc>
          <w:tcPr>
            <w:tcW w:w="2977" w:type="dxa"/>
            <w:shd w:val="clear" w:color="auto" w:fill="F2F2F2" w:themeFill="background1" w:themeFillShade="F2"/>
          </w:tcPr>
          <w:p w14:paraId="6799B03B" w14:textId="7A3E8D5F" w:rsidR="00BD182E" w:rsidRPr="00044AF5" w:rsidRDefault="006B2247" w:rsidP="00873D9A">
            <w:pPr>
              <w:jc w:val="right"/>
              <w:rPr>
                <w:rFonts w:ascii="Times New Roman" w:hAnsi="Times New Roman" w:cs="Times New Roman"/>
                <w:bCs/>
              </w:rPr>
            </w:pPr>
            <w:r w:rsidRPr="00044AF5">
              <w:rPr>
                <w:rFonts w:ascii="Times New Roman" w:hAnsi="Times New Roman" w:cs="Times New Roman"/>
                <w:bCs/>
              </w:rPr>
              <w:t>-748.365,46</w:t>
            </w:r>
          </w:p>
        </w:tc>
      </w:tr>
    </w:tbl>
    <w:p w14:paraId="706F2004" w14:textId="77777777" w:rsidR="00044AF5" w:rsidRDefault="00044AF5" w:rsidP="00044AF5">
      <w:pPr>
        <w:jc w:val="both"/>
        <w:rPr>
          <w:rFonts w:ascii="Times New Roman" w:hAnsi="Times New Roman" w:cs="Times New Roman"/>
        </w:rPr>
      </w:pPr>
    </w:p>
    <w:p w14:paraId="3BA0E6AF" w14:textId="77777777" w:rsidR="00DB448A" w:rsidRDefault="00044AF5" w:rsidP="002A0DA8">
      <w:pPr>
        <w:jc w:val="both"/>
        <w:rPr>
          <w:rFonts w:ascii="Times New Roman" w:hAnsi="Times New Roman" w:cs="Times New Roman"/>
        </w:rPr>
      </w:pPr>
      <w:r w:rsidRPr="00722358">
        <w:rPr>
          <w:rFonts w:ascii="Times New Roman" w:hAnsi="Times New Roman" w:cs="Times New Roman"/>
        </w:rPr>
        <w:t xml:space="preserve">Razlika ukupnih prihoda i primitaka te rashoda i izdataka  predstavlja </w:t>
      </w:r>
      <w:r w:rsidRPr="004730C3">
        <w:rPr>
          <w:rFonts w:ascii="Times New Roman" w:hAnsi="Times New Roman" w:cs="Times New Roman"/>
        </w:rPr>
        <w:t>manjak u iznosu od 748.365,46 eura.</w:t>
      </w:r>
      <w:r>
        <w:rPr>
          <w:rFonts w:ascii="Times New Roman" w:hAnsi="Times New Roman" w:cs="Times New Roman"/>
        </w:rPr>
        <w:t xml:space="preserve"> Isti je rezultat korištenja viška prihoda iz proteklih godina kao izvora financiranja u 2024. godini. </w:t>
      </w:r>
    </w:p>
    <w:p w14:paraId="347F77E3" w14:textId="5C724C99" w:rsidR="00091F51" w:rsidRDefault="00732E93" w:rsidP="002A0DA8">
      <w:pPr>
        <w:jc w:val="both"/>
        <w:rPr>
          <w:rFonts w:ascii="Times New Roman" w:hAnsi="Times New Roman" w:cs="Times New Roman"/>
        </w:rPr>
      </w:pPr>
      <w:r>
        <w:rPr>
          <w:rFonts w:ascii="Times New Roman" w:hAnsi="Times New Roman" w:cs="Times New Roman"/>
        </w:rPr>
        <w:t>U nastavku dajemo pregled korištenih namjenskih i nenamjenskih prihoda i primitaka te viškova iz proteklih godina po izvorima te njihov iznos za prijenos u slijedeću proračunsku godinu:</w:t>
      </w:r>
    </w:p>
    <w:p w14:paraId="7478E023" w14:textId="5565C0C3" w:rsidR="002A0DA8" w:rsidRPr="00DB448A" w:rsidRDefault="002A0DA8" w:rsidP="002A0DA8">
      <w:pPr>
        <w:jc w:val="both"/>
        <w:rPr>
          <w:rFonts w:ascii="Times New Roman" w:hAnsi="Times New Roman" w:cs="Times New Roman"/>
          <w:u w:val="single"/>
        </w:rPr>
      </w:pPr>
      <w:r w:rsidRPr="00DB448A">
        <w:rPr>
          <w:rFonts w:ascii="Times New Roman" w:hAnsi="Times New Roman" w:cs="Times New Roman"/>
          <w:u w:val="single"/>
        </w:rPr>
        <w:t>Grad Garešnica  - izvršenje prihoda/primitaka i rashoda/izdataka po izvorima:</w:t>
      </w:r>
    </w:p>
    <w:tbl>
      <w:tblPr>
        <w:tblW w:w="9351" w:type="dxa"/>
        <w:jc w:val="center"/>
        <w:tblLayout w:type="fixed"/>
        <w:tblLook w:val="04A0" w:firstRow="1" w:lastRow="0" w:firstColumn="1" w:lastColumn="0" w:noHBand="0" w:noVBand="1"/>
      </w:tblPr>
      <w:tblGrid>
        <w:gridCol w:w="583"/>
        <w:gridCol w:w="2956"/>
        <w:gridCol w:w="1431"/>
        <w:gridCol w:w="6"/>
        <w:gridCol w:w="1411"/>
        <w:gridCol w:w="11"/>
        <w:gridCol w:w="1535"/>
        <w:gridCol w:w="1418"/>
      </w:tblGrid>
      <w:tr w:rsidR="002A0DA8" w:rsidRPr="00091F51" w14:paraId="1BA191F3" w14:textId="77777777" w:rsidTr="00091F51">
        <w:trPr>
          <w:trHeight w:val="915"/>
          <w:jc w:val="center"/>
        </w:trPr>
        <w:tc>
          <w:tcPr>
            <w:tcW w:w="583"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62F0D3A9" w14:textId="77777777" w:rsidR="002A0DA8" w:rsidRPr="002A0DA8" w:rsidRDefault="002A0DA8" w:rsidP="002A0DA8">
            <w:pPr>
              <w:spacing w:after="0" w:line="240" w:lineRule="auto"/>
              <w:rPr>
                <w:rFonts w:ascii="Times New Roman" w:hAnsi="Times New Roman" w:cs="Times New Roman"/>
                <w:b/>
                <w:bCs/>
                <w:color w:val="FFFFFF"/>
                <w:lang w:eastAsia="hr-HR"/>
              </w:rPr>
            </w:pPr>
            <w:r w:rsidRPr="002A0DA8">
              <w:rPr>
                <w:rFonts w:ascii="Times New Roman" w:hAnsi="Times New Roman" w:cs="Times New Roman"/>
                <w:b/>
                <w:bCs/>
                <w:color w:val="FFFFFF"/>
                <w:lang w:eastAsia="hr-HR"/>
              </w:rPr>
              <w:t>Red.br.</w:t>
            </w:r>
          </w:p>
        </w:tc>
        <w:tc>
          <w:tcPr>
            <w:tcW w:w="2956" w:type="dxa"/>
            <w:tcBorders>
              <w:top w:val="single" w:sz="4" w:space="0" w:color="auto"/>
              <w:left w:val="nil"/>
              <w:bottom w:val="single" w:sz="4" w:space="0" w:color="auto"/>
              <w:right w:val="single" w:sz="4" w:space="0" w:color="auto"/>
            </w:tcBorders>
            <w:shd w:val="clear" w:color="000000" w:fill="002060"/>
            <w:vAlign w:val="center"/>
            <w:hideMark/>
          </w:tcPr>
          <w:p w14:paraId="4BF4D7FB" w14:textId="77777777" w:rsidR="002A0DA8" w:rsidRPr="002A0DA8" w:rsidRDefault="002A0DA8" w:rsidP="002A0DA8">
            <w:pPr>
              <w:spacing w:after="0" w:line="240" w:lineRule="auto"/>
              <w:ind w:left="-145" w:hanging="142"/>
              <w:jc w:val="center"/>
              <w:rPr>
                <w:rFonts w:ascii="Times New Roman" w:hAnsi="Times New Roman" w:cs="Times New Roman"/>
                <w:b/>
                <w:bCs/>
                <w:color w:val="FFFFFF"/>
                <w:lang w:eastAsia="hr-HR"/>
              </w:rPr>
            </w:pPr>
            <w:r w:rsidRPr="002A0DA8">
              <w:rPr>
                <w:rFonts w:ascii="Times New Roman" w:hAnsi="Times New Roman" w:cs="Times New Roman"/>
                <w:b/>
                <w:bCs/>
                <w:color w:val="FFFFFF"/>
                <w:lang w:eastAsia="hr-HR"/>
              </w:rPr>
              <w:t>Namjenski prihod</w:t>
            </w:r>
          </w:p>
        </w:tc>
        <w:tc>
          <w:tcPr>
            <w:tcW w:w="1431" w:type="dxa"/>
            <w:tcBorders>
              <w:top w:val="single" w:sz="4" w:space="0" w:color="auto"/>
              <w:left w:val="nil"/>
              <w:bottom w:val="single" w:sz="4" w:space="0" w:color="auto"/>
              <w:right w:val="single" w:sz="4" w:space="0" w:color="auto"/>
            </w:tcBorders>
            <w:shd w:val="clear" w:color="000000" w:fill="002060"/>
            <w:vAlign w:val="center"/>
            <w:hideMark/>
          </w:tcPr>
          <w:p w14:paraId="0B0E8D02" w14:textId="77777777" w:rsidR="002A0DA8" w:rsidRPr="002A0DA8" w:rsidRDefault="002A0DA8" w:rsidP="002A0DA8">
            <w:pPr>
              <w:spacing w:after="0" w:line="240" w:lineRule="auto"/>
              <w:jc w:val="center"/>
              <w:rPr>
                <w:rFonts w:ascii="Times New Roman" w:hAnsi="Times New Roman" w:cs="Times New Roman"/>
                <w:b/>
                <w:bCs/>
                <w:color w:val="FFFFFF"/>
                <w:lang w:eastAsia="hr-HR"/>
              </w:rPr>
            </w:pPr>
            <w:r w:rsidRPr="002A0DA8">
              <w:rPr>
                <w:rFonts w:ascii="Times New Roman" w:hAnsi="Times New Roman" w:cs="Times New Roman"/>
                <w:b/>
                <w:bCs/>
                <w:color w:val="FFFFFF"/>
                <w:lang w:eastAsia="hr-HR"/>
              </w:rPr>
              <w:t>Planirano</w:t>
            </w:r>
          </w:p>
        </w:tc>
        <w:tc>
          <w:tcPr>
            <w:tcW w:w="1417" w:type="dxa"/>
            <w:gridSpan w:val="2"/>
            <w:tcBorders>
              <w:top w:val="single" w:sz="4" w:space="0" w:color="auto"/>
              <w:left w:val="nil"/>
              <w:bottom w:val="single" w:sz="4" w:space="0" w:color="auto"/>
              <w:right w:val="single" w:sz="4" w:space="0" w:color="auto"/>
            </w:tcBorders>
            <w:shd w:val="clear" w:color="000000" w:fill="002060"/>
            <w:vAlign w:val="center"/>
            <w:hideMark/>
          </w:tcPr>
          <w:p w14:paraId="48442A84" w14:textId="77777777" w:rsidR="002A0DA8" w:rsidRPr="002A0DA8" w:rsidRDefault="002A0DA8" w:rsidP="002A0DA8">
            <w:pPr>
              <w:spacing w:after="0" w:line="240" w:lineRule="auto"/>
              <w:jc w:val="center"/>
              <w:rPr>
                <w:rFonts w:ascii="Times New Roman" w:hAnsi="Times New Roman" w:cs="Times New Roman"/>
                <w:b/>
                <w:bCs/>
                <w:color w:val="FFFFFF"/>
                <w:lang w:eastAsia="hr-HR"/>
              </w:rPr>
            </w:pPr>
            <w:r w:rsidRPr="002A0DA8">
              <w:rPr>
                <w:rFonts w:ascii="Times New Roman" w:hAnsi="Times New Roman" w:cs="Times New Roman"/>
                <w:b/>
                <w:bCs/>
                <w:color w:val="FFFFFF"/>
                <w:lang w:eastAsia="hr-HR"/>
              </w:rPr>
              <w:t>Izvršenje prihoda</w:t>
            </w:r>
          </w:p>
        </w:tc>
        <w:tc>
          <w:tcPr>
            <w:tcW w:w="1546" w:type="dxa"/>
            <w:gridSpan w:val="2"/>
            <w:tcBorders>
              <w:top w:val="single" w:sz="4" w:space="0" w:color="auto"/>
              <w:left w:val="nil"/>
              <w:bottom w:val="single" w:sz="4" w:space="0" w:color="auto"/>
              <w:right w:val="single" w:sz="4" w:space="0" w:color="auto"/>
            </w:tcBorders>
            <w:shd w:val="clear" w:color="000000" w:fill="002060"/>
            <w:vAlign w:val="center"/>
            <w:hideMark/>
          </w:tcPr>
          <w:p w14:paraId="7A1FEAE8" w14:textId="77777777" w:rsidR="002A0DA8" w:rsidRPr="002A0DA8" w:rsidRDefault="002A0DA8" w:rsidP="002A0DA8">
            <w:pPr>
              <w:spacing w:after="0" w:line="240" w:lineRule="auto"/>
              <w:jc w:val="center"/>
              <w:rPr>
                <w:rFonts w:ascii="Times New Roman" w:hAnsi="Times New Roman" w:cs="Times New Roman"/>
                <w:b/>
                <w:bCs/>
                <w:color w:val="FFFFFF"/>
                <w:lang w:eastAsia="hr-HR"/>
              </w:rPr>
            </w:pPr>
            <w:r w:rsidRPr="002A0DA8">
              <w:rPr>
                <w:rFonts w:ascii="Times New Roman" w:hAnsi="Times New Roman" w:cs="Times New Roman"/>
                <w:b/>
                <w:bCs/>
                <w:color w:val="FFFFFF"/>
                <w:lang w:eastAsia="hr-HR"/>
              </w:rPr>
              <w:t>Izvršenje rashoda</w:t>
            </w:r>
          </w:p>
        </w:tc>
        <w:tc>
          <w:tcPr>
            <w:tcW w:w="1418" w:type="dxa"/>
            <w:tcBorders>
              <w:top w:val="single" w:sz="4" w:space="0" w:color="auto"/>
              <w:left w:val="nil"/>
              <w:bottom w:val="single" w:sz="4" w:space="0" w:color="auto"/>
              <w:right w:val="single" w:sz="4" w:space="0" w:color="auto"/>
            </w:tcBorders>
            <w:shd w:val="clear" w:color="000000" w:fill="002060"/>
            <w:vAlign w:val="center"/>
            <w:hideMark/>
          </w:tcPr>
          <w:p w14:paraId="3583C822" w14:textId="77777777" w:rsidR="002A0DA8" w:rsidRPr="002A0DA8" w:rsidRDefault="002A0DA8" w:rsidP="002A0DA8">
            <w:pPr>
              <w:spacing w:after="0" w:line="240" w:lineRule="auto"/>
              <w:jc w:val="center"/>
              <w:rPr>
                <w:rFonts w:ascii="Times New Roman" w:hAnsi="Times New Roman" w:cs="Times New Roman"/>
                <w:b/>
                <w:bCs/>
                <w:color w:val="FFFFFF"/>
                <w:lang w:eastAsia="hr-HR"/>
              </w:rPr>
            </w:pPr>
            <w:r w:rsidRPr="002A0DA8">
              <w:rPr>
                <w:rFonts w:ascii="Times New Roman" w:hAnsi="Times New Roman" w:cs="Times New Roman"/>
                <w:b/>
                <w:bCs/>
                <w:color w:val="FFFFFF"/>
                <w:lang w:eastAsia="hr-HR"/>
              </w:rPr>
              <w:t>višak/ manjak u €</w:t>
            </w:r>
          </w:p>
        </w:tc>
      </w:tr>
      <w:tr w:rsidR="002A0DA8" w:rsidRPr="00091F51" w14:paraId="3423454A" w14:textId="77777777" w:rsidTr="00091F51">
        <w:trPr>
          <w:trHeight w:val="313"/>
          <w:jc w:val="center"/>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14:paraId="2068E9B3" w14:textId="77777777" w:rsidR="002A0DA8" w:rsidRPr="002A0DA8" w:rsidRDefault="002A0DA8" w:rsidP="002A0DA8">
            <w:pPr>
              <w:spacing w:after="0" w:line="240" w:lineRule="auto"/>
              <w:jc w:val="center"/>
              <w:rPr>
                <w:rFonts w:ascii="Times New Roman" w:hAnsi="Times New Roman" w:cs="Times New Roman"/>
                <w:color w:val="000000"/>
                <w:lang w:eastAsia="hr-HR"/>
              </w:rPr>
            </w:pPr>
            <w:r w:rsidRPr="002A0DA8">
              <w:rPr>
                <w:rFonts w:ascii="Times New Roman" w:hAnsi="Times New Roman" w:cs="Times New Roman"/>
                <w:color w:val="000000"/>
                <w:lang w:eastAsia="hr-HR"/>
              </w:rPr>
              <w:t>1.</w:t>
            </w:r>
          </w:p>
        </w:tc>
        <w:tc>
          <w:tcPr>
            <w:tcW w:w="2956" w:type="dxa"/>
            <w:tcBorders>
              <w:top w:val="nil"/>
              <w:left w:val="nil"/>
              <w:bottom w:val="single" w:sz="4" w:space="0" w:color="auto"/>
              <w:right w:val="single" w:sz="4" w:space="0" w:color="auto"/>
            </w:tcBorders>
            <w:shd w:val="clear" w:color="000000" w:fill="FFFFFF"/>
            <w:noWrap/>
            <w:hideMark/>
          </w:tcPr>
          <w:p w14:paraId="73DA4A5F" w14:textId="77777777" w:rsidR="002A0DA8" w:rsidRPr="002A0DA8" w:rsidRDefault="002A0DA8" w:rsidP="002A0DA8">
            <w:pPr>
              <w:spacing w:after="0" w:line="240" w:lineRule="auto"/>
              <w:rPr>
                <w:rFonts w:ascii="Times New Roman" w:hAnsi="Times New Roman" w:cs="Times New Roman"/>
                <w:color w:val="000000"/>
                <w:lang w:eastAsia="hr-HR"/>
              </w:rPr>
            </w:pPr>
            <w:r w:rsidRPr="002A0DA8">
              <w:rPr>
                <w:rFonts w:ascii="Times New Roman" w:hAnsi="Times New Roman" w:cs="Times New Roman"/>
                <w:color w:val="000000"/>
                <w:lang w:eastAsia="hr-HR"/>
              </w:rPr>
              <w:t>Komunalna naknada</w:t>
            </w:r>
          </w:p>
        </w:tc>
        <w:tc>
          <w:tcPr>
            <w:tcW w:w="1431" w:type="dxa"/>
            <w:tcBorders>
              <w:top w:val="nil"/>
              <w:left w:val="nil"/>
              <w:bottom w:val="single" w:sz="4" w:space="0" w:color="auto"/>
              <w:right w:val="single" w:sz="4" w:space="0" w:color="auto"/>
            </w:tcBorders>
            <w:shd w:val="clear" w:color="000000" w:fill="FFFFFF"/>
            <w:noWrap/>
            <w:hideMark/>
          </w:tcPr>
          <w:p w14:paraId="18641041"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238.000,00</w:t>
            </w:r>
          </w:p>
        </w:tc>
        <w:tc>
          <w:tcPr>
            <w:tcW w:w="1417" w:type="dxa"/>
            <w:gridSpan w:val="2"/>
            <w:tcBorders>
              <w:top w:val="nil"/>
              <w:left w:val="nil"/>
              <w:bottom w:val="single" w:sz="4" w:space="0" w:color="auto"/>
              <w:right w:val="single" w:sz="4" w:space="0" w:color="auto"/>
            </w:tcBorders>
            <w:shd w:val="clear" w:color="000000" w:fill="FFFFFF"/>
            <w:noWrap/>
            <w:hideMark/>
          </w:tcPr>
          <w:p w14:paraId="51D05D43"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236.841,01</w:t>
            </w:r>
          </w:p>
        </w:tc>
        <w:tc>
          <w:tcPr>
            <w:tcW w:w="1546" w:type="dxa"/>
            <w:gridSpan w:val="2"/>
            <w:tcBorders>
              <w:top w:val="nil"/>
              <w:left w:val="nil"/>
              <w:bottom w:val="single" w:sz="4" w:space="0" w:color="auto"/>
              <w:right w:val="single" w:sz="4" w:space="0" w:color="auto"/>
            </w:tcBorders>
            <w:shd w:val="clear" w:color="000000" w:fill="FFFFFF"/>
            <w:noWrap/>
            <w:hideMark/>
          </w:tcPr>
          <w:p w14:paraId="4196B067" w14:textId="77777777" w:rsidR="002A0DA8" w:rsidRPr="002A0DA8" w:rsidRDefault="002A0DA8" w:rsidP="002A0DA8">
            <w:pPr>
              <w:spacing w:after="0" w:line="240" w:lineRule="auto"/>
              <w:ind w:firstLineChars="14" w:firstLine="31"/>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199.767,36</w:t>
            </w:r>
          </w:p>
        </w:tc>
        <w:tc>
          <w:tcPr>
            <w:tcW w:w="1418" w:type="dxa"/>
            <w:tcBorders>
              <w:top w:val="nil"/>
              <w:left w:val="nil"/>
              <w:bottom w:val="single" w:sz="4" w:space="0" w:color="auto"/>
              <w:right w:val="single" w:sz="4" w:space="0" w:color="auto"/>
            </w:tcBorders>
            <w:shd w:val="clear" w:color="000000" w:fill="FFFFFF"/>
            <w:noWrap/>
            <w:hideMark/>
          </w:tcPr>
          <w:p w14:paraId="4CFA29D2"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37.073,65</w:t>
            </w:r>
          </w:p>
        </w:tc>
      </w:tr>
      <w:tr w:rsidR="002A0DA8" w:rsidRPr="00091F51" w14:paraId="4635DCC8" w14:textId="77777777" w:rsidTr="00091F51">
        <w:trPr>
          <w:trHeight w:val="360"/>
          <w:jc w:val="center"/>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14:paraId="48260638" w14:textId="77777777" w:rsidR="002A0DA8" w:rsidRPr="002A0DA8" w:rsidRDefault="002A0DA8" w:rsidP="002A0DA8">
            <w:pPr>
              <w:spacing w:after="0" w:line="240" w:lineRule="auto"/>
              <w:jc w:val="center"/>
              <w:rPr>
                <w:rFonts w:ascii="Times New Roman" w:hAnsi="Times New Roman" w:cs="Times New Roman"/>
                <w:color w:val="000000"/>
                <w:lang w:eastAsia="hr-HR"/>
              </w:rPr>
            </w:pPr>
            <w:r w:rsidRPr="002A0DA8">
              <w:rPr>
                <w:rFonts w:ascii="Times New Roman" w:hAnsi="Times New Roman" w:cs="Times New Roman"/>
                <w:color w:val="000000"/>
                <w:lang w:eastAsia="hr-HR"/>
              </w:rPr>
              <w:t>2.</w:t>
            </w:r>
          </w:p>
        </w:tc>
        <w:tc>
          <w:tcPr>
            <w:tcW w:w="2956" w:type="dxa"/>
            <w:tcBorders>
              <w:top w:val="nil"/>
              <w:left w:val="nil"/>
              <w:bottom w:val="single" w:sz="4" w:space="0" w:color="auto"/>
              <w:right w:val="single" w:sz="4" w:space="0" w:color="auto"/>
            </w:tcBorders>
            <w:shd w:val="clear" w:color="000000" w:fill="FFFFFF"/>
            <w:noWrap/>
            <w:hideMark/>
          </w:tcPr>
          <w:p w14:paraId="75C9601E" w14:textId="77777777" w:rsidR="002A0DA8" w:rsidRPr="002A0DA8" w:rsidRDefault="002A0DA8" w:rsidP="002A0DA8">
            <w:pPr>
              <w:spacing w:after="0" w:line="240" w:lineRule="auto"/>
              <w:rPr>
                <w:rFonts w:ascii="Times New Roman" w:hAnsi="Times New Roman" w:cs="Times New Roman"/>
                <w:color w:val="000000"/>
                <w:lang w:eastAsia="hr-HR"/>
              </w:rPr>
            </w:pPr>
            <w:r w:rsidRPr="002A0DA8">
              <w:rPr>
                <w:rFonts w:ascii="Times New Roman" w:hAnsi="Times New Roman" w:cs="Times New Roman"/>
                <w:color w:val="000000"/>
                <w:lang w:eastAsia="hr-HR"/>
              </w:rPr>
              <w:t>Komunalni doprinos</w:t>
            </w:r>
          </w:p>
        </w:tc>
        <w:tc>
          <w:tcPr>
            <w:tcW w:w="1431" w:type="dxa"/>
            <w:tcBorders>
              <w:top w:val="nil"/>
              <w:left w:val="nil"/>
              <w:bottom w:val="single" w:sz="4" w:space="0" w:color="auto"/>
              <w:right w:val="single" w:sz="4" w:space="0" w:color="auto"/>
            </w:tcBorders>
            <w:shd w:val="clear" w:color="000000" w:fill="FFFFFF"/>
            <w:noWrap/>
            <w:hideMark/>
          </w:tcPr>
          <w:p w14:paraId="49794D91"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7.000,00</w:t>
            </w:r>
          </w:p>
        </w:tc>
        <w:tc>
          <w:tcPr>
            <w:tcW w:w="1417" w:type="dxa"/>
            <w:gridSpan w:val="2"/>
            <w:tcBorders>
              <w:top w:val="nil"/>
              <w:left w:val="nil"/>
              <w:bottom w:val="single" w:sz="4" w:space="0" w:color="auto"/>
              <w:right w:val="single" w:sz="4" w:space="0" w:color="auto"/>
            </w:tcBorders>
            <w:shd w:val="clear" w:color="000000" w:fill="FFFFFF"/>
            <w:noWrap/>
            <w:hideMark/>
          </w:tcPr>
          <w:p w14:paraId="4DA19874"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5.473,81</w:t>
            </w:r>
          </w:p>
        </w:tc>
        <w:tc>
          <w:tcPr>
            <w:tcW w:w="1546" w:type="dxa"/>
            <w:gridSpan w:val="2"/>
            <w:tcBorders>
              <w:top w:val="nil"/>
              <w:left w:val="nil"/>
              <w:bottom w:val="single" w:sz="4" w:space="0" w:color="auto"/>
              <w:right w:val="single" w:sz="4" w:space="0" w:color="auto"/>
            </w:tcBorders>
            <w:shd w:val="clear" w:color="000000" w:fill="FFFFFF"/>
            <w:noWrap/>
            <w:hideMark/>
          </w:tcPr>
          <w:p w14:paraId="4B627FBE" w14:textId="77777777" w:rsidR="002A0DA8" w:rsidRPr="002A0DA8" w:rsidRDefault="002A0DA8" w:rsidP="002A0DA8">
            <w:pPr>
              <w:spacing w:after="0" w:line="240" w:lineRule="auto"/>
              <w:ind w:firstLineChars="100" w:firstLine="220"/>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5.247,63</w:t>
            </w:r>
          </w:p>
        </w:tc>
        <w:tc>
          <w:tcPr>
            <w:tcW w:w="1418" w:type="dxa"/>
            <w:tcBorders>
              <w:top w:val="nil"/>
              <w:left w:val="nil"/>
              <w:bottom w:val="single" w:sz="4" w:space="0" w:color="auto"/>
              <w:right w:val="single" w:sz="4" w:space="0" w:color="auto"/>
            </w:tcBorders>
            <w:shd w:val="clear" w:color="000000" w:fill="FFFFFF"/>
            <w:noWrap/>
            <w:hideMark/>
          </w:tcPr>
          <w:p w14:paraId="1CCB818E"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226,18</w:t>
            </w:r>
          </w:p>
        </w:tc>
      </w:tr>
      <w:tr w:rsidR="002A0DA8" w:rsidRPr="00091F51" w14:paraId="277038A8" w14:textId="77777777" w:rsidTr="00091F51">
        <w:trPr>
          <w:trHeight w:val="288"/>
          <w:jc w:val="center"/>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14:paraId="1B63C757" w14:textId="77777777" w:rsidR="002A0DA8" w:rsidRPr="002A0DA8" w:rsidRDefault="002A0DA8" w:rsidP="002A0DA8">
            <w:pPr>
              <w:spacing w:after="0" w:line="240" w:lineRule="auto"/>
              <w:jc w:val="center"/>
              <w:rPr>
                <w:rFonts w:ascii="Times New Roman" w:hAnsi="Times New Roman" w:cs="Times New Roman"/>
                <w:color w:val="000000"/>
                <w:lang w:eastAsia="hr-HR"/>
              </w:rPr>
            </w:pPr>
            <w:r w:rsidRPr="002A0DA8">
              <w:rPr>
                <w:rFonts w:ascii="Times New Roman" w:hAnsi="Times New Roman" w:cs="Times New Roman"/>
                <w:color w:val="000000"/>
                <w:lang w:eastAsia="hr-HR"/>
              </w:rPr>
              <w:t>3.</w:t>
            </w:r>
          </w:p>
        </w:tc>
        <w:tc>
          <w:tcPr>
            <w:tcW w:w="2956" w:type="dxa"/>
            <w:tcBorders>
              <w:top w:val="nil"/>
              <w:left w:val="nil"/>
              <w:bottom w:val="single" w:sz="4" w:space="0" w:color="auto"/>
              <w:right w:val="single" w:sz="4" w:space="0" w:color="auto"/>
            </w:tcBorders>
            <w:shd w:val="clear" w:color="000000" w:fill="FFFFFF"/>
            <w:noWrap/>
            <w:hideMark/>
          </w:tcPr>
          <w:p w14:paraId="5DE3108C" w14:textId="77777777" w:rsidR="002A0DA8" w:rsidRPr="002A0DA8" w:rsidRDefault="002A0DA8" w:rsidP="002A0DA8">
            <w:pPr>
              <w:spacing w:after="0" w:line="240" w:lineRule="auto"/>
              <w:rPr>
                <w:rFonts w:ascii="Times New Roman" w:hAnsi="Times New Roman" w:cs="Times New Roman"/>
                <w:color w:val="000000"/>
                <w:lang w:eastAsia="hr-HR"/>
              </w:rPr>
            </w:pPr>
            <w:r w:rsidRPr="002A0DA8">
              <w:rPr>
                <w:rFonts w:ascii="Times New Roman" w:hAnsi="Times New Roman" w:cs="Times New Roman"/>
                <w:color w:val="000000"/>
                <w:lang w:eastAsia="hr-HR"/>
              </w:rPr>
              <w:t>Vodni doprinos</w:t>
            </w:r>
          </w:p>
        </w:tc>
        <w:tc>
          <w:tcPr>
            <w:tcW w:w="1431" w:type="dxa"/>
            <w:tcBorders>
              <w:top w:val="nil"/>
              <w:left w:val="nil"/>
              <w:bottom w:val="single" w:sz="4" w:space="0" w:color="auto"/>
              <w:right w:val="single" w:sz="4" w:space="0" w:color="auto"/>
            </w:tcBorders>
            <w:shd w:val="clear" w:color="000000" w:fill="FFFFFF"/>
            <w:noWrap/>
            <w:hideMark/>
          </w:tcPr>
          <w:p w14:paraId="6AFEB0AF"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500,00</w:t>
            </w:r>
          </w:p>
        </w:tc>
        <w:tc>
          <w:tcPr>
            <w:tcW w:w="1417" w:type="dxa"/>
            <w:gridSpan w:val="2"/>
            <w:tcBorders>
              <w:top w:val="nil"/>
              <w:left w:val="nil"/>
              <w:bottom w:val="single" w:sz="4" w:space="0" w:color="auto"/>
              <w:right w:val="single" w:sz="4" w:space="0" w:color="auto"/>
            </w:tcBorders>
            <w:shd w:val="clear" w:color="000000" w:fill="FFFFFF"/>
            <w:noWrap/>
            <w:hideMark/>
          </w:tcPr>
          <w:p w14:paraId="47CD2402"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347,90</w:t>
            </w:r>
          </w:p>
        </w:tc>
        <w:tc>
          <w:tcPr>
            <w:tcW w:w="1546" w:type="dxa"/>
            <w:gridSpan w:val="2"/>
            <w:tcBorders>
              <w:top w:val="nil"/>
              <w:left w:val="nil"/>
              <w:bottom w:val="single" w:sz="4" w:space="0" w:color="auto"/>
              <w:right w:val="single" w:sz="4" w:space="0" w:color="auto"/>
            </w:tcBorders>
            <w:shd w:val="clear" w:color="000000" w:fill="FFFFFF"/>
            <w:noWrap/>
            <w:hideMark/>
          </w:tcPr>
          <w:p w14:paraId="23EB3313" w14:textId="77777777" w:rsidR="002A0DA8" w:rsidRPr="002A0DA8" w:rsidRDefault="002A0DA8" w:rsidP="002A0DA8">
            <w:pPr>
              <w:spacing w:after="0" w:line="240" w:lineRule="auto"/>
              <w:ind w:firstLineChars="100" w:firstLine="220"/>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142,30</w:t>
            </w:r>
          </w:p>
        </w:tc>
        <w:tc>
          <w:tcPr>
            <w:tcW w:w="1418" w:type="dxa"/>
            <w:tcBorders>
              <w:top w:val="nil"/>
              <w:left w:val="nil"/>
              <w:bottom w:val="single" w:sz="4" w:space="0" w:color="auto"/>
              <w:right w:val="single" w:sz="4" w:space="0" w:color="auto"/>
            </w:tcBorders>
            <w:shd w:val="clear" w:color="000000" w:fill="FFFFFF"/>
            <w:noWrap/>
            <w:hideMark/>
          </w:tcPr>
          <w:p w14:paraId="11132B49"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205,60</w:t>
            </w:r>
          </w:p>
        </w:tc>
      </w:tr>
      <w:tr w:rsidR="002A0DA8" w:rsidRPr="00091F51" w14:paraId="1ADF25F0" w14:textId="77777777" w:rsidTr="00091F51">
        <w:trPr>
          <w:trHeight w:val="288"/>
          <w:jc w:val="center"/>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14:paraId="173A5429" w14:textId="77777777" w:rsidR="002A0DA8" w:rsidRPr="002A0DA8" w:rsidRDefault="002A0DA8" w:rsidP="002A0DA8">
            <w:pPr>
              <w:spacing w:after="0" w:line="240" w:lineRule="auto"/>
              <w:jc w:val="center"/>
              <w:rPr>
                <w:rFonts w:ascii="Times New Roman" w:hAnsi="Times New Roman" w:cs="Times New Roman"/>
                <w:color w:val="000000"/>
                <w:lang w:eastAsia="hr-HR"/>
              </w:rPr>
            </w:pPr>
            <w:r w:rsidRPr="002A0DA8">
              <w:rPr>
                <w:rFonts w:ascii="Times New Roman" w:hAnsi="Times New Roman" w:cs="Times New Roman"/>
                <w:color w:val="000000"/>
                <w:lang w:eastAsia="hr-HR"/>
              </w:rPr>
              <w:t>4.</w:t>
            </w:r>
          </w:p>
        </w:tc>
        <w:tc>
          <w:tcPr>
            <w:tcW w:w="2956" w:type="dxa"/>
            <w:tcBorders>
              <w:top w:val="nil"/>
              <w:left w:val="nil"/>
              <w:bottom w:val="single" w:sz="4" w:space="0" w:color="auto"/>
              <w:right w:val="single" w:sz="4" w:space="0" w:color="auto"/>
            </w:tcBorders>
            <w:shd w:val="clear" w:color="000000" w:fill="FFFFFF"/>
            <w:noWrap/>
            <w:hideMark/>
          </w:tcPr>
          <w:p w14:paraId="33BB552E" w14:textId="2DC74B01" w:rsidR="002A0DA8" w:rsidRPr="002A0DA8" w:rsidRDefault="002A0DA8" w:rsidP="002A0DA8">
            <w:pPr>
              <w:spacing w:after="0" w:line="240" w:lineRule="auto"/>
              <w:rPr>
                <w:rFonts w:ascii="Times New Roman" w:hAnsi="Times New Roman" w:cs="Times New Roman"/>
                <w:color w:val="000000"/>
                <w:lang w:eastAsia="hr-HR"/>
              </w:rPr>
            </w:pPr>
            <w:r w:rsidRPr="002A0DA8">
              <w:rPr>
                <w:rFonts w:ascii="Times New Roman" w:hAnsi="Times New Roman" w:cs="Times New Roman"/>
                <w:color w:val="000000"/>
                <w:lang w:eastAsia="hr-HR"/>
              </w:rPr>
              <w:t xml:space="preserve">Naknada za </w:t>
            </w:r>
            <w:proofErr w:type="spellStart"/>
            <w:r w:rsidRPr="002A0DA8">
              <w:rPr>
                <w:rFonts w:ascii="Times New Roman" w:hAnsi="Times New Roman" w:cs="Times New Roman"/>
                <w:color w:val="000000"/>
                <w:lang w:eastAsia="hr-HR"/>
              </w:rPr>
              <w:t>zadr</w:t>
            </w:r>
            <w:proofErr w:type="spellEnd"/>
            <w:r w:rsidR="00AA7B77">
              <w:rPr>
                <w:rFonts w:ascii="Times New Roman" w:hAnsi="Times New Roman" w:cs="Times New Roman"/>
                <w:color w:val="000000"/>
                <w:lang w:eastAsia="hr-HR"/>
              </w:rPr>
              <w:t xml:space="preserve"> </w:t>
            </w:r>
            <w:r w:rsidRPr="002A0DA8">
              <w:rPr>
                <w:rFonts w:ascii="Times New Roman" w:hAnsi="Times New Roman" w:cs="Times New Roman"/>
                <w:color w:val="000000"/>
                <w:lang w:eastAsia="hr-HR"/>
              </w:rPr>
              <w:t>.</w:t>
            </w:r>
            <w:proofErr w:type="spellStart"/>
            <w:r w:rsidRPr="002A0DA8">
              <w:rPr>
                <w:rFonts w:ascii="Times New Roman" w:hAnsi="Times New Roman" w:cs="Times New Roman"/>
                <w:color w:val="000000"/>
                <w:lang w:eastAsia="hr-HR"/>
              </w:rPr>
              <w:t>nez</w:t>
            </w:r>
            <w:proofErr w:type="spellEnd"/>
            <w:r w:rsidRPr="002A0DA8">
              <w:rPr>
                <w:rFonts w:ascii="Times New Roman" w:hAnsi="Times New Roman" w:cs="Times New Roman"/>
                <w:color w:val="000000"/>
                <w:lang w:eastAsia="hr-HR"/>
              </w:rPr>
              <w:t>.</w:t>
            </w:r>
            <w:r w:rsidR="00AA7B77">
              <w:rPr>
                <w:rFonts w:ascii="Times New Roman" w:hAnsi="Times New Roman" w:cs="Times New Roman"/>
                <w:color w:val="000000"/>
                <w:lang w:eastAsia="hr-HR"/>
              </w:rPr>
              <w:t xml:space="preserve"> </w:t>
            </w:r>
            <w:proofErr w:type="spellStart"/>
            <w:r w:rsidRPr="002A0DA8">
              <w:rPr>
                <w:rFonts w:ascii="Times New Roman" w:hAnsi="Times New Roman" w:cs="Times New Roman"/>
                <w:color w:val="000000"/>
                <w:lang w:eastAsia="hr-HR"/>
              </w:rPr>
              <w:t>izgr</w:t>
            </w:r>
            <w:proofErr w:type="spellEnd"/>
            <w:r w:rsidRPr="002A0DA8">
              <w:rPr>
                <w:rFonts w:ascii="Times New Roman" w:hAnsi="Times New Roman" w:cs="Times New Roman"/>
                <w:color w:val="000000"/>
                <w:lang w:eastAsia="hr-HR"/>
              </w:rPr>
              <w:t>.</w:t>
            </w:r>
            <w:r w:rsidR="00AA7B77">
              <w:rPr>
                <w:rFonts w:ascii="Times New Roman" w:hAnsi="Times New Roman" w:cs="Times New Roman"/>
                <w:color w:val="000000"/>
                <w:lang w:eastAsia="hr-HR"/>
              </w:rPr>
              <w:t xml:space="preserve"> </w:t>
            </w:r>
            <w:r w:rsidRPr="002A0DA8">
              <w:rPr>
                <w:rFonts w:ascii="Times New Roman" w:hAnsi="Times New Roman" w:cs="Times New Roman"/>
                <w:color w:val="000000"/>
                <w:lang w:eastAsia="hr-HR"/>
              </w:rPr>
              <w:t>zgrada u prostoru</w:t>
            </w:r>
          </w:p>
        </w:tc>
        <w:tc>
          <w:tcPr>
            <w:tcW w:w="1431" w:type="dxa"/>
            <w:tcBorders>
              <w:top w:val="nil"/>
              <w:left w:val="nil"/>
              <w:bottom w:val="single" w:sz="4" w:space="0" w:color="auto"/>
              <w:right w:val="single" w:sz="4" w:space="0" w:color="auto"/>
            </w:tcBorders>
            <w:shd w:val="clear" w:color="000000" w:fill="FFFFFF"/>
            <w:noWrap/>
            <w:hideMark/>
          </w:tcPr>
          <w:p w14:paraId="34BF869A"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2.000,00</w:t>
            </w:r>
          </w:p>
        </w:tc>
        <w:tc>
          <w:tcPr>
            <w:tcW w:w="1417" w:type="dxa"/>
            <w:gridSpan w:val="2"/>
            <w:tcBorders>
              <w:top w:val="nil"/>
              <w:left w:val="nil"/>
              <w:bottom w:val="single" w:sz="4" w:space="0" w:color="auto"/>
              <w:right w:val="single" w:sz="4" w:space="0" w:color="auto"/>
            </w:tcBorders>
            <w:shd w:val="clear" w:color="000000" w:fill="FFFFFF"/>
            <w:noWrap/>
            <w:hideMark/>
          </w:tcPr>
          <w:p w14:paraId="329B80F6"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1.580,38</w:t>
            </w:r>
          </w:p>
        </w:tc>
        <w:tc>
          <w:tcPr>
            <w:tcW w:w="1546" w:type="dxa"/>
            <w:gridSpan w:val="2"/>
            <w:tcBorders>
              <w:top w:val="nil"/>
              <w:left w:val="nil"/>
              <w:bottom w:val="single" w:sz="4" w:space="0" w:color="auto"/>
              <w:right w:val="single" w:sz="4" w:space="0" w:color="auto"/>
            </w:tcBorders>
            <w:shd w:val="clear" w:color="000000" w:fill="FFFFFF"/>
            <w:noWrap/>
            <w:hideMark/>
          </w:tcPr>
          <w:p w14:paraId="12AF2DFE" w14:textId="77777777" w:rsidR="002A0DA8" w:rsidRPr="002A0DA8" w:rsidRDefault="002A0DA8" w:rsidP="002A0DA8">
            <w:pPr>
              <w:spacing w:after="0" w:line="240" w:lineRule="auto"/>
              <w:ind w:firstLineChars="100" w:firstLine="220"/>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1.580,38</w:t>
            </w:r>
          </w:p>
        </w:tc>
        <w:tc>
          <w:tcPr>
            <w:tcW w:w="1418" w:type="dxa"/>
            <w:tcBorders>
              <w:top w:val="nil"/>
              <w:left w:val="nil"/>
              <w:bottom w:val="single" w:sz="4" w:space="0" w:color="auto"/>
              <w:right w:val="single" w:sz="4" w:space="0" w:color="auto"/>
            </w:tcBorders>
            <w:shd w:val="clear" w:color="000000" w:fill="FFFFFF"/>
            <w:noWrap/>
            <w:hideMark/>
          </w:tcPr>
          <w:p w14:paraId="65842DD5"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0,00</w:t>
            </w:r>
          </w:p>
        </w:tc>
      </w:tr>
      <w:tr w:rsidR="002A0DA8" w:rsidRPr="00091F51" w14:paraId="2FDF8315" w14:textId="77777777" w:rsidTr="00091F51">
        <w:trPr>
          <w:trHeight w:val="288"/>
          <w:jc w:val="center"/>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14:paraId="7DBF2EB1" w14:textId="77777777" w:rsidR="002A0DA8" w:rsidRPr="002A0DA8" w:rsidRDefault="002A0DA8" w:rsidP="002A0DA8">
            <w:pPr>
              <w:spacing w:after="0" w:line="240" w:lineRule="auto"/>
              <w:jc w:val="center"/>
              <w:rPr>
                <w:rFonts w:ascii="Times New Roman" w:hAnsi="Times New Roman" w:cs="Times New Roman"/>
                <w:color w:val="000000"/>
                <w:lang w:eastAsia="hr-HR"/>
              </w:rPr>
            </w:pPr>
            <w:r w:rsidRPr="002A0DA8">
              <w:rPr>
                <w:rFonts w:ascii="Times New Roman" w:hAnsi="Times New Roman" w:cs="Times New Roman"/>
                <w:color w:val="000000"/>
                <w:lang w:eastAsia="hr-HR"/>
              </w:rPr>
              <w:t>5.</w:t>
            </w:r>
          </w:p>
        </w:tc>
        <w:tc>
          <w:tcPr>
            <w:tcW w:w="2956" w:type="dxa"/>
            <w:tcBorders>
              <w:top w:val="nil"/>
              <w:left w:val="nil"/>
              <w:bottom w:val="single" w:sz="4" w:space="0" w:color="auto"/>
              <w:right w:val="single" w:sz="4" w:space="0" w:color="auto"/>
            </w:tcBorders>
            <w:shd w:val="clear" w:color="000000" w:fill="FFFFFF"/>
            <w:noWrap/>
            <w:hideMark/>
          </w:tcPr>
          <w:p w14:paraId="2A6F3995" w14:textId="77777777" w:rsidR="002A0DA8" w:rsidRPr="002A0DA8" w:rsidRDefault="002A0DA8" w:rsidP="002A0DA8">
            <w:pPr>
              <w:spacing w:after="0" w:line="240" w:lineRule="auto"/>
              <w:rPr>
                <w:rFonts w:ascii="Times New Roman" w:hAnsi="Times New Roman" w:cs="Times New Roman"/>
                <w:color w:val="000000"/>
                <w:lang w:eastAsia="hr-HR"/>
              </w:rPr>
            </w:pPr>
            <w:r w:rsidRPr="002A0DA8">
              <w:rPr>
                <w:rFonts w:ascii="Times New Roman" w:hAnsi="Times New Roman" w:cs="Times New Roman"/>
                <w:color w:val="000000"/>
                <w:lang w:eastAsia="hr-HR"/>
              </w:rPr>
              <w:t xml:space="preserve">Zakup </w:t>
            </w:r>
            <w:proofErr w:type="spellStart"/>
            <w:r w:rsidRPr="002A0DA8">
              <w:rPr>
                <w:rFonts w:ascii="Times New Roman" w:hAnsi="Times New Roman" w:cs="Times New Roman"/>
                <w:color w:val="000000"/>
                <w:lang w:eastAsia="hr-HR"/>
              </w:rPr>
              <w:t>polj</w:t>
            </w:r>
            <w:proofErr w:type="spellEnd"/>
            <w:r w:rsidRPr="002A0DA8">
              <w:rPr>
                <w:rFonts w:ascii="Times New Roman" w:hAnsi="Times New Roman" w:cs="Times New Roman"/>
                <w:color w:val="000000"/>
                <w:lang w:eastAsia="hr-HR"/>
              </w:rPr>
              <w:t xml:space="preserve">. Zemljišta u </w:t>
            </w:r>
            <w:proofErr w:type="spellStart"/>
            <w:r w:rsidRPr="002A0DA8">
              <w:rPr>
                <w:rFonts w:ascii="Times New Roman" w:hAnsi="Times New Roman" w:cs="Times New Roman"/>
                <w:color w:val="000000"/>
                <w:lang w:eastAsia="hr-HR"/>
              </w:rPr>
              <w:t>vl</w:t>
            </w:r>
            <w:proofErr w:type="spellEnd"/>
            <w:r w:rsidRPr="002A0DA8">
              <w:rPr>
                <w:rFonts w:ascii="Times New Roman" w:hAnsi="Times New Roman" w:cs="Times New Roman"/>
                <w:color w:val="000000"/>
                <w:lang w:eastAsia="hr-HR"/>
              </w:rPr>
              <w:t>. RH</w:t>
            </w:r>
          </w:p>
        </w:tc>
        <w:tc>
          <w:tcPr>
            <w:tcW w:w="1431" w:type="dxa"/>
            <w:tcBorders>
              <w:top w:val="nil"/>
              <w:left w:val="nil"/>
              <w:bottom w:val="single" w:sz="4" w:space="0" w:color="auto"/>
              <w:right w:val="single" w:sz="4" w:space="0" w:color="auto"/>
            </w:tcBorders>
            <w:shd w:val="clear" w:color="000000" w:fill="FFFFFF"/>
            <w:noWrap/>
            <w:hideMark/>
          </w:tcPr>
          <w:p w14:paraId="0800D795"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135.000,00</w:t>
            </w:r>
          </w:p>
        </w:tc>
        <w:tc>
          <w:tcPr>
            <w:tcW w:w="1417" w:type="dxa"/>
            <w:gridSpan w:val="2"/>
            <w:tcBorders>
              <w:top w:val="nil"/>
              <w:left w:val="nil"/>
              <w:bottom w:val="single" w:sz="4" w:space="0" w:color="auto"/>
              <w:right w:val="single" w:sz="4" w:space="0" w:color="auto"/>
            </w:tcBorders>
            <w:shd w:val="clear" w:color="000000" w:fill="FFFFFF"/>
            <w:noWrap/>
            <w:hideMark/>
          </w:tcPr>
          <w:p w14:paraId="235B296D"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135.261,94</w:t>
            </w:r>
          </w:p>
        </w:tc>
        <w:tc>
          <w:tcPr>
            <w:tcW w:w="1546" w:type="dxa"/>
            <w:gridSpan w:val="2"/>
            <w:tcBorders>
              <w:top w:val="nil"/>
              <w:left w:val="nil"/>
              <w:bottom w:val="single" w:sz="4" w:space="0" w:color="auto"/>
              <w:right w:val="single" w:sz="4" w:space="0" w:color="auto"/>
            </w:tcBorders>
            <w:shd w:val="clear" w:color="000000" w:fill="FFFFFF"/>
            <w:noWrap/>
            <w:hideMark/>
          </w:tcPr>
          <w:p w14:paraId="7B50FA35" w14:textId="77777777" w:rsidR="002A0DA8" w:rsidRPr="002A0DA8" w:rsidRDefault="002A0DA8" w:rsidP="002A0DA8">
            <w:pPr>
              <w:spacing w:after="0" w:line="240" w:lineRule="auto"/>
              <w:ind w:firstLineChars="14" w:firstLine="31"/>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88.588,53</w:t>
            </w:r>
          </w:p>
        </w:tc>
        <w:tc>
          <w:tcPr>
            <w:tcW w:w="1418" w:type="dxa"/>
            <w:tcBorders>
              <w:top w:val="nil"/>
              <w:left w:val="nil"/>
              <w:bottom w:val="single" w:sz="4" w:space="0" w:color="auto"/>
              <w:right w:val="single" w:sz="4" w:space="0" w:color="auto"/>
            </w:tcBorders>
            <w:shd w:val="clear" w:color="000000" w:fill="FFFFFF"/>
            <w:noWrap/>
            <w:hideMark/>
          </w:tcPr>
          <w:p w14:paraId="6C9BCB9F"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46.673,41</w:t>
            </w:r>
          </w:p>
        </w:tc>
      </w:tr>
      <w:tr w:rsidR="002A0DA8" w:rsidRPr="00091F51" w14:paraId="223B0120" w14:textId="77777777" w:rsidTr="00091F51">
        <w:trPr>
          <w:trHeight w:val="300"/>
          <w:jc w:val="center"/>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14:paraId="2CB47AE5" w14:textId="77777777" w:rsidR="002A0DA8" w:rsidRPr="002A0DA8" w:rsidRDefault="002A0DA8" w:rsidP="002A0DA8">
            <w:pPr>
              <w:spacing w:after="0" w:line="240" w:lineRule="auto"/>
              <w:jc w:val="center"/>
              <w:rPr>
                <w:rFonts w:ascii="Times New Roman" w:hAnsi="Times New Roman" w:cs="Times New Roman"/>
                <w:color w:val="000000"/>
                <w:lang w:eastAsia="hr-HR"/>
              </w:rPr>
            </w:pPr>
            <w:r w:rsidRPr="002A0DA8">
              <w:rPr>
                <w:rFonts w:ascii="Times New Roman" w:hAnsi="Times New Roman" w:cs="Times New Roman"/>
                <w:color w:val="000000"/>
                <w:lang w:eastAsia="hr-HR"/>
              </w:rPr>
              <w:t>6.</w:t>
            </w:r>
          </w:p>
        </w:tc>
        <w:tc>
          <w:tcPr>
            <w:tcW w:w="2956" w:type="dxa"/>
            <w:tcBorders>
              <w:top w:val="nil"/>
              <w:left w:val="nil"/>
              <w:bottom w:val="single" w:sz="4" w:space="0" w:color="auto"/>
              <w:right w:val="single" w:sz="4" w:space="0" w:color="auto"/>
            </w:tcBorders>
            <w:shd w:val="clear" w:color="000000" w:fill="FFFFFF"/>
            <w:noWrap/>
            <w:hideMark/>
          </w:tcPr>
          <w:p w14:paraId="22DB7ADC" w14:textId="648FAC1B" w:rsidR="002A0DA8" w:rsidRPr="002A0DA8" w:rsidRDefault="002A0DA8" w:rsidP="002A0DA8">
            <w:pPr>
              <w:spacing w:after="0" w:line="240" w:lineRule="auto"/>
              <w:rPr>
                <w:rFonts w:ascii="Times New Roman" w:hAnsi="Times New Roman" w:cs="Times New Roman"/>
                <w:color w:val="000000"/>
                <w:lang w:eastAsia="hr-HR"/>
              </w:rPr>
            </w:pPr>
            <w:r w:rsidRPr="002A0DA8">
              <w:rPr>
                <w:rFonts w:ascii="Times New Roman" w:hAnsi="Times New Roman" w:cs="Times New Roman"/>
                <w:color w:val="000000"/>
                <w:lang w:eastAsia="hr-HR"/>
              </w:rPr>
              <w:t xml:space="preserve">Naknada za </w:t>
            </w:r>
            <w:proofErr w:type="spellStart"/>
            <w:r w:rsidRPr="002A0DA8">
              <w:rPr>
                <w:rFonts w:ascii="Times New Roman" w:hAnsi="Times New Roman" w:cs="Times New Roman"/>
                <w:color w:val="000000"/>
                <w:lang w:eastAsia="hr-HR"/>
              </w:rPr>
              <w:t>prenamj</w:t>
            </w:r>
            <w:proofErr w:type="spellEnd"/>
            <w:r w:rsidRPr="002A0DA8">
              <w:rPr>
                <w:rFonts w:ascii="Times New Roman" w:hAnsi="Times New Roman" w:cs="Times New Roman"/>
                <w:color w:val="000000"/>
                <w:lang w:eastAsia="hr-HR"/>
              </w:rPr>
              <w:t>.</w:t>
            </w:r>
            <w:r w:rsidR="00AA7B77">
              <w:rPr>
                <w:rFonts w:ascii="Times New Roman" w:hAnsi="Times New Roman" w:cs="Times New Roman"/>
                <w:color w:val="000000"/>
                <w:lang w:eastAsia="hr-HR"/>
              </w:rPr>
              <w:t xml:space="preserve"> </w:t>
            </w:r>
            <w:proofErr w:type="spellStart"/>
            <w:r w:rsidRPr="002A0DA8">
              <w:rPr>
                <w:rFonts w:ascii="Times New Roman" w:hAnsi="Times New Roman" w:cs="Times New Roman"/>
                <w:color w:val="000000"/>
                <w:lang w:eastAsia="hr-HR"/>
              </w:rPr>
              <w:t>polj</w:t>
            </w:r>
            <w:proofErr w:type="spellEnd"/>
            <w:r w:rsidRPr="002A0DA8">
              <w:rPr>
                <w:rFonts w:ascii="Times New Roman" w:hAnsi="Times New Roman" w:cs="Times New Roman"/>
                <w:color w:val="000000"/>
                <w:lang w:eastAsia="hr-HR"/>
              </w:rPr>
              <w:t>.</w:t>
            </w:r>
            <w:r w:rsidR="00AA7B77">
              <w:rPr>
                <w:rFonts w:ascii="Times New Roman" w:hAnsi="Times New Roman" w:cs="Times New Roman"/>
                <w:color w:val="000000"/>
                <w:lang w:eastAsia="hr-HR"/>
              </w:rPr>
              <w:t xml:space="preserve"> </w:t>
            </w:r>
            <w:proofErr w:type="spellStart"/>
            <w:r w:rsidRPr="002A0DA8">
              <w:rPr>
                <w:rFonts w:ascii="Times New Roman" w:hAnsi="Times New Roman" w:cs="Times New Roman"/>
                <w:color w:val="000000"/>
                <w:lang w:eastAsia="hr-HR"/>
              </w:rPr>
              <w:t>zemlj</w:t>
            </w:r>
            <w:proofErr w:type="spellEnd"/>
            <w:r w:rsidRPr="002A0DA8">
              <w:rPr>
                <w:rFonts w:ascii="Times New Roman" w:hAnsi="Times New Roman" w:cs="Times New Roman"/>
                <w:color w:val="000000"/>
                <w:lang w:eastAsia="hr-HR"/>
              </w:rPr>
              <w:t xml:space="preserve"> u </w:t>
            </w:r>
            <w:proofErr w:type="spellStart"/>
            <w:r w:rsidRPr="002A0DA8">
              <w:rPr>
                <w:rFonts w:ascii="Times New Roman" w:hAnsi="Times New Roman" w:cs="Times New Roman"/>
                <w:color w:val="000000"/>
                <w:lang w:eastAsia="hr-HR"/>
              </w:rPr>
              <w:t>vl</w:t>
            </w:r>
            <w:proofErr w:type="spellEnd"/>
            <w:r w:rsidRPr="002A0DA8">
              <w:rPr>
                <w:rFonts w:ascii="Times New Roman" w:hAnsi="Times New Roman" w:cs="Times New Roman"/>
                <w:color w:val="000000"/>
                <w:lang w:eastAsia="hr-HR"/>
              </w:rPr>
              <w:t>. RH</w:t>
            </w:r>
          </w:p>
        </w:tc>
        <w:tc>
          <w:tcPr>
            <w:tcW w:w="1431" w:type="dxa"/>
            <w:tcBorders>
              <w:top w:val="nil"/>
              <w:left w:val="nil"/>
              <w:bottom w:val="single" w:sz="4" w:space="0" w:color="auto"/>
              <w:right w:val="single" w:sz="4" w:space="0" w:color="auto"/>
            </w:tcBorders>
            <w:shd w:val="clear" w:color="000000" w:fill="FFFFFF"/>
            <w:noWrap/>
            <w:hideMark/>
          </w:tcPr>
          <w:p w14:paraId="59051154"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100,00</w:t>
            </w:r>
          </w:p>
        </w:tc>
        <w:tc>
          <w:tcPr>
            <w:tcW w:w="1417" w:type="dxa"/>
            <w:gridSpan w:val="2"/>
            <w:tcBorders>
              <w:top w:val="nil"/>
              <w:left w:val="nil"/>
              <w:bottom w:val="single" w:sz="4" w:space="0" w:color="auto"/>
              <w:right w:val="single" w:sz="4" w:space="0" w:color="auto"/>
            </w:tcBorders>
            <w:shd w:val="clear" w:color="000000" w:fill="FFFFFF"/>
            <w:noWrap/>
            <w:hideMark/>
          </w:tcPr>
          <w:p w14:paraId="3276A154"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0,00</w:t>
            </w:r>
          </w:p>
        </w:tc>
        <w:tc>
          <w:tcPr>
            <w:tcW w:w="1546" w:type="dxa"/>
            <w:gridSpan w:val="2"/>
            <w:tcBorders>
              <w:top w:val="nil"/>
              <w:left w:val="nil"/>
              <w:bottom w:val="single" w:sz="4" w:space="0" w:color="auto"/>
              <w:right w:val="single" w:sz="4" w:space="0" w:color="auto"/>
            </w:tcBorders>
            <w:shd w:val="clear" w:color="000000" w:fill="FFFFFF"/>
            <w:noWrap/>
            <w:hideMark/>
          </w:tcPr>
          <w:p w14:paraId="0C17D6E1" w14:textId="77777777" w:rsidR="002A0DA8" w:rsidRPr="002A0DA8" w:rsidRDefault="002A0DA8" w:rsidP="002A0DA8">
            <w:pPr>
              <w:spacing w:after="0" w:line="240" w:lineRule="auto"/>
              <w:ind w:firstLineChars="100" w:firstLine="220"/>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0,00</w:t>
            </w:r>
          </w:p>
        </w:tc>
        <w:tc>
          <w:tcPr>
            <w:tcW w:w="1418" w:type="dxa"/>
            <w:tcBorders>
              <w:top w:val="nil"/>
              <w:left w:val="nil"/>
              <w:bottom w:val="single" w:sz="4" w:space="0" w:color="auto"/>
              <w:right w:val="single" w:sz="4" w:space="0" w:color="auto"/>
            </w:tcBorders>
            <w:shd w:val="clear" w:color="000000" w:fill="FFFFFF"/>
            <w:noWrap/>
            <w:hideMark/>
          </w:tcPr>
          <w:p w14:paraId="099B3488"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0,00</w:t>
            </w:r>
          </w:p>
        </w:tc>
      </w:tr>
      <w:tr w:rsidR="002A0DA8" w:rsidRPr="00091F51" w14:paraId="3F50A37D" w14:textId="77777777" w:rsidTr="00091F51">
        <w:trPr>
          <w:trHeight w:val="288"/>
          <w:jc w:val="center"/>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14:paraId="4CA6F98C" w14:textId="77777777" w:rsidR="002A0DA8" w:rsidRPr="002A0DA8" w:rsidRDefault="002A0DA8" w:rsidP="002A0DA8">
            <w:pPr>
              <w:spacing w:after="0" w:line="240" w:lineRule="auto"/>
              <w:jc w:val="center"/>
              <w:rPr>
                <w:rFonts w:ascii="Times New Roman" w:hAnsi="Times New Roman" w:cs="Times New Roman"/>
                <w:color w:val="000000"/>
                <w:lang w:eastAsia="hr-HR"/>
              </w:rPr>
            </w:pPr>
            <w:r w:rsidRPr="002A0DA8">
              <w:rPr>
                <w:rFonts w:ascii="Times New Roman" w:hAnsi="Times New Roman" w:cs="Times New Roman"/>
                <w:color w:val="000000"/>
                <w:lang w:eastAsia="hr-HR"/>
              </w:rPr>
              <w:t>7.</w:t>
            </w:r>
          </w:p>
        </w:tc>
        <w:tc>
          <w:tcPr>
            <w:tcW w:w="2956" w:type="dxa"/>
            <w:tcBorders>
              <w:top w:val="nil"/>
              <w:left w:val="nil"/>
              <w:bottom w:val="single" w:sz="4" w:space="0" w:color="auto"/>
              <w:right w:val="single" w:sz="4" w:space="0" w:color="auto"/>
            </w:tcBorders>
            <w:shd w:val="clear" w:color="000000" w:fill="FFFFFF"/>
            <w:noWrap/>
            <w:hideMark/>
          </w:tcPr>
          <w:p w14:paraId="3CC0504B" w14:textId="77777777" w:rsidR="002A0DA8" w:rsidRPr="002A0DA8" w:rsidRDefault="002A0DA8" w:rsidP="002A0DA8">
            <w:pPr>
              <w:spacing w:after="0" w:line="240" w:lineRule="auto"/>
              <w:rPr>
                <w:rFonts w:ascii="Times New Roman" w:hAnsi="Times New Roman" w:cs="Times New Roman"/>
                <w:color w:val="000000"/>
                <w:lang w:eastAsia="hr-HR"/>
              </w:rPr>
            </w:pPr>
            <w:r w:rsidRPr="002A0DA8">
              <w:rPr>
                <w:rFonts w:ascii="Times New Roman" w:hAnsi="Times New Roman" w:cs="Times New Roman"/>
                <w:color w:val="000000"/>
                <w:lang w:eastAsia="hr-HR"/>
              </w:rPr>
              <w:t>Šumski doprinos</w:t>
            </w:r>
          </w:p>
        </w:tc>
        <w:tc>
          <w:tcPr>
            <w:tcW w:w="1431" w:type="dxa"/>
            <w:tcBorders>
              <w:top w:val="nil"/>
              <w:left w:val="nil"/>
              <w:bottom w:val="single" w:sz="4" w:space="0" w:color="auto"/>
              <w:right w:val="single" w:sz="4" w:space="0" w:color="auto"/>
            </w:tcBorders>
            <w:shd w:val="clear" w:color="000000" w:fill="FFFFFF"/>
            <w:noWrap/>
            <w:hideMark/>
          </w:tcPr>
          <w:p w14:paraId="38D51E52"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265.000,00</w:t>
            </w:r>
          </w:p>
        </w:tc>
        <w:tc>
          <w:tcPr>
            <w:tcW w:w="1417" w:type="dxa"/>
            <w:gridSpan w:val="2"/>
            <w:tcBorders>
              <w:top w:val="nil"/>
              <w:left w:val="nil"/>
              <w:bottom w:val="single" w:sz="4" w:space="0" w:color="auto"/>
              <w:right w:val="single" w:sz="4" w:space="0" w:color="auto"/>
            </w:tcBorders>
            <w:shd w:val="clear" w:color="000000" w:fill="FFFFFF"/>
            <w:noWrap/>
            <w:hideMark/>
          </w:tcPr>
          <w:p w14:paraId="62F8F7CB"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264.839,50</w:t>
            </w:r>
          </w:p>
        </w:tc>
        <w:tc>
          <w:tcPr>
            <w:tcW w:w="1546" w:type="dxa"/>
            <w:gridSpan w:val="2"/>
            <w:tcBorders>
              <w:top w:val="nil"/>
              <w:left w:val="nil"/>
              <w:bottom w:val="single" w:sz="4" w:space="0" w:color="auto"/>
              <w:right w:val="single" w:sz="4" w:space="0" w:color="auto"/>
            </w:tcBorders>
            <w:shd w:val="clear" w:color="000000" w:fill="FFFFFF"/>
            <w:noWrap/>
            <w:hideMark/>
          </w:tcPr>
          <w:p w14:paraId="044715F2" w14:textId="77777777" w:rsidR="002A0DA8" w:rsidRPr="002A0DA8" w:rsidRDefault="002A0DA8" w:rsidP="002A0DA8">
            <w:pPr>
              <w:spacing w:after="0" w:line="240" w:lineRule="auto"/>
              <w:ind w:firstLineChars="14" w:firstLine="31"/>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264.839,50</w:t>
            </w:r>
          </w:p>
        </w:tc>
        <w:tc>
          <w:tcPr>
            <w:tcW w:w="1418" w:type="dxa"/>
            <w:tcBorders>
              <w:top w:val="nil"/>
              <w:left w:val="nil"/>
              <w:bottom w:val="single" w:sz="4" w:space="0" w:color="auto"/>
              <w:right w:val="single" w:sz="4" w:space="0" w:color="auto"/>
            </w:tcBorders>
            <w:shd w:val="clear" w:color="000000" w:fill="FFFFFF"/>
            <w:noWrap/>
            <w:hideMark/>
          </w:tcPr>
          <w:p w14:paraId="3621874F"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0,00</w:t>
            </w:r>
          </w:p>
        </w:tc>
      </w:tr>
      <w:tr w:rsidR="002A0DA8" w:rsidRPr="00091F51" w14:paraId="3913A1B0" w14:textId="77777777" w:rsidTr="00091F51">
        <w:trPr>
          <w:trHeight w:val="288"/>
          <w:jc w:val="center"/>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14:paraId="139CB852" w14:textId="77777777" w:rsidR="002A0DA8" w:rsidRPr="002A0DA8" w:rsidRDefault="002A0DA8" w:rsidP="002A0DA8">
            <w:pPr>
              <w:spacing w:after="0" w:line="240" w:lineRule="auto"/>
              <w:jc w:val="center"/>
              <w:rPr>
                <w:rFonts w:ascii="Times New Roman" w:hAnsi="Times New Roman" w:cs="Times New Roman"/>
                <w:color w:val="000000"/>
                <w:lang w:eastAsia="hr-HR"/>
              </w:rPr>
            </w:pPr>
            <w:r w:rsidRPr="002A0DA8">
              <w:rPr>
                <w:rFonts w:ascii="Times New Roman" w:hAnsi="Times New Roman" w:cs="Times New Roman"/>
                <w:color w:val="000000"/>
                <w:lang w:eastAsia="hr-HR"/>
              </w:rPr>
              <w:lastRenderedPageBreak/>
              <w:t>8.</w:t>
            </w:r>
          </w:p>
        </w:tc>
        <w:tc>
          <w:tcPr>
            <w:tcW w:w="2956" w:type="dxa"/>
            <w:tcBorders>
              <w:top w:val="nil"/>
              <w:left w:val="nil"/>
              <w:bottom w:val="single" w:sz="4" w:space="0" w:color="auto"/>
              <w:right w:val="single" w:sz="4" w:space="0" w:color="auto"/>
            </w:tcBorders>
            <w:shd w:val="clear" w:color="000000" w:fill="FFFFFF"/>
            <w:noWrap/>
            <w:hideMark/>
          </w:tcPr>
          <w:p w14:paraId="7E57E752" w14:textId="77777777" w:rsidR="002A0DA8" w:rsidRPr="002A0DA8" w:rsidRDefault="002A0DA8" w:rsidP="002A0DA8">
            <w:pPr>
              <w:spacing w:after="0" w:line="240" w:lineRule="auto"/>
              <w:rPr>
                <w:rFonts w:ascii="Times New Roman" w:hAnsi="Times New Roman" w:cs="Times New Roman"/>
                <w:color w:val="000000"/>
                <w:lang w:eastAsia="hr-HR"/>
              </w:rPr>
            </w:pPr>
            <w:r w:rsidRPr="002A0DA8">
              <w:rPr>
                <w:rFonts w:ascii="Times New Roman" w:hAnsi="Times New Roman" w:cs="Times New Roman"/>
                <w:color w:val="000000"/>
                <w:lang w:eastAsia="hr-HR"/>
              </w:rPr>
              <w:t>Naknada za služnost puta</w:t>
            </w:r>
          </w:p>
        </w:tc>
        <w:tc>
          <w:tcPr>
            <w:tcW w:w="1431" w:type="dxa"/>
            <w:tcBorders>
              <w:top w:val="nil"/>
              <w:left w:val="nil"/>
              <w:bottom w:val="single" w:sz="4" w:space="0" w:color="auto"/>
              <w:right w:val="single" w:sz="4" w:space="0" w:color="auto"/>
            </w:tcBorders>
            <w:shd w:val="clear" w:color="000000" w:fill="FFFFFF"/>
            <w:noWrap/>
            <w:hideMark/>
          </w:tcPr>
          <w:p w14:paraId="0D522436"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26.040,00</w:t>
            </w:r>
          </w:p>
        </w:tc>
        <w:tc>
          <w:tcPr>
            <w:tcW w:w="1417" w:type="dxa"/>
            <w:gridSpan w:val="2"/>
            <w:tcBorders>
              <w:top w:val="nil"/>
              <w:left w:val="nil"/>
              <w:bottom w:val="single" w:sz="4" w:space="0" w:color="auto"/>
              <w:right w:val="single" w:sz="4" w:space="0" w:color="auto"/>
            </w:tcBorders>
            <w:shd w:val="clear" w:color="000000" w:fill="FFFFFF"/>
            <w:noWrap/>
            <w:hideMark/>
          </w:tcPr>
          <w:p w14:paraId="2343E2FE"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26.038,88</w:t>
            </w:r>
          </w:p>
        </w:tc>
        <w:tc>
          <w:tcPr>
            <w:tcW w:w="1546" w:type="dxa"/>
            <w:gridSpan w:val="2"/>
            <w:tcBorders>
              <w:top w:val="nil"/>
              <w:left w:val="nil"/>
              <w:bottom w:val="single" w:sz="4" w:space="0" w:color="auto"/>
              <w:right w:val="single" w:sz="4" w:space="0" w:color="auto"/>
            </w:tcBorders>
            <w:shd w:val="clear" w:color="000000" w:fill="FFFFFF"/>
            <w:noWrap/>
            <w:hideMark/>
          </w:tcPr>
          <w:p w14:paraId="7E67E6AA" w14:textId="77777777" w:rsidR="002A0DA8" w:rsidRPr="002A0DA8" w:rsidRDefault="002A0DA8" w:rsidP="002A0DA8">
            <w:pPr>
              <w:spacing w:after="0" w:line="240" w:lineRule="auto"/>
              <w:ind w:firstLineChars="100" w:firstLine="220"/>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5.886,80</w:t>
            </w:r>
          </w:p>
        </w:tc>
        <w:tc>
          <w:tcPr>
            <w:tcW w:w="1418" w:type="dxa"/>
            <w:tcBorders>
              <w:top w:val="nil"/>
              <w:left w:val="nil"/>
              <w:bottom w:val="single" w:sz="4" w:space="0" w:color="auto"/>
              <w:right w:val="single" w:sz="4" w:space="0" w:color="auto"/>
            </w:tcBorders>
            <w:shd w:val="clear" w:color="000000" w:fill="FFFFFF"/>
            <w:noWrap/>
            <w:hideMark/>
          </w:tcPr>
          <w:p w14:paraId="7308F107"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20.152,08</w:t>
            </w:r>
          </w:p>
        </w:tc>
      </w:tr>
      <w:tr w:rsidR="002A0DA8" w:rsidRPr="00091F51" w14:paraId="1B101514" w14:textId="77777777" w:rsidTr="00091F51">
        <w:trPr>
          <w:trHeight w:val="288"/>
          <w:jc w:val="center"/>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14:paraId="412EB86D" w14:textId="77777777" w:rsidR="002A0DA8" w:rsidRPr="002A0DA8" w:rsidRDefault="002A0DA8" w:rsidP="002A0DA8">
            <w:pPr>
              <w:spacing w:after="0" w:line="240" w:lineRule="auto"/>
              <w:jc w:val="center"/>
              <w:rPr>
                <w:rFonts w:ascii="Times New Roman" w:hAnsi="Times New Roman" w:cs="Times New Roman"/>
                <w:color w:val="000000"/>
                <w:lang w:eastAsia="hr-HR"/>
              </w:rPr>
            </w:pPr>
            <w:r w:rsidRPr="002A0DA8">
              <w:rPr>
                <w:rFonts w:ascii="Times New Roman" w:hAnsi="Times New Roman" w:cs="Times New Roman"/>
                <w:color w:val="000000"/>
                <w:lang w:eastAsia="hr-HR"/>
              </w:rPr>
              <w:t>9.</w:t>
            </w:r>
          </w:p>
        </w:tc>
        <w:tc>
          <w:tcPr>
            <w:tcW w:w="2956" w:type="dxa"/>
            <w:tcBorders>
              <w:top w:val="nil"/>
              <w:left w:val="nil"/>
              <w:bottom w:val="single" w:sz="4" w:space="0" w:color="auto"/>
              <w:right w:val="single" w:sz="4" w:space="0" w:color="auto"/>
            </w:tcBorders>
            <w:shd w:val="clear" w:color="000000" w:fill="FFFFFF"/>
            <w:noWrap/>
            <w:hideMark/>
          </w:tcPr>
          <w:p w14:paraId="3865FF1F" w14:textId="77777777" w:rsidR="002A0DA8" w:rsidRPr="002A0DA8" w:rsidRDefault="002A0DA8" w:rsidP="002A0DA8">
            <w:pPr>
              <w:spacing w:after="0" w:line="240" w:lineRule="auto"/>
              <w:rPr>
                <w:rFonts w:ascii="Times New Roman" w:hAnsi="Times New Roman" w:cs="Times New Roman"/>
                <w:color w:val="000000"/>
                <w:lang w:eastAsia="hr-HR"/>
              </w:rPr>
            </w:pPr>
            <w:r w:rsidRPr="002A0DA8">
              <w:rPr>
                <w:rFonts w:ascii="Times New Roman" w:hAnsi="Times New Roman" w:cs="Times New Roman"/>
                <w:color w:val="000000"/>
                <w:lang w:eastAsia="hr-HR"/>
              </w:rPr>
              <w:t>Naknada za pravo građenja</w:t>
            </w:r>
          </w:p>
        </w:tc>
        <w:tc>
          <w:tcPr>
            <w:tcW w:w="1431" w:type="dxa"/>
            <w:tcBorders>
              <w:top w:val="nil"/>
              <w:left w:val="nil"/>
              <w:bottom w:val="single" w:sz="4" w:space="0" w:color="auto"/>
              <w:right w:val="single" w:sz="4" w:space="0" w:color="auto"/>
            </w:tcBorders>
            <w:shd w:val="clear" w:color="000000" w:fill="FFFFFF"/>
            <w:noWrap/>
            <w:hideMark/>
          </w:tcPr>
          <w:p w14:paraId="3BF913B7"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2.000,00</w:t>
            </w:r>
          </w:p>
        </w:tc>
        <w:tc>
          <w:tcPr>
            <w:tcW w:w="1417" w:type="dxa"/>
            <w:gridSpan w:val="2"/>
            <w:tcBorders>
              <w:top w:val="nil"/>
              <w:left w:val="nil"/>
              <w:bottom w:val="single" w:sz="4" w:space="0" w:color="auto"/>
              <w:right w:val="single" w:sz="4" w:space="0" w:color="auto"/>
            </w:tcBorders>
            <w:shd w:val="clear" w:color="000000" w:fill="FFFFFF"/>
            <w:noWrap/>
            <w:hideMark/>
          </w:tcPr>
          <w:p w14:paraId="5D7629F2"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1.924,48</w:t>
            </w:r>
          </w:p>
        </w:tc>
        <w:tc>
          <w:tcPr>
            <w:tcW w:w="1546" w:type="dxa"/>
            <w:gridSpan w:val="2"/>
            <w:tcBorders>
              <w:top w:val="nil"/>
              <w:left w:val="nil"/>
              <w:bottom w:val="single" w:sz="4" w:space="0" w:color="auto"/>
              <w:right w:val="single" w:sz="4" w:space="0" w:color="auto"/>
            </w:tcBorders>
            <w:shd w:val="clear" w:color="000000" w:fill="FFFFFF"/>
            <w:noWrap/>
            <w:hideMark/>
          </w:tcPr>
          <w:p w14:paraId="19341A49" w14:textId="77777777" w:rsidR="002A0DA8" w:rsidRPr="002A0DA8" w:rsidRDefault="002A0DA8" w:rsidP="002A0DA8">
            <w:pPr>
              <w:spacing w:after="0" w:line="240" w:lineRule="auto"/>
              <w:ind w:firstLineChars="100" w:firstLine="220"/>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0,00</w:t>
            </w:r>
          </w:p>
        </w:tc>
        <w:tc>
          <w:tcPr>
            <w:tcW w:w="1418" w:type="dxa"/>
            <w:tcBorders>
              <w:top w:val="nil"/>
              <w:left w:val="nil"/>
              <w:bottom w:val="single" w:sz="4" w:space="0" w:color="auto"/>
              <w:right w:val="single" w:sz="4" w:space="0" w:color="auto"/>
            </w:tcBorders>
            <w:shd w:val="clear" w:color="000000" w:fill="FFFFFF"/>
            <w:noWrap/>
            <w:hideMark/>
          </w:tcPr>
          <w:p w14:paraId="7EE10F2C"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1.924,48</w:t>
            </w:r>
          </w:p>
        </w:tc>
      </w:tr>
      <w:tr w:rsidR="002A0DA8" w:rsidRPr="00091F51" w14:paraId="7E980E74" w14:textId="77777777" w:rsidTr="00091F51">
        <w:trPr>
          <w:trHeight w:val="288"/>
          <w:jc w:val="center"/>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14:paraId="5305711D" w14:textId="77777777" w:rsidR="002A0DA8" w:rsidRPr="002A0DA8" w:rsidRDefault="002A0DA8" w:rsidP="002A0DA8">
            <w:pPr>
              <w:spacing w:after="0" w:line="240" w:lineRule="auto"/>
              <w:jc w:val="center"/>
              <w:rPr>
                <w:rFonts w:ascii="Times New Roman" w:hAnsi="Times New Roman" w:cs="Times New Roman"/>
                <w:color w:val="000000"/>
                <w:lang w:eastAsia="hr-HR"/>
              </w:rPr>
            </w:pPr>
            <w:r w:rsidRPr="002A0DA8">
              <w:rPr>
                <w:rFonts w:ascii="Times New Roman" w:hAnsi="Times New Roman" w:cs="Times New Roman"/>
                <w:color w:val="000000"/>
                <w:lang w:eastAsia="hr-HR"/>
              </w:rPr>
              <w:t>10.</w:t>
            </w:r>
          </w:p>
        </w:tc>
        <w:tc>
          <w:tcPr>
            <w:tcW w:w="2956" w:type="dxa"/>
            <w:tcBorders>
              <w:top w:val="nil"/>
              <w:left w:val="nil"/>
              <w:bottom w:val="single" w:sz="4" w:space="0" w:color="auto"/>
              <w:right w:val="single" w:sz="4" w:space="0" w:color="auto"/>
            </w:tcBorders>
            <w:shd w:val="clear" w:color="000000" w:fill="FFFFFF"/>
            <w:noWrap/>
            <w:hideMark/>
          </w:tcPr>
          <w:p w14:paraId="12D13F01" w14:textId="50BA7EE0" w:rsidR="002A0DA8" w:rsidRPr="002A0DA8" w:rsidRDefault="002A0DA8" w:rsidP="002A0DA8">
            <w:pPr>
              <w:spacing w:after="0" w:line="240" w:lineRule="auto"/>
              <w:rPr>
                <w:rFonts w:ascii="Times New Roman" w:hAnsi="Times New Roman" w:cs="Times New Roman"/>
                <w:color w:val="000000"/>
                <w:lang w:eastAsia="hr-HR"/>
              </w:rPr>
            </w:pPr>
            <w:r w:rsidRPr="002A0DA8">
              <w:rPr>
                <w:rFonts w:ascii="Times New Roman" w:hAnsi="Times New Roman" w:cs="Times New Roman"/>
                <w:color w:val="000000"/>
                <w:lang w:eastAsia="hr-HR"/>
              </w:rPr>
              <w:t xml:space="preserve">Prihodi od prodaje </w:t>
            </w:r>
            <w:proofErr w:type="spellStart"/>
            <w:r w:rsidRPr="002A0DA8">
              <w:rPr>
                <w:rFonts w:ascii="Times New Roman" w:hAnsi="Times New Roman" w:cs="Times New Roman"/>
                <w:color w:val="000000"/>
                <w:lang w:eastAsia="hr-HR"/>
              </w:rPr>
              <w:t>polj</w:t>
            </w:r>
            <w:r w:rsidR="00AA7B77">
              <w:rPr>
                <w:rFonts w:ascii="Times New Roman" w:hAnsi="Times New Roman" w:cs="Times New Roman"/>
                <w:color w:val="000000"/>
                <w:lang w:eastAsia="hr-HR"/>
              </w:rPr>
              <w:t>oprivr</w:t>
            </w:r>
            <w:proofErr w:type="spellEnd"/>
            <w:r w:rsidR="00AA7B77">
              <w:rPr>
                <w:rFonts w:ascii="Times New Roman" w:hAnsi="Times New Roman" w:cs="Times New Roman"/>
                <w:color w:val="000000"/>
                <w:lang w:eastAsia="hr-HR"/>
              </w:rPr>
              <w:t>.</w:t>
            </w:r>
            <w:r w:rsidRPr="002A0DA8">
              <w:rPr>
                <w:rFonts w:ascii="Times New Roman" w:hAnsi="Times New Roman" w:cs="Times New Roman"/>
                <w:color w:val="000000"/>
                <w:lang w:eastAsia="hr-HR"/>
              </w:rPr>
              <w:t xml:space="preserve"> </w:t>
            </w:r>
            <w:proofErr w:type="spellStart"/>
            <w:r w:rsidRPr="002A0DA8">
              <w:rPr>
                <w:rFonts w:ascii="Times New Roman" w:hAnsi="Times New Roman" w:cs="Times New Roman"/>
                <w:color w:val="000000"/>
                <w:lang w:eastAsia="hr-HR"/>
              </w:rPr>
              <w:t>zemlj</w:t>
            </w:r>
            <w:proofErr w:type="spellEnd"/>
            <w:r w:rsidRPr="002A0DA8">
              <w:rPr>
                <w:rFonts w:ascii="Times New Roman" w:hAnsi="Times New Roman" w:cs="Times New Roman"/>
                <w:color w:val="000000"/>
                <w:lang w:eastAsia="hr-HR"/>
              </w:rPr>
              <w:t>.</w:t>
            </w:r>
            <w:r w:rsidR="00AA7B77">
              <w:rPr>
                <w:rFonts w:ascii="Times New Roman" w:hAnsi="Times New Roman" w:cs="Times New Roman"/>
                <w:color w:val="000000"/>
                <w:lang w:eastAsia="hr-HR"/>
              </w:rPr>
              <w:t xml:space="preserve"> </w:t>
            </w:r>
            <w:r w:rsidRPr="002A0DA8">
              <w:rPr>
                <w:rFonts w:ascii="Times New Roman" w:hAnsi="Times New Roman" w:cs="Times New Roman"/>
                <w:color w:val="000000"/>
                <w:lang w:eastAsia="hr-HR"/>
              </w:rPr>
              <w:t xml:space="preserve">u </w:t>
            </w:r>
            <w:proofErr w:type="spellStart"/>
            <w:r w:rsidRPr="002A0DA8">
              <w:rPr>
                <w:rFonts w:ascii="Times New Roman" w:hAnsi="Times New Roman" w:cs="Times New Roman"/>
                <w:color w:val="000000"/>
                <w:lang w:eastAsia="hr-HR"/>
              </w:rPr>
              <w:t>vl</w:t>
            </w:r>
            <w:proofErr w:type="spellEnd"/>
            <w:r w:rsidRPr="002A0DA8">
              <w:rPr>
                <w:rFonts w:ascii="Times New Roman" w:hAnsi="Times New Roman" w:cs="Times New Roman"/>
                <w:color w:val="000000"/>
                <w:lang w:eastAsia="hr-HR"/>
              </w:rPr>
              <w:t>. RH</w:t>
            </w:r>
          </w:p>
        </w:tc>
        <w:tc>
          <w:tcPr>
            <w:tcW w:w="1431" w:type="dxa"/>
            <w:tcBorders>
              <w:top w:val="nil"/>
              <w:left w:val="nil"/>
              <w:bottom w:val="single" w:sz="4" w:space="0" w:color="auto"/>
              <w:right w:val="single" w:sz="4" w:space="0" w:color="auto"/>
            </w:tcBorders>
            <w:shd w:val="clear" w:color="000000" w:fill="FFFFFF"/>
            <w:noWrap/>
            <w:hideMark/>
          </w:tcPr>
          <w:p w14:paraId="006AB833"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10,00</w:t>
            </w:r>
          </w:p>
        </w:tc>
        <w:tc>
          <w:tcPr>
            <w:tcW w:w="1417" w:type="dxa"/>
            <w:gridSpan w:val="2"/>
            <w:tcBorders>
              <w:top w:val="nil"/>
              <w:left w:val="nil"/>
              <w:bottom w:val="single" w:sz="4" w:space="0" w:color="auto"/>
              <w:right w:val="single" w:sz="4" w:space="0" w:color="auto"/>
            </w:tcBorders>
            <w:shd w:val="clear" w:color="000000" w:fill="FFFFFF"/>
            <w:noWrap/>
            <w:hideMark/>
          </w:tcPr>
          <w:p w14:paraId="19291DCC"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2,28</w:t>
            </w:r>
          </w:p>
        </w:tc>
        <w:tc>
          <w:tcPr>
            <w:tcW w:w="1546" w:type="dxa"/>
            <w:gridSpan w:val="2"/>
            <w:tcBorders>
              <w:top w:val="nil"/>
              <w:left w:val="nil"/>
              <w:bottom w:val="single" w:sz="4" w:space="0" w:color="auto"/>
              <w:right w:val="single" w:sz="4" w:space="0" w:color="auto"/>
            </w:tcBorders>
            <w:shd w:val="clear" w:color="000000" w:fill="FFFFFF"/>
            <w:noWrap/>
            <w:hideMark/>
          </w:tcPr>
          <w:p w14:paraId="5968E776" w14:textId="77777777" w:rsidR="002A0DA8" w:rsidRPr="002A0DA8" w:rsidRDefault="002A0DA8" w:rsidP="002A0DA8">
            <w:pPr>
              <w:spacing w:after="0" w:line="240" w:lineRule="auto"/>
              <w:ind w:firstLineChars="100" w:firstLine="220"/>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2,28</w:t>
            </w:r>
          </w:p>
        </w:tc>
        <w:tc>
          <w:tcPr>
            <w:tcW w:w="1418" w:type="dxa"/>
            <w:tcBorders>
              <w:top w:val="nil"/>
              <w:left w:val="nil"/>
              <w:bottom w:val="single" w:sz="4" w:space="0" w:color="auto"/>
              <w:right w:val="single" w:sz="4" w:space="0" w:color="auto"/>
            </w:tcBorders>
            <w:shd w:val="clear" w:color="000000" w:fill="FFFFFF"/>
            <w:noWrap/>
            <w:hideMark/>
          </w:tcPr>
          <w:p w14:paraId="288482BB"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0,00</w:t>
            </w:r>
          </w:p>
        </w:tc>
      </w:tr>
      <w:tr w:rsidR="002A0DA8" w:rsidRPr="00091F51" w14:paraId="4785A82A" w14:textId="77777777" w:rsidTr="00091F51">
        <w:trPr>
          <w:trHeight w:val="288"/>
          <w:jc w:val="center"/>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14:paraId="2A6F8622" w14:textId="77777777" w:rsidR="002A0DA8" w:rsidRPr="002A0DA8" w:rsidRDefault="002A0DA8" w:rsidP="002A0DA8">
            <w:pPr>
              <w:spacing w:after="0" w:line="240" w:lineRule="auto"/>
              <w:jc w:val="center"/>
              <w:rPr>
                <w:rFonts w:ascii="Times New Roman" w:hAnsi="Times New Roman" w:cs="Times New Roman"/>
                <w:color w:val="000000"/>
                <w:lang w:eastAsia="hr-HR"/>
              </w:rPr>
            </w:pPr>
            <w:r w:rsidRPr="002A0DA8">
              <w:rPr>
                <w:rFonts w:ascii="Times New Roman" w:hAnsi="Times New Roman" w:cs="Times New Roman"/>
                <w:color w:val="000000"/>
                <w:lang w:eastAsia="hr-HR"/>
              </w:rPr>
              <w:t>11.</w:t>
            </w:r>
          </w:p>
        </w:tc>
        <w:tc>
          <w:tcPr>
            <w:tcW w:w="2956" w:type="dxa"/>
            <w:tcBorders>
              <w:top w:val="nil"/>
              <w:left w:val="nil"/>
              <w:bottom w:val="single" w:sz="4" w:space="0" w:color="auto"/>
              <w:right w:val="single" w:sz="4" w:space="0" w:color="auto"/>
            </w:tcBorders>
            <w:shd w:val="clear" w:color="000000" w:fill="FFFFFF"/>
            <w:noWrap/>
            <w:hideMark/>
          </w:tcPr>
          <w:p w14:paraId="137981EC" w14:textId="77777777" w:rsidR="002A0DA8" w:rsidRPr="002A0DA8" w:rsidRDefault="002A0DA8" w:rsidP="002A0DA8">
            <w:pPr>
              <w:spacing w:after="0" w:line="240" w:lineRule="auto"/>
              <w:rPr>
                <w:rFonts w:ascii="Times New Roman" w:hAnsi="Times New Roman" w:cs="Times New Roman"/>
                <w:color w:val="000000"/>
                <w:lang w:eastAsia="hr-HR"/>
              </w:rPr>
            </w:pPr>
            <w:r w:rsidRPr="002A0DA8">
              <w:rPr>
                <w:rFonts w:ascii="Times New Roman" w:hAnsi="Times New Roman" w:cs="Times New Roman"/>
                <w:color w:val="000000"/>
                <w:lang w:eastAsia="hr-HR"/>
              </w:rPr>
              <w:t xml:space="preserve">Prihodi od prodaje stanova u </w:t>
            </w:r>
            <w:proofErr w:type="spellStart"/>
            <w:r w:rsidRPr="002A0DA8">
              <w:rPr>
                <w:rFonts w:ascii="Times New Roman" w:hAnsi="Times New Roman" w:cs="Times New Roman"/>
                <w:color w:val="000000"/>
                <w:lang w:eastAsia="hr-HR"/>
              </w:rPr>
              <w:t>vl</w:t>
            </w:r>
            <w:proofErr w:type="spellEnd"/>
            <w:r w:rsidRPr="002A0DA8">
              <w:rPr>
                <w:rFonts w:ascii="Times New Roman" w:hAnsi="Times New Roman" w:cs="Times New Roman"/>
                <w:color w:val="000000"/>
                <w:lang w:eastAsia="hr-HR"/>
              </w:rPr>
              <w:t>. RH</w:t>
            </w:r>
          </w:p>
        </w:tc>
        <w:tc>
          <w:tcPr>
            <w:tcW w:w="1431" w:type="dxa"/>
            <w:tcBorders>
              <w:top w:val="nil"/>
              <w:left w:val="nil"/>
              <w:bottom w:val="single" w:sz="4" w:space="0" w:color="auto"/>
              <w:right w:val="single" w:sz="4" w:space="0" w:color="auto"/>
            </w:tcBorders>
            <w:shd w:val="clear" w:color="000000" w:fill="FFFFFF"/>
            <w:noWrap/>
            <w:hideMark/>
          </w:tcPr>
          <w:p w14:paraId="3779FDB9"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10.000,00</w:t>
            </w:r>
          </w:p>
        </w:tc>
        <w:tc>
          <w:tcPr>
            <w:tcW w:w="1417" w:type="dxa"/>
            <w:gridSpan w:val="2"/>
            <w:tcBorders>
              <w:top w:val="nil"/>
              <w:left w:val="nil"/>
              <w:bottom w:val="single" w:sz="4" w:space="0" w:color="auto"/>
              <w:right w:val="single" w:sz="4" w:space="0" w:color="auto"/>
            </w:tcBorders>
            <w:shd w:val="clear" w:color="000000" w:fill="FFFFFF"/>
            <w:noWrap/>
            <w:hideMark/>
          </w:tcPr>
          <w:p w14:paraId="5E076484"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6.860,52</w:t>
            </w:r>
          </w:p>
        </w:tc>
        <w:tc>
          <w:tcPr>
            <w:tcW w:w="1546" w:type="dxa"/>
            <w:gridSpan w:val="2"/>
            <w:tcBorders>
              <w:top w:val="nil"/>
              <w:left w:val="nil"/>
              <w:bottom w:val="single" w:sz="4" w:space="0" w:color="auto"/>
              <w:right w:val="single" w:sz="4" w:space="0" w:color="auto"/>
            </w:tcBorders>
            <w:shd w:val="clear" w:color="000000" w:fill="FFFFFF"/>
            <w:noWrap/>
            <w:hideMark/>
          </w:tcPr>
          <w:p w14:paraId="5CA812A3" w14:textId="77777777" w:rsidR="002A0DA8" w:rsidRPr="002A0DA8" w:rsidRDefault="002A0DA8" w:rsidP="002A0DA8">
            <w:pPr>
              <w:spacing w:after="0" w:line="240" w:lineRule="auto"/>
              <w:ind w:firstLineChars="100" w:firstLine="220"/>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6.860,52</w:t>
            </w:r>
          </w:p>
        </w:tc>
        <w:tc>
          <w:tcPr>
            <w:tcW w:w="1418" w:type="dxa"/>
            <w:tcBorders>
              <w:top w:val="nil"/>
              <w:left w:val="nil"/>
              <w:bottom w:val="single" w:sz="4" w:space="0" w:color="auto"/>
              <w:right w:val="single" w:sz="4" w:space="0" w:color="auto"/>
            </w:tcBorders>
            <w:shd w:val="clear" w:color="000000" w:fill="FFFFFF"/>
            <w:noWrap/>
            <w:hideMark/>
          </w:tcPr>
          <w:p w14:paraId="36DFECA1"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0,00</w:t>
            </w:r>
          </w:p>
        </w:tc>
      </w:tr>
      <w:tr w:rsidR="002A0DA8" w:rsidRPr="00091F51" w14:paraId="202C1DED" w14:textId="77777777" w:rsidTr="00091F51">
        <w:trPr>
          <w:trHeight w:val="315"/>
          <w:jc w:val="center"/>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14:paraId="6D913EA1" w14:textId="77777777" w:rsidR="002A0DA8" w:rsidRPr="002A0DA8" w:rsidRDefault="002A0DA8" w:rsidP="002A0DA8">
            <w:pPr>
              <w:spacing w:after="0" w:line="240" w:lineRule="auto"/>
              <w:jc w:val="center"/>
              <w:rPr>
                <w:rFonts w:ascii="Times New Roman" w:hAnsi="Times New Roman" w:cs="Times New Roman"/>
                <w:color w:val="000000"/>
                <w:lang w:eastAsia="hr-HR"/>
              </w:rPr>
            </w:pPr>
            <w:r w:rsidRPr="002A0DA8">
              <w:rPr>
                <w:rFonts w:ascii="Times New Roman" w:hAnsi="Times New Roman" w:cs="Times New Roman"/>
                <w:color w:val="000000"/>
                <w:lang w:eastAsia="hr-HR"/>
              </w:rPr>
              <w:t>12.</w:t>
            </w:r>
          </w:p>
        </w:tc>
        <w:tc>
          <w:tcPr>
            <w:tcW w:w="2956" w:type="dxa"/>
            <w:tcBorders>
              <w:top w:val="nil"/>
              <w:left w:val="nil"/>
              <w:bottom w:val="single" w:sz="4" w:space="0" w:color="auto"/>
              <w:right w:val="single" w:sz="4" w:space="0" w:color="auto"/>
            </w:tcBorders>
            <w:shd w:val="clear" w:color="000000" w:fill="FFFFFF"/>
            <w:hideMark/>
          </w:tcPr>
          <w:p w14:paraId="781C8B7D" w14:textId="77777777" w:rsidR="002A0DA8" w:rsidRPr="002A0DA8" w:rsidRDefault="002A0DA8" w:rsidP="002A0DA8">
            <w:pPr>
              <w:spacing w:after="0" w:line="240" w:lineRule="auto"/>
              <w:rPr>
                <w:rFonts w:ascii="Times New Roman" w:hAnsi="Times New Roman" w:cs="Times New Roman"/>
                <w:color w:val="000000"/>
                <w:lang w:eastAsia="hr-HR"/>
              </w:rPr>
            </w:pPr>
            <w:r w:rsidRPr="002A0DA8">
              <w:rPr>
                <w:rFonts w:ascii="Times New Roman" w:hAnsi="Times New Roman" w:cs="Times New Roman"/>
                <w:color w:val="000000"/>
                <w:lang w:eastAsia="hr-HR"/>
              </w:rPr>
              <w:t>Pomoći - županijski proračun</w:t>
            </w:r>
          </w:p>
        </w:tc>
        <w:tc>
          <w:tcPr>
            <w:tcW w:w="1431" w:type="dxa"/>
            <w:tcBorders>
              <w:top w:val="nil"/>
              <w:left w:val="nil"/>
              <w:bottom w:val="single" w:sz="4" w:space="0" w:color="auto"/>
              <w:right w:val="single" w:sz="4" w:space="0" w:color="auto"/>
            </w:tcBorders>
            <w:shd w:val="clear" w:color="000000" w:fill="FFFFFF"/>
            <w:hideMark/>
          </w:tcPr>
          <w:p w14:paraId="7A2034EA"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22.560,00</w:t>
            </w:r>
          </w:p>
        </w:tc>
        <w:tc>
          <w:tcPr>
            <w:tcW w:w="1417" w:type="dxa"/>
            <w:gridSpan w:val="2"/>
            <w:tcBorders>
              <w:top w:val="nil"/>
              <w:left w:val="nil"/>
              <w:bottom w:val="single" w:sz="4" w:space="0" w:color="auto"/>
              <w:right w:val="single" w:sz="4" w:space="0" w:color="auto"/>
            </w:tcBorders>
            <w:shd w:val="clear" w:color="000000" w:fill="FFFFFF"/>
            <w:noWrap/>
            <w:hideMark/>
          </w:tcPr>
          <w:p w14:paraId="409AF49C"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0,00</w:t>
            </w:r>
          </w:p>
        </w:tc>
        <w:tc>
          <w:tcPr>
            <w:tcW w:w="1546" w:type="dxa"/>
            <w:gridSpan w:val="2"/>
            <w:tcBorders>
              <w:top w:val="nil"/>
              <w:left w:val="nil"/>
              <w:bottom w:val="single" w:sz="4" w:space="0" w:color="auto"/>
              <w:right w:val="single" w:sz="4" w:space="0" w:color="auto"/>
            </w:tcBorders>
            <w:shd w:val="clear" w:color="000000" w:fill="FFFFFF"/>
            <w:noWrap/>
            <w:hideMark/>
          </w:tcPr>
          <w:p w14:paraId="13A6EB67" w14:textId="77777777" w:rsidR="002A0DA8" w:rsidRPr="002A0DA8" w:rsidRDefault="002A0DA8" w:rsidP="002A0DA8">
            <w:pPr>
              <w:spacing w:after="0" w:line="240" w:lineRule="auto"/>
              <w:ind w:firstLineChars="100" w:firstLine="220"/>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21.560,00</w:t>
            </w:r>
          </w:p>
        </w:tc>
        <w:tc>
          <w:tcPr>
            <w:tcW w:w="1418" w:type="dxa"/>
            <w:tcBorders>
              <w:top w:val="nil"/>
              <w:left w:val="nil"/>
              <w:bottom w:val="single" w:sz="4" w:space="0" w:color="auto"/>
              <w:right w:val="single" w:sz="4" w:space="0" w:color="auto"/>
            </w:tcBorders>
            <w:shd w:val="clear" w:color="000000" w:fill="FFFFFF"/>
            <w:noWrap/>
            <w:hideMark/>
          </w:tcPr>
          <w:p w14:paraId="05A18306"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-21.560,00</w:t>
            </w:r>
          </w:p>
        </w:tc>
      </w:tr>
      <w:tr w:rsidR="002A0DA8" w:rsidRPr="00091F51" w14:paraId="0F45246A" w14:textId="77777777" w:rsidTr="00091F51">
        <w:trPr>
          <w:trHeight w:val="288"/>
          <w:jc w:val="center"/>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14:paraId="5784CF09" w14:textId="77777777" w:rsidR="002A0DA8" w:rsidRPr="002A0DA8" w:rsidRDefault="002A0DA8" w:rsidP="002A0DA8">
            <w:pPr>
              <w:spacing w:after="0" w:line="240" w:lineRule="auto"/>
              <w:jc w:val="center"/>
              <w:rPr>
                <w:rFonts w:ascii="Times New Roman" w:hAnsi="Times New Roman" w:cs="Times New Roman"/>
                <w:color w:val="000000"/>
                <w:lang w:eastAsia="hr-HR"/>
              </w:rPr>
            </w:pPr>
            <w:r w:rsidRPr="002A0DA8">
              <w:rPr>
                <w:rFonts w:ascii="Times New Roman" w:hAnsi="Times New Roman" w:cs="Times New Roman"/>
                <w:color w:val="000000"/>
                <w:lang w:eastAsia="hr-HR"/>
              </w:rPr>
              <w:t>13.</w:t>
            </w:r>
          </w:p>
        </w:tc>
        <w:tc>
          <w:tcPr>
            <w:tcW w:w="2956" w:type="dxa"/>
            <w:tcBorders>
              <w:top w:val="nil"/>
              <w:left w:val="nil"/>
              <w:bottom w:val="single" w:sz="4" w:space="0" w:color="auto"/>
              <w:right w:val="single" w:sz="4" w:space="0" w:color="auto"/>
            </w:tcBorders>
            <w:shd w:val="clear" w:color="000000" w:fill="FFFFFF"/>
            <w:noWrap/>
            <w:hideMark/>
          </w:tcPr>
          <w:p w14:paraId="1D07601E" w14:textId="77777777" w:rsidR="002A0DA8" w:rsidRPr="002A0DA8" w:rsidRDefault="002A0DA8" w:rsidP="002A0DA8">
            <w:pPr>
              <w:spacing w:after="0" w:line="240" w:lineRule="auto"/>
              <w:rPr>
                <w:rFonts w:ascii="Times New Roman" w:hAnsi="Times New Roman" w:cs="Times New Roman"/>
                <w:color w:val="000000"/>
                <w:lang w:eastAsia="hr-HR"/>
              </w:rPr>
            </w:pPr>
            <w:r w:rsidRPr="002A0DA8">
              <w:rPr>
                <w:rFonts w:ascii="Times New Roman" w:hAnsi="Times New Roman" w:cs="Times New Roman"/>
                <w:color w:val="000000"/>
                <w:lang w:eastAsia="hr-HR"/>
              </w:rPr>
              <w:t xml:space="preserve">Pomoći - Državni proračun </w:t>
            </w:r>
          </w:p>
        </w:tc>
        <w:tc>
          <w:tcPr>
            <w:tcW w:w="1431" w:type="dxa"/>
            <w:tcBorders>
              <w:top w:val="nil"/>
              <w:left w:val="nil"/>
              <w:bottom w:val="single" w:sz="4" w:space="0" w:color="auto"/>
              <w:right w:val="single" w:sz="4" w:space="0" w:color="auto"/>
            </w:tcBorders>
            <w:shd w:val="clear" w:color="000000" w:fill="FFFFFF"/>
            <w:noWrap/>
            <w:hideMark/>
          </w:tcPr>
          <w:p w14:paraId="3EFF1C31"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296.042,00</w:t>
            </w:r>
          </w:p>
        </w:tc>
        <w:tc>
          <w:tcPr>
            <w:tcW w:w="1417" w:type="dxa"/>
            <w:gridSpan w:val="2"/>
            <w:tcBorders>
              <w:top w:val="nil"/>
              <w:left w:val="nil"/>
              <w:bottom w:val="single" w:sz="4" w:space="0" w:color="auto"/>
              <w:right w:val="single" w:sz="4" w:space="0" w:color="auto"/>
            </w:tcBorders>
            <w:shd w:val="clear" w:color="000000" w:fill="FFFFFF"/>
            <w:noWrap/>
            <w:hideMark/>
          </w:tcPr>
          <w:p w14:paraId="5BE94D9B"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364.919,68</w:t>
            </w:r>
          </w:p>
        </w:tc>
        <w:tc>
          <w:tcPr>
            <w:tcW w:w="1546" w:type="dxa"/>
            <w:gridSpan w:val="2"/>
            <w:tcBorders>
              <w:top w:val="nil"/>
              <w:left w:val="nil"/>
              <w:bottom w:val="single" w:sz="4" w:space="0" w:color="auto"/>
              <w:right w:val="single" w:sz="4" w:space="0" w:color="auto"/>
            </w:tcBorders>
            <w:shd w:val="clear" w:color="000000" w:fill="FFFFFF"/>
            <w:noWrap/>
            <w:hideMark/>
          </w:tcPr>
          <w:p w14:paraId="205309EE" w14:textId="77777777" w:rsidR="002A0DA8" w:rsidRPr="002A0DA8" w:rsidRDefault="002A0DA8" w:rsidP="002A0DA8">
            <w:pPr>
              <w:spacing w:after="0" w:line="240" w:lineRule="auto"/>
              <w:ind w:firstLineChars="14" w:firstLine="31"/>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255.646,17</w:t>
            </w:r>
          </w:p>
        </w:tc>
        <w:tc>
          <w:tcPr>
            <w:tcW w:w="1418" w:type="dxa"/>
            <w:tcBorders>
              <w:top w:val="nil"/>
              <w:left w:val="nil"/>
              <w:bottom w:val="single" w:sz="4" w:space="0" w:color="auto"/>
              <w:right w:val="single" w:sz="4" w:space="0" w:color="auto"/>
            </w:tcBorders>
            <w:shd w:val="clear" w:color="000000" w:fill="FFFFFF"/>
            <w:noWrap/>
            <w:hideMark/>
          </w:tcPr>
          <w:p w14:paraId="2CB0A20A"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109.273,51</w:t>
            </w:r>
          </w:p>
        </w:tc>
      </w:tr>
      <w:tr w:rsidR="002A0DA8" w:rsidRPr="00091F51" w14:paraId="23B0F7CA" w14:textId="77777777" w:rsidTr="00091F51">
        <w:trPr>
          <w:trHeight w:val="288"/>
          <w:jc w:val="center"/>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14:paraId="6A92B49F" w14:textId="3616E6D6" w:rsidR="002A0DA8" w:rsidRPr="002A0DA8" w:rsidRDefault="002A0DA8" w:rsidP="002A0DA8">
            <w:pPr>
              <w:spacing w:after="0" w:line="240" w:lineRule="auto"/>
              <w:jc w:val="center"/>
              <w:rPr>
                <w:rFonts w:ascii="Times New Roman" w:hAnsi="Times New Roman" w:cs="Times New Roman"/>
                <w:color w:val="2F75B5"/>
                <w:lang w:eastAsia="hr-HR"/>
              </w:rPr>
            </w:pPr>
          </w:p>
        </w:tc>
        <w:tc>
          <w:tcPr>
            <w:tcW w:w="2956" w:type="dxa"/>
            <w:tcBorders>
              <w:top w:val="nil"/>
              <w:left w:val="nil"/>
              <w:bottom w:val="single" w:sz="4" w:space="0" w:color="auto"/>
              <w:right w:val="single" w:sz="4" w:space="0" w:color="auto"/>
            </w:tcBorders>
            <w:shd w:val="clear" w:color="000000" w:fill="FFFFFF"/>
            <w:noWrap/>
            <w:hideMark/>
          </w:tcPr>
          <w:p w14:paraId="192827DB" w14:textId="77777777" w:rsidR="002A0DA8" w:rsidRPr="002A0DA8" w:rsidRDefault="002A0DA8" w:rsidP="002A0DA8">
            <w:pPr>
              <w:spacing w:after="0" w:line="240" w:lineRule="auto"/>
              <w:rPr>
                <w:rFonts w:ascii="Times New Roman" w:hAnsi="Times New Roman" w:cs="Times New Roman"/>
                <w:i/>
                <w:iCs/>
                <w:color w:val="2F75B5"/>
                <w:lang w:eastAsia="hr-HR"/>
              </w:rPr>
            </w:pPr>
            <w:r w:rsidRPr="002A0DA8">
              <w:rPr>
                <w:rFonts w:ascii="Times New Roman" w:hAnsi="Times New Roman" w:cs="Times New Roman"/>
                <w:i/>
                <w:iCs/>
                <w:color w:val="2F75B5"/>
                <w:lang w:eastAsia="hr-HR"/>
              </w:rPr>
              <w:t>Izbori</w:t>
            </w:r>
          </w:p>
        </w:tc>
        <w:tc>
          <w:tcPr>
            <w:tcW w:w="1431" w:type="dxa"/>
            <w:tcBorders>
              <w:top w:val="nil"/>
              <w:left w:val="nil"/>
              <w:bottom w:val="single" w:sz="4" w:space="0" w:color="auto"/>
              <w:right w:val="single" w:sz="4" w:space="0" w:color="auto"/>
            </w:tcBorders>
            <w:shd w:val="clear" w:color="000000" w:fill="FFFFFF"/>
            <w:noWrap/>
            <w:hideMark/>
          </w:tcPr>
          <w:p w14:paraId="348DCC35" w14:textId="77777777" w:rsidR="002A0DA8" w:rsidRPr="002A0DA8" w:rsidRDefault="002A0DA8" w:rsidP="002A0DA8">
            <w:pPr>
              <w:spacing w:after="0" w:line="240" w:lineRule="auto"/>
              <w:jc w:val="right"/>
              <w:rPr>
                <w:rFonts w:ascii="Times New Roman" w:hAnsi="Times New Roman" w:cs="Times New Roman"/>
                <w:color w:val="2F75B5"/>
                <w:lang w:eastAsia="hr-HR"/>
              </w:rPr>
            </w:pPr>
            <w:r w:rsidRPr="002A0DA8">
              <w:rPr>
                <w:rFonts w:ascii="Times New Roman" w:hAnsi="Times New Roman" w:cs="Times New Roman"/>
                <w:color w:val="2F75B5"/>
                <w:lang w:eastAsia="hr-HR"/>
              </w:rPr>
              <w:t>79.000,00</w:t>
            </w:r>
          </w:p>
        </w:tc>
        <w:tc>
          <w:tcPr>
            <w:tcW w:w="1417" w:type="dxa"/>
            <w:gridSpan w:val="2"/>
            <w:tcBorders>
              <w:top w:val="nil"/>
              <w:left w:val="nil"/>
              <w:bottom w:val="single" w:sz="4" w:space="0" w:color="auto"/>
              <w:right w:val="single" w:sz="4" w:space="0" w:color="auto"/>
            </w:tcBorders>
            <w:shd w:val="clear" w:color="000000" w:fill="FFFFFF"/>
            <w:noWrap/>
            <w:hideMark/>
          </w:tcPr>
          <w:p w14:paraId="3EDFEA51" w14:textId="77777777" w:rsidR="002A0DA8" w:rsidRPr="002A0DA8" w:rsidRDefault="002A0DA8" w:rsidP="002A0DA8">
            <w:pPr>
              <w:spacing w:after="0" w:line="240" w:lineRule="auto"/>
              <w:jc w:val="right"/>
              <w:rPr>
                <w:rFonts w:ascii="Times New Roman" w:hAnsi="Times New Roman" w:cs="Times New Roman"/>
                <w:color w:val="2F75B5"/>
                <w:lang w:eastAsia="hr-HR"/>
              </w:rPr>
            </w:pPr>
            <w:r w:rsidRPr="002A0DA8">
              <w:rPr>
                <w:rFonts w:ascii="Times New Roman" w:hAnsi="Times New Roman" w:cs="Times New Roman"/>
                <w:color w:val="2F75B5"/>
                <w:lang w:eastAsia="hr-HR"/>
              </w:rPr>
              <w:t>48.847,62</w:t>
            </w:r>
          </w:p>
        </w:tc>
        <w:tc>
          <w:tcPr>
            <w:tcW w:w="1546" w:type="dxa"/>
            <w:gridSpan w:val="2"/>
            <w:tcBorders>
              <w:top w:val="nil"/>
              <w:left w:val="nil"/>
              <w:bottom w:val="single" w:sz="4" w:space="0" w:color="auto"/>
              <w:right w:val="single" w:sz="4" w:space="0" w:color="auto"/>
            </w:tcBorders>
            <w:shd w:val="clear" w:color="000000" w:fill="FFFFFF"/>
            <w:noWrap/>
            <w:hideMark/>
          </w:tcPr>
          <w:p w14:paraId="2F2CEFD5" w14:textId="77777777" w:rsidR="002A0DA8" w:rsidRPr="002A0DA8" w:rsidRDefault="002A0DA8" w:rsidP="002A0DA8">
            <w:pPr>
              <w:spacing w:after="0" w:line="240" w:lineRule="auto"/>
              <w:ind w:firstLineChars="100" w:firstLine="220"/>
              <w:jc w:val="right"/>
              <w:rPr>
                <w:rFonts w:ascii="Times New Roman" w:hAnsi="Times New Roman" w:cs="Times New Roman"/>
                <w:color w:val="2F75B5"/>
                <w:lang w:eastAsia="hr-HR"/>
              </w:rPr>
            </w:pPr>
            <w:r w:rsidRPr="002A0DA8">
              <w:rPr>
                <w:rFonts w:ascii="Times New Roman" w:hAnsi="Times New Roman" w:cs="Times New Roman"/>
                <w:color w:val="2F75B5"/>
                <w:lang w:eastAsia="hr-HR"/>
              </w:rPr>
              <w:t>48.847,62</w:t>
            </w:r>
          </w:p>
        </w:tc>
        <w:tc>
          <w:tcPr>
            <w:tcW w:w="1418" w:type="dxa"/>
            <w:tcBorders>
              <w:top w:val="nil"/>
              <w:left w:val="nil"/>
              <w:bottom w:val="single" w:sz="4" w:space="0" w:color="auto"/>
              <w:right w:val="single" w:sz="4" w:space="0" w:color="auto"/>
            </w:tcBorders>
            <w:shd w:val="clear" w:color="000000" w:fill="FFFFFF"/>
            <w:noWrap/>
            <w:hideMark/>
          </w:tcPr>
          <w:p w14:paraId="69F98004" w14:textId="77777777" w:rsidR="002A0DA8" w:rsidRPr="002A0DA8" w:rsidRDefault="002A0DA8" w:rsidP="002A0DA8">
            <w:pPr>
              <w:spacing w:after="0" w:line="240" w:lineRule="auto"/>
              <w:jc w:val="right"/>
              <w:rPr>
                <w:rFonts w:ascii="Times New Roman" w:hAnsi="Times New Roman" w:cs="Times New Roman"/>
                <w:color w:val="2F75B5"/>
                <w:lang w:eastAsia="hr-HR"/>
              </w:rPr>
            </w:pPr>
            <w:r w:rsidRPr="002A0DA8">
              <w:rPr>
                <w:rFonts w:ascii="Times New Roman" w:hAnsi="Times New Roman" w:cs="Times New Roman"/>
                <w:color w:val="2F75B5"/>
                <w:lang w:eastAsia="hr-HR"/>
              </w:rPr>
              <w:t>0,00</w:t>
            </w:r>
          </w:p>
        </w:tc>
      </w:tr>
      <w:tr w:rsidR="002A0DA8" w:rsidRPr="00091F51" w14:paraId="22B4CEF2" w14:textId="77777777" w:rsidTr="00091F51">
        <w:trPr>
          <w:trHeight w:val="288"/>
          <w:jc w:val="center"/>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14:paraId="571ECE28" w14:textId="27A25DA3" w:rsidR="002A0DA8" w:rsidRPr="002A0DA8" w:rsidRDefault="002A0DA8" w:rsidP="002A0DA8">
            <w:pPr>
              <w:spacing w:after="0" w:line="240" w:lineRule="auto"/>
              <w:jc w:val="center"/>
              <w:rPr>
                <w:rFonts w:ascii="Times New Roman" w:hAnsi="Times New Roman" w:cs="Times New Roman"/>
                <w:color w:val="2F75B5"/>
                <w:lang w:eastAsia="hr-HR"/>
              </w:rPr>
            </w:pPr>
          </w:p>
        </w:tc>
        <w:tc>
          <w:tcPr>
            <w:tcW w:w="2956" w:type="dxa"/>
            <w:tcBorders>
              <w:top w:val="nil"/>
              <w:left w:val="nil"/>
              <w:bottom w:val="single" w:sz="4" w:space="0" w:color="auto"/>
              <w:right w:val="single" w:sz="4" w:space="0" w:color="auto"/>
            </w:tcBorders>
            <w:shd w:val="clear" w:color="000000" w:fill="FFFFFF"/>
            <w:noWrap/>
            <w:hideMark/>
          </w:tcPr>
          <w:p w14:paraId="53D7C333" w14:textId="77777777" w:rsidR="002A0DA8" w:rsidRPr="002A0DA8" w:rsidRDefault="002A0DA8" w:rsidP="002A0DA8">
            <w:pPr>
              <w:spacing w:after="0" w:line="240" w:lineRule="auto"/>
              <w:rPr>
                <w:rFonts w:ascii="Times New Roman" w:hAnsi="Times New Roman" w:cs="Times New Roman"/>
                <w:i/>
                <w:iCs/>
                <w:color w:val="2F75B5"/>
                <w:lang w:eastAsia="hr-HR"/>
              </w:rPr>
            </w:pPr>
            <w:r w:rsidRPr="002A0DA8">
              <w:rPr>
                <w:rFonts w:ascii="Times New Roman" w:hAnsi="Times New Roman" w:cs="Times New Roman"/>
                <w:i/>
                <w:iCs/>
                <w:color w:val="2F75B5"/>
                <w:lang w:eastAsia="hr-HR"/>
              </w:rPr>
              <w:t>"Medni dan"</w:t>
            </w:r>
          </w:p>
        </w:tc>
        <w:tc>
          <w:tcPr>
            <w:tcW w:w="1431" w:type="dxa"/>
            <w:tcBorders>
              <w:top w:val="nil"/>
              <w:left w:val="nil"/>
              <w:bottom w:val="single" w:sz="4" w:space="0" w:color="auto"/>
              <w:right w:val="single" w:sz="4" w:space="0" w:color="auto"/>
            </w:tcBorders>
            <w:shd w:val="clear" w:color="000000" w:fill="FFFFFF"/>
            <w:noWrap/>
            <w:hideMark/>
          </w:tcPr>
          <w:p w14:paraId="1768603C" w14:textId="77777777" w:rsidR="002A0DA8" w:rsidRPr="002A0DA8" w:rsidRDefault="002A0DA8" w:rsidP="002A0DA8">
            <w:pPr>
              <w:spacing w:after="0" w:line="240" w:lineRule="auto"/>
              <w:jc w:val="right"/>
              <w:rPr>
                <w:rFonts w:ascii="Times New Roman" w:hAnsi="Times New Roman" w:cs="Times New Roman"/>
                <w:color w:val="2F75B5"/>
                <w:lang w:eastAsia="hr-HR"/>
              </w:rPr>
            </w:pPr>
            <w:r w:rsidRPr="002A0DA8">
              <w:rPr>
                <w:rFonts w:ascii="Times New Roman" w:hAnsi="Times New Roman" w:cs="Times New Roman"/>
                <w:color w:val="2F75B5"/>
                <w:lang w:eastAsia="hr-HR"/>
              </w:rPr>
              <w:t>400,00</w:t>
            </w:r>
          </w:p>
        </w:tc>
        <w:tc>
          <w:tcPr>
            <w:tcW w:w="1417" w:type="dxa"/>
            <w:gridSpan w:val="2"/>
            <w:tcBorders>
              <w:top w:val="nil"/>
              <w:left w:val="nil"/>
              <w:bottom w:val="single" w:sz="4" w:space="0" w:color="auto"/>
              <w:right w:val="single" w:sz="4" w:space="0" w:color="auto"/>
            </w:tcBorders>
            <w:shd w:val="clear" w:color="000000" w:fill="FFFFFF"/>
            <w:noWrap/>
            <w:hideMark/>
          </w:tcPr>
          <w:p w14:paraId="1A409612" w14:textId="77777777" w:rsidR="002A0DA8" w:rsidRPr="002A0DA8" w:rsidRDefault="002A0DA8" w:rsidP="002A0DA8">
            <w:pPr>
              <w:spacing w:after="0" w:line="240" w:lineRule="auto"/>
              <w:jc w:val="right"/>
              <w:rPr>
                <w:rFonts w:ascii="Times New Roman" w:hAnsi="Times New Roman" w:cs="Times New Roman"/>
                <w:color w:val="2F75B5"/>
                <w:lang w:eastAsia="hr-HR"/>
              </w:rPr>
            </w:pPr>
            <w:r w:rsidRPr="002A0DA8">
              <w:rPr>
                <w:rFonts w:ascii="Times New Roman" w:hAnsi="Times New Roman" w:cs="Times New Roman"/>
                <w:color w:val="2F75B5"/>
                <w:lang w:eastAsia="hr-HR"/>
              </w:rPr>
              <w:t>324,00</w:t>
            </w:r>
          </w:p>
        </w:tc>
        <w:tc>
          <w:tcPr>
            <w:tcW w:w="1546" w:type="dxa"/>
            <w:gridSpan w:val="2"/>
            <w:tcBorders>
              <w:top w:val="nil"/>
              <w:left w:val="nil"/>
              <w:bottom w:val="single" w:sz="4" w:space="0" w:color="auto"/>
              <w:right w:val="single" w:sz="4" w:space="0" w:color="auto"/>
            </w:tcBorders>
            <w:shd w:val="clear" w:color="000000" w:fill="FFFFFF"/>
            <w:noWrap/>
            <w:hideMark/>
          </w:tcPr>
          <w:p w14:paraId="3AC9F3D3" w14:textId="77777777" w:rsidR="002A0DA8" w:rsidRPr="002A0DA8" w:rsidRDefault="002A0DA8" w:rsidP="002A0DA8">
            <w:pPr>
              <w:spacing w:after="0" w:line="240" w:lineRule="auto"/>
              <w:ind w:firstLineChars="100" w:firstLine="220"/>
              <w:jc w:val="right"/>
              <w:rPr>
                <w:rFonts w:ascii="Times New Roman" w:hAnsi="Times New Roman" w:cs="Times New Roman"/>
                <w:color w:val="2F75B5"/>
                <w:lang w:eastAsia="hr-HR"/>
              </w:rPr>
            </w:pPr>
            <w:r w:rsidRPr="002A0DA8">
              <w:rPr>
                <w:rFonts w:ascii="Times New Roman" w:hAnsi="Times New Roman" w:cs="Times New Roman"/>
                <w:color w:val="2F75B5"/>
                <w:lang w:eastAsia="hr-HR"/>
              </w:rPr>
              <w:t>324,00</w:t>
            </w:r>
          </w:p>
        </w:tc>
        <w:tc>
          <w:tcPr>
            <w:tcW w:w="1418" w:type="dxa"/>
            <w:tcBorders>
              <w:top w:val="nil"/>
              <w:left w:val="nil"/>
              <w:bottom w:val="single" w:sz="4" w:space="0" w:color="auto"/>
              <w:right w:val="single" w:sz="4" w:space="0" w:color="auto"/>
            </w:tcBorders>
            <w:shd w:val="clear" w:color="000000" w:fill="FFFFFF"/>
            <w:noWrap/>
            <w:hideMark/>
          </w:tcPr>
          <w:p w14:paraId="709BC3D6" w14:textId="77777777" w:rsidR="002A0DA8" w:rsidRPr="002A0DA8" w:rsidRDefault="002A0DA8" w:rsidP="002A0DA8">
            <w:pPr>
              <w:spacing w:after="0" w:line="240" w:lineRule="auto"/>
              <w:jc w:val="right"/>
              <w:rPr>
                <w:rFonts w:ascii="Times New Roman" w:hAnsi="Times New Roman" w:cs="Times New Roman"/>
                <w:color w:val="2F75B5"/>
                <w:lang w:eastAsia="hr-HR"/>
              </w:rPr>
            </w:pPr>
            <w:r w:rsidRPr="002A0DA8">
              <w:rPr>
                <w:rFonts w:ascii="Times New Roman" w:hAnsi="Times New Roman" w:cs="Times New Roman"/>
                <w:color w:val="2F75B5"/>
                <w:lang w:eastAsia="hr-HR"/>
              </w:rPr>
              <w:t>0,00</w:t>
            </w:r>
          </w:p>
        </w:tc>
      </w:tr>
      <w:tr w:rsidR="002A0DA8" w:rsidRPr="00091F51" w14:paraId="036A9318" w14:textId="77777777" w:rsidTr="00091F51">
        <w:trPr>
          <w:trHeight w:val="288"/>
          <w:jc w:val="center"/>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14:paraId="0D73EA77" w14:textId="1AEEEB0B" w:rsidR="002A0DA8" w:rsidRPr="002A0DA8" w:rsidRDefault="002A0DA8" w:rsidP="002A0DA8">
            <w:pPr>
              <w:spacing w:after="0" w:line="240" w:lineRule="auto"/>
              <w:jc w:val="center"/>
              <w:rPr>
                <w:rFonts w:ascii="Times New Roman" w:hAnsi="Times New Roman" w:cs="Times New Roman"/>
                <w:color w:val="2F75B5"/>
                <w:lang w:eastAsia="hr-HR"/>
              </w:rPr>
            </w:pPr>
          </w:p>
        </w:tc>
        <w:tc>
          <w:tcPr>
            <w:tcW w:w="2956" w:type="dxa"/>
            <w:tcBorders>
              <w:top w:val="nil"/>
              <w:left w:val="nil"/>
              <w:bottom w:val="single" w:sz="4" w:space="0" w:color="auto"/>
              <w:right w:val="single" w:sz="4" w:space="0" w:color="auto"/>
            </w:tcBorders>
            <w:shd w:val="clear" w:color="000000" w:fill="FFFFFF"/>
            <w:hideMark/>
          </w:tcPr>
          <w:p w14:paraId="32F694D3" w14:textId="77777777" w:rsidR="002A0DA8" w:rsidRPr="002A0DA8" w:rsidRDefault="002A0DA8" w:rsidP="002A0DA8">
            <w:pPr>
              <w:spacing w:after="0" w:line="240" w:lineRule="auto"/>
              <w:rPr>
                <w:rFonts w:ascii="Times New Roman" w:hAnsi="Times New Roman" w:cs="Times New Roman"/>
                <w:i/>
                <w:iCs/>
                <w:color w:val="2F75B5"/>
                <w:lang w:eastAsia="hr-HR"/>
              </w:rPr>
            </w:pPr>
            <w:r w:rsidRPr="002A0DA8">
              <w:rPr>
                <w:rFonts w:ascii="Times New Roman" w:hAnsi="Times New Roman" w:cs="Times New Roman"/>
                <w:i/>
                <w:iCs/>
                <w:color w:val="2F75B5"/>
                <w:lang w:eastAsia="hr-HR"/>
              </w:rPr>
              <w:t>"Pomoćnici u nastavi - faza VI"</w:t>
            </w:r>
          </w:p>
        </w:tc>
        <w:tc>
          <w:tcPr>
            <w:tcW w:w="1431" w:type="dxa"/>
            <w:tcBorders>
              <w:top w:val="nil"/>
              <w:left w:val="nil"/>
              <w:bottom w:val="single" w:sz="4" w:space="0" w:color="auto"/>
              <w:right w:val="single" w:sz="4" w:space="0" w:color="auto"/>
            </w:tcBorders>
            <w:shd w:val="clear" w:color="000000" w:fill="FFFFFF"/>
            <w:hideMark/>
          </w:tcPr>
          <w:p w14:paraId="38B821F8" w14:textId="77777777" w:rsidR="002A0DA8" w:rsidRPr="002A0DA8" w:rsidRDefault="002A0DA8" w:rsidP="002A0DA8">
            <w:pPr>
              <w:spacing w:after="0" w:line="240" w:lineRule="auto"/>
              <w:jc w:val="right"/>
              <w:rPr>
                <w:rFonts w:ascii="Times New Roman" w:hAnsi="Times New Roman" w:cs="Times New Roman"/>
                <w:i/>
                <w:iCs/>
                <w:color w:val="2F75B5"/>
                <w:lang w:eastAsia="hr-HR"/>
              </w:rPr>
            </w:pPr>
            <w:r w:rsidRPr="002A0DA8">
              <w:rPr>
                <w:rFonts w:ascii="Times New Roman" w:hAnsi="Times New Roman" w:cs="Times New Roman"/>
                <w:i/>
                <w:iCs/>
                <w:color w:val="2F75B5"/>
                <w:lang w:eastAsia="hr-HR"/>
              </w:rPr>
              <w:t> </w:t>
            </w:r>
          </w:p>
        </w:tc>
        <w:tc>
          <w:tcPr>
            <w:tcW w:w="1417" w:type="dxa"/>
            <w:gridSpan w:val="2"/>
            <w:tcBorders>
              <w:top w:val="nil"/>
              <w:left w:val="nil"/>
              <w:bottom w:val="single" w:sz="4" w:space="0" w:color="auto"/>
              <w:right w:val="single" w:sz="4" w:space="0" w:color="auto"/>
            </w:tcBorders>
            <w:shd w:val="clear" w:color="000000" w:fill="FFFFFF"/>
            <w:noWrap/>
            <w:hideMark/>
          </w:tcPr>
          <w:p w14:paraId="0AFBED3B" w14:textId="77777777" w:rsidR="002A0DA8" w:rsidRPr="002A0DA8" w:rsidRDefault="002A0DA8" w:rsidP="002A0DA8">
            <w:pPr>
              <w:spacing w:after="0" w:line="240" w:lineRule="auto"/>
              <w:jc w:val="right"/>
              <w:rPr>
                <w:rFonts w:ascii="Times New Roman" w:hAnsi="Times New Roman" w:cs="Times New Roman"/>
                <w:i/>
                <w:iCs/>
                <w:color w:val="2F75B5"/>
                <w:lang w:eastAsia="hr-HR"/>
              </w:rPr>
            </w:pPr>
            <w:r w:rsidRPr="002A0DA8">
              <w:rPr>
                <w:rFonts w:ascii="Times New Roman" w:hAnsi="Times New Roman" w:cs="Times New Roman"/>
                <w:i/>
                <w:iCs/>
                <w:color w:val="2F75B5"/>
                <w:lang w:eastAsia="hr-HR"/>
              </w:rPr>
              <w:t>1.020,00</w:t>
            </w:r>
          </w:p>
        </w:tc>
        <w:tc>
          <w:tcPr>
            <w:tcW w:w="1546" w:type="dxa"/>
            <w:gridSpan w:val="2"/>
            <w:tcBorders>
              <w:top w:val="nil"/>
              <w:left w:val="nil"/>
              <w:bottom w:val="single" w:sz="4" w:space="0" w:color="auto"/>
              <w:right w:val="single" w:sz="4" w:space="0" w:color="auto"/>
            </w:tcBorders>
            <w:shd w:val="clear" w:color="000000" w:fill="FFFFFF"/>
            <w:noWrap/>
            <w:hideMark/>
          </w:tcPr>
          <w:p w14:paraId="7DC8A481" w14:textId="77777777" w:rsidR="002A0DA8" w:rsidRPr="002A0DA8" w:rsidRDefault="002A0DA8" w:rsidP="002A0DA8">
            <w:pPr>
              <w:spacing w:after="0" w:line="240" w:lineRule="auto"/>
              <w:ind w:firstLineChars="100" w:firstLine="220"/>
              <w:jc w:val="right"/>
              <w:rPr>
                <w:rFonts w:ascii="Times New Roman" w:hAnsi="Times New Roman" w:cs="Times New Roman"/>
                <w:i/>
                <w:iCs/>
                <w:color w:val="2F75B5"/>
                <w:lang w:eastAsia="hr-HR"/>
              </w:rPr>
            </w:pPr>
            <w:r w:rsidRPr="002A0DA8">
              <w:rPr>
                <w:rFonts w:ascii="Times New Roman" w:hAnsi="Times New Roman" w:cs="Times New Roman"/>
                <w:i/>
                <w:iCs/>
                <w:color w:val="2F75B5"/>
                <w:lang w:eastAsia="hr-HR"/>
              </w:rPr>
              <w:t>1.020,00</w:t>
            </w:r>
          </w:p>
        </w:tc>
        <w:tc>
          <w:tcPr>
            <w:tcW w:w="1418" w:type="dxa"/>
            <w:tcBorders>
              <w:top w:val="nil"/>
              <w:left w:val="nil"/>
              <w:bottom w:val="single" w:sz="4" w:space="0" w:color="auto"/>
              <w:right w:val="single" w:sz="4" w:space="0" w:color="auto"/>
            </w:tcBorders>
            <w:shd w:val="clear" w:color="000000" w:fill="FFFFFF"/>
            <w:noWrap/>
            <w:hideMark/>
          </w:tcPr>
          <w:p w14:paraId="155BF249" w14:textId="77777777" w:rsidR="002A0DA8" w:rsidRPr="002A0DA8" w:rsidRDefault="002A0DA8" w:rsidP="002A0DA8">
            <w:pPr>
              <w:spacing w:after="0" w:line="240" w:lineRule="auto"/>
              <w:jc w:val="right"/>
              <w:rPr>
                <w:rFonts w:ascii="Times New Roman" w:hAnsi="Times New Roman" w:cs="Times New Roman"/>
                <w:i/>
                <w:iCs/>
                <w:color w:val="2F75B5"/>
                <w:lang w:eastAsia="hr-HR"/>
              </w:rPr>
            </w:pPr>
            <w:r w:rsidRPr="002A0DA8">
              <w:rPr>
                <w:rFonts w:ascii="Times New Roman" w:hAnsi="Times New Roman" w:cs="Times New Roman"/>
                <w:i/>
                <w:iCs/>
                <w:color w:val="2F75B5"/>
                <w:lang w:eastAsia="hr-HR"/>
              </w:rPr>
              <w:t>0,00</w:t>
            </w:r>
          </w:p>
        </w:tc>
      </w:tr>
      <w:tr w:rsidR="002A0DA8" w:rsidRPr="00091F51" w14:paraId="4A297318" w14:textId="77777777" w:rsidTr="00091F51">
        <w:trPr>
          <w:trHeight w:val="288"/>
          <w:jc w:val="center"/>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14:paraId="2A99B884" w14:textId="5ABBBAA5" w:rsidR="002A0DA8" w:rsidRPr="002A0DA8" w:rsidRDefault="002A0DA8" w:rsidP="002A0DA8">
            <w:pPr>
              <w:spacing w:after="0" w:line="240" w:lineRule="auto"/>
              <w:jc w:val="center"/>
              <w:rPr>
                <w:rFonts w:ascii="Times New Roman" w:hAnsi="Times New Roman" w:cs="Times New Roman"/>
                <w:color w:val="2F75B5"/>
                <w:lang w:eastAsia="hr-HR"/>
              </w:rPr>
            </w:pPr>
          </w:p>
        </w:tc>
        <w:tc>
          <w:tcPr>
            <w:tcW w:w="2956" w:type="dxa"/>
            <w:tcBorders>
              <w:top w:val="nil"/>
              <w:left w:val="nil"/>
              <w:bottom w:val="single" w:sz="4" w:space="0" w:color="auto"/>
              <w:right w:val="single" w:sz="4" w:space="0" w:color="auto"/>
            </w:tcBorders>
            <w:shd w:val="clear" w:color="000000" w:fill="FFFFFF"/>
            <w:hideMark/>
          </w:tcPr>
          <w:p w14:paraId="66486DA7" w14:textId="77777777" w:rsidR="002A0DA8" w:rsidRPr="002A0DA8" w:rsidRDefault="002A0DA8" w:rsidP="002A0DA8">
            <w:pPr>
              <w:spacing w:after="0" w:line="240" w:lineRule="auto"/>
              <w:rPr>
                <w:rFonts w:ascii="Times New Roman" w:hAnsi="Times New Roman" w:cs="Times New Roman"/>
                <w:i/>
                <w:iCs/>
                <w:color w:val="2F75B5"/>
                <w:lang w:eastAsia="hr-HR"/>
              </w:rPr>
            </w:pPr>
            <w:r w:rsidRPr="002A0DA8">
              <w:rPr>
                <w:rFonts w:ascii="Times New Roman" w:hAnsi="Times New Roman" w:cs="Times New Roman"/>
                <w:i/>
                <w:iCs/>
                <w:color w:val="2F75B5"/>
                <w:lang w:eastAsia="hr-HR"/>
              </w:rPr>
              <w:t>"Pomoćnici u nastavi - faza VII"</w:t>
            </w:r>
          </w:p>
        </w:tc>
        <w:tc>
          <w:tcPr>
            <w:tcW w:w="1431" w:type="dxa"/>
            <w:tcBorders>
              <w:top w:val="nil"/>
              <w:left w:val="nil"/>
              <w:bottom w:val="single" w:sz="4" w:space="0" w:color="auto"/>
              <w:right w:val="single" w:sz="4" w:space="0" w:color="auto"/>
            </w:tcBorders>
            <w:shd w:val="clear" w:color="000000" w:fill="FFFFFF"/>
            <w:hideMark/>
          </w:tcPr>
          <w:p w14:paraId="03A3875F" w14:textId="77777777" w:rsidR="002A0DA8" w:rsidRPr="002A0DA8" w:rsidRDefault="002A0DA8" w:rsidP="002A0DA8">
            <w:pPr>
              <w:spacing w:after="0" w:line="240" w:lineRule="auto"/>
              <w:jc w:val="right"/>
              <w:rPr>
                <w:rFonts w:ascii="Times New Roman" w:hAnsi="Times New Roman" w:cs="Times New Roman"/>
                <w:i/>
                <w:iCs/>
                <w:color w:val="2F75B5"/>
                <w:lang w:eastAsia="hr-HR"/>
              </w:rPr>
            </w:pPr>
            <w:r w:rsidRPr="002A0DA8">
              <w:rPr>
                <w:rFonts w:ascii="Times New Roman" w:hAnsi="Times New Roman" w:cs="Times New Roman"/>
                <w:i/>
                <w:iCs/>
                <w:color w:val="2F75B5"/>
                <w:lang w:eastAsia="hr-HR"/>
              </w:rPr>
              <w:t> </w:t>
            </w:r>
          </w:p>
        </w:tc>
        <w:tc>
          <w:tcPr>
            <w:tcW w:w="1417" w:type="dxa"/>
            <w:gridSpan w:val="2"/>
            <w:tcBorders>
              <w:top w:val="nil"/>
              <w:left w:val="nil"/>
              <w:bottom w:val="single" w:sz="4" w:space="0" w:color="auto"/>
              <w:right w:val="single" w:sz="4" w:space="0" w:color="auto"/>
            </w:tcBorders>
            <w:shd w:val="clear" w:color="000000" w:fill="FFFFFF"/>
            <w:noWrap/>
            <w:hideMark/>
          </w:tcPr>
          <w:p w14:paraId="338D09F9" w14:textId="77777777" w:rsidR="002A0DA8" w:rsidRPr="002A0DA8" w:rsidRDefault="002A0DA8" w:rsidP="002A0DA8">
            <w:pPr>
              <w:spacing w:after="0" w:line="240" w:lineRule="auto"/>
              <w:jc w:val="right"/>
              <w:rPr>
                <w:rFonts w:ascii="Times New Roman" w:hAnsi="Times New Roman" w:cs="Times New Roman"/>
                <w:i/>
                <w:iCs/>
                <w:color w:val="2F75B5"/>
                <w:lang w:eastAsia="hr-HR"/>
              </w:rPr>
            </w:pPr>
            <w:r w:rsidRPr="002A0DA8">
              <w:rPr>
                <w:rFonts w:ascii="Times New Roman" w:hAnsi="Times New Roman" w:cs="Times New Roman"/>
                <w:i/>
                <w:iCs/>
                <w:color w:val="2F75B5"/>
                <w:lang w:eastAsia="hr-HR"/>
              </w:rPr>
              <w:t>0,00</w:t>
            </w:r>
          </w:p>
        </w:tc>
        <w:tc>
          <w:tcPr>
            <w:tcW w:w="1546" w:type="dxa"/>
            <w:gridSpan w:val="2"/>
            <w:tcBorders>
              <w:top w:val="nil"/>
              <w:left w:val="nil"/>
              <w:bottom w:val="single" w:sz="4" w:space="0" w:color="auto"/>
              <w:right w:val="single" w:sz="4" w:space="0" w:color="auto"/>
            </w:tcBorders>
            <w:shd w:val="clear" w:color="000000" w:fill="FFFFFF"/>
            <w:noWrap/>
            <w:hideMark/>
          </w:tcPr>
          <w:p w14:paraId="44C473B8" w14:textId="77777777" w:rsidR="002A0DA8" w:rsidRPr="002A0DA8" w:rsidRDefault="002A0DA8" w:rsidP="002A0DA8">
            <w:pPr>
              <w:spacing w:after="0" w:line="240" w:lineRule="auto"/>
              <w:ind w:firstLineChars="100" w:firstLine="220"/>
              <w:jc w:val="right"/>
              <w:rPr>
                <w:rFonts w:ascii="Times New Roman" w:hAnsi="Times New Roman" w:cs="Times New Roman"/>
                <w:i/>
                <w:iCs/>
                <w:color w:val="2F75B5"/>
                <w:lang w:eastAsia="hr-HR"/>
              </w:rPr>
            </w:pPr>
            <w:r w:rsidRPr="002A0DA8">
              <w:rPr>
                <w:rFonts w:ascii="Times New Roman" w:hAnsi="Times New Roman" w:cs="Times New Roman"/>
                <w:i/>
                <w:iCs/>
                <w:color w:val="2F75B5"/>
                <w:lang w:eastAsia="hr-HR"/>
              </w:rPr>
              <w:t>2.412,22</w:t>
            </w:r>
          </w:p>
        </w:tc>
        <w:tc>
          <w:tcPr>
            <w:tcW w:w="1418" w:type="dxa"/>
            <w:tcBorders>
              <w:top w:val="nil"/>
              <w:left w:val="nil"/>
              <w:bottom w:val="single" w:sz="4" w:space="0" w:color="auto"/>
              <w:right w:val="single" w:sz="4" w:space="0" w:color="auto"/>
            </w:tcBorders>
            <w:shd w:val="clear" w:color="000000" w:fill="FFFFFF"/>
            <w:noWrap/>
            <w:hideMark/>
          </w:tcPr>
          <w:p w14:paraId="3F9820A7" w14:textId="77777777" w:rsidR="002A0DA8" w:rsidRPr="002A0DA8" w:rsidRDefault="002A0DA8" w:rsidP="002A0DA8">
            <w:pPr>
              <w:spacing w:after="0" w:line="240" w:lineRule="auto"/>
              <w:jc w:val="right"/>
              <w:rPr>
                <w:rFonts w:ascii="Times New Roman" w:hAnsi="Times New Roman" w:cs="Times New Roman"/>
                <w:i/>
                <w:iCs/>
                <w:color w:val="2F75B5"/>
                <w:lang w:eastAsia="hr-HR"/>
              </w:rPr>
            </w:pPr>
            <w:r w:rsidRPr="002A0DA8">
              <w:rPr>
                <w:rFonts w:ascii="Times New Roman" w:hAnsi="Times New Roman" w:cs="Times New Roman"/>
                <w:i/>
                <w:iCs/>
                <w:color w:val="2F75B5"/>
                <w:lang w:eastAsia="hr-HR"/>
              </w:rPr>
              <w:t>-2.412,22</w:t>
            </w:r>
          </w:p>
        </w:tc>
      </w:tr>
      <w:tr w:rsidR="002A0DA8" w:rsidRPr="00091F51" w14:paraId="5509ECD5" w14:textId="77777777" w:rsidTr="00091F51">
        <w:trPr>
          <w:trHeight w:val="288"/>
          <w:jc w:val="center"/>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14:paraId="3331440D" w14:textId="6EF427E0" w:rsidR="002A0DA8" w:rsidRPr="002A0DA8" w:rsidRDefault="002A0DA8" w:rsidP="002A0DA8">
            <w:pPr>
              <w:spacing w:after="0" w:line="240" w:lineRule="auto"/>
              <w:jc w:val="center"/>
              <w:rPr>
                <w:rFonts w:ascii="Times New Roman" w:hAnsi="Times New Roman" w:cs="Times New Roman"/>
                <w:color w:val="2F75B5"/>
                <w:lang w:eastAsia="hr-HR"/>
              </w:rPr>
            </w:pPr>
          </w:p>
        </w:tc>
        <w:tc>
          <w:tcPr>
            <w:tcW w:w="2956" w:type="dxa"/>
            <w:tcBorders>
              <w:top w:val="nil"/>
              <w:left w:val="nil"/>
              <w:bottom w:val="single" w:sz="4" w:space="0" w:color="auto"/>
              <w:right w:val="single" w:sz="4" w:space="0" w:color="auto"/>
            </w:tcBorders>
            <w:shd w:val="clear" w:color="000000" w:fill="FFFFFF"/>
            <w:hideMark/>
          </w:tcPr>
          <w:p w14:paraId="040C6285" w14:textId="77777777" w:rsidR="002A0DA8" w:rsidRPr="002A0DA8" w:rsidRDefault="002A0DA8" w:rsidP="002A0DA8">
            <w:pPr>
              <w:spacing w:after="0" w:line="240" w:lineRule="auto"/>
              <w:rPr>
                <w:rFonts w:ascii="Times New Roman" w:hAnsi="Times New Roman" w:cs="Times New Roman"/>
                <w:i/>
                <w:iCs/>
                <w:color w:val="2F75B5"/>
                <w:lang w:eastAsia="hr-HR"/>
              </w:rPr>
            </w:pPr>
            <w:r w:rsidRPr="002A0DA8">
              <w:rPr>
                <w:rFonts w:ascii="Times New Roman" w:hAnsi="Times New Roman" w:cs="Times New Roman"/>
                <w:i/>
                <w:iCs/>
                <w:color w:val="2F75B5"/>
                <w:lang w:eastAsia="hr-HR"/>
              </w:rPr>
              <w:t>"Školska shema"</w:t>
            </w:r>
          </w:p>
        </w:tc>
        <w:tc>
          <w:tcPr>
            <w:tcW w:w="1431" w:type="dxa"/>
            <w:tcBorders>
              <w:top w:val="nil"/>
              <w:left w:val="nil"/>
              <w:bottom w:val="single" w:sz="4" w:space="0" w:color="auto"/>
              <w:right w:val="single" w:sz="4" w:space="0" w:color="auto"/>
            </w:tcBorders>
            <w:shd w:val="clear" w:color="000000" w:fill="FFFFFF"/>
            <w:hideMark/>
          </w:tcPr>
          <w:p w14:paraId="6A2C39D7" w14:textId="77777777" w:rsidR="002A0DA8" w:rsidRPr="002A0DA8" w:rsidRDefault="002A0DA8" w:rsidP="002A0DA8">
            <w:pPr>
              <w:spacing w:after="0" w:line="240" w:lineRule="auto"/>
              <w:jc w:val="right"/>
              <w:rPr>
                <w:rFonts w:ascii="Times New Roman" w:hAnsi="Times New Roman" w:cs="Times New Roman"/>
                <w:i/>
                <w:iCs/>
                <w:color w:val="2F75B5"/>
                <w:lang w:eastAsia="hr-HR"/>
              </w:rPr>
            </w:pPr>
            <w:r w:rsidRPr="002A0DA8">
              <w:rPr>
                <w:rFonts w:ascii="Times New Roman" w:hAnsi="Times New Roman" w:cs="Times New Roman"/>
                <w:i/>
                <w:iCs/>
                <w:color w:val="2F75B5"/>
                <w:lang w:eastAsia="hr-HR"/>
              </w:rPr>
              <w:t> </w:t>
            </w:r>
          </w:p>
        </w:tc>
        <w:tc>
          <w:tcPr>
            <w:tcW w:w="1417" w:type="dxa"/>
            <w:gridSpan w:val="2"/>
            <w:tcBorders>
              <w:top w:val="nil"/>
              <w:left w:val="nil"/>
              <w:bottom w:val="single" w:sz="4" w:space="0" w:color="auto"/>
              <w:right w:val="single" w:sz="4" w:space="0" w:color="auto"/>
            </w:tcBorders>
            <w:shd w:val="clear" w:color="000000" w:fill="FFFFFF"/>
            <w:noWrap/>
            <w:hideMark/>
          </w:tcPr>
          <w:p w14:paraId="3DB3EFC8" w14:textId="77777777" w:rsidR="002A0DA8" w:rsidRPr="002A0DA8" w:rsidRDefault="002A0DA8" w:rsidP="002A0DA8">
            <w:pPr>
              <w:spacing w:after="0" w:line="240" w:lineRule="auto"/>
              <w:jc w:val="right"/>
              <w:rPr>
                <w:rFonts w:ascii="Times New Roman" w:hAnsi="Times New Roman" w:cs="Times New Roman"/>
                <w:i/>
                <w:iCs/>
                <w:color w:val="2F75B5"/>
                <w:lang w:eastAsia="hr-HR"/>
              </w:rPr>
            </w:pPr>
            <w:r w:rsidRPr="002A0DA8">
              <w:rPr>
                <w:rFonts w:ascii="Times New Roman" w:hAnsi="Times New Roman" w:cs="Times New Roman"/>
                <w:i/>
                <w:iCs/>
                <w:color w:val="2F75B5"/>
                <w:lang w:eastAsia="hr-HR"/>
              </w:rPr>
              <w:t>91,75</w:t>
            </w:r>
          </w:p>
        </w:tc>
        <w:tc>
          <w:tcPr>
            <w:tcW w:w="1546" w:type="dxa"/>
            <w:gridSpan w:val="2"/>
            <w:tcBorders>
              <w:top w:val="nil"/>
              <w:left w:val="nil"/>
              <w:bottom w:val="single" w:sz="4" w:space="0" w:color="auto"/>
              <w:right w:val="single" w:sz="4" w:space="0" w:color="auto"/>
            </w:tcBorders>
            <w:shd w:val="clear" w:color="000000" w:fill="FFFFFF"/>
            <w:noWrap/>
            <w:hideMark/>
          </w:tcPr>
          <w:p w14:paraId="3B029D1B" w14:textId="77777777" w:rsidR="002A0DA8" w:rsidRPr="002A0DA8" w:rsidRDefault="002A0DA8" w:rsidP="002A0DA8">
            <w:pPr>
              <w:spacing w:after="0" w:line="240" w:lineRule="auto"/>
              <w:ind w:firstLineChars="100" w:firstLine="220"/>
              <w:jc w:val="right"/>
              <w:rPr>
                <w:rFonts w:ascii="Times New Roman" w:hAnsi="Times New Roman" w:cs="Times New Roman"/>
                <w:i/>
                <w:iCs/>
                <w:color w:val="2F75B5"/>
                <w:lang w:eastAsia="hr-HR"/>
              </w:rPr>
            </w:pPr>
            <w:r w:rsidRPr="002A0DA8">
              <w:rPr>
                <w:rFonts w:ascii="Times New Roman" w:hAnsi="Times New Roman" w:cs="Times New Roman"/>
                <w:i/>
                <w:iCs/>
                <w:color w:val="2F75B5"/>
                <w:lang w:eastAsia="hr-HR"/>
              </w:rPr>
              <w:t>10,39</w:t>
            </w:r>
          </w:p>
        </w:tc>
        <w:tc>
          <w:tcPr>
            <w:tcW w:w="1418" w:type="dxa"/>
            <w:tcBorders>
              <w:top w:val="nil"/>
              <w:left w:val="nil"/>
              <w:bottom w:val="single" w:sz="4" w:space="0" w:color="auto"/>
              <w:right w:val="single" w:sz="4" w:space="0" w:color="auto"/>
            </w:tcBorders>
            <w:shd w:val="clear" w:color="000000" w:fill="FFFFFF"/>
            <w:noWrap/>
            <w:hideMark/>
          </w:tcPr>
          <w:p w14:paraId="6E51D94A" w14:textId="77777777" w:rsidR="002A0DA8" w:rsidRPr="002A0DA8" w:rsidRDefault="002A0DA8" w:rsidP="002A0DA8">
            <w:pPr>
              <w:spacing w:after="0" w:line="240" w:lineRule="auto"/>
              <w:jc w:val="right"/>
              <w:rPr>
                <w:rFonts w:ascii="Times New Roman" w:hAnsi="Times New Roman" w:cs="Times New Roman"/>
                <w:i/>
                <w:iCs/>
                <w:color w:val="2F75B5"/>
                <w:lang w:eastAsia="hr-HR"/>
              </w:rPr>
            </w:pPr>
            <w:r w:rsidRPr="002A0DA8">
              <w:rPr>
                <w:rFonts w:ascii="Times New Roman" w:hAnsi="Times New Roman" w:cs="Times New Roman"/>
                <w:i/>
                <w:iCs/>
                <w:color w:val="2F75B5"/>
                <w:lang w:eastAsia="hr-HR"/>
              </w:rPr>
              <w:t>81,36</w:t>
            </w:r>
          </w:p>
        </w:tc>
      </w:tr>
      <w:tr w:rsidR="002A0DA8" w:rsidRPr="00091F51" w14:paraId="3ADC8A40" w14:textId="77777777" w:rsidTr="00091F51">
        <w:trPr>
          <w:trHeight w:val="288"/>
          <w:jc w:val="center"/>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14:paraId="78CF9871" w14:textId="27AAB7B5" w:rsidR="002A0DA8" w:rsidRPr="002A0DA8" w:rsidRDefault="002A0DA8" w:rsidP="002A0DA8">
            <w:pPr>
              <w:spacing w:after="0" w:line="240" w:lineRule="auto"/>
              <w:jc w:val="center"/>
              <w:rPr>
                <w:rFonts w:ascii="Times New Roman" w:hAnsi="Times New Roman" w:cs="Times New Roman"/>
                <w:color w:val="2F75B5"/>
                <w:lang w:eastAsia="hr-HR"/>
              </w:rPr>
            </w:pPr>
          </w:p>
        </w:tc>
        <w:tc>
          <w:tcPr>
            <w:tcW w:w="2956" w:type="dxa"/>
            <w:tcBorders>
              <w:top w:val="nil"/>
              <w:left w:val="nil"/>
              <w:bottom w:val="single" w:sz="4" w:space="0" w:color="auto"/>
              <w:right w:val="single" w:sz="4" w:space="0" w:color="auto"/>
            </w:tcBorders>
            <w:shd w:val="clear" w:color="000000" w:fill="FFFFFF"/>
            <w:hideMark/>
          </w:tcPr>
          <w:p w14:paraId="4F182AED" w14:textId="77777777" w:rsidR="002A0DA8" w:rsidRPr="002A0DA8" w:rsidRDefault="002A0DA8" w:rsidP="002A0DA8">
            <w:pPr>
              <w:spacing w:after="0" w:line="240" w:lineRule="auto"/>
              <w:rPr>
                <w:rFonts w:ascii="Times New Roman" w:hAnsi="Times New Roman" w:cs="Times New Roman"/>
                <w:i/>
                <w:iCs/>
                <w:color w:val="2F75B5"/>
                <w:lang w:eastAsia="hr-HR"/>
              </w:rPr>
            </w:pPr>
            <w:r w:rsidRPr="002A0DA8">
              <w:rPr>
                <w:rFonts w:ascii="Times New Roman" w:hAnsi="Times New Roman" w:cs="Times New Roman"/>
                <w:i/>
                <w:iCs/>
                <w:color w:val="2F75B5"/>
                <w:lang w:eastAsia="hr-HR"/>
              </w:rPr>
              <w:t>Obnova DV Maslačak</w:t>
            </w:r>
          </w:p>
        </w:tc>
        <w:tc>
          <w:tcPr>
            <w:tcW w:w="1431" w:type="dxa"/>
            <w:tcBorders>
              <w:top w:val="nil"/>
              <w:left w:val="nil"/>
              <w:bottom w:val="single" w:sz="4" w:space="0" w:color="auto"/>
              <w:right w:val="single" w:sz="4" w:space="0" w:color="auto"/>
            </w:tcBorders>
            <w:shd w:val="clear" w:color="000000" w:fill="FFFFFF"/>
            <w:hideMark/>
          </w:tcPr>
          <w:p w14:paraId="6D3393F2" w14:textId="77777777" w:rsidR="002A0DA8" w:rsidRPr="002A0DA8" w:rsidRDefault="002A0DA8" w:rsidP="002A0DA8">
            <w:pPr>
              <w:spacing w:after="0" w:line="240" w:lineRule="auto"/>
              <w:jc w:val="right"/>
              <w:rPr>
                <w:rFonts w:ascii="Times New Roman" w:hAnsi="Times New Roman" w:cs="Times New Roman"/>
                <w:i/>
                <w:iCs/>
                <w:color w:val="2F75B5"/>
                <w:lang w:eastAsia="hr-HR"/>
              </w:rPr>
            </w:pPr>
            <w:r w:rsidRPr="002A0DA8">
              <w:rPr>
                <w:rFonts w:ascii="Times New Roman" w:hAnsi="Times New Roman" w:cs="Times New Roman"/>
                <w:i/>
                <w:iCs/>
                <w:color w:val="2F75B5"/>
                <w:lang w:eastAsia="hr-HR"/>
              </w:rPr>
              <w:t>70.000,00</w:t>
            </w:r>
          </w:p>
        </w:tc>
        <w:tc>
          <w:tcPr>
            <w:tcW w:w="1417" w:type="dxa"/>
            <w:gridSpan w:val="2"/>
            <w:tcBorders>
              <w:top w:val="nil"/>
              <w:left w:val="nil"/>
              <w:bottom w:val="nil"/>
              <w:right w:val="single" w:sz="4" w:space="0" w:color="auto"/>
            </w:tcBorders>
            <w:shd w:val="clear" w:color="000000" w:fill="FFFFFF"/>
            <w:noWrap/>
            <w:hideMark/>
          </w:tcPr>
          <w:p w14:paraId="6EBFA08D" w14:textId="77777777" w:rsidR="002A0DA8" w:rsidRPr="002A0DA8" w:rsidRDefault="002A0DA8" w:rsidP="002A0DA8">
            <w:pPr>
              <w:spacing w:after="0" w:line="240" w:lineRule="auto"/>
              <w:jc w:val="right"/>
              <w:rPr>
                <w:rFonts w:ascii="Times New Roman" w:hAnsi="Times New Roman" w:cs="Times New Roman"/>
                <w:i/>
                <w:iCs/>
                <w:color w:val="2F75B5"/>
                <w:lang w:eastAsia="hr-HR"/>
              </w:rPr>
            </w:pPr>
            <w:r w:rsidRPr="002A0DA8">
              <w:rPr>
                <w:rFonts w:ascii="Times New Roman" w:hAnsi="Times New Roman" w:cs="Times New Roman"/>
                <w:i/>
                <w:iCs/>
                <w:color w:val="2F75B5"/>
                <w:lang w:eastAsia="hr-HR"/>
              </w:rPr>
              <w:t>69.717,36</w:t>
            </w:r>
          </w:p>
        </w:tc>
        <w:tc>
          <w:tcPr>
            <w:tcW w:w="1546" w:type="dxa"/>
            <w:gridSpan w:val="2"/>
            <w:tcBorders>
              <w:top w:val="nil"/>
              <w:left w:val="nil"/>
              <w:bottom w:val="single" w:sz="4" w:space="0" w:color="auto"/>
              <w:right w:val="single" w:sz="4" w:space="0" w:color="auto"/>
            </w:tcBorders>
            <w:shd w:val="clear" w:color="000000" w:fill="FFFFFF"/>
            <w:noWrap/>
            <w:hideMark/>
          </w:tcPr>
          <w:p w14:paraId="487F21F4" w14:textId="77777777" w:rsidR="002A0DA8" w:rsidRPr="002A0DA8" w:rsidRDefault="002A0DA8" w:rsidP="002A0DA8">
            <w:pPr>
              <w:spacing w:after="0" w:line="240" w:lineRule="auto"/>
              <w:ind w:firstLineChars="100" w:firstLine="220"/>
              <w:jc w:val="right"/>
              <w:rPr>
                <w:rFonts w:ascii="Times New Roman" w:hAnsi="Times New Roman" w:cs="Times New Roman"/>
                <w:i/>
                <w:iCs/>
                <w:color w:val="2F75B5"/>
                <w:lang w:eastAsia="hr-HR"/>
              </w:rPr>
            </w:pPr>
            <w:r w:rsidRPr="002A0DA8">
              <w:rPr>
                <w:rFonts w:ascii="Times New Roman" w:hAnsi="Times New Roman" w:cs="Times New Roman"/>
                <w:i/>
                <w:iCs/>
                <w:color w:val="2F75B5"/>
                <w:lang w:eastAsia="hr-HR"/>
              </w:rPr>
              <w:t>69.717,36</w:t>
            </w:r>
          </w:p>
        </w:tc>
        <w:tc>
          <w:tcPr>
            <w:tcW w:w="1418" w:type="dxa"/>
            <w:tcBorders>
              <w:top w:val="nil"/>
              <w:left w:val="nil"/>
              <w:bottom w:val="single" w:sz="4" w:space="0" w:color="auto"/>
              <w:right w:val="single" w:sz="4" w:space="0" w:color="auto"/>
            </w:tcBorders>
            <w:shd w:val="clear" w:color="000000" w:fill="FFFFFF"/>
            <w:noWrap/>
            <w:hideMark/>
          </w:tcPr>
          <w:p w14:paraId="50467AA9" w14:textId="77777777" w:rsidR="002A0DA8" w:rsidRPr="002A0DA8" w:rsidRDefault="002A0DA8" w:rsidP="002A0DA8">
            <w:pPr>
              <w:spacing w:after="0" w:line="240" w:lineRule="auto"/>
              <w:jc w:val="right"/>
              <w:rPr>
                <w:rFonts w:ascii="Times New Roman" w:hAnsi="Times New Roman" w:cs="Times New Roman"/>
                <w:i/>
                <w:iCs/>
                <w:color w:val="2F75B5"/>
                <w:lang w:eastAsia="hr-HR"/>
              </w:rPr>
            </w:pPr>
            <w:r w:rsidRPr="002A0DA8">
              <w:rPr>
                <w:rFonts w:ascii="Times New Roman" w:hAnsi="Times New Roman" w:cs="Times New Roman"/>
                <w:i/>
                <w:iCs/>
                <w:color w:val="2F75B5"/>
                <w:lang w:eastAsia="hr-HR"/>
              </w:rPr>
              <w:t>0,00</w:t>
            </w:r>
          </w:p>
        </w:tc>
      </w:tr>
      <w:tr w:rsidR="002A0DA8" w:rsidRPr="00091F51" w14:paraId="0D4A6D07" w14:textId="77777777" w:rsidTr="00091F51">
        <w:trPr>
          <w:trHeight w:val="288"/>
          <w:jc w:val="center"/>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14:paraId="39B07F75" w14:textId="5B5673FE" w:rsidR="002A0DA8" w:rsidRPr="002A0DA8" w:rsidRDefault="002A0DA8" w:rsidP="002A0DA8">
            <w:pPr>
              <w:spacing w:after="0" w:line="240" w:lineRule="auto"/>
              <w:jc w:val="center"/>
              <w:rPr>
                <w:rFonts w:ascii="Times New Roman" w:hAnsi="Times New Roman" w:cs="Times New Roman"/>
                <w:color w:val="2F75B5"/>
                <w:lang w:eastAsia="hr-HR"/>
              </w:rPr>
            </w:pPr>
          </w:p>
        </w:tc>
        <w:tc>
          <w:tcPr>
            <w:tcW w:w="2956" w:type="dxa"/>
            <w:tcBorders>
              <w:top w:val="nil"/>
              <w:left w:val="nil"/>
              <w:bottom w:val="single" w:sz="4" w:space="0" w:color="auto"/>
              <w:right w:val="single" w:sz="4" w:space="0" w:color="auto"/>
            </w:tcBorders>
            <w:shd w:val="clear" w:color="000000" w:fill="FFFFFF"/>
            <w:hideMark/>
          </w:tcPr>
          <w:p w14:paraId="43168CE9" w14:textId="77777777" w:rsidR="002A0DA8" w:rsidRPr="002A0DA8" w:rsidRDefault="002A0DA8" w:rsidP="002A0DA8">
            <w:pPr>
              <w:spacing w:after="0" w:line="240" w:lineRule="auto"/>
              <w:rPr>
                <w:rFonts w:ascii="Times New Roman" w:hAnsi="Times New Roman" w:cs="Times New Roman"/>
                <w:i/>
                <w:iCs/>
                <w:color w:val="2F75B5"/>
                <w:lang w:eastAsia="hr-HR"/>
              </w:rPr>
            </w:pPr>
            <w:r w:rsidRPr="002A0DA8">
              <w:rPr>
                <w:rFonts w:ascii="Times New Roman" w:hAnsi="Times New Roman" w:cs="Times New Roman"/>
                <w:i/>
                <w:iCs/>
                <w:color w:val="2F75B5"/>
                <w:lang w:eastAsia="hr-HR"/>
              </w:rPr>
              <w:t>Uređenje prostora OŠ Garešnica</w:t>
            </w:r>
          </w:p>
        </w:tc>
        <w:tc>
          <w:tcPr>
            <w:tcW w:w="1431" w:type="dxa"/>
            <w:tcBorders>
              <w:top w:val="nil"/>
              <w:left w:val="nil"/>
              <w:bottom w:val="single" w:sz="4" w:space="0" w:color="auto"/>
              <w:right w:val="single" w:sz="4" w:space="0" w:color="auto"/>
            </w:tcBorders>
            <w:shd w:val="clear" w:color="000000" w:fill="FFFFFF"/>
            <w:hideMark/>
          </w:tcPr>
          <w:p w14:paraId="5328A594" w14:textId="77777777" w:rsidR="002A0DA8" w:rsidRPr="002A0DA8" w:rsidRDefault="002A0DA8" w:rsidP="002A0DA8">
            <w:pPr>
              <w:spacing w:after="0" w:line="240" w:lineRule="auto"/>
              <w:jc w:val="right"/>
              <w:rPr>
                <w:rFonts w:ascii="Times New Roman" w:hAnsi="Times New Roman" w:cs="Times New Roman"/>
                <w:i/>
                <w:iCs/>
                <w:color w:val="2F75B5"/>
                <w:lang w:eastAsia="hr-HR"/>
              </w:rPr>
            </w:pPr>
            <w:r w:rsidRPr="002A0DA8">
              <w:rPr>
                <w:rFonts w:ascii="Times New Roman" w:hAnsi="Times New Roman" w:cs="Times New Roman"/>
                <w:i/>
                <w:iCs/>
                <w:color w:val="2F75B5"/>
                <w:lang w:eastAsia="hr-HR"/>
              </w:rPr>
              <w:t>41.000,00</w:t>
            </w:r>
          </w:p>
        </w:tc>
        <w:tc>
          <w:tcPr>
            <w:tcW w:w="1417" w:type="dxa"/>
            <w:gridSpan w:val="2"/>
            <w:tcBorders>
              <w:top w:val="single" w:sz="4" w:space="0" w:color="auto"/>
              <w:left w:val="nil"/>
              <w:bottom w:val="single" w:sz="4" w:space="0" w:color="auto"/>
              <w:right w:val="single" w:sz="4" w:space="0" w:color="auto"/>
            </w:tcBorders>
            <w:shd w:val="clear" w:color="000000" w:fill="FFFFFF"/>
            <w:noWrap/>
            <w:hideMark/>
          </w:tcPr>
          <w:p w14:paraId="5964FDEC" w14:textId="77777777" w:rsidR="002A0DA8" w:rsidRPr="002A0DA8" w:rsidRDefault="002A0DA8" w:rsidP="002A0DA8">
            <w:pPr>
              <w:spacing w:after="0" w:line="240" w:lineRule="auto"/>
              <w:jc w:val="right"/>
              <w:rPr>
                <w:rFonts w:ascii="Times New Roman" w:hAnsi="Times New Roman" w:cs="Times New Roman"/>
                <w:i/>
                <w:iCs/>
                <w:color w:val="2F75B5"/>
                <w:lang w:eastAsia="hr-HR"/>
              </w:rPr>
            </w:pPr>
            <w:r w:rsidRPr="002A0DA8">
              <w:rPr>
                <w:rFonts w:ascii="Times New Roman" w:hAnsi="Times New Roman" w:cs="Times New Roman"/>
                <w:i/>
                <w:iCs/>
                <w:color w:val="2F75B5"/>
                <w:lang w:eastAsia="hr-HR"/>
              </w:rPr>
              <w:t>40.230,37</w:t>
            </w:r>
          </w:p>
        </w:tc>
        <w:tc>
          <w:tcPr>
            <w:tcW w:w="1546" w:type="dxa"/>
            <w:gridSpan w:val="2"/>
            <w:tcBorders>
              <w:top w:val="nil"/>
              <w:left w:val="nil"/>
              <w:bottom w:val="single" w:sz="4" w:space="0" w:color="auto"/>
              <w:right w:val="single" w:sz="4" w:space="0" w:color="auto"/>
            </w:tcBorders>
            <w:shd w:val="clear" w:color="000000" w:fill="FFFFFF"/>
            <w:noWrap/>
            <w:hideMark/>
          </w:tcPr>
          <w:p w14:paraId="126E3ACD" w14:textId="77777777" w:rsidR="002A0DA8" w:rsidRPr="002A0DA8" w:rsidRDefault="002A0DA8" w:rsidP="002A0DA8">
            <w:pPr>
              <w:spacing w:after="0" w:line="240" w:lineRule="auto"/>
              <w:ind w:firstLineChars="100" w:firstLine="220"/>
              <w:jc w:val="right"/>
              <w:rPr>
                <w:rFonts w:ascii="Times New Roman" w:hAnsi="Times New Roman" w:cs="Times New Roman"/>
                <w:i/>
                <w:iCs/>
                <w:color w:val="2F75B5"/>
                <w:lang w:eastAsia="hr-HR"/>
              </w:rPr>
            </w:pPr>
            <w:r w:rsidRPr="002A0DA8">
              <w:rPr>
                <w:rFonts w:ascii="Times New Roman" w:hAnsi="Times New Roman" w:cs="Times New Roman"/>
                <w:i/>
                <w:iCs/>
                <w:color w:val="2F75B5"/>
                <w:lang w:eastAsia="hr-HR"/>
              </w:rPr>
              <w:t>40.230,37</w:t>
            </w:r>
          </w:p>
        </w:tc>
        <w:tc>
          <w:tcPr>
            <w:tcW w:w="1418" w:type="dxa"/>
            <w:tcBorders>
              <w:top w:val="nil"/>
              <w:left w:val="nil"/>
              <w:bottom w:val="single" w:sz="4" w:space="0" w:color="auto"/>
              <w:right w:val="single" w:sz="4" w:space="0" w:color="auto"/>
            </w:tcBorders>
            <w:shd w:val="clear" w:color="000000" w:fill="FFFFFF"/>
            <w:noWrap/>
            <w:hideMark/>
          </w:tcPr>
          <w:p w14:paraId="29D28BD0" w14:textId="77777777" w:rsidR="002A0DA8" w:rsidRPr="002A0DA8" w:rsidRDefault="002A0DA8" w:rsidP="002A0DA8">
            <w:pPr>
              <w:spacing w:after="0" w:line="240" w:lineRule="auto"/>
              <w:jc w:val="right"/>
              <w:rPr>
                <w:rFonts w:ascii="Times New Roman" w:hAnsi="Times New Roman" w:cs="Times New Roman"/>
                <w:i/>
                <w:iCs/>
                <w:color w:val="2F75B5"/>
                <w:lang w:eastAsia="hr-HR"/>
              </w:rPr>
            </w:pPr>
            <w:r w:rsidRPr="002A0DA8">
              <w:rPr>
                <w:rFonts w:ascii="Times New Roman" w:hAnsi="Times New Roman" w:cs="Times New Roman"/>
                <w:i/>
                <w:iCs/>
                <w:color w:val="2F75B5"/>
                <w:lang w:eastAsia="hr-HR"/>
              </w:rPr>
              <w:t>0,00</w:t>
            </w:r>
          </w:p>
        </w:tc>
      </w:tr>
      <w:tr w:rsidR="002A0DA8" w:rsidRPr="00091F51" w14:paraId="2DEEEA38" w14:textId="77777777" w:rsidTr="00091F51">
        <w:trPr>
          <w:trHeight w:val="288"/>
          <w:jc w:val="center"/>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14:paraId="7B455D70" w14:textId="1EACBDED" w:rsidR="002A0DA8" w:rsidRPr="002A0DA8" w:rsidRDefault="002A0DA8" w:rsidP="002A0DA8">
            <w:pPr>
              <w:spacing w:after="0" w:line="240" w:lineRule="auto"/>
              <w:jc w:val="center"/>
              <w:rPr>
                <w:rFonts w:ascii="Times New Roman" w:hAnsi="Times New Roman" w:cs="Times New Roman"/>
                <w:color w:val="2F75B5"/>
                <w:lang w:eastAsia="hr-HR"/>
              </w:rPr>
            </w:pPr>
          </w:p>
        </w:tc>
        <w:tc>
          <w:tcPr>
            <w:tcW w:w="2956" w:type="dxa"/>
            <w:tcBorders>
              <w:top w:val="nil"/>
              <w:left w:val="nil"/>
              <w:bottom w:val="single" w:sz="4" w:space="0" w:color="auto"/>
              <w:right w:val="single" w:sz="4" w:space="0" w:color="auto"/>
            </w:tcBorders>
            <w:shd w:val="clear" w:color="000000" w:fill="FFFFFF"/>
            <w:hideMark/>
          </w:tcPr>
          <w:p w14:paraId="2F1E7EDC" w14:textId="77777777" w:rsidR="002A0DA8" w:rsidRPr="002A0DA8" w:rsidRDefault="002A0DA8" w:rsidP="002A0DA8">
            <w:pPr>
              <w:spacing w:after="0" w:line="240" w:lineRule="auto"/>
              <w:rPr>
                <w:rFonts w:ascii="Times New Roman" w:hAnsi="Times New Roman" w:cs="Times New Roman"/>
                <w:i/>
                <w:iCs/>
                <w:color w:val="2F75B5"/>
                <w:lang w:eastAsia="hr-HR"/>
              </w:rPr>
            </w:pPr>
            <w:r w:rsidRPr="002A0DA8">
              <w:rPr>
                <w:rFonts w:ascii="Times New Roman" w:hAnsi="Times New Roman" w:cs="Times New Roman"/>
                <w:i/>
                <w:iCs/>
                <w:color w:val="2F75B5"/>
                <w:lang w:eastAsia="hr-HR"/>
              </w:rPr>
              <w:t>Opremanje dječjih igrališta</w:t>
            </w:r>
          </w:p>
        </w:tc>
        <w:tc>
          <w:tcPr>
            <w:tcW w:w="1431" w:type="dxa"/>
            <w:tcBorders>
              <w:top w:val="nil"/>
              <w:left w:val="nil"/>
              <w:bottom w:val="single" w:sz="4" w:space="0" w:color="auto"/>
              <w:right w:val="single" w:sz="4" w:space="0" w:color="auto"/>
            </w:tcBorders>
            <w:shd w:val="clear" w:color="000000" w:fill="FFFFFF"/>
            <w:hideMark/>
          </w:tcPr>
          <w:p w14:paraId="3FF58A6D" w14:textId="77777777" w:rsidR="002A0DA8" w:rsidRPr="002A0DA8" w:rsidRDefault="002A0DA8" w:rsidP="002A0DA8">
            <w:pPr>
              <w:spacing w:after="0" w:line="240" w:lineRule="auto"/>
              <w:jc w:val="right"/>
              <w:rPr>
                <w:rFonts w:ascii="Times New Roman" w:hAnsi="Times New Roman" w:cs="Times New Roman"/>
                <w:i/>
                <w:iCs/>
                <w:color w:val="2F75B5"/>
                <w:lang w:eastAsia="hr-HR"/>
              </w:rPr>
            </w:pPr>
            <w:r w:rsidRPr="002A0DA8">
              <w:rPr>
                <w:rFonts w:ascii="Times New Roman" w:hAnsi="Times New Roman" w:cs="Times New Roman"/>
                <w:i/>
                <w:iCs/>
                <w:color w:val="2F75B5"/>
                <w:lang w:eastAsia="hr-HR"/>
              </w:rPr>
              <w:t> </w:t>
            </w:r>
          </w:p>
        </w:tc>
        <w:tc>
          <w:tcPr>
            <w:tcW w:w="1417" w:type="dxa"/>
            <w:gridSpan w:val="2"/>
            <w:tcBorders>
              <w:top w:val="nil"/>
              <w:left w:val="nil"/>
              <w:bottom w:val="single" w:sz="4" w:space="0" w:color="auto"/>
              <w:right w:val="single" w:sz="4" w:space="0" w:color="auto"/>
            </w:tcBorders>
            <w:shd w:val="clear" w:color="000000" w:fill="FFFFFF"/>
            <w:noWrap/>
            <w:hideMark/>
          </w:tcPr>
          <w:p w14:paraId="49CC3C88" w14:textId="77777777" w:rsidR="002A0DA8" w:rsidRPr="002A0DA8" w:rsidRDefault="002A0DA8" w:rsidP="002A0DA8">
            <w:pPr>
              <w:spacing w:after="0" w:line="240" w:lineRule="auto"/>
              <w:jc w:val="right"/>
              <w:rPr>
                <w:rFonts w:ascii="Times New Roman" w:hAnsi="Times New Roman" w:cs="Times New Roman"/>
                <w:i/>
                <w:iCs/>
                <w:color w:val="2F75B5"/>
                <w:lang w:eastAsia="hr-HR"/>
              </w:rPr>
            </w:pPr>
            <w:r w:rsidRPr="002A0DA8">
              <w:rPr>
                <w:rFonts w:ascii="Times New Roman" w:hAnsi="Times New Roman" w:cs="Times New Roman"/>
                <w:i/>
                <w:iCs/>
                <w:color w:val="2F75B5"/>
                <w:lang w:eastAsia="hr-HR"/>
              </w:rPr>
              <w:t>60.000,00</w:t>
            </w:r>
          </w:p>
        </w:tc>
        <w:tc>
          <w:tcPr>
            <w:tcW w:w="1546" w:type="dxa"/>
            <w:gridSpan w:val="2"/>
            <w:tcBorders>
              <w:top w:val="nil"/>
              <w:left w:val="nil"/>
              <w:bottom w:val="single" w:sz="4" w:space="0" w:color="auto"/>
              <w:right w:val="single" w:sz="4" w:space="0" w:color="auto"/>
            </w:tcBorders>
            <w:shd w:val="clear" w:color="000000" w:fill="FFFFFF"/>
            <w:noWrap/>
            <w:hideMark/>
          </w:tcPr>
          <w:p w14:paraId="3B3B0B71" w14:textId="77777777" w:rsidR="002A0DA8" w:rsidRPr="002A0DA8" w:rsidRDefault="002A0DA8" w:rsidP="002A0DA8">
            <w:pPr>
              <w:spacing w:after="0" w:line="240" w:lineRule="auto"/>
              <w:ind w:firstLineChars="100" w:firstLine="220"/>
              <w:jc w:val="right"/>
              <w:rPr>
                <w:rFonts w:ascii="Times New Roman" w:hAnsi="Times New Roman" w:cs="Times New Roman"/>
                <w:i/>
                <w:iCs/>
                <w:color w:val="2F75B5"/>
                <w:lang w:eastAsia="hr-HR"/>
              </w:rPr>
            </w:pPr>
            <w:r w:rsidRPr="002A0DA8">
              <w:rPr>
                <w:rFonts w:ascii="Times New Roman" w:hAnsi="Times New Roman" w:cs="Times New Roman"/>
                <w:i/>
                <w:iCs/>
                <w:color w:val="2F75B5"/>
                <w:lang w:eastAsia="hr-HR"/>
              </w:rPr>
              <w:t>0,00</w:t>
            </w:r>
          </w:p>
        </w:tc>
        <w:tc>
          <w:tcPr>
            <w:tcW w:w="1418" w:type="dxa"/>
            <w:tcBorders>
              <w:top w:val="nil"/>
              <w:left w:val="nil"/>
              <w:bottom w:val="single" w:sz="4" w:space="0" w:color="auto"/>
              <w:right w:val="single" w:sz="4" w:space="0" w:color="auto"/>
            </w:tcBorders>
            <w:shd w:val="clear" w:color="000000" w:fill="FFFFFF"/>
            <w:noWrap/>
            <w:hideMark/>
          </w:tcPr>
          <w:p w14:paraId="6332C651" w14:textId="77777777" w:rsidR="002A0DA8" w:rsidRPr="002A0DA8" w:rsidRDefault="002A0DA8" w:rsidP="002A0DA8">
            <w:pPr>
              <w:spacing w:after="0" w:line="240" w:lineRule="auto"/>
              <w:jc w:val="right"/>
              <w:rPr>
                <w:rFonts w:ascii="Times New Roman" w:hAnsi="Times New Roman" w:cs="Times New Roman"/>
                <w:i/>
                <w:iCs/>
                <w:color w:val="2F75B5"/>
                <w:lang w:eastAsia="hr-HR"/>
              </w:rPr>
            </w:pPr>
            <w:r w:rsidRPr="002A0DA8">
              <w:rPr>
                <w:rFonts w:ascii="Times New Roman" w:hAnsi="Times New Roman" w:cs="Times New Roman"/>
                <w:i/>
                <w:iCs/>
                <w:color w:val="2F75B5"/>
                <w:lang w:eastAsia="hr-HR"/>
              </w:rPr>
              <w:t>60.000,00</w:t>
            </w:r>
          </w:p>
        </w:tc>
      </w:tr>
      <w:tr w:rsidR="002A0DA8" w:rsidRPr="00091F51" w14:paraId="44480110" w14:textId="77777777" w:rsidTr="00091F51">
        <w:trPr>
          <w:trHeight w:val="288"/>
          <w:jc w:val="center"/>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14:paraId="419C2330" w14:textId="63FF0117" w:rsidR="002A0DA8" w:rsidRPr="002A0DA8" w:rsidRDefault="002A0DA8" w:rsidP="002A0DA8">
            <w:pPr>
              <w:spacing w:after="0" w:line="240" w:lineRule="auto"/>
              <w:jc w:val="center"/>
              <w:rPr>
                <w:rFonts w:ascii="Times New Roman" w:hAnsi="Times New Roman" w:cs="Times New Roman"/>
                <w:color w:val="2F75B5"/>
                <w:lang w:eastAsia="hr-HR"/>
              </w:rPr>
            </w:pPr>
          </w:p>
        </w:tc>
        <w:tc>
          <w:tcPr>
            <w:tcW w:w="2956" w:type="dxa"/>
            <w:tcBorders>
              <w:top w:val="nil"/>
              <w:left w:val="nil"/>
              <w:bottom w:val="single" w:sz="4" w:space="0" w:color="auto"/>
              <w:right w:val="single" w:sz="4" w:space="0" w:color="auto"/>
            </w:tcBorders>
            <w:shd w:val="clear" w:color="000000" w:fill="FFFFFF"/>
            <w:hideMark/>
          </w:tcPr>
          <w:p w14:paraId="1DFEAECC" w14:textId="77777777" w:rsidR="002A0DA8" w:rsidRPr="002A0DA8" w:rsidRDefault="002A0DA8" w:rsidP="002A0DA8">
            <w:pPr>
              <w:spacing w:after="0" w:line="240" w:lineRule="auto"/>
              <w:rPr>
                <w:rFonts w:ascii="Times New Roman" w:hAnsi="Times New Roman" w:cs="Times New Roman"/>
                <w:i/>
                <w:iCs/>
                <w:color w:val="2F75B5"/>
                <w:lang w:eastAsia="hr-HR"/>
              </w:rPr>
            </w:pPr>
            <w:r w:rsidRPr="002A0DA8">
              <w:rPr>
                <w:rFonts w:ascii="Times New Roman" w:hAnsi="Times New Roman" w:cs="Times New Roman"/>
                <w:i/>
                <w:iCs/>
                <w:color w:val="2F75B5"/>
                <w:lang w:eastAsia="hr-HR"/>
              </w:rPr>
              <w:t xml:space="preserve">"Provedba </w:t>
            </w:r>
            <w:proofErr w:type="spellStart"/>
            <w:r w:rsidRPr="002A0DA8">
              <w:rPr>
                <w:rFonts w:ascii="Times New Roman" w:hAnsi="Times New Roman" w:cs="Times New Roman"/>
                <w:i/>
                <w:iCs/>
                <w:color w:val="2F75B5"/>
                <w:lang w:eastAsia="hr-HR"/>
              </w:rPr>
              <w:t>edukat.i</w:t>
            </w:r>
            <w:proofErr w:type="spellEnd"/>
            <w:r w:rsidRPr="002A0DA8">
              <w:rPr>
                <w:rFonts w:ascii="Times New Roman" w:hAnsi="Times New Roman" w:cs="Times New Roman"/>
                <w:i/>
                <w:iCs/>
                <w:color w:val="2F75B5"/>
                <w:lang w:eastAsia="hr-HR"/>
              </w:rPr>
              <w:t xml:space="preserve"> kult.akt.za djecu"</w:t>
            </w:r>
          </w:p>
        </w:tc>
        <w:tc>
          <w:tcPr>
            <w:tcW w:w="1431" w:type="dxa"/>
            <w:tcBorders>
              <w:top w:val="nil"/>
              <w:left w:val="nil"/>
              <w:bottom w:val="single" w:sz="4" w:space="0" w:color="auto"/>
              <w:right w:val="single" w:sz="4" w:space="0" w:color="auto"/>
            </w:tcBorders>
            <w:shd w:val="clear" w:color="000000" w:fill="FFFFFF"/>
            <w:hideMark/>
          </w:tcPr>
          <w:p w14:paraId="4E849117" w14:textId="77777777" w:rsidR="002A0DA8" w:rsidRPr="002A0DA8" w:rsidRDefault="002A0DA8" w:rsidP="002A0DA8">
            <w:pPr>
              <w:spacing w:after="0" w:line="240" w:lineRule="auto"/>
              <w:jc w:val="right"/>
              <w:rPr>
                <w:rFonts w:ascii="Times New Roman" w:hAnsi="Times New Roman" w:cs="Times New Roman"/>
                <w:i/>
                <w:iCs/>
                <w:color w:val="2F75B5"/>
                <w:lang w:eastAsia="hr-HR"/>
              </w:rPr>
            </w:pPr>
            <w:r w:rsidRPr="002A0DA8">
              <w:rPr>
                <w:rFonts w:ascii="Times New Roman" w:hAnsi="Times New Roman" w:cs="Times New Roman"/>
                <w:i/>
                <w:iCs/>
                <w:color w:val="2F75B5"/>
                <w:lang w:eastAsia="hr-HR"/>
              </w:rPr>
              <w:t> </w:t>
            </w:r>
          </w:p>
        </w:tc>
        <w:tc>
          <w:tcPr>
            <w:tcW w:w="1417" w:type="dxa"/>
            <w:gridSpan w:val="2"/>
            <w:tcBorders>
              <w:top w:val="nil"/>
              <w:left w:val="nil"/>
              <w:bottom w:val="single" w:sz="4" w:space="0" w:color="auto"/>
              <w:right w:val="single" w:sz="4" w:space="0" w:color="auto"/>
            </w:tcBorders>
            <w:shd w:val="clear" w:color="000000" w:fill="FFFFFF"/>
            <w:noWrap/>
            <w:hideMark/>
          </w:tcPr>
          <w:p w14:paraId="4EBEF60C" w14:textId="77777777" w:rsidR="002A0DA8" w:rsidRPr="002A0DA8" w:rsidRDefault="002A0DA8" w:rsidP="002A0DA8">
            <w:pPr>
              <w:spacing w:after="0" w:line="240" w:lineRule="auto"/>
              <w:jc w:val="right"/>
              <w:rPr>
                <w:rFonts w:ascii="Times New Roman" w:hAnsi="Times New Roman" w:cs="Times New Roman"/>
                <w:i/>
                <w:iCs/>
                <w:color w:val="2F75B5"/>
                <w:lang w:eastAsia="hr-HR"/>
              </w:rPr>
            </w:pPr>
            <w:r w:rsidRPr="002A0DA8">
              <w:rPr>
                <w:rFonts w:ascii="Times New Roman" w:hAnsi="Times New Roman" w:cs="Times New Roman"/>
                <w:i/>
                <w:iCs/>
                <w:color w:val="2F75B5"/>
                <w:lang w:eastAsia="hr-HR"/>
              </w:rPr>
              <w:t>30.000,00</w:t>
            </w:r>
          </w:p>
        </w:tc>
        <w:tc>
          <w:tcPr>
            <w:tcW w:w="1546" w:type="dxa"/>
            <w:gridSpan w:val="2"/>
            <w:tcBorders>
              <w:top w:val="nil"/>
              <w:left w:val="nil"/>
              <w:bottom w:val="nil"/>
              <w:right w:val="single" w:sz="4" w:space="0" w:color="auto"/>
            </w:tcBorders>
            <w:shd w:val="clear" w:color="000000" w:fill="FFFFFF"/>
            <w:noWrap/>
            <w:hideMark/>
          </w:tcPr>
          <w:p w14:paraId="0EF20A45" w14:textId="77777777" w:rsidR="002A0DA8" w:rsidRPr="002A0DA8" w:rsidRDefault="002A0DA8" w:rsidP="002A0DA8">
            <w:pPr>
              <w:spacing w:after="0" w:line="240" w:lineRule="auto"/>
              <w:ind w:firstLineChars="100" w:firstLine="220"/>
              <w:jc w:val="right"/>
              <w:rPr>
                <w:rFonts w:ascii="Times New Roman" w:hAnsi="Times New Roman" w:cs="Times New Roman"/>
                <w:i/>
                <w:iCs/>
                <w:color w:val="2F75B5"/>
                <w:lang w:eastAsia="hr-HR"/>
              </w:rPr>
            </w:pPr>
            <w:r w:rsidRPr="002A0DA8">
              <w:rPr>
                <w:rFonts w:ascii="Times New Roman" w:hAnsi="Times New Roman" w:cs="Times New Roman"/>
                <w:i/>
                <w:iCs/>
                <w:color w:val="2F75B5"/>
                <w:lang w:eastAsia="hr-HR"/>
              </w:rPr>
              <w:t>2.990,00</w:t>
            </w:r>
          </w:p>
        </w:tc>
        <w:tc>
          <w:tcPr>
            <w:tcW w:w="1418" w:type="dxa"/>
            <w:tcBorders>
              <w:top w:val="nil"/>
              <w:left w:val="nil"/>
              <w:bottom w:val="single" w:sz="4" w:space="0" w:color="auto"/>
              <w:right w:val="single" w:sz="4" w:space="0" w:color="auto"/>
            </w:tcBorders>
            <w:shd w:val="clear" w:color="000000" w:fill="FFFFFF"/>
            <w:noWrap/>
            <w:hideMark/>
          </w:tcPr>
          <w:p w14:paraId="7680BFB9" w14:textId="77777777" w:rsidR="002A0DA8" w:rsidRPr="002A0DA8" w:rsidRDefault="002A0DA8" w:rsidP="002A0DA8">
            <w:pPr>
              <w:spacing w:after="0" w:line="240" w:lineRule="auto"/>
              <w:jc w:val="right"/>
              <w:rPr>
                <w:rFonts w:ascii="Times New Roman" w:hAnsi="Times New Roman" w:cs="Times New Roman"/>
                <w:i/>
                <w:iCs/>
                <w:color w:val="2F75B5"/>
                <w:lang w:eastAsia="hr-HR"/>
              </w:rPr>
            </w:pPr>
            <w:r w:rsidRPr="002A0DA8">
              <w:rPr>
                <w:rFonts w:ascii="Times New Roman" w:hAnsi="Times New Roman" w:cs="Times New Roman"/>
                <w:i/>
                <w:iCs/>
                <w:color w:val="2F75B5"/>
                <w:lang w:eastAsia="hr-HR"/>
              </w:rPr>
              <w:t>27.010,00</w:t>
            </w:r>
          </w:p>
        </w:tc>
      </w:tr>
      <w:tr w:rsidR="002A0DA8" w:rsidRPr="00091F51" w14:paraId="2CA81882" w14:textId="77777777" w:rsidTr="00091F51">
        <w:trPr>
          <w:trHeight w:val="288"/>
          <w:jc w:val="center"/>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14:paraId="195D892C" w14:textId="48D9C0F2" w:rsidR="002A0DA8" w:rsidRPr="002A0DA8" w:rsidRDefault="002A0DA8" w:rsidP="002A0DA8">
            <w:pPr>
              <w:spacing w:after="0" w:line="240" w:lineRule="auto"/>
              <w:jc w:val="center"/>
              <w:rPr>
                <w:rFonts w:ascii="Times New Roman" w:hAnsi="Times New Roman" w:cs="Times New Roman"/>
                <w:color w:val="2F75B5"/>
                <w:lang w:eastAsia="hr-HR"/>
              </w:rPr>
            </w:pPr>
          </w:p>
        </w:tc>
        <w:tc>
          <w:tcPr>
            <w:tcW w:w="2956" w:type="dxa"/>
            <w:tcBorders>
              <w:top w:val="nil"/>
              <w:left w:val="nil"/>
              <w:bottom w:val="single" w:sz="4" w:space="0" w:color="auto"/>
              <w:right w:val="single" w:sz="4" w:space="0" w:color="auto"/>
            </w:tcBorders>
            <w:shd w:val="clear" w:color="000000" w:fill="FFFFFF"/>
            <w:noWrap/>
            <w:hideMark/>
          </w:tcPr>
          <w:p w14:paraId="346425F7" w14:textId="77777777" w:rsidR="002A0DA8" w:rsidRPr="002A0DA8" w:rsidRDefault="002A0DA8" w:rsidP="002A0DA8">
            <w:pPr>
              <w:spacing w:after="0" w:line="240" w:lineRule="auto"/>
              <w:rPr>
                <w:rFonts w:ascii="Times New Roman" w:hAnsi="Times New Roman" w:cs="Times New Roman"/>
                <w:i/>
                <w:iCs/>
                <w:color w:val="2F75B5"/>
                <w:lang w:eastAsia="hr-HR"/>
              </w:rPr>
            </w:pPr>
            <w:r w:rsidRPr="002A0DA8">
              <w:rPr>
                <w:rFonts w:ascii="Times New Roman" w:hAnsi="Times New Roman" w:cs="Times New Roman"/>
                <w:i/>
                <w:iCs/>
                <w:color w:val="2F75B5"/>
                <w:lang w:eastAsia="hr-HR"/>
              </w:rPr>
              <w:t>"Nikad nije kasno faza IV"</w:t>
            </w:r>
          </w:p>
        </w:tc>
        <w:tc>
          <w:tcPr>
            <w:tcW w:w="1431" w:type="dxa"/>
            <w:tcBorders>
              <w:top w:val="nil"/>
              <w:left w:val="nil"/>
              <w:bottom w:val="single" w:sz="4" w:space="0" w:color="auto"/>
              <w:right w:val="single" w:sz="4" w:space="0" w:color="auto"/>
            </w:tcBorders>
            <w:shd w:val="clear" w:color="000000" w:fill="FFFFFF"/>
            <w:noWrap/>
            <w:hideMark/>
          </w:tcPr>
          <w:p w14:paraId="01114B6D" w14:textId="77777777" w:rsidR="002A0DA8" w:rsidRPr="002A0DA8" w:rsidRDefault="002A0DA8" w:rsidP="002A0DA8">
            <w:pPr>
              <w:spacing w:after="0" w:line="240" w:lineRule="auto"/>
              <w:jc w:val="right"/>
              <w:rPr>
                <w:rFonts w:ascii="Times New Roman" w:hAnsi="Times New Roman" w:cs="Times New Roman"/>
                <w:color w:val="2F75B5"/>
                <w:lang w:eastAsia="hr-HR"/>
              </w:rPr>
            </w:pPr>
            <w:r w:rsidRPr="002A0DA8">
              <w:rPr>
                <w:rFonts w:ascii="Times New Roman" w:hAnsi="Times New Roman" w:cs="Times New Roman"/>
                <w:color w:val="2F75B5"/>
                <w:lang w:eastAsia="hr-HR"/>
              </w:rPr>
              <w:t> </w:t>
            </w:r>
          </w:p>
        </w:tc>
        <w:tc>
          <w:tcPr>
            <w:tcW w:w="1417" w:type="dxa"/>
            <w:gridSpan w:val="2"/>
            <w:tcBorders>
              <w:top w:val="nil"/>
              <w:left w:val="nil"/>
              <w:bottom w:val="single" w:sz="4" w:space="0" w:color="auto"/>
              <w:right w:val="single" w:sz="4" w:space="0" w:color="auto"/>
            </w:tcBorders>
            <w:shd w:val="clear" w:color="000000" w:fill="FFFFFF"/>
            <w:noWrap/>
            <w:hideMark/>
          </w:tcPr>
          <w:p w14:paraId="0F874E25" w14:textId="77777777" w:rsidR="002A0DA8" w:rsidRPr="002A0DA8" w:rsidRDefault="002A0DA8" w:rsidP="002A0DA8">
            <w:pPr>
              <w:spacing w:after="0" w:line="240" w:lineRule="auto"/>
              <w:jc w:val="right"/>
              <w:rPr>
                <w:rFonts w:ascii="Times New Roman" w:hAnsi="Times New Roman" w:cs="Times New Roman"/>
                <w:color w:val="2F75B5"/>
                <w:lang w:eastAsia="hr-HR"/>
              </w:rPr>
            </w:pPr>
            <w:r w:rsidRPr="002A0DA8">
              <w:rPr>
                <w:rFonts w:ascii="Times New Roman" w:hAnsi="Times New Roman" w:cs="Times New Roman"/>
                <w:color w:val="2F75B5"/>
                <w:lang w:eastAsia="hr-HR"/>
              </w:rPr>
              <w:t>73.988,58</w:t>
            </w:r>
          </w:p>
        </w:tc>
        <w:tc>
          <w:tcPr>
            <w:tcW w:w="1546" w:type="dxa"/>
            <w:gridSpan w:val="2"/>
            <w:tcBorders>
              <w:top w:val="single" w:sz="4" w:space="0" w:color="auto"/>
              <w:left w:val="nil"/>
              <w:bottom w:val="single" w:sz="4" w:space="0" w:color="auto"/>
              <w:right w:val="single" w:sz="4" w:space="0" w:color="auto"/>
            </w:tcBorders>
            <w:shd w:val="clear" w:color="000000" w:fill="FFFFFF"/>
            <w:noWrap/>
            <w:hideMark/>
          </w:tcPr>
          <w:p w14:paraId="54CDA819" w14:textId="77777777" w:rsidR="002A0DA8" w:rsidRPr="002A0DA8" w:rsidRDefault="002A0DA8" w:rsidP="002A0DA8">
            <w:pPr>
              <w:spacing w:after="0" w:line="240" w:lineRule="auto"/>
              <w:ind w:firstLineChars="100" w:firstLine="220"/>
              <w:jc w:val="right"/>
              <w:rPr>
                <w:rFonts w:ascii="Times New Roman" w:hAnsi="Times New Roman" w:cs="Times New Roman"/>
                <w:color w:val="2F75B5"/>
                <w:lang w:eastAsia="hr-HR"/>
              </w:rPr>
            </w:pPr>
            <w:r w:rsidRPr="002A0DA8">
              <w:rPr>
                <w:rFonts w:ascii="Times New Roman" w:hAnsi="Times New Roman" w:cs="Times New Roman"/>
                <w:color w:val="2F75B5"/>
                <w:lang w:eastAsia="hr-HR"/>
              </w:rPr>
              <w:t>49.394,21</w:t>
            </w:r>
          </w:p>
        </w:tc>
        <w:tc>
          <w:tcPr>
            <w:tcW w:w="1418" w:type="dxa"/>
            <w:tcBorders>
              <w:top w:val="nil"/>
              <w:left w:val="nil"/>
              <w:bottom w:val="single" w:sz="4" w:space="0" w:color="auto"/>
              <w:right w:val="single" w:sz="4" w:space="0" w:color="auto"/>
            </w:tcBorders>
            <w:shd w:val="clear" w:color="000000" w:fill="FFFFFF"/>
            <w:noWrap/>
            <w:hideMark/>
          </w:tcPr>
          <w:p w14:paraId="70B6B76F" w14:textId="77777777" w:rsidR="002A0DA8" w:rsidRPr="002A0DA8" w:rsidRDefault="002A0DA8" w:rsidP="002A0DA8">
            <w:pPr>
              <w:spacing w:after="0" w:line="240" w:lineRule="auto"/>
              <w:jc w:val="right"/>
              <w:rPr>
                <w:rFonts w:ascii="Times New Roman" w:hAnsi="Times New Roman" w:cs="Times New Roman"/>
                <w:color w:val="2F75B5"/>
                <w:lang w:eastAsia="hr-HR"/>
              </w:rPr>
            </w:pPr>
            <w:r w:rsidRPr="002A0DA8">
              <w:rPr>
                <w:rFonts w:ascii="Times New Roman" w:hAnsi="Times New Roman" w:cs="Times New Roman"/>
                <w:color w:val="2F75B5"/>
                <w:lang w:eastAsia="hr-HR"/>
              </w:rPr>
              <w:t>24.594,37</w:t>
            </w:r>
          </w:p>
        </w:tc>
      </w:tr>
      <w:tr w:rsidR="002A0DA8" w:rsidRPr="00091F51" w14:paraId="223D00A2" w14:textId="77777777" w:rsidTr="00091F51">
        <w:trPr>
          <w:trHeight w:val="330"/>
          <w:jc w:val="center"/>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14:paraId="47C0FE61" w14:textId="64CBEBD6" w:rsidR="002A0DA8" w:rsidRPr="002A0DA8" w:rsidRDefault="002A0DA8" w:rsidP="002A0DA8">
            <w:pPr>
              <w:spacing w:after="0" w:line="240" w:lineRule="auto"/>
              <w:jc w:val="center"/>
              <w:rPr>
                <w:rFonts w:ascii="Times New Roman" w:hAnsi="Times New Roman" w:cs="Times New Roman"/>
                <w:color w:val="2F75B5"/>
                <w:lang w:eastAsia="hr-HR"/>
              </w:rPr>
            </w:pPr>
          </w:p>
        </w:tc>
        <w:tc>
          <w:tcPr>
            <w:tcW w:w="2956" w:type="dxa"/>
            <w:tcBorders>
              <w:top w:val="nil"/>
              <w:left w:val="nil"/>
              <w:bottom w:val="single" w:sz="4" w:space="0" w:color="auto"/>
              <w:right w:val="single" w:sz="4" w:space="0" w:color="auto"/>
            </w:tcBorders>
            <w:shd w:val="clear" w:color="000000" w:fill="FFFFFF"/>
            <w:hideMark/>
          </w:tcPr>
          <w:p w14:paraId="51EBB032" w14:textId="77777777" w:rsidR="002A0DA8" w:rsidRPr="002A0DA8" w:rsidRDefault="002A0DA8" w:rsidP="002A0DA8">
            <w:pPr>
              <w:spacing w:after="0" w:line="240" w:lineRule="auto"/>
              <w:rPr>
                <w:rFonts w:ascii="Times New Roman" w:hAnsi="Times New Roman" w:cs="Times New Roman"/>
                <w:color w:val="2F75B5"/>
                <w:lang w:eastAsia="hr-HR"/>
              </w:rPr>
            </w:pPr>
            <w:r w:rsidRPr="002A0DA8">
              <w:rPr>
                <w:rFonts w:ascii="Times New Roman" w:hAnsi="Times New Roman" w:cs="Times New Roman"/>
                <w:color w:val="2F75B5"/>
                <w:lang w:eastAsia="hr-HR"/>
              </w:rPr>
              <w:t xml:space="preserve">"Rekonstrukcija ceste </w:t>
            </w:r>
            <w:proofErr w:type="spellStart"/>
            <w:r w:rsidRPr="002A0DA8">
              <w:rPr>
                <w:rFonts w:ascii="Times New Roman" w:hAnsi="Times New Roman" w:cs="Times New Roman"/>
                <w:color w:val="2F75B5"/>
                <w:lang w:eastAsia="hr-HR"/>
              </w:rPr>
              <w:t>Zdenčac</w:t>
            </w:r>
            <w:proofErr w:type="spellEnd"/>
            <w:r w:rsidRPr="002A0DA8">
              <w:rPr>
                <w:rFonts w:ascii="Times New Roman" w:hAnsi="Times New Roman" w:cs="Times New Roman"/>
                <w:color w:val="2F75B5"/>
                <w:lang w:eastAsia="hr-HR"/>
              </w:rPr>
              <w:t>"</w:t>
            </w:r>
          </w:p>
        </w:tc>
        <w:tc>
          <w:tcPr>
            <w:tcW w:w="1431" w:type="dxa"/>
            <w:tcBorders>
              <w:top w:val="nil"/>
              <w:left w:val="nil"/>
              <w:bottom w:val="single" w:sz="4" w:space="0" w:color="auto"/>
              <w:right w:val="single" w:sz="4" w:space="0" w:color="auto"/>
            </w:tcBorders>
            <w:shd w:val="clear" w:color="000000" w:fill="FFFFFF"/>
            <w:hideMark/>
          </w:tcPr>
          <w:p w14:paraId="59D349A6" w14:textId="77777777" w:rsidR="002A0DA8" w:rsidRPr="002A0DA8" w:rsidRDefault="002A0DA8" w:rsidP="002A0DA8">
            <w:pPr>
              <w:spacing w:after="0" w:line="240" w:lineRule="auto"/>
              <w:jc w:val="right"/>
              <w:rPr>
                <w:rFonts w:ascii="Times New Roman" w:hAnsi="Times New Roman" w:cs="Times New Roman"/>
                <w:color w:val="2F75B5"/>
                <w:lang w:eastAsia="hr-HR"/>
              </w:rPr>
            </w:pPr>
            <w:r w:rsidRPr="002A0DA8">
              <w:rPr>
                <w:rFonts w:ascii="Times New Roman" w:hAnsi="Times New Roman" w:cs="Times New Roman"/>
                <w:color w:val="2F75B5"/>
                <w:lang w:eastAsia="hr-HR"/>
              </w:rPr>
              <w:t> </w:t>
            </w:r>
          </w:p>
        </w:tc>
        <w:tc>
          <w:tcPr>
            <w:tcW w:w="1417" w:type="dxa"/>
            <w:gridSpan w:val="2"/>
            <w:tcBorders>
              <w:top w:val="nil"/>
              <w:left w:val="nil"/>
              <w:bottom w:val="single" w:sz="4" w:space="0" w:color="auto"/>
              <w:right w:val="single" w:sz="4" w:space="0" w:color="auto"/>
            </w:tcBorders>
            <w:shd w:val="clear" w:color="000000" w:fill="FFFFFF"/>
            <w:noWrap/>
            <w:hideMark/>
          </w:tcPr>
          <w:p w14:paraId="19BD5D31" w14:textId="77777777" w:rsidR="002A0DA8" w:rsidRPr="002A0DA8" w:rsidRDefault="002A0DA8" w:rsidP="002A0DA8">
            <w:pPr>
              <w:spacing w:after="0" w:line="240" w:lineRule="auto"/>
              <w:jc w:val="right"/>
              <w:rPr>
                <w:rFonts w:ascii="Times New Roman" w:hAnsi="Times New Roman" w:cs="Times New Roman"/>
                <w:color w:val="2F75B5"/>
                <w:lang w:eastAsia="hr-HR"/>
              </w:rPr>
            </w:pPr>
            <w:r w:rsidRPr="002A0DA8">
              <w:rPr>
                <w:rFonts w:ascii="Times New Roman" w:hAnsi="Times New Roman" w:cs="Times New Roman"/>
                <w:color w:val="2F75B5"/>
                <w:lang w:eastAsia="hr-HR"/>
              </w:rPr>
              <w:t>40.700,00</w:t>
            </w:r>
          </w:p>
        </w:tc>
        <w:tc>
          <w:tcPr>
            <w:tcW w:w="1546" w:type="dxa"/>
            <w:gridSpan w:val="2"/>
            <w:tcBorders>
              <w:top w:val="nil"/>
              <w:left w:val="nil"/>
              <w:bottom w:val="single" w:sz="4" w:space="0" w:color="auto"/>
              <w:right w:val="single" w:sz="4" w:space="0" w:color="auto"/>
            </w:tcBorders>
            <w:shd w:val="clear" w:color="000000" w:fill="FFFFFF"/>
            <w:noWrap/>
            <w:hideMark/>
          </w:tcPr>
          <w:p w14:paraId="10ACEC42" w14:textId="77777777" w:rsidR="002A0DA8" w:rsidRPr="002A0DA8" w:rsidRDefault="002A0DA8" w:rsidP="002A0DA8">
            <w:pPr>
              <w:spacing w:after="0" w:line="240" w:lineRule="auto"/>
              <w:ind w:firstLineChars="100" w:firstLine="220"/>
              <w:jc w:val="right"/>
              <w:rPr>
                <w:rFonts w:ascii="Times New Roman" w:hAnsi="Times New Roman" w:cs="Times New Roman"/>
                <w:color w:val="2F75B5"/>
                <w:lang w:eastAsia="hr-HR"/>
              </w:rPr>
            </w:pPr>
            <w:r w:rsidRPr="002A0DA8">
              <w:rPr>
                <w:rFonts w:ascii="Times New Roman" w:hAnsi="Times New Roman" w:cs="Times New Roman"/>
                <w:color w:val="2F75B5"/>
                <w:lang w:eastAsia="hr-HR"/>
              </w:rPr>
              <w:t>40.700,00</w:t>
            </w:r>
          </w:p>
        </w:tc>
        <w:tc>
          <w:tcPr>
            <w:tcW w:w="1418" w:type="dxa"/>
            <w:tcBorders>
              <w:top w:val="nil"/>
              <w:left w:val="nil"/>
              <w:bottom w:val="single" w:sz="4" w:space="0" w:color="auto"/>
              <w:right w:val="single" w:sz="4" w:space="0" w:color="auto"/>
            </w:tcBorders>
            <w:shd w:val="clear" w:color="000000" w:fill="FFFFFF"/>
            <w:noWrap/>
            <w:hideMark/>
          </w:tcPr>
          <w:p w14:paraId="54F05014" w14:textId="77777777" w:rsidR="002A0DA8" w:rsidRPr="002A0DA8" w:rsidRDefault="002A0DA8" w:rsidP="002A0DA8">
            <w:pPr>
              <w:spacing w:after="0" w:line="240" w:lineRule="auto"/>
              <w:jc w:val="right"/>
              <w:rPr>
                <w:rFonts w:ascii="Times New Roman" w:hAnsi="Times New Roman" w:cs="Times New Roman"/>
                <w:color w:val="2F75B5"/>
                <w:lang w:eastAsia="hr-HR"/>
              </w:rPr>
            </w:pPr>
            <w:r w:rsidRPr="002A0DA8">
              <w:rPr>
                <w:rFonts w:ascii="Times New Roman" w:hAnsi="Times New Roman" w:cs="Times New Roman"/>
                <w:color w:val="2F75B5"/>
                <w:lang w:eastAsia="hr-HR"/>
              </w:rPr>
              <w:t>0,00</w:t>
            </w:r>
          </w:p>
        </w:tc>
      </w:tr>
      <w:tr w:rsidR="002A0DA8" w:rsidRPr="00091F51" w14:paraId="3F33E033" w14:textId="77777777" w:rsidTr="00091F51">
        <w:trPr>
          <w:trHeight w:val="288"/>
          <w:jc w:val="center"/>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14:paraId="0C5D02ED" w14:textId="77777777" w:rsidR="002A0DA8" w:rsidRPr="002A0DA8" w:rsidRDefault="002A0DA8" w:rsidP="002A0DA8">
            <w:pPr>
              <w:spacing w:after="0" w:line="240" w:lineRule="auto"/>
              <w:jc w:val="center"/>
              <w:rPr>
                <w:rFonts w:ascii="Times New Roman" w:hAnsi="Times New Roman" w:cs="Times New Roman"/>
                <w:color w:val="000000"/>
                <w:lang w:eastAsia="hr-HR"/>
              </w:rPr>
            </w:pPr>
            <w:r w:rsidRPr="002A0DA8">
              <w:rPr>
                <w:rFonts w:ascii="Times New Roman" w:hAnsi="Times New Roman" w:cs="Times New Roman"/>
                <w:color w:val="000000"/>
                <w:lang w:eastAsia="hr-HR"/>
              </w:rPr>
              <w:t>14.</w:t>
            </w:r>
          </w:p>
        </w:tc>
        <w:tc>
          <w:tcPr>
            <w:tcW w:w="2956" w:type="dxa"/>
            <w:tcBorders>
              <w:top w:val="nil"/>
              <w:left w:val="nil"/>
              <w:bottom w:val="single" w:sz="4" w:space="0" w:color="auto"/>
              <w:right w:val="single" w:sz="4" w:space="0" w:color="auto"/>
            </w:tcBorders>
            <w:shd w:val="clear" w:color="000000" w:fill="FFFFFF"/>
            <w:noWrap/>
            <w:hideMark/>
          </w:tcPr>
          <w:p w14:paraId="6745FC23" w14:textId="77777777" w:rsidR="002A0DA8" w:rsidRPr="002A0DA8" w:rsidRDefault="002A0DA8" w:rsidP="002A0DA8">
            <w:pPr>
              <w:spacing w:after="0" w:line="240" w:lineRule="auto"/>
              <w:rPr>
                <w:rFonts w:ascii="Times New Roman" w:hAnsi="Times New Roman" w:cs="Times New Roman"/>
                <w:color w:val="000000"/>
                <w:lang w:eastAsia="hr-HR"/>
              </w:rPr>
            </w:pPr>
            <w:r w:rsidRPr="002A0DA8">
              <w:rPr>
                <w:rFonts w:ascii="Times New Roman" w:hAnsi="Times New Roman" w:cs="Times New Roman"/>
                <w:color w:val="000000"/>
                <w:lang w:eastAsia="hr-HR"/>
              </w:rPr>
              <w:t>Decentralizirana sredstva školstvo</w:t>
            </w:r>
          </w:p>
        </w:tc>
        <w:tc>
          <w:tcPr>
            <w:tcW w:w="1431" w:type="dxa"/>
            <w:tcBorders>
              <w:top w:val="nil"/>
              <w:left w:val="nil"/>
              <w:bottom w:val="single" w:sz="4" w:space="0" w:color="auto"/>
              <w:right w:val="single" w:sz="4" w:space="0" w:color="auto"/>
            </w:tcBorders>
            <w:shd w:val="clear" w:color="000000" w:fill="FFFFFF"/>
            <w:noWrap/>
            <w:hideMark/>
          </w:tcPr>
          <w:p w14:paraId="02E6B3D8"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313.620,00</w:t>
            </w:r>
          </w:p>
        </w:tc>
        <w:tc>
          <w:tcPr>
            <w:tcW w:w="1417" w:type="dxa"/>
            <w:gridSpan w:val="2"/>
            <w:tcBorders>
              <w:top w:val="nil"/>
              <w:left w:val="nil"/>
              <w:bottom w:val="single" w:sz="4" w:space="0" w:color="auto"/>
              <w:right w:val="single" w:sz="4" w:space="0" w:color="auto"/>
            </w:tcBorders>
            <w:shd w:val="clear" w:color="000000" w:fill="FFFFFF"/>
            <w:noWrap/>
            <w:hideMark/>
          </w:tcPr>
          <w:p w14:paraId="678E12E0"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318.222,11</w:t>
            </w:r>
          </w:p>
        </w:tc>
        <w:tc>
          <w:tcPr>
            <w:tcW w:w="1546" w:type="dxa"/>
            <w:gridSpan w:val="2"/>
            <w:tcBorders>
              <w:top w:val="nil"/>
              <w:left w:val="nil"/>
              <w:bottom w:val="single" w:sz="4" w:space="0" w:color="auto"/>
              <w:right w:val="single" w:sz="4" w:space="0" w:color="auto"/>
            </w:tcBorders>
            <w:shd w:val="clear" w:color="000000" w:fill="FFFFFF"/>
            <w:noWrap/>
            <w:hideMark/>
          </w:tcPr>
          <w:p w14:paraId="5076F810" w14:textId="77777777" w:rsidR="002A0DA8" w:rsidRPr="002A0DA8" w:rsidRDefault="002A0DA8" w:rsidP="002A0DA8">
            <w:pPr>
              <w:spacing w:after="0" w:line="240" w:lineRule="auto"/>
              <w:ind w:firstLineChars="14" w:firstLine="31"/>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318.222,11</w:t>
            </w:r>
          </w:p>
        </w:tc>
        <w:tc>
          <w:tcPr>
            <w:tcW w:w="1418" w:type="dxa"/>
            <w:tcBorders>
              <w:top w:val="nil"/>
              <w:left w:val="nil"/>
              <w:bottom w:val="single" w:sz="4" w:space="0" w:color="auto"/>
              <w:right w:val="single" w:sz="4" w:space="0" w:color="auto"/>
            </w:tcBorders>
            <w:shd w:val="clear" w:color="000000" w:fill="FFFFFF"/>
            <w:noWrap/>
            <w:hideMark/>
          </w:tcPr>
          <w:p w14:paraId="7F1762BD"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0,00</w:t>
            </w:r>
          </w:p>
        </w:tc>
      </w:tr>
      <w:tr w:rsidR="002A0DA8" w:rsidRPr="00091F51" w14:paraId="4B9B26D7" w14:textId="77777777" w:rsidTr="00091F51">
        <w:trPr>
          <w:trHeight w:val="288"/>
          <w:jc w:val="center"/>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14:paraId="442CE1F7" w14:textId="77777777" w:rsidR="002A0DA8" w:rsidRPr="002A0DA8" w:rsidRDefault="002A0DA8" w:rsidP="002A0DA8">
            <w:pPr>
              <w:spacing w:after="0" w:line="240" w:lineRule="auto"/>
              <w:jc w:val="center"/>
              <w:rPr>
                <w:rFonts w:ascii="Times New Roman" w:hAnsi="Times New Roman" w:cs="Times New Roman"/>
                <w:color w:val="000000"/>
                <w:lang w:eastAsia="hr-HR"/>
              </w:rPr>
            </w:pPr>
            <w:r w:rsidRPr="002A0DA8">
              <w:rPr>
                <w:rFonts w:ascii="Times New Roman" w:hAnsi="Times New Roman" w:cs="Times New Roman"/>
                <w:color w:val="000000"/>
                <w:lang w:eastAsia="hr-HR"/>
              </w:rPr>
              <w:t>15.</w:t>
            </w:r>
          </w:p>
        </w:tc>
        <w:tc>
          <w:tcPr>
            <w:tcW w:w="2956" w:type="dxa"/>
            <w:tcBorders>
              <w:top w:val="nil"/>
              <w:left w:val="nil"/>
              <w:bottom w:val="single" w:sz="4" w:space="0" w:color="auto"/>
              <w:right w:val="single" w:sz="4" w:space="0" w:color="auto"/>
            </w:tcBorders>
            <w:shd w:val="clear" w:color="000000" w:fill="FFFFFF"/>
            <w:hideMark/>
          </w:tcPr>
          <w:p w14:paraId="08E5879E" w14:textId="77777777" w:rsidR="002A0DA8" w:rsidRPr="002A0DA8" w:rsidRDefault="002A0DA8" w:rsidP="002A0DA8">
            <w:pPr>
              <w:spacing w:after="0" w:line="240" w:lineRule="auto"/>
              <w:rPr>
                <w:rFonts w:ascii="Times New Roman" w:hAnsi="Times New Roman" w:cs="Times New Roman"/>
                <w:color w:val="000000"/>
                <w:lang w:eastAsia="hr-HR"/>
              </w:rPr>
            </w:pPr>
            <w:r w:rsidRPr="002A0DA8">
              <w:rPr>
                <w:rFonts w:ascii="Times New Roman" w:hAnsi="Times New Roman" w:cs="Times New Roman"/>
                <w:color w:val="000000"/>
                <w:lang w:eastAsia="hr-HR"/>
              </w:rPr>
              <w:t>Decentralizirana sredstva vatrogastvo</w:t>
            </w:r>
          </w:p>
        </w:tc>
        <w:tc>
          <w:tcPr>
            <w:tcW w:w="1431" w:type="dxa"/>
            <w:tcBorders>
              <w:top w:val="nil"/>
              <w:left w:val="nil"/>
              <w:bottom w:val="single" w:sz="4" w:space="0" w:color="auto"/>
              <w:right w:val="single" w:sz="4" w:space="0" w:color="auto"/>
            </w:tcBorders>
            <w:shd w:val="clear" w:color="000000" w:fill="FFFFFF"/>
            <w:hideMark/>
          </w:tcPr>
          <w:p w14:paraId="6890656E"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250.534,00</w:t>
            </w:r>
          </w:p>
        </w:tc>
        <w:tc>
          <w:tcPr>
            <w:tcW w:w="1417" w:type="dxa"/>
            <w:gridSpan w:val="2"/>
            <w:tcBorders>
              <w:top w:val="nil"/>
              <w:left w:val="nil"/>
              <w:bottom w:val="single" w:sz="4" w:space="0" w:color="auto"/>
              <w:right w:val="single" w:sz="4" w:space="0" w:color="auto"/>
            </w:tcBorders>
            <w:shd w:val="clear" w:color="000000" w:fill="FFFFFF"/>
            <w:noWrap/>
            <w:hideMark/>
          </w:tcPr>
          <w:p w14:paraId="06900D2C"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250.305,71</w:t>
            </w:r>
          </w:p>
        </w:tc>
        <w:tc>
          <w:tcPr>
            <w:tcW w:w="1546" w:type="dxa"/>
            <w:gridSpan w:val="2"/>
            <w:tcBorders>
              <w:top w:val="nil"/>
              <w:left w:val="nil"/>
              <w:bottom w:val="single" w:sz="4" w:space="0" w:color="auto"/>
              <w:right w:val="single" w:sz="4" w:space="0" w:color="auto"/>
            </w:tcBorders>
            <w:shd w:val="clear" w:color="000000" w:fill="FFFFFF"/>
            <w:noWrap/>
            <w:hideMark/>
          </w:tcPr>
          <w:p w14:paraId="5F560D26" w14:textId="77777777" w:rsidR="002A0DA8" w:rsidRPr="002A0DA8" w:rsidRDefault="002A0DA8" w:rsidP="002A0DA8">
            <w:pPr>
              <w:spacing w:after="0" w:line="240" w:lineRule="auto"/>
              <w:ind w:firstLineChars="14" w:firstLine="31"/>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250.305,71</w:t>
            </w:r>
          </w:p>
        </w:tc>
        <w:tc>
          <w:tcPr>
            <w:tcW w:w="1418" w:type="dxa"/>
            <w:tcBorders>
              <w:top w:val="nil"/>
              <w:left w:val="nil"/>
              <w:bottom w:val="single" w:sz="4" w:space="0" w:color="auto"/>
              <w:right w:val="single" w:sz="4" w:space="0" w:color="auto"/>
            </w:tcBorders>
            <w:shd w:val="clear" w:color="000000" w:fill="FFFFFF"/>
            <w:noWrap/>
            <w:hideMark/>
          </w:tcPr>
          <w:p w14:paraId="0343658B"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0,00</w:t>
            </w:r>
          </w:p>
        </w:tc>
      </w:tr>
      <w:tr w:rsidR="002A0DA8" w:rsidRPr="00091F51" w14:paraId="32DDC5EC" w14:textId="77777777" w:rsidTr="00091F51">
        <w:trPr>
          <w:trHeight w:val="288"/>
          <w:jc w:val="center"/>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14:paraId="1A2DD96E" w14:textId="3051E9DB" w:rsidR="002A0DA8" w:rsidRPr="002A0DA8" w:rsidRDefault="002A0DA8" w:rsidP="002A0DA8">
            <w:pPr>
              <w:spacing w:after="0" w:line="240" w:lineRule="auto"/>
              <w:jc w:val="center"/>
              <w:rPr>
                <w:rFonts w:ascii="Times New Roman" w:hAnsi="Times New Roman" w:cs="Times New Roman"/>
                <w:color w:val="000000"/>
                <w:lang w:eastAsia="hr-HR"/>
              </w:rPr>
            </w:pPr>
            <w:r w:rsidRPr="002A0DA8">
              <w:rPr>
                <w:rFonts w:ascii="Times New Roman" w:hAnsi="Times New Roman" w:cs="Times New Roman"/>
                <w:color w:val="000000"/>
                <w:lang w:eastAsia="hr-HR"/>
              </w:rPr>
              <w:t>16.</w:t>
            </w:r>
          </w:p>
        </w:tc>
        <w:tc>
          <w:tcPr>
            <w:tcW w:w="2956" w:type="dxa"/>
            <w:tcBorders>
              <w:top w:val="nil"/>
              <w:left w:val="nil"/>
              <w:bottom w:val="single" w:sz="4" w:space="0" w:color="auto"/>
              <w:right w:val="single" w:sz="4" w:space="0" w:color="auto"/>
            </w:tcBorders>
            <w:shd w:val="clear" w:color="000000" w:fill="FFFFFF"/>
            <w:noWrap/>
            <w:hideMark/>
          </w:tcPr>
          <w:p w14:paraId="6BFB1AD6" w14:textId="77777777" w:rsidR="002A0DA8" w:rsidRPr="002A0DA8" w:rsidRDefault="002A0DA8" w:rsidP="002A0DA8">
            <w:pPr>
              <w:spacing w:after="0" w:line="240" w:lineRule="auto"/>
              <w:rPr>
                <w:rFonts w:ascii="Times New Roman" w:hAnsi="Times New Roman" w:cs="Times New Roman"/>
                <w:color w:val="000000"/>
                <w:lang w:eastAsia="hr-HR"/>
              </w:rPr>
            </w:pPr>
            <w:r w:rsidRPr="002A0DA8">
              <w:rPr>
                <w:rFonts w:ascii="Times New Roman" w:hAnsi="Times New Roman" w:cs="Times New Roman"/>
                <w:color w:val="000000"/>
                <w:lang w:eastAsia="hr-HR"/>
              </w:rPr>
              <w:t>Pomoći za fiskalnu održivost dječjih vrtića</w:t>
            </w:r>
          </w:p>
        </w:tc>
        <w:tc>
          <w:tcPr>
            <w:tcW w:w="1431" w:type="dxa"/>
            <w:tcBorders>
              <w:top w:val="nil"/>
              <w:left w:val="nil"/>
              <w:bottom w:val="single" w:sz="4" w:space="0" w:color="auto"/>
              <w:right w:val="single" w:sz="4" w:space="0" w:color="auto"/>
            </w:tcBorders>
            <w:shd w:val="clear" w:color="000000" w:fill="FFFFFF"/>
            <w:noWrap/>
            <w:hideMark/>
          </w:tcPr>
          <w:p w14:paraId="1B4187B2"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470.150,00</w:t>
            </w:r>
          </w:p>
        </w:tc>
        <w:tc>
          <w:tcPr>
            <w:tcW w:w="1417" w:type="dxa"/>
            <w:gridSpan w:val="2"/>
            <w:tcBorders>
              <w:top w:val="nil"/>
              <w:left w:val="nil"/>
              <w:bottom w:val="single" w:sz="4" w:space="0" w:color="auto"/>
              <w:right w:val="single" w:sz="4" w:space="0" w:color="auto"/>
            </w:tcBorders>
            <w:shd w:val="clear" w:color="000000" w:fill="FFFFFF"/>
            <w:noWrap/>
            <w:hideMark/>
          </w:tcPr>
          <w:p w14:paraId="3BFF6632"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459.933,00</w:t>
            </w:r>
          </w:p>
        </w:tc>
        <w:tc>
          <w:tcPr>
            <w:tcW w:w="1546" w:type="dxa"/>
            <w:gridSpan w:val="2"/>
            <w:tcBorders>
              <w:top w:val="nil"/>
              <w:left w:val="nil"/>
              <w:bottom w:val="single" w:sz="4" w:space="0" w:color="auto"/>
              <w:right w:val="single" w:sz="4" w:space="0" w:color="auto"/>
            </w:tcBorders>
            <w:shd w:val="clear" w:color="000000" w:fill="FFFFFF"/>
            <w:noWrap/>
            <w:hideMark/>
          </w:tcPr>
          <w:p w14:paraId="50005E49" w14:textId="77777777" w:rsidR="002A0DA8" w:rsidRPr="002A0DA8" w:rsidRDefault="002A0DA8" w:rsidP="002A0DA8">
            <w:pPr>
              <w:spacing w:after="0" w:line="240" w:lineRule="auto"/>
              <w:ind w:firstLineChars="14" w:firstLine="31"/>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459.933,00</w:t>
            </w:r>
          </w:p>
        </w:tc>
        <w:tc>
          <w:tcPr>
            <w:tcW w:w="1418" w:type="dxa"/>
            <w:tcBorders>
              <w:top w:val="nil"/>
              <w:left w:val="nil"/>
              <w:bottom w:val="single" w:sz="4" w:space="0" w:color="auto"/>
              <w:right w:val="single" w:sz="4" w:space="0" w:color="auto"/>
            </w:tcBorders>
            <w:shd w:val="clear" w:color="000000" w:fill="FFFFFF"/>
            <w:noWrap/>
            <w:hideMark/>
          </w:tcPr>
          <w:p w14:paraId="392DF35B"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0,00</w:t>
            </w:r>
          </w:p>
        </w:tc>
      </w:tr>
      <w:tr w:rsidR="002A0DA8" w:rsidRPr="00091F51" w14:paraId="21D86539" w14:textId="77777777" w:rsidTr="00091F51">
        <w:trPr>
          <w:trHeight w:val="330"/>
          <w:jc w:val="center"/>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14:paraId="00FEBCBD" w14:textId="51853E90" w:rsidR="002A0DA8" w:rsidRPr="002A0DA8" w:rsidRDefault="002A0DA8" w:rsidP="002A0DA8">
            <w:pPr>
              <w:spacing w:after="0" w:line="240" w:lineRule="auto"/>
              <w:jc w:val="center"/>
              <w:rPr>
                <w:rFonts w:ascii="Times New Roman" w:hAnsi="Times New Roman" w:cs="Times New Roman"/>
                <w:color w:val="000000"/>
                <w:lang w:eastAsia="hr-HR"/>
              </w:rPr>
            </w:pPr>
            <w:r w:rsidRPr="002A0DA8">
              <w:rPr>
                <w:rFonts w:ascii="Times New Roman" w:hAnsi="Times New Roman" w:cs="Times New Roman"/>
                <w:color w:val="000000"/>
                <w:lang w:eastAsia="hr-HR"/>
              </w:rPr>
              <w:t>17.</w:t>
            </w:r>
          </w:p>
        </w:tc>
        <w:tc>
          <w:tcPr>
            <w:tcW w:w="2956" w:type="dxa"/>
            <w:tcBorders>
              <w:top w:val="nil"/>
              <w:left w:val="nil"/>
              <w:bottom w:val="single" w:sz="4" w:space="0" w:color="auto"/>
              <w:right w:val="single" w:sz="4" w:space="0" w:color="auto"/>
            </w:tcBorders>
            <w:shd w:val="clear" w:color="000000" w:fill="FFFFFF"/>
            <w:hideMark/>
          </w:tcPr>
          <w:p w14:paraId="479B5582" w14:textId="77777777" w:rsidR="002A0DA8" w:rsidRPr="002A0DA8" w:rsidRDefault="002A0DA8" w:rsidP="002A0DA8">
            <w:pPr>
              <w:spacing w:after="0" w:line="240" w:lineRule="auto"/>
              <w:rPr>
                <w:rFonts w:ascii="Times New Roman" w:hAnsi="Times New Roman" w:cs="Times New Roman"/>
                <w:color w:val="000000"/>
                <w:lang w:eastAsia="hr-HR"/>
              </w:rPr>
            </w:pPr>
            <w:r w:rsidRPr="002A0DA8">
              <w:rPr>
                <w:rFonts w:ascii="Times New Roman" w:hAnsi="Times New Roman" w:cs="Times New Roman"/>
                <w:color w:val="000000"/>
                <w:lang w:eastAsia="hr-HR"/>
              </w:rPr>
              <w:t>Pomoći od izvanproračunskih korisnika</w:t>
            </w:r>
          </w:p>
        </w:tc>
        <w:tc>
          <w:tcPr>
            <w:tcW w:w="1431" w:type="dxa"/>
            <w:tcBorders>
              <w:top w:val="nil"/>
              <w:left w:val="nil"/>
              <w:bottom w:val="single" w:sz="4" w:space="0" w:color="auto"/>
              <w:right w:val="single" w:sz="4" w:space="0" w:color="auto"/>
            </w:tcBorders>
            <w:shd w:val="clear" w:color="000000" w:fill="FFFFFF"/>
            <w:hideMark/>
          </w:tcPr>
          <w:p w14:paraId="2D2C3492"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1.188.847,00</w:t>
            </w:r>
          </w:p>
        </w:tc>
        <w:tc>
          <w:tcPr>
            <w:tcW w:w="1417" w:type="dxa"/>
            <w:gridSpan w:val="2"/>
            <w:tcBorders>
              <w:top w:val="nil"/>
              <w:left w:val="nil"/>
              <w:bottom w:val="single" w:sz="4" w:space="0" w:color="auto"/>
              <w:right w:val="single" w:sz="4" w:space="0" w:color="auto"/>
            </w:tcBorders>
            <w:shd w:val="clear" w:color="000000" w:fill="FFFFFF"/>
            <w:noWrap/>
            <w:hideMark/>
          </w:tcPr>
          <w:p w14:paraId="13E989E7"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350.463,85</w:t>
            </w:r>
          </w:p>
        </w:tc>
        <w:tc>
          <w:tcPr>
            <w:tcW w:w="1546" w:type="dxa"/>
            <w:gridSpan w:val="2"/>
            <w:tcBorders>
              <w:top w:val="nil"/>
              <w:left w:val="nil"/>
              <w:bottom w:val="single" w:sz="4" w:space="0" w:color="auto"/>
              <w:right w:val="single" w:sz="4" w:space="0" w:color="auto"/>
            </w:tcBorders>
            <w:shd w:val="clear" w:color="000000" w:fill="FFFFFF"/>
            <w:noWrap/>
            <w:hideMark/>
          </w:tcPr>
          <w:p w14:paraId="015C13A0" w14:textId="77777777" w:rsidR="002A0DA8" w:rsidRPr="002A0DA8" w:rsidRDefault="002A0DA8" w:rsidP="002A0DA8">
            <w:pPr>
              <w:spacing w:after="0" w:line="240" w:lineRule="auto"/>
              <w:ind w:firstLineChars="14" w:firstLine="31"/>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1.164.729,91</w:t>
            </w:r>
          </w:p>
        </w:tc>
        <w:tc>
          <w:tcPr>
            <w:tcW w:w="1418" w:type="dxa"/>
            <w:tcBorders>
              <w:top w:val="nil"/>
              <w:left w:val="nil"/>
              <w:bottom w:val="single" w:sz="4" w:space="0" w:color="auto"/>
              <w:right w:val="single" w:sz="4" w:space="0" w:color="auto"/>
            </w:tcBorders>
            <w:shd w:val="clear" w:color="000000" w:fill="FFFFFF"/>
            <w:noWrap/>
            <w:hideMark/>
          </w:tcPr>
          <w:p w14:paraId="44699726"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-814.266,06</w:t>
            </w:r>
          </w:p>
        </w:tc>
      </w:tr>
      <w:tr w:rsidR="002A0DA8" w:rsidRPr="00091F51" w14:paraId="251A8609" w14:textId="77777777" w:rsidTr="00091F51">
        <w:trPr>
          <w:trHeight w:val="288"/>
          <w:jc w:val="center"/>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14:paraId="05B0078A" w14:textId="77777777" w:rsidR="002A0DA8" w:rsidRPr="002A0DA8" w:rsidRDefault="002A0DA8" w:rsidP="002A0DA8">
            <w:pPr>
              <w:spacing w:after="0" w:line="240" w:lineRule="auto"/>
              <w:jc w:val="center"/>
              <w:rPr>
                <w:rFonts w:ascii="Times New Roman" w:hAnsi="Times New Roman" w:cs="Times New Roman"/>
                <w:color w:val="000000"/>
                <w:lang w:eastAsia="hr-HR"/>
              </w:rPr>
            </w:pPr>
            <w:r w:rsidRPr="002A0DA8">
              <w:rPr>
                <w:rFonts w:ascii="Times New Roman" w:hAnsi="Times New Roman" w:cs="Times New Roman"/>
                <w:color w:val="000000"/>
                <w:lang w:eastAsia="hr-HR"/>
              </w:rPr>
              <w:t>18.</w:t>
            </w:r>
          </w:p>
        </w:tc>
        <w:tc>
          <w:tcPr>
            <w:tcW w:w="2956" w:type="dxa"/>
            <w:tcBorders>
              <w:top w:val="nil"/>
              <w:left w:val="nil"/>
              <w:bottom w:val="single" w:sz="4" w:space="0" w:color="auto"/>
              <w:right w:val="single" w:sz="4" w:space="0" w:color="auto"/>
            </w:tcBorders>
            <w:shd w:val="clear" w:color="000000" w:fill="FFFFFF"/>
            <w:noWrap/>
            <w:hideMark/>
          </w:tcPr>
          <w:p w14:paraId="4D1DE5B7" w14:textId="77777777" w:rsidR="002A0DA8" w:rsidRPr="002A0DA8" w:rsidRDefault="002A0DA8" w:rsidP="002A0DA8">
            <w:pPr>
              <w:spacing w:after="0" w:line="240" w:lineRule="auto"/>
              <w:rPr>
                <w:rFonts w:ascii="Times New Roman" w:hAnsi="Times New Roman" w:cs="Times New Roman"/>
                <w:color w:val="000000"/>
                <w:lang w:eastAsia="hr-HR"/>
              </w:rPr>
            </w:pPr>
            <w:r w:rsidRPr="002A0DA8">
              <w:rPr>
                <w:rFonts w:ascii="Times New Roman" w:hAnsi="Times New Roman" w:cs="Times New Roman"/>
                <w:color w:val="000000"/>
                <w:lang w:eastAsia="hr-HR"/>
              </w:rPr>
              <w:t>Pomoći institucija i tijela EU</w:t>
            </w:r>
          </w:p>
        </w:tc>
        <w:tc>
          <w:tcPr>
            <w:tcW w:w="1431" w:type="dxa"/>
            <w:tcBorders>
              <w:top w:val="nil"/>
              <w:left w:val="nil"/>
              <w:bottom w:val="single" w:sz="4" w:space="0" w:color="auto"/>
              <w:right w:val="single" w:sz="4" w:space="0" w:color="auto"/>
            </w:tcBorders>
            <w:shd w:val="clear" w:color="000000" w:fill="FFFFFF"/>
            <w:noWrap/>
            <w:hideMark/>
          </w:tcPr>
          <w:p w14:paraId="0F027A3F"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324.073,81</w:t>
            </w:r>
          </w:p>
        </w:tc>
        <w:tc>
          <w:tcPr>
            <w:tcW w:w="1417" w:type="dxa"/>
            <w:gridSpan w:val="2"/>
            <w:tcBorders>
              <w:top w:val="nil"/>
              <w:left w:val="nil"/>
              <w:bottom w:val="single" w:sz="4" w:space="0" w:color="auto"/>
              <w:right w:val="single" w:sz="4" w:space="0" w:color="auto"/>
            </w:tcBorders>
            <w:shd w:val="clear" w:color="000000" w:fill="FFFFFF"/>
            <w:noWrap/>
            <w:hideMark/>
          </w:tcPr>
          <w:p w14:paraId="6D18716A"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425.610,98</w:t>
            </w:r>
          </w:p>
        </w:tc>
        <w:tc>
          <w:tcPr>
            <w:tcW w:w="1546" w:type="dxa"/>
            <w:gridSpan w:val="2"/>
            <w:tcBorders>
              <w:top w:val="nil"/>
              <w:left w:val="nil"/>
              <w:bottom w:val="single" w:sz="4" w:space="0" w:color="auto"/>
              <w:right w:val="single" w:sz="4" w:space="0" w:color="auto"/>
            </w:tcBorders>
            <w:shd w:val="clear" w:color="000000" w:fill="FFFFFF"/>
            <w:noWrap/>
            <w:hideMark/>
          </w:tcPr>
          <w:p w14:paraId="5DC3E7FE" w14:textId="77777777" w:rsidR="002A0DA8" w:rsidRPr="002A0DA8" w:rsidRDefault="002A0DA8" w:rsidP="002A0DA8">
            <w:pPr>
              <w:spacing w:after="0" w:line="240" w:lineRule="auto"/>
              <w:ind w:firstLineChars="14" w:firstLine="31"/>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300.036,01</w:t>
            </w:r>
          </w:p>
        </w:tc>
        <w:tc>
          <w:tcPr>
            <w:tcW w:w="1418" w:type="dxa"/>
            <w:tcBorders>
              <w:top w:val="nil"/>
              <w:left w:val="nil"/>
              <w:bottom w:val="single" w:sz="4" w:space="0" w:color="auto"/>
              <w:right w:val="single" w:sz="4" w:space="0" w:color="auto"/>
            </w:tcBorders>
            <w:shd w:val="clear" w:color="000000" w:fill="FFFFFF"/>
            <w:noWrap/>
            <w:hideMark/>
          </w:tcPr>
          <w:p w14:paraId="3FA7D81C"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125.574,97</w:t>
            </w:r>
          </w:p>
        </w:tc>
      </w:tr>
      <w:tr w:rsidR="002A0DA8" w:rsidRPr="00091F51" w14:paraId="7B012B93" w14:textId="77777777" w:rsidTr="00091F51">
        <w:trPr>
          <w:trHeight w:val="288"/>
          <w:jc w:val="center"/>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14:paraId="0594D546" w14:textId="7FBE0981" w:rsidR="002A0DA8" w:rsidRPr="002A0DA8" w:rsidRDefault="002A0DA8" w:rsidP="002A0DA8">
            <w:pPr>
              <w:spacing w:after="0" w:line="240" w:lineRule="auto"/>
              <w:jc w:val="center"/>
              <w:rPr>
                <w:rFonts w:ascii="Times New Roman" w:hAnsi="Times New Roman" w:cs="Times New Roman"/>
                <w:color w:val="2F75B5"/>
                <w:lang w:eastAsia="hr-HR"/>
              </w:rPr>
            </w:pPr>
          </w:p>
        </w:tc>
        <w:tc>
          <w:tcPr>
            <w:tcW w:w="2956" w:type="dxa"/>
            <w:tcBorders>
              <w:top w:val="nil"/>
              <w:left w:val="nil"/>
              <w:bottom w:val="single" w:sz="4" w:space="0" w:color="auto"/>
              <w:right w:val="single" w:sz="4" w:space="0" w:color="auto"/>
            </w:tcBorders>
            <w:shd w:val="clear" w:color="000000" w:fill="FFFFFF"/>
            <w:hideMark/>
          </w:tcPr>
          <w:p w14:paraId="39C69547" w14:textId="77777777" w:rsidR="002A0DA8" w:rsidRPr="002A0DA8" w:rsidRDefault="002A0DA8" w:rsidP="002A0DA8">
            <w:pPr>
              <w:spacing w:after="0" w:line="240" w:lineRule="auto"/>
              <w:rPr>
                <w:rFonts w:ascii="Times New Roman" w:hAnsi="Times New Roman" w:cs="Times New Roman"/>
                <w:i/>
                <w:iCs/>
                <w:color w:val="2F75B5"/>
                <w:lang w:eastAsia="hr-HR"/>
              </w:rPr>
            </w:pPr>
            <w:r w:rsidRPr="002A0DA8">
              <w:rPr>
                <w:rFonts w:ascii="Times New Roman" w:hAnsi="Times New Roman" w:cs="Times New Roman"/>
                <w:i/>
                <w:iCs/>
                <w:color w:val="2F75B5"/>
                <w:lang w:eastAsia="hr-HR"/>
              </w:rPr>
              <w:t>"Nikad nije kasno - faza IV"</w:t>
            </w:r>
          </w:p>
        </w:tc>
        <w:tc>
          <w:tcPr>
            <w:tcW w:w="1431" w:type="dxa"/>
            <w:tcBorders>
              <w:top w:val="nil"/>
              <w:left w:val="nil"/>
              <w:bottom w:val="single" w:sz="4" w:space="0" w:color="auto"/>
              <w:right w:val="single" w:sz="4" w:space="0" w:color="auto"/>
            </w:tcBorders>
            <w:shd w:val="clear" w:color="000000" w:fill="FFFFFF"/>
            <w:hideMark/>
          </w:tcPr>
          <w:p w14:paraId="12599D23" w14:textId="77777777" w:rsidR="002A0DA8" w:rsidRPr="002A0DA8" w:rsidRDefault="002A0DA8" w:rsidP="002A0DA8">
            <w:pPr>
              <w:spacing w:after="0" w:line="240" w:lineRule="auto"/>
              <w:jc w:val="right"/>
              <w:rPr>
                <w:rFonts w:ascii="Times New Roman" w:hAnsi="Times New Roman" w:cs="Times New Roman"/>
                <w:i/>
                <w:iCs/>
                <w:color w:val="2F75B5"/>
                <w:lang w:eastAsia="hr-HR"/>
              </w:rPr>
            </w:pPr>
            <w:r w:rsidRPr="002A0DA8">
              <w:rPr>
                <w:rFonts w:ascii="Times New Roman" w:hAnsi="Times New Roman" w:cs="Times New Roman"/>
                <w:i/>
                <w:iCs/>
                <w:color w:val="2F75B5"/>
                <w:lang w:eastAsia="hr-HR"/>
              </w:rPr>
              <w:t> </w:t>
            </w:r>
          </w:p>
        </w:tc>
        <w:tc>
          <w:tcPr>
            <w:tcW w:w="1417" w:type="dxa"/>
            <w:gridSpan w:val="2"/>
            <w:tcBorders>
              <w:top w:val="nil"/>
              <w:left w:val="nil"/>
              <w:bottom w:val="single" w:sz="4" w:space="0" w:color="auto"/>
              <w:right w:val="single" w:sz="4" w:space="0" w:color="auto"/>
            </w:tcBorders>
            <w:shd w:val="clear" w:color="000000" w:fill="FFFFFF"/>
            <w:noWrap/>
            <w:hideMark/>
          </w:tcPr>
          <w:p w14:paraId="12EE011D" w14:textId="77777777" w:rsidR="002A0DA8" w:rsidRPr="002A0DA8" w:rsidRDefault="002A0DA8" w:rsidP="002A0DA8">
            <w:pPr>
              <w:spacing w:after="0" w:line="240" w:lineRule="auto"/>
              <w:jc w:val="right"/>
              <w:rPr>
                <w:rFonts w:ascii="Times New Roman" w:hAnsi="Times New Roman" w:cs="Times New Roman"/>
                <w:i/>
                <w:iCs/>
                <w:color w:val="2F75B5"/>
                <w:lang w:eastAsia="hr-HR"/>
              </w:rPr>
            </w:pPr>
            <w:r w:rsidRPr="002A0DA8">
              <w:rPr>
                <w:rFonts w:ascii="Times New Roman" w:hAnsi="Times New Roman" w:cs="Times New Roman"/>
                <w:i/>
                <w:iCs/>
                <w:color w:val="2F75B5"/>
                <w:lang w:eastAsia="hr-HR"/>
              </w:rPr>
              <w:t>419.268,60</w:t>
            </w:r>
          </w:p>
        </w:tc>
        <w:tc>
          <w:tcPr>
            <w:tcW w:w="1546" w:type="dxa"/>
            <w:gridSpan w:val="2"/>
            <w:tcBorders>
              <w:top w:val="nil"/>
              <w:left w:val="nil"/>
              <w:bottom w:val="single" w:sz="4" w:space="0" w:color="auto"/>
              <w:right w:val="single" w:sz="4" w:space="0" w:color="auto"/>
            </w:tcBorders>
            <w:shd w:val="clear" w:color="000000" w:fill="FFFFFF"/>
            <w:noWrap/>
            <w:hideMark/>
          </w:tcPr>
          <w:p w14:paraId="4FAD6E41" w14:textId="77777777" w:rsidR="002A0DA8" w:rsidRPr="002A0DA8" w:rsidRDefault="002A0DA8" w:rsidP="002A0DA8">
            <w:pPr>
              <w:spacing w:after="0" w:line="240" w:lineRule="auto"/>
              <w:ind w:firstLineChars="100" w:firstLine="220"/>
              <w:jc w:val="right"/>
              <w:rPr>
                <w:rFonts w:ascii="Times New Roman" w:hAnsi="Times New Roman" w:cs="Times New Roman"/>
                <w:i/>
                <w:iCs/>
                <w:color w:val="2F75B5"/>
                <w:lang w:eastAsia="hr-HR"/>
              </w:rPr>
            </w:pPr>
            <w:r w:rsidRPr="002A0DA8">
              <w:rPr>
                <w:rFonts w:ascii="Times New Roman" w:hAnsi="Times New Roman" w:cs="Times New Roman"/>
                <w:i/>
                <w:iCs/>
                <w:color w:val="2F75B5"/>
                <w:lang w:eastAsia="hr-HR"/>
              </w:rPr>
              <w:t>279.900,52</w:t>
            </w:r>
          </w:p>
        </w:tc>
        <w:tc>
          <w:tcPr>
            <w:tcW w:w="1418" w:type="dxa"/>
            <w:tcBorders>
              <w:top w:val="nil"/>
              <w:left w:val="nil"/>
              <w:bottom w:val="single" w:sz="4" w:space="0" w:color="auto"/>
              <w:right w:val="single" w:sz="4" w:space="0" w:color="auto"/>
            </w:tcBorders>
            <w:shd w:val="clear" w:color="000000" w:fill="FFFFFF"/>
            <w:noWrap/>
            <w:hideMark/>
          </w:tcPr>
          <w:p w14:paraId="4B6BA0B5" w14:textId="77777777" w:rsidR="002A0DA8" w:rsidRPr="002A0DA8" w:rsidRDefault="002A0DA8" w:rsidP="002A0DA8">
            <w:pPr>
              <w:spacing w:after="0" w:line="240" w:lineRule="auto"/>
              <w:jc w:val="right"/>
              <w:rPr>
                <w:rFonts w:ascii="Times New Roman" w:hAnsi="Times New Roman" w:cs="Times New Roman"/>
                <w:i/>
                <w:iCs/>
                <w:color w:val="2F75B5"/>
                <w:lang w:eastAsia="hr-HR"/>
              </w:rPr>
            </w:pPr>
            <w:r w:rsidRPr="002A0DA8">
              <w:rPr>
                <w:rFonts w:ascii="Times New Roman" w:hAnsi="Times New Roman" w:cs="Times New Roman"/>
                <w:i/>
                <w:iCs/>
                <w:color w:val="2F75B5"/>
                <w:lang w:eastAsia="hr-HR"/>
              </w:rPr>
              <w:t>139.368,08</w:t>
            </w:r>
          </w:p>
        </w:tc>
      </w:tr>
      <w:tr w:rsidR="002A0DA8" w:rsidRPr="00091F51" w14:paraId="620CA999" w14:textId="77777777" w:rsidTr="00091F51">
        <w:trPr>
          <w:trHeight w:val="288"/>
          <w:jc w:val="center"/>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14:paraId="76F18ED9" w14:textId="387F88FC" w:rsidR="002A0DA8" w:rsidRPr="002A0DA8" w:rsidRDefault="002A0DA8" w:rsidP="002A0DA8">
            <w:pPr>
              <w:spacing w:after="0" w:line="240" w:lineRule="auto"/>
              <w:jc w:val="center"/>
              <w:rPr>
                <w:rFonts w:ascii="Times New Roman" w:hAnsi="Times New Roman" w:cs="Times New Roman"/>
                <w:color w:val="2F75B5"/>
                <w:lang w:eastAsia="hr-HR"/>
              </w:rPr>
            </w:pPr>
          </w:p>
        </w:tc>
        <w:tc>
          <w:tcPr>
            <w:tcW w:w="2956" w:type="dxa"/>
            <w:tcBorders>
              <w:top w:val="nil"/>
              <w:left w:val="nil"/>
              <w:bottom w:val="single" w:sz="4" w:space="0" w:color="auto"/>
              <w:right w:val="single" w:sz="4" w:space="0" w:color="auto"/>
            </w:tcBorders>
            <w:shd w:val="clear" w:color="000000" w:fill="FFFFFF"/>
            <w:hideMark/>
          </w:tcPr>
          <w:p w14:paraId="2C022321" w14:textId="77777777" w:rsidR="002A0DA8" w:rsidRPr="002A0DA8" w:rsidRDefault="002A0DA8" w:rsidP="002A0DA8">
            <w:pPr>
              <w:spacing w:after="0" w:line="240" w:lineRule="auto"/>
              <w:rPr>
                <w:rFonts w:ascii="Times New Roman" w:hAnsi="Times New Roman" w:cs="Times New Roman"/>
                <w:i/>
                <w:iCs/>
                <w:color w:val="2F75B5"/>
                <w:lang w:eastAsia="hr-HR"/>
              </w:rPr>
            </w:pPr>
            <w:r w:rsidRPr="002A0DA8">
              <w:rPr>
                <w:rFonts w:ascii="Times New Roman" w:hAnsi="Times New Roman" w:cs="Times New Roman"/>
                <w:i/>
                <w:iCs/>
                <w:color w:val="2F75B5"/>
                <w:lang w:eastAsia="hr-HR"/>
              </w:rPr>
              <w:t>"Pomoćnici u nastavi - faza VI"</w:t>
            </w:r>
          </w:p>
        </w:tc>
        <w:tc>
          <w:tcPr>
            <w:tcW w:w="1431" w:type="dxa"/>
            <w:tcBorders>
              <w:top w:val="nil"/>
              <w:left w:val="nil"/>
              <w:bottom w:val="single" w:sz="4" w:space="0" w:color="auto"/>
              <w:right w:val="single" w:sz="4" w:space="0" w:color="auto"/>
            </w:tcBorders>
            <w:shd w:val="clear" w:color="000000" w:fill="FFFFFF"/>
            <w:hideMark/>
          </w:tcPr>
          <w:p w14:paraId="690A6C0C" w14:textId="77777777" w:rsidR="002A0DA8" w:rsidRPr="002A0DA8" w:rsidRDefault="002A0DA8" w:rsidP="002A0DA8">
            <w:pPr>
              <w:spacing w:after="0" w:line="240" w:lineRule="auto"/>
              <w:jc w:val="right"/>
              <w:rPr>
                <w:rFonts w:ascii="Times New Roman" w:hAnsi="Times New Roman" w:cs="Times New Roman"/>
                <w:i/>
                <w:iCs/>
                <w:color w:val="2F75B5"/>
                <w:lang w:eastAsia="hr-HR"/>
              </w:rPr>
            </w:pPr>
            <w:r w:rsidRPr="002A0DA8">
              <w:rPr>
                <w:rFonts w:ascii="Times New Roman" w:hAnsi="Times New Roman" w:cs="Times New Roman"/>
                <w:i/>
                <w:iCs/>
                <w:color w:val="2F75B5"/>
                <w:lang w:eastAsia="hr-HR"/>
              </w:rPr>
              <w:t> </w:t>
            </w:r>
          </w:p>
        </w:tc>
        <w:tc>
          <w:tcPr>
            <w:tcW w:w="1417" w:type="dxa"/>
            <w:gridSpan w:val="2"/>
            <w:tcBorders>
              <w:top w:val="nil"/>
              <w:left w:val="nil"/>
              <w:bottom w:val="single" w:sz="4" w:space="0" w:color="auto"/>
              <w:right w:val="single" w:sz="4" w:space="0" w:color="auto"/>
            </w:tcBorders>
            <w:shd w:val="clear" w:color="000000" w:fill="FFFFFF"/>
            <w:noWrap/>
            <w:hideMark/>
          </w:tcPr>
          <w:p w14:paraId="4FDFF800" w14:textId="77777777" w:rsidR="002A0DA8" w:rsidRPr="002A0DA8" w:rsidRDefault="002A0DA8" w:rsidP="002A0DA8">
            <w:pPr>
              <w:spacing w:after="0" w:line="240" w:lineRule="auto"/>
              <w:jc w:val="right"/>
              <w:rPr>
                <w:rFonts w:ascii="Times New Roman" w:hAnsi="Times New Roman" w:cs="Times New Roman"/>
                <w:i/>
                <w:iCs/>
                <w:color w:val="2F75B5"/>
                <w:lang w:eastAsia="hr-HR"/>
              </w:rPr>
            </w:pPr>
            <w:r w:rsidRPr="002A0DA8">
              <w:rPr>
                <w:rFonts w:ascii="Times New Roman" w:hAnsi="Times New Roman" w:cs="Times New Roman"/>
                <w:i/>
                <w:iCs/>
                <w:color w:val="2F75B5"/>
                <w:lang w:eastAsia="hr-HR"/>
              </w:rPr>
              <w:t>5.780,00</w:t>
            </w:r>
          </w:p>
        </w:tc>
        <w:tc>
          <w:tcPr>
            <w:tcW w:w="1546" w:type="dxa"/>
            <w:gridSpan w:val="2"/>
            <w:tcBorders>
              <w:top w:val="nil"/>
              <w:left w:val="nil"/>
              <w:bottom w:val="single" w:sz="4" w:space="0" w:color="auto"/>
              <w:right w:val="single" w:sz="4" w:space="0" w:color="auto"/>
            </w:tcBorders>
            <w:shd w:val="clear" w:color="000000" w:fill="FFFFFF"/>
            <w:noWrap/>
            <w:hideMark/>
          </w:tcPr>
          <w:p w14:paraId="5E3A0A90" w14:textId="77777777" w:rsidR="002A0DA8" w:rsidRPr="002A0DA8" w:rsidRDefault="002A0DA8" w:rsidP="002A0DA8">
            <w:pPr>
              <w:spacing w:after="0" w:line="240" w:lineRule="auto"/>
              <w:ind w:firstLineChars="100" w:firstLine="220"/>
              <w:jc w:val="right"/>
              <w:rPr>
                <w:rFonts w:ascii="Times New Roman" w:hAnsi="Times New Roman" w:cs="Times New Roman"/>
                <w:i/>
                <w:iCs/>
                <w:color w:val="2F75B5"/>
                <w:lang w:eastAsia="hr-HR"/>
              </w:rPr>
            </w:pPr>
            <w:r w:rsidRPr="002A0DA8">
              <w:rPr>
                <w:rFonts w:ascii="Times New Roman" w:hAnsi="Times New Roman" w:cs="Times New Roman"/>
                <w:i/>
                <w:iCs/>
                <w:color w:val="2F75B5"/>
                <w:lang w:eastAsia="hr-HR"/>
              </w:rPr>
              <w:t>5.780,00</w:t>
            </w:r>
          </w:p>
        </w:tc>
        <w:tc>
          <w:tcPr>
            <w:tcW w:w="1418" w:type="dxa"/>
            <w:tcBorders>
              <w:top w:val="nil"/>
              <w:left w:val="nil"/>
              <w:bottom w:val="single" w:sz="4" w:space="0" w:color="auto"/>
              <w:right w:val="single" w:sz="4" w:space="0" w:color="auto"/>
            </w:tcBorders>
            <w:shd w:val="clear" w:color="000000" w:fill="FFFFFF"/>
            <w:noWrap/>
            <w:hideMark/>
          </w:tcPr>
          <w:p w14:paraId="73B42C19" w14:textId="77777777" w:rsidR="002A0DA8" w:rsidRPr="002A0DA8" w:rsidRDefault="002A0DA8" w:rsidP="002A0DA8">
            <w:pPr>
              <w:spacing w:after="0" w:line="240" w:lineRule="auto"/>
              <w:jc w:val="right"/>
              <w:rPr>
                <w:rFonts w:ascii="Times New Roman" w:hAnsi="Times New Roman" w:cs="Times New Roman"/>
                <w:i/>
                <w:iCs/>
                <w:color w:val="2F75B5"/>
                <w:lang w:eastAsia="hr-HR"/>
              </w:rPr>
            </w:pPr>
            <w:r w:rsidRPr="002A0DA8">
              <w:rPr>
                <w:rFonts w:ascii="Times New Roman" w:hAnsi="Times New Roman" w:cs="Times New Roman"/>
                <w:i/>
                <w:iCs/>
                <w:color w:val="2F75B5"/>
                <w:lang w:eastAsia="hr-HR"/>
              </w:rPr>
              <w:t>0,00</w:t>
            </w:r>
          </w:p>
        </w:tc>
      </w:tr>
      <w:tr w:rsidR="002A0DA8" w:rsidRPr="00091F51" w14:paraId="70E867B2" w14:textId="77777777" w:rsidTr="00091F51">
        <w:trPr>
          <w:trHeight w:val="288"/>
          <w:jc w:val="center"/>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14:paraId="1AD34FCA" w14:textId="0FB6ED6A" w:rsidR="002A0DA8" w:rsidRPr="002A0DA8" w:rsidRDefault="002A0DA8" w:rsidP="002A0DA8">
            <w:pPr>
              <w:spacing w:after="0" w:line="240" w:lineRule="auto"/>
              <w:jc w:val="center"/>
              <w:rPr>
                <w:rFonts w:ascii="Times New Roman" w:hAnsi="Times New Roman" w:cs="Times New Roman"/>
                <w:color w:val="2F75B5"/>
                <w:lang w:eastAsia="hr-HR"/>
              </w:rPr>
            </w:pPr>
          </w:p>
        </w:tc>
        <w:tc>
          <w:tcPr>
            <w:tcW w:w="2956" w:type="dxa"/>
            <w:tcBorders>
              <w:top w:val="nil"/>
              <w:left w:val="nil"/>
              <w:bottom w:val="single" w:sz="4" w:space="0" w:color="auto"/>
              <w:right w:val="single" w:sz="4" w:space="0" w:color="auto"/>
            </w:tcBorders>
            <w:shd w:val="clear" w:color="000000" w:fill="FFFFFF"/>
            <w:hideMark/>
          </w:tcPr>
          <w:p w14:paraId="37A8BFDE" w14:textId="77777777" w:rsidR="002A0DA8" w:rsidRPr="002A0DA8" w:rsidRDefault="002A0DA8" w:rsidP="002A0DA8">
            <w:pPr>
              <w:spacing w:after="0" w:line="240" w:lineRule="auto"/>
              <w:rPr>
                <w:rFonts w:ascii="Times New Roman" w:hAnsi="Times New Roman" w:cs="Times New Roman"/>
                <w:i/>
                <w:iCs/>
                <w:color w:val="2F75B5"/>
                <w:lang w:eastAsia="hr-HR"/>
              </w:rPr>
            </w:pPr>
            <w:r w:rsidRPr="002A0DA8">
              <w:rPr>
                <w:rFonts w:ascii="Times New Roman" w:hAnsi="Times New Roman" w:cs="Times New Roman"/>
                <w:i/>
                <w:iCs/>
                <w:color w:val="2F75B5"/>
                <w:lang w:eastAsia="hr-HR"/>
              </w:rPr>
              <w:t>"Pomoćnici u nastavi - faza VII"</w:t>
            </w:r>
          </w:p>
        </w:tc>
        <w:tc>
          <w:tcPr>
            <w:tcW w:w="1431" w:type="dxa"/>
            <w:tcBorders>
              <w:top w:val="nil"/>
              <w:left w:val="nil"/>
              <w:bottom w:val="single" w:sz="4" w:space="0" w:color="auto"/>
              <w:right w:val="single" w:sz="4" w:space="0" w:color="auto"/>
            </w:tcBorders>
            <w:shd w:val="clear" w:color="000000" w:fill="FFFFFF"/>
            <w:hideMark/>
          </w:tcPr>
          <w:p w14:paraId="5FD56610" w14:textId="77777777" w:rsidR="002A0DA8" w:rsidRPr="002A0DA8" w:rsidRDefault="002A0DA8" w:rsidP="002A0DA8">
            <w:pPr>
              <w:spacing w:after="0" w:line="240" w:lineRule="auto"/>
              <w:jc w:val="right"/>
              <w:rPr>
                <w:rFonts w:ascii="Times New Roman" w:hAnsi="Times New Roman" w:cs="Times New Roman"/>
                <w:i/>
                <w:iCs/>
                <w:color w:val="2F75B5"/>
                <w:lang w:eastAsia="hr-HR"/>
              </w:rPr>
            </w:pPr>
            <w:r w:rsidRPr="002A0DA8">
              <w:rPr>
                <w:rFonts w:ascii="Times New Roman" w:hAnsi="Times New Roman" w:cs="Times New Roman"/>
                <w:i/>
                <w:iCs/>
                <w:color w:val="2F75B5"/>
                <w:lang w:eastAsia="hr-HR"/>
              </w:rPr>
              <w:t> </w:t>
            </w:r>
          </w:p>
        </w:tc>
        <w:tc>
          <w:tcPr>
            <w:tcW w:w="1417" w:type="dxa"/>
            <w:gridSpan w:val="2"/>
            <w:tcBorders>
              <w:top w:val="nil"/>
              <w:left w:val="nil"/>
              <w:bottom w:val="single" w:sz="4" w:space="0" w:color="auto"/>
              <w:right w:val="single" w:sz="4" w:space="0" w:color="auto"/>
            </w:tcBorders>
            <w:shd w:val="clear" w:color="000000" w:fill="FFFFFF"/>
            <w:noWrap/>
            <w:hideMark/>
          </w:tcPr>
          <w:p w14:paraId="18B9596B" w14:textId="77777777" w:rsidR="002A0DA8" w:rsidRPr="002A0DA8" w:rsidRDefault="002A0DA8" w:rsidP="002A0DA8">
            <w:pPr>
              <w:spacing w:after="0" w:line="240" w:lineRule="auto"/>
              <w:jc w:val="right"/>
              <w:rPr>
                <w:rFonts w:ascii="Times New Roman" w:hAnsi="Times New Roman" w:cs="Times New Roman"/>
                <w:i/>
                <w:iCs/>
                <w:color w:val="2F75B5"/>
                <w:lang w:eastAsia="hr-HR"/>
              </w:rPr>
            </w:pPr>
            <w:r w:rsidRPr="002A0DA8">
              <w:rPr>
                <w:rFonts w:ascii="Times New Roman" w:hAnsi="Times New Roman" w:cs="Times New Roman"/>
                <w:i/>
                <w:iCs/>
                <w:color w:val="2F75B5"/>
                <w:lang w:eastAsia="hr-HR"/>
              </w:rPr>
              <w:t>0,00</w:t>
            </w:r>
          </w:p>
        </w:tc>
        <w:tc>
          <w:tcPr>
            <w:tcW w:w="1546" w:type="dxa"/>
            <w:gridSpan w:val="2"/>
            <w:tcBorders>
              <w:top w:val="nil"/>
              <w:left w:val="nil"/>
              <w:bottom w:val="single" w:sz="4" w:space="0" w:color="auto"/>
              <w:right w:val="single" w:sz="4" w:space="0" w:color="auto"/>
            </w:tcBorders>
            <w:shd w:val="clear" w:color="000000" w:fill="FFFFFF"/>
            <w:noWrap/>
            <w:hideMark/>
          </w:tcPr>
          <w:p w14:paraId="19A81D0A" w14:textId="77777777" w:rsidR="002A0DA8" w:rsidRPr="002A0DA8" w:rsidRDefault="002A0DA8" w:rsidP="002A0DA8">
            <w:pPr>
              <w:spacing w:after="0" w:line="240" w:lineRule="auto"/>
              <w:ind w:firstLineChars="100" w:firstLine="220"/>
              <w:jc w:val="right"/>
              <w:rPr>
                <w:rFonts w:ascii="Times New Roman" w:hAnsi="Times New Roman" w:cs="Times New Roman"/>
                <w:i/>
                <w:iCs/>
                <w:color w:val="2F75B5"/>
                <w:lang w:eastAsia="hr-HR"/>
              </w:rPr>
            </w:pPr>
            <w:r w:rsidRPr="002A0DA8">
              <w:rPr>
                <w:rFonts w:ascii="Times New Roman" w:hAnsi="Times New Roman" w:cs="Times New Roman"/>
                <w:i/>
                <w:iCs/>
                <w:color w:val="2F75B5"/>
                <w:lang w:eastAsia="hr-HR"/>
              </w:rPr>
              <w:t>13.669,25</w:t>
            </w:r>
          </w:p>
        </w:tc>
        <w:tc>
          <w:tcPr>
            <w:tcW w:w="1418" w:type="dxa"/>
            <w:tcBorders>
              <w:top w:val="nil"/>
              <w:left w:val="nil"/>
              <w:bottom w:val="single" w:sz="4" w:space="0" w:color="auto"/>
              <w:right w:val="single" w:sz="4" w:space="0" w:color="auto"/>
            </w:tcBorders>
            <w:shd w:val="clear" w:color="000000" w:fill="FFFFFF"/>
            <w:noWrap/>
            <w:hideMark/>
          </w:tcPr>
          <w:p w14:paraId="616EC0D4" w14:textId="77777777" w:rsidR="002A0DA8" w:rsidRPr="002A0DA8" w:rsidRDefault="002A0DA8" w:rsidP="002A0DA8">
            <w:pPr>
              <w:spacing w:after="0" w:line="240" w:lineRule="auto"/>
              <w:jc w:val="right"/>
              <w:rPr>
                <w:rFonts w:ascii="Times New Roman" w:hAnsi="Times New Roman" w:cs="Times New Roman"/>
                <w:i/>
                <w:iCs/>
                <w:color w:val="2F75B5"/>
                <w:lang w:eastAsia="hr-HR"/>
              </w:rPr>
            </w:pPr>
            <w:r w:rsidRPr="002A0DA8">
              <w:rPr>
                <w:rFonts w:ascii="Times New Roman" w:hAnsi="Times New Roman" w:cs="Times New Roman"/>
                <w:i/>
                <w:iCs/>
                <w:color w:val="2F75B5"/>
                <w:lang w:eastAsia="hr-HR"/>
              </w:rPr>
              <w:t>-13.669,25</w:t>
            </w:r>
          </w:p>
        </w:tc>
      </w:tr>
      <w:tr w:rsidR="002A0DA8" w:rsidRPr="00091F51" w14:paraId="7297DFC6" w14:textId="77777777" w:rsidTr="00091F51">
        <w:trPr>
          <w:trHeight w:val="288"/>
          <w:jc w:val="center"/>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14:paraId="1EDEF9F9" w14:textId="77BEA205" w:rsidR="002A0DA8" w:rsidRPr="002A0DA8" w:rsidRDefault="002A0DA8" w:rsidP="002A0DA8">
            <w:pPr>
              <w:spacing w:after="0" w:line="240" w:lineRule="auto"/>
              <w:jc w:val="center"/>
              <w:rPr>
                <w:rFonts w:ascii="Times New Roman" w:hAnsi="Times New Roman" w:cs="Times New Roman"/>
                <w:color w:val="2F75B5"/>
                <w:lang w:eastAsia="hr-HR"/>
              </w:rPr>
            </w:pPr>
          </w:p>
        </w:tc>
        <w:tc>
          <w:tcPr>
            <w:tcW w:w="2956" w:type="dxa"/>
            <w:tcBorders>
              <w:top w:val="nil"/>
              <w:left w:val="nil"/>
              <w:bottom w:val="single" w:sz="4" w:space="0" w:color="auto"/>
              <w:right w:val="single" w:sz="4" w:space="0" w:color="auto"/>
            </w:tcBorders>
            <w:shd w:val="clear" w:color="000000" w:fill="FFFFFF"/>
            <w:hideMark/>
          </w:tcPr>
          <w:p w14:paraId="6B2884EB" w14:textId="77777777" w:rsidR="002A0DA8" w:rsidRPr="002A0DA8" w:rsidRDefault="002A0DA8" w:rsidP="002A0DA8">
            <w:pPr>
              <w:spacing w:after="0" w:line="240" w:lineRule="auto"/>
              <w:rPr>
                <w:rFonts w:ascii="Times New Roman" w:hAnsi="Times New Roman" w:cs="Times New Roman"/>
                <w:i/>
                <w:iCs/>
                <w:color w:val="2F75B5"/>
                <w:lang w:eastAsia="hr-HR"/>
              </w:rPr>
            </w:pPr>
            <w:r w:rsidRPr="002A0DA8">
              <w:rPr>
                <w:rFonts w:ascii="Times New Roman" w:hAnsi="Times New Roman" w:cs="Times New Roman"/>
                <w:i/>
                <w:iCs/>
                <w:color w:val="2F75B5"/>
                <w:lang w:eastAsia="hr-HR"/>
              </w:rPr>
              <w:t>"Školska shema"</w:t>
            </w:r>
          </w:p>
        </w:tc>
        <w:tc>
          <w:tcPr>
            <w:tcW w:w="1431" w:type="dxa"/>
            <w:tcBorders>
              <w:top w:val="nil"/>
              <w:left w:val="nil"/>
              <w:bottom w:val="single" w:sz="4" w:space="0" w:color="auto"/>
              <w:right w:val="single" w:sz="4" w:space="0" w:color="auto"/>
            </w:tcBorders>
            <w:shd w:val="clear" w:color="000000" w:fill="FFFFFF"/>
            <w:hideMark/>
          </w:tcPr>
          <w:p w14:paraId="0C8025CF" w14:textId="77777777" w:rsidR="002A0DA8" w:rsidRPr="002A0DA8" w:rsidRDefault="002A0DA8" w:rsidP="002A0DA8">
            <w:pPr>
              <w:spacing w:after="0" w:line="240" w:lineRule="auto"/>
              <w:jc w:val="right"/>
              <w:rPr>
                <w:rFonts w:ascii="Times New Roman" w:hAnsi="Times New Roman" w:cs="Times New Roman"/>
                <w:i/>
                <w:iCs/>
                <w:color w:val="2F75B5"/>
                <w:lang w:eastAsia="hr-HR"/>
              </w:rPr>
            </w:pPr>
            <w:r w:rsidRPr="002A0DA8">
              <w:rPr>
                <w:rFonts w:ascii="Times New Roman" w:hAnsi="Times New Roman" w:cs="Times New Roman"/>
                <w:i/>
                <w:iCs/>
                <w:color w:val="2F75B5"/>
                <w:lang w:eastAsia="hr-HR"/>
              </w:rPr>
              <w:t> </w:t>
            </w:r>
          </w:p>
        </w:tc>
        <w:tc>
          <w:tcPr>
            <w:tcW w:w="1417" w:type="dxa"/>
            <w:gridSpan w:val="2"/>
            <w:tcBorders>
              <w:top w:val="nil"/>
              <w:left w:val="nil"/>
              <w:bottom w:val="single" w:sz="4" w:space="0" w:color="auto"/>
              <w:right w:val="single" w:sz="4" w:space="0" w:color="auto"/>
            </w:tcBorders>
            <w:shd w:val="clear" w:color="000000" w:fill="FFFFFF"/>
            <w:noWrap/>
            <w:hideMark/>
          </w:tcPr>
          <w:p w14:paraId="2B37222F" w14:textId="77777777" w:rsidR="002A0DA8" w:rsidRPr="002A0DA8" w:rsidRDefault="002A0DA8" w:rsidP="002A0DA8">
            <w:pPr>
              <w:spacing w:after="0" w:line="240" w:lineRule="auto"/>
              <w:jc w:val="right"/>
              <w:rPr>
                <w:rFonts w:ascii="Times New Roman" w:hAnsi="Times New Roman" w:cs="Times New Roman"/>
                <w:i/>
                <w:iCs/>
                <w:color w:val="2F75B5"/>
                <w:lang w:eastAsia="hr-HR"/>
              </w:rPr>
            </w:pPr>
            <w:r w:rsidRPr="002A0DA8">
              <w:rPr>
                <w:rFonts w:ascii="Times New Roman" w:hAnsi="Times New Roman" w:cs="Times New Roman"/>
                <w:i/>
                <w:iCs/>
                <w:color w:val="2F75B5"/>
                <w:lang w:eastAsia="hr-HR"/>
              </w:rPr>
              <w:t>562,38</w:t>
            </w:r>
          </w:p>
        </w:tc>
        <w:tc>
          <w:tcPr>
            <w:tcW w:w="1546" w:type="dxa"/>
            <w:gridSpan w:val="2"/>
            <w:tcBorders>
              <w:top w:val="nil"/>
              <w:left w:val="nil"/>
              <w:bottom w:val="single" w:sz="4" w:space="0" w:color="auto"/>
              <w:right w:val="single" w:sz="4" w:space="0" w:color="auto"/>
            </w:tcBorders>
            <w:shd w:val="clear" w:color="000000" w:fill="FFFFFF"/>
            <w:noWrap/>
            <w:hideMark/>
          </w:tcPr>
          <w:p w14:paraId="7D273073" w14:textId="77777777" w:rsidR="002A0DA8" w:rsidRPr="002A0DA8" w:rsidRDefault="002A0DA8" w:rsidP="002A0DA8">
            <w:pPr>
              <w:spacing w:after="0" w:line="240" w:lineRule="auto"/>
              <w:ind w:firstLineChars="100" w:firstLine="220"/>
              <w:jc w:val="right"/>
              <w:rPr>
                <w:rFonts w:ascii="Times New Roman" w:hAnsi="Times New Roman" w:cs="Times New Roman"/>
                <w:i/>
                <w:iCs/>
                <w:color w:val="2F75B5"/>
                <w:lang w:eastAsia="hr-HR"/>
              </w:rPr>
            </w:pPr>
            <w:r w:rsidRPr="002A0DA8">
              <w:rPr>
                <w:rFonts w:ascii="Times New Roman" w:hAnsi="Times New Roman" w:cs="Times New Roman"/>
                <w:i/>
                <w:iCs/>
                <w:color w:val="2F75B5"/>
                <w:lang w:eastAsia="hr-HR"/>
              </w:rPr>
              <w:t>686,24</w:t>
            </w:r>
          </w:p>
        </w:tc>
        <w:tc>
          <w:tcPr>
            <w:tcW w:w="1418" w:type="dxa"/>
            <w:tcBorders>
              <w:top w:val="nil"/>
              <w:left w:val="nil"/>
              <w:bottom w:val="single" w:sz="4" w:space="0" w:color="auto"/>
              <w:right w:val="single" w:sz="4" w:space="0" w:color="auto"/>
            </w:tcBorders>
            <w:shd w:val="clear" w:color="000000" w:fill="FFFFFF"/>
            <w:noWrap/>
            <w:hideMark/>
          </w:tcPr>
          <w:p w14:paraId="637AA1A3" w14:textId="77777777" w:rsidR="002A0DA8" w:rsidRPr="002A0DA8" w:rsidRDefault="002A0DA8" w:rsidP="002A0DA8">
            <w:pPr>
              <w:spacing w:after="0" w:line="240" w:lineRule="auto"/>
              <w:jc w:val="right"/>
              <w:rPr>
                <w:rFonts w:ascii="Times New Roman" w:hAnsi="Times New Roman" w:cs="Times New Roman"/>
                <w:i/>
                <w:iCs/>
                <w:color w:val="2F75B5"/>
                <w:lang w:eastAsia="hr-HR"/>
              </w:rPr>
            </w:pPr>
            <w:r w:rsidRPr="002A0DA8">
              <w:rPr>
                <w:rFonts w:ascii="Times New Roman" w:hAnsi="Times New Roman" w:cs="Times New Roman"/>
                <w:i/>
                <w:iCs/>
                <w:color w:val="2F75B5"/>
                <w:lang w:eastAsia="hr-HR"/>
              </w:rPr>
              <w:t>-123,86</w:t>
            </w:r>
          </w:p>
        </w:tc>
      </w:tr>
      <w:tr w:rsidR="002A0DA8" w:rsidRPr="00091F51" w14:paraId="578B821A" w14:textId="77777777" w:rsidTr="00091F51">
        <w:trPr>
          <w:trHeight w:val="288"/>
          <w:jc w:val="center"/>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14:paraId="4770AEE8" w14:textId="77777777" w:rsidR="002A0DA8" w:rsidRPr="002A0DA8" w:rsidRDefault="002A0DA8" w:rsidP="002A0DA8">
            <w:pPr>
              <w:spacing w:after="0" w:line="240" w:lineRule="auto"/>
              <w:jc w:val="center"/>
              <w:rPr>
                <w:rFonts w:ascii="Times New Roman" w:hAnsi="Times New Roman" w:cs="Times New Roman"/>
                <w:color w:val="000000"/>
                <w:lang w:eastAsia="hr-HR"/>
              </w:rPr>
            </w:pPr>
            <w:r w:rsidRPr="002A0DA8">
              <w:rPr>
                <w:rFonts w:ascii="Times New Roman" w:hAnsi="Times New Roman" w:cs="Times New Roman"/>
                <w:color w:val="000000"/>
                <w:lang w:eastAsia="hr-HR"/>
              </w:rPr>
              <w:t>19.</w:t>
            </w:r>
          </w:p>
        </w:tc>
        <w:tc>
          <w:tcPr>
            <w:tcW w:w="2956" w:type="dxa"/>
            <w:tcBorders>
              <w:top w:val="nil"/>
              <w:left w:val="nil"/>
              <w:bottom w:val="single" w:sz="4" w:space="0" w:color="auto"/>
              <w:right w:val="single" w:sz="4" w:space="0" w:color="auto"/>
            </w:tcBorders>
            <w:shd w:val="clear" w:color="000000" w:fill="FFFFFF"/>
            <w:hideMark/>
          </w:tcPr>
          <w:p w14:paraId="48F2DD69" w14:textId="77777777" w:rsidR="002A0DA8" w:rsidRPr="002A0DA8" w:rsidRDefault="002A0DA8" w:rsidP="002A0DA8">
            <w:pPr>
              <w:spacing w:after="0" w:line="240" w:lineRule="auto"/>
              <w:rPr>
                <w:rFonts w:ascii="Times New Roman" w:hAnsi="Times New Roman" w:cs="Times New Roman"/>
                <w:color w:val="000000"/>
                <w:lang w:eastAsia="hr-HR"/>
              </w:rPr>
            </w:pPr>
            <w:r w:rsidRPr="002A0DA8">
              <w:rPr>
                <w:rFonts w:ascii="Times New Roman" w:hAnsi="Times New Roman" w:cs="Times New Roman"/>
                <w:color w:val="000000"/>
                <w:lang w:eastAsia="hr-HR"/>
              </w:rPr>
              <w:t>Općinski proračun</w:t>
            </w:r>
          </w:p>
        </w:tc>
        <w:tc>
          <w:tcPr>
            <w:tcW w:w="1431" w:type="dxa"/>
            <w:tcBorders>
              <w:top w:val="nil"/>
              <w:left w:val="nil"/>
              <w:bottom w:val="single" w:sz="4" w:space="0" w:color="auto"/>
              <w:right w:val="single" w:sz="4" w:space="0" w:color="auto"/>
            </w:tcBorders>
            <w:shd w:val="clear" w:color="000000" w:fill="FFFFFF"/>
            <w:hideMark/>
          </w:tcPr>
          <w:p w14:paraId="2824EAE6"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38.596,00</w:t>
            </w:r>
          </w:p>
        </w:tc>
        <w:tc>
          <w:tcPr>
            <w:tcW w:w="1417" w:type="dxa"/>
            <w:gridSpan w:val="2"/>
            <w:tcBorders>
              <w:top w:val="nil"/>
              <w:left w:val="nil"/>
              <w:bottom w:val="single" w:sz="4" w:space="0" w:color="auto"/>
              <w:right w:val="single" w:sz="4" w:space="0" w:color="auto"/>
            </w:tcBorders>
            <w:shd w:val="clear" w:color="000000" w:fill="FFFFFF"/>
            <w:noWrap/>
            <w:hideMark/>
          </w:tcPr>
          <w:p w14:paraId="2B5446A8"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39.156,98</w:t>
            </w:r>
          </w:p>
        </w:tc>
        <w:tc>
          <w:tcPr>
            <w:tcW w:w="1546" w:type="dxa"/>
            <w:gridSpan w:val="2"/>
            <w:tcBorders>
              <w:top w:val="nil"/>
              <w:left w:val="nil"/>
              <w:bottom w:val="single" w:sz="4" w:space="0" w:color="auto"/>
              <w:right w:val="single" w:sz="4" w:space="0" w:color="auto"/>
            </w:tcBorders>
            <w:shd w:val="clear" w:color="000000" w:fill="FFFFFF"/>
            <w:noWrap/>
            <w:hideMark/>
          </w:tcPr>
          <w:p w14:paraId="5B277159" w14:textId="77777777" w:rsidR="002A0DA8" w:rsidRPr="002A0DA8" w:rsidRDefault="002A0DA8" w:rsidP="002A0DA8">
            <w:pPr>
              <w:spacing w:after="0" w:line="240" w:lineRule="auto"/>
              <w:ind w:firstLineChars="14" w:firstLine="31"/>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39.156,98</w:t>
            </w:r>
          </w:p>
        </w:tc>
        <w:tc>
          <w:tcPr>
            <w:tcW w:w="1418" w:type="dxa"/>
            <w:tcBorders>
              <w:top w:val="nil"/>
              <w:left w:val="nil"/>
              <w:bottom w:val="single" w:sz="4" w:space="0" w:color="auto"/>
              <w:right w:val="single" w:sz="4" w:space="0" w:color="auto"/>
            </w:tcBorders>
            <w:shd w:val="clear" w:color="000000" w:fill="FFFFFF"/>
            <w:noWrap/>
            <w:hideMark/>
          </w:tcPr>
          <w:p w14:paraId="133446C4"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0,00</w:t>
            </w:r>
          </w:p>
        </w:tc>
      </w:tr>
      <w:tr w:rsidR="002A0DA8" w:rsidRPr="00091F51" w14:paraId="38D0F6DF" w14:textId="77777777" w:rsidTr="00091F51">
        <w:trPr>
          <w:trHeight w:val="288"/>
          <w:jc w:val="center"/>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14:paraId="1E0B026E" w14:textId="77777777" w:rsidR="002A0DA8" w:rsidRPr="002A0DA8" w:rsidRDefault="002A0DA8" w:rsidP="002A0DA8">
            <w:pPr>
              <w:spacing w:after="0" w:line="240" w:lineRule="auto"/>
              <w:jc w:val="center"/>
              <w:rPr>
                <w:rFonts w:ascii="Times New Roman" w:hAnsi="Times New Roman" w:cs="Times New Roman"/>
                <w:color w:val="000000"/>
                <w:lang w:eastAsia="hr-HR"/>
              </w:rPr>
            </w:pPr>
            <w:r w:rsidRPr="002A0DA8">
              <w:rPr>
                <w:rFonts w:ascii="Times New Roman" w:hAnsi="Times New Roman" w:cs="Times New Roman"/>
                <w:color w:val="000000"/>
                <w:lang w:eastAsia="hr-HR"/>
              </w:rPr>
              <w:t>20.</w:t>
            </w:r>
          </w:p>
        </w:tc>
        <w:tc>
          <w:tcPr>
            <w:tcW w:w="2956" w:type="dxa"/>
            <w:tcBorders>
              <w:top w:val="nil"/>
              <w:left w:val="nil"/>
              <w:bottom w:val="single" w:sz="4" w:space="0" w:color="auto"/>
              <w:right w:val="single" w:sz="4" w:space="0" w:color="auto"/>
            </w:tcBorders>
            <w:shd w:val="clear" w:color="000000" w:fill="FFFFFF"/>
            <w:hideMark/>
          </w:tcPr>
          <w:p w14:paraId="2768E76A" w14:textId="77777777" w:rsidR="002A0DA8" w:rsidRPr="002A0DA8" w:rsidRDefault="002A0DA8" w:rsidP="002A0DA8">
            <w:pPr>
              <w:spacing w:after="0" w:line="240" w:lineRule="auto"/>
              <w:rPr>
                <w:rFonts w:ascii="Times New Roman" w:hAnsi="Times New Roman" w:cs="Times New Roman"/>
                <w:color w:val="000000"/>
                <w:lang w:eastAsia="hr-HR"/>
              </w:rPr>
            </w:pPr>
            <w:r w:rsidRPr="002A0DA8">
              <w:rPr>
                <w:rFonts w:ascii="Times New Roman" w:hAnsi="Times New Roman" w:cs="Times New Roman"/>
                <w:color w:val="000000"/>
                <w:lang w:eastAsia="hr-HR"/>
              </w:rPr>
              <w:t>Donacije</w:t>
            </w:r>
          </w:p>
        </w:tc>
        <w:tc>
          <w:tcPr>
            <w:tcW w:w="1431" w:type="dxa"/>
            <w:tcBorders>
              <w:top w:val="nil"/>
              <w:left w:val="nil"/>
              <w:bottom w:val="single" w:sz="4" w:space="0" w:color="auto"/>
              <w:right w:val="single" w:sz="4" w:space="0" w:color="auto"/>
            </w:tcBorders>
            <w:shd w:val="clear" w:color="000000" w:fill="FFFFFF"/>
            <w:hideMark/>
          </w:tcPr>
          <w:p w14:paraId="7E82A2D9"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110.000,00</w:t>
            </w:r>
          </w:p>
        </w:tc>
        <w:tc>
          <w:tcPr>
            <w:tcW w:w="1417" w:type="dxa"/>
            <w:gridSpan w:val="2"/>
            <w:tcBorders>
              <w:top w:val="nil"/>
              <w:left w:val="nil"/>
              <w:bottom w:val="single" w:sz="4" w:space="0" w:color="auto"/>
              <w:right w:val="single" w:sz="4" w:space="0" w:color="auto"/>
            </w:tcBorders>
            <w:shd w:val="clear" w:color="000000" w:fill="FFFFFF"/>
            <w:noWrap/>
            <w:hideMark/>
          </w:tcPr>
          <w:p w14:paraId="74AE5AC3"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114.017,10</w:t>
            </w:r>
          </w:p>
        </w:tc>
        <w:tc>
          <w:tcPr>
            <w:tcW w:w="1546" w:type="dxa"/>
            <w:gridSpan w:val="2"/>
            <w:tcBorders>
              <w:top w:val="nil"/>
              <w:left w:val="nil"/>
              <w:bottom w:val="single" w:sz="4" w:space="0" w:color="auto"/>
              <w:right w:val="single" w:sz="4" w:space="0" w:color="auto"/>
            </w:tcBorders>
            <w:shd w:val="clear" w:color="000000" w:fill="FFFFFF"/>
            <w:noWrap/>
            <w:hideMark/>
          </w:tcPr>
          <w:p w14:paraId="5FDCD576" w14:textId="77777777" w:rsidR="002A0DA8" w:rsidRPr="002A0DA8" w:rsidRDefault="002A0DA8" w:rsidP="002A0DA8">
            <w:pPr>
              <w:spacing w:after="0" w:line="240" w:lineRule="auto"/>
              <w:ind w:firstLineChars="14" w:firstLine="31"/>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114.017,10</w:t>
            </w:r>
          </w:p>
        </w:tc>
        <w:tc>
          <w:tcPr>
            <w:tcW w:w="1418" w:type="dxa"/>
            <w:tcBorders>
              <w:top w:val="nil"/>
              <w:left w:val="nil"/>
              <w:bottom w:val="single" w:sz="4" w:space="0" w:color="auto"/>
              <w:right w:val="single" w:sz="4" w:space="0" w:color="auto"/>
            </w:tcBorders>
            <w:shd w:val="clear" w:color="000000" w:fill="FFFFFF"/>
            <w:noWrap/>
            <w:hideMark/>
          </w:tcPr>
          <w:p w14:paraId="35F5FBFD"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0,00</w:t>
            </w:r>
          </w:p>
        </w:tc>
      </w:tr>
      <w:tr w:rsidR="002A0DA8" w:rsidRPr="00091F51" w14:paraId="1AE851B6" w14:textId="77777777" w:rsidTr="00091F51">
        <w:trPr>
          <w:trHeight w:val="288"/>
          <w:jc w:val="center"/>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14:paraId="439B9A4F" w14:textId="77777777" w:rsidR="002A0DA8" w:rsidRPr="002A0DA8" w:rsidRDefault="002A0DA8" w:rsidP="002A0DA8">
            <w:pPr>
              <w:spacing w:after="0" w:line="240" w:lineRule="auto"/>
              <w:jc w:val="center"/>
              <w:rPr>
                <w:rFonts w:ascii="Times New Roman" w:hAnsi="Times New Roman" w:cs="Times New Roman"/>
                <w:color w:val="000000"/>
                <w:lang w:eastAsia="hr-HR"/>
              </w:rPr>
            </w:pPr>
            <w:r w:rsidRPr="002A0DA8">
              <w:rPr>
                <w:rFonts w:ascii="Times New Roman" w:hAnsi="Times New Roman" w:cs="Times New Roman"/>
                <w:color w:val="000000"/>
                <w:lang w:eastAsia="hr-HR"/>
              </w:rPr>
              <w:t>21.</w:t>
            </w:r>
          </w:p>
        </w:tc>
        <w:tc>
          <w:tcPr>
            <w:tcW w:w="2956" w:type="dxa"/>
            <w:tcBorders>
              <w:top w:val="nil"/>
              <w:left w:val="nil"/>
              <w:bottom w:val="single" w:sz="4" w:space="0" w:color="auto"/>
              <w:right w:val="single" w:sz="4" w:space="0" w:color="auto"/>
            </w:tcBorders>
            <w:shd w:val="clear" w:color="000000" w:fill="FFFFFF"/>
            <w:hideMark/>
          </w:tcPr>
          <w:p w14:paraId="437BA59C" w14:textId="004BC949" w:rsidR="002A0DA8" w:rsidRPr="002A0DA8" w:rsidRDefault="002A0DA8" w:rsidP="002A0DA8">
            <w:pPr>
              <w:spacing w:after="0" w:line="240" w:lineRule="auto"/>
              <w:rPr>
                <w:rFonts w:ascii="Times New Roman" w:hAnsi="Times New Roman" w:cs="Times New Roman"/>
                <w:color w:val="000000"/>
                <w:lang w:eastAsia="hr-HR"/>
              </w:rPr>
            </w:pPr>
            <w:r w:rsidRPr="002A0DA8">
              <w:rPr>
                <w:rFonts w:ascii="Times New Roman" w:hAnsi="Times New Roman" w:cs="Times New Roman"/>
                <w:color w:val="000000"/>
                <w:lang w:eastAsia="hr-HR"/>
              </w:rPr>
              <w:t>Prihodi od prodaje nef</w:t>
            </w:r>
            <w:r w:rsidR="00AA7B77">
              <w:rPr>
                <w:rFonts w:ascii="Times New Roman" w:hAnsi="Times New Roman" w:cs="Times New Roman"/>
                <w:color w:val="000000"/>
                <w:lang w:eastAsia="hr-HR"/>
              </w:rPr>
              <w:t xml:space="preserve">inancijske </w:t>
            </w:r>
            <w:r w:rsidRPr="002A0DA8">
              <w:rPr>
                <w:rFonts w:ascii="Times New Roman" w:hAnsi="Times New Roman" w:cs="Times New Roman"/>
                <w:color w:val="000000"/>
                <w:lang w:eastAsia="hr-HR"/>
              </w:rPr>
              <w:t>imovine</w:t>
            </w:r>
          </w:p>
        </w:tc>
        <w:tc>
          <w:tcPr>
            <w:tcW w:w="1431" w:type="dxa"/>
            <w:tcBorders>
              <w:top w:val="nil"/>
              <w:left w:val="nil"/>
              <w:bottom w:val="single" w:sz="4" w:space="0" w:color="auto"/>
              <w:right w:val="single" w:sz="4" w:space="0" w:color="auto"/>
            </w:tcBorders>
            <w:shd w:val="clear" w:color="000000" w:fill="FFFFFF"/>
            <w:hideMark/>
          </w:tcPr>
          <w:p w14:paraId="798D3480"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214.000,00</w:t>
            </w:r>
          </w:p>
        </w:tc>
        <w:tc>
          <w:tcPr>
            <w:tcW w:w="1417" w:type="dxa"/>
            <w:gridSpan w:val="2"/>
            <w:tcBorders>
              <w:top w:val="nil"/>
              <w:left w:val="nil"/>
              <w:bottom w:val="single" w:sz="4" w:space="0" w:color="auto"/>
              <w:right w:val="single" w:sz="4" w:space="0" w:color="auto"/>
            </w:tcBorders>
            <w:shd w:val="clear" w:color="000000" w:fill="FFFFFF"/>
            <w:noWrap/>
            <w:hideMark/>
          </w:tcPr>
          <w:p w14:paraId="392402BE"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217.051,88</w:t>
            </w:r>
          </w:p>
        </w:tc>
        <w:tc>
          <w:tcPr>
            <w:tcW w:w="1546" w:type="dxa"/>
            <w:gridSpan w:val="2"/>
            <w:tcBorders>
              <w:top w:val="nil"/>
              <w:left w:val="nil"/>
              <w:bottom w:val="single" w:sz="4" w:space="0" w:color="auto"/>
              <w:right w:val="single" w:sz="4" w:space="0" w:color="auto"/>
            </w:tcBorders>
            <w:shd w:val="clear" w:color="000000" w:fill="FFFFFF"/>
            <w:noWrap/>
            <w:hideMark/>
          </w:tcPr>
          <w:p w14:paraId="358A10C2" w14:textId="77777777" w:rsidR="002A0DA8" w:rsidRPr="002A0DA8" w:rsidRDefault="002A0DA8" w:rsidP="002A0DA8">
            <w:pPr>
              <w:spacing w:after="0" w:line="240" w:lineRule="auto"/>
              <w:ind w:firstLineChars="14" w:firstLine="31"/>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112.559,01</w:t>
            </w:r>
          </w:p>
        </w:tc>
        <w:tc>
          <w:tcPr>
            <w:tcW w:w="1418" w:type="dxa"/>
            <w:tcBorders>
              <w:top w:val="nil"/>
              <w:left w:val="nil"/>
              <w:bottom w:val="single" w:sz="4" w:space="0" w:color="auto"/>
              <w:right w:val="single" w:sz="4" w:space="0" w:color="auto"/>
            </w:tcBorders>
            <w:shd w:val="clear" w:color="000000" w:fill="FFFFFF"/>
            <w:noWrap/>
            <w:hideMark/>
          </w:tcPr>
          <w:p w14:paraId="0CB1C53C"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104.492,87</w:t>
            </w:r>
          </w:p>
        </w:tc>
      </w:tr>
      <w:tr w:rsidR="002A0DA8" w:rsidRPr="00091F51" w14:paraId="01A6FDCB" w14:textId="77777777" w:rsidTr="00091F51">
        <w:trPr>
          <w:trHeight w:val="288"/>
          <w:jc w:val="center"/>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14:paraId="5D936E75" w14:textId="675A8197" w:rsidR="002A0DA8" w:rsidRPr="002A0DA8" w:rsidRDefault="002A0DA8" w:rsidP="002A0DA8">
            <w:pPr>
              <w:spacing w:after="0" w:line="240" w:lineRule="auto"/>
              <w:jc w:val="center"/>
              <w:rPr>
                <w:rFonts w:ascii="Times New Roman" w:hAnsi="Times New Roman" w:cs="Times New Roman"/>
                <w:color w:val="000000"/>
                <w:lang w:eastAsia="hr-HR"/>
              </w:rPr>
            </w:pPr>
            <w:r w:rsidRPr="002A0DA8">
              <w:rPr>
                <w:rFonts w:ascii="Times New Roman" w:hAnsi="Times New Roman" w:cs="Times New Roman"/>
                <w:color w:val="000000"/>
                <w:lang w:eastAsia="hr-HR"/>
              </w:rPr>
              <w:t>22.</w:t>
            </w:r>
          </w:p>
        </w:tc>
        <w:tc>
          <w:tcPr>
            <w:tcW w:w="2956" w:type="dxa"/>
            <w:tcBorders>
              <w:top w:val="nil"/>
              <w:left w:val="nil"/>
              <w:bottom w:val="single" w:sz="4" w:space="0" w:color="auto"/>
              <w:right w:val="single" w:sz="4" w:space="0" w:color="auto"/>
            </w:tcBorders>
            <w:shd w:val="clear" w:color="000000" w:fill="FFFFFF"/>
            <w:hideMark/>
          </w:tcPr>
          <w:p w14:paraId="7C01794F" w14:textId="77777777" w:rsidR="002A0DA8" w:rsidRPr="002A0DA8" w:rsidRDefault="002A0DA8" w:rsidP="002A0DA8">
            <w:pPr>
              <w:spacing w:after="0" w:line="240" w:lineRule="auto"/>
              <w:rPr>
                <w:rFonts w:ascii="Times New Roman" w:hAnsi="Times New Roman" w:cs="Times New Roman"/>
                <w:color w:val="000000"/>
                <w:lang w:eastAsia="hr-HR"/>
              </w:rPr>
            </w:pPr>
            <w:r w:rsidRPr="002A0DA8">
              <w:rPr>
                <w:rFonts w:ascii="Times New Roman" w:hAnsi="Times New Roman" w:cs="Times New Roman"/>
                <w:color w:val="000000"/>
                <w:lang w:eastAsia="hr-HR"/>
              </w:rPr>
              <w:t>Namjenski prihodi od zaduživanja</w:t>
            </w:r>
          </w:p>
        </w:tc>
        <w:tc>
          <w:tcPr>
            <w:tcW w:w="1431" w:type="dxa"/>
            <w:tcBorders>
              <w:top w:val="nil"/>
              <w:left w:val="nil"/>
              <w:bottom w:val="single" w:sz="4" w:space="0" w:color="auto"/>
              <w:right w:val="single" w:sz="4" w:space="0" w:color="auto"/>
            </w:tcBorders>
            <w:shd w:val="clear" w:color="000000" w:fill="FFFFFF"/>
            <w:hideMark/>
          </w:tcPr>
          <w:p w14:paraId="5F97C0BC"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732.831,00</w:t>
            </w:r>
          </w:p>
        </w:tc>
        <w:tc>
          <w:tcPr>
            <w:tcW w:w="1417" w:type="dxa"/>
            <w:gridSpan w:val="2"/>
            <w:tcBorders>
              <w:top w:val="nil"/>
              <w:left w:val="nil"/>
              <w:bottom w:val="single" w:sz="4" w:space="0" w:color="auto"/>
              <w:right w:val="single" w:sz="4" w:space="0" w:color="auto"/>
            </w:tcBorders>
            <w:shd w:val="clear" w:color="000000" w:fill="FFFFFF"/>
            <w:noWrap/>
            <w:hideMark/>
          </w:tcPr>
          <w:p w14:paraId="5BC9E202"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627.143,50</w:t>
            </w:r>
          </w:p>
        </w:tc>
        <w:tc>
          <w:tcPr>
            <w:tcW w:w="1546" w:type="dxa"/>
            <w:gridSpan w:val="2"/>
            <w:tcBorders>
              <w:top w:val="nil"/>
              <w:left w:val="nil"/>
              <w:bottom w:val="single" w:sz="4" w:space="0" w:color="auto"/>
              <w:right w:val="single" w:sz="4" w:space="0" w:color="auto"/>
            </w:tcBorders>
            <w:shd w:val="clear" w:color="000000" w:fill="FFFFFF"/>
            <w:noWrap/>
            <w:hideMark/>
          </w:tcPr>
          <w:p w14:paraId="6AF04E46" w14:textId="77777777" w:rsidR="002A0DA8" w:rsidRPr="002A0DA8" w:rsidRDefault="002A0DA8" w:rsidP="002A0DA8">
            <w:pPr>
              <w:spacing w:after="0" w:line="240" w:lineRule="auto"/>
              <w:ind w:firstLineChars="14" w:firstLine="31"/>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627.143,50</w:t>
            </w:r>
          </w:p>
        </w:tc>
        <w:tc>
          <w:tcPr>
            <w:tcW w:w="1418" w:type="dxa"/>
            <w:tcBorders>
              <w:top w:val="nil"/>
              <w:left w:val="nil"/>
              <w:bottom w:val="single" w:sz="4" w:space="0" w:color="auto"/>
              <w:right w:val="single" w:sz="4" w:space="0" w:color="auto"/>
            </w:tcBorders>
            <w:shd w:val="clear" w:color="000000" w:fill="FFFFFF"/>
            <w:noWrap/>
            <w:hideMark/>
          </w:tcPr>
          <w:p w14:paraId="1FF7D4AF"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0,00</w:t>
            </w:r>
          </w:p>
        </w:tc>
      </w:tr>
      <w:tr w:rsidR="002A0DA8" w:rsidRPr="00091F51" w14:paraId="56FE7AC6" w14:textId="77777777" w:rsidTr="00091F51">
        <w:trPr>
          <w:trHeight w:val="288"/>
          <w:jc w:val="center"/>
        </w:trPr>
        <w:tc>
          <w:tcPr>
            <w:tcW w:w="497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D299B06" w14:textId="2963A023" w:rsidR="002A0DA8" w:rsidRPr="002A0DA8" w:rsidRDefault="002A0DA8" w:rsidP="002A0DA8">
            <w:pPr>
              <w:spacing w:after="0" w:line="240" w:lineRule="auto"/>
              <w:rPr>
                <w:rFonts w:ascii="Times New Roman" w:hAnsi="Times New Roman" w:cs="Times New Roman"/>
                <w:b/>
                <w:bCs/>
                <w:color w:val="000000"/>
                <w:lang w:eastAsia="hr-HR"/>
              </w:rPr>
            </w:pPr>
            <w:r w:rsidRPr="002A0DA8">
              <w:rPr>
                <w:rFonts w:ascii="Times New Roman" w:hAnsi="Times New Roman" w:cs="Times New Roman"/>
                <w:b/>
                <w:bCs/>
                <w:color w:val="000000"/>
                <w:lang w:eastAsia="hr-HR"/>
              </w:rPr>
              <w:t xml:space="preserve"> UKUPNO: </w:t>
            </w:r>
          </w:p>
        </w:tc>
        <w:tc>
          <w:tcPr>
            <w:tcW w:w="142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02D359B" w14:textId="77777777" w:rsidR="002A0DA8" w:rsidRPr="002A0DA8" w:rsidRDefault="002A0DA8" w:rsidP="002A0DA8">
            <w:pPr>
              <w:spacing w:after="0" w:line="240" w:lineRule="auto"/>
              <w:jc w:val="right"/>
              <w:rPr>
                <w:rFonts w:ascii="Times New Roman" w:hAnsi="Times New Roman" w:cs="Times New Roman"/>
                <w:b/>
                <w:bCs/>
                <w:color w:val="000000"/>
                <w:lang w:eastAsia="hr-HR"/>
              </w:rPr>
            </w:pPr>
            <w:r w:rsidRPr="002A0DA8">
              <w:rPr>
                <w:rFonts w:ascii="Times New Roman" w:hAnsi="Times New Roman" w:cs="Times New Roman"/>
                <w:b/>
                <w:bCs/>
                <w:color w:val="000000"/>
                <w:lang w:eastAsia="hr-HR"/>
              </w:rPr>
              <w:t>3.845.995,49</w:t>
            </w:r>
          </w:p>
        </w:tc>
        <w:tc>
          <w:tcPr>
            <w:tcW w:w="1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16E620A" w14:textId="77777777" w:rsidR="002A0DA8" w:rsidRPr="002A0DA8" w:rsidRDefault="002A0DA8" w:rsidP="002A0DA8">
            <w:pPr>
              <w:spacing w:after="0" w:line="240" w:lineRule="auto"/>
              <w:jc w:val="right"/>
              <w:rPr>
                <w:rFonts w:ascii="Times New Roman" w:hAnsi="Times New Roman" w:cs="Times New Roman"/>
                <w:b/>
                <w:bCs/>
                <w:color w:val="000000"/>
                <w:lang w:eastAsia="hr-HR"/>
              </w:rPr>
            </w:pPr>
            <w:r w:rsidRPr="002A0DA8">
              <w:rPr>
                <w:rFonts w:ascii="Times New Roman" w:hAnsi="Times New Roman" w:cs="Times New Roman"/>
                <w:b/>
                <w:bCs/>
                <w:color w:val="000000"/>
                <w:lang w:eastAsia="hr-HR"/>
              </w:rPr>
              <w:t>4.236.224,80</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2B3CE4E" w14:textId="77777777" w:rsidR="002A0DA8" w:rsidRPr="002A0DA8" w:rsidRDefault="002A0DA8" w:rsidP="002A0DA8">
            <w:pPr>
              <w:spacing w:after="0" w:line="240" w:lineRule="auto"/>
              <w:jc w:val="right"/>
              <w:rPr>
                <w:rFonts w:ascii="Times New Roman" w:hAnsi="Times New Roman" w:cs="Times New Roman"/>
                <w:b/>
                <w:bCs/>
                <w:color w:val="000000"/>
                <w:lang w:eastAsia="hr-HR"/>
              </w:rPr>
            </w:pPr>
            <w:r w:rsidRPr="002A0DA8">
              <w:rPr>
                <w:rFonts w:ascii="Times New Roman" w:hAnsi="Times New Roman" w:cs="Times New Roman"/>
                <w:b/>
                <w:bCs/>
                <w:color w:val="000000"/>
                <w:lang w:eastAsia="hr-HR"/>
              </w:rPr>
              <w:t>-390.229,31</w:t>
            </w:r>
          </w:p>
        </w:tc>
      </w:tr>
      <w:tr w:rsidR="00DB448A" w:rsidRPr="00091F51" w14:paraId="62051000" w14:textId="77777777" w:rsidTr="00091F51">
        <w:trPr>
          <w:trHeight w:val="288"/>
          <w:jc w:val="center"/>
        </w:trPr>
        <w:tc>
          <w:tcPr>
            <w:tcW w:w="583" w:type="dxa"/>
            <w:tcBorders>
              <w:top w:val="single" w:sz="4" w:space="0" w:color="auto"/>
              <w:left w:val="nil"/>
              <w:bottom w:val="nil"/>
              <w:right w:val="nil"/>
            </w:tcBorders>
            <w:shd w:val="clear" w:color="auto" w:fill="auto"/>
            <w:noWrap/>
            <w:vAlign w:val="bottom"/>
            <w:hideMark/>
          </w:tcPr>
          <w:p w14:paraId="7BB8E21B" w14:textId="77777777" w:rsidR="002A0DA8" w:rsidRPr="002A0DA8" w:rsidRDefault="002A0DA8" w:rsidP="002A0DA8">
            <w:pPr>
              <w:spacing w:after="0" w:line="240" w:lineRule="auto"/>
              <w:jc w:val="right"/>
              <w:rPr>
                <w:rFonts w:ascii="Times New Roman" w:hAnsi="Times New Roman" w:cs="Times New Roman"/>
                <w:color w:val="000000"/>
                <w:lang w:eastAsia="hr-HR"/>
              </w:rPr>
            </w:pPr>
          </w:p>
        </w:tc>
        <w:tc>
          <w:tcPr>
            <w:tcW w:w="2956" w:type="dxa"/>
            <w:tcBorders>
              <w:top w:val="single" w:sz="4" w:space="0" w:color="auto"/>
              <w:left w:val="nil"/>
              <w:bottom w:val="nil"/>
              <w:right w:val="nil"/>
            </w:tcBorders>
            <w:shd w:val="clear" w:color="auto" w:fill="auto"/>
            <w:noWrap/>
            <w:vAlign w:val="bottom"/>
            <w:hideMark/>
          </w:tcPr>
          <w:p w14:paraId="7EC72063" w14:textId="77777777" w:rsidR="002A0DA8" w:rsidRPr="002A0DA8" w:rsidRDefault="002A0DA8" w:rsidP="002A0DA8">
            <w:pPr>
              <w:spacing w:after="0" w:line="240" w:lineRule="auto"/>
              <w:rPr>
                <w:rFonts w:ascii="Times New Roman" w:hAnsi="Times New Roman" w:cs="Times New Roman"/>
                <w:sz w:val="20"/>
                <w:szCs w:val="20"/>
                <w:lang w:eastAsia="hr-HR"/>
              </w:rPr>
            </w:pPr>
          </w:p>
        </w:tc>
        <w:tc>
          <w:tcPr>
            <w:tcW w:w="1431" w:type="dxa"/>
            <w:tcBorders>
              <w:top w:val="single" w:sz="4" w:space="0" w:color="auto"/>
              <w:left w:val="nil"/>
              <w:bottom w:val="nil"/>
              <w:right w:val="nil"/>
            </w:tcBorders>
            <w:shd w:val="clear" w:color="auto" w:fill="auto"/>
            <w:noWrap/>
            <w:vAlign w:val="bottom"/>
            <w:hideMark/>
          </w:tcPr>
          <w:p w14:paraId="0F146F6E" w14:textId="77777777" w:rsidR="002A0DA8" w:rsidRPr="00091F51" w:rsidRDefault="002A0DA8" w:rsidP="002A0DA8">
            <w:pPr>
              <w:spacing w:after="0" w:line="240" w:lineRule="auto"/>
              <w:rPr>
                <w:rFonts w:ascii="Times New Roman" w:hAnsi="Times New Roman" w:cs="Times New Roman"/>
                <w:sz w:val="20"/>
                <w:szCs w:val="20"/>
                <w:lang w:eastAsia="hr-HR"/>
              </w:rPr>
            </w:pPr>
          </w:p>
          <w:p w14:paraId="38327C76" w14:textId="77777777" w:rsidR="00DB448A" w:rsidRPr="002A0DA8" w:rsidRDefault="00DB448A" w:rsidP="002A0DA8">
            <w:pPr>
              <w:spacing w:after="0" w:line="240" w:lineRule="auto"/>
              <w:rPr>
                <w:rFonts w:ascii="Times New Roman" w:hAnsi="Times New Roman" w:cs="Times New Roman"/>
                <w:sz w:val="20"/>
                <w:szCs w:val="20"/>
                <w:lang w:eastAsia="hr-HR"/>
              </w:rPr>
            </w:pPr>
          </w:p>
        </w:tc>
        <w:tc>
          <w:tcPr>
            <w:tcW w:w="1417" w:type="dxa"/>
            <w:gridSpan w:val="2"/>
            <w:tcBorders>
              <w:top w:val="single" w:sz="4" w:space="0" w:color="auto"/>
              <w:left w:val="nil"/>
              <w:bottom w:val="nil"/>
              <w:right w:val="nil"/>
            </w:tcBorders>
            <w:shd w:val="clear" w:color="auto" w:fill="auto"/>
            <w:noWrap/>
            <w:vAlign w:val="bottom"/>
            <w:hideMark/>
          </w:tcPr>
          <w:p w14:paraId="03DD9682" w14:textId="77777777" w:rsidR="002A0DA8" w:rsidRPr="002A0DA8" w:rsidRDefault="002A0DA8" w:rsidP="002A0DA8">
            <w:pPr>
              <w:spacing w:after="0" w:line="240" w:lineRule="auto"/>
              <w:rPr>
                <w:rFonts w:ascii="Times New Roman" w:hAnsi="Times New Roman" w:cs="Times New Roman"/>
                <w:sz w:val="20"/>
                <w:szCs w:val="20"/>
                <w:lang w:eastAsia="hr-HR"/>
              </w:rPr>
            </w:pPr>
          </w:p>
        </w:tc>
        <w:tc>
          <w:tcPr>
            <w:tcW w:w="1546" w:type="dxa"/>
            <w:gridSpan w:val="2"/>
            <w:tcBorders>
              <w:top w:val="single" w:sz="4" w:space="0" w:color="auto"/>
              <w:left w:val="nil"/>
              <w:bottom w:val="nil"/>
              <w:right w:val="nil"/>
            </w:tcBorders>
            <w:shd w:val="clear" w:color="auto" w:fill="auto"/>
            <w:noWrap/>
            <w:vAlign w:val="bottom"/>
            <w:hideMark/>
          </w:tcPr>
          <w:p w14:paraId="66E3B252" w14:textId="77777777" w:rsidR="002A0DA8" w:rsidRPr="002A0DA8" w:rsidRDefault="002A0DA8" w:rsidP="002A0DA8">
            <w:pPr>
              <w:spacing w:after="0" w:line="240" w:lineRule="auto"/>
              <w:rPr>
                <w:rFonts w:ascii="Times New Roman" w:hAnsi="Times New Roman" w:cs="Times New Roman"/>
                <w:sz w:val="20"/>
                <w:szCs w:val="20"/>
                <w:lang w:eastAsia="hr-HR"/>
              </w:rPr>
            </w:pPr>
          </w:p>
        </w:tc>
        <w:tc>
          <w:tcPr>
            <w:tcW w:w="1418" w:type="dxa"/>
            <w:tcBorders>
              <w:top w:val="single" w:sz="4" w:space="0" w:color="auto"/>
              <w:left w:val="nil"/>
              <w:bottom w:val="nil"/>
              <w:right w:val="nil"/>
            </w:tcBorders>
            <w:shd w:val="clear" w:color="auto" w:fill="auto"/>
            <w:noWrap/>
            <w:hideMark/>
          </w:tcPr>
          <w:p w14:paraId="483CDD5D" w14:textId="77777777" w:rsidR="002A0DA8" w:rsidRPr="002A0DA8" w:rsidRDefault="002A0DA8" w:rsidP="002A0DA8">
            <w:pPr>
              <w:spacing w:after="0" w:line="240" w:lineRule="auto"/>
              <w:rPr>
                <w:rFonts w:ascii="Times New Roman" w:hAnsi="Times New Roman" w:cs="Times New Roman"/>
                <w:sz w:val="20"/>
                <w:szCs w:val="20"/>
                <w:lang w:eastAsia="hr-HR"/>
              </w:rPr>
            </w:pPr>
          </w:p>
        </w:tc>
      </w:tr>
      <w:tr w:rsidR="002A0DA8" w:rsidRPr="00091F51" w14:paraId="32892EE8" w14:textId="77777777" w:rsidTr="00091F51">
        <w:trPr>
          <w:trHeight w:val="576"/>
          <w:jc w:val="center"/>
        </w:trPr>
        <w:tc>
          <w:tcPr>
            <w:tcW w:w="583"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7743BA52" w14:textId="77777777" w:rsidR="002A0DA8" w:rsidRPr="002A0DA8" w:rsidRDefault="002A0DA8" w:rsidP="002A0DA8">
            <w:pPr>
              <w:spacing w:after="0" w:line="240" w:lineRule="auto"/>
              <w:rPr>
                <w:rFonts w:ascii="Times New Roman" w:hAnsi="Times New Roman" w:cs="Times New Roman"/>
                <w:b/>
                <w:bCs/>
                <w:color w:val="FFFFFF"/>
                <w:lang w:eastAsia="hr-HR"/>
              </w:rPr>
            </w:pPr>
            <w:r w:rsidRPr="002A0DA8">
              <w:rPr>
                <w:rFonts w:ascii="Times New Roman" w:hAnsi="Times New Roman" w:cs="Times New Roman"/>
                <w:b/>
                <w:bCs/>
                <w:color w:val="FFFFFF"/>
                <w:lang w:eastAsia="hr-HR"/>
              </w:rPr>
              <w:t>Red.br.</w:t>
            </w:r>
          </w:p>
        </w:tc>
        <w:tc>
          <w:tcPr>
            <w:tcW w:w="2956" w:type="dxa"/>
            <w:tcBorders>
              <w:top w:val="single" w:sz="4" w:space="0" w:color="auto"/>
              <w:left w:val="nil"/>
              <w:bottom w:val="single" w:sz="4" w:space="0" w:color="auto"/>
              <w:right w:val="single" w:sz="4" w:space="0" w:color="auto"/>
            </w:tcBorders>
            <w:shd w:val="clear" w:color="000000" w:fill="002060"/>
            <w:vAlign w:val="center"/>
            <w:hideMark/>
          </w:tcPr>
          <w:p w14:paraId="7C4FD253" w14:textId="2B383D19" w:rsidR="002A0DA8" w:rsidRPr="002A0DA8" w:rsidRDefault="002A0DA8" w:rsidP="002A0DA8">
            <w:pPr>
              <w:spacing w:after="0" w:line="240" w:lineRule="auto"/>
              <w:jc w:val="center"/>
              <w:rPr>
                <w:rFonts w:ascii="Times New Roman" w:hAnsi="Times New Roman" w:cs="Times New Roman"/>
                <w:b/>
                <w:bCs/>
                <w:color w:val="FFFFFF"/>
                <w:lang w:eastAsia="hr-HR"/>
              </w:rPr>
            </w:pPr>
            <w:r w:rsidRPr="002A0DA8">
              <w:rPr>
                <w:rFonts w:ascii="Times New Roman" w:hAnsi="Times New Roman" w:cs="Times New Roman"/>
                <w:b/>
                <w:bCs/>
                <w:color w:val="FFFFFF"/>
                <w:lang w:eastAsia="hr-HR"/>
              </w:rPr>
              <w:t>Ne</w:t>
            </w:r>
            <w:r w:rsidRPr="00091F51">
              <w:rPr>
                <w:rFonts w:ascii="Times New Roman" w:hAnsi="Times New Roman" w:cs="Times New Roman"/>
                <w:b/>
                <w:bCs/>
                <w:color w:val="FFFFFF"/>
                <w:lang w:eastAsia="hr-HR"/>
              </w:rPr>
              <w:t>na</w:t>
            </w:r>
            <w:r w:rsidRPr="002A0DA8">
              <w:rPr>
                <w:rFonts w:ascii="Times New Roman" w:hAnsi="Times New Roman" w:cs="Times New Roman"/>
                <w:b/>
                <w:bCs/>
                <w:color w:val="FFFFFF"/>
                <w:lang w:eastAsia="hr-HR"/>
              </w:rPr>
              <w:t>mjenski prihod</w:t>
            </w:r>
          </w:p>
        </w:tc>
        <w:tc>
          <w:tcPr>
            <w:tcW w:w="1431" w:type="dxa"/>
            <w:tcBorders>
              <w:top w:val="single" w:sz="4" w:space="0" w:color="auto"/>
              <w:left w:val="nil"/>
              <w:bottom w:val="single" w:sz="4" w:space="0" w:color="auto"/>
              <w:right w:val="single" w:sz="4" w:space="0" w:color="auto"/>
            </w:tcBorders>
            <w:shd w:val="clear" w:color="000000" w:fill="002060"/>
            <w:vAlign w:val="center"/>
            <w:hideMark/>
          </w:tcPr>
          <w:p w14:paraId="1D44A1C8" w14:textId="77777777" w:rsidR="002A0DA8" w:rsidRPr="002A0DA8" w:rsidRDefault="002A0DA8" w:rsidP="002A0DA8">
            <w:pPr>
              <w:spacing w:after="0" w:line="240" w:lineRule="auto"/>
              <w:jc w:val="center"/>
              <w:rPr>
                <w:rFonts w:ascii="Times New Roman" w:hAnsi="Times New Roman" w:cs="Times New Roman"/>
                <w:b/>
                <w:bCs/>
                <w:color w:val="FFFFFF"/>
                <w:lang w:eastAsia="hr-HR"/>
              </w:rPr>
            </w:pPr>
            <w:r w:rsidRPr="002A0DA8">
              <w:rPr>
                <w:rFonts w:ascii="Times New Roman" w:hAnsi="Times New Roman" w:cs="Times New Roman"/>
                <w:b/>
                <w:bCs/>
                <w:color w:val="FFFFFF"/>
                <w:lang w:eastAsia="hr-HR"/>
              </w:rPr>
              <w:t>Planirano</w:t>
            </w:r>
          </w:p>
        </w:tc>
        <w:tc>
          <w:tcPr>
            <w:tcW w:w="1417" w:type="dxa"/>
            <w:gridSpan w:val="2"/>
            <w:tcBorders>
              <w:top w:val="single" w:sz="4" w:space="0" w:color="auto"/>
              <w:left w:val="nil"/>
              <w:bottom w:val="single" w:sz="4" w:space="0" w:color="auto"/>
              <w:right w:val="single" w:sz="4" w:space="0" w:color="auto"/>
            </w:tcBorders>
            <w:shd w:val="clear" w:color="000000" w:fill="002060"/>
            <w:vAlign w:val="center"/>
            <w:hideMark/>
          </w:tcPr>
          <w:p w14:paraId="6CFF3139" w14:textId="77777777" w:rsidR="002A0DA8" w:rsidRPr="002A0DA8" w:rsidRDefault="002A0DA8" w:rsidP="002A0DA8">
            <w:pPr>
              <w:spacing w:after="0" w:line="240" w:lineRule="auto"/>
              <w:jc w:val="center"/>
              <w:rPr>
                <w:rFonts w:ascii="Times New Roman" w:hAnsi="Times New Roman" w:cs="Times New Roman"/>
                <w:b/>
                <w:bCs/>
                <w:color w:val="FFFFFF"/>
                <w:lang w:eastAsia="hr-HR"/>
              </w:rPr>
            </w:pPr>
            <w:r w:rsidRPr="002A0DA8">
              <w:rPr>
                <w:rFonts w:ascii="Times New Roman" w:hAnsi="Times New Roman" w:cs="Times New Roman"/>
                <w:b/>
                <w:bCs/>
                <w:color w:val="FFFFFF"/>
                <w:lang w:eastAsia="hr-HR"/>
              </w:rPr>
              <w:t>Izvršenje prihoda</w:t>
            </w:r>
          </w:p>
        </w:tc>
        <w:tc>
          <w:tcPr>
            <w:tcW w:w="1546" w:type="dxa"/>
            <w:gridSpan w:val="2"/>
            <w:tcBorders>
              <w:top w:val="single" w:sz="4" w:space="0" w:color="auto"/>
              <w:left w:val="nil"/>
              <w:bottom w:val="single" w:sz="4" w:space="0" w:color="auto"/>
              <w:right w:val="single" w:sz="4" w:space="0" w:color="auto"/>
            </w:tcBorders>
            <w:shd w:val="clear" w:color="000000" w:fill="002060"/>
            <w:vAlign w:val="center"/>
            <w:hideMark/>
          </w:tcPr>
          <w:p w14:paraId="1510410F" w14:textId="77777777" w:rsidR="002A0DA8" w:rsidRPr="002A0DA8" w:rsidRDefault="002A0DA8" w:rsidP="002A0DA8">
            <w:pPr>
              <w:spacing w:after="0" w:line="240" w:lineRule="auto"/>
              <w:jc w:val="center"/>
              <w:rPr>
                <w:rFonts w:ascii="Times New Roman" w:hAnsi="Times New Roman" w:cs="Times New Roman"/>
                <w:b/>
                <w:bCs/>
                <w:color w:val="FFFFFF"/>
                <w:lang w:eastAsia="hr-HR"/>
              </w:rPr>
            </w:pPr>
            <w:r w:rsidRPr="002A0DA8">
              <w:rPr>
                <w:rFonts w:ascii="Times New Roman" w:hAnsi="Times New Roman" w:cs="Times New Roman"/>
                <w:b/>
                <w:bCs/>
                <w:color w:val="FFFFFF"/>
                <w:lang w:eastAsia="hr-HR"/>
              </w:rPr>
              <w:t>Izvršenje rashoda</w:t>
            </w:r>
          </w:p>
        </w:tc>
        <w:tc>
          <w:tcPr>
            <w:tcW w:w="1418" w:type="dxa"/>
            <w:tcBorders>
              <w:top w:val="single" w:sz="4" w:space="0" w:color="auto"/>
              <w:left w:val="nil"/>
              <w:bottom w:val="single" w:sz="4" w:space="0" w:color="auto"/>
              <w:right w:val="single" w:sz="4" w:space="0" w:color="auto"/>
            </w:tcBorders>
            <w:shd w:val="clear" w:color="000000" w:fill="002060"/>
            <w:vAlign w:val="center"/>
            <w:hideMark/>
          </w:tcPr>
          <w:p w14:paraId="2B9C9EEA" w14:textId="77777777" w:rsidR="002A0DA8" w:rsidRPr="002A0DA8" w:rsidRDefault="002A0DA8" w:rsidP="002A0DA8">
            <w:pPr>
              <w:spacing w:after="0" w:line="240" w:lineRule="auto"/>
              <w:jc w:val="center"/>
              <w:rPr>
                <w:rFonts w:ascii="Times New Roman" w:hAnsi="Times New Roman" w:cs="Times New Roman"/>
                <w:b/>
                <w:bCs/>
                <w:color w:val="FFFFFF"/>
                <w:lang w:eastAsia="hr-HR"/>
              </w:rPr>
            </w:pPr>
            <w:r w:rsidRPr="002A0DA8">
              <w:rPr>
                <w:rFonts w:ascii="Times New Roman" w:hAnsi="Times New Roman" w:cs="Times New Roman"/>
                <w:b/>
                <w:bCs/>
                <w:color w:val="FFFFFF"/>
                <w:lang w:eastAsia="hr-HR"/>
              </w:rPr>
              <w:t>višak/ manjak u €</w:t>
            </w:r>
          </w:p>
        </w:tc>
      </w:tr>
      <w:tr w:rsidR="002A0DA8" w:rsidRPr="00091F51" w14:paraId="39E9C80B" w14:textId="77777777" w:rsidTr="00091F51">
        <w:trPr>
          <w:trHeight w:val="288"/>
          <w:jc w:val="center"/>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14:paraId="53D94116" w14:textId="77777777" w:rsidR="002A0DA8" w:rsidRPr="002A0DA8" w:rsidRDefault="002A0DA8" w:rsidP="002A0DA8">
            <w:pPr>
              <w:spacing w:after="0" w:line="240" w:lineRule="auto"/>
              <w:rPr>
                <w:rFonts w:ascii="Times New Roman" w:hAnsi="Times New Roman" w:cs="Times New Roman"/>
                <w:b/>
                <w:bCs/>
                <w:color w:val="000000"/>
                <w:lang w:eastAsia="hr-HR"/>
              </w:rPr>
            </w:pPr>
            <w:r w:rsidRPr="002A0DA8">
              <w:rPr>
                <w:rFonts w:ascii="Times New Roman" w:hAnsi="Times New Roman" w:cs="Times New Roman"/>
                <w:b/>
                <w:bCs/>
                <w:color w:val="000000"/>
                <w:lang w:eastAsia="hr-HR"/>
              </w:rPr>
              <w:t>1.</w:t>
            </w:r>
          </w:p>
        </w:tc>
        <w:tc>
          <w:tcPr>
            <w:tcW w:w="2956" w:type="dxa"/>
            <w:tcBorders>
              <w:top w:val="nil"/>
              <w:left w:val="nil"/>
              <w:bottom w:val="single" w:sz="4" w:space="0" w:color="auto"/>
              <w:right w:val="single" w:sz="4" w:space="0" w:color="auto"/>
            </w:tcBorders>
            <w:shd w:val="clear" w:color="000000" w:fill="FFFFFF"/>
            <w:noWrap/>
            <w:hideMark/>
          </w:tcPr>
          <w:p w14:paraId="50A2DBC8" w14:textId="77777777" w:rsidR="002A0DA8" w:rsidRPr="002A0DA8" w:rsidRDefault="002A0DA8" w:rsidP="002A0DA8">
            <w:pPr>
              <w:spacing w:after="0" w:line="240" w:lineRule="auto"/>
              <w:rPr>
                <w:rFonts w:ascii="Times New Roman" w:hAnsi="Times New Roman" w:cs="Times New Roman"/>
                <w:color w:val="000000"/>
                <w:lang w:eastAsia="hr-HR"/>
              </w:rPr>
            </w:pPr>
            <w:r w:rsidRPr="002A0DA8">
              <w:rPr>
                <w:rFonts w:ascii="Times New Roman" w:hAnsi="Times New Roman" w:cs="Times New Roman"/>
                <w:color w:val="000000"/>
                <w:lang w:eastAsia="hr-HR"/>
              </w:rPr>
              <w:t>Opći prihodi i primici</w:t>
            </w:r>
          </w:p>
        </w:tc>
        <w:tc>
          <w:tcPr>
            <w:tcW w:w="1431" w:type="dxa"/>
            <w:tcBorders>
              <w:top w:val="nil"/>
              <w:left w:val="nil"/>
              <w:bottom w:val="single" w:sz="4" w:space="0" w:color="auto"/>
              <w:right w:val="single" w:sz="4" w:space="0" w:color="auto"/>
            </w:tcBorders>
            <w:shd w:val="clear" w:color="000000" w:fill="FFFFFF"/>
            <w:noWrap/>
            <w:hideMark/>
          </w:tcPr>
          <w:p w14:paraId="12D66BFD"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2.797.500,00</w:t>
            </w:r>
          </w:p>
        </w:tc>
        <w:tc>
          <w:tcPr>
            <w:tcW w:w="1417" w:type="dxa"/>
            <w:gridSpan w:val="2"/>
            <w:tcBorders>
              <w:top w:val="nil"/>
              <w:left w:val="nil"/>
              <w:bottom w:val="single" w:sz="4" w:space="0" w:color="auto"/>
              <w:right w:val="single" w:sz="4" w:space="0" w:color="auto"/>
            </w:tcBorders>
            <w:shd w:val="clear" w:color="000000" w:fill="FFFFFF"/>
            <w:noWrap/>
            <w:hideMark/>
          </w:tcPr>
          <w:p w14:paraId="46F984B4"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2.783.229,03</w:t>
            </w:r>
          </w:p>
        </w:tc>
        <w:tc>
          <w:tcPr>
            <w:tcW w:w="1546" w:type="dxa"/>
            <w:gridSpan w:val="2"/>
            <w:tcBorders>
              <w:top w:val="nil"/>
              <w:left w:val="nil"/>
              <w:bottom w:val="single" w:sz="4" w:space="0" w:color="auto"/>
              <w:right w:val="single" w:sz="4" w:space="0" w:color="auto"/>
            </w:tcBorders>
            <w:shd w:val="clear" w:color="000000" w:fill="FFFFFF"/>
            <w:noWrap/>
            <w:hideMark/>
          </w:tcPr>
          <w:p w14:paraId="6D64C547" w14:textId="77777777" w:rsidR="002A0DA8" w:rsidRPr="002A0DA8" w:rsidRDefault="002A0DA8" w:rsidP="00DB448A">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2.523.865,03</w:t>
            </w:r>
          </w:p>
        </w:tc>
        <w:tc>
          <w:tcPr>
            <w:tcW w:w="1418" w:type="dxa"/>
            <w:tcBorders>
              <w:top w:val="nil"/>
              <w:left w:val="nil"/>
              <w:bottom w:val="single" w:sz="4" w:space="0" w:color="auto"/>
              <w:right w:val="single" w:sz="4" w:space="0" w:color="auto"/>
            </w:tcBorders>
            <w:shd w:val="clear" w:color="000000" w:fill="FFFFFF"/>
            <w:noWrap/>
            <w:hideMark/>
          </w:tcPr>
          <w:p w14:paraId="4DF13778" w14:textId="77777777" w:rsidR="002A0DA8" w:rsidRPr="002A0DA8" w:rsidRDefault="002A0DA8" w:rsidP="002A0DA8">
            <w:pPr>
              <w:spacing w:after="0" w:line="240" w:lineRule="auto"/>
              <w:jc w:val="right"/>
              <w:rPr>
                <w:rFonts w:ascii="Times New Roman" w:hAnsi="Times New Roman" w:cs="Times New Roman"/>
                <w:b/>
                <w:bCs/>
                <w:color w:val="000000"/>
                <w:lang w:eastAsia="hr-HR"/>
              </w:rPr>
            </w:pPr>
            <w:r w:rsidRPr="002A0DA8">
              <w:rPr>
                <w:rFonts w:ascii="Times New Roman" w:hAnsi="Times New Roman" w:cs="Times New Roman"/>
                <w:b/>
                <w:bCs/>
                <w:color w:val="000000"/>
                <w:lang w:eastAsia="hr-HR"/>
              </w:rPr>
              <w:t>259.364,00</w:t>
            </w:r>
          </w:p>
        </w:tc>
      </w:tr>
      <w:tr w:rsidR="002A0DA8" w:rsidRPr="00091F51" w14:paraId="6914E01F" w14:textId="77777777" w:rsidTr="00091F51">
        <w:trPr>
          <w:trHeight w:val="288"/>
          <w:jc w:val="center"/>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14:paraId="58AC127B" w14:textId="77777777" w:rsidR="002A0DA8" w:rsidRPr="002A0DA8" w:rsidRDefault="002A0DA8" w:rsidP="002A0DA8">
            <w:pPr>
              <w:spacing w:after="0" w:line="240" w:lineRule="auto"/>
              <w:rPr>
                <w:rFonts w:ascii="Times New Roman" w:hAnsi="Times New Roman" w:cs="Times New Roman"/>
                <w:b/>
                <w:bCs/>
                <w:color w:val="000000"/>
                <w:lang w:eastAsia="hr-HR"/>
              </w:rPr>
            </w:pPr>
            <w:r w:rsidRPr="002A0DA8">
              <w:rPr>
                <w:rFonts w:ascii="Times New Roman" w:hAnsi="Times New Roman" w:cs="Times New Roman"/>
                <w:b/>
                <w:bCs/>
                <w:color w:val="000000"/>
                <w:lang w:eastAsia="hr-HR"/>
              </w:rPr>
              <w:lastRenderedPageBreak/>
              <w:t>2.</w:t>
            </w:r>
          </w:p>
        </w:tc>
        <w:tc>
          <w:tcPr>
            <w:tcW w:w="2956" w:type="dxa"/>
            <w:tcBorders>
              <w:top w:val="nil"/>
              <w:left w:val="nil"/>
              <w:bottom w:val="single" w:sz="4" w:space="0" w:color="auto"/>
              <w:right w:val="single" w:sz="4" w:space="0" w:color="auto"/>
            </w:tcBorders>
            <w:shd w:val="clear" w:color="000000" w:fill="FFFFFF"/>
            <w:noWrap/>
            <w:hideMark/>
          </w:tcPr>
          <w:p w14:paraId="5C4DD345" w14:textId="77777777" w:rsidR="002A0DA8" w:rsidRPr="002A0DA8" w:rsidRDefault="002A0DA8" w:rsidP="002A0DA8">
            <w:pPr>
              <w:spacing w:after="0" w:line="240" w:lineRule="auto"/>
              <w:rPr>
                <w:rFonts w:ascii="Times New Roman" w:hAnsi="Times New Roman" w:cs="Times New Roman"/>
                <w:color w:val="000000"/>
                <w:lang w:eastAsia="hr-HR"/>
              </w:rPr>
            </w:pPr>
            <w:r w:rsidRPr="002A0DA8">
              <w:rPr>
                <w:rFonts w:ascii="Times New Roman" w:hAnsi="Times New Roman" w:cs="Times New Roman"/>
                <w:color w:val="000000"/>
                <w:lang w:eastAsia="hr-HR"/>
              </w:rPr>
              <w:t>Fiskalno izravnanje</w:t>
            </w:r>
          </w:p>
        </w:tc>
        <w:tc>
          <w:tcPr>
            <w:tcW w:w="1431" w:type="dxa"/>
            <w:tcBorders>
              <w:top w:val="nil"/>
              <w:left w:val="nil"/>
              <w:bottom w:val="single" w:sz="4" w:space="0" w:color="auto"/>
              <w:right w:val="single" w:sz="4" w:space="0" w:color="auto"/>
            </w:tcBorders>
            <w:shd w:val="clear" w:color="000000" w:fill="FFFFFF"/>
            <w:noWrap/>
            <w:hideMark/>
          </w:tcPr>
          <w:p w14:paraId="30AEEF0F"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1.620.430,00</w:t>
            </w:r>
          </w:p>
        </w:tc>
        <w:tc>
          <w:tcPr>
            <w:tcW w:w="1417" w:type="dxa"/>
            <w:gridSpan w:val="2"/>
            <w:tcBorders>
              <w:top w:val="nil"/>
              <w:left w:val="nil"/>
              <w:bottom w:val="single" w:sz="4" w:space="0" w:color="auto"/>
              <w:right w:val="single" w:sz="4" w:space="0" w:color="auto"/>
            </w:tcBorders>
            <w:shd w:val="clear" w:color="000000" w:fill="FFFFFF"/>
            <w:noWrap/>
            <w:hideMark/>
          </w:tcPr>
          <w:p w14:paraId="4215E8FE"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1.620.430,04</w:t>
            </w:r>
          </w:p>
        </w:tc>
        <w:tc>
          <w:tcPr>
            <w:tcW w:w="1546" w:type="dxa"/>
            <w:gridSpan w:val="2"/>
            <w:tcBorders>
              <w:top w:val="nil"/>
              <w:left w:val="nil"/>
              <w:bottom w:val="single" w:sz="4" w:space="0" w:color="auto"/>
              <w:right w:val="single" w:sz="4" w:space="0" w:color="auto"/>
            </w:tcBorders>
            <w:shd w:val="clear" w:color="000000" w:fill="FFFFFF"/>
            <w:noWrap/>
            <w:hideMark/>
          </w:tcPr>
          <w:p w14:paraId="5D982A3E" w14:textId="77777777" w:rsidR="002A0DA8" w:rsidRPr="002A0DA8" w:rsidRDefault="002A0DA8" w:rsidP="00DB448A">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1.458.514,01</w:t>
            </w:r>
          </w:p>
        </w:tc>
        <w:tc>
          <w:tcPr>
            <w:tcW w:w="1418" w:type="dxa"/>
            <w:tcBorders>
              <w:top w:val="nil"/>
              <w:left w:val="nil"/>
              <w:bottom w:val="single" w:sz="4" w:space="0" w:color="auto"/>
              <w:right w:val="single" w:sz="4" w:space="0" w:color="auto"/>
            </w:tcBorders>
            <w:shd w:val="clear" w:color="000000" w:fill="FFFFFF"/>
            <w:noWrap/>
            <w:hideMark/>
          </w:tcPr>
          <w:p w14:paraId="319981CA" w14:textId="77777777" w:rsidR="002A0DA8" w:rsidRPr="002A0DA8" w:rsidRDefault="002A0DA8" w:rsidP="002A0DA8">
            <w:pPr>
              <w:spacing w:after="0" w:line="240" w:lineRule="auto"/>
              <w:jc w:val="right"/>
              <w:rPr>
                <w:rFonts w:ascii="Times New Roman" w:hAnsi="Times New Roman" w:cs="Times New Roman"/>
                <w:b/>
                <w:bCs/>
                <w:color w:val="000000"/>
                <w:lang w:eastAsia="hr-HR"/>
              </w:rPr>
            </w:pPr>
            <w:r w:rsidRPr="002A0DA8">
              <w:rPr>
                <w:rFonts w:ascii="Times New Roman" w:hAnsi="Times New Roman" w:cs="Times New Roman"/>
                <w:b/>
                <w:bCs/>
                <w:color w:val="000000"/>
                <w:lang w:eastAsia="hr-HR"/>
              </w:rPr>
              <w:t>161.916,03</w:t>
            </w:r>
          </w:p>
        </w:tc>
      </w:tr>
      <w:tr w:rsidR="002A0DA8" w:rsidRPr="00091F51" w14:paraId="3F7A9F37" w14:textId="77777777" w:rsidTr="00091F51">
        <w:trPr>
          <w:trHeight w:val="288"/>
          <w:jc w:val="center"/>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14:paraId="60E6F8E0" w14:textId="77777777" w:rsidR="002A0DA8" w:rsidRPr="002A0DA8" w:rsidRDefault="002A0DA8" w:rsidP="002A0DA8">
            <w:pPr>
              <w:spacing w:after="0" w:line="240" w:lineRule="auto"/>
              <w:rPr>
                <w:rFonts w:ascii="Times New Roman" w:hAnsi="Times New Roman" w:cs="Times New Roman"/>
                <w:b/>
                <w:bCs/>
                <w:color w:val="000000"/>
                <w:lang w:eastAsia="hr-HR"/>
              </w:rPr>
            </w:pPr>
            <w:r w:rsidRPr="002A0DA8">
              <w:rPr>
                <w:rFonts w:ascii="Times New Roman" w:hAnsi="Times New Roman" w:cs="Times New Roman"/>
                <w:b/>
                <w:bCs/>
                <w:color w:val="000000"/>
                <w:lang w:eastAsia="hr-HR"/>
              </w:rPr>
              <w:t>3.</w:t>
            </w:r>
          </w:p>
        </w:tc>
        <w:tc>
          <w:tcPr>
            <w:tcW w:w="2956" w:type="dxa"/>
            <w:tcBorders>
              <w:top w:val="nil"/>
              <w:left w:val="nil"/>
              <w:bottom w:val="single" w:sz="4" w:space="0" w:color="auto"/>
              <w:right w:val="single" w:sz="4" w:space="0" w:color="auto"/>
            </w:tcBorders>
            <w:shd w:val="clear" w:color="000000" w:fill="FFFFFF"/>
            <w:noWrap/>
            <w:hideMark/>
          </w:tcPr>
          <w:p w14:paraId="17E68DA2" w14:textId="77777777" w:rsidR="002A0DA8" w:rsidRPr="002A0DA8" w:rsidRDefault="002A0DA8" w:rsidP="002A0DA8">
            <w:pPr>
              <w:spacing w:after="0" w:line="240" w:lineRule="auto"/>
              <w:rPr>
                <w:rFonts w:ascii="Times New Roman" w:hAnsi="Times New Roman" w:cs="Times New Roman"/>
                <w:color w:val="000000"/>
                <w:lang w:eastAsia="hr-HR"/>
              </w:rPr>
            </w:pPr>
            <w:r w:rsidRPr="002A0DA8">
              <w:rPr>
                <w:rFonts w:ascii="Times New Roman" w:hAnsi="Times New Roman" w:cs="Times New Roman"/>
                <w:color w:val="000000"/>
                <w:lang w:eastAsia="hr-HR"/>
              </w:rPr>
              <w:t xml:space="preserve">Vlastiti prihodi </w:t>
            </w:r>
          </w:p>
        </w:tc>
        <w:tc>
          <w:tcPr>
            <w:tcW w:w="1431" w:type="dxa"/>
            <w:tcBorders>
              <w:top w:val="nil"/>
              <w:left w:val="nil"/>
              <w:bottom w:val="single" w:sz="4" w:space="0" w:color="auto"/>
              <w:right w:val="single" w:sz="4" w:space="0" w:color="auto"/>
            </w:tcBorders>
            <w:shd w:val="clear" w:color="000000" w:fill="FFFFFF"/>
            <w:noWrap/>
            <w:hideMark/>
          </w:tcPr>
          <w:p w14:paraId="02D434AE"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55.000,00</w:t>
            </w:r>
          </w:p>
        </w:tc>
        <w:tc>
          <w:tcPr>
            <w:tcW w:w="1417" w:type="dxa"/>
            <w:gridSpan w:val="2"/>
            <w:tcBorders>
              <w:top w:val="nil"/>
              <w:left w:val="nil"/>
              <w:bottom w:val="single" w:sz="4" w:space="0" w:color="auto"/>
              <w:right w:val="single" w:sz="4" w:space="0" w:color="auto"/>
            </w:tcBorders>
            <w:shd w:val="clear" w:color="000000" w:fill="FFFFFF"/>
            <w:noWrap/>
            <w:hideMark/>
          </w:tcPr>
          <w:p w14:paraId="21F5ACDD"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53.087,68</w:t>
            </w:r>
          </w:p>
        </w:tc>
        <w:tc>
          <w:tcPr>
            <w:tcW w:w="1546" w:type="dxa"/>
            <w:gridSpan w:val="2"/>
            <w:tcBorders>
              <w:top w:val="nil"/>
              <w:left w:val="nil"/>
              <w:bottom w:val="single" w:sz="4" w:space="0" w:color="auto"/>
              <w:right w:val="single" w:sz="4" w:space="0" w:color="auto"/>
            </w:tcBorders>
            <w:shd w:val="clear" w:color="000000" w:fill="FFFFFF"/>
            <w:noWrap/>
            <w:hideMark/>
          </w:tcPr>
          <w:p w14:paraId="68F54FDC" w14:textId="77777777" w:rsidR="002A0DA8" w:rsidRPr="002A0DA8" w:rsidRDefault="002A0DA8" w:rsidP="00DB448A">
            <w:pPr>
              <w:spacing w:after="0" w:line="240" w:lineRule="auto"/>
              <w:ind w:firstLineChars="100" w:firstLine="220"/>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53.087,68</w:t>
            </w:r>
          </w:p>
        </w:tc>
        <w:tc>
          <w:tcPr>
            <w:tcW w:w="1418" w:type="dxa"/>
            <w:tcBorders>
              <w:top w:val="nil"/>
              <w:left w:val="nil"/>
              <w:bottom w:val="single" w:sz="4" w:space="0" w:color="auto"/>
              <w:right w:val="single" w:sz="4" w:space="0" w:color="auto"/>
            </w:tcBorders>
            <w:shd w:val="clear" w:color="000000" w:fill="FFFFFF"/>
            <w:noWrap/>
            <w:hideMark/>
          </w:tcPr>
          <w:p w14:paraId="260596E5" w14:textId="77777777" w:rsidR="002A0DA8" w:rsidRPr="002A0DA8" w:rsidRDefault="002A0DA8" w:rsidP="002A0DA8">
            <w:pPr>
              <w:spacing w:after="0" w:line="240" w:lineRule="auto"/>
              <w:jc w:val="right"/>
              <w:rPr>
                <w:rFonts w:ascii="Times New Roman" w:hAnsi="Times New Roman" w:cs="Times New Roman"/>
                <w:b/>
                <w:bCs/>
                <w:color w:val="000000"/>
                <w:lang w:eastAsia="hr-HR"/>
              </w:rPr>
            </w:pPr>
            <w:r w:rsidRPr="002A0DA8">
              <w:rPr>
                <w:rFonts w:ascii="Times New Roman" w:hAnsi="Times New Roman" w:cs="Times New Roman"/>
                <w:b/>
                <w:bCs/>
                <w:color w:val="000000"/>
                <w:lang w:eastAsia="hr-HR"/>
              </w:rPr>
              <w:t>0,00</w:t>
            </w:r>
          </w:p>
        </w:tc>
      </w:tr>
      <w:tr w:rsidR="00DB448A" w:rsidRPr="00091F51" w14:paraId="4C240623" w14:textId="77777777" w:rsidTr="00732E93">
        <w:trPr>
          <w:trHeight w:val="288"/>
          <w:jc w:val="center"/>
        </w:trPr>
        <w:tc>
          <w:tcPr>
            <w:tcW w:w="3539" w:type="dxa"/>
            <w:gridSpan w:val="2"/>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12DDFC7B" w14:textId="72760A43" w:rsidR="00DB448A" w:rsidRPr="002A0DA8" w:rsidRDefault="00DB448A" w:rsidP="002A0DA8">
            <w:pPr>
              <w:spacing w:after="0" w:line="240" w:lineRule="auto"/>
              <w:rPr>
                <w:rFonts w:ascii="Times New Roman" w:hAnsi="Times New Roman" w:cs="Times New Roman"/>
                <w:b/>
                <w:bCs/>
                <w:color w:val="000000"/>
                <w:lang w:eastAsia="hr-HR"/>
              </w:rPr>
            </w:pPr>
            <w:r w:rsidRPr="002A0DA8">
              <w:rPr>
                <w:rFonts w:ascii="Times New Roman" w:hAnsi="Times New Roman" w:cs="Times New Roman"/>
                <w:b/>
                <w:bCs/>
                <w:color w:val="000000"/>
                <w:lang w:eastAsia="hr-HR"/>
              </w:rPr>
              <w:t> UKUPNO:</w:t>
            </w:r>
          </w:p>
        </w:tc>
        <w:tc>
          <w:tcPr>
            <w:tcW w:w="1431" w:type="dxa"/>
            <w:tcBorders>
              <w:top w:val="nil"/>
              <w:left w:val="nil"/>
              <w:bottom w:val="single" w:sz="4" w:space="0" w:color="auto"/>
              <w:right w:val="single" w:sz="4" w:space="0" w:color="auto"/>
            </w:tcBorders>
            <w:shd w:val="clear" w:color="auto" w:fill="F2F2F2" w:themeFill="background1" w:themeFillShade="F2"/>
            <w:noWrap/>
            <w:hideMark/>
          </w:tcPr>
          <w:p w14:paraId="692BBE31" w14:textId="77777777" w:rsidR="00DB448A" w:rsidRPr="002A0DA8" w:rsidRDefault="00DB448A" w:rsidP="002A0DA8">
            <w:pPr>
              <w:spacing w:after="0" w:line="240" w:lineRule="auto"/>
              <w:jc w:val="right"/>
              <w:rPr>
                <w:rFonts w:ascii="Times New Roman" w:hAnsi="Times New Roman" w:cs="Times New Roman"/>
                <w:b/>
                <w:bCs/>
                <w:color w:val="000000"/>
                <w:lang w:eastAsia="hr-HR"/>
              </w:rPr>
            </w:pPr>
            <w:r w:rsidRPr="002A0DA8">
              <w:rPr>
                <w:rFonts w:ascii="Times New Roman" w:hAnsi="Times New Roman" w:cs="Times New Roman"/>
                <w:b/>
                <w:bCs/>
                <w:color w:val="000000"/>
                <w:lang w:eastAsia="hr-HR"/>
              </w:rPr>
              <w:t> </w:t>
            </w:r>
          </w:p>
        </w:tc>
        <w:tc>
          <w:tcPr>
            <w:tcW w:w="1417" w:type="dxa"/>
            <w:gridSpan w:val="2"/>
            <w:tcBorders>
              <w:top w:val="nil"/>
              <w:left w:val="nil"/>
              <w:bottom w:val="single" w:sz="4" w:space="0" w:color="auto"/>
              <w:right w:val="single" w:sz="4" w:space="0" w:color="auto"/>
            </w:tcBorders>
            <w:shd w:val="clear" w:color="auto" w:fill="F2F2F2" w:themeFill="background1" w:themeFillShade="F2"/>
            <w:noWrap/>
            <w:hideMark/>
          </w:tcPr>
          <w:p w14:paraId="4E2C50E4" w14:textId="77777777" w:rsidR="00DB448A" w:rsidRPr="002A0DA8" w:rsidRDefault="00DB448A" w:rsidP="002A0DA8">
            <w:pPr>
              <w:spacing w:after="0" w:line="240" w:lineRule="auto"/>
              <w:jc w:val="right"/>
              <w:rPr>
                <w:rFonts w:ascii="Times New Roman" w:hAnsi="Times New Roman" w:cs="Times New Roman"/>
                <w:b/>
                <w:bCs/>
                <w:color w:val="000000"/>
                <w:lang w:eastAsia="hr-HR"/>
              </w:rPr>
            </w:pPr>
            <w:r w:rsidRPr="002A0DA8">
              <w:rPr>
                <w:rFonts w:ascii="Times New Roman" w:hAnsi="Times New Roman" w:cs="Times New Roman"/>
                <w:b/>
                <w:bCs/>
                <w:color w:val="000000"/>
                <w:lang w:eastAsia="hr-HR"/>
              </w:rPr>
              <w:t>4.456.746,75</w:t>
            </w:r>
          </w:p>
        </w:tc>
        <w:tc>
          <w:tcPr>
            <w:tcW w:w="1546" w:type="dxa"/>
            <w:gridSpan w:val="2"/>
            <w:tcBorders>
              <w:top w:val="nil"/>
              <w:left w:val="nil"/>
              <w:bottom w:val="single" w:sz="4" w:space="0" w:color="auto"/>
              <w:right w:val="single" w:sz="4" w:space="0" w:color="auto"/>
            </w:tcBorders>
            <w:shd w:val="clear" w:color="auto" w:fill="F2F2F2" w:themeFill="background1" w:themeFillShade="F2"/>
            <w:noWrap/>
            <w:hideMark/>
          </w:tcPr>
          <w:p w14:paraId="152814AC" w14:textId="77777777" w:rsidR="00DB448A" w:rsidRPr="002A0DA8" w:rsidRDefault="00DB448A" w:rsidP="002A0DA8">
            <w:pPr>
              <w:spacing w:after="0" w:line="240" w:lineRule="auto"/>
              <w:jc w:val="right"/>
              <w:rPr>
                <w:rFonts w:ascii="Times New Roman" w:hAnsi="Times New Roman" w:cs="Times New Roman"/>
                <w:b/>
                <w:bCs/>
                <w:color w:val="000000"/>
                <w:lang w:eastAsia="hr-HR"/>
              </w:rPr>
            </w:pPr>
            <w:r w:rsidRPr="002A0DA8">
              <w:rPr>
                <w:rFonts w:ascii="Times New Roman" w:hAnsi="Times New Roman" w:cs="Times New Roman"/>
                <w:b/>
                <w:bCs/>
                <w:color w:val="000000"/>
                <w:lang w:eastAsia="hr-HR"/>
              </w:rPr>
              <w:t>4.035.466,72</w:t>
            </w:r>
          </w:p>
        </w:tc>
        <w:tc>
          <w:tcPr>
            <w:tcW w:w="1418" w:type="dxa"/>
            <w:tcBorders>
              <w:top w:val="nil"/>
              <w:left w:val="nil"/>
              <w:bottom w:val="single" w:sz="4" w:space="0" w:color="auto"/>
              <w:right w:val="single" w:sz="4" w:space="0" w:color="auto"/>
            </w:tcBorders>
            <w:shd w:val="clear" w:color="auto" w:fill="F2F2F2" w:themeFill="background1" w:themeFillShade="F2"/>
            <w:noWrap/>
            <w:hideMark/>
          </w:tcPr>
          <w:p w14:paraId="3DADB5CB" w14:textId="77777777" w:rsidR="00DB448A" w:rsidRPr="002A0DA8" w:rsidRDefault="00DB448A" w:rsidP="002A0DA8">
            <w:pPr>
              <w:spacing w:after="0" w:line="240" w:lineRule="auto"/>
              <w:jc w:val="right"/>
              <w:rPr>
                <w:rFonts w:ascii="Times New Roman" w:hAnsi="Times New Roman" w:cs="Times New Roman"/>
                <w:b/>
                <w:bCs/>
                <w:color w:val="000000"/>
                <w:lang w:eastAsia="hr-HR"/>
              </w:rPr>
            </w:pPr>
            <w:r w:rsidRPr="002A0DA8">
              <w:rPr>
                <w:rFonts w:ascii="Times New Roman" w:hAnsi="Times New Roman" w:cs="Times New Roman"/>
                <w:b/>
                <w:bCs/>
                <w:color w:val="000000"/>
                <w:lang w:eastAsia="hr-HR"/>
              </w:rPr>
              <w:t>421.280,03</w:t>
            </w:r>
          </w:p>
        </w:tc>
      </w:tr>
      <w:tr w:rsidR="00DB448A" w:rsidRPr="00091F51" w14:paraId="4C279494" w14:textId="77777777" w:rsidTr="00091F51">
        <w:trPr>
          <w:trHeight w:val="288"/>
          <w:jc w:val="center"/>
        </w:trPr>
        <w:tc>
          <w:tcPr>
            <w:tcW w:w="583" w:type="dxa"/>
            <w:tcBorders>
              <w:top w:val="nil"/>
              <w:left w:val="nil"/>
              <w:bottom w:val="nil"/>
              <w:right w:val="nil"/>
            </w:tcBorders>
            <w:shd w:val="clear" w:color="auto" w:fill="auto"/>
            <w:noWrap/>
            <w:vAlign w:val="bottom"/>
            <w:hideMark/>
          </w:tcPr>
          <w:p w14:paraId="1D0C3AF1" w14:textId="77777777" w:rsidR="002A0DA8" w:rsidRPr="002A0DA8" w:rsidRDefault="002A0DA8" w:rsidP="002A0DA8">
            <w:pPr>
              <w:spacing w:after="0" w:line="240" w:lineRule="auto"/>
              <w:jc w:val="right"/>
              <w:rPr>
                <w:rFonts w:ascii="Times New Roman" w:hAnsi="Times New Roman" w:cs="Times New Roman"/>
                <w:color w:val="000000"/>
                <w:lang w:eastAsia="hr-HR"/>
              </w:rPr>
            </w:pPr>
          </w:p>
        </w:tc>
        <w:tc>
          <w:tcPr>
            <w:tcW w:w="2956" w:type="dxa"/>
            <w:tcBorders>
              <w:top w:val="nil"/>
              <w:left w:val="nil"/>
              <w:bottom w:val="nil"/>
              <w:right w:val="nil"/>
            </w:tcBorders>
            <w:shd w:val="clear" w:color="auto" w:fill="auto"/>
            <w:noWrap/>
            <w:hideMark/>
          </w:tcPr>
          <w:p w14:paraId="7BE6DE4B" w14:textId="77777777" w:rsidR="002A0DA8" w:rsidRPr="00091F51" w:rsidRDefault="002A0DA8" w:rsidP="002A0DA8">
            <w:pPr>
              <w:spacing w:after="0" w:line="240" w:lineRule="auto"/>
              <w:rPr>
                <w:rFonts w:ascii="Times New Roman" w:hAnsi="Times New Roman" w:cs="Times New Roman"/>
                <w:sz w:val="20"/>
                <w:szCs w:val="20"/>
                <w:lang w:eastAsia="hr-HR"/>
              </w:rPr>
            </w:pPr>
          </w:p>
          <w:p w14:paraId="793DFB4D" w14:textId="77777777" w:rsidR="00DB448A" w:rsidRPr="002A0DA8" w:rsidRDefault="00DB448A" w:rsidP="002A0DA8">
            <w:pPr>
              <w:spacing w:after="0" w:line="240" w:lineRule="auto"/>
              <w:rPr>
                <w:rFonts w:ascii="Times New Roman" w:hAnsi="Times New Roman" w:cs="Times New Roman"/>
                <w:sz w:val="20"/>
                <w:szCs w:val="20"/>
                <w:lang w:eastAsia="hr-HR"/>
              </w:rPr>
            </w:pPr>
          </w:p>
        </w:tc>
        <w:tc>
          <w:tcPr>
            <w:tcW w:w="1431" w:type="dxa"/>
            <w:tcBorders>
              <w:top w:val="nil"/>
              <w:left w:val="nil"/>
              <w:bottom w:val="nil"/>
              <w:right w:val="nil"/>
            </w:tcBorders>
            <w:shd w:val="clear" w:color="auto" w:fill="auto"/>
            <w:noWrap/>
            <w:hideMark/>
          </w:tcPr>
          <w:p w14:paraId="59DEAB50" w14:textId="77777777" w:rsidR="002A0DA8" w:rsidRPr="002A0DA8" w:rsidRDefault="002A0DA8" w:rsidP="002A0DA8">
            <w:pPr>
              <w:spacing w:after="0" w:line="240" w:lineRule="auto"/>
              <w:rPr>
                <w:rFonts w:ascii="Times New Roman" w:hAnsi="Times New Roman" w:cs="Times New Roman"/>
                <w:sz w:val="20"/>
                <w:szCs w:val="20"/>
                <w:lang w:eastAsia="hr-HR"/>
              </w:rPr>
            </w:pPr>
          </w:p>
        </w:tc>
        <w:tc>
          <w:tcPr>
            <w:tcW w:w="1417" w:type="dxa"/>
            <w:gridSpan w:val="2"/>
            <w:tcBorders>
              <w:top w:val="nil"/>
              <w:left w:val="nil"/>
              <w:bottom w:val="nil"/>
              <w:right w:val="nil"/>
            </w:tcBorders>
            <w:shd w:val="clear" w:color="auto" w:fill="auto"/>
            <w:noWrap/>
            <w:hideMark/>
          </w:tcPr>
          <w:p w14:paraId="4E5EFD18" w14:textId="77777777" w:rsidR="002A0DA8" w:rsidRPr="002A0DA8" w:rsidRDefault="002A0DA8" w:rsidP="002A0DA8">
            <w:pPr>
              <w:spacing w:after="0" w:line="240" w:lineRule="auto"/>
              <w:jc w:val="right"/>
              <w:rPr>
                <w:rFonts w:ascii="Times New Roman" w:hAnsi="Times New Roman" w:cs="Times New Roman"/>
                <w:sz w:val="20"/>
                <w:szCs w:val="20"/>
                <w:lang w:eastAsia="hr-HR"/>
              </w:rPr>
            </w:pPr>
          </w:p>
        </w:tc>
        <w:tc>
          <w:tcPr>
            <w:tcW w:w="1546" w:type="dxa"/>
            <w:gridSpan w:val="2"/>
            <w:tcBorders>
              <w:top w:val="nil"/>
              <w:left w:val="nil"/>
              <w:bottom w:val="nil"/>
              <w:right w:val="nil"/>
            </w:tcBorders>
            <w:shd w:val="clear" w:color="auto" w:fill="auto"/>
            <w:noWrap/>
            <w:hideMark/>
          </w:tcPr>
          <w:p w14:paraId="2D20642D" w14:textId="77777777" w:rsidR="002A0DA8" w:rsidRPr="002A0DA8" w:rsidRDefault="002A0DA8" w:rsidP="002A0DA8">
            <w:pPr>
              <w:spacing w:after="0" w:line="240" w:lineRule="auto"/>
              <w:jc w:val="right"/>
              <w:rPr>
                <w:rFonts w:ascii="Times New Roman" w:hAnsi="Times New Roman" w:cs="Times New Roman"/>
                <w:sz w:val="20"/>
                <w:szCs w:val="20"/>
                <w:lang w:eastAsia="hr-HR"/>
              </w:rPr>
            </w:pPr>
          </w:p>
        </w:tc>
        <w:tc>
          <w:tcPr>
            <w:tcW w:w="1418" w:type="dxa"/>
            <w:tcBorders>
              <w:top w:val="nil"/>
              <w:left w:val="nil"/>
              <w:bottom w:val="nil"/>
              <w:right w:val="nil"/>
            </w:tcBorders>
            <w:shd w:val="clear" w:color="auto" w:fill="auto"/>
            <w:noWrap/>
            <w:hideMark/>
          </w:tcPr>
          <w:p w14:paraId="4EAFDFBF" w14:textId="77777777" w:rsidR="002A0DA8" w:rsidRPr="002A0DA8" w:rsidRDefault="002A0DA8" w:rsidP="002A0DA8">
            <w:pPr>
              <w:spacing w:after="0" w:line="240" w:lineRule="auto"/>
              <w:jc w:val="right"/>
              <w:rPr>
                <w:rFonts w:ascii="Times New Roman" w:hAnsi="Times New Roman" w:cs="Times New Roman"/>
                <w:sz w:val="20"/>
                <w:szCs w:val="20"/>
                <w:lang w:eastAsia="hr-HR"/>
              </w:rPr>
            </w:pPr>
          </w:p>
        </w:tc>
      </w:tr>
      <w:tr w:rsidR="002A0DA8" w:rsidRPr="00091F51" w14:paraId="7A69CC52" w14:textId="77777777" w:rsidTr="00091F51">
        <w:trPr>
          <w:trHeight w:val="864"/>
          <w:jc w:val="center"/>
        </w:trPr>
        <w:tc>
          <w:tcPr>
            <w:tcW w:w="583" w:type="dxa"/>
            <w:tcBorders>
              <w:top w:val="nil"/>
              <w:left w:val="single" w:sz="4" w:space="0" w:color="auto"/>
              <w:bottom w:val="single" w:sz="4" w:space="0" w:color="auto"/>
              <w:right w:val="single" w:sz="4" w:space="0" w:color="auto"/>
            </w:tcBorders>
            <w:shd w:val="clear" w:color="000000" w:fill="002060"/>
            <w:vAlign w:val="center"/>
            <w:hideMark/>
          </w:tcPr>
          <w:p w14:paraId="257BC4B7" w14:textId="77777777" w:rsidR="002A0DA8" w:rsidRPr="002A0DA8" w:rsidRDefault="002A0DA8" w:rsidP="002A0DA8">
            <w:pPr>
              <w:spacing w:after="0" w:line="240" w:lineRule="auto"/>
              <w:rPr>
                <w:rFonts w:ascii="Times New Roman" w:hAnsi="Times New Roman" w:cs="Times New Roman"/>
                <w:b/>
                <w:bCs/>
                <w:color w:val="FFFFFF"/>
                <w:lang w:eastAsia="hr-HR"/>
              </w:rPr>
            </w:pPr>
            <w:r w:rsidRPr="002A0DA8">
              <w:rPr>
                <w:rFonts w:ascii="Times New Roman" w:hAnsi="Times New Roman" w:cs="Times New Roman"/>
                <w:b/>
                <w:bCs/>
                <w:color w:val="FFFFFF"/>
                <w:lang w:eastAsia="hr-HR"/>
              </w:rPr>
              <w:t>Red.br.</w:t>
            </w:r>
          </w:p>
        </w:tc>
        <w:tc>
          <w:tcPr>
            <w:tcW w:w="2956" w:type="dxa"/>
            <w:tcBorders>
              <w:top w:val="nil"/>
              <w:left w:val="nil"/>
              <w:bottom w:val="single" w:sz="4" w:space="0" w:color="auto"/>
              <w:right w:val="single" w:sz="4" w:space="0" w:color="auto"/>
            </w:tcBorders>
            <w:shd w:val="clear" w:color="000000" w:fill="002060"/>
            <w:vAlign w:val="center"/>
            <w:hideMark/>
          </w:tcPr>
          <w:p w14:paraId="183656E2" w14:textId="77777777" w:rsidR="002A0DA8" w:rsidRPr="002A0DA8" w:rsidRDefault="002A0DA8" w:rsidP="002A0DA8">
            <w:pPr>
              <w:spacing w:after="0" w:line="240" w:lineRule="auto"/>
              <w:jc w:val="center"/>
              <w:rPr>
                <w:rFonts w:ascii="Times New Roman" w:hAnsi="Times New Roman" w:cs="Times New Roman"/>
                <w:b/>
                <w:bCs/>
                <w:color w:val="FFFFFF"/>
                <w:lang w:eastAsia="hr-HR"/>
              </w:rPr>
            </w:pPr>
            <w:r w:rsidRPr="002A0DA8">
              <w:rPr>
                <w:rFonts w:ascii="Times New Roman" w:hAnsi="Times New Roman" w:cs="Times New Roman"/>
                <w:b/>
                <w:bCs/>
                <w:color w:val="FFFFFF"/>
                <w:lang w:eastAsia="hr-HR"/>
              </w:rPr>
              <w:t>Višak proteklih godina</w:t>
            </w:r>
          </w:p>
        </w:tc>
        <w:tc>
          <w:tcPr>
            <w:tcW w:w="1431" w:type="dxa"/>
            <w:tcBorders>
              <w:top w:val="nil"/>
              <w:left w:val="nil"/>
              <w:bottom w:val="single" w:sz="4" w:space="0" w:color="auto"/>
              <w:right w:val="single" w:sz="4" w:space="0" w:color="auto"/>
            </w:tcBorders>
            <w:shd w:val="clear" w:color="000000" w:fill="002060"/>
            <w:vAlign w:val="center"/>
            <w:hideMark/>
          </w:tcPr>
          <w:p w14:paraId="77AFCAA1" w14:textId="77777777" w:rsidR="002A0DA8" w:rsidRPr="002A0DA8" w:rsidRDefault="002A0DA8" w:rsidP="002A0DA8">
            <w:pPr>
              <w:spacing w:after="0" w:line="240" w:lineRule="auto"/>
              <w:jc w:val="center"/>
              <w:rPr>
                <w:rFonts w:ascii="Times New Roman" w:hAnsi="Times New Roman" w:cs="Times New Roman"/>
                <w:b/>
                <w:bCs/>
                <w:color w:val="FFFFFF"/>
                <w:lang w:eastAsia="hr-HR"/>
              </w:rPr>
            </w:pPr>
            <w:r w:rsidRPr="002A0DA8">
              <w:rPr>
                <w:rFonts w:ascii="Times New Roman" w:hAnsi="Times New Roman" w:cs="Times New Roman"/>
                <w:b/>
                <w:bCs/>
                <w:color w:val="FFFFFF"/>
                <w:lang w:eastAsia="hr-HR"/>
              </w:rPr>
              <w:t>Planirano</w:t>
            </w:r>
          </w:p>
        </w:tc>
        <w:tc>
          <w:tcPr>
            <w:tcW w:w="1417" w:type="dxa"/>
            <w:gridSpan w:val="2"/>
            <w:tcBorders>
              <w:top w:val="nil"/>
              <w:left w:val="nil"/>
              <w:bottom w:val="single" w:sz="4" w:space="0" w:color="auto"/>
              <w:right w:val="single" w:sz="4" w:space="0" w:color="auto"/>
            </w:tcBorders>
            <w:shd w:val="clear" w:color="000000" w:fill="002060"/>
            <w:vAlign w:val="center"/>
            <w:hideMark/>
          </w:tcPr>
          <w:p w14:paraId="2DFD7AF9" w14:textId="68714884" w:rsidR="002A0DA8" w:rsidRPr="002A0DA8" w:rsidRDefault="002A0DA8" w:rsidP="002A0DA8">
            <w:pPr>
              <w:spacing w:after="0" w:line="240" w:lineRule="auto"/>
              <w:jc w:val="center"/>
              <w:rPr>
                <w:rFonts w:ascii="Times New Roman" w:hAnsi="Times New Roman" w:cs="Times New Roman"/>
                <w:b/>
                <w:bCs/>
                <w:color w:val="FFFFFF"/>
                <w:lang w:eastAsia="hr-HR"/>
              </w:rPr>
            </w:pPr>
            <w:r w:rsidRPr="002A0DA8">
              <w:rPr>
                <w:rFonts w:ascii="Times New Roman" w:hAnsi="Times New Roman" w:cs="Times New Roman"/>
                <w:b/>
                <w:bCs/>
                <w:color w:val="FFFFFF"/>
                <w:lang w:eastAsia="hr-HR"/>
              </w:rPr>
              <w:t xml:space="preserve">Višak iz </w:t>
            </w:r>
            <w:proofErr w:type="spellStart"/>
            <w:r w:rsidRPr="002A0DA8">
              <w:rPr>
                <w:rFonts w:ascii="Times New Roman" w:hAnsi="Times New Roman" w:cs="Times New Roman"/>
                <w:b/>
                <w:bCs/>
                <w:color w:val="FFFFFF"/>
                <w:lang w:eastAsia="hr-HR"/>
              </w:rPr>
              <w:t>protekl</w:t>
            </w:r>
            <w:proofErr w:type="spellEnd"/>
            <w:r w:rsidRPr="002A0DA8">
              <w:rPr>
                <w:rFonts w:ascii="Times New Roman" w:hAnsi="Times New Roman" w:cs="Times New Roman"/>
                <w:b/>
                <w:bCs/>
                <w:color w:val="FFFFFF"/>
                <w:lang w:eastAsia="hr-HR"/>
              </w:rPr>
              <w:t>.</w:t>
            </w:r>
            <w:r w:rsidR="00091F51" w:rsidRPr="00091F51">
              <w:rPr>
                <w:rFonts w:ascii="Times New Roman" w:hAnsi="Times New Roman" w:cs="Times New Roman"/>
                <w:b/>
                <w:bCs/>
                <w:color w:val="FFFFFF"/>
                <w:lang w:eastAsia="hr-HR"/>
              </w:rPr>
              <w:t xml:space="preserve"> </w:t>
            </w:r>
            <w:r w:rsidRPr="002A0DA8">
              <w:rPr>
                <w:rFonts w:ascii="Times New Roman" w:hAnsi="Times New Roman" w:cs="Times New Roman"/>
                <w:b/>
                <w:bCs/>
                <w:color w:val="FFFFFF"/>
                <w:lang w:eastAsia="hr-HR"/>
              </w:rPr>
              <w:t>godina po fin</w:t>
            </w:r>
            <w:r w:rsidR="00091F51" w:rsidRPr="00091F51">
              <w:rPr>
                <w:rFonts w:ascii="Times New Roman" w:hAnsi="Times New Roman" w:cs="Times New Roman"/>
                <w:b/>
                <w:bCs/>
                <w:color w:val="FFFFFF"/>
                <w:lang w:eastAsia="hr-HR"/>
              </w:rPr>
              <w:t xml:space="preserve">ancijskom </w:t>
            </w:r>
            <w:r w:rsidRPr="002A0DA8">
              <w:rPr>
                <w:rFonts w:ascii="Times New Roman" w:hAnsi="Times New Roman" w:cs="Times New Roman"/>
                <w:b/>
                <w:bCs/>
                <w:color w:val="FFFFFF"/>
                <w:lang w:eastAsia="hr-HR"/>
              </w:rPr>
              <w:t>izvještaju</w:t>
            </w:r>
          </w:p>
        </w:tc>
        <w:tc>
          <w:tcPr>
            <w:tcW w:w="1546" w:type="dxa"/>
            <w:gridSpan w:val="2"/>
            <w:tcBorders>
              <w:top w:val="nil"/>
              <w:left w:val="nil"/>
              <w:bottom w:val="single" w:sz="4" w:space="0" w:color="auto"/>
              <w:right w:val="single" w:sz="4" w:space="0" w:color="auto"/>
            </w:tcBorders>
            <w:shd w:val="clear" w:color="000000" w:fill="002060"/>
            <w:vAlign w:val="center"/>
            <w:hideMark/>
          </w:tcPr>
          <w:p w14:paraId="70637F4A" w14:textId="77777777" w:rsidR="002A0DA8" w:rsidRPr="002A0DA8" w:rsidRDefault="002A0DA8" w:rsidP="002A0DA8">
            <w:pPr>
              <w:spacing w:after="0" w:line="240" w:lineRule="auto"/>
              <w:jc w:val="center"/>
              <w:rPr>
                <w:rFonts w:ascii="Times New Roman" w:hAnsi="Times New Roman" w:cs="Times New Roman"/>
                <w:b/>
                <w:bCs/>
                <w:color w:val="FFFFFF"/>
                <w:lang w:eastAsia="hr-HR"/>
              </w:rPr>
            </w:pPr>
            <w:r w:rsidRPr="002A0DA8">
              <w:rPr>
                <w:rFonts w:ascii="Times New Roman" w:hAnsi="Times New Roman" w:cs="Times New Roman"/>
                <w:b/>
                <w:bCs/>
                <w:color w:val="FFFFFF"/>
                <w:lang w:eastAsia="hr-HR"/>
              </w:rPr>
              <w:t>Izvršenje rashoda</w:t>
            </w:r>
          </w:p>
        </w:tc>
        <w:tc>
          <w:tcPr>
            <w:tcW w:w="1418" w:type="dxa"/>
            <w:tcBorders>
              <w:top w:val="nil"/>
              <w:left w:val="nil"/>
              <w:bottom w:val="single" w:sz="4" w:space="0" w:color="auto"/>
              <w:right w:val="single" w:sz="4" w:space="0" w:color="auto"/>
            </w:tcBorders>
            <w:shd w:val="clear" w:color="000000" w:fill="002060"/>
            <w:vAlign w:val="center"/>
            <w:hideMark/>
          </w:tcPr>
          <w:p w14:paraId="34173C1C" w14:textId="77777777" w:rsidR="002A0DA8" w:rsidRPr="002A0DA8" w:rsidRDefault="002A0DA8" w:rsidP="002A0DA8">
            <w:pPr>
              <w:spacing w:after="0" w:line="240" w:lineRule="auto"/>
              <w:jc w:val="center"/>
              <w:rPr>
                <w:rFonts w:ascii="Times New Roman" w:hAnsi="Times New Roman" w:cs="Times New Roman"/>
                <w:b/>
                <w:bCs/>
                <w:color w:val="FFFFFF"/>
                <w:lang w:eastAsia="hr-HR"/>
              </w:rPr>
            </w:pPr>
            <w:r w:rsidRPr="002A0DA8">
              <w:rPr>
                <w:rFonts w:ascii="Times New Roman" w:hAnsi="Times New Roman" w:cs="Times New Roman"/>
                <w:b/>
                <w:bCs/>
                <w:color w:val="FFFFFF"/>
                <w:lang w:eastAsia="hr-HR"/>
              </w:rPr>
              <w:t>višak/ manjak u €</w:t>
            </w:r>
          </w:p>
        </w:tc>
      </w:tr>
      <w:tr w:rsidR="002A0DA8" w:rsidRPr="00091F51" w14:paraId="5E06F876" w14:textId="77777777" w:rsidTr="00091F51">
        <w:trPr>
          <w:trHeight w:val="288"/>
          <w:jc w:val="center"/>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14:paraId="47D050F0" w14:textId="77777777" w:rsidR="002A0DA8" w:rsidRPr="002A0DA8" w:rsidRDefault="002A0DA8" w:rsidP="002A0DA8">
            <w:pPr>
              <w:spacing w:after="0" w:line="240" w:lineRule="auto"/>
              <w:rPr>
                <w:rFonts w:ascii="Times New Roman" w:hAnsi="Times New Roman" w:cs="Times New Roman"/>
                <w:color w:val="000000"/>
                <w:lang w:eastAsia="hr-HR"/>
              </w:rPr>
            </w:pPr>
            <w:r w:rsidRPr="002A0DA8">
              <w:rPr>
                <w:rFonts w:ascii="Times New Roman" w:hAnsi="Times New Roman" w:cs="Times New Roman"/>
                <w:color w:val="000000"/>
                <w:lang w:eastAsia="hr-HR"/>
              </w:rPr>
              <w:t>1.</w:t>
            </w:r>
          </w:p>
        </w:tc>
        <w:tc>
          <w:tcPr>
            <w:tcW w:w="2956" w:type="dxa"/>
            <w:tcBorders>
              <w:top w:val="nil"/>
              <w:left w:val="nil"/>
              <w:bottom w:val="single" w:sz="4" w:space="0" w:color="auto"/>
              <w:right w:val="single" w:sz="4" w:space="0" w:color="auto"/>
            </w:tcBorders>
            <w:shd w:val="clear" w:color="000000" w:fill="FFFFFF"/>
            <w:noWrap/>
            <w:hideMark/>
          </w:tcPr>
          <w:p w14:paraId="1DBDD770" w14:textId="77777777" w:rsidR="002A0DA8" w:rsidRPr="002A0DA8" w:rsidRDefault="002A0DA8" w:rsidP="002A0DA8">
            <w:pPr>
              <w:spacing w:after="0" w:line="240" w:lineRule="auto"/>
              <w:rPr>
                <w:rFonts w:ascii="Times New Roman" w:hAnsi="Times New Roman" w:cs="Times New Roman"/>
                <w:color w:val="000000"/>
                <w:lang w:eastAsia="hr-HR"/>
              </w:rPr>
            </w:pPr>
            <w:r w:rsidRPr="002A0DA8">
              <w:rPr>
                <w:rFonts w:ascii="Times New Roman" w:hAnsi="Times New Roman" w:cs="Times New Roman"/>
                <w:color w:val="000000"/>
                <w:lang w:eastAsia="hr-HR"/>
              </w:rPr>
              <w:t>Opći prihodi i primici</w:t>
            </w:r>
          </w:p>
        </w:tc>
        <w:tc>
          <w:tcPr>
            <w:tcW w:w="1431" w:type="dxa"/>
            <w:tcBorders>
              <w:top w:val="nil"/>
              <w:left w:val="nil"/>
              <w:bottom w:val="single" w:sz="4" w:space="0" w:color="auto"/>
              <w:right w:val="single" w:sz="4" w:space="0" w:color="auto"/>
            </w:tcBorders>
            <w:shd w:val="clear" w:color="000000" w:fill="FFFFFF"/>
            <w:noWrap/>
            <w:hideMark/>
          </w:tcPr>
          <w:p w14:paraId="16FEABC5"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664.817,26</w:t>
            </w:r>
          </w:p>
        </w:tc>
        <w:tc>
          <w:tcPr>
            <w:tcW w:w="1417" w:type="dxa"/>
            <w:gridSpan w:val="2"/>
            <w:tcBorders>
              <w:top w:val="nil"/>
              <w:left w:val="nil"/>
              <w:bottom w:val="single" w:sz="4" w:space="0" w:color="auto"/>
              <w:right w:val="single" w:sz="4" w:space="0" w:color="auto"/>
            </w:tcBorders>
            <w:shd w:val="clear" w:color="000000" w:fill="FFFFFF"/>
            <w:noWrap/>
            <w:hideMark/>
          </w:tcPr>
          <w:p w14:paraId="4310745D"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664.817,26</w:t>
            </w:r>
          </w:p>
        </w:tc>
        <w:tc>
          <w:tcPr>
            <w:tcW w:w="1546" w:type="dxa"/>
            <w:gridSpan w:val="2"/>
            <w:tcBorders>
              <w:top w:val="nil"/>
              <w:left w:val="nil"/>
              <w:bottom w:val="single" w:sz="4" w:space="0" w:color="auto"/>
              <w:right w:val="single" w:sz="4" w:space="0" w:color="auto"/>
            </w:tcBorders>
            <w:shd w:val="clear" w:color="000000" w:fill="FFFFFF"/>
            <w:noWrap/>
            <w:hideMark/>
          </w:tcPr>
          <w:p w14:paraId="694CFEC8" w14:textId="77777777" w:rsidR="002A0DA8" w:rsidRPr="002A0DA8" w:rsidRDefault="002A0DA8" w:rsidP="00DB448A">
            <w:pPr>
              <w:spacing w:after="0" w:line="240" w:lineRule="auto"/>
              <w:ind w:firstLineChars="14" w:firstLine="31"/>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636.328,14</w:t>
            </w:r>
          </w:p>
        </w:tc>
        <w:tc>
          <w:tcPr>
            <w:tcW w:w="1418" w:type="dxa"/>
            <w:tcBorders>
              <w:top w:val="nil"/>
              <w:left w:val="nil"/>
              <w:bottom w:val="single" w:sz="4" w:space="0" w:color="auto"/>
              <w:right w:val="single" w:sz="4" w:space="0" w:color="auto"/>
            </w:tcBorders>
            <w:shd w:val="clear" w:color="000000" w:fill="FFFFFF"/>
            <w:noWrap/>
            <w:hideMark/>
          </w:tcPr>
          <w:p w14:paraId="49D7272E" w14:textId="77777777" w:rsidR="002A0DA8" w:rsidRPr="002A0DA8" w:rsidRDefault="002A0DA8" w:rsidP="002A0DA8">
            <w:pPr>
              <w:spacing w:after="0" w:line="240" w:lineRule="auto"/>
              <w:jc w:val="right"/>
              <w:rPr>
                <w:rFonts w:ascii="Times New Roman" w:hAnsi="Times New Roman" w:cs="Times New Roman"/>
                <w:b/>
                <w:bCs/>
                <w:color w:val="000000"/>
                <w:lang w:eastAsia="hr-HR"/>
              </w:rPr>
            </w:pPr>
            <w:r w:rsidRPr="002A0DA8">
              <w:rPr>
                <w:rFonts w:ascii="Times New Roman" w:hAnsi="Times New Roman" w:cs="Times New Roman"/>
                <w:b/>
                <w:bCs/>
                <w:color w:val="000000"/>
                <w:lang w:eastAsia="hr-HR"/>
              </w:rPr>
              <w:t>28.489,12</w:t>
            </w:r>
          </w:p>
        </w:tc>
      </w:tr>
      <w:tr w:rsidR="002A0DA8" w:rsidRPr="00091F51" w14:paraId="6A8FABE0" w14:textId="77777777" w:rsidTr="00091F51">
        <w:trPr>
          <w:trHeight w:val="288"/>
          <w:jc w:val="center"/>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14:paraId="4C769E29" w14:textId="77777777" w:rsidR="002A0DA8" w:rsidRPr="002A0DA8" w:rsidRDefault="002A0DA8" w:rsidP="002A0DA8">
            <w:pPr>
              <w:spacing w:after="0" w:line="240" w:lineRule="auto"/>
              <w:rPr>
                <w:rFonts w:ascii="Times New Roman" w:hAnsi="Times New Roman" w:cs="Times New Roman"/>
                <w:color w:val="000000"/>
                <w:lang w:eastAsia="hr-HR"/>
              </w:rPr>
            </w:pPr>
            <w:r w:rsidRPr="002A0DA8">
              <w:rPr>
                <w:rFonts w:ascii="Times New Roman" w:hAnsi="Times New Roman" w:cs="Times New Roman"/>
                <w:color w:val="000000"/>
                <w:lang w:eastAsia="hr-HR"/>
              </w:rPr>
              <w:t>2.</w:t>
            </w:r>
          </w:p>
        </w:tc>
        <w:tc>
          <w:tcPr>
            <w:tcW w:w="2956" w:type="dxa"/>
            <w:tcBorders>
              <w:top w:val="nil"/>
              <w:left w:val="nil"/>
              <w:bottom w:val="single" w:sz="4" w:space="0" w:color="auto"/>
              <w:right w:val="single" w:sz="4" w:space="0" w:color="auto"/>
            </w:tcBorders>
            <w:shd w:val="clear" w:color="000000" w:fill="FFFFFF"/>
            <w:noWrap/>
            <w:hideMark/>
          </w:tcPr>
          <w:p w14:paraId="7D9E55D2" w14:textId="77777777" w:rsidR="002A0DA8" w:rsidRPr="002A0DA8" w:rsidRDefault="002A0DA8" w:rsidP="002A0DA8">
            <w:pPr>
              <w:spacing w:after="0" w:line="240" w:lineRule="auto"/>
              <w:rPr>
                <w:rFonts w:ascii="Times New Roman" w:hAnsi="Times New Roman" w:cs="Times New Roman"/>
                <w:color w:val="000000"/>
                <w:lang w:eastAsia="hr-HR"/>
              </w:rPr>
            </w:pPr>
            <w:r w:rsidRPr="002A0DA8">
              <w:rPr>
                <w:rFonts w:ascii="Times New Roman" w:hAnsi="Times New Roman" w:cs="Times New Roman"/>
                <w:color w:val="000000"/>
                <w:lang w:eastAsia="hr-HR"/>
              </w:rPr>
              <w:t>Tekuće pomoći iz Državnog proračuna</w:t>
            </w:r>
          </w:p>
        </w:tc>
        <w:tc>
          <w:tcPr>
            <w:tcW w:w="1431" w:type="dxa"/>
            <w:tcBorders>
              <w:top w:val="nil"/>
              <w:left w:val="nil"/>
              <w:bottom w:val="single" w:sz="4" w:space="0" w:color="auto"/>
              <w:right w:val="single" w:sz="4" w:space="0" w:color="auto"/>
            </w:tcBorders>
            <w:shd w:val="clear" w:color="000000" w:fill="FFFFFF"/>
            <w:noWrap/>
            <w:hideMark/>
          </w:tcPr>
          <w:p w14:paraId="3E4F4BB4"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2.660,76</w:t>
            </w:r>
          </w:p>
        </w:tc>
        <w:tc>
          <w:tcPr>
            <w:tcW w:w="1417" w:type="dxa"/>
            <w:gridSpan w:val="2"/>
            <w:tcBorders>
              <w:top w:val="nil"/>
              <w:left w:val="nil"/>
              <w:bottom w:val="single" w:sz="4" w:space="0" w:color="auto"/>
              <w:right w:val="single" w:sz="4" w:space="0" w:color="auto"/>
            </w:tcBorders>
            <w:shd w:val="clear" w:color="000000" w:fill="FFFFFF"/>
            <w:noWrap/>
            <w:hideMark/>
          </w:tcPr>
          <w:p w14:paraId="03182052"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2.643,57</w:t>
            </w:r>
          </w:p>
        </w:tc>
        <w:tc>
          <w:tcPr>
            <w:tcW w:w="1546" w:type="dxa"/>
            <w:gridSpan w:val="2"/>
            <w:tcBorders>
              <w:top w:val="nil"/>
              <w:left w:val="nil"/>
              <w:bottom w:val="single" w:sz="4" w:space="0" w:color="auto"/>
              <w:right w:val="single" w:sz="4" w:space="0" w:color="auto"/>
            </w:tcBorders>
            <w:shd w:val="clear" w:color="000000" w:fill="FFFFFF"/>
            <w:noWrap/>
            <w:hideMark/>
          </w:tcPr>
          <w:p w14:paraId="4F9C9ACB" w14:textId="77777777" w:rsidR="002A0DA8" w:rsidRPr="002A0DA8" w:rsidRDefault="002A0DA8" w:rsidP="00DB448A">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2.643,57</w:t>
            </w:r>
          </w:p>
        </w:tc>
        <w:tc>
          <w:tcPr>
            <w:tcW w:w="1418" w:type="dxa"/>
            <w:tcBorders>
              <w:top w:val="nil"/>
              <w:left w:val="nil"/>
              <w:bottom w:val="single" w:sz="4" w:space="0" w:color="auto"/>
              <w:right w:val="single" w:sz="4" w:space="0" w:color="auto"/>
            </w:tcBorders>
            <w:shd w:val="clear" w:color="000000" w:fill="FFFFFF"/>
            <w:noWrap/>
            <w:hideMark/>
          </w:tcPr>
          <w:p w14:paraId="45EB2FA5" w14:textId="77777777" w:rsidR="002A0DA8" w:rsidRPr="002A0DA8" w:rsidRDefault="002A0DA8" w:rsidP="002A0DA8">
            <w:pPr>
              <w:spacing w:after="0" w:line="240" w:lineRule="auto"/>
              <w:jc w:val="right"/>
              <w:rPr>
                <w:rFonts w:ascii="Times New Roman" w:hAnsi="Times New Roman" w:cs="Times New Roman"/>
                <w:b/>
                <w:bCs/>
                <w:color w:val="000000"/>
                <w:lang w:eastAsia="hr-HR"/>
              </w:rPr>
            </w:pPr>
            <w:r w:rsidRPr="002A0DA8">
              <w:rPr>
                <w:rFonts w:ascii="Times New Roman" w:hAnsi="Times New Roman" w:cs="Times New Roman"/>
                <w:b/>
                <w:bCs/>
                <w:color w:val="000000"/>
                <w:lang w:eastAsia="hr-HR"/>
              </w:rPr>
              <w:t>0,00</w:t>
            </w:r>
          </w:p>
        </w:tc>
      </w:tr>
      <w:tr w:rsidR="002A0DA8" w:rsidRPr="00091F51" w14:paraId="485A8295" w14:textId="77777777" w:rsidTr="00091F51">
        <w:trPr>
          <w:trHeight w:val="288"/>
          <w:jc w:val="center"/>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14:paraId="24C18F89" w14:textId="77777777" w:rsidR="002A0DA8" w:rsidRPr="002A0DA8" w:rsidRDefault="002A0DA8" w:rsidP="002A0DA8">
            <w:pPr>
              <w:spacing w:after="0" w:line="240" w:lineRule="auto"/>
              <w:rPr>
                <w:rFonts w:ascii="Times New Roman" w:hAnsi="Times New Roman" w:cs="Times New Roman"/>
                <w:color w:val="000000"/>
                <w:lang w:eastAsia="hr-HR"/>
              </w:rPr>
            </w:pPr>
            <w:r w:rsidRPr="002A0DA8">
              <w:rPr>
                <w:rFonts w:ascii="Times New Roman" w:hAnsi="Times New Roman" w:cs="Times New Roman"/>
                <w:color w:val="000000"/>
                <w:lang w:eastAsia="hr-HR"/>
              </w:rPr>
              <w:t>3.</w:t>
            </w:r>
          </w:p>
        </w:tc>
        <w:tc>
          <w:tcPr>
            <w:tcW w:w="2956" w:type="dxa"/>
            <w:tcBorders>
              <w:top w:val="nil"/>
              <w:left w:val="nil"/>
              <w:bottom w:val="single" w:sz="4" w:space="0" w:color="auto"/>
              <w:right w:val="single" w:sz="4" w:space="0" w:color="auto"/>
            </w:tcBorders>
            <w:shd w:val="clear" w:color="000000" w:fill="FFFFFF"/>
            <w:noWrap/>
            <w:hideMark/>
          </w:tcPr>
          <w:p w14:paraId="30AC4879" w14:textId="77777777" w:rsidR="002A0DA8" w:rsidRPr="002A0DA8" w:rsidRDefault="002A0DA8" w:rsidP="002A0DA8">
            <w:pPr>
              <w:spacing w:after="0" w:line="240" w:lineRule="auto"/>
              <w:rPr>
                <w:rFonts w:ascii="Times New Roman" w:hAnsi="Times New Roman" w:cs="Times New Roman"/>
                <w:color w:val="000000"/>
                <w:lang w:eastAsia="hr-HR"/>
              </w:rPr>
            </w:pPr>
            <w:r w:rsidRPr="002A0DA8">
              <w:rPr>
                <w:rFonts w:ascii="Times New Roman" w:hAnsi="Times New Roman" w:cs="Times New Roman"/>
                <w:color w:val="000000"/>
                <w:lang w:eastAsia="hr-HR"/>
              </w:rPr>
              <w:t>Kapitalne pomoći iz Državnog proračuna</w:t>
            </w:r>
          </w:p>
        </w:tc>
        <w:tc>
          <w:tcPr>
            <w:tcW w:w="1431" w:type="dxa"/>
            <w:tcBorders>
              <w:top w:val="nil"/>
              <w:left w:val="nil"/>
              <w:bottom w:val="single" w:sz="4" w:space="0" w:color="auto"/>
              <w:right w:val="single" w:sz="4" w:space="0" w:color="auto"/>
            </w:tcBorders>
            <w:shd w:val="clear" w:color="000000" w:fill="FFFFFF"/>
            <w:noWrap/>
            <w:hideMark/>
          </w:tcPr>
          <w:p w14:paraId="5C650B4B"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13.000,00</w:t>
            </w:r>
          </w:p>
        </w:tc>
        <w:tc>
          <w:tcPr>
            <w:tcW w:w="1417" w:type="dxa"/>
            <w:gridSpan w:val="2"/>
            <w:tcBorders>
              <w:top w:val="nil"/>
              <w:left w:val="nil"/>
              <w:bottom w:val="single" w:sz="4" w:space="0" w:color="auto"/>
              <w:right w:val="single" w:sz="4" w:space="0" w:color="auto"/>
            </w:tcBorders>
            <w:shd w:val="clear" w:color="000000" w:fill="FFFFFF"/>
            <w:noWrap/>
            <w:hideMark/>
          </w:tcPr>
          <w:p w14:paraId="2B6F2513"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13.000,00</w:t>
            </w:r>
          </w:p>
        </w:tc>
        <w:tc>
          <w:tcPr>
            <w:tcW w:w="1546" w:type="dxa"/>
            <w:gridSpan w:val="2"/>
            <w:tcBorders>
              <w:top w:val="nil"/>
              <w:left w:val="nil"/>
              <w:bottom w:val="single" w:sz="4" w:space="0" w:color="auto"/>
              <w:right w:val="single" w:sz="4" w:space="0" w:color="auto"/>
            </w:tcBorders>
            <w:shd w:val="clear" w:color="000000" w:fill="FFFFFF"/>
            <w:noWrap/>
            <w:hideMark/>
          </w:tcPr>
          <w:p w14:paraId="61EE01CC" w14:textId="77777777" w:rsidR="002A0DA8" w:rsidRPr="002A0DA8" w:rsidRDefault="002A0DA8" w:rsidP="00DB448A">
            <w:pPr>
              <w:spacing w:after="0" w:line="240" w:lineRule="auto"/>
              <w:ind w:firstLineChars="14" w:firstLine="31"/>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13.000,00</w:t>
            </w:r>
          </w:p>
        </w:tc>
        <w:tc>
          <w:tcPr>
            <w:tcW w:w="1418" w:type="dxa"/>
            <w:tcBorders>
              <w:top w:val="nil"/>
              <w:left w:val="nil"/>
              <w:bottom w:val="single" w:sz="4" w:space="0" w:color="auto"/>
              <w:right w:val="single" w:sz="4" w:space="0" w:color="auto"/>
            </w:tcBorders>
            <w:shd w:val="clear" w:color="000000" w:fill="FFFFFF"/>
            <w:noWrap/>
            <w:hideMark/>
          </w:tcPr>
          <w:p w14:paraId="02C7DC49" w14:textId="77777777" w:rsidR="002A0DA8" w:rsidRPr="002A0DA8" w:rsidRDefault="002A0DA8" w:rsidP="002A0DA8">
            <w:pPr>
              <w:spacing w:after="0" w:line="240" w:lineRule="auto"/>
              <w:jc w:val="right"/>
              <w:rPr>
                <w:rFonts w:ascii="Times New Roman" w:hAnsi="Times New Roman" w:cs="Times New Roman"/>
                <w:b/>
                <w:bCs/>
                <w:color w:val="000000"/>
                <w:lang w:eastAsia="hr-HR"/>
              </w:rPr>
            </w:pPr>
            <w:r w:rsidRPr="002A0DA8">
              <w:rPr>
                <w:rFonts w:ascii="Times New Roman" w:hAnsi="Times New Roman" w:cs="Times New Roman"/>
                <w:b/>
                <w:bCs/>
                <w:color w:val="000000"/>
                <w:lang w:eastAsia="hr-HR"/>
              </w:rPr>
              <w:t>0,00</w:t>
            </w:r>
          </w:p>
        </w:tc>
      </w:tr>
      <w:tr w:rsidR="002A0DA8" w:rsidRPr="00091F51" w14:paraId="68FA015D" w14:textId="77777777" w:rsidTr="00091F51">
        <w:trPr>
          <w:trHeight w:val="288"/>
          <w:jc w:val="center"/>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14:paraId="53507276" w14:textId="77777777" w:rsidR="002A0DA8" w:rsidRPr="002A0DA8" w:rsidRDefault="002A0DA8" w:rsidP="002A0DA8">
            <w:pPr>
              <w:spacing w:after="0" w:line="240" w:lineRule="auto"/>
              <w:rPr>
                <w:rFonts w:ascii="Times New Roman" w:hAnsi="Times New Roman" w:cs="Times New Roman"/>
                <w:color w:val="000000"/>
                <w:lang w:eastAsia="hr-HR"/>
              </w:rPr>
            </w:pPr>
            <w:r w:rsidRPr="002A0DA8">
              <w:rPr>
                <w:rFonts w:ascii="Times New Roman" w:hAnsi="Times New Roman" w:cs="Times New Roman"/>
                <w:color w:val="000000"/>
                <w:lang w:eastAsia="hr-HR"/>
              </w:rPr>
              <w:t>4.</w:t>
            </w:r>
          </w:p>
        </w:tc>
        <w:tc>
          <w:tcPr>
            <w:tcW w:w="2956" w:type="dxa"/>
            <w:tcBorders>
              <w:top w:val="nil"/>
              <w:left w:val="nil"/>
              <w:bottom w:val="single" w:sz="4" w:space="0" w:color="auto"/>
              <w:right w:val="single" w:sz="4" w:space="0" w:color="auto"/>
            </w:tcBorders>
            <w:shd w:val="clear" w:color="000000" w:fill="FFFFFF"/>
            <w:noWrap/>
            <w:hideMark/>
          </w:tcPr>
          <w:p w14:paraId="5043EBAA" w14:textId="77777777" w:rsidR="002A0DA8" w:rsidRPr="002A0DA8" w:rsidRDefault="002A0DA8" w:rsidP="002A0DA8">
            <w:pPr>
              <w:spacing w:after="0" w:line="240" w:lineRule="auto"/>
              <w:rPr>
                <w:rFonts w:ascii="Times New Roman" w:hAnsi="Times New Roman" w:cs="Times New Roman"/>
                <w:color w:val="000000"/>
                <w:lang w:eastAsia="hr-HR"/>
              </w:rPr>
            </w:pPr>
            <w:r w:rsidRPr="002A0DA8">
              <w:rPr>
                <w:rFonts w:ascii="Times New Roman" w:hAnsi="Times New Roman" w:cs="Times New Roman"/>
                <w:color w:val="000000"/>
                <w:lang w:eastAsia="hr-HR"/>
              </w:rPr>
              <w:t>Tekuće pomoći temeljem prijenosa EU sredstva</w:t>
            </w:r>
          </w:p>
        </w:tc>
        <w:tc>
          <w:tcPr>
            <w:tcW w:w="1431" w:type="dxa"/>
            <w:tcBorders>
              <w:top w:val="nil"/>
              <w:left w:val="nil"/>
              <w:bottom w:val="single" w:sz="4" w:space="0" w:color="auto"/>
              <w:right w:val="single" w:sz="4" w:space="0" w:color="auto"/>
            </w:tcBorders>
            <w:shd w:val="clear" w:color="000000" w:fill="FFFFFF"/>
            <w:noWrap/>
            <w:hideMark/>
          </w:tcPr>
          <w:p w14:paraId="58B4A795"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101.871,87</w:t>
            </w:r>
          </w:p>
        </w:tc>
        <w:tc>
          <w:tcPr>
            <w:tcW w:w="1417" w:type="dxa"/>
            <w:gridSpan w:val="2"/>
            <w:tcBorders>
              <w:top w:val="nil"/>
              <w:left w:val="nil"/>
              <w:bottom w:val="single" w:sz="4" w:space="0" w:color="auto"/>
              <w:right w:val="single" w:sz="4" w:space="0" w:color="auto"/>
            </w:tcBorders>
            <w:shd w:val="clear" w:color="000000" w:fill="FFFFFF"/>
            <w:noWrap/>
            <w:hideMark/>
          </w:tcPr>
          <w:p w14:paraId="258DDC44"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101.871,87</w:t>
            </w:r>
          </w:p>
        </w:tc>
        <w:tc>
          <w:tcPr>
            <w:tcW w:w="1546" w:type="dxa"/>
            <w:gridSpan w:val="2"/>
            <w:tcBorders>
              <w:top w:val="nil"/>
              <w:left w:val="nil"/>
              <w:bottom w:val="single" w:sz="4" w:space="0" w:color="auto"/>
              <w:right w:val="single" w:sz="4" w:space="0" w:color="auto"/>
            </w:tcBorders>
            <w:shd w:val="clear" w:color="000000" w:fill="FFFFFF"/>
            <w:noWrap/>
            <w:hideMark/>
          </w:tcPr>
          <w:p w14:paraId="4E47EE13" w14:textId="77777777" w:rsidR="002A0DA8" w:rsidRPr="002A0DA8" w:rsidRDefault="002A0DA8" w:rsidP="00DB448A">
            <w:pPr>
              <w:spacing w:after="0" w:line="240" w:lineRule="auto"/>
              <w:ind w:firstLineChars="14" w:firstLine="31"/>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101.871,87</w:t>
            </w:r>
          </w:p>
        </w:tc>
        <w:tc>
          <w:tcPr>
            <w:tcW w:w="1418" w:type="dxa"/>
            <w:tcBorders>
              <w:top w:val="nil"/>
              <w:left w:val="nil"/>
              <w:bottom w:val="single" w:sz="4" w:space="0" w:color="auto"/>
              <w:right w:val="single" w:sz="4" w:space="0" w:color="auto"/>
            </w:tcBorders>
            <w:shd w:val="clear" w:color="000000" w:fill="FFFFFF"/>
            <w:noWrap/>
            <w:hideMark/>
          </w:tcPr>
          <w:p w14:paraId="388532C8" w14:textId="77777777" w:rsidR="002A0DA8" w:rsidRPr="002A0DA8" w:rsidRDefault="002A0DA8" w:rsidP="002A0DA8">
            <w:pPr>
              <w:spacing w:after="0" w:line="240" w:lineRule="auto"/>
              <w:jc w:val="right"/>
              <w:rPr>
                <w:rFonts w:ascii="Times New Roman" w:hAnsi="Times New Roman" w:cs="Times New Roman"/>
                <w:b/>
                <w:bCs/>
                <w:color w:val="000000"/>
                <w:lang w:eastAsia="hr-HR"/>
              </w:rPr>
            </w:pPr>
            <w:r w:rsidRPr="002A0DA8">
              <w:rPr>
                <w:rFonts w:ascii="Times New Roman" w:hAnsi="Times New Roman" w:cs="Times New Roman"/>
                <w:b/>
                <w:bCs/>
                <w:color w:val="000000"/>
                <w:lang w:eastAsia="hr-HR"/>
              </w:rPr>
              <w:t>0,00</w:t>
            </w:r>
          </w:p>
        </w:tc>
      </w:tr>
      <w:tr w:rsidR="002A0DA8" w:rsidRPr="00091F51" w14:paraId="40D7FCD3" w14:textId="77777777" w:rsidTr="00091F51">
        <w:trPr>
          <w:trHeight w:val="288"/>
          <w:jc w:val="center"/>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14:paraId="5A133D67" w14:textId="77777777" w:rsidR="002A0DA8" w:rsidRPr="002A0DA8" w:rsidRDefault="002A0DA8" w:rsidP="002A0DA8">
            <w:pPr>
              <w:spacing w:after="0" w:line="240" w:lineRule="auto"/>
              <w:rPr>
                <w:rFonts w:ascii="Times New Roman" w:hAnsi="Times New Roman" w:cs="Times New Roman"/>
                <w:color w:val="000000"/>
                <w:lang w:eastAsia="hr-HR"/>
              </w:rPr>
            </w:pPr>
            <w:r w:rsidRPr="002A0DA8">
              <w:rPr>
                <w:rFonts w:ascii="Times New Roman" w:hAnsi="Times New Roman" w:cs="Times New Roman"/>
                <w:color w:val="000000"/>
                <w:lang w:eastAsia="hr-HR"/>
              </w:rPr>
              <w:t xml:space="preserve">5. </w:t>
            </w:r>
          </w:p>
        </w:tc>
        <w:tc>
          <w:tcPr>
            <w:tcW w:w="2956" w:type="dxa"/>
            <w:tcBorders>
              <w:top w:val="nil"/>
              <w:left w:val="nil"/>
              <w:bottom w:val="single" w:sz="4" w:space="0" w:color="auto"/>
              <w:right w:val="single" w:sz="4" w:space="0" w:color="auto"/>
            </w:tcBorders>
            <w:shd w:val="clear" w:color="000000" w:fill="FFFFFF"/>
            <w:noWrap/>
            <w:hideMark/>
          </w:tcPr>
          <w:p w14:paraId="2F27727C" w14:textId="77777777" w:rsidR="002A0DA8" w:rsidRPr="002A0DA8" w:rsidRDefault="002A0DA8" w:rsidP="002A0DA8">
            <w:pPr>
              <w:spacing w:after="0" w:line="240" w:lineRule="auto"/>
              <w:rPr>
                <w:rFonts w:ascii="Times New Roman" w:hAnsi="Times New Roman" w:cs="Times New Roman"/>
                <w:color w:val="000000"/>
                <w:lang w:eastAsia="hr-HR"/>
              </w:rPr>
            </w:pPr>
            <w:r w:rsidRPr="002A0DA8">
              <w:rPr>
                <w:rFonts w:ascii="Times New Roman" w:hAnsi="Times New Roman" w:cs="Times New Roman"/>
                <w:color w:val="000000"/>
                <w:lang w:eastAsia="hr-HR"/>
              </w:rPr>
              <w:t>Komunalni doprinos</w:t>
            </w:r>
          </w:p>
        </w:tc>
        <w:tc>
          <w:tcPr>
            <w:tcW w:w="1431" w:type="dxa"/>
            <w:tcBorders>
              <w:top w:val="nil"/>
              <w:left w:val="nil"/>
              <w:bottom w:val="single" w:sz="4" w:space="0" w:color="auto"/>
              <w:right w:val="single" w:sz="4" w:space="0" w:color="auto"/>
            </w:tcBorders>
            <w:shd w:val="clear" w:color="000000" w:fill="FFFFFF"/>
            <w:noWrap/>
            <w:hideMark/>
          </w:tcPr>
          <w:p w14:paraId="175FBF43"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6.077,28</w:t>
            </w:r>
          </w:p>
        </w:tc>
        <w:tc>
          <w:tcPr>
            <w:tcW w:w="1417" w:type="dxa"/>
            <w:gridSpan w:val="2"/>
            <w:tcBorders>
              <w:top w:val="nil"/>
              <w:left w:val="nil"/>
              <w:bottom w:val="single" w:sz="4" w:space="0" w:color="auto"/>
              <w:right w:val="single" w:sz="4" w:space="0" w:color="auto"/>
            </w:tcBorders>
            <w:shd w:val="clear" w:color="000000" w:fill="FFFFFF"/>
            <w:noWrap/>
            <w:hideMark/>
          </w:tcPr>
          <w:p w14:paraId="4F393A5E"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6.077,28</w:t>
            </w:r>
          </w:p>
        </w:tc>
        <w:tc>
          <w:tcPr>
            <w:tcW w:w="1546" w:type="dxa"/>
            <w:gridSpan w:val="2"/>
            <w:tcBorders>
              <w:top w:val="nil"/>
              <w:left w:val="nil"/>
              <w:bottom w:val="single" w:sz="4" w:space="0" w:color="auto"/>
              <w:right w:val="single" w:sz="4" w:space="0" w:color="auto"/>
            </w:tcBorders>
            <w:shd w:val="clear" w:color="000000" w:fill="FFFFFF"/>
            <w:noWrap/>
            <w:hideMark/>
          </w:tcPr>
          <w:p w14:paraId="6180F77F" w14:textId="77777777" w:rsidR="002A0DA8" w:rsidRPr="002A0DA8" w:rsidRDefault="002A0DA8" w:rsidP="00DB448A">
            <w:pPr>
              <w:spacing w:after="0" w:line="240" w:lineRule="auto"/>
              <w:ind w:firstLineChars="100" w:firstLine="220"/>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6.077,28</w:t>
            </w:r>
          </w:p>
        </w:tc>
        <w:tc>
          <w:tcPr>
            <w:tcW w:w="1418" w:type="dxa"/>
            <w:tcBorders>
              <w:top w:val="nil"/>
              <w:left w:val="nil"/>
              <w:bottom w:val="single" w:sz="4" w:space="0" w:color="auto"/>
              <w:right w:val="single" w:sz="4" w:space="0" w:color="auto"/>
            </w:tcBorders>
            <w:shd w:val="clear" w:color="000000" w:fill="FFFFFF"/>
            <w:noWrap/>
            <w:hideMark/>
          </w:tcPr>
          <w:p w14:paraId="2BA3AAB0" w14:textId="77777777" w:rsidR="002A0DA8" w:rsidRPr="002A0DA8" w:rsidRDefault="002A0DA8" w:rsidP="002A0DA8">
            <w:pPr>
              <w:spacing w:after="0" w:line="240" w:lineRule="auto"/>
              <w:jc w:val="right"/>
              <w:rPr>
                <w:rFonts w:ascii="Times New Roman" w:hAnsi="Times New Roman" w:cs="Times New Roman"/>
                <w:b/>
                <w:bCs/>
                <w:color w:val="000000"/>
                <w:lang w:eastAsia="hr-HR"/>
              </w:rPr>
            </w:pPr>
            <w:r w:rsidRPr="002A0DA8">
              <w:rPr>
                <w:rFonts w:ascii="Times New Roman" w:hAnsi="Times New Roman" w:cs="Times New Roman"/>
                <w:b/>
                <w:bCs/>
                <w:color w:val="000000"/>
                <w:lang w:eastAsia="hr-HR"/>
              </w:rPr>
              <w:t>0,00</w:t>
            </w:r>
          </w:p>
        </w:tc>
      </w:tr>
      <w:tr w:rsidR="002A0DA8" w:rsidRPr="00091F51" w14:paraId="364E530F" w14:textId="77777777" w:rsidTr="00091F51">
        <w:trPr>
          <w:trHeight w:val="288"/>
          <w:jc w:val="center"/>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14:paraId="390B1128" w14:textId="77777777" w:rsidR="002A0DA8" w:rsidRPr="002A0DA8" w:rsidRDefault="002A0DA8" w:rsidP="002A0DA8">
            <w:pPr>
              <w:spacing w:after="0" w:line="240" w:lineRule="auto"/>
              <w:rPr>
                <w:rFonts w:ascii="Times New Roman" w:hAnsi="Times New Roman" w:cs="Times New Roman"/>
                <w:color w:val="000000"/>
                <w:lang w:eastAsia="hr-HR"/>
              </w:rPr>
            </w:pPr>
            <w:r w:rsidRPr="002A0DA8">
              <w:rPr>
                <w:rFonts w:ascii="Times New Roman" w:hAnsi="Times New Roman" w:cs="Times New Roman"/>
                <w:color w:val="000000"/>
                <w:lang w:eastAsia="hr-HR"/>
              </w:rPr>
              <w:t>6.</w:t>
            </w:r>
          </w:p>
        </w:tc>
        <w:tc>
          <w:tcPr>
            <w:tcW w:w="2956" w:type="dxa"/>
            <w:tcBorders>
              <w:top w:val="nil"/>
              <w:left w:val="nil"/>
              <w:bottom w:val="single" w:sz="4" w:space="0" w:color="auto"/>
              <w:right w:val="single" w:sz="4" w:space="0" w:color="auto"/>
            </w:tcBorders>
            <w:shd w:val="clear" w:color="000000" w:fill="FFFFFF"/>
            <w:noWrap/>
            <w:hideMark/>
          </w:tcPr>
          <w:p w14:paraId="789DF196" w14:textId="1DA229B9" w:rsidR="002A0DA8" w:rsidRPr="002A0DA8" w:rsidRDefault="002A0DA8" w:rsidP="002A0DA8">
            <w:pPr>
              <w:spacing w:after="0" w:line="240" w:lineRule="auto"/>
              <w:rPr>
                <w:rFonts w:ascii="Times New Roman" w:hAnsi="Times New Roman" w:cs="Times New Roman"/>
                <w:color w:val="000000"/>
                <w:lang w:eastAsia="hr-HR"/>
              </w:rPr>
            </w:pPr>
            <w:r w:rsidRPr="002A0DA8">
              <w:rPr>
                <w:rFonts w:ascii="Times New Roman" w:hAnsi="Times New Roman" w:cs="Times New Roman"/>
                <w:color w:val="000000"/>
                <w:lang w:eastAsia="hr-HR"/>
              </w:rPr>
              <w:t xml:space="preserve">Zakup </w:t>
            </w:r>
            <w:proofErr w:type="spellStart"/>
            <w:r w:rsidRPr="002A0DA8">
              <w:rPr>
                <w:rFonts w:ascii="Times New Roman" w:hAnsi="Times New Roman" w:cs="Times New Roman"/>
                <w:color w:val="000000"/>
                <w:lang w:eastAsia="hr-HR"/>
              </w:rPr>
              <w:t>polj</w:t>
            </w:r>
            <w:proofErr w:type="spellEnd"/>
            <w:r w:rsidRPr="002A0DA8">
              <w:rPr>
                <w:rFonts w:ascii="Times New Roman" w:hAnsi="Times New Roman" w:cs="Times New Roman"/>
                <w:color w:val="000000"/>
                <w:lang w:eastAsia="hr-HR"/>
              </w:rPr>
              <w:t>.</w:t>
            </w:r>
            <w:r w:rsidR="00AA7B77">
              <w:rPr>
                <w:rFonts w:ascii="Times New Roman" w:hAnsi="Times New Roman" w:cs="Times New Roman"/>
                <w:color w:val="000000"/>
                <w:lang w:eastAsia="hr-HR"/>
              </w:rPr>
              <w:t xml:space="preserve"> </w:t>
            </w:r>
            <w:r w:rsidRPr="002A0DA8">
              <w:rPr>
                <w:rFonts w:ascii="Times New Roman" w:hAnsi="Times New Roman" w:cs="Times New Roman"/>
                <w:color w:val="000000"/>
                <w:lang w:eastAsia="hr-HR"/>
              </w:rPr>
              <w:t xml:space="preserve">zemljišta u </w:t>
            </w:r>
            <w:proofErr w:type="spellStart"/>
            <w:r w:rsidRPr="002A0DA8">
              <w:rPr>
                <w:rFonts w:ascii="Times New Roman" w:hAnsi="Times New Roman" w:cs="Times New Roman"/>
                <w:color w:val="000000"/>
                <w:lang w:eastAsia="hr-HR"/>
              </w:rPr>
              <w:t>vl</w:t>
            </w:r>
            <w:proofErr w:type="spellEnd"/>
            <w:r w:rsidRPr="002A0DA8">
              <w:rPr>
                <w:rFonts w:ascii="Times New Roman" w:hAnsi="Times New Roman" w:cs="Times New Roman"/>
                <w:color w:val="000000"/>
                <w:lang w:eastAsia="hr-HR"/>
              </w:rPr>
              <w:t>. RH</w:t>
            </w:r>
          </w:p>
        </w:tc>
        <w:tc>
          <w:tcPr>
            <w:tcW w:w="1431" w:type="dxa"/>
            <w:tcBorders>
              <w:top w:val="nil"/>
              <w:left w:val="nil"/>
              <w:bottom w:val="single" w:sz="4" w:space="0" w:color="auto"/>
              <w:right w:val="single" w:sz="4" w:space="0" w:color="auto"/>
            </w:tcBorders>
            <w:shd w:val="clear" w:color="000000" w:fill="FFFFFF"/>
            <w:noWrap/>
            <w:hideMark/>
          </w:tcPr>
          <w:p w14:paraId="5E4A0153"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26.649,34</w:t>
            </w:r>
          </w:p>
        </w:tc>
        <w:tc>
          <w:tcPr>
            <w:tcW w:w="1417" w:type="dxa"/>
            <w:gridSpan w:val="2"/>
            <w:tcBorders>
              <w:top w:val="nil"/>
              <w:left w:val="nil"/>
              <w:bottom w:val="single" w:sz="4" w:space="0" w:color="auto"/>
              <w:right w:val="single" w:sz="4" w:space="0" w:color="auto"/>
            </w:tcBorders>
            <w:shd w:val="clear" w:color="000000" w:fill="FFFFFF"/>
            <w:noWrap/>
            <w:hideMark/>
          </w:tcPr>
          <w:p w14:paraId="5821B47A"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26.649,34</w:t>
            </w:r>
          </w:p>
        </w:tc>
        <w:tc>
          <w:tcPr>
            <w:tcW w:w="1546" w:type="dxa"/>
            <w:gridSpan w:val="2"/>
            <w:tcBorders>
              <w:top w:val="nil"/>
              <w:left w:val="nil"/>
              <w:bottom w:val="single" w:sz="4" w:space="0" w:color="auto"/>
              <w:right w:val="single" w:sz="4" w:space="0" w:color="auto"/>
            </w:tcBorders>
            <w:shd w:val="clear" w:color="000000" w:fill="FFFFFF"/>
            <w:noWrap/>
            <w:hideMark/>
          </w:tcPr>
          <w:p w14:paraId="201598AB" w14:textId="77777777" w:rsidR="002A0DA8" w:rsidRPr="002A0DA8" w:rsidRDefault="002A0DA8" w:rsidP="00DB448A">
            <w:pPr>
              <w:spacing w:after="0" w:line="240" w:lineRule="auto"/>
              <w:ind w:firstLineChars="100" w:firstLine="220"/>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26.649,34</w:t>
            </w:r>
          </w:p>
        </w:tc>
        <w:tc>
          <w:tcPr>
            <w:tcW w:w="1418" w:type="dxa"/>
            <w:tcBorders>
              <w:top w:val="nil"/>
              <w:left w:val="nil"/>
              <w:bottom w:val="single" w:sz="4" w:space="0" w:color="auto"/>
              <w:right w:val="single" w:sz="4" w:space="0" w:color="auto"/>
            </w:tcBorders>
            <w:shd w:val="clear" w:color="000000" w:fill="FFFFFF"/>
            <w:noWrap/>
            <w:hideMark/>
          </w:tcPr>
          <w:p w14:paraId="778EA49F" w14:textId="77777777" w:rsidR="002A0DA8" w:rsidRPr="002A0DA8" w:rsidRDefault="002A0DA8" w:rsidP="002A0DA8">
            <w:pPr>
              <w:spacing w:after="0" w:line="240" w:lineRule="auto"/>
              <w:jc w:val="right"/>
              <w:rPr>
                <w:rFonts w:ascii="Times New Roman" w:hAnsi="Times New Roman" w:cs="Times New Roman"/>
                <w:b/>
                <w:bCs/>
                <w:color w:val="000000"/>
                <w:lang w:eastAsia="hr-HR"/>
              </w:rPr>
            </w:pPr>
            <w:r w:rsidRPr="002A0DA8">
              <w:rPr>
                <w:rFonts w:ascii="Times New Roman" w:hAnsi="Times New Roman" w:cs="Times New Roman"/>
                <w:b/>
                <w:bCs/>
                <w:color w:val="000000"/>
                <w:lang w:eastAsia="hr-HR"/>
              </w:rPr>
              <w:t>0,00</w:t>
            </w:r>
          </w:p>
        </w:tc>
      </w:tr>
      <w:tr w:rsidR="002A0DA8" w:rsidRPr="00091F51" w14:paraId="4A2306BB" w14:textId="77777777" w:rsidTr="00091F51">
        <w:trPr>
          <w:trHeight w:val="600"/>
          <w:jc w:val="center"/>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14:paraId="75D5447B" w14:textId="77777777" w:rsidR="002A0DA8" w:rsidRPr="002A0DA8" w:rsidRDefault="002A0DA8" w:rsidP="002A0DA8">
            <w:pPr>
              <w:spacing w:after="0" w:line="240" w:lineRule="auto"/>
              <w:rPr>
                <w:rFonts w:ascii="Times New Roman" w:hAnsi="Times New Roman" w:cs="Times New Roman"/>
                <w:color w:val="000000"/>
                <w:lang w:eastAsia="hr-HR"/>
              </w:rPr>
            </w:pPr>
            <w:r w:rsidRPr="002A0DA8">
              <w:rPr>
                <w:rFonts w:ascii="Times New Roman" w:hAnsi="Times New Roman" w:cs="Times New Roman"/>
                <w:color w:val="000000"/>
                <w:lang w:eastAsia="hr-HR"/>
              </w:rPr>
              <w:t> </w:t>
            </w:r>
          </w:p>
        </w:tc>
        <w:tc>
          <w:tcPr>
            <w:tcW w:w="2956" w:type="dxa"/>
            <w:tcBorders>
              <w:top w:val="nil"/>
              <w:left w:val="nil"/>
              <w:bottom w:val="single" w:sz="4" w:space="0" w:color="auto"/>
              <w:right w:val="single" w:sz="4" w:space="0" w:color="auto"/>
            </w:tcBorders>
            <w:shd w:val="clear" w:color="000000" w:fill="FFFFFF"/>
            <w:hideMark/>
          </w:tcPr>
          <w:p w14:paraId="11B12151" w14:textId="78E02EB3" w:rsidR="002A0DA8" w:rsidRPr="002A0DA8" w:rsidRDefault="002A0DA8" w:rsidP="002A0DA8">
            <w:pPr>
              <w:spacing w:after="0" w:line="240" w:lineRule="auto"/>
              <w:rPr>
                <w:rFonts w:ascii="Times New Roman" w:hAnsi="Times New Roman" w:cs="Times New Roman"/>
                <w:color w:val="000000"/>
                <w:lang w:eastAsia="hr-HR"/>
              </w:rPr>
            </w:pPr>
            <w:r w:rsidRPr="002A0DA8">
              <w:rPr>
                <w:rFonts w:ascii="Times New Roman" w:hAnsi="Times New Roman" w:cs="Times New Roman"/>
                <w:color w:val="000000"/>
                <w:lang w:eastAsia="hr-HR"/>
              </w:rPr>
              <w:t xml:space="preserve">Naknadno utvrđen višak iz proteklih godina </w:t>
            </w:r>
            <w:r w:rsidR="00726E58">
              <w:rPr>
                <w:rFonts w:ascii="Times New Roman" w:hAnsi="Times New Roman" w:cs="Times New Roman"/>
                <w:color w:val="000000"/>
                <w:lang w:eastAsia="hr-HR"/>
              </w:rPr>
              <w:t>- neplaniran</w:t>
            </w:r>
          </w:p>
        </w:tc>
        <w:tc>
          <w:tcPr>
            <w:tcW w:w="1431" w:type="dxa"/>
            <w:tcBorders>
              <w:top w:val="nil"/>
              <w:left w:val="nil"/>
              <w:bottom w:val="single" w:sz="4" w:space="0" w:color="auto"/>
              <w:right w:val="single" w:sz="4" w:space="0" w:color="auto"/>
            </w:tcBorders>
            <w:shd w:val="clear" w:color="000000" w:fill="FFFFFF"/>
            <w:noWrap/>
            <w:hideMark/>
          </w:tcPr>
          <w:p w14:paraId="5357D300" w14:textId="77777777"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0,00</w:t>
            </w:r>
          </w:p>
        </w:tc>
        <w:tc>
          <w:tcPr>
            <w:tcW w:w="1417" w:type="dxa"/>
            <w:gridSpan w:val="2"/>
            <w:tcBorders>
              <w:top w:val="nil"/>
              <w:left w:val="nil"/>
              <w:bottom w:val="single" w:sz="4" w:space="0" w:color="auto"/>
              <w:right w:val="single" w:sz="4" w:space="0" w:color="auto"/>
            </w:tcBorders>
            <w:shd w:val="clear" w:color="000000" w:fill="FFFFFF"/>
            <w:noWrap/>
            <w:hideMark/>
          </w:tcPr>
          <w:p w14:paraId="6B469824" w14:textId="0D6BD20B" w:rsidR="002A0DA8" w:rsidRPr="002A0DA8" w:rsidRDefault="002A0DA8" w:rsidP="002A0DA8">
            <w:pPr>
              <w:spacing w:after="0" w:line="240" w:lineRule="auto"/>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102.0</w:t>
            </w:r>
            <w:r w:rsidR="00726E58">
              <w:rPr>
                <w:rFonts w:ascii="Times New Roman" w:hAnsi="Times New Roman" w:cs="Times New Roman"/>
                <w:color w:val="000000"/>
                <w:lang w:eastAsia="hr-HR"/>
              </w:rPr>
              <w:t>26,25</w:t>
            </w:r>
          </w:p>
        </w:tc>
        <w:tc>
          <w:tcPr>
            <w:tcW w:w="1546" w:type="dxa"/>
            <w:gridSpan w:val="2"/>
            <w:tcBorders>
              <w:top w:val="nil"/>
              <w:left w:val="nil"/>
              <w:bottom w:val="single" w:sz="4" w:space="0" w:color="auto"/>
              <w:right w:val="single" w:sz="4" w:space="0" w:color="auto"/>
            </w:tcBorders>
            <w:shd w:val="clear" w:color="000000" w:fill="FFFFFF"/>
            <w:noWrap/>
            <w:hideMark/>
          </w:tcPr>
          <w:p w14:paraId="0E47818F" w14:textId="77777777" w:rsidR="002A0DA8" w:rsidRPr="002A0DA8" w:rsidRDefault="002A0DA8" w:rsidP="00DB448A">
            <w:pPr>
              <w:spacing w:after="0" w:line="240" w:lineRule="auto"/>
              <w:ind w:firstLineChars="100" w:firstLine="220"/>
              <w:jc w:val="right"/>
              <w:rPr>
                <w:rFonts w:ascii="Times New Roman" w:hAnsi="Times New Roman" w:cs="Times New Roman"/>
                <w:color w:val="000000"/>
                <w:lang w:eastAsia="hr-HR"/>
              </w:rPr>
            </w:pPr>
            <w:r w:rsidRPr="002A0DA8">
              <w:rPr>
                <w:rFonts w:ascii="Times New Roman" w:hAnsi="Times New Roman" w:cs="Times New Roman"/>
                <w:color w:val="000000"/>
                <w:lang w:eastAsia="hr-HR"/>
              </w:rPr>
              <w:t>0,00</w:t>
            </w:r>
          </w:p>
        </w:tc>
        <w:tc>
          <w:tcPr>
            <w:tcW w:w="1418" w:type="dxa"/>
            <w:tcBorders>
              <w:top w:val="nil"/>
              <w:left w:val="nil"/>
              <w:bottom w:val="single" w:sz="4" w:space="0" w:color="auto"/>
              <w:right w:val="single" w:sz="4" w:space="0" w:color="auto"/>
            </w:tcBorders>
            <w:shd w:val="clear" w:color="000000" w:fill="FFFFFF"/>
            <w:noWrap/>
            <w:hideMark/>
          </w:tcPr>
          <w:p w14:paraId="684214C0" w14:textId="36658085" w:rsidR="002A0DA8" w:rsidRPr="002A0DA8" w:rsidRDefault="002A0DA8" w:rsidP="002A0DA8">
            <w:pPr>
              <w:spacing w:after="0" w:line="240" w:lineRule="auto"/>
              <w:jc w:val="right"/>
              <w:rPr>
                <w:rFonts w:ascii="Times New Roman" w:hAnsi="Times New Roman" w:cs="Times New Roman"/>
                <w:b/>
                <w:bCs/>
                <w:color w:val="000000"/>
                <w:lang w:eastAsia="hr-HR"/>
              </w:rPr>
            </w:pPr>
            <w:r w:rsidRPr="002A0DA8">
              <w:rPr>
                <w:rFonts w:ascii="Times New Roman" w:hAnsi="Times New Roman" w:cs="Times New Roman"/>
                <w:b/>
                <w:bCs/>
                <w:color w:val="000000"/>
                <w:lang w:eastAsia="hr-HR"/>
              </w:rPr>
              <w:t>102.0</w:t>
            </w:r>
            <w:r w:rsidR="00726E58">
              <w:rPr>
                <w:rFonts w:ascii="Times New Roman" w:hAnsi="Times New Roman" w:cs="Times New Roman"/>
                <w:b/>
                <w:bCs/>
                <w:color w:val="000000"/>
                <w:lang w:eastAsia="hr-HR"/>
              </w:rPr>
              <w:t>26,25</w:t>
            </w:r>
          </w:p>
        </w:tc>
      </w:tr>
      <w:tr w:rsidR="002A0DA8" w:rsidRPr="00732E93" w14:paraId="31403EBB" w14:textId="77777777" w:rsidTr="00732E93">
        <w:trPr>
          <w:trHeight w:val="288"/>
          <w:jc w:val="center"/>
        </w:trPr>
        <w:tc>
          <w:tcPr>
            <w:tcW w:w="583"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3CC60CE0" w14:textId="77777777" w:rsidR="002A0DA8" w:rsidRPr="002A0DA8" w:rsidRDefault="002A0DA8" w:rsidP="002A0DA8">
            <w:pPr>
              <w:spacing w:after="0" w:line="240" w:lineRule="auto"/>
              <w:rPr>
                <w:rFonts w:ascii="Times New Roman" w:hAnsi="Times New Roman" w:cs="Times New Roman"/>
                <w:b/>
                <w:bCs/>
                <w:color w:val="000000"/>
                <w:lang w:eastAsia="hr-HR"/>
              </w:rPr>
            </w:pPr>
            <w:r w:rsidRPr="002A0DA8">
              <w:rPr>
                <w:rFonts w:ascii="Times New Roman" w:hAnsi="Times New Roman" w:cs="Times New Roman"/>
                <w:b/>
                <w:bCs/>
                <w:color w:val="000000"/>
                <w:lang w:eastAsia="hr-HR"/>
              </w:rPr>
              <w:t> </w:t>
            </w:r>
          </w:p>
        </w:tc>
        <w:tc>
          <w:tcPr>
            <w:tcW w:w="2956" w:type="dxa"/>
            <w:tcBorders>
              <w:top w:val="nil"/>
              <w:left w:val="nil"/>
              <w:bottom w:val="single" w:sz="4" w:space="0" w:color="auto"/>
              <w:right w:val="single" w:sz="4" w:space="0" w:color="auto"/>
            </w:tcBorders>
            <w:shd w:val="clear" w:color="auto" w:fill="F2F2F2" w:themeFill="background1" w:themeFillShade="F2"/>
            <w:noWrap/>
            <w:hideMark/>
          </w:tcPr>
          <w:p w14:paraId="14E8B828" w14:textId="77777777" w:rsidR="002A0DA8" w:rsidRPr="002A0DA8" w:rsidRDefault="002A0DA8" w:rsidP="002A0DA8">
            <w:pPr>
              <w:spacing w:after="0" w:line="240" w:lineRule="auto"/>
              <w:rPr>
                <w:rFonts w:ascii="Times New Roman" w:hAnsi="Times New Roman" w:cs="Times New Roman"/>
                <w:b/>
                <w:bCs/>
                <w:color w:val="000000"/>
                <w:lang w:eastAsia="hr-HR"/>
              </w:rPr>
            </w:pPr>
            <w:r w:rsidRPr="002A0DA8">
              <w:rPr>
                <w:rFonts w:ascii="Times New Roman" w:hAnsi="Times New Roman" w:cs="Times New Roman"/>
                <w:b/>
                <w:bCs/>
                <w:color w:val="000000"/>
                <w:lang w:eastAsia="hr-HR"/>
              </w:rPr>
              <w:t>UKUPNO:</w:t>
            </w:r>
          </w:p>
        </w:tc>
        <w:tc>
          <w:tcPr>
            <w:tcW w:w="1431" w:type="dxa"/>
            <w:tcBorders>
              <w:top w:val="nil"/>
              <w:left w:val="nil"/>
              <w:bottom w:val="single" w:sz="4" w:space="0" w:color="auto"/>
              <w:right w:val="single" w:sz="4" w:space="0" w:color="auto"/>
            </w:tcBorders>
            <w:shd w:val="clear" w:color="auto" w:fill="F2F2F2" w:themeFill="background1" w:themeFillShade="F2"/>
            <w:noWrap/>
            <w:hideMark/>
          </w:tcPr>
          <w:p w14:paraId="3EED94A6" w14:textId="77777777" w:rsidR="002A0DA8" w:rsidRPr="002A0DA8" w:rsidRDefault="002A0DA8" w:rsidP="002A0DA8">
            <w:pPr>
              <w:spacing w:after="0" w:line="240" w:lineRule="auto"/>
              <w:jc w:val="right"/>
              <w:rPr>
                <w:rFonts w:ascii="Times New Roman" w:hAnsi="Times New Roman" w:cs="Times New Roman"/>
                <w:b/>
                <w:bCs/>
                <w:color w:val="000000"/>
                <w:lang w:eastAsia="hr-HR"/>
              </w:rPr>
            </w:pPr>
            <w:r w:rsidRPr="002A0DA8">
              <w:rPr>
                <w:rFonts w:ascii="Times New Roman" w:hAnsi="Times New Roman" w:cs="Times New Roman"/>
                <w:b/>
                <w:bCs/>
                <w:color w:val="000000"/>
                <w:lang w:eastAsia="hr-HR"/>
              </w:rPr>
              <w:t>815.076,51</w:t>
            </w:r>
          </w:p>
        </w:tc>
        <w:tc>
          <w:tcPr>
            <w:tcW w:w="1417" w:type="dxa"/>
            <w:gridSpan w:val="2"/>
            <w:tcBorders>
              <w:top w:val="nil"/>
              <w:left w:val="nil"/>
              <w:bottom w:val="single" w:sz="4" w:space="0" w:color="auto"/>
              <w:right w:val="single" w:sz="4" w:space="0" w:color="auto"/>
            </w:tcBorders>
            <w:shd w:val="clear" w:color="auto" w:fill="F2F2F2" w:themeFill="background1" w:themeFillShade="F2"/>
            <w:noWrap/>
            <w:hideMark/>
          </w:tcPr>
          <w:p w14:paraId="3B6C6E09" w14:textId="227EE3CB" w:rsidR="002A0DA8" w:rsidRPr="002A0DA8" w:rsidRDefault="002A0DA8" w:rsidP="002A0DA8">
            <w:pPr>
              <w:spacing w:after="0" w:line="240" w:lineRule="auto"/>
              <w:jc w:val="right"/>
              <w:rPr>
                <w:rFonts w:ascii="Times New Roman" w:hAnsi="Times New Roman" w:cs="Times New Roman"/>
                <w:b/>
                <w:bCs/>
                <w:color w:val="000000"/>
                <w:lang w:eastAsia="hr-HR"/>
              </w:rPr>
            </w:pPr>
            <w:r w:rsidRPr="002A0DA8">
              <w:rPr>
                <w:rFonts w:ascii="Times New Roman" w:hAnsi="Times New Roman" w:cs="Times New Roman"/>
                <w:b/>
                <w:bCs/>
                <w:color w:val="000000"/>
                <w:lang w:eastAsia="hr-HR"/>
              </w:rPr>
              <w:t>917.0</w:t>
            </w:r>
            <w:r w:rsidR="00726E58">
              <w:rPr>
                <w:rFonts w:ascii="Times New Roman" w:hAnsi="Times New Roman" w:cs="Times New Roman"/>
                <w:b/>
                <w:bCs/>
                <w:color w:val="000000"/>
                <w:lang w:eastAsia="hr-HR"/>
              </w:rPr>
              <w:t>85,57</w:t>
            </w:r>
          </w:p>
        </w:tc>
        <w:tc>
          <w:tcPr>
            <w:tcW w:w="1546" w:type="dxa"/>
            <w:gridSpan w:val="2"/>
            <w:tcBorders>
              <w:top w:val="nil"/>
              <w:left w:val="nil"/>
              <w:bottom w:val="single" w:sz="4" w:space="0" w:color="auto"/>
              <w:right w:val="single" w:sz="4" w:space="0" w:color="auto"/>
            </w:tcBorders>
            <w:shd w:val="clear" w:color="auto" w:fill="F2F2F2" w:themeFill="background1" w:themeFillShade="F2"/>
            <w:noWrap/>
            <w:hideMark/>
          </w:tcPr>
          <w:p w14:paraId="49C61EEB" w14:textId="77777777" w:rsidR="002A0DA8" w:rsidRPr="002A0DA8" w:rsidRDefault="002A0DA8" w:rsidP="002A0DA8">
            <w:pPr>
              <w:spacing w:after="0" w:line="240" w:lineRule="auto"/>
              <w:jc w:val="right"/>
              <w:rPr>
                <w:rFonts w:ascii="Times New Roman" w:hAnsi="Times New Roman" w:cs="Times New Roman"/>
                <w:b/>
                <w:bCs/>
                <w:color w:val="000000"/>
                <w:lang w:eastAsia="hr-HR"/>
              </w:rPr>
            </w:pPr>
            <w:r w:rsidRPr="002A0DA8">
              <w:rPr>
                <w:rFonts w:ascii="Times New Roman" w:hAnsi="Times New Roman" w:cs="Times New Roman"/>
                <w:b/>
                <w:bCs/>
                <w:color w:val="000000"/>
                <w:lang w:eastAsia="hr-HR"/>
              </w:rPr>
              <w:t>786.570,20</w:t>
            </w:r>
          </w:p>
        </w:tc>
        <w:tc>
          <w:tcPr>
            <w:tcW w:w="1418" w:type="dxa"/>
            <w:tcBorders>
              <w:top w:val="nil"/>
              <w:left w:val="nil"/>
              <w:bottom w:val="single" w:sz="4" w:space="0" w:color="auto"/>
              <w:right w:val="single" w:sz="4" w:space="0" w:color="auto"/>
            </w:tcBorders>
            <w:shd w:val="clear" w:color="auto" w:fill="F2F2F2" w:themeFill="background1" w:themeFillShade="F2"/>
            <w:noWrap/>
            <w:hideMark/>
          </w:tcPr>
          <w:p w14:paraId="509CFA6E" w14:textId="05365545" w:rsidR="002A0DA8" w:rsidRPr="002A0DA8" w:rsidRDefault="002A0DA8" w:rsidP="002A0DA8">
            <w:pPr>
              <w:spacing w:after="0" w:line="240" w:lineRule="auto"/>
              <w:jc w:val="right"/>
              <w:rPr>
                <w:rFonts w:ascii="Times New Roman" w:hAnsi="Times New Roman" w:cs="Times New Roman"/>
                <w:b/>
                <w:bCs/>
                <w:color w:val="000000"/>
                <w:lang w:eastAsia="hr-HR"/>
              </w:rPr>
            </w:pPr>
            <w:r w:rsidRPr="002A0DA8">
              <w:rPr>
                <w:rFonts w:ascii="Times New Roman" w:hAnsi="Times New Roman" w:cs="Times New Roman"/>
                <w:b/>
                <w:bCs/>
                <w:color w:val="000000"/>
                <w:lang w:eastAsia="hr-HR"/>
              </w:rPr>
              <w:t>130.</w:t>
            </w:r>
            <w:r w:rsidR="00726E58">
              <w:rPr>
                <w:rFonts w:ascii="Times New Roman" w:hAnsi="Times New Roman" w:cs="Times New Roman"/>
                <w:b/>
                <w:bCs/>
                <w:color w:val="000000"/>
                <w:lang w:eastAsia="hr-HR"/>
              </w:rPr>
              <w:t>515,37</w:t>
            </w:r>
          </w:p>
        </w:tc>
      </w:tr>
      <w:tr w:rsidR="00DB448A" w:rsidRPr="00091F51" w14:paraId="24B866B2" w14:textId="77777777" w:rsidTr="005B5C93">
        <w:trPr>
          <w:trHeight w:val="288"/>
          <w:jc w:val="center"/>
        </w:trPr>
        <w:tc>
          <w:tcPr>
            <w:tcW w:w="583" w:type="dxa"/>
            <w:tcBorders>
              <w:top w:val="nil"/>
              <w:left w:val="nil"/>
              <w:bottom w:val="nil"/>
              <w:right w:val="nil"/>
            </w:tcBorders>
            <w:shd w:val="clear" w:color="auto" w:fill="auto"/>
            <w:noWrap/>
            <w:vAlign w:val="bottom"/>
            <w:hideMark/>
          </w:tcPr>
          <w:p w14:paraId="08B34D93" w14:textId="77777777" w:rsidR="002A0DA8" w:rsidRPr="002A0DA8" w:rsidRDefault="002A0DA8" w:rsidP="002A0DA8">
            <w:pPr>
              <w:spacing w:after="0" w:line="240" w:lineRule="auto"/>
              <w:jc w:val="right"/>
              <w:rPr>
                <w:rFonts w:ascii="Times New Roman" w:hAnsi="Times New Roman" w:cs="Times New Roman"/>
                <w:color w:val="000000"/>
                <w:lang w:eastAsia="hr-HR"/>
              </w:rPr>
            </w:pPr>
          </w:p>
        </w:tc>
        <w:tc>
          <w:tcPr>
            <w:tcW w:w="2956" w:type="dxa"/>
            <w:tcBorders>
              <w:top w:val="nil"/>
              <w:left w:val="nil"/>
              <w:bottom w:val="nil"/>
              <w:right w:val="nil"/>
            </w:tcBorders>
            <w:shd w:val="clear" w:color="auto" w:fill="auto"/>
            <w:noWrap/>
            <w:vAlign w:val="bottom"/>
            <w:hideMark/>
          </w:tcPr>
          <w:p w14:paraId="61B3B85F" w14:textId="77777777" w:rsidR="002A0DA8" w:rsidRPr="002A0DA8" w:rsidRDefault="002A0DA8" w:rsidP="002A0DA8">
            <w:pPr>
              <w:spacing w:after="0" w:line="240" w:lineRule="auto"/>
              <w:rPr>
                <w:rFonts w:ascii="Times New Roman" w:hAnsi="Times New Roman" w:cs="Times New Roman"/>
                <w:sz w:val="20"/>
                <w:szCs w:val="20"/>
                <w:lang w:eastAsia="hr-HR"/>
              </w:rPr>
            </w:pPr>
          </w:p>
        </w:tc>
        <w:tc>
          <w:tcPr>
            <w:tcW w:w="1431" w:type="dxa"/>
            <w:tcBorders>
              <w:top w:val="nil"/>
              <w:left w:val="nil"/>
              <w:bottom w:val="single" w:sz="4" w:space="0" w:color="auto"/>
              <w:right w:val="nil"/>
            </w:tcBorders>
            <w:shd w:val="clear" w:color="auto" w:fill="auto"/>
            <w:noWrap/>
            <w:vAlign w:val="bottom"/>
            <w:hideMark/>
          </w:tcPr>
          <w:p w14:paraId="46B508A7" w14:textId="77777777" w:rsidR="002A0DA8" w:rsidRPr="002A0DA8" w:rsidRDefault="002A0DA8" w:rsidP="002A0DA8">
            <w:pPr>
              <w:spacing w:after="0" w:line="240" w:lineRule="auto"/>
              <w:rPr>
                <w:rFonts w:ascii="Times New Roman" w:hAnsi="Times New Roman" w:cs="Times New Roman"/>
                <w:sz w:val="20"/>
                <w:szCs w:val="20"/>
                <w:lang w:eastAsia="hr-HR"/>
              </w:rPr>
            </w:pPr>
          </w:p>
        </w:tc>
        <w:tc>
          <w:tcPr>
            <w:tcW w:w="1417" w:type="dxa"/>
            <w:gridSpan w:val="2"/>
            <w:tcBorders>
              <w:top w:val="nil"/>
              <w:left w:val="nil"/>
              <w:bottom w:val="single" w:sz="4" w:space="0" w:color="auto"/>
              <w:right w:val="nil"/>
            </w:tcBorders>
            <w:shd w:val="clear" w:color="auto" w:fill="auto"/>
            <w:noWrap/>
            <w:vAlign w:val="bottom"/>
            <w:hideMark/>
          </w:tcPr>
          <w:p w14:paraId="2A19B6FA" w14:textId="77777777" w:rsidR="002A0DA8" w:rsidRPr="002A0DA8" w:rsidRDefault="002A0DA8" w:rsidP="002A0DA8">
            <w:pPr>
              <w:spacing w:after="0" w:line="240" w:lineRule="auto"/>
              <w:rPr>
                <w:rFonts w:ascii="Times New Roman" w:hAnsi="Times New Roman" w:cs="Times New Roman"/>
                <w:sz w:val="20"/>
                <w:szCs w:val="20"/>
                <w:lang w:eastAsia="hr-HR"/>
              </w:rPr>
            </w:pPr>
          </w:p>
        </w:tc>
        <w:tc>
          <w:tcPr>
            <w:tcW w:w="1546" w:type="dxa"/>
            <w:gridSpan w:val="2"/>
            <w:tcBorders>
              <w:top w:val="nil"/>
              <w:left w:val="nil"/>
              <w:bottom w:val="single" w:sz="4" w:space="0" w:color="auto"/>
              <w:right w:val="nil"/>
            </w:tcBorders>
            <w:shd w:val="clear" w:color="auto" w:fill="auto"/>
            <w:noWrap/>
            <w:vAlign w:val="bottom"/>
            <w:hideMark/>
          </w:tcPr>
          <w:p w14:paraId="378D5329" w14:textId="77777777" w:rsidR="002A0DA8" w:rsidRPr="002A0DA8" w:rsidRDefault="002A0DA8" w:rsidP="002A0DA8">
            <w:pPr>
              <w:spacing w:after="0" w:line="240" w:lineRule="auto"/>
              <w:rPr>
                <w:rFonts w:ascii="Times New Roman" w:hAnsi="Times New Roman" w:cs="Times New Roman"/>
                <w:sz w:val="20"/>
                <w:szCs w:val="20"/>
                <w:lang w:eastAsia="hr-HR"/>
              </w:rPr>
            </w:pPr>
          </w:p>
        </w:tc>
        <w:tc>
          <w:tcPr>
            <w:tcW w:w="1418" w:type="dxa"/>
            <w:tcBorders>
              <w:top w:val="nil"/>
              <w:left w:val="nil"/>
              <w:bottom w:val="single" w:sz="4" w:space="0" w:color="auto"/>
              <w:right w:val="nil"/>
            </w:tcBorders>
            <w:shd w:val="clear" w:color="auto" w:fill="auto"/>
            <w:noWrap/>
            <w:hideMark/>
          </w:tcPr>
          <w:p w14:paraId="43BC2A87" w14:textId="77777777" w:rsidR="002A0DA8" w:rsidRPr="002A0DA8" w:rsidRDefault="002A0DA8" w:rsidP="002A0DA8">
            <w:pPr>
              <w:spacing w:after="0" w:line="240" w:lineRule="auto"/>
              <w:rPr>
                <w:rFonts w:ascii="Times New Roman" w:hAnsi="Times New Roman" w:cs="Times New Roman"/>
                <w:sz w:val="20"/>
                <w:szCs w:val="20"/>
                <w:lang w:eastAsia="hr-HR"/>
              </w:rPr>
            </w:pPr>
          </w:p>
        </w:tc>
      </w:tr>
      <w:tr w:rsidR="005B5C93" w:rsidRPr="005B5C93" w14:paraId="35F544A6" w14:textId="77777777" w:rsidTr="005B5C93">
        <w:trPr>
          <w:trHeight w:val="288"/>
          <w:jc w:val="center"/>
        </w:trPr>
        <w:tc>
          <w:tcPr>
            <w:tcW w:w="4970" w:type="dxa"/>
            <w:gridSpan w:val="3"/>
            <w:tcBorders>
              <w:top w:val="single" w:sz="4" w:space="0" w:color="auto"/>
              <w:left w:val="single" w:sz="4" w:space="0" w:color="auto"/>
              <w:bottom w:val="single" w:sz="4" w:space="0" w:color="auto"/>
              <w:right w:val="single" w:sz="4" w:space="0" w:color="auto"/>
            </w:tcBorders>
            <w:shd w:val="clear" w:color="auto" w:fill="002060"/>
            <w:noWrap/>
            <w:vAlign w:val="bottom"/>
          </w:tcPr>
          <w:p w14:paraId="635CE53F" w14:textId="27EC28EA" w:rsidR="005B5C93" w:rsidRPr="005B5C93" w:rsidRDefault="005B5C93" w:rsidP="005B5C93">
            <w:pPr>
              <w:spacing w:after="0" w:line="240" w:lineRule="auto"/>
              <w:jc w:val="center"/>
              <w:rPr>
                <w:rFonts w:ascii="Times New Roman" w:hAnsi="Times New Roman" w:cs="Times New Roman"/>
                <w:b/>
                <w:bCs/>
                <w:color w:val="FFFFFF" w:themeColor="background1"/>
                <w:lang w:eastAsia="hr-HR"/>
              </w:rPr>
            </w:pPr>
            <w:bookmarkStart w:id="0" w:name="_Hlk200527561"/>
            <w:r w:rsidRPr="005B5C93">
              <w:rPr>
                <w:rFonts w:ascii="Times New Roman" w:hAnsi="Times New Roman" w:cs="Times New Roman"/>
                <w:b/>
                <w:bCs/>
                <w:color w:val="FFFFFF" w:themeColor="background1"/>
                <w:lang w:eastAsia="hr-HR"/>
              </w:rPr>
              <w:t>Rekapitulacija viška /manjka 2024.</w:t>
            </w:r>
          </w:p>
        </w:tc>
        <w:tc>
          <w:tcPr>
            <w:tcW w:w="1428" w:type="dxa"/>
            <w:gridSpan w:val="3"/>
            <w:tcBorders>
              <w:top w:val="single" w:sz="4" w:space="0" w:color="auto"/>
              <w:left w:val="single" w:sz="4" w:space="0" w:color="auto"/>
              <w:bottom w:val="single" w:sz="4" w:space="0" w:color="auto"/>
              <w:right w:val="single" w:sz="4" w:space="0" w:color="auto"/>
            </w:tcBorders>
            <w:shd w:val="clear" w:color="auto" w:fill="002060"/>
            <w:noWrap/>
            <w:vAlign w:val="bottom"/>
          </w:tcPr>
          <w:p w14:paraId="7DD398CB" w14:textId="650AD1F3" w:rsidR="005B5C93" w:rsidRPr="005B5C93" w:rsidRDefault="005B5C93" w:rsidP="005B5C93">
            <w:pPr>
              <w:spacing w:after="0" w:line="240" w:lineRule="auto"/>
              <w:jc w:val="center"/>
              <w:rPr>
                <w:rFonts w:ascii="Times New Roman" w:hAnsi="Times New Roman" w:cs="Times New Roman"/>
                <w:b/>
                <w:bCs/>
                <w:color w:val="FFFFFF" w:themeColor="background1"/>
                <w:lang w:eastAsia="hr-HR"/>
              </w:rPr>
            </w:pPr>
            <w:r w:rsidRPr="005B5C93">
              <w:rPr>
                <w:rFonts w:ascii="Times New Roman" w:hAnsi="Times New Roman" w:cs="Times New Roman"/>
                <w:b/>
                <w:bCs/>
                <w:color w:val="FFFFFF" w:themeColor="background1"/>
                <w:lang w:eastAsia="hr-HR"/>
              </w:rPr>
              <w:t>Višak</w:t>
            </w:r>
          </w:p>
        </w:tc>
        <w:tc>
          <w:tcPr>
            <w:tcW w:w="1535" w:type="dxa"/>
            <w:tcBorders>
              <w:top w:val="single" w:sz="4" w:space="0" w:color="auto"/>
              <w:left w:val="single" w:sz="4" w:space="0" w:color="auto"/>
              <w:bottom w:val="single" w:sz="4" w:space="0" w:color="auto"/>
              <w:right w:val="single" w:sz="4" w:space="0" w:color="auto"/>
            </w:tcBorders>
            <w:shd w:val="clear" w:color="auto" w:fill="002060"/>
            <w:noWrap/>
            <w:vAlign w:val="bottom"/>
          </w:tcPr>
          <w:p w14:paraId="3999AE10" w14:textId="03855369" w:rsidR="005B5C93" w:rsidRPr="005B5C93" w:rsidRDefault="005B5C93" w:rsidP="005B5C93">
            <w:pPr>
              <w:spacing w:after="0" w:line="240" w:lineRule="auto"/>
              <w:jc w:val="center"/>
              <w:rPr>
                <w:rFonts w:ascii="Times New Roman" w:hAnsi="Times New Roman" w:cs="Times New Roman"/>
                <w:b/>
                <w:bCs/>
                <w:color w:val="FFFFFF" w:themeColor="background1"/>
                <w:lang w:eastAsia="hr-HR"/>
              </w:rPr>
            </w:pPr>
            <w:r w:rsidRPr="005B5C93">
              <w:rPr>
                <w:rFonts w:ascii="Times New Roman" w:hAnsi="Times New Roman" w:cs="Times New Roman"/>
                <w:b/>
                <w:bCs/>
                <w:color w:val="FFFFFF" w:themeColor="background1"/>
                <w:lang w:eastAsia="hr-HR"/>
              </w:rPr>
              <w:t>Manjak</w:t>
            </w:r>
          </w:p>
        </w:tc>
        <w:tc>
          <w:tcPr>
            <w:tcW w:w="1418" w:type="dxa"/>
            <w:tcBorders>
              <w:top w:val="single" w:sz="4" w:space="0" w:color="auto"/>
              <w:left w:val="single" w:sz="4" w:space="0" w:color="auto"/>
              <w:bottom w:val="single" w:sz="4" w:space="0" w:color="auto"/>
              <w:right w:val="single" w:sz="4" w:space="0" w:color="auto"/>
            </w:tcBorders>
            <w:shd w:val="clear" w:color="auto" w:fill="002060"/>
            <w:noWrap/>
            <w:vAlign w:val="bottom"/>
          </w:tcPr>
          <w:p w14:paraId="57B781A4" w14:textId="528C0B3A" w:rsidR="005B5C93" w:rsidRPr="005B5C93" w:rsidRDefault="005B5C93" w:rsidP="005B5C93">
            <w:pPr>
              <w:spacing w:after="0" w:line="240" w:lineRule="auto"/>
              <w:jc w:val="center"/>
              <w:rPr>
                <w:rFonts w:ascii="Times New Roman" w:hAnsi="Times New Roman" w:cs="Times New Roman"/>
                <w:b/>
                <w:bCs/>
                <w:color w:val="FFFFFF" w:themeColor="background1"/>
                <w:lang w:eastAsia="hr-HR"/>
              </w:rPr>
            </w:pPr>
            <w:r w:rsidRPr="005B5C93">
              <w:rPr>
                <w:rFonts w:ascii="Times New Roman" w:hAnsi="Times New Roman" w:cs="Times New Roman"/>
                <w:b/>
                <w:bCs/>
                <w:color w:val="FFFFFF" w:themeColor="background1"/>
                <w:lang w:eastAsia="hr-HR"/>
              </w:rPr>
              <w:t>Razlika</w:t>
            </w:r>
          </w:p>
        </w:tc>
      </w:tr>
      <w:tr w:rsidR="005B5C93" w:rsidRPr="004D47EB" w14:paraId="259770E1" w14:textId="77777777" w:rsidTr="003522BC">
        <w:trPr>
          <w:trHeight w:val="288"/>
          <w:jc w:val="center"/>
        </w:trPr>
        <w:tc>
          <w:tcPr>
            <w:tcW w:w="497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D04204E" w14:textId="2D6F09AF" w:rsidR="005B5C93" w:rsidRPr="004D47EB" w:rsidRDefault="005B5C93" w:rsidP="005B5C93">
            <w:pPr>
              <w:spacing w:after="0" w:line="240" w:lineRule="auto"/>
              <w:rPr>
                <w:rFonts w:ascii="Times New Roman" w:hAnsi="Times New Roman" w:cs="Times New Roman"/>
                <w:color w:val="000000"/>
                <w:lang w:eastAsia="hr-HR"/>
              </w:rPr>
            </w:pPr>
            <w:r w:rsidRPr="004D47EB">
              <w:rPr>
                <w:rFonts w:ascii="Times New Roman" w:hAnsi="Times New Roman" w:cs="Times New Roman"/>
                <w:color w:val="000000"/>
                <w:lang w:eastAsia="hr-HR"/>
              </w:rPr>
              <w:t>Višak /manjak namjenskih prihoda</w:t>
            </w:r>
          </w:p>
        </w:tc>
        <w:tc>
          <w:tcPr>
            <w:tcW w:w="1428"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2582813" w14:textId="52172169" w:rsidR="005B5C93" w:rsidRPr="004D47EB" w:rsidRDefault="005B5C93" w:rsidP="005B5C93">
            <w:pPr>
              <w:spacing w:after="0" w:line="240" w:lineRule="auto"/>
              <w:jc w:val="right"/>
              <w:rPr>
                <w:rFonts w:ascii="Times New Roman" w:hAnsi="Times New Roman" w:cs="Times New Roman"/>
                <w:color w:val="000000"/>
                <w:lang w:eastAsia="hr-HR"/>
              </w:rPr>
            </w:pPr>
            <w:r w:rsidRPr="004D47EB">
              <w:rPr>
                <w:rFonts w:ascii="Times New Roman" w:hAnsi="Times New Roman" w:cs="Times New Roman"/>
                <w:color w:val="000000"/>
                <w:lang w:eastAsia="hr-HR"/>
              </w:rPr>
              <w:t>210.748,27</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0655A3" w14:textId="368C8D1F" w:rsidR="005B5C93" w:rsidRPr="004D47EB" w:rsidRDefault="005B5C93" w:rsidP="005B5C93">
            <w:pPr>
              <w:spacing w:after="0" w:line="240" w:lineRule="auto"/>
              <w:jc w:val="right"/>
              <w:rPr>
                <w:rFonts w:ascii="Times New Roman" w:hAnsi="Times New Roman" w:cs="Times New Roman"/>
                <w:lang w:eastAsia="hr-HR"/>
              </w:rPr>
            </w:pPr>
            <w:r w:rsidRPr="004D47EB">
              <w:rPr>
                <w:rFonts w:ascii="Times New Roman" w:hAnsi="Times New Roman" w:cs="Times New Roman"/>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104E44" w14:textId="75816E10" w:rsidR="005B5C93" w:rsidRPr="004D47EB" w:rsidRDefault="005B5C93" w:rsidP="005B5C93">
            <w:pPr>
              <w:spacing w:after="0" w:line="240" w:lineRule="auto"/>
              <w:jc w:val="right"/>
              <w:rPr>
                <w:rFonts w:ascii="Times New Roman" w:hAnsi="Times New Roman" w:cs="Times New Roman"/>
                <w:lang w:eastAsia="hr-HR"/>
              </w:rPr>
            </w:pPr>
            <w:r w:rsidRPr="004D47EB">
              <w:rPr>
                <w:rFonts w:ascii="Times New Roman" w:hAnsi="Times New Roman" w:cs="Times New Roman"/>
                <w:color w:val="000000"/>
                <w:lang w:eastAsia="hr-HR"/>
              </w:rPr>
              <w:t>210.748,27</w:t>
            </w:r>
          </w:p>
        </w:tc>
      </w:tr>
      <w:tr w:rsidR="005B5C93" w:rsidRPr="004D47EB" w14:paraId="0D28B7FD" w14:textId="77777777" w:rsidTr="003522BC">
        <w:trPr>
          <w:trHeight w:val="288"/>
          <w:jc w:val="center"/>
        </w:trPr>
        <w:tc>
          <w:tcPr>
            <w:tcW w:w="497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0000361" w14:textId="4CC7724D" w:rsidR="005B5C93" w:rsidRPr="004D47EB" w:rsidRDefault="005B5C93" w:rsidP="005B5C93">
            <w:pPr>
              <w:spacing w:after="0" w:line="240" w:lineRule="auto"/>
              <w:rPr>
                <w:rFonts w:ascii="Times New Roman" w:hAnsi="Times New Roman" w:cs="Times New Roman"/>
                <w:color w:val="000000"/>
                <w:lang w:eastAsia="hr-HR"/>
              </w:rPr>
            </w:pPr>
            <w:r w:rsidRPr="004D47EB">
              <w:rPr>
                <w:rFonts w:ascii="Times New Roman" w:hAnsi="Times New Roman" w:cs="Times New Roman"/>
                <w:color w:val="000000"/>
                <w:lang w:eastAsia="hr-HR"/>
              </w:rPr>
              <w:t>Višak / manjak prihoda od pomoći (Ugovorene)</w:t>
            </w:r>
          </w:p>
        </w:tc>
        <w:tc>
          <w:tcPr>
            <w:tcW w:w="1428"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B8EA5C3" w14:textId="0337069D" w:rsidR="005B5C93" w:rsidRPr="004D47EB" w:rsidRDefault="004D47EB" w:rsidP="005B5C93">
            <w:pPr>
              <w:spacing w:after="0" w:line="240" w:lineRule="auto"/>
              <w:jc w:val="right"/>
              <w:rPr>
                <w:rFonts w:ascii="Times New Roman" w:hAnsi="Times New Roman" w:cs="Times New Roman"/>
                <w:color w:val="000000"/>
                <w:lang w:eastAsia="hr-HR"/>
              </w:rPr>
            </w:pPr>
            <w:r>
              <w:rPr>
                <w:rFonts w:ascii="Times New Roman" w:hAnsi="Times New Roman" w:cs="Times New Roman"/>
                <w:color w:val="000000"/>
                <w:lang w:eastAsia="hr-HR"/>
              </w:rPr>
              <w:t>251.053,81</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79F7B1" w14:textId="59D828E1" w:rsidR="005B5C93" w:rsidRPr="004D47EB" w:rsidRDefault="004D47EB" w:rsidP="005B5C93">
            <w:pPr>
              <w:spacing w:after="0" w:line="240" w:lineRule="auto"/>
              <w:jc w:val="right"/>
              <w:rPr>
                <w:rFonts w:ascii="Times New Roman" w:hAnsi="Times New Roman" w:cs="Times New Roman"/>
                <w:lang w:eastAsia="hr-HR"/>
              </w:rPr>
            </w:pPr>
            <w:r>
              <w:rPr>
                <w:rFonts w:ascii="Times New Roman" w:hAnsi="Times New Roman" w:cs="Times New Roman"/>
                <w:lang w:eastAsia="hr-HR"/>
              </w:rPr>
              <w:t>-852.031,39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201092" w14:textId="6916C9E8" w:rsidR="005B5C93" w:rsidRPr="004D47EB" w:rsidRDefault="008B01FD" w:rsidP="005B5C93">
            <w:pPr>
              <w:spacing w:after="0" w:line="240" w:lineRule="auto"/>
              <w:jc w:val="right"/>
              <w:rPr>
                <w:rFonts w:ascii="Times New Roman" w:hAnsi="Times New Roman" w:cs="Times New Roman"/>
                <w:color w:val="000000"/>
                <w:lang w:eastAsia="hr-HR"/>
              </w:rPr>
            </w:pPr>
            <w:r>
              <w:rPr>
                <w:rFonts w:ascii="Times New Roman" w:hAnsi="Times New Roman" w:cs="Times New Roman"/>
                <w:color w:val="000000"/>
                <w:lang w:eastAsia="hr-HR"/>
              </w:rPr>
              <w:t>-</w:t>
            </w:r>
            <w:r w:rsidR="004D47EB">
              <w:rPr>
                <w:rFonts w:ascii="Times New Roman" w:hAnsi="Times New Roman" w:cs="Times New Roman"/>
                <w:color w:val="000000"/>
                <w:lang w:eastAsia="hr-HR"/>
              </w:rPr>
              <w:t>600.977,58</w:t>
            </w:r>
          </w:p>
        </w:tc>
      </w:tr>
      <w:tr w:rsidR="005B5C93" w:rsidRPr="004D47EB" w14:paraId="5A554A66" w14:textId="77777777" w:rsidTr="00056643">
        <w:trPr>
          <w:trHeight w:val="288"/>
          <w:jc w:val="center"/>
        </w:trPr>
        <w:tc>
          <w:tcPr>
            <w:tcW w:w="497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2A4050C" w14:textId="55D858D6" w:rsidR="005B5C93" w:rsidRPr="004D47EB" w:rsidRDefault="005B5C93" w:rsidP="005B5C93">
            <w:pPr>
              <w:spacing w:after="0" w:line="240" w:lineRule="auto"/>
              <w:rPr>
                <w:rFonts w:ascii="Times New Roman" w:hAnsi="Times New Roman" w:cs="Times New Roman"/>
                <w:color w:val="000000"/>
                <w:lang w:eastAsia="hr-HR"/>
              </w:rPr>
            </w:pPr>
            <w:r w:rsidRPr="004D47EB">
              <w:rPr>
                <w:rFonts w:ascii="Times New Roman" w:hAnsi="Times New Roman" w:cs="Times New Roman"/>
                <w:color w:val="000000"/>
                <w:lang w:eastAsia="hr-HR"/>
              </w:rPr>
              <w:t>Višak nenamjenskih prihoda</w:t>
            </w:r>
          </w:p>
        </w:tc>
        <w:tc>
          <w:tcPr>
            <w:tcW w:w="1428"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9626C69" w14:textId="19201801" w:rsidR="005B5C93" w:rsidRPr="004D47EB" w:rsidRDefault="004D47EB" w:rsidP="005B5C93">
            <w:pPr>
              <w:spacing w:after="0" w:line="240" w:lineRule="auto"/>
              <w:jc w:val="right"/>
              <w:rPr>
                <w:rFonts w:ascii="Times New Roman" w:hAnsi="Times New Roman" w:cs="Times New Roman"/>
                <w:color w:val="000000"/>
                <w:lang w:eastAsia="hr-HR"/>
              </w:rPr>
            </w:pPr>
            <w:r>
              <w:rPr>
                <w:rFonts w:ascii="Times New Roman" w:hAnsi="Times New Roman" w:cs="Times New Roman"/>
                <w:color w:val="000000"/>
                <w:lang w:eastAsia="hr-HR"/>
              </w:rPr>
              <w:t>551.795,40</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E5C3D3" w14:textId="68BD3BCD" w:rsidR="005B5C93" w:rsidRPr="004D47EB" w:rsidRDefault="004D47EB" w:rsidP="005B5C93">
            <w:pPr>
              <w:spacing w:after="0" w:line="240" w:lineRule="auto"/>
              <w:jc w:val="right"/>
              <w:rPr>
                <w:rFonts w:ascii="Times New Roman" w:hAnsi="Times New Roman" w:cs="Times New Roman"/>
                <w:lang w:eastAsia="hr-HR"/>
              </w:rPr>
            </w:pPr>
            <w:r>
              <w:rPr>
                <w:rFonts w:ascii="Times New Roman" w:hAnsi="Times New Roman" w:cs="Times New Roman"/>
                <w:lang w:eastAsia="hr-HR"/>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963AA9" w14:textId="50403B6F" w:rsidR="005B5C93" w:rsidRPr="004D47EB" w:rsidRDefault="005B5C93" w:rsidP="005B5C93">
            <w:pPr>
              <w:spacing w:after="0" w:line="240" w:lineRule="auto"/>
              <w:jc w:val="right"/>
              <w:rPr>
                <w:rFonts w:ascii="Times New Roman" w:hAnsi="Times New Roman" w:cs="Times New Roman"/>
                <w:lang w:eastAsia="hr-HR"/>
              </w:rPr>
            </w:pPr>
            <w:r w:rsidRPr="004D47EB">
              <w:rPr>
                <w:rFonts w:ascii="Times New Roman" w:hAnsi="Times New Roman" w:cs="Times New Roman"/>
                <w:color w:val="000000"/>
                <w:lang w:eastAsia="hr-HR"/>
              </w:rPr>
              <w:t>551.795,40</w:t>
            </w:r>
          </w:p>
        </w:tc>
      </w:tr>
      <w:tr w:rsidR="005B5C93" w:rsidRPr="004D47EB" w14:paraId="7246398D" w14:textId="77777777" w:rsidTr="004D47EB">
        <w:trPr>
          <w:trHeight w:val="288"/>
          <w:jc w:val="center"/>
        </w:trPr>
        <w:tc>
          <w:tcPr>
            <w:tcW w:w="4970"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tcPr>
          <w:p w14:paraId="18F5A8C7" w14:textId="1A78DB60" w:rsidR="005B5C93" w:rsidRPr="004D47EB" w:rsidRDefault="005B5C93" w:rsidP="005B5C93">
            <w:pPr>
              <w:spacing w:after="0" w:line="240" w:lineRule="auto"/>
              <w:jc w:val="center"/>
              <w:rPr>
                <w:rFonts w:ascii="Times New Roman" w:hAnsi="Times New Roman" w:cs="Times New Roman"/>
                <w:b/>
                <w:bCs/>
                <w:color w:val="000000"/>
                <w:lang w:eastAsia="hr-HR"/>
              </w:rPr>
            </w:pPr>
            <w:r w:rsidRPr="004D47EB">
              <w:rPr>
                <w:rFonts w:ascii="Times New Roman" w:hAnsi="Times New Roman" w:cs="Times New Roman"/>
                <w:b/>
                <w:bCs/>
                <w:color w:val="000000"/>
                <w:lang w:eastAsia="hr-HR"/>
              </w:rPr>
              <w:t>Ukupno višak / manjak za planiranje</w:t>
            </w:r>
          </w:p>
        </w:tc>
        <w:tc>
          <w:tcPr>
            <w:tcW w:w="14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358ABBE" w14:textId="0F1B8A8D" w:rsidR="005B5C93" w:rsidRPr="004D47EB" w:rsidRDefault="004D47EB" w:rsidP="005B5C93">
            <w:pPr>
              <w:spacing w:after="0" w:line="240" w:lineRule="auto"/>
              <w:jc w:val="right"/>
              <w:rPr>
                <w:rFonts w:ascii="Times New Roman" w:hAnsi="Times New Roman" w:cs="Times New Roman"/>
                <w:b/>
                <w:bCs/>
                <w:color w:val="000000"/>
                <w:lang w:eastAsia="hr-HR"/>
              </w:rPr>
            </w:pPr>
            <w:r w:rsidRPr="004D47EB">
              <w:rPr>
                <w:rFonts w:ascii="Times New Roman" w:hAnsi="Times New Roman" w:cs="Times New Roman"/>
                <w:b/>
                <w:bCs/>
                <w:color w:val="000000"/>
                <w:lang w:eastAsia="hr-HR"/>
              </w:rPr>
              <w:t>1.031.597,48</w:t>
            </w:r>
          </w:p>
        </w:tc>
        <w:tc>
          <w:tcPr>
            <w:tcW w:w="1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BC15C83" w14:textId="695B0C00" w:rsidR="005B5C93" w:rsidRPr="004D47EB" w:rsidRDefault="004D47EB" w:rsidP="005B5C93">
            <w:pPr>
              <w:spacing w:after="0" w:line="240" w:lineRule="auto"/>
              <w:jc w:val="right"/>
              <w:rPr>
                <w:rFonts w:ascii="Times New Roman" w:hAnsi="Times New Roman" w:cs="Times New Roman"/>
                <w:b/>
                <w:bCs/>
                <w:lang w:eastAsia="hr-HR"/>
              </w:rPr>
            </w:pPr>
            <w:r w:rsidRPr="004D47EB">
              <w:rPr>
                <w:rFonts w:ascii="Times New Roman" w:hAnsi="Times New Roman" w:cs="Times New Roman"/>
                <w:b/>
                <w:bCs/>
                <w:lang w:eastAsia="hr-HR"/>
              </w:rPr>
              <w:t>-852.031,39</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406C1D0" w14:textId="3C8C5044" w:rsidR="005B5C93" w:rsidRPr="004D47EB" w:rsidRDefault="005B5C93" w:rsidP="005B5C93">
            <w:pPr>
              <w:spacing w:after="0" w:line="240" w:lineRule="auto"/>
              <w:jc w:val="right"/>
              <w:rPr>
                <w:rFonts w:ascii="Times New Roman" w:hAnsi="Times New Roman" w:cs="Times New Roman"/>
                <w:b/>
                <w:bCs/>
                <w:lang w:eastAsia="hr-HR"/>
              </w:rPr>
            </w:pPr>
            <w:r w:rsidRPr="004D47EB">
              <w:rPr>
                <w:rFonts w:ascii="Times New Roman" w:hAnsi="Times New Roman" w:cs="Times New Roman"/>
                <w:b/>
                <w:bCs/>
                <w:color w:val="000000"/>
                <w:lang w:eastAsia="hr-HR"/>
              </w:rPr>
              <w:t>161.5</w:t>
            </w:r>
            <w:r w:rsidR="008B01FD">
              <w:rPr>
                <w:rFonts w:ascii="Times New Roman" w:hAnsi="Times New Roman" w:cs="Times New Roman"/>
                <w:b/>
                <w:bCs/>
                <w:color w:val="000000"/>
                <w:lang w:eastAsia="hr-HR"/>
              </w:rPr>
              <w:t>66</w:t>
            </w:r>
            <w:r w:rsidRPr="004D47EB">
              <w:rPr>
                <w:rFonts w:ascii="Times New Roman" w:hAnsi="Times New Roman" w:cs="Times New Roman"/>
                <w:b/>
                <w:bCs/>
                <w:color w:val="000000"/>
                <w:lang w:eastAsia="hr-HR"/>
              </w:rPr>
              <w:t>,09</w:t>
            </w:r>
          </w:p>
        </w:tc>
      </w:tr>
    </w:tbl>
    <w:p w14:paraId="2E7E4310" w14:textId="77777777" w:rsidR="002A0DA8" w:rsidRDefault="002A0DA8" w:rsidP="002A0DA8">
      <w:pPr>
        <w:jc w:val="both"/>
        <w:rPr>
          <w:rFonts w:ascii="Times New Roman" w:hAnsi="Times New Roman" w:cs="Times New Roman"/>
        </w:rPr>
      </w:pPr>
    </w:p>
    <w:p w14:paraId="6E65D29B" w14:textId="77777777" w:rsidR="00091F51" w:rsidRDefault="00091F51" w:rsidP="002A0DA8">
      <w:pPr>
        <w:jc w:val="both"/>
        <w:rPr>
          <w:rFonts w:ascii="Times New Roman" w:hAnsi="Times New Roman" w:cs="Times New Roman"/>
        </w:rPr>
      </w:pPr>
    </w:p>
    <w:p w14:paraId="2705A78D" w14:textId="19270D51" w:rsidR="00091F51" w:rsidRPr="00091F51" w:rsidRDefault="00091F51" w:rsidP="002A0DA8">
      <w:pPr>
        <w:jc w:val="both"/>
        <w:rPr>
          <w:rFonts w:ascii="Times New Roman" w:hAnsi="Times New Roman" w:cs="Times New Roman"/>
          <w:b/>
          <w:bCs/>
          <w:u w:val="single"/>
        </w:rPr>
      </w:pPr>
      <w:r w:rsidRPr="00091F51">
        <w:rPr>
          <w:rFonts w:ascii="Times New Roman" w:hAnsi="Times New Roman" w:cs="Times New Roman"/>
          <w:b/>
          <w:bCs/>
          <w:u w:val="single"/>
        </w:rPr>
        <w:t xml:space="preserve">Utvrđeni viškovi / manjkovi po korisnicima za prijenos u slijedeću proračunsku godinu: </w:t>
      </w:r>
    </w:p>
    <w:tbl>
      <w:tblPr>
        <w:tblW w:w="9445" w:type="dxa"/>
        <w:tblLook w:val="04A0" w:firstRow="1" w:lastRow="0" w:firstColumn="1" w:lastColumn="0" w:noHBand="0" w:noVBand="1"/>
      </w:tblPr>
      <w:tblGrid>
        <w:gridCol w:w="5240"/>
        <w:gridCol w:w="3969"/>
        <w:gridCol w:w="236"/>
      </w:tblGrid>
      <w:tr w:rsidR="00091F51" w:rsidRPr="00091F51" w14:paraId="01E8A757" w14:textId="77777777" w:rsidTr="00091F51">
        <w:trPr>
          <w:gridAfter w:val="1"/>
          <w:wAfter w:w="236" w:type="dxa"/>
          <w:trHeight w:val="509"/>
        </w:trPr>
        <w:tc>
          <w:tcPr>
            <w:tcW w:w="524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9EF4FB8" w14:textId="77777777" w:rsidR="00091F51" w:rsidRPr="00091F51" w:rsidRDefault="00091F51" w:rsidP="00091F51">
            <w:pPr>
              <w:spacing w:after="0" w:line="240" w:lineRule="auto"/>
              <w:jc w:val="center"/>
              <w:rPr>
                <w:rFonts w:ascii="Times New Roman" w:hAnsi="Times New Roman" w:cs="Times New Roman"/>
                <w:color w:val="000000"/>
                <w:lang w:eastAsia="hr-HR"/>
              </w:rPr>
            </w:pPr>
            <w:r w:rsidRPr="00091F51">
              <w:rPr>
                <w:rFonts w:ascii="Times New Roman" w:hAnsi="Times New Roman" w:cs="Times New Roman"/>
                <w:color w:val="000000"/>
                <w:lang w:eastAsia="hr-HR"/>
              </w:rPr>
              <w:t>Korisnik</w:t>
            </w:r>
          </w:p>
        </w:tc>
        <w:tc>
          <w:tcPr>
            <w:tcW w:w="396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CD21125" w14:textId="77777777" w:rsidR="00091F51" w:rsidRPr="00091F51" w:rsidRDefault="00091F51" w:rsidP="00091F51">
            <w:pPr>
              <w:spacing w:after="0" w:line="240" w:lineRule="auto"/>
              <w:jc w:val="center"/>
              <w:rPr>
                <w:rFonts w:ascii="Times New Roman" w:hAnsi="Times New Roman" w:cs="Times New Roman"/>
                <w:color w:val="000000"/>
                <w:lang w:eastAsia="hr-HR"/>
              </w:rPr>
            </w:pPr>
            <w:r w:rsidRPr="00091F51">
              <w:rPr>
                <w:rFonts w:ascii="Times New Roman" w:hAnsi="Times New Roman" w:cs="Times New Roman"/>
                <w:color w:val="000000"/>
                <w:lang w:eastAsia="hr-HR"/>
              </w:rPr>
              <w:t>Viškovi / manjkovi za prijenos u 2025. godinu</w:t>
            </w:r>
          </w:p>
        </w:tc>
      </w:tr>
      <w:tr w:rsidR="00091F51" w:rsidRPr="00091F51" w14:paraId="390D9277" w14:textId="77777777" w:rsidTr="00091F51">
        <w:trPr>
          <w:trHeight w:val="288"/>
        </w:trPr>
        <w:tc>
          <w:tcPr>
            <w:tcW w:w="5240" w:type="dxa"/>
            <w:vMerge/>
            <w:tcBorders>
              <w:top w:val="single" w:sz="4" w:space="0" w:color="auto"/>
              <w:left w:val="single" w:sz="4" w:space="0" w:color="auto"/>
              <w:bottom w:val="single" w:sz="4" w:space="0" w:color="auto"/>
              <w:right w:val="single" w:sz="4" w:space="0" w:color="auto"/>
            </w:tcBorders>
            <w:vAlign w:val="center"/>
            <w:hideMark/>
          </w:tcPr>
          <w:p w14:paraId="5568617D" w14:textId="77777777" w:rsidR="00091F51" w:rsidRPr="00091F51" w:rsidRDefault="00091F51" w:rsidP="00091F51">
            <w:pPr>
              <w:spacing w:after="0" w:line="240" w:lineRule="auto"/>
              <w:rPr>
                <w:rFonts w:ascii="Times New Roman" w:hAnsi="Times New Roman" w:cs="Times New Roman"/>
                <w:color w:val="000000"/>
                <w:lang w:eastAsia="hr-HR"/>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2070CAB0" w14:textId="77777777" w:rsidR="00091F51" w:rsidRPr="00091F51" w:rsidRDefault="00091F51" w:rsidP="00091F51">
            <w:pPr>
              <w:spacing w:after="0" w:line="240" w:lineRule="auto"/>
              <w:rPr>
                <w:rFonts w:ascii="Times New Roman" w:hAnsi="Times New Roman" w:cs="Times New Roman"/>
                <w:color w:val="000000"/>
                <w:lang w:eastAsia="hr-HR"/>
              </w:rPr>
            </w:pPr>
          </w:p>
        </w:tc>
        <w:tc>
          <w:tcPr>
            <w:tcW w:w="236" w:type="dxa"/>
            <w:tcBorders>
              <w:top w:val="nil"/>
              <w:left w:val="nil"/>
              <w:bottom w:val="nil"/>
              <w:right w:val="nil"/>
            </w:tcBorders>
            <w:shd w:val="clear" w:color="auto" w:fill="auto"/>
            <w:noWrap/>
            <w:vAlign w:val="bottom"/>
            <w:hideMark/>
          </w:tcPr>
          <w:p w14:paraId="221C76FD" w14:textId="77777777" w:rsidR="00091F51" w:rsidRPr="00091F51" w:rsidRDefault="00091F51" w:rsidP="00091F51">
            <w:pPr>
              <w:spacing w:after="0" w:line="240" w:lineRule="auto"/>
              <w:jc w:val="center"/>
              <w:rPr>
                <w:rFonts w:ascii="Times New Roman" w:hAnsi="Times New Roman" w:cs="Times New Roman"/>
                <w:color w:val="000000"/>
                <w:lang w:eastAsia="hr-HR"/>
              </w:rPr>
            </w:pPr>
          </w:p>
        </w:tc>
      </w:tr>
      <w:tr w:rsidR="00091F51" w:rsidRPr="00091F51" w14:paraId="005DFD2D" w14:textId="77777777" w:rsidTr="00091F51">
        <w:trPr>
          <w:trHeight w:val="288"/>
        </w:trPr>
        <w:tc>
          <w:tcPr>
            <w:tcW w:w="5240" w:type="dxa"/>
            <w:tcBorders>
              <w:top w:val="nil"/>
              <w:left w:val="single" w:sz="4" w:space="0" w:color="auto"/>
              <w:bottom w:val="single" w:sz="4" w:space="0" w:color="auto"/>
              <w:right w:val="single" w:sz="4" w:space="0" w:color="auto"/>
            </w:tcBorders>
            <w:shd w:val="clear" w:color="000000" w:fill="FFFFFF"/>
            <w:noWrap/>
            <w:vAlign w:val="center"/>
            <w:hideMark/>
          </w:tcPr>
          <w:p w14:paraId="58B8AECE" w14:textId="77777777" w:rsidR="00091F51" w:rsidRPr="00091F51" w:rsidRDefault="00091F51" w:rsidP="00091F51">
            <w:pPr>
              <w:spacing w:after="0" w:line="240" w:lineRule="auto"/>
              <w:rPr>
                <w:rFonts w:ascii="Times New Roman" w:hAnsi="Times New Roman" w:cs="Times New Roman"/>
                <w:color w:val="000000"/>
                <w:lang w:eastAsia="hr-HR"/>
              </w:rPr>
            </w:pPr>
            <w:r w:rsidRPr="00091F51">
              <w:rPr>
                <w:rFonts w:ascii="Times New Roman" w:hAnsi="Times New Roman" w:cs="Times New Roman"/>
                <w:color w:val="000000"/>
                <w:lang w:eastAsia="hr-HR"/>
              </w:rPr>
              <w:t>Grad Garešnica</w:t>
            </w:r>
          </w:p>
        </w:tc>
        <w:tc>
          <w:tcPr>
            <w:tcW w:w="3969" w:type="dxa"/>
            <w:tcBorders>
              <w:top w:val="nil"/>
              <w:left w:val="nil"/>
              <w:bottom w:val="single" w:sz="4" w:space="0" w:color="auto"/>
              <w:right w:val="single" w:sz="4" w:space="0" w:color="auto"/>
            </w:tcBorders>
            <w:shd w:val="clear" w:color="000000" w:fill="FFFFFF"/>
            <w:noWrap/>
            <w:vAlign w:val="center"/>
            <w:hideMark/>
          </w:tcPr>
          <w:p w14:paraId="4016EAEE" w14:textId="77777777" w:rsidR="00091F51" w:rsidRPr="00091F51" w:rsidRDefault="00091F51" w:rsidP="00091F51">
            <w:pPr>
              <w:spacing w:after="0" w:line="240" w:lineRule="auto"/>
              <w:jc w:val="right"/>
              <w:rPr>
                <w:rFonts w:ascii="Times New Roman" w:hAnsi="Times New Roman" w:cs="Times New Roman"/>
                <w:color w:val="000000"/>
                <w:lang w:eastAsia="hr-HR"/>
              </w:rPr>
            </w:pPr>
            <w:r w:rsidRPr="00091F51">
              <w:rPr>
                <w:rFonts w:ascii="Times New Roman" w:hAnsi="Times New Roman" w:cs="Times New Roman"/>
                <w:color w:val="000000"/>
                <w:lang w:eastAsia="hr-HR"/>
              </w:rPr>
              <w:t>161.566,09</w:t>
            </w:r>
          </w:p>
        </w:tc>
        <w:tc>
          <w:tcPr>
            <w:tcW w:w="236" w:type="dxa"/>
            <w:vAlign w:val="center"/>
            <w:hideMark/>
          </w:tcPr>
          <w:p w14:paraId="4A3F7AFC" w14:textId="77777777" w:rsidR="00091F51" w:rsidRPr="00091F51" w:rsidRDefault="00091F51" w:rsidP="00091F51">
            <w:pPr>
              <w:spacing w:after="0" w:line="240" w:lineRule="auto"/>
              <w:rPr>
                <w:rFonts w:ascii="Times New Roman" w:hAnsi="Times New Roman" w:cs="Times New Roman"/>
                <w:sz w:val="20"/>
                <w:szCs w:val="20"/>
                <w:lang w:eastAsia="hr-HR"/>
              </w:rPr>
            </w:pPr>
          </w:p>
        </w:tc>
      </w:tr>
      <w:tr w:rsidR="00091F51" w:rsidRPr="00091F51" w14:paraId="63F84696" w14:textId="77777777" w:rsidTr="00091F51">
        <w:trPr>
          <w:trHeight w:val="288"/>
        </w:trPr>
        <w:tc>
          <w:tcPr>
            <w:tcW w:w="5240" w:type="dxa"/>
            <w:tcBorders>
              <w:top w:val="nil"/>
              <w:left w:val="single" w:sz="4" w:space="0" w:color="auto"/>
              <w:bottom w:val="single" w:sz="4" w:space="0" w:color="auto"/>
              <w:right w:val="single" w:sz="4" w:space="0" w:color="auto"/>
            </w:tcBorders>
            <w:shd w:val="clear" w:color="auto" w:fill="auto"/>
            <w:noWrap/>
            <w:vAlign w:val="center"/>
            <w:hideMark/>
          </w:tcPr>
          <w:p w14:paraId="30C662D8" w14:textId="77777777" w:rsidR="00091F51" w:rsidRPr="00091F51" w:rsidRDefault="00091F51" w:rsidP="00091F51">
            <w:pPr>
              <w:spacing w:after="0" w:line="240" w:lineRule="auto"/>
              <w:rPr>
                <w:rFonts w:ascii="Times New Roman" w:hAnsi="Times New Roman" w:cs="Times New Roman"/>
                <w:color w:val="000000"/>
                <w:lang w:eastAsia="hr-HR"/>
              </w:rPr>
            </w:pPr>
            <w:r w:rsidRPr="00091F51">
              <w:rPr>
                <w:rFonts w:ascii="Times New Roman" w:hAnsi="Times New Roman" w:cs="Times New Roman"/>
                <w:color w:val="000000"/>
                <w:lang w:eastAsia="hr-HR"/>
              </w:rPr>
              <w:t>Javna vatrogasna postrojba</w:t>
            </w:r>
          </w:p>
        </w:tc>
        <w:tc>
          <w:tcPr>
            <w:tcW w:w="3969" w:type="dxa"/>
            <w:tcBorders>
              <w:top w:val="nil"/>
              <w:left w:val="nil"/>
              <w:bottom w:val="single" w:sz="4" w:space="0" w:color="auto"/>
              <w:right w:val="single" w:sz="4" w:space="0" w:color="auto"/>
            </w:tcBorders>
            <w:shd w:val="clear" w:color="000000" w:fill="FFFFFF"/>
            <w:noWrap/>
            <w:vAlign w:val="center"/>
            <w:hideMark/>
          </w:tcPr>
          <w:p w14:paraId="45CAB47D" w14:textId="77777777" w:rsidR="00091F51" w:rsidRPr="00091F51" w:rsidRDefault="00091F51" w:rsidP="00091F51">
            <w:pPr>
              <w:spacing w:after="0" w:line="240" w:lineRule="auto"/>
              <w:jc w:val="right"/>
              <w:rPr>
                <w:rFonts w:ascii="Times New Roman" w:hAnsi="Times New Roman" w:cs="Times New Roman"/>
                <w:color w:val="000000"/>
                <w:lang w:eastAsia="hr-HR"/>
              </w:rPr>
            </w:pPr>
            <w:r w:rsidRPr="00091F51">
              <w:rPr>
                <w:rFonts w:ascii="Times New Roman" w:hAnsi="Times New Roman" w:cs="Times New Roman"/>
                <w:color w:val="000000"/>
                <w:lang w:eastAsia="hr-HR"/>
              </w:rPr>
              <w:t>9.892,57</w:t>
            </w:r>
          </w:p>
        </w:tc>
        <w:tc>
          <w:tcPr>
            <w:tcW w:w="236" w:type="dxa"/>
            <w:vAlign w:val="center"/>
            <w:hideMark/>
          </w:tcPr>
          <w:p w14:paraId="0C7AF43C" w14:textId="77777777" w:rsidR="00091F51" w:rsidRPr="00091F51" w:rsidRDefault="00091F51" w:rsidP="00091F51">
            <w:pPr>
              <w:spacing w:after="0" w:line="240" w:lineRule="auto"/>
              <w:rPr>
                <w:rFonts w:ascii="Times New Roman" w:hAnsi="Times New Roman" w:cs="Times New Roman"/>
                <w:sz w:val="20"/>
                <w:szCs w:val="20"/>
                <w:lang w:eastAsia="hr-HR"/>
              </w:rPr>
            </w:pPr>
          </w:p>
        </w:tc>
      </w:tr>
      <w:tr w:rsidR="00091F51" w:rsidRPr="00091F51" w14:paraId="70FC3285" w14:textId="77777777" w:rsidTr="00091F51">
        <w:trPr>
          <w:trHeight w:val="288"/>
        </w:trPr>
        <w:tc>
          <w:tcPr>
            <w:tcW w:w="5240" w:type="dxa"/>
            <w:tcBorders>
              <w:top w:val="nil"/>
              <w:left w:val="single" w:sz="4" w:space="0" w:color="auto"/>
              <w:bottom w:val="single" w:sz="4" w:space="0" w:color="auto"/>
              <w:right w:val="single" w:sz="4" w:space="0" w:color="auto"/>
            </w:tcBorders>
            <w:shd w:val="clear" w:color="auto" w:fill="auto"/>
            <w:noWrap/>
            <w:vAlign w:val="center"/>
            <w:hideMark/>
          </w:tcPr>
          <w:p w14:paraId="46B8C973" w14:textId="77777777" w:rsidR="00091F51" w:rsidRPr="00091F51" w:rsidRDefault="00091F51" w:rsidP="00091F51">
            <w:pPr>
              <w:spacing w:after="0" w:line="240" w:lineRule="auto"/>
              <w:rPr>
                <w:rFonts w:ascii="Times New Roman" w:hAnsi="Times New Roman" w:cs="Times New Roman"/>
                <w:color w:val="000000"/>
                <w:lang w:eastAsia="hr-HR"/>
              </w:rPr>
            </w:pPr>
            <w:r w:rsidRPr="00091F51">
              <w:rPr>
                <w:rFonts w:ascii="Times New Roman" w:hAnsi="Times New Roman" w:cs="Times New Roman"/>
                <w:color w:val="000000"/>
                <w:lang w:eastAsia="hr-HR"/>
              </w:rPr>
              <w:t>Dječji vrtić Maslačak</w:t>
            </w:r>
          </w:p>
        </w:tc>
        <w:tc>
          <w:tcPr>
            <w:tcW w:w="3969" w:type="dxa"/>
            <w:tcBorders>
              <w:top w:val="nil"/>
              <w:left w:val="nil"/>
              <w:bottom w:val="single" w:sz="4" w:space="0" w:color="auto"/>
              <w:right w:val="single" w:sz="4" w:space="0" w:color="auto"/>
            </w:tcBorders>
            <w:shd w:val="clear" w:color="000000" w:fill="FFFFFF"/>
            <w:noWrap/>
            <w:vAlign w:val="center"/>
            <w:hideMark/>
          </w:tcPr>
          <w:p w14:paraId="3A151C44" w14:textId="77777777" w:rsidR="00091F51" w:rsidRPr="00091F51" w:rsidRDefault="00091F51" w:rsidP="00091F51">
            <w:pPr>
              <w:spacing w:after="0" w:line="240" w:lineRule="auto"/>
              <w:jc w:val="right"/>
              <w:rPr>
                <w:rFonts w:ascii="Times New Roman" w:hAnsi="Times New Roman" w:cs="Times New Roman"/>
                <w:color w:val="000000"/>
                <w:lang w:eastAsia="hr-HR"/>
              </w:rPr>
            </w:pPr>
            <w:r w:rsidRPr="00091F51">
              <w:rPr>
                <w:rFonts w:ascii="Times New Roman" w:hAnsi="Times New Roman" w:cs="Times New Roman"/>
                <w:color w:val="000000"/>
                <w:lang w:eastAsia="hr-HR"/>
              </w:rPr>
              <w:t>99.043,76</w:t>
            </w:r>
          </w:p>
        </w:tc>
        <w:tc>
          <w:tcPr>
            <w:tcW w:w="236" w:type="dxa"/>
            <w:vAlign w:val="center"/>
            <w:hideMark/>
          </w:tcPr>
          <w:p w14:paraId="56EA2E39" w14:textId="77777777" w:rsidR="00091F51" w:rsidRPr="00091F51" w:rsidRDefault="00091F51" w:rsidP="00091F51">
            <w:pPr>
              <w:spacing w:after="0" w:line="240" w:lineRule="auto"/>
              <w:rPr>
                <w:rFonts w:ascii="Times New Roman" w:hAnsi="Times New Roman" w:cs="Times New Roman"/>
                <w:sz w:val="20"/>
                <w:szCs w:val="20"/>
                <w:lang w:eastAsia="hr-HR"/>
              </w:rPr>
            </w:pPr>
          </w:p>
        </w:tc>
      </w:tr>
      <w:tr w:rsidR="00091F51" w:rsidRPr="00091F51" w14:paraId="29EE58DB" w14:textId="77777777" w:rsidTr="00091F51">
        <w:trPr>
          <w:trHeight w:val="288"/>
        </w:trPr>
        <w:tc>
          <w:tcPr>
            <w:tcW w:w="5240" w:type="dxa"/>
            <w:tcBorders>
              <w:top w:val="nil"/>
              <w:left w:val="single" w:sz="4" w:space="0" w:color="auto"/>
              <w:bottom w:val="single" w:sz="4" w:space="0" w:color="auto"/>
              <w:right w:val="single" w:sz="4" w:space="0" w:color="auto"/>
            </w:tcBorders>
            <w:shd w:val="clear" w:color="auto" w:fill="auto"/>
            <w:noWrap/>
            <w:vAlign w:val="center"/>
            <w:hideMark/>
          </w:tcPr>
          <w:p w14:paraId="162B1526" w14:textId="77777777" w:rsidR="00091F51" w:rsidRPr="00091F51" w:rsidRDefault="00091F51" w:rsidP="00091F51">
            <w:pPr>
              <w:spacing w:after="0" w:line="240" w:lineRule="auto"/>
              <w:rPr>
                <w:rFonts w:ascii="Times New Roman" w:hAnsi="Times New Roman" w:cs="Times New Roman"/>
                <w:color w:val="000000"/>
                <w:lang w:eastAsia="hr-HR"/>
              </w:rPr>
            </w:pPr>
            <w:r w:rsidRPr="00091F51">
              <w:rPr>
                <w:rFonts w:ascii="Times New Roman" w:hAnsi="Times New Roman" w:cs="Times New Roman"/>
                <w:color w:val="000000"/>
                <w:lang w:eastAsia="hr-HR"/>
              </w:rPr>
              <w:t>Hrvatska knjižnica i čitaonica</w:t>
            </w:r>
          </w:p>
        </w:tc>
        <w:tc>
          <w:tcPr>
            <w:tcW w:w="3969" w:type="dxa"/>
            <w:tcBorders>
              <w:top w:val="nil"/>
              <w:left w:val="nil"/>
              <w:bottom w:val="single" w:sz="4" w:space="0" w:color="auto"/>
              <w:right w:val="single" w:sz="4" w:space="0" w:color="auto"/>
            </w:tcBorders>
            <w:shd w:val="clear" w:color="000000" w:fill="FFFFFF"/>
            <w:noWrap/>
            <w:vAlign w:val="center"/>
            <w:hideMark/>
          </w:tcPr>
          <w:p w14:paraId="0DD71DF6" w14:textId="77777777" w:rsidR="00091F51" w:rsidRPr="00091F51" w:rsidRDefault="00091F51" w:rsidP="00091F51">
            <w:pPr>
              <w:spacing w:after="0" w:line="240" w:lineRule="auto"/>
              <w:jc w:val="right"/>
              <w:rPr>
                <w:rFonts w:ascii="Times New Roman" w:hAnsi="Times New Roman" w:cs="Times New Roman"/>
                <w:color w:val="000000"/>
                <w:lang w:eastAsia="hr-HR"/>
              </w:rPr>
            </w:pPr>
            <w:r w:rsidRPr="00091F51">
              <w:rPr>
                <w:rFonts w:ascii="Times New Roman" w:hAnsi="Times New Roman" w:cs="Times New Roman"/>
                <w:color w:val="000000"/>
                <w:lang w:eastAsia="hr-HR"/>
              </w:rPr>
              <w:t>-1.291,88</w:t>
            </w:r>
          </w:p>
        </w:tc>
        <w:tc>
          <w:tcPr>
            <w:tcW w:w="236" w:type="dxa"/>
            <w:vAlign w:val="center"/>
            <w:hideMark/>
          </w:tcPr>
          <w:p w14:paraId="10A520F7" w14:textId="77777777" w:rsidR="00091F51" w:rsidRPr="00091F51" w:rsidRDefault="00091F51" w:rsidP="00091F51">
            <w:pPr>
              <w:spacing w:after="0" w:line="240" w:lineRule="auto"/>
              <w:rPr>
                <w:rFonts w:ascii="Times New Roman" w:hAnsi="Times New Roman" w:cs="Times New Roman"/>
                <w:sz w:val="20"/>
                <w:szCs w:val="20"/>
                <w:lang w:eastAsia="hr-HR"/>
              </w:rPr>
            </w:pPr>
          </w:p>
        </w:tc>
      </w:tr>
      <w:tr w:rsidR="00091F51" w:rsidRPr="00091F51" w14:paraId="4BF25616" w14:textId="77777777" w:rsidTr="00091F51">
        <w:trPr>
          <w:trHeight w:val="288"/>
        </w:trPr>
        <w:tc>
          <w:tcPr>
            <w:tcW w:w="5240" w:type="dxa"/>
            <w:tcBorders>
              <w:top w:val="nil"/>
              <w:left w:val="single" w:sz="4" w:space="0" w:color="auto"/>
              <w:bottom w:val="single" w:sz="4" w:space="0" w:color="auto"/>
              <w:right w:val="single" w:sz="4" w:space="0" w:color="auto"/>
            </w:tcBorders>
            <w:shd w:val="clear" w:color="auto" w:fill="auto"/>
            <w:noWrap/>
            <w:vAlign w:val="center"/>
            <w:hideMark/>
          </w:tcPr>
          <w:p w14:paraId="37D39B15" w14:textId="77777777" w:rsidR="00091F51" w:rsidRPr="00091F51" w:rsidRDefault="00091F51" w:rsidP="00091F51">
            <w:pPr>
              <w:spacing w:after="0" w:line="240" w:lineRule="auto"/>
              <w:rPr>
                <w:rFonts w:ascii="Times New Roman" w:hAnsi="Times New Roman" w:cs="Times New Roman"/>
                <w:color w:val="000000"/>
                <w:lang w:eastAsia="hr-HR"/>
              </w:rPr>
            </w:pPr>
            <w:r w:rsidRPr="00091F51">
              <w:rPr>
                <w:rFonts w:ascii="Times New Roman" w:hAnsi="Times New Roman" w:cs="Times New Roman"/>
                <w:color w:val="000000"/>
                <w:lang w:eastAsia="hr-HR"/>
              </w:rPr>
              <w:t>Javna ustanova Garešnica</w:t>
            </w:r>
          </w:p>
        </w:tc>
        <w:tc>
          <w:tcPr>
            <w:tcW w:w="3969" w:type="dxa"/>
            <w:tcBorders>
              <w:top w:val="nil"/>
              <w:left w:val="nil"/>
              <w:bottom w:val="single" w:sz="4" w:space="0" w:color="auto"/>
              <w:right w:val="single" w:sz="4" w:space="0" w:color="auto"/>
            </w:tcBorders>
            <w:shd w:val="clear" w:color="000000" w:fill="FFFFFF"/>
            <w:noWrap/>
            <w:vAlign w:val="center"/>
            <w:hideMark/>
          </w:tcPr>
          <w:p w14:paraId="4BF14015" w14:textId="77777777" w:rsidR="00091F51" w:rsidRPr="00091F51" w:rsidRDefault="00091F51" w:rsidP="00091F51">
            <w:pPr>
              <w:spacing w:after="0" w:line="240" w:lineRule="auto"/>
              <w:jc w:val="right"/>
              <w:rPr>
                <w:rFonts w:ascii="Times New Roman" w:hAnsi="Times New Roman" w:cs="Times New Roman"/>
                <w:color w:val="000000"/>
                <w:lang w:eastAsia="hr-HR"/>
              </w:rPr>
            </w:pPr>
            <w:r w:rsidRPr="00091F51">
              <w:rPr>
                <w:rFonts w:ascii="Times New Roman" w:hAnsi="Times New Roman" w:cs="Times New Roman"/>
                <w:color w:val="000000"/>
                <w:lang w:eastAsia="hr-HR"/>
              </w:rPr>
              <w:t>3.671,64</w:t>
            </w:r>
          </w:p>
        </w:tc>
        <w:tc>
          <w:tcPr>
            <w:tcW w:w="236" w:type="dxa"/>
            <w:vAlign w:val="center"/>
            <w:hideMark/>
          </w:tcPr>
          <w:p w14:paraId="01343C1A" w14:textId="77777777" w:rsidR="00091F51" w:rsidRPr="00091F51" w:rsidRDefault="00091F51" w:rsidP="00091F51">
            <w:pPr>
              <w:spacing w:after="0" w:line="240" w:lineRule="auto"/>
              <w:rPr>
                <w:rFonts w:ascii="Times New Roman" w:hAnsi="Times New Roman" w:cs="Times New Roman"/>
                <w:sz w:val="20"/>
                <w:szCs w:val="20"/>
                <w:lang w:eastAsia="hr-HR"/>
              </w:rPr>
            </w:pPr>
          </w:p>
        </w:tc>
      </w:tr>
      <w:tr w:rsidR="00091F51" w:rsidRPr="00091F51" w14:paraId="23025D95" w14:textId="77777777" w:rsidTr="00091F51">
        <w:trPr>
          <w:trHeight w:val="288"/>
        </w:trPr>
        <w:tc>
          <w:tcPr>
            <w:tcW w:w="5240" w:type="dxa"/>
            <w:tcBorders>
              <w:top w:val="nil"/>
              <w:left w:val="single" w:sz="4" w:space="0" w:color="auto"/>
              <w:bottom w:val="single" w:sz="4" w:space="0" w:color="auto"/>
              <w:right w:val="single" w:sz="4" w:space="0" w:color="auto"/>
            </w:tcBorders>
            <w:shd w:val="clear" w:color="auto" w:fill="auto"/>
            <w:noWrap/>
            <w:vAlign w:val="center"/>
            <w:hideMark/>
          </w:tcPr>
          <w:p w14:paraId="2ADD5D04" w14:textId="77777777" w:rsidR="00091F51" w:rsidRPr="00091F51" w:rsidRDefault="00091F51" w:rsidP="00091F51">
            <w:pPr>
              <w:spacing w:after="0" w:line="240" w:lineRule="auto"/>
              <w:rPr>
                <w:rFonts w:ascii="Times New Roman" w:hAnsi="Times New Roman" w:cs="Times New Roman"/>
                <w:color w:val="000000"/>
                <w:lang w:eastAsia="hr-HR"/>
              </w:rPr>
            </w:pPr>
            <w:r w:rsidRPr="00091F51">
              <w:rPr>
                <w:rFonts w:ascii="Times New Roman" w:hAnsi="Times New Roman" w:cs="Times New Roman"/>
                <w:color w:val="000000"/>
                <w:lang w:eastAsia="hr-HR"/>
              </w:rPr>
              <w:t>OŠ Garešnica</w:t>
            </w:r>
          </w:p>
        </w:tc>
        <w:tc>
          <w:tcPr>
            <w:tcW w:w="3969" w:type="dxa"/>
            <w:tcBorders>
              <w:top w:val="nil"/>
              <w:left w:val="nil"/>
              <w:bottom w:val="single" w:sz="4" w:space="0" w:color="auto"/>
              <w:right w:val="single" w:sz="4" w:space="0" w:color="auto"/>
            </w:tcBorders>
            <w:shd w:val="clear" w:color="000000" w:fill="FFFFFF"/>
            <w:noWrap/>
            <w:vAlign w:val="center"/>
            <w:hideMark/>
          </w:tcPr>
          <w:p w14:paraId="09462B49" w14:textId="77777777" w:rsidR="00091F51" w:rsidRPr="00091F51" w:rsidRDefault="00091F51" w:rsidP="00091F51">
            <w:pPr>
              <w:spacing w:after="0" w:line="240" w:lineRule="auto"/>
              <w:jc w:val="right"/>
              <w:rPr>
                <w:rFonts w:ascii="Times New Roman" w:hAnsi="Times New Roman" w:cs="Times New Roman"/>
                <w:color w:val="000000"/>
                <w:lang w:eastAsia="hr-HR"/>
              </w:rPr>
            </w:pPr>
            <w:r w:rsidRPr="00091F51">
              <w:rPr>
                <w:rFonts w:ascii="Times New Roman" w:hAnsi="Times New Roman" w:cs="Times New Roman"/>
                <w:color w:val="000000"/>
                <w:lang w:eastAsia="hr-HR"/>
              </w:rPr>
              <w:t>-4.721,26</w:t>
            </w:r>
          </w:p>
        </w:tc>
        <w:tc>
          <w:tcPr>
            <w:tcW w:w="236" w:type="dxa"/>
            <w:vAlign w:val="center"/>
            <w:hideMark/>
          </w:tcPr>
          <w:p w14:paraId="63F75846" w14:textId="77777777" w:rsidR="00091F51" w:rsidRPr="00091F51" w:rsidRDefault="00091F51" w:rsidP="00091F51">
            <w:pPr>
              <w:spacing w:after="0" w:line="240" w:lineRule="auto"/>
              <w:rPr>
                <w:rFonts w:ascii="Times New Roman" w:hAnsi="Times New Roman" w:cs="Times New Roman"/>
                <w:sz w:val="20"/>
                <w:szCs w:val="20"/>
                <w:lang w:eastAsia="hr-HR"/>
              </w:rPr>
            </w:pPr>
          </w:p>
        </w:tc>
      </w:tr>
      <w:tr w:rsidR="00091F51" w:rsidRPr="00091F51" w14:paraId="183C7883" w14:textId="77777777" w:rsidTr="00091F51">
        <w:trPr>
          <w:trHeight w:val="288"/>
        </w:trPr>
        <w:tc>
          <w:tcPr>
            <w:tcW w:w="5240" w:type="dxa"/>
            <w:tcBorders>
              <w:top w:val="nil"/>
              <w:left w:val="single" w:sz="4" w:space="0" w:color="auto"/>
              <w:bottom w:val="single" w:sz="4" w:space="0" w:color="auto"/>
              <w:right w:val="single" w:sz="4" w:space="0" w:color="auto"/>
            </w:tcBorders>
            <w:shd w:val="clear" w:color="auto" w:fill="auto"/>
            <w:noWrap/>
            <w:vAlign w:val="center"/>
            <w:hideMark/>
          </w:tcPr>
          <w:p w14:paraId="2CCCE30A" w14:textId="681B1BA3" w:rsidR="00091F51" w:rsidRPr="00091F51" w:rsidRDefault="00091F51" w:rsidP="00091F51">
            <w:pPr>
              <w:spacing w:after="0" w:line="240" w:lineRule="auto"/>
              <w:rPr>
                <w:rFonts w:ascii="Times New Roman" w:hAnsi="Times New Roman" w:cs="Times New Roman"/>
                <w:color w:val="000000"/>
                <w:lang w:eastAsia="hr-HR"/>
              </w:rPr>
            </w:pPr>
            <w:r w:rsidRPr="00091F51">
              <w:rPr>
                <w:rFonts w:ascii="Times New Roman" w:hAnsi="Times New Roman" w:cs="Times New Roman"/>
                <w:color w:val="000000"/>
                <w:lang w:eastAsia="hr-HR"/>
              </w:rPr>
              <w:t xml:space="preserve">OŠ </w:t>
            </w:r>
            <w:proofErr w:type="spellStart"/>
            <w:r w:rsidRPr="00091F51">
              <w:rPr>
                <w:rFonts w:ascii="Times New Roman" w:hAnsi="Times New Roman" w:cs="Times New Roman"/>
                <w:color w:val="000000"/>
                <w:lang w:eastAsia="hr-HR"/>
              </w:rPr>
              <w:t>Trn</w:t>
            </w:r>
            <w:r w:rsidR="00AA7B77">
              <w:rPr>
                <w:rFonts w:ascii="Times New Roman" w:hAnsi="Times New Roman" w:cs="Times New Roman"/>
                <w:color w:val="000000"/>
                <w:lang w:eastAsia="hr-HR"/>
              </w:rPr>
              <w:t>ovitički</w:t>
            </w:r>
            <w:proofErr w:type="spellEnd"/>
            <w:r w:rsidR="00AA7B77">
              <w:rPr>
                <w:rFonts w:ascii="Times New Roman" w:hAnsi="Times New Roman" w:cs="Times New Roman"/>
                <w:color w:val="000000"/>
                <w:lang w:eastAsia="hr-HR"/>
              </w:rPr>
              <w:t xml:space="preserve"> Popovac</w:t>
            </w:r>
          </w:p>
        </w:tc>
        <w:tc>
          <w:tcPr>
            <w:tcW w:w="3969" w:type="dxa"/>
            <w:tcBorders>
              <w:top w:val="nil"/>
              <w:left w:val="nil"/>
              <w:bottom w:val="single" w:sz="4" w:space="0" w:color="auto"/>
              <w:right w:val="single" w:sz="4" w:space="0" w:color="auto"/>
            </w:tcBorders>
            <w:shd w:val="clear" w:color="000000" w:fill="FFFFFF"/>
            <w:noWrap/>
            <w:vAlign w:val="center"/>
            <w:hideMark/>
          </w:tcPr>
          <w:p w14:paraId="4B2EBC2A" w14:textId="77777777" w:rsidR="00091F51" w:rsidRPr="00091F51" w:rsidRDefault="00091F51" w:rsidP="00091F51">
            <w:pPr>
              <w:spacing w:after="0" w:line="240" w:lineRule="auto"/>
              <w:jc w:val="right"/>
              <w:rPr>
                <w:rFonts w:ascii="Times New Roman" w:hAnsi="Times New Roman" w:cs="Times New Roman"/>
                <w:color w:val="000000"/>
                <w:lang w:eastAsia="hr-HR"/>
              </w:rPr>
            </w:pPr>
            <w:r w:rsidRPr="00091F51">
              <w:rPr>
                <w:rFonts w:ascii="Times New Roman" w:hAnsi="Times New Roman" w:cs="Times New Roman"/>
                <w:color w:val="000000"/>
                <w:lang w:eastAsia="hr-HR"/>
              </w:rPr>
              <w:t>2.793,16</w:t>
            </w:r>
          </w:p>
        </w:tc>
        <w:tc>
          <w:tcPr>
            <w:tcW w:w="236" w:type="dxa"/>
            <w:vAlign w:val="center"/>
            <w:hideMark/>
          </w:tcPr>
          <w:p w14:paraId="5AF586AD" w14:textId="77777777" w:rsidR="00091F51" w:rsidRPr="00091F51" w:rsidRDefault="00091F51" w:rsidP="00091F51">
            <w:pPr>
              <w:spacing w:after="0" w:line="240" w:lineRule="auto"/>
              <w:rPr>
                <w:rFonts w:ascii="Times New Roman" w:hAnsi="Times New Roman" w:cs="Times New Roman"/>
                <w:sz w:val="20"/>
                <w:szCs w:val="20"/>
                <w:lang w:eastAsia="hr-HR"/>
              </w:rPr>
            </w:pPr>
          </w:p>
        </w:tc>
      </w:tr>
      <w:tr w:rsidR="00091F51" w:rsidRPr="00091F51" w14:paraId="7CAD4A47" w14:textId="77777777" w:rsidTr="00091F51">
        <w:trPr>
          <w:trHeight w:val="288"/>
        </w:trPr>
        <w:tc>
          <w:tcPr>
            <w:tcW w:w="5240"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62E7EF03" w14:textId="77777777" w:rsidR="00091F51" w:rsidRPr="00091F51" w:rsidRDefault="00091F51" w:rsidP="00091F51">
            <w:pPr>
              <w:spacing w:after="0" w:line="240" w:lineRule="auto"/>
              <w:rPr>
                <w:rFonts w:ascii="Times New Roman" w:hAnsi="Times New Roman" w:cs="Times New Roman"/>
                <w:b/>
                <w:bCs/>
                <w:color w:val="000000"/>
                <w:lang w:eastAsia="hr-HR"/>
              </w:rPr>
            </w:pPr>
            <w:r w:rsidRPr="00091F51">
              <w:rPr>
                <w:rFonts w:ascii="Times New Roman" w:hAnsi="Times New Roman" w:cs="Times New Roman"/>
                <w:b/>
                <w:bCs/>
                <w:color w:val="000000"/>
                <w:lang w:eastAsia="hr-HR"/>
              </w:rPr>
              <w:t>UKUPNO</w:t>
            </w:r>
          </w:p>
        </w:tc>
        <w:tc>
          <w:tcPr>
            <w:tcW w:w="3969" w:type="dxa"/>
            <w:tcBorders>
              <w:top w:val="nil"/>
              <w:left w:val="nil"/>
              <w:bottom w:val="single" w:sz="4" w:space="0" w:color="auto"/>
              <w:right w:val="single" w:sz="4" w:space="0" w:color="auto"/>
            </w:tcBorders>
            <w:shd w:val="clear" w:color="auto" w:fill="F2F2F2" w:themeFill="background1" w:themeFillShade="F2"/>
            <w:noWrap/>
            <w:vAlign w:val="center"/>
            <w:hideMark/>
          </w:tcPr>
          <w:p w14:paraId="76C9337B" w14:textId="77777777" w:rsidR="00091F51" w:rsidRPr="00091F51" w:rsidRDefault="00091F51" w:rsidP="00091F51">
            <w:pPr>
              <w:spacing w:after="0" w:line="240" w:lineRule="auto"/>
              <w:jc w:val="right"/>
              <w:rPr>
                <w:rFonts w:ascii="Times New Roman" w:hAnsi="Times New Roman" w:cs="Times New Roman"/>
                <w:b/>
                <w:bCs/>
                <w:color w:val="000000"/>
                <w:lang w:eastAsia="hr-HR"/>
              </w:rPr>
            </w:pPr>
            <w:r w:rsidRPr="00091F51">
              <w:rPr>
                <w:rFonts w:ascii="Times New Roman" w:hAnsi="Times New Roman" w:cs="Times New Roman"/>
                <w:b/>
                <w:bCs/>
                <w:color w:val="000000"/>
                <w:lang w:eastAsia="hr-HR"/>
              </w:rPr>
              <w:t>270.954,08</w:t>
            </w:r>
          </w:p>
        </w:tc>
        <w:tc>
          <w:tcPr>
            <w:tcW w:w="236" w:type="dxa"/>
            <w:vAlign w:val="center"/>
            <w:hideMark/>
          </w:tcPr>
          <w:p w14:paraId="1FC8FD62" w14:textId="77777777" w:rsidR="00091F51" w:rsidRPr="00091F51" w:rsidRDefault="00091F51" w:rsidP="00091F51">
            <w:pPr>
              <w:spacing w:after="0" w:line="240" w:lineRule="auto"/>
              <w:rPr>
                <w:rFonts w:ascii="Times New Roman" w:hAnsi="Times New Roman" w:cs="Times New Roman"/>
                <w:b/>
                <w:bCs/>
                <w:sz w:val="20"/>
                <w:szCs w:val="20"/>
                <w:lang w:eastAsia="hr-HR"/>
              </w:rPr>
            </w:pPr>
          </w:p>
        </w:tc>
      </w:tr>
      <w:bookmarkEnd w:id="0"/>
    </w:tbl>
    <w:p w14:paraId="2E4BC5C4" w14:textId="77777777" w:rsidR="002A0DA8" w:rsidRDefault="002A0DA8" w:rsidP="002A0DA8">
      <w:pPr>
        <w:jc w:val="both"/>
        <w:rPr>
          <w:rFonts w:ascii="Times New Roman" w:hAnsi="Times New Roman" w:cs="Times New Roman"/>
        </w:rPr>
      </w:pPr>
    </w:p>
    <w:p w14:paraId="74FE1B31" w14:textId="77777777" w:rsidR="00732E93" w:rsidRDefault="00732E93" w:rsidP="002A0DA8">
      <w:pPr>
        <w:jc w:val="both"/>
        <w:rPr>
          <w:rFonts w:ascii="Times New Roman" w:hAnsi="Times New Roman" w:cs="Times New Roman"/>
        </w:rPr>
      </w:pPr>
    </w:p>
    <w:p w14:paraId="23C7CC70" w14:textId="77777777" w:rsidR="007A0313" w:rsidRDefault="007A0313" w:rsidP="002A0DA8">
      <w:pPr>
        <w:jc w:val="both"/>
        <w:rPr>
          <w:rFonts w:ascii="Times New Roman" w:hAnsi="Times New Roman" w:cs="Times New Roman"/>
        </w:rPr>
      </w:pPr>
    </w:p>
    <w:p w14:paraId="11C219CD" w14:textId="7FC0FAB7" w:rsidR="00732E93" w:rsidRPr="00732E93" w:rsidRDefault="00732E93" w:rsidP="002A0DA8">
      <w:pPr>
        <w:jc w:val="both"/>
        <w:rPr>
          <w:rFonts w:ascii="Times New Roman" w:hAnsi="Times New Roman" w:cs="Times New Roman"/>
          <w:b/>
          <w:bCs/>
          <w:u w:val="single"/>
        </w:rPr>
      </w:pPr>
      <w:r w:rsidRPr="00732E93">
        <w:rPr>
          <w:rFonts w:ascii="Times New Roman" w:hAnsi="Times New Roman" w:cs="Times New Roman"/>
          <w:b/>
          <w:bCs/>
          <w:u w:val="single"/>
        </w:rPr>
        <w:lastRenderedPageBreak/>
        <w:t>Obrazloženje prihoda i primitaka te rashoda i izdataka</w:t>
      </w:r>
    </w:p>
    <w:p w14:paraId="279B1B28" w14:textId="5CE2F312" w:rsidR="005C7D71" w:rsidRPr="00732E93" w:rsidRDefault="005C7D71" w:rsidP="005C7D71">
      <w:pPr>
        <w:spacing w:line="240" w:lineRule="auto"/>
        <w:jc w:val="both"/>
        <w:rPr>
          <w:rFonts w:ascii="Times New Roman" w:hAnsi="Times New Roman" w:cs="Times New Roman"/>
        </w:rPr>
      </w:pPr>
      <w:r w:rsidRPr="00950B46">
        <w:rPr>
          <w:rFonts w:ascii="Times New Roman" w:hAnsi="Times New Roman" w:cs="Times New Roman"/>
          <w:b/>
        </w:rPr>
        <w:t>Prihodi poslovanja (6)</w:t>
      </w:r>
      <w:r w:rsidRPr="00950B46">
        <w:rPr>
          <w:rFonts w:ascii="Times New Roman" w:hAnsi="Times New Roman" w:cs="Times New Roman"/>
          <w:b/>
          <w:color w:val="FF0000"/>
        </w:rPr>
        <w:t xml:space="preserve"> </w:t>
      </w:r>
      <w:r w:rsidRPr="00950B46">
        <w:rPr>
          <w:rFonts w:ascii="Times New Roman" w:hAnsi="Times New Roman" w:cs="Times New Roman"/>
          <w:b/>
        </w:rPr>
        <w:t xml:space="preserve">u iznosu od </w:t>
      </w:r>
      <w:r w:rsidR="00B14AE8" w:rsidRPr="00950B46">
        <w:rPr>
          <w:rFonts w:ascii="Times New Roman" w:hAnsi="Times New Roman" w:cs="Times New Roman"/>
          <w:b/>
        </w:rPr>
        <w:t>11.212.770,17</w:t>
      </w:r>
      <w:r w:rsidRPr="00950B46">
        <w:rPr>
          <w:rFonts w:ascii="Times New Roman" w:hAnsi="Times New Roman" w:cs="Times New Roman"/>
          <w:b/>
        </w:rPr>
        <w:t xml:space="preserve"> eura</w:t>
      </w:r>
      <w:r w:rsidRPr="00732E93">
        <w:rPr>
          <w:rFonts w:ascii="Times New Roman" w:hAnsi="Times New Roman" w:cs="Times New Roman"/>
        </w:rPr>
        <w:t xml:space="preserve"> bilježe povećanje u iznosu od </w:t>
      </w:r>
      <w:r w:rsidR="00B14AE8">
        <w:rPr>
          <w:rFonts w:ascii="Times New Roman" w:hAnsi="Times New Roman" w:cs="Times New Roman"/>
        </w:rPr>
        <w:t>19,19</w:t>
      </w:r>
      <w:r w:rsidRPr="00732E93">
        <w:rPr>
          <w:rFonts w:ascii="Times New Roman" w:hAnsi="Times New Roman" w:cs="Times New Roman"/>
        </w:rPr>
        <w:t xml:space="preserve">% u odnosu na prošlu proračunsku godinu, a izvršenje proračuna tekuće godine iznosi </w:t>
      </w:r>
      <w:r w:rsidR="00B14AE8">
        <w:rPr>
          <w:rFonts w:ascii="Times New Roman" w:hAnsi="Times New Roman" w:cs="Times New Roman"/>
        </w:rPr>
        <w:t>92,83</w:t>
      </w:r>
      <w:r w:rsidRPr="00732E93">
        <w:rPr>
          <w:rFonts w:ascii="Times New Roman" w:hAnsi="Times New Roman" w:cs="Times New Roman"/>
        </w:rPr>
        <w:t>%. Najveći uzrok povećanja prihoda je povećanje prihoda od pomoći iz inozemstva i od subjekata unutar općeg proračuna, prihoda od donacija</w:t>
      </w:r>
      <w:r w:rsidR="00B14AE8">
        <w:rPr>
          <w:rFonts w:ascii="Times New Roman" w:hAnsi="Times New Roman" w:cs="Times New Roman"/>
        </w:rPr>
        <w:t xml:space="preserve"> i</w:t>
      </w:r>
      <w:r w:rsidRPr="00732E93">
        <w:rPr>
          <w:rFonts w:ascii="Times New Roman" w:hAnsi="Times New Roman" w:cs="Times New Roman"/>
        </w:rPr>
        <w:t xml:space="preserve"> ostalih prihoda</w:t>
      </w:r>
      <w:r w:rsidR="00B14AE8">
        <w:rPr>
          <w:rFonts w:ascii="Times New Roman" w:hAnsi="Times New Roman" w:cs="Times New Roman"/>
        </w:rPr>
        <w:t>.</w:t>
      </w:r>
      <w:r w:rsidRPr="00732E93">
        <w:rPr>
          <w:rFonts w:ascii="Times New Roman" w:hAnsi="Times New Roman" w:cs="Times New Roman"/>
        </w:rPr>
        <w:t xml:space="preserve"> </w:t>
      </w:r>
    </w:p>
    <w:p w14:paraId="046D97A4" w14:textId="3C86DF35" w:rsidR="005C7D71" w:rsidRPr="00732E93" w:rsidRDefault="005C7D71" w:rsidP="005C7D71">
      <w:pPr>
        <w:spacing w:line="240" w:lineRule="auto"/>
        <w:jc w:val="both"/>
        <w:rPr>
          <w:rFonts w:ascii="Times New Roman" w:hAnsi="Times New Roman" w:cs="Times New Roman"/>
        </w:rPr>
      </w:pPr>
      <w:r w:rsidRPr="00732E93">
        <w:rPr>
          <w:rFonts w:ascii="Times New Roman" w:hAnsi="Times New Roman" w:cs="Times New Roman"/>
          <w:i/>
          <w:iCs/>
          <w:u w:val="single"/>
        </w:rPr>
        <w:t xml:space="preserve">Prihodi od poreza (61) </w:t>
      </w:r>
      <w:r w:rsidRPr="00732E93">
        <w:rPr>
          <w:rFonts w:ascii="Times New Roman" w:hAnsi="Times New Roman" w:cs="Times New Roman"/>
        </w:rPr>
        <w:t xml:space="preserve">iznose </w:t>
      </w:r>
      <w:r w:rsidR="00B14AE8">
        <w:rPr>
          <w:rFonts w:ascii="Times New Roman" w:hAnsi="Times New Roman" w:cs="Times New Roman"/>
        </w:rPr>
        <w:t>2.680.252,80</w:t>
      </w:r>
      <w:r w:rsidRPr="00732E93">
        <w:rPr>
          <w:rFonts w:ascii="Times New Roman" w:hAnsi="Times New Roman" w:cs="Times New Roman"/>
        </w:rPr>
        <w:t xml:space="preserve"> eura i veći su za </w:t>
      </w:r>
      <w:r w:rsidR="00B14AE8">
        <w:rPr>
          <w:rFonts w:ascii="Times New Roman" w:hAnsi="Times New Roman" w:cs="Times New Roman"/>
        </w:rPr>
        <w:t>14,20</w:t>
      </w:r>
      <w:r w:rsidRPr="00732E93">
        <w:rPr>
          <w:rFonts w:ascii="Times New Roman" w:hAnsi="Times New Roman" w:cs="Times New Roman"/>
        </w:rPr>
        <w:t xml:space="preserve">% u odnosu na prošlu godinu. </w:t>
      </w:r>
    </w:p>
    <w:p w14:paraId="7B5F1457" w14:textId="793C4FFB" w:rsidR="005C7D71" w:rsidRPr="00732E93" w:rsidRDefault="005C7D71" w:rsidP="005C7D71">
      <w:pPr>
        <w:spacing w:after="0" w:line="240" w:lineRule="auto"/>
        <w:jc w:val="both"/>
        <w:rPr>
          <w:rFonts w:ascii="Times New Roman" w:hAnsi="Times New Roman" w:cs="Times New Roman"/>
        </w:rPr>
      </w:pPr>
      <w:r w:rsidRPr="00732E93">
        <w:rPr>
          <w:rFonts w:ascii="Times New Roman" w:hAnsi="Times New Roman" w:cs="Times New Roman"/>
          <w:i/>
          <w:iCs/>
        </w:rPr>
        <w:t>Prihod od poreza na dohodak (611)</w:t>
      </w:r>
      <w:r w:rsidRPr="00732E93">
        <w:rPr>
          <w:rFonts w:ascii="Times New Roman" w:hAnsi="Times New Roman" w:cs="Times New Roman"/>
        </w:rPr>
        <w:t xml:space="preserve"> iznosi </w:t>
      </w:r>
      <w:r w:rsidR="00B14AE8">
        <w:rPr>
          <w:rFonts w:ascii="Times New Roman" w:hAnsi="Times New Roman" w:cs="Times New Roman"/>
        </w:rPr>
        <w:t>2.543.404,94</w:t>
      </w:r>
      <w:r w:rsidRPr="00732E93">
        <w:rPr>
          <w:rFonts w:ascii="Times New Roman" w:hAnsi="Times New Roman" w:cs="Times New Roman"/>
        </w:rPr>
        <w:t xml:space="preserve"> eura što u odnosu na prošlu godinu iznosi povećanje u iznosu od 1</w:t>
      </w:r>
      <w:r w:rsidR="00B14AE8">
        <w:rPr>
          <w:rFonts w:ascii="Times New Roman" w:hAnsi="Times New Roman" w:cs="Times New Roman"/>
        </w:rPr>
        <w:t>4,63</w:t>
      </w:r>
      <w:r w:rsidRPr="00732E93">
        <w:rPr>
          <w:rFonts w:ascii="Times New Roman" w:hAnsi="Times New Roman" w:cs="Times New Roman"/>
        </w:rPr>
        <w:t xml:space="preserve">%. </w:t>
      </w:r>
    </w:p>
    <w:p w14:paraId="6FA360A3" w14:textId="77777777" w:rsidR="005C7D71" w:rsidRPr="00732E93" w:rsidRDefault="005C7D71" w:rsidP="005C7D71">
      <w:pPr>
        <w:spacing w:after="0" w:line="240" w:lineRule="auto"/>
        <w:jc w:val="both"/>
        <w:rPr>
          <w:rFonts w:ascii="Times New Roman" w:hAnsi="Times New Roman" w:cs="Times New Roman"/>
        </w:rPr>
      </w:pPr>
    </w:p>
    <w:p w14:paraId="69BF337D" w14:textId="1B2F590B" w:rsidR="005C7D71" w:rsidRPr="00732E93" w:rsidRDefault="005C7D71" w:rsidP="005C7D71">
      <w:pPr>
        <w:spacing w:line="240" w:lineRule="auto"/>
        <w:jc w:val="both"/>
        <w:rPr>
          <w:rFonts w:ascii="Times New Roman" w:hAnsi="Times New Roman" w:cs="Times New Roman"/>
        </w:rPr>
      </w:pPr>
      <w:r w:rsidRPr="00732E93">
        <w:rPr>
          <w:rFonts w:ascii="Times New Roman" w:hAnsi="Times New Roman" w:cs="Times New Roman"/>
          <w:i/>
          <w:iCs/>
        </w:rPr>
        <w:t>Porezi na imovinu (613)</w:t>
      </w:r>
      <w:r w:rsidRPr="00732E93">
        <w:rPr>
          <w:rFonts w:ascii="Times New Roman" w:hAnsi="Times New Roman" w:cs="Times New Roman"/>
        </w:rPr>
        <w:t xml:space="preserve"> iznose </w:t>
      </w:r>
      <w:r w:rsidR="00FA734B">
        <w:rPr>
          <w:rFonts w:ascii="Times New Roman" w:hAnsi="Times New Roman" w:cs="Times New Roman"/>
        </w:rPr>
        <w:t>122.934,56</w:t>
      </w:r>
      <w:r w:rsidRPr="00732E93">
        <w:rPr>
          <w:rFonts w:ascii="Times New Roman" w:hAnsi="Times New Roman" w:cs="Times New Roman"/>
        </w:rPr>
        <w:t xml:space="preserve"> eura i sastoje se od prihoda od poreza na javne površine i kuće za odmor u iznosu od </w:t>
      </w:r>
      <w:r w:rsidR="00FA734B">
        <w:rPr>
          <w:rFonts w:ascii="Times New Roman" w:hAnsi="Times New Roman" w:cs="Times New Roman"/>
        </w:rPr>
        <w:t>375,78</w:t>
      </w:r>
      <w:r w:rsidRPr="00732E93">
        <w:rPr>
          <w:rFonts w:ascii="Times New Roman" w:hAnsi="Times New Roman" w:cs="Times New Roman"/>
        </w:rPr>
        <w:t xml:space="preserve"> eura i porez</w:t>
      </w:r>
      <w:r w:rsidR="00FA734B">
        <w:rPr>
          <w:rFonts w:ascii="Times New Roman" w:hAnsi="Times New Roman" w:cs="Times New Roman"/>
        </w:rPr>
        <w:t>a</w:t>
      </w:r>
      <w:r w:rsidRPr="00732E93">
        <w:rPr>
          <w:rFonts w:ascii="Times New Roman" w:hAnsi="Times New Roman" w:cs="Times New Roman"/>
        </w:rPr>
        <w:t xml:space="preserve"> na</w:t>
      </w:r>
      <w:r w:rsidR="00FA734B">
        <w:rPr>
          <w:rFonts w:ascii="Times New Roman" w:hAnsi="Times New Roman" w:cs="Times New Roman"/>
        </w:rPr>
        <w:t xml:space="preserve"> promet</w:t>
      </w:r>
      <w:r w:rsidRPr="00732E93">
        <w:rPr>
          <w:rFonts w:ascii="Times New Roman" w:hAnsi="Times New Roman" w:cs="Times New Roman"/>
        </w:rPr>
        <w:t xml:space="preserve"> nekretnin</w:t>
      </w:r>
      <w:r w:rsidR="00FA734B">
        <w:rPr>
          <w:rFonts w:ascii="Times New Roman" w:hAnsi="Times New Roman" w:cs="Times New Roman"/>
        </w:rPr>
        <w:t>a</w:t>
      </w:r>
      <w:r w:rsidRPr="00732E93">
        <w:rPr>
          <w:rFonts w:ascii="Times New Roman" w:hAnsi="Times New Roman" w:cs="Times New Roman"/>
        </w:rPr>
        <w:t xml:space="preserve"> u iznosu od </w:t>
      </w:r>
      <w:r w:rsidR="00FA734B">
        <w:rPr>
          <w:rFonts w:ascii="Times New Roman" w:hAnsi="Times New Roman" w:cs="Times New Roman"/>
        </w:rPr>
        <w:t>122.558,78</w:t>
      </w:r>
      <w:r w:rsidRPr="00732E93">
        <w:rPr>
          <w:rFonts w:ascii="Times New Roman" w:hAnsi="Times New Roman" w:cs="Times New Roman"/>
        </w:rPr>
        <w:t xml:space="preserve"> eura, a isti bilježe </w:t>
      </w:r>
      <w:r w:rsidR="00FA734B">
        <w:rPr>
          <w:rFonts w:ascii="Times New Roman" w:hAnsi="Times New Roman" w:cs="Times New Roman"/>
        </w:rPr>
        <w:t>povećanje</w:t>
      </w:r>
      <w:r w:rsidRPr="00732E93">
        <w:rPr>
          <w:rFonts w:ascii="Times New Roman" w:hAnsi="Times New Roman" w:cs="Times New Roman"/>
        </w:rPr>
        <w:t xml:space="preserve"> u odnosu na prošlu godinu u iznosu od 1</w:t>
      </w:r>
      <w:r w:rsidR="00FA734B">
        <w:rPr>
          <w:rFonts w:ascii="Times New Roman" w:hAnsi="Times New Roman" w:cs="Times New Roman"/>
        </w:rPr>
        <w:t>5,77</w:t>
      </w:r>
      <w:r w:rsidRPr="00732E93">
        <w:rPr>
          <w:rFonts w:ascii="Times New Roman" w:hAnsi="Times New Roman" w:cs="Times New Roman"/>
        </w:rPr>
        <w:t xml:space="preserve">%. </w:t>
      </w:r>
    </w:p>
    <w:p w14:paraId="6727405D" w14:textId="2CC9B013" w:rsidR="005C7D71" w:rsidRPr="00732E93" w:rsidRDefault="005C7D71" w:rsidP="005C7D71">
      <w:pPr>
        <w:spacing w:line="240" w:lineRule="auto"/>
        <w:jc w:val="both"/>
        <w:rPr>
          <w:rFonts w:ascii="Times New Roman" w:hAnsi="Times New Roman" w:cs="Times New Roman"/>
        </w:rPr>
      </w:pPr>
      <w:r w:rsidRPr="00732E93">
        <w:rPr>
          <w:rFonts w:ascii="Times New Roman" w:hAnsi="Times New Roman" w:cs="Times New Roman"/>
          <w:i/>
          <w:iCs/>
        </w:rPr>
        <w:t>Porezi na robu i usluge (614 - porez na potrošnju i porez na tvrtku)</w:t>
      </w:r>
      <w:r w:rsidRPr="00732E93">
        <w:rPr>
          <w:rFonts w:ascii="Times New Roman" w:hAnsi="Times New Roman" w:cs="Times New Roman"/>
        </w:rPr>
        <w:t xml:space="preserve">  iznose </w:t>
      </w:r>
      <w:r w:rsidR="00FA734B">
        <w:rPr>
          <w:rFonts w:ascii="Times New Roman" w:hAnsi="Times New Roman" w:cs="Times New Roman"/>
        </w:rPr>
        <w:t>13.913,30</w:t>
      </w:r>
      <w:r w:rsidRPr="00732E93">
        <w:rPr>
          <w:rFonts w:ascii="Times New Roman" w:hAnsi="Times New Roman" w:cs="Times New Roman"/>
        </w:rPr>
        <w:t xml:space="preserve"> eura i bilježe pad u odnosu na prošlu godinu u iznosu od </w:t>
      </w:r>
      <w:r w:rsidR="00FA734B">
        <w:rPr>
          <w:rFonts w:ascii="Times New Roman" w:hAnsi="Times New Roman" w:cs="Times New Roman"/>
        </w:rPr>
        <w:t>37,11</w:t>
      </w:r>
      <w:r w:rsidRPr="00732E93">
        <w:rPr>
          <w:rFonts w:ascii="Times New Roman" w:hAnsi="Times New Roman" w:cs="Times New Roman"/>
        </w:rPr>
        <w:t>%. Uzrok smanjenja prihoda je smanjenje stope poreza na potrošnju temeljem Odluke o gradskim porezima Grada Garešnice („Službeni glasnik Grada Garešnice“ broj 11/23.)</w:t>
      </w:r>
    </w:p>
    <w:p w14:paraId="67DD1696" w14:textId="2FBD4CF2" w:rsidR="005C7D71" w:rsidRPr="00732E93" w:rsidRDefault="005C7D71" w:rsidP="005C7D71">
      <w:pPr>
        <w:spacing w:after="0" w:line="240" w:lineRule="auto"/>
        <w:jc w:val="both"/>
        <w:rPr>
          <w:rFonts w:ascii="Times New Roman" w:hAnsi="Times New Roman" w:cs="Times New Roman"/>
        </w:rPr>
      </w:pPr>
      <w:r w:rsidRPr="00732E93">
        <w:rPr>
          <w:rFonts w:ascii="Times New Roman" w:hAnsi="Times New Roman" w:cs="Times New Roman"/>
          <w:i/>
          <w:iCs/>
          <w:u w:val="single"/>
        </w:rPr>
        <w:t>Pomoći iz inozemstva i od subjekata unutar općeg proračuna (63)</w:t>
      </w:r>
      <w:r w:rsidRPr="00732E93">
        <w:rPr>
          <w:rFonts w:ascii="Times New Roman" w:hAnsi="Times New Roman" w:cs="Times New Roman"/>
        </w:rPr>
        <w:t xml:space="preserve"> iznose </w:t>
      </w:r>
      <w:r w:rsidR="00FA734B">
        <w:rPr>
          <w:rFonts w:ascii="Times New Roman" w:hAnsi="Times New Roman" w:cs="Times New Roman"/>
        </w:rPr>
        <w:t>7.244.905,09</w:t>
      </w:r>
      <w:r w:rsidRPr="00732E93">
        <w:rPr>
          <w:rFonts w:ascii="Times New Roman" w:hAnsi="Times New Roman" w:cs="Times New Roman"/>
        </w:rPr>
        <w:t xml:space="preserve"> eura i povećane su u odnosu na isto razdoblje prošle godinu za </w:t>
      </w:r>
      <w:r w:rsidR="00FA734B">
        <w:rPr>
          <w:rFonts w:ascii="Times New Roman" w:hAnsi="Times New Roman" w:cs="Times New Roman"/>
        </w:rPr>
        <w:t>24,15</w:t>
      </w:r>
      <w:r w:rsidRPr="00732E93">
        <w:rPr>
          <w:rFonts w:ascii="Times New Roman" w:hAnsi="Times New Roman" w:cs="Times New Roman"/>
        </w:rPr>
        <w:t xml:space="preserve">% i iznose </w:t>
      </w:r>
      <w:r w:rsidR="00FA734B">
        <w:rPr>
          <w:rFonts w:ascii="Times New Roman" w:hAnsi="Times New Roman" w:cs="Times New Roman"/>
        </w:rPr>
        <w:t>89,54</w:t>
      </w:r>
      <w:r w:rsidRPr="00732E93">
        <w:rPr>
          <w:rFonts w:ascii="Times New Roman" w:hAnsi="Times New Roman" w:cs="Times New Roman"/>
        </w:rPr>
        <w:t xml:space="preserve">% izvršenja tekućeg proračuna. Prihodi od pomoći  sastoje se od prihoda Grada Garešnice u iznosu od </w:t>
      </w:r>
      <w:r w:rsidR="00FA734B">
        <w:rPr>
          <w:rFonts w:ascii="Times New Roman" w:hAnsi="Times New Roman" w:cs="Times New Roman"/>
        </w:rPr>
        <w:t>3.829.042,35</w:t>
      </w:r>
      <w:r w:rsidRPr="00732E93">
        <w:rPr>
          <w:rFonts w:ascii="Times New Roman" w:hAnsi="Times New Roman" w:cs="Times New Roman"/>
        </w:rPr>
        <w:t xml:space="preserve"> eura i proračunskih korisnika u iznosu od </w:t>
      </w:r>
      <w:r w:rsidR="002F2D1A">
        <w:rPr>
          <w:rFonts w:ascii="Times New Roman" w:hAnsi="Times New Roman" w:cs="Times New Roman"/>
        </w:rPr>
        <w:t>3.415.862,74</w:t>
      </w:r>
      <w:r w:rsidRPr="00732E93">
        <w:rPr>
          <w:rFonts w:ascii="Times New Roman" w:hAnsi="Times New Roman" w:cs="Times New Roman"/>
        </w:rPr>
        <w:t xml:space="preserve"> eura i to:</w:t>
      </w:r>
    </w:p>
    <w:p w14:paraId="27B85A6D" w14:textId="5729CF28" w:rsidR="005C7D71" w:rsidRPr="00732E93" w:rsidRDefault="005C7D71" w:rsidP="003734CB">
      <w:pPr>
        <w:pStyle w:val="Odlomakpopisa"/>
        <w:numPr>
          <w:ilvl w:val="0"/>
          <w:numId w:val="6"/>
        </w:numPr>
        <w:jc w:val="both"/>
        <w:rPr>
          <w:sz w:val="22"/>
          <w:szCs w:val="22"/>
          <w:lang w:eastAsia="en-US"/>
        </w:rPr>
      </w:pPr>
      <w:r w:rsidRPr="00732E93">
        <w:rPr>
          <w:sz w:val="22"/>
          <w:szCs w:val="22"/>
          <w:lang w:eastAsia="en-US"/>
        </w:rPr>
        <w:t xml:space="preserve">Javna vatrogasna postrojba u iznosu od </w:t>
      </w:r>
      <w:r w:rsidR="002F2D1A">
        <w:rPr>
          <w:sz w:val="22"/>
          <w:szCs w:val="22"/>
          <w:lang w:eastAsia="en-US"/>
        </w:rPr>
        <w:t>13.082,88</w:t>
      </w:r>
      <w:r w:rsidRPr="00732E93">
        <w:rPr>
          <w:sz w:val="22"/>
          <w:szCs w:val="22"/>
          <w:lang w:eastAsia="en-US"/>
        </w:rPr>
        <w:t xml:space="preserve"> eura,</w:t>
      </w:r>
    </w:p>
    <w:p w14:paraId="6671CA95" w14:textId="0B3E1EE3" w:rsidR="005C7D71" w:rsidRPr="00732E93" w:rsidRDefault="005C7D71" w:rsidP="003734CB">
      <w:pPr>
        <w:pStyle w:val="Odlomakpopisa"/>
        <w:numPr>
          <w:ilvl w:val="0"/>
          <w:numId w:val="6"/>
        </w:numPr>
        <w:spacing w:after="120"/>
        <w:jc w:val="both"/>
        <w:rPr>
          <w:sz w:val="22"/>
          <w:szCs w:val="22"/>
          <w:lang w:eastAsia="en-US"/>
        </w:rPr>
      </w:pPr>
      <w:r w:rsidRPr="00732E93">
        <w:rPr>
          <w:sz w:val="22"/>
          <w:szCs w:val="22"/>
          <w:lang w:eastAsia="en-US"/>
        </w:rPr>
        <w:t xml:space="preserve">Dječji vrtić Maslačak u iznosu od </w:t>
      </w:r>
      <w:r w:rsidR="002F2D1A">
        <w:rPr>
          <w:sz w:val="22"/>
          <w:szCs w:val="22"/>
          <w:lang w:eastAsia="en-US"/>
        </w:rPr>
        <w:t>264.460,06</w:t>
      </w:r>
      <w:r w:rsidRPr="00732E93">
        <w:rPr>
          <w:sz w:val="22"/>
          <w:szCs w:val="22"/>
          <w:lang w:eastAsia="en-US"/>
        </w:rPr>
        <w:t xml:space="preserve"> eura,</w:t>
      </w:r>
    </w:p>
    <w:p w14:paraId="36759ECE" w14:textId="438A3F0A" w:rsidR="005C7D71" w:rsidRPr="00732E93" w:rsidRDefault="005C7D71" w:rsidP="003734CB">
      <w:pPr>
        <w:pStyle w:val="Odlomakpopisa"/>
        <w:numPr>
          <w:ilvl w:val="0"/>
          <w:numId w:val="6"/>
        </w:numPr>
        <w:spacing w:after="120"/>
        <w:jc w:val="both"/>
        <w:rPr>
          <w:sz w:val="22"/>
          <w:szCs w:val="22"/>
          <w:lang w:eastAsia="en-US"/>
        </w:rPr>
      </w:pPr>
      <w:r w:rsidRPr="00732E93">
        <w:rPr>
          <w:sz w:val="22"/>
          <w:szCs w:val="22"/>
          <w:lang w:eastAsia="en-US"/>
        </w:rPr>
        <w:t xml:space="preserve">Hrvatska knjižnica i čitaonica u iznosu od </w:t>
      </w:r>
      <w:r w:rsidR="002F2D1A">
        <w:rPr>
          <w:sz w:val="22"/>
          <w:szCs w:val="22"/>
          <w:lang w:eastAsia="en-US"/>
        </w:rPr>
        <w:t>49.928,30</w:t>
      </w:r>
      <w:r w:rsidRPr="00732E93">
        <w:rPr>
          <w:sz w:val="22"/>
          <w:szCs w:val="22"/>
          <w:lang w:eastAsia="en-US"/>
        </w:rPr>
        <w:t xml:space="preserve"> eura,</w:t>
      </w:r>
    </w:p>
    <w:p w14:paraId="595A1528" w14:textId="11B70AA9" w:rsidR="005C7D71" w:rsidRPr="00732E93" w:rsidRDefault="005C7D71" w:rsidP="003734CB">
      <w:pPr>
        <w:pStyle w:val="Odlomakpopisa"/>
        <w:numPr>
          <w:ilvl w:val="0"/>
          <w:numId w:val="6"/>
        </w:numPr>
        <w:spacing w:after="120"/>
        <w:jc w:val="both"/>
        <w:rPr>
          <w:sz w:val="22"/>
          <w:szCs w:val="22"/>
          <w:lang w:eastAsia="en-US"/>
        </w:rPr>
      </w:pPr>
      <w:r w:rsidRPr="00732E93">
        <w:rPr>
          <w:sz w:val="22"/>
          <w:szCs w:val="22"/>
          <w:lang w:eastAsia="en-US"/>
        </w:rPr>
        <w:t xml:space="preserve">Osnovna škola Garešnica u iznosu od </w:t>
      </w:r>
      <w:r w:rsidR="002F2D1A">
        <w:rPr>
          <w:sz w:val="22"/>
          <w:szCs w:val="22"/>
          <w:lang w:eastAsia="en-US"/>
        </w:rPr>
        <w:t>2.500.590,53</w:t>
      </w:r>
      <w:r w:rsidRPr="00732E93">
        <w:rPr>
          <w:sz w:val="22"/>
          <w:szCs w:val="22"/>
          <w:lang w:eastAsia="en-US"/>
        </w:rPr>
        <w:t xml:space="preserve"> eura,</w:t>
      </w:r>
    </w:p>
    <w:p w14:paraId="6FEA94F1" w14:textId="65FE04DB" w:rsidR="005C7D71" w:rsidRPr="00732E93" w:rsidRDefault="005C7D71" w:rsidP="003734CB">
      <w:pPr>
        <w:pStyle w:val="Odlomakpopisa"/>
        <w:numPr>
          <w:ilvl w:val="0"/>
          <w:numId w:val="6"/>
        </w:numPr>
        <w:spacing w:after="120"/>
        <w:jc w:val="both"/>
        <w:rPr>
          <w:sz w:val="22"/>
          <w:szCs w:val="22"/>
          <w:lang w:eastAsia="en-US"/>
        </w:rPr>
      </w:pPr>
      <w:r w:rsidRPr="00732E93">
        <w:rPr>
          <w:sz w:val="22"/>
          <w:szCs w:val="22"/>
          <w:lang w:eastAsia="en-US"/>
        </w:rPr>
        <w:t xml:space="preserve">Osnovna škola </w:t>
      </w:r>
      <w:proofErr w:type="spellStart"/>
      <w:r w:rsidRPr="00732E93">
        <w:rPr>
          <w:sz w:val="22"/>
          <w:szCs w:val="22"/>
          <w:lang w:eastAsia="en-US"/>
        </w:rPr>
        <w:t>Trnovitički</w:t>
      </w:r>
      <w:proofErr w:type="spellEnd"/>
      <w:r w:rsidRPr="00732E93">
        <w:rPr>
          <w:sz w:val="22"/>
          <w:szCs w:val="22"/>
          <w:lang w:eastAsia="en-US"/>
        </w:rPr>
        <w:t xml:space="preserve"> Popovac u iznosu od </w:t>
      </w:r>
      <w:r w:rsidR="002F2D1A">
        <w:rPr>
          <w:sz w:val="22"/>
          <w:szCs w:val="22"/>
          <w:lang w:eastAsia="en-US"/>
        </w:rPr>
        <w:t>587.800,97</w:t>
      </w:r>
      <w:r w:rsidRPr="00732E93">
        <w:rPr>
          <w:sz w:val="22"/>
          <w:szCs w:val="22"/>
          <w:lang w:eastAsia="en-US"/>
        </w:rPr>
        <w:t xml:space="preserve"> eura.</w:t>
      </w:r>
    </w:p>
    <w:p w14:paraId="1560D398" w14:textId="1195B669" w:rsidR="005C7D71" w:rsidRPr="00732E93" w:rsidRDefault="005C7D71" w:rsidP="005C7D71">
      <w:pPr>
        <w:spacing w:after="0" w:line="240" w:lineRule="auto"/>
        <w:jc w:val="both"/>
        <w:rPr>
          <w:rFonts w:ascii="Times New Roman" w:hAnsi="Times New Roman" w:cs="Times New Roman"/>
        </w:rPr>
      </w:pPr>
      <w:r w:rsidRPr="00732E93">
        <w:rPr>
          <w:rFonts w:ascii="Times New Roman" w:hAnsi="Times New Roman" w:cs="Times New Roman"/>
          <w:i/>
          <w:iCs/>
        </w:rPr>
        <w:t xml:space="preserve">Pomoći iz  proračuna ( 633) </w:t>
      </w:r>
      <w:r w:rsidRPr="00732E93">
        <w:rPr>
          <w:rFonts w:ascii="Times New Roman" w:hAnsi="Times New Roman" w:cs="Times New Roman"/>
        </w:rPr>
        <w:t xml:space="preserve">iznose </w:t>
      </w:r>
      <w:r w:rsidR="002F2D1A">
        <w:rPr>
          <w:rFonts w:ascii="Times New Roman" w:hAnsi="Times New Roman" w:cs="Times New Roman"/>
        </w:rPr>
        <w:t>2.484.439,70</w:t>
      </w:r>
      <w:r w:rsidRPr="00732E93">
        <w:rPr>
          <w:rFonts w:ascii="Times New Roman" w:hAnsi="Times New Roman" w:cs="Times New Roman"/>
        </w:rPr>
        <w:t xml:space="preserve"> eura, a sastoje se od tekućih i kapitalnih pomoći:</w:t>
      </w:r>
    </w:p>
    <w:p w14:paraId="3EA23361" w14:textId="3F1255D7" w:rsidR="005C7D71" w:rsidRPr="00732E93" w:rsidRDefault="005C7D71" w:rsidP="005C7D71">
      <w:pPr>
        <w:widowControl w:val="0"/>
        <w:autoSpaceDN w:val="0"/>
        <w:adjustRightInd w:val="0"/>
        <w:spacing w:line="240" w:lineRule="auto"/>
        <w:contextualSpacing/>
        <w:jc w:val="both"/>
        <w:rPr>
          <w:rFonts w:ascii="Times New Roman" w:hAnsi="Times New Roman" w:cs="Times New Roman"/>
        </w:rPr>
      </w:pPr>
      <w:r w:rsidRPr="00732E93">
        <w:rPr>
          <w:rFonts w:ascii="Times New Roman" w:hAnsi="Times New Roman" w:cs="Times New Roman"/>
        </w:rPr>
        <w:t xml:space="preserve">- sredstva fiskalnog izravnavanja iz razdjela 25. Ministarstva financija u iznosu od </w:t>
      </w:r>
      <w:r w:rsidR="002F2D1A">
        <w:rPr>
          <w:rFonts w:ascii="Times New Roman" w:hAnsi="Times New Roman" w:cs="Times New Roman"/>
        </w:rPr>
        <w:t>1.620.430,04</w:t>
      </w:r>
      <w:r w:rsidRPr="00732E93">
        <w:rPr>
          <w:rFonts w:ascii="Times New Roman" w:hAnsi="Times New Roman" w:cs="Times New Roman"/>
        </w:rPr>
        <w:t xml:space="preserve"> €,</w:t>
      </w:r>
    </w:p>
    <w:p w14:paraId="6F99DCD0" w14:textId="3D3CD776" w:rsidR="005C7D71" w:rsidRPr="00732E93" w:rsidRDefault="005C7D71" w:rsidP="005C7D71">
      <w:pPr>
        <w:widowControl w:val="0"/>
        <w:autoSpaceDN w:val="0"/>
        <w:adjustRightInd w:val="0"/>
        <w:spacing w:line="240" w:lineRule="auto"/>
        <w:contextualSpacing/>
        <w:jc w:val="both"/>
        <w:rPr>
          <w:rFonts w:ascii="Times New Roman" w:hAnsi="Times New Roman" w:cs="Times New Roman"/>
        </w:rPr>
      </w:pPr>
      <w:r w:rsidRPr="00732E93">
        <w:rPr>
          <w:rFonts w:ascii="Times New Roman" w:hAnsi="Times New Roman" w:cs="Times New Roman"/>
        </w:rPr>
        <w:t xml:space="preserve">- tekućih pomoći iz državnog proračuna – „fiskalna održivost dječjih vrtića“ – u iznosu od </w:t>
      </w:r>
      <w:r w:rsidR="002F2D1A">
        <w:rPr>
          <w:rFonts w:ascii="Times New Roman" w:hAnsi="Times New Roman" w:cs="Times New Roman"/>
        </w:rPr>
        <w:t>459.933,00</w:t>
      </w:r>
      <w:r w:rsidRPr="00732E93">
        <w:rPr>
          <w:rFonts w:ascii="Times New Roman" w:hAnsi="Times New Roman" w:cs="Times New Roman"/>
        </w:rPr>
        <w:t xml:space="preserve"> €. Sredstva su namjenski određena za sufinanciranje troškova proračunskog korisnika Dječjeg vrtića Maslačak.</w:t>
      </w:r>
    </w:p>
    <w:p w14:paraId="7CB909D3" w14:textId="42B9BD69" w:rsidR="005C7D71" w:rsidRDefault="005C7D71" w:rsidP="005C7D71">
      <w:pPr>
        <w:widowControl w:val="0"/>
        <w:autoSpaceDN w:val="0"/>
        <w:adjustRightInd w:val="0"/>
        <w:spacing w:line="240" w:lineRule="auto"/>
        <w:contextualSpacing/>
        <w:jc w:val="both"/>
        <w:rPr>
          <w:rFonts w:ascii="Times New Roman" w:hAnsi="Times New Roman" w:cs="Times New Roman"/>
        </w:rPr>
      </w:pPr>
      <w:r w:rsidRPr="00732E93">
        <w:rPr>
          <w:rFonts w:ascii="Times New Roman" w:hAnsi="Times New Roman" w:cs="Times New Roman"/>
        </w:rPr>
        <w:t xml:space="preserve">- tekućih pomoći iz državnog proračuna - Ministarstva rada, mirovinskog sustava, obitelji i socijalne politike za projekt „Nikad nije kasno – faza IV“ u iznosu od </w:t>
      </w:r>
      <w:r w:rsidR="002F2D1A">
        <w:rPr>
          <w:rFonts w:ascii="Times New Roman" w:hAnsi="Times New Roman" w:cs="Times New Roman"/>
        </w:rPr>
        <w:t>73.988,58</w:t>
      </w:r>
      <w:r w:rsidRPr="00732E93">
        <w:rPr>
          <w:rFonts w:ascii="Times New Roman" w:hAnsi="Times New Roman" w:cs="Times New Roman"/>
        </w:rPr>
        <w:t xml:space="preserve"> eura,</w:t>
      </w:r>
    </w:p>
    <w:p w14:paraId="3BDD0687" w14:textId="5E1E5E60" w:rsidR="002F2D1A" w:rsidRDefault="002F2D1A" w:rsidP="005C7D71">
      <w:pPr>
        <w:widowControl w:val="0"/>
        <w:autoSpaceDN w:val="0"/>
        <w:adjustRightInd w:val="0"/>
        <w:spacing w:line="240" w:lineRule="auto"/>
        <w:contextualSpacing/>
        <w:jc w:val="both"/>
        <w:rPr>
          <w:rFonts w:ascii="Times New Roman" w:hAnsi="Times New Roman" w:cs="Times New Roman"/>
        </w:rPr>
      </w:pPr>
      <w:r>
        <w:rPr>
          <w:rFonts w:ascii="Times New Roman" w:hAnsi="Times New Roman" w:cs="Times New Roman"/>
        </w:rPr>
        <w:t>- tekućih pomoći iz državnog proračuna – Ministarstva znanosti, obrazovanja i mladih za projekt „Pomoćnici u nastavi – faza VI“ u iznosu od 1.020,00 eura,</w:t>
      </w:r>
    </w:p>
    <w:p w14:paraId="151E2AE4" w14:textId="451CA4FD" w:rsidR="007B311C" w:rsidRDefault="007B311C" w:rsidP="005C7D71">
      <w:pPr>
        <w:widowControl w:val="0"/>
        <w:autoSpaceDN w:val="0"/>
        <w:adjustRightInd w:val="0"/>
        <w:spacing w:line="240" w:lineRule="auto"/>
        <w:contextualSpacing/>
        <w:jc w:val="both"/>
        <w:rPr>
          <w:rFonts w:ascii="Times New Roman" w:hAnsi="Times New Roman" w:cs="Times New Roman"/>
        </w:rPr>
      </w:pPr>
      <w:r>
        <w:rPr>
          <w:rFonts w:ascii="Times New Roman" w:hAnsi="Times New Roman" w:cs="Times New Roman"/>
        </w:rPr>
        <w:t>- tekućih pomoći od Agencije za plaćanje u poljoprivredi za projekt „Školska shema“ u iznosu od 91,75 eura i za projekt „Medni dan“ u iznosu od 324,00 eura,</w:t>
      </w:r>
    </w:p>
    <w:p w14:paraId="4B3405E0" w14:textId="1D9437CB" w:rsidR="007B311C" w:rsidRPr="00732E93" w:rsidRDefault="007B311C" w:rsidP="005C7D71">
      <w:pPr>
        <w:widowControl w:val="0"/>
        <w:autoSpaceDN w:val="0"/>
        <w:adjustRightInd w:val="0"/>
        <w:spacing w:line="240" w:lineRule="auto"/>
        <w:contextualSpacing/>
        <w:jc w:val="both"/>
        <w:rPr>
          <w:rFonts w:ascii="Times New Roman" w:hAnsi="Times New Roman" w:cs="Times New Roman"/>
        </w:rPr>
      </w:pPr>
      <w:r>
        <w:rPr>
          <w:rFonts w:ascii="Times New Roman" w:hAnsi="Times New Roman" w:cs="Times New Roman"/>
        </w:rPr>
        <w:t>- tekućih pomoći od Ministarstva demografije i useljeništva za projekt „Provedba edukativnih i sportskih aktivnosti za djecu“ u iznosu od 30.000,00 eura,</w:t>
      </w:r>
    </w:p>
    <w:p w14:paraId="61BAE401" w14:textId="77777777" w:rsidR="005C7D71" w:rsidRPr="00732E93" w:rsidRDefault="005C7D71" w:rsidP="005C7D71">
      <w:pPr>
        <w:widowControl w:val="0"/>
        <w:autoSpaceDN w:val="0"/>
        <w:adjustRightInd w:val="0"/>
        <w:spacing w:line="240" w:lineRule="auto"/>
        <w:contextualSpacing/>
        <w:jc w:val="both"/>
        <w:rPr>
          <w:rFonts w:ascii="Times New Roman" w:hAnsi="Times New Roman" w:cs="Times New Roman"/>
        </w:rPr>
      </w:pPr>
      <w:r w:rsidRPr="00732E93">
        <w:rPr>
          <w:rFonts w:ascii="Times New Roman" w:hAnsi="Times New Roman" w:cs="Times New Roman"/>
        </w:rPr>
        <w:t>- tekućih pomoći iz državnog proračuna za održavanje Izbora za zastupnike u Hrvatski sabor i Izbora članova u Europski parlament u iznosu od 48.847,62 eura</w:t>
      </w:r>
    </w:p>
    <w:p w14:paraId="7F632D83" w14:textId="026FC6E3" w:rsidR="007B311C" w:rsidRDefault="005C7D71" w:rsidP="005C7D71">
      <w:pPr>
        <w:widowControl w:val="0"/>
        <w:autoSpaceDN w:val="0"/>
        <w:adjustRightInd w:val="0"/>
        <w:spacing w:after="0" w:line="240" w:lineRule="auto"/>
        <w:contextualSpacing/>
        <w:jc w:val="both"/>
        <w:rPr>
          <w:rFonts w:ascii="Times New Roman" w:hAnsi="Times New Roman" w:cs="Times New Roman"/>
        </w:rPr>
      </w:pPr>
      <w:r w:rsidRPr="00732E93">
        <w:rPr>
          <w:rFonts w:ascii="Times New Roman" w:hAnsi="Times New Roman" w:cs="Times New Roman"/>
        </w:rPr>
        <w:t xml:space="preserve">- tekućih pomoći iz općinskih proračuna </w:t>
      </w:r>
      <w:r w:rsidR="007B311C">
        <w:rPr>
          <w:rFonts w:ascii="Times New Roman" w:hAnsi="Times New Roman" w:cs="Times New Roman"/>
        </w:rPr>
        <w:t xml:space="preserve">u ukupnom iznosu od 39.156,98 eura </w:t>
      </w:r>
      <w:r w:rsidRPr="00732E93">
        <w:rPr>
          <w:rFonts w:ascii="Times New Roman" w:hAnsi="Times New Roman" w:cs="Times New Roman"/>
        </w:rPr>
        <w:t>za</w:t>
      </w:r>
      <w:r w:rsidR="007B311C">
        <w:rPr>
          <w:rFonts w:ascii="Times New Roman" w:hAnsi="Times New Roman" w:cs="Times New Roman"/>
        </w:rPr>
        <w:t>:</w:t>
      </w:r>
    </w:p>
    <w:p w14:paraId="59C9DA0C" w14:textId="550CC766" w:rsidR="005C7D71" w:rsidRDefault="005C7D71" w:rsidP="005C7D71">
      <w:pPr>
        <w:widowControl w:val="0"/>
        <w:autoSpaceDN w:val="0"/>
        <w:adjustRightInd w:val="0"/>
        <w:spacing w:after="0" w:line="240" w:lineRule="auto"/>
        <w:contextualSpacing/>
        <w:jc w:val="both"/>
        <w:rPr>
          <w:rFonts w:ascii="Times New Roman" w:hAnsi="Times New Roman" w:cs="Times New Roman"/>
        </w:rPr>
      </w:pPr>
      <w:r w:rsidRPr="00732E93">
        <w:rPr>
          <w:rFonts w:ascii="Times New Roman" w:hAnsi="Times New Roman" w:cs="Times New Roman"/>
        </w:rPr>
        <w:t xml:space="preserve"> decentralizirane funkcije  –  vatrogastvo u iznosu od </w:t>
      </w:r>
      <w:r w:rsidR="007B311C">
        <w:rPr>
          <w:rFonts w:ascii="Times New Roman" w:hAnsi="Times New Roman" w:cs="Times New Roman"/>
        </w:rPr>
        <w:t>38.655,41</w:t>
      </w:r>
      <w:r w:rsidRPr="00732E93">
        <w:rPr>
          <w:rFonts w:ascii="Times New Roman" w:hAnsi="Times New Roman" w:cs="Times New Roman"/>
        </w:rPr>
        <w:t xml:space="preserve"> €</w:t>
      </w:r>
      <w:r w:rsidR="007B311C">
        <w:rPr>
          <w:rFonts w:ascii="Times New Roman" w:hAnsi="Times New Roman" w:cs="Times New Roman"/>
        </w:rPr>
        <w:t xml:space="preserve"> i tekuće pomoći za sufinanciranje održavanja objekata u iznosu od 501,57 eura</w:t>
      </w:r>
      <w:r w:rsidR="001340A6">
        <w:rPr>
          <w:rFonts w:ascii="Times New Roman" w:hAnsi="Times New Roman" w:cs="Times New Roman"/>
        </w:rPr>
        <w:t>,</w:t>
      </w:r>
    </w:p>
    <w:p w14:paraId="40CF5988" w14:textId="4F0AEE2C" w:rsidR="001340A6" w:rsidRDefault="001340A6" w:rsidP="001340A6">
      <w:pPr>
        <w:widowControl w:val="0"/>
        <w:autoSpaceDN w:val="0"/>
        <w:adjustRightInd w:val="0"/>
        <w:spacing w:after="0"/>
        <w:jc w:val="both"/>
        <w:rPr>
          <w:rFonts w:ascii="Times New Roman" w:hAnsi="Times New Roman" w:cs="Times New Roman"/>
        </w:rPr>
      </w:pPr>
      <w:r w:rsidRPr="001340A6">
        <w:rPr>
          <w:rFonts w:ascii="Times New Roman" w:hAnsi="Times New Roman" w:cs="Times New Roman"/>
        </w:rPr>
        <w:t>- kapitalnih</w:t>
      </w:r>
      <w:r>
        <w:rPr>
          <w:rFonts w:ascii="Times New Roman" w:hAnsi="Times New Roman" w:cs="Times New Roman"/>
        </w:rPr>
        <w:t xml:space="preserve"> pomoći od Ministarstva regionalnog razvoja i fondova EU za projekt „Obnova dječjeg vrtića Maslačak na adresi Petra Svačića“ u iznosu od 69.717,36 eura i projekt „Uređenje prostora Osnovne škole Garešnica“ u iznosu od 40.230,37 eura</w:t>
      </w:r>
    </w:p>
    <w:p w14:paraId="2FBED67A" w14:textId="53438489" w:rsidR="005C7D71" w:rsidRDefault="001340A6" w:rsidP="001340A6">
      <w:pPr>
        <w:widowControl w:val="0"/>
        <w:autoSpaceDN w:val="0"/>
        <w:adjustRightInd w:val="0"/>
        <w:spacing w:after="0"/>
        <w:jc w:val="both"/>
        <w:rPr>
          <w:rFonts w:ascii="Times New Roman" w:hAnsi="Times New Roman" w:cs="Times New Roman"/>
        </w:rPr>
      </w:pPr>
      <w:r>
        <w:rPr>
          <w:rFonts w:ascii="Times New Roman" w:hAnsi="Times New Roman" w:cs="Times New Roman"/>
        </w:rPr>
        <w:t xml:space="preserve">- kapitalnih pomoći od Ministarstva prostornog uređenja, graditeljstva i državne imovine za projekt „Rekonstrukcija ceste u naselju </w:t>
      </w:r>
      <w:proofErr w:type="spellStart"/>
      <w:r>
        <w:rPr>
          <w:rFonts w:ascii="Times New Roman" w:hAnsi="Times New Roman" w:cs="Times New Roman"/>
        </w:rPr>
        <w:t>Zdenčac</w:t>
      </w:r>
      <w:proofErr w:type="spellEnd"/>
      <w:r>
        <w:rPr>
          <w:rFonts w:ascii="Times New Roman" w:hAnsi="Times New Roman" w:cs="Times New Roman"/>
        </w:rPr>
        <w:t>“ u iznosu od 40.700,00 eura i za projekt „Opremanje i uređenje dječjih igrališta“ u iznosu od 60.000,00 eura.</w:t>
      </w:r>
    </w:p>
    <w:p w14:paraId="232BE4CA" w14:textId="77777777" w:rsidR="001340A6" w:rsidRPr="001340A6" w:rsidRDefault="001340A6" w:rsidP="001340A6">
      <w:pPr>
        <w:widowControl w:val="0"/>
        <w:autoSpaceDN w:val="0"/>
        <w:adjustRightInd w:val="0"/>
        <w:spacing w:after="0"/>
        <w:jc w:val="both"/>
        <w:rPr>
          <w:rFonts w:ascii="Times New Roman" w:hAnsi="Times New Roman" w:cs="Times New Roman"/>
        </w:rPr>
      </w:pPr>
    </w:p>
    <w:p w14:paraId="4736D12C" w14:textId="2A59AFA4" w:rsidR="005C7D71" w:rsidRPr="00732E93" w:rsidRDefault="005C7D71" w:rsidP="005C7D71">
      <w:pPr>
        <w:spacing w:after="0" w:line="240" w:lineRule="auto"/>
        <w:jc w:val="both"/>
        <w:rPr>
          <w:rFonts w:ascii="Times New Roman" w:hAnsi="Times New Roman" w:cs="Times New Roman"/>
          <w:i/>
          <w:iCs/>
        </w:rPr>
      </w:pPr>
      <w:r w:rsidRPr="00732E93">
        <w:rPr>
          <w:rFonts w:ascii="Times New Roman" w:hAnsi="Times New Roman" w:cs="Times New Roman"/>
          <w:i/>
          <w:iCs/>
        </w:rPr>
        <w:t xml:space="preserve">Pomoći od izvanproračunskih korisnika (634) </w:t>
      </w:r>
      <w:r w:rsidRPr="00732E93">
        <w:rPr>
          <w:rFonts w:ascii="Times New Roman" w:hAnsi="Times New Roman" w:cs="Times New Roman"/>
        </w:rPr>
        <w:t xml:space="preserve">iznose </w:t>
      </w:r>
      <w:r w:rsidR="001340A6">
        <w:rPr>
          <w:rFonts w:ascii="Times New Roman" w:hAnsi="Times New Roman" w:cs="Times New Roman"/>
        </w:rPr>
        <w:t>350.463,85</w:t>
      </w:r>
      <w:r w:rsidRPr="00732E93">
        <w:rPr>
          <w:rFonts w:ascii="Times New Roman" w:hAnsi="Times New Roman" w:cs="Times New Roman"/>
        </w:rPr>
        <w:t xml:space="preserve"> eura, a sastoje se od tekućih i kapitalnih pomoći i to:</w:t>
      </w:r>
    </w:p>
    <w:p w14:paraId="1D03706F" w14:textId="67737BB2" w:rsidR="005C7D71" w:rsidRDefault="005C7D71" w:rsidP="005C7D71">
      <w:pPr>
        <w:widowControl w:val="0"/>
        <w:autoSpaceDN w:val="0"/>
        <w:adjustRightInd w:val="0"/>
        <w:spacing w:line="240" w:lineRule="auto"/>
        <w:contextualSpacing/>
        <w:jc w:val="both"/>
        <w:rPr>
          <w:rFonts w:ascii="Times New Roman" w:hAnsi="Times New Roman" w:cs="Times New Roman"/>
        </w:rPr>
      </w:pPr>
      <w:r w:rsidRPr="00732E93">
        <w:rPr>
          <w:rFonts w:ascii="Times New Roman" w:hAnsi="Times New Roman" w:cs="Times New Roman"/>
        </w:rPr>
        <w:t xml:space="preserve">- tekućih pomoći  od Hrvatskog zavoda za zapošljavanje za projekt „Javni radovi“ u iznosu od </w:t>
      </w:r>
      <w:r w:rsidR="00AB5B93">
        <w:rPr>
          <w:rFonts w:ascii="Times New Roman" w:hAnsi="Times New Roman" w:cs="Times New Roman"/>
        </w:rPr>
        <w:t>6.160,11</w:t>
      </w:r>
      <w:r w:rsidRPr="00732E93">
        <w:rPr>
          <w:rFonts w:ascii="Times New Roman" w:hAnsi="Times New Roman" w:cs="Times New Roman"/>
        </w:rPr>
        <w:t xml:space="preserve"> eura,</w:t>
      </w:r>
    </w:p>
    <w:p w14:paraId="1B275602" w14:textId="18FC726B" w:rsidR="00AB5B93" w:rsidRPr="00732E93" w:rsidRDefault="00AB5B93" w:rsidP="005C7D71">
      <w:pPr>
        <w:widowControl w:val="0"/>
        <w:autoSpaceDN w:val="0"/>
        <w:adjustRightInd w:val="0"/>
        <w:spacing w:line="240" w:lineRule="auto"/>
        <w:contextualSpacing/>
        <w:jc w:val="both"/>
        <w:rPr>
          <w:rFonts w:ascii="Times New Roman" w:hAnsi="Times New Roman" w:cs="Times New Roman"/>
        </w:rPr>
      </w:pPr>
      <w:r>
        <w:rPr>
          <w:rFonts w:ascii="Times New Roman" w:hAnsi="Times New Roman" w:cs="Times New Roman"/>
        </w:rPr>
        <w:t>- tekućih pomoći od Hrvatski voda za projekt „Sanacija klizišta“ u iznosu od 63.451,24 eura,</w:t>
      </w:r>
    </w:p>
    <w:p w14:paraId="27FD17EF" w14:textId="5A0BDF55" w:rsidR="005C7D71" w:rsidRPr="00732E93" w:rsidRDefault="005C7D71" w:rsidP="005C7D71">
      <w:pPr>
        <w:spacing w:after="0" w:line="240" w:lineRule="auto"/>
        <w:jc w:val="both"/>
        <w:rPr>
          <w:rFonts w:ascii="Times New Roman" w:hAnsi="Times New Roman" w:cs="Times New Roman"/>
        </w:rPr>
      </w:pPr>
      <w:r w:rsidRPr="00732E93">
        <w:rPr>
          <w:rFonts w:ascii="Times New Roman" w:hAnsi="Times New Roman" w:cs="Times New Roman"/>
        </w:rPr>
        <w:t xml:space="preserve">- kapitalnih pomoći od Fonda za zaštitu okoliša i energetsku učinkovitost za projekt „Sanacija odlagališta komunalnog otpada </w:t>
      </w:r>
      <w:proofErr w:type="spellStart"/>
      <w:r w:rsidRPr="00732E93">
        <w:rPr>
          <w:rFonts w:ascii="Times New Roman" w:hAnsi="Times New Roman" w:cs="Times New Roman"/>
        </w:rPr>
        <w:t>Johovača</w:t>
      </w:r>
      <w:proofErr w:type="spellEnd"/>
      <w:r w:rsidRPr="00732E93">
        <w:rPr>
          <w:rFonts w:ascii="Times New Roman" w:hAnsi="Times New Roman" w:cs="Times New Roman"/>
        </w:rPr>
        <w:t>“ u iznosu od 277.402,50 eura</w:t>
      </w:r>
      <w:r w:rsidR="00AB5B93">
        <w:rPr>
          <w:rFonts w:ascii="Times New Roman" w:hAnsi="Times New Roman" w:cs="Times New Roman"/>
        </w:rPr>
        <w:t xml:space="preserve"> i tekućih pomoći za projekt „SECAP“ u iznosu od 3.450,00 eura.</w:t>
      </w:r>
    </w:p>
    <w:p w14:paraId="338BFBD9" w14:textId="77777777" w:rsidR="005C7D71" w:rsidRPr="00732E93" w:rsidRDefault="005C7D71" w:rsidP="005C7D71">
      <w:pPr>
        <w:spacing w:after="0" w:line="240" w:lineRule="auto"/>
        <w:jc w:val="both"/>
        <w:rPr>
          <w:rFonts w:ascii="Times New Roman" w:hAnsi="Times New Roman" w:cs="Times New Roman"/>
          <w:i/>
          <w:iCs/>
        </w:rPr>
      </w:pPr>
    </w:p>
    <w:p w14:paraId="1C498D60" w14:textId="3BA457C5" w:rsidR="005C7D71" w:rsidRPr="00732E93" w:rsidRDefault="005C7D71" w:rsidP="005C7D71">
      <w:pPr>
        <w:spacing w:after="0" w:line="240" w:lineRule="auto"/>
        <w:jc w:val="both"/>
        <w:rPr>
          <w:rFonts w:ascii="Times New Roman" w:hAnsi="Times New Roman" w:cs="Times New Roman"/>
        </w:rPr>
      </w:pPr>
      <w:r w:rsidRPr="00732E93">
        <w:rPr>
          <w:rFonts w:ascii="Times New Roman" w:hAnsi="Times New Roman" w:cs="Times New Roman"/>
          <w:i/>
          <w:iCs/>
        </w:rPr>
        <w:t xml:space="preserve">Tekuće pomoći izravnanja za decentralizirane funkcije (635) </w:t>
      </w:r>
      <w:r w:rsidRPr="00732E93">
        <w:rPr>
          <w:rFonts w:ascii="Times New Roman" w:hAnsi="Times New Roman" w:cs="Times New Roman"/>
        </w:rPr>
        <w:t xml:space="preserve">iznose </w:t>
      </w:r>
      <w:r w:rsidR="00AB5B93">
        <w:rPr>
          <w:rFonts w:ascii="Times New Roman" w:hAnsi="Times New Roman" w:cs="Times New Roman"/>
        </w:rPr>
        <w:t>568.527,82</w:t>
      </w:r>
      <w:r w:rsidRPr="00732E93">
        <w:rPr>
          <w:rFonts w:ascii="Times New Roman" w:hAnsi="Times New Roman" w:cs="Times New Roman"/>
        </w:rPr>
        <w:t xml:space="preserve"> eura i sastoje se od pomoći za školstvo u iznosu od </w:t>
      </w:r>
      <w:r w:rsidR="00AB5B93">
        <w:rPr>
          <w:rFonts w:ascii="Times New Roman" w:hAnsi="Times New Roman" w:cs="Times New Roman"/>
        </w:rPr>
        <w:t>318.222,11</w:t>
      </w:r>
      <w:r w:rsidRPr="00732E93">
        <w:rPr>
          <w:rFonts w:ascii="Times New Roman" w:hAnsi="Times New Roman" w:cs="Times New Roman"/>
        </w:rPr>
        <w:t xml:space="preserve"> eura i vatrogastvo u iznosu od </w:t>
      </w:r>
      <w:r w:rsidR="00AB5B93">
        <w:rPr>
          <w:rFonts w:ascii="Times New Roman" w:hAnsi="Times New Roman" w:cs="Times New Roman"/>
        </w:rPr>
        <w:t>250.305,71</w:t>
      </w:r>
      <w:r w:rsidRPr="00732E93">
        <w:rPr>
          <w:rFonts w:ascii="Times New Roman" w:hAnsi="Times New Roman" w:cs="Times New Roman"/>
        </w:rPr>
        <w:t xml:space="preserve"> eura.</w:t>
      </w:r>
    </w:p>
    <w:p w14:paraId="4CC151AC" w14:textId="77777777" w:rsidR="005C7D71" w:rsidRPr="00732E93" w:rsidRDefault="005C7D71" w:rsidP="005C7D71">
      <w:pPr>
        <w:spacing w:after="0" w:line="240" w:lineRule="auto"/>
        <w:jc w:val="both"/>
        <w:rPr>
          <w:rFonts w:ascii="Times New Roman" w:hAnsi="Times New Roman" w:cs="Times New Roman"/>
        </w:rPr>
      </w:pPr>
    </w:p>
    <w:p w14:paraId="2F671D5C" w14:textId="2B6655ED" w:rsidR="005C7D71" w:rsidRPr="00732E93" w:rsidRDefault="005C7D71" w:rsidP="005C7D71">
      <w:pPr>
        <w:spacing w:after="0" w:line="240" w:lineRule="auto"/>
        <w:jc w:val="both"/>
        <w:rPr>
          <w:rFonts w:ascii="Times New Roman" w:hAnsi="Times New Roman" w:cs="Times New Roman"/>
        </w:rPr>
      </w:pPr>
      <w:r w:rsidRPr="00732E93">
        <w:rPr>
          <w:rFonts w:ascii="Times New Roman" w:hAnsi="Times New Roman" w:cs="Times New Roman"/>
          <w:i/>
          <w:iCs/>
        </w:rPr>
        <w:t>Pomoći proračunskim korisnicima iz proračuna koji im nije nadležan</w:t>
      </w:r>
      <w:r w:rsidRPr="00732E93">
        <w:rPr>
          <w:rFonts w:ascii="Times New Roman" w:hAnsi="Times New Roman" w:cs="Times New Roman"/>
        </w:rPr>
        <w:t xml:space="preserve"> (636) iznose </w:t>
      </w:r>
      <w:r w:rsidR="00AB5B93">
        <w:rPr>
          <w:rFonts w:ascii="Times New Roman" w:hAnsi="Times New Roman" w:cs="Times New Roman"/>
        </w:rPr>
        <w:t>3.415.862,74</w:t>
      </w:r>
      <w:r w:rsidRPr="00732E93">
        <w:rPr>
          <w:rFonts w:ascii="Times New Roman" w:hAnsi="Times New Roman" w:cs="Times New Roman"/>
        </w:rPr>
        <w:t xml:space="preserve"> eura i bilježe povećanje  od </w:t>
      </w:r>
      <w:r w:rsidR="00AB5B93">
        <w:rPr>
          <w:rFonts w:ascii="Times New Roman" w:hAnsi="Times New Roman" w:cs="Times New Roman"/>
        </w:rPr>
        <w:t>21,64</w:t>
      </w:r>
      <w:r w:rsidRPr="00732E93">
        <w:rPr>
          <w:rFonts w:ascii="Times New Roman" w:hAnsi="Times New Roman" w:cs="Times New Roman"/>
        </w:rPr>
        <w:t>%. Povećanje istih prihoda od Ministarstva znanosti i obrazovanja uzrokovano je povećanjem troškova za plaće zaposlenih u osnovnim školama.</w:t>
      </w:r>
    </w:p>
    <w:p w14:paraId="21DE1F27" w14:textId="77777777" w:rsidR="005C7D71" w:rsidRDefault="005C7D71" w:rsidP="005C7D71">
      <w:pPr>
        <w:spacing w:after="0" w:line="240" w:lineRule="auto"/>
        <w:jc w:val="both"/>
        <w:rPr>
          <w:rFonts w:ascii="Times New Roman" w:hAnsi="Times New Roman" w:cs="Times New Roman"/>
        </w:rPr>
      </w:pPr>
      <w:r w:rsidRPr="00732E93">
        <w:rPr>
          <w:rFonts w:ascii="Times New Roman" w:hAnsi="Times New Roman" w:cs="Times New Roman"/>
        </w:rPr>
        <w:t xml:space="preserve">Iste pomoći sastoje se od pomoći iz </w:t>
      </w:r>
      <w:r w:rsidRPr="00732E93">
        <w:rPr>
          <w:rFonts w:ascii="Times New Roman" w:hAnsi="Times New Roman" w:cs="Times New Roman"/>
          <w:lang w:eastAsia="hr-HR"/>
        </w:rPr>
        <w:t xml:space="preserve"> </w:t>
      </w:r>
      <w:r w:rsidRPr="00732E93">
        <w:rPr>
          <w:rFonts w:ascii="Times New Roman" w:hAnsi="Times New Roman" w:cs="Times New Roman"/>
        </w:rPr>
        <w:t>državnog, županijskog i općinskog proračuna po korisnicima:</w:t>
      </w:r>
    </w:p>
    <w:p w14:paraId="1C9869B3" w14:textId="77777777" w:rsidR="00AB5B93" w:rsidRPr="00732E93" w:rsidRDefault="00AB5B93" w:rsidP="003734CB">
      <w:pPr>
        <w:pStyle w:val="Odlomakpopisa"/>
        <w:numPr>
          <w:ilvl w:val="0"/>
          <w:numId w:val="6"/>
        </w:numPr>
        <w:jc w:val="both"/>
        <w:rPr>
          <w:sz w:val="22"/>
          <w:szCs w:val="22"/>
          <w:lang w:eastAsia="en-US"/>
        </w:rPr>
      </w:pPr>
      <w:r w:rsidRPr="00732E93">
        <w:rPr>
          <w:sz w:val="22"/>
          <w:szCs w:val="22"/>
          <w:lang w:eastAsia="en-US"/>
        </w:rPr>
        <w:t xml:space="preserve">Javna vatrogasna postrojba u iznosu od </w:t>
      </w:r>
      <w:r>
        <w:rPr>
          <w:sz w:val="22"/>
          <w:szCs w:val="22"/>
          <w:lang w:eastAsia="en-US"/>
        </w:rPr>
        <w:t>13.082,88</w:t>
      </w:r>
      <w:r w:rsidRPr="00732E93">
        <w:rPr>
          <w:sz w:val="22"/>
          <w:szCs w:val="22"/>
          <w:lang w:eastAsia="en-US"/>
        </w:rPr>
        <w:t xml:space="preserve"> eura,</w:t>
      </w:r>
    </w:p>
    <w:p w14:paraId="1E1BB40C" w14:textId="77777777" w:rsidR="00AB5B93" w:rsidRPr="00732E93" w:rsidRDefault="00AB5B93" w:rsidP="003734CB">
      <w:pPr>
        <w:pStyle w:val="Odlomakpopisa"/>
        <w:numPr>
          <w:ilvl w:val="0"/>
          <w:numId w:val="6"/>
        </w:numPr>
        <w:spacing w:after="120"/>
        <w:jc w:val="both"/>
        <w:rPr>
          <w:sz w:val="22"/>
          <w:szCs w:val="22"/>
          <w:lang w:eastAsia="en-US"/>
        </w:rPr>
      </w:pPr>
      <w:r w:rsidRPr="00732E93">
        <w:rPr>
          <w:sz w:val="22"/>
          <w:szCs w:val="22"/>
          <w:lang w:eastAsia="en-US"/>
        </w:rPr>
        <w:t xml:space="preserve">Dječji vrtić Maslačak u iznosu od </w:t>
      </w:r>
      <w:r>
        <w:rPr>
          <w:sz w:val="22"/>
          <w:szCs w:val="22"/>
          <w:lang w:eastAsia="en-US"/>
        </w:rPr>
        <w:t>264.460,06</w:t>
      </w:r>
      <w:r w:rsidRPr="00732E93">
        <w:rPr>
          <w:sz w:val="22"/>
          <w:szCs w:val="22"/>
          <w:lang w:eastAsia="en-US"/>
        </w:rPr>
        <w:t xml:space="preserve"> eura,</w:t>
      </w:r>
    </w:p>
    <w:p w14:paraId="27D6F6CB" w14:textId="77777777" w:rsidR="00AB5B93" w:rsidRPr="00732E93" w:rsidRDefault="00AB5B93" w:rsidP="003734CB">
      <w:pPr>
        <w:pStyle w:val="Odlomakpopisa"/>
        <w:numPr>
          <w:ilvl w:val="0"/>
          <w:numId w:val="6"/>
        </w:numPr>
        <w:spacing w:after="120"/>
        <w:jc w:val="both"/>
        <w:rPr>
          <w:sz w:val="22"/>
          <w:szCs w:val="22"/>
          <w:lang w:eastAsia="en-US"/>
        </w:rPr>
      </w:pPr>
      <w:r w:rsidRPr="00732E93">
        <w:rPr>
          <w:sz w:val="22"/>
          <w:szCs w:val="22"/>
          <w:lang w:eastAsia="en-US"/>
        </w:rPr>
        <w:t xml:space="preserve">Hrvatska knjižnica i čitaonica u iznosu od </w:t>
      </w:r>
      <w:r>
        <w:rPr>
          <w:sz w:val="22"/>
          <w:szCs w:val="22"/>
          <w:lang w:eastAsia="en-US"/>
        </w:rPr>
        <w:t>49.928,30</w:t>
      </w:r>
      <w:r w:rsidRPr="00732E93">
        <w:rPr>
          <w:sz w:val="22"/>
          <w:szCs w:val="22"/>
          <w:lang w:eastAsia="en-US"/>
        </w:rPr>
        <w:t xml:space="preserve"> eura,</w:t>
      </w:r>
    </w:p>
    <w:p w14:paraId="7CC699B1" w14:textId="77777777" w:rsidR="00AB5B93" w:rsidRPr="00732E93" w:rsidRDefault="00AB5B93" w:rsidP="003734CB">
      <w:pPr>
        <w:pStyle w:val="Odlomakpopisa"/>
        <w:numPr>
          <w:ilvl w:val="0"/>
          <w:numId w:val="6"/>
        </w:numPr>
        <w:spacing w:after="120"/>
        <w:jc w:val="both"/>
        <w:rPr>
          <w:sz w:val="22"/>
          <w:szCs w:val="22"/>
          <w:lang w:eastAsia="en-US"/>
        </w:rPr>
      </w:pPr>
      <w:r w:rsidRPr="00732E93">
        <w:rPr>
          <w:sz w:val="22"/>
          <w:szCs w:val="22"/>
          <w:lang w:eastAsia="en-US"/>
        </w:rPr>
        <w:t xml:space="preserve">Osnovna škola Garešnica u iznosu od </w:t>
      </w:r>
      <w:r>
        <w:rPr>
          <w:sz w:val="22"/>
          <w:szCs w:val="22"/>
          <w:lang w:eastAsia="en-US"/>
        </w:rPr>
        <w:t>2.500.590,53</w:t>
      </w:r>
      <w:r w:rsidRPr="00732E93">
        <w:rPr>
          <w:sz w:val="22"/>
          <w:szCs w:val="22"/>
          <w:lang w:eastAsia="en-US"/>
        </w:rPr>
        <w:t xml:space="preserve"> eura,</w:t>
      </w:r>
    </w:p>
    <w:p w14:paraId="6A03143C" w14:textId="77777777" w:rsidR="00AB5B93" w:rsidRPr="00732E93" w:rsidRDefault="00AB5B93" w:rsidP="003734CB">
      <w:pPr>
        <w:pStyle w:val="Odlomakpopisa"/>
        <w:numPr>
          <w:ilvl w:val="0"/>
          <w:numId w:val="6"/>
        </w:numPr>
        <w:spacing w:after="120"/>
        <w:jc w:val="both"/>
        <w:rPr>
          <w:sz w:val="22"/>
          <w:szCs w:val="22"/>
          <w:lang w:eastAsia="en-US"/>
        </w:rPr>
      </w:pPr>
      <w:r w:rsidRPr="00732E93">
        <w:rPr>
          <w:sz w:val="22"/>
          <w:szCs w:val="22"/>
          <w:lang w:eastAsia="en-US"/>
        </w:rPr>
        <w:t xml:space="preserve">Osnovna škola </w:t>
      </w:r>
      <w:proofErr w:type="spellStart"/>
      <w:r w:rsidRPr="00732E93">
        <w:rPr>
          <w:sz w:val="22"/>
          <w:szCs w:val="22"/>
          <w:lang w:eastAsia="en-US"/>
        </w:rPr>
        <w:t>Trnovitički</w:t>
      </w:r>
      <w:proofErr w:type="spellEnd"/>
      <w:r w:rsidRPr="00732E93">
        <w:rPr>
          <w:sz w:val="22"/>
          <w:szCs w:val="22"/>
          <w:lang w:eastAsia="en-US"/>
        </w:rPr>
        <w:t xml:space="preserve"> Popovac u iznosu od </w:t>
      </w:r>
      <w:r>
        <w:rPr>
          <w:sz w:val="22"/>
          <w:szCs w:val="22"/>
          <w:lang w:eastAsia="en-US"/>
        </w:rPr>
        <w:t>587.800,97</w:t>
      </w:r>
      <w:r w:rsidRPr="00732E93">
        <w:rPr>
          <w:sz w:val="22"/>
          <w:szCs w:val="22"/>
          <w:lang w:eastAsia="en-US"/>
        </w:rPr>
        <w:t xml:space="preserve"> eura.</w:t>
      </w:r>
    </w:p>
    <w:p w14:paraId="5621144C" w14:textId="77777777" w:rsidR="00AB5B93" w:rsidRDefault="00AB5B93" w:rsidP="005C7D71">
      <w:pPr>
        <w:spacing w:after="0" w:line="240" w:lineRule="auto"/>
        <w:jc w:val="both"/>
        <w:rPr>
          <w:rFonts w:ascii="Times New Roman" w:hAnsi="Times New Roman" w:cs="Times New Roman"/>
        </w:rPr>
      </w:pPr>
    </w:p>
    <w:p w14:paraId="3E1B6FC2" w14:textId="77777777" w:rsidR="005C7D71" w:rsidRPr="00732E93" w:rsidRDefault="005C7D71" w:rsidP="005C7D71">
      <w:pPr>
        <w:spacing w:after="0" w:line="240" w:lineRule="auto"/>
        <w:jc w:val="both"/>
        <w:rPr>
          <w:rFonts w:ascii="Times New Roman" w:hAnsi="Times New Roman" w:cs="Times New Roman"/>
        </w:rPr>
      </w:pPr>
    </w:p>
    <w:p w14:paraId="3D9B4682" w14:textId="042C02C8" w:rsidR="005C7D71" w:rsidRPr="00732E93" w:rsidRDefault="005C7D71" w:rsidP="005C7D71">
      <w:pPr>
        <w:widowControl w:val="0"/>
        <w:autoSpaceDN w:val="0"/>
        <w:adjustRightInd w:val="0"/>
        <w:spacing w:line="240" w:lineRule="auto"/>
        <w:contextualSpacing/>
        <w:jc w:val="both"/>
        <w:rPr>
          <w:rFonts w:ascii="Times New Roman" w:hAnsi="Times New Roman" w:cs="Times New Roman"/>
        </w:rPr>
      </w:pPr>
      <w:r w:rsidRPr="00732E93">
        <w:rPr>
          <w:rFonts w:ascii="Times New Roman" w:hAnsi="Times New Roman" w:cs="Times New Roman"/>
          <w:i/>
          <w:iCs/>
        </w:rPr>
        <w:t>Pomoći iz državnog proračuna temeljem prijenosa EU sredstava (638)</w:t>
      </w:r>
      <w:r w:rsidRPr="00732E93">
        <w:rPr>
          <w:rFonts w:ascii="Times New Roman" w:hAnsi="Times New Roman" w:cs="Times New Roman"/>
        </w:rPr>
        <w:t xml:space="preserve"> ostvarene su u ukupnom iznosu od </w:t>
      </w:r>
      <w:r w:rsidR="00AB5B93">
        <w:rPr>
          <w:rFonts w:ascii="Times New Roman" w:hAnsi="Times New Roman" w:cs="Times New Roman"/>
        </w:rPr>
        <w:t>425.610,98</w:t>
      </w:r>
      <w:r w:rsidRPr="00732E93">
        <w:rPr>
          <w:rFonts w:ascii="Times New Roman" w:hAnsi="Times New Roman" w:cs="Times New Roman"/>
        </w:rPr>
        <w:t xml:space="preserve"> € i to od: Ministarstva rada, mirovinskog sustava, obitelji i socijalne politike za projekt „Nikad nije kasno – faza IV“ u iznosu od </w:t>
      </w:r>
      <w:r w:rsidR="009D1A91">
        <w:rPr>
          <w:rFonts w:ascii="Times New Roman" w:hAnsi="Times New Roman" w:cs="Times New Roman"/>
        </w:rPr>
        <w:t>419.268,60</w:t>
      </w:r>
      <w:r w:rsidRPr="00732E93">
        <w:rPr>
          <w:rFonts w:ascii="Times New Roman" w:hAnsi="Times New Roman" w:cs="Times New Roman"/>
        </w:rPr>
        <w:t xml:space="preserve"> €, Agencije za plaćanje u poljoprivredi za projekt osnovnih škola „Školska shema“ u iznosu od </w:t>
      </w:r>
      <w:r w:rsidR="009D1A91">
        <w:rPr>
          <w:rFonts w:ascii="Times New Roman" w:hAnsi="Times New Roman" w:cs="Times New Roman"/>
        </w:rPr>
        <w:t>562,38</w:t>
      </w:r>
      <w:r w:rsidRPr="00732E93">
        <w:rPr>
          <w:rFonts w:ascii="Times New Roman" w:hAnsi="Times New Roman" w:cs="Times New Roman"/>
        </w:rPr>
        <w:t xml:space="preserve"> €</w:t>
      </w:r>
      <w:r w:rsidR="009D1A91">
        <w:rPr>
          <w:rFonts w:ascii="Times New Roman" w:hAnsi="Times New Roman" w:cs="Times New Roman"/>
        </w:rPr>
        <w:t xml:space="preserve"> i Ministarstva znanosti, obrazovanja i mladih za projekt „Pomoćnici u nastavi – faza VI“ u iznosu od 5.780,00 eura.</w:t>
      </w:r>
    </w:p>
    <w:p w14:paraId="08ECCBB0" w14:textId="77777777" w:rsidR="005C7D71" w:rsidRPr="00732E93" w:rsidRDefault="005C7D71" w:rsidP="005C7D71">
      <w:pPr>
        <w:spacing w:after="0" w:line="240" w:lineRule="auto"/>
        <w:jc w:val="both"/>
        <w:rPr>
          <w:rFonts w:ascii="Times New Roman" w:hAnsi="Times New Roman" w:cs="Times New Roman"/>
          <w:i/>
          <w:iCs/>
          <w:u w:val="single"/>
        </w:rPr>
      </w:pPr>
    </w:p>
    <w:p w14:paraId="7F4EC5F9" w14:textId="4D9FA66D" w:rsidR="005C7D71" w:rsidRPr="00732E93" w:rsidRDefault="005C7D71" w:rsidP="005C7D71">
      <w:pPr>
        <w:spacing w:after="0" w:line="240" w:lineRule="auto"/>
        <w:jc w:val="both"/>
        <w:rPr>
          <w:rFonts w:ascii="Times New Roman" w:hAnsi="Times New Roman" w:cs="Times New Roman"/>
        </w:rPr>
      </w:pPr>
      <w:r w:rsidRPr="00732E93">
        <w:rPr>
          <w:rFonts w:ascii="Times New Roman" w:hAnsi="Times New Roman" w:cs="Times New Roman"/>
          <w:i/>
          <w:iCs/>
          <w:u w:val="single"/>
        </w:rPr>
        <w:t>Prihodi od imovine (64</w:t>
      </w:r>
      <w:r w:rsidRPr="00732E93">
        <w:rPr>
          <w:rFonts w:ascii="Times New Roman" w:hAnsi="Times New Roman" w:cs="Times New Roman"/>
          <w:i/>
          <w:iCs/>
        </w:rPr>
        <w:t>)</w:t>
      </w:r>
      <w:r w:rsidRPr="00732E93">
        <w:rPr>
          <w:rFonts w:ascii="Times New Roman" w:hAnsi="Times New Roman" w:cs="Times New Roman"/>
        </w:rPr>
        <w:t xml:space="preserve"> iznose </w:t>
      </w:r>
      <w:r w:rsidR="009D1A91">
        <w:rPr>
          <w:rFonts w:ascii="Times New Roman" w:hAnsi="Times New Roman" w:cs="Times New Roman"/>
        </w:rPr>
        <w:t>246.006,40</w:t>
      </w:r>
      <w:r w:rsidRPr="00732E93">
        <w:rPr>
          <w:rFonts w:ascii="Times New Roman" w:hAnsi="Times New Roman" w:cs="Times New Roman"/>
        </w:rPr>
        <w:t xml:space="preserve"> eura i bilježe smanjenje od </w:t>
      </w:r>
      <w:r w:rsidR="009D1A91">
        <w:rPr>
          <w:rFonts w:ascii="Times New Roman" w:hAnsi="Times New Roman" w:cs="Times New Roman"/>
        </w:rPr>
        <w:t>8,14</w:t>
      </w:r>
      <w:r w:rsidRPr="00732E93">
        <w:rPr>
          <w:rFonts w:ascii="Times New Roman" w:hAnsi="Times New Roman" w:cs="Times New Roman"/>
        </w:rPr>
        <w:t xml:space="preserve">%. Iste sačinjavaju: </w:t>
      </w:r>
      <w:r w:rsidRPr="00732E93">
        <w:rPr>
          <w:rFonts w:ascii="Times New Roman" w:hAnsi="Times New Roman" w:cs="Times New Roman"/>
          <w:i/>
          <w:iCs/>
        </w:rPr>
        <w:t>prihodi od financijske imovine (641</w:t>
      </w:r>
      <w:r w:rsidRPr="00732E93">
        <w:rPr>
          <w:rFonts w:ascii="Times New Roman" w:hAnsi="Times New Roman" w:cs="Times New Roman"/>
        </w:rPr>
        <w:t xml:space="preserve">) u iznosu od </w:t>
      </w:r>
      <w:r w:rsidR="009D1A91">
        <w:rPr>
          <w:rFonts w:ascii="Times New Roman" w:hAnsi="Times New Roman" w:cs="Times New Roman"/>
        </w:rPr>
        <w:t>9.265,64</w:t>
      </w:r>
      <w:r w:rsidRPr="00732E93">
        <w:rPr>
          <w:rFonts w:ascii="Times New Roman" w:hAnsi="Times New Roman" w:cs="Times New Roman"/>
        </w:rPr>
        <w:t xml:space="preserve"> € ( zatezne kamate i depoziti po vođenju) i  </w:t>
      </w:r>
      <w:r w:rsidRPr="00732E93">
        <w:rPr>
          <w:rFonts w:ascii="Times New Roman" w:hAnsi="Times New Roman" w:cs="Times New Roman"/>
          <w:i/>
          <w:iCs/>
        </w:rPr>
        <w:t>prihodi od  nefinancijske imovine (642)</w:t>
      </w:r>
      <w:r w:rsidRPr="00732E93">
        <w:rPr>
          <w:rFonts w:ascii="Times New Roman" w:hAnsi="Times New Roman" w:cs="Times New Roman"/>
        </w:rPr>
        <w:t xml:space="preserve"> u iznosu od </w:t>
      </w:r>
      <w:r w:rsidR="009D1A91">
        <w:rPr>
          <w:rFonts w:ascii="Times New Roman" w:hAnsi="Times New Roman" w:cs="Times New Roman"/>
        </w:rPr>
        <w:t>236.740,76</w:t>
      </w:r>
      <w:r w:rsidRPr="00732E93">
        <w:rPr>
          <w:rFonts w:ascii="Times New Roman" w:hAnsi="Times New Roman" w:cs="Times New Roman"/>
        </w:rPr>
        <w:t xml:space="preserve"> eura koje čine prihodi od: </w:t>
      </w:r>
      <w:r w:rsidR="00D267DA">
        <w:rPr>
          <w:rFonts w:ascii="Times New Roman" w:hAnsi="Times New Roman" w:cs="Times New Roman"/>
        </w:rPr>
        <w:t xml:space="preserve">naknada za koncesije u iznosu od </w:t>
      </w:r>
      <w:r w:rsidR="00D267DA" w:rsidRPr="00D267DA">
        <w:rPr>
          <w:rFonts w:ascii="Times New Roman" w:hAnsi="Times New Roman" w:cs="Times New Roman"/>
        </w:rPr>
        <w:t>8.683,40</w:t>
      </w:r>
      <w:r w:rsidR="00D267DA">
        <w:rPr>
          <w:rFonts w:ascii="Times New Roman" w:hAnsi="Times New Roman" w:cs="Times New Roman"/>
        </w:rPr>
        <w:t xml:space="preserve"> €, </w:t>
      </w:r>
      <w:r w:rsidRPr="00732E93">
        <w:rPr>
          <w:rFonts w:ascii="Times New Roman" w:hAnsi="Times New Roman" w:cs="Times New Roman"/>
        </w:rPr>
        <w:t xml:space="preserve">zakupa javnih površina </w:t>
      </w:r>
      <w:r w:rsidR="00D267DA" w:rsidRPr="00D267DA">
        <w:rPr>
          <w:rFonts w:ascii="Times New Roman" w:hAnsi="Times New Roman" w:cs="Times New Roman"/>
        </w:rPr>
        <w:t>10.164,00</w:t>
      </w:r>
      <w:r w:rsidRPr="00732E93">
        <w:rPr>
          <w:rFonts w:ascii="Times New Roman" w:hAnsi="Times New Roman" w:cs="Times New Roman"/>
        </w:rPr>
        <w:t xml:space="preserve"> €, zakupa poljoprivrednog zemljišta u </w:t>
      </w:r>
      <w:proofErr w:type="spellStart"/>
      <w:r w:rsidRPr="00732E93">
        <w:rPr>
          <w:rFonts w:ascii="Times New Roman" w:hAnsi="Times New Roman" w:cs="Times New Roman"/>
        </w:rPr>
        <w:t>vl</w:t>
      </w:r>
      <w:proofErr w:type="spellEnd"/>
      <w:r w:rsidRPr="00732E93">
        <w:rPr>
          <w:rFonts w:ascii="Times New Roman" w:hAnsi="Times New Roman" w:cs="Times New Roman"/>
        </w:rPr>
        <w:t xml:space="preserve">. RH u iznosu od </w:t>
      </w:r>
      <w:r w:rsidR="00D267DA" w:rsidRPr="00D267DA">
        <w:rPr>
          <w:rFonts w:ascii="Times New Roman" w:hAnsi="Times New Roman" w:cs="Times New Roman"/>
        </w:rPr>
        <w:t>135.261,94</w:t>
      </w:r>
      <w:r w:rsidRPr="00732E93">
        <w:rPr>
          <w:rFonts w:ascii="Times New Roman" w:hAnsi="Times New Roman" w:cs="Times New Roman"/>
        </w:rPr>
        <w:t xml:space="preserve"> €, zakupa stambenih prostora </w:t>
      </w:r>
      <w:r w:rsidR="00D267DA" w:rsidRPr="00D267DA">
        <w:rPr>
          <w:rFonts w:ascii="Times New Roman" w:hAnsi="Times New Roman" w:cs="Times New Roman"/>
        </w:rPr>
        <w:t>1.479,24</w:t>
      </w:r>
      <w:r w:rsidR="00D267DA">
        <w:rPr>
          <w:rFonts w:ascii="Times New Roman" w:hAnsi="Times New Roman" w:cs="Times New Roman"/>
        </w:rPr>
        <w:t xml:space="preserve"> </w:t>
      </w:r>
      <w:r w:rsidRPr="00732E93">
        <w:rPr>
          <w:rFonts w:ascii="Times New Roman" w:hAnsi="Times New Roman" w:cs="Times New Roman"/>
        </w:rPr>
        <w:t xml:space="preserve">€,  zakupa poslovnih prostora u iznosu od </w:t>
      </w:r>
      <w:r w:rsidR="00D267DA" w:rsidRPr="00D267DA">
        <w:rPr>
          <w:rFonts w:ascii="Times New Roman" w:hAnsi="Times New Roman" w:cs="Times New Roman"/>
        </w:rPr>
        <w:t>51.608,44</w:t>
      </w:r>
      <w:r w:rsidR="00D267DA">
        <w:rPr>
          <w:rFonts w:ascii="Times New Roman" w:hAnsi="Times New Roman" w:cs="Times New Roman"/>
        </w:rPr>
        <w:t xml:space="preserve"> </w:t>
      </w:r>
      <w:r w:rsidRPr="00732E93">
        <w:rPr>
          <w:rFonts w:ascii="Times New Roman" w:hAnsi="Times New Roman" w:cs="Times New Roman"/>
        </w:rPr>
        <w:t xml:space="preserve">€, spomeničke rente u iznosu od </w:t>
      </w:r>
      <w:r w:rsidR="00D267DA" w:rsidRPr="00D267DA">
        <w:rPr>
          <w:rFonts w:ascii="Times New Roman" w:hAnsi="Times New Roman" w:cs="Times New Roman"/>
        </w:rPr>
        <w:t>52,94</w:t>
      </w:r>
      <w:r w:rsidR="00D267DA">
        <w:rPr>
          <w:rFonts w:ascii="Times New Roman" w:hAnsi="Times New Roman" w:cs="Times New Roman"/>
        </w:rPr>
        <w:t xml:space="preserve"> </w:t>
      </w:r>
      <w:r w:rsidRPr="00732E93">
        <w:rPr>
          <w:rFonts w:ascii="Times New Roman" w:hAnsi="Times New Roman" w:cs="Times New Roman"/>
        </w:rPr>
        <w:t xml:space="preserve">€, naknade za zadržavanje nezakonito izgrađenih zgrada u iznosu od </w:t>
      </w:r>
      <w:r w:rsidR="00D267DA" w:rsidRPr="00D267DA">
        <w:rPr>
          <w:rFonts w:ascii="Times New Roman" w:hAnsi="Times New Roman" w:cs="Times New Roman"/>
        </w:rPr>
        <w:t>1.527,44</w:t>
      </w:r>
      <w:r w:rsidRPr="00732E93">
        <w:rPr>
          <w:rFonts w:ascii="Times New Roman" w:hAnsi="Times New Roman" w:cs="Times New Roman"/>
        </w:rPr>
        <w:t xml:space="preserve"> €, naknadu za korištenje prava puta u iznosu od </w:t>
      </w:r>
      <w:r w:rsidR="00D267DA" w:rsidRPr="00D267DA">
        <w:rPr>
          <w:rFonts w:ascii="Times New Roman" w:hAnsi="Times New Roman" w:cs="Times New Roman"/>
        </w:rPr>
        <w:t>26.038,88</w:t>
      </w:r>
      <w:r w:rsidRPr="00732E93">
        <w:rPr>
          <w:rFonts w:ascii="Times New Roman" w:hAnsi="Times New Roman" w:cs="Times New Roman"/>
        </w:rPr>
        <w:t xml:space="preserve"> € i naknada za pravo građenja u iznosu do 1.924,48 €.</w:t>
      </w:r>
      <w:r w:rsidR="00D267DA" w:rsidRPr="00D267DA">
        <w:t xml:space="preserve"> </w:t>
      </w:r>
    </w:p>
    <w:p w14:paraId="0C0DD3A7" w14:textId="77777777" w:rsidR="005C7D71" w:rsidRPr="00732E93" w:rsidRDefault="005C7D71" w:rsidP="005C7D71">
      <w:pPr>
        <w:spacing w:after="0" w:line="240" w:lineRule="auto"/>
        <w:jc w:val="both"/>
        <w:rPr>
          <w:rFonts w:ascii="Times New Roman" w:hAnsi="Times New Roman" w:cs="Times New Roman"/>
          <w:color w:val="FF0000"/>
          <w:sz w:val="16"/>
          <w:szCs w:val="16"/>
        </w:rPr>
      </w:pPr>
    </w:p>
    <w:p w14:paraId="097D5A41" w14:textId="43C602CF" w:rsidR="005C7D71" w:rsidRPr="00732E93" w:rsidRDefault="005C7D71" w:rsidP="005C7D71">
      <w:pPr>
        <w:spacing w:after="0" w:line="240" w:lineRule="auto"/>
        <w:jc w:val="both"/>
        <w:rPr>
          <w:rFonts w:ascii="Times New Roman" w:hAnsi="Times New Roman" w:cs="Times New Roman"/>
        </w:rPr>
      </w:pPr>
      <w:r w:rsidRPr="00732E93">
        <w:rPr>
          <w:rFonts w:ascii="Times New Roman" w:hAnsi="Times New Roman" w:cs="Times New Roman"/>
          <w:i/>
          <w:iCs/>
          <w:u w:val="single"/>
        </w:rPr>
        <w:t>Prihodi od upravnih i administrativnih pristojbi, pristojbi po posebnim propisima i naknada (65</w:t>
      </w:r>
      <w:r w:rsidRPr="00732E93">
        <w:rPr>
          <w:rFonts w:ascii="Times New Roman" w:hAnsi="Times New Roman" w:cs="Times New Roman"/>
          <w:i/>
          <w:iCs/>
        </w:rPr>
        <w:t>)</w:t>
      </w:r>
      <w:r w:rsidRPr="00732E93">
        <w:rPr>
          <w:rFonts w:ascii="Times New Roman" w:hAnsi="Times New Roman" w:cs="Times New Roman"/>
        </w:rPr>
        <w:t xml:space="preserve"> iznose </w:t>
      </w:r>
      <w:r w:rsidR="009C0AD6">
        <w:rPr>
          <w:rFonts w:ascii="Times New Roman" w:hAnsi="Times New Roman" w:cs="Times New Roman"/>
        </w:rPr>
        <w:t>802.606,50</w:t>
      </w:r>
      <w:r w:rsidRPr="00732E93">
        <w:rPr>
          <w:rFonts w:ascii="Times New Roman" w:hAnsi="Times New Roman" w:cs="Times New Roman"/>
        </w:rPr>
        <w:t xml:space="preserve"> eura i bilježe smanjenje od </w:t>
      </w:r>
      <w:r w:rsidR="009C0AD6">
        <w:rPr>
          <w:rFonts w:ascii="Times New Roman" w:hAnsi="Times New Roman" w:cs="Times New Roman"/>
        </w:rPr>
        <w:t>8,85</w:t>
      </w:r>
      <w:r w:rsidRPr="00732E93">
        <w:rPr>
          <w:rFonts w:ascii="Times New Roman" w:hAnsi="Times New Roman" w:cs="Times New Roman"/>
        </w:rPr>
        <w:t>% u odnosu na 202</w:t>
      </w:r>
      <w:r w:rsidR="009C0AD6">
        <w:rPr>
          <w:rFonts w:ascii="Times New Roman" w:hAnsi="Times New Roman" w:cs="Times New Roman"/>
        </w:rPr>
        <w:t>3</w:t>
      </w:r>
      <w:r w:rsidRPr="00732E93">
        <w:rPr>
          <w:rFonts w:ascii="Times New Roman" w:hAnsi="Times New Roman" w:cs="Times New Roman"/>
        </w:rPr>
        <w:t xml:space="preserve">. godinu i izvršenje proračuna </w:t>
      </w:r>
      <w:r w:rsidR="009C0AD6">
        <w:rPr>
          <w:rFonts w:ascii="Times New Roman" w:hAnsi="Times New Roman" w:cs="Times New Roman"/>
        </w:rPr>
        <w:t>99,61</w:t>
      </w:r>
      <w:r w:rsidRPr="00732E93">
        <w:rPr>
          <w:rFonts w:ascii="Times New Roman" w:hAnsi="Times New Roman" w:cs="Times New Roman"/>
        </w:rPr>
        <w:t xml:space="preserve">%. </w:t>
      </w:r>
    </w:p>
    <w:p w14:paraId="28FC2603" w14:textId="42F12150" w:rsidR="005C7D71" w:rsidRPr="00732E93" w:rsidRDefault="005C7D71" w:rsidP="005C7D71">
      <w:pPr>
        <w:widowControl w:val="0"/>
        <w:autoSpaceDN w:val="0"/>
        <w:adjustRightInd w:val="0"/>
        <w:spacing w:line="240" w:lineRule="auto"/>
        <w:contextualSpacing/>
        <w:jc w:val="both"/>
        <w:rPr>
          <w:rFonts w:ascii="Times New Roman" w:hAnsi="Times New Roman" w:cs="Times New Roman"/>
        </w:rPr>
      </w:pPr>
      <w:r w:rsidRPr="00732E93">
        <w:rPr>
          <w:rFonts w:ascii="Times New Roman" w:hAnsi="Times New Roman" w:cs="Times New Roman"/>
        </w:rPr>
        <w:t xml:space="preserve">Ostali nespomenuti prihodi (6526) iznose </w:t>
      </w:r>
      <w:r w:rsidR="009C0AD6">
        <w:rPr>
          <w:rFonts w:ascii="Times New Roman" w:hAnsi="Times New Roman" w:cs="Times New Roman"/>
        </w:rPr>
        <w:t>293.075,16</w:t>
      </w:r>
      <w:r w:rsidRPr="00732E93">
        <w:rPr>
          <w:rFonts w:ascii="Times New Roman" w:hAnsi="Times New Roman" w:cs="Times New Roman"/>
        </w:rPr>
        <w:t xml:space="preserve"> eura i povećani su za </w:t>
      </w:r>
      <w:r w:rsidR="009C0AD6">
        <w:rPr>
          <w:rFonts w:ascii="Times New Roman" w:hAnsi="Times New Roman" w:cs="Times New Roman"/>
        </w:rPr>
        <w:t>11,53</w:t>
      </w:r>
      <w:r w:rsidRPr="00732E93">
        <w:rPr>
          <w:rFonts w:ascii="Times New Roman" w:hAnsi="Times New Roman" w:cs="Times New Roman"/>
        </w:rPr>
        <w:t xml:space="preserve">%, a odnose se na povrate stipendija u iznosu od 100,00 €, prihode s naslova osiguranja i refundacija šteta u iznosu od </w:t>
      </w:r>
      <w:r w:rsidR="009C0AD6" w:rsidRPr="009C0AD6">
        <w:rPr>
          <w:rFonts w:ascii="Times New Roman" w:hAnsi="Times New Roman" w:cs="Times New Roman"/>
        </w:rPr>
        <w:t>2.</w:t>
      </w:r>
      <w:r w:rsidR="00553514">
        <w:rPr>
          <w:rFonts w:ascii="Times New Roman" w:hAnsi="Times New Roman" w:cs="Times New Roman"/>
        </w:rPr>
        <w:t>678,81</w:t>
      </w:r>
      <w:r w:rsidRPr="00732E93">
        <w:rPr>
          <w:rFonts w:ascii="Times New Roman" w:hAnsi="Times New Roman" w:cs="Times New Roman"/>
        </w:rPr>
        <w:t xml:space="preserve"> €, prihode Dječjeg vrtića Maslačak u iznosu od </w:t>
      </w:r>
      <w:r w:rsidR="009C0AD6">
        <w:rPr>
          <w:rFonts w:ascii="Times New Roman" w:hAnsi="Times New Roman" w:cs="Times New Roman"/>
        </w:rPr>
        <w:t>268.437,64</w:t>
      </w:r>
      <w:r w:rsidRPr="00732E93">
        <w:rPr>
          <w:rFonts w:ascii="Times New Roman" w:hAnsi="Times New Roman" w:cs="Times New Roman"/>
        </w:rPr>
        <w:t xml:space="preserve"> € (sufinanciranje roditelja), Hrvatske knjižnice i čitaonice u iznosu od </w:t>
      </w:r>
      <w:r w:rsidR="009C0AD6">
        <w:rPr>
          <w:rFonts w:ascii="Times New Roman" w:hAnsi="Times New Roman" w:cs="Times New Roman"/>
        </w:rPr>
        <w:t>1.401,50</w:t>
      </w:r>
      <w:r w:rsidRPr="00732E93">
        <w:rPr>
          <w:rFonts w:ascii="Times New Roman" w:hAnsi="Times New Roman" w:cs="Times New Roman"/>
        </w:rPr>
        <w:t xml:space="preserve"> € (članarine),  Osnovne škole Garešnica u iznosu od  </w:t>
      </w:r>
      <w:r w:rsidR="009C0AD6">
        <w:rPr>
          <w:rFonts w:ascii="Times New Roman" w:hAnsi="Times New Roman" w:cs="Times New Roman"/>
        </w:rPr>
        <w:t>20.372,50</w:t>
      </w:r>
      <w:r w:rsidRPr="00732E93">
        <w:rPr>
          <w:rFonts w:ascii="Times New Roman" w:hAnsi="Times New Roman" w:cs="Times New Roman"/>
        </w:rPr>
        <w:t xml:space="preserve"> € i Osnovne škole </w:t>
      </w:r>
      <w:proofErr w:type="spellStart"/>
      <w:r w:rsidRPr="00732E93">
        <w:rPr>
          <w:rFonts w:ascii="Times New Roman" w:hAnsi="Times New Roman" w:cs="Times New Roman"/>
        </w:rPr>
        <w:t>Trnovitički</w:t>
      </w:r>
      <w:proofErr w:type="spellEnd"/>
      <w:r w:rsidRPr="00732E93">
        <w:rPr>
          <w:rFonts w:ascii="Times New Roman" w:hAnsi="Times New Roman" w:cs="Times New Roman"/>
        </w:rPr>
        <w:t xml:space="preserve"> Popovac u iznosu od 84,71 € (sufinanciranje cijene usluge i participacije).</w:t>
      </w:r>
    </w:p>
    <w:p w14:paraId="6C4B15FB" w14:textId="10281B7D" w:rsidR="005C7D71" w:rsidRPr="00732E93" w:rsidRDefault="005C7D71" w:rsidP="005C7D71">
      <w:pPr>
        <w:spacing w:line="240" w:lineRule="auto"/>
        <w:jc w:val="both"/>
        <w:rPr>
          <w:rFonts w:ascii="Times New Roman" w:hAnsi="Times New Roman" w:cs="Times New Roman"/>
        </w:rPr>
      </w:pPr>
      <w:r w:rsidRPr="00732E93">
        <w:rPr>
          <w:rFonts w:ascii="Times New Roman" w:hAnsi="Times New Roman" w:cs="Times New Roman"/>
        </w:rPr>
        <w:t xml:space="preserve">Prihodi od komunalnih doprinosa i naknada (653) iznose </w:t>
      </w:r>
      <w:r w:rsidR="00553514">
        <w:rPr>
          <w:rFonts w:ascii="Times New Roman" w:hAnsi="Times New Roman" w:cs="Times New Roman"/>
        </w:rPr>
        <w:t>242.314,82</w:t>
      </w:r>
      <w:r w:rsidRPr="00732E93">
        <w:rPr>
          <w:rFonts w:ascii="Times New Roman" w:hAnsi="Times New Roman" w:cs="Times New Roman"/>
        </w:rPr>
        <w:t xml:space="preserve"> eura i bilježe povećanje od </w:t>
      </w:r>
      <w:r w:rsidR="00553514">
        <w:rPr>
          <w:rFonts w:ascii="Times New Roman" w:hAnsi="Times New Roman" w:cs="Times New Roman"/>
        </w:rPr>
        <w:t>5,23</w:t>
      </w:r>
      <w:r w:rsidRPr="00732E93">
        <w:rPr>
          <w:rFonts w:ascii="Times New Roman" w:hAnsi="Times New Roman" w:cs="Times New Roman"/>
        </w:rPr>
        <w:t>% u odnosu na izvještajno razdoblje prošle godine.</w:t>
      </w:r>
    </w:p>
    <w:p w14:paraId="179736AC" w14:textId="3854D4D1" w:rsidR="005C7D71" w:rsidRPr="00732E93" w:rsidRDefault="005C7D71" w:rsidP="005C7D71">
      <w:pPr>
        <w:widowControl w:val="0"/>
        <w:autoSpaceDN w:val="0"/>
        <w:adjustRightInd w:val="0"/>
        <w:spacing w:after="0" w:line="240" w:lineRule="auto"/>
        <w:contextualSpacing/>
        <w:jc w:val="both"/>
        <w:rPr>
          <w:rFonts w:ascii="Times New Roman" w:hAnsi="Times New Roman" w:cs="Times New Roman"/>
          <w:lang w:eastAsia="hr-HR"/>
        </w:rPr>
      </w:pPr>
      <w:r w:rsidRPr="00732E93">
        <w:rPr>
          <w:rFonts w:ascii="Times New Roman" w:hAnsi="Times New Roman" w:cs="Times New Roman"/>
          <w:i/>
          <w:iCs/>
          <w:u w:val="single"/>
          <w:lang w:eastAsia="hr-HR"/>
        </w:rPr>
        <w:t>Prihodi od prodaje proizvoda i  pruženih usluga i prihodi od donacija (66)</w:t>
      </w:r>
      <w:r w:rsidRPr="00732E93">
        <w:rPr>
          <w:rFonts w:ascii="Times New Roman" w:hAnsi="Times New Roman" w:cs="Times New Roman"/>
          <w:lang w:eastAsia="hr-HR"/>
        </w:rPr>
        <w:t xml:space="preserve"> iznose </w:t>
      </w:r>
      <w:r w:rsidR="00553514">
        <w:rPr>
          <w:rFonts w:ascii="Times New Roman" w:hAnsi="Times New Roman" w:cs="Times New Roman"/>
          <w:lang w:eastAsia="hr-HR"/>
        </w:rPr>
        <w:t>190.762,78</w:t>
      </w:r>
      <w:r w:rsidRPr="00732E93">
        <w:rPr>
          <w:rFonts w:ascii="Times New Roman" w:hAnsi="Times New Roman" w:cs="Times New Roman"/>
          <w:lang w:eastAsia="hr-HR"/>
        </w:rPr>
        <w:t xml:space="preserve"> eura i bilježe povećanje od 1</w:t>
      </w:r>
      <w:r w:rsidR="00553514">
        <w:rPr>
          <w:rFonts w:ascii="Times New Roman" w:hAnsi="Times New Roman" w:cs="Times New Roman"/>
          <w:lang w:eastAsia="hr-HR"/>
        </w:rPr>
        <w:t>74,50</w:t>
      </w:r>
      <w:r w:rsidRPr="00732E93">
        <w:rPr>
          <w:rFonts w:ascii="Times New Roman" w:hAnsi="Times New Roman" w:cs="Times New Roman"/>
          <w:lang w:eastAsia="hr-HR"/>
        </w:rPr>
        <w:t xml:space="preserve">% u odnosu na prošlu godinu. Isti  sadržavaju: </w:t>
      </w:r>
    </w:p>
    <w:p w14:paraId="1F191AF6" w14:textId="355D204A" w:rsidR="005C7D71" w:rsidRPr="00732E93" w:rsidRDefault="005C7D71" w:rsidP="003734CB">
      <w:pPr>
        <w:pStyle w:val="Odlomakpopisa"/>
        <w:widowControl w:val="0"/>
        <w:numPr>
          <w:ilvl w:val="0"/>
          <w:numId w:val="3"/>
        </w:numPr>
        <w:autoSpaceDN w:val="0"/>
        <w:adjustRightInd w:val="0"/>
        <w:ind w:left="0" w:firstLine="0"/>
        <w:jc w:val="both"/>
        <w:rPr>
          <w:sz w:val="22"/>
          <w:szCs w:val="22"/>
          <w:lang w:eastAsia="en-US"/>
        </w:rPr>
      </w:pPr>
      <w:r w:rsidRPr="00732E93">
        <w:rPr>
          <w:sz w:val="22"/>
          <w:szCs w:val="22"/>
          <w:lang w:eastAsia="en-US"/>
        </w:rPr>
        <w:t xml:space="preserve">Prihode od prodaje proizvoda (6614)  Javne ustanova Garešnica od prodaje suvenira u iznosu od </w:t>
      </w:r>
      <w:r w:rsidR="00553514">
        <w:rPr>
          <w:sz w:val="22"/>
          <w:szCs w:val="22"/>
          <w:lang w:eastAsia="en-US"/>
        </w:rPr>
        <w:t>563,97</w:t>
      </w:r>
      <w:r w:rsidRPr="00732E93">
        <w:rPr>
          <w:sz w:val="22"/>
          <w:szCs w:val="22"/>
          <w:lang w:eastAsia="en-US"/>
        </w:rPr>
        <w:t xml:space="preserve"> eura. </w:t>
      </w:r>
    </w:p>
    <w:p w14:paraId="212C04DE" w14:textId="4CC8A530" w:rsidR="005C7D71" w:rsidRPr="00732E93" w:rsidRDefault="005C7D71" w:rsidP="003734CB">
      <w:pPr>
        <w:pStyle w:val="Odlomakpopisa"/>
        <w:widowControl w:val="0"/>
        <w:numPr>
          <w:ilvl w:val="0"/>
          <w:numId w:val="3"/>
        </w:numPr>
        <w:autoSpaceDN w:val="0"/>
        <w:adjustRightInd w:val="0"/>
        <w:ind w:left="0" w:firstLine="0"/>
        <w:jc w:val="both"/>
        <w:rPr>
          <w:sz w:val="22"/>
          <w:szCs w:val="22"/>
          <w:lang w:eastAsia="en-US"/>
        </w:rPr>
      </w:pPr>
      <w:r w:rsidRPr="00732E93">
        <w:rPr>
          <w:sz w:val="22"/>
          <w:szCs w:val="22"/>
          <w:lang w:eastAsia="en-US"/>
        </w:rPr>
        <w:t xml:space="preserve">Prihode od pruženih usluga (6615) iznose </w:t>
      </w:r>
      <w:r w:rsidR="00553514">
        <w:rPr>
          <w:sz w:val="22"/>
          <w:szCs w:val="22"/>
          <w:lang w:eastAsia="en-US"/>
        </w:rPr>
        <w:t>67.558,26</w:t>
      </w:r>
      <w:r w:rsidRPr="00732E93">
        <w:rPr>
          <w:sz w:val="22"/>
          <w:szCs w:val="22"/>
          <w:lang w:eastAsia="en-US"/>
        </w:rPr>
        <w:t xml:space="preserve"> eura i odnose se na fakturiranje usluge obračuna </w:t>
      </w:r>
      <w:r w:rsidRPr="00732E93">
        <w:rPr>
          <w:sz w:val="22"/>
          <w:szCs w:val="22"/>
          <w:lang w:eastAsia="en-US"/>
        </w:rPr>
        <w:lastRenderedPageBreak/>
        <w:t>i naplate naknade za uređenje voda koju Grad obavlja za Hrvatske vode i isporuku</w:t>
      </w:r>
      <w:r w:rsidRPr="00732E93">
        <w:t xml:space="preserve"> </w:t>
      </w:r>
      <w:r w:rsidRPr="00732E93">
        <w:rPr>
          <w:sz w:val="22"/>
          <w:szCs w:val="22"/>
          <w:lang w:eastAsia="en-US"/>
        </w:rPr>
        <w:t xml:space="preserve">proizvedenog viška električne energije u iznosu od </w:t>
      </w:r>
      <w:r w:rsidR="00553514">
        <w:rPr>
          <w:sz w:val="22"/>
          <w:szCs w:val="22"/>
          <w:lang w:eastAsia="en-US"/>
        </w:rPr>
        <w:t>22.415,35</w:t>
      </w:r>
      <w:r w:rsidRPr="00732E93">
        <w:rPr>
          <w:sz w:val="22"/>
          <w:szCs w:val="22"/>
          <w:lang w:eastAsia="en-US"/>
        </w:rPr>
        <w:t xml:space="preserve"> €, te prihoda proračunskih korisnika: Javne vatrogasne postrojbe za usluge servisa vatrogasnih uređaja u iznosu od </w:t>
      </w:r>
      <w:r w:rsidR="00553514">
        <w:rPr>
          <w:sz w:val="22"/>
          <w:szCs w:val="22"/>
          <w:lang w:eastAsia="en-US"/>
        </w:rPr>
        <w:t xml:space="preserve"> 30.604,90 </w:t>
      </w:r>
      <w:r w:rsidRPr="00732E93">
        <w:rPr>
          <w:sz w:val="22"/>
          <w:szCs w:val="22"/>
          <w:lang w:eastAsia="en-US"/>
        </w:rPr>
        <w:t xml:space="preserve">€, prihoda Javne ustanove Garešnica za usluge zakupa dvorana i prodaje ulaznica u iznosu od </w:t>
      </w:r>
      <w:r w:rsidR="00553514">
        <w:rPr>
          <w:sz w:val="22"/>
          <w:szCs w:val="22"/>
          <w:lang w:eastAsia="en-US"/>
        </w:rPr>
        <w:t>14.189,64</w:t>
      </w:r>
      <w:r w:rsidRPr="00732E93">
        <w:rPr>
          <w:sz w:val="22"/>
          <w:szCs w:val="22"/>
          <w:lang w:eastAsia="en-US"/>
        </w:rPr>
        <w:t xml:space="preserve"> €, te Osnovne škole Garešnica u iznosu od </w:t>
      </w:r>
      <w:r w:rsidR="00553514">
        <w:rPr>
          <w:sz w:val="22"/>
          <w:szCs w:val="22"/>
          <w:lang w:eastAsia="en-US"/>
        </w:rPr>
        <w:t>348,37</w:t>
      </w:r>
      <w:r w:rsidRPr="00732E93">
        <w:rPr>
          <w:sz w:val="22"/>
          <w:szCs w:val="22"/>
          <w:lang w:eastAsia="en-US"/>
        </w:rPr>
        <w:t xml:space="preserve"> €. </w:t>
      </w:r>
    </w:p>
    <w:p w14:paraId="30C386A6" w14:textId="0FCAF9B1" w:rsidR="005C7D71" w:rsidRPr="00732E93" w:rsidRDefault="005C7D71" w:rsidP="003734CB">
      <w:pPr>
        <w:pStyle w:val="Odlomakpopisa"/>
        <w:widowControl w:val="0"/>
        <w:numPr>
          <w:ilvl w:val="0"/>
          <w:numId w:val="3"/>
        </w:numPr>
        <w:autoSpaceDN w:val="0"/>
        <w:adjustRightInd w:val="0"/>
        <w:ind w:left="0" w:firstLine="0"/>
        <w:jc w:val="both"/>
      </w:pPr>
      <w:r w:rsidRPr="00732E93">
        <w:rPr>
          <w:i/>
          <w:iCs/>
          <w:sz w:val="22"/>
          <w:szCs w:val="22"/>
          <w:lang w:eastAsia="en-US"/>
        </w:rPr>
        <w:t>Prihode od  donacija (663)</w:t>
      </w:r>
      <w:r w:rsidRPr="00732E93">
        <w:rPr>
          <w:sz w:val="22"/>
          <w:szCs w:val="22"/>
          <w:lang w:eastAsia="en-US"/>
        </w:rPr>
        <w:t xml:space="preserve"> u iznosu od </w:t>
      </w:r>
      <w:r w:rsidR="00553514">
        <w:rPr>
          <w:sz w:val="22"/>
          <w:szCs w:val="22"/>
          <w:lang w:eastAsia="en-US"/>
        </w:rPr>
        <w:t>122.640,55</w:t>
      </w:r>
      <w:r w:rsidRPr="00732E93">
        <w:rPr>
          <w:sz w:val="22"/>
          <w:szCs w:val="22"/>
          <w:lang w:eastAsia="en-US"/>
        </w:rPr>
        <w:t xml:space="preserve"> € koji bilježe veliko povećanje  iz razloga što smo u ovoj godini zaprimili kapitalnu donaciju u iznosu od 44.500,00 € u obliku darovanja nekretnine – zemljište za sport i rekreaciju u </w:t>
      </w:r>
      <w:proofErr w:type="spellStart"/>
      <w:r w:rsidRPr="00732E93">
        <w:rPr>
          <w:sz w:val="22"/>
          <w:szCs w:val="22"/>
          <w:lang w:eastAsia="en-US"/>
        </w:rPr>
        <w:t>Kaniškoj</w:t>
      </w:r>
      <w:proofErr w:type="spellEnd"/>
      <w:r w:rsidRPr="00732E93">
        <w:rPr>
          <w:sz w:val="22"/>
          <w:szCs w:val="22"/>
          <w:lang w:eastAsia="en-US"/>
        </w:rPr>
        <w:t xml:space="preserve"> Ivi od strane trgovačkog društva PP Orahovica d.o.o.</w:t>
      </w:r>
      <w:r w:rsidR="00210C99">
        <w:rPr>
          <w:sz w:val="22"/>
          <w:szCs w:val="22"/>
          <w:lang w:eastAsia="en-US"/>
        </w:rPr>
        <w:t xml:space="preserve"> te </w:t>
      </w:r>
      <w:proofErr w:type="spellStart"/>
      <w:r w:rsidR="00210C99">
        <w:rPr>
          <w:sz w:val="22"/>
          <w:szCs w:val="22"/>
          <w:lang w:eastAsia="en-US"/>
        </w:rPr>
        <w:t>ošasnu</w:t>
      </w:r>
      <w:proofErr w:type="spellEnd"/>
      <w:r w:rsidR="00210C99">
        <w:rPr>
          <w:sz w:val="22"/>
          <w:szCs w:val="22"/>
          <w:lang w:eastAsia="en-US"/>
        </w:rPr>
        <w:t xml:space="preserve"> (</w:t>
      </w:r>
      <w:proofErr w:type="spellStart"/>
      <w:r w:rsidR="00210C99">
        <w:rPr>
          <w:sz w:val="22"/>
          <w:szCs w:val="22"/>
          <w:lang w:eastAsia="en-US"/>
        </w:rPr>
        <w:t>nasljeđenu</w:t>
      </w:r>
      <w:proofErr w:type="spellEnd"/>
      <w:r w:rsidR="00210C99">
        <w:rPr>
          <w:sz w:val="22"/>
          <w:szCs w:val="22"/>
          <w:lang w:eastAsia="en-US"/>
        </w:rPr>
        <w:t xml:space="preserve">) imovinu u iznosu od </w:t>
      </w:r>
      <w:r w:rsidR="00210C99" w:rsidRPr="00210C99">
        <w:rPr>
          <w:sz w:val="22"/>
          <w:szCs w:val="22"/>
          <w:lang w:eastAsia="en-US"/>
        </w:rPr>
        <w:t>69.517,10</w:t>
      </w:r>
      <w:r w:rsidR="00210C99">
        <w:rPr>
          <w:sz w:val="22"/>
          <w:szCs w:val="22"/>
          <w:lang w:eastAsia="en-US"/>
        </w:rPr>
        <w:t xml:space="preserve"> eura. Donacije u iznosu od 8.623,45 eura su prihodi proračunskih korisnika. </w:t>
      </w:r>
    </w:p>
    <w:p w14:paraId="58116B84" w14:textId="77777777" w:rsidR="005C7D71" w:rsidRPr="00732E93" w:rsidRDefault="005C7D71" w:rsidP="005C7D71">
      <w:pPr>
        <w:pStyle w:val="Odlomakpopisa"/>
        <w:widowControl w:val="0"/>
        <w:autoSpaceDN w:val="0"/>
        <w:adjustRightInd w:val="0"/>
        <w:ind w:left="0"/>
        <w:jc w:val="both"/>
        <w:rPr>
          <w:sz w:val="10"/>
          <w:szCs w:val="10"/>
        </w:rPr>
      </w:pPr>
    </w:p>
    <w:p w14:paraId="2F567F4C" w14:textId="5411A193" w:rsidR="005C7D71" w:rsidRPr="00732E93" w:rsidRDefault="005C7D71" w:rsidP="005C7D71">
      <w:pPr>
        <w:spacing w:line="240" w:lineRule="auto"/>
        <w:jc w:val="both"/>
        <w:rPr>
          <w:rFonts w:ascii="Times New Roman" w:hAnsi="Times New Roman" w:cs="Times New Roman"/>
        </w:rPr>
      </w:pPr>
      <w:r w:rsidRPr="00732E93">
        <w:rPr>
          <w:rFonts w:ascii="Times New Roman" w:hAnsi="Times New Roman" w:cs="Times New Roman"/>
          <w:i/>
          <w:iCs/>
          <w:u w:val="single"/>
        </w:rPr>
        <w:t>Kazne, upravne mjere i ostali prihodi (68)</w:t>
      </w:r>
      <w:r w:rsidRPr="00732E93">
        <w:rPr>
          <w:rFonts w:ascii="Times New Roman" w:hAnsi="Times New Roman" w:cs="Times New Roman"/>
        </w:rPr>
        <w:t xml:space="preserve"> iznose </w:t>
      </w:r>
      <w:r w:rsidR="00210C99">
        <w:rPr>
          <w:rFonts w:ascii="Times New Roman" w:hAnsi="Times New Roman" w:cs="Times New Roman"/>
        </w:rPr>
        <w:t>48.236,60</w:t>
      </w:r>
      <w:r w:rsidRPr="00732E93">
        <w:rPr>
          <w:rFonts w:ascii="Times New Roman" w:hAnsi="Times New Roman" w:cs="Times New Roman"/>
        </w:rPr>
        <w:t xml:space="preserve"> eura i odnose se na prihode Grada Garešnica u iznosu od </w:t>
      </w:r>
      <w:r w:rsidR="00210C99">
        <w:rPr>
          <w:rFonts w:ascii="Times New Roman" w:hAnsi="Times New Roman" w:cs="Times New Roman"/>
        </w:rPr>
        <w:t>47.718,04</w:t>
      </w:r>
      <w:r w:rsidRPr="00732E93">
        <w:rPr>
          <w:rFonts w:ascii="Times New Roman" w:hAnsi="Times New Roman" w:cs="Times New Roman"/>
        </w:rPr>
        <w:t xml:space="preserve"> eura (povrat subvencije za kupnju zemljišta u Poduzetničkoj zoni, prihodi od obračunatih troškova režija za poslovne prostore u Tehno parku Garešnica,  ovršnih i upravnih postupaka) te prihode Dječjeg vrtića Maslačak u iznosu od </w:t>
      </w:r>
      <w:r w:rsidR="00210C99">
        <w:rPr>
          <w:rFonts w:ascii="Times New Roman" w:hAnsi="Times New Roman" w:cs="Times New Roman"/>
        </w:rPr>
        <w:t>518,56</w:t>
      </w:r>
      <w:r w:rsidRPr="00732E93">
        <w:rPr>
          <w:rFonts w:ascii="Times New Roman" w:hAnsi="Times New Roman" w:cs="Times New Roman"/>
        </w:rPr>
        <w:t xml:space="preserve"> eura (trošak ovršnog postupka).</w:t>
      </w:r>
    </w:p>
    <w:p w14:paraId="245E4002" w14:textId="1D3A14D5" w:rsidR="005C7D71" w:rsidRPr="00732E93" w:rsidRDefault="005C7D71" w:rsidP="005C7D71">
      <w:pPr>
        <w:spacing w:after="0" w:line="240" w:lineRule="auto"/>
        <w:jc w:val="both"/>
        <w:rPr>
          <w:rFonts w:ascii="Times New Roman" w:hAnsi="Times New Roman" w:cs="Times New Roman"/>
        </w:rPr>
      </w:pPr>
      <w:r w:rsidRPr="00732E93">
        <w:rPr>
          <w:rFonts w:ascii="Times New Roman" w:hAnsi="Times New Roman" w:cs="Times New Roman"/>
          <w:b/>
          <w:bCs/>
        </w:rPr>
        <w:t xml:space="preserve">Ukupni prihodi od prodaje nefinancijske imovine (7) iznose  </w:t>
      </w:r>
      <w:r w:rsidR="00950B46">
        <w:rPr>
          <w:rFonts w:ascii="Times New Roman" w:hAnsi="Times New Roman" w:cs="Times New Roman"/>
          <w:b/>
          <w:bCs/>
        </w:rPr>
        <w:t>224.698,81</w:t>
      </w:r>
      <w:r w:rsidRPr="00732E93">
        <w:rPr>
          <w:rFonts w:ascii="Times New Roman" w:hAnsi="Times New Roman" w:cs="Times New Roman"/>
          <w:b/>
          <w:bCs/>
        </w:rPr>
        <w:t xml:space="preserve"> eura</w:t>
      </w:r>
      <w:r w:rsidRPr="00732E93">
        <w:rPr>
          <w:rFonts w:ascii="Times New Roman" w:hAnsi="Times New Roman" w:cs="Times New Roman"/>
        </w:rPr>
        <w:t xml:space="preserve"> i bilježe povećanje od </w:t>
      </w:r>
      <w:r w:rsidR="00950B46">
        <w:rPr>
          <w:rFonts w:ascii="Times New Roman" w:hAnsi="Times New Roman" w:cs="Times New Roman"/>
        </w:rPr>
        <w:t>220,36</w:t>
      </w:r>
      <w:r w:rsidRPr="00732E93">
        <w:rPr>
          <w:rFonts w:ascii="Times New Roman" w:hAnsi="Times New Roman" w:cs="Times New Roman"/>
        </w:rPr>
        <w:t xml:space="preserve">% u odnosu na isto razdoblje prošle godine. </w:t>
      </w:r>
    </w:p>
    <w:p w14:paraId="4ECA4572" w14:textId="4D5C45CE" w:rsidR="005C7D71" w:rsidRPr="00732E93" w:rsidRDefault="005C7D71" w:rsidP="005C7D71">
      <w:pPr>
        <w:spacing w:after="0" w:line="240" w:lineRule="auto"/>
        <w:jc w:val="both"/>
        <w:rPr>
          <w:rFonts w:ascii="Times New Roman" w:hAnsi="Times New Roman" w:cs="Times New Roman"/>
        </w:rPr>
      </w:pPr>
      <w:r w:rsidRPr="00732E93">
        <w:rPr>
          <w:rFonts w:ascii="Times New Roman" w:hAnsi="Times New Roman" w:cs="Times New Roman"/>
        </w:rPr>
        <w:t xml:space="preserve">Prihodi od prodaje sastoje se od: prihoda od prodaje zemljišta u vlasništvu Grada Garešnice u iznosu od </w:t>
      </w:r>
      <w:r w:rsidR="00950B46">
        <w:rPr>
          <w:rFonts w:ascii="Times New Roman" w:hAnsi="Times New Roman" w:cs="Times New Roman"/>
        </w:rPr>
        <w:t>165.911,47</w:t>
      </w:r>
      <w:r w:rsidRPr="00732E93">
        <w:rPr>
          <w:rFonts w:ascii="Times New Roman" w:hAnsi="Times New Roman" w:cs="Times New Roman"/>
        </w:rPr>
        <w:t xml:space="preserve"> eura (prodaja zemljišta u Poduzetničkoj zoni Kapelica i ostala </w:t>
      </w:r>
      <w:proofErr w:type="spellStart"/>
      <w:r w:rsidRPr="00732E93">
        <w:rPr>
          <w:rFonts w:ascii="Times New Roman" w:hAnsi="Times New Roman" w:cs="Times New Roman"/>
        </w:rPr>
        <w:t>građ.zemljišta</w:t>
      </w:r>
      <w:proofErr w:type="spellEnd"/>
      <w:r w:rsidRPr="00732E93">
        <w:rPr>
          <w:rFonts w:ascii="Times New Roman" w:hAnsi="Times New Roman" w:cs="Times New Roman"/>
        </w:rPr>
        <w:t>), prihoda od prodaje stanova u državnom vlasništvu (udio Grada 45%)</w:t>
      </w:r>
      <w:r w:rsidR="00950B46">
        <w:rPr>
          <w:rFonts w:ascii="Times New Roman" w:hAnsi="Times New Roman" w:cs="Times New Roman"/>
        </w:rPr>
        <w:t xml:space="preserve"> i u vlasništvu Grada Grešnice</w:t>
      </w:r>
      <w:r w:rsidRPr="00732E93">
        <w:rPr>
          <w:rFonts w:ascii="Times New Roman" w:hAnsi="Times New Roman" w:cs="Times New Roman"/>
        </w:rPr>
        <w:t xml:space="preserve"> u iznosu od </w:t>
      </w:r>
      <w:r w:rsidR="00950B46">
        <w:rPr>
          <w:rFonts w:ascii="Times New Roman" w:hAnsi="Times New Roman" w:cs="Times New Roman"/>
        </w:rPr>
        <w:t>46.250,52</w:t>
      </w:r>
      <w:r w:rsidRPr="00732E93">
        <w:rPr>
          <w:rFonts w:ascii="Times New Roman" w:hAnsi="Times New Roman" w:cs="Times New Roman"/>
        </w:rPr>
        <w:t xml:space="preserve"> eura, prihoda od prodaje poslovnih objekata u vlasništvu Grada u iznosu od </w:t>
      </w:r>
      <w:r w:rsidR="00950B46">
        <w:rPr>
          <w:rFonts w:ascii="Times New Roman" w:hAnsi="Times New Roman" w:cs="Times New Roman"/>
        </w:rPr>
        <w:t>11.752,69</w:t>
      </w:r>
      <w:r w:rsidRPr="00732E93">
        <w:rPr>
          <w:rFonts w:ascii="Times New Roman" w:hAnsi="Times New Roman" w:cs="Times New Roman"/>
        </w:rPr>
        <w:t xml:space="preserve"> €,  prihodi Javne vatrogasne postrojbe od prodaje vatrogasnog vozila (otpisana vatrogasno vozilo) u iznosu od 784,13 eura.</w:t>
      </w:r>
    </w:p>
    <w:p w14:paraId="40D71383" w14:textId="77777777" w:rsidR="005C7D71" w:rsidRDefault="005C7D71" w:rsidP="005C7D71">
      <w:pPr>
        <w:spacing w:after="0" w:line="240" w:lineRule="auto"/>
        <w:jc w:val="both"/>
        <w:rPr>
          <w:rFonts w:ascii="Times New Roman" w:hAnsi="Times New Roman" w:cs="Times New Roman"/>
          <w:b/>
        </w:rPr>
      </w:pPr>
    </w:p>
    <w:p w14:paraId="4EB04409" w14:textId="77777777" w:rsidR="00950B46" w:rsidRDefault="00950B46" w:rsidP="005C7D71">
      <w:pPr>
        <w:spacing w:after="0" w:line="240" w:lineRule="auto"/>
        <w:jc w:val="both"/>
        <w:rPr>
          <w:rFonts w:ascii="Times New Roman" w:hAnsi="Times New Roman" w:cs="Times New Roman"/>
          <w:b/>
        </w:rPr>
      </w:pPr>
    </w:p>
    <w:p w14:paraId="6020BD3C" w14:textId="6EF820AC" w:rsidR="00950B46" w:rsidRPr="00950B46" w:rsidRDefault="00950B46" w:rsidP="00950B46">
      <w:pPr>
        <w:jc w:val="both"/>
        <w:rPr>
          <w:rFonts w:ascii="Times New Roman" w:hAnsi="Times New Roman" w:cs="Times New Roman"/>
        </w:rPr>
      </w:pPr>
      <w:r w:rsidRPr="00C03046">
        <w:rPr>
          <w:rFonts w:ascii="Times New Roman" w:hAnsi="Times New Roman" w:cs="Times New Roman"/>
          <w:b/>
          <w:bCs/>
        </w:rPr>
        <w:t>Primici od zaduživanja (8) iznose 627.143,50 eura</w:t>
      </w:r>
      <w:r w:rsidRPr="00950B46">
        <w:rPr>
          <w:rFonts w:ascii="Times New Roman" w:hAnsi="Times New Roman" w:cs="Times New Roman"/>
        </w:rPr>
        <w:t xml:space="preserve">. Grad Garešnica je dana 20.12.2024. godine potpisao Ugovor o dugoročnom zaduživanju za kapitalne projekte broj: 5002512364 sa Erste &amp; </w:t>
      </w:r>
      <w:proofErr w:type="spellStart"/>
      <w:r w:rsidRPr="00950B46">
        <w:rPr>
          <w:rFonts w:ascii="Times New Roman" w:hAnsi="Times New Roman" w:cs="Times New Roman"/>
        </w:rPr>
        <w:t>Steiermarkische</w:t>
      </w:r>
      <w:proofErr w:type="spellEnd"/>
      <w:r w:rsidRPr="00950B46">
        <w:rPr>
          <w:rFonts w:ascii="Times New Roman" w:hAnsi="Times New Roman" w:cs="Times New Roman"/>
        </w:rPr>
        <w:t xml:space="preserve"> </w:t>
      </w:r>
      <w:proofErr w:type="spellStart"/>
      <w:r w:rsidRPr="00950B46">
        <w:rPr>
          <w:rFonts w:ascii="Times New Roman" w:hAnsi="Times New Roman" w:cs="Times New Roman"/>
        </w:rPr>
        <w:t>bank</w:t>
      </w:r>
      <w:proofErr w:type="spellEnd"/>
      <w:r w:rsidRPr="00950B46">
        <w:rPr>
          <w:rFonts w:ascii="Times New Roman" w:hAnsi="Times New Roman" w:cs="Times New Roman"/>
        </w:rPr>
        <w:t xml:space="preserve"> d.d. temeljem Suglasnosti Vlade RH u iznosu od 1.272.397,00 eura. Rok korištenja kredita je 31.12.2025. godine, rok vraćanja 31.12.2035. godine. </w:t>
      </w:r>
    </w:p>
    <w:p w14:paraId="630886DA" w14:textId="77777777" w:rsidR="00950B46" w:rsidRPr="00E46765" w:rsidRDefault="00950B46" w:rsidP="00950B46">
      <w:pPr>
        <w:jc w:val="both"/>
        <w:rPr>
          <w:rFonts w:ascii="Times New Roman" w:hAnsi="Times New Roman" w:cs="Times New Roman"/>
        </w:rPr>
      </w:pPr>
      <w:r w:rsidRPr="00E46765">
        <w:rPr>
          <w:rFonts w:ascii="Times New Roman" w:hAnsi="Times New Roman" w:cs="Times New Roman"/>
        </w:rPr>
        <w:t xml:space="preserve">U 2024. godini ostvarili smo primitke u iznosu od 627.143,50 eura temeljem realiziranih troškova za projekte koji se financiraju iz navedenog dugoročnog kredita i to Sanacija odlagališta komunalnog otpada </w:t>
      </w:r>
      <w:proofErr w:type="spellStart"/>
      <w:r w:rsidRPr="00E46765">
        <w:rPr>
          <w:rFonts w:ascii="Times New Roman" w:hAnsi="Times New Roman" w:cs="Times New Roman"/>
        </w:rPr>
        <w:t>Johovača</w:t>
      </w:r>
      <w:proofErr w:type="spellEnd"/>
      <w:r w:rsidRPr="00E46765">
        <w:rPr>
          <w:rFonts w:ascii="Times New Roman" w:hAnsi="Times New Roman" w:cs="Times New Roman"/>
        </w:rPr>
        <w:t xml:space="preserve"> i Obnova dječjeg vrtića Maslačak, objekt na adresi Garešnica, Petra Svačića 11 D, Garešnica, Faza I.</w:t>
      </w:r>
    </w:p>
    <w:p w14:paraId="33CC132B" w14:textId="592A5427" w:rsidR="00950B46" w:rsidRPr="00950B46" w:rsidRDefault="00950B46" w:rsidP="005C7D71">
      <w:pPr>
        <w:spacing w:after="0" w:line="240" w:lineRule="auto"/>
        <w:jc w:val="both"/>
        <w:rPr>
          <w:rFonts w:ascii="Times New Roman" w:hAnsi="Times New Roman" w:cs="Times New Roman"/>
        </w:rPr>
      </w:pPr>
    </w:p>
    <w:p w14:paraId="5084AA8A" w14:textId="77777777" w:rsidR="00950B46" w:rsidRDefault="00950B46" w:rsidP="005C7D71">
      <w:pPr>
        <w:spacing w:after="0" w:line="240" w:lineRule="auto"/>
        <w:jc w:val="both"/>
        <w:rPr>
          <w:rFonts w:ascii="Times New Roman" w:hAnsi="Times New Roman" w:cs="Times New Roman"/>
          <w:b/>
        </w:rPr>
      </w:pPr>
    </w:p>
    <w:p w14:paraId="700467E7" w14:textId="77777777" w:rsidR="00950B46" w:rsidRPr="00732E93" w:rsidRDefault="00950B46" w:rsidP="005C7D71">
      <w:pPr>
        <w:spacing w:after="0" w:line="240" w:lineRule="auto"/>
        <w:jc w:val="both"/>
        <w:rPr>
          <w:rFonts w:ascii="Times New Roman" w:hAnsi="Times New Roman" w:cs="Times New Roman"/>
          <w:b/>
        </w:rPr>
      </w:pPr>
    </w:p>
    <w:p w14:paraId="16144E0D" w14:textId="667F0885" w:rsidR="005C7D71" w:rsidRPr="00732E93" w:rsidRDefault="005C7D71" w:rsidP="005C7D71">
      <w:pPr>
        <w:spacing w:after="0" w:line="240" w:lineRule="auto"/>
        <w:jc w:val="both"/>
        <w:rPr>
          <w:rFonts w:ascii="Times New Roman" w:hAnsi="Times New Roman" w:cs="Times New Roman"/>
        </w:rPr>
      </w:pPr>
      <w:r w:rsidRPr="004E5045">
        <w:rPr>
          <w:rFonts w:ascii="Times New Roman" w:hAnsi="Times New Roman" w:cs="Times New Roman"/>
          <w:b/>
        </w:rPr>
        <w:t xml:space="preserve">Rashodi poslovanja </w:t>
      </w:r>
      <w:r w:rsidRPr="00732E93">
        <w:rPr>
          <w:rFonts w:ascii="Times New Roman" w:hAnsi="Times New Roman" w:cs="Times New Roman"/>
          <w:b/>
        </w:rPr>
        <w:t>(3)</w:t>
      </w:r>
      <w:r w:rsidRPr="00732E93">
        <w:rPr>
          <w:rFonts w:ascii="Times New Roman" w:hAnsi="Times New Roman" w:cs="Times New Roman"/>
          <w:bCs/>
        </w:rPr>
        <w:t xml:space="preserve"> iznose </w:t>
      </w:r>
      <w:r w:rsidR="004E5045">
        <w:rPr>
          <w:rFonts w:ascii="Times New Roman" w:hAnsi="Times New Roman" w:cs="Times New Roman"/>
          <w:bCs/>
        </w:rPr>
        <w:t>10.173.904,62</w:t>
      </w:r>
      <w:r w:rsidRPr="00732E93">
        <w:rPr>
          <w:rFonts w:ascii="Times New Roman" w:hAnsi="Times New Roman" w:cs="Times New Roman"/>
          <w:bCs/>
        </w:rPr>
        <w:t xml:space="preserve"> eura</w:t>
      </w:r>
      <w:r w:rsidRPr="00732E93">
        <w:rPr>
          <w:rFonts w:ascii="Times New Roman" w:hAnsi="Times New Roman" w:cs="Times New Roman"/>
        </w:rPr>
        <w:t xml:space="preserve"> i  čine </w:t>
      </w:r>
      <w:r w:rsidR="004E5045">
        <w:rPr>
          <w:rFonts w:ascii="Times New Roman" w:hAnsi="Times New Roman" w:cs="Times New Roman"/>
        </w:rPr>
        <w:t>92,70</w:t>
      </w:r>
      <w:r w:rsidRPr="00732E93">
        <w:rPr>
          <w:rFonts w:ascii="Times New Roman" w:hAnsi="Times New Roman" w:cs="Times New Roman"/>
        </w:rPr>
        <w:t xml:space="preserve">% izvršenja tekućeg plana i veći  su za </w:t>
      </w:r>
      <w:r w:rsidR="004E5045">
        <w:rPr>
          <w:rFonts w:ascii="Times New Roman" w:hAnsi="Times New Roman" w:cs="Times New Roman"/>
        </w:rPr>
        <w:t>26,03</w:t>
      </w:r>
      <w:r w:rsidRPr="00732E93">
        <w:rPr>
          <w:rFonts w:ascii="Times New Roman" w:hAnsi="Times New Roman" w:cs="Times New Roman"/>
        </w:rPr>
        <w:t xml:space="preserve">% u odnosu na isto razdoblje prošle </w:t>
      </w:r>
      <w:r w:rsidRPr="00732E93">
        <w:rPr>
          <w:rFonts w:ascii="Times New Roman" w:hAnsi="Times New Roman" w:cs="Times New Roman"/>
          <w:lang w:eastAsia="hr-HR"/>
        </w:rPr>
        <w:t>godine. Najveće povećanje bilježe rashodi za zaposlene, subvencije, pomoći i naknade građanima i kućanstvima.</w:t>
      </w:r>
    </w:p>
    <w:p w14:paraId="24030AD0" w14:textId="77777777" w:rsidR="005C7D71" w:rsidRPr="00732E93" w:rsidRDefault="005C7D71" w:rsidP="005C7D71">
      <w:pPr>
        <w:pStyle w:val="Odlomakpopisa"/>
        <w:ind w:left="0"/>
        <w:jc w:val="both"/>
        <w:rPr>
          <w:i/>
          <w:iCs/>
          <w:sz w:val="22"/>
          <w:szCs w:val="22"/>
          <w:u w:val="single"/>
        </w:rPr>
      </w:pPr>
    </w:p>
    <w:p w14:paraId="3977FD2A" w14:textId="0DB3AEE0" w:rsidR="00EB3B0D" w:rsidRPr="00376816" w:rsidRDefault="005C7D71" w:rsidP="00376816">
      <w:pPr>
        <w:pStyle w:val="Odlomakpopisa"/>
        <w:ind w:left="0"/>
        <w:jc w:val="both"/>
        <w:rPr>
          <w:sz w:val="22"/>
          <w:szCs w:val="22"/>
        </w:rPr>
      </w:pPr>
      <w:r w:rsidRPr="00732E93">
        <w:rPr>
          <w:i/>
          <w:iCs/>
          <w:sz w:val="22"/>
          <w:szCs w:val="22"/>
          <w:u w:val="single"/>
        </w:rPr>
        <w:t>Rashodi za zaposlene (31</w:t>
      </w:r>
      <w:r w:rsidRPr="00732E93">
        <w:rPr>
          <w:i/>
          <w:iCs/>
          <w:sz w:val="22"/>
          <w:szCs w:val="22"/>
        </w:rPr>
        <w:t xml:space="preserve">) </w:t>
      </w:r>
      <w:r w:rsidRPr="00732E93">
        <w:rPr>
          <w:sz w:val="22"/>
          <w:szCs w:val="22"/>
        </w:rPr>
        <w:t xml:space="preserve">u iznosu od </w:t>
      </w:r>
      <w:r w:rsidR="004E5045">
        <w:rPr>
          <w:sz w:val="22"/>
          <w:szCs w:val="22"/>
        </w:rPr>
        <w:t>6.293.652,52</w:t>
      </w:r>
      <w:r w:rsidRPr="00732E93">
        <w:rPr>
          <w:sz w:val="22"/>
          <w:szCs w:val="22"/>
        </w:rPr>
        <w:t xml:space="preserve"> eura bilježe povećanje u iznosu od </w:t>
      </w:r>
      <w:r w:rsidR="004E5045">
        <w:rPr>
          <w:sz w:val="22"/>
          <w:szCs w:val="22"/>
        </w:rPr>
        <w:t>34,27</w:t>
      </w:r>
      <w:r w:rsidRPr="00732E93">
        <w:rPr>
          <w:sz w:val="22"/>
          <w:szCs w:val="22"/>
        </w:rPr>
        <w:t>%, a sastoje se od rashoda za:</w:t>
      </w:r>
    </w:p>
    <w:p w14:paraId="3DA4B332" w14:textId="77777777" w:rsidR="00EB3B0D" w:rsidRPr="00732E93" w:rsidRDefault="00EB3B0D" w:rsidP="005C7D71">
      <w:pPr>
        <w:widowControl w:val="0"/>
        <w:autoSpaceDN w:val="0"/>
        <w:adjustRightInd w:val="0"/>
        <w:spacing w:line="240" w:lineRule="auto"/>
        <w:contextualSpacing/>
        <w:jc w:val="both"/>
        <w:rPr>
          <w:rFonts w:ascii="Times New Roman" w:hAnsi="Times New Roman" w:cs="Times New Roman"/>
          <w:sz w:val="10"/>
          <w:szCs w:val="10"/>
          <w:lang w:eastAsia="hr-HR"/>
        </w:rPr>
      </w:pPr>
    </w:p>
    <w:p w14:paraId="246E1823" w14:textId="40C61F14" w:rsidR="005C7D71" w:rsidRPr="00732E93" w:rsidRDefault="005C7D71" w:rsidP="005C7D71">
      <w:pPr>
        <w:widowControl w:val="0"/>
        <w:autoSpaceDN w:val="0"/>
        <w:adjustRightInd w:val="0"/>
        <w:spacing w:line="240" w:lineRule="auto"/>
        <w:contextualSpacing/>
        <w:jc w:val="both"/>
        <w:rPr>
          <w:rFonts w:ascii="Times New Roman" w:hAnsi="Times New Roman" w:cs="Times New Roman"/>
          <w:lang w:eastAsia="hr-HR"/>
        </w:rPr>
      </w:pPr>
      <w:r w:rsidRPr="00732E93">
        <w:rPr>
          <w:rFonts w:ascii="Times New Roman" w:hAnsi="Times New Roman" w:cs="Times New Roman"/>
          <w:lang w:eastAsia="hr-HR"/>
        </w:rPr>
        <w:t xml:space="preserve">Rashode za zaposlene u Gradu Garešnici u iznosu od </w:t>
      </w:r>
      <w:r w:rsidR="004E5045">
        <w:rPr>
          <w:rFonts w:ascii="Times New Roman" w:hAnsi="Times New Roman" w:cs="Times New Roman"/>
          <w:lang w:eastAsia="hr-HR"/>
        </w:rPr>
        <w:t xml:space="preserve">865.958,52 </w:t>
      </w:r>
      <w:r w:rsidRPr="00732E93">
        <w:rPr>
          <w:rFonts w:ascii="Times New Roman" w:hAnsi="Times New Roman" w:cs="Times New Roman"/>
          <w:lang w:eastAsia="hr-HR"/>
        </w:rPr>
        <w:t xml:space="preserve">€, </w:t>
      </w:r>
      <w:r w:rsidR="00EB3B0D">
        <w:rPr>
          <w:rFonts w:ascii="Times New Roman" w:hAnsi="Times New Roman" w:cs="Times New Roman"/>
          <w:lang w:eastAsia="hr-HR"/>
        </w:rPr>
        <w:t>povećanje 47,6</w:t>
      </w:r>
      <w:r w:rsidRPr="00732E93">
        <w:rPr>
          <w:rFonts w:ascii="Times New Roman" w:hAnsi="Times New Roman" w:cs="Times New Roman"/>
          <w:lang w:eastAsia="hr-HR"/>
        </w:rPr>
        <w:t>% i obuhvaća:</w:t>
      </w:r>
    </w:p>
    <w:p w14:paraId="2EA0C65D" w14:textId="3A9CA0D7" w:rsidR="005C7D71" w:rsidRPr="00732E93" w:rsidRDefault="005C7D71" w:rsidP="005C7D71">
      <w:pPr>
        <w:widowControl w:val="0"/>
        <w:autoSpaceDN w:val="0"/>
        <w:adjustRightInd w:val="0"/>
        <w:spacing w:line="240" w:lineRule="auto"/>
        <w:contextualSpacing/>
        <w:jc w:val="both"/>
        <w:rPr>
          <w:rFonts w:ascii="Times New Roman" w:hAnsi="Times New Roman" w:cs="Times New Roman"/>
          <w:lang w:eastAsia="hr-HR"/>
        </w:rPr>
      </w:pPr>
      <w:r w:rsidRPr="00732E93">
        <w:rPr>
          <w:rFonts w:ascii="Times New Roman" w:hAnsi="Times New Roman" w:cs="Times New Roman"/>
          <w:lang w:eastAsia="hr-HR"/>
        </w:rPr>
        <w:t xml:space="preserve">- rashode za redovno zaposlene u javnoj upravi koje iznose </w:t>
      </w:r>
      <w:r w:rsidR="004E5045">
        <w:rPr>
          <w:rFonts w:ascii="Times New Roman" w:hAnsi="Times New Roman" w:cs="Times New Roman"/>
          <w:lang w:eastAsia="hr-HR"/>
        </w:rPr>
        <w:t>557.098,59</w:t>
      </w:r>
      <w:r w:rsidRPr="00732E93">
        <w:rPr>
          <w:rFonts w:ascii="Times New Roman" w:hAnsi="Times New Roman" w:cs="Times New Roman"/>
          <w:lang w:eastAsia="hr-HR"/>
        </w:rPr>
        <w:t xml:space="preserve"> €</w:t>
      </w:r>
      <w:r w:rsidR="00EB3B0D">
        <w:rPr>
          <w:rFonts w:ascii="Times New Roman" w:hAnsi="Times New Roman" w:cs="Times New Roman"/>
          <w:lang w:eastAsia="hr-HR"/>
        </w:rPr>
        <w:t xml:space="preserve"> </w:t>
      </w:r>
      <w:r w:rsidR="00B95AC0">
        <w:rPr>
          <w:rFonts w:ascii="Times New Roman" w:hAnsi="Times New Roman" w:cs="Times New Roman"/>
          <w:lang w:eastAsia="hr-HR"/>
        </w:rPr>
        <w:t>,</w:t>
      </w:r>
    </w:p>
    <w:p w14:paraId="68E6BAD8" w14:textId="146850CE" w:rsidR="005C7D71" w:rsidRPr="00732E93" w:rsidRDefault="005C7D71" w:rsidP="005C7D71">
      <w:pPr>
        <w:widowControl w:val="0"/>
        <w:autoSpaceDN w:val="0"/>
        <w:adjustRightInd w:val="0"/>
        <w:spacing w:line="240" w:lineRule="auto"/>
        <w:contextualSpacing/>
        <w:jc w:val="both"/>
        <w:rPr>
          <w:rFonts w:ascii="Times New Roman" w:hAnsi="Times New Roman" w:cs="Times New Roman"/>
          <w:lang w:eastAsia="hr-HR"/>
        </w:rPr>
      </w:pPr>
      <w:r w:rsidRPr="00732E93">
        <w:rPr>
          <w:rFonts w:ascii="Times New Roman" w:hAnsi="Times New Roman" w:cs="Times New Roman"/>
          <w:lang w:eastAsia="hr-HR"/>
        </w:rPr>
        <w:t xml:space="preserve">- zaposlene u programu Javnih radova u iznosu od </w:t>
      </w:r>
      <w:r w:rsidR="004E5045">
        <w:rPr>
          <w:rFonts w:ascii="Times New Roman" w:hAnsi="Times New Roman" w:cs="Times New Roman"/>
          <w:lang w:eastAsia="hr-HR"/>
        </w:rPr>
        <w:t>5.918,20</w:t>
      </w:r>
      <w:r w:rsidRPr="00732E93">
        <w:rPr>
          <w:rFonts w:ascii="Times New Roman" w:hAnsi="Times New Roman" w:cs="Times New Roman"/>
          <w:lang w:eastAsia="hr-HR"/>
        </w:rPr>
        <w:t xml:space="preserve"> €</w:t>
      </w:r>
      <w:r w:rsidR="00EB3B0D">
        <w:rPr>
          <w:rFonts w:ascii="Times New Roman" w:hAnsi="Times New Roman" w:cs="Times New Roman"/>
          <w:lang w:eastAsia="hr-HR"/>
        </w:rPr>
        <w:t xml:space="preserve"> </w:t>
      </w:r>
    </w:p>
    <w:p w14:paraId="769AE13C" w14:textId="6FF45C54" w:rsidR="005C7D71" w:rsidRPr="00732E93" w:rsidRDefault="005C7D71" w:rsidP="005C7D71">
      <w:pPr>
        <w:widowControl w:val="0"/>
        <w:autoSpaceDN w:val="0"/>
        <w:adjustRightInd w:val="0"/>
        <w:spacing w:line="240" w:lineRule="auto"/>
        <w:contextualSpacing/>
        <w:jc w:val="both"/>
        <w:rPr>
          <w:rFonts w:ascii="Times New Roman" w:hAnsi="Times New Roman" w:cs="Times New Roman"/>
          <w:lang w:eastAsia="hr-HR"/>
        </w:rPr>
      </w:pPr>
      <w:r w:rsidRPr="00732E93">
        <w:rPr>
          <w:rFonts w:ascii="Times New Roman" w:hAnsi="Times New Roman" w:cs="Times New Roman"/>
          <w:lang w:eastAsia="hr-HR"/>
        </w:rPr>
        <w:t xml:space="preserve">- zaposlene temeljem projekta „Nikad nije kasno -  faza IV“  u iznosu od </w:t>
      </w:r>
      <w:r w:rsidR="004E5045">
        <w:rPr>
          <w:rFonts w:ascii="Times New Roman" w:hAnsi="Times New Roman" w:cs="Times New Roman"/>
          <w:lang w:eastAsia="hr-HR"/>
        </w:rPr>
        <w:t>302.941,73</w:t>
      </w:r>
      <w:r w:rsidRPr="00732E93">
        <w:rPr>
          <w:rFonts w:ascii="Times New Roman" w:hAnsi="Times New Roman" w:cs="Times New Roman"/>
          <w:lang w:eastAsia="hr-HR"/>
        </w:rPr>
        <w:t xml:space="preserve"> € (započeo u ožujku 2024. godine i zaposleno je 30 žena</w:t>
      </w:r>
      <w:r w:rsidR="00EB3B0D">
        <w:rPr>
          <w:rFonts w:ascii="Times New Roman" w:hAnsi="Times New Roman" w:cs="Times New Roman"/>
          <w:lang w:eastAsia="hr-HR"/>
        </w:rPr>
        <w:t xml:space="preserve"> – povećanje 93</w:t>
      </w:r>
      <w:r w:rsidR="00C63854">
        <w:rPr>
          <w:rFonts w:ascii="Times New Roman" w:hAnsi="Times New Roman" w:cs="Times New Roman"/>
          <w:lang w:eastAsia="hr-HR"/>
        </w:rPr>
        <w:t>,42</w:t>
      </w:r>
      <w:r w:rsidR="00EB3B0D">
        <w:rPr>
          <w:rFonts w:ascii="Times New Roman" w:hAnsi="Times New Roman" w:cs="Times New Roman"/>
          <w:lang w:eastAsia="hr-HR"/>
        </w:rPr>
        <w:t>%)</w:t>
      </w:r>
    </w:p>
    <w:p w14:paraId="2EBFA2CC" w14:textId="77777777" w:rsidR="005C7D71" w:rsidRPr="00732E93" w:rsidRDefault="005C7D71" w:rsidP="005C7D71">
      <w:pPr>
        <w:widowControl w:val="0"/>
        <w:autoSpaceDN w:val="0"/>
        <w:adjustRightInd w:val="0"/>
        <w:spacing w:line="240" w:lineRule="auto"/>
        <w:contextualSpacing/>
        <w:jc w:val="both"/>
        <w:rPr>
          <w:rFonts w:ascii="Times New Roman" w:hAnsi="Times New Roman" w:cs="Times New Roman"/>
          <w:sz w:val="10"/>
          <w:szCs w:val="10"/>
          <w:lang w:eastAsia="hr-HR"/>
        </w:rPr>
      </w:pPr>
    </w:p>
    <w:p w14:paraId="08D54A73" w14:textId="77777777" w:rsidR="005C7D71" w:rsidRPr="00732E93" w:rsidRDefault="005C7D71" w:rsidP="005C7D71">
      <w:pPr>
        <w:widowControl w:val="0"/>
        <w:autoSpaceDN w:val="0"/>
        <w:adjustRightInd w:val="0"/>
        <w:spacing w:line="240" w:lineRule="auto"/>
        <w:contextualSpacing/>
        <w:jc w:val="both"/>
        <w:rPr>
          <w:rFonts w:ascii="Times New Roman" w:hAnsi="Times New Roman" w:cs="Times New Roman"/>
          <w:lang w:eastAsia="hr-HR"/>
        </w:rPr>
      </w:pPr>
      <w:r w:rsidRPr="00732E93">
        <w:rPr>
          <w:rFonts w:ascii="Times New Roman" w:hAnsi="Times New Roman" w:cs="Times New Roman"/>
          <w:lang w:eastAsia="hr-HR"/>
        </w:rPr>
        <w:t>Iznosi rashoda za zaposlene kod korisnika:</w:t>
      </w:r>
    </w:p>
    <w:p w14:paraId="7995C530" w14:textId="2A518120" w:rsidR="005C7D71" w:rsidRPr="00732E93" w:rsidRDefault="005C7D71" w:rsidP="003734CB">
      <w:pPr>
        <w:widowControl w:val="0"/>
        <w:numPr>
          <w:ilvl w:val="0"/>
          <w:numId w:val="3"/>
        </w:numPr>
        <w:autoSpaceDE w:val="0"/>
        <w:autoSpaceDN w:val="0"/>
        <w:adjustRightInd w:val="0"/>
        <w:spacing w:after="0" w:line="240" w:lineRule="auto"/>
        <w:ind w:left="142" w:hanging="142"/>
        <w:contextualSpacing/>
        <w:jc w:val="both"/>
        <w:rPr>
          <w:rFonts w:ascii="Times New Roman" w:hAnsi="Times New Roman" w:cs="Times New Roman"/>
          <w:lang w:eastAsia="hr-HR"/>
        </w:rPr>
      </w:pPr>
      <w:r w:rsidRPr="00732E93">
        <w:rPr>
          <w:rFonts w:ascii="Times New Roman" w:hAnsi="Times New Roman" w:cs="Times New Roman"/>
          <w:lang w:eastAsia="hr-HR"/>
        </w:rPr>
        <w:t xml:space="preserve">Javna vatrogasna postrojba u iznosu od </w:t>
      </w:r>
      <w:r w:rsidR="00EB3B0D">
        <w:rPr>
          <w:rFonts w:ascii="Times New Roman" w:hAnsi="Times New Roman" w:cs="Times New Roman"/>
          <w:lang w:eastAsia="hr-HR"/>
        </w:rPr>
        <w:t>778.699,18</w:t>
      </w:r>
      <w:r w:rsidRPr="00732E93">
        <w:rPr>
          <w:rFonts w:ascii="Times New Roman" w:hAnsi="Times New Roman" w:cs="Times New Roman"/>
          <w:lang w:eastAsia="hr-HR"/>
        </w:rPr>
        <w:t xml:space="preserve"> </w:t>
      </w:r>
      <w:r w:rsidR="00857496">
        <w:rPr>
          <w:rFonts w:ascii="Times New Roman" w:hAnsi="Times New Roman" w:cs="Times New Roman"/>
          <w:lang w:eastAsia="hr-HR"/>
        </w:rPr>
        <w:t>€</w:t>
      </w:r>
    </w:p>
    <w:p w14:paraId="01BAB11C" w14:textId="25347A9E" w:rsidR="005C7D71" w:rsidRPr="00732E93" w:rsidRDefault="005C7D71" w:rsidP="003734CB">
      <w:pPr>
        <w:widowControl w:val="0"/>
        <w:numPr>
          <w:ilvl w:val="0"/>
          <w:numId w:val="3"/>
        </w:numPr>
        <w:autoSpaceDE w:val="0"/>
        <w:autoSpaceDN w:val="0"/>
        <w:adjustRightInd w:val="0"/>
        <w:spacing w:after="0" w:line="240" w:lineRule="auto"/>
        <w:ind w:left="142" w:hanging="142"/>
        <w:contextualSpacing/>
        <w:jc w:val="both"/>
        <w:rPr>
          <w:rFonts w:ascii="Times New Roman" w:hAnsi="Times New Roman" w:cs="Times New Roman"/>
          <w:lang w:eastAsia="hr-HR"/>
        </w:rPr>
      </w:pPr>
      <w:r w:rsidRPr="00732E93">
        <w:rPr>
          <w:rFonts w:ascii="Times New Roman" w:hAnsi="Times New Roman" w:cs="Times New Roman"/>
          <w:lang w:eastAsia="hr-HR"/>
        </w:rPr>
        <w:t xml:space="preserve">Dječji vrtić Maslačak u iznosu od </w:t>
      </w:r>
      <w:r w:rsidR="00EB3B0D">
        <w:rPr>
          <w:rFonts w:ascii="Times New Roman" w:hAnsi="Times New Roman" w:cs="Times New Roman"/>
          <w:lang w:eastAsia="hr-HR"/>
        </w:rPr>
        <w:t>1.510.896,98</w:t>
      </w:r>
      <w:r w:rsidRPr="00732E93">
        <w:rPr>
          <w:rFonts w:ascii="Times New Roman" w:hAnsi="Times New Roman" w:cs="Times New Roman"/>
          <w:lang w:eastAsia="hr-HR"/>
        </w:rPr>
        <w:t xml:space="preserve"> €</w:t>
      </w:r>
    </w:p>
    <w:p w14:paraId="72293D96" w14:textId="155BB041" w:rsidR="005C7D71" w:rsidRPr="00732E93" w:rsidRDefault="005C7D71" w:rsidP="003734CB">
      <w:pPr>
        <w:widowControl w:val="0"/>
        <w:numPr>
          <w:ilvl w:val="0"/>
          <w:numId w:val="3"/>
        </w:numPr>
        <w:autoSpaceDE w:val="0"/>
        <w:autoSpaceDN w:val="0"/>
        <w:adjustRightInd w:val="0"/>
        <w:spacing w:after="0" w:line="240" w:lineRule="auto"/>
        <w:ind w:left="142" w:hanging="142"/>
        <w:contextualSpacing/>
        <w:jc w:val="both"/>
        <w:rPr>
          <w:rFonts w:ascii="Times New Roman" w:hAnsi="Times New Roman" w:cs="Times New Roman"/>
          <w:lang w:eastAsia="hr-HR"/>
        </w:rPr>
      </w:pPr>
      <w:r w:rsidRPr="00732E93">
        <w:rPr>
          <w:rFonts w:ascii="Times New Roman" w:hAnsi="Times New Roman" w:cs="Times New Roman"/>
          <w:lang w:eastAsia="hr-HR"/>
        </w:rPr>
        <w:t xml:space="preserve">Hrvatska knjižnica i čitaonica u iznosu od </w:t>
      </w:r>
      <w:r w:rsidR="00EB3B0D">
        <w:rPr>
          <w:rFonts w:ascii="Times New Roman" w:hAnsi="Times New Roman" w:cs="Times New Roman"/>
          <w:lang w:eastAsia="hr-HR"/>
        </w:rPr>
        <w:t>108.114,67</w:t>
      </w:r>
      <w:r w:rsidRPr="00732E93">
        <w:rPr>
          <w:rFonts w:ascii="Times New Roman" w:hAnsi="Times New Roman" w:cs="Times New Roman"/>
          <w:lang w:eastAsia="hr-HR"/>
        </w:rPr>
        <w:t xml:space="preserve"> €, </w:t>
      </w:r>
    </w:p>
    <w:p w14:paraId="332C8919" w14:textId="71C4F5C2" w:rsidR="005C7D71" w:rsidRPr="00732E93" w:rsidRDefault="005C7D71" w:rsidP="003734CB">
      <w:pPr>
        <w:widowControl w:val="0"/>
        <w:numPr>
          <w:ilvl w:val="0"/>
          <w:numId w:val="3"/>
        </w:numPr>
        <w:autoSpaceDE w:val="0"/>
        <w:autoSpaceDN w:val="0"/>
        <w:adjustRightInd w:val="0"/>
        <w:spacing w:after="0" w:line="240" w:lineRule="auto"/>
        <w:ind w:left="142" w:hanging="142"/>
        <w:contextualSpacing/>
        <w:jc w:val="both"/>
        <w:rPr>
          <w:rFonts w:ascii="Times New Roman" w:hAnsi="Times New Roman" w:cs="Times New Roman"/>
          <w:lang w:eastAsia="hr-HR"/>
        </w:rPr>
      </w:pPr>
      <w:r w:rsidRPr="00732E93">
        <w:rPr>
          <w:rFonts w:ascii="Times New Roman" w:hAnsi="Times New Roman" w:cs="Times New Roman"/>
          <w:lang w:eastAsia="hr-HR"/>
        </w:rPr>
        <w:lastRenderedPageBreak/>
        <w:t xml:space="preserve">Javna ustanova Garešnica u iznosu od </w:t>
      </w:r>
      <w:r w:rsidR="00EB3B0D">
        <w:rPr>
          <w:rFonts w:ascii="Times New Roman" w:hAnsi="Times New Roman" w:cs="Times New Roman"/>
          <w:lang w:eastAsia="hr-HR"/>
        </w:rPr>
        <w:t>106.050,86</w:t>
      </w:r>
      <w:r w:rsidRPr="00732E93">
        <w:rPr>
          <w:rFonts w:ascii="Times New Roman" w:hAnsi="Times New Roman" w:cs="Times New Roman"/>
          <w:lang w:eastAsia="hr-HR"/>
        </w:rPr>
        <w:t xml:space="preserve"> €, </w:t>
      </w:r>
    </w:p>
    <w:p w14:paraId="4E945A53" w14:textId="15EBF5C3" w:rsidR="005C7D71" w:rsidRPr="00732E93" w:rsidRDefault="005C7D71" w:rsidP="003734CB">
      <w:pPr>
        <w:widowControl w:val="0"/>
        <w:numPr>
          <w:ilvl w:val="0"/>
          <w:numId w:val="3"/>
        </w:numPr>
        <w:autoSpaceDE w:val="0"/>
        <w:autoSpaceDN w:val="0"/>
        <w:adjustRightInd w:val="0"/>
        <w:spacing w:after="0" w:line="240" w:lineRule="auto"/>
        <w:ind w:left="142" w:hanging="142"/>
        <w:contextualSpacing/>
        <w:jc w:val="both"/>
        <w:rPr>
          <w:rFonts w:ascii="Times New Roman" w:hAnsi="Times New Roman" w:cs="Times New Roman"/>
          <w:lang w:eastAsia="hr-HR"/>
        </w:rPr>
      </w:pPr>
      <w:r w:rsidRPr="00732E93">
        <w:rPr>
          <w:rFonts w:ascii="Times New Roman" w:hAnsi="Times New Roman" w:cs="Times New Roman"/>
          <w:lang w:eastAsia="hr-HR"/>
        </w:rPr>
        <w:t xml:space="preserve">Osnovna škola Garešnica u iznosu od </w:t>
      </w:r>
      <w:r w:rsidR="00EB3B0D">
        <w:rPr>
          <w:rFonts w:ascii="Times New Roman" w:hAnsi="Times New Roman" w:cs="Times New Roman"/>
          <w:lang w:eastAsia="hr-HR"/>
        </w:rPr>
        <w:t>2.370.413,32</w:t>
      </w:r>
      <w:r w:rsidRPr="00732E93">
        <w:rPr>
          <w:rFonts w:ascii="Times New Roman" w:hAnsi="Times New Roman" w:cs="Times New Roman"/>
          <w:lang w:eastAsia="hr-HR"/>
        </w:rPr>
        <w:t xml:space="preserve"> € </w:t>
      </w:r>
    </w:p>
    <w:p w14:paraId="2C59FE9E" w14:textId="0792883C" w:rsidR="005C7D71" w:rsidRPr="00732E93" w:rsidRDefault="005C7D71" w:rsidP="003734CB">
      <w:pPr>
        <w:widowControl w:val="0"/>
        <w:numPr>
          <w:ilvl w:val="0"/>
          <w:numId w:val="3"/>
        </w:numPr>
        <w:autoSpaceDE w:val="0"/>
        <w:autoSpaceDN w:val="0"/>
        <w:adjustRightInd w:val="0"/>
        <w:spacing w:after="0" w:line="240" w:lineRule="auto"/>
        <w:ind w:left="142" w:hanging="142"/>
        <w:contextualSpacing/>
        <w:jc w:val="both"/>
        <w:rPr>
          <w:rFonts w:ascii="Times New Roman" w:hAnsi="Times New Roman" w:cs="Times New Roman"/>
          <w:lang w:eastAsia="hr-HR"/>
        </w:rPr>
      </w:pPr>
      <w:r w:rsidRPr="00732E93">
        <w:rPr>
          <w:rFonts w:ascii="Times New Roman" w:hAnsi="Times New Roman" w:cs="Times New Roman"/>
          <w:lang w:eastAsia="hr-HR"/>
        </w:rPr>
        <w:t xml:space="preserve">Osnovna škola </w:t>
      </w:r>
      <w:proofErr w:type="spellStart"/>
      <w:r w:rsidRPr="00732E93">
        <w:rPr>
          <w:rFonts w:ascii="Times New Roman" w:hAnsi="Times New Roman" w:cs="Times New Roman"/>
          <w:lang w:eastAsia="hr-HR"/>
        </w:rPr>
        <w:t>Trnovitički</w:t>
      </w:r>
      <w:proofErr w:type="spellEnd"/>
      <w:r w:rsidRPr="00732E93">
        <w:rPr>
          <w:rFonts w:ascii="Times New Roman" w:hAnsi="Times New Roman" w:cs="Times New Roman"/>
          <w:lang w:eastAsia="hr-HR"/>
        </w:rPr>
        <w:t xml:space="preserve"> Popovac u iznosu od </w:t>
      </w:r>
      <w:r w:rsidR="00EB3B0D">
        <w:rPr>
          <w:rFonts w:ascii="Times New Roman" w:hAnsi="Times New Roman" w:cs="Times New Roman"/>
          <w:lang w:eastAsia="hr-HR"/>
        </w:rPr>
        <w:t>553.518,99</w:t>
      </w:r>
      <w:r w:rsidRPr="00732E93">
        <w:rPr>
          <w:rFonts w:ascii="Times New Roman" w:hAnsi="Times New Roman" w:cs="Times New Roman"/>
          <w:lang w:eastAsia="hr-HR"/>
        </w:rPr>
        <w:t xml:space="preserve"> €</w:t>
      </w:r>
      <w:r w:rsidR="00376816">
        <w:rPr>
          <w:rFonts w:ascii="Times New Roman" w:hAnsi="Times New Roman" w:cs="Times New Roman"/>
          <w:lang w:eastAsia="hr-HR"/>
        </w:rPr>
        <w:t>.</w:t>
      </w:r>
      <w:r w:rsidRPr="00732E93">
        <w:rPr>
          <w:rFonts w:ascii="Times New Roman" w:hAnsi="Times New Roman" w:cs="Times New Roman"/>
          <w:lang w:eastAsia="hr-HR"/>
        </w:rPr>
        <w:t xml:space="preserve"> </w:t>
      </w:r>
    </w:p>
    <w:p w14:paraId="2E4FBD8A" w14:textId="77777777" w:rsidR="00857496" w:rsidRDefault="00857496" w:rsidP="005C7D71">
      <w:pPr>
        <w:widowControl w:val="0"/>
        <w:autoSpaceDN w:val="0"/>
        <w:adjustRightInd w:val="0"/>
        <w:spacing w:line="240" w:lineRule="auto"/>
        <w:contextualSpacing/>
        <w:jc w:val="both"/>
        <w:rPr>
          <w:rFonts w:ascii="Times New Roman" w:hAnsi="Times New Roman" w:cs="Times New Roman"/>
          <w:lang w:eastAsia="hr-HR"/>
        </w:rPr>
      </w:pPr>
    </w:p>
    <w:p w14:paraId="2F2F9664" w14:textId="5DDE6229" w:rsidR="00857496" w:rsidRDefault="00857496" w:rsidP="005C7D71">
      <w:pPr>
        <w:widowControl w:val="0"/>
        <w:autoSpaceDN w:val="0"/>
        <w:adjustRightInd w:val="0"/>
        <w:spacing w:line="240" w:lineRule="auto"/>
        <w:contextualSpacing/>
        <w:jc w:val="both"/>
        <w:rPr>
          <w:rFonts w:ascii="Times New Roman" w:hAnsi="Times New Roman" w:cs="Times New Roman"/>
          <w:lang w:eastAsia="hr-HR"/>
        </w:rPr>
      </w:pPr>
      <w:r>
        <w:rPr>
          <w:rFonts w:ascii="Times New Roman" w:hAnsi="Times New Roman" w:cs="Times New Roman"/>
          <w:lang w:eastAsia="hr-HR"/>
        </w:rPr>
        <w:t>Glavni razlog povećanja rashoda za zaposlene je što su u konsolidiranom proračunu u 2024. godini, sukladno novom Pravilniku o proračunskom računovodstvu i računskom planu</w:t>
      </w:r>
      <w:r w:rsidR="00376816">
        <w:rPr>
          <w:rFonts w:ascii="Times New Roman" w:hAnsi="Times New Roman" w:cs="Times New Roman"/>
          <w:lang w:eastAsia="hr-HR"/>
        </w:rPr>
        <w:t>, kod proračunskih korisnika (Javne vatrogasne postrojbe, Dječjeg vrtića Maslačak, Hrvatske knjižnice i čitaonice te Javne ustanove Garešnica) evidentirani troškovi plaća (koji se financiraju od prihoda Grada Garešnice)  i za prosinac 2023. i prosinac 2024. godine (13 plaća). Isti rashodi su planirani i čine 96,25% izvršenja proračuna.</w:t>
      </w:r>
    </w:p>
    <w:p w14:paraId="2A57521A" w14:textId="77777777" w:rsidR="00857496" w:rsidRDefault="00857496" w:rsidP="005C7D71">
      <w:pPr>
        <w:widowControl w:val="0"/>
        <w:autoSpaceDN w:val="0"/>
        <w:adjustRightInd w:val="0"/>
        <w:spacing w:line="240" w:lineRule="auto"/>
        <w:contextualSpacing/>
        <w:jc w:val="both"/>
        <w:rPr>
          <w:rFonts w:ascii="Times New Roman" w:hAnsi="Times New Roman" w:cs="Times New Roman"/>
          <w:lang w:eastAsia="hr-HR"/>
        </w:rPr>
      </w:pPr>
    </w:p>
    <w:p w14:paraId="23A8677B" w14:textId="77777777" w:rsidR="005C7D71" w:rsidRPr="00732E93" w:rsidRDefault="005C7D71" w:rsidP="005C7D71">
      <w:pPr>
        <w:widowControl w:val="0"/>
        <w:autoSpaceDN w:val="0"/>
        <w:adjustRightInd w:val="0"/>
        <w:spacing w:line="240" w:lineRule="auto"/>
        <w:contextualSpacing/>
        <w:jc w:val="both"/>
        <w:rPr>
          <w:rFonts w:ascii="Times New Roman" w:hAnsi="Times New Roman" w:cs="Times New Roman"/>
          <w:lang w:eastAsia="hr-HR"/>
        </w:rPr>
      </w:pPr>
    </w:p>
    <w:p w14:paraId="0E968EA9" w14:textId="4FF428BD" w:rsidR="005C7D71" w:rsidRPr="00732E93" w:rsidRDefault="005C7D71" w:rsidP="005C7D71">
      <w:pPr>
        <w:spacing w:after="0" w:line="240" w:lineRule="auto"/>
        <w:jc w:val="both"/>
        <w:rPr>
          <w:rFonts w:ascii="Times New Roman" w:hAnsi="Times New Roman" w:cs="Times New Roman"/>
        </w:rPr>
      </w:pPr>
      <w:r w:rsidRPr="00732E93">
        <w:rPr>
          <w:rFonts w:ascii="Times New Roman" w:hAnsi="Times New Roman" w:cs="Times New Roman"/>
          <w:i/>
          <w:iCs/>
          <w:u w:val="single"/>
        </w:rPr>
        <w:t>Materijalni rashodi poslovanja (32)</w:t>
      </w:r>
      <w:r w:rsidRPr="00732E93">
        <w:rPr>
          <w:rFonts w:ascii="Times New Roman" w:hAnsi="Times New Roman" w:cs="Times New Roman"/>
          <w:b/>
          <w:bCs/>
        </w:rPr>
        <w:t xml:space="preserve"> </w:t>
      </w:r>
      <w:r w:rsidRPr="00732E93">
        <w:rPr>
          <w:rFonts w:ascii="Times New Roman" w:hAnsi="Times New Roman" w:cs="Times New Roman"/>
        </w:rPr>
        <w:t xml:space="preserve">iznose </w:t>
      </w:r>
      <w:r w:rsidR="0047278F">
        <w:rPr>
          <w:rFonts w:ascii="Times New Roman" w:hAnsi="Times New Roman" w:cs="Times New Roman"/>
        </w:rPr>
        <w:t>2.768.350,76</w:t>
      </w:r>
      <w:r w:rsidRPr="00732E93">
        <w:rPr>
          <w:rFonts w:ascii="Times New Roman" w:hAnsi="Times New Roman" w:cs="Times New Roman"/>
        </w:rPr>
        <w:t xml:space="preserve"> eura i bilježe </w:t>
      </w:r>
      <w:r w:rsidR="0047278F">
        <w:rPr>
          <w:rFonts w:ascii="Times New Roman" w:hAnsi="Times New Roman" w:cs="Times New Roman"/>
        </w:rPr>
        <w:t>povećanje</w:t>
      </w:r>
      <w:r w:rsidRPr="00732E93">
        <w:rPr>
          <w:rFonts w:ascii="Times New Roman" w:hAnsi="Times New Roman" w:cs="Times New Roman"/>
        </w:rPr>
        <w:t xml:space="preserve"> </w:t>
      </w:r>
      <w:r w:rsidR="0047278F">
        <w:rPr>
          <w:rFonts w:ascii="Times New Roman" w:hAnsi="Times New Roman" w:cs="Times New Roman"/>
        </w:rPr>
        <w:t>od 18,83</w:t>
      </w:r>
      <w:r w:rsidRPr="00732E93">
        <w:rPr>
          <w:rFonts w:ascii="Times New Roman" w:hAnsi="Times New Roman" w:cs="Times New Roman"/>
        </w:rPr>
        <w:t xml:space="preserve">% i iznose </w:t>
      </w:r>
      <w:r w:rsidR="0047278F">
        <w:rPr>
          <w:rFonts w:ascii="Times New Roman" w:hAnsi="Times New Roman" w:cs="Times New Roman"/>
        </w:rPr>
        <w:t>85,81</w:t>
      </w:r>
      <w:r w:rsidRPr="00732E93">
        <w:rPr>
          <w:rFonts w:ascii="Times New Roman" w:hAnsi="Times New Roman" w:cs="Times New Roman"/>
        </w:rPr>
        <w:t xml:space="preserve">% izvršenja proračuna. </w:t>
      </w:r>
    </w:p>
    <w:p w14:paraId="40EBACFB" w14:textId="77777777" w:rsidR="005C7D71" w:rsidRPr="00732E93" w:rsidRDefault="005C7D71" w:rsidP="005C7D71">
      <w:pPr>
        <w:spacing w:after="0" w:line="240" w:lineRule="auto"/>
        <w:jc w:val="both"/>
        <w:rPr>
          <w:rFonts w:ascii="Times New Roman" w:hAnsi="Times New Roman" w:cs="Times New Roman"/>
        </w:rPr>
      </w:pPr>
      <w:r w:rsidRPr="00732E93">
        <w:rPr>
          <w:rFonts w:ascii="Times New Roman" w:hAnsi="Times New Roman" w:cs="Times New Roman"/>
        </w:rPr>
        <w:t>Struktura istih rashoda:</w:t>
      </w:r>
    </w:p>
    <w:p w14:paraId="2C57ECE1" w14:textId="4A6BDEA6" w:rsidR="005C7D71" w:rsidRPr="00732E93" w:rsidRDefault="005C7D71" w:rsidP="003734CB">
      <w:pPr>
        <w:pStyle w:val="Odlomakpopisa"/>
        <w:widowControl w:val="0"/>
        <w:numPr>
          <w:ilvl w:val="0"/>
          <w:numId w:val="7"/>
        </w:numPr>
        <w:autoSpaceDN w:val="0"/>
        <w:adjustRightInd w:val="0"/>
        <w:ind w:left="0" w:firstLine="0"/>
        <w:jc w:val="both"/>
        <w:rPr>
          <w:sz w:val="22"/>
          <w:szCs w:val="22"/>
          <w:lang w:eastAsia="en-US"/>
        </w:rPr>
      </w:pPr>
      <w:r w:rsidRPr="00732E93">
        <w:rPr>
          <w:sz w:val="22"/>
          <w:szCs w:val="22"/>
          <w:lang w:eastAsia="en-US"/>
        </w:rPr>
        <w:t xml:space="preserve">Naknade troškova zaposlenima (321) povećane su za </w:t>
      </w:r>
      <w:r w:rsidR="0047278F">
        <w:rPr>
          <w:sz w:val="22"/>
          <w:szCs w:val="22"/>
          <w:lang w:eastAsia="en-US"/>
        </w:rPr>
        <w:t>4,46</w:t>
      </w:r>
      <w:r w:rsidRPr="00732E93">
        <w:rPr>
          <w:sz w:val="22"/>
          <w:szCs w:val="22"/>
          <w:lang w:eastAsia="en-US"/>
        </w:rPr>
        <w:t>% zbog povećanja troškova stručnog usavršavanja zaposlenika (3213) i ostalih naknada za zaposlene (3214 - troškovi korištenja vlastitog automobila u službene svrhe u projektu „Nikad nije kasno – faza IV“)</w:t>
      </w:r>
    </w:p>
    <w:p w14:paraId="44274975" w14:textId="77777777" w:rsidR="005C7D71" w:rsidRPr="00732E93" w:rsidRDefault="005C7D71" w:rsidP="005C7D71">
      <w:pPr>
        <w:pStyle w:val="Odlomakpopisa"/>
        <w:widowControl w:val="0"/>
        <w:autoSpaceDN w:val="0"/>
        <w:adjustRightInd w:val="0"/>
        <w:ind w:left="0"/>
        <w:jc w:val="both"/>
        <w:rPr>
          <w:sz w:val="10"/>
          <w:szCs w:val="10"/>
          <w:lang w:eastAsia="en-US"/>
        </w:rPr>
      </w:pPr>
    </w:p>
    <w:p w14:paraId="3239DF8D" w14:textId="0C1B7DD3" w:rsidR="005C7D71" w:rsidRPr="00732E93" w:rsidRDefault="005C7D71" w:rsidP="003734CB">
      <w:pPr>
        <w:pStyle w:val="Odlomakpopisa"/>
        <w:widowControl w:val="0"/>
        <w:numPr>
          <w:ilvl w:val="0"/>
          <w:numId w:val="7"/>
        </w:numPr>
        <w:autoSpaceDN w:val="0"/>
        <w:adjustRightInd w:val="0"/>
        <w:spacing w:after="120"/>
        <w:ind w:left="0" w:firstLine="0"/>
        <w:jc w:val="both"/>
        <w:rPr>
          <w:sz w:val="22"/>
          <w:szCs w:val="22"/>
          <w:lang w:eastAsia="en-US"/>
        </w:rPr>
      </w:pPr>
      <w:r w:rsidRPr="00732E93">
        <w:rPr>
          <w:sz w:val="22"/>
          <w:szCs w:val="22"/>
          <w:lang w:eastAsia="en-US"/>
        </w:rPr>
        <w:t xml:space="preserve">Rashodi za materijal i  energiju (322)  ukupno su povećani za </w:t>
      </w:r>
      <w:r w:rsidR="0047278F">
        <w:rPr>
          <w:sz w:val="22"/>
          <w:szCs w:val="22"/>
          <w:lang w:eastAsia="en-US"/>
        </w:rPr>
        <w:t>9,04</w:t>
      </w:r>
      <w:r w:rsidRPr="00732E93">
        <w:rPr>
          <w:sz w:val="22"/>
          <w:szCs w:val="22"/>
          <w:lang w:eastAsia="en-US"/>
        </w:rPr>
        <w:t>% a najveće povećanje odnosi se na troškove materijala i sirovina – namirnica (3222) za dječji vrtić i osnovne škole, materijala i dijelova za tekuće i investicijsko održavanja (3224) za građevinske objekte i nerazvrstane ceste u vlasništvu Grada, te službenu i radnu obuću (3227) za korisnika Javnu vatrogasnu postrojbu Garešnica.</w:t>
      </w:r>
    </w:p>
    <w:p w14:paraId="0B242458" w14:textId="1B9A7F61" w:rsidR="005C7D71" w:rsidRPr="00732E93" w:rsidRDefault="005C7D71" w:rsidP="005C7D71">
      <w:pPr>
        <w:widowControl w:val="0"/>
        <w:autoSpaceDN w:val="0"/>
        <w:adjustRightInd w:val="0"/>
        <w:spacing w:after="120" w:line="240" w:lineRule="auto"/>
        <w:contextualSpacing/>
        <w:jc w:val="both"/>
        <w:rPr>
          <w:rFonts w:ascii="Times New Roman" w:hAnsi="Times New Roman" w:cs="Times New Roman"/>
          <w:bCs/>
          <w:iCs/>
          <w:lang w:eastAsia="hr-HR"/>
        </w:rPr>
      </w:pPr>
      <w:r w:rsidRPr="00732E93">
        <w:rPr>
          <w:rFonts w:ascii="Times New Roman" w:hAnsi="Times New Roman" w:cs="Times New Roman"/>
        </w:rPr>
        <w:t xml:space="preserve">- Rashodi za usluge (323) </w:t>
      </w:r>
      <w:r w:rsidR="0047278F">
        <w:rPr>
          <w:rFonts w:ascii="Times New Roman" w:hAnsi="Times New Roman" w:cs="Times New Roman"/>
        </w:rPr>
        <w:t>povećani su za 25,94</w:t>
      </w:r>
      <w:r w:rsidRPr="00732E93">
        <w:rPr>
          <w:rFonts w:ascii="Times New Roman" w:hAnsi="Times New Roman" w:cs="Times New Roman"/>
        </w:rPr>
        <w:t>%,</w:t>
      </w:r>
      <w:r w:rsidRPr="00732E93">
        <w:rPr>
          <w:rFonts w:ascii="Times New Roman" w:hAnsi="Times New Roman" w:cs="Times New Roman"/>
          <w:bCs/>
          <w:iCs/>
          <w:lang w:eastAsia="hr-HR"/>
        </w:rPr>
        <w:t xml:space="preserve"> a najveće </w:t>
      </w:r>
      <w:r w:rsidR="0047278F">
        <w:rPr>
          <w:rFonts w:ascii="Times New Roman" w:hAnsi="Times New Roman" w:cs="Times New Roman"/>
          <w:bCs/>
          <w:iCs/>
          <w:lang w:eastAsia="hr-HR"/>
        </w:rPr>
        <w:t>p</w:t>
      </w:r>
      <w:r w:rsidRPr="00732E93">
        <w:rPr>
          <w:rFonts w:ascii="Times New Roman" w:hAnsi="Times New Roman" w:cs="Times New Roman"/>
          <w:bCs/>
          <w:iCs/>
          <w:lang w:eastAsia="hr-HR"/>
        </w:rPr>
        <w:t>ovećanje troškova za usluge odnosi se na usluge</w:t>
      </w:r>
      <w:r w:rsidR="0047278F">
        <w:rPr>
          <w:rFonts w:ascii="Times New Roman" w:hAnsi="Times New Roman" w:cs="Times New Roman"/>
          <w:bCs/>
          <w:iCs/>
          <w:lang w:eastAsia="hr-HR"/>
        </w:rPr>
        <w:t xml:space="preserve"> tekućeg i investicijskog održavanja,</w:t>
      </w:r>
      <w:r w:rsidRPr="00732E93">
        <w:rPr>
          <w:rFonts w:ascii="Times New Roman" w:hAnsi="Times New Roman" w:cs="Times New Roman"/>
          <w:bCs/>
          <w:iCs/>
          <w:lang w:eastAsia="hr-HR"/>
        </w:rPr>
        <w:t xml:space="preserve"> promidžbe i informiranja, komunalne usluge, zakupnine i najamnine, intelektualne </w:t>
      </w:r>
      <w:r w:rsidR="0047278F">
        <w:rPr>
          <w:rFonts w:ascii="Times New Roman" w:hAnsi="Times New Roman" w:cs="Times New Roman"/>
          <w:bCs/>
          <w:iCs/>
          <w:lang w:eastAsia="hr-HR"/>
        </w:rPr>
        <w:t>i osobne usluge</w:t>
      </w:r>
    </w:p>
    <w:p w14:paraId="0492EB4F" w14:textId="49BB2666" w:rsidR="005C7D71" w:rsidRPr="00732E93" w:rsidRDefault="005C7D71" w:rsidP="005C7D71">
      <w:pPr>
        <w:widowControl w:val="0"/>
        <w:autoSpaceDN w:val="0"/>
        <w:adjustRightInd w:val="0"/>
        <w:spacing w:after="120" w:line="240" w:lineRule="auto"/>
        <w:jc w:val="both"/>
        <w:rPr>
          <w:rFonts w:ascii="Times New Roman" w:hAnsi="Times New Roman" w:cs="Times New Roman"/>
          <w:bCs/>
          <w:iCs/>
        </w:rPr>
      </w:pPr>
      <w:r w:rsidRPr="00732E93">
        <w:rPr>
          <w:rFonts w:ascii="Times New Roman" w:hAnsi="Times New Roman" w:cs="Times New Roman"/>
        </w:rPr>
        <w:t xml:space="preserve">- Ostali nespomenuti rashodi poslovanja (329) povećani su za </w:t>
      </w:r>
      <w:r w:rsidR="00955276">
        <w:rPr>
          <w:rFonts w:ascii="Times New Roman" w:hAnsi="Times New Roman" w:cs="Times New Roman"/>
        </w:rPr>
        <w:t>15,07</w:t>
      </w:r>
      <w:r w:rsidRPr="00732E93">
        <w:rPr>
          <w:rFonts w:ascii="Times New Roman" w:hAnsi="Times New Roman" w:cs="Times New Roman"/>
        </w:rPr>
        <w:t xml:space="preserve">% , </w:t>
      </w:r>
      <w:r w:rsidRPr="00732E93">
        <w:rPr>
          <w:rFonts w:ascii="Times New Roman" w:hAnsi="Times New Roman" w:cs="Times New Roman"/>
          <w:bCs/>
          <w:iCs/>
        </w:rPr>
        <w:t>a najveće povećanje bilježe troškovi naknada za rad predstavničkih i izvršnih tijela, povjerenstva i slično koje sadržava troškove Gradskog izbornog povjerenstva i biračkih odbora zbog održavanja Izbora za  Hrvatski sabor i Europski parlament.</w:t>
      </w:r>
    </w:p>
    <w:p w14:paraId="1359F70A" w14:textId="56D331D7" w:rsidR="005C7D71" w:rsidRPr="00732E93" w:rsidRDefault="005C7D71" w:rsidP="005C7D71">
      <w:pPr>
        <w:widowControl w:val="0"/>
        <w:autoSpaceDN w:val="0"/>
        <w:adjustRightInd w:val="0"/>
        <w:spacing w:line="240" w:lineRule="auto"/>
        <w:contextualSpacing/>
        <w:jc w:val="both"/>
        <w:rPr>
          <w:rFonts w:ascii="Times New Roman" w:hAnsi="Times New Roman" w:cs="Times New Roman"/>
          <w:lang w:eastAsia="hr-HR"/>
        </w:rPr>
      </w:pPr>
      <w:r w:rsidRPr="00732E93">
        <w:rPr>
          <w:rFonts w:ascii="Times New Roman" w:hAnsi="Times New Roman" w:cs="Times New Roman"/>
          <w:i/>
          <w:iCs/>
          <w:u w:val="single"/>
          <w:lang w:eastAsia="hr-HR"/>
        </w:rPr>
        <w:t>Financijski rashodi (34)</w:t>
      </w:r>
      <w:r w:rsidRPr="00732E93">
        <w:rPr>
          <w:rFonts w:ascii="Times New Roman" w:hAnsi="Times New Roman" w:cs="Times New Roman"/>
          <w:lang w:eastAsia="hr-HR"/>
        </w:rPr>
        <w:t xml:space="preserve"> </w:t>
      </w:r>
      <w:r w:rsidR="00955276">
        <w:rPr>
          <w:rFonts w:ascii="Times New Roman" w:hAnsi="Times New Roman" w:cs="Times New Roman"/>
          <w:lang w:eastAsia="hr-HR"/>
        </w:rPr>
        <w:t>povećani</w:t>
      </w:r>
      <w:r w:rsidRPr="00732E93">
        <w:rPr>
          <w:rFonts w:ascii="Times New Roman" w:hAnsi="Times New Roman" w:cs="Times New Roman"/>
          <w:lang w:eastAsia="hr-HR"/>
        </w:rPr>
        <w:t xml:space="preserve"> su za </w:t>
      </w:r>
      <w:r w:rsidR="00955276">
        <w:rPr>
          <w:rFonts w:ascii="Times New Roman" w:hAnsi="Times New Roman" w:cs="Times New Roman"/>
          <w:lang w:eastAsia="hr-HR"/>
        </w:rPr>
        <w:t>25,11</w:t>
      </w:r>
      <w:r w:rsidRPr="00732E93">
        <w:rPr>
          <w:rFonts w:ascii="Times New Roman" w:hAnsi="Times New Roman" w:cs="Times New Roman"/>
          <w:lang w:eastAsia="hr-HR"/>
        </w:rPr>
        <w:t>% i sastoje se najvećim dijelom od bankarskih usluga.</w:t>
      </w:r>
      <w:r w:rsidR="00955276">
        <w:rPr>
          <w:rFonts w:ascii="Times New Roman" w:hAnsi="Times New Roman" w:cs="Times New Roman"/>
          <w:lang w:eastAsia="hr-HR"/>
        </w:rPr>
        <w:t xml:space="preserve"> U 2024. godini imali smo evidentirani trošak obrade dugoročnog kredita koji je djelomično rezultat istog povećanja.</w:t>
      </w:r>
    </w:p>
    <w:p w14:paraId="7D66FD17" w14:textId="77777777" w:rsidR="005C7D71" w:rsidRPr="00732E93" w:rsidRDefault="005C7D71" w:rsidP="005C7D71">
      <w:pPr>
        <w:widowControl w:val="0"/>
        <w:autoSpaceDN w:val="0"/>
        <w:adjustRightInd w:val="0"/>
        <w:spacing w:line="240" w:lineRule="auto"/>
        <w:contextualSpacing/>
        <w:jc w:val="both"/>
        <w:rPr>
          <w:rFonts w:ascii="Times New Roman" w:hAnsi="Times New Roman" w:cs="Times New Roman"/>
          <w:lang w:eastAsia="hr-HR"/>
        </w:rPr>
      </w:pPr>
    </w:p>
    <w:p w14:paraId="73085FFA" w14:textId="7D92A304" w:rsidR="005C7D71" w:rsidRPr="00732E93" w:rsidRDefault="005C7D71" w:rsidP="005C7D71">
      <w:pPr>
        <w:widowControl w:val="0"/>
        <w:autoSpaceDN w:val="0"/>
        <w:adjustRightInd w:val="0"/>
        <w:spacing w:line="240" w:lineRule="auto"/>
        <w:contextualSpacing/>
        <w:jc w:val="both"/>
        <w:rPr>
          <w:rFonts w:ascii="Times New Roman" w:hAnsi="Times New Roman" w:cs="Times New Roman"/>
          <w:bCs/>
          <w:iCs/>
          <w:lang w:eastAsia="hr-HR"/>
        </w:rPr>
      </w:pPr>
      <w:r w:rsidRPr="00732E93">
        <w:rPr>
          <w:rFonts w:ascii="Times New Roman" w:hAnsi="Times New Roman" w:cs="Times New Roman"/>
          <w:i/>
          <w:iCs/>
          <w:u w:val="single"/>
          <w:lang w:eastAsia="hr-HR"/>
        </w:rPr>
        <w:t>Subvencije trgovačkim društvima, poljoprivrednicima i obrtnicima (35</w:t>
      </w:r>
      <w:r w:rsidRPr="00732E93">
        <w:rPr>
          <w:rFonts w:ascii="Times New Roman" w:hAnsi="Times New Roman" w:cs="Times New Roman"/>
          <w:u w:val="single"/>
          <w:lang w:eastAsia="hr-HR"/>
        </w:rPr>
        <w:t>)</w:t>
      </w:r>
      <w:r w:rsidRPr="00732E93">
        <w:rPr>
          <w:rFonts w:ascii="Times New Roman" w:hAnsi="Times New Roman" w:cs="Times New Roman"/>
          <w:lang w:eastAsia="hr-HR"/>
        </w:rPr>
        <w:t xml:space="preserve"> iznose </w:t>
      </w:r>
      <w:r w:rsidR="00955276">
        <w:rPr>
          <w:rFonts w:ascii="Times New Roman" w:hAnsi="Times New Roman" w:cs="Times New Roman"/>
          <w:lang w:eastAsia="hr-HR"/>
        </w:rPr>
        <w:t>124.688,35</w:t>
      </w:r>
      <w:r w:rsidRPr="00732E93">
        <w:rPr>
          <w:rFonts w:ascii="Times New Roman" w:hAnsi="Times New Roman" w:cs="Times New Roman"/>
          <w:lang w:eastAsia="hr-HR"/>
        </w:rPr>
        <w:t xml:space="preserve"> eura i povećane su za </w:t>
      </w:r>
      <w:r w:rsidR="00955276">
        <w:rPr>
          <w:rFonts w:ascii="Times New Roman" w:hAnsi="Times New Roman" w:cs="Times New Roman"/>
          <w:lang w:eastAsia="hr-HR"/>
        </w:rPr>
        <w:t>29,84</w:t>
      </w:r>
      <w:r w:rsidRPr="00732E93">
        <w:rPr>
          <w:rFonts w:ascii="Times New Roman" w:hAnsi="Times New Roman" w:cs="Times New Roman"/>
          <w:lang w:eastAsia="hr-HR"/>
        </w:rPr>
        <w:t xml:space="preserve">% u odnosu na prošlu godinu. Bilježe veliko povećanje iz razloga sklapanja </w:t>
      </w:r>
      <w:r w:rsidRPr="00732E93">
        <w:rPr>
          <w:rFonts w:ascii="Times New Roman" w:hAnsi="Times New Roman" w:cs="Times New Roman"/>
          <w:bCs/>
          <w:iCs/>
          <w:lang w:eastAsia="hr-HR"/>
        </w:rPr>
        <w:t xml:space="preserve">Ugovora o dodjeli potpore, </w:t>
      </w:r>
      <w:proofErr w:type="spellStart"/>
      <w:r w:rsidRPr="00732E93">
        <w:rPr>
          <w:rFonts w:ascii="Times New Roman" w:hAnsi="Times New Roman" w:cs="Times New Roman"/>
          <w:bCs/>
          <w:iCs/>
          <w:lang w:eastAsia="hr-HR"/>
        </w:rPr>
        <w:t>Ref.br.Ugovora</w:t>
      </w:r>
      <w:proofErr w:type="spellEnd"/>
      <w:r w:rsidRPr="00732E93">
        <w:rPr>
          <w:rFonts w:ascii="Times New Roman" w:hAnsi="Times New Roman" w:cs="Times New Roman"/>
          <w:bCs/>
          <w:iCs/>
          <w:lang w:eastAsia="hr-HR"/>
        </w:rPr>
        <w:t xml:space="preserve"> PPO-PZK-2023/2 za kupnju zemljišta u Poduzetničkoj zoni Kapelica. Ista potpora iznosi 44.117,92 €.</w:t>
      </w:r>
    </w:p>
    <w:p w14:paraId="2356E725" w14:textId="77777777" w:rsidR="005C7D71" w:rsidRPr="00732E93" w:rsidRDefault="005C7D71" w:rsidP="005C7D71">
      <w:pPr>
        <w:widowControl w:val="0"/>
        <w:autoSpaceDN w:val="0"/>
        <w:adjustRightInd w:val="0"/>
        <w:spacing w:line="240" w:lineRule="auto"/>
        <w:contextualSpacing/>
        <w:jc w:val="both"/>
        <w:rPr>
          <w:rFonts w:ascii="Times New Roman" w:hAnsi="Times New Roman" w:cs="Times New Roman"/>
          <w:bCs/>
          <w:iCs/>
          <w:lang w:eastAsia="hr-HR"/>
        </w:rPr>
      </w:pPr>
    </w:p>
    <w:p w14:paraId="57EE2A84" w14:textId="2BC593B4" w:rsidR="005C7D71" w:rsidRPr="00732E93" w:rsidRDefault="005C7D71" w:rsidP="005C7D71">
      <w:pPr>
        <w:spacing w:after="0" w:line="240" w:lineRule="auto"/>
        <w:jc w:val="both"/>
        <w:rPr>
          <w:rFonts w:ascii="Times New Roman" w:hAnsi="Times New Roman" w:cs="Times New Roman"/>
          <w:lang w:eastAsia="hr-HR"/>
        </w:rPr>
      </w:pPr>
      <w:r w:rsidRPr="00732E93">
        <w:rPr>
          <w:rFonts w:ascii="Times New Roman" w:hAnsi="Times New Roman" w:cs="Times New Roman"/>
          <w:i/>
          <w:iCs/>
          <w:u w:val="single"/>
        </w:rPr>
        <w:t>P</w:t>
      </w:r>
      <w:r w:rsidRPr="00732E93">
        <w:rPr>
          <w:rFonts w:ascii="Times New Roman" w:hAnsi="Times New Roman" w:cs="Times New Roman"/>
          <w:i/>
          <w:iCs/>
          <w:u w:val="single"/>
          <w:lang w:eastAsia="hr-HR"/>
        </w:rPr>
        <w:t>omoći dane u inozemstvo i unutar opće države (36)</w:t>
      </w:r>
      <w:r w:rsidRPr="00732E93">
        <w:rPr>
          <w:rFonts w:ascii="Times New Roman" w:hAnsi="Times New Roman" w:cs="Times New Roman"/>
          <w:lang w:eastAsia="hr-HR"/>
        </w:rPr>
        <w:t xml:space="preserve"> predstavljaju: sufinanciranje Vatrogasne zajednice Grada Garešnice  u iznosu od </w:t>
      </w:r>
      <w:r w:rsidR="00955276">
        <w:rPr>
          <w:rFonts w:ascii="Times New Roman" w:hAnsi="Times New Roman" w:cs="Times New Roman"/>
          <w:lang w:eastAsia="hr-HR"/>
        </w:rPr>
        <w:t>100.000,00</w:t>
      </w:r>
      <w:r w:rsidRPr="00732E93">
        <w:rPr>
          <w:rFonts w:ascii="Times New Roman" w:hAnsi="Times New Roman" w:cs="Times New Roman"/>
          <w:lang w:eastAsia="hr-HR"/>
        </w:rPr>
        <w:t xml:space="preserve"> eura, pomoći Ministarstvu gospodarstva i održivog razvoja za sufinanciranje premija osiguranja za vatrogasnu cisternu koja nam je dana na korištenje u iznosu od </w:t>
      </w:r>
      <w:r w:rsidR="00955276" w:rsidRPr="00955276">
        <w:rPr>
          <w:rFonts w:ascii="Times New Roman" w:hAnsi="Times New Roman" w:cs="Times New Roman"/>
          <w:lang w:eastAsia="hr-HR"/>
        </w:rPr>
        <w:t>2.422,51</w:t>
      </w:r>
      <w:r w:rsidRPr="00732E93">
        <w:rPr>
          <w:rFonts w:ascii="Times New Roman" w:hAnsi="Times New Roman" w:cs="Times New Roman"/>
          <w:lang w:eastAsia="hr-HR"/>
        </w:rPr>
        <w:t xml:space="preserve"> eura.</w:t>
      </w:r>
    </w:p>
    <w:p w14:paraId="66E1ED02" w14:textId="77777777" w:rsidR="005C7D71" w:rsidRPr="00732E93" w:rsidRDefault="005C7D71" w:rsidP="005C7D71">
      <w:pPr>
        <w:spacing w:after="0" w:line="240" w:lineRule="auto"/>
        <w:jc w:val="both"/>
        <w:rPr>
          <w:rFonts w:ascii="Times New Roman" w:hAnsi="Times New Roman" w:cs="Times New Roman"/>
          <w:lang w:eastAsia="hr-HR"/>
        </w:rPr>
      </w:pPr>
    </w:p>
    <w:p w14:paraId="044E4484" w14:textId="2CDB3991" w:rsidR="005C7D71" w:rsidRPr="00732E93" w:rsidRDefault="005C7D71" w:rsidP="005C7D71">
      <w:pPr>
        <w:widowControl w:val="0"/>
        <w:autoSpaceDN w:val="0"/>
        <w:adjustRightInd w:val="0"/>
        <w:spacing w:line="240" w:lineRule="auto"/>
        <w:contextualSpacing/>
        <w:jc w:val="both"/>
        <w:rPr>
          <w:rFonts w:ascii="Times New Roman" w:hAnsi="Times New Roman" w:cs="Times New Roman"/>
          <w:bCs/>
          <w:iCs/>
          <w:lang w:eastAsia="hr-HR"/>
        </w:rPr>
      </w:pPr>
      <w:r w:rsidRPr="00732E93">
        <w:rPr>
          <w:rFonts w:ascii="Times New Roman" w:hAnsi="Times New Roman" w:cs="Times New Roman"/>
          <w:bCs/>
          <w:i/>
          <w:u w:val="single"/>
          <w:lang w:eastAsia="hr-HR"/>
        </w:rPr>
        <w:t>N</w:t>
      </w:r>
      <w:r w:rsidRPr="00732E93">
        <w:rPr>
          <w:rFonts w:ascii="Times New Roman" w:hAnsi="Times New Roman" w:cs="Times New Roman"/>
          <w:i/>
          <w:u w:val="single"/>
          <w:lang w:eastAsia="hr-HR"/>
        </w:rPr>
        <w:t>aknade građanima i kućanstvima (37)</w:t>
      </w:r>
      <w:r w:rsidRPr="00732E93">
        <w:rPr>
          <w:rFonts w:ascii="Times New Roman" w:hAnsi="Times New Roman" w:cs="Times New Roman"/>
          <w:lang w:eastAsia="hr-HR"/>
        </w:rPr>
        <w:t xml:space="preserve"> </w:t>
      </w:r>
      <w:r w:rsidR="00955276">
        <w:rPr>
          <w:rFonts w:ascii="Times New Roman" w:hAnsi="Times New Roman" w:cs="Times New Roman"/>
          <w:lang w:eastAsia="hr-HR"/>
        </w:rPr>
        <w:t xml:space="preserve">iznose 503.531,34 eura i </w:t>
      </w:r>
      <w:r w:rsidRPr="00732E93">
        <w:rPr>
          <w:rFonts w:ascii="Times New Roman" w:hAnsi="Times New Roman" w:cs="Times New Roman"/>
          <w:lang w:eastAsia="hr-HR"/>
        </w:rPr>
        <w:t xml:space="preserve">ukupno su povećane za </w:t>
      </w:r>
      <w:r w:rsidR="00955276">
        <w:rPr>
          <w:rFonts w:ascii="Times New Roman" w:hAnsi="Times New Roman" w:cs="Times New Roman"/>
          <w:lang w:eastAsia="hr-HR"/>
        </w:rPr>
        <w:t>9,97</w:t>
      </w:r>
      <w:r w:rsidRPr="00732E93">
        <w:rPr>
          <w:rFonts w:ascii="Times New Roman" w:hAnsi="Times New Roman" w:cs="Times New Roman"/>
          <w:lang w:eastAsia="hr-HR"/>
        </w:rPr>
        <w:t>%</w:t>
      </w:r>
      <w:r w:rsidR="00955276">
        <w:rPr>
          <w:rFonts w:ascii="Times New Roman" w:hAnsi="Times New Roman" w:cs="Times New Roman"/>
          <w:lang w:eastAsia="hr-HR"/>
        </w:rPr>
        <w:t>. Iste naknade obuhvaćaju naknade za socijalno ug</w:t>
      </w:r>
      <w:r w:rsidR="003F094F">
        <w:rPr>
          <w:rFonts w:ascii="Times New Roman" w:hAnsi="Times New Roman" w:cs="Times New Roman"/>
          <w:lang w:eastAsia="hr-HR"/>
        </w:rPr>
        <w:t xml:space="preserve">rožene građane i obitelji, božićnice za novorođenčad, sufinanciranje prijevoza učenika osnovnih i srednjih škola, stipendije i školarine, sufinanciranje udžbenika i ostalog obrazovnog materijala za učenike osnovnih škola, pomoći mladim obiteljima, naknade za novorođenčad i ostale nespomenute naknade. </w:t>
      </w:r>
    </w:p>
    <w:p w14:paraId="49A726D0" w14:textId="77777777" w:rsidR="005C7D71" w:rsidRPr="00732E93" w:rsidRDefault="005C7D71" w:rsidP="005C7D71">
      <w:pPr>
        <w:spacing w:after="0" w:line="240" w:lineRule="auto"/>
        <w:jc w:val="both"/>
        <w:rPr>
          <w:rFonts w:ascii="Times New Roman" w:hAnsi="Times New Roman" w:cs="Times New Roman"/>
          <w:lang w:eastAsia="hr-HR"/>
        </w:rPr>
      </w:pPr>
    </w:p>
    <w:p w14:paraId="2C88CF82" w14:textId="58C25BF0" w:rsidR="005C7D71" w:rsidRPr="00732E93" w:rsidRDefault="005C7D71" w:rsidP="005C7D71">
      <w:pPr>
        <w:spacing w:after="0" w:line="240" w:lineRule="auto"/>
        <w:jc w:val="both"/>
        <w:rPr>
          <w:rFonts w:ascii="Times New Roman" w:hAnsi="Times New Roman" w:cs="Times New Roman"/>
          <w:lang w:eastAsia="hr-HR"/>
        </w:rPr>
      </w:pPr>
      <w:r w:rsidRPr="00732E93">
        <w:rPr>
          <w:rFonts w:ascii="Times New Roman" w:hAnsi="Times New Roman" w:cs="Times New Roman"/>
          <w:i/>
          <w:iCs/>
          <w:u w:val="single"/>
          <w:lang w:eastAsia="hr-HR"/>
        </w:rPr>
        <w:t>Ostali rashodi (38</w:t>
      </w:r>
      <w:r w:rsidRPr="00732E93">
        <w:rPr>
          <w:rFonts w:ascii="Times New Roman" w:hAnsi="Times New Roman" w:cs="Times New Roman"/>
          <w:i/>
          <w:iCs/>
          <w:lang w:eastAsia="hr-HR"/>
        </w:rPr>
        <w:t xml:space="preserve">) </w:t>
      </w:r>
      <w:r w:rsidRPr="00732E93">
        <w:rPr>
          <w:rFonts w:ascii="Times New Roman" w:hAnsi="Times New Roman" w:cs="Times New Roman"/>
          <w:lang w:eastAsia="hr-HR"/>
        </w:rPr>
        <w:t xml:space="preserve">iznose </w:t>
      </w:r>
      <w:r w:rsidR="003F094F">
        <w:rPr>
          <w:rFonts w:ascii="Times New Roman" w:hAnsi="Times New Roman" w:cs="Times New Roman"/>
          <w:lang w:eastAsia="hr-HR"/>
        </w:rPr>
        <w:t>370.067,30</w:t>
      </w:r>
      <w:r w:rsidRPr="00732E93">
        <w:rPr>
          <w:rFonts w:ascii="Times New Roman" w:hAnsi="Times New Roman" w:cs="Times New Roman"/>
          <w:lang w:eastAsia="hr-HR"/>
        </w:rPr>
        <w:t xml:space="preserve"> eura i smanjeni su za </w:t>
      </w:r>
      <w:r w:rsidR="003F094F">
        <w:rPr>
          <w:rFonts w:ascii="Times New Roman" w:hAnsi="Times New Roman" w:cs="Times New Roman"/>
          <w:lang w:eastAsia="hr-HR"/>
        </w:rPr>
        <w:t>8,11</w:t>
      </w:r>
      <w:r w:rsidRPr="00732E93">
        <w:rPr>
          <w:rFonts w:ascii="Times New Roman" w:hAnsi="Times New Roman" w:cs="Times New Roman"/>
          <w:lang w:eastAsia="hr-HR"/>
        </w:rPr>
        <w:t>% u odnosu na prošlu godinu. Isti sadržavaju:</w:t>
      </w:r>
    </w:p>
    <w:p w14:paraId="178D6ED1" w14:textId="77777777" w:rsidR="005C7D71" w:rsidRPr="00732E93" w:rsidRDefault="005C7D71" w:rsidP="005C7D71">
      <w:pPr>
        <w:spacing w:after="0" w:line="240" w:lineRule="auto"/>
        <w:jc w:val="both"/>
        <w:rPr>
          <w:rFonts w:ascii="Times New Roman" w:hAnsi="Times New Roman" w:cs="Times New Roman"/>
          <w:lang w:eastAsia="hr-HR"/>
        </w:rPr>
      </w:pPr>
      <w:r w:rsidRPr="00732E93">
        <w:rPr>
          <w:rFonts w:ascii="Times New Roman" w:hAnsi="Times New Roman" w:cs="Times New Roman"/>
          <w:lang w:eastAsia="hr-HR"/>
        </w:rPr>
        <w:lastRenderedPageBreak/>
        <w:t>-</w:t>
      </w:r>
      <w:r w:rsidRPr="00732E93">
        <w:rPr>
          <w:rFonts w:ascii="Times New Roman" w:hAnsi="Times New Roman" w:cs="Times New Roman"/>
        </w:rPr>
        <w:t xml:space="preserve"> </w:t>
      </w:r>
      <w:r w:rsidRPr="00732E93">
        <w:rPr>
          <w:rFonts w:ascii="Times New Roman" w:hAnsi="Times New Roman" w:cs="Times New Roman"/>
          <w:lang w:eastAsia="hr-HR"/>
        </w:rPr>
        <w:t>Tekuće i kapitalne donacije (381) koje predstavljaju sredstva dodijeljena neprofitnim organizacijama – udrugama građana, Sportskoj zajednici, Zajednici tehničke kulture,  Crvenom križu, Turističkoj zajednici, Gorskoj službi spašavanja,  vjerskim zajednicama.</w:t>
      </w:r>
    </w:p>
    <w:p w14:paraId="27E1116F" w14:textId="222AEF8D" w:rsidR="005C7D71" w:rsidRPr="00732E93" w:rsidRDefault="005C7D71" w:rsidP="005C7D71">
      <w:pPr>
        <w:widowControl w:val="0"/>
        <w:autoSpaceDN w:val="0"/>
        <w:adjustRightInd w:val="0"/>
        <w:spacing w:line="240" w:lineRule="auto"/>
        <w:contextualSpacing/>
        <w:jc w:val="both"/>
        <w:rPr>
          <w:rFonts w:ascii="Times New Roman" w:hAnsi="Times New Roman" w:cs="Times New Roman"/>
          <w:lang w:eastAsia="hr-HR"/>
        </w:rPr>
      </w:pPr>
      <w:r w:rsidRPr="00732E93">
        <w:rPr>
          <w:rFonts w:ascii="Times New Roman" w:hAnsi="Times New Roman" w:cs="Times New Roman"/>
          <w:lang w:eastAsia="hr-HR"/>
        </w:rPr>
        <w:t xml:space="preserve">- naknada šteta pravnim i fizičkim osobama smanjena je u odnosu na prošlu godinu za </w:t>
      </w:r>
      <w:r w:rsidR="003F094F">
        <w:rPr>
          <w:rFonts w:ascii="Times New Roman" w:hAnsi="Times New Roman" w:cs="Times New Roman"/>
          <w:lang w:eastAsia="hr-HR"/>
        </w:rPr>
        <w:t>27,61</w:t>
      </w:r>
      <w:r w:rsidRPr="00732E93">
        <w:rPr>
          <w:rFonts w:ascii="Times New Roman" w:hAnsi="Times New Roman" w:cs="Times New Roman"/>
          <w:lang w:eastAsia="hr-HR"/>
        </w:rPr>
        <w:t>% iz razloga što u ovoj proračunskoj godini nismo imali isplate štete fizičkoj osobi temeljem sudskog spora koja je evidentirana u prošloj.</w:t>
      </w:r>
    </w:p>
    <w:p w14:paraId="00668A12" w14:textId="15063493" w:rsidR="005C7D71" w:rsidRPr="00732E93" w:rsidRDefault="005C7D71" w:rsidP="005C7D71">
      <w:pPr>
        <w:widowControl w:val="0"/>
        <w:autoSpaceDN w:val="0"/>
        <w:adjustRightInd w:val="0"/>
        <w:spacing w:line="240" w:lineRule="auto"/>
        <w:contextualSpacing/>
        <w:jc w:val="both"/>
        <w:rPr>
          <w:rFonts w:ascii="Times New Roman" w:hAnsi="Times New Roman" w:cs="Times New Roman"/>
          <w:bCs/>
          <w:iCs/>
          <w:lang w:eastAsia="hr-HR"/>
        </w:rPr>
      </w:pPr>
      <w:r w:rsidRPr="00732E93">
        <w:rPr>
          <w:rFonts w:ascii="Times New Roman" w:hAnsi="Times New Roman" w:cs="Times New Roman"/>
          <w:bCs/>
          <w:iCs/>
          <w:lang w:eastAsia="hr-HR"/>
        </w:rPr>
        <w:t>- kapitaln</w:t>
      </w:r>
      <w:r w:rsidR="003F094F">
        <w:rPr>
          <w:rFonts w:ascii="Times New Roman" w:hAnsi="Times New Roman" w:cs="Times New Roman"/>
          <w:bCs/>
          <w:iCs/>
          <w:lang w:eastAsia="hr-HR"/>
        </w:rPr>
        <w:t>e</w:t>
      </w:r>
      <w:r w:rsidRPr="00732E93">
        <w:rPr>
          <w:rFonts w:ascii="Times New Roman" w:hAnsi="Times New Roman" w:cs="Times New Roman"/>
          <w:bCs/>
          <w:iCs/>
          <w:lang w:eastAsia="hr-HR"/>
        </w:rPr>
        <w:t xml:space="preserve"> pomoći (386) komunalnim trgovačkim društvima u vlasništvu Grada Garešnice</w:t>
      </w:r>
      <w:r w:rsidR="003F094F">
        <w:rPr>
          <w:rFonts w:ascii="Times New Roman" w:hAnsi="Times New Roman" w:cs="Times New Roman"/>
          <w:bCs/>
          <w:iCs/>
          <w:lang w:eastAsia="hr-HR"/>
        </w:rPr>
        <w:t xml:space="preserve"> (</w:t>
      </w:r>
      <w:r w:rsidR="00D638A2">
        <w:rPr>
          <w:rFonts w:ascii="Times New Roman" w:hAnsi="Times New Roman" w:cs="Times New Roman"/>
          <w:bCs/>
          <w:iCs/>
          <w:lang w:eastAsia="hr-HR"/>
        </w:rPr>
        <w:t xml:space="preserve">Voda Garešnica d.o.o. odnosno pravni slijednik </w:t>
      </w:r>
      <w:r w:rsidR="003F094F">
        <w:rPr>
          <w:rFonts w:ascii="Times New Roman" w:hAnsi="Times New Roman" w:cs="Times New Roman"/>
          <w:bCs/>
          <w:iCs/>
          <w:lang w:eastAsia="hr-HR"/>
        </w:rPr>
        <w:t>Vodne usluge d.o.o.</w:t>
      </w:r>
      <w:r w:rsidR="00D638A2">
        <w:rPr>
          <w:rFonts w:ascii="Times New Roman" w:hAnsi="Times New Roman" w:cs="Times New Roman"/>
          <w:bCs/>
          <w:iCs/>
          <w:lang w:eastAsia="hr-HR"/>
        </w:rPr>
        <w:t xml:space="preserve"> Bjelovar</w:t>
      </w:r>
      <w:r w:rsidR="003F094F">
        <w:rPr>
          <w:rFonts w:ascii="Times New Roman" w:hAnsi="Times New Roman" w:cs="Times New Roman"/>
          <w:bCs/>
          <w:iCs/>
          <w:lang w:eastAsia="hr-HR"/>
        </w:rPr>
        <w:t>)</w:t>
      </w:r>
      <w:r w:rsidR="00D638A2">
        <w:rPr>
          <w:rFonts w:ascii="Times New Roman" w:hAnsi="Times New Roman" w:cs="Times New Roman"/>
          <w:bCs/>
          <w:iCs/>
          <w:lang w:eastAsia="hr-HR"/>
        </w:rPr>
        <w:t xml:space="preserve"> za sufinanciranje izgradnje, održavanja i sanacije vodnih građevina. </w:t>
      </w:r>
    </w:p>
    <w:p w14:paraId="78CB9799" w14:textId="77777777" w:rsidR="005C7D71" w:rsidRPr="00732E93" w:rsidRDefault="005C7D71" w:rsidP="005C7D71">
      <w:pPr>
        <w:spacing w:after="120" w:line="240" w:lineRule="auto"/>
        <w:jc w:val="both"/>
        <w:rPr>
          <w:rFonts w:ascii="Times New Roman" w:hAnsi="Times New Roman" w:cs="Times New Roman"/>
          <w:b/>
        </w:rPr>
      </w:pPr>
    </w:p>
    <w:p w14:paraId="3583B83A" w14:textId="357F3C9D" w:rsidR="005C7D71" w:rsidRDefault="005C7D71" w:rsidP="005C7D71">
      <w:pPr>
        <w:spacing w:after="120" w:line="240" w:lineRule="auto"/>
        <w:jc w:val="both"/>
        <w:rPr>
          <w:rFonts w:ascii="Times New Roman" w:hAnsi="Times New Roman" w:cs="Times New Roman"/>
        </w:rPr>
      </w:pPr>
      <w:r w:rsidRPr="00732E93">
        <w:rPr>
          <w:rFonts w:ascii="Times New Roman" w:hAnsi="Times New Roman" w:cs="Times New Roman"/>
          <w:b/>
        </w:rPr>
        <w:t>Rashodi za  nabavu nefinancijske imovine (4)</w:t>
      </w:r>
      <w:r w:rsidRPr="00732E93">
        <w:rPr>
          <w:rFonts w:ascii="Times New Roman" w:hAnsi="Times New Roman" w:cs="Times New Roman"/>
          <w:bCs/>
          <w:i/>
          <w:iCs/>
        </w:rPr>
        <w:t xml:space="preserve"> </w:t>
      </w:r>
      <w:r w:rsidRPr="00732E93">
        <w:rPr>
          <w:rFonts w:ascii="Times New Roman" w:hAnsi="Times New Roman" w:cs="Times New Roman"/>
          <w:bCs/>
        </w:rPr>
        <w:t xml:space="preserve">iznose </w:t>
      </w:r>
      <w:r w:rsidR="00D638A2">
        <w:rPr>
          <w:rFonts w:ascii="Times New Roman" w:hAnsi="Times New Roman" w:cs="Times New Roman"/>
          <w:bCs/>
        </w:rPr>
        <w:t>2.619.073,32</w:t>
      </w:r>
      <w:r w:rsidRPr="00732E93">
        <w:rPr>
          <w:rFonts w:ascii="Times New Roman" w:hAnsi="Times New Roman" w:cs="Times New Roman"/>
          <w:bCs/>
        </w:rPr>
        <w:t xml:space="preserve"> eura</w:t>
      </w:r>
      <w:r w:rsidRPr="00732E93">
        <w:rPr>
          <w:rFonts w:ascii="Times New Roman" w:hAnsi="Times New Roman" w:cs="Times New Roman"/>
        </w:rPr>
        <w:t xml:space="preserve"> što je povećanje od </w:t>
      </w:r>
      <w:r w:rsidR="00D638A2">
        <w:rPr>
          <w:rFonts w:ascii="Times New Roman" w:hAnsi="Times New Roman" w:cs="Times New Roman"/>
        </w:rPr>
        <w:t>269,25</w:t>
      </w:r>
      <w:r w:rsidRPr="00732E93">
        <w:rPr>
          <w:rFonts w:ascii="Times New Roman" w:hAnsi="Times New Roman" w:cs="Times New Roman"/>
        </w:rPr>
        <w:t>% u odnosu na prošlu godinu.</w:t>
      </w:r>
    </w:p>
    <w:p w14:paraId="33179782" w14:textId="77777777" w:rsidR="00D638A2" w:rsidRPr="00D638A2" w:rsidRDefault="00D638A2" w:rsidP="003734CB">
      <w:pPr>
        <w:pStyle w:val="Odlomakpopisa"/>
        <w:widowControl w:val="0"/>
        <w:numPr>
          <w:ilvl w:val="0"/>
          <w:numId w:val="14"/>
        </w:numPr>
        <w:autoSpaceDN w:val="0"/>
        <w:adjustRightInd w:val="0"/>
        <w:ind w:left="0" w:firstLine="360"/>
        <w:jc w:val="both"/>
        <w:rPr>
          <w:bCs/>
          <w:iCs/>
          <w:sz w:val="22"/>
          <w:szCs w:val="22"/>
        </w:rPr>
      </w:pPr>
      <w:r w:rsidRPr="00D638A2">
        <w:rPr>
          <w:bCs/>
          <w:iCs/>
          <w:sz w:val="22"/>
          <w:szCs w:val="22"/>
        </w:rPr>
        <w:t>Nabavi zemljišta (411) iz razloga što u prošloj godini nismo imali iste troškove. Troškovi predstavljaju naslijeđenu imovinu (</w:t>
      </w:r>
      <w:proofErr w:type="spellStart"/>
      <w:r w:rsidRPr="00D638A2">
        <w:rPr>
          <w:bCs/>
          <w:iCs/>
          <w:sz w:val="22"/>
          <w:szCs w:val="22"/>
        </w:rPr>
        <w:t>ošasna</w:t>
      </w:r>
      <w:proofErr w:type="spellEnd"/>
      <w:r w:rsidRPr="00D638A2">
        <w:rPr>
          <w:bCs/>
          <w:iCs/>
          <w:sz w:val="22"/>
          <w:szCs w:val="22"/>
        </w:rPr>
        <w:t xml:space="preserve"> imovina) te zemljište za potrebe proširenja gradskog groblja.</w:t>
      </w:r>
    </w:p>
    <w:p w14:paraId="2B1C3024" w14:textId="77777777" w:rsidR="00D638A2" w:rsidRPr="00D638A2" w:rsidRDefault="00D638A2" w:rsidP="003734CB">
      <w:pPr>
        <w:pStyle w:val="Odlomakpopisa"/>
        <w:widowControl w:val="0"/>
        <w:numPr>
          <w:ilvl w:val="0"/>
          <w:numId w:val="14"/>
        </w:numPr>
        <w:autoSpaceDN w:val="0"/>
        <w:adjustRightInd w:val="0"/>
        <w:ind w:left="0" w:firstLine="360"/>
        <w:jc w:val="both"/>
        <w:rPr>
          <w:bCs/>
          <w:iCs/>
          <w:sz w:val="22"/>
          <w:szCs w:val="22"/>
        </w:rPr>
      </w:pPr>
      <w:r w:rsidRPr="00D638A2">
        <w:rPr>
          <w:bCs/>
          <w:iCs/>
          <w:sz w:val="22"/>
          <w:szCs w:val="22"/>
        </w:rPr>
        <w:t xml:space="preserve">Ulaganju na tuđoj imovini (ostala prava – 4124) u iznosu od 1.412.007,90 eura  kroz projekt Sanacije odlagališta komunalnog otpada </w:t>
      </w:r>
      <w:proofErr w:type="spellStart"/>
      <w:r w:rsidRPr="00D638A2">
        <w:rPr>
          <w:bCs/>
          <w:iCs/>
          <w:sz w:val="22"/>
          <w:szCs w:val="22"/>
        </w:rPr>
        <w:t>Johovača</w:t>
      </w:r>
      <w:proofErr w:type="spellEnd"/>
      <w:r w:rsidRPr="00D638A2">
        <w:rPr>
          <w:bCs/>
          <w:iCs/>
          <w:sz w:val="22"/>
          <w:szCs w:val="22"/>
        </w:rPr>
        <w:t>, Uređenje prostora Osnovne škole Garešnica i Obnova i dogradnja dječjeg vrtića Maslačak na adresi Petra Svačića 11D</w:t>
      </w:r>
    </w:p>
    <w:p w14:paraId="736FADB7" w14:textId="77777777" w:rsidR="00D638A2" w:rsidRPr="00D638A2" w:rsidRDefault="00D638A2" w:rsidP="003734CB">
      <w:pPr>
        <w:pStyle w:val="Odlomakpopisa"/>
        <w:widowControl w:val="0"/>
        <w:numPr>
          <w:ilvl w:val="0"/>
          <w:numId w:val="14"/>
        </w:numPr>
        <w:autoSpaceDN w:val="0"/>
        <w:adjustRightInd w:val="0"/>
        <w:ind w:left="0" w:firstLine="360"/>
        <w:jc w:val="both"/>
        <w:rPr>
          <w:bCs/>
          <w:iCs/>
          <w:sz w:val="22"/>
          <w:szCs w:val="22"/>
        </w:rPr>
      </w:pPr>
      <w:r w:rsidRPr="00D638A2">
        <w:rPr>
          <w:bCs/>
          <w:iCs/>
          <w:sz w:val="22"/>
          <w:szCs w:val="22"/>
        </w:rPr>
        <w:t>Ostali građevinski objekti (4214) obuhvaćaju ulaganje u javnu rasvjetu, sportske terene, Park za pse, autobusne stanice i parkirališta na području Grada Garešnice.</w:t>
      </w:r>
    </w:p>
    <w:p w14:paraId="1E68411D" w14:textId="77777777" w:rsidR="00D638A2" w:rsidRPr="00D638A2" w:rsidRDefault="00D638A2" w:rsidP="003734CB">
      <w:pPr>
        <w:pStyle w:val="Odlomakpopisa"/>
        <w:widowControl w:val="0"/>
        <w:numPr>
          <w:ilvl w:val="0"/>
          <w:numId w:val="14"/>
        </w:numPr>
        <w:autoSpaceDN w:val="0"/>
        <w:adjustRightInd w:val="0"/>
        <w:ind w:left="0" w:firstLine="360"/>
        <w:jc w:val="both"/>
        <w:rPr>
          <w:bCs/>
          <w:iCs/>
          <w:sz w:val="22"/>
          <w:szCs w:val="22"/>
        </w:rPr>
      </w:pPr>
      <w:r w:rsidRPr="00D638A2">
        <w:rPr>
          <w:bCs/>
          <w:iCs/>
          <w:sz w:val="22"/>
          <w:szCs w:val="22"/>
        </w:rPr>
        <w:t xml:space="preserve">Nabavi opreme za održavanje i zaštitu (4223) – videonadzori za objekte Dječjeg vrtića Maslačak, Osnovne škole Garešnica i </w:t>
      </w:r>
      <w:proofErr w:type="spellStart"/>
      <w:r w:rsidRPr="00D638A2">
        <w:rPr>
          <w:bCs/>
          <w:iCs/>
          <w:sz w:val="22"/>
          <w:szCs w:val="22"/>
        </w:rPr>
        <w:t>Trnovitički</w:t>
      </w:r>
      <w:proofErr w:type="spellEnd"/>
      <w:r w:rsidRPr="00D638A2">
        <w:rPr>
          <w:bCs/>
          <w:iCs/>
          <w:sz w:val="22"/>
          <w:szCs w:val="22"/>
        </w:rPr>
        <w:t xml:space="preserve"> Popovac, klima  za mjesne domove te objekte u vlasništvu Grada, te ostale opreme za održavanje i zaštitu kod korisnika Javne vatrogasne postrojbe, </w:t>
      </w:r>
    </w:p>
    <w:p w14:paraId="2096C449" w14:textId="77777777" w:rsidR="00D638A2" w:rsidRPr="00D638A2" w:rsidRDefault="00D638A2" w:rsidP="003734CB">
      <w:pPr>
        <w:pStyle w:val="Odlomakpopisa"/>
        <w:widowControl w:val="0"/>
        <w:numPr>
          <w:ilvl w:val="0"/>
          <w:numId w:val="14"/>
        </w:numPr>
        <w:autoSpaceDN w:val="0"/>
        <w:adjustRightInd w:val="0"/>
        <w:ind w:left="0" w:firstLine="360"/>
        <w:jc w:val="both"/>
        <w:rPr>
          <w:bCs/>
          <w:iCs/>
          <w:sz w:val="22"/>
          <w:szCs w:val="22"/>
        </w:rPr>
      </w:pPr>
      <w:r w:rsidRPr="00D638A2">
        <w:rPr>
          <w:bCs/>
          <w:iCs/>
          <w:sz w:val="22"/>
          <w:szCs w:val="22"/>
        </w:rPr>
        <w:t>nabave radnog stroja za sabijanje komunalnog otpada (4227) u iznosu od 462.337,50 €, i metalnog panoa za kino u iznosu od 2.562,50 eura, te opreme za Osnovnu školu Garešnica i Dječji vrtić Maslačak u iznosu od 18.801,58 €.</w:t>
      </w:r>
    </w:p>
    <w:p w14:paraId="52F4FAB0" w14:textId="77777777" w:rsidR="00D638A2" w:rsidRPr="00D638A2" w:rsidRDefault="00D638A2" w:rsidP="00D638A2">
      <w:pPr>
        <w:widowControl w:val="0"/>
        <w:autoSpaceDN w:val="0"/>
        <w:adjustRightInd w:val="0"/>
        <w:contextualSpacing/>
        <w:jc w:val="both"/>
        <w:rPr>
          <w:rFonts w:ascii="Times New Roman" w:hAnsi="Times New Roman" w:cs="Times New Roman"/>
          <w:bCs/>
          <w:iCs/>
          <w:lang w:eastAsia="hr-HR"/>
        </w:rPr>
      </w:pPr>
    </w:p>
    <w:p w14:paraId="4824B4F8" w14:textId="18B03D40" w:rsidR="00D638A2" w:rsidRPr="00D638A2" w:rsidRDefault="00D638A2" w:rsidP="00D638A2">
      <w:pPr>
        <w:widowControl w:val="0"/>
        <w:autoSpaceDN w:val="0"/>
        <w:adjustRightInd w:val="0"/>
        <w:contextualSpacing/>
        <w:jc w:val="both"/>
        <w:rPr>
          <w:rFonts w:ascii="Times New Roman" w:hAnsi="Times New Roman" w:cs="Times New Roman"/>
          <w:bCs/>
          <w:iCs/>
          <w:lang w:eastAsia="hr-HR"/>
        </w:rPr>
      </w:pPr>
      <w:r w:rsidRPr="00D638A2">
        <w:rPr>
          <w:rFonts w:ascii="Times New Roman" w:hAnsi="Times New Roman" w:cs="Times New Roman"/>
          <w:bCs/>
          <w:iCs/>
          <w:lang w:eastAsia="hr-HR"/>
        </w:rPr>
        <w:t>Dodatna ulaganja na građevinskim objektima</w:t>
      </w:r>
      <w:r w:rsidR="00C21C6A">
        <w:rPr>
          <w:rFonts w:ascii="Times New Roman" w:hAnsi="Times New Roman" w:cs="Times New Roman"/>
          <w:bCs/>
          <w:iCs/>
          <w:lang w:eastAsia="hr-HR"/>
        </w:rPr>
        <w:t xml:space="preserve"> (451)</w:t>
      </w:r>
      <w:r w:rsidRPr="00D638A2">
        <w:rPr>
          <w:rFonts w:ascii="Times New Roman" w:hAnsi="Times New Roman" w:cs="Times New Roman"/>
          <w:bCs/>
          <w:iCs/>
          <w:lang w:eastAsia="hr-HR"/>
        </w:rPr>
        <w:t xml:space="preserve"> iznose 265.023,95 € i predstavljaju ulaganja na objektima u vlasništvu Grada – mjesni domovi, mrtvačnice, nerazvrstane ceste.</w:t>
      </w:r>
    </w:p>
    <w:p w14:paraId="433F6B9B" w14:textId="3FDA3ADA" w:rsidR="00D638A2" w:rsidRPr="00D638A2" w:rsidRDefault="00D638A2" w:rsidP="00D638A2">
      <w:pPr>
        <w:widowControl w:val="0"/>
        <w:autoSpaceDN w:val="0"/>
        <w:adjustRightInd w:val="0"/>
        <w:contextualSpacing/>
        <w:jc w:val="both"/>
        <w:rPr>
          <w:rFonts w:ascii="Times New Roman" w:hAnsi="Times New Roman" w:cs="Times New Roman"/>
          <w:bCs/>
          <w:iCs/>
          <w:lang w:eastAsia="hr-HR"/>
        </w:rPr>
      </w:pPr>
      <w:r w:rsidRPr="00D638A2">
        <w:rPr>
          <w:rFonts w:ascii="Times New Roman" w:hAnsi="Times New Roman" w:cs="Times New Roman"/>
          <w:bCs/>
          <w:iCs/>
          <w:lang w:eastAsia="hr-HR"/>
        </w:rPr>
        <w:t>Dodatna ulaganja na opremi</w:t>
      </w:r>
      <w:r w:rsidR="00C21C6A">
        <w:rPr>
          <w:rFonts w:ascii="Times New Roman" w:hAnsi="Times New Roman" w:cs="Times New Roman"/>
          <w:bCs/>
          <w:iCs/>
          <w:lang w:eastAsia="hr-HR"/>
        </w:rPr>
        <w:t xml:space="preserve"> (452)</w:t>
      </w:r>
      <w:r w:rsidRPr="00D638A2">
        <w:rPr>
          <w:rFonts w:ascii="Times New Roman" w:hAnsi="Times New Roman" w:cs="Times New Roman"/>
          <w:bCs/>
          <w:iCs/>
          <w:lang w:eastAsia="hr-HR"/>
        </w:rPr>
        <w:t xml:space="preserve"> iznosi 1.831,29 € i predstavlja nadogradnju videonadzora u Dječjem vrtiću Maslačak.</w:t>
      </w:r>
    </w:p>
    <w:p w14:paraId="175AF21D" w14:textId="77777777" w:rsidR="005C7D71" w:rsidRPr="00732E93" w:rsidRDefault="005C7D71" w:rsidP="005C7D71">
      <w:pPr>
        <w:widowControl w:val="0"/>
        <w:autoSpaceDN w:val="0"/>
        <w:adjustRightInd w:val="0"/>
        <w:spacing w:after="120" w:line="240" w:lineRule="auto"/>
        <w:contextualSpacing/>
        <w:jc w:val="both"/>
        <w:rPr>
          <w:rFonts w:ascii="Times New Roman" w:hAnsi="Times New Roman" w:cs="Times New Roman"/>
          <w:lang w:eastAsia="hr-HR"/>
        </w:rPr>
      </w:pPr>
    </w:p>
    <w:p w14:paraId="1706F57D" w14:textId="77777777" w:rsidR="005C7D71" w:rsidRPr="00732E93" w:rsidRDefault="005C7D71" w:rsidP="005C7D71">
      <w:pPr>
        <w:spacing w:line="240" w:lineRule="auto"/>
        <w:rPr>
          <w:rFonts w:ascii="Times New Roman" w:hAnsi="Times New Roman" w:cs="Times New Roman"/>
          <w:bCs/>
        </w:rPr>
      </w:pPr>
      <w:r w:rsidRPr="00732E93">
        <w:rPr>
          <w:rFonts w:ascii="Times New Roman" w:hAnsi="Times New Roman" w:cs="Times New Roman"/>
          <w:b/>
          <w:i/>
          <w:iCs/>
        </w:rPr>
        <w:t xml:space="preserve">Izdaci za financijsku imovinu i otplate zajmova (5) </w:t>
      </w:r>
      <w:r w:rsidRPr="00732E93">
        <w:rPr>
          <w:rFonts w:ascii="Times New Roman" w:hAnsi="Times New Roman" w:cs="Times New Roman"/>
          <w:bCs/>
        </w:rPr>
        <w:t>iznose 20.000,00 eura</w:t>
      </w:r>
      <w:r w:rsidRPr="00732E93">
        <w:rPr>
          <w:rFonts w:ascii="Times New Roman" w:hAnsi="Times New Roman" w:cs="Times New Roman"/>
          <w:b/>
          <w:i/>
          <w:iCs/>
        </w:rPr>
        <w:t xml:space="preserve"> </w:t>
      </w:r>
      <w:r w:rsidRPr="00732E93">
        <w:rPr>
          <w:rFonts w:ascii="Times New Roman" w:hAnsi="Times New Roman" w:cs="Times New Roman"/>
          <w:bCs/>
        </w:rPr>
        <w:t>i isti se sastoje od:</w:t>
      </w:r>
    </w:p>
    <w:p w14:paraId="010483AC" w14:textId="77777777" w:rsidR="005C7D71" w:rsidRPr="00732E93" w:rsidRDefault="005C7D71" w:rsidP="003734CB">
      <w:pPr>
        <w:pStyle w:val="Odlomakpopisa"/>
        <w:numPr>
          <w:ilvl w:val="0"/>
          <w:numId w:val="3"/>
        </w:numPr>
        <w:ind w:left="284" w:hanging="284"/>
        <w:jc w:val="both"/>
        <w:rPr>
          <w:b/>
        </w:rPr>
      </w:pPr>
      <w:r w:rsidRPr="00732E93">
        <w:rPr>
          <w:sz w:val="22"/>
          <w:szCs w:val="22"/>
        </w:rPr>
        <w:t xml:space="preserve">Izdataka temeljem beskamatnog zajma iz Državnog proračuna radi premošćivanja situacije nastale zbog različite dinamike priljeva sredstava i dospijeća obveza uslijed odgode plaćanja i/ili obročne otplate, povrata, odnosno oslobođenja od plaćanja poreza na dohodak i prireza porezu na dohodak u iznosu od 20.000,00 eura. </w:t>
      </w:r>
    </w:p>
    <w:p w14:paraId="22695F3C" w14:textId="77777777" w:rsidR="00B95AC0" w:rsidRDefault="00B95AC0" w:rsidP="005C7D71">
      <w:pPr>
        <w:rPr>
          <w:rFonts w:asciiTheme="minorHAnsi" w:hAnsiTheme="minorHAnsi" w:cstheme="minorHAnsi"/>
          <w:b/>
        </w:rPr>
      </w:pPr>
    </w:p>
    <w:p w14:paraId="0643437C" w14:textId="22CF8AAE" w:rsidR="00BA16A2" w:rsidRPr="00722358" w:rsidRDefault="00287E9A" w:rsidP="00BD182E">
      <w:pPr>
        <w:rPr>
          <w:rFonts w:ascii="Times New Roman" w:hAnsi="Times New Roman" w:cs="Times New Roman"/>
          <w:b/>
        </w:rPr>
      </w:pPr>
      <w:r w:rsidRPr="00722358">
        <w:rPr>
          <w:rFonts w:ascii="Times New Roman" w:hAnsi="Times New Roman" w:cs="Times New Roman"/>
          <w:b/>
        </w:rPr>
        <w:t>7</w:t>
      </w:r>
      <w:r w:rsidR="00BA16A2" w:rsidRPr="00722358">
        <w:rPr>
          <w:rFonts w:ascii="Times New Roman" w:hAnsi="Times New Roman" w:cs="Times New Roman"/>
          <w:b/>
        </w:rPr>
        <w:t>. OBRAZLOŽENJE</w:t>
      </w:r>
      <w:r w:rsidR="00A976FA" w:rsidRPr="00722358">
        <w:rPr>
          <w:rFonts w:ascii="Times New Roman" w:hAnsi="Times New Roman" w:cs="Times New Roman"/>
          <w:b/>
        </w:rPr>
        <w:t xml:space="preserve"> IZVRŠENJA</w:t>
      </w:r>
      <w:r w:rsidR="00BA16A2" w:rsidRPr="00722358">
        <w:rPr>
          <w:rFonts w:ascii="Times New Roman" w:hAnsi="Times New Roman" w:cs="Times New Roman"/>
          <w:b/>
        </w:rPr>
        <w:t xml:space="preserve"> POSEBNOG DIJELA PRORAČUNA</w:t>
      </w:r>
    </w:p>
    <w:p w14:paraId="2224A0C7" w14:textId="40E98CAB" w:rsidR="00722358" w:rsidRPr="00194409" w:rsidRDefault="00A976FA" w:rsidP="00194409">
      <w:pPr>
        <w:ind w:firstLine="567"/>
        <w:jc w:val="both"/>
        <w:rPr>
          <w:rFonts w:ascii="Times New Roman" w:hAnsi="Times New Roman" w:cs="Times New Roman"/>
          <w:bCs/>
          <w:lang w:eastAsia="hr-HR"/>
        </w:rPr>
      </w:pPr>
      <w:r w:rsidRPr="00722358">
        <w:rPr>
          <w:rFonts w:ascii="Times New Roman" w:hAnsi="Times New Roman" w:cs="Times New Roman"/>
          <w:bCs/>
          <w:lang w:eastAsia="hr-HR"/>
        </w:rPr>
        <w:t>U nastavku daje se obrazloženje Izvršenja posebnog dijela Proračuna za 202</w:t>
      </w:r>
      <w:r w:rsidR="00C21C6A">
        <w:rPr>
          <w:rFonts w:ascii="Times New Roman" w:hAnsi="Times New Roman" w:cs="Times New Roman"/>
          <w:bCs/>
          <w:lang w:eastAsia="hr-HR"/>
        </w:rPr>
        <w:t>4</w:t>
      </w:r>
      <w:r w:rsidRPr="00722358">
        <w:rPr>
          <w:rFonts w:ascii="Times New Roman" w:hAnsi="Times New Roman" w:cs="Times New Roman"/>
          <w:bCs/>
          <w:lang w:eastAsia="hr-HR"/>
        </w:rPr>
        <w:t>. godinu po organizacijskoj, programskoj i ekonomskoj klasifikaciji.</w:t>
      </w:r>
    </w:p>
    <w:p w14:paraId="7238C828" w14:textId="77777777" w:rsidR="00722358" w:rsidRPr="00722358" w:rsidRDefault="00722358" w:rsidP="00E40FD3">
      <w:pPr>
        <w:pStyle w:val="Naslov"/>
        <w:spacing w:after="120"/>
        <w:ind w:firstLine="567"/>
        <w:jc w:val="both"/>
        <w:rPr>
          <w:rFonts w:ascii="Times New Roman" w:hAnsi="Times New Roman" w:cs="Times New Roman"/>
          <w:i/>
          <w:sz w:val="22"/>
          <w:lang w:val="hr-HR"/>
        </w:rPr>
      </w:pPr>
      <w:r w:rsidRPr="00722358">
        <w:rPr>
          <w:rFonts w:ascii="Times New Roman" w:hAnsi="Times New Roman" w:cs="Times New Roman"/>
          <w:i/>
          <w:sz w:val="22"/>
          <w:lang w:val="hr-HR"/>
        </w:rPr>
        <w:t>RAZDJEL 001 -  Gradsko vijeće i ured gradonačelnika</w:t>
      </w:r>
    </w:p>
    <w:p w14:paraId="1A000D64" w14:textId="5500A037" w:rsidR="00722358" w:rsidRPr="00722358" w:rsidRDefault="00722358" w:rsidP="00E40FD3">
      <w:pPr>
        <w:spacing w:after="120" w:line="240" w:lineRule="auto"/>
        <w:jc w:val="both"/>
        <w:rPr>
          <w:rFonts w:ascii="Times New Roman" w:hAnsi="Times New Roman" w:cs="Times New Roman"/>
          <w:bCs/>
          <w:lang w:eastAsia="hr-HR"/>
        </w:rPr>
      </w:pPr>
    </w:p>
    <w:tbl>
      <w:tblPr>
        <w:tblpPr w:leftFromText="180" w:rightFromText="180" w:vertAnchor="text" w:horzAnchor="margin" w:tblpY="187"/>
        <w:tblW w:w="5000" w:type="pct"/>
        <w:tblLook w:val="04A0" w:firstRow="1" w:lastRow="0" w:firstColumn="1" w:lastColumn="0" w:noHBand="0" w:noVBand="1"/>
      </w:tblPr>
      <w:tblGrid>
        <w:gridCol w:w="4911"/>
        <w:gridCol w:w="1306"/>
        <w:gridCol w:w="1422"/>
        <w:gridCol w:w="1421"/>
      </w:tblGrid>
      <w:tr w:rsidR="00C21C6A" w:rsidRPr="00F64569" w14:paraId="15815032" w14:textId="77777777" w:rsidTr="00C21C6A">
        <w:trPr>
          <w:trHeight w:val="564"/>
        </w:trPr>
        <w:tc>
          <w:tcPr>
            <w:tcW w:w="2710"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89453A5" w14:textId="77777777" w:rsidR="00C21C6A" w:rsidRPr="00F64569" w:rsidRDefault="00C21C6A" w:rsidP="007F048D">
            <w:pPr>
              <w:spacing w:after="0" w:line="240" w:lineRule="auto"/>
              <w:jc w:val="center"/>
              <w:rPr>
                <w:rFonts w:ascii="Times New Roman" w:hAnsi="Times New Roman" w:cs="Times New Roman"/>
                <w:bCs/>
                <w:color w:val="000000"/>
                <w:lang w:eastAsia="hr-HR"/>
              </w:rPr>
            </w:pPr>
            <w:r w:rsidRPr="00F64569">
              <w:rPr>
                <w:rFonts w:ascii="Times New Roman" w:hAnsi="Times New Roman" w:cs="Times New Roman"/>
                <w:bCs/>
                <w:color w:val="000000"/>
                <w:lang w:eastAsia="hr-HR"/>
              </w:rPr>
              <w:t>Razdjel/glava/program</w:t>
            </w:r>
          </w:p>
        </w:tc>
        <w:tc>
          <w:tcPr>
            <w:tcW w:w="721" w:type="pct"/>
            <w:tcBorders>
              <w:top w:val="single" w:sz="4" w:space="0" w:color="auto"/>
              <w:left w:val="nil"/>
              <w:bottom w:val="single" w:sz="4" w:space="0" w:color="auto"/>
              <w:right w:val="single" w:sz="4" w:space="0" w:color="auto"/>
            </w:tcBorders>
            <w:shd w:val="clear" w:color="auto" w:fill="D9D9D9"/>
            <w:vAlign w:val="center"/>
            <w:hideMark/>
          </w:tcPr>
          <w:p w14:paraId="5D59BB3B" w14:textId="4E8F44D6" w:rsidR="00C21C6A" w:rsidRPr="00F64569" w:rsidRDefault="00C21C6A" w:rsidP="007F048D">
            <w:pPr>
              <w:spacing w:after="0" w:line="240" w:lineRule="auto"/>
              <w:jc w:val="center"/>
              <w:rPr>
                <w:rFonts w:ascii="Times New Roman" w:hAnsi="Times New Roman" w:cs="Times New Roman"/>
                <w:bCs/>
                <w:color w:val="000000"/>
                <w:lang w:eastAsia="hr-HR"/>
              </w:rPr>
            </w:pPr>
            <w:r>
              <w:rPr>
                <w:rFonts w:ascii="Times New Roman" w:hAnsi="Times New Roman" w:cs="Times New Roman"/>
                <w:bCs/>
                <w:color w:val="000000"/>
                <w:lang w:eastAsia="hr-HR"/>
              </w:rPr>
              <w:t>Rebalans</w:t>
            </w:r>
          </w:p>
          <w:p w14:paraId="56709B8D" w14:textId="77777777" w:rsidR="00C21C6A" w:rsidRPr="00F64569" w:rsidRDefault="00C21C6A" w:rsidP="007F048D">
            <w:pPr>
              <w:spacing w:after="0" w:line="240" w:lineRule="auto"/>
              <w:jc w:val="center"/>
              <w:rPr>
                <w:rFonts w:ascii="Times New Roman" w:hAnsi="Times New Roman" w:cs="Times New Roman"/>
                <w:bCs/>
                <w:color w:val="000000"/>
                <w:lang w:eastAsia="hr-HR"/>
              </w:rPr>
            </w:pPr>
            <w:r w:rsidRPr="00F64569">
              <w:rPr>
                <w:rFonts w:ascii="Times New Roman" w:hAnsi="Times New Roman" w:cs="Times New Roman"/>
                <w:bCs/>
                <w:color w:val="000000"/>
                <w:lang w:eastAsia="hr-HR"/>
              </w:rPr>
              <w:t>2024.</w:t>
            </w:r>
          </w:p>
        </w:tc>
        <w:tc>
          <w:tcPr>
            <w:tcW w:w="785" w:type="pct"/>
            <w:tcBorders>
              <w:top w:val="single" w:sz="4" w:space="0" w:color="auto"/>
              <w:left w:val="nil"/>
              <w:bottom w:val="single" w:sz="4" w:space="0" w:color="auto"/>
              <w:right w:val="single" w:sz="4" w:space="0" w:color="auto"/>
            </w:tcBorders>
            <w:shd w:val="clear" w:color="auto" w:fill="D9D9D9"/>
            <w:vAlign w:val="center"/>
            <w:hideMark/>
          </w:tcPr>
          <w:p w14:paraId="390C5740" w14:textId="015431B9" w:rsidR="00C21C6A" w:rsidRPr="00F64569" w:rsidRDefault="00C21C6A" w:rsidP="007F048D">
            <w:pPr>
              <w:spacing w:after="0" w:line="240" w:lineRule="auto"/>
              <w:jc w:val="center"/>
              <w:rPr>
                <w:rFonts w:ascii="Times New Roman" w:hAnsi="Times New Roman" w:cs="Times New Roman"/>
                <w:bCs/>
                <w:color w:val="000000"/>
                <w:lang w:eastAsia="hr-HR"/>
              </w:rPr>
            </w:pPr>
            <w:r w:rsidRPr="00F64569">
              <w:rPr>
                <w:rFonts w:ascii="Times New Roman" w:hAnsi="Times New Roman" w:cs="Times New Roman"/>
                <w:bCs/>
                <w:color w:val="000000"/>
                <w:lang w:eastAsia="hr-HR"/>
              </w:rPr>
              <w:t xml:space="preserve"> </w:t>
            </w:r>
            <w:r>
              <w:rPr>
                <w:rFonts w:ascii="Times New Roman" w:hAnsi="Times New Roman" w:cs="Times New Roman"/>
                <w:bCs/>
                <w:color w:val="000000"/>
                <w:lang w:eastAsia="hr-HR"/>
              </w:rPr>
              <w:t>Izvršenje</w:t>
            </w:r>
          </w:p>
        </w:tc>
        <w:tc>
          <w:tcPr>
            <w:tcW w:w="785" w:type="pct"/>
            <w:tcBorders>
              <w:top w:val="single" w:sz="4" w:space="0" w:color="auto"/>
              <w:left w:val="nil"/>
              <w:bottom w:val="single" w:sz="4" w:space="0" w:color="auto"/>
              <w:right w:val="single" w:sz="4" w:space="0" w:color="auto"/>
            </w:tcBorders>
            <w:shd w:val="clear" w:color="auto" w:fill="D9D9D9"/>
            <w:vAlign w:val="center"/>
          </w:tcPr>
          <w:p w14:paraId="297C02BA" w14:textId="52281CE7" w:rsidR="00C21C6A" w:rsidRPr="00F64569" w:rsidRDefault="00C21C6A" w:rsidP="007F048D">
            <w:pPr>
              <w:spacing w:after="0" w:line="240" w:lineRule="auto"/>
              <w:jc w:val="center"/>
              <w:rPr>
                <w:rFonts w:ascii="Times New Roman" w:hAnsi="Times New Roman" w:cs="Times New Roman"/>
                <w:bCs/>
                <w:color w:val="000000"/>
                <w:lang w:eastAsia="hr-HR"/>
              </w:rPr>
            </w:pPr>
            <w:r>
              <w:rPr>
                <w:rFonts w:ascii="Times New Roman" w:hAnsi="Times New Roman" w:cs="Times New Roman"/>
                <w:bCs/>
                <w:color w:val="000000"/>
                <w:lang w:eastAsia="hr-HR"/>
              </w:rPr>
              <w:t>Indeks</w:t>
            </w:r>
          </w:p>
        </w:tc>
      </w:tr>
      <w:tr w:rsidR="00C21C6A" w:rsidRPr="00F64569" w14:paraId="0599D2EE" w14:textId="77777777" w:rsidTr="00C21C6A">
        <w:trPr>
          <w:trHeight w:val="564"/>
        </w:trPr>
        <w:tc>
          <w:tcPr>
            <w:tcW w:w="27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EE519A" w14:textId="77777777" w:rsidR="00C21C6A" w:rsidRPr="00F64569" w:rsidRDefault="00C21C6A" w:rsidP="00C21C6A">
            <w:pPr>
              <w:spacing w:after="0" w:line="240" w:lineRule="auto"/>
              <w:rPr>
                <w:rFonts w:ascii="Times New Roman" w:hAnsi="Times New Roman" w:cs="Times New Roman"/>
                <w:b/>
                <w:bCs/>
                <w:color w:val="000000"/>
                <w:lang w:eastAsia="hr-HR"/>
              </w:rPr>
            </w:pPr>
            <w:r w:rsidRPr="00F64569">
              <w:rPr>
                <w:rFonts w:ascii="Times New Roman" w:hAnsi="Times New Roman" w:cs="Times New Roman"/>
                <w:b/>
                <w:bCs/>
                <w:color w:val="000000"/>
                <w:lang w:eastAsia="hr-HR"/>
              </w:rPr>
              <w:t>Razdjel 001 Gradsko vijeće i ured gradonačelnika</w:t>
            </w:r>
          </w:p>
        </w:tc>
        <w:tc>
          <w:tcPr>
            <w:tcW w:w="721" w:type="pct"/>
            <w:tcBorders>
              <w:top w:val="single" w:sz="4" w:space="0" w:color="auto"/>
              <w:left w:val="nil"/>
              <w:bottom w:val="single" w:sz="4" w:space="0" w:color="auto"/>
              <w:right w:val="single" w:sz="4" w:space="0" w:color="auto"/>
            </w:tcBorders>
            <w:shd w:val="clear" w:color="auto" w:fill="auto"/>
            <w:vAlign w:val="center"/>
          </w:tcPr>
          <w:p w14:paraId="7DBD46B3" w14:textId="512DC4D7" w:rsidR="00C21C6A" w:rsidRPr="00F64569" w:rsidRDefault="00C21C6A" w:rsidP="00C21C6A">
            <w:pPr>
              <w:spacing w:after="0" w:line="240" w:lineRule="auto"/>
              <w:ind w:right="36"/>
              <w:jc w:val="right"/>
              <w:rPr>
                <w:rFonts w:ascii="Times New Roman" w:hAnsi="Times New Roman" w:cs="Times New Roman"/>
                <w:b/>
                <w:bCs/>
                <w:color w:val="000000"/>
                <w:lang w:eastAsia="hr-HR"/>
              </w:rPr>
            </w:pPr>
            <w:r w:rsidRPr="00F64569">
              <w:rPr>
                <w:rFonts w:ascii="Times New Roman" w:eastAsia="Calibri" w:hAnsi="Times New Roman" w:cs="Times New Roman"/>
                <w:color w:val="000000"/>
                <w:lang w:val="en-US"/>
              </w:rPr>
              <w:t>217.410,00</w:t>
            </w:r>
          </w:p>
        </w:tc>
        <w:tc>
          <w:tcPr>
            <w:tcW w:w="785" w:type="pct"/>
            <w:tcBorders>
              <w:top w:val="single" w:sz="4" w:space="0" w:color="auto"/>
              <w:left w:val="nil"/>
              <w:bottom w:val="single" w:sz="4" w:space="0" w:color="auto"/>
              <w:right w:val="single" w:sz="4" w:space="0" w:color="auto"/>
            </w:tcBorders>
            <w:shd w:val="clear" w:color="auto" w:fill="auto"/>
            <w:vAlign w:val="center"/>
          </w:tcPr>
          <w:p w14:paraId="614E4559" w14:textId="0309C80F" w:rsidR="00C21C6A" w:rsidRPr="00C21C6A" w:rsidRDefault="00C21C6A" w:rsidP="00C21C6A">
            <w:pPr>
              <w:spacing w:after="0" w:line="240" w:lineRule="auto"/>
              <w:jc w:val="right"/>
              <w:rPr>
                <w:rFonts w:ascii="Times New Roman" w:hAnsi="Times New Roman" w:cs="Times New Roman"/>
                <w:color w:val="000000"/>
                <w:lang w:eastAsia="hr-HR"/>
              </w:rPr>
            </w:pPr>
            <w:r w:rsidRPr="00C21C6A">
              <w:rPr>
                <w:rFonts w:ascii="Times New Roman" w:hAnsi="Times New Roman" w:cs="Times New Roman"/>
                <w:color w:val="000000"/>
                <w:lang w:eastAsia="hr-HR"/>
              </w:rPr>
              <w:t>169.534,47</w:t>
            </w:r>
          </w:p>
        </w:tc>
        <w:tc>
          <w:tcPr>
            <w:tcW w:w="785" w:type="pct"/>
            <w:tcBorders>
              <w:top w:val="single" w:sz="4" w:space="0" w:color="auto"/>
              <w:left w:val="nil"/>
              <w:bottom w:val="single" w:sz="4" w:space="0" w:color="auto"/>
              <w:right w:val="single" w:sz="4" w:space="0" w:color="auto"/>
            </w:tcBorders>
            <w:vAlign w:val="center"/>
          </w:tcPr>
          <w:p w14:paraId="12C75F25" w14:textId="24597264" w:rsidR="00C21C6A" w:rsidRPr="00C21C6A" w:rsidRDefault="00C21C6A" w:rsidP="00C21C6A">
            <w:pPr>
              <w:spacing w:after="0" w:line="240" w:lineRule="auto"/>
              <w:ind w:right="36"/>
              <w:jc w:val="right"/>
              <w:rPr>
                <w:rFonts w:ascii="Times New Roman" w:hAnsi="Times New Roman" w:cs="Times New Roman"/>
                <w:color w:val="000000"/>
                <w:lang w:eastAsia="hr-HR"/>
              </w:rPr>
            </w:pPr>
            <w:r>
              <w:rPr>
                <w:rFonts w:ascii="Times New Roman" w:hAnsi="Times New Roman" w:cs="Times New Roman"/>
                <w:color w:val="000000"/>
                <w:lang w:eastAsia="hr-HR"/>
              </w:rPr>
              <w:t>77,98</w:t>
            </w:r>
          </w:p>
        </w:tc>
      </w:tr>
      <w:tr w:rsidR="00C21C6A" w:rsidRPr="00F64569" w14:paraId="22846354" w14:textId="77777777" w:rsidTr="00C21C6A">
        <w:trPr>
          <w:trHeight w:val="269"/>
        </w:trPr>
        <w:tc>
          <w:tcPr>
            <w:tcW w:w="2710" w:type="pct"/>
            <w:tcBorders>
              <w:top w:val="single" w:sz="4" w:space="0" w:color="auto"/>
              <w:left w:val="single" w:sz="4" w:space="0" w:color="auto"/>
              <w:bottom w:val="single" w:sz="4" w:space="0" w:color="auto"/>
              <w:right w:val="single" w:sz="4" w:space="0" w:color="auto"/>
            </w:tcBorders>
            <w:shd w:val="clear" w:color="auto" w:fill="F2F2F2"/>
            <w:hideMark/>
          </w:tcPr>
          <w:p w14:paraId="793DA8AF" w14:textId="77777777" w:rsidR="00C21C6A" w:rsidRPr="00F64569" w:rsidRDefault="00C21C6A" w:rsidP="00C21C6A">
            <w:pPr>
              <w:spacing w:after="0" w:line="240" w:lineRule="auto"/>
              <w:rPr>
                <w:rFonts w:ascii="Times New Roman" w:hAnsi="Times New Roman" w:cs="Times New Roman"/>
                <w:color w:val="000000"/>
                <w:lang w:eastAsia="hr-HR"/>
              </w:rPr>
            </w:pPr>
            <w:r w:rsidRPr="00F64569">
              <w:rPr>
                <w:rFonts w:ascii="Times New Roman" w:hAnsi="Times New Roman" w:cs="Times New Roman"/>
                <w:color w:val="000000"/>
                <w:lang w:eastAsia="hr-HR"/>
              </w:rPr>
              <w:t>Glava 00101 Gradsko vijeće</w:t>
            </w:r>
          </w:p>
        </w:tc>
        <w:tc>
          <w:tcPr>
            <w:tcW w:w="721" w:type="pct"/>
            <w:tcBorders>
              <w:top w:val="nil"/>
              <w:left w:val="nil"/>
              <w:bottom w:val="single" w:sz="4" w:space="0" w:color="auto"/>
              <w:right w:val="single" w:sz="4" w:space="0" w:color="auto"/>
            </w:tcBorders>
            <w:shd w:val="clear" w:color="auto" w:fill="F2F2F2"/>
            <w:noWrap/>
            <w:vAlign w:val="center"/>
          </w:tcPr>
          <w:p w14:paraId="4D7D3291" w14:textId="63E54531" w:rsidR="00C21C6A" w:rsidRPr="00F64569" w:rsidRDefault="00C21C6A" w:rsidP="00C21C6A">
            <w:pPr>
              <w:spacing w:after="0" w:line="240" w:lineRule="auto"/>
              <w:ind w:right="36"/>
              <w:jc w:val="right"/>
              <w:rPr>
                <w:rFonts w:ascii="Times New Roman" w:hAnsi="Times New Roman" w:cs="Times New Roman"/>
                <w:color w:val="000000"/>
                <w:lang w:eastAsia="hr-HR"/>
              </w:rPr>
            </w:pPr>
            <w:r w:rsidRPr="00F64569">
              <w:rPr>
                <w:rFonts w:ascii="Times New Roman" w:eastAsia="Calibri" w:hAnsi="Times New Roman" w:cs="Times New Roman"/>
                <w:color w:val="000000"/>
                <w:lang w:val="en-US"/>
              </w:rPr>
              <w:t>103.320,00</w:t>
            </w:r>
          </w:p>
        </w:tc>
        <w:tc>
          <w:tcPr>
            <w:tcW w:w="785" w:type="pct"/>
            <w:tcBorders>
              <w:top w:val="nil"/>
              <w:left w:val="nil"/>
              <w:bottom w:val="single" w:sz="4" w:space="0" w:color="auto"/>
              <w:right w:val="single" w:sz="4" w:space="0" w:color="auto"/>
            </w:tcBorders>
            <w:shd w:val="clear" w:color="auto" w:fill="F2F2F2"/>
            <w:noWrap/>
            <w:vAlign w:val="center"/>
          </w:tcPr>
          <w:p w14:paraId="5709BB38" w14:textId="009E8AF4" w:rsidR="00C21C6A" w:rsidRPr="00C21C6A" w:rsidRDefault="00C21C6A" w:rsidP="00C21C6A">
            <w:pPr>
              <w:spacing w:after="0" w:line="240" w:lineRule="auto"/>
              <w:ind w:right="36"/>
              <w:jc w:val="right"/>
              <w:rPr>
                <w:rFonts w:ascii="Times New Roman" w:hAnsi="Times New Roman" w:cs="Times New Roman"/>
                <w:color w:val="000000"/>
                <w:lang w:eastAsia="hr-HR"/>
              </w:rPr>
            </w:pPr>
            <w:r>
              <w:rPr>
                <w:rFonts w:ascii="Times New Roman" w:hAnsi="Times New Roman" w:cs="Times New Roman"/>
                <w:color w:val="000000"/>
                <w:lang w:eastAsia="hr-HR"/>
              </w:rPr>
              <w:t>69.468,09</w:t>
            </w:r>
          </w:p>
        </w:tc>
        <w:tc>
          <w:tcPr>
            <w:tcW w:w="785" w:type="pct"/>
            <w:tcBorders>
              <w:top w:val="nil"/>
              <w:left w:val="nil"/>
              <w:bottom w:val="single" w:sz="4" w:space="0" w:color="auto"/>
              <w:right w:val="single" w:sz="4" w:space="0" w:color="auto"/>
            </w:tcBorders>
            <w:shd w:val="clear" w:color="auto" w:fill="F2F2F2"/>
            <w:vAlign w:val="center"/>
          </w:tcPr>
          <w:p w14:paraId="2B602551" w14:textId="2474AEFA" w:rsidR="00C21C6A" w:rsidRPr="00C21C6A" w:rsidRDefault="00C21C6A" w:rsidP="00C21C6A">
            <w:pPr>
              <w:spacing w:after="0" w:line="240" w:lineRule="auto"/>
              <w:ind w:right="36"/>
              <w:jc w:val="right"/>
              <w:rPr>
                <w:rFonts w:ascii="Times New Roman" w:hAnsi="Times New Roman" w:cs="Times New Roman"/>
                <w:color w:val="000000"/>
                <w:lang w:eastAsia="hr-HR"/>
              </w:rPr>
            </w:pPr>
            <w:r>
              <w:rPr>
                <w:rFonts w:ascii="Times New Roman" w:hAnsi="Times New Roman" w:cs="Times New Roman"/>
                <w:color w:val="000000"/>
                <w:lang w:eastAsia="hr-HR"/>
              </w:rPr>
              <w:t>67,24</w:t>
            </w:r>
          </w:p>
        </w:tc>
      </w:tr>
      <w:tr w:rsidR="00C21C6A" w:rsidRPr="00F64569" w14:paraId="7ED5D19D" w14:textId="77777777" w:rsidTr="00C21C6A">
        <w:trPr>
          <w:trHeight w:val="269"/>
        </w:trPr>
        <w:tc>
          <w:tcPr>
            <w:tcW w:w="2710" w:type="pct"/>
            <w:tcBorders>
              <w:top w:val="single" w:sz="4" w:space="0" w:color="auto"/>
              <w:left w:val="single" w:sz="4" w:space="0" w:color="auto"/>
              <w:bottom w:val="single" w:sz="4" w:space="0" w:color="auto"/>
              <w:right w:val="single" w:sz="4" w:space="0" w:color="auto"/>
            </w:tcBorders>
            <w:shd w:val="clear" w:color="auto" w:fill="auto"/>
          </w:tcPr>
          <w:p w14:paraId="4BE34B42" w14:textId="77777777" w:rsidR="00C21C6A" w:rsidRPr="00F64569" w:rsidRDefault="00C21C6A" w:rsidP="00C21C6A">
            <w:pPr>
              <w:spacing w:after="0" w:line="240" w:lineRule="auto"/>
              <w:rPr>
                <w:rFonts w:ascii="Times New Roman" w:hAnsi="Times New Roman" w:cs="Times New Roman"/>
                <w:color w:val="000000"/>
                <w:lang w:eastAsia="hr-HR"/>
              </w:rPr>
            </w:pPr>
            <w:r w:rsidRPr="00F64569">
              <w:rPr>
                <w:rFonts w:ascii="Times New Roman" w:hAnsi="Times New Roman" w:cs="Times New Roman"/>
                <w:color w:val="000000"/>
                <w:lang w:eastAsia="hr-HR"/>
              </w:rPr>
              <w:lastRenderedPageBreak/>
              <w:t>Program 1001 Donošenje akata i mjera iz djelokruga predstavničkog tijela</w:t>
            </w:r>
          </w:p>
        </w:tc>
        <w:tc>
          <w:tcPr>
            <w:tcW w:w="721" w:type="pct"/>
            <w:tcBorders>
              <w:top w:val="nil"/>
              <w:left w:val="nil"/>
              <w:bottom w:val="single" w:sz="4" w:space="0" w:color="auto"/>
              <w:right w:val="single" w:sz="4" w:space="0" w:color="auto"/>
            </w:tcBorders>
            <w:shd w:val="clear" w:color="auto" w:fill="auto"/>
            <w:noWrap/>
            <w:vAlign w:val="center"/>
          </w:tcPr>
          <w:p w14:paraId="69CAF03A" w14:textId="6D9C67E0" w:rsidR="00C21C6A" w:rsidRPr="00F64569" w:rsidRDefault="00C21C6A" w:rsidP="00C21C6A">
            <w:pPr>
              <w:spacing w:after="0" w:line="240" w:lineRule="auto"/>
              <w:ind w:right="36"/>
              <w:jc w:val="right"/>
              <w:rPr>
                <w:rFonts w:ascii="Times New Roman" w:hAnsi="Times New Roman" w:cs="Times New Roman"/>
                <w:color w:val="000000"/>
                <w:lang w:eastAsia="hr-HR"/>
              </w:rPr>
            </w:pPr>
            <w:r w:rsidRPr="00F64569">
              <w:rPr>
                <w:rFonts w:ascii="Times New Roman" w:eastAsia="Calibri" w:hAnsi="Times New Roman" w:cs="Times New Roman"/>
                <w:color w:val="000000"/>
                <w:lang w:val="en-US"/>
              </w:rPr>
              <w:t>16.000,00</w:t>
            </w:r>
          </w:p>
        </w:tc>
        <w:tc>
          <w:tcPr>
            <w:tcW w:w="785" w:type="pct"/>
            <w:tcBorders>
              <w:top w:val="nil"/>
              <w:left w:val="nil"/>
              <w:bottom w:val="single" w:sz="4" w:space="0" w:color="auto"/>
              <w:right w:val="single" w:sz="4" w:space="0" w:color="auto"/>
            </w:tcBorders>
            <w:shd w:val="clear" w:color="auto" w:fill="auto"/>
            <w:noWrap/>
            <w:vAlign w:val="center"/>
          </w:tcPr>
          <w:p w14:paraId="296EC553" w14:textId="3B438FC3" w:rsidR="00C21C6A" w:rsidRPr="00C21C6A" w:rsidRDefault="000E04B7" w:rsidP="00C21C6A">
            <w:pPr>
              <w:spacing w:after="0" w:line="240" w:lineRule="auto"/>
              <w:ind w:right="36"/>
              <w:jc w:val="right"/>
              <w:rPr>
                <w:rFonts w:ascii="Times New Roman" w:hAnsi="Times New Roman" w:cs="Times New Roman"/>
                <w:color w:val="000000"/>
                <w:lang w:eastAsia="hr-HR"/>
              </w:rPr>
            </w:pPr>
            <w:r>
              <w:rPr>
                <w:rFonts w:ascii="Times New Roman" w:hAnsi="Times New Roman" w:cs="Times New Roman"/>
                <w:color w:val="000000"/>
                <w:lang w:eastAsia="hr-HR"/>
              </w:rPr>
              <w:t>12.975,05</w:t>
            </w:r>
          </w:p>
        </w:tc>
        <w:tc>
          <w:tcPr>
            <w:tcW w:w="785" w:type="pct"/>
            <w:tcBorders>
              <w:top w:val="nil"/>
              <w:left w:val="nil"/>
              <w:bottom w:val="single" w:sz="4" w:space="0" w:color="auto"/>
              <w:right w:val="single" w:sz="4" w:space="0" w:color="auto"/>
            </w:tcBorders>
            <w:vAlign w:val="center"/>
          </w:tcPr>
          <w:p w14:paraId="1994DC58" w14:textId="1777AACB" w:rsidR="00C21C6A" w:rsidRPr="00C21C6A" w:rsidRDefault="000E04B7" w:rsidP="00C21C6A">
            <w:pPr>
              <w:spacing w:after="0" w:line="240" w:lineRule="auto"/>
              <w:ind w:right="36"/>
              <w:jc w:val="right"/>
              <w:rPr>
                <w:rFonts w:ascii="Times New Roman" w:hAnsi="Times New Roman" w:cs="Times New Roman"/>
                <w:color w:val="000000"/>
                <w:lang w:eastAsia="hr-HR"/>
              </w:rPr>
            </w:pPr>
            <w:r>
              <w:rPr>
                <w:rFonts w:ascii="Times New Roman" w:hAnsi="Times New Roman" w:cs="Times New Roman"/>
                <w:color w:val="000000"/>
                <w:lang w:eastAsia="hr-HR"/>
              </w:rPr>
              <w:t>81,09</w:t>
            </w:r>
          </w:p>
        </w:tc>
      </w:tr>
      <w:tr w:rsidR="00C21C6A" w:rsidRPr="00F64569" w14:paraId="644907EC" w14:textId="77777777" w:rsidTr="00C21C6A">
        <w:trPr>
          <w:trHeight w:val="269"/>
        </w:trPr>
        <w:tc>
          <w:tcPr>
            <w:tcW w:w="2710" w:type="pct"/>
            <w:tcBorders>
              <w:top w:val="single" w:sz="4" w:space="0" w:color="auto"/>
              <w:left w:val="single" w:sz="4" w:space="0" w:color="auto"/>
              <w:bottom w:val="single" w:sz="4" w:space="0" w:color="auto"/>
              <w:right w:val="single" w:sz="4" w:space="0" w:color="auto"/>
            </w:tcBorders>
            <w:shd w:val="clear" w:color="auto" w:fill="auto"/>
          </w:tcPr>
          <w:p w14:paraId="6BD77655" w14:textId="77777777" w:rsidR="00C21C6A" w:rsidRPr="00F64569" w:rsidRDefault="00C21C6A" w:rsidP="00C21C6A">
            <w:pPr>
              <w:spacing w:after="0" w:line="240" w:lineRule="auto"/>
              <w:rPr>
                <w:rFonts w:ascii="Times New Roman" w:hAnsi="Times New Roman" w:cs="Times New Roman"/>
                <w:color w:val="000000"/>
                <w:lang w:eastAsia="hr-HR"/>
              </w:rPr>
            </w:pPr>
            <w:r w:rsidRPr="00F64569">
              <w:rPr>
                <w:rFonts w:ascii="Times New Roman" w:hAnsi="Times New Roman" w:cs="Times New Roman"/>
                <w:color w:val="000000"/>
                <w:lang w:eastAsia="hr-HR"/>
              </w:rPr>
              <w:t>Program 1002 Razvoj civilnog društva</w:t>
            </w:r>
          </w:p>
        </w:tc>
        <w:tc>
          <w:tcPr>
            <w:tcW w:w="721" w:type="pct"/>
            <w:tcBorders>
              <w:top w:val="nil"/>
              <w:left w:val="nil"/>
              <w:bottom w:val="single" w:sz="4" w:space="0" w:color="auto"/>
              <w:right w:val="single" w:sz="4" w:space="0" w:color="auto"/>
            </w:tcBorders>
            <w:shd w:val="clear" w:color="auto" w:fill="auto"/>
            <w:noWrap/>
            <w:vAlign w:val="center"/>
          </w:tcPr>
          <w:p w14:paraId="43E39649" w14:textId="2449FEFA" w:rsidR="00C21C6A" w:rsidRPr="00F64569" w:rsidRDefault="00C21C6A" w:rsidP="00C21C6A">
            <w:pPr>
              <w:spacing w:after="0" w:line="240" w:lineRule="auto"/>
              <w:ind w:right="36"/>
              <w:jc w:val="right"/>
              <w:rPr>
                <w:rFonts w:ascii="Times New Roman" w:hAnsi="Times New Roman" w:cs="Times New Roman"/>
                <w:color w:val="000000"/>
                <w:lang w:eastAsia="hr-HR"/>
              </w:rPr>
            </w:pPr>
            <w:r w:rsidRPr="00F64569">
              <w:rPr>
                <w:rFonts w:ascii="Times New Roman" w:eastAsia="Calibri" w:hAnsi="Times New Roman" w:cs="Times New Roman"/>
                <w:color w:val="000000"/>
                <w:lang w:val="en-US"/>
              </w:rPr>
              <w:t>87.320,00</w:t>
            </w:r>
          </w:p>
        </w:tc>
        <w:tc>
          <w:tcPr>
            <w:tcW w:w="785" w:type="pct"/>
            <w:tcBorders>
              <w:top w:val="nil"/>
              <w:left w:val="nil"/>
              <w:bottom w:val="single" w:sz="4" w:space="0" w:color="auto"/>
              <w:right w:val="single" w:sz="4" w:space="0" w:color="auto"/>
            </w:tcBorders>
            <w:shd w:val="clear" w:color="auto" w:fill="auto"/>
            <w:noWrap/>
            <w:vAlign w:val="center"/>
          </w:tcPr>
          <w:p w14:paraId="0D094EA8" w14:textId="7BD6D251" w:rsidR="00C21C6A" w:rsidRPr="00C21C6A" w:rsidRDefault="000E04B7" w:rsidP="00C21C6A">
            <w:pPr>
              <w:spacing w:after="0" w:line="240" w:lineRule="auto"/>
              <w:ind w:right="36"/>
              <w:jc w:val="right"/>
              <w:rPr>
                <w:rFonts w:ascii="Times New Roman" w:hAnsi="Times New Roman" w:cs="Times New Roman"/>
                <w:color w:val="000000"/>
                <w:lang w:eastAsia="hr-HR"/>
              </w:rPr>
            </w:pPr>
            <w:r>
              <w:rPr>
                <w:rFonts w:ascii="Times New Roman" w:hAnsi="Times New Roman" w:cs="Times New Roman"/>
                <w:color w:val="000000"/>
                <w:lang w:eastAsia="hr-HR"/>
              </w:rPr>
              <w:t>56.493,04</w:t>
            </w:r>
          </w:p>
        </w:tc>
        <w:tc>
          <w:tcPr>
            <w:tcW w:w="785" w:type="pct"/>
            <w:tcBorders>
              <w:top w:val="nil"/>
              <w:left w:val="nil"/>
              <w:bottom w:val="single" w:sz="4" w:space="0" w:color="auto"/>
              <w:right w:val="single" w:sz="4" w:space="0" w:color="auto"/>
            </w:tcBorders>
            <w:vAlign w:val="center"/>
          </w:tcPr>
          <w:p w14:paraId="391B383B" w14:textId="1CD8F8C0" w:rsidR="00C21C6A" w:rsidRPr="00C21C6A" w:rsidRDefault="000E04B7" w:rsidP="00C21C6A">
            <w:pPr>
              <w:spacing w:after="0" w:line="240" w:lineRule="auto"/>
              <w:ind w:right="36"/>
              <w:jc w:val="right"/>
              <w:rPr>
                <w:rFonts w:ascii="Times New Roman" w:hAnsi="Times New Roman" w:cs="Times New Roman"/>
                <w:color w:val="000000"/>
                <w:lang w:eastAsia="hr-HR"/>
              </w:rPr>
            </w:pPr>
            <w:r>
              <w:rPr>
                <w:rFonts w:ascii="Times New Roman" w:hAnsi="Times New Roman" w:cs="Times New Roman"/>
                <w:color w:val="000000"/>
                <w:lang w:eastAsia="hr-HR"/>
              </w:rPr>
              <w:t>64,70</w:t>
            </w:r>
          </w:p>
        </w:tc>
      </w:tr>
      <w:tr w:rsidR="00C21C6A" w:rsidRPr="00F64569" w14:paraId="542C3E7E" w14:textId="77777777" w:rsidTr="00C21C6A">
        <w:trPr>
          <w:trHeight w:val="282"/>
        </w:trPr>
        <w:tc>
          <w:tcPr>
            <w:tcW w:w="2710" w:type="pct"/>
            <w:tcBorders>
              <w:top w:val="single" w:sz="4" w:space="0" w:color="auto"/>
              <w:left w:val="single" w:sz="4" w:space="0" w:color="auto"/>
              <w:bottom w:val="single" w:sz="4" w:space="0" w:color="auto"/>
              <w:right w:val="single" w:sz="4" w:space="0" w:color="auto"/>
            </w:tcBorders>
            <w:shd w:val="clear" w:color="auto" w:fill="F2F2F2"/>
          </w:tcPr>
          <w:p w14:paraId="60C1D66D" w14:textId="77777777" w:rsidR="00C21C6A" w:rsidRPr="00F64569" w:rsidRDefault="00C21C6A" w:rsidP="00C21C6A">
            <w:pPr>
              <w:spacing w:after="0" w:line="240" w:lineRule="auto"/>
              <w:rPr>
                <w:rFonts w:ascii="Times New Roman" w:hAnsi="Times New Roman" w:cs="Times New Roman"/>
                <w:color w:val="000000"/>
                <w:lang w:eastAsia="hr-HR"/>
              </w:rPr>
            </w:pPr>
            <w:r w:rsidRPr="00F64569">
              <w:rPr>
                <w:rFonts w:ascii="Times New Roman" w:hAnsi="Times New Roman" w:cs="Times New Roman"/>
                <w:color w:val="000000"/>
                <w:lang w:eastAsia="hr-HR"/>
              </w:rPr>
              <w:t>Glava 00102 Ured gradonačelnika</w:t>
            </w:r>
          </w:p>
        </w:tc>
        <w:tc>
          <w:tcPr>
            <w:tcW w:w="721" w:type="pct"/>
            <w:tcBorders>
              <w:top w:val="nil"/>
              <w:left w:val="nil"/>
              <w:bottom w:val="single" w:sz="4" w:space="0" w:color="auto"/>
              <w:right w:val="single" w:sz="4" w:space="0" w:color="auto"/>
            </w:tcBorders>
            <w:shd w:val="clear" w:color="auto" w:fill="F2F2F2"/>
            <w:noWrap/>
            <w:vAlign w:val="center"/>
          </w:tcPr>
          <w:p w14:paraId="074C10CE" w14:textId="45C78760" w:rsidR="00C21C6A" w:rsidRPr="00F64569" w:rsidRDefault="00C21C6A" w:rsidP="00C21C6A">
            <w:pPr>
              <w:spacing w:after="0" w:line="240" w:lineRule="auto"/>
              <w:ind w:right="36"/>
              <w:jc w:val="right"/>
              <w:rPr>
                <w:rFonts w:ascii="Times New Roman" w:hAnsi="Times New Roman" w:cs="Times New Roman"/>
                <w:color w:val="000000"/>
                <w:lang w:eastAsia="hr-HR"/>
              </w:rPr>
            </w:pPr>
            <w:r w:rsidRPr="00F64569">
              <w:rPr>
                <w:rFonts w:ascii="Times New Roman" w:eastAsia="Calibri" w:hAnsi="Times New Roman" w:cs="Times New Roman"/>
                <w:color w:val="000000"/>
                <w:lang w:val="en-US"/>
              </w:rPr>
              <w:t>114.090,00</w:t>
            </w:r>
          </w:p>
        </w:tc>
        <w:tc>
          <w:tcPr>
            <w:tcW w:w="785" w:type="pct"/>
            <w:tcBorders>
              <w:top w:val="nil"/>
              <w:left w:val="nil"/>
              <w:bottom w:val="single" w:sz="4" w:space="0" w:color="auto"/>
              <w:right w:val="single" w:sz="4" w:space="0" w:color="auto"/>
            </w:tcBorders>
            <w:shd w:val="clear" w:color="auto" w:fill="F2F2F2"/>
            <w:noWrap/>
            <w:vAlign w:val="center"/>
          </w:tcPr>
          <w:p w14:paraId="0C2D7652" w14:textId="1ACD5C2A" w:rsidR="00C21C6A" w:rsidRPr="00C21C6A" w:rsidRDefault="00C21C6A" w:rsidP="00C21C6A">
            <w:pPr>
              <w:spacing w:after="0" w:line="240" w:lineRule="auto"/>
              <w:ind w:right="36"/>
              <w:jc w:val="right"/>
              <w:rPr>
                <w:rFonts w:ascii="Times New Roman" w:hAnsi="Times New Roman" w:cs="Times New Roman"/>
                <w:color w:val="000000"/>
                <w:lang w:eastAsia="hr-HR"/>
              </w:rPr>
            </w:pPr>
            <w:r>
              <w:rPr>
                <w:rFonts w:ascii="Times New Roman" w:hAnsi="Times New Roman" w:cs="Times New Roman"/>
                <w:color w:val="000000"/>
                <w:lang w:eastAsia="hr-HR"/>
              </w:rPr>
              <w:t>100.066,38</w:t>
            </w:r>
          </w:p>
        </w:tc>
        <w:tc>
          <w:tcPr>
            <w:tcW w:w="785" w:type="pct"/>
            <w:tcBorders>
              <w:top w:val="nil"/>
              <w:left w:val="nil"/>
              <w:bottom w:val="single" w:sz="4" w:space="0" w:color="auto"/>
              <w:right w:val="single" w:sz="4" w:space="0" w:color="auto"/>
            </w:tcBorders>
            <w:shd w:val="clear" w:color="auto" w:fill="F2F2F2"/>
            <w:vAlign w:val="center"/>
          </w:tcPr>
          <w:p w14:paraId="4720E634" w14:textId="6556E6A2" w:rsidR="00C21C6A" w:rsidRPr="00C21C6A" w:rsidRDefault="00C21C6A" w:rsidP="00C21C6A">
            <w:pPr>
              <w:spacing w:after="0" w:line="240" w:lineRule="auto"/>
              <w:ind w:right="36"/>
              <w:jc w:val="right"/>
              <w:rPr>
                <w:rFonts w:ascii="Times New Roman" w:hAnsi="Times New Roman" w:cs="Times New Roman"/>
                <w:color w:val="000000"/>
                <w:lang w:eastAsia="hr-HR"/>
              </w:rPr>
            </w:pPr>
            <w:r>
              <w:rPr>
                <w:rFonts w:ascii="Times New Roman" w:hAnsi="Times New Roman" w:cs="Times New Roman"/>
                <w:color w:val="000000"/>
                <w:lang w:eastAsia="hr-HR"/>
              </w:rPr>
              <w:t>87,81</w:t>
            </w:r>
          </w:p>
        </w:tc>
      </w:tr>
      <w:tr w:rsidR="00C21C6A" w:rsidRPr="00F64569" w14:paraId="1C594870" w14:textId="77777777" w:rsidTr="00C21C6A">
        <w:trPr>
          <w:trHeight w:val="282"/>
        </w:trPr>
        <w:tc>
          <w:tcPr>
            <w:tcW w:w="2710" w:type="pct"/>
            <w:tcBorders>
              <w:top w:val="single" w:sz="4" w:space="0" w:color="auto"/>
              <w:left w:val="single" w:sz="4" w:space="0" w:color="auto"/>
              <w:bottom w:val="single" w:sz="4" w:space="0" w:color="auto"/>
              <w:right w:val="single" w:sz="4" w:space="0" w:color="auto"/>
            </w:tcBorders>
            <w:shd w:val="clear" w:color="auto" w:fill="auto"/>
          </w:tcPr>
          <w:p w14:paraId="40664D4D" w14:textId="77777777" w:rsidR="00C21C6A" w:rsidRPr="00F64569" w:rsidRDefault="00C21C6A" w:rsidP="00C21C6A">
            <w:pPr>
              <w:spacing w:after="0" w:line="240" w:lineRule="auto"/>
              <w:rPr>
                <w:rFonts w:ascii="Times New Roman" w:hAnsi="Times New Roman" w:cs="Times New Roman"/>
                <w:color w:val="000000"/>
                <w:lang w:eastAsia="hr-HR"/>
              </w:rPr>
            </w:pPr>
            <w:r w:rsidRPr="00F64569">
              <w:rPr>
                <w:rFonts w:ascii="Times New Roman" w:hAnsi="Times New Roman" w:cs="Times New Roman"/>
                <w:color w:val="000000"/>
                <w:lang w:eastAsia="hr-HR"/>
              </w:rPr>
              <w:t>Program 1002 Donošenje akata i mjera iz djelokruga predstavničkog tijela</w:t>
            </w:r>
          </w:p>
        </w:tc>
        <w:tc>
          <w:tcPr>
            <w:tcW w:w="721" w:type="pct"/>
            <w:tcBorders>
              <w:top w:val="nil"/>
              <w:left w:val="nil"/>
              <w:bottom w:val="single" w:sz="4" w:space="0" w:color="auto"/>
              <w:right w:val="single" w:sz="4" w:space="0" w:color="auto"/>
            </w:tcBorders>
            <w:shd w:val="clear" w:color="auto" w:fill="auto"/>
            <w:noWrap/>
            <w:vAlign w:val="center"/>
          </w:tcPr>
          <w:p w14:paraId="2FB06189" w14:textId="12A13D74" w:rsidR="00C21C6A" w:rsidRPr="00F64569" w:rsidRDefault="00C21C6A" w:rsidP="00C21C6A">
            <w:pPr>
              <w:spacing w:after="0" w:line="240" w:lineRule="auto"/>
              <w:ind w:right="36"/>
              <w:jc w:val="right"/>
              <w:rPr>
                <w:rFonts w:ascii="Times New Roman" w:hAnsi="Times New Roman" w:cs="Times New Roman"/>
                <w:color w:val="000000"/>
                <w:lang w:eastAsia="hr-HR"/>
              </w:rPr>
            </w:pPr>
            <w:r w:rsidRPr="00F64569">
              <w:rPr>
                <w:rFonts w:ascii="Times New Roman" w:eastAsia="Calibri" w:hAnsi="Times New Roman" w:cs="Times New Roman"/>
                <w:color w:val="000000"/>
                <w:lang w:val="en-US"/>
              </w:rPr>
              <w:t>114.090,00</w:t>
            </w:r>
          </w:p>
        </w:tc>
        <w:tc>
          <w:tcPr>
            <w:tcW w:w="785" w:type="pct"/>
            <w:tcBorders>
              <w:top w:val="nil"/>
              <w:left w:val="nil"/>
              <w:bottom w:val="single" w:sz="4" w:space="0" w:color="auto"/>
              <w:right w:val="single" w:sz="4" w:space="0" w:color="auto"/>
            </w:tcBorders>
            <w:shd w:val="clear" w:color="auto" w:fill="auto"/>
            <w:noWrap/>
            <w:vAlign w:val="center"/>
          </w:tcPr>
          <w:p w14:paraId="1C9A8117" w14:textId="0D572999" w:rsidR="00C21C6A" w:rsidRPr="00C21C6A" w:rsidRDefault="000E04B7" w:rsidP="00C21C6A">
            <w:pPr>
              <w:spacing w:after="0" w:line="240" w:lineRule="auto"/>
              <w:ind w:right="36"/>
              <w:jc w:val="right"/>
              <w:rPr>
                <w:rFonts w:ascii="Times New Roman" w:hAnsi="Times New Roman" w:cs="Times New Roman"/>
                <w:color w:val="000000"/>
                <w:lang w:eastAsia="hr-HR"/>
              </w:rPr>
            </w:pPr>
            <w:r>
              <w:rPr>
                <w:rFonts w:ascii="Times New Roman" w:hAnsi="Times New Roman" w:cs="Times New Roman"/>
                <w:color w:val="000000"/>
                <w:lang w:eastAsia="hr-HR"/>
              </w:rPr>
              <w:t>100.066,38</w:t>
            </w:r>
          </w:p>
        </w:tc>
        <w:tc>
          <w:tcPr>
            <w:tcW w:w="785" w:type="pct"/>
            <w:tcBorders>
              <w:top w:val="nil"/>
              <w:left w:val="nil"/>
              <w:bottom w:val="single" w:sz="4" w:space="0" w:color="auto"/>
              <w:right w:val="single" w:sz="4" w:space="0" w:color="auto"/>
            </w:tcBorders>
            <w:vAlign w:val="center"/>
          </w:tcPr>
          <w:p w14:paraId="6E570B4C" w14:textId="0306909F" w:rsidR="00C21C6A" w:rsidRPr="00C21C6A" w:rsidRDefault="000E04B7" w:rsidP="00C21C6A">
            <w:pPr>
              <w:spacing w:after="0" w:line="240" w:lineRule="auto"/>
              <w:ind w:right="36"/>
              <w:jc w:val="right"/>
              <w:rPr>
                <w:rFonts w:ascii="Times New Roman" w:hAnsi="Times New Roman" w:cs="Times New Roman"/>
                <w:color w:val="000000"/>
                <w:lang w:eastAsia="hr-HR"/>
              </w:rPr>
            </w:pPr>
            <w:r>
              <w:rPr>
                <w:rFonts w:ascii="Times New Roman" w:hAnsi="Times New Roman" w:cs="Times New Roman"/>
                <w:color w:val="000000"/>
                <w:lang w:eastAsia="hr-HR"/>
              </w:rPr>
              <w:t>87,71</w:t>
            </w:r>
          </w:p>
        </w:tc>
      </w:tr>
    </w:tbl>
    <w:p w14:paraId="0F0E77CB" w14:textId="77777777" w:rsidR="00722358" w:rsidRDefault="00722358" w:rsidP="00E40FD3">
      <w:pPr>
        <w:spacing w:after="120" w:line="240" w:lineRule="auto"/>
        <w:jc w:val="both"/>
        <w:rPr>
          <w:rFonts w:ascii="Times New Roman" w:hAnsi="Times New Roman" w:cs="Times New Roman"/>
          <w:bCs/>
          <w:lang w:eastAsia="hr-HR"/>
        </w:rPr>
      </w:pPr>
    </w:p>
    <w:p w14:paraId="45FE4D3C" w14:textId="77777777" w:rsidR="00C21C6A" w:rsidRDefault="00C21C6A" w:rsidP="00C21C6A">
      <w:pPr>
        <w:pStyle w:val="Naslov"/>
        <w:spacing w:after="120"/>
        <w:ind w:firstLine="567"/>
        <w:jc w:val="both"/>
        <w:rPr>
          <w:rFonts w:ascii="Times New Roman" w:hAnsi="Times New Roman" w:cs="Times New Roman"/>
          <w:i/>
          <w:sz w:val="22"/>
          <w:lang w:val="hr-HR"/>
        </w:rPr>
      </w:pPr>
      <w:r w:rsidRPr="00722358">
        <w:rPr>
          <w:rFonts w:ascii="Times New Roman" w:hAnsi="Times New Roman" w:cs="Times New Roman"/>
          <w:i/>
          <w:sz w:val="22"/>
          <w:lang w:val="hr-HR"/>
        </w:rPr>
        <w:t>GLAVA 00101 – Gradsko vijeće</w:t>
      </w:r>
    </w:p>
    <w:p w14:paraId="6D2AC18D" w14:textId="77777777" w:rsidR="000E04B7" w:rsidRPr="00F64569" w:rsidRDefault="000E04B7" w:rsidP="000E04B7">
      <w:pPr>
        <w:spacing w:after="0" w:line="240" w:lineRule="auto"/>
        <w:jc w:val="both"/>
        <w:rPr>
          <w:rFonts w:ascii="Times New Roman" w:hAnsi="Times New Roman" w:cs="Times New Roman"/>
          <w:bCs/>
          <w:lang w:eastAsia="hr-HR"/>
        </w:rPr>
      </w:pPr>
      <w:r w:rsidRPr="00F64569">
        <w:rPr>
          <w:rFonts w:ascii="Times New Roman" w:hAnsi="Times New Roman" w:cs="Times New Roman"/>
          <w:bCs/>
          <w:lang w:eastAsia="hr-HR"/>
        </w:rPr>
        <w:t>Gradsko vijeće Grada Garešnice konstituirano je dana 31. svibnja 2021. godine temeljem rezultata lokalnih izbora, a sastoji se od 16 vijećnika. Gradsko vijeće predstavničko je tijelo građana i tijelo lokalne samouprave i donosi akte u okviru prava i dužnosti Grada kao jedinice lokalne samouprave. U okviru svog djelokruga Gradsko vijeće između ostalog donosi Statut Grada, odluke i druge opće akte kojima uređuje pitanja iz samoupravnog djelokruga grada, donosi gradski proračun, odluku o izvršenju proračuna i nadzire ukupno materijalno i financijsko poslovanje grada i odlučuje o drugim pitanjima utvrđenim zakonima i Statutom Grada.</w:t>
      </w:r>
    </w:p>
    <w:p w14:paraId="455E1953" w14:textId="77777777" w:rsidR="00C21C6A" w:rsidRPr="00722358" w:rsidRDefault="00C21C6A" w:rsidP="00E40FD3">
      <w:pPr>
        <w:spacing w:after="120" w:line="240" w:lineRule="auto"/>
        <w:jc w:val="both"/>
        <w:rPr>
          <w:rFonts w:ascii="Times New Roman" w:hAnsi="Times New Roman" w:cs="Times New Roman"/>
          <w:bCs/>
          <w:lang w:eastAsia="hr-HR"/>
        </w:rPr>
      </w:pPr>
    </w:p>
    <w:p w14:paraId="39165EA5" w14:textId="77777777" w:rsidR="00722358" w:rsidRDefault="00722358" w:rsidP="00E40FD3">
      <w:pPr>
        <w:pStyle w:val="Naslov"/>
        <w:ind w:firstLine="567"/>
        <w:jc w:val="both"/>
        <w:rPr>
          <w:rFonts w:ascii="Times New Roman" w:hAnsi="Times New Roman" w:cs="Times New Roman"/>
          <w:b w:val="0"/>
          <w:sz w:val="22"/>
          <w:lang w:val="hr-HR"/>
        </w:rPr>
      </w:pPr>
      <w:r w:rsidRPr="00722358">
        <w:rPr>
          <w:rFonts w:ascii="Times New Roman" w:hAnsi="Times New Roman" w:cs="Times New Roman"/>
          <w:sz w:val="22"/>
          <w:lang w:val="hr-HR"/>
        </w:rPr>
        <w:t>Program 1001</w:t>
      </w:r>
      <w:r w:rsidRPr="00722358">
        <w:rPr>
          <w:rFonts w:ascii="Times New Roman" w:hAnsi="Times New Roman" w:cs="Times New Roman"/>
          <w:b w:val="0"/>
          <w:sz w:val="22"/>
          <w:lang w:val="hr-HR"/>
        </w:rPr>
        <w:t xml:space="preserve"> – Donošenje akata i mjera iz djelokruga predstavničkog i izvršnog tijela</w:t>
      </w:r>
    </w:p>
    <w:p w14:paraId="47CEA35E" w14:textId="77777777" w:rsidR="000E04B7" w:rsidRDefault="000E04B7" w:rsidP="000E04B7">
      <w:pPr>
        <w:pStyle w:val="Podnaslov"/>
        <w:rPr>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1"/>
        <w:gridCol w:w="1607"/>
        <w:gridCol w:w="1471"/>
        <w:gridCol w:w="1471"/>
      </w:tblGrid>
      <w:tr w:rsidR="000E04B7" w:rsidRPr="00F64569" w14:paraId="157F62B3" w14:textId="77777777" w:rsidTr="007F048D">
        <w:tc>
          <w:tcPr>
            <w:tcW w:w="2489" w:type="pct"/>
            <w:shd w:val="clear" w:color="auto" w:fill="D0CECE"/>
          </w:tcPr>
          <w:p w14:paraId="178158E6" w14:textId="77777777" w:rsidR="000E04B7" w:rsidRPr="00F64569" w:rsidRDefault="000E04B7" w:rsidP="007F048D">
            <w:pPr>
              <w:spacing w:after="0" w:line="240" w:lineRule="auto"/>
              <w:jc w:val="both"/>
              <w:rPr>
                <w:rFonts w:ascii="Times New Roman" w:eastAsia="Calibri" w:hAnsi="Times New Roman" w:cs="Times New Roman"/>
                <w:b/>
                <w:bCs/>
              </w:rPr>
            </w:pPr>
            <w:r w:rsidRPr="00F64569">
              <w:rPr>
                <w:rFonts w:ascii="Times New Roman" w:eastAsia="Calibri" w:hAnsi="Times New Roman" w:cs="Times New Roman"/>
                <w:b/>
                <w:bCs/>
              </w:rPr>
              <w:t>Naziv aktivnosti/projekta</w:t>
            </w:r>
          </w:p>
        </w:tc>
        <w:tc>
          <w:tcPr>
            <w:tcW w:w="887" w:type="pct"/>
            <w:shd w:val="clear" w:color="auto" w:fill="D0CECE"/>
          </w:tcPr>
          <w:p w14:paraId="583C3863" w14:textId="2EAE1520" w:rsidR="000E04B7" w:rsidRPr="00F64569" w:rsidRDefault="000E04B7" w:rsidP="007F048D">
            <w:pPr>
              <w:spacing w:after="0" w:line="240" w:lineRule="auto"/>
              <w:jc w:val="center"/>
              <w:rPr>
                <w:rFonts w:ascii="Times New Roman" w:eastAsia="Calibri" w:hAnsi="Times New Roman" w:cs="Times New Roman"/>
                <w:b/>
                <w:bCs/>
              </w:rPr>
            </w:pPr>
            <w:r>
              <w:rPr>
                <w:rFonts w:ascii="Times New Roman" w:eastAsia="Calibri" w:hAnsi="Times New Roman" w:cs="Times New Roman"/>
                <w:b/>
                <w:bCs/>
              </w:rPr>
              <w:t xml:space="preserve">Rebalans </w:t>
            </w:r>
            <w:r w:rsidRPr="00F64569">
              <w:rPr>
                <w:rFonts w:ascii="Times New Roman" w:eastAsia="Calibri" w:hAnsi="Times New Roman" w:cs="Times New Roman"/>
                <w:b/>
                <w:bCs/>
              </w:rPr>
              <w:t>2024.</w:t>
            </w:r>
          </w:p>
        </w:tc>
        <w:tc>
          <w:tcPr>
            <w:tcW w:w="812" w:type="pct"/>
            <w:shd w:val="clear" w:color="auto" w:fill="D0CECE"/>
          </w:tcPr>
          <w:p w14:paraId="194C0239" w14:textId="1A479BFB" w:rsidR="000E04B7" w:rsidRPr="00F64569" w:rsidRDefault="000E04B7" w:rsidP="007F048D">
            <w:pPr>
              <w:spacing w:after="0" w:line="240" w:lineRule="auto"/>
              <w:jc w:val="center"/>
              <w:rPr>
                <w:rFonts w:ascii="Times New Roman" w:eastAsia="Calibri" w:hAnsi="Times New Roman" w:cs="Times New Roman"/>
                <w:b/>
                <w:bCs/>
              </w:rPr>
            </w:pPr>
            <w:r>
              <w:rPr>
                <w:rFonts w:ascii="Times New Roman" w:eastAsia="Calibri" w:hAnsi="Times New Roman" w:cs="Times New Roman"/>
                <w:b/>
                <w:bCs/>
              </w:rPr>
              <w:t>Izvršenje</w:t>
            </w:r>
          </w:p>
        </w:tc>
        <w:tc>
          <w:tcPr>
            <w:tcW w:w="812" w:type="pct"/>
            <w:shd w:val="clear" w:color="auto" w:fill="D0CECE"/>
          </w:tcPr>
          <w:p w14:paraId="13FE152F" w14:textId="505003EC" w:rsidR="000E04B7" w:rsidRPr="00F64569" w:rsidRDefault="000E04B7" w:rsidP="007F048D">
            <w:pPr>
              <w:spacing w:after="0" w:line="240" w:lineRule="auto"/>
              <w:jc w:val="center"/>
              <w:rPr>
                <w:rFonts w:ascii="Times New Roman" w:eastAsia="Calibri" w:hAnsi="Times New Roman" w:cs="Times New Roman"/>
                <w:b/>
                <w:bCs/>
              </w:rPr>
            </w:pPr>
            <w:r>
              <w:rPr>
                <w:rFonts w:ascii="Times New Roman" w:eastAsia="Calibri" w:hAnsi="Times New Roman" w:cs="Times New Roman"/>
                <w:b/>
                <w:bCs/>
              </w:rPr>
              <w:t>Indeks</w:t>
            </w:r>
          </w:p>
        </w:tc>
      </w:tr>
      <w:tr w:rsidR="000E04B7" w:rsidRPr="00F64569" w14:paraId="6E0FF09C" w14:textId="77777777" w:rsidTr="007F048D">
        <w:trPr>
          <w:trHeight w:val="323"/>
        </w:trPr>
        <w:tc>
          <w:tcPr>
            <w:tcW w:w="2489" w:type="pct"/>
            <w:shd w:val="clear" w:color="auto" w:fill="auto"/>
          </w:tcPr>
          <w:p w14:paraId="52FA3076" w14:textId="77777777" w:rsidR="000E04B7" w:rsidRPr="00F64569" w:rsidRDefault="000E04B7" w:rsidP="007F048D">
            <w:pPr>
              <w:spacing w:after="0" w:line="240" w:lineRule="auto"/>
              <w:rPr>
                <w:rFonts w:ascii="Times New Roman" w:eastAsia="Calibri" w:hAnsi="Times New Roman" w:cs="Times New Roman"/>
              </w:rPr>
            </w:pPr>
            <w:r w:rsidRPr="00F64569">
              <w:rPr>
                <w:rFonts w:ascii="Times New Roman" w:eastAsia="Calibri" w:hAnsi="Times New Roman" w:cs="Times New Roman"/>
              </w:rPr>
              <w:t>Aktivnost A100101 Redovan rad predstavničkog tijela</w:t>
            </w:r>
          </w:p>
        </w:tc>
        <w:tc>
          <w:tcPr>
            <w:tcW w:w="887" w:type="pct"/>
            <w:shd w:val="clear" w:color="auto" w:fill="auto"/>
            <w:vAlign w:val="center"/>
          </w:tcPr>
          <w:p w14:paraId="63220AFD" w14:textId="77777777" w:rsidR="000E04B7" w:rsidRPr="00F64569" w:rsidRDefault="000E04B7" w:rsidP="007F048D">
            <w:pPr>
              <w:spacing w:after="0" w:line="240" w:lineRule="auto"/>
              <w:jc w:val="right"/>
              <w:rPr>
                <w:rFonts w:ascii="Times New Roman" w:eastAsia="Calibri" w:hAnsi="Times New Roman" w:cs="Times New Roman"/>
              </w:rPr>
            </w:pPr>
            <w:r w:rsidRPr="00F64569">
              <w:rPr>
                <w:rFonts w:ascii="Times New Roman" w:eastAsia="Calibri" w:hAnsi="Times New Roman" w:cs="Times New Roman"/>
                <w:lang w:val="en-US"/>
              </w:rPr>
              <w:t>16.000,00</w:t>
            </w:r>
          </w:p>
        </w:tc>
        <w:tc>
          <w:tcPr>
            <w:tcW w:w="812" w:type="pct"/>
            <w:shd w:val="clear" w:color="auto" w:fill="auto"/>
            <w:vAlign w:val="center"/>
          </w:tcPr>
          <w:p w14:paraId="2C0C69DF" w14:textId="02A47615" w:rsidR="000E04B7" w:rsidRPr="00F64569" w:rsidRDefault="000E04B7" w:rsidP="007F048D">
            <w:pPr>
              <w:spacing w:after="0" w:line="240" w:lineRule="auto"/>
              <w:jc w:val="right"/>
              <w:rPr>
                <w:rFonts w:ascii="Times New Roman" w:eastAsia="Calibri" w:hAnsi="Times New Roman" w:cs="Times New Roman"/>
              </w:rPr>
            </w:pPr>
            <w:r>
              <w:rPr>
                <w:rFonts w:ascii="Times New Roman" w:eastAsia="Calibri" w:hAnsi="Times New Roman" w:cs="Times New Roman"/>
                <w:color w:val="000000"/>
                <w:lang w:val="en-US"/>
              </w:rPr>
              <w:t>12.975,05</w:t>
            </w:r>
          </w:p>
        </w:tc>
        <w:tc>
          <w:tcPr>
            <w:tcW w:w="812" w:type="pct"/>
            <w:shd w:val="clear" w:color="auto" w:fill="auto"/>
            <w:vAlign w:val="center"/>
          </w:tcPr>
          <w:p w14:paraId="7346614E" w14:textId="2B9909C4" w:rsidR="000E04B7" w:rsidRPr="00F64569" w:rsidRDefault="000E04B7" w:rsidP="007F048D">
            <w:pPr>
              <w:spacing w:after="0" w:line="240" w:lineRule="auto"/>
              <w:jc w:val="right"/>
              <w:rPr>
                <w:rFonts w:ascii="Times New Roman" w:eastAsia="Calibri" w:hAnsi="Times New Roman" w:cs="Times New Roman"/>
              </w:rPr>
            </w:pPr>
            <w:r>
              <w:rPr>
                <w:rFonts w:ascii="Times New Roman" w:eastAsia="Calibri" w:hAnsi="Times New Roman" w:cs="Times New Roman"/>
              </w:rPr>
              <w:t>81,09</w:t>
            </w:r>
          </w:p>
        </w:tc>
      </w:tr>
      <w:tr w:rsidR="000E04B7" w:rsidRPr="00F64569" w14:paraId="7C4BA704" w14:textId="77777777" w:rsidTr="007F048D">
        <w:tc>
          <w:tcPr>
            <w:tcW w:w="2489" w:type="pct"/>
            <w:shd w:val="clear" w:color="auto" w:fill="auto"/>
          </w:tcPr>
          <w:p w14:paraId="748E7380" w14:textId="77777777" w:rsidR="000E04B7" w:rsidRPr="00F64569" w:rsidRDefault="000E04B7" w:rsidP="007F048D">
            <w:pPr>
              <w:tabs>
                <w:tab w:val="left" w:pos="2569"/>
              </w:tabs>
              <w:spacing w:after="0" w:line="240" w:lineRule="auto"/>
              <w:jc w:val="both"/>
              <w:rPr>
                <w:rFonts w:ascii="Times New Roman" w:eastAsia="Calibri" w:hAnsi="Times New Roman" w:cs="Times New Roman"/>
                <w:b/>
                <w:bCs/>
              </w:rPr>
            </w:pPr>
            <w:r w:rsidRPr="00F64569">
              <w:rPr>
                <w:rFonts w:ascii="Times New Roman" w:eastAsia="Calibri" w:hAnsi="Times New Roman" w:cs="Times New Roman"/>
                <w:b/>
                <w:bCs/>
              </w:rPr>
              <w:t>Ukupno program</w:t>
            </w:r>
          </w:p>
        </w:tc>
        <w:tc>
          <w:tcPr>
            <w:tcW w:w="887" w:type="pct"/>
            <w:shd w:val="clear" w:color="auto" w:fill="auto"/>
            <w:vAlign w:val="center"/>
          </w:tcPr>
          <w:p w14:paraId="17F1E5D2" w14:textId="77777777" w:rsidR="000E04B7" w:rsidRPr="00F64569" w:rsidRDefault="000E04B7" w:rsidP="007F048D">
            <w:pPr>
              <w:spacing w:after="0" w:line="240" w:lineRule="auto"/>
              <w:jc w:val="right"/>
              <w:rPr>
                <w:rFonts w:ascii="Times New Roman" w:eastAsia="Calibri" w:hAnsi="Times New Roman" w:cs="Times New Roman"/>
                <w:b/>
                <w:bCs/>
              </w:rPr>
            </w:pPr>
            <w:r w:rsidRPr="00F64569">
              <w:rPr>
                <w:rFonts w:ascii="Times New Roman" w:eastAsia="Calibri" w:hAnsi="Times New Roman" w:cs="Times New Roman"/>
                <w:b/>
                <w:bCs/>
                <w:lang w:val="en-US"/>
              </w:rPr>
              <w:t>16.000,00</w:t>
            </w:r>
          </w:p>
        </w:tc>
        <w:tc>
          <w:tcPr>
            <w:tcW w:w="812" w:type="pct"/>
            <w:shd w:val="clear" w:color="auto" w:fill="auto"/>
            <w:vAlign w:val="center"/>
          </w:tcPr>
          <w:p w14:paraId="360A678E" w14:textId="400A96C0" w:rsidR="000E04B7" w:rsidRPr="00F64569" w:rsidRDefault="000E04B7" w:rsidP="007F048D">
            <w:pPr>
              <w:spacing w:after="0" w:line="240" w:lineRule="auto"/>
              <w:jc w:val="right"/>
              <w:rPr>
                <w:rFonts w:ascii="Times New Roman" w:eastAsia="Calibri" w:hAnsi="Times New Roman" w:cs="Times New Roman"/>
                <w:b/>
                <w:bCs/>
              </w:rPr>
            </w:pPr>
            <w:r>
              <w:rPr>
                <w:rFonts w:ascii="Times New Roman" w:eastAsia="Calibri" w:hAnsi="Times New Roman" w:cs="Times New Roman"/>
                <w:b/>
                <w:bCs/>
                <w:color w:val="000000"/>
                <w:lang w:val="en-US"/>
              </w:rPr>
              <w:t>12.975,05</w:t>
            </w:r>
          </w:p>
        </w:tc>
        <w:tc>
          <w:tcPr>
            <w:tcW w:w="812" w:type="pct"/>
            <w:shd w:val="clear" w:color="auto" w:fill="auto"/>
            <w:vAlign w:val="center"/>
          </w:tcPr>
          <w:p w14:paraId="48338A40" w14:textId="1FD2E3BD" w:rsidR="000E04B7" w:rsidRPr="00F64569" w:rsidRDefault="000E04B7" w:rsidP="007F048D">
            <w:pPr>
              <w:spacing w:after="0" w:line="240" w:lineRule="auto"/>
              <w:jc w:val="right"/>
              <w:rPr>
                <w:rFonts w:ascii="Times New Roman" w:eastAsia="Calibri" w:hAnsi="Times New Roman" w:cs="Times New Roman"/>
                <w:b/>
                <w:bCs/>
              </w:rPr>
            </w:pPr>
            <w:r>
              <w:rPr>
                <w:rFonts w:ascii="Times New Roman" w:eastAsia="Calibri" w:hAnsi="Times New Roman" w:cs="Times New Roman"/>
                <w:b/>
                <w:bCs/>
              </w:rPr>
              <w:t>81,09</w:t>
            </w:r>
          </w:p>
        </w:tc>
      </w:tr>
    </w:tbl>
    <w:p w14:paraId="01077E35" w14:textId="77777777" w:rsidR="000E04B7" w:rsidRPr="000E04B7" w:rsidRDefault="000E04B7" w:rsidP="000E04B7">
      <w:pPr>
        <w:rPr>
          <w:lang w:eastAsia="ar-SA"/>
        </w:rPr>
      </w:pPr>
    </w:p>
    <w:p w14:paraId="3CAA6A6E" w14:textId="77777777" w:rsidR="000E04B7" w:rsidRPr="00F64569" w:rsidRDefault="000E04B7" w:rsidP="000E04B7">
      <w:pPr>
        <w:tabs>
          <w:tab w:val="left" w:pos="0"/>
        </w:tabs>
        <w:spacing w:after="0" w:line="240" w:lineRule="auto"/>
        <w:jc w:val="both"/>
        <w:rPr>
          <w:rFonts w:ascii="Times New Roman" w:hAnsi="Times New Roman" w:cs="Times New Roman"/>
          <w:b/>
          <w:bCs/>
          <w:lang w:eastAsia="hr-HR"/>
        </w:rPr>
      </w:pPr>
      <w:r w:rsidRPr="00F64569">
        <w:rPr>
          <w:rFonts w:ascii="Times New Roman" w:hAnsi="Times New Roman" w:cs="Times New Roman"/>
          <w:b/>
          <w:bCs/>
          <w:lang w:eastAsia="hr-HR"/>
        </w:rPr>
        <w:t>Aktivnost A100101 Redovan rad predstavničkog tijela</w:t>
      </w:r>
    </w:p>
    <w:p w14:paraId="70C1DF84" w14:textId="3E621340" w:rsidR="000E04B7" w:rsidRDefault="000E04B7" w:rsidP="000E04B7">
      <w:pPr>
        <w:tabs>
          <w:tab w:val="left" w:pos="0"/>
        </w:tabs>
        <w:spacing w:after="0" w:line="240" w:lineRule="auto"/>
        <w:jc w:val="both"/>
        <w:rPr>
          <w:rFonts w:ascii="Times New Roman" w:hAnsi="Times New Roman" w:cs="Times New Roman"/>
          <w:lang w:eastAsia="hr-HR"/>
        </w:rPr>
      </w:pPr>
      <w:r w:rsidRPr="00F64569">
        <w:rPr>
          <w:rFonts w:ascii="Times New Roman" w:hAnsi="Times New Roman" w:cs="Times New Roman"/>
          <w:lang w:eastAsia="hr-HR"/>
        </w:rPr>
        <w:t>Ova aktivnost obuhvaća troškove naknada članove Gradskog vijeća Grada Garešnice i članova radnih tijela Gradskog vijeća Grada Garešnice. Troškovi su planirani temeljem  Odluke o naknadi za članove Gradskog vijeća Grada Garešnice i članove radnih tijela Gradskog vijeća Grada Garešnice („Službeni glasnik Grada Garešnice“ broj 4/21 i 8/23)</w:t>
      </w:r>
      <w:r>
        <w:rPr>
          <w:rFonts w:ascii="Times New Roman" w:hAnsi="Times New Roman" w:cs="Times New Roman"/>
          <w:lang w:eastAsia="hr-HR"/>
        </w:rPr>
        <w:t>.</w:t>
      </w:r>
    </w:p>
    <w:p w14:paraId="5724DA9B" w14:textId="77777777" w:rsidR="000E04B7" w:rsidRDefault="000E04B7" w:rsidP="000E04B7">
      <w:pPr>
        <w:tabs>
          <w:tab w:val="left" w:pos="0"/>
        </w:tabs>
        <w:spacing w:after="0" w:line="240" w:lineRule="auto"/>
        <w:jc w:val="both"/>
        <w:rPr>
          <w:rFonts w:ascii="Times New Roman" w:hAnsi="Times New Roman" w:cs="Times New Roman"/>
          <w:lang w:eastAsia="hr-HR"/>
        </w:rPr>
      </w:pPr>
    </w:p>
    <w:p w14:paraId="17EA5E48" w14:textId="79350783" w:rsidR="000E04B7" w:rsidRDefault="000E04B7" w:rsidP="000E04B7">
      <w:pPr>
        <w:tabs>
          <w:tab w:val="left" w:pos="0"/>
        </w:tabs>
        <w:spacing w:after="0" w:line="240" w:lineRule="auto"/>
        <w:jc w:val="both"/>
        <w:rPr>
          <w:rFonts w:ascii="Times New Roman" w:hAnsi="Times New Roman" w:cs="Times New Roman"/>
          <w:lang w:eastAsia="hr-HR"/>
        </w:rPr>
      </w:pPr>
      <w:r>
        <w:rPr>
          <w:rFonts w:ascii="Times New Roman" w:hAnsi="Times New Roman" w:cs="Times New Roman"/>
          <w:lang w:eastAsia="hr-HR"/>
        </w:rPr>
        <w:t>Izvršenje pokazatelja uspješnosti:</w:t>
      </w:r>
    </w:p>
    <w:p w14:paraId="75DD79D8" w14:textId="77777777" w:rsidR="000E04B7" w:rsidRPr="00F64569" w:rsidRDefault="000E04B7" w:rsidP="000E04B7">
      <w:pPr>
        <w:tabs>
          <w:tab w:val="left" w:pos="0"/>
        </w:tabs>
        <w:spacing w:after="0" w:line="240" w:lineRule="auto"/>
        <w:jc w:val="both"/>
        <w:rPr>
          <w:rFonts w:ascii="Times New Roman" w:hAnsi="Times New Roman" w:cs="Times New Roman"/>
          <w:lang w:eastAsia="hr-HR"/>
        </w:rPr>
      </w:pPr>
    </w:p>
    <w:p w14:paraId="7C928900" w14:textId="77777777" w:rsidR="00722358" w:rsidRDefault="00722358" w:rsidP="00E40FD3">
      <w:pPr>
        <w:pStyle w:val="Naslov"/>
        <w:jc w:val="both"/>
        <w:rPr>
          <w:rFonts w:ascii="Times New Roman" w:hAnsi="Times New Roman" w:cs="Times New Roman"/>
          <w:sz w:val="22"/>
          <w:lang w:val="hr-HR"/>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2"/>
        <w:gridCol w:w="2789"/>
        <w:gridCol w:w="815"/>
        <w:gridCol w:w="1015"/>
        <w:gridCol w:w="1015"/>
        <w:gridCol w:w="1194"/>
      </w:tblGrid>
      <w:tr w:rsidR="000E04B7" w:rsidRPr="00F64569" w14:paraId="69475C4B" w14:textId="77777777" w:rsidTr="00CC7841">
        <w:trPr>
          <w:trHeight w:val="633"/>
          <w:jc w:val="center"/>
        </w:trPr>
        <w:tc>
          <w:tcPr>
            <w:tcW w:w="1232" w:type="pct"/>
            <w:shd w:val="clear" w:color="auto" w:fill="auto"/>
          </w:tcPr>
          <w:p w14:paraId="538C0AC7" w14:textId="77777777" w:rsidR="000E04B7" w:rsidRPr="00F64569" w:rsidRDefault="000E04B7" w:rsidP="007F048D">
            <w:pPr>
              <w:widowControl w:val="0"/>
              <w:autoSpaceDE w:val="0"/>
              <w:autoSpaceDN w:val="0"/>
              <w:spacing w:before="104" w:after="0" w:line="240" w:lineRule="auto"/>
              <w:ind w:left="136" w:right="110" w:firstLine="59"/>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Pokazatelj</w:t>
            </w:r>
            <w:r w:rsidRPr="00F64569">
              <w:rPr>
                <w:rFonts w:ascii="Times New Roman" w:eastAsia="Arial MT" w:hAnsi="Times New Roman" w:cs="Times New Roman"/>
                <w:b/>
                <w:spacing w:val="1"/>
                <w:sz w:val="20"/>
                <w:szCs w:val="20"/>
              </w:rPr>
              <w:t xml:space="preserve"> </w:t>
            </w:r>
            <w:r w:rsidRPr="00F64569">
              <w:rPr>
                <w:rFonts w:ascii="Times New Roman" w:eastAsia="Arial MT" w:hAnsi="Times New Roman" w:cs="Times New Roman"/>
                <w:b/>
                <w:sz w:val="20"/>
                <w:szCs w:val="20"/>
              </w:rPr>
              <w:t>uspješnosti</w:t>
            </w:r>
          </w:p>
        </w:tc>
        <w:tc>
          <w:tcPr>
            <w:tcW w:w="1539" w:type="pct"/>
            <w:shd w:val="clear" w:color="auto" w:fill="auto"/>
          </w:tcPr>
          <w:p w14:paraId="3E865D58" w14:textId="77777777" w:rsidR="000E04B7" w:rsidRPr="00F64569" w:rsidRDefault="000E04B7" w:rsidP="007F048D">
            <w:pPr>
              <w:widowControl w:val="0"/>
              <w:autoSpaceDE w:val="0"/>
              <w:autoSpaceDN w:val="0"/>
              <w:spacing w:after="0" w:line="240" w:lineRule="auto"/>
              <w:rPr>
                <w:rFonts w:ascii="Times New Roman" w:eastAsia="Arial MT" w:hAnsi="Times New Roman" w:cs="Times New Roman"/>
                <w:b/>
                <w:sz w:val="20"/>
                <w:szCs w:val="20"/>
              </w:rPr>
            </w:pPr>
          </w:p>
          <w:p w14:paraId="43B7C5C5" w14:textId="77777777" w:rsidR="000E04B7" w:rsidRPr="00F64569" w:rsidRDefault="000E04B7" w:rsidP="000E04B7">
            <w:pPr>
              <w:widowControl w:val="0"/>
              <w:autoSpaceDE w:val="0"/>
              <w:autoSpaceDN w:val="0"/>
              <w:spacing w:before="1" w:after="0" w:line="240" w:lineRule="auto"/>
              <w:ind w:left="-1" w:right="150"/>
              <w:jc w:val="center"/>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Definicija</w:t>
            </w:r>
          </w:p>
        </w:tc>
        <w:tc>
          <w:tcPr>
            <w:tcW w:w="450" w:type="pct"/>
            <w:shd w:val="clear" w:color="auto" w:fill="auto"/>
          </w:tcPr>
          <w:p w14:paraId="7C2AF75F" w14:textId="77777777" w:rsidR="000E04B7" w:rsidRPr="00F64569" w:rsidRDefault="000E04B7" w:rsidP="007F048D">
            <w:pPr>
              <w:widowControl w:val="0"/>
              <w:autoSpaceDE w:val="0"/>
              <w:autoSpaceDN w:val="0"/>
              <w:spacing w:after="0" w:line="240" w:lineRule="auto"/>
              <w:rPr>
                <w:rFonts w:ascii="Times New Roman" w:eastAsia="Arial MT" w:hAnsi="Times New Roman" w:cs="Times New Roman"/>
                <w:b/>
                <w:sz w:val="20"/>
                <w:szCs w:val="20"/>
              </w:rPr>
            </w:pPr>
          </w:p>
          <w:p w14:paraId="1760EB6E" w14:textId="77777777" w:rsidR="000E04B7" w:rsidRPr="00F64569" w:rsidRDefault="000E04B7" w:rsidP="007F048D">
            <w:pPr>
              <w:widowControl w:val="0"/>
              <w:autoSpaceDE w:val="0"/>
              <w:autoSpaceDN w:val="0"/>
              <w:spacing w:before="1" w:after="0" w:line="240" w:lineRule="auto"/>
              <w:ind w:left="112" w:right="105"/>
              <w:jc w:val="center"/>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Jedinica</w:t>
            </w:r>
          </w:p>
        </w:tc>
        <w:tc>
          <w:tcPr>
            <w:tcW w:w="560" w:type="pct"/>
            <w:shd w:val="clear" w:color="auto" w:fill="auto"/>
          </w:tcPr>
          <w:p w14:paraId="0749305D" w14:textId="77777777" w:rsidR="000E04B7" w:rsidRPr="00F64569" w:rsidRDefault="000E04B7" w:rsidP="007F048D">
            <w:pPr>
              <w:widowControl w:val="0"/>
              <w:autoSpaceDE w:val="0"/>
              <w:autoSpaceDN w:val="0"/>
              <w:spacing w:after="0" w:line="206" w:lineRule="exact"/>
              <w:ind w:left="122" w:right="121"/>
              <w:jc w:val="center"/>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Ciljana</w:t>
            </w:r>
          </w:p>
          <w:p w14:paraId="1DD112F7" w14:textId="77777777" w:rsidR="000E04B7" w:rsidRPr="00F64569" w:rsidRDefault="000E04B7" w:rsidP="000E04B7">
            <w:pPr>
              <w:widowControl w:val="0"/>
              <w:autoSpaceDE w:val="0"/>
              <w:autoSpaceDN w:val="0"/>
              <w:spacing w:after="0" w:line="206" w:lineRule="exact"/>
              <w:ind w:left="27" w:right="8"/>
              <w:jc w:val="center"/>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vrijednost</w:t>
            </w:r>
            <w:r w:rsidRPr="00F64569">
              <w:rPr>
                <w:rFonts w:ascii="Times New Roman" w:eastAsia="Arial MT" w:hAnsi="Times New Roman" w:cs="Times New Roman"/>
                <w:b/>
                <w:spacing w:val="-47"/>
                <w:sz w:val="20"/>
                <w:szCs w:val="20"/>
              </w:rPr>
              <w:t xml:space="preserve">   </w:t>
            </w:r>
            <w:r w:rsidRPr="00F64569">
              <w:rPr>
                <w:rFonts w:ascii="Times New Roman" w:eastAsia="Arial MT" w:hAnsi="Times New Roman" w:cs="Times New Roman"/>
                <w:b/>
                <w:sz w:val="20"/>
                <w:szCs w:val="20"/>
              </w:rPr>
              <w:t>2024.</w:t>
            </w:r>
          </w:p>
        </w:tc>
        <w:tc>
          <w:tcPr>
            <w:tcW w:w="560" w:type="pct"/>
            <w:shd w:val="clear" w:color="auto" w:fill="auto"/>
          </w:tcPr>
          <w:p w14:paraId="0F187BEC" w14:textId="19A7476D" w:rsidR="000E04B7" w:rsidRPr="00F64569" w:rsidRDefault="000E04B7" w:rsidP="000E04B7">
            <w:pPr>
              <w:widowControl w:val="0"/>
              <w:autoSpaceDE w:val="0"/>
              <w:autoSpaceDN w:val="0"/>
              <w:spacing w:after="0" w:line="205" w:lineRule="exact"/>
              <w:ind w:hanging="16"/>
              <w:jc w:val="center"/>
              <w:rPr>
                <w:rFonts w:ascii="Times New Roman" w:eastAsia="Arial MT" w:hAnsi="Times New Roman" w:cs="Times New Roman"/>
                <w:b/>
                <w:sz w:val="20"/>
                <w:szCs w:val="20"/>
              </w:rPr>
            </w:pPr>
            <w:r>
              <w:rPr>
                <w:rFonts w:ascii="Times New Roman" w:eastAsia="Arial MT" w:hAnsi="Times New Roman" w:cs="Times New Roman"/>
                <w:b/>
                <w:sz w:val="20"/>
                <w:szCs w:val="20"/>
              </w:rPr>
              <w:t>Izvršenje 2024.</w:t>
            </w:r>
          </w:p>
        </w:tc>
        <w:tc>
          <w:tcPr>
            <w:tcW w:w="659" w:type="pct"/>
            <w:shd w:val="clear" w:color="auto" w:fill="auto"/>
          </w:tcPr>
          <w:p w14:paraId="4E247FCB" w14:textId="31035052" w:rsidR="000E04B7" w:rsidRPr="00F64569" w:rsidRDefault="000E04B7" w:rsidP="007F048D">
            <w:pPr>
              <w:widowControl w:val="0"/>
              <w:autoSpaceDE w:val="0"/>
              <w:autoSpaceDN w:val="0"/>
              <w:spacing w:after="0" w:line="205" w:lineRule="exact"/>
              <w:ind w:left="336"/>
              <w:rPr>
                <w:rFonts w:ascii="Times New Roman" w:eastAsia="Arial MT" w:hAnsi="Times New Roman" w:cs="Times New Roman"/>
                <w:b/>
                <w:sz w:val="20"/>
                <w:szCs w:val="20"/>
              </w:rPr>
            </w:pPr>
            <w:r>
              <w:rPr>
                <w:rFonts w:ascii="Times New Roman" w:eastAsia="Arial MT" w:hAnsi="Times New Roman" w:cs="Times New Roman"/>
                <w:b/>
                <w:sz w:val="20"/>
                <w:szCs w:val="20"/>
              </w:rPr>
              <w:t>Indeks</w:t>
            </w:r>
          </w:p>
        </w:tc>
      </w:tr>
      <w:tr w:rsidR="000E04B7" w:rsidRPr="00F64569" w14:paraId="753FCF26" w14:textId="77777777" w:rsidTr="00CC7841">
        <w:trPr>
          <w:trHeight w:val="1240"/>
          <w:jc w:val="center"/>
        </w:trPr>
        <w:tc>
          <w:tcPr>
            <w:tcW w:w="1232" w:type="pct"/>
            <w:shd w:val="clear" w:color="auto" w:fill="auto"/>
          </w:tcPr>
          <w:p w14:paraId="71ACA95F" w14:textId="77777777" w:rsidR="000E04B7" w:rsidRPr="00F64569" w:rsidRDefault="000E04B7" w:rsidP="007F048D">
            <w:pPr>
              <w:widowControl w:val="0"/>
              <w:autoSpaceDE w:val="0"/>
              <w:autoSpaceDN w:val="0"/>
              <w:spacing w:before="9" w:after="0" w:line="240" w:lineRule="auto"/>
              <w:rPr>
                <w:rFonts w:ascii="Times New Roman" w:eastAsia="Arial MT" w:hAnsi="Times New Roman" w:cs="Times New Roman"/>
              </w:rPr>
            </w:pPr>
          </w:p>
          <w:p w14:paraId="07EA9295" w14:textId="77777777" w:rsidR="000E04B7" w:rsidRPr="00F64569" w:rsidRDefault="000E04B7" w:rsidP="007F048D">
            <w:pPr>
              <w:widowControl w:val="0"/>
              <w:autoSpaceDE w:val="0"/>
              <w:autoSpaceDN w:val="0"/>
              <w:spacing w:before="1" w:after="0" w:line="240" w:lineRule="auto"/>
              <w:ind w:left="107" w:right="109"/>
              <w:rPr>
                <w:rFonts w:ascii="Times New Roman" w:eastAsia="Arial MT" w:hAnsi="Times New Roman" w:cs="Times New Roman"/>
              </w:rPr>
            </w:pPr>
            <w:r w:rsidRPr="00F64569">
              <w:rPr>
                <w:rFonts w:ascii="Times New Roman" w:eastAsia="Arial MT" w:hAnsi="Times New Roman" w:cs="Times New Roman"/>
              </w:rPr>
              <w:t>Broj sjednica</w:t>
            </w:r>
            <w:r w:rsidRPr="00F64569">
              <w:rPr>
                <w:rFonts w:ascii="Times New Roman" w:eastAsia="Arial MT" w:hAnsi="Times New Roman" w:cs="Times New Roman"/>
                <w:spacing w:val="-47"/>
              </w:rPr>
              <w:t xml:space="preserve"> </w:t>
            </w:r>
            <w:r w:rsidRPr="00F64569">
              <w:rPr>
                <w:rFonts w:ascii="Times New Roman" w:eastAsia="Arial MT" w:hAnsi="Times New Roman" w:cs="Times New Roman"/>
              </w:rPr>
              <w:t>Gradskog</w:t>
            </w:r>
            <w:r w:rsidRPr="00F64569">
              <w:rPr>
                <w:rFonts w:ascii="Times New Roman" w:eastAsia="Arial MT" w:hAnsi="Times New Roman" w:cs="Times New Roman"/>
                <w:spacing w:val="1"/>
              </w:rPr>
              <w:t xml:space="preserve"> </w:t>
            </w:r>
            <w:r w:rsidRPr="00F64569">
              <w:rPr>
                <w:rFonts w:ascii="Times New Roman" w:eastAsia="Arial MT" w:hAnsi="Times New Roman" w:cs="Times New Roman"/>
              </w:rPr>
              <w:t>vijeća</w:t>
            </w:r>
          </w:p>
        </w:tc>
        <w:tc>
          <w:tcPr>
            <w:tcW w:w="1539" w:type="pct"/>
            <w:shd w:val="clear" w:color="auto" w:fill="auto"/>
          </w:tcPr>
          <w:p w14:paraId="4D06155A" w14:textId="77777777" w:rsidR="000E04B7" w:rsidRPr="00F64569" w:rsidRDefault="000E04B7" w:rsidP="007F048D">
            <w:pPr>
              <w:widowControl w:val="0"/>
              <w:autoSpaceDE w:val="0"/>
              <w:autoSpaceDN w:val="0"/>
              <w:spacing w:after="0" w:line="240" w:lineRule="auto"/>
              <w:ind w:left="105" w:right="101"/>
              <w:rPr>
                <w:rFonts w:ascii="Times New Roman" w:eastAsia="Arial MT" w:hAnsi="Times New Roman" w:cs="Times New Roman"/>
              </w:rPr>
            </w:pPr>
            <w:r w:rsidRPr="00F64569">
              <w:rPr>
                <w:rFonts w:ascii="Times New Roman" w:eastAsia="Arial MT" w:hAnsi="Times New Roman" w:cs="Times New Roman"/>
              </w:rPr>
              <w:t>Pravovremena i učinkovita</w:t>
            </w:r>
            <w:r w:rsidRPr="00F64569">
              <w:rPr>
                <w:rFonts w:ascii="Times New Roman" w:eastAsia="Arial MT" w:hAnsi="Times New Roman" w:cs="Times New Roman"/>
                <w:spacing w:val="1"/>
              </w:rPr>
              <w:t xml:space="preserve"> </w:t>
            </w:r>
            <w:r w:rsidRPr="00F64569">
              <w:rPr>
                <w:rFonts w:ascii="Times New Roman" w:eastAsia="Arial MT" w:hAnsi="Times New Roman" w:cs="Times New Roman"/>
                <w:w w:val="95"/>
              </w:rPr>
              <w:t>priprema</w:t>
            </w:r>
            <w:r w:rsidRPr="00F64569">
              <w:rPr>
                <w:rFonts w:ascii="Times New Roman" w:eastAsia="Arial MT" w:hAnsi="Times New Roman" w:cs="Times New Roman"/>
                <w:spacing w:val="7"/>
                <w:w w:val="95"/>
              </w:rPr>
              <w:t xml:space="preserve"> </w:t>
            </w:r>
            <w:r w:rsidRPr="00F64569">
              <w:rPr>
                <w:rFonts w:ascii="Times New Roman" w:eastAsia="Arial MT" w:hAnsi="Times New Roman" w:cs="Times New Roman"/>
                <w:w w:val="95"/>
              </w:rPr>
              <w:t>sjednica</w:t>
            </w:r>
            <w:r w:rsidRPr="00F64569">
              <w:rPr>
                <w:rFonts w:ascii="Times New Roman" w:eastAsia="Arial MT" w:hAnsi="Times New Roman" w:cs="Times New Roman"/>
                <w:spacing w:val="11"/>
                <w:w w:val="95"/>
              </w:rPr>
              <w:t xml:space="preserve"> </w:t>
            </w:r>
            <w:r w:rsidRPr="00F64569">
              <w:rPr>
                <w:rFonts w:ascii="Times New Roman" w:eastAsia="Arial MT" w:hAnsi="Times New Roman" w:cs="Times New Roman"/>
                <w:w w:val="95"/>
              </w:rPr>
              <w:t>Gradskog</w:t>
            </w:r>
            <w:r w:rsidRPr="00F64569">
              <w:rPr>
                <w:rFonts w:ascii="Times New Roman" w:eastAsia="Arial MT" w:hAnsi="Times New Roman" w:cs="Times New Roman"/>
                <w:spacing w:val="11"/>
                <w:w w:val="95"/>
              </w:rPr>
              <w:t xml:space="preserve"> </w:t>
            </w:r>
            <w:r w:rsidRPr="00F64569">
              <w:rPr>
                <w:rFonts w:ascii="Times New Roman" w:eastAsia="Arial MT" w:hAnsi="Times New Roman" w:cs="Times New Roman"/>
                <w:w w:val="95"/>
              </w:rPr>
              <w:t>vijeća,</w:t>
            </w:r>
            <w:r w:rsidRPr="00F64569">
              <w:rPr>
                <w:rFonts w:ascii="Times New Roman" w:eastAsia="Arial MT" w:hAnsi="Times New Roman" w:cs="Times New Roman"/>
                <w:spacing w:val="1"/>
                <w:w w:val="95"/>
              </w:rPr>
              <w:t xml:space="preserve"> </w:t>
            </w:r>
            <w:r w:rsidRPr="00F64569">
              <w:rPr>
                <w:rFonts w:ascii="Times New Roman" w:eastAsia="Arial MT" w:hAnsi="Times New Roman" w:cs="Times New Roman"/>
              </w:rPr>
              <w:t>redovito održavanje sjednica</w:t>
            </w:r>
            <w:r w:rsidRPr="00F64569">
              <w:rPr>
                <w:rFonts w:ascii="Times New Roman" w:eastAsia="Arial MT" w:hAnsi="Times New Roman" w:cs="Times New Roman"/>
                <w:spacing w:val="1"/>
              </w:rPr>
              <w:t xml:space="preserve"> </w:t>
            </w:r>
            <w:r w:rsidRPr="00F64569">
              <w:rPr>
                <w:rFonts w:ascii="Times New Roman" w:eastAsia="Arial MT" w:hAnsi="Times New Roman" w:cs="Times New Roman"/>
                <w:spacing w:val="-1"/>
              </w:rPr>
              <w:t xml:space="preserve">Gradskog </w:t>
            </w:r>
            <w:r w:rsidRPr="00F64569">
              <w:rPr>
                <w:rFonts w:ascii="Times New Roman" w:eastAsia="Arial MT" w:hAnsi="Times New Roman" w:cs="Times New Roman"/>
              </w:rPr>
              <w:t>vijeća, redovita isplata</w:t>
            </w:r>
            <w:r w:rsidRPr="00F64569">
              <w:rPr>
                <w:rFonts w:ascii="Times New Roman" w:eastAsia="Arial MT" w:hAnsi="Times New Roman" w:cs="Times New Roman"/>
                <w:spacing w:val="1"/>
              </w:rPr>
              <w:t xml:space="preserve"> </w:t>
            </w:r>
            <w:r w:rsidRPr="00F64569">
              <w:rPr>
                <w:rFonts w:ascii="Times New Roman" w:eastAsia="Arial MT" w:hAnsi="Times New Roman" w:cs="Times New Roman"/>
                <w:spacing w:val="-1"/>
                <w:w w:val="95"/>
              </w:rPr>
              <w:t>naknada</w:t>
            </w:r>
            <w:r w:rsidRPr="00F64569">
              <w:rPr>
                <w:rFonts w:ascii="Times New Roman" w:eastAsia="Arial MT" w:hAnsi="Times New Roman" w:cs="Times New Roman"/>
                <w:spacing w:val="-8"/>
                <w:w w:val="95"/>
              </w:rPr>
              <w:t xml:space="preserve"> </w:t>
            </w:r>
            <w:r w:rsidRPr="00F64569">
              <w:rPr>
                <w:rFonts w:ascii="Times New Roman" w:eastAsia="Arial MT" w:hAnsi="Times New Roman" w:cs="Times New Roman"/>
                <w:spacing w:val="-1"/>
                <w:w w:val="95"/>
              </w:rPr>
              <w:t>članovima</w:t>
            </w:r>
            <w:r w:rsidRPr="00F64569">
              <w:rPr>
                <w:rFonts w:ascii="Times New Roman" w:eastAsia="Arial MT" w:hAnsi="Times New Roman" w:cs="Times New Roman"/>
                <w:spacing w:val="-5"/>
                <w:w w:val="95"/>
              </w:rPr>
              <w:t xml:space="preserve"> </w:t>
            </w:r>
            <w:r w:rsidRPr="00F64569">
              <w:rPr>
                <w:rFonts w:ascii="Times New Roman" w:eastAsia="Arial MT" w:hAnsi="Times New Roman" w:cs="Times New Roman"/>
                <w:w w:val="95"/>
              </w:rPr>
              <w:t>Gradskog</w:t>
            </w:r>
            <w:r w:rsidRPr="00F64569">
              <w:rPr>
                <w:rFonts w:ascii="Times New Roman" w:eastAsia="Arial MT" w:hAnsi="Times New Roman" w:cs="Times New Roman"/>
                <w:spacing w:val="-8"/>
                <w:w w:val="95"/>
              </w:rPr>
              <w:t xml:space="preserve"> </w:t>
            </w:r>
            <w:r w:rsidRPr="00F64569">
              <w:rPr>
                <w:rFonts w:ascii="Times New Roman" w:eastAsia="Arial MT" w:hAnsi="Times New Roman" w:cs="Times New Roman"/>
                <w:w w:val="95"/>
              </w:rPr>
              <w:t>vijeća</w:t>
            </w:r>
          </w:p>
          <w:p w14:paraId="7D6DF283" w14:textId="77777777" w:rsidR="000E04B7" w:rsidRPr="00F64569" w:rsidRDefault="000E04B7" w:rsidP="007F048D">
            <w:pPr>
              <w:widowControl w:val="0"/>
              <w:autoSpaceDE w:val="0"/>
              <w:autoSpaceDN w:val="0"/>
              <w:spacing w:after="0" w:line="187" w:lineRule="exact"/>
              <w:ind w:left="105"/>
              <w:rPr>
                <w:rFonts w:ascii="Times New Roman" w:eastAsia="Arial MT" w:hAnsi="Times New Roman" w:cs="Times New Roman"/>
              </w:rPr>
            </w:pPr>
            <w:r w:rsidRPr="00F64569">
              <w:rPr>
                <w:rFonts w:ascii="Times New Roman" w:eastAsia="Arial MT" w:hAnsi="Times New Roman" w:cs="Times New Roman"/>
              </w:rPr>
              <w:t>i</w:t>
            </w:r>
            <w:r w:rsidRPr="00F64569">
              <w:rPr>
                <w:rFonts w:ascii="Times New Roman" w:eastAsia="Arial MT" w:hAnsi="Times New Roman" w:cs="Times New Roman"/>
                <w:spacing w:val="-3"/>
              </w:rPr>
              <w:t xml:space="preserve"> </w:t>
            </w:r>
            <w:r w:rsidRPr="00F64569">
              <w:rPr>
                <w:rFonts w:ascii="Times New Roman" w:eastAsia="Arial MT" w:hAnsi="Times New Roman" w:cs="Times New Roman"/>
              </w:rPr>
              <w:t>njegovih</w:t>
            </w:r>
            <w:r w:rsidRPr="00F64569">
              <w:rPr>
                <w:rFonts w:ascii="Times New Roman" w:eastAsia="Arial MT" w:hAnsi="Times New Roman" w:cs="Times New Roman"/>
                <w:spacing w:val="-2"/>
              </w:rPr>
              <w:t xml:space="preserve"> </w:t>
            </w:r>
            <w:r w:rsidRPr="00F64569">
              <w:rPr>
                <w:rFonts w:ascii="Times New Roman" w:eastAsia="Arial MT" w:hAnsi="Times New Roman" w:cs="Times New Roman"/>
              </w:rPr>
              <w:t>radnih</w:t>
            </w:r>
            <w:r w:rsidRPr="00F64569">
              <w:rPr>
                <w:rFonts w:ascii="Times New Roman" w:eastAsia="Arial MT" w:hAnsi="Times New Roman" w:cs="Times New Roman"/>
                <w:spacing w:val="-2"/>
              </w:rPr>
              <w:t xml:space="preserve"> </w:t>
            </w:r>
            <w:r w:rsidRPr="00F64569">
              <w:rPr>
                <w:rFonts w:ascii="Times New Roman" w:eastAsia="Arial MT" w:hAnsi="Times New Roman" w:cs="Times New Roman"/>
              </w:rPr>
              <w:t>tijela</w:t>
            </w:r>
          </w:p>
        </w:tc>
        <w:tc>
          <w:tcPr>
            <w:tcW w:w="450" w:type="pct"/>
            <w:shd w:val="clear" w:color="auto" w:fill="auto"/>
          </w:tcPr>
          <w:p w14:paraId="7DFD7D1A" w14:textId="77777777" w:rsidR="000E04B7" w:rsidRPr="00F64569" w:rsidRDefault="000E04B7" w:rsidP="007F048D">
            <w:pPr>
              <w:widowControl w:val="0"/>
              <w:autoSpaceDE w:val="0"/>
              <w:autoSpaceDN w:val="0"/>
              <w:spacing w:before="9" w:after="0" w:line="240" w:lineRule="auto"/>
              <w:rPr>
                <w:rFonts w:ascii="Times New Roman" w:eastAsia="Arial MT" w:hAnsi="Times New Roman" w:cs="Times New Roman"/>
              </w:rPr>
            </w:pPr>
          </w:p>
          <w:p w14:paraId="00B555D8" w14:textId="006E9C85" w:rsidR="000E04B7" w:rsidRPr="00F64569" w:rsidRDefault="000E04B7" w:rsidP="000E04B7">
            <w:pPr>
              <w:widowControl w:val="0"/>
              <w:autoSpaceDE w:val="0"/>
              <w:autoSpaceDN w:val="0"/>
              <w:spacing w:before="1" w:after="0" w:line="240" w:lineRule="auto"/>
              <w:rPr>
                <w:rFonts w:ascii="Times New Roman" w:eastAsia="Arial MT" w:hAnsi="Times New Roman" w:cs="Times New Roman"/>
              </w:rPr>
            </w:pPr>
            <w:r w:rsidRPr="00F64569">
              <w:rPr>
                <w:rFonts w:ascii="Times New Roman" w:eastAsia="Arial MT" w:hAnsi="Times New Roman" w:cs="Times New Roman"/>
              </w:rPr>
              <w:t>Br</w:t>
            </w:r>
            <w:r>
              <w:rPr>
                <w:rFonts w:ascii="Times New Roman" w:eastAsia="Arial MT" w:hAnsi="Times New Roman" w:cs="Times New Roman"/>
              </w:rPr>
              <w:t xml:space="preserve">oj </w:t>
            </w:r>
            <w:r w:rsidRPr="00F64569">
              <w:rPr>
                <w:rFonts w:ascii="Times New Roman" w:eastAsia="Arial MT" w:hAnsi="Times New Roman" w:cs="Times New Roman"/>
              </w:rPr>
              <w:t xml:space="preserve"> sjednica</w:t>
            </w:r>
          </w:p>
        </w:tc>
        <w:tc>
          <w:tcPr>
            <w:tcW w:w="560" w:type="pct"/>
            <w:shd w:val="clear" w:color="auto" w:fill="auto"/>
            <w:vAlign w:val="center"/>
          </w:tcPr>
          <w:p w14:paraId="1A76D737" w14:textId="77777777" w:rsidR="000E04B7" w:rsidRPr="00F64569" w:rsidRDefault="000E04B7" w:rsidP="00CC7841">
            <w:pPr>
              <w:widowControl w:val="0"/>
              <w:autoSpaceDE w:val="0"/>
              <w:autoSpaceDN w:val="0"/>
              <w:spacing w:after="0" w:line="240" w:lineRule="auto"/>
              <w:ind w:right="121"/>
              <w:jc w:val="center"/>
              <w:rPr>
                <w:rFonts w:ascii="Times New Roman" w:eastAsia="Arial MT" w:hAnsi="Times New Roman" w:cs="Times New Roman"/>
              </w:rPr>
            </w:pPr>
            <w:r w:rsidRPr="00F64569">
              <w:rPr>
                <w:rFonts w:ascii="Times New Roman" w:eastAsia="Arial MT" w:hAnsi="Times New Roman" w:cs="Times New Roman"/>
              </w:rPr>
              <w:t>8</w:t>
            </w:r>
          </w:p>
        </w:tc>
        <w:tc>
          <w:tcPr>
            <w:tcW w:w="560" w:type="pct"/>
            <w:shd w:val="clear" w:color="auto" w:fill="auto"/>
            <w:vAlign w:val="center"/>
          </w:tcPr>
          <w:p w14:paraId="1B2AB6CD" w14:textId="436B0CB3" w:rsidR="000E04B7" w:rsidRPr="00F64569" w:rsidRDefault="00CC7841" w:rsidP="007F048D">
            <w:pPr>
              <w:widowControl w:val="0"/>
              <w:autoSpaceDE w:val="0"/>
              <w:autoSpaceDN w:val="0"/>
              <w:spacing w:after="0" w:line="240" w:lineRule="auto"/>
              <w:ind w:right="460"/>
              <w:jc w:val="right"/>
              <w:rPr>
                <w:rFonts w:ascii="Times New Roman" w:eastAsia="Arial MT" w:hAnsi="Times New Roman" w:cs="Times New Roman"/>
              </w:rPr>
            </w:pPr>
            <w:r>
              <w:rPr>
                <w:rFonts w:ascii="Times New Roman" w:eastAsia="Arial MT" w:hAnsi="Times New Roman" w:cs="Times New Roman"/>
              </w:rPr>
              <w:t>8</w:t>
            </w:r>
          </w:p>
        </w:tc>
        <w:tc>
          <w:tcPr>
            <w:tcW w:w="659" w:type="pct"/>
            <w:shd w:val="clear" w:color="auto" w:fill="auto"/>
            <w:vAlign w:val="center"/>
          </w:tcPr>
          <w:p w14:paraId="370FD3DE" w14:textId="09248D2F" w:rsidR="000E04B7" w:rsidRPr="00F64569" w:rsidRDefault="00CC7841" w:rsidP="00CC7841">
            <w:pPr>
              <w:widowControl w:val="0"/>
              <w:tabs>
                <w:tab w:val="left" w:pos="0"/>
                <w:tab w:val="left" w:pos="503"/>
              </w:tabs>
              <w:autoSpaceDE w:val="0"/>
              <w:autoSpaceDN w:val="0"/>
              <w:spacing w:after="0" w:line="240" w:lineRule="auto"/>
              <w:jc w:val="center"/>
              <w:rPr>
                <w:rFonts w:ascii="Times New Roman" w:eastAsia="Arial MT" w:hAnsi="Times New Roman" w:cs="Times New Roman"/>
              </w:rPr>
            </w:pPr>
            <w:r>
              <w:rPr>
                <w:rFonts w:ascii="Times New Roman" w:eastAsia="Arial MT" w:hAnsi="Times New Roman" w:cs="Times New Roman"/>
              </w:rPr>
              <w:t>100,00</w:t>
            </w:r>
          </w:p>
        </w:tc>
      </w:tr>
    </w:tbl>
    <w:p w14:paraId="1F3B8905" w14:textId="77777777" w:rsidR="000E04B7" w:rsidRDefault="000E04B7" w:rsidP="000E04B7">
      <w:pPr>
        <w:pStyle w:val="Podnaslov"/>
        <w:rPr>
          <w:lang w:eastAsia="ar-SA"/>
        </w:rPr>
      </w:pPr>
    </w:p>
    <w:p w14:paraId="239C311F" w14:textId="77777777" w:rsidR="000E04B7" w:rsidRPr="000E04B7" w:rsidRDefault="000E04B7" w:rsidP="000E04B7">
      <w:pPr>
        <w:rPr>
          <w:lang w:eastAsia="ar-SA"/>
        </w:rPr>
      </w:pPr>
    </w:p>
    <w:p w14:paraId="7D688BFE" w14:textId="0F1D5EBB" w:rsidR="00CC7841" w:rsidRDefault="00722358" w:rsidP="0049746F">
      <w:pPr>
        <w:pStyle w:val="Naslov"/>
        <w:spacing w:after="120"/>
        <w:ind w:left="567"/>
        <w:jc w:val="both"/>
        <w:rPr>
          <w:rFonts w:ascii="Times New Roman" w:hAnsi="Times New Roman" w:cs="Times New Roman"/>
          <w:b w:val="0"/>
          <w:sz w:val="22"/>
          <w:lang w:val="hr-HR"/>
        </w:rPr>
      </w:pPr>
      <w:r w:rsidRPr="00722358">
        <w:rPr>
          <w:rFonts w:ascii="Times New Roman" w:hAnsi="Times New Roman" w:cs="Times New Roman"/>
          <w:sz w:val="22"/>
          <w:lang w:val="hr-HR"/>
        </w:rPr>
        <w:t>Program   1002</w:t>
      </w:r>
      <w:r w:rsidRPr="00722358">
        <w:rPr>
          <w:rFonts w:ascii="Times New Roman" w:hAnsi="Times New Roman" w:cs="Times New Roman"/>
          <w:b w:val="0"/>
          <w:sz w:val="22"/>
          <w:lang w:val="hr-HR"/>
        </w:rPr>
        <w:t xml:space="preserve"> – Razvoj civilnog društva – političke stranke i vijeća nacionalnih manjina</w:t>
      </w:r>
    </w:p>
    <w:p w14:paraId="34A9FB9C" w14:textId="209B14F6" w:rsidR="0049746F" w:rsidRPr="0049746F" w:rsidRDefault="0049746F" w:rsidP="0049746F">
      <w:pPr>
        <w:pStyle w:val="Podnaslov"/>
        <w:spacing w:after="0"/>
        <w:jc w:val="left"/>
        <w:outlineLvl w:val="0"/>
        <w:rPr>
          <w:bCs/>
          <w:lang w:eastAsia="ar-SA"/>
        </w:rPr>
      </w:pPr>
      <w:r>
        <w:rPr>
          <w:rFonts w:ascii="Times New Roman" w:eastAsiaTheme="minorHAnsi" w:hAnsi="Times New Roman"/>
          <w:bCs/>
          <w:sz w:val="22"/>
          <w:szCs w:val="22"/>
          <w:lang w:eastAsia="ar-SA"/>
        </w:rPr>
        <w:t>Program se sastoji od slijedećih planiranih aktivnosti:</w:t>
      </w:r>
    </w:p>
    <w:tbl>
      <w:tblPr>
        <w:tblpPr w:leftFromText="180" w:rightFromText="180" w:vertAnchor="text" w:horzAnchor="margin" w:tblpY="12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745"/>
        <w:gridCol w:w="1218"/>
        <w:gridCol w:w="1522"/>
        <w:gridCol w:w="1575"/>
      </w:tblGrid>
      <w:tr w:rsidR="00CC7841" w:rsidRPr="00F64569" w14:paraId="6F8F8420" w14:textId="77777777" w:rsidTr="007F048D">
        <w:trPr>
          <w:trHeight w:val="460"/>
        </w:trPr>
        <w:tc>
          <w:tcPr>
            <w:tcW w:w="2619" w:type="pct"/>
            <w:shd w:val="clear" w:color="auto" w:fill="F2F2F2"/>
          </w:tcPr>
          <w:p w14:paraId="5D33CDF9" w14:textId="77777777" w:rsidR="00CC7841" w:rsidRPr="00F64569" w:rsidRDefault="00CC7841" w:rsidP="0049746F">
            <w:pPr>
              <w:widowControl w:val="0"/>
              <w:autoSpaceDE w:val="0"/>
              <w:autoSpaceDN w:val="0"/>
              <w:spacing w:before="110" w:after="0" w:line="240" w:lineRule="auto"/>
              <w:ind w:left="107"/>
              <w:rPr>
                <w:rFonts w:ascii="Times New Roman" w:eastAsia="Arial MT" w:hAnsi="Times New Roman" w:cs="Times New Roman"/>
                <w:bCs/>
              </w:rPr>
            </w:pPr>
            <w:r w:rsidRPr="00F64569">
              <w:rPr>
                <w:rFonts w:ascii="Times New Roman" w:eastAsia="Arial MT" w:hAnsi="Times New Roman" w:cs="Times New Roman"/>
                <w:bCs/>
              </w:rPr>
              <w:lastRenderedPageBreak/>
              <w:t>Naziv aktivnosti / projekta</w:t>
            </w:r>
          </w:p>
        </w:tc>
        <w:tc>
          <w:tcPr>
            <w:tcW w:w="672" w:type="pct"/>
            <w:shd w:val="clear" w:color="auto" w:fill="F2F2F2"/>
          </w:tcPr>
          <w:p w14:paraId="2771C265" w14:textId="21B442B2" w:rsidR="00CC7841" w:rsidRPr="00F64569" w:rsidRDefault="00CC7841" w:rsidP="0049746F">
            <w:pPr>
              <w:widowControl w:val="0"/>
              <w:autoSpaceDE w:val="0"/>
              <w:autoSpaceDN w:val="0"/>
              <w:spacing w:after="0" w:line="225" w:lineRule="exact"/>
              <w:ind w:left="162" w:right="156"/>
              <w:jc w:val="center"/>
              <w:rPr>
                <w:rFonts w:ascii="Times New Roman" w:eastAsia="Arial MT" w:hAnsi="Times New Roman" w:cs="Times New Roman"/>
                <w:bCs/>
              </w:rPr>
            </w:pPr>
            <w:r>
              <w:rPr>
                <w:rFonts w:ascii="Times New Roman" w:eastAsia="Arial MT" w:hAnsi="Times New Roman" w:cs="Times New Roman"/>
                <w:bCs/>
              </w:rPr>
              <w:t>Rebalans</w:t>
            </w:r>
          </w:p>
          <w:p w14:paraId="523B6D9D" w14:textId="77777777" w:rsidR="00CC7841" w:rsidRPr="00F64569" w:rsidRDefault="00CC7841" w:rsidP="0049746F">
            <w:pPr>
              <w:widowControl w:val="0"/>
              <w:autoSpaceDE w:val="0"/>
              <w:autoSpaceDN w:val="0"/>
              <w:spacing w:after="0" w:line="215" w:lineRule="exact"/>
              <w:ind w:left="197" w:right="192"/>
              <w:jc w:val="center"/>
              <w:rPr>
                <w:rFonts w:ascii="Times New Roman" w:eastAsia="Arial MT" w:hAnsi="Times New Roman" w:cs="Times New Roman"/>
                <w:bCs/>
              </w:rPr>
            </w:pPr>
            <w:r w:rsidRPr="00F64569">
              <w:rPr>
                <w:rFonts w:ascii="Times New Roman" w:eastAsia="Arial MT" w:hAnsi="Times New Roman" w:cs="Times New Roman"/>
                <w:bCs/>
              </w:rPr>
              <w:t>2024.</w:t>
            </w:r>
          </w:p>
        </w:tc>
        <w:tc>
          <w:tcPr>
            <w:tcW w:w="840" w:type="pct"/>
            <w:shd w:val="clear" w:color="auto" w:fill="F2F2F2"/>
          </w:tcPr>
          <w:p w14:paraId="4CE90078" w14:textId="0F3B2C01" w:rsidR="00CC7841" w:rsidRPr="00F64569" w:rsidRDefault="00CC7841" w:rsidP="0049746F">
            <w:pPr>
              <w:widowControl w:val="0"/>
              <w:autoSpaceDE w:val="0"/>
              <w:autoSpaceDN w:val="0"/>
              <w:spacing w:after="0" w:line="215" w:lineRule="exact"/>
              <w:ind w:left="140" w:right="135"/>
              <w:jc w:val="center"/>
              <w:rPr>
                <w:rFonts w:ascii="Times New Roman" w:eastAsia="Arial MT" w:hAnsi="Times New Roman" w:cs="Times New Roman"/>
                <w:bCs/>
              </w:rPr>
            </w:pPr>
            <w:r>
              <w:rPr>
                <w:rFonts w:ascii="Times New Roman" w:eastAsia="Arial MT" w:hAnsi="Times New Roman" w:cs="Times New Roman"/>
                <w:bCs/>
              </w:rPr>
              <w:t>Izvršenje</w:t>
            </w:r>
          </w:p>
        </w:tc>
        <w:tc>
          <w:tcPr>
            <w:tcW w:w="869" w:type="pct"/>
            <w:shd w:val="clear" w:color="auto" w:fill="F2F2F2"/>
          </w:tcPr>
          <w:p w14:paraId="21C3CCAB" w14:textId="5E626BD8" w:rsidR="00CC7841" w:rsidRPr="00F64569" w:rsidRDefault="00CC7841" w:rsidP="0049746F">
            <w:pPr>
              <w:widowControl w:val="0"/>
              <w:autoSpaceDE w:val="0"/>
              <w:autoSpaceDN w:val="0"/>
              <w:spacing w:after="0" w:line="215" w:lineRule="exact"/>
              <w:ind w:left="145" w:right="140"/>
              <w:jc w:val="center"/>
              <w:rPr>
                <w:rFonts w:ascii="Times New Roman" w:eastAsia="Arial MT" w:hAnsi="Times New Roman" w:cs="Times New Roman"/>
                <w:bCs/>
              </w:rPr>
            </w:pPr>
            <w:r>
              <w:rPr>
                <w:rFonts w:ascii="Times New Roman" w:eastAsia="Arial MT" w:hAnsi="Times New Roman" w:cs="Times New Roman"/>
                <w:bCs/>
              </w:rPr>
              <w:t>Indeks</w:t>
            </w:r>
          </w:p>
        </w:tc>
      </w:tr>
      <w:tr w:rsidR="00CC7841" w:rsidRPr="00F64569" w14:paraId="19D2A7E8" w14:textId="77777777" w:rsidTr="007F048D">
        <w:trPr>
          <w:trHeight w:val="277"/>
        </w:trPr>
        <w:tc>
          <w:tcPr>
            <w:tcW w:w="2619" w:type="pct"/>
            <w:shd w:val="clear" w:color="auto" w:fill="auto"/>
          </w:tcPr>
          <w:p w14:paraId="6FCCAED1" w14:textId="77777777" w:rsidR="00CC7841" w:rsidRPr="00F64569" w:rsidRDefault="00CC7841" w:rsidP="00CC7841">
            <w:pPr>
              <w:widowControl w:val="0"/>
              <w:autoSpaceDE w:val="0"/>
              <w:autoSpaceDN w:val="0"/>
              <w:spacing w:after="0" w:line="240" w:lineRule="auto"/>
              <w:rPr>
                <w:rFonts w:ascii="Times New Roman" w:eastAsia="Calibri" w:hAnsi="Times New Roman" w:cs="Times New Roman"/>
              </w:rPr>
            </w:pPr>
            <w:r w:rsidRPr="00F64569">
              <w:rPr>
                <w:rFonts w:ascii="Times New Roman" w:eastAsia="Calibri" w:hAnsi="Times New Roman" w:cs="Times New Roman"/>
                <w:w w:val="95"/>
              </w:rPr>
              <w:t>Aktivnost A100201 Osnovne funkcije političkih stranaka</w:t>
            </w:r>
          </w:p>
        </w:tc>
        <w:tc>
          <w:tcPr>
            <w:tcW w:w="672" w:type="pct"/>
            <w:shd w:val="clear" w:color="auto" w:fill="auto"/>
            <w:vAlign w:val="center"/>
          </w:tcPr>
          <w:p w14:paraId="1A5B770C" w14:textId="7F27A79A" w:rsidR="00CC7841" w:rsidRPr="00F64569" w:rsidRDefault="00CC7841" w:rsidP="00CC7841">
            <w:pPr>
              <w:widowControl w:val="0"/>
              <w:autoSpaceDE w:val="0"/>
              <w:autoSpaceDN w:val="0"/>
              <w:spacing w:before="21" w:after="0" w:line="240" w:lineRule="auto"/>
              <w:ind w:right="98"/>
              <w:jc w:val="right"/>
              <w:rPr>
                <w:rFonts w:ascii="Times New Roman" w:eastAsia="Arial MT" w:hAnsi="Times New Roman" w:cs="Times New Roman"/>
              </w:rPr>
            </w:pPr>
            <w:r w:rsidRPr="00F64569">
              <w:rPr>
                <w:rFonts w:ascii="Times New Roman" w:eastAsia="Arial MT" w:hAnsi="Times New Roman" w:cs="Times New Roman"/>
                <w:color w:val="000000"/>
                <w:lang w:val="bs"/>
              </w:rPr>
              <w:t>4.500,00</w:t>
            </w:r>
          </w:p>
        </w:tc>
        <w:tc>
          <w:tcPr>
            <w:tcW w:w="840" w:type="pct"/>
            <w:shd w:val="clear" w:color="auto" w:fill="auto"/>
            <w:vAlign w:val="center"/>
          </w:tcPr>
          <w:p w14:paraId="41F2C939" w14:textId="1FDB0046" w:rsidR="00CC7841" w:rsidRPr="00F64569" w:rsidRDefault="0049746F" w:rsidP="00CC7841">
            <w:pPr>
              <w:widowControl w:val="0"/>
              <w:autoSpaceDE w:val="0"/>
              <w:autoSpaceDN w:val="0"/>
              <w:spacing w:before="21" w:after="0" w:line="240" w:lineRule="auto"/>
              <w:ind w:right="98"/>
              <w:jc w:val="right"/>
              <w:rPr>
                <w:rFonts w:ascii="Times New Roman" w:eastAsia="Arial MT" w:hAnsi="Times New Roman" w:cs="Times New Roman"/>
              </w:rPr>
            </w:pPr>
            <w:r>
              <w:rPr>
                <w:rFonts w:ascii="Times New Roman" w:eastAsia="Arial MT" w:hAnsi="Times New Roman" w:cs="Times New Roman"/>
              </w:rPr>
              <w:t>4.355,84</w:t>
            </w:r>
          </w:p>
        </w:tc>
        <w:tc>
          <w:tcPr>
            <w:tcW w:w="869" w:type="pct"/>
            <w:shd w:val="clear" w:color="auto" w:fill="auto"/>
            <w:vAlign w:val="center"/>
          </w:tcPr>
          <w:p w14:paraId="1A1E5C96" w14:textId="78A2868C" w:rsidR="00CC7841" w:rsidRPr="00F64569" w:rsidRDefault="0049746F" w:rsidP="00CC7841">
            <w:pPr>
              <w:widowControl w:val="0"/>
              <w:autoSpaceDE w:val="0"/>
              <w:autoSpaceDN w:val="0"/>
              <w:spacing w:before="21" w:after="0" w:line="240" w:lineRule="auto"/>
              <w:ind w:right="98"/>
              <w:jc w:val="right"/>
              <w:rPr>
                <w:rFonts w:ascii="Times New Roman" w:eastAsia="Arial MT" w:hAnsi="Times New Roman" w:cs="Times New Roman"/>
              </w:rPr>
            </w:pPr>
            <w:r>
              <w:rPr>
                <w:rFonts w:ascii="Times New Roman" w:eastAsia="Arial MT" w:hAnsi="Times New Roman" w:cs="Times New Roman"/>
              </w:rPr>
              <w:t>96,80</w:t>
            </w:r>
          </w:p>
        </w:tc>
      </w:tr>
      <w:tr w:rsidR="00CC7841" w:rsidRPr="00F64569" w14:paraId="2748FBF1" w14:textId="77777777" w:rsidTr="007F048D">
        <w:trPr>
          <w:trHeight w:val="277"/>
        </w:trPr>
        <w:tc>
          <w:tcPr>
            <w:tcW w:w="2619" w:type="pct"/>
            <w:shd w:val="clear" w:color="auto" w:fill="auto"/>
          </w:tcPr>
          <w:p w14:paraId="418038B6" w14:textId="77777777" w:rsidR="00CC7841" w:rsidRPr="00F64569" w:rsidRDefault="00CC7841" w:rsidP="00CC7841">
            <w:pPr>
              <w:widowControl w:val="0"/>
              <w:autoSpaceDE w:val="0"/>
              <w:autoSpaceDN w:val="0"/>
              <w:spacing w:after="0" w:line="240" w:lineRule="auto"/>
              <w:rPr>
                <w:rFonts w:ascii="Times New Roman" w:eastAsia="Calibri" w:hAnsi="Times New Roman" w:cs="Times New Roman"/>
                <w:w w:val="95"/>
              </w:rPr>
            </w:pPr>
            <w:r w:rsidRPr="00F64569">
              <w:rPr>
                <w:rFonts w:ascii="Times New Roman" w:eastAsia="Calibri" w:hAnsi="Times New Roman" w:cs="Times New Roman"/>
                <w:w w:val="95"/>
              </w:rPr>
              <w:t>Aktivnost A100202 Vijeće srpske nacionalne manjine</w:t>
            </w:r>
          </w:p>
        </w:tc>
        <w:tc>
          <w:tcPr>
            <w:tcW w:w="672" w:type="pct"/>
            <w:shd w:val="clear" w:color="auto" w:fill="auto"/>
            <w:vAlign w:val="center"/>
          </w:tcPr>
          <w:p w14:paraId="6F0C7841" w14:textId="2F55B988" w:rsidR="00CC7841" w:rsidRPr="00F64569" w:rsidRDefault="00CC7841" w:rsidP="00CC7841">
            <w:pPr>
              <w:widowControl w:val="0"/>
              <w:autoSpaceDE w:val="0"/>
              <w:autoSpaceDN w:val="0"/>
              <w:spacing w:before="21" w:after="0" w:line="240" w:lineRule="auto"/>
              <w:ind w:right="98"/>
              <w:jc w:val="right"/>
              <w:rPr>
                <w:rFonts w:ascii="Times New Roman" w:eastAsia="Arial MT" w:hAnsi="Times New Roman" w:cs="Times New Roman"/>
              </w:rPr>
            </w:pPr>
            <w:r w:rsidRPr="00F64569">
              <w:rPr>
                <w:rFonts w:ascii="Times New Roman" w:eastAsia="Arial MT" w:hAnsi="Times New Roman" w:cs="Times New Roman"/>
                <w:color w:val="000000"/>
                <w:lang w:val="bs"/>
              </w:rPr>
              <w:t>3.000,00</w:t>
            </w:r>
          </w:p>
        </w:tc>
        <w:tc>
          <w:tcPr>
            <w:tcW w:w="840" w:type="pct"/>
            <w:shd w:val="clear" w:color="auto" w:fill="auto"/>
            <w:vAlign w:val="center"/>
          </w:tcPr>
          <w:p w14:paraId="4C6E4328" w14:textId="70195AD6" w:rsidR="00CC7841" w:rsidRPr="00F64569" w:rsidRDefault="0049746F" w:rsidP="00CC7841">
            <w:pPr>
              <w:widowControl w:val="0"/>
              <w:autoSpaceDE w:val="0"/>
              <w:autoSpaceDN w:val="0"/>
              <w:spacing w:before="21" w:after="0" w:line="240" w:lineRule="auto"/>
              <w:ind w:right="98"/>
              <w:jc w:val="right"/>
              <w:rPr>
                <w:rFonts w:ascii="Times New Roman" w:eastAsia="Arial MT" w:hAnsi="Times New Roman" w:cs="Times New Roman"/>
              </w:rPr>
            </w:pPr>
            <w:r>
              <w:rPr>
                <w:rFonts w:ascii="Times New Roman" w:eastAsia="Arial MT" w:hAnsi="Times New Roman" w:cs="Times New Roman"/>
              </w:rPr>
              <w:t>3.000,00</w:t>
            </w:r>
          </w:p>
        </w:tc>
        <w:tc>
          <w:tcPr>
            <w:tcW w:w="869" w:type="pct"/>
            <w:shd w:val="clear" w:color="auto" w:fill="auto"/>
            <w:vAlign w:val="center"/>
          </w:tcPr>
          <w:p w14:paraId="3D1344F3" w14:textId="00CC16F9" w:rsidR="00CC7841" w:rsidRPr="00F64569" w:rsidRDefault="0049746F" w:rsidP="00CC7841">
            <w:pPr>
              <w:widowControl w:val="0"/>
              <w:autoSpaceDE w:val="0"/>
              <w:autoSpaceDN w:val="0"/>
              <w:spacing w:before="21" w:after="0" w:line="240" w:lineRule="auto"/>
              <w:ind w:right="98"/>
              <w:jc w:val="right"/>
              <w:rPr>
                <w:rFonts w:ascii="Times New Roman" w:eastAsia="Arial MT" w:hAnsi="Times New Roman" w:cs="Times New Roman"/>
              </w:rPr>
            </w:pPr>
            <w:r>
              <w:rPr>
                <w:rFonts w:ascii="Times New Roman" w:eastAsia="Arial MT" w:hAnsi="Times New Roman" w:cs="Times New Roman"/>
              </w:rPr>
              <w:t>100,00</w:t>
            </w:r>
          </w:p>
        </w:tc>
      </w:tr>
      <w:tr w:rsidR="00CC7841" w:rsidRPr="00F64569" w14:paraId="00E30503" w14:textId="77777777" w:rsidTr="007F048D">
        <w:trPr>
          <w:trHeight w:val="277"/>
        </w:trPr>
        <w:tc>
          <w:tcPr>
            <w:tcW w:w="2619" w:type="pct"/>
            <w:shd w:val="clear" w:color="auto" w:fill="auto"/>
          </w:tcPr>
          <w:p w14:paraId="35F601FA" w14:textId="77777777" w:rsidR="00CC7841" w:rsidRPr="00F64569" w:rsidRDefault="00CC7841" w:rsidP="00CC7841">
            <w:pPr>
              <w:widowControl w:val="0"/>
              <w:autoSpaceDE w:val="0"/>
              <w:autoSpaceDN w:val="0"/>
              <w:spacing w:after="0" w:line="240" w:lineRule="auto"/>
              <w:rPr>
                <w:rFonts w:ascii="Times New Roman" w:eastAsia="Calibri" w:hAnsi="Times New Roman" w:cs="Times New Roman"/>
                <w:w w:val="95"/>
              </w:rPr>
            </w:pPr>
            <w:r w:rsidRPr="00F64569">
              <w:rPr>
                <w:rFonts w:ascii="Times New Roman" w:eastAsia="Calibri" w:hAnsi="Times New Roman" w:cs="Times New Roman"/>
                <w:w w:val="95"/>
              </w:rPr>
              <w:t xml:space="preserve">Aktivnost A100203 Predstavnik češke </w:t>
            </w:r>
            <w:proofErr w:type="spellStart"/>
            <w:r w:rsidRPr="00F64569">
              <w:rPr>
                <w:rFonts w:ascii="Times New Roman" w:eastAsia="Calibri" w:hAnsi="Times New Roman" w:cs="Times New Roman"/>
                <w:w w:val="95"/>
              </w:rPr>
              <w:t>nac</w:t>
            </w:r>
            <w:proofErr w:type="spellEnd"/>
            <w:r w:rsidRPr="00F64569">
              <w:rPr>
                <w:rFonts w:ascii="Times New Roman" w:eastAsia="Calibri" w:hAnsi="Times New Roman" w:cs="Times New Roman"/>
                <w:w w:val="95"/>
              </w:rPr>
              <w:t>. manjine</w:t>
            </w:r>
          </w:p>
        </w:tc>
        <w:tc>
          <w:tcPr>
            <w:tcW w:w="672" w:type="pct"/>
            <w:shd w:val="clear" w:color="auto" w:fill="auto"/>
            <w:vAlign w:val="center"/>
          </w:tcPr>
          <w:p w14:paraId="39B69ADA" w14:textId="06BB6742" w:rsidR="00CC7841" w:rsidRPr="00F64569" w:rsidRDefault="00CC7841" w:rsidP="00CC7841">
            <w:pPr>
              <w:widowControl w:val="0"/>
              <w:autoSpaceDE w:val="0"/>
              <w:autoSpaceDN w:val="0"/>
              <w:spacing w:before="21" w:after="0" w:line="240" w:lineRule="auto"/>
              <w:ind w:right="98"/>
              <w:jc w:val="right"/>
              <w:rPr>
                <w:rFonts w:ascii="Times New Roman" w:eastAsia="Arial MT" w:hAnsi="Times New Roman" w:cs="Times New Roman"/>
              </w:rPr>
            </w:pPr>
            <w:r w:rsidRPr="00F64569">
              <w:rPr>
                <w:rFonts w:ascii="Times New Roman" w:eastAsia="Arial MT" w:hAnsi="Times New Roman" w:cs="Times New Roman"/>
                <w:color w:val="000000"/>
                <w:lang w:val="bs"/>
              </w:rPr>
              <w:t>320,00</w:t>
            </w:r>
          </w:p>
        </w:tc>
        <w:tc>
          <w:tcPr>
            <w:tcW w:w="840" w:type="pct"/>
            <w:shd w:val="clear" w:color="auto" w:fill="auto"/>
            <w:vAlign w:val="center"/>
          </w:tcPr>
          <w:p w14:paraId="2D5F7E87" w14:textId="0A58F68D" w:rsidR="00CC7841" w:rsidRPr="00F64569" w:rsidRDefault="0049746F" w:rsidP="00CC7841">
            <w:pPr>
              <w:widowControl w:val="0"/>
              <w:autoSpaceDE w:val="0"/>
              <w:autoSpaceDN w:val="0"/>
              <w:spacing w:before="21" w:after="0" w:line="240" w:lineRule="auto"/>
              <w:ind w:right="98"/>
              <w:jc w:val="right"/>
              <w:rPr>
                <w:rFonts w:ascii="Times New Roman" w:eastAsia="Arial MT" w:hAnsi="Times New Roman" w:cs="Times New Roman"/>
              </w:rPr>
            </w:pPr>
            <w:r>
              <w:rPr>
                <w:rFonts w:ascii="Times New Roman" w:eastAsia="Arial MT" w:hAnsi="Times New Roman" w:cs="Times New Roman"/>
              </w:rPr>
              <w:t>289,58</w:t>
            </w:r>
          </w:p>
        </w:tc>
        <w:tc>
          <w:tcPr>
            <w:tcW w:w="869" w:type="pct"/>
            <w:shd w:val="clear" w:color="auto" w:fill="auto"/>
            <w:vAlign w:val="center"/>
          </w:tcPr>
          <w:p w14:paraId="4385D902" w14:textId="02358FC7" w:rsidR="00CC7841" w:rsidRPr="00F64569" w:rsidRDefault="0049746F" w:rsidP="00CC7841">
            <w:pPr>
              <w:widowControl w:val="0"/>
              <w:autoSpaceDE w:val="0"/>
              <w:autoSpaceDN w:val="0"/>
              <w:spacing w:before="21" w:after="0" w:line="240" w:lineRule="auto"/>
              <w:ind w:right="98"/>
              <w:jc w:val="right"/>
              <w:rPr>
                <w:rFonts w:ascii="Times New Roman" w:eastAsia="Arial MT" w:hAnsi="Times New Roman" w:cs="Times New Roman"/>
              </w:rPr>
            </w:pPr>
            <w:r>
              <w:rPr>
                <w:rFonts w:ascii="Times New Roman" w:eastAsia="Arial MT" w:hAnsi="Times New Roman" w:cs="Times New Roman"/>
              </w:rPr>
              <w:t>90,49</w:t>
            </w:r>
          </w:p>
        </w:tc>
      </w:tr>
      <w:tr w:rsidR="00CC7841" w:rsidRPr="00F64569" w14:paraId="6F5752BC" w14:textId="77777777" w:rsidTr="007F048D">
        <w:trPr>
          <w:trHeight w:val="277"/>
        </w:trPr>
        <w:tc>
          <w:tcPr>
            <w:tcW w:w="2619" w:type="pct"/>
            <w:shd w:val="clear" w:color="auto" w:fill="auto"/>
          </w:tcPr>
          <w:p w14:paraId="2043EB0E" w14:textId="77777777" w:rsidR="00CC7841" w:rsidRPr="00F64569" w:rsidRDefault="00CC7841" w:rsidP="00CC7841">
            <w:pPr>
              <w:widowControl w:val="0"/>
              <w:autoSpaceDE w:val="0"/>
              <w:autoSpaceDN w:val="0"/>
              <w:spacing w:after="0" w:line="240" w:lineRule="auto"/>
              <w:rPr>
                <w:rFonts w:ascii="Times New Roman" w:eastAsia="Calibri" w:hAnsi="Times New Roman" w:cs="Times New Roman"/>
                <w:w w:val="95"/>
              </w:rPr>
            </w:pPr>
            <w:r w:rsidRPr="00F64569">
              <w:rPr>
                <w:rFonts w:ascii="Times New Roman" w:eastAsia="Calibri" w:hAnsi="Times New Roman" w:cs="Times New Roman"/>
                <w:w w:val="95"/>
              </w:rPr>
              <w:t>Aktivnost A100207 Predsjednički izbori</w:t>
            </w:r>
          </w:p>
        </w:tc>
        <w:tc>
          <w:tcPr>
            <w:tcW w:w="672" w:type="pct"/>
            <w:shd w:val="clear" w:color="auto" w:fill="auto"/>
            <w:vAlign w:val="center"/>
          </w:tcPr>
          <w:p w14:paraId="689D3CF2" w14:textId="5E750213" w:rsidR="00CC7841" w:rsidRPr="00F64569" w:rsidRDefault="00CC7841" w:rsidP="00CC7841">
            <w:pPr>
              <w:widowControl w:val="0"/>
              <w:autoSpaceDE w:val="0"/>
              <w:autoSpaceDN w:val="0"/>
              <w:spacing w:before="21" w:after="0" w:line="240" w:lineRule="auto"/>
              <w:ind w:right="98"/>
              <w:jc w:val="right"/>
              <w:rPr>
                <w:rFonts w:ascii="Times New Roman" w:eastAsia="Arial MT" w:hAnsi="Times New Roman" w:cs="Times New Roman"/>
              </w:rPr>
            </w:pPr>
            <w:r w:rsidRPr="00F64569">
              <w:rPr>
                <w:rFonts w:ascii="Times New Roman" w:eastAsia="Arial MT" w:hAnsi="Times New Roman" w:cs="Times New Roman"/>
                <w:color w:val="000000"/>
                <w:lang w:val="bs"/>
              </w:rPr>
              <w:t>30.000,00</w:t>
            </w:r>
          </w:p>
        </w:tc>
        <w:tc>
          <w:tcPr>
            <w:tcW w:w="840" w:type="pct"/>
            <w:shd w:val="clear" w:color="auto" w:fill="auto"/>
            <w:vAlign w:val="center"/>
          </w:tcPr>
          <w:p w14:paraId="7337F27B" w14:textId="3AACFEFD" w:rsidR="00CC7841" w:rsidRPr="00F64569" w:rsidRDefault="0049746F" w:rsidP="00CC7841">
            <w:pPr>
              <w:widowControl w:val="0"/>
              <w:autoSpaceDE w:val="0"/>
              <w:autoSpaceDN w:val="0"/>
              <w:spacing w:before="21" w:after="0" w:line="240" w:lineRule="auto"/>
              <w:ind w:right="98"/>
              <w:jc w:val="right"/>
              <w:rPr>
                <w:rFonts w:ascii="Times New Roman" w:eastAsia="Calibri" w:hAnsi="Times New Roman" w:cs="Times New Roman"/>
                <w:w w:val="95"/>
              </w:rPr>
            </w:pPr>
            <w:r>
              <w:rPr>
                <w:rFonts w:ascii="Times New Roman" w:eastAsia="Calibri" w:hAnsi="Times New Roman" w:cs="Times New Roman"/>
                <w:w w:val="95"/>
              </w:rPr>
              <w:t>0,00</w:t>
            </w:r>
          </w:p>
        </w:tc>
        <w:tc>
          <w:tcPr>
            <w:tcW w:w="869" w:type="pct"/>
            <w:shd w:val="clear" w:color="auto" w:fill="auto"/>
            <w:vAlign w:val="center"/>
          </w:tcPr>
          <w:p w14:paraId="445E43AE" w14:textId="51DF574C" w:rsidR="00CC7841" w:rsidRPr="00F64569" w:rsidRDefault="0049746F" w:rsidP="00CC7841">
            <w:pPr>
              <w:widowControl w:val="0"/>
              <w:autoSpaceDE w:val="0"/>
              <w:autoSpaceDN w:val="0"/>
              <w:spacing w:before="21" w:after="0" w:line="240" w:lineRule="auto"/>
              <w:ind w:right="98"/>
              <w:jc w:val="right"/>
              <w:rPr>
                <w:rFonts w:ascii="Times New Roman" w:eastAsia="Arial MT" w:hAnsi="Times New Roman" w:cs="Times New Roman"/>
              </w:rPr>
            </w:pPr>
            <w:r>
              <w:rPr>
                <w:rFonts w:ascii="Times New Roman" w:eastAsia="Arial MT" w:hAnsi="Times New Roman" w:cs="Times New Roman"/>
              </w:rPr>
              <w:t>0,00</w:t>
            </w:r>
          </w:p>
        </w:tc>
      </w:tr>
      <w:tr w:rsidR="00CC7841" w:rsidRPr="00F64569" w14:paraId="09D95B1D" w14:textId="77777777" w:rsidTr="007F048D">
        <w:trPr>
          <w:trHeight w:val="277"/>
        </w:trPr>
        <w:tc>
          <w:tcPr>
            <w:tcW w:w="2619" w:type="pct"/>
            <w:shd w:val="clear" w:color="auto" w:fill="auto"/>
          </w:tcPr>
          <w:p w14:paraId="040DDF0D" w14:textId="77777777" w:rsidR="00CC7841" w:rsidRPr="00F64569" w:rsidRDefault="00CC7841" w:rsidP="00CC7841">
            <w:pPr>
              <w:widowControl w:val="0"/>
              <w:autoSpaceDE w:val="0"/>
              <w:autoSpaceDN w:val="0"/>
              <w:spacing w:after="0" w:line="240" w:lineRule="auto"/>
              <w:rPr>
                <w:rFonts w:ascii="Times New Roman" w:eastAsia="Calibri" w:hAnsi="Times New Roman" w:cs="Times New Roman"/>
                <w:w w:val="95"/>
              </w:rPr>
            </w:pPr>
            <w:r w:rsidRPr="00F64569">
              <w:rPr>
                <w:rFonts w:ascii="Times New Roman" w:eastAsia="Calibri" w:hAnsi="Times New Roman" w:cs="Times New Roman"/>
                <w:w w:val="95"/>
              </w:rPr>
              <w:t>Aktivnost A100208 Savjet mladih Grada Garešnice</w:t>
            </w:r>
          </w:p>
        </w:tc>
        <w:tc>
          <w:tcPr>
            <w:tcW w:w="672" w:type="pct"/>
            <w:shd w:val="clear" w:color="auto" w:fill="auto"/>
            <w:vAlign w:val="center"/>
          </w:tcPr>
          <w:p w14:paraId="2332A6CE" w14:textId="49DD8E75" w:rsidR="00CC7841" w:rsidRPr="00F64569" w:rsidRDefault="00CC7841" w:rsidP="00CC7841">
            <w:pPr>
              <w:widowControl w:val="0"/>
              <w:autoSpaceDE w:val="0"/>
              <w:autoSpaceDN w:val="0"/>
              <w:spacing w:before="21" w:after="0" w:line="240" w:lineRule="auto"/>
              <w:ind w:right="98"/>
              <w:jc w:val="right"/>
              <w:rPr>
                <w:rFonts w:ascii="Times New Roman" w:eastAsia="Arial MT" w:hAnsi="Times New Roman" w:cs="Times New Roman"/>
              </w:rPr>
            </w:pPr>
            <w:r w:rsidRPr="00F64569">
              <w:rPr>
                <w:rFonts w:ascii="Times New Roman" w:eastAsia="Arial MT" w:hAnsi="Times New Roman" w:cs="Times New Roman"/>
                <w:color w:val="000000"/>
                <w:lang w:val="bs"/>
              </w:rPr>
              <w:t>500,00</w:t>
            </w:r>
          </w:p>
        </w:tc>
        <w:tc>
          <w:tcPr>
            <w:tcW w:w="840" w:type="pct"/>
            <w:shd w:val="clear" w:color="auto" w:fill="auto"/>
            <w:vAlign w:val="center"/>
          </w:tcPr>
          <w:p w14:paraId="6935DF56" w14:textId="5FECC263" w:rsidR="00CC7841" w:rsidRPr="00F64569" w:rsidRDefault="0049746F" w:rsidP="00CC7841">
            <w:pPr>
              <w:widowControl w:val="0"/>
              <w:autoSpaceDE w:val="0"/>
              <w:autoSpaceDN w:val="0"/>
              <w:spacing w:before="21" w:after="0" w:line="240" w:lineRule="auto"/>
              <w:ind w:right="98"/>
              <w:jc w:val="right"/>
              <w:rPr>
                <w:rFonts w:ascii="Times New Roman" w:eastAsia="Arial MT" w:hAnsi="Times New Roman" w:cs="Times New Roman"/>
              </w:rPr>
            </w:pPr>
            <w:r>
              <w:rPr>
                <w:rFonts w:ascii="Times New Roman" w:eastAsia="Arial MT" w:hAnsi="Times New Roman" w:cs="Times New Roman"/>
              </w:rPr>
              <w:t>0,00</w:t>
            </w:r>
          </w:p>
        </w:tc>
        <w:tc>
          <w:tcPr>
            <w:tcW w:w="869" w:type="pct"/>
            <w:shd w:val="clear" w:color="auto" w:fill="auto"/>
            <w:vAlign w:val="center"/>
          </w:tcPr>
          <w:p w14:paraId="52C5D06A" w14:textId="52AB4A8F" w:rsidR="00CC7841" w:rsidRPr="00F64569" w:rsidRDefault="0049746F" w:rsidP="00CC7841">
            <w:pPr>
              <w:widowControl w:val="0"/>
              <w:autoSpaceDE w:val="0"/>
              <w:autoSpaceDN w:val="0"/>
              <w:spacing w:before="21" w:after="0" w:line="240" w:lineRule="auto"/>
              <w:ind w:right="98"/>
              <w:jc w:val="right"/>
              <w:rPr>
                <w:rFonts w:ascii="Times New Roman" w:eastAsia="Arial MT" w:hAnsi="Times New Roman" w:cs="Times New Roman"/>
              </w:rPr>
            </w:pPr>
            <w:r>
              <w:rPr>
                <w:rFonts w:ascii="Times New Roman" w:eastAsia="Arial MT" w:hAnsi="Times New Roman" w:cs="Times New Roman"/>
              </w:rPr>
              <w:t>0,00</w:t>
            </w:r>
          </w:p>
        </w:tc>
      </w:tr>
      <w:tr w:rsidR="00CC7841" w:rsidRPr="00F64569" w14:paraId="20554FE7" w14:textId="77777777" w:rsidTr="007F048D">
        <w:trPr>
          <w:trHeight w:val="277"/>
        </w:trPr>
        <w:tc>
          <w:tcPr>
            <w:tcW w:w="2619" w:type="pct"/>
            <w:shd w:val="clear" w:color="auto" w:fill="auto"/>
          </w:tcPr>
          <w:p w14:paraId="72890A86" w14:textId="77777777" w:rsidR="00CC7841" w:rsidRPr="00F64569" w:rsidRDefault="00CC7841" w:rsidP="00CC7841">
            <w:pPr>
              <w:widowControl w:val="0"/>
              <w:autoSpaceDE w:val="0"/>
              <w:autoSpaceDN w:val="0"/>
              <w:spacing w:after="0" w:line="240" w:lineRule="auto"/>
              <w:rPr>
                <w:rFonts w:ascii="Times New Roman" w:eastAsia="Calibri" w:hAnsi="Times New Roman" w:cs="Times New Roman"/>
                <w:w w:val="95"/>
              </w:rPr>
            </w:pPr>
            <w:r w:rsidRPr="00F64569">
              <w:rPr>
                <w:rFonts w:ascii="Times New Roman" w:eastAsia="Calibri" w:hAnsi="Times New Roman" w:cs="Times New Roman"/>
                <w:w w:val="95"/>
              </w:rPr>
              <w:t>Aktivnost A100209 Izbori zastupnika u Hrvatski sabor</w:t>
            </w:r>
          </w:p>
        </w:tc>
        <w:tc>
          <w:tcPr>
            <w:tcW w:w="672" w:type="pct"/>
            <w:shd w:val="clear" w:color="auto" w:fill="auto"/>
            <w:vAlign w:val="center"/>
          </w:tcPr>
          <w:p w14:paraId="0E65B037" w14:textId="53AF0C7F" w:rsidR="00CC7841" w:rsidRPr="00F64569" w:rsidRDefault="00CC7841" w:rsidP="00CC7841">
            <w:pPr>
              <w:widowControl w:val="0"/>
              <w:autoSpaceDE w:val="0"/>
              <w:autoSpaceDN w:val="0"/>
              <w:spacing w:before="21" w:after="0" w:line="240" w:lineRule="auto"/>
              <w:ind w:right="98"/>
              <w:jc w:val="right"/>
              <w:rPr>
                <w:rFonts w:ascii="Times New Roman" w:eastAsia="Arial MT" w:hAnsi="Times New Roman" w:cs="Times New Roman"/>
              </w:rPr>
            </w:pPr>
            <w:r w:rsidRPr="00F64569">
              <w:rPr>
                <w:rFonts w:ascii="Times New Roman" w:eastAsia="Arial MT" w:hAnsi="Times New Roman" w:cs="Times New Roman"/>
                <w:color w:val="000000"/>
                <w:lang w:val="bs"/>
              </w:rPr>
              <w:t>27.600,00</w:t>
            </w:r>
          </w:p>
        </w:tc>
        <w:tc>
          <w:tcPr>
            <w:tcW w:w="840" w:type="pct"/>
            <w:shd w:val="clear" w:color="auto" w:fill="auto"/>
            <w:vAlign w:val="center"/>
          </w:tcPr>
          <w:p w14:paraId="6E25F96E" w14:textId="051F51EE" w:rsidR="00CC7841" w:rsidRPr="00F64569" w:rsidRDefault="0049746F" w:rsidP="00CC7841">
            <w:pPr>
              <w:widowControl w:val="0"/>
              <w:autoSpaceDE w:val="0"/>
              <w:autoSpaceDN w:val="0"/>
              <w:spacing w:before="21" w:after="0" w:line="240" w:lineRule="auto"/>
              <w:ind w:right="98"/>
              <w:jc w:val="right"/>
              <w:rPr>
                <w:rFonts w:ascii="Times New Roman" w:eastAsia="Arial MT" w:hAnsi="Times New Roman" w:cs="Times New Roman"/>
              </w:rPr>
            </w:pPr>
            <w:r>
              <w:rPr>
                <w:rFonts w:ascii="Times New Roman" w:eastAsia="Arial MT" w:hAnsi="Times New Roman" w:cs="Times New Roman"/>
              </w:rPr>
              <w:t>27.525,11</w:t>
            </w:r>
          </w:p>
        </w:tc>
        <w:tc>
          <w:tcPr>
            <w:tcW w:w="869" w:type="pct"/>
            <w:shd w:val="clear" w:color="auto" w:fill="auto"/>
            <w:vAlign w:val="center"/>
          </w:tcPr>
          <w:p w14:paraId="41DEEDCB" w14:textId="3284C9F4" w:rsidR="00CC7841" w:rsidRPr="00F64569" w:rsidRDefault="0049746F" w:rsidP="00CC7841">
            <w:pPr>
              <w:widowControl w:val="0"/>
              <w:autoSpaceDE w:val="0"/>
              <w:autoSpaceDN w:val="0"/>
              <w:spacing w:before="21" w:after="0" w:line="240" w:lineRule="auto"/>
              <w:ind w:right="98"/>
              <w:jc w:val="right"/>
              <w:rPr>
                <w:rFonts w:ascii="Times New Roman" w:eastAsia="Arial MT" w:hAnsi="Times New Roman" w:cs="Times New Roman"/>
              </w:rPr>
            </w:pPr>
            <w:r>
              <w:rPr>
                <w:rFonts w:ascii="Times New Roman" w:eastAsia="Arial MT" w:hAnsi="Times New Roman" w:cs="Times New Roman"/>
              </w:rPr>
              <w:t>99,73</w:t>
            </w:r>
          </w:p>
        </w:tc>
      </w:tr>
      <w:tr w:rsidR="00CC7841" w:rsidRPr="00F64569" w14:paraId="6F837435" w14:textId="77777777" w:rsidTr="007F048D">
        <w:trPr>
          <w:trHeight w:val="277"/>
        </w:trPr>
        <w:tc>
          <w:tcPr>
            <w:tcW w:w="2619" w:type="pct"/>
            <w:shd w:val="clear" w:color="auto" w:fill="auto"/>
          </w:tcPr>
          <w:p w14:paraId="03E70B84" w14:textId="77777777" w:rsidR="00CC7841" w:rsidRPr="00F64569" w:rsidRDefault="00CC7841" w:rsidP="00CC7841">
            <w:pPr>
              <w:widowControl w:val="0"/>
              <w:autoSpaceDE w:val="0"/>
              <w:autoSpaceDN w:val="0"/>
              <w:spacing w:after="0" w:line="240" w:lineRule="auto"/>
              <w:rPr>
                <w:rFonts w:ascii="Times New Roman" w:eastAsia="Calibri" w:hAnsi="Times New Roman" w:cs="Times New Roman"/>
                <w:w w:val="95"/>
              </w:rPr>
            </w:pPr>
            <w:r w:rsidRPr="00F64569">
              <w:rPr>
                <w:rFonts w:ascii="Times New Roman" w:eastAsia="Calibri" w:hAnsi="Times New Roman" w:cs="Times New Roman"/>
                <w:w w:val="95"/>
              </w:rPr>
              <w:t>Aktivnost A100210 Izbori članova u Europski parlament</w:t>
            </w:r>
          </w:p>
        </w:tc>
        <w:tc>
          <w:tcPr>
            <w:tcW w:w="672" w:type="pct"/>
            <w:shd w:val="clear" w:color="auto" w:fill="auto"/>
            <w:vAlign w:val="center"/>
          </w:tcPr>
          <w:p w14:paraId="51B17C14" w14:textId="7D7F56D9" w:rsidR="00CC7841" w:rsidRPr="00F64569" w:rsidRDefault="00CC7841" w:rsidP="00CC7841">
            <w:pPr>
              <w:widowControl w:val="0"/>
              <w:autoSpaceDE w:val="0"/>
              <w:autoSpaceDN w:val="0"/>
              <w:spacing w:before="21" w:after="0" w:line="240" w:lineRule="auto"/>
              <w:ind w:right="98"/>
              <w:jc w:val="right"/>
              <w:rPr>
                <w:rFonts w:ascii="Times New Roman" w:eastAsia="Arial MT" w:hAnsi="Times New Roman" w:cs="Times New Roman"/>
              </w:rPr>
            </w:pPr>
            <w:r w:rsidRPr="00F64569">
              <w:rPr>
                <w:rFonts w:ascii="Times New Roman" w:eastAsia="Arial MT" w:hAnsi="Times New Roman" w:cs="Times New Roman"/>
                <w:color w:val="000000"/>
                <w:lang w:val="bs"/>
              </w:rPr>
              <w:t>21.400,00</w:t>
            </w:r>
          </w:p>
        </w:tc>
        <w:tc>
          <w:tcPr>
            <w:tcW w:w="840" w:type="pct"/>
            <w:shd w:val="clear" w:color="auto" w:fill="auto"/>
            <w:vAlign w:val="center"/>
          </w:tcPr>
          <w:p w14:paraId="20F1DCCA" w14:textId="1DDF238E" w:rsidR="00CC7841" w:rsidRPr="00F64569" w:rsidRDefault="0049746F" w:rsidP="00CC7841">
            <w:pPr>
              <w:widowControl w:val="0"/>
              <w:autoSpaceDE w:val="0"/>
              <w:autoSpaceDN w:val="0"/>
              <w:spacing w:before="21" w:after="0" w:line="240" w:lineRule="auto"/>
              <w:ind w:right="98"/>
              <w:jc w:val="right"/>
              <w:rPr>
                <w:rFonts w:ascii="Times New Roman" w:eastAsia="Arial MT" w:hAnsi="Times New Roman" w:cs="Times New Roman"/>
              </w:rPr>
            </w:pPr>
            <w:r>
              <w:rPr>
                <w:rFonts w:ascii="Times New Roman" w:eastAsia="Arial MT" w:hAnsi="Times New Roman" w:cs="Times New Roman"/>
              </w:rPr>
              <w:t>21.322,51</w:t>
            </w:r>
          </w:p>
        </w:tc>
        <w:tc>
          <w:tcPr>
            <w:tcW w:w="869" w:type="pct"/>
            <w:shd w:val="clear" w:color="auto" w:fill="auto"/>
            <w:vAlign w:val="center"/>
          </w:tcPr>
          <w:p w14:paraId="79AFFCD5" w14:textId="57F55BA5" w:rsidR="00CC7841" w:rsidRPr="00F64569" w:rsidRDefault="0049746F" w:rsidP="00CC7841">
            <w:pPr>
              <w:widowControl w:val="0"/>
              <w:autoSpaceDE w:val="0"/>
              <w:autoSpaceDN w:val="0"/>
              <w:spacing w:before="21" w:after="0" w:line="240" w:lineRule="auto"/>
              <w:ind w:right="98"/>
              <w:jc w:val="right"/>
              <w:rPr>
                <w:rFonts w:ascii="Times New Roman" w:eastAsia="Arial MT" w:hAnsi="Times New Roman" w:cs="Times New Roman"/>
              </w:rPr>
            </w:pPr>
            <w:r>
              <w:rPr>
                <w:rFonts w:ascii="Times New Roman" w:eastAsia="Arial MT" w:hAnsi="Times New Roman" w:cs="Times New Roman"/>
              </w:rPr>
              <w:t>99,64</w:t>
            </w:r>
          </w:p>
        </w:tc>
      </w:tr>
      <w:tr w:rsidR="00CC7841" w:rsidRPr="00F64569" w14:paraId="18BD521A" w14:textId="77777777" w:rsidTr="007F048D">
        <w:trPr>
          <w:trHeight w:val="278"/>
        </w:trPr>
        <w:tc>
          <w:tcPr>
            <w:tcW w:w="2619" w:type="pct"/>
            <w:shd w:val="clear" w:color="auto" w:fill="auto"/>
          </w:tcPr>
          <w:p w14:paraId="210E06C6" w14:textId="77777777" w:rsidR="00CC7841" w:rsidRPr="00F64569" w:rsidRDefault="00CC7841" w:rsidP="00CC7841">
            <w:pPr>
              <w:widowControl w:val="0"/>
              <w:autoSpaceDE w:val="0"/>
              <w:autoSpaceDN w:val="0"/>
              <w:spacing w:before="19" w:after="0" w:line="240" w:lineRule="auto"/>
              <w:ind w:left="107"/>
              <w:rPr>
                <w:rFonts w:ascii="Times New Roman" w:eastAsia="Arial MT" w:hAnsi="Times New Roman" w:cs="Times New Roman"/>
                <w:b/>
              </w:rPr>
            </w:pPr>
            <w:r w:rsidRPr="00F64569">
              <w:rPr>
                <w:rFonts w:ascii="Times New Roman" w:eastAsia="Arial MT" w:hAnsi="Times New Roman" w:cs="Times New Roman"/>
                <w:b/>
              </w:rPr>
              <w:t>Ukupno</w:t>
            </w:r>
            <w:r w:rsidRPr="00F64569">
              <w:rPr>
                <w:rFonts w:ascii="Times New Roman" w:eastAsia="Arial MT" w:hAnsi="Times New Roman" w:cs="Times New Roman"/>
                <w:b/>
                <w:spacing w:val="-5"/>
              </w:rPr>
              <w:t xml:space="preserve"> </w:t>
            </w:r>
            <w:r w:rsidRPr="00F64569">
              <w:rPr>
                <w:rFonts w:ascii="Times New Roman" w:eastAsia="Arial MT" w:hAnsi="Times New Roman" w:cs="Times New Roman"/>
                <w:b/>
              </w:rPr>
              <w:t>program:</w:t>
            </w:r>
          </w:p>
        </w:tc>
        <w:tc>
          <w:tcPr>
            <w:tcW w:w="672" w:type="pct"/>
            <w:shd w:val="clear" w:color="auto" w:fill="auto"/>
            <w:vAlign w:val="center"/>
          </w:tcPr>
          <w:p w14:paraId="3226949A" w14:textId="1933C68F" w:rsidR="00CC7841" w:rsidRPr="00F64569" w:rsidRDefault="00CC7841" w:rsidP="00CC7841">
            <w:pPr>
              <w:widowControl w:val="0"/>
              <w:autoSpaceDE w:val="0"/>
              <w:autoSpaceDN w:val="0"/>
              <w:spacing w:before="19" w:after="0" w:line="240" w:lineRule="auto"/>
              <w:ind w:right="98"/>
              <w:jc w:val="right"/>
              <w:rPr>
                <w:rFonts w:ascii="Times New Roman" w:eastAsia="Arial MT" w:hAnsi="Times New Roman" w:cs="Times New Roman"/>
                <w:b/>
                <w:bCs/>
              </w:rPr>
            </w:pPr>
            <w:r w:rsidRPr="00F64569">
              <w:rPr>
                <w:rFonts w:ascii="Times New Roman" w:eastAsia="Arial MT" w:hAnsi="Times New Roman" w:cs="Times New Roman"/>
                <w:b/>
                <w:bCs/>
                <w:color w:val="000000"/>
                <w:lang w:val="bs"/>
              </w:rPr>
              <w:t>87.320,00</w:t>
            </w:r>
          </w:p>
        </w:tc>
        <w:tc>
          <w:tcPr>
            <w:tcW w:w="840" w:type="pct"/>
            <w:shd w:val="clear" w:color="auto" w:fill="auto"/>
            <w:vAlign w:val="center"/>
          </w:tcPr>
          <w:p w14:paraId="0D1F940B" w14:textId="122E284D" w:rsidR="00CC7841" w:rsidRPr="00F64569" w:rsidRDefault="0049746F" w:rsidP="00CC7841">
            <w:pPr>
              <w:widowControl w:val="0"/>
              <w:autoSpaceDE w:val="0"/>
              <w:autoSpaceDN w:val="0"/>
              <w:spacing w:before="19" w:after="0" w:line="240" w:lineRule="auto"/>
              <w:ind w:right="98"/>
              <w:jc w:val="right"/>
              <w:rPr>
                <w:rFonts w:ascii="Times New Roman" w:eastAsia="Arial MT" w:hAnsi="Times New Roman" w:cs="Times New Roman"/>
                <w:b/>
                <w:bCs/>
              </w:rPr>
            </w:pPr>
            <w:r>
              <w:rPr>
                <w:rFonts w:ascii="Times New Roman" w:eastAsia="Arial MT" w:hAnsi="Times New Roman" w:cs="Times New Roman"/>
                <w:b/>
                <w:bCs/>
              </w:rPr>
              <w:t>56.493,04</w:t>
            </w:r>
          </w:p>
        </w:tc>
        <w:tc>
          <w:tcPr>
            <w:tcW w:w="869" w:type="pct"/>
            <w:shd w:val="clear" w:color="auto" w:fill="auto"/>
            <w:vAlign w:val="center"/>
          </w:tcPr>
          <w:p w14:paraId="0F7F1109" w14:textId="1A439224" w:rsidR="00CC7841" w:rsidRPr="00F64569" w:rsidRDefault="0049746F" w:rsidP="00CC7841">
            <w:pPr>
              <w:widowControl w:val="0"/>
              <w:autoSpaceDE w:val="0"/>
              <w:autoSpaceDN w:val="0"/>
              <w:spacing w:before="19" w:after="0" w:line="240" w:lineRule="auto"/>
              <w:ind w:right="98"/>
              <w:jc w:val="right"/>
              <w:rPr>
                <w:rFonts w:ascii="Times New Roman" w:eastAsia="Arial MT" w:hAnsi="Times New Roman" w:cs="Times New Roman"/>
                <w:b/>
                <w:bCs/>
              </w:rPr>
            </w:pPr>
            <w:r>
              <w:rPr>
                <w:rFonts w:ascii="Times New Roman" w:eastAsia="Arial MT" w:hAnsi="Times New Roman" w:cs="Times New Roman"/>
                <w:b/>
                <w:bCs/>
              </w:rPr>
              <w:t>64,70</w:t>
            </w:r>
          </w:p>
        </w:tc>
      </w:tr>
    </w:tbl>
    <w:p w14:paraId="0A2AD33E" w14:textId="3DACDE2F" w:rsidR="0049746F" w:rsidRDefault="0049746F" w:rsidP="0049746F">
      <w:pPr>
        <w:rPr>
          <w:lang w:eastAsia="ar-SA"/>
        </w:rPr>
      </w:pPr>
    </w:p>
    <w:p w14:paraId="5B087728" w14:textId="62A997E0" w:rsidR="0089664A" w:rsidRPr="005C0A0E" w:rsidRDefault="0089664A" w:rsidP="005C0A0E">
      <w:pPr>
        <w:spacing w:after="0" w:line="240" w:lineRule="auto"/>
        <w:jc w:val="both"/>
        <w:rPr>
          <w:rFonts w:ascii="Times New Roman" w:hAnsi="Times New Roman" w:cs="Times New Roman"/>
          <w:bCs/>
          <w:i/>
          <w:lang w:eastAsia="hr-HR"/>
        </w:rPr>
      </w:pPr>
      <w:r w:rsidRPr="003C572C">
        <w:rPr>
          <w:rFonts w:ascii="Times New Roman" w:hAnsi="Times New Roman" w:cs="Times New Roman"/>
          <w:bCs/>
          <w:lang w:eastAsia="hr-HR"/>
        </w:rPr>
        <w:t>Temeljem Odluke o raspoređivanju sredstava iz Proračuna Grada Garešnice za redovito godišnje financiranje političkih stranaka  u 202</w:t>
      </w:r>
      <w:r>
        <w:rPr>
          <w:rFonts w:ascii="Times New Roman" w:hAnsi="Times New Roman" w:cs="Times New Roman"/>
          <w:bCs/>
          <w:lang w:eastAsia="hr-HR"/>
        </w:rPr>
        <w:t>4</w:t>
      </w:r>
      <w:r w:rsidRPr="003C572C">
        <w:rPr>
          <w:rFonts w:ascii="Times New Roman" w:hAnsi="Times New Roman" w:cs="Times New Roman"/>
          <w:bCs/>
          <w:lang w:eastAsia="hr-HR"/>
        </w:rPr>
        <w:t>. godini za redovan rad političkih stranaka i nezavisnih vijećnika koji djeluju u Gradskom vijeću Grada utrošeno je 4.35</w:t>
      </w:r>
      <w:r>
        <w:rPr>
          <w:rFonts w:ascii="Times New Roman" w:hAnsi="Times New Roman" w:cs="Times New Roman"/>
          <w:bCs/>
          <w:lang w:eastAsia="hr-HR"/>
        </w:rPr>
        <w:t xml:space="preserve">5,84 </w:t>
      </w:r>
      <w:r w:rsidRPr="003C572C">
        <w:rPr>
          <w:rFonts w:ascii="Times New Roman" w:hAnsi="Times New Roman" w:cs="Times New Roman"/>
          <w:bCs/>
          <w:lang w:eastAsia="hr-HR"/>
        </w:rPr>
        <w:t>eura</w:t>
      </w:r>
      <w:r>
        <w:rPr>
          <w:rFonts w:ascii="Times New Roman" w:hAnsi="Times New Roman" w:cs="Times New Roman"/>
          <w:bCs/>
          <w:lang w:eastAsia="hr-HR"/>
        </w:rPr>
        <w:t>.</w:t>
      </w:r>
    </w:p>
    <w:tbl>
      <w:tblPr>
        <w:tblW w:w="9715" w:type="dxa"/>
        <w:tblLayout w:type="fixed"/>
        <w:tblLook w:val="04A0" w:firstRow="1" w:lastRow="0" w:firstColumn="1" w:lastColumn="0" w:noHBand="0" w:noVBand="1"/>
      </w:tblPr>
      <w:tblGrid>
        <w:gridCol w:w="614"/>
        <w:gridCol w:w="2075"/>
        <w:gridCol w:w="708"/>
        <w:gridCol w:w="709"/>
        <w:gridCol w:w="567"/>
        <w:gridCol w:w="851"/>
        <w:gridCol w:w="992"/>
        <w:gridCol w:w="992"/>
        <w:gridCol w:w="1559"/>
        <w:gridCol w:w="648"/>
      </w:tblGrid>
      <w:tr w:rsidR="0089664A" w:rsidRPr="0089664A" w14:paraId="47652ECA" w14:textId="77777777" w:rsidTr="0089664A">
        <w:trPr>
          <w:gridAfter w:val="1"/>
          <w:wAfter w:w="648" w:type="dxa"/>
          <w:trHeight w:val="1215"/>
        </w:trPr>
        <w:tc>
          <w:tcPr>
            <w:tcW w:w="614"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217077B" w14:textId="77777777" w:rsidR="0089664A" w:rsidRPr="0089664A" w:rsidRDefault="0089664A" w:rsidP="007F048D">
            <w:pPr>
              <w:jc w:val="center"/>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Red. br.</w:t>
            </w:r>
          </w:p>
        </w:tc>
        <w:tc>
          <w:tcPr>
            <w:tcW w:w="2075"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886DC5E" w14:textId="77777777" w:rsidR="0089664A" w:rsidRPr="0089664A" w:rsidRDefault="0089664A" w:rsidP="007F048D">
            <w:pPr>
              <w:jc w:val="center"/>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 xml:space="preserve">Naziv političke stranke </w:t>
            </w:r>
          </w:p>
        </w:tc>
        <w:tc>
          <w:tcPr>
            <w:tcW w:w="1984" w:type="dxa"/>
            <w:gridSpan w:val="3"/>
            <w:vMerge w:val="restart"/>
            <w:tcBorders>
              <w:top w:val="single" w:sz="4" w:space="0" w:color="auto"/>
              <w:left w:val="single" w:sz="4" w:space="0" w:color="auto"/>
              <w:bottom w:val="single" w:sz="4" w:space="0" w:color="000000"/>
              <w:right w:val="single" w:sz="4" w:space="0" w:color="000000"/>
            </w:tcBorders>
            <w:shd w:val="clear" w:color="000000" w:fill="BFBFBF"/>
            <w:vAlign w:val="center"/>
            <w:hideMark/>
          </w:tcPr>
          <w:p w14:paraId="58C0BE17" w14:textId="77777777" w:rsidR="0089664A" w:rsidRPr="0089664A" w:rsidRDefault="0089664A" w:rsidP="007F048D">
            <w:pPr>
              <w:jc w:val="center"/>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Broj vijećnika</w:t>
            </w:r>
          </w:p>
        </w:tc>
        <w:tc>
          <w:tcPr>
            <w:tcW w:w="2835" w:type="dxa"/>
            <w:gridSpan w:val="3"/>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5495E2E" w14:textId="77777777" w:rsidR="0089664A" w:rsidRPr="0089664A" w:rsidRDefault="0089664A" w:rsidP="007F048D">
            <w:pPr>
              <w:jc w:val="center"/>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 xml:space="preserve">Iznos raspoređenih sredstava za razdoblje 01.01. do 31.12.2024. godine temeljem Odluke Gradskog vijeća, KLASA:402-01/23-01/05,URBROJ:2103-4-01-23-1 od 13.12.2023. godine </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AAF0525" w14:textId="77777777" w:rsidR="0089664A" w:rsidRPr="0089664A" w:rsidRDefault="0089664A" w:rsidP="007F048D">
            <w:pPr>
              <w:jc w:val="center"/>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 xml:space="preserve">Ukupan iznos isplaćenih sredstava  </w:t>
            </w:r>
          </w:p>
        </w:tc>
      </w:tr>
      <w:tr w:rsidR="0089664A" w:rsidRPr="0089664A" w14:paraId="4ADE4D00" w14:textId="77777777" w:rsidTr="0089664A">
        <w:trPr>
          <w:trHeight w:val="300"/>
        </w:trPr>
        <w:tc>
          <w:tcPr>
            <w:tcW w:w="614" w:type="dxa"/>
            <w:vMerge/>
            <w:tcBorders>
              <w:top w:val="single" w:sz="4" w:space="0" w:color="auto"/>
              <w:left w:val="single" w:sz="4" w:space="0" w:color="auto"/>
              <w:bottom w:val="single" w:sz="4" w:space="0" w:color="auto"/>
              <w:right w:val="single" w:sz="4" w:space="0" w:color="auto"/>
            </w:tcBorders>
            <w:vAlign w:val="center"/>
            <w:hideMark/>
          </w:tcPr>
          <w:p w14:paraId="0FC0C6C4" w14:textId="77777777" w:rsidR="0089664A" w:rsidRPr="0089664A" w:rsidRDefault="0089664A" w:rsidP="007F048D">
            <w:pPr>
              <w:rPr>
                <w:rFonts w:ascii="Times New Roman" w:hAnsi="Times New Roman" w:cs="Times New Roman"/>
                <w:color w:val="000000"/>
                <w:sz w:val="20"/>
                <w:szCs w:val="20"/>
                <w:lang w:eastAsia="hr-HR"/>
              </w:rPr>
            </w:pPr>
          </w:p>
        </w:tc>
        <w:tc>
          <w:tcPr>
            <w:tcW w:w="2075" w:type="dxa"/>
            <w:vMerge/>
            <w:tcBorders>
              <w:top w:val="single" w:sz="4" w:space="0" w:color="auto"/>
              <w:left w:val="single" w:sz="4" w:space="0" w:color="auto"/>
              <w:bottom w:val="single" w:sz="4" w:space="0" w:color="auto"/>
              <w:right w:val="single" w:sz="4" w:space="0" w:color="auto"/>
            </w:tcBorders>
            <w:vAlign w:val="center"/>
            <w:hideMark/>
          </w:tcPr>
          <w:p w14:paraId="7195F656" w14:textId="77777777" w:rsidR="0089664A" w:rsidRPr="0089664A" w:rsidRDefault="0089664A" w:rsidP="007F048D">
            <w:pPr>
              <w:rPr>
                <w:rFonts w:ascii="Times New Roman" w:hAnsi="Times New Roman" w:cs="Times New Roman"/>
                <w:color w:val="000000"/>
                <w:sz w:val="20"/>
                <w:szCs w:val="20"/>
                <w:lang w:eastAsia="hr-HR"/>
              </w:rPr>
            </w:pPr>
          </w:p>
        </w:tc>
        <w:tc>
          <w:tcPr>
            <w:tcW w:w="1984" w:type="dxa"/>
            <w:gridSpan w:val="3"/>
            <w:vMerge/>
            <w:tcBorders>
              <w:top w:val="single" w:sz="4" w:space="0" w:color="auto"/>
              <w:left w:val="single" w:sz="4" w:space="0" w:color="auto"/>
              <w:bottom w:val="single" w:sz="4" w:space="0" w:color="000000"/>
              <w:right w:val="single" w:sz="4" w:space="0" w:color="000000"/>
            </w:tcBorders>
            <w:vAlign w:val="center"/>
            <w:hideMark/>
          </w:tcPr>
          <w:p w14:paraId="211836BB" w14:textId="77777777" w:rsidR="0089664A" w:rsidRPr="0089664A" w:rsidRDefault="0089664A" w:rsidP="007F048D">
            <w:pPr>
              <w:rPr>
                <w:rFonts w:ascii="Times New Roman" w:hAnsi="Times New Roman" w:cs="Times New Roman"/>
                <w:color w:val="000000"/>
                <w:sz w:val="20"/>
                <w:szCs w:val="20"/>
                <w:lang w:eastAsia="hr-HR"/>
              </w:rPr>
            </w:pPr>
          </w:p>
        </w:tc>
        <w:tc>
          <w:tcPr>
            <w:tcW w:w="2835" w:type="dxa"/>
            <w:gridSpan w:val="3"/>
            <w:vMerge/>
            <w:tcBorders>
              <w:top w:val="single" w:sz="4" w:space="0" w:color="auto"/>
              <w:left w:val="single" w:sz="4" w:space="0" w:color="auto"/>
              <w:bottom w:val="single" w:sz="4" w:space="0" w:color="auto"/>
              <w:right w:val="single" w:sz="4" w:space="0" w:color="auto"/>
            </w:tcBorders>
            <w:vAlign w:val="center"/>
            <w:hideMark/>
          </w:tcPr>
          <w:p w14:paraId="38F87695" w14:textId="77777777" w:rsidR="0089664A" w:rsidRPr="0089664A" w:rsidRDefault="0089664A" w:rsidP="007F048D">
            <w:pPr>
              <w:rPr>
                <w:rFonts w:ascii="Times New Roman" w:hAnsi="Times New Roman" w:cs="Times New Roman"/>
                <w:color w:val="000000"/>
                <w:sz w:val="20"/>
                <w:szCs w:val="20"/>
                <w:lang w:eastAsia="hr-HR"/>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EE9F305" w14:textId="77777777" w:rsidR="0089664A" w:rsidRPr="0089664A" w:rsidRDefault="0089664A" w:rsidP="007F048D">
            <w:pPr>
              <w:rPr>
                <w:rFonts w:ascii="Times New Roman" w:hAnsi="Times New Roman" w:cs="Times New Roman"/>
                <w:color w:val="000000"/>
                <w:sz w:val="20"/>
                <w:szCs w:val="20"/>
                <w:lang w:eastAsia="hr-HR"/>
              </w:rPr>
            </w:pPr>
          </w:p>
        </w:tc>
        <w:tc>
          <w:tcPr>
            <w:tcW w:w="648" w:type="dxa"/>
            <w:tcBorders>
              <w:top w:val="nil"/>
              <w:left w:val="nil"/>
              <w:bottom w:val="nil"/>
              <w:right w:val="nil"/>
            </w:tcBorders>
            <w:shd w:val="clear" w:color="auto" w:fill="auto"/>
            <w:noWrap/>
            <w:vAlign w:val="bottom"/>
            <w:hideMark/>
          </w:tcPr>
          <w:p w14:paraId="601CC5D4" w14:textId="77777777" w:rsidR="0089664A" w:rsidRPr="0089664A" w:rsidRDefault="0089664A" w:rsidP="007F048D">
            <w:pPr>
              <w:jc w:val="center"/>
              <w:rPr>
                <w:rFonts w:ascii="Times New Roman" w:hAnsi="Times New Roman" w:cs="Times New Roman"/>
                <w:color w:val="000000"/>
                <w:sz w:val="20"/>
                <w:szCs w:val="20"/>
                <w:lang w:eastAsia="hr-HR"/>
              </w:rPr>
            </w:pPr>
          </w:p>
        </w:tc>
      </w:tr>
      <w:tr w:rsidR="0089664A" w:rsidRPr="0089664A" w14:paraId="1E5CCE29" w14:textId="77777777" w:rsidTr="0089664A">
        <w:trPr>
          <w:trHeight w:val="810"/>
        </w:trPr>
        <w:tc>
          <w:tcPr>
            <w:tcW w:w="614" w:type="dxa"/>
            <w:vMerge/>
            <w:tcBorders>
              <w:top w:val="single" w:sz="4" w:space="0" w:color="auto"/>
              <w:left w:val="single" w:sz="4" w:space="0" w:color="auto"/>
              <w:bottom w:val="single" w:sz="4" w:space="0" w:color="auto"/>
              <w:right w:val="single" w:sz="4" w:space="0" w:color="auto"/>
            </w:tcBorders>
            <w:vAlign w:val="center"/>
            <w:hideMark/>
          </w:tcPr>
          <w:p w14:paraId="4D3CE3EC" w14:textId="77777777" w:rsidR="0089664A" w:rsidRPr="0089664A" w:rsidRDefault="0089664A" w:rsidP="007F048D">
            <w:pPr>
              <w:rPr>
                <w:rFonts w:ascii="Times New Roman" w:hAnsi="Times New Roman" w:cs="Times New Roman"/>
                <w:color w:val="000000"/>
                <w:sz w:val="20"/>
                <w:szCs w:val="20"/>
                <w:lang w:eastAsia="hr-HR"/>
              </w:rPr>
            </w:pPr>
          </w:p>
        </w:tc>
        <w:tc>
          <w:tcPr>
            <w:tcW w:w="2075" w:type="dxa"/>
            <w:vMerge/>
            <w:tcBorders>
              <w:top w:val="single" w:sz="4" w:space="0" w:color="auto"/>
              <w:left w:val="single" w:sz="4" w:space="0" w:color="auto"/>
              <w:bottom w:val="single" w:sz="4" w:space="0" w:color="auto"/>
              <w:right w:val="single" w:sz="4" w:space="0" w:color="auto"/>
            </w:tcBorders>
            <w:vAlign w:val="center"/>
            <w:hideMark/>
          </w:tcPr>
          <w:p w14:paraId="3400B64B" w14:textId="77777777" w:rsidR="0089664A" w:rsidRPr="0089664A" w:rsidRDefault="0089664A" w:rsidP="007F048D">
            <w:pPr>
              <w:rPr>
                <w:rFonts w:ascii="Times New Roman" w:hAnsi="Times New Roman" w:cs="Times New Roman"/>
                <w:color w:val="000000"/>
                <w:sz w:val="20"/>
                <w:szCs w:val="20"/>
                <w:lang w:eastAsia="hr-HR"/>
              </w:rPr>
            </w:pPr>
          </w:p>
        </w:tc>
        <w:tc>
          <w:tcPr>
            <w:tcW w:w="708" w:type="dxa"/>
            <w:tcBorders>
              <w:top w:val="nil"/>
              <w:left w:val="nil"/>
              <w:bottom w:val="single" w:sz="4" w:space="0" w:color="auto"/>
              <w:right w:val="single" w:sz="4" w:space="0" w:color="auto"/>
            </w:tcBorders>
            <w:shd w:val="clear" w:color="000000" w:fill="BFBFBF"/>
            <w:textDirection w:val="btLr"/>
            <w:vAlign w:val="center"/>
            <w:hideMark/>
          </w:tcPr>
          <w:p w14:paraId="1A5E21C2" w14:textId="77777777" w:rsidR="0089664A" w:rsidRPr="0089664A" w:rsidRDefault="0089664A" w:rsidP="007F048D">
            <w:pPr>
              <w:jc w:val="center"/>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žene</w:t>
            </w:r>
          </w:p>
        </w:tc>
        <w:tc>
          <w:tcPr>
            <w:tcW w:w="709" w:type="dxa"/>
            <w:tcBorders>
              <w:top w:val="nil"/>
              <w:left w:val="nil"/>
              <w:bottom w:val="single" w:sz="4" w:space="0" w:color="auto"/>
              <w:right w:val="single" w:sz="4" w:space="0" w:color="auto"/>
            </w:tcBorders>
            <w:shd w:val="clear" w:color="000000" w:fill="BFBFBF"/>
            <w:textDirection w:val="btLr"/>
            <w:vAlign w:val="center"/>
            <w:hideMark/>
          </w:tcPr>
          <w:p w14:paraId="2841C008" w14:textId="77777777" w:rsidR="0089664A" w:rsidRPr="0089664A" w:rsidRDefault="0089664A" w:rsidP="007F048D">
            <w:pPr>
              <w:jc w:val="center"/>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muškarci</w:t>
            </w:r>
          </w:p>
        </w:tc>
        <w:tc>
          <w:tcPr>
            <w:tcW w:w="567" w:type="dxa"/>
            <w:tcBorders>
              <w:top w:val="nil"/>
              <w:left w:val="nil"/>
              <w:bottom w:val="single" w:sz="4" w:space="0" w:color="auto"/>
              <w:right w:val="single" w:sz="4" w:space="0" w:color="auto"/>
            </w:tcBorders>
            <w:shd w:val="clear" w:color="000000" w:fill="BFBFBF"/>
            <w:textDirection w:val="btLr"/>
            <w:vAlign w:val="center"/>
            <w:hideMark/>
          </w:tcPr>
          <w:p w14:paraId="7D70C15A" w14:textId="77777777" w:rsidR="0089664A" w:rsidRPr="0089664A" w:rsidRDefault="0089664A" w:rsidP="007F048D">
            <w:pPr>
              <w:jc w:val="center"/>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ukupno</w:t>
            </w:r>
          </w:p>
        </w:tc>
        <w:tc>
          <w:tcPr>
            <w:tcW w:w="851" w:type="dxa"/>
            <w:tcBorders>
              <w:top w:val="nil"/>
              <w:left w:val="nil"/>
              <w:bottom w:val="single" w:sz="4" w:space="0" w:color="auto"/>
              <w:right w:val="single" w:sz="4" w:space="0" w:color="auto"/>
            </w:tcBorders>
            <w:shd w:val="clear" w:color="000000" w:fill="BFBFBF"/>
            <w:textDirection w:val="btLr"/>
            <w:vAlign w:val="center"/>
            <w:hideMark/>
          </w:tcPr>
          <w:p w14:paraId="69B6A0B7" w14:textId="77777777" w:rsidR="0089664A" w:rsidRPr="0089664A" w:rsidRDefault="0089664A" w:rsidP="007F048D">
            <w:pPr>
              <w:jc w:val="center"/>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žene</w:t>
            </w:r>
          </w:p>
        </w:tc>
        <w:tc>
          <w:tcPr>
            <w:tcW w:w="992" w:type="dxa"/>
            <w:tcBorders>
              <w:top w:val="nil"/>
              <w:left w:val="nil"/>
              <w:bottom w:val="single" w:sz="4" w:space="0" w:color="auto"/>
              <w:right w:val="single" w:sz="4" w:space="0" w:color="auto"/>
            </w:tcBorders>
            <w:shd w:val="clear" w:color="000000" w:fill="BFBFBF"/>
            <w:textDirection w:val="btLr"/>
            <w:vAlign w:val="center"/>
            <w:hideMark/>
          </w:tcPr>
          <w:p w14:paraId="1E40729C" w14:textId="77777777" w:rsidR="0089664A" w:rsidRPr="0089664A" w:rsidRDefault="0089664A" w:rsidP="007F048D">
            <w:pPr>
              <w:jc w:val="center"/>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muškarci</w:t>
            </w:r>
          </w:p>
        </w:tc>
        <w:tc>
          <w:tcPr>
            <w:tcW w:w="992" w:type="dxa"/>
            <w:tcBorders>
              <w:top w:val="nil"/>
              <w:left w:val="nil"/>
              <w:bottom w:val="single" w:sz="4" w:space="0" w:color="auto"/>
              <w:right w:val="single" w:sz="4" w:space="0" w:color="auto"/>
            </w:tcBorders>
            <w:shd w:val="clear" w:color="000000" w:fill="BFBFBF"/>
            <w:textDirection w:val="btLr"/>
            <w:vAlign w:val="center"/>
            <w:hideMark/>
          </w:tcPr>
          <w:p w14:paraId="29799441" w14:textId="77777777" w:rsidR="0089664A" w:rsidRPr="0089664A" w:rsidRDefault="0089664A" w:rsidP="007F048D">
            <w:pPr>
              <w:jc w:val="center"/>
              <w:rPr>
                <w:rFonts w:ascii="Times New Roman" w:hAnsi="Times New Roman" w:cs="Times New Roman"/>
                <w:b/>
                <w:bCs/>
                <w:color w:val="000000"/>
                <w:sz w:val="20"/>
                <w:szCs w:val="20"/>
                <w:lang w:eastAsia="hr-HR"/>
              </w:rPr>
            </w:pPr>
            <w:r w:rsidRPr="0089664A">
              <w:rPr>
                <w:rFonts w:ascii="Times New Roman" w:hAnsi="Times New Roman" w:cs="Times New Roman"/>
                <w:b/>
                <w:bCs/>
                <w:color w:val="000000"/>
                <w:sz w:val="20"/>
                <w:szCs w:val="20"/>
                <w:lang w:eastAsia="hr-HR"/>
              </w:rPr>
              <w:t>ukupno</w:t>
            </w:r>
          </w:p>
        </w:tc>
        <w:tc>
          <w:tcPr>
            <w:tcW w:w="1559" w:type="dxa"/>
            <w:tcBorders>
              <w:top w:val="nil"/>
              <w:left w:val="nil"/>
              <w:bottom w:val="single" w:sz="4" w:space="0" w:color="auto"/>
              <w:right w:val="single" w:sz="4" w:space="0" w:color="auto"/>
            </w:tcBorders>
            <w:shd w:val="clear" w:color="000000" w:fill="BFBFBF"/>
            <w:vAlign w:val="center"/>
            <w:hideMark/>
          </w:tcPr>
          <w:p w14:paraId="38394354" w14:textId="77777777" w:rsidR="0089664A" w:rsidRPr="0089664A" w:rsidRDefault="0089664A" w:rsidP="007F048D">
            <w:pPr>
              <w:jc w:val="center"/>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Razdoblje od 01.01. do 31.12.2024.</w:t>
            </w:r>
          </w:p>
        </w:tc>
        <w:tc>
          <w:tcPr>
            <w:tcW w:w="648" w:type="dxa"/>
            <w:vAlign w:val="center"/>
            <w:hideMark/>
          </w:tcPr>
          <w:p w14:paraId="07D8AC76" w14:textId="77777777" w:rsidR="0089664A" w:rsidRPr="0089664A" w:rsidRDefault="0089664A" w:rsidP="007F048D">
            <w:pPr>
              <w:rPr>
                <w:rFonts w:ascii="Times New Roman" w:hAnsi="Times New Roman" w:cs="Times New Roman"/>
                <w:sz w:val="20"/>
                <w:szCs w:val="20"/>
                <w:lang w:eastAsia="hr-HR"/>
              </w:rPr>
            </w:pPr>
          </w:p>
        </w:tc>
      </w:tr>
      <w:tr w:rsidR="0089664A" w:rsidRPr="0089664A" w14:paraId="3605CB6E" w14:textId="77777777" w:rsidTr="0089664A">
        <w:trPr>
          <w:trHeight w:val="499"/>
        </w:trPr>
        <w:tc>
          <w:tcPr>
            <w:tcW w:w="614" w:type="dxa"/>
            <w:tcBorders>
              <w:top w:val="nil"/>
              <w:left w:val="single" w:sz="4" w:space="0" w:color="auto"/>
              <w:bottom w:val="single" w:sz="4" w:space="0" w:color="auto"/>
              <w:right w:val="single" w:sz="4" w:space="0" w:color="auto"/>
            </w:tcBorders>
            <w:shd w:val="clear" w:color="auto" w:fill="auto"/>
            <w:vAlign w:val="center"/>
            <w:hideMark/>
          </w:tcPr>
          <w:p w14:paraId="695DC393" w14:textId="77777777" w:rsidR="0089664A" w:rsidRPr="0089664A" w:rsidRDefault="0089664A" w:rsidP="007F048D">
            <w:pPr>
              <w:jc w:val="center"/>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1.</w:t>
            </w:r>
          </w:p>
        </w:tc>
        <w:tc>
          <w:tcPr>
            <w:tcW w:w="2075" w:type="dxa"/>
            <w:tcBorders>
              <w:top w:val="nil"/>
              <w:left w:val="nil"/>
              <w:bottom w:val="single" w:sz="4" w:space="0" w:color="auto"/>
              <w:right w:val="single" w:sz="4" w:space="0" w:color="auto"/>
            </w:tcBorders>
            <w:shd w:val="clear" w:color="auto" w:fill="auto"/>
            <w:vAlign w:val="center"/>
            <w:hideMark/>
          </w:tcPr>
          <w:p w14:paraId="4D24BF95" w14:textId="77777777" w:rsidR="0089664A" w:rsidRPr="0089664A" w:rsidRDefault="0089664A" w:rsidP="007F048D">
            <w:pPr>
              <w:jc w:val="center"/>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Domovinski pokret</w:t>
            </w:r>
          </w:p>
        </w:tc>
        <w:tc>
          <w:tcPr>
            <w:tcW w:w="708" w:type="dxa"/>
            <w:tcBorders>
              <w:top w:val="nil"/>
              <w:left w:val="nil"/>
              <w:bottom w:val="single" w:sz="4" w:space="0" w:color="auto"/>
              <w:right w:val="single" w:sz="4" w:space="0" w:color="auto"/>
            </w:tcBorders>
            <w:shd w:val="clear" w:color="auto" w:fill="auto"/>
            <w:vAlign w:val="center"/>
            <w:hideMark/>
          </w:tcPr>
          <w:p w14:paraId="15D6A786" w14:textId="77777777" w:rsidR="0089664A" w:rsidRPr="0089664A" w:rsidRDefault="0089664A" w:rsidP="007F048D">
            <w:pPr>
              <w:jc w:val="center"/>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0</w:t>
            </w:r>
          </w:p>
        </w:tc>
        <w:tc>
          <w:tcPr>
            <w:tcW w:w="709" w:type="dxa"/>
            <w:tcBorders>
              <w:top w:val="nil"/>
              <w:left w:val="nil"/>
              <w:bottom w:val="single" w:sz="4" w:space="0" w:color="auto"/>
              <w:right w:val="single" w:sz="4" w:space="0" w:color="auto"/>
            </w:tcBorders>
            <w:shd w:val="clear" w:color="auto" w:fill="auto"/>
            <w:vAlign w:val="center"/>
            <w:hideMark/>
          </w:tcPr>
          <w:p w14:paraId="66E584D6" w14:textId="77777777" w:rsidR="0089664A" w:rsidRPr="0089664A" w:rsidRDefault="0089664A" w:rsidP="007F048D">
            <w:pPr>
              <w:jc w:val="center"/>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1</w:t>
            </w:r>
          </w:p>
        </w:tc>
        <w:tc>
          <w:tcPr>
            <w:tcW w:w="567" w:type="dxa"/>
            <w:tcBorders>
              <w:top w:val="nil"/>
              <w:left w:val="nil"/>
              <w:bottom w:val="single" w:sz="4" w:space="0" w:color="auto"/>
              <w:right w:val="single" w:sz="4" w:space="0" w:color="auto"/>
            </w:tcBorders>
            <w:shd w:val="clear" w:color="auto" w:fill="auto"/>
            <w:vAlign w:val="center"/>
            <w:hideMark/>
          </w:tcPr>
          <w:p w14:paraId="0E25F8B0" w14:textId="77777777" w:rsidR="0089664A" w:rsidRPr="0089664A" w:rsidRDefault="0089664A" w:rsidP="007F048D">
            <w:pPr>
              <w:jc w:val="center"/>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1</w:t>
            </w:r>
          </w:p>
        </w:tc>
        <w:tc>
          <w:tcPr>
            <w:tcW w:w="851" w:type="dxa"/>
            <w:tcBorders>
              <w:top w:val="nil"/>
              <w:left w:val="nil"/>
              <w:bottom w:val="single" w:sz="4" w:space="0" w:color="auto"/>
              <w:right w:val="single" w:sz="4" w:space="0" w:color="auto"/>
            </w:tcBorders>
            <w:shd w:val="clear" w:color="auto" w:fill="auto"/>
            <w:vAlign w:val="center"/>
            <w:hideMark/>
          </w:tcPr>
          <w:p w14:paraId="61C21D7A" w14:textId="77777777" w:rsidR="0089664A" w:rsidRPr="0089664A" w:rsidRDefault="0089664A" w:rsidP="007F048D">
            <w:pPr>
              <w:jc w:val="right"/>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0</w:t>
            </w:r>
          </w:p>
        </w:tc>
        <w:tc>
          <w:tcPr>
            <w:tcW w:w="992" w:type="dxa"/>
            <w:tcBorders>
              <w:top w:val="nil"/>
              <w:left w:val="nil"/>
              <w:bottom w:val="single" w:sz="4" w:space="0" w:color="auto"/>
              <w:right w:val="single" w:sz="4" w:space="0" w:color="auto"/>
            </w:tcBorders>
            <w:shd w:val="clear" w:color="auto" w:fill="auto"/>
            <w:vAlign w:val="center"/>
            <w:hideMark/>
          </w:tcPr>
          <w:p w14:paraId="6EF1AB3B" w14:textId="77777777" w:rsidR="0089664A" w:rsidRPr="0089664A" w:rsidRDefault="0089664A" w:rsidP="007F048D">
            <w:pPr>
              <w:jc w:val="right"/>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265,60</w:t>
            </w:r>
          </w:p>
        </w:tc>
        <w:tc>
          <w:tcPr>
            <w:tcW w:w="992" w:type="dxa"/>
            <w:tcBorders>
              <w:top w:val="nil"/>
              <w:left w:val="nil"/>
              <w:bottom w:val="single" w:sz="4" w:space="0" w:color="auto"/>
              <w:right w:val="single" w:sz="4" w:space="0" w:color="auto"/>
            </w:tcBorders>
            <w:shd w:val="clear" w:color="auto" w:fill="auto"/>
            <w:vAlign w:val="center"/>
            <w:hideMark/>
          </w:tcPr>
          <w:p w14:paraId="4842F570" w14:textId="77777777" w:rsidR="0089664A" w:rsidRPr="0089664A" w:rsidRDefault="0089664A" w:rsidP="007F048D">
            <w:pPr>
              <w:jc w:val="right"/>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265,60</w:t>
            </w:r>
          </w:p>
        </w:tc>
        <w:tc>
          <w:tcPr>
            <w:tcW w:w="1559" w:type="dxa"/>
            <w:tcBorders>
              <w:top w:val="nil"/>
              <w:left w:val="nil"/>
              <w:bottom w:val="single" w:sz="4" w:space="0" w:color="auto"/>
              <w:right w:val="single" w:sz="4" w:space="0" w:color="auto"/>
            </w:tcBorders>
            <w:shd w:val="clear" w:color="auto" w:fill="auto"/>
            <w:vAlign w:val="center"/>
            <w:hideMark/>
          </w:tcPr>
          <w:p w14:paraId="4BCE9F08" w14:textId="77777777" w:rsidR="0089664A" w:rsidRPr="0089664A" w:rsidRDefault="0089664A" w:rsidP="007F048D">
            <w:pPr>
              <w:jc w:val="right"/>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265,60</w:t>
            </w:r>
          </w:p>
        </w:tc>
        <w:tc>
          <w:tcPr>
            <w:tcW w:w="648" w:type="dxa"/>
            <w:vAlign w:val="center"/>
            <w:hideMark/>
          </w:tcPr>
          <w:p w14:paraId="50B7CB79" w14:textId="77777777" w:rsidR="0089664A" w:rsidRPr="0089664A" w:rsidRDefault="0089664A" w:rsidP="007F048D">
            <w:pPr>
              <w:rPr>
                <w:rFonts w:ascii="Times New Roman" w:hAnsi="Times New Roman" w:cs="Times New Roman"/>
                <w:sz w:val="20"/>
                <w:szCs w:val="20"/>
                <w:lang w:eastAsia="hr-HR"/>
              </w:rPr>
            </w:pPr>
          </w:p>
        </w:tc>
      </w:tr>
      <w:tr w:rsidR="0089664A" w:rsidRPr="0089664A" w14:paraId="279A951E" w14:textId="77777777" w:rsidTr="0089664A">
        <w:trPr>
          <w:trHeight w:val="499"/>
        </w:trPr>
        <w:tc>
          <w:tcPr>
            <w:tcW w:w="614" w:type="dxa"/>
            <w:tcBorders>
              <w:top w:val="nil"/>
              <w:left w:val="single" w:sz="4" w:space="0" w:color="auto"/>
              <w:bottom w:val="single" w:sz="4" w:space="0" w:color="auto"/>
              <w:right w:val="single" w:sz="4" w:space="0" w:color="auto"/>
            </w:tcBorders>
            <w:shd w:val="clear" w:color="auto" w:fill="auto"/>
            <w:vAlign w:val="center"/>
            <w:hideMark/>
          </w:tcPr>
          <w:p w14:paraId="175A1913" w14:textId="77777777" w:rsidR="0089664A" w:rsidRPr="0089664A" w:rsidRDefault="0089664A" w:rsidP="007F048D">
            <w:pPr>
              <w:jc w:val="center"/>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2.</w:t>
            </w:r>
          </w:p>
        </w:tc>
        <w:tc>
          <w:tcPr>
            <w:tcW w:w="2075" w:type="dxa"/>
            <w:tcBorders>
              <w:top w:val="nil"/>
              <w:left w:val="nil"/>
              <w:bottom w:val="single" w:sz="4" w:space="0" w:color="auto"/>
              <w:right w:val="single" w:sz="4" w:space="0" w:color="auto"/>
            </w:tcBorders>
            <w:shd w:val="clear" w:color="auto" w:fill="auto"/>
            <w:vAlign w:val="center"/>
            <w:hideMark/>
          </w:tcPr>
          <w:p w14:paraId="7680A6C5" w14:textId="77777777" w:rsidR="0089664A" w:rsidRPr="0089664A" w:rsidRDefault="0089664A" w:rsidP="007F048D">
            <w:pPr>
              <w:jc w:val="center"/>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Hrvatska demokratska zajednica</w:t>
            </w:r>
          </w:p>
        </w:tc>
        <w:tc>
          <w:tcPr>
            <w:tcW w:w="708" w:type="dxa"/>
            <w:tcBorders>
              <w:top w:val="nil"/>
              <w:left w:val="nil"/>
              <w:bottom w:val="single" w:sz="4" w:space="0" w:color="auto"/>
              <w:right w:val="single" w:sz="4" w:space="0" w:color="auto"/>
            </w:tcBorders>
            <w:shd w:val="clear" w:color="auto" w:fill="auto"/>
            <w:vAlign w:val="center"/>
            <w:hideMark/>
          </w:tcPr>
          <w:p w14:paraId="408ACE99" w14:textId="77777777" w:rsidR="0089664A" w:rsidRPr="0089664A" w:rsidRDefault="0089664A" w:rsidP="007F048D">
            <w:pPr>
              <w:jc w:val="center"/>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3</w:t>
            </w:r>
          </w:p>
        </w:tc>
        <w:tc>
          <w:tcPr>
            <w:tcW w:w="709" w:type="dxa"/>
            <w:tcBorders>
              <w:top w:val="nil"/>
              <w:left w:val="nil"/>
              <w:bottom w:val="single" w:sz="4" w:space="0" w:color="auto"/>
              <w:right w:val="single" w:sz="4" w:space="0" w:color="auto"/>
            </w:tcBorders>
            <w:shd w:val="clear" w:color="auto" w:fill="auto"/>
            <w:vAlign w:val="center"/>
            <w:hideMark/>
          </w:tcPr>
          <w:p w14:paraId="2824A750" w14:textId="77777777" w:rsidR="0089664A" w:rsidRPr="0089664A" w:rsidRDefault="0089664A" w:rsidP="007F048D">
            <w:pPr>
              <w:jc w:val="center"/>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4</w:t>
            </w:r>
          </w:p>
        </w:tc>
        <w:tc>
          <w:tcPr>
            <w:tcW w:w="567" w:type="dxa"/>
            <w:tcBorders>
              <w:top w:val="nil"/>
              <w:left w:val="nil"/>
              <w:bottom w:val="single" w:sz="4" w:space="0" w:color="auto"/>
              <w:right w:val="single" w:sz="4" w:space="0" w:color="auto"/>
            </w:tcBorders>
            <w:shd w:val="clear" w:color="auto" w:fill="auto"/>
            <w:vAlign w:val="center"/>
            <w:hideMark/>
          </w:tcPr>
          <w:p w14:paraId="213378D6" w14:textId="77777777" w:rsidR="0089664A" w:rsidRPr="0089664A" w:rsidRDefault="0089664A" w:rsidP="007F048D">
            <w:pPr>
              <w:jc w:val="center"/>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7</w:t>
            </w:r>
          </w:p>
        </w:tc>
        <w:tc>
          <w:tcPr>
            <w:tcW w:w="851" w:type="dxa"/>
            <w:tcBorders>
              <w:top w:val="nil"/>
              <w:left w:val="nil"/>
              <w:bottom w:val="single" w:sz="4" w:space="0" w:color="auto"/>
              <w:right w:val="single" w:sz="4" w:space="0" w:color="auto"/>
            </w:tcBorders>
            <w:shd w:val="clear" w:color="auto" w:fill="auto"/>
            <w:vAlign w:val="center"/>
            <w:hideMark/>
          </w:tcPr>
          <w:p w14:paraId="4EAF7C3D" w14:textId="77777777" w:rsidR="0089664A" w:rsidRPr="0089664A" w:rsidRDefault="0089664A" w:rsidP="007F048D">
            <w:pPr>
              <w:jc w:val="right"/>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876,48</w:t>
            </w:r>
          </w:p>
        </w:tc>
        <w:tc>
          <w:tcPr>
            <w:tcW w:w="992" w:type="dxa"/>
            <w:tcBorders>
              <w:top w:val="nil"/>
              <w:left w:val="nil"/>
              <w:bottom w:val="single" w:sz="4" w:space="0" w:color="auto"/>
              <w:right w:val="single" w:sz="4" w:space="0" w:color="auto"/>
            </w:tcBorders>
            <w:shd w:val="clear" w:color="auto" w:fill="auto"/>
            <w:vAlign w:val="center"/>
            <w:hideMark/>
          </w:tcPr>
          <w:p w14:paraId="3D3E097A" w14:textId="77777777" w:rsidR="0089664A" w:rsidRPr="0089664A" w:rsidRDefault="0089664A" w:rsidP="007F048D">
            <w:pPr>
              <w:jc w:val="right"/>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1.062,40</w:t>
            </w:r>
          </w:p>
        </w:tc>
        <w:tc>
          <w:tcPr>
            <w:tcW w:w="992" w:type="dxa"/>
            <w:tcBorders>
              <w:top w:val="nil"/>
              <w:left w:val="nil"/>
              <w:bottom w:val="single" w:sz="4" w:space="0" w:color="auto"/>
              <w:right w:val="single" w:sz="4" w:space="0" w:color="auto"/>
            </w:tcBorders>
            <w:shd w:val="clear" w:color="auto" w:fill="auto"/>
            <w:vAlign w:val="center"/>
            <w:hideMark/>
          </w:tcPr>
          <w:p w14:paraId="0FFE5495" w14:textId="77777777" w:rsidR="0089664A" w:rsidRPr="0089664A" w:rsidRDefault="0089664A" w:rsidP="007F048D">
            <w:pPr>
              <w:jc w:val="right"/>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1.938,88</w:t>
            </w:r>
          </w:p>
        </w:tc>
        <w:tc>
          <w:tcPr>
            <w:tcW w:w="1559" w:type="dxa"/>
            <w:tcBorders>
              <w:top w:val="nil"/>
              <w:left w:val="nil"/>
              <w:bottom w:val="single" w:sz="4" w:space="0" w:color="auto"/>
              <w:right w:val="single" w:sz="4" w:space="0" w:color="auto"/>
            </w:tcBorders>
            <w:shd w:val="clear" w:color="auto" w:fill="auto"/>
            <w:vAlign w:val="center"/>
            <w:hideMark/>
          </w:tcPr>
          <w:p w14:paraId="2AFF81A4" w14:textId="77777777" w:rsidR="0089664A" w:rsidRPr="0089664A" w:rsidRDefault="0089664A" w:rsidP="007F048D">
            <w:pPr>
              <w:jc w:val="right"/>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1.938,88</w:t>
            </w:r>
          </w:p>
        </w:tc>
        <w:tc>
          <w:tcPr>
            <w:tcW w:w="648" w:type="dxa"/>
            <w:vAlign w:val="center"/>
            <w:hideMark/>
          </w:tcPr>
          <w:p w14:paraId="271D3C2F" w14:textId="77777777" w:rsidR="0089664A" w:rsidRPr="0089664A" w:rsidRDefault="0089664A" w:rsidP="007F048D">
            <w:pPr>
              <w:rPr>
                <w:rFonts w:ascii="Times New Roman" w:hAnsi="Times New Roman" w:cs="Times New Roman"/>
                <w:sz w:val="20"/>
                <w:szCs w:val="20"/>
                <w:lang w:eastAsia="hr-HR"/>
              </w:rPr>
            </w:pPr>
          </w:p>
        </w:tc>
      </w:tr>
      <w:tr w:rsidR="0089664A" w:rsidRPr="0089664A" w14:paraId="5969B63D" w14:textId="77777777" w:rsidTr="0089664A">
        <w:trPr>
          <w:trHeight w:val="499"/>
        </w:trPr>
        <w:tc>
          <w:tcPr>
            <w:tcW w:w="614" w:type="dxa"/>
            <w:tcBorders>
              <w:top w:val="nil"/>
              <w:left w:val="single" w:sz="4" w:space="0" w:color="auto"/>
              <w:bottom w:val="single" w:sz="4" w:space="0" w:color="auto"/>
              <w:right w:val="single" w:sz="4" w:space="0" w:color="auto"/>
            </w:tcBorders>
            <w:shd w:val="clear" w:color="auto" w:fill="auto"/>
            <w:vAlign w:val="center"/>
            <w:hideMark/>
          </w:tcPr>
          <w:p w14:paraId="705762A8" w14:textId="77777777" w:rsidR="0089664A" w:rsidRPr="0089664A" w:rsidRDefault="0089664A" w:rsidP="007F048D">
            <w:pPr>
              <w:jc w:val="center"/>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3.</w:t>
            </w:r>
          </w:p>
        </w:tc>
        <w:tc>
          <w:tcPr>
            <w:tcW w:w="2075" w:type="dxa"/>
            <w:tcBorders>
              <w:top w:val="nil"/>
              <w:left w:val="nil"/>
              <w:bottom w:val="single" w:sz="4" w:space="0" w:color="auto"/>
              <w:right w:val="single" w:sz="4" w:space="0" w:color="auto"/>
            </w:tcBorders>
            <w:shd w:val="clear" w:color="auto" w:fill="auto"/>
            <w:vAlign w:val="center"/>
            <w:hideMark/>
          </w:tcPr>
          <w:p w14:paraId="6370C12A" w14:textId="77777777" w:rsidR="0089664A" w:rsidRPr="0089664A" w:rsidRDefault="0089664A" w:rsidP="007F048D">
            <w:pPr>
              <w:jc w:val="center"/>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Hrvatsko socijalno -liberalna stranka</w:t>
            </w:r>
          </w:p>
        </w:tc>
        <w:tc>
          <w:tcPr>
            <w:tcW w:w="708" w:type="dxa"/>
            <w:tcBorders>
              <w:top w:val="nil"/>
              <w:left w:val="nil"/>
              <w:bottom w:val="single" w:sz="4" w:space="0" w:color="auto"/>
              <w:right w:val="single" w:sz="4" w:space="0" w:color="auto"/>
            </w:tcBorders>
            <w:shd w:val="clear" w:color="auto" w:fill="auto"/>
            <w:vAlign w:val="center"/>
            <w:hideMark/>
          </w:tcPr>
          <w:p w14:paraId="77AF4517" w14:textId="77777777" w:rsidR="0089664A" w:rsidRPr="0089664A" w:rsidRDefault="0089664A" w:rsidP="007F048D">
            <w:pPr>
              <w:jc w:val="center"/>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0</w:t>
            </w:r>
          </w:p>
        </w:tc>
        <w:tc>
          <w:tcPr>
            <w:tcW w:w="709" w:type="dxa"/>
            <w:tcBorders>
              <w:top w:val="nil"/>
              <w:left w:val="nil"/>
              <w:bottom w:val="single" w:sz="4" w:space="0" w:color="auto"/>
              <w:right w:val="single" w:sz="4" w:space="0" w:color="auto"/>
            </w:tcBorders>
            <w:shd w:val="clear" w:color="auto" w:fill="auto"/>
            <w:vAlign w:val="center"/>
            <w:hideMark/>
          </w:tcPr>
          <w:p w14:paraId="19FA8595" w14:textId="77777777" w:rsidR="0089664A" w:rsidRPr="0089664A" w:rsidRDefault="0089664A" w:rsidP="007F048D">
            <w:pPr>
              <w:jc w:val="center"/>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1</w:t>
            </w:r>
          </w:p>
        </w:tc>
        <w:tc>
          <w:tcPr>
            <w:tcW w:w="567" w:type="dxa"/>
            <w:tcBorders>
              <w:top w:val="nil"/>
              <w:left w:val="nil"/>
              <w:bottom w:val="single" w:sz="4" w:space="0" w:color="auto"/>
              <w:right w:val="single" w:sz="4" w:space="0" w:color="auto"/>
            </w:tcBorders>
            <w:shd w:val="clear" w:color="auto" w:fill="auto"/>
            <w:vAlign w:val="center"/>
            <w:hideMark/>
          </w:tcPr>
          <w:p w14:paraId="3AE37348" w14:textId="77777777" w:rsidR="0089664A" w:rsidRPr="0089664A" w:rsidRDefault="0089664A" w:rsidP="007F048D">
            <w:pPr>
              <w:jc w:val="center"/>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1</w:t>
            </w:r>
          </w:p>
        </w:tc>
        <w:tc>
          <w:tcPr>
            <w:tcW w:w="851" w:type="dxa"/>
            <w:tcBorders>
              <w:top w:val="nil"/>
              <w:left w:val="nil"/>
              <w:bottom w:val="single" w:sz="4" w:space="0" w:color="auto"/>
              <w:right w:val="single" w:sz="4" w:space="0" w:color="auto"/>
            </w:tcBorders>
            <w:shd w:val="clear" w:color="auto" w:fill="auto"/>
            <w:vAlign w:val="center"/>
            <w:hideMark/>
          </w:tcPr>
          <w:p w14:paraId="42CA55F1" w14:textId="77777777" w:rsidR="0089664A" w:rsidRPr="0089664A" w:rsidRDefault="0089664A" w:rsidP="007F048D">
            <w:pPr>
              <w:jc w:val="right"/>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0</w:t>
            </w:r>
          </w:p>
        </w:tc>
        <w:tc>
          <w:tcPr>
            <w:tcW w:w="992" w:type="dxa"/>
            <w:tcBorders>
              <w:top w:val="nil"/>
              <w:left w:val="nil"/>
              <w:bottom w:val="single" w:sz="4" w:space="0" w:color="auto"/>
              <w:right w:val="single" w:sz="4" w:space="0" w:color="auto"/>
            </w:tcBorders>
            <w:shd w:val="clear" w:color="auto" w:fill="auto"/>
            <w:vAlign w:val="center"/>
          </w:tcPr>
          <w:p w14:paraId="674FCEA6" w14:textId="77777777" w:rsidR="0089664A" w:rsidRPr="0089664A" w:rsidRDefault="0089664A" w:rsidP="007F048D">
            <w:pPr>
              <w:jc w:val="right"/>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265,60</w:t>
            </w:r>
          </w:p>
        </w:tc>
        <w:tc>
          <w:tcPr>
            <w:tcW w:w="992" w:type="dxa"/>
            <w:tcBorders>
              <w:top w:val="nil"/>
              <w:left w:val="nil"/>
              <w:bottom w:val="single" w:sz="4" w:space="0" w:color="auto"/>
              <w:right w:val="single" w:sz="4" w:space="0" w:color="auto"/>
            </w:tcBorders>
            <w:shd w:val="clear" w:color="auto" w:fill="auto"/>
            <w:vAlign w:val="center"/>
          </w:tcPr>
          <w:p w14:paraId="7BB796CF" w14:textId="77777777" w:rsidR="0089664A" w:rsidRPr="0089664A" w:rsidRDefault="0089664A" w:rsidP="007F048D">
            <w:pPr>
              <w:jc w:val="right"/>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265,60</w:t>
            </w:r>
          </w:p>
        </w:tc>
        <w:tc>
          <w:tcPr>
            <w:tcW w:w="1559" w:type="dxa"/>
            <w:tcBorders>
              <w:top w:val="nil"/>
              <w:left w:val="nil"/>
              <w:bottom w:val="single" w:sz="4" w:space="0" w:color="auto"/>
              <w:right w:val="single" w:sz="4" w:space="0" w:color="auto"/>
            </w:tcBorders>
            <w:shd w:val="clear" w:color="auto" w:fill="auto"/>
            <w:vAlign w:val="center"/>
          </w:tcPr>
          <w:p w14:paraId="4D21819A" w14:textId="77777777" w:rsidR="0089664A" w:rsidRPr="0089664A" w:rsidRDefault="0089664A" w:rsidP="007F048D">
            <w:pPr>
              <w:jc w:val="right"/>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265,60</w:t>
            </w:r>
          </w:p>
        </w:tc>
        <w:tc>
          <w:tcPr>
            <w:tcW w:w="648" w:type="dxa"/>
            <w:vAlign w:val="center"/>
            <w:hideMark/>
          </w:tcPr>
          <w:p w14:paraId="1975DB45" w14:textId="77777777" w:rsidR="0089664A" w:rsidRPr="0089664A" w:rsidRDefault="0089664A" w:rsidP="007F048D">
            <w:pPr>
              <w:rPr>
                <w:rFonts w:ascii="Times New Roman" w:hAnsi="Times New Roman" w:cs="Times New Roman"/>
                <w:sz w:val="20"/>
                <w:szCs w:val="20"/>
                <w:lang w:eastAsia="hr-HR"/>
              </w:rPr>
            </w:pPr>
          </w:p>
        </w:tc>
      </w:tr>
      <w:tr w:rsidR="0089664A" w:rsidRPr="0089664A" w14:paraId="3CAFEDD3" w14:textId="77777777" w:rsidTr="0089664A">
        <w:trPr>
          <w:trHeight w:val="499"/>
        </w:trPr>
        <w:tc>
          <w:tcPr>
            <w:tcW w:w="614" w:type="dxa"/>
            <w:tcBorders>
              <w:top w:val="nil"/>
              <w:left w:val="single" w:sz="4" w:space="0" w:color="auto"/>
              <w:bottom w:val="single" w:sz="4" w:space="0" w:color="auto"/>
              <w:right w:val="single" w:sz="4" w:space="0" w:color="auto"/>
            </w:tcBorders>
            <w:shd w:val="clear" w:color="auto" w:fill="auto"/>
            <w:vAlign w:val="center"/>
            <w:hideMark/>
          </w:tcPr>
          <w:p w14:paraId="478129A3" w14:textId="77777777" w:rsidR="0089664A" w:rsidRPr="0089664A" w:rsidRDefault="0089664A" w:rsidP="007F048D">
            <w:pPr>
              <w:jc w:val="center"/>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4.</w:t>
            </w:r>
          </w:p>
        </w:tc>
        <w:tc>
          <w:tcPr>
            <w:tcW w:w="2075" w:type="dxa"/>
            <w:tcBorders>
              <w:top w:val="nil"/>
              <w:left w:val="nil"/>
              <w:bottom w:val="single" w:sz="4" w:space="0" w:color="auto"/>
              <w:right w:val="single" w:sz="4" w:space="0" w:color="auto"/>
            </w:tcBorders>
            <w:shd w:val="clear" w:color="auto" w:fill="auto"/>
            <w:vAlign w:val="center"/>
            <w:hideMark/>
          </w:tcPr>
          <w:p w14:paraId="41272623" w14:textId="77777777" w:rsidR="0089664A" w:rsidRPr="0089664A" w:rsidRDefault="0089664A" w:rsidP="007F048D">
            <w:pPr>
              <w:jc w:val="center"/>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Hrvatska stranka prava</w:t>
            </w:r>
          </w:p>
        </w:tc>
        <w:tc>
          <w:tcPr>
            <w:tcW w:w="708" w:type="dxa"/>
            <w:tcBorders>
              <w:top w:val="nil"/>
              <w:left w:val="nil"/>
              <w:bottom w:val="single" w:sz="4" w:space="0" w:color="auto"/>
              <w:right w:val="single" w:sz="4" w:space="0" w:color="auto"/>
            </w:tcBorders>
            <w:shd w:val="clear" w:color="auto" w:fill="auto"/>
            <w:vAlign w:val="center"/>
            <w:hideMark/>
          </w:tcPr>
          <w:p w14:paraId="15EED0FA" w14:textId="77777777" w:rsidR="0089664A" w:rsidRPr="0089664A" w:rsidRDefault="0089664A" w:rsidP="007F048D">
            <w:pPr>
              <w:jc w:val="center"/>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0</w:t>
            </w:r>
          </w:p>
        </w:tc>
        <w:tc>
          <w:tcPr>
            <w:tcW w:w="709" w:type="dxa"/>
            <w:tcBorders>
              <w:top w:val="nil"/>
              <w:left w:val="nil"/>
              <w:bottom w:val="single" w:sz="4" w:space="0" w:color="auto"/>
              <w:right w:val="single" w:sz="4" w:space="0" w:color="auto"/>
            </w:tcBorders>
            <w:shd w:val="clear" w:color="auto" w:fill="auto"/>
            <w:vAlign w:val="center"/>
            <w:hideMark/>
          </w:tcPr>
          <w:p w14:paraId="05D3CC82" w14:textId="77777777" w:rsidR="0089664A" w:rsidRPr="0089664A" w:rsidRDefault="0089664A" w:rsidP="007F048D">
            <w:pPr>
              <w:jc w:val="center"/>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1</w:t>
            </w:r>
          </w:p>
        </w:tc>
        <w:tc>
          <w:tcPr>
            <w:tcW w:w="567" w:type="dxa"/>
            <w:tcBorders>
              <w:top w:val="nil"/>
              <w:left w:val="nil"/>
              <w:bottom w:val="single" w:sz="4" w:space="0" w:color="auto"/>
              <w:right w:val="single" w:sz="4" w:space="0" w:color="auto"/>
            </w:tcBorders>
            <w:shd w:val="clear" w:color="auto" w:fill="auto"/>
            <w:vAlign w:val="center"/>
            <w:hideMark/>
          </w:tcPr>
          <w:p w14:paraId="295947DB" w14:textId="77777777" w:rsidR="0089664A" w:rsidRPr="0089664A" w:rsidRDefault="0089664A" w:rsidP="007F048D">
            <w:pPr>
              <w:jc w:val="center"/>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1</w:t>
            </w:r>
          </w:p>
        </w:tc>
        <w:tc>
          <w:tcPr>
            <w:tcW w:w="851" w:type="dxa"/>
            <w:tcBorders>
              <w:top w:val="nil"/>
              <w:left w:val="nil"/>
              <w:bottom w:val="single" w:sz="4" w:space="0" w:color="auto"/>
              <w:right w:val="single" w:sz="4" w:space="0" w:color="auto"/>
            </w:tcBorders>
            <w:shd w:val="clear" w:color="auto" w:fill="auto"/>
            <w:vAlign w:val="center"/>
            <w:hideMark/>
          </w:tcPr>
          <w:p w14:paraId="612671FA" w14:textId="77777777" w:rsidR="0089664A" w:rsidRPr="0089664A" w:rsidRDefault="0089664A" w:rsidP="007F048D">
            <w:pPr>
              <w:jc w:val="right"/>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0</w:t>
            </w:r>
          </w:p>
        </w:tc>
        <w:tc>
          <w:tcPr>
            <w:tcW w:w="992" w:type="dxa"/>
            <w:tcBorders>
              <w:top w:val="nil"/>
              <w:left w:val="nil"/>
              <w:bottom w:val="single" w:sz="4" w:space="0" w:color="auto"/>
              <w:right w:val="single" w:sz="4" w:space="0" w:color="auto"/>
            </w:tcBorders>
            <w:shd w:val="clear" w:color="auto" w:fill="auto"/>
            <w:vAlign w:val="center"/>
          </w:tcPr>
          <w:p w14:paraId="1AEF605C" w14:textId="77777777" w:rsidR="0089664A" w:rsidRPr="0089664A" w:rsidRDefault="0089664A" w:rsidP="007F048D">
            <w:pPr>
              <w:jc w:val="right"/>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265,60</w:t>
            </w:r>
          </w:p>
        </w:tc>
        <w:tc>
          <w:tcPr>
            <w:tcW w:w="992" w:type="dxa"/>
            <w:tcBorders>
              <w:top w:val="nil"/>
              <w:left w:val="nil"/>
              <w:bottom w:val="single" w:sz="4" w:space="0" w:color="auto"/>
              <w:right w:val="single" w:sz="4" w:space="0" w:color="auto"/>
            </w:tcBorders>
            <w:shd w:val="clear" w:color="auto" w:fill="auto"/>
            <w:vAlign w:val="center"/>
          </w:tcPr>
          <w:p w14:paraId="6C506969" w14:textId="77777777" w:rsidR="0089664A" w:rsidRPr="0089664A" w:rsidRDefault="0089664A" w:rsidP="007F048D">
            <w:pPr>
              <w:jc w:val="right"/>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265,60</w:t>
            </w:r>
          </w:p>
        </w:tc>
        <w:tc>
          <w:tcPr>
            <w:tcW w:w="1559" w:type="dxa"/>
            <w:tcBorders>
              <w:top w:val="nil"/>
              <w:left w:val="nil"/>
              <w:bottom w:val="single" w:sz="4" w:space="0" w:color="auto"/>
              <w:right w:val="single" w:sz="4" w:space="0" w:color="auto"/>
            </w:tcBorders>
            <w:shd w:val="clear" w:color="auto" w:fill="auto"/>
            <w:vAlign w:val="center"/>
          </w:tcPr>
          <w:p w14:paraId="63E8BFA1" w14:textId="77777777" w:rsidR="0089664A" w:rsidRPr="0089664A" w:rsidRDefault="0089664A" w:rsidP="007F048D">
            <w:pPr>
              <w:jc w:val="right"/>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265,60</w:t>
            </w:r>
          </w:p>
        </w:tc>
        <w:tc>
          <w:tcPr>
            <w:tcW w:w="648" w:type="dxa"/>
            <w:vAlign w:val="center"/>
            <w:hideMark/>
          </w:tcPr>
          <w:p w14:paraId="730C5F46" w14:textId="77777777" w:rsidR="0089664A" w:rsidRPr="0089664A" w:rsidRDefault="0089664A" w:rsidP="007F048D">
            <w:pPr>
              <w:rPr>
                <w:rFonts w:ascii="Times New Roman" w:hAnsi="Times New Roman" w:cs="Times New Roman"/>
                <w:sz w:val="20"/>
                <w:szCs w:val="20"/>
                <w:lang w:eastAsia="hr-HR"/>
              </w:rPr>
            </w:pPr>
          </w:p>
        </w:tc>
      </w:tr>
      <w:tr w:rsidR="0089664A" w:rsidRPr="0089664A" w14:paraId="0F63030F" w14:textId="77777777" w:rsidTr="0089664A">
        <w:trPr>
          <w:trHeight w:val="499"/>
        </w:trPr>
        <w:tc>
          <w:tcPr>
            <w:tcW w:w="614" w:type="dxa"/>
            <w:tcBorders>
              <w:top w:val="nil"/>
              <w:left w:val="single" w:sz="4" w:space="0" w:color="auto"/>
              <w:bottom w:val="single" w:sz="4" w:space="0" w:color="auto"/>
              <w:right w:val="single" w:sz="4" w:space="0" w:color="auto"/>
            </w:tcBorders>
            <w:shd w:val="clear" w:color="auto" w:fill="auto"/>
            <w:vAlign w:val="center"/>
            <w:hideMark/>
          </w:tcPr>
          <w:p w14:paraId="444398FC" w14:textId="77777777" w:rsidR="0089664A" w:rsidRPr="0089664A" w:rsidRDefault="0089664A" w:rsidP="007F048D">
            <w:pPr>
              <w:jc w:val="center"/>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5.</w:t>
            </w:r>
          </w:p>
        </w:tc>
        <w:tc>
          <w:tcPr>
            <w:tcW w:w="2075" w:type="dxa"/>
            <w:tcBorders>
              <w:top w:val="nil"/>
              <w:left w:val="nil"/>
              <w:bottom w:val="single" w:sz="4" w:space="0" w:color="auto"/>
              <w:right w:val="single" w:sz="4" w:space="0" w:color="auto"/>
            </w:tcBorders>
            <w:shd w:val="clear" w:color="auto" w:fill="auto"/>
            <w:vAlign w:val="center"/>
            <w:hideMark/>
          </w:tcPr>
          <w:p w14:paraId="7050D383" w14:textId="77777777" w:rsidR="0089664A" w:rsidRPr="0089664A" w:rsidRDefault="0089664A" w:rsidP="007F048D">
            <w:pPr>
              <w:jc w:val="center"/>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Hrvatska stranka umirovljenika</w:t>
            </w:r>
          </w:p>
        </w:tc>
        <w:tc>
          <w:tcPr>
            <w:tcW w:w="708" w:type="dxa"/>
            <w:tcBorders>
              <w:top w:val="nil"/>
              <w:left w:val="nil"/>
              <w:bottom w:val="single" w:sz="4" w:space="0" w:color="auto"/>
              <w:right w:val="single" w:sz="4" w:space="0" w:color="auto"/>
            </w:tcBorders>
            <w:shd w:val="clear" w:color="auto" w:fill="auto"/>
            <w:vAlign w:val="center"/>
            <w:hideMark/>
          </w:tcPr>
          <w:p w14:paraId="67CF2BDE" w14:textId="77777777" w:rsidR="0089664A" w:rsidRPr="0089664A" w:rsidRDefault="0089664A" w:rsidP="007F048D">
            <w:pPr>
              <w:jc w:val="center"/>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1</w:t>
            </w:r>
          </w:p>
        </w:tc>
        <w:tc>
          <w:tcPr>
            <w:tcW w:w="709" w:type="dxa"/>
            <w:tcBorders>
              <w:top w:val="nil"/>
              <w:left w:val="nil"/>
              <w:bottom w:val="single" w:sz="4" w:space="0" w:color="auto"/>
              <w:right w:val="single" w:sz="4" w:space="0" w:color="auto"/>
            </w:tcBorders>
            <w:shd w:val="clear" w:color="auto" w:fill="auto"/>
            <w:vAlign w:val="center"/>
            <w:hideMark/>
          </w:tcPr>
          <w:p w14:paraId="11D2D76A" w14:textId="77777777" w:rsidR="0089664A" w:rsidRPr="0089664A" w:rsidRDefault="0089664A" w:rsidP="007F048D">
            <w:pPr>
              <w:jc w:val="center"/>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1</w:t>
            </w:r>
          </w:p>
        </w:tc>
        <w:tc>
          <w:tcPr>
            <w:tcW w:w="567" w:type="dxa"/>
            <w:tcBorders>
              <w:top w:val="nil"/>
              <w:left w:val="nil"/>
              <w:bottom w:val="single" w:sz="4" w:space="0" w:color="auto"/>
              <w:right w:val="single" w:sz="4" w:space="0" w:color="auto"/>
            </w:tcBorders>
            <w:shd w:val="clear" w:color="auto" w:fill="auto"/>
            <w:vAlign w:val="center"/>
            <w:hideMark/>
          </w:tcPr>
          <w:p w14:paraId="609EC955" w14:textId="77777777" w:rsidR="0089664A" w:rsidRPr="0089664A" w:rsidRDefault="0089664A" w:rsidP="007F048D">
            <w:pPr>
              <w:jc w:val="center"/>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2</w:t>
            </w:r>
          </w:p>
        </w:tc>
        <w:tc>
          <w:tcPr>
            <w:tcW w:w="851" w:type="dxa"/>
            <w:tcBorders>
              <w:top w:val="nil"/>
              <w:left w:val="nil"/>
              <w:bottom w:val="single" w:sz="4" w:space="0" w:color="auto"/>
              <w:right w:val="single" w:sz="4" w:space="0" w:color="auto"/>
            </w:tcBorders>
            <w:shd w:val="clear" w:color="auto" w:fill="auto"/>
            <w:vAlign w:val="center"/>
          </w:tcPr>
          <w:p w14:paraId="469EBB30" w14:textId="77777777" w:rsidR="0089664A" w:rsidRPr="0089664A" w:rsidRDefault="0089664A" w:rsidP="007F048D">
            <w:pPr>
              <w:jc w:val="right"/>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292,16</w:t>
            </w:r>
          </w:p>
        </w:tc>
        <w:tc>
          <w:tcPr>
            <w:tcW w:w="992" w:type="dxa"/>
            <w:tcBorders>
              <w:top w:val="nil"/>
              <w:left w:val="nil"/>
              <w:bottom w:val="single" w:sz="4" w:space="0" w:color="auto"/>
              <w:right w:val="single" w:sz="4" w:space="0" w:color="auto"/>
            </w:tcBorders>
            <w:shd w:val="clear" w:color="auto" w:fill="auto"/>
            <w:vAlign w:val="center"/>
          </w:tcPr>
          <w:p w14:paraId="527FFD33" w14:textId="77777777" w:rsidR="0089664A" w:rsidRPr="0089664A" w:rsidRDefault="0089664A" w:rsidP="007F048D">
            <w:pPr>
              <w:jc w:val="right"/>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265,60</w:t>
            </w:r>
          </w:p>
        </w:tc>
        <w:tc>
          <w:tcPr>
            <w:tcW w:w="992" w:type="dxa"/>
            <w:tcBorders>
              <w:top w:val="nil"/>
              <w:left w:val="nil"/>
              <w:bottom w:val="single" w:sz="4" w:space="0" w:color="auto"/>
              <w:right w:val="single" w:sz="4" w:space="0" w:color="auto"/>
            </w:tcBorders>
            <w:shd w:val="clear" w:color="auto" w:fill="auto"/>
            <w:vAlign w:val="center"/>
          </w:tcPr>
          <w:p w14:paraId="1321626D" w14:textId="77777777" w:rsidR="0089664A" w:rsidRPr="0089664A" w:rsidRDefault="0089664A" w:rsidP="007F048D">
            <w:pPr>
              <w:jc w:val="right"/>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557,76</w:t>
            </w:r>
          </w:p>
        </w:tc>
        <w:tc>
          <w:tcPr>
            <w:tcW w:w="1559" w:type="dxa"/>
            <w:tcBorders>
              <w:top w:val="nil"/>
              <w:left w:val="nil"/>
              <w:bottom w:val="single" w:sz="4" w:space="0" w:color="auto"/>
              <w:right w:val="single" w:sz="4" w:space="0" w:color="auto"/>
            </w:tcBorders>
            <w:shd w:val="clear" w:color="auto" w:fill="auto"/>
            <w:vAlign w:val="center"/>
          </w:tcPr>
          <w:p w14:paraId="02C99B5C" w14:textId="77777777" w:rsidR="0089664A" w:rsidRPr="0089664A" w:rsidRDefault="0089664A" w:rsidP="007F048D">
            <w:pPr>
              <w:jc w:val="right"/>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557,76</w:t>
            </w:r>
          </w:p>
        </w:tc>
        <w:tc>
          <w:tcPr>
            <w:tcW w:w="648" w:type="dxa"/>
            <w:vAlign w:val="center"/>
            <w:hideMark/>
          </w:tcPr>
          <w:p w14:paraId="0B59CEE6" w14:textId="77777777" w:rsidR="0089664A" w:rsidRPr="0089664A" w:rsidRDefault="0089664A" w:rsidP="007F048D">
            <w:pPr>
              <w:rPr>
                <w:rFonts w:ascii="Times New Roman" w:hAnsi="Times New Roman" w:cs="Times New Roman"/>
                <w:sz w:val="20"/>
                <w:szCs w:val="20"/>
                <w:lang w:eastAsia="hr-HR"/>
              </w:rPr>
            </w:pPr>
          </w:p>
        </w:tc>
      </w:tr>
      <w:tr w:rsidR="0089664A" w:rsidRPr="0089664A" w14:paraId="5AB5BD7E" w14:textId="77777777" w:rsidTr="0089664A">
        <w:trPr>
          <w:trHeight w:val="499"/>
        </w:trPr>
        <w:tc>
          <w:tcPr>
            <w:tcW w:w="614" w:type="dxa"/>
            <w:tcBorders>
              <w:top w:val="nil"/>
              <w:left w:val="single" w:sz="4" w:space="0" w:color="auto"/>
              <w:bottom w:val="single" w:sz="4" w:space="0" w:color="auto"/>
              <w:right w:val="single" w:sz="4" w:space="0" w:color="auto"/>
            </w:tcBorders>
            <w:shd w:val="clear" w:color="auto" w:fill="auto"/>
            <w:vAlign w:val="center"/>
            <w:hideMark/>
          </w:tcPr>
          <w:p w14:paraId="64791514" w14:textId="77777777" w:rsidR="0089664A" w:rsidRPr="0089664A" w:rsidRDefault="0089664A" w:rsidP="007F048D">
            <w:pPr>
              <w:jc w:val="center"/>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6.</w:t>
            </w:r>
          </w:p>
        </w:tc>
        <w:tc>
          <w:tcPr>
            <w:tcW w:w="2075" w:type="dxa"/>
            <w:tcBorders>
              <w:top w:val="nil"/>
              <w:left w:val="nil"/>
              <w:bottom w:val="single" w:sz="4" w:space="0" w:color="auto"/>
              <w:right w:val="single" w:sz="4" w:space="0" w:color="auto"/>
            </w:tcBorders>
            <w:shd w:val="clear" w:color="auto" w:fill="auto"/>
            <w:vAlign w:val="center"/>
            <w:hideMark/>
          </w:tcPr>
          <w:p w14:paraId="142A8B87" w14:textId="77777777" w:rsidR="0089664A" w:rsidRPr="0089664A" w:rsidRDefault="0089664A" w:rsidP="007F048D">
            <w:pPr>
              <w:jc w:val="center"/>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Nezavisni seljaci Hrvatske</w:t>
            </w:r>
          </w:p>
        </w:tc>
        <w:tc>
          <w:tcPr>
            <w:tcW w:w="708" w:type="dxa"/>
            <w:tcBorders>
              <w:top w:val="nil"/>
              <w:left w:val="nil"/>
              <w:bottom w:val="single" w:sz="4" w:space="0" w:color="auto"/>
              <w:right w:val="single" w:sz="4" w:space="0" w:color="auto"/>
            </w:tcBorders>
            <w:shd w:val="clear" w:color="auto" w:fill="auto"/>
            <w:vAlign w:val="center"/>
            <w:hideMark/>
          </w:tcPr>
          <w:p w14:paraId="3F378160" w14:textId="77777777" w:rsidR="0089664A" w:rsidRPr="0089664A" w:rsidRDefault="0089664A" w:rsidP="007F048D">
            <w:pPr>
              <w:jc w:val="center"/>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0</w:t>
            </w:r>
          </w:p>
        </w:tc>
        <w:tc>
          <w:tcPr>
            <w:tcW w:w="709" w:type="dxa"/>
            <w:tcBorders>
              <w:top w:val="nil"/>
              <w:left w:val="nil"/>
              <w:bottom w:val="single" w:sz="4" w:space="0" w:color="auto"/>
              <w:right w:val="single" w:sz="4" w:space="0" w:color="auto"/>
            </w:tcBorders>
            <w:shd w:val="clear" w:color="auto" w:fill="auto"/>
            <w:vAlign w:val="center"/>
            <w:hideMark/>
          </w:tcPr>
          <w:p w14:paraId="4F6B16B7" w14:textId="77777777" w:rsidR="0089664A" w:rsidRPr="0089664A" w:rsidRDefault="0089664A" w:rsidP="007F048D">
            <w:pPr>
              <w:jc w:val="center"/>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1</w:t>
            </w:r>
          </w:p>
        </w:tc>
        <w:tc>
          <w:tcPr>
            <w:tcW w:w="567" w:type="dxa"/>
            <w:tcBorders>
              <w:top w:val="nil"/>
              <w:left w:val="nil"/>
              <w:bottom w:val="single" w:sz="4" w:space="0" w:color="auto"/>
              <w:right w:val="single" w:sz="4" w:space="0" w:color="auto"/>
            </w:tcBorders>
            <w:shd w:val="clear" w:color="auto" w:fill="auto"/>
            <w:vAlign w:val="center"/>
            <w:hideMark/>
          </w:tcPr>
          <w:p w14:paraId="5A535853" w14:textId="77777777" w:rsidR="0089664A" w:rsidRPr="0089664A" w:rsidRDefault="0089664A" w:rsidP="007F048D">
            <w:pPr>
              <w:jc w:val="center"/>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1</w:t>
            </w:r>
          </w:p>
        </w:tc>
        <w:tc>
          <w:tcPr>
            <w:tcW w:w="851" w:type="dxa"/>
            <w:tcBorders>
              <w:top w:val="nil"/>
              <w:left w:val="nil"/>
              <w:bottom w:val="single" w:sz="4" w:space="0" w:color="auto"/>
              <w:right w:val="single" w:sz="4" w:space="0" w:color="auto"/>
            </w:tcBorders>
            <w:shd w:val="clear" w:color="auto" w:fill="auto"/>
            <w:vAlign w:val="center"/>
          </w:tcPr>
          <w:p w14:paraId="4A704CEE" w14:textId="77777777" w:rsidR="0089664A" w:rsidRPr="0089664A" w:rsidRDefault="0089664A" w:rsidP="007F048D">
            <w:pPr>
              <w:jc w:val="right"/>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0</w:t>
            </w:r>
          </w:p>
        </w:tc>
        <w:tc>
          <w:tcPr>
            <w:tcW w:w="992" w:type="dxa"/>
            <w:tcBorders>
              <w:top w:val="nil"/>
              <w:left w:val="nil"/>
              <w:bottom w:val="single" w:sz="4" w:space="0" w:color="auto"/>
              <w:right w:val="single" w:sz="4" w:space="0" w:color="auto"/>
            </w:tcBorders>
            <w:shd w:val="clear" w:color="auto" w:fill="auto"/>
            <w:vAlign w:val="center"/>
          </w:tcPr>
          <w:p w14:paraId="51442C10" w14:textId="77777777" w:rsidR="0089664A" w:rsidRPr="0089664A" w:rsidRDefault="0089664A" w:rsidP="007F048D">
            <w:pPr>
              <w:jc w:val="right"/>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265,60</w:t>
            </w:r>
          </w:p>
        </w:tc>
        <w:tc>
          <w:tcPr>
            <w:tcW w:w="992" w:type="dxa"/>
            <w:tcBorders>
              <w:top w:val="nil"/>
              <w:left w:val="nil"/>
              <w:bottom w:val="single" w:sz="4" w:space="0" w:color="auto"/>
              <w:right w:val="single" w:sz="4" w:space="0" w:color="auto"/>
            </w:tcBorders>
            <w:shd w:val="clear" w:color="auto" w:fill="auto"/>
            <w:vAlign w:val="center"/>
          </w:tcPr>
          <w:p w14:paraId="3F5B4757" w14:textId="77777777" w:rsidR="0089664A" w:rsidRPr="0089664A" w:rsidRDefault="0089664A" w:rsidP="007F048D">
            <w:pPr>
              <w:jc w:val="right"/>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265,60</w:t>
            </w:r>
          </w:p>
        </w:tc>
        <w:tc>
          <w:tcPr>
            <w:tcW w:w="1559" w:type="dxa"/>
            <w:tcBorders>
              <w:top w:val="nil"/>
              <w:left w:val="nil"/>
              <w:bottom w:val="single" w:sz="4" w:space="0" w:color="auto"/>
              <w:right w:val="single" w:sz="4" w:space="0" w:color="auto"/>
            </w:tcBorders>
            <w:shd w:val="clear" w:color="auto" w:fill="auto"/>
            <w:vAlign w:val="center"/>
          </w:tcPr>
          <w:p w14:paraId="2BCCB32B" w14:textId="77777777" w:rsidR="0089664A" w:rsidRPr="0089664A" w:rsidRDefault="0089664A" w:rsidP="007F048D">
            <w:pPr>
              <w:jc w:val="right"/>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265,60</w:t>
            </w:r>
          </w:p>
        </w:tc>
        <w:tc>
          <w:tcPr>
            <w:tcW w:w="648" w:type="dxa"/>
            <w:vAlign w:val="center"/>
            <w:hideMark/>
          </w:tcPr>
          <w:p w14:paraId="670234F0" w14:textId="77777777" w:rsidR="0089664A" w:rsidRPr="0089664A" w:rsidRDefault="0089664A" w:rsidP="007F048D">
            <w:pPr>
              <w:rPr>
                <w:rFonts w:ascii="Times New Roman" w:hAnsi="Times New Roman" w:cs="Times New Roman"/>
                <w:sz w:val="20"/>
                <w:szCs w:val="20"/>
                <w:lang w:eastAsia="hr-HR"/>
              </w:rPr>
            </w:pPr>
          </w:p>
        </w:tc>
      </w:tr>
      <w:tr w:rsidR="0089664A" w:rsidRPr="0089664A" w14:paraId="63883736" w14:textId="77777777" w:rsidTr="0089664A">
        <w:trPr>
          <w:trHeight w:val="499"/>
        </w:trPr>
        <w:tc>
          <w:tcPr>
            <w:tcW w:w="614" w:type="dxa"/>
            <w:tcBorders>
              <w:top w:val="nil"/>
              <w:left w:val="single" w:sz="4" w:space="0" w:color="auto"/>
              <w:bottom w:val="single" w:sz="4" w:space="0" w:color="auto"/>
              <w:right w:val="single" w:sz="4" w:space="0" w:color="auto"/>
            </w:tcBorders>
            <w:shd w:val="clear" w:color="auto" w:fill="auto"/>
            <w:vAlign w:val="center"/>
            <w:hideMark/>
          </w:tcPr>
          <w:p w14:paraId="0933709B" w14:textId="77777777" w:rsidR="0089664A" w:rsidRPr="0089664A" w:rsidRDefault="0089664A" w:rsidP="007F048D">
            <w:pPr>
              <w:jc w:val="center"/>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7.</w:t>
            </w:r>
          </w:p>
        </w:tc>
        <w:tc>
          <w:tcPr>
            <w:tcW w:w="2075" w:type="dxa"/>
            <w:tcBorders>
              <w:top w:val="nil"/>
              <w:left w:val="nil"/>
              <w:bottom w:val="single" w:sz="4" w:space="0" w:color="auto"/>
              <w:right w:val="single" w:sz="4" w:space="0" w:color="auto"/>
            </w:tcBorders>
            <w:shd w:val="clear" w:color="auto" w:fill="auto"/>
            <w:vAlign w:val="center"/>
            <w:hideMark/>
          </w:tcPr>
          <w:p w14:paraId="15739805" w14:textId="77777777" w:rsidR="0089664A" w:rsidRPr="0089664A" w:rsidRDefault="0089664A" w:rsidP="007F048D">
            <w:pPr>
              <w:jc w:val="center"/>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Socijaldemokratska partija Hrvatske</w:t>
            </w:r>
          </w:p>
        </w:tc>
        <w:tc>
          <w:tcPr>
            <w:tcW w:w="708" w:type="dxa"/>
            <w:tcBorders>
              <w:top w:val="nil"/>
              <w:left w:val="nil"/>
              <w:bottom w:val="single" w:sz="4" w:space="0" w:color="auto"/>
              <w:right w:val="single" w:sz="4" w:space="0" w:color="auto"/>
            </w:tcBorders>
            <w:shd w:val="clear" w:color="auto" w:fill="auto"/>
            <w:vAlign w:val="center"/>
            <w:hideMark/>
          </w:tcPr>
          <w:p w14:paraId="0E9BA3A7" w14:textId="77777777" w:rsidR="0089664A" w:rsidRPr="0089664A" w:rsidRDefault="0089664A" w:rsidP="007F048D">
            <w:pPr>
              <w:jc w:val="center"/>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0</w:t>
            </w:r>
          </w:p>
        </w:tc>
        <w:tc>
          <w:tcPr>
            <w:tcW w:w="709" w:type="dxa"/>
            <w:tcBorders>
              <w:top w:val="nil"/>
              <w:left w:val="nil"/>
              <w:bottom w:val="single" w:sz="4" w:space="0" w:color="auto"/>
              <w:right w:val="single" w:sz="4" w:space="0" w:color="auto"/>
            </w:tcBorders>
            <w:shd w:val="clear" w:color="auto" w:fill="auto"/>
            <w:vAlign w:val="center"/>
            <w:hideMark/>
          </w:tcPr>
          <w:p w14:paraId="03E1FB1D" w14:textId="77777777" w:rsidR="0089664A" w:rsidRPr="0089664A" w:rsidRDefault="0089664A" w:rsidP="007F048D">
            <w:pPr>
              <w:jc w:val="center"/>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2</w:t>
            </w:r>
          </w:p>
        </w:tc>
        <w:tc>
          <w:tcPr>
            <w:tcW w:w="567" w:type="dxa"/>
            <w:tcBorders>
              <w:top w:val="nil"/>
              <w:left w:val="nil"/>
              <w:bottom w:val="single" w:sz="4" w:space="0" w:color="auto"/>
              <w:right w:val="single" w:sz="4" w:space="0" w:color="auto"/>
            </w:tcBorders>
            <w:shd w:val="clear" w:color="auto" w:fill="auto"/>
            <w:vAlign w:val="center"/>
            <w:hideMark/>
          </w:tcPr>
          <w:p w14:paraId="0F6B38EB" w14:textId="77777777" w:rsidR="0089664A" w:rsidRPr="0089664A" w:rsidRDefault="0089664A" w:rsidP="007F048D">
            <w:pPr>
              <w:jc w:val="center"/>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2</w:t>
            </w:r>
          </w:p>
        </w:tc>
        <w:tc>
          <w:tcPr>
            <w:tcW w:w="851" w:type="dxa"/>
            <w:tcBorders>
              <w:top w:val="nil"/>
              <w:left w:val="nil"/>
              <w:bottom w:val="single" w:sz="4" w:space="0" w:color="auto"/>
              <w:right w:val="single" w:sz="4" w:space="0" w:color="auto"/>
            </w:tcBorders>
            <w:shd w:val="clear" w:color="auto" w:fill="auto"/>
            <w:vAlign w:val="center"/>
          </w:tcPr>
          <w:p w14:paraId="1F733763" w14:textId="77777777" w:rsidR="0089664A" w:rsidRPr="0089664A" w:rsidRDefault="0089664A" w:rsidP="007F048D">
            <w:pPr>
              <w:jc w:val="right"/>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0</w:t>
            </w:r>
          </w:p>
        </w:tc>
        <w:tc>
          <w:tcPr>
            <w:tcW w:w="992" w:type="dxa"/>
            <w:tcBorders>
              <w:top w:val="nil"/>
              <w:left w:val="nil"/>
              <w:bottom w:val="single" w:sz="4" w:space="0" w:color="auto"/>
              <w:right w:val="single" w:sz="4" w:space="0" w:color="auto"/>
            </w:tcBorders>
            <w:shd w:val="clear" w:color="auto" w:fill="auto"/>
            <w:vAlign w:val="center"/>
          </w:tcPr>
          <w:p w14:paraId="2220844B" w14:textId="77777777" w:rsidR="0089664A" w:rsidRPr="0089664A" w:rsidRDefault="0089664A" w:rsidP="007F048D">
            <w:pPr>
              <w:jc w:val="right"/>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531,20</w:t>
            </w:r>
          </w:p>
        </w:tc>
        <w:tc>
          <w:tcPr>
            <w:tcW w:w="992" w:type="dxa"/>
            <w:tcBorders>
              <w:top w:val="nil"/>
              <w:left w:val="nil"/>
              <w:bottom w:val="single" w:sz="4" w:space="0" w:color="auto"/>
              <w:right w:val="single" w:sz="4" w:space="0" w:color="auto"/>
            </w:tcBorders>
            <w:shd w:val="clear" w:color="auto" w:fill="auto"/>
            <w:vAlign w:val="center"/>
          </w:tcPr>
          <w:p w14:paraId="547FF4FB" w14:textId="77777777" w:rsidR="0089664A" w:rsidRPr="0089664A" w:rsidRDefault="0089664A" w:rsidP="007F048D">
            <w:pPr>
              <w:jc w:val="right"/>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531,20</w:t>
            </w:r>
          </w:p>
        </w:tc>
        <w:tc>
          <w:tcPr>
            <w:tcW w:w="1559" w:type="dxa"/>
            <w:tcBorders>
              <w:top w:val="nil"/>
              <w:left w:val="nil"/>
              <w:bottom w:val="single" w:sz="4" w:space="0" w:color="auto"/>
              <w:right w:val="single" w:sz="4" w:space="0" w:color="auto"/>
            </w:tcBorders>
            <w:shd w:val="clear" w:color="auto" w:fill="auto"/>
            <w:vAlign w:val="center"/>
          </w:tcPr>
          <w:p w14:paraId="4BE622D1" w14:textId="77777777" w:rsidR="0089664A" w:rsidRPr="0089664A" w:rsidRDefault="0089664A" w:rsidP="007F048D">
            <w:pPr>
              <w:jc w:val="right"/>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531,20</w:t>
            </w:r>
          </w:p>
        </w:tc>
        <w:tc>
          <w:tcPr>
            <w:tcW w:w="648" w:type="dxa"/>
            <w:vAlign w:val="center"/>
            <w:hideMark/>
          </w:tcPr>
          <w:p w14:paraId="56D27967" w14:textId="77777777" w:rsidR="0089664A" w:rsidRPr="0089664A" w:rsidRDefault="0089664A" w:rsidP="007F048D">
            <w:pPr>
              <w:rPr>
                <w:rFonts w:ascii="Times New Roman" w:hAnsi="Times New Roman" w:cs="Times New Roman"/>
                <w:sz w:val="20"/>
                <w:szCs w:val="20"/>
                <w:lang w:eastAsia="hr-HR"/>
              </w:rPr>
            </w:pPr>
          </w:p>
        </w:tc>
      </w:tr>
      <w:tr w:rsidR="0089664A" w:rsidRPr="0089664A" w14:paraId="133A31DC" w14:textId="77777777" w:rsidTr="0089664A">
        <w:trPr>
          <w:trHeight w:val="499"/>
        </w:trPr>
        <w:tc>
          <w:tcPr>
            <w:tcW w:w="614" w:type="dxa"/>
            <w:tcBorders>
              <w:top w:val="nil"/>
              <w:left w:val="single" w:sz="4" w:space="0" w:color="auto"/>
              <w:bottom w:val="single" w:sz="4" w:space="0" w:color="auto"/>
              <w:right w:val="single" w:sz="4" w:space="0" w:color="auto"/>
            </w:tcBorders>
            <w:shd w:val="clear" w:color="auto" w:fill="auto"/>
            <w:vAlign w:val="center"/>
            <w:hideMark/>
          </w:tcPr>
          <w:p w14:paraId="7BBB07CD" w14:textId="77777777" w:rsidR="0089664A" w:rsidRPr="0089664A" w:rsidRDefault="0089664A" w:rsidP="007F048D">
            <w:pPr>
              <w:jc w:val="center"/>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8.</w:t>
            </w:r>
          </w:p>
        </w:tc>
        <w:tc>
          <w:tcPr>
            <w:tcW w:w="2075" w:type="dxa"/>
            <w:tcBorders>
              <w:top w:val="nil"/>
              <w:left w:val="nil"/>
              <w:bottom w:val="single" w:sz="4" w:space="0" w:color="auto"/>
              <w:right w:val="single" w:sz="4" w:space="0" w:color="auto"/>
            </w:tcBorders>
            <w:shd w:val="clear" w:color="auto" w:fill="auto"/>
            <w:vAlign w:val="center"/>
            <w:hideMark/>
          </w:tcPr>
          <w:p w14:paraId="512746F9" w14:textId="77777777" w:rsidR="0089664A" w:rsidRPr="0089664A" w:rsidRDefault="0089664A" w:rsidP="007F048D">
            <w:pPr>
              <w:jc w:val="center"/>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Samostalna demokratska srpska stranka</w:t>
            </w:r>
          </w:p>
        </w:tc>
        <w:tc>
          <w:tcPr>
            <w:tcW w:w="708" w:type="dxa"/>
            <w:tcBorders>
              <w:top w:val="nil"/>
              <w:left w:val="nil"/>
              <w:bottom w:val="single" w:sz="4" w:space="0" w:color="auto"/>
              <w:right w:val="single" w:sz="4" w:space="0" w:color="auto"/>
            </w:tcBorders>
            <w:shd w:val="clear" w:color="auto" w:fill="auto"/>
            <w:vAlign w:val="center"/>
            <w:hideMark/>
          </w:tcPr>
          <w:p w14:paraId="6ADA8FE7" w14:textId="77777777" w:rsidR="0089664A" w:rsidRPr="0089664A" w:rsidRDefault="0089664A" w:rsidP="007F048D">
            <w:pPr>
              <w:jc w:val="center"/>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0</w:t>
            </w:r>
          </w:p>
        </w:tc>
        <w:tc>
          <w:tcPr>
            <w:tcW w:w="709" w:type="dxa"/>
            <w:tcBorders>
              <w:top w:val="nil"/>
              <w:left w:val="nil"/>
              <w:bottom w:val="single" w:sz="4" w:space="0" w:color="auto"/>
              <w:right w:val="single" w:sz="4" w:space="0" w:color="auto"/>
            </w:tcBorders>
            <w:shd w:val="clear" w:color="auto" w:fill="auto"/>
            <w:vAlign w:val="center"/>
            <w:hideMark/>
          </w:tcPr>
          <w:p w14:paraId="5DCF7BC4" w14:textId="77777777" w:rsidR="0089664A" w:rsidRPr="0089664A" w:rsidRDefault="0089664A" w:rsidP="007F048D">
            <w:pPr>
              <w:jc w:val="center"/>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1</w:t>
            </w:r>
          </w:p>
        </w:tc>
        <w:tc>
          <w:tcPr>
            <w:tcW w:w="567" w:type="dxa"/>
            <w:tcBorders>
              <w:top w:val="nil"/>
              <w:left w:val="nil"/>
              <w:bottom w:val="single" w:sz="4" w:space="0" w:color="auto"/>
              <w:right w:val="single" w:sz="4" w:space="0" w:color="auto"/>
            </w:tcBorders>
            <w:shd w:val="clear" w:color="auto" w:fill="auto"/>
            <w:vAlign w:val="center"/>
            <w:hideMark/>
          </w:tcPr>
          <w:p w14:paraId="7BCBE8F0" w14:textId="77777777" w:rsidR="0089664A" w:rsidRPr="0089664A" w:rsidRDefault="0089664A" w:rsidP="007F048D">
            <w:pPr>
              <w:jc w:val="center"/>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1</w:t>
            </w:r>
          </w:p>
        </w:tc>
        <w:tc>
          <w:tcPr>
            <w:tcW w:w="851" w:type="dxa"/>
            <w:tcBorders>
              <w:top w:val="nil"/>
              <w:left w:val="nil"/>
              <w:bottom w:val="single" w:sz="4" w:space="0" w:color="auto"/>
              <w:right w:val="single" w:sz="4" w:space="0" w:color="auto"/>
            </w:tcBorders>
            <w:shd w:val="clear" w:color="auto" w:fill="auto"/>
            <w:vAlign w:val="center"/>
          </w:tcPr>
          <w:p w14:paraId="58B43E1D" w14:textId="77777777" w:rsidR="0089664A" w:rsidRPr="0089664A" w:rsidRDefault="0089664A" w:rsidP="007F048D">
            <w:pPr>
              <w:jc w:val="right"/>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0</w:t>
            </w:r>
          </w:p>
        </w:tc>
        <w:tc>
          <w:tcPr>
            <w:tcW w:w="992" w:type="dxa"/>
            <w:tcBorders>
              <w:top w:val="nil"/>
              <w:left w:val="nil"/>
              <w:bottom w:val="single" w:sz="4" w:space="0" w:color="auto"/>
              <w:right w:val="single" w:sz="4" w:space="0" w:color="auto"/>
            </w:tcBorders>
            <w:shd w:val="clear" w:color="auto" w:fill="auto"/>
            <w:vAlign w:val="center"/>
          </w:tcPr>
          <w:p w14:paraId="15BFD35A" w14:textId="77777777" w:rsidR="0089664A" w:rsidRPr="0089664A" w:rsidRDefault="0089664A" w:rsidP="007F048D">
            <w:pPr>
              <w:jc w:val="right"/>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265,60</w:t>
            </w:r>
          </w:p>
        </w:tc>
        <w:tc>
          <w:tcPr>
            <w:tcW w:w="992" w:type="dxa"/>
            <w:tcBorders>
              <w:top w:val="nil"/>
              <w:left w:val="nil"/>
              <w:bottom w:val="single" w:sz="4" w:space="0" w:color="auto"/>
              <w:right w:val="single" w:sz="4" w:space="0" w:color="auto"/>
            </w:tcBorders>
            <w:shd w:val="clear" w:color="auto" w:fill="auto"/>
            <w:vAlign w:val="center"/>
          </w:tcPr>
          <w:p w14:paraId="7B1BDDFC" w14:textId="77777777" w:rsidR="0089664A" w:rsidRPr="0089664A" w:rsidRDefault="0089664A" w:rsidP="007F048D">
            <w:pPr>
              <w:jc w:val="right"/>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265,60</w:t>
            </w:r>
          </w:p>
        </w:tc>
        <w:tc>
          <w:tcPr>
            <w:tcW w:w="1559" w:type="dxa"/>
            <w:tcBorders>
              <w:top w:val="nil"/>
              <w:left w:val="nil"/>
              <w:bottom w:val="single" w:sz="4" w:space="0" w:color="auto"/>
              <w:right w:val="single" w:sz="4" w:space="0" w:color="auto"/>
            </w:tcBorders>
            <w:shd w:val="clear" w:color="auto" w:fill="auto"/>
            <w:vAlign w:val="center"/>
          </w:tcPr>
          <w:p w14:paraId="772018E2" w14:textId="77777777" w:rsidR="0089664A" w:rsidRPr="0089664A" w:rsidRDefault="0089664A" w:rsidP="007F048D">
            <w:pPr>
              <w:jc w:val="right"/>
              <w:rPr>
                <w:rFonts w:ascii="Times New Roman" w:hAnsi="Times New Roman" w:cs="Times New Roman"/>
                <w:color w:val="000000"/>
                <w:sz w:val="20"/>
                <w:szCs w:val="20"/>
                <w:lang w:eastAsia="hr-HR"/>
              </w:rPr>
            </w:pPr>
            <w:r w:rsidRPr="0089664A">
              <w:rPr>
                <w:rFonts w:ascii="Times New Roman" w:hAnsi="Times New Roman" w:cs="Times New Roman"/>
                <w:color w:val="000000"/>
                <w:sz w:val="20"/>
                <w:szCs w:val="20"/>
                <w:lang w:eastAsia="hr-HR"/>
              </w:rPr>
              <w:t>265,60</w:t>
            </w:r>
          </w:p>
        </w:tc>
        <w:tc>
          <w:tcPr>
            <w:tcW w:w="648" w:type="dxa"/>
            <w:vAlign w:val="center"/>
            <w:hideMark/>
          </w:tcPr>
          <w:p w14:paraId="25679E8C" w14:textId="77777777" w:rsidR="0089664A" w:rsidRPr="0089664A" w:rsidRDefault="0089664A" w:rsidP="007F048D">
            <w:pPr>
              <w:rPr>
                <w:rFonts w:ascii="Times New Roman" w:hAnsi="Times New Roman" w:cs="Times New Roman"/>
                <w:sz w:val="20"/>
                <w:szCs w:val="20"/>
                <w:lang w:eastAsia="hr-HR"/>
              </w:rPr>
            </w:pPr>
          </w:p>
        </w:tc>
      </w:tr>
      <w:tr w:rsidR="0089664A" w:rsidRPr="0089664A" w14:paraId="0B408371" w14:textId="77777777" w:rsidTr="0089664A">
        <w:trPr>
          <w:trHeight w:val="499"/>
        </w:trPr>
        <w:tc>
          <w:tcPr>
            <w:tcW w:w="2689"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3A9785F6" w14:textId="77777777" w:rsidR="0089664A" w:rsidRPr="0089664A" w:rsidRDefault="0089664A" w:rsidP="007F048D">
            <w:pPr>
              <w:jc w:val="center"/>
              <w:rPr>
                <w:rFonts w:ascii="Times New Roman" w:hAnsi="Times New Roman" w:cs="Times New Roman"/>
                <w:b/>
                <w:bCs/>
                <w:color w:val="000000"/>
                <w:sz w:val="20"/>
                <w:szCs w:val="20"/>
                <w:lang w:eastAsia="hr-HR"/>
              </w:rPr>
            </w:pPr>
            <w:r w:rsidRPr="0089664A">
              <w:rPr>
                <w:rFonts w:ascii="Times New Roman" w:hAnsi="Times New Roman" w:cs="Times New Roman"/>
                <w:b/>
                <w:bCs/>
                <w:color w:val="000000"/>
                <w:sz w:val="20"/>
                <w:szCs w:val="20"/>
                <w:lang w:eastAsia="hr-HR"/>
              </w:rPr>
              <w:t>UKUPNO</w:t>
            </w:r>
          </w:p>
        </w:tc>
        <w:tc>
          <w:tcPr>
            <w:tcW w:w="708" w:type="dxa"/>
            <w:tcBorders>
              <w:top w:val="nil"/>
              <w:left w:val="nil"/>
              <w:bottom w:val="single" w:sz="4" w:space="0" w:color="auto"/>
              <w:right w:val="single" w:sz="4" w:space="0" w:color="auto"/>
            </w:tcBorders>
            <w:shd w:val="clear" w:color="000000" w:fill="BFBFBF"/>
            <w:vAlign w:val="center"/>
            <w:hideMark/>
          </w:tcPr>
          <w:p w14:paraId="61FAFB51" w14:textId="77777777" w:rsidR="0089664A" w:rsidRPr="0089664A" w:rsidRDefault="0089664A" w:rsidP="007F048D">
            <w:pPr>
              <w:jc w:val="center"/>
              <w:rPr>
                <w:rFonts w:ascii="Times New Roman" w:hAnsi="Times New Roman" w:cs="Times New Roman"/>
                <w:b/>
                <w:bCs/>
                <w:color w:val="000000"/>
                <w:sz w:val="20"/>
                <w:szCs w:val="20"/>
                <w:lang w:eastAsia="hr-HR"/>
              </w:rPr>
            </w:pPr>
            <w:r w:rsidRPr="0089664A">
              <w:rPr>
                <w:rFonts w:ascii="Times New Roman" w:hAnsi="Times New Roman" w:cs="Times New Roman"/>
                <w:b/>
                <w:bCs/>
                <w:color w:val="000000"/>
                <w:sz w:val="20"/>
                <w:szCs w:val="20"/>
                <w:lang w:eastAsia="hr-HR"/>
              </w:rPr>
              <w:t>4</w:t>
            </w:r>
          </w:p>
        </w:tc>
        <w:tc>
          <w:tcPr>
            <w:tcW w:w="709" w:type="dxa"/>
            <w:tcBorders>
              <w:top w:val="nil"/>
              <w:left w:val="nil"/>
              <w:bottom w:val="single" w:sz="4" w:space="0" w:color="auto"/>
              <w:right w:val="single" w:sz="4" w:space="0" w:color="auto"/>
            </w:tcBorders>
            <w:shd w:val="clear" w:color="000000" w:fill="BFBFBF"/>
            <w:vAlign w:val="center"/>
            <w:hideMark/>
          </w:tcPr>
          <w:p w14:paraId="7488412B" w14:textId="77777777" w:rsidR="0089664A" w:rsidRPr="0089664A" w:rsidRDefault="0089664A" w:rsidP="007F048D">
            <w:pPr>
              <w:jc w:val="center"/>
              <w:rPr>
                <w:rFonts w:ascii="Times New Roman" w:hAnsi="Times New Roman" w:cs="Times New Roman"/>
                <w:b/>
                <w:bCs/>
                <w:color w:val="000000"/>
                <w:sz w:val="20"/>
                <w:szCs w:val="20"/>
                <w:lang w:eastAsia="hr-HR"/>
              </w:rPr>
            </w:pPr>
            <w:r w:rsidRPr="0089664A">
              <w:rPr>
                <w:rFonts w:ascii="Times New Roman" w:hAnsi="Times New Roman" w:cs="Times New Roman"/>
                <w:b/>
                <w:bCs/>
                <w:color w:val="000000"/>
                <w:sz w:val="20"/>
                <w:szCs w:val="20"/>
                <w:lang w:eastAsia="hr-HR"/>
              </w:rPr>
              <w:t>12</w:t>
            </w:r>
          </w:p>
        </w:tc>
        <w:tc>
          <w:tcPr>
            <w:tcW w:w="567" w:type="dxa"/>
            <w:tcBorders>
              <w:top w:val="nil"/>
              <w:left w:val="nil"/>
              <w:bottom w:val="single" w:sz="4" w:space="0" w:color="auto"/>
              <w:right w:val="single" w:sz="4" w:space="0" w:color="auto"/>
            </w:tcBorders>
            <w:shd w:val="clear" w:color="000000" w:fill="BFBFBF"/>
            <w:vAlign w:val="center"/>
            <w:hideMark/>
          </w:tcPr>
          <w:p w14:paraId="2A38FA4B" w14:textId="77777777" w:rsidR="0089664A" w:rsidRPr="0089664A" w:rsidRDefault="0089664A" w:rsidP="007F048D">
            <w:pPr>
              <w:jc w:val="center"/>
              <w:rPr>
                <w:rFonts w:ascii="Times New Roman" w:hAnsi="Times New Roman" w:cs="Times New Roman"/>
                <w:b/>
                <w:bCs/>
                <w:color w:val="000000"/>
                <w:sz w:val="20"/>
                <w:szCs w:val="20"/>
                <w:lang w:eastAsia="hr-HR"/>
              </w:rPr>
            </w:pPr>
            <w:r w:rsidRPr="0089664A">
              <w:rPr>
                <w:rFonts w:ascii="Times New Roman" w:hAnsi="Times New Roman" w:cs="Times New Roman"/>
                <w:b/>
                <w:bCs/>
                <w:color w:val="000000"/>
                <w:sz w:val="20"/>
                <w:szCs w:val="20"/>
                <w:lang w:eastAsia="hr-HR"/>
              </w:rPr>
              <w:t>16</w:t>
            </w:r>
          </w:p>
        </w:tc>
        <w:tc>
          <w:tcPr>
            <w:tcW w:w="851" w:type="dxa"/>
            <w:tcBorders>
              <w:top w:val="nil"/>
              <w:left w:val="nil"/>
              <w:bottom w:val="single" w:sz="4" w:space="0" w:color="auto"/>
              <w:right w:val="single" w:sz="4" w:space="0" w:color="auto"/>
            </w:tcBorders>
            <w:shd w:val="clear" w:color="000000" w:fill="BFBFBF"/>
            <w:vAlign w:val="center"/>
          </w:tcPr>
          <w:p w14:paraId="66E6E9D5" w14:textId="77777777" w:rsidR="0089664A" w:rsidRPr="0089664A" w:rsidRDefault="0089664A" w:rsidP="0089664A">
            <w:pPr>
              <w:ind w:left="-109"/>
              <w:jc w:val="right"/>
              <w:rPr>
                <w:rFonts w:ascii="Times New Roman" w:hAnsi="Times New Roman" w:cs="Times New Roman"/>
                <w:b/>
                <w:bCs/>
                <w:color w:val="000000"/>
                <w:sz w:val="20"/>
                <w:szCs w:val="20"/>
                <w:lang w:eastAsia="hr-HR"/>
              </w:rPr>
            </w:pPr>
            <w:r w:rsidRPr="0089664A">
              <w:rPr>
                <w:rFonts w:ascii="Times New Roman" w:hAnsi="Times New Roman" w:cs="Times New Roman"/>
                <w:b/>
                <w:bCs/>
                <w:color w:val="000000"/>
                <w:sz w:val="20"/>
                <w:szCs w:val="20"/>
                <w:lang w:eastAsia="hr-HR"/>
              </w:rPr>
              <w:t>1.168,64</w:t>
            </w:r>
          </w:p>
        </w:tc>
        <w:tc>
          <w:tcPr>
            <w:tcW w:w="992" w:type="dxa"/>
            <w:tcBorders>
              <w:top w:val="nil"/>
              <w:left w:val="nil"/>
              <w:bottom w:val="single" w:sz="4" w:space="0" w:color="auto"/>
              <w:right w:val="single" w:sz="4" w:space="0" w:color="auto"/>
            </w:tcBorders>
            <w:shd w:val="clear" w:color="000000" w:fill="BFBFBF"/>
            <w:vAlign w:val="center"/>
          </w:tcPr>
          <w:p w14:paraId="43A5815F" w14:textId="77777777" w:rsidR="0089664A" w:rsidRPr="0089664A" w:rsidRDefault="0089664A" w:rsidP="007F048D">
            <w:pPr>
              <w:jc w:val="right"/>
              <w:rPr>
                <w:rFonts w:ascii="Times New Roman" w:hAnsi="Times New Roman" w:cs="Times New Roman"/>
                <w:b/>
                <w:bCs/>
                <w:color w:val="000000"/>
                <w:sz w:val="20"/>
                <w:szCs w:val="20"/>
                <w:lang w:eastAsia="hr-HR"/>
              </w:rPr>
            </w:pPr>
            <w:r w:rsidRPr="0089664A">
              <w:rPr>
                <w:rFonts w:ascii="Times New Roman" w:hAnsi="Times New Roman" w:cs="Times New Roman"/>
                <w:b/>
                <w:bCs/>
                <w:color w:val="000000"/>
                <w:sz w:val="20"/>
                <w:szCs w:val="20"/>
                <w:lang w:eastAsia="hr-HR"/>
              </w:rPr>
              <w:t>3.187,20</w:t>
            </w:r>
          </w:p>
        </w:tc>
        <w:tc>
          <w:tcPr>
            <w:tcW w:w="992" w:type="dxa"/>
            <w:tcBorders>
              <w:top w:val="nil"/>
              <w:left w:val="nil"/>
              <w:bottom w:val="single" w:sz="4" w:space="0" w:color="auto"/>
              <w:right w:val="single" w:sz="4" w:space="0" w:color="auto"/>
            </w:tcBorders>
            <w:shd w:val="clear" w:color="000000" w:fill="BFBFBF"/>
            <w:vAlign w:val="center"/>
          </w:tcPr>
          <w:p w14:paraId="3F60F00E" w14:textId="77777777" w:rsidR="0089664A" w:rsidRPr="0089664A" w:rsidRDefault="0089664A" w:rsidP="007F048D">
            <w:pPr>
              <w:jc w:val="right"/>
              <w:rPr>
                <w:rFonts w:ascii="Times New Roman" w:hAnsi="Times New Roman" w:cs="Times New Roman"/>
                <w:b/>
                <w:bCs/>
                <w:color w:val="000000"/>
                <w:sz w:val="20"/>
                <w:szCs w:val="20"/>
                <w:lang w:eastAsia="hr-HR"/>
              </w:rPr>
            </w:pPr>
            <w:r w:rsidRPr="0089664A">
              <w:rPr>
                <w:rFonts w:ascii="Times New Roman" w:hAnsi="Times New Roman" w:cs="Times New Roman"/>
                <w:b/>
                <w:bCs/>
                <w:color w:val="000000"/>
                <w:sz w:val="20"/>
                <w:szCs w:val="20"/>
                <w:lang w:eastAsia="hr-HR"/>
              </w:rPr>
              <w:t>4.355,84</w:t>
            </w:r>
          </w:p>
        </w:tc>
        <w:tc>
          <w:tcPr>
            <w:tcW w:w="1559" w:type="dxa"/>
            <w:tcBorders>
              <w:top w:val="nil"/>
              <w:left w:val="nil"/>
              <w:bottom w:val="single" w:sz="4" w:space="0" w:color="auto"/>
              <w:right w:val="single" w:sz="4" w:space="0" w:color="auto"/>
            </w:tcBorders>
            <w:shd w:val="clear" w:color="000000" w:fill="BFBFBF"/>
            <w:vAlign w:val="center"/>
          </w:tcPr>
          <w:p w14:paraId="04E61B10" w14:textId="77777777" w:rsidR="0089664A" w:rsidRPr="0089664A" w:rsidRDefault="0089664A" w:rsidP="007F048D">
            <w:pPr>
              <w:jc w:val="right"/>
              <w:rPr>
                <w:rFonts w:ascii="Times New Roman" w:hAnsi="Times New Roman" w:cs="Times New Roman"/>
                <w:b/>
                <w:bCs/>
                <w:color w:val="000000"/>
                <w:sz w:val="20"/>
                <w:szCs w:val="20"/>
                <w:lang w:eastAsia="hr-HR"/>
              </w:rPr>
            </w:pPr>
            <w:r w:rsidRPr="0089664A">
              <w:rPr>
                <w:rFonts w:ascii="Times New Roman" w:hAnsi="Times New Roman" w:cs="Times New Roman"/>
                <w:b/>
                <w:bCs/>
                <w:color w:val="000000"/>
                <w:sz w:val="20"/>
                <w:szCs w:val="20"/>
                <w:lang w:eastAsia="hr-HR"/>
              </w:rPr>
              <w:t>4.355,84</w:t>
            </w:r>
          </w:p>
        </w:tc>
        <w:tc>
          <w:tcPr>
            <w:tcW w:w="648" w:type="dxa"/>
            <w:vAlign w:val="center"/>
            <w:hideMark/>
          </w:tcPr>
          <w:p w14:paraId="0AA8DD5A" w14:textId="77777777" w:rsidR="0089664A" w:rsidRPr="0089664A" w:rsidRDefault="0089664A" w:rsidP="007F048D">
            <w:pPr>
              <w:rPr>
                <w:rFonts w:ascii="Times New Roman" w:hAnsi="Times New Roman" w:cs="Times New Roman"/>
                <w:sz w:val="20"/>
                <w:szCs w:val="20"/>
                <w:lang w:eastAsia="hr-HR"/>
              </w:rPr>
            </w:pPr>
          </w:p>
        </w:tc>
      </w:tr>
    </w:tbl>
    <w:p w14:paraId="4F48507D" w14:textId="77777777" w:rsidR="0089664A" w:rsidRDefault="0089664A" w:rsidP="0049746F">
      <w:pPr>
        <w:rPr>
          <w:lang w:eastAsia="ar-SA"/>
        </w:rPr>
      </w:pPr>
    </w:p>
    <w:p w14:paraId="113E8313" w14:textId="788166EF" w:rsidR="0049746F" w:rsidRPr="0049746F" w:rsidRDefault="0049746F" w:rsidP="0049746F">
      <w:pPr>
        <w:rPr>
          <w:rFonts w:ascii="Times New Roman" w:eastAsiaTheme="minorHAnsi" w:hAnsi="Times New Roman" w:cs="Times New Roman"/>
          <w:bCs/>
          <w:lang w:eastAsia="ar-SA"/>
        </w:rPr>
      </w:pPr>
      <w:r w:rsidRPr="0049746F">
        <w:rPr>
          <w:rFonts w:ascii="Times New Roman" w:eastAsiaTheme="minorHAnsi" w:hAnsi="Times New Roman" w:cs="Times New Roman"/>
          <w:bCs/>
          <w:lang w:eastAsia="ar-SA"/>
        </w:rPr>
        <w:lastRenderedPageBreak/>
        <w:t>Izvršenje pokazatelja uspješnosti:</w:t>
      </w:r>
    </w:p>
    <w:tbl>
      <w:tblPr>
        <w:tblW w:w="50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6"/>
        <w:gridCol w:w="2693"/>
        <w:gridCol w:w="1560"/>
        <w:gridCol w:w="1322"/>
        <w:gridCol w:w="1086"/>
        <w:gridCol w:w="850"/>
      </w:tblGrid>
      <w:tr w:rsidR="0089664A" w:rsidRPr="00F64569" w14:paraId="79B30617" w14:textId="77777777" w:rsidTr="0089664A">
        <w:trPr>
          <w:trHeight w:val="633"/>
        </w:trPr>
        <w:tc>
          <w:tcPr>
            <w:tcW w:w="858" w:type="pct"/>
            <w:shd w:val="clear" w:color="auto" w:fill="auto"/>
          </w:tcPr>
          <w:p w14:paraId="77520E72" w14:textId="77777777" w:rsidR="0049746F" w:rsidRPr="00F64569" w:rsidRDefault="0049746F" w:rsidP="0049746F">
            <w:pPr>
              <w:widowControl w:val="0"/>
              <w:autoSpaceDE w:val="0"/>
              <w:autoSpaceDN w:val="0"/>
              <w:spacing w:before="104" w:after="0" w:line="240" w:lineRule="auto"/>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Pokazatelj</w:t>
            </w:r>
            <w:r w:rsidRPr="00F64569">
              <w:rPr>
                <w:rFonts w:ascii="Times New Roman" w:eastAsia="Arial MT" w:hAnsi="Times New Roman" w:cs="Times New Roman"/>
                <w:b/>
                <w:spacing w:val="1"/>
                <w:sz w:val="20"/>
                <w:szCs w:val="20"/>
              </w:rPr>
              <w:t xml:space="preserve"> </w:t>
            </w:r>
            <w:r w:rsidRPr="00F64569">
              <w:rPr>
                <w:rFonts w:ascii="Times New Roman" w:eastAsia="Arial MT" w:hAnsi="Times New Roman" w:cs="Times New Roman"/>
                <w:b/>
                <w:sz w:val="20"/>
                <w:szCs w:val="20"/>
              </w:rPr>
              <w:t>uspješnosti</w:t>
            </w:r>
          </w:p>
        </w:tc>
        <w:tc>
          <w:tcPr>
            <w:tcW w:w="1485" w:type="pct"/>
            <w:shd w:val="clear" w:color="auto" w:fill="auto"/>
          </w:tcPr>
          <w:p w14:paraId="220112F8" w14:textId="77777777" w:rsidR="0049746F" w:rsidRPr="00F64569" w:rsidRDefault="0049746F" w:rsidP="007F048D">
            <w:pPr>
              <w:widowControl w:val="0"/>
              <w:autoSpaceDE w:val="0"/>
              <w:autoSpaceDN w:val="0"/>
              <w:spacing w:after="0" w:line="240" w:lineRule="auto"/>
              <w:rPr>
                <w:rFonts w:ascii="Times New Roman" w:eastAsia="Arial MT" w:hAnsi="Times New Roman" w:cs="Times New Roman"/>
                <w:sz w:val="20"/>
                <w:szCs w:val="20"/>
              </w:rPr>
            </w:pPr>
          </w:p>
          <w:p w14:paraId="1E4168C5" w14:textId="77777777" w:rsidR="0049746F" w:rsidRPr="00F64569" w:rsidRDefault="0049746F" w:rsidP="0049746F">
            <w:pPr>
              <w:widowControl w:val="0"/>
              <w:autoSpaceDE w:val="0"/>
              <w:autoSpaceDN w:val="0"/>
              <w:spacing w:before="1" w:after="0" w:line="240" w:lineRule="auto"/>
              <w:jc w:val="center"/>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Definicija</w:t>
            </w:r>
          </w:p>
        </w:tc>
        <w:tc>
          <w:tcPr>
            <w:tcW w:w="860" w:type="pct"/>
            <w:shd w:val="clear" w:color="auto" w:fill="auto"/>
          </w:tcPr>
          <w:p w14:paraId="4E5D1BA4" w14:textId="77777777" w:rsidR="0049746F" w:rsidRPr="00F64569" w:rsidRDefault="0049746F" w:rsidP="007F048D">
            <w:pPr>
              <w:widowControl w:val="0"/>
              <w:autoSpaceDE w:val="0"/>
              <w:autoSpaceDN w:val="0"/>
              <w:spacing w:after="0" w:line="240" w:lineRule="auto"/>
              <w:rPr>
                <w:rFonts w:ascii="Times New Roman" w:eastAsia="Arial MT" w:hAnsi="Times New Roman" w:cs="Times New Roman"/>
                <w:sz w:val="20"/>
                <w:szCs w:val="20"/>
              </w:rPr>
            </w:pPr>
          </w:p>
          <w:p w14:paraId="64FA46C1" w14:textId="77777777" w:rsidR="0049746F" w:rsidRPr="00F64569" w:rsidRDefault="0049746F" w:rsidP="0049746F">
            <w:pPr>
              <w:widowControl w:val="0"/>
              <w:autoSpaceDE w:val="0"/>
              <w:autoSpaceDN w:val="0"/>
              <w:spacing w:before="1" w:after="0" w:line="240" w:lineRule="auto"/>
              <w:ind w:right="41"/>
              <w:jc w:val="center"/>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Jedinica</w:t>
            </w:r>
          </w:p>
        </w:tc>
        <w:tc>
          <w:tcPr>
            <w:tcW w:w="729" w:type="pct"/>
            <w:shd w:val="clear" w:color="auto" w:fill="auto"/>
          </w:tcPr>
          <w:p w14:paraId="79B310CB" w14:textId="77777777" w:rsidR="0049746F" w:rsidRPr="00F64569" w:rsidRDefault="0049746F" w:rsidP="007F048D">
            <w:pPr>
              <w:widowControl w:val="0"/>
              <w:autoSpaceDE w:val="0"/>
              <w:autoSpaceDN w:val="0"/>
              <w:spacing w:after="0" w:line="206" w:lineRule="exact"/>
              <w:ind w:left="122" w:right="121"/>
              <w:jc w:val="center"/>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Ciljana</w:t>
            </w:r>
          </w:p>
          <w:p w14:paraId="65983DBF" w14:textId="77777777" w:rsidR="0049746F" w:rsidRPr="00F64569" w:rsidRDefault="0049746F" w:rsidP="007F048D">
            <w:pPr>
              <w:widowControl w:val="0"/>
              <w:autoSpaceDE w:val="0"/>
              <w:autoSpaceDN w:val="0"/>
              <w:spacing w:after="0" w:line="206" w:lineRule="exact"/>
              <w:ind w:left="124" w:right="121"/>
              <w:jc w:val="center"/>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vrijednost</w:t>
            </w:r>
            <w:r w:rsidRPr="00F64569">
              <w:rPr>
                <w:rFonts w:ascii="Times New Roman" w:eastAsia="Arial MT" w:hAnsi="Times New Roman" w:cs="Times New Roman"/>
                <w:b/>
                <w:spacing w:val="-47"/>
                <w:sz w:val="20"/>
                <w:szCs w:val="20"/>
              </w:rPr>
              <w:t xml:space="preserve">   </w:t>
            </w:r>
            <w:r w:rsidRPr="00F64569">
              <w:rPr>
                <w:rFonts w:ascii="Times New Roman" w:eastAsia="Arial MT" w:hAnsi="Times New Roman" w:cs="Times New Roman"/>
                <w:b/>
                <w:sz w:val="20"/>
                <w:szCs w:val="20"/>
              </w:rPr>
              <w:t>2024.</w:t>
            </w:r>
          </w:p>
        </w:tc>
        <w:tc>
          <w:tcPr>
            <w:tcW w:w="599" w:type="pct"/>
            <w:shd w:val="clear" w:color="auto" w:fill="auto"/>
          </w:tcPr>
          <w:p w14:paraId="4E87D2EA" w14:textId="07877C13" w:rsidR="0049746F" w:rsidRPr="00F64569" w:rsidRDefault="0049746F" w:rsidP="0089664A">
            <w:pPr>
              <w:widowControl w:val="0"/>
              <w:autoSpaceDE w:val="0"/>
              <w:autoSpaceDN w:val="0"/>
              <w:spacing w:after="0" w:line="205" w:lineRule="exact"/>
              <w:jc w:val="center"/>
              <w:rPr>
                <w:rFonts w:ascii="Times New Roman" w:eastAsia="Arial MT" w:hAnsi="Times New Roman" w:cs="Times New Roman"/>
                <w:b/>
                <w:sz w:val="20"/>
                <w:szCs w:val="20"/>
              </w:rPr>
            </w:pPr>
            <w:r>
              <w:rPr>
                <w:rFonts w:ascii="Times New Roman" w:eastAsia="Arial MT" w:hAnsi="Times New Roman" w:cs="Times New Roman"/>
                <w:b/>
                <w:sz w:val="20"/>
                <w:szCs w:val="20"/>
              </w:rPr>
              <w:t>Izvršenje 2024.</w:t>
            </w:r>
          </w:p>
        </w:tc>
        <w:tc>
          <w:tcPr>
            <w:tcW w:w="469" w:type="pct"/>
            <w:shd w:val="clear" w:color="auto" w:fill="auto"/>
          </w:tcPr>
          <w:p w14:paraId="33FC8625" w14:textId="6B56EAE1" w:rsidR="0049746F" w:rsidRPr="00F64569" w:rsidRDefault="0049746F" w:rsidP="0089664A">
            <w:pPr>
              <w:widowControl w:val="0"/>
              <w:autoSpaceDE w:val="0"/>
              <w:autoSpaceDN w:val="0"/>
              <w:spacing w:after="0" w:line="205" w:lineRule="exact"/>
              <w:ind w:left="2"/>
              <w:jc w:val="center"/>
              <w:rPr>
                <w:rFonts w:ascii="Times New Roman" w:eastAsia="Arial MT" w:hAnsi="Times New Roman" w:cs="Times New Roman"/>
                <w:b/>
                <w:sz w:val="20"/>
                <w:szCs w:val="20"/>
              </w:rPr>
            </w:pPr>
            <w:r>
              <w:rPr>
                <w:rFonts w:ascii="Times New Roman" w:eastAsia="Arial MT" w:hAnsi="Times New Roman" w:cs="Times New Roman"/>
                <w:b/>
                <w:sz w:val="20"/>
                <w:szCs w:val="20"/>
              </w:rPr>
              <w:t>Indeks</w:t>
            </w:r>
          </w:p>
        </w:tc>
      </w:tr>
      <w:tr w:rsidR="0089664A" w:rsidRPr="00F64569" w14:paraId="32422899" w14:textId="77777777" w:rsidTr="0089664A">
        <w:trPr>
          <w:trHeight w:val="826"/>
        </w:trPr>
        <w:tc>
          <w:tcPr>
            <w:tcW w:w="858" w:type="pct"/>
            <w:shd w:val="clear" w:color="auto" w:fill="auto"/>
          </w:tcPr>
          <w:p w14:paraId="63FD9996" w14:textId="77777777" w:rsidR="0049746F" w:rsidRPr="00F64569" w:rsidRDefault="0049746F" w:rsidP="0049746F">
            <w:pPr>
              <w:widowControl w:val="0"/>
              <w:autoSpaceDE w:val="0"/>
              <w:autoSpaceDN w:val="0"/>
              <w:spacing w:before="1" w:after="0" w:line="240" w:lineRule="auto"/>
              <w:ind w:left="107"/>
              <w:rPr>
                <w:rFonts w:ascii="Times New Roman" w:eastAsia="Arial MT" w:hAnsi="Times New Roman" w:cs="Times New Roman"/>
              </w:rPr>
            </w:pPr>
            <w:r w:rsidRPr="00F64569">
              <w:rPr>
                <w:rFonts w:ascii="Times New Roman" w:eastAsia="Arial MT" w:hAnsi="Times New Roman" w:cs="Times New Roman"/>
              </w:rPr>
              <w:t xml:space="preserve">Vijeća nacionalnih manjina </w:t>
            </w:r>
          </w:p>
        </w:tc>
        <w:tc>
          <w:tcPr>
            <w:tcW w:w="1485" w:type="pct"/>
            <w:shd w:val="clear" w:color="auto" w:fill="auto"/>
          </w:tcPr>
          <w:p w14:paraId="12FA0BCD" w14:textId="77777777" w:rsidR="0049746F" w:rsidRPr="00F64569" w:rsidRDefault="0049746F" w:rsidP="007F048D">
            <w:pPr>
              <w:widowControl w:val="0"/>
              <w:autoSpaceDE w:val="0"/>
              <w:autoSpaceDN w:val="0"/>
              <w:spacing w:after="0" w:line="187" w:lineRule="exact"/>
              <w:ind w:left="105"/>
              <w:rPr>
                <w:rFonts w:ascii="Times New Roman" w:eastAsia="Arial MT" w:hAnsi="Times New Roman" w:cs="Times New Roman"/>
              </w:rPr>
            </w:pPr>
            <w:r w:rsidRPr="00F64569">
              <w:rPr>
                <w:rFonts w:ascii="Times New Roman" w:eastAsia="Arial MT" w:hAnsi="Times New Roman" w:cs="Times New Roman"/>
              </w:rPr>
              <w:t>Broj Vijeća nacionalnih manjina koja djeluju na području Grada Garešnice</w:t>
            </w:r>
          </w:p>
        </w:tc>
        <w:tc>
          <w:tcPr>
            <w:tcW w:w="860" w:type="pct"/>
            <w:shd w:val="clear" w:color="auto" w:fill="auto"/>
          </w:tcPr>
          <w:p w14:paraId="1DA37810" w14:textId="77777777" w:rsidR="0049746F" w:rsidRPr="00F64569" w:rsidRDefault="0049746F" w:rsidP="0049746F">
            <w:pPr>
              <w:widowControl w:val="0"/>
              <w:autoSpaceDE w:val="0"/>
              <w:autoSpaceDN w:val="0"/>
              <w:spacing w:before="1" w:after="0" w:line="240" w:lineRule="auto"/>
              <w:ind w:left="164" w:right="137" w:firstLine="167"/>
              <w:jc w:val="center"/>
              <w:rPr>
                <w:rFonts w:ascii="Times New Roman" w:eastAsia="Arial MT" w:hAnsi="Times New Roman" w:cs="Times New Roman"/>
              </w:rPr>
            </w:pPr>
            <w:r w:rsidRPr="00F64569">
              <w:rPr>
                <w:rFonts w:ascii="Times New Roman" w:eastAsia="Arial MT" w:hAnsi="Times New Roman" w:cs="Times New Roman"/>
              </w:rPr>
              <w:t>Broj</w:t>
            </w:r>
            <w:r w:rsidRPr="00F64569">
              <w:rPr>
                <w:rFonts w:ascii="Times New Roman" w:eastAsia="Arial MT" w:hAnsi="Times New Roman" w:cs="Times New Roman"/>
                <w:spacing w:val="1"/>
              </w:rPr>
              <w:t xml:space="preserve"> </w:t>
            </w:r>
            <w:r w:rsidRPr="00F64569">
              <w:rPr>
                <w:rFonts w:ascii="Times New Roman" w:eastAsia="Arial MT" w:hAnsi="Times New Roman" w:cs="Times New Roman"/>
              </w:rPr>
              <w:t>Vijeća</w:t>
            </w:r>
          </w:p>
        </w:tc>
        <w:tc>
          <w:tcPr>
            <w:tcW w:w="729" w:type="pct"/>
            <w:shd w:val="clear" w:color="auto" w:fill="auto"/>
          </w:tcPr>
          <w:p w14:paraId="2D884F89" w14:textId="77777777" w:rsidR="0049746F" w:rsidRPr="00F64569" w:rsidRDefault="0049746F" w:rsidP="007F048D">
            <w:pPr>
              <w:widowControl w:val="0"/>
              <w:autoSpaceDE w:val="0"/>
              <w:autoSpaceDN w:val="0"/>
              <w:spacing w:after="0" w:line="240" w:lineRule="auto"/>
              <w:ind w:left="125" w:right="121"/>
              <w:jc w:val="center"/>
              <w:rPr>
                <w:rFonts w:ascii="Times New Roman" w:eastAsia="Arial MT" w:hAnsi="Times New Roman" w:cs="Times New Roman"/>
              </w:rPr>
            </w:pPr>
            <w:r w:rsidRPr="00F64569">
              <w:rPr>
                <w:rFonts w:ascii="Times New Roman" w:eastAsia="Arial MT" w:hAnsi="Times New Roman" w:cs="Times New Roman"/>
              </w:rPr>
              <w:t>1</w:t>
            </w:r>
          </w:p>
        </w:tc>
        <w:tc>
          <w:tcPr>
            <w:tcW w:w="599" w:type="pct"/>
            <w:shd w:val="clear" w:color="auto" w:fill="auto"/>
          </w:tcPr>
          <w:p w14:paraId="615FFDD4" w14:textId="77777777" w:rsidR="0049746F" w:rsidRPr="00F64569" w:rsidRDefault="0049746F" w:rsidP="007F048D">
            <w:pPr>
              <w:widowControl w:val="0"/>
              <w:autoSpaceDE w:val="0"/>
              <w:autoSpaceDN w:val="0"/>
              <w:spacing w:after="0" w:line="240" w:lineRule="auto"/>
              <w:ind w:right="460"/>
              <w:jc w:val="right"/>
              <w:rPr>
                <w:rFonts w:ascii="Times New Roman" w:eastAsia="Arial MT" w:hAnsi="Times New Roman" w:cs="Times New Roman"/>
              </w:rPr>
            </w:pPr>
            <w:r w:rsidRPr="00F64569">
              <w:rPr>
                <w:rFonts w:ascii="Times New Roman" w:eastAsia="Arial MT" w:hAnsi="Times New Roman" w:cs="Times New Roman"/>
              </w:rPr>
              <w:t>1</w:t>
            </w:r>
          </w:p>
        </w:tc>
        <w:tc>
          <w:tcPr>
            <w:tcW w:w="469" w:type="pct"/>
            <w:shd w:val="clear" w:color="auto" w:fill="auto"/>
          </w:tcPr>
          <w:p w14:paraId="3A999DA9" w14:textId="5FA1E8DA" w:rsidR="0049746F" w:rsidRPr="00F64569" w:rsidRDefault="0049746F" w:rsidP="0049746F">
            <w:pPr>
              <w:widowControl w:val="0"/>
              <w:autoSpaceDE w:val="0"/>
              <w:autoSpaceDN w:val="0"/>
              <w:spacing w:after="0" w:line="240" w:lineRule="auto"/>
              <w:ind w:right="1"/>
              <w:jc w:val="center"/>
              <w:rPr>
                <w:rFonts w:ascii="Times New Roman" w:eastAsia="Arial MT" w:hAnsi="Times New Roman" w:cs="Times New Roman"/>
              </w:rPr>
            </w:pPr>
            <w:r>
              <w:rPr>
                <w:rFonts w:ascii="Times New Roman" w:eastAsia="Arial MT" w:hAnsi="Times New Roman" w:cs="Times New Roman"/>
              </w:rPr>
              <w:t>100,00</w:t>
            </w:r>
          </w:p>
        </w:tc>
      </w:tr>
      <w:tr w:rsidR="0089664A" w:rsidRPr="00F64569" w14:paraId="344220F4" w14:textId="77777777" w:rsidTr="0089664A">
        <w:trPr>
          <w:trHeight w:val="1066"/>
        </w:trPr>
        <w:tc>
          <w:tcPr>
            <w:tcW w:w="858" w:type="pct"/>
            <w:shd w:val="clear" w:color="auto" w:fill="auto"/>
          </w:tcPr>
          <w:p w14:paraId="2F1C4502" w14:textId="77777777" w:rsidR="0049746F" w:rsidRPr="00F64569" w:rsidRDefault="0049746F" w:rsidP="0049746F">
            <w:pPr>
              <w:widowControl w:val="0"/>
              <w:autoSpaceDE w:val="0"/>
              <w:autoSpaceDN w:val="0"/>
              <w:spacing w:before="1" w:after="0" w:line="240" w:lineRule="auto"/>
              <w:ind w:left="107" w:right="-4"/>
              <w:rPr>
                <w:rFonts w:ascii="Times New Roman" w:eastAsia="Arial MT" w:hAnsi="Times New Roman" w:cs="Times New Roman"/>
              </w:rPr>
            </w:pPr>
            <w:r w:rsidRPr="00F64569">
              <w:rPr>
                <w:rFonts w:ascii="Times New Roman" w:eastAsia="Arial MT" w:hAnsi="Times New Roman" w:cs="Times New Roman"/>
              </w:rPr>
              <w:t>Broj predstavnika nacionalnih manjina</w:t>
            </w:r>
          </w:p>
        </w:tc>
        <w:tc>
          <w:tcPr>
            <w:tcW w:w="1485" w:type="pct"/>
            <w:shd w:val="clear" w:color="auto" w:fill="auto"/>
          </w:tcPr>
          <w:p w14:paraId="6A9025E1" w14:textId="77777777" w:rsidR="0049746F" w:rsidRPr="00F64569" w:rsidRDefault="0049746F" w:rsidP="007F048D">
            <w:pPr>
              <w:widowControl w:val="0"/>
              <w:autoSpaceDE w:val="0"/>
              <w:autoSpaceDN w:val="0"/>
              <w:spacing w:after="0" w:line="187" w:lineRule="exact"/>
              <w:ind w:left="105"/>
              <w:rPr>
                <w:rFonts w:ascii="Times New Roman" w:eastAsia="Arial MT" w:hAnsi="Times New Roman" w:cs="Times New Roman"/>
              </w:rPr>
            </w:pPr>
            <w:r w:rsidRPr="00F64569">
              <w:rPr>
                <w:rFonts w:ascii="Times New Roman" w:eastAsia="Arial MT" w:hAnsi="Times New Roman" w:cs="Times New Roman"/>
              </w:rPr>
              <w:t>Broj predstavnika nacionalnih manjina koji djeluju na području Grada Garešnice</w:t>
            </w:r>
          </w:p>
        </w:tc>
        <w:tc>
          <w:tcPr>
            <w:tcW w:w="860" w:type="pct"/>
            <w:shd w:val="clear" w:color="auto" w:fill="auto"/>
          </w:tcPr>
          <w:p w14:paraId="370A25DF" w14:textId="77777777" w:rsidR="0049746F" w:rsidRPr="00F64569" w:rsidRDefault="0049746F" w:rsidP="0049746F">
            <w:pPr>
              <w:widowControl w:val="0"/>
              <w:autoSpaceDE w:val="0"/>
              <w:autoSpaceDN w:val="0"/>
              <w:spacing w:before="1" w:after="0" w:line="240" w:lineRule="auto"/>
              <w:ind w:left="164" w:right="137" w:firstLine="167"/>
              <w:jc w:val="center"/>
              <w:rPr>
                <w:rFonts w:ascii="Times New Roman" w:eastAsia="Arial MT" w:hAnsi="Times New Roman" w:cs="Times New Roman"/>
              </w:rPr>
            </w:pPr>
            <w:r w:rsidRPr="00F64569">
              <w:rPr>
                <w:rFonts w:ascii="Times New Roman" w:eastAsia="Arial MT" w:hAnsi="Times New Roman" w:cs="Times New Roman"/>
              </w:rPr>
              <w:t>Broj predstavnika</w:t>
            </w:r>
          </w:p>
        </w:tc>
        <w:tc>
          <w:tcPr>
            <w:tcW w:w="729" w:type="pct"/>
            <w:shd w:val="clear" w:color="auto" w:fill="auto"/>
          </w:tcPr>
          <w:p w14:paraId="2490A995" w14:textId="77777777" w:rsidR="0049746F" w:rsidRPr="00F64569" w:rsidRDefault="0049746F" w:rsidP="007F048D">
            <w:pPr>
              <w:widowControl w:val="0"/>
              <w:autoSpaceDE w:val="0"/>
              <w:autoSpaceDN w:val="0"/>
              <w:spacing w:after="0" w:line="240" w:lineRule="auto"/>
              <w:ind w:left="125" w:right="121"/>
              <w:jc w:val="center"/>
              <w:rPr>
                <w:rFonts w:ascii="Times New Roman" w:eastAsia="Arial MT" w:hAnsi="Times New Roman" w:cs="Times New Roman"/>
              </w:rPr>
            </w:pPr>
            <w:r w:rsidRPr="00F64569">
              <w:rPr>
                <w:rFonts w:ascii="Times New Roman" w:eastAsia="Arial MT" w:hAnsi="Times New Roman" w:cs="Times New Roman"/>
              </w:rPr>
              <w:t>1</w:t>
            </w:r>
          </w:p>
        </w:tc>
        <w:tc>
          <w:tcPr>
            <w:tcW w:w="599" w:type="pct"/>
            <w:shd w:val="clear" w:color="auto" w:fill="auto"/>
          </w:tcPr>
          <w:p w14:paraId="5CC677FE" w14:textId="77777777" w:rsidR="0049746F" w:rsidRPr="00F64569" w:rsidRDefault="0049746F" w:rsidP="007F048D">
            <w:pPr>
              <w:widowControl w:val="0"/>
              <w:autoSpaceDE w:val="0"/>
              <w:autoSpaceDN w:val="0"/>
              <w:spacing w:after="0" w:line="240" w:lineRule="auto"/>
              <w:ind w:right="460"/>
              <w:jc w:val="right"/>
              <w:rPr>
                <w:rFonts w:ascii="Times New Roman" w:eastAsia="Arial MT" w:hAnsi="Times New Roman" w:cs="Times New Roman"/>
              </w:rPr>
            </w:pPr>
            <w:r w:rsidRPr="00F64569">
              <w:rPr>
                <w:rFonts w:ascii="Times New Roman" w:eastAsia="Arial MT" w:hAnsi="Times New Roman" w:cs="Times New Roman"/>
              </w:rPr>
              <w:t>1</w:t>
            </w:r>
          </w:p>
        </w:tc>
        <w:tc>
          <w:tcPr>
            <w:tcW w:w="469" w:type="pct"/>
            <w:shd w:val="clear" w:color="auto" w:fill="auto"/>
          </w:tcPr>
          <w:p w14:paraId="44F63453" w14:textId="2187C3B6" w:rsidR="0049746F" w:rsidRPr="00F64569" w:rsidRDefault="0049746F" w:rsidP="0049746F">
            <w:pPr>
              <w:widowControl w:val="0"/>
              <w:autoSpaceDE w:val="0"/>
              <w:autoSpaceDN w:val="0"/>
              <w:spacing w:after="0" w:line="240" w:lineRule="auto"/>
              <w:ind w:right="1"/>
              <w:jc w:val="center"/>
              <w:rPr>
                <w:rFonts w:ascii="Times New Roman" w:eastAsia="Arial MT" w:hAnsi="Times New Roman" w:cs="Times New Roman"/>
              </w:rPr>
            </w:pPr>
            <w:r>
              <w:rPr>
                <w:rFonts w:ascii="Times New Roman" w:eastAsia="Arial MT" w:hAnsi="Times New Roman" w:cs="Times New Roman"/>
              </w:rPr>
              <w:t>100,00</w:t>
            </w:r>
          </w:p>
        </w:tc>
      </w:tr>
      <w:tr w:rsidR="0089664A" w:rsidRPr="00F64569" w14:paraId="41D03628" w14:textId="77777777" w:rsidTr="0089664A">
        <w:trPr>
          <w:trHeight w:val="757"/>
        </w:trPr>
        <w:tc>
          <w:tcPr>
            <w:tcW w:w="858" w:type="pct"/>
            <w:shd w:val="clear" w:color="auto" w:fill="auto"/>
          </w:tcPr>
          <w:p w14:paraId="67F71172" w14:textId="77777777" w:rsidR="0049746F" w:rsidRPr="00F64569" w:rsidRDefault="0049746F" w:rsidP="007F048D">
            <w:pPr>
              <w:widowControl w:val="0"/>
              <w:autoSpaceDE w:val="0"/>
              <w:autoSpaceDN w:val="0"/>
              <w:spacing w:after="0" w:line="206" w:lineRule="exact"/>
              <w:ind w:left="107"/>
              <w:rPr>
                <w:rFonts w:ascii="Times New Roman" w:eastAsia="Arial MT" w:hAnsi="Times New Roman" w:cs="Times New Roman"/>
              </w:rPr>
            </w:pPr>
            <w:r w:rsidRPr="00F64569">
              <w:rPr>
                <w:rFonts w:ascii="Times New Roman" w:eastAsia="Arial MT" w:hAnsi="Times New Roman" w:cs="Times New Roman"/>
              </w:rPr>
              <w:t>Uspješnost provedbe izbora</w:t>
            </w:r>
          </w:p>
        </w:tc>
        <w:tc>
          <w:tcPr>
            <w:tcW w:w="1485" w:type="pct"/>
            <w:shd w:val="clear" w:color="auto" w:fill="auto"/>
          </w:tcPr>
          <w:p w14:paraId="0C653655" w14:textId="77777777" w:rsidR="0049746F" w:rsidRPr="00F64569" w:rsidRDefault="0049746F" w:rsidP="007F048D">
            <w:pPr>
              <w:widowControl w:val="0"/>
              <w:autoSpaceDE w:val="0"/>
              <w:autoSpaceDN w:val="0"/>
              <w:spacing w:after="0" w:line="206" w:lineRule="exact"/>
              <w:ind w:left="107"/>
              <w:rPr>
                <w:rFonts w:ascii="Times New Roman" w:eastAsia="Arial MT" w:hAnsi="Times New Roman" w:cs="Times New Roman"/>
              </w:rPr>
            </w:pPr>
            <w:r w:rsidRPr="00F64569">
              <w:rPr>
                <w:rFonts w:ascii="Times New Roman" w:eastAsia="Arial MT" w:hAnsi="Times New Roman" w:cs="Times New Roman"/>
              </w:rPr>
              <w:t>Izvršenje svih radnji i postupaka vezanih za provedbu izbora</w:t>
            </w:r>
          </w:p>
        </w:tc>
        <w:tc>
          <w:tcPr>
            <w:tcW w:w="860" w:type="pct"/>
            <w:shd w:val="clear" w:color="auto" w:fill="auto"/>
          </w:tcPr>
          <w:p w14:paraId="21E20E48" w14:textId="77777777" w:rsidR="0049746F" w:rsidRPr="00F64569" w:rsidRDefault="0049746F" w:rsidP="0049746F">
            <w:pPr>
              <w:widowControl w:val="0"/>
              <w:autoSpaceDE w:val="0"/>
              <w:autoSpaceDN w:val="0"/>
              <w:spacing w:before="7" w:after="0" w:line="240" w:lineRule="auto"/>
              <w:jc w:val="center"/>
              <w:rPr>
                <w:rFonts w:ascii="Times New Roman" w:eastAsia="Arial MT" w:hAnsi="Times New Roman" w:cs="Times New Roman"/>
              </w:rPr>
            </w:pPr>
          </w:p>
          <w:p w14:paraId="784AAADB" w14:textId="77777777" w:rsidR="0049746F" w:rsidRPr="00F64569" w:rsidRDefault="0049746F" w:rsidP="0049746F">
            <w:pPr>
              <w:widowControl w:val="0"/>
              <w:autoSpaceDE w:val="0"/>
              <w:autoSpaceDN w:val="0"/>
              <w:spacing w:before="1" w:after="0" w:line="240" w:lineRule="auto"/>
              <w:ind w:left="164" w:right="137" w:firstLine="167"/>
              <w:jc w:val="center"/>
              <w:rPr>
                <w:rFonts w:ascii="Times New Roman" w:eastAsia="Arial MT" w:hAnsi="Times New Roman" w:cs="Times New Roman"/>
              </w:rPr>
            </w:pPr>
            <w:r w:rsidRPr="00F64569">
              <w:rPr>
                <w:rFonts w:ascii="Times New Roman" w:eastAsia="Arial MT" w:hAnsi="Times New Roman" w:cs="Times New Roman"/>
              </w:rPr>
              <w:t>%</w:t>
            </w:r>
          </w:p>
        </w:tc>
        <w:tc>
          <w:tcPr>
            <w:tcW w:w="729" w:type="pct"/>
            <w:shd w:val="clear" w:color="auto" w:fill="auto"/>
          </w:tcPr>
          <w:p w14:paraId="37E7CC9F" w14:textId="77777777" w:rsidR="0049746F" w:rsidRPr="00F64569" w:rsidRDefault="0049746F" w:rsidP="007F048D">
            <w:pPr>
              <w:widowControl w:val="0"/>
              <w:autoSpaceDE w:val="0"/>
              <w:autoSpaceDN w:val="0"/>
              <w:spacing w:after="0" w:line="240" w:lineRule="auto"/>
              <w:rPr>
                <w:rFonts w:ascii="Times New Roman" w:eastAsia="Arial MT" w:hAnsi="Times New Roman" w:cs="Times New Roman"/>
              </w:rPr>
            </w:pPr>
          </w:p>
          <w:p w14:paraId="52A1D058" w14:textId="4C56A556" w:rsidR="0049746F" w:rsidRPr="00F64569" w:rsidRDefault="0049746F" w:rsidP="007F048D">
            <w:pPr>
              <w:widowControl w:val="0"/>
              <w:autoSpaceDE w:val="0"/>
              <w:autoSpaceDN w:val="0"/>
              <w:spacing w:before="9" w:after="0" w:line="240" w:lineRule="auto"/>
              <w:jc w:val="center"/>
              <w:rPr>
                <w:rFonts w:ascii="Times New Roman" w:eastAsia="Arial MT" w:hAnsi="Times New Roman" w:cs="Times New Roman"/>
              </w:rPr>
            </w:pPr>
            <w:r>
              <w:rPr>
                <w:rFonts w:ascii="Times New Roman" w:eastAsia="Arial MT" w:hAnsi="Times New Roman" w:cs="Times New Roman"/>
              </w:rPr>
              <w:t>100%</w:t>
            </w:r>
          </w:p>
        </w:tc>
        <w:tc>
          <w:tcPr>
            <w:tcW w:w="599" w:type="pct"/>
            <w:shd w:val="clear" w:color="auto" w:fill="auto"/>
          </w:tcPr>
          <w:p w14:paraId="24C29EFB" w14:textId="77777777" w:rsidR="0049746F" w:rsidRPr="00F64569" w:rsidRDefault="0049746F" w:rsidP="007F048D">
            <w:pPr>
              <w:widowControl w:val="0"/>
              <w:autoSpaceDE w:val="0"/>
              <w:autoSpaceDN w:val="0"/>
              <w:spacing w:after="0" w:line="240" w:lineRule="auto"/>
              <w:rPr>
                <w:rFonts w:ascii="Times New Roman" w:eastAsia="Arial MT" w:hAnsi="Times New Roman" w:cs="Times New Roman"/>
              </w:rPr>
            </w:pPr>
          </w:p>
          <w:p w14:paraId="5959C2F2" w14:textId="77777777" w:rsidR="0049746F" w:rsidRPr="00F64569" w:rsidRDefault="0049746F" w:rsidP="007F048D">
            <w:pPr>
              <w:widowControl w:val="0"/>
              <w:autoSpaceDE w:val="0"/>
              <w:autoSpaceDN w:val="0"/>
              <w:spacing w:before="9" w:after="0" w:line="240" w:lineRule="auto"/>
              <w:jc w:val="center"/>
              <w:rPr>
                <w:rFonts w:ascii="Times New Roman" w:eastAsia="Arial MT" w:hAnsi="Times New Roman" w:cs="Times New Roman"/>
              </w:rPr>
            </w:pPr>
            <w:r w:rsidRPr="00F64569">
              <w:rPr>
                <w:rFonts w:ascii="Times New Roman" w:eastAsia="Arial MT" w:hAnsi="Times New Roman" w:cs="Times New Roman"/>
              </w:rPr>
              <w:t>100%</w:t>
            </w:r>
          </w:p>
        </w:tc>
        <w:tc>
          <w:tcPr>
            <w:tcW w:w="469" w:type="pct"/>
            <w:shd w:val="clear" w:color="auto" w:fill="auto"/>
          </w:tcPr>
          <w:p w14:paraId="6398ADDB" w14:textId="77777777" w:rsidR="0049746F" w:rsidRPr="00F64569" w:rsidRDefault="0049746F" w:rsidP="0049746F">
            <w:pPr>
              <w:widowControl w:val="0"/>
              <w:autoSpaceDE w:val="0"/>
              <w:autoSpaceDN w:val="0"/>
              <w:spacing w:after="0" w:line="240" w:lineRule="auto"/>
              <w:jc w:val="center"/>
              <w:rPr>
                <w:rFonts w:ascii="Times New Roman" w:eastAsia="Arial MT" w:hAnsi="Times New Roman" w:cs="Times New Roman"/>
              </w:rPr>
            </w:pPr>
          </w:p>
          <w:p w14:paraId="735292A2" w14:textId="53243309" w:rsidR="0049746F" w:rsidRPr="00F64569" w:rsidRDefault="0049746F" w:rsidP="0049746F">
            <w:pPr>
              <w:widowControl w:val="0"/>
              <w:autoSpaceDE w:val="0"/>
              <w:autoSpaceDN w:val="0"/>
              <w:spacing w:before="9" w:after="0" w:line="240" w:lineRule="auto"/>
              <w:jc w:val="center"/>
              <w:rPr>
                <w:rFonts w:ascii="Times New Roman" w:eastAsia="Arial MT" w:hAnsi="Times New Roman" w:cs="Times New Roman"/>
              </w:rPr>
            </w:pPr>
            <w:r w:rsidRPr="00F64569">
              <w:rPr>
                <w:rFonts w:ascii="Times New Roman" w:eastAsia="Arial MT" w:hAnsi="Times New Roman" w:cs="Times New Roman"/>
              </w:rPr>
              <w:t>10</w:t>
            </w:r>
            <w:r>
              <w:rPr>
                <w:rFonts w:ascii="Times New Roman" w:eastAsia="Arial MT" w:hAnsi="Times New Roman" w:cs="Times New Roman"/>
              </w:rPr>
              <w:t>0,00</w:t>
            </w:r>
          </w:p>
        </w:tc>
      </w:tr>
    </w:tbl>
    <w:p w14:paraId="5A2F51B7" w14:textId="77777777" w:rsidR="00194409" w:rsidRPr="00194409" w:rsidRDefault="00194409" w:rsidP="007F7B85">
      <w:pPr>
        <w:pStyle w:val="Podnaslov"/>
        <w:jc w:val="left"/>
        <w:rPr>
          <w:lang w:eastAsia="ar-SA"/>
        </w:rPr>
      </w:pPr>
    </w:p>
    <w:p w14:paraId="1BB21980" w14:textId="76C914AD" w:rsidR="00722358" w:rsidRPr="00722358" w:rsidRDefault="00722358" w:rsidP="00E40FD3">
      <w:pPr>
        <w:pStyle w:val="Naslov"/>
        <w:ind w:firstLine="567"/>
        <w:jc w:val="both"/>
        <w:rPr>
          <w:rFonts w:ascii="Times New Roman" w:hAnsi="Times New Roman" w:cs="Times New Roman"/>
          <w:i/>
          <w:sz w:val="22"/>
          <w:lang w:val="hr-HR"/>
        </w:rPr>
      </w:pPr>
      <w:r w:rsidRPr="00722358">
        <w:rPr>
          <w:rFonts w:ascii="Times New Roman" w:hAnsi="Times New Roman" w:cs="Times New Roman"/>
          <w:i/>
          <w:sz w:val="22"/>
          <w:lang w:val="hr-HR"/>
        </w:rPr>
        <w:t xml:space="preserve">GLAVA 00102 – Ured gradonačelnika </w:t>
      </w:r>
    </w:p>
    <w:p w14:paraId="6727C2C6" w14:textId="05411D11" w:rsidR="007F7B85" w:rsidRDefault="00722358" w:rsidP="007F7B85">
      <w:pPr>
        <w:pStyle w:val="Naslov"/>
        <w:jc w:val="both"/>
        <w:rPr>
          <w:rFonts w:ascii="Times New Roman" w:hAnsi="Times New Roman" w:cs="Times New Roman"/>
          <w:b w:val="0"/>
          <w:bCs/>
          <w:iCs/>
          <w:sz w:val="22"/>
          <w:lang w:val="hr-HR"/>
        </w:rPr>
      </w:pPr>
      <w:r w:rsidRPr="00722358">
        <w:rPr>
          <w:rFonts w:ascii="Times New Roman" w:hAnsi="Times New Roman" w:cs="Times New Roman"/>
          <w:b w:val="0"/>
          <w:bCs/>
          <w:iCs/>
          <w:sz w:val="22"/>
          <w:lang w:val="hr-HR"/>
        </w:rPr>
        <w:t>Gradonačelnik zastupa Grad Garešnicu i nositelj je izvršne vlasti Grada Garešnice sukladno čemu obavlja poslove određene Zakonom o lokalnoj i područnoj (regionalnoj) samoupravi i Statutom Grada Garešnice. Grad Garešnica ima jednog zamjenika gradonačelnika koji nema zasnovan  radni odnos u Gradu</w:t>
      </w:r>
      <w:r w:rsidR="007F7B85">
        <w:rPr>
          <w:rFonts w:ascii="Times New Roman" w:hAnsi="Times New Roman" w:cs="Times New Roman"/>
          <w:b w:val="0"/>
          <w:bCs/>
          <w:iCs/>
          <w:sz w:val="22"/>
          <w:lang w:val="hr-HR"/>
        </w:rPr>
        <w:t>.</w:t>
      </w:r>
    </w:p>
    <w:p w14:paraId="070B91EF" w14:textId="77777777" w:rsidR="007F7B85" w:rsidRPr="007F7B85" w:rsidRDefault="007F7B85" w:rsidP="007F7B85">
      <w:pPr>
        <w:pStyle w:val="Podnaslov"/>
        <w:spacing w:after="0"/>
        <w:rPr>
          <w:sz w:val="16"/>
          <w:szCs w:val="16"/>
          <w:lang w:eastAsia="ar-SA"/>
        </w:rPr>
      </w:pPr>
    </w:p>
    <w:p w14:paraId="30CE8F01" w14:textId="416894FD" w:rsidR="00722358" w:rsidRPr="008D4A5C" w:rsidRDefault="00722358" w:rsidP="007F7B85">
      <w:pPr>
        <w:pStyle w:val="Naslov"/>
        <w:ind w:firstLine="567"/>
        <w:jc w:val="both"/>
        <w:rPr>
          <w:rFonts w:ascii="Times New Roman" w:hAnsi="Times New Roman" w:cs="Times New Roman"/>
          <w:b w:val="0"/>
          <w:sz w:val="22"/>
          <w:lang w:val="hr-HR"/>
        </w:rPr>
      </w:pPr>
      <w:r w:rsidRPr="00722358">
        <w:rPr>
          <w:rFonts w:ascii="Times New Roman" w:hAnsi="Times New Roman" w:cs="Times New Roman"/>
          <w:sz w:val="22"/>
          <w:lang w:val="hr-HR"/>
        </w:rPr>
        <w:t>Program 1001</w:t>
      </w:r>
      <w:r w:rsidRPr="00722358">
        <w:rPr>
          <w:rFonts w:ascii="Times New Roman" w:hAnsi="Times New Roman" w:cs="Times New Roman"/>
          <w:b w:val="0"/>
          <w:sz w:val="22"/>
          <w:lang w:val="hr-HR"/>
        </w:rPr>
        <w:t xml:space="preserve"> – Donošenje akata i mjera iz djelokruga predstavničkog i izvršnog tijela. </w:t>
      </w:r>
    </w:p>
    <w:p w14:paraId="10C68596" w14:textId="77777777" w:rsidR="0071603B" w:rsidRDefault="0071603B" w:rsidP="007F7B85">
      <w:pPr>
        <w:pStyle w:val="Naslov"/>
        <w:jc w:val="both"/>
        <w:rPr>
          <w:rFonts w:ascii="Times New Roman" w:hAnsi="Times New Roman" w:cs="Times New Roman"/>
          <w:b w:val="0"/>
          <w:bCs/>
          <w:iCs/>
          <w:sz w:val="22"/>
          <w:lang w:val="hr-HR"/>
        </w:rPr>
      </w:pPr>
    </w:p>
    <w:p w14:paraId="6ADC65E3" w14:textId="1C13CF26" w:rsidR="00F86366" w:rsidRPr="00F64569" w:rsidRDefault="00F86366" w:rsidP="00F86366">
      <w:pPr>
        <w:spacing w:after="0" w:line="240" w:lineRule="auto"/>
        <w:jc w:val="both"/>
        <w:rPr>
          <w:rFonts w:ascii="Times New Roman" w:hAnsi="Times New Roman" w:cs="Times New Roman"/>
          <w:bCs/>
          <w:lang w:eastAsia="hr-HR"/>
        </w:rPr>
      </w:pPr>
      <w:r w:rsidRPr="00F64569">
        <w:rPr>
          <w:rFonts w:ascii="Times New Roman" w:hAnsi="Times New Roman" w:cs="Times New Roman"/>
          <w:bCs/>
          <w:lang w:eastAsia="hr-HR"/>
        </w:rPr>
        <w:t xml:space="preserve">Za provođenje programa </w:t>
      </w:r>
      <w:r>
        <w:rPr>
          <w:rFonts w:ascii="Times New Roman" w:hAnsi="Times New Roman" w:cs="Times New Roman"/>
          <w:bCs/>
          <w:lang w:eastAsia="hr-HR"/>
        </w:rPr>
        <w:t xml:space="preserve">bilo je </w:t>
      </w:r>
      <w:r w:rsidRPr="00F64569">
        <w:rPr>
          <w:rFonts w:ascii="Times New Roman" w:hAnsi="Times New Roman" w:cs="Times New Roman"/>
          <w:bCs/>
          <w:lang w:eastAsia="hr-HR"/>
        </w:rPr>
        <w:t>potrebno:</w:t>
      </w:r>
    </w:p>
    <w:p w14:paraId="243D9FCA" w14:textId="77777777" w:rsidR="00F86366" w:rsidRPr="00F64569" w:rsidRDefault="00F86366" w:rsidP="00F86366">
      <w:pPr>
        <w:spacing w:after="0" w:line="240" w:lineRule="auto"/>
        <w:rPr>
          <w:rFonts w:ascii="Times New Roman" w:hAnsi="Times New Roman" w:cs="Times New Roman"/>
          <w:bCs/>
          <w:lang w:eastAsia="hr-HR"/>
        </w:rPr>
      </w:pPr>
      <w:r w:rsidRPr="00F64569">
        <w:rPr>
          <w:rFonts w:ascii="Times New Roman" w:hAnsi="Times New Roman" w:cs="Times New Roman"/>
          <w:bCs/>
          <w:lang w:eastAsia="hr-HR"/>
        </w:rPr>
        <w:t xml:space="preserve">- osigurati materijalne i druge uvjete za redovno funkcioniranje  izvršne vlasti Grada Garešnice, </w:t>
      </w:r>
    </w:p>
    <w:p w14:paraId="6B27D8A1" w14:textId="77777777" w:rsidR="00F86366" w:rsidRPr="00F64569" w:rsidRDefault="00F86366" w:rsidP="00F86366">
      <w:pPr>
        <w:spacing w:after="0" w:line="240" w:lineRule="auto"/>
        <w:jc w:val="both"/>
        <w:rPr>
          <w:rFonts w:ascii="Times New Roman" w:hAnsi="Times New Roman" w:cs="Times New Roman"/>
          <w:bCs/>
          <w:lang w:eastAsia="hr-HR"/>
        </w:rPr>
      </w:pPr>
      <w:r w:rsidRPr="00F64569">
        <w:rPr>
          <w:rFonts w:ascii="Times New Roman" w:hAnsi="Times New Roman" w:cs="Times New Roman"/>
          <w:bCs/>
          <w:lang w:eastAsia="hr-HR"/>
        </w:rPr>
        <w:t xml:space="preserve">- pravovremeno i aktivno sudjelovati u otklanjanju nepredvidivih elementarnih nepogoda, epidemija, ekoloških i ostalih nepredvidivih nesreća odnosno izvanrednih događanja tijekom godine te </w:t>
      </w:r>
    </w:p>
    <w:p w14:paraId="72AE86EE" w14:textId="65B8ED46" w:rsidR="00F86366" w:rsidRPr="00F64569" w:rsidRDefault="00F86366" w:rsidP="007F7B85">
      <w:pPr>
        <w:tabs>
          <w:tab w:val="left" w:pos="0"/>
        </w:tabs>
        <w:spacing w:after="0" w:line="240" w:lineRule="auto"/>
        <w:rPr>
          <w:rFonts w:ascii="Times New Roman" w:hAnsi="Times New Roman" w:cs="Times New Roman"/>
          <w:lang w:eastAsia="hr-HR"/>
        </w:rPr>
      </w:pPr>
      <w:r w:rsidRPr="00F86366">
        <w:rPr>
          <w:rFonts w:ascii="Times New Roman" w:hAnsi="Times New Roman" w:cs="Times New Roman"/>
          <w:bCs/>
          <w:lang w:eastAsia="hr-HR"/>
        </w:rPr>
        <w:t>- osigurati</w:t>
      </w:r>
      <w:r>
        <w:rPr>
          <w:rFonts w:ascii="Times New Roman" w:hAnsi="Times New Roman" w:cs="Times New Roman"/>
          <w:bCs/>
          <w:sz w:val="24"/>
          <w:szCs w:val="20"/>
          <w:lang w:eastAsia="hr-HR"/>
        </w:rPr>
        <w:t xml:space="preserve"> </w:t>
      </w:r>
      <w:r w:rsidRPr="00F64569">
        <w:rPr>
          <w:rFonts w:ascii="Times New Roman" w:hAnsi="Times New Roman" w:cs="Times New Roman"/>
          <w:lang w:eastAsia="hr-HR"/>
        </w:rPr>
        <w:t xml:space="preserve">održavanje tradicije te gospodarska,  turistička i kulturna promidžba Grada. </w:t>
      </w:r>
    </w:p>
    <w:p w14:paraId="060FF0F3" w14:textId="77777777" w:rsidR="00F86366" w:rsidRDefault="00F86366" w:rsidP="007F7B85">
      <w:pPr>
        <w:spacing w:after="0"/>
        <w:rPr>
          <w:rFonts w:ascii="Times New Roman" w:hAnsi="Times New Roman" w:cs="Times New Roman"/>
          <w:bCs/>
          <w:lang w:eastAsia="hr-HR"/>
        </w:rPr>
      </w:pPr>
    </w:p>
    <w:p w14:paraId="6D0086DC" w14:textId="6AFFE39C" w:rsidR="00F86366" w:rsidRPr="00F86366" w:rsidRDefault="00F86366" w:rsidP="00F86366">
      <w:pPr>
        <w:rPr>
          <w:rFonts w:ascii="Times New Roman" w:hAnsi="Times New Roman" w:cs="Times New Roman"/>
          <w:bCs/>
          <w:lang w:eastAsia="hr-HR"/>
        </w:rPr>
      </w:pPr>
      <w:r w:rsidRPr="00F86366">
        <w:rPr>
          <w:rFonts w:ascii="Times New Roman" w:hAnsi="Times New Roman" w:cs="Times New Roman"/>
          <w:bCs/>
          <w:lang w:eastAsia="hr-HR"/>
        </w:rPr>
        <w:t>Izvršenje aktivnosti unutar programa: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2"/>
        <w:gridCol w:w="1607"/>
        <w:gridCol w:w="1471"/>
        <w:gridCol w:w="1470"/>
      </w:tblGrid>
      <w:tr w:rsidR="00F86366" w:rsidRPr="00F64569" w14:paraId="67FA1FB3" w14:textId="77777777" w:rsidTr="00F86366">
        <w:tc>
          <w:tcPr>
            <w:tcW w:w="2490" w:type="pct"/>
            <w:shd w:val="clear" w:color="auto" w:fill="D0CECE"/>
          </w:tcPr>
          <w:p w14:paraId="2A5DC695" w14:textId="77777777" w:rsidR="00F86366" w:rsidRPr="00F64569" w:rsidRDefault="00F86366" w:rsidP="007F048D">
            <w:pPr>
              <w:spacing w:after="0" w:line="240" w:lineRule="auto"/>
              <w:jc w:val="both"/>
              <w:rPr>
                <w:rFonts w:ascii="Times New Roman" w:eastAsia="Calibri" w:hAnsi="Times New Roman" w:cs="Times New Roman"/>
                <w:b/>
                <w:bCs/>
              </w:rPr>
            </w:pPr>
            <w:r w:rsidRPr="00F64569">
              <w:rPr>
                <w:rFonts w:ascii="Times New Roman" w:eastAsia="Calibri" w:hAnsi="Times New Roman" w:cs="Times New Roman"/>
                <w:b/>
                <w:bCs/>
              </w:rPr>
              <w:t>Naziv aktivnosti/projekta</w:t>
            </w:r>
          </w:p>
        </w:tc>
        <w:tc>
          <w:tcPr>
            <w:tcW w:w="887" w:type="pct"/>
            <w:shd w:val="clear" w:color="auto" w:fill="D0CECE"/>
          </w:tcPr>
          <w:p w14:paraId="6A980D48" w14:textId="73B9D014" w:rsidR="00F86366" w:rsidRPr="00F64569" w:rsidRDefault="00F86366" w:rsidP="007F048D">
            <w:pPr>
              <w:spacing w:after="0" w:line="240" w:lineRule="auto"/>
              <w:jc w:val="center"/>
              <w:rPr>
                <w:rFonts w:ascii="Times New Roman" w:eastAsia="Calibri" w:hAnsi="Times New Roman" w:cs="Times New Roman"/>
                <w:b/>
                <w:bCs/>
              </w:rPr>
            </w:pPr>
            <w:r>
              <w:rPr>
                <w:rFonts w:ascii="Times New Roman" w:eastAsia="Calibri" w:hAnsi="Times New Roman" w:cs="Times New Roman"/>
                <w:b/>
                <w:bCs/>
              </w:rPr>
              <w:t xml:space="preserve">Rebalans </w:t>
            </w:r>
            <w:r w:rsidRPr="00F64569">
              <w:rPr>
                <w:rFonts w:ascii="Times New Roman" w:eastAsia="Calibri" w:hAnsi="Times New Roman" w:cs="Times New Roman"/>
                <w:b/>
                <w:bCs/>
              </w:rPr>
              <w:t>2024.</w:t>
            </w:r>
          </w:p>
        </w:tc>
        <w:tc>
          <w:tcPr>
            <w:tcW w:w="812" w:type="pct"/>
            <w:shd w:val="clear" w:color="auto" w:fill="D0CECE"/>
          </w:tcPr>
          <w:p w14:paraId="6642641D" w14:textId="30A68DFB" w:rsidR="00F86366" w:rsidRPr="00F64569" w:rsidRDefault="00F86366" w:rsidP="007F048D">
            <w:pPr>
              <w:spacing w:after="0" w:line="240" w:lineRule="auto"/>
              <w:jc w:val="center"/>
              <w:rPr>
                <w:rFonts w:ascii="Times New Roman" w:eastAsia="Calibri" w:hAnsi="Times New Roman" w:cs="Times New Roman"/>
                <w:b/>
                <w:bCs/>
              </w:rPr>
            </w:pPr>
            <w:r>
              <w:rPr>
                <w:rFonts w:ascii="Times New Roman" w:eastAsia="Calibri" w:hAnsi="Times New Roman" w:cs="Times New Roman"/>
                <w:b/>
                <w:bCs/>
              </w:rPr>
              <w:t>Izvršenje</w:t>
            </w:r>
          </w:p>
        </w:tc>
        <w:tc>
          <w:tcPr>
            <w:tcW w:w="812" w:type="pct"/>
            <w:shd w:val="clear" w:color="auto" w:fill="D0CECE"/>
          </w:tcPr>
          <w:p w14:paraId="1C078806" w14:textId="0D090E3A" w:rsidR="00F86366" w:rsidRPr="00F64569" w:rsidRDefault="00F86366" w:rsidP="007F048D">
            <w:pPr>
              <w:spacing w:after="0" w:line="240" w:lineRule="auto"/>
              <w:jc w:val="center"/>
              <w:rPr>
                <w:rFonts w:ascii="Times New Roman" w:eastAsia="Calibri" w:hAnsi="Times New Roman" w:cs="Times New Roman"/>
                <w:b/>
                <w:bCs/>
              </w:rPr>
            </w:pPr>
            <w:r>
              <w:rPr>
                <w:rFonts w:ascii="Times New Roman" w:eastAsia="Calibri" w:hAnsi="Times New Roman" w:cs="Times New Roman"/>
                <w:b/>
                <w:bCs/>
              </w:rPr>
              <w:t>Indeks</w:t>
            </w:r>
          </w:p>
        </w:tc>
      </w:tr>
      <w:tr w:rsidR="00F86366" w:rsidRPr="00F64569" w14:paraId="6B1D773B" w14:textId="77777777" w:rsidTr="00F86366">
        <w:tc>
          <w:tcPr>
            <w:tcW w:w="2490" w:type="pct"/>
            <w:shd w:val="clear" w:color="auto" w:fill="auto"/>
          </w:tcPr>
          <w:p w14:paraId="019F07D9" w14:textId="77777777" w:rsidR="00F86366" w:rsidRPr="00F64569" w:rsidRDefault="00F86366" w:rsidP="00F86366">
            <w:pPr>
              <w:spacing w:after="0" w:line="240" w:lineRule="auto"/>
              <w:rPr>
                <w:rFonts w:ascii="Times New Roman" w:eastAsia="Calibri" w:hAnsi="Times New Roman" w:cs="Times New Roman"/>
              </w:rPr>
            </w:pPr>
            <w:r w:rsidRPr="00F64569">
              <w:rPr>
                <w:rFonts w:ascii="Times New Roman" w:eastAsia="Calibri" w:hAnsi="Times New Roman" w:cs="Times New Roman"/>
              </w:rPr>
              <w:t>Aktivnost A100102 Redovan rad ureda gradonačelnika</w:t>
            </w:r>
          </w:p>
        </w:tc>
        <w:tc>
          <w:tcPr>
            <w:tcW w:w="887" w:type="pct"/>
            <w:shd w:val="clear" w:color="auto" w:fill="auto"/>
            <w:vAlign w:val="center"/>
          </w:tcPr>
          <w:p w14:paraId="4CFCBFEF" w14:textId="25D7A559" w:rsidR="00F86366" w:rsidRPr="00F64569" w:rsidRDefault="00F86366" w:rsidP="00F86366">
            <w:pPr>
              <w:spacing w:after="0" w:line="240" w:lineRule="auto"/>
              <w:jc w:val="right"/>
              <w:rPr>
                <w:rFonts w:ascii="Times New Roman" w:eastAsia="Calibri" w:hAnsi="Times New Roman" w:cs="Times New Roman"/>
              </w:rPr>
            </w:pPr>
            <w:r w:rsidRPr="00F64569">
              <w:rPr>
                <w:rFonts w:ascii="Times New Roman" w:eastAsia="Calibri" w:hAnsi="Times New Roman" w:cs="Times New Roman"/>
                <w:color w:val="000000"/>
                <w:lang w:val="en-US"/>
              </w:rPr>
              <w:t>59.400,00</w:t>
            </w:r>
          </w:p>
        </w:tc>
        <w:tc>
          <w:tcPr>
            <w:tcW w:w="812" w:type="pct"/>
            <w:shd w:val="clear" w:color="auto" w:fill="auto"/>
            <w:vAlign w:val="center"/>
          </w:tcPr>
          <w:p w14:paraId="175C2532" w14:textId="4EECC380" w:rsidR="00F86366" w:rsidRPr="00F64569" w:rsidRDefault="00F86366" w:rsidP="00F86366">
            <w:pPr>
              <w:spacing w:after="0" w:line="240" w:lineRule="auto"/>
              <w:jc w:val="right"/>
              <w:rPr>
                <w:rFonts w:ascii="Times New Roman" w:eastAsia="Calibri" w:hAnsi="Times New Roman" w:cs="Times New Roman"/>
              </w:rPr>
            </w:pPr>
            <w:r>
              <w:rPr>
                <w:rFonts w:ascii="Times New Roman" w:eastAsia="Calibri" w:hAnsi="Times New Roman" w:cs="Times New Roman"/>
              </w:rPr>
              <w:t>57.269,96</w:t>
            </w:r>
          </w:p>
        </w:tc>
        <w:tc>
          <w:tcPr>
            <w:tcW w:w="812" w:type="pct"/>
            <w:shd w:val="clear" w:color="auto" w:fill="auto"/>
            <w:vAlign w:val="center"/>
          </w:tcPr>
          <w:p w14:paraId="450BA749" w14:textId="2CD2DB01" w:rsidR="00F86366" w:rsidRPr="00F64569" w:rsidRDefault="00F86366" w:rsidP="00F86366">
            <w:pPr>
              <w:spacing w:after="0" w:line="240" w:lineRule="auto"/>
              <w:jc w:val="center"/>
              <w:rPr>
                <w:rFonts w:ascii="Times New Roman" w:eastAsia="Calibri" w:hAnsi="Times New Roman" w:cs="Times New Roman"/>
              </w:rPr>
            </w:pPr>
            <w:r>
              <w:rPr>
                <w:rFonts w:ascii="Times New Roman" w:eastAsia="Calibri" w:hAnsi="Times New Roman" w:cs="Times New Roman"/>
              </w:rPr>
              <w:t>96,41</w:t>
            </w:r>
          </w:p>
        </w:tc>
      </w:tr>
      <w:tr w:rsidR="00F86366" w:rsidRPr="00F64569" w14:paraId="5FA2040A" w14:textId="77777777" w:rsidTr="00F86366">
        <w:tc>
          <w:tcPr>
            <w:tcW w:w="2490" w:type="pct"/>
            <w:shd w:val="clear" w:color="auto" w:fill="auto"/>
          </w:tcPr>
          <w:p w14:paraId="6473F8DC" w14:textId="77777777" w:rsidR="00F86366" w:rsidRPr="00F64569" w:rsidRDefault="00F86366" w:rsidP="00F86366">
            <w:pPr>
              <w:spacing w:after="0" w:line="240" w:lineRule="auto"/>
              <w:rPr>
                <w:rFonts w:ascii="Times New Roman" w:eastAsia="Calibri" w:hAnsi="Times New Roman" w:cs="Times New Roman"/>
              </w:rPr>
            </w:pPr>
            <w:r w:rsidRPr="00F64569">
              <w:rPr>
                <w:rFonts w:ascii="Times New Roman" w:eastAsia="Calibri" w:hAnsi="Times New Roman" w:cs="Times New Roman"/>
              </w:rPr>
              <w:t>Aktivnost A100103 Tekuća zaliha proračuna</w:t>
            </w:r>
          </w:p>
        </w:tc>
        <w:tc>
          <w:tcPr>
            <w:tcW w:w="887" w:type="pct"/>
            <w:shd w:val="clear" w:color="auto" w:fill="auto"/>
            <w:vAlign w:val="center"/>
          </w:tcPr>
          <w:p w14:paraId="501EF573" w14:textId="58325C32" w:rsidR="00F86366" w:rsidRPr="00F64569" w:rsidRDefault="00F86366" w:rsidP="00F86366">
            <w:pPr>
              <w:spacing w:after="0" w:line="240" w:lineRule="auto"/>
              <w:jc w:val="right"/>
              <w:rPr>
                <w:rFonts w:ascii="Times New Roman" w:eastAsia="Calibri" w:hAnsi="Times New Roman" w:cs="Times New Roman"/>
              </w:rPr>
            </w:pPr>
            <w:r w:rsidRPr="00F64569">
              <w:rPr>
                <w:rFonts w:ascii="Times New Roman" w:eastAsia="Calibri" w:hAnsi="Times New Roman" w:cs="Times New Roman"/>
                <w:color w:val="000000"/>
                <w:lang w:val="en-US"/>
              </w:rPr>
              <w:t>4.000,00</w:t>
            </w:r>
          </w:p>
        </w:tc>
        <w:tc>
          <w:tcPr>
            <w:tcW w:w="812" w:type="pct"/>
            <w:shd w:val="clear" w:color="auto" w:fill="auto"/>
            <w:vAlign w:val="center"/>
          </w:tcPr>
          <w:p w14:paraId="4EBB1B56" w14:textId="0AAE0A62" w:rsidR="00F86366" w:rsidRPr="00F64569" w:rsidRDefault="00F86366" w:rsidP="00F86366">
            <w:pPr>
              <w:spacing w:after="0" w:line="240" w:lineRule="auto"/>
              <w:jc w:val="right"/>
              <w:rPr>
                <w:rFonts w:ascii="Times New Roman" w:eastAsia="Calibri" w:hAnsi="Times New Roman" w:cs="Times New Roman"/>
              </w:rPr>
            </w:pPr>
            <w:r>
              <w:rPr>
                <w:rFonts w:ascii="Times New Roman" w:eastAsia="Calibri" w:hAnsi="Times New Roman" w:cs="Times New Roman"/>
              </w:rPr>
              <w:t>0,00</w:t>
            </w:r>
          </w:p>
        </w:tc>
        <w:tc>
          <w:tcPr>
            <w:tcW w:w="812" w:type="pct"/>
            <w:shd w:val="clear" w:color="auto" w:fill="auto"/>
            <w:vAlign w:val="center"/>
          </w:tcPr>
          <w:p w14:paraId="7B1494EB" w14:textId="32F6F9E5" w:rsidR="00F86366" w:rsidRPr="00F64569" w:rsidRDefault="00F86366" w:rsidP="00F86366">
            <w:pPr>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r>
      <w:tr w:rsidR="00F86366" w:rsidRPr="00F64569" w14:paraId="211F5886" w14:textId="77777777" w:rsidTr="00F86366">
        <w:tc>
          <w:tcPr>
            <w:tcW w:w="2490" w:type="pct"/>
            <w:shd w:val="clear" w:color="auto" w:fill="auto"/>
          </w:tcPr>
          <w:p w14:paraId="6581D975" w14:textId="77777777" w:rsidR="00F86366" w:rsidRPr="00F64569" w:rsidRDefault="00F86366" w:rsidP="00F86366">
            <w:pPr>
              <w:spacing w:after="0" w:line="240" w:lineRule="auto"/>
              <w:rPr>
                <w:rFonts w:ascii="Times New Roman" w:eastAsia="Calibri" w:hAnsi="Times New Roman" w:cs="Times New Roman"/>
              </w:rPr>
            </w:pPr>
            <w:r w:rsidRPr="00F64569">
              <w:rPr>
                <w:rFonts w:ascii="Times New Roman" w:eastAsia="Calibri" w:hAnsi="Times New Roman" w:cs="Times New Roman"/>
              </w:rPr>
              <w:t>Aktivnost A100104 Obilježavanje dana Grada Garešnice</w:t>
            </w:r>
          </w:p>
        </w:tc>
        <w:tc>
          <w:tcPr>
            <w:tcW w:w="887" w:type="pct"/>
            <w:shd w:val="clear" w:color="auto" w:fill="auto"/>
            <w:vAlign w:val="center"/>
          </w:tcPr>
          <w:p w14:paraId="418057F0" w14:textId="0A9D8D85" w:rsidR="00F86366" w:rsidRPr="00F64569" w:rsidRDefault="00F86366" w:rsidP="00F86366">
            <w:pPr>
              <w:spacing w:after="0" w:line="240" w:lineRule="auto"/>
              <w:jc w:val="right"/>
              <w:rPr>
                <w:rFonts w:ascii="Times New Roman" w:eastAsia="Calibri" w:hAnsi="Times New Roman" w:cs="Times New Roman"/>
              </w:rPr>
            </w:pPr>
            <w:r w:rsidRPr="00F64569">
              <w:rPr>
                <w:rFonts w:ascii="Times New Roman" w:eastAsia="Calibri" w:hAnsi="Times New Roman" w:cs="Times New Roman"/>
                <w:color w:val="000000"/>
                <w:lang w:val="en-US"/>
              </w:rPr>
              <w:t>17.690,00</w:t>
            </w:r>
          </w:p>
        </w:tc>
        <w:tc>
          <w:tcPr>
            <w:tcW w:w="812" w:type="pct"/>
            <w:shd w:val="clear" w:color="auto" w:fill="auto"/>
            <w:vAlign w:val="center"/>
          </w:tcPr>
          <w:p w14:paraId="73BA6462" w14:textId="4D2AD8BC" w:rsidR="00F86366" w:rsidRPr="00F64569" w:rsidRDefault="00F86366" w:rsidP="00F86366">
            <w:pPr>
              <w:spacing w:after="0" w:line="240" w:lineRule="auto"/>
              <w:jc w:val="right"/>
              <w:rPr>
                <w:rFonts w:ascii="Times New Roman" w:eastAsia="Calibri" w:hAnsi="Times New Roman" w:cs="Times New Roman"/>
              </w:rPr>
            </w:pPr>
            <w:r>
              <w:rPr>
                <w:rFonts w:ascii="Times New Roman" w:eastAsia="Calibri" w:hAnsi="Times New Roman" w:cs="Times New Roman"/>
              </w:rPr>
              <w:t>17.447,97</w:t>
            </w:r>
          </w:p>
        </w:tc>
        <w:tc>
          <w:tcPr>
            <w:tcW w:w="812" w:type="pct"/>
            <w:shd w:val="clear" w:color="auto" w:fill="auto"/>
            <w:vAlign w:val="center"/>
          </w:tcPr>
          <w:p w14:paraId="50A9E768" w14:textId="43D2C831" w:rsidR="00F86366" w:rsidRPr="00F64569" w:rsidRDefault="00F86366" w:rsidP="00F86366">
            <w:pPr>
              <w:spacing w:after="0" w:line="240" w:lineRule="auto"/>
              <w:jc w:val="center"/>
              <w:rPr>
                <w:rFonts w:ascii="Times New Roman" w:eastAsia="Calibri" w:hAnsi="Times New Roman" w:cs="Times New Roman"/>
              </w:rPr>
            </w:pPr>
            <w:r>
              <w:rPr>
                <w:rFonts w:ascii="Times New Roman" w:eastAsia="Calibri" w:hAnsi="Times New Roman" w:cs="Times New Roman"/>
              </w:rPr>
              <w:t>98,63</w:t>
            </w:r>
          </w:p>
        </w:tc>
      </w:tr>
      <w:tr w:rsidR="00F86366" w:rsidRPr="00F64569" w14:paraId="19D24CD3" w14:textId="77777777" w:rsidTr="00F86366">
        <w:tc>
          <w:tcPr>
            <w:tcW w:w="2490" w:type="pct"/>
            <w:shd w:val="clear" w:color="auto" w:fill="auto"/>
          </w:tcPr>
          <w:p w14:paraId="4A93DB0E" w14:textId="77777777" w:rsidR="00F86366" w:rsidRPr="00F64569" w:rsidRDefault="00F86366" w:rsidP="00F86366">
            <w:pPr>
              <w:spacing w:after="0" w:line="240" w:lineRule="auto"/>
              <w:rPr>
                <w:rFonts w:ascii="Times New Roman" w:eastAsia="Calibri" w:hAnsi="Times New Roman" w:cs="Times New Roman"/>
              </w:rPr>
            </w:pPr>
            <w:r w:rsidRPr="00F64569">
              <w:rPr>
                <w:rFonts w:ascii="Times New Roman" w:eastAsia="Calibri" w:hAnsi="Times New Roman" w:cs="Times New Roman"/>
              </w:rPr>
              <w:t>Aktivnost A100105 Obilježavanje prigodnih datuma, obljetnica, događanja i slično</w:t>
            </w:r>
          </w:p>
        </w:tc>
        <w:tc>
          <w:tcPr>
            <w:tcW w:w="887" w:type="pct"/>
            <w:shd w:val="clear" w:color="auto" w:fill="auto"/>
            <w:vAlign w:val="center"/>
          </w:tcPr>
          <w:p w14:paraId="254781C7" w14:textId="25A1C779" w:rsidR="00F86366" w:rsidRPr="00F64569" w:rsidRDefault="00F86366" w:rsidP="00F86366">
            <w:pPr>
              <w:spacing w:after="0" w:line="240" w:lineRule="auto"/>
              <w:jc w:val="right"/>
              <w:rPr>
                <w:rFonts w:ascii="Times New Roman" w:eastAsia="Calibri" w:hAnsi="Times New Roman" w:cs="Times New Roman"/>
              </w:rPr>
            </w:pPr>
            <w:r w:rsidRPr="00F64569">
              <w:rPr>
                <w:rFonts w:ascii="Times New Roman" w:eastAsia="Calibri" w:hAnsi="Times New Roman" w:cs="Times New Roman"/>
                <w:color w:val="000000"/>
                <w:lang w:val="en-US"/>
              </w:rPr>
              <w:t>33.000,00</w:t>
            </w:r>
          </w:p>
        </w:tc>
        <w:tc>
          <w:tcPr>
            <w:tcW w:w="812" w:type="pct"/>
            <w:shd w:val="clear" w:color="auto" w:fill="auto"/>
            <w:vAlign w:val="center"/>
          </w:tcPr>
          <w:p w14:paraId="434A7307" w14:textId="3A2E00FC" w:rsidR="00F86366" w:rsidRPr="00F64569" w:rsidRDefault="00F86366" w:rsidP="00F86366">
            <w:pPr>
              <w:spacing w:after="0" w:line="240" w:lineRule="auto"/>
              <w:jc w:val="right"/>
              <w:rPr>
                <w:rFonts w:ascii="Times New Roman" w:eastAsia="Calibri" w:hAnsi="Times New Roman" w:cs="Times New Roman"/>
              </w:rPr>
            </w:pPr>
            <w:r>
              <w:rPr>
                <w:rFonts w:ascii="Times New Roman" w:eastAsia="Calibri" w:hAnsi="Times New Roman" w:cs="Times New Roman"/>
              </w:rPr>
              <w:t>25.348,45</w:t>
            </w:r>
          </w:p>
        </w:tc>
        <w:tc>
          <w:tcPr>
            <w:tcW w:w="812" w:type="pct"/>
            <w:shd w:val="clear" w:color="auto" w:fill="auto"/>
            <w:vAlign w:val="center"/>
          </w:tcPr>
          <w:p w14:paraId="1A2BB52D" w14:textId="789C6FEC" w:rsidR="00F86366" w:rsidRPr="00F64569" w:rsidRDefault="00F86366" w:rsidP="00F86366">
            <w:pPr>
              <w:spacing w:after="0" w:line="240" w:lineRule="auto"/>
              <w:jc w:val="center"/>
              <w:rPr>
                <w:rFonts w:ascii="Times New Roman" w:eastAsia="Calibri" w:hAnsi="Times New Roman" w:cs="Times New Roman"/>
              </w:rPr>
            </w:pPr>
            <w:r>
              <w:rPr>
                <w:rFonts w:ascii="Times New Roman" w:eastAsia="Calibri" w:hAnsi="Times New Roman" w:cs="Times New Roman"/>
              </w:rPr>
              <w:t>76,81</w:t>
            </w:r>
          </w:p>
        </w:tc>
      </w:tr>
      <w:tr w:rsidR="00F86366" w:rsidRPr="00F64569" w14:paraId="634EA6E1" w14:textId="77777777" w:rsidTr="00F86366">
        <w:tc>
          <w:tcPr>
            <w:tcW w:w="2490" w:type="pct"/>
            <w:shd w:val="clear" w:color="auto" w:fill="auto"/>
          </w:tcPr>
          <w:p w14:paraId="33DA0D73" w14:textId="77777777" w:rsidR="00F86366" w:rsidRPr="00F64569" w:rsidRDefault="00F86366" w:rsidP="00F86366">
            <w:pPr>
              <w:tabs>
                <w:tab w:val="left" w:pos="2569"/>
              </w:tabs>
              <w:spacing w:after="0" w:line="240" w:lineRule="auto"/>
              <w:jc w:val="both"/>
              <w:rPr>
                <w:rFonts w:ascii="Times New Roman" w:eastAsia="Calibri" w:hAnsi="Times New Roman" w:cs="Times New Roman"/>
                <w:b/>
                <w:bCs/>
              </w:rPr>
            </w:pPr>
            <w:r w:rsidRPr="00F64569">
              <w:rPr>
                <w:rFonts w:ascii="Times New Roman" w:eastAsia="Calibri" w:hAnsi="Times New Roman" w:cs="Times New Roman"/>
                <w:b/>
                <w:bCs/>
              </w:rPr>
              <w:t>Ukupno program</w:t>
            </w:r>
          </w:p>
        </w:tc>
        <w:tc>
          <w:tcPr>
            <w:tcW w:w="887" w:type="pct"/>
            <w:shd w:val="clear" w:color="auto" w:fill="auto"/>
            <w:vAlign w:val="center"/>
          </w:tcPr>
          <w:p w14:paraId="4F42C39A" w14:textId="0370D3DB" w:rsidR="00F86366" w:rsidRPr="00F64569" w:rsidRDefault="00F86366" w:rsidP="00F86366">
            <w:pPr>
              <w:spacing w:after="0" w:line="240" w:lineRule="auto"/>
              <w:jc w:val="right"/>
              <w:rPr>
                <w:rFonts w:ascii="Times New Roman" w:eastAsia="Calibri" w:hAnsi="Times New Roman" w:cs="Times New Roman"/>
                <w:b/>
                <w:bCs/>
              </w:rPr>
            </w:pPr>
            <w:r w:rsidRPr="00F64569">
              <w:rPr>
                <w:rFonts w:ascii="Times New Roman" w:eastAsia="Calibri" w:hAnsi="Times New Roman" w:cs="Times New Roman"/>
                <w:b/>
                <w:bCs/>
                <w:color w:val="000000"/>
                <w:lang w:val="en-US"/>
              </w:rPr>
              <w:t>114.090,00</w:t>
            </w:r>
          </w:p>
        </w:tc>
        <w:tc>
          <w:tcPr>
            <w:tcW w:w="812" w:type="pct"/>
            <w:shd w:val="clear" w:color="auto" w:fill="auto"/>
            <w:vAlign w:val="center"/>
          </w:tcPr>
          <w:p w14:paraId="4F56C815" w14:textId="2499B21F" w:rsidR="00F86366" w:rsidRPr="00F64569" w:rsidRDefault="00F86366" w:rsidP="00F86366">
            <w:pPr>
              <w:spacing w:after="0" w:line="240" w:lineRule="auto"/>
              <w:jc w:val="right"/>
              <w:rPr>
                <w:rFonts w:ascii="Times New Roman" w:eastAsia="Calibri" w:hAnsi="Times New Roman" w:cs="Times New Roman"/>
                <w:b/>
                <w:bCs/>
              </w:rPr>
            </w:pPr>
            <w:r>
              <w:rPr>
                <w:rFonts w:ascii="Times New Roman" w:eastAsia="Calibri" w:hAnsi="Times New Roman" w:cs="Times New Roman"/>
                <w:b/>
                <w:bCs/>
              </w:rPr>
              <w:t>100.066,38</w:t>
            </w:r>
          </w:p>
        </w:tc>
        <w:tc>
          <w:tcPr>
            <w:tcW w:w="812" w:type="pct"/>
            <w:shd w:val="clear" w:color="auto" w:fill="auto"/>
            <w:vAlign w:val="center"/>
          </w:tcPr>
          <w:p w14:paraId="4F469F00" w14:textId="31BAD88A" w:rsidR="00F86366" w:rsidRPr="00F64569" w:rsidRDefault="00F86366" w:rsidP="00F86366">
            <w:pPr>
              <w:spacing w:after="0" w:line="240" w:lineRule="auto"/>
              <w:jc w:val="center"/>
              <w:rPr>
                <w:rFonts w:ascii="Times New Roman" w:eastAsia="Calibri" w:hAnsi="Times New Roman" w:cs="Times New Roman"/>
                <w:b/>
                <w:bCs/>
              </w:rPr>
            </w:pPr>
            <w:r>
              <w:rPr>
                <w:rFonts w:ascii="Times New Roman" w:eastAsia="Calibri" w:hAnsi="Times New Roman" w:cs="Times New Roman"/>
                <w:b/>
                <w:bCs/>
              </w:rPr>
              <w:t>87,71</w:t>
            </w:r>
          </w:p>
        </w:tc>
      </w:tr>
    </w:tbl>
    <w:p w14:paraId="75E9E949" w14:textId="77777777" w:rsidR="007F7B85" w:rsidRPr="007F7B85" w:rsidRDefault="007F7B85" w:rsidP="00F86366">
      <w:pPr>
        <w:tabs>
          <w:tab w:val="left" w:pos="0"/>
        </w:tabs>
        <w:spacing w:after="0" w:line="240" w:lineRule="auto"/>
        <w:jc w:val="both"/>
        <w:rPr>
          <w:rFonts w:ascii="Times New Roman" w:hAnsi="Times New Roman" w:cs="Times New Roman"/>
          <w:b/>
          <w:bCs/>
          <w:sz w:val="16"/>
          <w:szCs w:val="16"/>
          <w:lang w:eastAsia="hr-HR"/>
        </w:rPr>
      </w:pPr>
    </w:p>
    <w:p w14:paraId="52A1BC11" w14:textId="735DF0C0" w:rsidR="00F86366" w:rsidRPr="00F64569" w:rsidRDefault="00F86366" w:rsidP="00F86366">
      <w:pPr>
        <w:tabs>
          <w:tab w:val="left" w:pos="0"/>
        </w:tabs>
        <w:spacing w:after="0" w:line="240" w:lineRule="auto"/>
        <w:jc w:val="both"/>
        <w:rPr>
          <w:rFonts w:ascii="Times New Roman" w:hAnsi="Times New Roman" w:cs="Times New Roman"/>
          <w:b/>
          <w:bCs/>
          <w:lang w:eastAsia="hr-HR"/>
        </w:rPr>
      </w:pPr>
      <w:r w:rsidRPr="00F64569">
        <w:rPr>
          <w:rFonts w:ascii="Times New Roman" w:hAnsi="Times New Roman" w:cs="Times New Roman"/>
          <w:b/>
          <w:bCs/>
          <w:lang w:eastAsia="hr-HR"/>
        </w:rPr>
        <w:t>Aktivnost A100102 Redovan rad ureda gradonačelnika</w:t>
      </w:r>
    </w:p>
    <w:p w14:paraId="21B8AC8C" w14:textId="42E695F0" w:rsidR="00F86366" w:rsidRPr="00F64569" w:rsidRDefault="00F86366" w:rsidP="00F86366">
      <w:pPr>
        <w:tabs>
          <w:tab w:val="left" w:pos="0"/>
        </w:tabs>
        <w:spacing w:after="0" w:line="240" w:lineRule="auto"/>
        <w:jc w:val="both"/>
        <w:rPr>
          <w:rFonts w:ascii="Times New Roman" w:hAnsi="Times New Roman" w:cs="Times New Roman"/>
          <w:lang w:eastAsia="hr-HR"/>
        </w:rPr>
      </w:pPr>
      <w:r w:rsidRPr="00F64569">
        <w:rPr>
          <w:rFonts w:ascii="Times New Roman" w:hAnsi="Times New Roman" w:cs="Times New Roman"/>
          <w:lang w:eastAsia="hr-HR"/>
        </w:rPr>
        <w:t>Ova aktivnost obuhvaća troškove plaće gradonačelnika, naknade za rad zamjenika gradonačelnika, naknada za prijevoz i troškove službenih putovanja. Troškovi su planirani</w:t>
      </w:r>
      <w:r>
        <w:rPr>
          <w:rFonts w:ascii="Times New Roman" w:hAnsi="Times New Roman" w:cs="Times New Roman"/>
          <w:lang w:eastAsia="hr-HR"/>
        </w:rPr>
        <w:t xml:space="preserve"> i izvršeni</w:t>
      </w:r>
      <w:r w:rsidRPr="00F64569">
        <w:rPr>
          <w:rFonts w:ascii="Times New Roman" w:hAnsi="Times New Roman" w:cs="Times New Roman"/>
          <w:lang w:eastAsia="hr-HR"/>
        </w:rPr>
        <w:t xml:space="preserve"> temeljem Zakona o plaćama u lokalnoj (regionalnoj) samoupravi  i Odluke o plaći gradonačelnika i visini naknade za rad zamjenicima gradonačelnika koji dužnost obavljaju bez zasnivanja radnog odnosa.</w:t>
      </w:r>
    </w:p>
    <w:p w14:paraId="44C03E91" w14:textId="77777777" w:rsidR="00F86366" w:rsidRPr="00F64569" w:rsidRDefault="00F86366" w:rsidP="00F86366">
      <w:pPr>
        <w:tabs>
          <w:tab w:val="left" w:pos="0"/>
        </w:tabs>
        <w:spacing w:after="0" w:line="240" w:lineRule="auto"/>
        <w:jc w:val="both"/>
        <w:rPr>
          <w:rFonts w:ascii="Times New Roman" w:hAnsi="Times New Roman" w:cs="Times New Roman"/>
          <w:lang w:eastAsia="hr-HR"/>
        </w:rPr>
      </w:pPr>
    </w:p>
    <w:p w14:paraId="1E2D1400" w14:textId="77777777" w:rsidR="00F86366" w:rsidRPr="00F64569" w:rsidRDefault="00F86366" w:rsidP="00F86366">
      <w:pPr>
        <w:spacing w:after="0" w:line="240" w:lineRule="auto"/>
        <w:jc w:val="both"/>
        <w:rPr>
          <w:rFonts w:ascii="Times New Roman" w:eastAsia="Calibri" w:hAnsi="Times New Roman" w:cs="Times New Roman"/>
          <w:b/>
          <w:bCs/>
        </w:rPr>
      </w:pPr>
      <w:r w:rsidRPr="00F64569">
        <w:rPr>
          <w:rFonts w:ascii="Times New Roman" w:eastAsia="Calibri" w:hAnsi="Times New Roman" w:cs="Times New Roman"/>
          <w:b/>
          <w:bCs/>
        </w:rPr>
        <w:t>Aktivnost A100103 Tekuća zaliha proračuna</w:t>
      </w:r>
    </w:p>
    <w:p w14:paraId="4264F6E0" w14:textId="16C2B091" w:rsidR="00F86366" w:rsidRPr="00F64569" w:rsidRDefault="00F86366" w:rsidP="00F86366">
      <w:pPr>
        <w:widowControl w:val="0"/>
        <w:autoSpaceDE w:val="0"/>
        <w:autoSpaceDN w:val="0"/>
        <w:spacing w:after="0" w:line="240" w:lineRule="auto"/>
        <w:jc w:val="both"/>
        <w:rPr>
          <w:rFonts w:ascii="Times New Roman" w:hAnsi="Times New Roman" w:cs="Times New Roman"/>
          <w:lang w:eastAsia="hr-HR"/>
        </w:rPr>
      </w:pPr>
      <w:r w:rsidRPr="00F64569">
        <w:rPr>
          <w:rFonts w:ascii="Times New Roman" w:hAnsi="Times New Roman" w:cs="Times New Roman"/>
          <w:lang w:eastAsia="hr-HR"/>
        </w:rPr>
        <w:t xml:space="preserve">Sukladno članku 65. Zakona o proračunu sredstva proračunske zalihe koriste se za financiranje rashoda nastalih pri otklanjanju posljedice elementarnih nepogoda, epidemija, ekoloških i ostalih nepredvidivih nesreća odnosno izvanrednih događanja tijekom godine. Ista mogu iznositi najviše 0,5 posto planiranih </w:t>
      </w:r>
      <w:r w:rsidRPr="00F64569">
        <w:rPr>
          <w:rFonts w:ascii="Times New Roman" w:hAnsi="Times New Roman" w:cs="Times New Roman"/>
          <w:lang w:eastAsia="hr-HR"/>
        </w:rPr>
        <w:lastRenderedPageBreak/>
        <w:t xml:space="preserve">općih prihoda bez primitaka. U 2024. godini o korištenju sredstava Proračunske zalihe odlučuje Gradonačelnik sukladno Odluci o izvršavanju proračuna. </w:t>
      </w:r>
      <w:r>
        <w:rPr>
          <w:rFonts w:ascii="Times New Roman" w:hAnsi="Times New Roman" w:cs="Times New Roman"/>
          <w:lang w:eastAsia="hr-HR"/>
        </w:rPr>
        <w:t>U 2024. godini nisu trošena sredstva proračunske zalihe.</w:t>
      </w:r>
    </w:p>
    <w:p w14:paraId="365FD607" w14:textId="77777777" w:rsidR="00F86366" w:rsidRPr="00F64569" w:rsidRDefault="00F86366" w:rsidP="00F86366">
      <w:pPr>
        <w:tabs>
          <w:tab w:val="left" w:pos="0"/>
        </w:tabs>
        <w:spacing w:after="0" w:line="240" w:lineRule="auto"/>
        <w:jc w:val="both"/>
        <w:rPr>
          <w:rFonts w:ascii="Times New Roman" w:hAnsi="Times New Roman" w:cs="Times New Roman"/>
          <w:lang w:eastAsia="hr-HR"/>
        </w:rPr>
      </w:pPr>
    </w:p>
    <w:p w14:paraId="15A29E8A" w14:textId="77777777" w:rsidR="00F86366" w:rsidRPr="00F64569" w:rsidRDefault="00F86366" w:rsidP="00F86366">
      <w:pPr>
        <w:tabs>
          <w:tab w:val="left" w:pos="0"/>
        </w:tabs>
        <w:spacing w:after="0" w:line="240" w:lineRule="auto"/>
        <w:jc w:val="both"/>
        <w:rPr>
          <w:rFonts w:ascii="Times New Roman" w:hAnsi="Times New Roman" w:cs="Times New Roman"/>
          <w:lang w:eastAsia="hr-HR"/>
        </w:rPr>
      </w:pPr>
    </w:p>
    <w:p w14:paraId="1AA8DF5D" w14:textId="77777777" w:rsidR="00F86366" w:rsidRPr="00F64569" w:rsidRDefault="00F86366" w:rsidP="00F86366">
      <w:pPr>
        <w:tabs>
          <w:tab w:val="left" w:pos="0"/>
        </w:tabs>
        <w:spacing w:after="0" w:line="240" w:lineRule="auto"/>
        <w:jc w:val="both"/>
        <w:rPr>
          <w:rFonts w:ascii="Times New Roman" w:hAnsi="Times New Roman" w:cs="Times New Roman"/>
          <w:b/>
          <w:bCs/>
          <w:lang w:eastAsia="hr-HR"/>
        </w:rPr>
      </w:pPr>
      <w:r w:rsidRPr="00F64569">
        <w:rPr>
          <w:rFonts w:ascii="Times New Roman" w:hAnsi="Times New Roman" w:cs="Times New Roman"/>
          <w:b/>
          <w:bCs/>
          <w:lang w:eastAsia="hr-HR"/>
        </w:rPr>
        <w:t>Aktivnost A100104</w:t>
      </w:r>
      <w:r w:rsidRPr="00F64569">
        <w:rPr>
          <w:rFonts w:ascii="Times New Roman" w:hAnsi="Times New Roman" w:cs="Times New Roman"/>
          <w:lang w:eastAsia="hr-HR"/>
        </w:rPr>
        <w:t xml:space="preserve"> </w:t>
      </w:r>
      <w:r w:rsidRPr="00F64569">
        <w:rPr>
          <w:rFonts w:ascii="Times New Roman" w:hAnsi="Times New Roman" w:cs="Times New Roman"/>
          <w:b/>
          <w:bCs/>
          <w:lang w:eastAsia="hr-HR"/>
        </w:rPr>
        <w:t>Obilježavanje dana Grada Garešnice i</w:t>
      </w:r>
    </w:p>
    <w:p w14:paraId="5B8DB459" w14:textId="77777777" w:rsidR="00F86366" w:rsidRPr="00F64569" w:rsidRDefault="00F86366" w:rsidP="00F86366">
      <w:pPr>
        <w:tabs>
          <w:tab w:val="left" w:pos="0"/>
        </w:tabs>
        <w:spacing w:after="0" w:line="240" w:lineRule="auto"/>
        <w:jc w:val="both"/>
        <w:rPr>
          <w:rFonts w:ascii="Times New Roman" w:hAnsi="Times New Roman" w:cs="Times New Roman"/>
          <w:b/>
          <w:bCs/>
          <w:lang w:eastAsia="hr-HR"/>
        </w:rPr>
      </w:pPr>
      <w:r w:rsidRPr="00F64569">
        <w:rPr>
          <w:rFonts w:ascii="Times New Roman" w:hAnsi="Times New Roman" w:cs="Times New Roman"/>
          <w:b/>
          <w:bCs/>
          <w:lang w:eastAsia="hr-HR"/>
        </w:rPr>
        <w:t>Aktivnost A100105 Obilježavanje prigodnih datuma, obljetnica, događanja i slično</w:t>
      </w:r>
    </w:p>
    <w:p w14:paraId="664C91B2" w14:textId="77777777" w:rsidR="00F86366" w:rsidRPr="00F64569" w:rsidRDefault="00F86366" w:rsidP="00F86366">
      <w:pPr>
        <w:tabs>
          <w:tab w:val="left" w:pos="0"/>
        </w:tabs>
        <w:spacing w:after="0" w:line="240" w:lineRule="auto"/>
        <w:jc w:val="both"/>
        <w:rPr>
          <w:rFonts w:ascii="Times New Roman" w:hAnsi="Times New Roman" w:cs="Times New Roman"/>
          <w:lang w:eastAsia="hr-HR"/>
        </w:rPr>
      </w:pPr>
    </w:p>
    <w:p w14:paraId="227E51ED" w14:textId="77777777" w:rsidR="00F86366" w:rsidRPr="00F64569" w:rsidRDefault="00F86366" w:rsidP="00F86366">
      <w:pPr>
        <w:tabs>
          <w:tab w:val="left" w:pos="0"/>
        </w:tabs>
        <w:spacing w:after="0" w:line="240" w:lineRule="auto"/>
        <w:jc w:val="both"/>
        <w:rPr>
          <w:rFonts w:ascii="Times New Roman" w:hAnsi="Times New Roman" w:cs="Times New Roman"/>
          <w:lang w:eastAsia="hr-HR"/>
        </w:rPr>
      </w:pPr>
      <w:r w:rsidRPr="00F64569">
        <w:rPr>
          <w:rFonts w:ascii="Times New Roman" w:hAnsi="Times New Roman" w:cs="Times New Roman"/>
          <w:lang w:eastAsia="hr-HR"/>
        </w:rPr>
        <w:t xml:space="preserve">Istim aktivnostima obuhvaćene su organizacije raznih manifestacija u Gradu Garešnici i pokroviteljstva Grada na značajnim priredbama i obljetnicama. Cilj održavanja gradskih manifestacija je održavanje tradicije, te gospodarska,  turistička i kulturna promidžba Grada. </w:t>
      </w:r>
    </w:p>
    <w:p w14:paraId="6319B907" w14:textId="2C3439B1" w:rsidR="00F86366" w:rsidRPr="00F64569" w:rsidRDefault="00F86366" w:rsidP="00F86366">
      <w:pPr>
        <w:tabs>
          <w:tab w:val="left" w:pos="0"/>
        </w:tabs>
        <w:spacing w:after="0" w:line="240" w:lineRule="auto"/>
        <w:jc w:val="both"/>
        <w:rPr>
          <w:rFonts w:ascii="Times New Roman" w:hAnsi="Times New Roman" w:cs="Times New Roman"/>
          <w:lang w:eastAsia="hr-HR"/>
        </w:rPr>
      </w:pPr>
      <w:r w:rsidRPr="00F64569">
        <w:rPr>
          <w:rFonts w:ascii="Times New Roman" w:hAnsi="Times New Roman" w:cs="Times New Roman"/>
          <w:lang w:eastAsia="hr-HR"/>
        </w:rPr>
        <w:t xml:space="preserve">Planirane </w:t>
      </w:r>
      <w:r w:rsidR="0090235B">
        <w:rPr>
          <w:rFonts w:ascii="Times New Roman" w:hAnsi="Times New Roman" w:cs="Times New Roman"/>
          <w:lang w:eastAsia="hr-HR"/>
        </w:rPr>
        <w:t>su i izvršene slijedeće manifestacije</w:t>
      </w:r>
      <w:r w:rsidRPr="00F64569">
        <w:rPr>
          <w:rFonts w:ascii="Times New Roman" w:hAnsi="Times New Roman" w:cs="Times New Roman"/>
          <w:lang w:eastAsia="hr-HR"/>
        </w:rPr>
        <w:t xml:space="preserve">: Obilježavanje dana Grada Garešnice, Uskršnji koncert, Gastro – flora, obilježavanje Međunarodnog praznika rada, </w:t>
      </w:r>
      <w:proofErr w:type="spellStart"/>
      <w:r w:rsidR="0090235B">
        <w:rPr>
          <w:rFonts w:ascii="Times New Roman" w:hAnsi="Times New Roman" w:cs="Times New Roman"/>
          <w:lang w:eastAsia="hr-HR"/>
        </w:rPr>
        <w:t>Biciklijada</w:t>
      </w:r>
      <w:proofErr w:type="spellEnd"/>
      <w:r w:rsidR="0090235B">
        <w:rPr>
          <w:rFonts w:ascii="Times New Roman" w:hAnsi="Times New Roman" w:cs="Times New Roman"/>
          <w:lang w:eastAsia="hr-HR"/>
        </w:rPr>
        <w:t>,</w:t>
      </w:r>
      <w:r w:rsidRPr="00F64569">
        <w:rPr>
          <w:rFonts w:ascii="Times New Roman" w:hAnsi="Times New Roman" w:cs="Times New Roman"/>
          <w:lang w:eastAsia="hr-HR"/>
        </w:rPr>
        <w:t xml:space="preserve"> </w:t>
      </w:r>
      <w:r w:rsidR="0090235B">
        <w:rPr>
          <w:rFonts w:ascii="Times New Roman" w:hAnsi="Times New Roman" w:cs="Times New Roman"/>
          <w:lang w:eastAsia="hr-HR"/>
        </w:rPr>
        <w:t xml:space="preserve">Obilježavanje 100. godina nogometnog kluba Tomašica, </w:t>
      </w:r>
      <w:r w:rsidRPr="00F64569">
        <w:rPr>
          <w:rFonts w:ascii="Times New Roman" w:hAnsi="Times New Roman" w:cs="Times New Roman"/>
          <w:lang w:eastAsia="hr-HR"/>
        </w:rPr>
        <w:t xml:space="preserve">Dana Državnosti,  Dana branitelja, </w:t>
      </w:r>
      <w:proofErr w:type="spellStart"/>
      <w:r w:rsidRPr="00F64569">
        <w:rPr>
          <w:rFonts w:ascii="Times New Roman" w:hAnsi="Times New Roman" w:cs="Times New Roman"/>
          <w:lang w:eastAsia="hr-HR"/>
        </w:rPr>
        <w:t>Gariglazbijada</w:t>
      </w:r>
      <w:proofErr w:type="spellEnd"/>
      <w:r w:rsidRPr="00F64569">
        <w:rPr>
          <w:rFonts w:ascii="Times New Roman" w:hAnsi="Times New Roman" w:cs="Times New Roman"/>
          <w:lang w:eastAsia="hr-HR"/>
        </w:rPr>
        <w:t>,</w:t>
      </w:r>
      <w:r w:rsidR="0090235B">
        <w:rPr>
          <w:rFonts w:ascii="Times New Roman" w:hAnsi="Times New Roman" w:cs="Times New Roman"/>
          <w:lang w:eastAsia="hr-HR"/>
        </w:rPr>
        <w:t xml:space="preserve"> </w:t>
      </w:r>
      <w:proofErr w:type="spellStart"/>
      <w:r w:rsidR="0090235B">
        <w:rPr>
          <w:rFonts w:ascii="Times New Roman" w:hAnsi="Times New Roman" w:cs="Times New Roman"/>
          <w:lang w:eastAsia="hr-HR"/>
        </w:rPr>
        <w:t>Fijakerijada</w:t>
      </w:r>
      <w:proofErr w:type="spellEnd"/>
      <w:r w:rsidR="0090235B">
        <w:rPr>
          <w:rFonts w:ascii="Times New Roman" w:hAnsi="Times New Roman" w:cs="Times New Roman"/>
          <w:lang w:eastAsia="hr-HR"/>
        </w:rPr>
        <w:t>, Dan Brestovaca,</w:t>
      </w:r>
      <w:r w:rsidRPr="00F64569">
        <w:rPr>
          <w:rFonts w:ascii="Times New Roman" w:hAnsi="Times New Roman" w:cs="Times New Roman"/>
          <w:lang w:eastAsia="hr-HR"/>
        </w:rPr>
        <w:t xml:space="preserve"> Advent u Garešnici</w:t>
      </w:r>
      <w:r w:rsidR="0090235B">
        <w:rPr>
          <w:rFonts w:ascii="Times New Roman" w:hAnsi="Times New Roman" w:cs="Times New Roman"/>
          <w:lang w:eastAsia="hr-HR"/>
        </w:rPr>
        <w:t>, obilježivanje Zlatnog pira građana Grada Gar</w:t>
      </w:r>
      <w:r w:rsidR="00AA7B77">
        <w:rPr>
          <w:rFonts w:ascii="Times New Roman" w:hAnsi="Times New Roman" w:cs="Times New Roman"/>
          <w:lang w:eastAsia="hr-HR"/>
        </w:rPr>
        <w:t>e</w:t>
      </w:r>
      <w:r w:rsidR="0090235B">
        <w:rPr>
          <w:rFonts w:ascii="Times New Roman" w:hAnsi="Times New Roman" w:cs="Times New Roman"/>
          <w:lang w:eastAsia="hr-HR"/>
        </w:rPr>
        <w:t>šnice.</w:t>
      </w:r>
    </w:p>
    <w:p w14:paraId="25C97B48" w14:textId="77777777" w:rsidR="00F86366" w:rsidRDefault="00F86366" w:rsidP="00F86366">
      <w:pPr>
        <w:rPr>
          <w:lang w:eastAsia="ar-SA"/>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701"/>
        <w:gridCol w:w="983"/>
        <w:gridCol w:w="1232"/>
        <w:gridCol w:w="1232"/>
        <w:gridCol w:w="1232"/>
      </w:tblGrid>
      <w:tr w:rsidR="00F86366" w:rsidRPr="00F64569" w14:paraId="7318CD94" w14:textId="77777777" w:rsidTr="00F86366">
        <w:tc>
          <w:tcPr>
            <w:tcW w:w="3085" w:type="dxa"/>
            <w:shd w:val="clear" w:color="auto" w:fill="D0CECE"/>
          </w:tcPr>
          <w:p w14:paraId="626A3492" w14:textId="77777777" w:rsidR="00F86366" w:rsidRPr="00F64569" w:rsidRDefault="00F86366" w:rsidP="007F048D">
            <w:pPr>
              <w:spacing w:after="0" w:line="240" w:lineRule="auto"/>
              <w:rPr>
                <w:rFonts w:ascii="Times New Roman" w:eastAsia="Calibri" w:hAnsi="Times New Roman" w:cs="Times New Roman"/>
                <w:b/>
                <w:bCs/>
              </w:rPr>
            </w:pPr>
            <w:r w:rsidRPr="00F64569">
              <w:rPr>
                <w:rFonts w:ascii="Times New Roman" w:eastAsia="Calibri" w:hAnsi="Times New Roman" w:cs="Times New Roman"/>
                <w:b/>
                <w:bCs/>
              </w:rPr>
              <w:t>Pokazatelj rezultata</w:t>
            </w:r>
          </w:p>
        </w:tc>
        <w:tc>
          <w:tcPr>
            <w:tcW w:w="1701" w:type="dxa"/>
            <w:shd w:val="clear" w:color="auto" w:fill="D0CECE"/>
          </w:tcPr>
          <w:p w14:paraId="1F6FBFA0" w14:textId="77777777" w:rsidR="00F86366" w:rsidRPr="00F64569" w:rsidRDefault="00F86366" w:rsidP="007F048D">
            <w:pPr>
              <w:spacing w:after="0" w:line="240" w:lineRule="auto"/>
              <w:rPr>
                <w:rFonts w:ascii="Times New Roman" w:eastAsia="Calibri" w:hAnsi="Times New Roman" w:cs="Times New Roman"/>
                <w:b/>
                <w:bCs/>
              </w:rPr>
            </w:pPr>
            <w:r w:rsidRPr="00F64569">
              <w:rPr>
                <w:rFonts w:ascii="Times New Roman" w:eastAsia="Calibri" w:hAnsi="Times New Roman" w:cs="Times New Roman"/>
                <w:b/>
                <w:bCs/>
              </w:rPr>
              <w:t>Definicija pokazatelja</w:t>
            </w:r>
          </w:p>
        </w:tc>
        <w:tc>
          <w:tcPr>
            <w:tcW w:w="983" w:type="dxa"/>
            <w:shd w:val="clear" w:color="auto" w:fill="D0CECE"/>
          </w:tcPr>
          <w:p w14:paraId="1D1716E6" w14:textId="77777777" w:rsidR="00F86366" w:rsidRPr="00F64569" w:rsidRDefault="00F86366" w:rsidP="007F048D">
            <w:pPr>
              <w:spacing w:after="0" w:line="240" w:lineRule="auto"/>
              <w:rPr>
                <w:rFonts w:ascii="Times New Roman" w:eastAsia="Calibri" w:hAnsi="Times New Roman" w:cs="Times New Roman"/>
                <w:b/>
                <w:bCs/>
              </w:rPr>
            </w:pPr>
            <w:r w:rsidRPr="00F64569">
              <w:rPr>
                <w:rFonts w:ascii="Times New Roman" w:eastAsia="Calibri" w:hAnsi="Times New Roman" w:cs="Times New Roman"/>
                <w:b/>
                <w:bCs/>
              </w:rPr>
              <w:t>jedinica</w:t>
            </w:r>
          </w:p>
        </w:tc>
        <w:tc>
          <w:tcPr>
            <w:tcW w:w="1232" w:type="dxa"/>
            <w:shd w:val="clear" w:color="auto" w:fill="D0CECE"/>
          </w:tcPr>
          <w:p w14:paraId="68912FA3" w14:textId="77777777" w:rsidR="00F86366" w:rsidRPr="00F64569" w:rsidRDefault="00F86366" w:rsidP="007F048D">
            <w:pPr>
              <w:spacing w:after="0" w:line="240" w:lineRule="auto"/>
              <w:rPr>
                <w:rFonts w:ascii="Times New Roman" w:eastAsia="Calibri" w:hAnsi="Times New Roman" w:cs="Times New Roman"/>
                <w:b/>
                <w:bCs/>
              </w:rPr>
            </w:pPr>
            <w:r w:rsidRPr="00F64569">
              <w:rPr>
                <w:rFonts w:ascii="Times New Roman" w:eastAsia="Calibri" w:hAnsi="Times New Roman" w:cs="Times New Roman"/>
                <w:b/>
                <w:bCs/>
              </w:rPr>
              <w:t>Ciljana vrijednost</w:t>
            </w:r>
          </w:p>
          <w:p w14:paraId="24DD7D6C" w14:textId="77777777" w:rsidR="00F86366" w:rsidRPr="00F64569" w:rsidRDefault="00F86366" w:rsidP="007F048D">
            <w:pPr>
              <w:spacing w:after="0" w:line="240" w:lineRule="auto"/>
              <w:rPr>
                <w:rFonts w:ascii="Times New Roman" w:eastAsia="Calibri" w:hAnsi="Times New Roman" w:cs="Times New Roman"/>
                <w:b/>
                <w:bCs/>
              </w:rPr>
            </w:pPr>
            <w:r w:rsidRPr="00F64569">
              <w:rPr>
                <w:rFonts w:ascii="Times New Roman" w:eastAsia="Calibri" w:hAnsi="Times New Roman" w:cs="Times New Roman"/>
                <w:b/>
                <w:bCs/>
              </w:rPr>
              <w:t>2024.</w:t>
            </w:r>
          </w:p>
        </w:tc>
        <w:tc>
          <w:tcPr>
            <w:tcW w:w="1232" w:type="dxa"/>
            <w:shd w:val="clear" w:color="auto" w:fill="D0CECE"/>
          </w:tcPr>
          <w:p w14:paraId="60215FB7" w14:textId="1BD28D66" w:rsidR="00F86366" w:rsidRPr="00F64569" w:rsidRDefault="00F86366" w:rsidP="00F86366">
            <w:pPr>
              <w:spacing w:after="0" w:line="240" w:lineRule="auto"/>
              <w:ind w:left="-27"/>
              <w:jc w:val="center"/>
              <w:rPr>
                <w:rFonts w:ascii="Times New Roman" w:eastAsia="Calibri" w:hAnsi="Times New Roman" w:cs="Times New Roman"/>
                <w:b/>
                <w:bCs/>
              </w:rPr>
            </w:pPr>
            <w:r>
              <w:rPr>
                <w:rFonts w:ascii="Times New Roman" w:eastAsia="Calibri" w:hAnsi="Times New Roman" w:cs="Times New Roman"/>
                <w:b/>
                <w:bCs/>
              </w:rPr>
              <w:t>Izvršeno</w:t>
            </w:r>
          </w:p>
        </w:tc>
        <w:tc>
          <w:tcPr>
            <w:tcW w:w="1232" w:type="dxa"/>
            <w:shd w:val="clear" w:color="auto" w:fill="D0CECE"/>
          </w:tcPr>
          <w:p w14:paraId="7B61D441" w14:textId="1A769E32" w:rsidR="00F86366" w:rsidRPr="00F64569" w:rsidRDefault="00F86366" w:rsidP="007F048D">
            <w:pPr>
              <w:spacing w:after="0" w:line="240" w:lineRule="auto"/>
              <w:rPr>
                <w:rFonts w:ascii="Times New Roman" w:eastAsia="Calibri" w:hAnsi="Times New Roman" w:cs="Times New Roman"/>
                <w:b/>
                <w:bCs/>
              </w:rPr>
            </w:pPr>
            <w:r>
              <w:rPr>
                <w:rFonts w:ascii="Times New Roman" w:eastAsia="Calibri" w:hAnsi="Times New Roman" w:cs="Times New Roman"/>
                <w:b/>
                <w:bCs/>
              </w:rPr>
              <w:t>Indeks</w:t>
            </w:r>
          </w:p>
        </w:tc>
      </w:tr>
      <w:tr w:rsidR="00F86366" w:rsidRPr="00F64569" w14:paraId="5427FF7B" w14:textId="77777777" w:rsidTr="00F86366">
        <w:tc>
          <w:tcPr>
            <w:tcW w:w="3085" w:type="dxa"/>
            <w:shd w:val="clear" w:color="auto" w:fill="auto"/>
          </w:tcPr>
          <w:p w14:paraId="19938C4C" w14:textId="77777777" w:rsidR="00F86366" w:rsidRPr="00F64569" w:rsidRDefault="00F86366" w:rsidP="007F048D">
            <w:pPr>
              <w:spacing w:after="0" w:line="240" w:lineRule="auto"/>
              <w:rPr>
                <w:rFonts w:ascii="Times New Roman" w:eastAsia="Calibri" w:hAnsi="Times New Roman" w:cs="Times New Roman"/>
              </w:rPr>
            </w:pPr>
            <w:r w:rsidRPr="00F64569">
              <w:rPr>
                <w:rFonts w:ascii="Times New Roman" w:eastAsia="Calibri" w:hAnsi="Times New Roman" w:cs="Times New Roman"/>
              </w:rPr>
              <w:t>Broj organiziranih gradskih manifestacija i pokroviteljstva manifestacija od značaja za Grad Garešnicu</w:t>
            </w:r>
          </w:p>
        </w:tc>
        <w:tc>
          <w:tcPr>
            <w:tcW w:w="1701" w:type="dxa"/>
            <w:shd w:val="clear" w:color="auto" w:fill="auto"/>
          </w:tcPr>
          <w:p w14:paraId="4C79F7E1" w14:textId="77777777" w:rsidR="00F86366" w:rsidRPr="00F64569" w:rsidRDefault="00F86366" w:rsidP="007F048D">
            <w:pPr>
              <w:spacing w:after="0" w:line="240" w:lineRule="auto"/>
              <w:rPr>
                <w:rFonts w:ascii="Times New Roman" w:eastAsia="Calibri" w:hAnsi="Times New Roman" w:cs="Times New Roman"/>
              </w:rPr>
            </w:pPr>
            <w:r w:rsidRPr="00F64569">
              <w:rPr>
                <w:rFonts w:ascii="Times New Roman" w:eastAsia="Calibri" w:hAnsi="Times New Roman" w:cs="Times New Roman"/>
              </w:rPr>
              <w:t>Organizacija manifestacija i pokroviteljstava</w:t>
            </w:r>
          </w:p>
        </w:tc>
        <w:tc>
          <w:tcPr>
            <w:tcW w:w="983" w:type="dxa"/>
            <w:shd w:val="clear" w:color="auto" w:fill="auto"/>
          </w:tcPr>
          <w:p w14:paraId="7E275C62" w14:textId="77777777" w:rsidR="00F86366" w:rsidRPr="00F64569" w:rsidRDefault="00F86366" w:rsidP="007F048D">
            <w:pPr>
              <w:spacing w:after="0" w:line="240" w:lineRule="auto"/>
              <w:rPr>
                <w:rFonts w:ascii="Times New Roman" w:eastAsia="Calibri" w:hAnsi="Times New Roman" w:cs="Times New Roman"/>
              </w:rPr>
            </w:pPr>
            <w:r w:rsidRPr="00F64569">
              <w:rPr>
                <w:rFonts w:ascii="Times New Roman" w:eastAsia="Calibri" w:hAnsi="Times New Roman" w:cs="Times New Roman"/>
              </w:rPr>
              <w:t>Broj manifestacija</w:t>
            </w:r>
          </w:p>
        </w:tc>
        <w:tc>
          <w:tcPr>
            <w:tcW w:w="1232" w:type="dxa"/>
            <w:shd w:val="clear" w:color="auto" w:fill="auto"/>
          </w:tcPr>
          <w:p w14:paraId="50AE3815" w14:textId="77777777" w:rsidR="00F86366" w:rsidRPr="00F64569" w:rsidRDefault="00F86366" w:rsidP="007F048D">
            <w:pPr>
              <w:spacing w:after="0" w:line="240" w:lineRule="auto"/>
              <w:jc w:val="center"/>
              <w:rPr>
                <w:rFonts w:ascii="Times New Roman" w:eastAsia="Calibri" w:hAnsi="Times New Roman" w:cs="Times New Roman"/>
              </w:rPr>
            </w:pPr>
            <w:r w:rsidRPr="00F64569">
              <w:rPr>
                <w:rFonts w:ascii="Times New Roman" w:eastAsia="Calibri" w:hAnsi="Times New Roman" w:cs="Times New Roman"/>
              </w:rPr>
              <w:t>10</w:t>
            </w:r>
          </w:p>
        </w:tc>
        <w:tc>
          <w:tcPr>
            <w:tcW w:w="1232" w:type="dxa"/>
            <w:shd w:val="clear" w:color="auto" w:fill="auto"/>
          </w:tcPr>
          <w:p w14:paraId="46AA5525" w14:textId="533800CE" w:rsidR="00F86366" w:rsidRPr="00F64569" w:rsidRDefault="00F86366" w:rsidP="007F048D">
            <w:pPr>
              <w:spacing w:after="0" w:line="240" w:lineRule="auto"/>
              <w:jc w:val="center"/>
              <w:rPr>
                <w:rFonts w:ascii="Times New Roman" w:eastAsia="Calibri" w:hAnsi="Times New Roman" w:cs="Times New Roman"/>
              </w:rPr>
            </w:pPr>
            <w:r w:rsidRPr="00F64569">
              <w:rPr>
                <w:rFonts w:ascii="Times New Roman" w:eastAsia="Calibri" w:hAnsi="Times New Roman" w:cs="Times New Roman"/>
              </w:rPr>
              <w:t>1</w:t>
            </w:r>
            <w:r w:rsidR="007F7B85">
              <w:rPr>
                <w:rFonts w:ascii="Times New Roman" w:eastAsia="Calibri" w:hAnsi="Times New Roman" w:cs="Times New Roman"/>
              </w:rPr>
              <w:t>3</w:t>
            </w:r>
          </w:p>
        </w:tc>
        <w:tc>
          <w:tcPr>
            <w:tcW w:w="1232" w:type="dxa"/>
            <w:shd w:val="clear" w:color="auto" w:fill="auto"/>
          </w:tcPr>
          <w:p w14:paraId="0F914C47" w14:textId="7D193EEA" w:rsidR="00F86366" w:rsidRPr="00F64569" w:rsidRDefault="007F7B85" w:rsidP="007F048D">
            <w:pPr>
              <w:spacing w:after="0" w:line="240" w:lineRule="auto"/>
              <w:jc w:val="center"/>
              <w:rPr>
                <w:rFonts w:ascii="Times New Roman" w:eastAsia="Calibri" w:hAnsi="Times New Roman" w:cs="Times New Roman"/>
              </w:rPr>
            </w:pPr>
            <w:r>
              <w:rPr>
                <w:rFonts w:ascii="Times New Roman" w:eastAsia="Calibri" w:hAnsi="Times New Roman" w:cs="Times New Roman"/>
              </w:rPr>
              <w:t>130,00</w:t>
            </w:r>
          </w:p>
        </w:tc>
      </w:tr>
    </w:tbl>
    <w:p w14:paraId="76B19F72" w14:textId="77777777" w:rsidR="00F86366" w:rsidRPr="00F86366" w:rsidRDefault="00F86366" w:rsidP="00F86366">
      <w:pPr>
        <w:rPr>
          <w:lang w:eastAsia="ar-SA"/>
        </w:rPr>
      </w:pPr>
    </w:p>
    <w:p w14:paraId="063E2166" w14:textId="77777777" w:rsidR="0081662F" w:rsidRPr="00D0532A" w:rsidRDefault="0081662F" w:rsidP="0081662F">
      <w:pPr>
        <w:spacing w:after="120" w:line="240" w:lineRule="auto"/>
        <w:ind w:firstLine="567"/>
        <w:jc w:val="both"/>
        <w:rPr>
          <w:rFonts w:ascii="Times New Roman" w:hAnsi="Times New Roman" w:cs="Times New Roman"/>
          <w:b/>
          <w:bCs/>
          <w:i/>
          <w:lang w:eastAsia="hr-HR"/>
        </w:rPr>
      </w:pPr>
      <w:r w:rsidRPr="00D0532A">
        <w:rPr>
          <w:rFonts w:ascii="Times New Roman" w:hAnsi="Times New Roman" w:cs="Times New Roman"/>
          <w:b/>
          <w:bCs/>
          <w:i/>
          <w:lang w:eastAsia="hr-HR"/>
        </w:rPr>
        <w:t>RAZDJEL 002 – Upravni odjel za društvene djelatnosti, imovinu i opće poslove</w:t>
      </w:r>
    </w:p>
    <w:p w14:paraId="1893E8C0" w14:textId="77777777" w:rsidR="0081662F" w:rsidRPr="00D0532A" w:rsidRDefault="0081662F" w:rsidP="0081662F">
      <w:pPr>
        <w:spacing w:after="120" w:line="240" w:lineRule="auto"/>
        <w:ind w:firstLine="567"/>
        <w:jc w:val="both"/>
        <w:rPr>
          <w:rFonts w:ascii="Times New Roman" w:hAnsi="Times New Roman" w:cs="Times New Roman"/>
          <w:b/>
          <w:bCs/>
          <w:i/>
          <w:lang w:eastAsia="hr-HR"/>
        </w:rPr>
      </w:pPr>
    </w:p>
    <w:p w14:paraId="7D54C50B" w14:textId="77777777" w:rsidR="0081662F" w:rsidRDefault="0081662F" w:rsidP="0081662F">
      <w:pPr>
        <w:spacing w:after="120" w:line="240" w:lineRule="auto"/>
        <w:ind w:firstLine="567"/>
        <w:jc w:val="both"/>
        <w:rPr>
          <w:rFonts w:ascii="Times New Roman" w:hAnsi="Times New Roman" w:cs="Times New Roman"/>
          <w:b/>
          <w:bCs/>
          <w:i/>
          <w:lang w:eastAsia="hr-HR"/>
        </w:rPr>
      </w:pPr>
      <w:r w:rsidRPr="00D0532A">
        <w:rPr>
          <w:rFonts w:ascii="Times New Roman" w:hAnsi="Times New Roman" w:cs="Times New Roman"/>
          <w:b/>
          <w:bCs/>
          <w:i/>
          <w:lang w:eastAsia="hr-HR"/>
        </w:rPr>
        <w:t>GLAVA 00201 – Upravni odjel za društvene djelatnosti, imovinu i opće poslove</w:t>
      </w:r>
    </w:p>
    <w:p w14:paraId="1BA6F350" w14:textId="4114C7D4" w:rsidR="0081662F" w:rsidRPr="00722358" w:rsidRDefault="0081662F" w:rsidP="0081662F">
      <w:pPr>
        <w:pStyle w:val="Naslov"/>
        <w:jc w:val="both"/>
        <w:rPr>
          <w:rFonts w:ascii="Times New Roman" w:hAnsi="Times New Roman" w:cs="Times New Roman"/>
          <w:b w:val="0"/>
          <w:sz w:val="22"/>
          <w:lang w:val="hr-HR"/>
        </w:rPr>
      </w:pPr>
      <w:r w:rsidRPr="00722358">
        <w:rPr>
          <w:rFonts w:ascii="Times New Roman" w:hAnsi="Times New Roman" w:cs="Times New Roman"/>
          <w:b w:val="0"/>
          <w:bCs/>
          <w:iCs/>
          <w:sz w:val="22"/>
          <w:lang w:val="hr-HR"/>
        </w:rPr>
        <w:t xml:space="preserve">Upravni odjel obavlja poslove propisane člankom 9. Odluke o ustrojstvu i djelokrugu upravnih tijela Grada Garešnice (Službeni glasnik Grada Garešnice broj 10/22) kojom se regulira ustrojstvo, djelokrug rada i druga pitanja značajna za rad Upravnih tijela Grada Garešnice </w:t>
      </w:r>
      <w:r w:rsidRPr="00722358">
        <w:rPr>
          <w:rFonts w:ascii="Times New Roman" w:hAnsi="Times New Roman" w:cs="Times New Roman"/>
          <w:b w:val="0"/>
          <w:sz w:val="22"/>
          <w:lang w:val="hr-HR"/>
        </w:rPr>
        <w:t>i</w:t>
      </w:r>
      <w:r w:rsidRPr="00722358">
        <w:rPr>
          <w:rFonts w:ascii="Times New Roman" w:hAnsi="Times New Roman" w:cs="Times New Roman"/>
          <w:lang w:val="hr-HR"/>
        </w:rPr>
        <w:t xml:space="preserve"> </w:t>
      </w:r>
      <w:r w:rsidRPr="00722358">
        <w:rPr>
          <w:rFonts w:ascii="Times New Roman" w:hAnsi="Times New Roman" w:cs="Times New Roman"/>
          <w:b w:val="0"/>
          <w:sz w:val="22"/>
          <w:lang w:val="hr-HR"/>
        </w:rPr>
        <w:t>Pravilnika o unutarnjem redu upravnih tijela Grada Garešnice. Upravni odjel zapošlja</w:t>
      </w:r>
      <w:r>
        <w:rPr>
          <w:rFonts w:ascii="Times New Roman" w:hAnsi="Times New Roman" w:cs="Times New Roman"/>
          <w:b w:val="0"/>
          <w:sz w:val="22"/>
          <w:lang w:val="hr-HR"/>
        </w:rPr>
        <w:t xml:space="preserve">va 6 djelatnika.  </w:t>
      </w:r>
    </w:p>
    <w:p w14:paraId="0E56311E" w14:textId="77777777" w:rsidR="0081662F" w:rsidRPr="00D0532A" w:rsidRDefault="0081662F" w:rsidP="0081662F">
      <w:pPr>
        <w:spacing w:after="120" w:line="240" w:lineRule="auto"/>
        <w:ind w:firstLine="567"/>
        <w:jc w:val="both"/>
        <w:rPr>
          <w:rFonts w:ascii="Times New Roman" w:hAnsi="Times New Roman" w:cs="Times New Roman"/>
          <w:b/>
          <w:bCs/>
          <w:i/>
          <w:lang w:eastAsia="hr-HR"/>
        </w:rPr>
      </w:pPr>
    </w:p>
    <w:p w14:paraId="38183926" w14:textId="77777777" w:rsidR="0081662F" w:rsidRPr="00D0532A" w:rsidRDefault="0081662F" w:rsidP="0081662F">
      <w:pPr>
        <w:spacing w:after="0" w:line="240" w:lineRule="auto"/>
        <w:jc w:val="both"/>
        <w:rPr>
          <w:rFonts w:ascii="Times New Roman" w:eastAsia="Calibri" w:hAnsi="Times New Roman" w:cs="Times New Roman"/>
        </w:rPr>
      </w:pPr>
      <w:r w:rsidRPr="00D0532A">
        <w:rPr>
          <w:rFonts w:ascii="Times New Roman" w:eastAsia="Calibri" w:hAnsi="Times New Roman" w:cs="Times New Roman"/>
        </w:rPr>
        <w:t xml:space="preserve">Za ostvarenje programa Upravnog odjela za društvene djelatnosti, imovinu i opće poslove (u daljnjem tekstu: Upravni odjel) proračunom Grada Garešnice za 2024. godinu planirana su sredstva u iznosu od 2.339.910,00 eura za ukupno 14 (četrnaest) različitih programa koji su obuhvaćeni financijskim planom rashoda upravnog odjela. Navedeni programi u 2024. godini izvršeni su u iznosu od </w:t>
      </w:r>
      <w:r w:rsidRPr="00D0532A">
        <w:rPr>
          <w:rFonts w:ascii="Times New Roman" w:eastAsia="Calibri" w:hAnsi="Times New Roman" w:cs="Times New Roman"/>
          <w:b/>
          <w:bCs/>
        </w:rPr>
        <w:t>2.137.609,24 eura</w:t>
      </w:r>
      <w:r w:rsidRPr="00D0532A">
        <w:rPr>
          <w:rFonts w:ascii="Times New Roman" w:eastAsia="Calibri" w:hAnsi="Times New Roman" w:cs="Times New Roman"/>
        </w:rPr>
        <w:t xml:space="preserve">, odnosno </w:t>
      </w:r>
      <w:r w:rsidRPr="00D0532A">
        <w:rPr>
          <w:rFonts w:ascii="Times New Roman" w:eastAsia="Calibri" w:hAnsi="Times New Roman" w:cs="Times New Roman"/>
          <w:b/>
          <w:bCs/>
        </w:rPr>
        <w:t>91,35%.</w:t>
      </w:r>
      <w:r w:rsidRPr="00D0532A">
        <w:rPr>
          <w:rFonts w:ascii="Times New Roman" w:eastAsia="Calibri" w:hAnsi="Times New Roman" w:cs="Times New Roman"/>
        </w:rPr>
        <w:t xml:space="preserve"> </w:t>
      </w:r>
    </w:p>
    <w:p w14:paraId="14552DEA" w14:textId="77777777" w:rsidR="0081662F" w:rsidRPr="00D0532A" w:rsidRDefault="0081662F" w:rsidP="0081662F">
      <w:pPr>
        <w:spacing w:after="0" w:line="240" w:lineRule="auto"/>
        <w:jc w:val="both"/>
        <w:rPr>
          <w:rFonts w:ascii="Times New Roman" w:eastAsia="Calibri" w:hAnsi="Times New Roman" w:cs="Times New Roman"/>
        </w:rPr>
      </w:pPr>
    </w:p>
    <w:p w14:paraId="22CF2BF2" w14:textId="77777777" w:rsidR="0081662F" w:rsidRPr="00D0532A" w:rsidRDefault="0081662F" w:rsidP="0081662F">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Tablica 1. Prikaz programa Upravnog odjela za društvene djelatnosti, imovinu i opće poslove za 2024. godinu.</w:t>
      </w:r>
    </w:p>
    <w:tbl>
      <w:tblPr>
        <w:tblpPr w:leftFromText="180" w:rightFromText="180" w:vertAnchor="text" w:horzAnchor="margin" w:tblpY="187"/>
        <w:tblW w:w="5000" w:type="pct"/>
        <w:tblLook w:val="04A0" w:firstRow="1" w:lastRow="0" w:firstColumn="1" w:lastColumn="0" w:noHBand="0" w:noVBand="1"/>
      </w:tblPr>
      <w:tblGrid>
        <w:gridCol w:w="5203"/>
        <w:gridCol w:w="1408"/>
        <w:gridCol w:w="1408"/>
        <w:gridCol w:w="1041"/>
      </w:tblGrid>
      <w:tr w:rsidR="0081662F" w:rsidRPr="00D0532A" w14:paraId="414066AD" w14:textId="77777777" w:rsidTr="00EB2357">
        <w:trPr>
          <w:trHeight w:val="564"/>
        </w:trPr>
        <w:tc>
          <w:tcPr>
            <w:tcW w:w="2920"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0D5B6C3" w14:textId="77777777" w:rsidR="0081662F" w:rsidRPr="00D0532A" w:rsidRDefault="0081662F" w:rsidP="00EB2357">
            <w:pPr>
              <w:spacing w:line="240" w:lineRule="auto"/>
              <w:jc w:val="center"/>
              <w:rPr>
                <w:rFonts w:ascii="Times New Roman" w:hAnsi="Times New Roman" w:cs="Times New Roman"/>
                <w:bCs/>
                <w:lang w:eastAsia="hr-HR"/>
              </w:rPr>
            </w:pPr>
            <w:r w:rsidRPr="00D0532A">
              <w:rPr>
                <w:rFonts w:ascii="Times New Roman" w:hAnsi="Times New Roman" w:cs="Times New Roman"/>
                <w:bCs/>
                <w:lang w:eastAsia="hr-HR"/>
              </w:rPr>
              <w:t>Razdjel/glava/program</w:t>
            </w:r>
          </w:p>
        </w:tc>
        <w:tc>
          <w:tcPr>
            <w:tcW w:w="759" w:type="pct"/>
            <w:tcBorders>
              <w:top w:val="single" w:sz="4" w:space="0" w:color="auto"/>
              <w:left w:val="nil"/>
              <w:bottom w:val="single" w:sz="4" w:space="0" w:color="auto"/>
              <w:right w:val="single" w:sz="4" w:space="0" w:color="auto"/>
            </w:tcBorders>
            <w:shd w:val="clear" w:color="auto" w:fill="D9D9D9"/>
            <w:vAlign w:val="center"/>
          </w:tcPr>
          <w:p w14:paraId="21D11422" w14:textId="77777777" w:rsidR="0081662F" w:rsidRPr="00D0532A" w:rsidRDefault="0081662F" w:rsidP="00EB2357">
            <w:pPr>
              <w:spacing w:line="240" w:lineRule="auto"/>
              <w:jc w:val="center"/>
              <w:rPr>
                <w:rFonts w:ascii="Times New Roman" w:hAnsi="Times New Roman" w:cs="Times New Roman"/>
                <w:bCs/>
                <w:lang w:eastAsia="hr-HR"/>
              </w:rPr>
            </w:pPr>
            <w:r w:rsidRPr="00D0532A">
              <w:rPr>
                <w:rFonts w:ascii="Times New Roman" w:hAnsi="Times New Roman" w:cs="Times New Roman"/>
                <w:bCs/>
                <w:lang w:eastAsia="hr-HR"/>
              </w:rPr>
              <w:t>Rebalans</w:t>
            </w:r>
          </w:p>
          <w:p w14:paraId="6CFE2628" w14:textId="77777777" w:rsidR="0081662F" w:rsidRPr="00D0532A" w:rsidRDefault="0081662F" w:rsidP="00EB2357">
            <w:pPr>
              <w:spacing w:line="240" w:lineRule="auto"/>
              <w:jc w:val="center"/>
              <w:rPr>
                <w:rFonts w:ascii="Times New Roman" w:hAnsi="Times New Roman" w:cs="Times New Roman"/>
                <w:bCs/>
                <w:lang w:eastAsia="hr-HR"/>
              </w:rPr>
            </w:pPr>
            <w:r w:rsidRPr="00D0532A">
              <w:rPr>
                <w:rFonts w:ascii="Times New Roman" w:hAnsi="Times New Roman" w:cs="Times New Roman"/>
                <w:bCs/>
                <w:lang w:eastAsia="hr-HR"/>
              </w:rPr>
              <w:t>2024.</w:t>
            </w:r>
          </w:p>
        </w:tc>
        <w:tc>
          <w:tcPr>
            <w:tcW w:w="759" w:type="pct"/>
            <w:tcBorders>
              <w:top w:val="single" w:sz="4" w:space="0" w:color="auto"/>
              <w:left w:val="nil"/>
              <w:bottom w:val="single" w:sz="4" w:space="0" w:color="auto"/>
              <w:right w:val="single" w:sz="4" w:space="0" w:color="auto"/>
            </w:tcBorders>
            <w:shd w:val="clear" w:color="auto" w:fill="D9D9D9"/>
            <w:vAlign w:val="center"/>
          </w:tcPr>
          <w:p w14:paraId="6D0AAEA6" w14:textId="77777777" w:rsidR="0081662F" w:rsidRPr="00D0532A" w:rsidRDefault="0081662F" w:rsidP="00EB2357">
            <w:pPr>
              <w:spacing w:line="240" w:lineRule="auto"/>
              <w:jc w:val="center"/>
              <w:rPr>
                <w:rFonts w:ascii="Times New Roman" w:hAnsi="Times New Roman" w:cs="Times New Roman"/>
                <w:bCs/>
                <w:lang w:eastAsia="hr-HR"/>
              </w:rPr>
            </w:pPr>
            <w:r w:rsidRPr="00D0532A">
              <w:rPr>
                <w:rFonts w:ascii="Times New Roman" w:hAnsi="Times New Roman" w:cs="Times New Roman"/>
                <w:bCs/>
                <w:lang w:eastAsia="hr-HR"/>
              </w:rPr>
              <w:t>Izvršenje</w:t>
            </w:r>
          </w:p>
          <w:p w14:paraId="4DDAFDEE" w14:textId="77777777" w:rsidR="0081662F" w:rsidRPr="00D0532A" w:rsidRDefault="0081662F" w:rsidP="00EB2357">
            <w:pPr>
              <w:spacing w:line="240" w:lineRule="auto"/>
              <w:jc w:val="center"/>
              <w:rPr>
                <w:rFonts w:ascii="Times New Roman" w:hAnsi="Times New Roman" w:cs="Times New Roman"/>
                <w:bCs/>
                <w:lang w:eastAsia="hr-HR"/>
              </w:rPr>
            </w:pPr>
            <w:r w:rsidRPr="00D0532A">
              <w:rPr>
                <w:rFonts w:ascii="Times New Roman" w:hAnsi="Times New Roman" w:cs="Times New Roman"/>
                <w:bCs/>
                <w:lang w:eastAsia="hr-HR"/>
              </w:rPr>
              <w:t>2024.</w:t>
            </w:r>
          </w:p>
        </w:tc>
        <w:tc>
          <w:tcPr>
            <w:tcW w:w="561" w:type="pct"/>
            <w:tcBorders>
              <w:top w:val="single" w:sz="4" w:space="0" w:color="auto"/>
              <w:left w:val="nil"/>
              <w:bottom w:val="single" w:sz="4" w:space="0" w:color="auto"/>
              <w:right w:val="single" w:sz="4" w:space="0" w:color="auto"/>
            </w:tcBorders>
            <w:shd w:val="clear" w:color="auto" w:fill="D9D9D9"/>
            <w:vAlign w:val="center"/>
          </w:tcPr>
          <w:p w14:paraId="654C7564" w14:textId="77777777" w:rsidR="0081662F" w:rsidRPr="00D0532A" w:rsidRDefault="0081662F" w:rsidP="00EB2357">
            <w:pPr>
              <w:spacing w:line="240" w:lineRule="auto"/>
              <w:jc w:val="center"/>
              <w:rPr>
                <w:rFonts w:ascii="Times New Roman" w:hAnsi="Times New Roman" w:cs="Times New Roman"/>
                <w:bCs/>
                <w:lang w:eastAsia="hr-HR"/>
              </w:rPr>
            </w:pPr>
            <w:r w:rsidRPr="00D0532A">
              <w:rPr>
                <w:rFonts w:ascii="Times New Roman" w:hAnsi="Times New Roman" w:cs="Times New Roman"/>
                <w:bCs/>
                <w:lang w:eastAsia="hr-HR"/>
              </w:rPr>
              <w:t>Indeks</w:t>
            </w:r>
          </w:p>
        </w:tc>
      </w:tr>
      <w:tr w:rsidR="0081662F" w:rsidRPr="00D0532A" w14:paraId="650CDB6A" w14:textId="77777777" w:rsidTr="00EB2357">
        <w:trPr>
          <w:trHeight w:val="274"/>
        </w:trPr>
        <w:tc>
          <w:tcPr>
            <w:tcW w:w="292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5EAFE385" w14:textId="77777777" w:rsidR="0081662F" w:rsidRPr="00D0532A" w:rsidRDefault="0081662F" w:rsidP="00EB2357">
            <w:pPr>
              <w:spacing w:line="240" w:lineRule="auto"/>
              <w:rPr>
                <w:rFonts w:ascii="Times New Roman" w:hAnsi="Times New Roman" w:cs="Times New Roman"/>
                <w:b/>
                <w:bCs/>
                <w:lang w:eastAsia="hr-HR"/>
              </w:rPr>
            </w:pPr>
            <w:r w:rsidRPr="00D0532A">
              <w:rPr>
                <w:rFonts w:ascii="Times New Roman" w:hAnsi="Times New Roman" w:cs="Times New Roman"/>
                <w:b/>
                <w:bCs/>
                <w:lang w:eastAsia="hr-HR"/>
              </w:rPr>
              <w:t xml:space="preserve">Glava 00102 Upravni odjel za društvene djelatnosti, </w:t>
            </w:r>
          </w:p>
          <w:p w14:paraId="1CB85C01" w14:textId="77777777" w:rsidR="0081662F" w:rsidRPr="00D0532A" w:rsidRDefault="0081662F" w:rsidP="00EB2357">
            <w:pPr>
              <w:spacing w:line="240" w:lineRule="auto"/>
              <w:rPr>
                <w:rFonts w:ascii="Times New Roman" w:hAnsi="Times New Roman" w:cs="Times New Roman"/>
                <w:b/>
                <w:bCs/>
                <w:lang w:eastAsia="hr-HR"/>
              </w:rPr>
            </w:pPr>
            <w:r w:rsidRPr="00D0532A">
              <w:rPr>
                <w:rFonts w:ascii="Times New Roman" w:hAnsi="Times New Roman" w:cs="Times New Roman"/>
                <w:b/>
                <w:bCs/>
                <w:lang w:eastAsia="hr-HR"/>
              </w:rPr>
              <w:t>imovinu i opće poslove</w:t>
            </w:r>
          </w:p>
        </w:tc>
        <w:tc>
          <w:tcPr>
            <w:tcW w:w="759" w:type="pct"/>
            <w:tcBorders>
              <w:top w:val="single" w:sz="4" w:space="0" w:color="auto"/>
              <w:left w:val="nil"/>
              <w:bottom w:val="single" w:sz="4" w:space="0" w:color="auto"/>
              <w:right w:val="single" w:sz="4" w:space="0" w:color="auto"/>
            </w:tcBorders>
            <w:shd w:val="clear" w:color="auto" w:fill="D9D9D9"/>
            <w:vAlign w:val="center"/>
          </w:tcPr>
          <w:p w14:paraId="67AE6169" w14:textId="77777777" w:rsidR="0081662F" w:rsidRPr="00D0532A" w:rsidRDefault="0081662F" w:rsidP="00EB2357">
            <w:pPr>
              <w:spacing w:line="240" w:lineRule="auto"/>
              <w:ind w:right="36"/>
              <w:jc w:val="center"/>
              <w:rPr>
                <w:rFonts w:ascii="Times New Roman" w:hAnsi="Times New Roman" w:cs="Times New Roman"/>
                <w:b/>
                <w:bCs/>
                <w:lang w:eastAsia="hr-HR"/>
              </w:rPr>
            </w:pPr>
            <w:r w:rsidRPr="00D0532A">
              <w:rPr>
                <w:rFonts w:ascii="Times New Roman" w:eastAsia="Calibri" w:hAnsi="Times New Roman" w:cs="Times New Roman"/>
                <w:b/>
                <w:bCs/>
                <w:lang w:val="en-US"/>
              </w:rPr>
              <w:t>2.339.910,00</w:t>
            </w:r>
          </w:p>
        </w:tc>
        <w:tc>
          <w:tcPr>
            <w:tcW w:w="759" w:type="pct"/>
            <w:tcBorders>
              <w:top w:val="single" w:sz="4" w:space="0" w:color="auto"/>
              <w:left w:val="nil"/>
              <w:bottom w:val="single" w:sz="4" w:space="0" w:color="auto"/>
              <w:right w:val="single" w:sz="4" w:space="0" w:color="auto"/>
            </w:tcBorders>
            <w:shd w:val="clear" w:color="auto" w:fill="D9D9D9"/>
            <w:vAlign w:val="center"/>
          </w:tcPr>
          <w:p w14:paraId="27DBEB30" w14:textId="77777777" w:rsidR="0081662F" w:rsidRPr="00D0532A" w:rsidRDefault="0081662F" w:rsidP="00EB2357">
            <w:pPr>
              <w:spacing w:line="240" w:lineRule="auto"/>
              <w:ind w:right="36"/>
              <w:rPr>
                <w:rFonts w:ascii="Times New Roman" w:eastAsia="Calibri" w:hAnsi="Times New Roman" w:cs="Times New Roman"/>
                <w:b/>
                <w:bCs/>
                <w:lang w:val="en-US"/>
              </w:rPr>
            </w:pPr>
            <w:r w:rsidRPr="00D0532A">
              <w:rPr>
                <w:rFonts w:ascii="Times New Roman" w:eastAsia="Calibri" w:hAnsi="Times New Roman" w:cs="Times New Roman"/>
                <w:b/>
                <w:bCs/>
                <w:lang w:val="en-US"/>
              </w:rPr>
              <w:t>2.137.609,24</w:t>
            </w:r>
          </w:p>
        </w:tc>
        <w:tc>
          <w:tcPr>
            <w:tcW w:w="561" w:type="pct"/>
            <w:tcBorders>
              <w:top w:val="single" w:sz="4" w:space="0" w:color="auto"/>
              <w:left w:val="nil"/>
              <w:bottom w:val="single" w:sz="4" w:space="0" w:color="auto"/>
              <w:right w:val="single" w:sz="4" w:space="0" w:color="auto"/>
            </w:tcBorders>
            <w:shd w:val="clear" w:color="auto" w:fill="D9D9D9"/>
            <w:vAlign w:val="center"/>
          </w:tcPr>
          <w:p w14:paraId="3ADA5572" w14:textId="77777777" w:rsidR="0081662F" w:rsidRPr="00D0532A" w:rsidRDefault="0081662F" w:rsidP="00EB2357">
            <w:pPr>
              <w:spacing w:line="240" w:lineRule="auto"/>
              <w:ind w:right="36"/>
              <w:jc w:val="center"/>
              <w:rPr>
                <w:rFonts w:ascii="Times New Roman" w:eastAsia="Calibri" w:hAnsi="Times New Roman" w:cs="Times New Roman"/>
                <w:b/>
                <w:bCs/>
                <w:lang w:val="en-US"/>
              </w:rPr>
            </w:pPr>
            <w:r w:rsidRPr="00D0532A">
              <w:rPr>
                <w:rFonts w:ascii="Times New Roman" w:eastAsia="Calibri" w:hAnsi="Times New Roman" w:cs="Times New Roman"/>
                <w:b/>
                <w:bCs/>
                <w:lang w:val="en-US"/>
              </w:rPr>
              <w:t>91,35%</w:t>
            </w:r>
          </w:p>
        </w:tc>
      </w:tr>
      <w:tr w:rsidR="0081662F" w:rsidRPr="00D0532A" w14:paraId="03DE4E31" w14:textId="77777777" w:rsidTr="007F7B85">
        <w:trPr>
          <w:trHeight w:val="269"/>
        </w:trPr>
        <w:tc>
          <w:tcPr>
            <w:tcW w:w="2920" w:type="pct"/>
            <w:tcBorders>
              <w:top w:val="single" w:sz="4" w:space="0" w:color="auto"/>
              <w:left w:val="single" w:sz="4" w:space="0" w:color="auto"/>
              <w:bottom w:val="single" w:sz="4" w:space="0" w:color="auto"/>
              <w:right w:val="single" w:sz="4" w:space="0" w:color="auto"/>
            </w:tcBorders>
            <w:shd w:val="clear" w:color="auto" w:fill="auto"/>
            <w:vAlign w:val="bottom"/>
          </w:tcPr>
          <w:p w14:paraId="394A6C04" w14:textId="77777777" w:rsidR="0081662F" w:rsidRPr="00D0532A" w:rsidRDefault="0081662F" w:rsidP="00EB2357">
            <w:pPr>
              <w:spacing w:line="240" w:lineRule="auto"/>
              <w:rPr>
                <w:rFonts w:ascii="Times New Roman" w:hAnsi="Times New Roman" w:cs="Times New Roman"/>
                <w:lang w:eastAsia="hr-HR"/>
              </w:rPr>
            </w:pPr>
            <w:r w:rsidRPr="00D0532A">
              <w:rPr>
                <w:rFonts w:ascii="Times New Roman" w:eastAsia="Calibri" w:hAnsi="Times New Roman" w:cs="Times New Roman"/>
              </w:rPr>
              <w:t>Program 1003 Priprema i donošenje akata iz djelokruga tijela</w:t>
            </w:r>
          </w:p>
        </w:tc>
        <w:tc>
          <w:tcPr>
            <w:tcW w:w="759" w:type="pct"/>
            <w:tcBorders>
              <w:top w:val="nil"/>
              <w:left w:val="nil"/>
              <w:bottom w:val="single" w:sz="4" w:space="0" w:color="auto"/>
              <w:right w:val="single" w:sz="4" w:space="0" w:color="auto"/>
            </w:tcBorders>
            <w:shd w:val="clear" w:color="auto" w:fill="auto"/>
            <w:vAlign w:val="center"/>
          </w:tcPr>
          <w:p w14:paraId="771EAE9D" w14:textId="77777777" w:rsidR="0081662F" w:rsidRPr="00D0532A" w:rsidRDefault="0081662F" w:rsidP="00EB2357">
            <w:pPr>
              <w:spacing w:line="240" w:lineRule="auto"/>
              <w:ind w:right="36"/>
              <w:jc w:val="center"/>
              <w:rPr>
                <w:rFonts w:ascii="Times New Roman" w:hAnsi="Times New Roman" w:cs="Times New Roman"/>
                <w:lang w:eastAsia="hr-HR"/>
              </w:rPr>
            </w:pPr>
            <w:r w:rsidRPr="00D0532A">
              <w:rPr>
                <w:rFonts w:ascii="Times New Roman" w:eastAsia="Calibri" w:hAnsi="Times New Roman" w:cs="Times New Roman"/>
                <w:lang w:val="en-US"/>
              </w:rPr>
              <w:t>512.300,00</w:t>
            </w:r>
          </w:p>
        </w:tc>
        <w:tc>
          <w:tcPr>
            <w:tcW w:w="759" w:type="pct"/>
            <w:tcBorders>
              <w:top w:val="nil"/>
              <w:left w:val="nil"/>
              <w:bottom w:val="single" w:sz="4" w:space="0" w:color="auto"/>
              <w:right w:val="single" w:sz="4" w:space="0" w:color="auto"/>
            </w:tcBorders>
            <w:shd w:val="clear" w:color="auto" w:fill="auto"/>
            <w:vAlign w:val="center"/>
          </w:tcPr>
          <w:p w14:paraId="6F1DC314" w14:textId="77777777" w:rsidR="0081662F" w:rsidRPr="00D0532A" w:rsidRDefault="0081662F" w:rsidP="00EB2357">
            <w:pPr>
              <w:spacing w:line="240" w:lineRule="auto"/>
              <w:ind w:right="36"/>
              <w:jc w:val="center"/>
              <w:rPr>
                <w:rFonts w:ascii="Times New Roman" w:eastAsia="Calibri" w:hAnsi="Times New Roman" w:cs="Times New Roman"/>
                <w:lang w:val="en-US"/>
              </w:rPr>
            </w:pPr>
            <w:r w:rsidRPr="00D0532A">
              <w:rPr>
                <w:rFonts w:ascii="Times New Roman" w:eastAsia="Calibri" w:hAnsi="Times New Roman" w:cs="Times New Roman"/>
                <w:lang w:val="en-US"/>
              </w:rPr>
              <w:t>477.777,43</w:t>
            </w:r>
          </w:p>
        </w:tc>
        <w:tc>
          <w:tcPr>
            <w:tcW w:w="561" w:type="pct"/>
            <w:tcBorders>
              <w:top w:val="nil"/>
              <w:left w:val="nil"/>
              <w:bottom w:val="single" w:sz="4" w:space="0" w:color="auto"/>
              <w:right w:val="single" w:sz="4" w:space="0" w:color="auto"/>
            </w:tcBorders>
            <w:shd w:val="clear" w:color="auto" w:fill="auto"/>
            <w:vAlign w:val="center"/>
          </w:tcPr>
          <w:p w14:paraId="63D1D4D1" w14:textId="77777777" w:rsidR="0081662F" w:rsidRPr="00D0532A" w:rsidRDefault="0081662F" w:rsidP="00EB2357">
            <w:pPr>
              <w:spacing w:line="240" w:lineRule="auto"/>
              <w:ind w:right="36"/>
              <w:jc w:val="center"/>
              <w:rPr>
                <w:rFonts w:ascii="Times New Roman" w:eastAsia="Calibri" w:hAnsi="Times New Roman" w:cs="Times New Roman"/>
                <w:lang w:val="en-US"/>
              </w:rPr>
            </w:pPr>
            <w:r w:rsidRPr="00D0532A">
              <w:rPr>
                <w:rFonts w:ascii="Times New Roman" w:eastAsia="Calibri" w:hAnsi="Times New Roman" w:cs="Times New Roman"/>
                <w:lang w:val="en-US"/>
              </w:rPr>
              <w:t>87,41%</w:t>
            </w:r>
          </w:p>
        </w:tc>
      </w:tr>
      <w:tr w:rsidR="0081662F" w:rsidRPr="00D0532A" w14:paraId="2DFAB1C5" w14:textId="77777777" w:rsidTr="007F7B85">
        <w:trPr>
          <w:trHeight w:val="269"/>
        </w:trPr>
        <w:tc>
          <w:tcPr>
            <w:tcW w:w="2920" w:type="pct"/>
            <w:tcBorders>
              <w:top w:val="single" w:sz="4" w:space="0" w:color="auto"/>
              <w:left w:val="single" w:sz="4" w:space="0" w:color="auto"/>
              <w:bottom w:val="single" w:sz="4" w:space="0" w:color="auto"/>
              <w:right w:val="single" w:sz="4" w:space="0" w:color="auto"/>
            </w:tcBorders>
            <w:shd w:val="clear" w:color="auto" w:fill="auto"/>
            <w:vAlign w:val="bottom"/>
          </w:tcPr>
          <w:p w14:paraId="026A4F5F" w14:textId="77777777" w:rsidR="0081662F" w:rsidRPr="00D0532A" w:rsidRDefault="0081662F" w:rsidP="00EB2357">
            <w:pPr>
              <w:spacing w:line="240" w:lineRule="auto"/>
              <w:rPr>
                <w:rFonts w:ascii="Times New Roman" w:hAnsi="Times New Roman" w:cs="Times New Roman"/>
                <w:lang w:eastAsia="hr-HR"/>
              </w:rPr>
            </w:pPr>
            <w:r w:rsidRPr="00D0532A">
              <w:rPr>
                <w:rFonts w:ascii="Times New Roman" w:eastAsia="Calibri" w:hAnsi="Times New Roman" w:cs="Times New Roman"/>
              </w:rPr>
              <w:lastRenderedPageBreak/>
              <w:t>Program 1005 Zaštita od požara i civilna zaštita</w:t>
            </w:r>
          </w:p>
        </w:tc>
        <w:tc>
          <w:tcPr>
            <w:tcW w:w="759" w:type="pct"/>
            <w:tcBorders>
              <w:top w:val="nil"/>
              <w:left w:val="nil"/>
              <w:bottom w:val="single" w:sz="4" w:space="0" w:color="auto"/>
              <w:right w:val="single" w:sz="4" w:space="0" w:color="auto"/>
            </w:tcBorders>
            <w:shd w:val="clear" w:color="auto" w:fill="auto"/>
            <w:vAlign w:val="center"/>
          </w:tcPr>
          <w:p w14:paraId="4373B160" w14:textId="77777777" w:rsidR="0081662F" w:rsidRPr="00D0532A" w:rsidRDefault="0081662F" w:rsidP="00EB2357">
            <w:pPr>
              <w:spacing w:line="240" w:lineRule="auto"/>
              <w:ind w:right="36"/>
              <w:jc w:val="center"/>
              <w:rPr>
                <w:rFonts w:ascii="Times New Roman" w:hAnsi="Times New Roman" w:cs="Times New Roman"/>
                <w:lang w:eastAsia="hr-HR"/>
              </w:rPr>
            </w:pPr>
            <w:r w:rsidRPr="00D0532A">
              <w:rPr>
                <w:rFonts w:ascii="Times New Roman" w:eastAsia="Calibri" w:hAnsi="Times New Roman" w:cs="Times New Roman"/>
                <w:lang w:val="en-US"/>
              </w:rPr>
              <w:t>114.500,00</w:t>
            </w:r>
          </w:p>
        </w:tc>
        <w:tc>
          <w:tcPr>
            <w:tcW w:w="759" w:type="pct"/>
            <w:tcBorders>
              <w:top w:val="nil"/>
              <w:left w:val="nil"/>
              <w:bottom w:val="single" w:sz="4" w:space="0" w:color="auto"/>
              <w:right w:val="single" w:sz="4" w:space="0" w:color="auto"/>
            </w:tcBorders>
            <w:shd w:val="clear" w:color="auto" w:fill="auto"/>
            <w:vAlign w:val="center"/>
          </w:tcPr>
          <w:p w14:paraId="48687CC1" w14:textId="77777777" w:rsidR="0081662F" w:rsidRPr="00D0532A" w:rsidRDefault="0081662F" w:rsidP="00EB2357">
            <w:pPr>
              <w:spacing w:line="240" w:lineRule="auto"/>
              <w:ind w:right="36"/>
              <w:jc w:val="center"/>
              <w:rPr>
                <w:rFonts w:ascii="Times New Roman" w:eastAsia="Calibri" w:hAnsi="Times New Roman" w:cs="Times New Roman"/>
                <w:lang w:val="en-US"/>
              </w:rPr>
            </w:pPr>
            <w:r w:rsidRPr="00D0532A">
              <w:rPr>
                <w:rFonts w:ascii="Times New Roman" w:eastAsia="Calibri" w:hAnsi="Times New Roman" w:cs="Times New Roman"/>
                <w:lang w:val="en-US"/>
              </w:rPr>
              <w:t>107.622,51</w:t>
            </w:r>
          </w:p>
        </w:tc>
        <w:tc>
          <w:tcPr>
            <w:tcW w:w="561" w:type="pct"/>
            <w:tcBorders>
              <w:top w:val="nil"/>
              <w:left w:val="nil"/>
              <w:bottom w:val="single" w:sz="4" w:space="0" w:color="auto"/>
              <w:right w:val="single" w:sz="4" w:space="0" w:color="auto"/>
            </w:tcBorders>
            <w:shd w:val="clear" w:color="auto" w:fill="auto"/>
            <w:vAlign w:val="center"/>
          </w:tcPr>
          <w:p w14:paraId="6B86D087" w14:textId="77777777" w:rsidR="0081662F" w:rsidRPr="00D0532A" w:rsidRDefault="0081662F" w:rsidP="00EB2357">
            <w:pPr>
              <w:spacing w:line="240" w:lineRule="auto"/>
              <w:ind w:right="36"/>
              <w:jc w:val="center"/>
              <w:rPr>
                <w:rFonts w:ascii="Times New Roman" w:eastAsia="Calibri" w:hAnsi="Times New Roman" w:cs="Times New Roman"/>
                <w:lang w:val="en-US"/>
              </w:rPr>
            </w:pPr>
            <w:r w:rsidRPr="00D0532A">
              <w:rPr>
                <w:rFonts w:ascii="Times New Roman" w:eastAsia="Calibri" w:hAnsi="Times New Roman" w:cs="Times New Roman"/>
                <w:lang w:val="en-US"/>
              </w:rPr>
              <w:t>93,99%</w:t>
            </w:r>
          </w:p>
        </w:tc>
      </w:tr>
      <w:tr w:rsidR="0081662F" w:rsidRPr="00D0532A" w14:paraId="1E6E6903" w14:textId="77777777" w:rsidTr="007F7B85">
        <w:trPr>
          <w:trHeight w:val="269"/>
        </w:trPr>
        <w:tc>
          <w:tcPr>
            <w:tcW w:w="2920" w:type="pct"/>
            <w:tcBorders>
              <w:top w:val="single" w:sz="4" w:space="0" w:color="auto"/>
              <w:left w:val="single" w:sz="4" w:space="0" w:color="auto"/>
              <w:bottom w:val="single" w:sz="4" w:space="0" w:color="auto"/>
              <w:right w:val="single" w:sz="4" w:space="0" w:color="auto"/>
            </w:tcBorders>
            <w:shd w:val="clear" w:color="auto" w:fill="auto"/>
            <w:vAlign w:val="bottom"/>
          </w:tcPr>
          <w:p w14:paraId="0582AD9C" w14:textId="77777777" w:rsidR="0081662F" w:rsidRPr="00D0532A" w:rsidRDefault="0081662F" w:rsidP="00EB2357">
            <w:pPr>
              <w:spacing w:line="240" w:lineRule="auto"/>
              <w:rPr>
                <w:rFonts w:ascii="Times New Roman" w:hAnsi="Times New Roman" w:cs="Times New Roman"/>
                <w:lang w:eastAsia="hr-HR"/>
              </w:rPr>
            </w:pPr>
            <w:r w:rsidRPr="00D0532A">
              <w:rPr>
                <w:rFonts w:ascii="Times New Roman" w:eastAsia="Calibri" w:hAnsi="Times New Roman" w:cs="Times New Roman"/>
              </w:rPr>
              <w:t>Program 1006 Javne potrebe u kulturi</w:t>
            </w:r>
          </w:p>
        </w:tc>
        <w:tc>
          <w:tcPr>
            <w:tcW w:w="759" w:type="pct"/>
            <w:tcBorders>
              <w:top w:val="nil"/>
              <w:left w:val="nil"/>
              <w:bottom w:val="single" w:sz="4" w:space="0" w:color="auto"/>
              <w:right w:val="single" w:sz="4" w:space="0" w:color="auto"/>
            </w:tcBorders>
            <w:shd w:val="clear" w:color="auto" w:fill="auto"/>
            <w:vAlign w:val="center"/>
          </w:tcPr>
          <w:p w14:paraId="014AE163" w14:textId="77777777" w:rsidR="0081662F" w:rsidRPr="00D0532A" w:rsidRDefault="0081662F" w:rsidP="00EB2357">
            <w:pPr>
              <w:spacing w:line="240" w:lineRule="auto"/>
              <w:ind w:right="36"/>
              <w:jc w:val="center"/>
              <w:rPr>
                <w:rFonts w:ascii="Times New Roman" w:hAnsi="Times New Roman" w:cs="Times New Roman"/>
                <w:lang w:eastAsia="hr-HR"/>
              </w:rPr>
            </w:pPr>
            <w:r w:rsidRPr="00D0532A">
              <w:rPr>
                <w:rFonts w:ascii="Times New Roman" w:eastAsia="Calibri" w:hAnsi="Times New Roman" w:cs="Times New Roman"/>
                <w:lang w:val="en-US"/>
              </w:rPr>
              <w:t>24.900,00</w:t>
            </w:r>
          </w:p>
        </w:tc>
        <w:tc>
          <w:tcPr>
            <w:tcW w:w="759" w:type="pct"/>
            <w:tcBorders>
              <w:top w:val="nil"/>
              <w:left w:val="nil"/>
              <w:bottom w:val="single" w:sz="4" w:space="0" w:color="auto"/>
              <w:right w:val="single" w:sz="4" w:space="0" w:color="auto"/>
            </w:tcBorders>
            <w:shd w:val="clear" w:color="auto" w:fill="auto"/>
            <w:vAlign w:val="center"/>
          </w:tcPr>
          <w:p w14:paraId="30B550C8" w14:textId="77777777" w:rsidR="0081662F" w:rsidRPr="00D0532A" w:rsidRDefault="0081662F" w:rsidP="00EB2357">
            <w:pPr>
              <w:spacing w:line="240" w:lineRule="auto"/>
              <w:ind w:right="36"/>
              <w:jc w:val="center"/>
              <w:rPr>
                <w:rFonts w:ascii="Times New Roman" w:eastAsia="Calibri" w:hAnsi="Times New Roman" w:cs="Times New Roman"/>
                <w:lang w:val="en-US"/>
              </w:rPr>
            </w:pPr>
            <w:r w:rsidRPr="00D0532A">
              <w:rPr>
                <w:rFonts w:ascii="Times New Roman" w:eastAsia="Calibri" w:hAnsi="Times New Roman" w:cs="Times New Roman"/>
                <w:lang w:val="en-US"/>
              </w:rPr>
              <w:t>22.300,00</w:t>
            </w:r>
          </w:p>
        </w:tc>
        <w:tc>
          <w:tcPr>
            <w:tcW w:w="561" w:type="pct"/>
            <w:tcBorders>
              <w:top w:val="nil"/>
              <w:left w:val="nil"/>
              <w:bottom w:val="single" w:sz="4" w:space="0" w:color="auto"/>
              <w:right w:val="single" w:sz="4" w:space="0" w:color="auto"/>
            </w:tcBorders>
            <w:shd w:val="clear" w:color="auto" w:fill="auto"/>
            <w:vAlign w:val="center"/>
          </w:tcPr>
          <w:p w14:paraId="36E8DCE1" w14:textId="77777777" w:rsidR="0081662F" w:rsidRPr="00D0532A" w:rsidRDefault="0081662F" w:rsidP="00EB2357">
            <w:pPr>
              <w:spacing w:line="240" w:lineRule="auto"/>
              <w:ind w:right="36"/>
              <w:jc w:val="center"/>
              <w:rPr>
                <w:rFonts w:ascii="Times New Roman" w:eastAsia="Calibri" w:hAnsi="Times New Roman" w:cs="Times New Roman"/>
                <w:lang w:val="en-US"/>
              </w:rPr>
            </w:pPr>
            <w:r w:rsidRPr="00D0532A">
              <w:rPr>
                <w:rFonts w:ascii="Times New Roman" w:eastAsia="Calibri" w:hAnsi="Times New Roman" w:cs="Times New Roman"/>
                <w:lang w:val="en-US"/>
              </w:rPr>
              <w:t>89,56%</w:t>
            </w:r>
          </w:p>
        </w:tc>
      </w:tr>
      <w:tr w:rsidR="0081662F" w:rsidRPr="00D0532A" w14:paraId="7E2094E2" w14:textId="77777777" w:rsidTr="007F7B85">
        <w:trPr>
          <w:trHeight w:val="282"/>
        </w:trPr>
        <w:tc>
          <w:tcPr>
            <w:tcW w:w="2920" w:type="pct"/>
            <w:tcBorders>
              <w:top w:val="single" w:sz="4" w:space="0" w:color="auto"/>
              <w:left w:val="single" w:sz="4" w:space="0" w:color="auto"/>
              <w:bottom w:val="single" w:sz="4" w:space="0" w:color="auto"/>
              <w:right w:val="single" w:sz="4" w:space="0" w:color="auto"/>
            </w:tcBorders>
            <w:shd w:val="clear" w:color="auto" w:fill="auto"/>
            <w:vAlign w:val="bottom"/>
          </w:tcPr>
          <w:p w14:paraId="0CBF5BFA" w14:textId="77777777" w:rsidR="0081662F" w:rsidRPr="00D0532A" w:rsidRDefault="0081662F" w:rsidP="00EB2357">
            <w:pPr>
              <w:spacing w:line="240" w:lineRule="auto"/>
              <w:rPr>
                <w:rFonts w:ascii="Times New Roman" w:hAnsi="Times New Roman" w:cs="Times New Roman"/>
                <w:lang w:eastAsia="hr-HR"/>
              </w:rPr>
            </w:pPr>
            <w:r w:rsidRPr="00D0532A">
              <w:rPr>
                <w:rFonts w:ascii="Times New Roman" w:eastAsia="Calibri" w:hAnsi="Times New Roman" w:cs="Times New Roman"/>
              </w:rPr>
              <w:t>Program 1007 Javne potrebe u tehničkoj kulturi</w:t>
            </w:r>
          </w:p>
        </w:tc>
        <w:tc>
          <w:tcPr>
            <w:tcW w:w="759" w:type="pct"/>
            <w:tcBorders>
              <w:top w:val="nil"/>
              <w:left w:val="nil"/>
              <w:bottom w:val="single" w:sz="4" w:space="0" w:color="auto"/>
              <w:right w:val="single" w:sz="4" w:space="0" w:color="auto"/>
            </w:tcBorders>
            <w:shd w:val="clear" w:color="auto" w:fill="auto"/>
            <w:vAlign w:val="center"/>
          </w:tcPr>
          <w:p w14:paraId="24384F07" w14:textId="77777777" w:rsidR="0081662F" w:rsidRPr="00D0532A" w:rsidRDefault="0081662F" w:rsidP="00EB2357">
            <w:pPr>
              <w:spacing w:line="240" w:lineRule="auto"/>
              <w:ind w:right="36"/>
              <w:jc w:val="center"/>
              <w:rPr>
                <w:rFonts w:ascii="Times New Roman" w:hAnsi="Times New Roman" w:cs="Times New Roman"/>
                <w:lang w:eastAsia="hr-HR"/>
              </w:rPr>
            </w:pPr>
            <w:r w:rsidRPr="00D0532A">
              <w:rPr>
                <w:rFonts w:ascii="Times New Roman" w:eastAsia="Calibri" w:hAnsi="Times New Roman" w:cs="Times New Roman"/>
                <w:lang w:val="en-US"/>
              </w:rPr>
              <w:t>13.300,00</w:t>
            </w:r>
          </w:p>
        </w:tc>
        <w:tc>
          <w:tcPr>
            <w:tcW w:w="759" w:type="pct"/>
            <w:tcBorders>
              <w:top w:val="nil"/>
              <w:left w:val="nil"/>
              <w:bottom w:val="single" w:sz="4" w:space="0" w:color="auto"/>
              <w:right w:val="single" w:sz="4" w:space="0" w:color="auto"/>
            </w:tcBorders>
            <w:shd w:val="clear" w:color="auto" w:fill="auto"/>
            <w:vAlign w:val="center"/>
          </w:tcPr>
          <w:p w14:paraId="1F3C84C7" w14:textId="77777777" w:rsidR="0081662F" w:rsidRPr="00D0532A" w:rsidRDefault="0081662F" w:rsidP="00EB2357">
            <w:pPr>
              <w:spacing w:line="240" w:lineRule="auto"/>
              <w:ind w:right="36"/>
              <w:jc w:val="center"/>
              <w:rPr>
                <w:rFonts w:ascii="Times New Roman" w:eastAsia="Calibri" w:hAnsi="Times New Roman" w:cs="Times New Roman"/>
                <w:lang w:val="en-US"/>
              </w:rPr>
            </w:pPr>
            <w:r w:rsidRPr="00D0532A">
              <w:rPr>
                <w:rFonts w:ascii="Times New Roman" w:eastAsia="Calibri" w:hAnsi="Times New Roman" w:cs="Times New Roman"/>
                <w:lang w:val="en-US"/>
              </w:rPr>
              <w:t>13.300,00</w:t>
            </w:r>
          </w:p>
        </w:tc>
        <w:tc>
          <w:tcPr>
            <w:tcW w:w="561" w:type="pct"/>
            <w:tcBorders>
              <w:top w:val="nil"/>
              <w:left w:val="nil"/>
              <w:bottom w:val="single" w:sz="4" w:space="0" w:color="auto"/>
              <w:right w:val="single" w:sz="4" w:space="0" w:color="auto"/>
            </w:tcBorders>
            <w:shd w:val="clear" w:color="auto" w:fill="auto"/>
            <w:vAlign w:val="center"/>
          </w:tcPr>
          <w:p w14:paraId="6FBE99D6" w14:textId="77777777" w:rsidR="0081662F" w:rsidRPr="00D0532A" w:rsidRDefault="0081662F" w:rsidP="00EB2357">
            <w:pPr>
              <w:spacing w:line="240" w:lineRule="auto"/>
              <w:ind w:right="36"/>
              <w:jc w:val="center"/>
              <w:rPr>
                <w:rFonts w:ascii="Times New Roman" w:eastAsia="Calibri" w:hAnsi="Times New Roman" w:cs="Times New Roman"/>
                <w:lang w:val="en-US"/>
              </w:rPr>
            </w:pPr>
            <w:r w:rsidRPr="00D0532A">
              <w:rPr>
                <w:rFonts w:ascii="Times New Roman" w:eastAsia="Calibri" w:hAnsi="Times New Roman" w:cs="Times New Roman"/>
                <w:lang w:val="en-US"/>
              </w:rPr>
              <w:t>100%</w:t>
            </w:r>
          </w:p>
        </w:tc>
      </w:tr>
      <w:tr w:rsidR="0081662F" w:rsidRPr="00D0532A" w14:paraId="6EFAFD46" w14:textId="77777777" w:rsidTr="007F7B85">
        <w:trPr>
          <w:trHeight w:val="282"/>
        </w:trPr>
        <w:tc>
          <w:tcPr>
            <w:tcW w:w="2920" w:type="pct"/>
            <w:tcBorders>
              <w:top w:val="single" w:sz="4" w:space="0" w:color="auto"/>
              <w:left w:val="single" w:sz="4" w:space="0" w:color="auto"/>
              <w:bottom w:val="single" w:sz="4" w:space="0" w:color="auto"/>
              <w:right w:val="single" w:sz="4" w:space="0" w:color="auto"/>
            </w:tcBorders>
            <w:shd w:val="clear" w:color="auto" w:fill="auto"/>
            <w:vAlign w:val="bottom"/>
          </w:tcPr>
          <w:p w14:paraId="42FCA2E7" w14:textId="77777777" w:rsidR="0081662F" w:rsidRPr="00D0532A" w:rsidRDefault="0081662F" w:rsidP="00EB2357">
            <w:pPr>
              <w:spacing w:line="240" w:lineRule="auto"/>
              <w:rPr>
                <w:rFonts w:ascii="Times New Roman" w:hAnsi="Times New Roman" w:cs="Times New Roman"/>
                <w:lang w:eastAsia="hr-HR"/>
              </w:rPr>
            </w:pPr>
            <w:r w:rsidRPr="00D0532A">
              <w:rPr>
                <w:rFonts w:ascii="Times New Roman" w:eastAsia="Calibri" w:hAnsi="Times New Roman" w:cs="Times New Roman"/>
              </w:rPr>
              <w:t>Program 1008 Javne potrebe u sportu</w:t>
            </w:r>
          </w:p>
        </w:tc>
        <w:tc>
          <w:tcPr>
            <w:tcW w:w="759" w:type="pct"/>
            <w:tcBorders>
              <w:top w:val="nil"/>
              <w:left w:val="nil"/>
              <w:bottom w:val="single" w:sz="4" w:space="0" w:color="auto"/>
              <w:right w:val="single" w:sz="4" w:space="0" w:color="auto"/>
            </w:tcBorders>
            <w:shd w:val="clear" w:color="auto" w:fill="auto"/>
            <w:vAlign w:val="center"/>
          </w:tcPr>
          <w:p w14:paraId="71025B0C" w14:textId="77777777" w:rsidR="0081662F" w:rsidRPr="00D0532A" w:rsidRDefault="0081662F" w:rsidP="00EB2357">
            <w:pPr>
              <w:spacing w:line="240" w:lineRule="auto"/>
              <w:ind w:right="36"/>
              <w:jc w:val="center"/>
              <w:rPr>
                <w:rFonts w:ascii="Times New Roman" w:hAnsi="Times New Roman" w:cs="Times New Roman"/>
                <w:lang w:eastAsia="hr-HR"/>
              </w:rPr>
            </w:pPr>
            <w:r w:rsidRPr="00D0532A">
              <w:rPr>
                <w:rFonts w:ascii="Times New Roman" w:eastAsia="Calibri" w:hAnsi="Times New Roman" w:cs="Times New Roman"/>
                <w:lang w:val="en-US"/>
              </w:rPr>
              <w:t>161.500,00</w:t>
            </w:r>
          </w:p>
        </w:tc>
        <w:tc>
          <w:tcPr>
            <w:tcW w:w="759" w:type="pct"/>
            <w:tcBorders>
              <w:top w:val="nil"/>
              <w:left w:val="nil"/>
              <w:bottom w:val="single" w:sz="4" w:space="0" w:color="auto"/>
              <w:right w:val="single" w:sz="4" w:space="0" w:color="auto"/>
            </w:tcBorders>
            <w:shd w:val="clear" w:color="auto" w:fill="auto"/>
            <w:vAlign w:val="center"/>
          </w:tcPr>
          <w:p w14:paraId="026BC11E" w14:textId="77777777" w:rsidR="0081662F" w:rsidRPr="00D0532A" w:rsidRDefault="0081662F" w:rsidP="00EB2357">
            <w:pPr>
              <w:spacing w:line="240" w:lineRule="auto"/>
              <w:ind w:right="36"/>
              <w:jc w:val="center"/>
              <w:rPr>
                <w:rFonts w:ascii="Times New Roman" w:eastAsia="Calibri" w:hAnsi="Times New Roman" w:cs="Times New Roman"/>
                <w:lang w:val="en-US"/>
              </w:rPr>
            </w:pPr>
            <w:r w:rsidRPr="00D0532A">
              <w:rPr>
                <w:rFonts w:ascii="Times New Roman" w:eastAsia="Calibri" w:hAnsi="Times New Roman" w:cs="Times New Roman"/>
                <w:lang w:val="en-US"/>
              </w:rPr>
              <w:t>160.680,00</w:t>
            </w:r>
          </w:p>
        </w:tc>
        <w:tc>
          <w:tcPr>
            <w:tcW w:w="561" w:type="pct"/>
            <w:tcBorders>
              <w:top w:val="nil"/>
              <w:left w:val="nil"/>
              <w:bottom w:val="single" w:sz="4" w:space="0" w:color="auto"/>
              <w:right w:val="single" w:sz="4" w:space="0" w:color="auto"/>
            </w:tcBorders>
            <w:shd w:val="clear" w:color="auto" w:fill="auto"/>
            <w:vAlign w:val="center"/>
          </w:tcPr>
          <w:p w14:paraId="7ADC42C8" w14:textId="77777777" w:rsidR="0081662F" w:rsidRPr="00D0532A" w:rsidRDefault="0081662F" w:rsidP="00EB2357">
            <w:pPr>
              <w:spacing w:line="240" w:lineRule="auto"/>
              <w:ind w:right="36"/>
              <w:jc w:val="center"/>
              <w:rPr>
                <w:rFonts w:ascii="Times New Roman" w:eastAsia="Calibri" w:hAnsi="Times New Roman" w:cs="Times New Roman"/>
                <w:lang w:val="en-US"/>
              </w:rPr>
            </w:pPr>
            <w:r w:rsidRPr="00D0532A">
              <w:rPr>
                <w:rFonts w:ascii="Times New Roman" w:eastAsia="Calibri" w:hAnsi="Times New Roman" w:cs="Times New Roman"/>
                <w:lang w:val="en-US"/>
              </w:rPr>
              <w:t>99,49%</w:t>
            </w:r>
          </w:p>
        </w:tc>
      </w:tr>
      <w:tr w:rsidR="0081662F" w:rsidRPr="00D0532A" w14:paraId="1FE61C87" w14:textId="77777777" w:rsidTr="007F7B85">
        <w:trPr>
          <w:trHeight w:val="282"/>
        </w:trPr>
        <w:tc>
          <w:tcPr>
            <w:tcW w:w="2920" w:type="pct"/>
            <w:tcBorders>
              <w:top w:val="single" w:sz="4" w:space="0" w:color="auto"/>
              <w:left w:val="single" w:sz="4" w:space="0" w:color="auto"/>
              <w:bottom w:val="single" w:sz="4" w:space="0" w:color="auto"/>
              <w:right w:val="single" w:sz="4" w:space="0" w:color="auto"/>
            </w:tcBorders>
            <w:shd w:val="clear" w:color="auto" w:fill="auto"/>
            <w:vAlign w:val="bottom"/>
          </w:tcPr>
          <w:p w14:paraId="2DD358B2" w14:textId="77777777" w:rsidR="0081662F" w:rsidRPr="00D0532A" w:rsidRDefault="0081662F" w:rsidP="00EB2357">
            <w:pPr>
              <w:spacing w:line="240" w:lineRule="auto"/>
              <w:rPr>
                <w:rFonts w:ascii="Times New Roman" w:hAnsi="Times New Roman" w:cs="Times New Roman"/>
                <w:lang w:eastAsia="hr-HR"/>
              </w:rPr>
            </w:pPr>
            <w:r w:rsidRPr="00D0532A">
              <w:rPr>
                <w:rFonts w:ascii="Times New Roman" w:eastAsia="Calibri" w:hAnsi="Times New Roman" w:cs="Times New Roman"/>
              </w:rPr>
              <w:t>Program 1013 Javne potrebe u zdravstvu</w:t>
            </w:r>
          </w:p>
        </w:tc>
        <w:tc>
          <w:tcPr>
            <w:tcW w:w="759" w:type="pct"/>
            <w:tcBorders>
              <w:top w:val="nil"/>
              <w:left w:val="nil"/>
              <w:bottom w:val="single" w:sz="4" w:space="0" w:color="auto"/>
              <w:right w:val="single" w:sz="4" w:space="0" w:color="auto"/>
            </w:tcBorders>
            <w:shd w:val="clear" w:color="auto" w:fill="auto"/>
            <w:vAlign w:val="center"/>
          </w:tcPr>
          <w:p w14:paraId="1FFE7EA8" w14:textId="77777777" w:rsidR="0081662F" w:rsidRPr="00D0532A" w:rsidRDefault="0081662F" w:rsidP="00EB2357">
            <w:pPr>
              <w:spacing w:line="240" w:lineRule="auto"/>
              <w:ind w:right="36"/>
              <w:jc w:val="center"/>
              <w:rPr>
                <w:rFonts w:ascii="Times New Roman" w:hAnsi="Times New Roman" w:cs="Times New Roman"/>
                <w:lang w:eastAsia="hr-HR"/>
              </w:rPr>
            </w:pPr>
            <w:r w:rsidRPr="00D0532A">
              <w:rPr>
                <w:rFonts w:ascii="Times New Roman" w:eastAsia="Calibri" w:hAnsi="Times New Roman" w:cs="Times New Roman"/>
                <w:lang w:val="en-US"/>
              </w:rPr>
              <w:t>7.150,00</w:t>
            </w:r>
          </w:p>
        </w:tc>
        <w:tc>
          <w:tcPr>
            <w:tcW w:w="759" w:type="pct"/>
            <w:tcBorders>
              <w:top w:val="nil"/>
              <w:left w:val="nil"/>
              <w:bottom w:val="single" w:sz="4" w:space="0" w:color="auto"/>
              <w:right w:val="single" w:sz="4" w:space="0" w:color="auto"/>
            </w:tcBorders>
            <w:shd w:val="clear" w:color="auto" w:fill="auto"/>
            <w:vAlign w:val="center"/>
          </w:tcPr>
          <w:p w14:paraId="014DAC48" w14:textId="77777777" w:rsidR="0081662F" w:rsidRPr="00D0532A" w:rsidRDefault="0081662F" w:rsidP="00EB2357">
            <w:pPr>
              <w:spacing w:line="240" w:lineRule="auto"/>
              <w:ind w:right="36"/>
              <w:jc w:val="center"/>
              <w:rPr>
                <w:rFonts w:ascii="Times New Roman" w:eastAsia="Calibri" w:hAnsi="Times New Roman" w:cs="Times New Roman"/>
                <w:lang w:val="en-US"/>
              </w:rPr>
            </w:pPr>
            <w:r w:rsidRPr="00D0532A">
              <w:rPr>
                <w:rFonts w:ascii="Times New Roman" w:eastAsia="Calibri" w:hAnsi="Times New Roman" w:cs="Times New Roman"/>
                <w:lang w:val="en-US"/>
              </w:rPr>
              <w:t>6.135,50</w:t>
            </w:r>
          </w:p>
        </w:tc>
        <w:tc>
          <w:tcPr>
            <w:tcW w:w="561" w:type="pct"/>
            <w:tcBorders>
              <w:top w:val="nil"/>
              <w:left w:val="nil"/>
              <w:bottom w:val="single" w:sz="4" w:space="0" w:color="auto"/>
              <w:right w:val="single" w:sz="4" w:space="0" w:color="auto"/>
            </w:tcBorders>
            <w:shd w:val="clear" w:color="auto" w:fill="auto"/>
            <w:vAlign w:val="center"/>
          </w:tcPr>
          <w:p w14:paraId="1BD6F0F1" w14:textId="77777777" w:rsidR="0081662F" w:rsidRPr="00D0532A" w:rsidRDefault="0081662F" w:rsidP="00EB2357">
            <w:pPr>
              <w:spacing w:line="240" w:lineRule="auto"/>
              <w:ind w:right="36"/>
              <w:jc w:val="center"/>
              <w:rPr>
                <w:rFonts w:ascii="Times New Roman" w:eastAsia="Calibri" w:hAnsi="Times New Roman" w:cs="Times New Roman"/>
                <w:lang w:val="en-US"/>
              </w:rPr>
            </w:pPr>
            <w:r w:rsidRPr="00D0532A">
              <w:rPr>
                <w:rFonts w:ascii="Times New Roman" w:eastAsia="Calibri" w:hAnsi="Times New Roman" w:cs="Times New Roman"/>
                <w:lang w:val="en-US"/>
              </w:rPr>
              <w:t>85,81%</w:t>
            </w:r>
          </w:p>
        </w:tc>
      </w:tr>
      <w:tr w:rsidR="0081662F" w:rsidRPr="00D0532A" w14:paraId="54B5E558" w14:textId="77777777" w:rsidTr="007F7B85">
        <w:trPr>
          <w:trHeight w:val="282"/>
        </w:trPr>
        <w:tc>
          <w:tcPr>
            <w:tcW w:w="2920" w:type="pct"/>
            <w:tcBorders>
              <w:top w:val="single" w:sz="4" w:space="0" w:color="auto"/>
              <w:left w:val="single" w:sz="4" w:space="0" w:color="auto"/>
              <w:bottom w:val="single" w:sz="4" w:space="0" w:color="auto"/>
              <w:right w:val="single" w:sz="4" w:space="0" w:color="auto"/>
            </w:tcBorders>
            <w:shd w:val="clear" w:color="auto" w:fill="auto"/>
            <w:vAlign w:val="bottom"/>
          </w:tcPr>
          <w:p w14:paraId="59E13741" w14:textId="77777777" w:rsidR="0081662F" w:rsidRPr="00D0532A" w:rsidRDefault="0081662F" w:rsidP="00EB2357">
            <w:pPr>
              <w:spacing w:line="240" w:lineRule="auto"/>
              <w:rPr>
                <w:rFonts w:ascii="Times New Roman" w:hAnsi="Times New Roman" w:cs="Times New Roman"/>
                <w:lang w:eastAsia="hr-HR"/>
              </w:rPr>
            </w:pPr>
            <w:r w:rsidRPr="00D0532A">
              <w:rPr>
                <w:rFonts w:ascii="Times New Roman" w:eastAsia="Calibri" w:hAnsi="Times New Roman" w:cs="Times New Roman"/>
              </w:rPr>
              <w:t>Program 1014 Poticanje razvoja turizma i zajednice</w:t>
            </w:r>
          </w:p>
        </w:tc>
        <w:tc>
          <w:tcPr>
            <w:tcW w:w="759" w:type="pct"/>
            <w:tcBorders>
              <w:top w:val="nil"/>
              <w:left w:val="nil"/>
              <w:bottom w:val="single" w:sz="4" w:space="0" w:color="auto"/>
              <w:right w:val="single" w:sz="4" w:space="0" w:color="auto"/>
            </w:tcBorders>
            <w:shd w:val="clear" w:color="auto" w:fill="auto"/>
            <w:vAlign w:val="center"/>
          </w:tcPr>
          <w:p w14:paraId="30119065" w14:textId="77777777" w:rsidR="0081662F" w:rsidRPr="00D0532A" w:rsidRDefault="0081662F" w:rsidP="00EB2357">
            <w:pPr>
              <w:spacing w:line="240" w:lineRule="auto"/>
              <w:ind w:right="36"/>
              <w:jc w:val="center"/>
              <w:rPr>
                <w:rFonts w:ascii="Times New Roman" w:hAnsi="Times New Roman" w:cs="Times New Roman"/>
                <w:lang w:eastAsia="hr-HR"/>
              </w:rPr>
            </w:pPr>
            <w:r w:rsidRPr="00D0532A">
              <w:rPr>
                <w:rFonts w:ascii="Times New Roman" w:eastAsia="Calibri" w:hAnsi="Times New Roman" w:cs="Times New Roman"/>
                <w:lang w:val="en-US"/>
              </w:rPr>
              <w:t>66.700,00</w:t>
            </w:r>
          </w:p>
        </w:tc>
        <w:tc>
          <w:tcPr>
            <w:tcW w:w="759" w:type="pct"/>
            <w:tcBorders>
              <w:top w:val="nil"/>
              <w:left w:val="nil"/>
              <w:bottom w:val="single" w:sz="4" w:space="0" w:color="auto"/>
              <w:right w:val="single" w:sz="4" w:space="0" w:color="auto"/>
            </w:tcBorders>
            <w:shd w:val="clear" w:color="auto" w:fill="auto"/>
            <w:vAlign w:val="center"/>
          </w:tcPr>
          <w:p w14:paraId="2CDD3155" w14:textId="77777777" w:rsidR="0081662F" w:rsidRPr="00D0532A" w:rsidRDefault="0081662F" w:rsidP="00EB2357">
            <w:pPr>
              <w:spacing w:line="240" w:lineRule="auto"/>
              <w:ind w:right="36"/>
              <w:jc w:val="center"/>
              <w:rPr>
                <w:rFonts w:ascii="Times New Roman" w:eastAsia="Calibri" w:hAnsi="Times New Roman" w:cs="Times New Roman"/>
                <w:lang w:val="en-US"/>
              </w:rPr>
            </w:pPr>
            <w:r w:rsidRPr="00D0532A">
              <w:rPr>
                <w:rFonts w:ascii="Times New Roman" w:eastAsia="Calibri" w:hAnsi="Times New Roman" w:cs="Times New Roman"/>
                <w:lang w:val="en-US"/>
              </w:rPr>
              <w:t>66.700,00</w:t>
            </w:r>
          </w:p>
        </w:tc>
        <w:tc>
          <w:tcPr>
            <w:tcW w:w="561" w:type="pct"/>
            <w:tcBorders>
              <w:top w:val="nil"/>
              <w:left w:val="nil"/>
              <w:bottom w:val="single" w:sz="4" w:space="0" w:color="auto"/>
              <w:right w:val="single" w:sz="4" w:space="0" w:color="auto"/>
            </w:tcBorders>
            <w:shd w:val="clear" w:color="auto" w:fill="auto"/>
            <w:vAlign w:val="center"/>
          </w:tcPr>
          <w:p w14:paraId="3CBA5E06" w14:textId="77777777" w:rsidR="0081662F" w:rsidRPr="00D0532A" w:rsidRDefault="0081662F" w:rsidP="00EB2357">
            <w:pPr>
              <w:spacing w:line="240" w:lineRule="auto"/>
              <w:ind w:right="36"/>
              <w:jc w:val="center"/>
              <w:rPr>
                <w:rFonts w:ascii="Times New Roman" w:eastAsia="Calibri" w:hAnsi="Times New Roman" w:cs="Times New Roman"/>
                <w:lang w:val="en-US"/>
              </w:rPr>
            </w:pPr>
            <w:r w:rsidRPr="00D0532A">
              <w:rPr>
                <w:rFonts w:ascii="Times New Roman" w:eastAsia="Calibri" w:hAnsi="Times New Roman" w:cs="Times New Roman"/>
                <w:lang w:val="en-US"/>
              </w:rPr>
              <w:t>100,00%</w:t>
            </w:r>
          </w:p>
        </w:tc>
      </w:tr>
      <w:tr w:rsidR="0081662F" w:rsidRPr="00D0532A" w14:paraId="6F7E1958" w14:textId="77777777" w:rsidTr="007F7B85">
        <w:trPr>
          <w:trHeight w:val="282"/>
        </w:trPr>
        <w:tc>
          <w:tcPr>
            <w:tcW w:w="2920" w:type="pct"/>
            <w:tcBorders>
              <w:top w:val="single" w:sz="4" w:space="0" w:color="auto"/>
              <w:left w:val="single" w:sz="4" w:space="0" w:color="auto"/>
              <w:bottom w:val="single" w:sz="4" w:space="0" w:color="auto"/>
              <w:right w:val="single" w:sz="4" w:space="0" w:color="auto"/>
            </w:tcBorders>
            <w:shd w:val="clear" w:color="auto" w:fill="auto"/>
            <w:vAlign w:val="bottom"/>
          </w:tcPr>
          <w:p w14:paraId="612C40A7" w14:textId="77777777" w:rsidR="0081662F" w:rsidRPr="00D0532A" w:rsidRDefault="0081662F" w:rsidP="00EB2357">
            <w:pPr>
              <w:spacing w:line="240" w:lineRule="auto"/>
              <w:rPr>
                <w:rFonts w:ascii="Times New Roman" w:hAnsi="Times New Roman" w:cs="Times New Roman"/>
                <w:lang w:eastAsia="hr-HR"/>
              </w:rPr>
            </w:pPr>
            <w:r w:rsidRPr="00D0532A">
              <w:rPr>
                <w:rFonts w:ascii="Times New Roman" w:eastAsia="Calibri" w:hAnsi="Times New Roman" w:cs="Times New Roman"/>
              </w:rPr>
              <w:t>Program 1016 Predškolsko obrazovanje</w:t>
            </w:r>
          </w:p>
        </w:tc>
        <w:tc>
          <w:tcPr>
            <w:tcW w:w="759" w:type="pct"/>
            <w:tcBorders>
              <w:top w:val="nil"/>
              <w:left w:val="nil"/>
              <w:bottom w:val="single" w:sz="4" w:space="0" w:color="auto"/>
              <w:right w:val="single" w:sz="4" w:space="0" w:color="auto"/>
            </w:tcBorders>
            <w:shd w:val="clear" w:color="auto" w:fill="auto"/>
            <w:vAlign w:val="center"/>
          </w:tcPr>
          <w:p w14:paraId="79B91EC8" w14:textId="77777777" w:rsidR="0081662F" w:rsidRPr="00D0532A" w:rsidRDefault="0081662F" w:rsidP="00EB2357">
            <w:pPr>
              <w:spacing w:line="240" w:lineRule="auto"/>
              <w:ind w:right="36"/>
              <w:jc w:val="center"/>
              <w:rPr>
                <w:rFonts w:ascii="Times New Roman" w:hAnsi="Times New Roman" w:cs="Times New Roman"/>
                <w:lang w:eastAsia="hr-HR"/>
              </w:rPr>
            </w:pPr>
            <w:r w:rsidRPr="00D0532A">
              <w:rPr>
                <w:rFonts w:ascii="Times New Roman" w:eastAsia="Calibri" w:hAnsi="Times New Roman" w:cs="Times New Roman"/>
                <w:lang w:val="en-US"/>
              </w:rPr>
              <w:t>449.100,00</w:t>
            </w:r>
          </w:p>
        </w:tc>
        <w:tc>
          <w:tcPr>
            <w:tcW w:w="759" w:type="pct"/>
            <w:tcBorders>
              <w:top w:val="nil"/>
              <w:left w:val="nil"/>
              <w:bottom w:val="single" w:sz="4" w:space="0" w:color="auto"/>
              <w:right w:val="single" w:sz="4" w:space="0" w:color="auto"/>
            </w:tcBorders>
            <w:shd w:val="clear" w:color="auto" w:fill="auto"/>
            <w:vAlign w:val="center"/>
          </w:tcPr>
          <w:p w14:paraId="4DDECFDF" w14:textId="77777777" w:rsidR="0081662F" w:rsidRPr="00D0532A" w:rsidRDefault="0081662F" w:rsidP="00EB2357">
            <w:pPr>
              <w:spacing w:line="240" w:lineRule="auto"/>
              <w:ind w:right="36"/>
              <w:jc w:val="center"/>
              <w:rPr>
                <w:rFonts w:ascii="Times New Roman" w:eastAsia="Calibri" w:hAnsi="Times New Roman" w:cs="Times New Roman"/>
                <w:lang w:val="en-US"/>
              </w:rPr>
            </w:pPr>
            <w:r w:rsidRPr="00D0532A">
              <w:rPr>
                <w:rFonts w:ascii="Times New Roman" w:eastAsia="Calibri" w:hAnsi="Times New Roman" w:cs="Times New Roman"/>
                <w:lang w:val="en-US"/>
              </w:rPr>
              <w:t>396.391,04</w:t>
            </w:r>
          </w:p>
        </w:tc>
        <w:tc>
          <w:tcPr>
            <w:tcW w:w="561" w:type="pct"/>
            <w:tcBorders>
              <w:top w:val="nil"/>
              <w:left w:val="nil"/>
              <w:bottom w:val="single" w:sz="4" w:space="0" w:color="auto"/>
              <w:right w:val="single" w:sz="4" w:space="0" w:color="auto"/>
            </w:tcBorders>
            <w:shd w:val="clear" w:color="auto" w:fill="auto"/>
            <w:vAlign w:val="center"/>
          </w:tcPr>
          <w:p w14:paraId="77D98988" w14:textId="77777777" w:rsidR="0081662F" w:rsidRPr="00D0532A" w:rsidRDefault="0081662F" w:rsidP="00EB2357">
            <w:pPr>
              <w:spacing w:line="240" w:lineRule="auto"/>
              <w:ind w:right="36"/>
              <w:jc w:val="center"/>
              <w:rPr>
                <w:rFonts w:ascii="Times New Roman" w:eastAsia="Calibri" w:hAnsi="Times New Roman" w:cs="Times New Roman"/>
                <w:lang w:val="en-US"/>
              </w:rPr>
            </w:pPr>
            <w:r w:rsidRPr="00D0532A">
              <w:rPr>
                <w:rFonts w:ascii="Times New Roman" w:eastAsia="Calibri" w:hAnsi="Times New Roman" w:cs="Times New Roman"/>
                <w:lang w:val="en-US"/>
              </w:rPr>
              <w:t>88,26%</w:t>
            </w:r>
          </w:p>
        </w:tc>
      </w:tr>
      <w:tr w:rsidR="0081662F" w:rsidRPr="00D0532A" w14:paraId="1561FFEE" w14:textId="77777777" w:rsidTr="007F7B85">
        <w:trPr>
          <w:trHeight w:val="282"/>
        </w:trPr>
        <w:tc>
          <w:tcPr>
            <w:tcW w:w="2920" w:type="pct"/>
            <w:tcBorders>
              <w:top w:val="single" w:sz="4" w:space="0" w:color="auto"/>
              <w:left w:val="single" w:sz="4" w:space="0" w:color="auto"/>
              <w:bottom w:val="single" w:sz="4" w:space="0" w:color="auto"/>
              <w:right w:val="single" w:sz="4" w:space="0" w:color="auto"/>
            </w:tcBorders>
            <w:shd w:val="clear" w:color="auto" w:fill="auto"/>
            <w:vAlign w:val="bottom"/>
          </w:tcPr>
          <w:p w14:paraId="539F3762" w14:textId="77777777" w:rsidR="0081662F" w:rsidRPr="00D0532A" w:rsidRDefault="0081662F" w:rsidP="00EB2357">
            <w:pPr>
              <w:spacing w:line="240" w:lineRule="auto"/>
              <w:rPr>
                <w:rFonts w:ascii="Times New Roman" w:hAnsi="Times New Roman" w:cs="Times New Roman"/>
                <w:lang w:eastAsia="hr-HR"/>
              </w:rPr>
            </w:pPr>
            <w:r w:rsidRPr="00D0532A">
              <w:rPr>
                <w:rFonts w:ascii="Times New Roman" w:eastAsia="Calibri" w:hAnsi="Times New Roman" w:cs="Times New Roman"/>
              </w:rPr>
              <w:t>Program 1017 Poticajne mjere demografske obnove</w:t>
            </w:r>
          </w:p>
        </w:tc>
        <w:tc>
          <w:tcPr>
            <w:tcW w:w="759" w:type="pct"/>
            <w:tcBorders>
              <w:top w:val="nil"/>
              <w:left w:val="nil"/>
              <w:bottom w:val="single" w:sz="4" w:space="0" w:color="auto"/>
              <w:right w:val="single" w:sz="4" w:space="0" w:color="auto"/>
            </w:tcBorders>
            <w:shd w:val="clear" w:color="auto" w:fill="auto"/>
            <w:vAlign w:val="center"/>
          </w:tcPr>
          <w:p w14:paraId="1E1C9288" w14:textId="77777777" w:rsidR="0081662F" w:rsidRPr="00D0532A" w:rsidRDefault="0081662F" w:rsidP="00EB2357">
            <w:pPr>
              <w:spacing w:line="240" w:lineRule="auto"/>
              <w:ind w:right="36"/>
              <w:jc w:val="center"/>
              <w:rPr>
                <w:rFonts w:ascii="Times New Roman" w:hAnsi="Times New Roman" w:cs="Times New Roman"/>
                <w:lang w:eastAsia="hr-HR"/>
              </w:rPr>
            </w:pPr>
            <w:r w:rsidRPr="00D0532A">
              <w:rPr>
                <w:rFonts w:ascii="Times New Roman" w:eastAsia="Calibri" w:hAnsi="Times New Roman" w:cs="Times New Roman"/>
                <w:lang w:val="en-US"/>
              </w:rPr>
              <w:t>30.600,00</w:t>
            </w:r>
          </w:p>
        </w:tc>
        <w:tc>
          <w:tcPr>
            <w:tcW w:w="759" w:type="pct"/>
            <w:tcBorders>
              <w:top w:val="nil"/>
              <w:left w:val="nil"/>
              <w:bottom w:val="single" w:sz="4" w:space="0" w:color="auto"/>
              <w:right w:val="single" w:sz="4" w:space="0" w:color="auto"/>
            </w:tcBorders>
            <w:shd w:val="clear" w:color="auto" w:fill="auto"/>
            <w:vAlign w:val="center"/>
          </w:tcPr>
          <w:p w14:paraId="492E1C69" w14:textId="77777777" w:rsidR="0081662F" w:rsidRPr="00D0532A" w:rsidRDefault="0081662F" w:rsidP="00EB2357">
            <w:pPr>
              <w:spacing w:line="240" w:lineRule="auto"/>
              <w:ind w:right="36"/>
              <w:jc w:val="center"/>
              <w:rPr>
                <w:rFonts w:ascii="Times New Roman" w:eastAsia="Calibri" w:hAnsi="Times New Roman" w:cs="Times New Roman"/>
                <w:lang w:val="en-US"/>
              </w:rPr>
            </w:pPr>
            <w:r w:rsidRPr="00D0532A">
              <w:rPr>
                <w:rFonts w:ascii="Times New Roman" w:eastAsia="Calibri" w:hAnsi="Times New Roman" w:cs="Times New Roman"/>
                <w:lang w:val="en-US"/>
              </w:rPr>
              <w:t>27.072,80</w:t>
            </w:r>
          </w:p>
        </w:tc>
        <w:tc>
          <w:tcPr>
            <w:tcW w:w="561" w:type="pct"/>
            <w:tcBorders>
              <w:top w:val="nil"/>
              <w:left w:val="nil"/>
              <w:bottom w:val="single" w:sz="4" w:space="0" w:color="auto"/>
              <w:right w:val="single" w:sz="4" w:space="0" w:color="auto"/>
            </w:tcBorders>
            <w:shd w:val="clear" w:color="auto" w:fill="auto"/>
            <w:vAlign w:val="center"/>
          </w:tcPr>
          <w:p w14:paraId="0904BA0B" w14:textId="77777777" w:rsidR="0081662F" w:rsidRPr="00D0532A" w:rsidRDefault="0081662F" w:rsidP="00EB2357">
            <w:pPr>
              <w:spacing w:line="240" w:lineRule="auto"/>
              <w:ind w:right="36"/>
              <w:jc w:val="center"/>
              <w:rPr>
                <w:rFonts w:ascii="Times New Roman" w:eastAsia="Calibri" w:hAnsi="Times New Roman" w:cs="Times New Roman"/>
                <w:lang w:val="en-US"/>
              </w:rPr>
            </w:pPr>
            <w:r w:rsidRPr="00D0532A">
              <w:rPr>
                <w:rFonts w:ascii="Times New Roman" w:eastAsia="Calibri" w:hAnsi="Times New Roman" w:cs="Times New Roman"/>
                <w:lang w:val="en-US"/>
              </w:rPr>
              <w:t>88,47%</w:t>
            </w:r>
          </w:p>
        </w:tc>
      </w:tr>
      <w:tr w:rsidR="0081662F" w:rsidRPr="00D0532A" w14:paraId="68C7FD43" w14:textId="77777777" w:rsidTr="007F7B85">
        <w:trPr>
          <w:trHeight w:val="282"/>
        </w:trPr>
        <w:tc>
          <w:tcPr>
            <w:tcW w:w="2920" w:type="pct"/>
            <w:tcBorders>
              <w:top w:val="single" w:sz="4" w:space="0" w:color="auto"/>
              <w:left w:val="single" w:sz="4" w:space="0" w:color="auto"/>
              <w:bottom w:val="single" w:sz="4" w:space="0" w:color="auto"/>
              <w:right w:val="single" w:sz="4" w:space="0" w:color="auto"/>
            </w:tcBorders>
            <w:shd w:val="clear" w:color="auto" w:fill="auto"/>
            <w:vAlign w:val="bottom"/>
          </w:tcPr>
          <w:p w14:paraId="6BA40F52" w14:textId="77777777" w:rsidR="0081662F" w:rsidRPr="00D0532A" w:rsidRDefault="0081662F" w:rsidP="00EB2357">
            <w:pPr>
              <w:spacing w:line="240" w:lineRule="auto"/>
              <w:rPr>
                <w:rFonts w:ascii="Times New Roman" w:hAnsi="Times New Roman" w:cs="Times New Roman"/>
                <w:lang w:eastAsia="hr-HR"/>
              </w:rPr>
            </w:pPr>
            <w:r w:rsidRPr="00D0532A">
              <w:rPr>
                <w:rFonts w:ascii="Times New Roman" w:eastAsia="Calibri" w:hAnsi="Times New Roman" w:cs="Times New Roman"/>
              </w:rPr>
              <w:t>Program 1018 Socijalna skrb</w:t>
            </w:r>
          </w:p>
        </w:tc>
        <w:tc>
          <w:tcPr>
            <w:tcW w:w="759" w:type="pct"/>
            <w:tcBorders>
              <w:top w:val="nil"/>
              <w:left w:val="nil"/>
              <w:bottom w:val="single" w:sz="4" w:space="0" w:color="auto"/>
              <w:right w:val="single" w:sz="4" w:space="0" w:color="auto"/>
            </w:tcBorders>
            <w:shd w:val="clear" w:color="auto" w:fill="auto"/>
            <w:vAlign w:val="center"/>
          </w:tcPr>
          <w:p w14:paraId="0FECB008" w14:textId="77777777" w:rsidR="0081662F" w:rsidRPr="00D0532A" w:rsidRDefault="0081662F" w:rsidP="00EB2357">
            <w:pPr>
              <w:spacing w:line="240" w:lineRule="auto"/>
              <w:ind w:right="36"/>
              <w:jc w:val="center"/>
              <w:rPr>
                <w:rFonts w:ascii="Times New Roman" w:hAnsi="Times New Roman" w:cs="Times New Roman"/>
                <w:lang w:eastAsia="hr-HR"/>
              </w:rPr>
            </w:pPr>
            <w:r w:rsidRPr="00D0532A">
              <w:rPr>
                <w:rFonts w:ascii="Times New Roman" w:eastAsia="Calibri" w:hAnsi="Times New Roman" w:cs="Times New Roman"/>
                <w:lang w:val="en-US"/>
              </w:rPr>
              <w:t>102.930,00</w:t>
            </w:r>
          </w:p>
        </w:tc>
        <w:tc>
          <w:tcPr>
            <w:tcW w:w="759" w:type="pct"/>
            <w:tcBorders>
              <w:top w:val="nil"/>
              <w:left w:val="nil"/>
              <w:bottom w:val="single" w:sz="4" w:space="0" w:color="auto"/>
              <w:right w:val="single" w:sz="4" w:space="0" w:color="auto"/>
            </w:tcBorders>
            <w:shd w:val="clear" w:color="auto" w:fill="auto"/>
            <w:vAlign w:val="center"/>
          </w:tcPr>
          <w:p w14:paraId="0629E479" w14:textId="77777777" w:rsidR="0081662F" w:rsidRPr="00D0532A" w:rsidRDefault="0081662F" w:rsidP="00EB2357">
            <w:pPr>
              <w:spacing w:line="240" w:lineRule="auto"/>
              <w:ind w:right="36"/>
              <w:jc w:val="center"/>
              <w:rPr>
                <w:rFonts w:ascii="Times New Roman" w:eastAsia="Calibri" w:hAnsi="Times New Roman" w:cs="Times New Roman"/>
                <w:lang w:val="en-US"/>
              </w:rPr>
            </w:pPr>
            <w:r w:rsidRPr="00D0532A">
              <w:rPr>
                <w:rFonts w:ascii="Times New Roman" w:eastAsia="Calibri" w:hAnsi="Times New Roman" w:cs="Times New Roman"/>
                <w:lang w:val="en-US"/>
              </w:rPr>
              <w:t>86.939,27</w:t>
            </w:r>
          </w:p>
        </w:tc>
        <w:tc>
          <w:tcPr>
            <w:tcW w:w="561" w:type="pct"/>
            <w:tcBorders>
              <w:top w:val="nil"/>
              <w:left w:val="nil"/>
              <w:bottom w:val="single" w:sz="4" w:space="0" w:color="auto"/>
              <w:right w:val="single" w:sz="4" w:space="0" w:color="auto"/>
            </w:tcBorders>
            <w:shd w:val="clear" w:color="auto" w:fill="auto"/>
            <w:vAlign w:val="center"/>
          </w:tcPr>
          <w:p w14:paraId="102EA6F7" w14:textId="77777777" w:rsidR="0081662F" w:rsidRPr="00D0532A" w:rsidRDefault="0081662F" w:rsidP="00EB2357">
            <w:pPr>
              <w:spacing w:line="240" w:lineRule="auto"/>
              <w:ind w:right="36"/>
              <w:jc w:val="center"/>
              <w:rPr>
                <w:rFonts w:ascii="Times New Roman" w:eastAsia="Calibri" w:hAnsi="Times New Roman" w:cs="Times New Roman"/>
                <w:lang w:val="en-US"/>
              </w:rPr>
            </w:pPr>
            <w:r w:rsidRPr="00D0532A">
              <w:rPr>
                <w:rFonts w:ascii="Times New Roman" w:eastAsia="Calibri" w:hAnsi="Times New Roman" w:cs="Times New Roman"/>
                <w:lang w:val="en-US"/>
              </w:rPr>
              <w:t>84,46%</w:t>
            </w:r>
          </w:p>
        </w:tc>
      </w:tr>
      <w:tr w:rsidR="0081662F" w:rsidRPr="00D0532A" w14:paraId="4709FEFD" w14:textId="77777777" w:rsidTr="007F7B85">
        <w:trPr>
          <w:trHeight w:val="282"/>
        </w:trPr>
        <w:tc>
          <w:tcPr>
            <w:tcW w:w="2920" w:type="pct"/>
            <w:tcBorders>
              <w:top w:val="single" w:sz="4" w:space="0" w:color="auto"/>
              <w:left w:val="single" w:sz="4" w:space="0" w:color="auto"/>
              <w:bottom w:val="single" w:sz="4" w:space="0" w:color="auto"/>
              <w:right w:val="single" w:sz="4" w:space="0" w:color="auto"/>
            </w:tcBorders>
            <w:shd w:val="clear" w:color="auto" w:fill="auto"/>
            <w:vAlign w:val="bottom"/>
          </w:tcPr>
          <w:p w14:paraId="5B4BE1A2" w14:textId="77777777" w:rsidR="0081662F" w:rsidRPr="00D0532A" w:rsidRDefault="0081662F" w:rsidP="00EB2357">
            <w:pPr>
              <w:spacing w:line="240" w:lineRule="auto"/>
              <w:rPr>
                <w:rFonts w:ascii="Times New Roman" w:hAnsi="Times New Roman" w:cs="Times New Roman"/>
                <w:lang w:eastAsia="hr-HR"/>
              </w:rPr>
            </w:pPr>
            <w:r w:rsidRPr="00D0532A">
              <w:rPr>
                <w:rFonts w:ascii="Times New Roman" w:eastAsia="Calibri" w:hAnsi="Times New Roman" w:cs="Times New Roman"/>
              </w:rPr>
              <w:t>Program 1019 Humanitarna skrb kroz udruge građana</w:t>
            </w:r>
          </w:p>
        </w:tc>
        <w:tc>
          <w:tcPr>
            <w:tcW w:w="759" w:type="pct"/>
            <w:tcBorders>
              <w:top w:val="nil"/>
              <w:left w:val="nil"/>
              <w:bottom w:val="single" w:sz="4" w:space="0" w:color="auto"/>
              <w:right w:val="single" w:sz="4" w:space="0" w:color="auto"/>
            </w:tcBorders>
            <w:shd w:val="clear" w:color="auto" w:fill="auto"/>
            <w:vAlign w:val="center"/>
          </w:tcPr>
          <w:p w14:paraId="091BEC15" w14:textId="77777777" w:rsidR="0081662F" w:rsidRPr="00D0532A" w:rsidRDefault="0081662F" w:rsidP="00EB2357">
            <w:pPr>
              <w:spacing w:line="240" w:lineRule="auto"/>
              <w:ind w:right="36"/>
              <w:jc w:val="center"/>
              <w:rPr>
                <w:rFonts w:ascii="Times New Roman" w:hAnsi="Times New Roman" w:cs="Times New Roman"/>
                <w:lang w:eastAsia="hr-HR"/>
              </w:rPr>
            </w:pPr>
            <w:r w:rsidRPr="00D0532A">
              <w:rPr>
                <w:rFonts w:ascii="Times New Roman" w:eastAsia="Calibri" w:hAnsi="Times New Roman" w:cs="Times New Roman"/>
                <w:lang w:val="en-US"/>
              </w:rPr>
              <w:t>43.970,00</w:t>
            </w:r>
          </w:p>
        </w:tc>
        <w:tc>
          <w:tcPr>
            <w:tcW w:w="759" w:type="pct"/>
            <w:tcBorders>
              <w:top w:val="nil"/>
              <w:left w:val="nil"/>
              <w:bottom w:val="single" w:sz="4" w:space="0" w:color="auto"/>
              <w:right w:val="single" w:sz="4" w:space="0" w:color="auto"/>
            </w:tcBorders>
            <w:shd w:val="clear" w:color="auto" w:fill="auto"/>
            <w:vAlign w:val="center"/>
          </w:tcPr>
          <w:p w14:paraId="0F3C8825" w14:textId="77777777" w:rsidR="0081662F" w:rsidRPr="00D0532A" w:rsidRDefault="0081662F" w:rsidP="00EB2357">
            <w:pPr>
              <w:spacing w:line="240" w:lineRule="auto"/>
              <w:ind w:right="36"/>
              <w:jc w:val="center"/>
              <w:rPr>
                <w:rFonts w:ascii="Times New Roman" w:eastAsia="Calibri" w:hAnsi="Times New Roman" w:cs="Times New Roman"/>
                <w:lang w:val="en-US"/>
              </w:rPr>
            </w:pPr>
            <w:r w:rsidRPr="00D0532A">
              <w:rPr>
                <w:rFonts w:ascii="Times New Roman" w:eastAsia="Calibri" w:hAnsi="Times New Roman" w:cs="Times New Roman"/>
                <w:lang w:val="en-US"/>
              </w:rPr>
              <w:t>43.970,00</w:t>
            </w:r>
          </w:p>
        </w:tc>
        <w:tc>
          <w:tcPr>
            <w:tcW w:w="561" w:type="pct"/>
            <w:tcBorders>
              <w:top w:val="nil"/>
              <w:left w:val="nil"/>
              <w:bottom w:val="single" w:sz="4" w:space="0" w:color="auto"/>
              <w:right w:val="single" w:sz="4" w:space="0" w:color="auto"/>
            </w:tcBorders>
            <w:shd w:val="clear" w:color="auto" w:fill="auto"/>
            <w:vAlign w:val="center"/>
          </w:tcPr>
          <w:p w14:paraId="203FB4DB" w14:textId="77777777" w:rsidR="0081662F" w:rsidRPr="00D0532A" w:rsidRDefault="0081662F" w:rsidP="00EB2357">
            <w:pPr>
              <w:spacing w:line="240" w:lineRule="auto"/>
              <w:ind w:right="36"/>
              <w:jc w:val="center"/>
              <w:rPr>
                <w:rFonts w:ascii="Times New Roman" w:eastAsia="Calibri" w:hAnsi="Times New Roman" w:cs="Times New Roman"/>
                <w:lang w:val="en-US"/>
              </w:rPr>
            </w:pPr>
            <w:r w:rsidRPr="00D0532A">
              <w:rPr>
                <w:rFonts w:ascii="Times New Roman" w:eastAsia="Calibri" w:hAnsi="Times New Roman" w:cs="Times New Roman"/>
                <w:lang w:val="en-US"/>
              </w:rPr>
              <w:t>100,00%</w:t>
            </w:r>
          </w:p>
        </w:tc>
      </w:tr>
      <w:tr w:rsidR="0081662F" w:rsidRPr="00D0532A" w14:paraId="72D3E1EC" w14:textId="77777777" w:rsidTr="007F7B85">
        <w:trPr>
          <w:trHeight w:val="282"/>
        </w:trPr>
        <w:tc>
          <w:tcPr>
            <w:tcW w:w="2920" w:type="pct"/>
            <w:tcBorders>
              <w:top w:val="single" w:sz="4" w:space="0" w:color="auto"/>
              <w:left w:val="single" w:sz="4" w:space="0" w:color="auto"/>
              <w:bottom w:val="single" w:sz="4" w:space="0" w:color="auto"/>
              <w:right w:val="single" w:sz="4" w:space="0" w:color="auto"/>
            </w:tcBorders>
            <w:shd w:val="clear" w:color="auto" w:fill="auto"/>
            <w:vAlign w:val="bottom"/>
          </w:tcPr>
          <w:p w14:paraId="65880A0C" w14:textId="77777777" w:rsidR="0081662F" w:rsidRPr="00D0532A" w:rsidRDefault="0081662F" w:rsidP="00EB2357">
            <w:pPr>
              <w:spacing w:line="240" w:lineRule="auto"/>
              <w:rPr>
                <w:rFonts w:ascii="Times New Roman" w:hAnsi="Times New Roman" w:cs="Times New Roman"/>
                <w:lang w:eastAsia="hr-HR"/>
              </w:rPr>
            </w:pPr>
            <w:r w:rsidRPr="00D0532A">
              <w:rPr>
                <w:rFonts w:ascii="Times New Roman" w:eastAsia="Calibri" w:hAnsi="Times New Roman" w:cs="Times New Roman"/>
              </w:rPr>
              <w:t>Program 1020 Obrazovanje</w:t>
            </w:r>
          </w:p>
        </w:tc>
        <w:tc>
          <w:tcPr>
            <w:tcW w:w="759" w:type="pct"/>
            <w:tcBorders>
              <w:top w:val="nil"/>
              <w:left w:val="nil"/>
              <w:bottom w:val="single" w:sz="4" w:space="0" w:color="auto"/>
              <w:right w:val="single" w:sz="4" w:space="0" w:color="auto"/>
            </w:tcBorders>
            <w:shd w:val="clear" w:color="auto" w:fill="auto"/>
            <w:vAlign w:val="center"/>
          </w:tcPr>
          <w:p w14:paraId="2EF65BE8" w14:textId="77777777" w:rsidR="0081662F" w:rsidRPr="00D0532A" w:rsidRDefault="0081662F" w:rsidP="00EB2357">
            <w:pPr>
              <w:spacing w:line="240" w:lineRule="auto"/>
              <w:ind w:right="36"/>
              <w:jc w:val="center"/>
              <w:rPr>
                <w:rFonts w:ascii="Times New Roman" w:hAnsi="Times New Roman" w:cs="Times New Roman"/>
                <w:lang w:eastAsia="hr-HR"/>
              </w:rPr>
            </w:pPr>
            <w:r w:rsidRPr="00D0532A">
              <w:rPr>
                <w:rFonts w:ascii="Times New Roman" w:eastAsia="Calibri" w:hAnsi="Times New Roman" w:cs="Times New Roman"/>
                <w:lang w:val="en-US"/>
              </w:rPr>
              <w:t>423.170,00</w:t>
            </w:r>
          </w:p>
        </w:tc>
        <w:tc>
          <w:tcPr>
            <w:tcW w:w="759" w:type="pct"/>
            <w:tcBorders>
              <w:top w:val="nil"/>
              <w:left w:val="nil"/>
              <w:bottom w:val="single" w:sz="4" w:space="0" w:color="auto"/>
              <w:right w:val="single" w:sz="4" w:space="0" w:color="auto"/>
            </w:tcBorders>
            <w:shd w:val="clear" w:color="auto" w:fill="auto"/>
            <w:vAlign w:val="center"/>
          </w:tcPr>
          <w:p w14:paraId="3C309C30" w14:textId="77777777" w:rsidR="0081662F" w:rsidRPr="00D0532A" w:rsidRDefault="0081662F" w:rsidP="00EB2357">
            <w:pPr>
              <w:spacing w:line="240" w:lineRule="auto"/>
              <w:ind w:right="36"/>
              <w:jc w:val="center"/>
              <w:rPr>
                <w:rFonts w:ascii="Times New Roman" w:eastAsia="Calibri" w:hAnsi="Times New Roman" w:cs="Times New Roman"/>
                <w:lang w:val="en-US"/>
              </w:rPr>
            </w:pPr>
            <w:r w:rsidRPr="00D0532A">
              <w:rPr>
                <w:rFonts w:ascii="Times New Roman" w:eastAsia="Calibri" w:hAnsi="Times New Roman" w:cs="Times New Roman"/>
                <w:lang w:val="en-US"/>
              </w:rPr>
              <w:t>400.600,07</w:t>
            </w:r>
          </w:p>
        </w:tc>
        <w:tc>
          <w:tcPr>
            <w:tcW w:w="561" w:type="pct"/>
            <w:tcBorders>
              <w:top w:val="nil"/>
              <w:left w:val="nil"/>
              <w:bottom w:val="single" w:sz="4" w:space="0" w:color="auto"/>
              <w:right w:val="single" w:sz="4" w:space="0" w:color="auto"/>
            </w:tcBorders>
            <w:shd w:val="clear" w:color="auto" w:fill="auto"/>
            <w:vAlign w:val="center"/>
          </w:tcPr>
          <w:p w14:paraId="2FE4AD2A" w14:textId="77777777" w:rsidR="0081662F" w:rsidRPr="00D0532A" w:rsidRDefault="0081662F" w:rsidP="00EB2357">
            <w:pPr>
              <w:spacing w:line="240" w:lineRule="auto"/>
              <w:ind w:right="36"/>
              <w:jc w:val="center"/>
              <w:rPr>
                <w:rFonts w:ascii="Times New Roman" w:eastAsia="Calibri" w:hAnsi="Times New Roman" w:cs="Times New Roman"/>
                <w:lang w:val="en-US"/>
              </w:rPr>
            </w:pPr>
            <w:r w:rsidRPr="00D0532A">
              <w:rPr>
                <w:rFonts w:ascii="Times New Roman" w:eastAsia="Calibri" w:hAnsi="Times New Roman" w:cs="Times New Roman"/>
                <w:lang w:val="en-US"/>
              </w:rPr>
              <w:t>94,67%</w:t>
            </w:r>
          </w:p>
        </w:tc>
      </w:tr>
      <w:tr w:rsidR="0081662F" w:rsidRPr="00D0532A" w14:paraId="189CE9D0" w14:textId="77777777" w:rsidTr="007F7B85">
        <w:trPr>
          <w:trHeight w:val="282"/>
        </w:trPr>
        <w:tc>
          <w:tcPr>
            <w:tcW w:w="2920" w:type="pct"/>
            <w:tcBorders>
              <w:top w:val="single" w:sz="4" w:space="0" w:color="auto"/>
              <w:left w:val="single" w:sz="4" w:space="0" w:color="auto"/>
              <w:bottom w:val="single" w:sz="4" w:space="0" w:color="auto"/>
              <w:right w:val="single" w:sz="4" w:space="0" w:color="auto"/>
            </w:tcBorders>
            <w:shd w:val="clear" w:color="auto" w:fill="auto"/>
            <w:vAlign w:val="bottom"/>
          </w:tcPr>
          <w:p w14:paraId="458F0761" w14:textId="77777777" w:rsidR="0081662F" w:rsidRPr="00D0532A" w:rsidRDefault="0081662F" w:rsidP="00EB2357">
            <w:pPr>
              <w:spacing w:line="240" w:lineRule="auto"/>
              <w:rPr>
                <w:rFonts w:ascii="Times New Roman" w:hAnsi="Times New Roman" w:cs="Times New Roman"/>
                <w:lang w:eastAsia="hr-HR"/>
              </w:rPr>
            </w:pPr>
            <w:r w:rsidRPr="00D0532A">
              <w:rPr>
                <w:rFonts w:ascii="Times New Roman" w:eastAsia="Calibri" w:hAnsi="Times New Roman" w:cs="Times New Roman"/>
              </w:rPr>
              <w:t>Program 1022 Poticanje zapošljavanja</w:t>
            </w:r>
          </w:p>
        </w:tc>
        <w:tc>
          <w:tcPr>
            <w:tcW w:w="759" w:type="pct"/>
            <w:tcBorders>
              <w:top w:val="nil"/>
              <w:left w:val="nil"/>
              <w:bottom w:val="single" w:sz="4" w:space="0" w:color="auto"/>
              <w:right w:val="single" w:sz="4" w:space="0" w:color="auto"/>
            </w:tcBorders>
            <w:shd w:val="clear" w:color="auto" w:fill="auto"/>
            <w:vAlign w:val="center"/>
          </w:tcPr>
          <w:p w14:paraId="1B1AFCC4" w14:textId="77777777" w:rsidR="0081662F" w:rsidRPr="00D0532A" w:rsidRDefault="0081662F" w:rsidP="00EB2357">
            <w:pPr>
              <w:spacing w:line="240" w:lineRule="auto"/>
              <w:ind w:right="36"/>
              <w:jc w:val="center"/>
              <w:rPr>
                <w:rFonts w:ascii="Times New Roman" w:hAnsi="Times New Roman" w:cs="Times New Roman"/>
                <w:lang w:eastAsia="hr-HR"/>
              </w:rPr>
            </w:pPr>
            <w:r w:rsidRPr="00D0532A">
              <w:rPr>
                <w:rFonts w:ascii="Times New Roman" w:eastAsia="Calibri" w:hAnsi="Times New Roman" w:cs="Times New Roman"/>
                <w:lang w:val="en-US"/>
              </w:rPr>
              <w:t>363.170,00</w:t>
            </w:r>
          </w:p>
        </w:tc>
        <w:tc>
          <w:tcPr>
            <w:tcW w:w="759" w:type="pct"/>
            <w:tcBorders>
              <w:top w:val="nil"/>
              <w:left w:val="nil"/>
              <w:bottom w:val="single" w:sz="4" w:space="0" w:color="auto"/>
              <w:right w:val="single" w:sz="4" w:space="0" w:color="auto"/>
            </w:tcBorders>
            <w:shd w:val="clear" w:color="auto" w:fill="auto"/>
            <w:vAlign w:val="center"/>
          </w:tcPr>
          <w:p w14:paraId="755FAD96" w14:textId="77777777" w:rsidR="0081662F" w:rsidRPr="00D0532A" w:rsidRDefault="0081662F" w:rsidP="00EB2357">
            <w:pPr>
              <w:spacing w:line="240" w:lineRule="auto"/>
              <w:ind w:right="36"/>
              <w:jc w:val="center"/>
              <w:rPr>
                <w:rFonts w:ascii="Times New Roman" w:eastAsia="Calibri" w:hAnsi="Times New Roman" w:cs="Times New Roman"/>
                <w:lang w:val="en-US"/>
              </w:rPr>
            </w:pPr>
            <w:r w:rsidRPr="00D0532A">
              <w:rPr>
                <w:rFonts w:ascii="Times New Roman" w:eastAsia="Calibri" w:hAnsi="Times New Roman" w:cs="Times New Roman"/>
                <w:lang w:val="en-US"/>
              </w:rPr>
              <w:t>335.454,84</w:t>
            </w:r>
          </w:p>
        </w:tc>
        <w:tc>
          <w:tcPr>
            <w:tcW w:w="561" w:type="pct"/>
            <w:tcBorders>
              <w:top w:val="nil"/>
              <w:left w:val="nil"/>
              <w:bottom w:val="single" w:sz="4" w:space="0" w:color="auto"/>
              <w:right w:val="single" w:sz="4" w:space="0" w:color="auto"/>
            </w:tcBorders>
            <w:shd w:val="clear" w:color="auto" w:fill="auto"/>
            <w:vAlign w:val="center"/>
          </w:tcPr>
          <w:p w14:paraId="72935125" w14:textId="77777777" w:rsidR="0081662F" w:rsidRPr="00D0532A" w:rsidRDefault="0081662F" w:rsidP="00EB2357">
            <w:pPr>
              <w:spacing w:line="240" w:lineRule="auto"/>
              <w:ind w:right="36"/>
              <w:jc w:val="center"/>
              <w:rPr>
                <w:rFonts w:ascii="Times New Roman" w:eastAsia="Calibri" w:hAnsi="Times New Roman" w:cs="Times New Roman"/>
                <w:lang w:val="en-US"/>
              </w:rPr>
            </w:pPr>
            <w:r w:rsidRPr="00D0532A">
              <w:rPr>
                <w:rFonts w:ascii="Times New Roman" w:eastAsia="Calibri" w:hAnsi="Times New Roman" w:cs="Times New Roman"/>
                <w:lang w:val="en-US"/>
              </w:rPr>
              <w:t>92,37%</w:t>
            </w:r>
          </w:p>
        </w:tc>
      </w:tr>
      <w:tr w:rsidR="0081662F" w:rsidRPr="00D0532A" w14:paraId="59F94986" w14:textId="77777777" w:rsidTr="007F7B85">
        <w:trPr>
          <w:trHeight w:val="282"/>
        </w:trPr>
        <w:tc>
          <w:tcPr>
            <w:tcW w:w="2920" w:type="pct"/>
            <w:tcBorders>
              <w:top w:val="single" w:sz="4" w:space="0" w:color="auto"/>
              <w:left w:val="single" w:sz="4" w:space="0" w:color="auto"/>
              <w:bottom w:val="single" w:sz="4" w:space="0" w:color="auto"/>
              <w:right w:val="single" w:sz="4" w:space="0" w:color="auto"/>
            </w:tcBorders>
            <w:shd w:val="clear" w:color="auto" w:fill="auto"/>
            <w:vAlign w:val="bottom"/>
          </w:tcPr>
          <w:p w14:paraId="56C27D4B" w14:textId="77777777" w:rsidR="0081662F" w:rsidRPr="00D0532A" w:rsidRDefault="0081662F" w:rsidP="00EB2357">
            <w:pPr>
              <w:spacing w:line="240" w:lineRule="auto"/>
              <w:rPr>
                <w:rFonts w:ascii="Times New Roman" w:hAnsi="Times New Roman" w:cs="Times New Roman"/>
                <w:lang w:eastAsia="hr-HR"/>
              </w:rPr>
            </w:pPr>
            <w:r w:rsidRPr="00D0532A">
              <w:rPr>
                <w:rFonts w:ascii="Times New Roman" w:eastAsia="Calibri" w:hAnsi="Times New Roman" w:cs="Times New Roman"/>
              </w:rPr>
              <w:t>Program 1024 Razvoj civilnog društva - udruge građana</w:t>
            </w:r>
          </w:p>
        </w:tc>
        <w:tc>
          <w:tcPr>
            <w:tcW w:w="759" w:type="pct"/>
            <w:tcBorders>
              <w:top w:val="nil"/>
              <w:left w:val="nil"/>
              <w:bottom w:val="single" w:sz="4" w:space="0" w:color="auto"/>
              <w:right w:val="single" w:sz="4" w:space="0" w:color="auto"/>
            </w:tcBorders>
            <w:shd w:val="clear" w:color="auto" w:fill="auto"/>
            <w:vAlign w:val="center"/>
          </w:tcPr>
          <w:p w14:paraId="7E4D90F1" w14:textId="77777777" w:rsidR="0081662F" w:rsidRPr="00D0532A" w:rsidRDefault="0081662F" w:rsidP="00EB2357">
            <w:pPr>
              <w:spacing w:line="240" w:lineRule="auto"/>
              <w:ind w:right="36"/>
              <w:jc w:val="center"/>
              <w:rPr>
                <w:rFonts w:ascii="Times New Roman" w:hAnsi="Times New Roman" w:cs="Times New Roman"/>
                <w:lang w:eastAsia="hr-HR"/>
              </w:rPr>
            </w:pPr>
            <w:r w:rsidRPr="00D0532A">
              <w:rPr>
                <w:rFonts w:ascii="Times New Roman" w:eastAsia="Calibri" w:hAnsi="Times New Roman" w:cs="Times New Roman"/>
                <w:lang w:val="en-US"/>
              </w:rPr>
              <w:t>26.620,00</w:t>
            </w:r>
          </w:p>
        </w:tc>
        <w:tc>
          <w:tcPr>
            <w:tcW w:w="759" w:type="pct"/>
            <w:tcBorders>
              <w:top w:val="nil"/>
              <w:left w:val="nil"/>
              <w:bottom w:val="single" w:sz="4" w:space="0" w:color="auto"/>
              <w:right w:val="single" w:sz="4" w:space="0" w:color="auto"/>
            </w:tcBorders>
            <w:shd w:val="clear" w:color="auto" w:fill="auto"/>
            <w:vAlign w:val="center"/>
          </w:tcPr>
          <w:p w14:paraId="00BE6092" w14:textId="77777777" w:rsidR="0081662F" w:rsidRPr="00D0532A" w:rsidRDefault="0081662F" w:rsidP="00EB2357">
            <w:pPr>
              <w:spacing w:line="240" w:lineRule="auto"/>
              <w:ind w:right="36"/>
              <w:jc w:val="center"/>
              <w:rPr>
                <w:rFonts w:ascii="Times New Roman" w:eastAsia="Calibri" w:hAnsi="Times New Roman" w:cs="Times New Roman"/>
                <w:lang w:val="en-US"/>
              </w:rPr>
            </w:pPr>
            <w:r w:rsidRPr="00D0532A">
              <w:rPr>
                <w:rFonts w:ascii="Times New Roman" w:eastAsia="Calibri" w:hAnsi="Times New Roman" w:cs="Times New Roman"/>
                <w:lang w:val="en-US"/>
              </w:rPr>
              <w:t>22.665,78</w:t>
            </w:r>
          </w:p>
        </w:tc>
        <w:tc>
          <w:tcPr>
            <w:tcW w:w="561" w:type="pct"/>
            <w:tcBorders>
              <w:top w:val="nil"/>
              <w:left w:val="nil"/>
              <w:bottom w:val="single" w:sz="4" w:space="0" w:color="auto"/>
              <w:right w:val="single" w:sz="4" w:space="0" w:color="auto"/>
            </w:tcBorders>
            <w:shd w:val="clear" w:color="auto" w:fill="auto"/>
            <w:vAlign w:val="center"/>
          </w:tcPr>
          <w:p w14:paraId="228B6DA0" w14:textId="77777777" w:rsidR="0081662F" w:rsidRPr="00D0532A" w:rsidRDefault="0081662F" w:rsidP="00EB2357">
            <w:pPr>
              <w:spacing w:line="240" w:lineRule="auto"/>
              <w:ind w:right="36"/>
              <w:jc w:val="center"/>
              <w:rPr>
                <w:rFonts w:ascii="Times New Roman" w:eastAsia="Calibri" w:hAnsi="Times New Roman" w:cs="Times New Roman"/>
                <w:lang w:val="en-US"/>
              </w:rPr>
            </w:pPr>
            <w:r w:rsidRPr="00D0532A">
              <w:rPr>
                <w:rFonts w:ascii="Times New Roman" w:eastAsia="Calibri" w:hAnsi="Times New Roman" w:cs="Times New Roman"/>
                <w:lang w:val="en-US"/>
              </w:rPr>
              <w:t>85,15%</w:t>
            </w:r>
          </w:p>
        </w:tc>
      </w:tr>
    </w:tbl>
    <w:p w14:paraId="4B867A13" w14:textId="77777777" w:rsidR="0081662F" w:rsidRPr="00D0532A" w:rsidRDefault="0081662F" w:rsidP="0081662F">
      <w:pPr>
        <w:spacing w:after="0" w:line="240" w:lineRule="auto"/>
        <w:rPr>
          <w:rFonts w:ascii="Times New Roman" w:eastAsia="Calibri" w:hAnsi="Times New Roman" w:cs="Times New Roman"/>
          <w:color w:val="FF0000"/>
        </w:rPr>
      </w:pPr>
    </w:p>
    <w:p w14:paraId="01060BB7" w14:textId="77777777" w:rsidR="0081662F" w:rsidRPr="00D0532A" w:rsidRDefault="0081662F" w:rsidP="003734CB">
      <w:pPr>
        <w:numPr>
          <w:ilvl w:val="1"/>
          <w:numId w:val="10"/>
        </w:numPr>
        <w:spacing w:after="0" w:line="240" w:lineRule="auto"/>
        <w:contextualSpacing/>
        <w:rPr>
          <w:rFonts w:ascii="Times New Roman" w:eastAsia="Calibri" w:hAnsi="Times New Roman" w:cs="Times New Roman"/>
          <w:b/>
          <w:bCs/>
        </w:rPr>
      </w:pPr>
      <w:r w:rsidRPr="00D0532A">
        <w:rPr>
          <w:rFonts w:ascii="Times New Roman" w:eastAsia="Calibri" w:hAnsi="Times New Roman" w:cs="Times New Roman"/>
          <w:b/>
          <w:bCs/>
        </w:rPr>
        <w:t>Program 1003 Priprema i donošenje akata iz djelokruga tijela</w:t>
      </w:r>
    </w:p>
    <w:tbl>
      <w:tblPr>
        <w:tblpPr w:leftFromText="180" w:rightFromText="180" w:vertAnchor="text" w:horzAnchor="margin" w:tblpY="187"/>
        <w:tblW w:w="9067" w:type="dxa"/>
        <w:tblLook w:val="04A0" w:firstRow="1" w:lastRow="0" w:firstColumn="1" w:lastColumn="0" w:noHBand="0" w:noVBand="1"/>
      </w:tblPr>
      <w:tblGrid>
        <w:gridCol w:w="4936"/>
        <w:gridCol w:w="1578"/>
        <w:gridCol w:w="1419"/>
        <w:gridCol w:w="1134"/>
      </w:tblGrid>
      <w:tr w:rsidR="0081662F" w:rsidRPr="00D0532A" w14:paraId="371F9C30" w14:textId="77777777" w:rsidTr="0090235B">
        <w:trPr>
          <w:trHeight w:val="564"/>
        </w:trPr>
        <w:tc>
          <w:tcPr>
            <w:tcW w:w="493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FFC12AB"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Naziv programa/aktivnosti/projekta</w:t>
            </w:r>
          </w:p>
        </w:tc>
        <w:tc>
          <w:tcPr>
            <w:tcW w:w="1578" w:type="dxa"/>
            <w:tcBorders>
              <w:top w:val="single" w:sz="4" w:space="0" w:color="auto"/>
              <w:left w:val="nil"/>
              <w:bottom w:val="single" w:sz="4" w:space="0" w:color="auto"/>
              <w:right w:val="single" w:sz="4" w:space="0" w:color="auto"/>
            </w:tcBorders>
            <w:shd w:val="clear" w:color="auto" w:fill="D9D9D9"/>
            <w:vAlign w:val="center"/>
          </w:tcPr>
          <w:p w14:paraId="646503E2" w14:textId="77777777" w:rsidR="0081662F" w:rsidRPr="00D0532A" w:rsidRDefault="0081662F" w:rsidP="00EB2357">
            <w:pPr>
              <w:spacing w:after="0" w:line="240" w:lineRule="auto"/>
              <w:jc w:val="center"/>
              <w:rPr>
                <w:rFonts w:ascii="Times New Roman" w:hAnsi="Times New Roman" w:cs="Times New Roman"/>
              </w:rPr>
            </w:pPr>
            <w:r w:rsidRPr="00D0532A">
              <w:rPr>
                <w:rFonts w:ascii="Times New Roman" w:hAnsi="Times New Roman" w:cs="Times New Roman"/>
              </w:rPr>
              <w:t>Rebalans</w:t>
            </w:r>
          </w:p>
          <w:p w14:paraId="1252F1A3"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lang w:eastAsia="hr-HR"/>
              </w:rPr>
              <w:t>2024.</w:t>
            </w:r>
          </w:p>
        </w:tc>
        <w:tc>
          <w:tcPr>
            <w:tcW w:w="1419" w:type="dxa"/>
            <w:tcBorders>
              <w:top w:val="single" w:sz="4" w:space="0" w:color="auto"/>
              <w:left w:val="nil"/>
              <w:bottom w:val="single" w:sz="4" w:space="0" w:color="auto"/>
              <w:right w:val="single" w:sz="4" w:space="0" w:color="auto"/>
            </w:tcBorders>
            <w:shd w:val="clear" w:color="auto" w:fill="D9D9D9"/>
            <w:vAlign w:val="center"/>
          </w:tcPr>
          <w:p w14:paraId="130CA959"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Izvršenje 2024.</w:t>
            </w:r>
          </w:p>
        </w:tc>
        <w:tc>
          <w:tcPr>
            <w:tcW w:w="1134" w:type="dxa"/>
            <w:tcBorders>
              <w:top w:val="single" w:sz="4" w:space="0" w:color="auto"/>
              <w:left w:val="nil"/>
              <w:bottom w:val="single" w:sz="4" w:space="0" w:color="auto"/>
              <w:right w:val="single" w:sz="4" w:space="0" w:color="auto"/>
            </w:tcBorders>
            <w:shd w:val="clear" w:color="auto" w:fill="D9D9D9"/>
            <w:vAlign w:val="center"/>
          </w:tcPr>
          <w:p w14:paraId="67C97879"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Indeks</w:t>
            </w:r>
          </w:p>
        </w:tc>
      </w:tr>
      <w:tr w:rsidR="0081662F" w:rsidRPr="00D0532A" w14:paraId="680E4877" w14:textId="77777777" w:rsidTr="0090235B">
        <w:trPr>
          <w:trHeight w:val="274"/>
        </w:trPr>
        <w:tc>
          <w:tcPr>
            <w:tcW w:w="4936"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52B7BC4C" w14:textId="77777777" w:rsidR="0081662F" w:rsidRPr="00D0532A" w:rsidRDefault="0081662F" w:rsidP="00EB2357">
            <w:pPr>
              <w:spacing w:after="0" w:line="240" w:lineRule="auto"/>
              <w:jc w:val="center"/>
              <w:rPr>
                <w:rFonts w:ascii="Times New Roman" w:eastAsia="Calibri" w:hAnsi="Times New Roman" w:cs="Times New Roman"/>
                <w:b/>
                <w:bCs/>
              </w:rPr>
            </w:pPr>
            <w:r w:rsidRPr="00D0532A">
              <w:rPr>
                <w:rFonts w:ascii="Times New Roman" w:eastAsia="Calibri" w:hAnsi="Times New Roman" w:cs="Times New Roman"/>
                <w:b/>
                <w:bCs/>
              </w:rPr>
              <w:t>Program 1003 Priprema i donošenje akata iz</w:t>
            </w:r>
          </w:p>
          <w:p w14:paraId="6DBF87CC" w14:textId="77777777" w:rsidR="0081662F" w:rsidRPr="00D0532A" w:rsidRDefault="0081662F" w:rsidP="00EB2357">
            <w:pPr>
              <w:spacing w:after="0" w:line="240" w:lineRule="auto"/>
              <w:jc w:val="center"/>
              <w:rPr>
                <w:rFonts w:ascii="Times New Roman" w:hAnsi="Times New Roman" w:cs="Times New Roman"/>
                <w:b/>
                <w:bCs/>
                <w:lang w:eastAsia="hr-HR"/>
              </w:rPr>
            </w:pPr>
            <w:r w:rsidRPr="00D0532A">
              <w:rPr>
                <w:rFonts w:ascii="Times New Roman" w:eastAsia="Calibri" w:hAnsi="Times New Roman" w:cs="Times New Roman"/>
                <w:b/>
                <w:bCs/>
              </w:rPr>
              <w:t>djelokruga tijela</w:t>
            </w:r>
          </w:p>
        </w:tc>
        <w:tc>
          <w:tcPr>
            <w:tcW w:w="1578" w:type="dxa"/>
            <w:tcBorders>
              <w:top w:val="single" w:sz="4" w:space="0" w:color="auto"/>
              <w:left w:val="nil"/>
              <w:bottom w:val="single" w:sz="4" w:space="0" w:color="auto"/>
              <w:right w:val="single" w:sz="4" w:space="0" w:color="auto"/>
            </w:tcBorders>
            <w:shd w:val="clear" w:color="auto" w:fill="D9D9D9"/>
            <w:vAlign w:val="center"/>
          </w:tcPr>
          <w:p w14:paraId="67C9954B" w14:textId="77777777" w:rsidR="0081662F" w:rsidRPr="00D0532A" w:rsidRDefault="0081662F" w:rsidP="00EB2357">
            <w:pPr>
              <w:spacing w:after="0" w:line="240" w:lineRule="auto"/>
              <w:ind w:right="36"/>
              <w:jc w:val="center"/>
              <w:rPr>
                <w:rFonts w:ascii="Times New Roman" w:hAnsi="Times New Roman" w:cs="Times New Roman"/>
                <w:b/>
                <w:bCs/>
                <w:lang w:eastAsia="hr-HR"/>
              </w:rPr>
            </w:pPr>
            <w:r w:rsidRPr="00D0532A">
              <w:rPr>
                <w:rFonts w:ascii="Times New Roman" w:hAnsi="Times New Roman" w:cs="Times New Roman"/>
                <w:b/>
                <w:bCs/>
              </w:rPr>
              <w:t>512.300,00</w:t>
            </w:r>
          </w:p>
        </w:tc>
        <w:tc>
          <w:tcPr>
            <w:tcW w:w="1419" w:type="dxa"/>
            <w:tcBorders>
              <w:top w:val="single" w:sz="4" w:space="0" w:color="auto"/>
              <w:left w:val="nil"/>
              <w:bottom w:val="single" w:sz="4" w:space="0" w:color="auto"/>
              <w:right w:val="single" w:sz="4" w:space="0" w:color="auto"/>
            </w:tcBorders>
            <w:shd w:val="clear" w:color="auto" w:fill="D9D9D9"/>
            <w:vAlign w:val="center"/>
          </w:tcPr>
          <w:p w14:paraId="3B714593" w14:textId="77777777" w:rsidR="0081662F" w:rsidRPr="00D0532A" w:rsidRDefault="0081662F" w:rsidP="00EB2357">
            <w:pPr>
              <w:spacing w:after="0" w:line="240" w:lineRule="auto"/>
              <w:jc w:val="center"/>
              <w:rPr>
                <w:rFonts w:ascii="Times New Roman" w:hAnsi="Times New Roman" w:cs="Times New Roman"/>
                <w:b/>
                <w:bCs/>
                <w:lang w:eastAsia="hr-HR"/>
              </w:rPr>
            </w:pPr>
            <w:r w:rsidRPr="00D0532A">
              <w:rPr>
                <w:rFonts w:ascii="Times New Roman" w:hAnsi="Times New Roman" w:cs="Times New Roman"/>
                <w:b/>
                <w:bCs/>
                <w:lang w:eastAsia="hr-HR"/>
              </w:rPr>
              <w:t>447.777,43</w:t>
            </w:r>
          </w:p>
        </w:tc>
        <w:tc>
          <w:tcPr>
            <w:tcW w:w="1134" w:type="dxa"/>
            <w:tcBorders>
              <w:top w:val="single" w:sz="4" w:space="0" w:color="auto"/>
              <w:left w:val="nil"/>
              <w:bottom w:val="single" w:sz="4" w:space="0" w:color="auto"/>
              <w:right w:val="single" w:sz="4" w:space="0" w:color="auto"/>
            </w:tcBorders>
            <w:shd w:val="clear" w:color="auto" w:fill="D9D9D9"/>
            <w:vAlign w:val="center"/>
          </w:tcPr>
          <w:p w14:paraId="0386DE64" w14:textId="77777777" w:rsidR="0081662F" w:rsidRPr="00D0532A" w:rsidRDefault="0081662F" w:rsidP="00EB2357">
            <w:pPr>
              <w:spacing w:after="0" w:line="240" w:lineRule="auto"/>
              <w:jc w:val="center"/>
              <w:rPr>
                <w:rFonts w:ascii="Times New Roman" w:hAnsi="Times New Roman" w:cs="Times New Roman"/>
                <w:b/>
                <w:bCs/>
                <w:lang w:eastAsia="hr-HR"/>
              </w:rPr>
            </w:pPr>
            <w:r w:rsidRPr="00D0532A">
              <w:rPr>
                <w:rFonts w:ascii="Times New Roman" w:hAnsi="Times New Roman" w:cs="Times New Roman"/>
                <w:b/>
                <w:bCs/>
                <w:lang w:eastAsia="hr-HR"/>
              </w:rPr>
              <w:t>87.41%</w:t>
            </w:r>
          </w:p>
        </w:tc>
      </w:tr>
      <w:tr w:rsidR="0081662F" w:rsidRPr="00D0532A" w14:paraId="0293E71D" w14:textId="77777777" w:rsidTr="0090235B">
        <w:trPr>
          <w:trHeight w:val="269"/>
        </w:trPr>
        <w:tc>
          <w:tcPr>
            <w:tcW w:w="4936" w:type="dxa"/>
            <w:tcBorders>
              <w:top w:val="single" w:sz="4" w:space="0" w:color="auto"/>
              <w:left w:val="single" w:sz="4" w:space="0" w:color="auto"/>
              <w:bottom w:val="single" w:sz="4" w:space="0" w:color="auto"/>
              <w:right w:val="single" w:sz="4" w:space="0" w:color="auto"/>
            </w:tcBorders>
            <w:shd w:val="clear" w:color="auto" w:fill="F2F2F2"/>
            <w:vAlign w:val="center"/>
          </w:tcPr>
          <w:p w14:paraId="06FEE888" w14:textId="77777777" w:rsidR="0081662F" w:rsidRPr="00D0532A" w:rsidRDefault="0081662F" w:rsidP="00EB2357">
            <w:pPr>
              <w:spacing w:after="0" w:line="240" w:lineRule="auto"/>
              <w:jc w:val="center"/>
              <w:rPr>
                <w:rFonts w:ascii="Times New Roman" w:hAnsi="Times New Roman" w:cs="Times New Roman"/>
                <w:lang w:eastAsia="hr-HR"/>
              </w:rPr>
            </w:pPr>
            <w:r w:rsidRPr="00D0532A">
              <w:rPr>
                <w:rFonts w:ascii="Times New Roman" w:eastAsia="Calibri" w:hAnsi="Times New Roman" w:cs="Times New Roman"/>
              </w:rPr>
              <w:t>Aktivnost A100301 Redovan rad upravnog tijela</w:t>
            </w:r>
          </w:p>
        </w:tc>
        <w:tc>
          <w:tcPr>
            <w:tcW w:w="1578" w:type="dxa"/>
            <w:tcBorders>
              <w:top w:val="nil"/>
              <w:left w:val="nil"/>
              <w:bottom w:val="single" w:sz="4" w:space="0" w:color="auto"/>
              <w:right w:val="single" w:sz="4" w:space="0" w:color="auto"/>
            </w:tcBorders>
            <w:shd w:val="clear" w:color="auto" w:fill="F2F2F2"/>
            <w:noWrap/>
            <w:vAlign w:val="center"/>
          </w:tcPr>
          <w:p w14:paraId="7C2B6113"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rPr>
              <w:t>415.300,00</w:t>
            </w:r>
          </w:p>
        </w:tc>
        <w:tc>
          <w:tcPr>
            <w:tcW w:w="1419" w:type="dxa"/>
            <w:tcBorders>
              <w:top w:val="nil"/>
              <w:left w:val="nil"/>
              <w:bottom w:val="single" w:sz="4" w:space="0" w:color="auto"/>
              <w:right w:val="single" w:sz="4" w:space="0" w:color="auto"/>
            </w:tcBorders>
            <w:shd w:val="clear" w:color="auto" w:fill="F2F2F2"/>
            <w:noWrap/>
            <w:vAlign w:val="center"/>
          </w:tcPr>
          <w:p w14:paraId="27381488"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lang w:eastAsia="hr-HR"/>
              </w:rPr>
              <w:t>372.077,77</w:t>
            </w:r>
          </w:p>
        </w:tc>
        <w:tc>
          <w:tcPr>
            <w:tcW w:w="1134" w:type="dxa"/>
            <w:tcBorders>
              <w:top w:val="nil"/>
              <w:left w:val="nil"/>
              <w:bottom w:val="single" w:sz="4" w:space="0" w:color="auto"/>
              <w:right w:val="single" w:sz="4" w:space="0" w:color="auto"/>
            </w:tcBorders>
            <w:shd w:val="clear" w:color="auto" w:fill="F2F2F2"/>
            <w:vAlign w:val="center"/>
          </w:tcPr>
          <w:p w14:paraId="2D787E59"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lang w:eastAsia="hr-HR"/>
              </w:rPr>
              <w:t>89,59%</w:t>
            </w:r>
          </w:p>
        </w:tc>
      </w:tr>
      <w:tr w:rsidR="0081662F" w:rsidRPr="00D0532A" w14:paraId="3B7409DF" w14:textId="77777777" w:rsidTr="0090235B">
        <w:trPr>
          <w:trHeight w:val="269"/>
        </w:trPr>
        <w:tc>
          <w:tcPr>
            <w:tcW w:w="4936" w:type="dxa"/>
            <w:tcBorders>
              <w:top w:val="single" w:sz="4" w:space="0" w:color="auto"/>
              <w:left w:val="single" w:sz="4" w:space="0" w:color="auto"/>
              <w:bottom w:val="single" w:sz="4" w:space="0" w:color="auto"/>
              <w:right w:val="single" w:sz="4" w:space="0" w:color="auto"/>
            </w:tcBorders>
            <w:shd w:val="clear" w:color="auto" w:fill="auto"/>
            <w:vAlign w:val="center"/>
          </w:tcPr>
          <w:p w14:paraId="7F1601A6" w14:textId="77777777" w:rsidR="0081662F" w:rsidRPr="00D0532A" w:rsidRDefault="0081662F" w:rsidP="00EB2357">
            <w:pPr>
              <w:spacing w:after="0" w:line="240" w:lineRule="auto"/>
              <w:jc w:val="center"/>
              <w:rPr>
                <w:rFonts w:ascii="Times New Roman" w:hAnsi="Times New Roman" w:cs="Times New Roman"/>
                <w:lang w:eastAsia="hr-HR"/>
              </w:rPr>
            </w:pPr>
            <w:r w:rsidRPr="00D0532A">
              <w:rPr>
                <w:rFonts w:ascii="Times New Roman" w:eastAsia="Calibri" w:hAnsi="Times New Roman" w:cs="Times New Roman"/>
              </w:rPr>
              <w:t>Kapitalni projekt K100311Kupnja zemljišta</w:t>
            </w:r>
          </w:p>
        </w:tc>
        <w:tc>
          <w:tcPr>
            <w:tcW w:w="1578" w:type="dxa"/>
            <w:tcBorders>
              <w:top w:val="nil"/>
              <w:left w:val="nil"/>
              <w:bottom w:val="single" w:sz="4" w:space="0" w:color="auto"/>
              <w:right w:val="single" w:sz="4" w:space="0" w:color="auto"/>
            </w:tcBorders>
            <w:shd w:val="clear" w:color="auto" w:fill="auto"/>
            <w:noWrap/>
            <w:vAlign w:val="center"/>
          </w:tcPr>
          <w:p w14:paraId="0A4A2D67"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rPr>
              <w:t>97.000,00</w:t>
            </w:r>
          </w:p>
        </w:tc>
        <w:tc>
          <w:tcPr>
            <w:tcW w:w="1419" w:type="dxa"/>
            <w:tcBorders>
              <w:top w:val="nil"/>
              <w:left w:val="nil"/>
              <w:bottom w:val="single" w:sz="4" w:space="0" w:color="auto"/>
              <w:right w:val="single" w:sz="4" w:space="0" w:color="auto"/>
            </w:tcBorders>
            <w:shd w:val="clear" w:color="auto" w:fill="auto"/>
            <w:noWrap/>
            <w:vAlign w:val="center"/>
          </w:tcPr>
          <w:p w14:paraId="5ABC88C8"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lang w:eastAsia="hr-HR"/>
              </w:rPr>
              <w:t>75.699,66</w:t>
            </w:r>
          </w:p>
        </w:tc>
        <w:tc>
          <w:tcPr>
            <w:tcW w:w="1134" w:type="dxa"/>
            <w:tcBorders>
              <w:top w:val="nil"/>
              <w:left w:val="nil"/>
              <w:bottom w:val="single" w:sz="4" w:space="0" w:color="auto"/>
              <w:right w:val="single" w:sz="4" w:space="0" w:color="auto"/>
            </w:tcBorders>
            <w:vAlign w:val="center"/>
          </w:tcPr>
          <w:p w14:paraId="0DD83B9F"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lang w:eastAsia="hr-HR"/>
              </w:rPr>
              <w:t>78,04%</w:t>
            </w:r>
          </w:p>
        </w:tc>
      </w:tr>
    </w:tbl>
    <w:p w14:paraId="6DAB71F2" w14:textId="77777777" w:rsidR="0081662F" w:rsidRPr="00D0532A" w:rsidRDefault="0081662F" w:rsidP="0081662F">
      <w:pPr>
        <w:spacing w:after="0" w:line="240" w:lineRule="auto"/>
        <w:jc w:val="both"/>
        <w:rPr>
          <w:rFonts w:ascii="Times New Roman" w:eastAsia="Calibri" w:hAnsi="Times New Roman" w:cs="Times New Roman"/>
          <w:color w:val="FF0000"/>
        </w:rPr>
      </w:pPr>
    </w:p>
    <w:p w14:paraId="653F4B1F" w14:textId="77777777" w:rsidR="0081662F" w:rsidRPr="00D0532A" w:rsidRDefault="0081662F" w:rsidP="0081662F">
      <w:pPr>
        <w:spacing w:after="0" w:line="240" w:lineRule="auto"/>
        <w:jc w:val="both"/>
        <w:rPr>
          <w:rFonts w:ascii="Times New Roman" w:eastAsia="Calibri" w:hAnsi="Times New Roman" w:cs="Times New Roman"/>
          <w:color w:val="FF0000"/>
        </w:rPr>
      </w:pPr>
    </w:p>
    <w:p w14:paraId="4831C7FE" w14:textId="77777777" w:rsidR="0081662F" w:rsidRPr="00D0532A" w:rsidRDefault="0081662F" w:rsidP="003734CB">
      <w:pPr>
        <w:numPr>
          <w:ilvl w:val="2"/>
          <w:numId w:val="10"/>
        </w:numPr>
        <w:spacing w:after="0" w:line="240" w:lineRule="auto"/>
        <w:contextualSpacing/>
        <w:rPr>
          <w:rFonts w:ascii="Times New Roman" w:eastAsia="Calibri" w:hAnsi="Times New Roman" w:cs="Times New Roman"/>
          <w:b/>
          <w:bCs/>
        </w:rPr>
      </w:pPr>
      <w:r w:rsidRPr="00D0532A">
        <w:rPr>
          <w:rFonts w:ascii="Times New Roman" w:eastAsia="Calibri" w:hAnsi="Times New Roman" w:cs="Times New Roman"/>
          <w:b/>
          <w:bCs/>
        </w:rPr>
        <w:t>Aktivnost A100301 Redovan rad upravnog tijela</w:t>
      </w:r>
    </w:p>
    <w:p w14:paraId="38D22C0C" w14:textId="77777777" w:rsidR="0081662F" w:rsidRPr="00D0532A" w:rsidRDefault="0081662F" w:rsidP="0081662F">
      <w:pPr>
        <w:spacing w:after="0" w:line="240" w:lineRule="auto"/>
        <w:jc w:val="both"/>
        <w:rPr>
          <w:rFonts w:ascii="Times New Roman" w:eastAsia="Calibri" w:hAnsi="Times New Roman" w:cs="Times New Roman"/>
        </w:rPr>
      </w:pPr>
      <w:r w:rsidRPr="00D0532A">
        <w:rPr>
          <w:rFonts w:ascii="Times New Roman" w:eastAsia="Calibri" w:hAnsi="Times New Roman" w:cs="Times New Roman"/>
        </w:rPr>
        <w:t>Zbog većeg opsega posla koji je nastao u 2024. godini povećan je i broj akata koje su donijeli Gradonačelnik i Gradsko vijeće Grada Garešnice. Većina akata koje su bile neplanirane su akti vezani za razrješavanju  i imenovanju Odbora Gradskoga vijeća, Odluke koje se tiču raspolaganju imovinom Grada sukladno Zakonu o lokalnoj i područnoj (regionalnoj) samoupravi, o davanju suglasnosti na akte proračunskih korisnika koje su propisane posebnim zakonima, te izmjene proračuna.</w:t>
      </w:r>
    </w:p>
    <w:p w14:paraId="71F09ADA" w14:textId="77777777" w:rsidR="0081662F" w:rsidRPr="00D0532A" w:rsidRDefault="0081662F" w:rsidP="0081662F">
      <w:pPr>
        <w:spacing w:after="0" w:line="240" w:lineRule="auto"/>
        <w:jc w:val="both"/>
        <w:rPr>
          <w:rFonts w:ascii="Times New Roman" w:eastAsia="Calibri"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1725"/>
        <w:gridCol w:w="1281"/>
        <w:gridCol w:w="1430"/>
        <w:gridCol w:w="1430"/>
        <w:gridCol w:w="1428"/>
      </w:tblGrid>
      <w:tr w:rsidR="0081662F" w:rsidRPr="00D0532A" w14:paraId="5C66D64F" w14:textId="77777777" w:rsidTr="00EB2357">
        <w:tc>
          <w:tcPr>
            <w:tcW w:w="975" w:type="pct"/>
            <w:shd w:val="clear" w:color="auto" w:fill="D1D1D1"/>
          </w:tcPr>
          <w:p w14:paraId="36719CE0"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Pokazatelj rezultata</w:t>
            </w:r>
          </w:p>
        </w:tc>
        <w:tc>
          <w:tcPr>
            <w:tcW w:w="952" w:type="pct"/>
            <w:shd w:val="clear" w:color="auto" w:fill="D1D1D1"/>
          </w:tcPr>
          <w:p w14:paraId="3F9C04A2"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Definicija  pokazatelja</w:t>
            </w:r>
          </w:p>
        </w:tc>
        <w:tc>
          <w:tcPr>
            <w:tcW w:w="707" w:type="pct"/>
            <w:shd w:val="clear" w:color="auto" w:fill="D1D1D1"/>
          </w:tcPr>
          <w:p w14:paraId="5F6A8AB9"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jedinica</w:t>
            </w:r>
          </w:p>
        </w:tc>
        <w:tc>
          <w:tcPr>
            <w:tcW w:w="789" w:type="pct"/>
            <w:shd w:val="clear" w:color="auto" w:fill="D1D1D1"/>
          </w:tcPr>
          <w:p w14:paraId="1558CD2D"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Ciljana vrijednost</w:t>
            </w:r>
          </w:p>
          <w:p w14:paraId="0AC3F564"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2024.</w:t>
            </w:r>
          </w:p>
        </w:tc>
        <w:tc>
          <w:tcPr>
            <w:tcW w:w="789" w:type="pct"/>
            <w:shd w:val="clear" w:color="auto" w:fill="D1D1D1"/>
          </w:tcPr>
          <w:p w14:paraId="1AA9C018"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Izvršenje</w:t>
            </w:r>
          </w:p>
        </w:tc>
        <w:tc>
          <w:tcPr>
            <w:tcW w:w="789" w:type="pct"/>
            <w:shd w:val="clear" w:color="auto" w:fill="D1D1D1"/>
          </w:tcPr>
          <w:p w14:paraId="7D3B061F"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Indeks</w:t>
            </w:r>
          </w:p>
        </w:tc>
      </w:tr>
      <w:tr w:rsidR="0081662F" w:rsidRPr="00D0532A" w14:paraId="1389AA67" w14:textId="77777777" w:rsidTr="00EB2357">
        <w:tc>
          <w:tcPr>
            <w:tcW w:w="975" w:type="pct"/>
            <w:shd w:val="clear" w:color="auto" w:fill="auto"/>
          </w:tcPr>
          <w:p w14:paraId="7038890F"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Povećanje broja akata gradonačelnika</w:t>
            </w:r>
          </w:p>
        </w:tc>
        <w:tc>
          <w:tcPr>
            <w:tcW w:w="952" w:type="pct"/>
            <w:shd w:val="clear" w:color="auto" w:fill="auto"/>
          </w:tcPr>
          <w:p w14:paraId="43EF0806"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Broj pojedinačnih akata iz nadležnosti Upravnog odjela koje donosi gradonačelnik</w:t>
            </w:r>
          </w:p>
        </w:tc>
        <w:tc>
          <w:tcPr>
            <w:tcW w:w="707" w:type="pct"/>
            <w:shd w:val="clear" w:color="auto" w:fill="auto"/>
          </w:tcPr>
          <w:p w14:paraId="4413A685"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Broj akata/kom</w:t>
            </w:r>
          </w:p>
        </w:tc>
        <w:tc>
          <w:tcPr>
            <w:tcW w:w="789" w:type="pct"/>
            <w:shd w:val="clear" w:color="auto" w:fill="auto"/>
            <w:vAlign w:val="center"/>
          </w:tcPr>
          <w:p w14:paraId="40E81C13" w14:textId="77777777" w:rsidR="0081662F" w:rsidRPr="00D0532A" w:rsidRDefault="0081662F" w:rsidP="00EB2357">
            <w:pPr>
              <w:spacing w:after="0" w:line="240" w:lineRule="auto"/>
              <w:jc w:val="center"/>
              <w:rPr>
                <w:rFonts w:ascii="Times New Roman" w:eastAsia="Calibri" w:hAnsi="Times New Roman" w:cs="Times New Roman"/>
              </w:rPr>
            </w:pPr>
            <w:r w:rsidRPr="00D0532A">
              <w:rPr>
                <w:rFonts w:ascii="Times New Roman" w:eastAsia="Calibri" w:hAnsi="Times New Roman" w:cs="Times New Roman"/>
              </w:rPr>
              <w:t>50</w:t>
            </w:r>
          </w:p>
        </w:tc>
        <w:tc>
          <w:tcPr>
            <w:tcW w:w="789" w:type="pct"/>
            <w:shd w:val="clear" w:color="auto" w:fill="auto"/>
            <w:vAlign w:val="center"/>
          </w:tcPr>
          <w:p w14:paraId="2389E3FD" w14:textId="77777777" w:rsidR="0081662F" w:rsidRPr="00D0532A" w:rsidRDefault="0081662F" w:rsidP="00EB2357">
            <w:pPr>
              <w:spacing w:after="0" w:line="240" w:lineRule="auto"/>
              <w:jc w:val="center"/>
              <w:rPr>
                <w:rFonts w:ascii="Times New Roman" w:eastAsia="Calibri" w:hAnsi="Times New Roman" w:cs="Times New Roman"/>
              </w:rPr>
            </w:pPr>
            <w:r w:rsidRPr="00D0532A">
              <w:rPr>
                <w:rFonts w:ascii="Times New Roman" w:eastAsia="Calibri" w:hAnsi="Times New Roman" w:cs="Times New Roman"/>
              </w:rPr>
              <w:t>62</w:t>
            </w:r>
          </w:p>
        </w:tc>
        <w:tc>
          <w:tcPr>
            <w:tcW w:w="789" w:type="pct"/>
            <w:shd w:val="clear" w:color="auto" w:fill="auto"/>
            <w:vAlign w:val="center"/>
          </w:tcPr>
          <w:p w14:paraId="7BFC27A4" w14:textId="77777777" w:rsidR="0081662F" w:rsidRPr="00D0532A" w:rsidRDefault="0081662F" w:rsidP="00EB2357">
            <w:pPr>
              <w:spacing w:after="0" w:line="240" w:lineRule="auto"/>
              <w:jc w:val="center"/>
              <w:rPr>
                <w:rFonts w:ascii="Times New Roman" w:eastAsia="Calibri" w:hAnsi="Times New Roman" w:cs="Times New Roman"/>
              </w:rPr>
            </w:pPr>
            <w:r w:rsidRPr="00D0532A">
              <w:rPr>
                <w:rFonts w:ascii="Times New Roman" w:eastAsia="Calibri" w:hAnsi="Times New Roman" w:cs="Times New Roman"/>
              </w:rPr>
              <w:t>124 %</w:t>
            </w:r>
          </w:p>
        </w:tc>
      </w:tr>
      <w:tr w:rsidR="0081662F" w:rsidRPr="00D0532A" w14:paraId="1FD5E116" w14:textId="77777777" w:rsidTr="00EB2357">
        <w:tc>
          <w:tcPr>
            <w:tcW w:w="975" w:type="pct"/>
            <w:shd w:val="clear" w:color="auto" w:fill="auto"/>
          </w:tcPr>
          <w:p w14:paraId="235AF395"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Povećanje broja akata Gradskog vijeća</w:t>
            </w:r>
          </w:p>
        </w:tc>
        <w:tc>
          <w:tcPr>
            <w:tcW w:w="952" w:type="pct"/>
            <w:shd w:val="clear" w:color="auto" w:fill="auto"/>
          </w:tcPr>
          <w:p w14:paraId="733F5D83"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 xml:space="preserve">Broj općih akata iz nadležnosti Upravnog odjela </w:t>
            </w:r>
            <w:r w:rsidRPr="00D0532A">
              <w:rPr>
                <w:rFonts w:ascii="Times New Roman" w:eastAsia="Calibri" w:hAnsi="Times New Roman" w:cs="Times New Roman"/>
              </w:rPr>
              <w:lastRenderedPageBreak/>
              <w:t>koje donosi Gradsko vijeće</w:t>
            </w:r>
          </w:p>
        </w:tc>
        <w:tc>
          <w:tcPr>
            <w:tcW w:w="707" w:type="pct"/>
            <w:shd w:val="clear" w:color="auto" w:fill="auto"/>
          </w:tcPr>
          <w:p w14:paraId="60F3683E"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lastRenderedPageBreak/>
              <w:t>Broj akata/kom</w:t>
            </w:r>
          </w:p>
        </w:tc>
        <w:tc>
          <w:tcPr>
            <w:tcW w:w="789" w:type="pct"/>
            <w:shd w:val="clear" w:color="auto" w:fill="auto"/>
            <w:vAlign w:val="center"/>
          </w:tcPr>
          <w:p w14:paraId="74F303E3" w14:textId="77777777" w:rsidR="0081662F" w:rsidRPr="00D0532A" w:rsidRDefault="0081662F" w:rsidP="00EB2357">
            <w:pPr>
              <w:spacing w:after="0" w:line="240" w:lineRule="auto"/>
              <w:jc w:val="center"/>
              <w:rPr>
                <w:rFonts w:ascii="Times New Roman" w:eastAsia="Calibri" w:hAnsi="Times New Roman" w:cs="Times New Roman"/>
              </w:rPr>
            </w:pPr>
            <w:r w:rsidRPr="00D0532A">
              <w:rPr>
                <w:rFonts w:ascii="Times New Roman" w:eastAsia="Calibri" w:hAnsi="Times New Roman" w:cs="Times New Roman"/>
              </w:rPr>
              <w:t>60</w:t>
            </w:r>
          </w:p>
        </w:tc>
        <w:tc>
          <w:tcPr>
            <w:tcW w:w="789" w:type="pct"/>
            <w:shd w:val="clear" w:color="auto" w:fill="auto"/>
            <w:vAlign w:val="center"/>
          </w:tcPr>
          <w:p w14:paraId="29E914DA" w14:textId="77777777" w:rsidR="0081662F" w:rsidRPr="00D0532A" w:rsidRDefault="0081662F" w:rsidP="00EB2357">
            <w:pPr>
              <w:spacing w:after="0" w:line="240" w:lineRule="auto"/>
              <w:jc w:val="center"/>
              <w:rPr>
                <w:rFonts w:ascii="Times New Roman" w:eastAsia="Calibri" w:hAnsi="Times New Roman" w:cs="Times New Roman"/>
              </w:rPr>
            </w:pPr>
            <w:r w:rsidRPr="00D0532A">
              <w:rPr>
                <w:rFonts w:ascii="Times New Roman" w:eastAsia="Calibri" w:hAnsi="Times New Roman" w:cs="Times New Roman"/>
              </w:rPr>
              <w:t>137</w:t>
            </w:r>
          </w:p>
        </w:tc>
        <w:tc>
          <w:tcPr>
            <w:tcW w:w="789" w:type="pct"/>
            <w:shd w:val="clear" w:color="auto" w:fill="auto"/>
            <w:vAlign w:val="center"/>
          </w:tcPr>
          <w:p w14:paraId="6DD1AC8F" w14:textId="77777777" w:rsidR="0081662F" w:rsidRPr="00D0532A" w:rsidRDefault="0081662F" w:rsidP="00EB2357">
            <w:pPr>
              <w:spacing w:after="0" w:line="240" w:lineRule="auto"/>
              <w:jc w:val="center"/>
              <w:rPr>
                <w:rFonts w:ascii="Times New Roman" w:eastAsia="Calibri" w:hAnsi="Times New Roman" w:cs="Times New Roman"/>
              </w:rPr>
            </w:pPr>
            <w:r w:rsidRPr="00D0532A">
              <w:rPr>
                <w:rFonts w:ascii="Times New Roman" w:eastAsia="Calibri" w:hAnsi="Times New Roman" w:cs="Times New Roman"/>
              </w:rPr>
              <w:t>228,33%</w:t>
            </w:r>
          </w:p>
        </w:tc>
      </w:tr>
    </w:tbl>
    <w:p w14:paraId="6B28DBA3" w14:textId="77777777" w:rsidR="0081662F" w:rsidRPr="00D0532A" w:rsidRDefault="0081662F" w:rsidP="0081662F">
      <w:pPr>
        <w:spacing w:after="0" w:line="240" w:lineRule="auto"/>
        <w:rPr>
          <w:rFonts w:ascii="Times New Roman" w:eastAsia="Calibri" w:hAnsi="Times New Roman" w:cs="Times New Roman"/>
          <w:color w:val="FF0000"/>
        </w:rPr>
      </w:pPr>
    </w:p>
    <w:p w14:paraId="197EE378" w14:textId="77777777" w:rsidR="0081662F" w:rsidRPr="00D0532A" w:rsidRDefault="0081662F" w:rsidP="003734CB">
      <w:pPr>
        <w:numPr>
          <w:ilvl w:val="2"/>
          <w:numId w:val="10"/>
        </w:numPr>
        <w:spacing w:after="0" w:line="240" w:lineRule="auto"/>
        <w:contextualSpacing/>
        <w:rPr>
          <w:rFonts w:ascii="Times New Roman" w:eastAsia="Calibri" w:hAnsi="Times New Roman" w:cs="Times New Roman"/>
          <w:b/>
          <w:bCs/>
        </w:rPr>
      </w:pPr>
      <w:r w:rsidRPr="00D0532A">
        <w:rPr>
          <w:rFonts w:ascii="Times New Roman" w:eastAsia="Calibri" w:hAnsi="Times New Roman" w:cs="Times New Roman"/>
          <w:b/>
          <w:bCs/>
        </w:rPr>
        <w:t>Kapitalni projekt K100311 Kupnja zemljišta</w:t>
      </w:r>
    </w:p>
    <w:p w14:paraId="33E931C2" w14:textId="77777777" w:rsidR="0081662F" w:rsidRPr="00D0532A" w:rsidRDefault="0081662F" w:rsidP="0081662F">
      <w:pPr>
        <w:spacing w:after="0" w:line="240" w:lineRule="auto"/>
        <w:jc w:val="both"/>
        <w:rPr>
          <w:rFonts w:ascii="Times New Roman" w:eastAsia="Calibri" w:hAnsi="Times New Roman" w:cs="Times New Roman"/>
        </w:rPr>
      </w:pPr>
      <w:r w:rsidRPr="00D0532A">
        <w:rPr>
          <w:rFonts w:ascii="Times New Roman" w:eastAsia="Calibri" w:hAnsi="Times New Roman" w:cs="Times New Roman"/>
        </w:rPr>
        <w:t xml:space="preserve">Grad Garešnica je u 2024. godini stekao veći broj nekretnine od predviđenoga i to nasljeđivanjem </w:t>
      </w:r>
      <w:proofErr w:type="spellStart"/>
      <w:r w:rsidRPr="00D0532A">
        <w:rPr>
          <w:rFonts w:ascii="Times New Roman" w:eastAsia="Calibri" w:hAnsi="Times New Roman" w:cs="Times New Roman"/>
        </w:rPr>
        <w:t>ošasne</w:t>
      </w:r>
      <w:proofErr w:type="spellEnd"/>
      <w:r w:rsidRPr="00D0532A">
        <w:rPr>
          <w:rFonts w:ascii="Times New Roman" w:eastAsia="Calibri" w:hAnsi="Times New Roman" w:cs="Times New Roman"/>
        </w:rPr>
        <w:t xml:space="preserve"> imovine, i to kako slijedi k.č.br. 1301/6 koja se nalazi u k.o. </w:t>
      </w:r>
      <w:proofErr w:type="spellStart"/>
      <w:r w:rsidRPr="00D0532A">
        <w:rPr>
          <w:rFonts w:ascii="Times New Roman" w:eastAsia="Calibri" w:hAnsi="Times New Roman" w:cs="Times New Roman"/>
        </w:rPr>
        <w:t>Kaniška</w:t>
      </w:r>
      <w:proofErr w:type="spellEnd"/>
      <w:r w:rsidRPr="00D0532A">
        <w:rPr>
          <w:rFonts w:ascii="Times New Roman" w:eastAsia="Calibri" w:hAnsi="Times New Roman" w:cs="Times New Roman"/>
        </w:rPr>
        <w:t xml:space="preserve"> Iva, k.č.br. 1789/3 koja se nalazi u k.o. </w:t>
      </w:r>
      <w:proofErr w:type="spellStart"/>
      <w:r w:rsidRPr="00D0532A">
        <w:rPr>
          <w:rFonts w:ascii="Times New Roman" w:eastAsia="Calibri" w:hAnsi="Times New Roman" w:cs="Times New Roman"/>
        </w:rPr>
        <w:t>Dišnik</w:t>
      </w:r>
      <w:proofErr w:type="spellEnd"/>
      <w:r w:rsidRPr="00D0532A">
        <w:rPr>
          <w:rFonts w:ascii="Times New Roman" w:eastAsia="Calibri" w:hAnsi="Times New Roman" w:cs="Times New Roman"/>
        </w:rPr>
        <w:t xml:space="preserve">, k.č.br. 1324 i k.č.br. 854/1 koje se nalaze u k.o. Tomašica, k.č.br. 761 koja se nalazi u k.o. Garešnica-centar te kč.br. 1601 koja se nalazi u k.o. </w:t>
      </w:r>
      <w:proofErr w:type="spellStart"/>
      <w:r w:rsidRPr="00D0532A">
        <w:rPr>
          <w:rFonts w:ascii="Times New Roman" w:eastAsia="Calibri" w:hAnsi="Times New Roman" w:cs="Times New Roman"/>
        </w:rPr>
        <w:t>Kaniška</w:t>
      </w:r>
      <w:proofErr w:type="spellEnd"/>
      <w:r w:rsidRPr="00D0532A">
        <w:rPr>
          <w:rFonts w:ascii="Times New Roman" w:eastAsia="Calibri" w:hAnsi="Times New Roman" w:cs="Times New Roman"/>
        </w:rPr>
        <w:t xml:space="preserve"> Iva. </w:t>
      </w:r>
    </w:p>
    <w:p w14:paraId="1426BE0A" w14:textId="77777777" w:rsidR="0081662F" w:rsidRPr="00D0532A" w:rsidRDefault="0081662F" w:rsidP="0081662F">
      <w:pPr>
        <w:spacing w:after="0" w:line="240" w:lineRule="auto"/>
        <w:jc w:val="both"/>
        <w:rPr>
          <w:rFonts w:ascii="Times New Roman" w:eastAsia="Calibri" w:hAnsi="Times New Roman" w:cs="Times New Roman"/>
        </w:rPr>
      </w:pPr>
      <w:r w:rsidRPr="00D0532A">
        <w:rPr>
          <w:rFonts w:ascii="Times New Roman" w:eastAsia="Calibri" w:hAnsi="Times New Roman" w:cs="Times New Roman"/>
        </w:rPr>
        <w:t xml:space="preserve">Nadalje, Ugovorom o zamjeni nekretnina Grad je stekao u vlasništvo nekretnina i to </w:t>
      </w:r>
      <w:r w:rsidRPr="00D0532A">
        <w:rPr>
          <w:rFonts w:ascii="Times New Roman" w:hAnsi="Times New Roman" w:cs="Times New Roman"/>
        </w:rPr>
        <w:t xml:space="preserve">k.č.br. 199/4, 199/5, 199/6,199/7 koje se nalaze u k.o. Garešnica – </w:t>
      </w:r>
      <w:r>
        <w:rPr>
          <w:rFonts w:ascii="Times New Roman" w:hAnsi="Times New Roman" w:cs="Times New Roman"/>
        </w:rPr>
        <w:t>C</w:t>
      </w:r>
      <w:r w:rsidRPr="00D0532A">
        <w:rPr>
          <w:rFonts w:ascii="Times New Roman" w:hAnsi="Times New Roman" w:cs="Times New Roman"/>
        </w:rPr>
        <w:t xml:space="preserve">entar. </w:t>
      </w:r>
      <w:r w:rsidRPr="00D0532A">
        <w:rPr>
          <w:rFonts w:ascii="Times New Roman" w:eastAsia="Calibri" w:hAnsi="Times New Roman" w:cs="Times New Roman"/>
        </w:rPr>
        <w:t xml:space="preserve">Nadalje, Ugovorom o zamjeni nekretnina Grad je stekao u vlasništvo nekretninu koja se nalazi na </w:t>
      </w:r>
      <w:r w:rsidRPr="00D0532A">
        <w:rPr>
          <w:rFonts w:ascii="Times New Roman" w:hAnsi="Times New Roman" w:cs="Times New Roman"/>
        </w:rPr>
        <w:t>k.č.br. 285/2, upisana u zk.ul.br. 1431. u k.o. Hrastovac. Ugovorom o kupoprodaji nekretnine Grad je stekao u vlasništvo nekretnine koje se nalaze na k.č.br. 246/4 i 246/5 u k.o. Uljanik.</w:t>
      </w:r>
    </w:p>
    <w:p w14:paraId="2D5541F4" w14:textId="77777777" w:rsidR="0081662F" w:rsidRPr="00D0532A" w:rsidRDefault="0081662F" w:rsidP="0081662F">
      <w:pPr>
        <w:spacing w:after="0" w:line="240" w:lineRule="auto"/>
        <w:jc w:val="both"/>
        <w:rPr>
          <w:rFonts w:ascii="Times New Roman" w:eastAsia="Calibri"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1750"/>
        <w:gridCol w:w="2124"/>
        <w:gridCol w:w="1319"/>
        <w:gridCol w:w="1254"/>
        <w:gridCol w:w="1254"/>
      </w:tblGrid>
      <w:tr w:rsidR="0081662F" w:rsidRPr="00D0532A" w14:paraId="01C735A2" w14:textId="77777777" w:rsidTr="00EB2357">
        <w:tc>
          <w:tcPr>
            <w:tcW w:w="750" w:type="pct"/>
            <w:shd w:val="clear" w:color="auto" w:fill="D1D1D1"/>
          </w:tcPr>
          <w:p w14:paraId="3ACFE995"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Pokazatelj rezultata</w:t>
            </w:r>
          </w:p>
        </w:tc>
        <w:tc>
          <w:tcPr>
            <w:tcW w:w="966" w:type="pct"/>
            <w:shd w:val="clear" w:color="auto" w:fill="D1D1D1"/>
          </w:tcPr>
          <w:p w14:paraId="5540DEF5"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Definicija pokazatelja</w:t>
            </w:r>
          </w:p>
        </w:tc>
        <w:tc>
          <w:tcPr>
            <w:tcW w:w="1172" w:type="pct"/>
            <w:shd w:val="clear" w:color="auto" w:fill="D1D1D1"/>
          </w:tcPr>
          <w:p w14:paraId="34B63113"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Jedinica</w:t>
            </w:r>
          </w:p>
        </w:tc>
        <w:tc>
          <w:tcPr>
            <w:tcW w:w="728" w:type="pct"/>
            <w:shd w:val="clear" w:color="auto" w:fill="D1D1D1"/>
          </w:tcPr>
          <w:p w14:paraId="4C857819"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Ciljana vrijednost 2024.</w:t>
            </w:r>
          </w:p>
        </w:tc>
        <w:tc>
          <w:tcPr>
            <w:tcW w:w="692" w:type="pct"/>
            <w:shd w:val="clear" w:color="auto" w:fill="D1D1D1"/>
          </w:tcPr>
          <w:p w14:paraId="375D3AE3"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Izvršeno</w:t>
            </w:r>
          </w:p>
        </w:tc>
        <w:tc>
          <w:tcPr>
            <w:tcW w:w="692" w:type="pct"/>
            <w:shd w:val="clear" w:color="auto" w:fill="D1D1D1"/>
          </w:tcPr>
          <w:p w14:paraId="0EA8EE36"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Indeks</w:t>
            </w:r>
          </w:p>
        </w:tc>
      </w:tr>
      <w:tr w:rsidR="0081662F" w:rsidRPr="00D0532A" w14:paraId="04FD8878" w14:textId="77777777" w:rsidTr="00EB2357">
        <w:tc>
          <w:tcPr>
            <w:tcW w:w="750" w:type="pct"/>
            <w:shd w:val="clear" w:color="auto" w:fill="auto"/>
          </w:tcPr>
          <w:p w14:paraId="52613B2D"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Povećanje broja zemljišta</w:t>
            </w:r>
          </w:p>
        </w:tc>
        <w:tc>
          <w:tcPr>
            <w:tcW w:w="966" w:type="pct"/>
            <w:shd w:val="clear" w:color="auto" w:fill="auto"/>
          </w:tcPr>
          <w:p w14:paraId="77281772"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Broj zemljišta koja se temeljem donacija upisuju u vlasništvo Grada Garešnice</w:t>
            </w:r>
          </w:p>
        </w:tc>
        <w:tc>
          <w:tcPr>
            <w:tcW w:w="1172" w:type="pct"/>
            <w:shd w:val="clear" w:color="auto" w:fill="auto"/>
          </w:tcPr>
          <w:p w14:paraId="5818690C"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Broj zemljišta/</w:t>
            </w:r>
          </w:p>
          <w:p w14:paraId="3B82DC48"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katastarska čestica</w:t>
            </w:r>
          </w:p>
        </w:tc>
        <w:tc>
          <w:tcPr>
            <w:tcW w:w="728" w:type="pct"/>
            <w:shd w:val="clear" w:color="auto" w:fill="auto"/>
            <w:vAlign w:val="center"/>
          </w:tcPr>
          <w:p w14:paraId="264997B7" w14:textId="77777777" w:rsidR="0081662F" w:rsidRPr="00D0532A" w:rsidRDefault="0081662F" w:rsidP="00EB2357">
            <w:pPr>
              <w:spacing w:after="0" w:line="240" w:lineRule="auto"/>
              <w:jc w:val="center"/>
              <w:rPr>
                <w:rFonts w:ascii="Times New Roman" w:eastAsia="Calibri" w:hAnsi="Times New Roman" w:cs="Times New Roman"/>
              </w:rPr>
            </w:pPr>
            <w:r w:rsidRPr="00D0532A">
              <w:rPr>
                <w:rFonts w:ascii="Times New Roman" w:eastAsia="Calibri" w:hAnsi="Times New Roman" w:cs="Times New Roman"/>
              </w:rPr>
              <w:t>2</w:t>
            </w:r>
          </w:p>
        </w:tc>
        <w:tc>
          <w:tcPr>
            <w:tcW w:w="692" w:type="pct"/>
            <w:shd w:val="clear" w:color="auto" w:fill="auto"/>
            <w:vAlign w:val="center"/>
          </w:tcPr>
          <w:p w14:paraId="704E0DFC" w14:textId="77777777" w:rsidR="0081662F" w:rsidRPr="00D0532A" w:rsidRDefault="0081662F" w:rsidP="00EB2357">
            <w:pPr>
              <w:spacing w:after="0" w:line="240" w:lineRule="auto"/>
              <w:jc w:val="center"/>
              <w:rPr>
                <w:rFonts w:ascii="Times New Roman" w:eastAsia="Calibri" w:hAnsi="Times New Roman" w:cs="Times New Roman"/>
              </w:rPr>
            </w:pPr>
            <w:r w:rsidRPr="00D0532A">
              <w:rPr>
                <w:rFonts w:ascii="Times New Roman" w:eastAsia="Calibri" w:hAnsi="Times New Roman" w:cs="Times New Roman"/>
              </w:rPr>
              <w:t>13</w:t>
            </w:r>
          </w:p>
        </w:tc>
        <w:tc>
          <w:tcPr>
            <w:tcW w:w="692" w:type="pct"/>
            <w:shd w:val="clear" w:color="auto" w:fill="auto"/>
            <w:vAlign w:val="center"/>
          </w:tcPr>
          <w:p w14:paraId="7D7B79D3" w14:textId="77777777" w:rsidR="0081662F" w:rsidRPr="00D0532A" w:rsidRDefault="0081662F" w:rsidP="00EB2357">
            <w:pPr>
              <w:spacing w:after="0" w:line="240" w:lineRule="auto"/>
              <w:jc w:val="center"/>
              <w:rPr>
                <w:rFonts w:ascii="Times New Roman" w:eastAsia="Calibri" w:hAnsi="Times New Roman" w:cs="Times New Roman"/>
              </w:rPr>
            </w:pPr>
            <w:r w:rsidRPr="00D0532A">
              <w:rPr>
                <w:rFonts w:ascii="Times New Roman" w:eastAsia="Calibri" w:hAnsi="Times New Roman" w:cs="Times New Roman"/>
              </w:rPr>
              <w:t>650%</w:t>
            </w:r>
          </w:p>
        </w:tc>
      </w:tr>
    </w:tbl>
    <w:p w14:paraId="0D691DF7" w14:textId="77777777" w:rsidR="0081662F" w:rsidRPr="00D0532A" w:rsidRDefault="0081662F" w:rsidP="0081662F">
      <w:pPr>
        <w:spacing w:after="0" w:line="240" w:lineRule="auto"/>
        <w:rPr>
          <w:rFonts w:ascii="Times New Roman" w:eastAsia="Calibri" w:hAnsi="Times New Roman" w:cs="Times New Roman"/>
          <w:b/>
          <w:bCs/>
          <w:color w:val="FF0000"/>
        </w:rPr>
      </w:pPr>
    </w:p>
    <w:p w14:paraId="14AF5351" w14:textId="77777777" w:rsidR="0081662F" w:rsidRPr="00D0532A" w:rsidRDefault="0081662F" w:rsidP="0081662F">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1.1.3. Kapitalni projekt K100314 Digitalizacija sustava javne uprave</w:t>
      </w:r>
    </w:p>
    <w:p w14:paraId="251C01F3" w14:textId="77777777" w:rsidR="0081662F" w:rsidRPr="00D0532A" w:rsidRDefault="0081662F" w:rsidP="0081662F">
      <w:pPr>
        <w:spacing w:after="0" w:line="240" w:lineRule="auto"/>
        <w:jc w:val="both"/>
        <w:rPr>
          <w:rFonts w:ascii="Times New Roman" w:eastAsia="Calibri" w:hAnsi="Times New Roman" w:cs="Times New Roman"/>
        </w:rPr>
      </w:pPr>
      <w:r w:rsidRPr="00D0532A">
        <w:rPr>
          <w:rFonts w:ascii="Times New Roman" w:hAnsi="Times New Roman" w:cs="Times New Roman"/>
          <w:shd w:val="clear" w:color="auto" w:fill="FFFFFF"/>
        </w:rPr>
        <w:t>Grad je u 2024. godine uveo sustav elektronskog preuzimanja potvrda o dohotku građana (EDIP). Uvedena digitalizacija omogućava Gradu da se spoji na bazu podataka Porezne uprave i dohvate podatke o dohotku građana kada je to nužno za rješavanje prava građana u pogledu stjecanja prava iz Odluke o socijalnoj skrbi Grada Garešnice.</w:t>
      </w:r>
    </w:p>
    <w:p w14:paraId="3E83919B" w14:textId="77777777" w:rsidR="0081662F" w:rsidRPr="00D0532A" w:rsidRDefault="0081662F" w:rsidP="0081662F">
      <w:pPr>
        <w:spacing w:after="0" w:line="240" w:lineRule="auto"/>
        <w:rPr>
          <w:rFonts w:ascii="Times New Roman" w:eastAsia="Calibri" w:hAnsi="Times New Roman" w:cs="Times New Roman"/>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714"/>
        <w:gridCol w:w="2073"/>
        <w:gridCol w:w="1308"/>
        <w:gridCol w:w="1308"/>
        <w:gridCol w:w="1308"/>
      </w:tblGrid>
      <w:tr w:rsidR="0081662F" w:rsidRPr="00D0532A" w14:paraId="411A57E2" w14:textId="77777777" w:rsidTr="00EB2357">
        <w:tc>
          <w:tcPr>
            <w:tcW w:w="744" w:type="pct"/>
            <w:shd w:val="clear" w:color="auto" w:fill="D1D1D1"/>
          </w:tcPr>
          <w:p w14:paraId="5875C857"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Pokazatelj rezultata</w:t>
            </w:r>
          </w:p>
        </w:tc>
        <w:tc>
          <w:tcPr>
            <w:tcW w:w="946" w:type="pct"/>
            <w:shd w:val="clear" w:color="auto" w:fill="D1D1D1"/>
          </w:tcPr>
          <w:p w14:paraId="39939410"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Definicija pokazatelja</w:t>
            </w:r>
          </w:p>
        </w:tc>
        <w:tc>
          <w:tcPr>
            <w:tcW w:w="1144" w:type="pct"/>
            <w:shd w:val="clear" w:color="auto" w:fill="D1D1D1"/>
          </w:tcPr>
          <w:p w14:paraId="6DA3F736"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jedinica</w:t>
            </w:r>
          </w:p>
        </w:tc>
        <w:tc>
          <w:tcPr>
            <w:tcW w:w="722" w:type="pct"/>
            <w:shd w:val="clear" w:color="auto" w:fill="D1D1D1"/>
          </w:tcPr>
          <w:p w14:paraId="464FC4CF"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Ciljana vrijednost</w:t>
            </w:r>
          </w:p>
          <w:p w14:paraId="7D3E0C24"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2024.</w:t>
            </w:r>
          </w:p>
        </w:tc>
        <w:tc>
          <w:tcPr>
            <w:tcW w:w="722" w:type="pct"/>
            <w:shd w:val="clear" w:color="auto" w:fill="D1D1D1"/>
          </w:tcPr>
          <w:p w14:paraId="5064C434"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Izvršeno</w:t>
            </w:r>
          </w:p>
        </w:tc>
        <w:tc>
          <w:tcPr>
            <w:tcW w:w="722" w:type="pct"/>
            <w:shd w:val="clear" w:color="auto" w:fill="D1D1D1"/>
          </w:tcPr>
          <w:p w14:paraId="44C7D3EF"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Indeks</w:t>
            </w:r>
          </w:p>
        </w:tc>
      </w:tr>
      <w:tr w:rsidR="0081662F" w:rsidRPr="00D0532A" w14:paraId="356446D7" w14:textId="77777777" w:rsidTr="00EB2357">
        <w:tc>
          <w:tcPr>
            <w:tcW w:w="744" w:type="pct"/>
            <w:shd w:val="clear" w:color="auto" w:fill="auto"/>
          </w:tcPr>
          <w:p w14:paraId="2AAA4DB2"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Povećanje broja računalnih programa</w:t>
            </w:r>
          </w:p>
        </w:tc>
        <w:tc>
          <w:tcPr>
            <w:tcW w:w="946" w:type="pct"/>
            <w:shd w:val="clear" w:color="auto" w:fill="auto"/>
          </w:tcPr>
          <w:p w14:paraId="62738246"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Broj računalnih programa koje Upravni odjel koristi u radu</w:t>
            </w:r>
          </w:p>
        </w:tc>
        <w:tc>
          <w:tcPr>
            <w:tcW w:w="1144" w:type="pct"/>
            <w:shd w:val="clear" w:color="auto" w:fill="auto"/>
          </w:tcPr>
          <w:p w14:paraId="0459A4C1"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Broj računalnih programa/kom</w:t>
            </w:r>
          </w:p>
        </w:tc>
        <w:tc>
          <w:tcPr>
            <w:tcW w:w="722" w:type="pct"/>
            <w:shd w:val="clear" w:color="auto" w:fill="auto"/>
            <w:vAlign w:val="center"/>
          </w:tcPr>
          <w:p w14:paraId="7E12341C" w14:textId="77777777" w:rsidR="0081662F" w:rsidRPr="00D0532A" w:rsidRDefault="0081662F" w:rsidP="00EB2357">
            <w:pPr>
              <w:spacing w:after="0" w:line="240" w:lineRule="auto"/>
              <w:jc w:val="center"/>
              <w:rPr>
                <w:rFonts w:ascii="Times New Roman" w:eastAsia="Calibri" w:hAnsi="Times New Roman" w:cs="Times New Roman"/>
              </w:rPr>
            </w:pPr>
            <w:r w:rsidRPr="00D0532A">
              <w:rPr>
                <w:rFonts w:ascii="Times New Roman" w:eastAsia="Calibri" w:hAnsi="Times New Roman" w:cs="Times New Roman"/>
              </w:rPr>
              <w:t>0</w:t>
            </w:r>
          </w:p>
        </w:tc>
        <w:tc>
          <w:tcPr>
            <w:tcW w:w="722" w:type="pct"/>
            <w:shd w:val="clear" w:color="auto" w:fill="auto"/>
            <w:vAlign w:val="center"/>
          </w:tcPr>
          <w:p w14:paraId="1B6618A0" w14:textId="77777777" w:rsidR="0081662F" w:rsidRPr="00D0532A" w:rsidRDefault="0081662F" w:rsidP="00EB2357">
            <w:pPr>
              <w:spacing w:after="0" w:line="240" w:lineRule="auto"/>
              <w:jc w:val="center"/>
              <w:rPr>
                <w:rFonts w:ascii="Times New Roman" w:eastAsia="Calibri" w:hAnsi="Times New Roman" w:cs="Times New Roman"/>
              </w:rPr>
            </w:pPr>
            <w:r w:rsidRPr="00D0532A">
              <w:rPr>
                <w:rFonts w:ascii="Times New Roman" w:eastAsia="Calibri" w:hAnsi="Times New Roman" w:cs="Times New Roman"/>
              </w:rPr>
              <w:t>1</w:t>
            </w:r>
          </w:p>
        </w:tc>
        <w:tc>
          <w:tcPr>
            <w:tcW w:w="722" w:type="pct"/>
            <w:shd w:val="clear" w:color="auto" w:fill="auto"/>
            <w:vAlign w:val="center"/>
          </w:tcPr>
          <w:p w14:paraId="36CB6EBE" w14:textId="77777777" w:rsidR="0081662F" w:rsidRPr="00D0532A" w:rsidRDefault="0081662F" w:rsidP="00EB2357">
            <w:pPr>
              <w:spacing w:after="0" w:line="240" w:lineRule="auto"/>
              <w:jc w:val="center"/>
              <w:rPr>
                <w:rFonts w:ascii="Times New Roman" w:eastAsia="Calibri" w:hAnsi="Times New Roman" w:cs="Times New Roman"/>
              </w:rPr>
            </w:pPr>
            <w:r w:rsidRPr="00D0532A">
              <w:rPr>
                <w:rFonts w:ascii="Times New Roman" w:eastAsia="Calibri" w:hAnsi="Times New Roman" w:cs="Times New Roman"/>
              </w:rPr>
              <w:t>∞</w:t>
            </w:r>
          </w:p>
        </w:tc>
      </w:tr>
    </w:tbl>
    <w:p w14:paraId="62FE7B72" w14:textId="77777777" w:rsidR="0081662F" w:rsidRPr="00D0532A" w:rsidRDefault="0081662F" w:rsidP="0081662F">
      <w:pPr>
        <w:spacing w:after="0" w:line="240" w:lineRule="auto"/>
        <w:rPr>
          <w:rFonts w:ascii="Times New Roman" w:eastAsia="Calibri" w:hAnsi="Times New Roman" w:cs="Times New Roman"/>
          <w:color w:val="FF0000"/>
        </w:rPr>
      </w:pPr>
    </w:p>
    <w:p w14:paraId="57D2C058" w14:textId="77777777" w:rsidR="0081662F" w:rsidRPr="00D0532A" w:rsidRDefault="0081662F" w:rsidP="0081662F">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1.2.</w:t>
      </w:r>
      <w:r w:rsidRPr="00D0532A">
        <w:rPr>
          <w:rFonts w:ascii="Times New Roman" w:eastAsia="Calibri" w:hAnsi="Times New Roman" w:cs="Times New Roman"/>
          <w:b/>
          <w:bCs/>
        </w:rPr>
        <w:tab/>
        <w:t>Program 1005 Zaštita od požara i civilna zaštita</w:t>
      </w:r>
    </w:p>
    <w:tbl>
      <w:tblPr>
        <w:tblpPr w:leftFromText="180" w:rightFromText="180" w:vertAnchor="text" w:horzAnchor="margin" w:tblpY="187"/>
        <w:tblW w:w="5000" w:type="pct"/>
        <w:tblLook w:val="04A0" w:firstRow="1" w:lastRow="0" w:firstColumn="1" w:lastColumn="0" w:noHBand="0" w:noVBand="1"/>
      </w:tblPr>
      <w:tblGrid>
        <w:gridCol w:w="1867"/>
        <w:gridCol w:w="3309"/>
        <w:gridCol w:w="1386"/>
        <w:gridCol w:w="1243"/>
        <w:gridCol w:w="1255"/>
      </w:tblGrid>
      <w:tr w:rsidR="0081662F" w:rsidRPr="00D0532A" w14:paraId="5BF66388" w14:textId="77777777" w:rsidTr="00EB2357">
        <w:trPr>
          <w:trHeight w:val="564"/>
        </w:trPr>
        <w:tc>
          <w:tcPr>
            <w:tcW w:w="2882" w:type="pct"/>
            <w:gridSpan w:val="2"/>
            <w:tcBorders>
              <w:top w:val="single" w:sz="4" w:space="0" w:color="auto"/>
              <w:left w:val="single" w:sz="4" w:space="0" w:color="auto"/>
              <w:bottom w:val="single" w:sz="4" w:space="0" w:color="auto"/>
              <w:right w:val="single" w:sz="4" w:space="0" w:color="auto"/>
            </w:tcBorders>
            <w:shd w:val="clear" w:color="auto" w:fill="D9D9D9"/>
          </w:tcPr>
          <w:p w14:paraId="4B29DA71"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Naziv programa/aktivnosti/projekta</w:t>
            </w:r>
          </w:p>
        </w:tc>
        <w:tc>
          <w:tcPr>
            <w:tcW w:w="777" w:type="pct"/>
            <w:tcBorders>
              <w:top w:val="single" w:sz="4" w:space="0" w:color="auto"/>
              <w:left w:val="nil"/>
              <w:bottom w:val="single" w:sz="4" w:space="0" w:color="auto"/>
              <w:right w:val="single" w:sz="4" w:space="0" w:color="auto"/>
            </w:tcBorders>
            <w:shd w:val="clear" w:color="auto" w:fill="D9D9D9"/>
            <w:vAlign w:val="center"/>
            <w:hideMark/>
          </w:tcPr>
          <w:p w14:paraId="1FADFF2A"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Rebalans</w:t>
            </w:r>
          </w:p>
          <w:p w14:paraId="7122A720"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2024.</w:t>
            </w:r>
          </w:p>
        </w:tc>
        <w:tc>
          <w:tcPr>
            <w:tcW w:w="636" w:type="pct"/>
            <w:tcBorders>
              <w:top w:val="single" w:sz="4" w:space="0" w:color="auto"/>
              <w:left w:val="nil"/>
              <w:bottom w:val="single" w:sz="4" w:space="0" w:color="auto"/>
              <w:right w:val="single" w:sz="4" w:space="0" w:color="auto"/>
            </w:tcBorders>
            <w:shd w:val="clear" w:color="auto" w:fill="D9D9D9"/>
            <w:vAlign w:val="center"/>
            <w:hideMark/>
          </w:tcPr>
          <w:p w14:paraId="597271A8"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Izvršenje</w:t>
            </w:r>
          </w:p>
          <w:p w14:paraId="167F1DC3"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2024.</w:t>
            </w:r>
          </w:p>
        </w:tc>
        <w:tc>
          <w:tcPr>
            <w:tcW w:w="705" w:type="pct"/>
            <w:tcBorders>
              <w:top w:val="single" w:sz="4" w:space="0" w:color="auto"/>
              <w:left w:val="nil"/>
              <w:bottom w:val="single" w:sz="4" w:space="0" w:color="auto"/>
              <w:right w:val="single" w:sz="4" w:space="0" w:color="auto"/>
            </w:tcBorders>
            <w:shd w:val="clear" w:color="auto" w:fill="D9D9D9"/>
            <w:vAlign w:val="center"/>
          </w:tcPr>
          <w:p w14:paraId="25A5929D"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Indeks</w:t>
            </w:r>
          </w:p>
        </w:tc>
      </w:tr>
      <w:tr w:rsidR="0081662F" w:rsidRPr="00D0532A" w14:paraId="462AC8DB" w14:textId="77777777" w:rsidTr="00EB2357">
        <w:trPr>
          <w:trHeight w:val="269"/>
        </w:trPr>
        <w:tc>
          <w:tcPr>
            <w:tcW w:w="1043" w:type="pct"/>
            <w:tcBorders>
              <w:top w:val="single" w:sz="4" w:space="0" w:color="auto"/>
              <w:left w:val="single" w:sz="4" w:space="0" w:color="auto"/>
              <w:bottom w:val="single" w:sz="4" w:space="0" w:color="auto"/>
              <w:right w:val="single" w:sz="4" w:space="0" w:color="auto"/>
            </w:tcBorders>
            <w:shd w:val="clear" w:color="auto" w:fill="D9D9D9"/>
            <w:vAlign w:val="center"/>
          </w:tcPr>
          <w:p w14:paraId="165531B9"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Program 1005</w:t>
            </w:r>
          </w:p>
        </w:tc>
        <w:tc>
          <w:tcPr>
            <w:tcW w:w="1839" w:type="pct"/>
            <w:tcBorders>
              <w:top w:val="single" w:sz="4" w:space="0" w:color="auto"/>
              <w:left w:val="single" w:sz="4" w:space="0" w:color="auto"/>
              <w:bottom w:val="single" w:sz="4" w:space="0" w:color="auto"/>
              <w:right w:val="single" w:sz="4" w:space="0" w:color="auto"/>
            </w:tcBorders>
            <w:shd w:val="clear" w:color="auto" w:fill="D9D9D9"/>
            <w:vAlign w:val="center"/>
          </w:tcPr>
          <w:p w14:paraId="5D614D76" w14:textId="77777777" w:rsidR="0081662F" w:rsidRPr="00D0532A" w:rsidRDefault="0081662F" w:rsidP="00EB2357">
            <w:pPr>
              <w:spacing w:after="0" w:line="240" w:lineRule="auto"/>
              <w:rPr>
                <w:rFonts w:ascii="Times New Roman" w:hAnsi="Times New Roman" w:cs="Times New Roman"/>
                <w:b/>
                <w:bCs/>
                <w:lang w:eastAsia="hr-HR"/>
              </w:rPr>
            </w:pPr>
            <w:r w:rsidRPr="00D0532A">
              <w:rPr>
                <w:rFonts w:ascii="Times New Roman" w:eastAsia="Calibri" w:hAnsi="Times New Roman" w:cs="Times New Roman"/>
                <w:b/>
                <w:bCs/>
              </w:rPr>
              <w:t>Zaštita od požara i civilna zaštita</w:t>
            </w:r>
          </w:p>
        </w:tc>
        <w:tc>
          <w:tcPr>
            <w:tcW w:w="777" w:type="pct"/>
            <w:tcBorders>
              <w:top w:val="nil"/>
              <w:left w:val="nil"/>
              <w:bottom w:val="single" w:sz="4" w:space="0" w:color="auto"/>
              <w:right w:val="single" w:sz="4" w:space="0" w:color="auto"/>
            </w:tcBorders>
            <w:shd w:val="clear" w:color="auto" w:fill="D9D9D9"/>
            <w:noWrap/>
            <w:vAlign w:val="center"/>
          </w:tcPr>
          <w:p w14:paraId="78E59E1A" w14:textId="77777777" w:rsidR="0081662F" w:rsidRPr="00D0532A" w:rsidRDefault="0081662F" w:rsidP="00EB2357">
            <w:pPr>
              <w:spacing w:after="0" w:line="240" w:lineRule="auto"/>
              <w:ind w:right="36"/>
              <w:jc w:val="center"/>
              <w:rPr>
                <w:rFonts w:ascii="Times New Roman" w:hAnsi="Times New Roman" w:cs="Times New Roman"/>
                <w:b/>
                <w:bCs/>
                <w:lang w:eastAsia="hr-HR"/>
              </w:rPr>
            </w:pPr>
            <w:r w:rsidRPr="00D0532A">
              <w:rPr>
                <w:rFonts w:ascii="Times New Roman" w:hAnsi="Times New Roman" w:cs="Times New Roman"/>
                <w:b/>
                <w:bCs/>
              </w:rPr>
              <w:t>114.500,00</w:t>
            </w:r>
          </w:p>
        </w:tc>
        <w:tc>
          <w:tcPr>
            <w:tcW w:w="636" w:type="pct"/>
            <w:tcBorders>
              <w:top w:val="nil"/>
              <w:left w:val="nil"/>
              <w:bottom w:val="single" w:sz="4" w:space="0" w:color="auto"/>
              <w:right w:val="single" w:sz="4" w:space="0" w:color="auto"/>
            </w:tcBorders>
            <w:shd w:val="clear" w:color="auto" w:fill="D9D9D9"/>
            <w:noWrap/>
            <w:vAlign w:val="center"/>
          </w:tcPr>
          <w:p w14:paraId="1BEF3D6A" w14:textId="77777777" w:rsidR="0081662F" w:rsidRPr="00D0532A" w:rsidRDefault="0081662F" w:rsidP="00EB2357">
            <w:pPr>
              <w:spacing w:after="0" w:line="240" w:lineRule="auto"/>
              <w:ind w:right="36"/>
              <w:jc w:val="center"/>
              <w:rPr>
                <w:rFonts w:ascii="Times New Roman" w:hAnsi="Times New Roman" w:cs="Times New Roman"/>
                <w:b/>
                <w:bCs/>
                <w:lang w:eastAsia="hr-HR"/>
              </w:rPr>
            </w:pPr>
            <w:r w:rsidRPr="00D0532A">
              <w:rPr>
                <w:rFonts w:ascii="Times New Roman" w:hAnsi="Times New Roman" w:cs="Times New Roman"/>
                <w:b/>
                <w:bCs/>
                <w:lang w:eastAsia="hr-HR"/>
              </w:rPr>
              <w:t>107.622,51</w:t>
            </w:r>
          </w:p>
        </w:tc>
        <w:tc>
          <w:tcPr>
            <w:tcW w:w="705" w:type="pct"/>
            <w:tcBorders>
              <w:top w:val="nil"/>
              <w:left w:val="nil"/>
              <w:bottom w:val="single" w:sz="4" w:space="0" w:color="auto"/>
              <w:right w:val="single" w:sz="4" w:space="0" w:color="auto"/>
            </w:tcBorders>
            <w:shd w:val="clear" w:color="auto" w:fill="D9D9D9"/>
            <w:vAlign w:val="center"/>
          </w:tcPr>
          <w:p w14:paraId="4413C9A0" w14:textId="77777777" w:rsidR="0081662F" w:rsidRPr="00D0532A" w:rsidRDefault="0081662F" w:rsidP="00EB2357">
            <w:pPr>
              <w:spacing w:after="0" w:line="240" w:lineRule="auto"/>
              <w:ind w:right="36"/>
              <w:jc w:val="center"/>
              <w:rPr>
                <w:rFonts w:ascii="Times New Roman" w:hAnsi="Times New Roman" w:cs="Times New Roman"/>
                <w:b/>
                <w:bCs/>
                <w:lang w:eastAsia="hr-HR"/>
              </w:rPr>
            </w:pPr>
            <w:r w:rsidRPr="00D0532A">
              <w:rPr>
                <w:rFonts w:ascii="Times New Roman" w:hAnsi="Times New Roman" w:cs="Times New Roman"/>
                <w:b/>
                <w:bCs/>
                <w:lang w:eastAsia="hr-HR"/>
              </w:rPr>
              <w:t>93,99%</w:t>
            </w:r>
          </w:p>
        </w:tc>
      </w:tr>
      <w:tr w:rsidR="0081662F" w:rsidRPr="00D0532A" w14:paraId="0AC92791" w14:textId="77777777" w:rsidTr="00EB2357">
        <w:trPr>
          <w:trHeight w:val="269"/>
        </w:trPr>
        <w:tc>
          <w:tcPr>
            <w:tcW w:w="1043" w:type="pct"/>
            <w:tcBorders>
              <w:top w:val="single" w:sz="4" w:space="0" w:color="auto"/>
              <w:left w:val="single" w:sz="4" w:space="0" w:color="auto"/>
              <w:bottom w:val="single" w:sz="4" w:space="0" w:color="auto"/>
              <w:right w:val="single" w:sz="4" w:space="0" w:color="auto"/>
            </w:tcBorders>
            <w:vAlign w:val="center"/>
          </w:tcPr>
          <w:p w14:paraId="72684934"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Aktivnost A100502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5CD5351" w14:textId="77777777" w:rsidR="0081662F" w:rsidRPr="00D0532A" w:rsidRDefault="0081662F" w:rsidP="00EB2357">
            <w:pPr>
              <w:spacing w:after="0" w:line="240" w:lineRule="auto"/>
              <w:rPr>
                <w:rFonts w:ascii="Times New Roman" w:hAnsi="Times New Roman" w:cs="Times New Roman"/>
                <w:lang w:eastAsia="hr-HR"/>
              </w:rPr>
            </w:pPr>
            <w:r w:rsidRPr="00D0532A">
              <w:rPr>
                <w:rFonts w:ascii="Times New Roman" w:eastAsia="Calibri" w:hAnsi="Times New Roman" w:cs="Times New Roman"/>
              </w:rPr>
              <w:t>Financiranje Vatrogasne zajednice grada</w:t>
            </w:r>
          </w:p>
        </w:tc>
        <w:tc>
          <w:tcPr>
            <w:tcW w:w="777" w:type="pct"/>
            <w:tcBorders>
              <w:top w:val="nil"/>
              <w:left w:val="nil"/>
              <w:bottom w:val="single" w:sz="4" w:space="0" w:color="auto"/>
              <w:right w:val="single" w:sz="4" w:space="0" w:color="auto"/>
            </w:tcBorders>
            <w:shd w:val="clear" w:color="auto" w:fill="auto"/>
            <w:noWrap/>
            <w:vAlign w:val="center"/>
          </w:tcPr>
          <w:p w14:paraId="510214FB"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rPr>
              <w:t>100.000,00</w:t>
            </w:r>
          </w:p>
        </w:tc>
        <w:tc>
          <w:tcPr>
            <w:tcW w:w="636" w:type="pct"/>
            <w:tcBorders>
              <w:top w:val="nil"/>
              <w:left w:val="nil"/>
              <w:bottom w:val="single" w:sz="4" w:space="0" w:color="auto"/>
              <w:right w:val="single" w:sz="4" w:space="0" w:color="auto"/>
            </w:tcBorders>
            <w:shd w:val="clear" w:color="auto" w:fill="auto"/>
            <w:noWrap/>
            <w:vAlign w:val="center"/>
          </w:tcPr>
          <w:p w14:paraId="57EBB0C2"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lang w:eastAsia="hr-HR"/>
              </w:rPr>
              <w:t>100.000,00</w:t>
            </w:r>
          </w:p>
        </w:tc>
        <w:tc>
          <w:tcPr>
            <w:tcW w:w="705" w:type="pct"/>
            <w:tcBorders>
              <w:top w:val="nil"/>
              <w:left w:val="nil"/>
              <w:bottom w:val="single" w:sz="4" w:space="0" w:color="auto"/>
              <w:right w:val="single" w:sz="4" w:space="0" w:color="auto"/>
            </w:tcBorders>
            <w:vAlign w:val="center"/>
          </w:tcPr>
          <w:p w14:paraId="07E8D893"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lang w:eastAsia="hr-HR"/>
              </w:rPr>
              <w:t>100,00%</w:t>
            </w:r>
          </w:p>
        </w:tc>
      </w:tr>
      <w:tr w:rsidR="0081662F" w:rsidRPr="00D0532A" w14:paraId="547778E5" w14:textId="77777777" w:rsidTr="00EB2357">
        <w:trPr>
          <w:trHeight w:val="269"/>
        </w:trPr>
        <w:tc>
          <w:tcPr>
            <w:tcW w:w="1043" w:type="pct"/>
            <w:tcBorders>
              <w:top w:val="single" w:sz="4" w:space="0" w:color="auto"/>
              <w:left w:val="single" w:sz="4" w:space="0" w:color="auto"/>
              <w:bottom w:val="single" w:sz="4" w:space="0" w:color="auto"/>
              <w:right w:val="single" w:sz="4" w:space="0" w:color="auto"/>
            </w:tcBorders>
            <w:vAlign w:val="center"/>
          </w:tcPr>
          <w:p w14:paraId="61FFA6F0"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Aktivnost A100503</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7B4270C" w14:textId="77777777" w:rsidR="0081662F" w:rsidRPr="00D0532A" w:rsidRDefault="0081662F" w:rsidP="00EB2357">
            <w:pPr>
              <w:spacing w:after="0" w:line="240" w:lineRule="auto"/>
              <w:rPr>
                <w:rFonts w:ascii="Times New Roman" w:hAnsi="Times New Roman" w:cs="Times New Roman"/>
                <w:lang w:eastAsia="hr-HR"/>
              </w:rPr>
            </w:pPr>
            <w:r w:rsidRPr="00D0532A">
              <w:rPr>
                <w:rFonts w:ascii="Times New Roman" w:eastAsia="Calibri" w:hAnsi="Times New Roman" w:cs="Times New Roman"/>
              </w:rPr>
              <w:t>Civilna zaštita i spašavanje</w:t>
            </w:r>
          </w:p>
        </w:tc>
        <w:tc>
          <w:tcPr>
            <w:tcW w:w="777" w:type="pct"/>
            <w:tcBorders>
              <w:top w:val="nil"/>
              <w:left w:val="nil"/>
              <w:bottom w:val="single" w:sz="4" w:space="0" w:color="auto"/>
              <w:right w:val="single" w:sz="4" w:space="0" w:color="auto"/>
            </w:tcBorders>
            <w:shd w:val="clear" w:color="auto" w:fill="auto"/>
            <w:noWrap/>
            <w:vAlign w:val="center"/>
          </w:tcPr>
          <w:p w14:paraId="454AB360"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rPr>
              <w:t>14.500,00</w:t>
            </w:r>
          </w:p>
        </w:tc>
        <w:tc>
          <w:tcPr>
            <w:tcW w:w="636" w:type="pct"/>
            <w:tcBorders>
              <w:top w:val="nil"/>
              <w:left w:val="nil"/>
              <w:bottom w:val="single" w:sz="4" w:space="0" w:color="auto"/>
              <w:right w:val="single" w:sz="4" w:space="0" w:color="auto"/>
            </w:tcBorders>
            <w:shd w:val="clear" w:color="auto" w:fill="auto"/>
            <w:noWrap/>
            <w:vAlign w:val="center"/>
          </w:tcPr>
          <w:p w14:paraId="5DD056AB"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lang w:eastAsia="hr-HR"/>
              </w:rPr>
              <w:t>7.622,51</w:t>
            </w:r>
          </w:p>
        </w:tc>
        <w:tc>
          <w:tcPr>
            <w:tcW w:w="705" w:type="pct"/>
            <w:tcBorders>
              <w:top w:val="nil"/>
              <w:left w:val="nil"/>
              <w:bottom w:val="single" w:sz="4" w:space="0" w:color="auto"/>
              <w:right w:val="single" w:sz="4" w:space="0" w:color="auto"/>
            </w:tcBorders>
            <w:vAlign w:val="center"/>
          </w:tcPr>
          <w:p w14:paraId="1C99D46F"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lang w:eastAsia="hr-HR"/>
              </w:rPr>
              <w:t>52,57%</w:t>
            </w:r>
          </w:p>
        </w:tc>
      </w:tr>
    </w:tbl>
    <w:p w14:paraId="0665C97A" w14:textId="77777777" w:rsidR="0081662F" w:rsidRPr="00D0532A" w:rsidRDefault="0081662F" w:rsidP="0081662F">
      <w:pPr>
        <w:spacing w:after="0" w:line="240" w:lineRule="auto"/>
        <w:rPr>
          <w:rFonts w:ascii="Times New Roman" w:eastAsia="Calibri" w:hAnsi="Times New Roman" w:cs="Times New Roman"/>
        </w:rPr>
      </w:pPr>
    </w:p>
    <w:p w14:paraId="5D58F764" w14:textId="77777777" w:rsidR="001D39EA" w:rsidRDefault="001D39EA" w:rsidP="0081662F">
      <w:pPr>
        <w:spacing w:after="0" w:line="240" w:lineRule="auto"/>
        <w:rPr>
          <w:rFonts w:ascii="Times New Roman" w:eastAsia="Calibri" w:hAnsi="Times New Roman" w:cs="Times New Roman"/>
          <w:b/>
          <w:bCs/>
        </w:rPr>
      </w:pPr>
    </w:p>
    <w:p w14:paraId="09EF1076" w14:textId="6D291D61" w:rsidR="0081662F" w:rsidRPr="00D0532A" w:rsidRDefault="0081662F" w:rsidP="0081662F">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1.2.1. Aktivnost A100502 Financiranje vatrogasne zajednice grada</w:t>
      </w:r>
    </w:p>
    <w:p w14:paraId="335728C1" w14:textId="77777777" w:rsidR="0081662F" w:rsidRPr="00D0532A" w:rsidRDefault="0081662F" w:rsidP="0081662F">
      <w:pPr>
        <w:spacing w:after="0" w:line="240" w:lineRule="auto"/>
        <w:jc w:val="both"/>
        <w:rPr>
          <w:rFonts w:ascii="Times New Roman" w:hAnsi="Times New Roman" w:cs="Times New Roman"/>
          <w:lang w:eastAsia="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1700"/>
        <w:gridCol w:w="2031"/>
        <w:gridCol w:w="1308"/>
        <w:gridCol w:w="1308"/>
        <w:gridCol w:w="1308"/>
      </w:tblGrid>
      <w:tr w:rsidR="0081662F" w:rsidRPr="00D0532A" w14:paraId="47CD17D9" w14:textId="77777777" w:rsidTr="00EB2357">
        <w:tc>
          <w:tcPr>
            <w:tcW w:w="775" w:type="pct"/>
            <w:shd w:val="clear" w:color="auto" w:fill="D1D1D1"/>
          </w:tcPr>
          <w:p w14:paraId="31C33C32"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Pokazatelj rezultata</w:t>
            </w:r>
          </w:p>
        </w:tc>
        <w:tc>
          <w:tcPr>
            <w:tcW w:w="938" w:type="pct"/>
            <w:shd w:val="clear" w:color="auto" w:fill="D1D1D1"/>
          </w:tcPr>
          <w:p w14:paraId="29E919F7"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Definicija pokazatelja</w:t>
            </w:r>
          </w:p>
        </w:tc>
        <w:tc>
          <w:tcPr>
            <w:tcW w:w="1121" w:type="pct"/>
            <w:shd w:val="clear" w:color="auto" w:fill="D1D1D1"/>
          </w:tcPr>
          <w:p w14:paraId="6E95DD5D"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jedinica</w:t>
            </w:r>
          </w:p>
        </w:tc>
        <w:tc>
          <w:tcPr>
            <w:tcW w:w="722" w:type="pct"/>
            <w:shd w:val="clear" w:color="auto" w:fill="D1D1D1"/>
          </w:tcPr>
          <w:p w14:paraId="065A2150"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Ciljana vrijednost</w:t>
            </w:r>
          </w:p>
          <w:p w14:paraId="4ABCBC86"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2024.</w:t>
            </w:r>
          </w:p>
        </w:tc>
        <w:tc>
          <w:tcPr>
            <w:tcW w:w="722" w:type="pct"/>
            <w:shd w:val="clear" w:color="auto" w:fill="D1D1D1"/>
          </w:tcPr>
          <w:p w14:paraId="45993EF1"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Izvršeno</w:t>
            </w:r>
          </w:p>
        </w:tc>
        <w:tc>
          <w:tcPr>
            <w:tcW w:w="722" w:type="pct"/>
            <w:shd w:val="clear" w:color="auto" w:fill="D1D1D1"/>
          </w:tcPr>
          <w:p w14:paraId="23106A5C"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Indeks</w:t>
            </w:r>
          </w:p>
        </w:tc>
      </w:tr>
      <w:tr w:rsidR="0081662F" w:rsidRPr="00D0532A" w14:paraId="6CCDFFAA" w14:textId="77777777" w:rsidTr="00EB2357">
        <w:tc>
          <w:tcPr>
            <w:tcW w:w="775" w:type="pct"/>
            <w:shd w:val="clear" w:color="auto" w:fill="auto"/>
          </w:tcPr>
          <w:p w14:paraId="2218C42A"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lastRenderedPageBreak/>
              <w:t xml:space="preserve">Povećanje financijskih sredstava </w:t>
            </w:r>
          </w:p>
        </w:tc>
        <w:tc>
          <w:tcPr>
            <w:tcW w:w="938" w:type="pct"/>
            <w:shd w:val="clear" w:color="auto" w:fill="auto"/>
          </w:tcPr>
          <w:p w14:paraId="2B2A3B0D"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 xml:space="preserve">Povećanje financijskih sredstava radi poboljšanja preventivne i operativne djelatnosti članova Vatrogasne zajednice </w:t>
            </w:r>
          </w:p>
        </w:tc>
        <w:tc>
          <w:tcPr>
            <w:tcW w:w="1121" w:type="pct"/>
            <w:shd w:val="clear" w:color="auto" w:fill="auto"/>
          </w:tcPr>
          <w:p w14:paraId="0E28399E"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Povećanje/%</w:t>
            </w:r>
          </w:p>
        </w:tc>
        <w:tc>
          <w:tcPr>
            <w:tcW w:w="722" w:type="pct"/>
            <w:shd w:val="clear" w:color="auto" w:fill="auto"/>
          </w:tcPr>
          <w:p w14:paraId="38371859"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11,11</w:t>
            </w:r>
          </w:p>
        </w:tc>
        <w:tc>
          <w:tcPr>
            <w:tcW w:w="722" w:type="pct"/>
            <w:shd w:val="clear" w:color="auto" w:fill="auto"/>
          </w:tcPr>
          <w:p w14:paraId="34ADDFC8"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11,11</w:t>
            </w:r>
          </w:p>
        </w:tc>
        <w:tc>
          <w:tcPr>
            <w:tcW w:w="722" w:type="pct"/>
            <w:shd w:val="clear" w:color="auto" w:fill="auto"/>
          </w:tcPr>
          <w:p w14:paraId="0D6EC025"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100,00%</w:t>
            </w:r>
          </w:p>
        </w:tc>
      </w:tr>
    </w:tbl>
    <w:p w14:paraId="35D60DC0" w14:textId="77777777" w:rsidR="0081662F" w:rsidRPr="00D0532A" w:rsidRDefault="0081662F" w:rsidP="0081662F">
      <w:pPr>
        <w:spacing w:after="0" w:line="240" w:lineRule="auto"/>
        <w:jc w:val="both"/>
        <w:rPr>
          <w:rFonts w:ascii="Times New Roman" w:hAnsi="Times New Roman" w:cs="Times New Roman"/>
          <w:color w:val="FF0000"/>
          <w:lang w:eastAsia="hr-HR"/>
        </w:rPr>
      </w:pPr>
    </w:p>
    <w:p w14:paraId="6FDA554A" w14:textId="77777777" w:rsidR="0081662F" w:rsidRPr="00D0532A" w:rsidRDefault="0081662F" w:rsidP="0081662F">
      <w:pPr>
        <w:spacing w:after="0" w:line="240" w:lineRule="auto"/>
        <w:jc w:val="both"/>
        <w:rPr>
          <w:rFonts w:ascii="Times New Roman" w:hAnsi="Times New Roman" w:cs="Times New Roman"/>
          <w:b/>
          <w:bCs/>
          <w:lang w:eastAsia="hr-HR"/>
        </w:rPr>
      </w:pPr>
      <w:r w:rsidRPr="00D0532A">
        <w:rPr>
          <w:rFonts w:ascii="Times New Roman" w:hAnsi="Times New Roman" w:cs="Times New Roman"/>
          <w:b/>
          <w:bCs/>
          <w:lang w:eastAsia="hr-HR"/>
        </w:rPr>
        <w:t>1.2.2. Aktivnost A100503 Civilna zaštita i spašavanje</w:t>
      </w:r>
    </w:p>
    <w:p w14:paraId="2606F038" w14:textId="77777777" w:rsidR="0081662F" w:rsidRPr="00D0532A" w:rsidRDefault="0081662F" w:rsidP="0081662F">
      <w:pPr>
        <w:spacing w:after="0" w:line="240" w:lineRule="auto"/>
        <w:jc w:val="both"/>
        <w:rPr>
          <w:rFonts w:ascii="Times New Roman" w:hAnsi="Times New Roman" w:cs="Times New Roman"/>
          <w:lang w:eastAsia="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1693"/>
        <w:gridCol w:w="2012"/>
        <w:gridCol w:w="1308"/>
        <w:gridCol w:w="1308"/>
        <w:gridCol w:w="1308"/>
      </w:tblGrid>
      <w:tr w:rsidR="0081662F" w:rsidRPr="00D0532A" w14:paraId="4C36F926" w14:textId="77777777" w:rsidTr="00EB2357">
        <w:tc>
          <w:tcPr>
            <w:tcW w:w="789" w:type="pct"/>
            <w:shd w:val="clear" w:color="auto" w:fill="D1D1D1"/>
          </w:tcPr>
          <w:p w14:paraId="733A6364"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Pokazatelj rezultata</w:t>
            </w:r>
          </w:p>
        </w:tc>
        <w:tc>
          <w:tcPr>
            <w:tcW w:w="934" w:type="pct"/>
            <w:shd w:val="clear" w:color="auto" w:fill="D1D1D1"/>
          </w:tcPr>
          <w:p w14:paraId="2203E55F"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Definicija pokazatelja</w:t>
            </w:r>
          </w:p>
        </w:tc>
        <w:tc>
          <w:tcPr>
            <w:tcW w:w="1110" w:type="pct"/>
            <w:shd w:val="clear" w:color="auto" w:fill="D1D1D1"/>
          </w:tcPr>
          <w:p w14:paraId="0A8332AD"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jedinica</w:t>
            </w:r>
          </w:p>
        </w:tc>
        <w:tc>
          <w:tcPr>
            <w:tcW w:w="722" w:type="pct"/>
            <w:shd w:val="clear" w:color="auto" w:fill="D1D1D1"/>
          </w:tcPr>
          <w:p w14:paraId="663BBD0F"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Ciljana vrijednost</w:t>
            </w:r>
          </w:p>
          <w:p w14:paraId="1CD0DAB8"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2024.</w:t>
            </w:r>
          </w:p>
        </w:tc>
        <w:tc>
          <w:tcPr>
            <w:tcW w:w="722" w:type="pct"/>
            <w:shd w:val="clear" w:color="auto" w:fill="D1D1D1"/>
          </w:tcPr>
          <w:p w14:paraId="13637866"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Izvršeno</w:t>
            </w:r>
          </w:p>
        </w:tc>
        <w:tc>
          <w:tcPr>
            <w:tcW w:w="722" w:type="pct"/>
            <w:shd w:val="clear" w:color="auto" w:fill="D1D1D1"/>
          </w:tcPr>
          <w:p w14:paraId="6A0E9354"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Indeks</w:t>
            </w:r>
          </w:p>
        </w:tc>
      </w:tr>
      <w:tr w:rsidR="0081662F" w:rsidRPr="00D0532A" w14:paraId="04029132" w14:textId="77777777" w:rsidTr="00EB2357">
        <w:tc>
          <w:tcPr>
            <w:tcW w:w="789" w:type="pct"/>
            <w:shd w:val="clear" w:color="auto" w:fill="auto"/>
          </w:tcPr>
          <w:p w14:paraId="7400F567"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Održavanje broja financiranih potreba</w:t>
            </w:r>
          </w:p>
        </w:tc>
        <w:tc>
          <w:tcPr>
            <w:tcW w:w="934" w:type="pct"/>
            <w:shd w:val="clear" w:color="auto" w:fill="auto"/>
          </w:tcPr>
          <w:p w14:paraId="63D35F03"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Broj financiranih potreba za održavanje postojeće razine civilne zaštite i spašavanja</w:t>
            </w:r>
          </w:p>
        </w:tc>
        <w:tc>
          <w:tcPr>
            <w:tcW w:w="1110" w:type="pct"/>
            <w:shd w:val="clear" w:color="auto" w:fill="auto"/>
          </w:tcPr>
          <w:p w14:paraId="3EF0D3D3"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Broj financiranih potreba/kom</w:t>
            </w:r>
          </w:p>
        </w:tc>
        <w:tc>
          <w:tcPr>
            <w:tcW w:w="722" w:type="pct"/>
            <w:shd w:val="clear" w:color="auto" w:fill="auto"/>
          </w:tcPr>
          <w:p w14:paraId="37FB2869" w14:textId="77777777" w:rsidR="0081662F" w:rsidRPr="00D0532A" w:rsidRDefault="0081662F" w:rsidP="00EB2357">
            <w:pPr>
              <w:spacing w:after="0" w:line="240" w:lineRule="auto"/>
              <w:jc w:val="center"/>
              <w:rPr>
                <w:rFonts w:ascii="Times New Roman" w:eastAsia="Calibri" w:hAnsi="Times New Roman" w:cs="Times New Roman"/>
              </w:rPr>
            </w:pPr>
            <w:r w:rsidRPr="00D0532A">
              <w:rPr>
                <w:rFonts w:ascii="Times New Roman" w:eastAsia="Calibri" w:hAnsi="Times New Roman" w:cs="Times New Roman"/>
              </w:rPr>
              <w:t>0</w:t>
            </w:r>
          </w:p>
        </w:tc>
        <w:tc>
          <w:tcPr>
            <w:tcW w:w="722" w:type="pct"/>
            <w:shd w:val="clear" w:color="auto" w:fill="auto"/>
          </w:tcPr>
          <w:p w14:paraId="394A070E" w14:textId="77777777" w:rsidR="0081662F" w:rsidRPr="00D0532A" w:rsidRDefault="0081662F" w:rsidP="00EB2357">
            <w:pPr>
              <w:spacing w:after="0" w:line="240" w:lineRule="auto"/>
              <w:jc w:val="center"/>
              <w:rPr>
                <w:rFonts w:ascii="Times New Roman" w:eastAsia="Calibri" w:hAnsi="Times New Roman" w:cs="Times New Roman"/>
              </w:rPr>
            </w:pPr>
            <w:r w:rsidRPr="00D0532A">
              <w:rPr>
                <w:rFonts w:ascii="Times New Roman" w:eastAsia="Calibri" w:hAnsi="Times New Roman" w:cs="Times New Roman"/>
              </w:rPr>
              <w:t>0</w:t>
            </w:r>
          </w:p>
        </w:tc>
        <w:tc>
          <w:tcPr>
            <w:tcW w:w="722" w:type="pct"/>
            <w:shd w:val="clear" w:color="auto" w:fill="auto"/>
          </w:tcPr>
          <w:p w14:paraId="67FD85CA" w14:textId="77777777" w:rsidR="0081662F" w:rsidRPr="00D0532A" w:rsidRDefault="0081662F" w:rsidP="00EB2357">
            <w:pPr>
              <w:spacing w:after="0" w:line="240" w:lineRule="auto"/>
              <w:jc w:val="center"/>
              <w:rPr>
                <w:rFonts w:ascii="Times New Roman" w:eastAsia="Calibri" w:hAnsi="Times New Roman" w:cs="Times New Roman"/>
              </w:rPr>
            </w:pPr>
            <w:r w:rsidRPr="00D0532A">
              <w:rPr>
                <w:rFonts w:ascii="Times New Roman" w:eastAsia="Calibri" w:hAnsi="Times New Roman" w:cs="Times New Roman"/>
              </w:rPr>
              <w:t>0</w:t>
            </w:r>
          </w:p>
        </w:tc>
      </w:tr>
    </w:tbl>
    <w:p w14:paraId="7188D379" w14:textId="77777777" w:rsidR="0081662F" w:rsidRPr="00D0532A" w:rsidRDefault="0081662F" w:rsidP="0081662F">
      <w:pPr>
        <w:spacing w:after="0" w:line="240" w:lineRule="auto"/>
        <w:jc w:val="both"/>
        <w:rPr>
          <w:rFonts w:ascii="Times New Roman" w:eastAsia="Calibri" w:hAnsi="Times New Roman" w:cs="Times New Roman"/>
          <w:color w:val="FF0000"/>
        </w:rPr>
      </w:pPr>
    </w:p>
    <w:p w14:paraId="2925BE85" w14:textId="77777777" w:rsidR="0081662F" w:rsidRPr="00D0532A" w:rsidRDefault="0081662F" w:rsidP="003734CB">
      <w:pPr>
        <w:numPr>
          <w:ilvl w:val="1"/>
          <w:numId w:val="11"/>
        </w:numPr>
        <w:spacing w:after="0" w:line="240" w:lineRule="auto"/>
        <w:contextualSpacing/>
        <w:jc w:val="both"/>
        <w:rPr>
          <w:rFonts w:ascii="Times New Roman" w:eastAsia="Calibri" w:hAnsi="Times New Roman" w:cs="Times New Roman"/>
          <w:b/>
          <w:bCs/>
        </w:rPr>
      </w:pPr>
      <w:bookmarkStart w:id="1" w:name="_Hlk151904342"/>
      <w:r w:rsidRPr="00D0532A">
        <w:rPr>
          <w:rFonts w:ascii="Times New Roman" w:eastAsia="Calibri" w:hAnsi="Times New Roman" w:cs="Times New Roman"/>
          <w:b/>
          <w:bCs/>
        </w:rPr>
        <w:t xml:space="preserve"> Program 1006 Javne potrebe u kulturi</w:t>
      </w:r>
      <w:bookmarkEnd w:id="1"/>
    </w:p>
    <w:tbl>
      <w:tblPr>
        <w:tblpPr w:leftFromText="180" w:rightFromText="180" w:vertAnchor="text" w:horzAnchor="margin" w:tblpY="187"/>
        <w:tblW w:w="5000" w:type="pct"/>
        <w:tblLook w:val="04A0" w:firstRow="1" w:lastRow="0" w:firstColumn="1" w:lastColumn="0" w:noHBand="0" w:noVBand="1"/>
      </w:tblPr>
      <w:tblGrid>
        <w:gridCol w:w="1891"/>
        <w:gridCol w:w="3202"/>
        <w:gridCol w:w="1538"/>
        <w:gridCol w:w="1152"/>
        <w:gridCol w:w="1277"/>
      </w:tblGrid>
      <w:tr w:rsidR="0081662F" w:rsidRPr="00D0532A" w14:paraId="3D8CFDA0" w14:textId="77777777" w:rsidTr="00EB2357">
        <w:trPr>
          <w:trHeight w:val="564"/>
        </w:trPr>
        <w:tc>
          <w:tcPr>
            <w:tcW w:w="2810" w:type="pct"/>
            <w:gridSpan w:val="2"/>
            <w:tcBorders>
              <w:top w:val="single" w:sz="4" w:space="0" w:color="auto"/>
              <w:left w:val="single" w:sz="4" w:space="0" w:color="auto"/>
              <w:bottom w:val="single" w:sz="4" w:space="0" w:color="auto"/>
              <w:right w:val="single" w:sz="4" w:space="0" w:color="auto"/>
            </w:tcBorders>
            <w:shd w:val="clear" w:color="auto" w:fill="D9D9D9"/>
          </w:tcPr>
          <w:p w14:paraId="280ACE02"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Naziv programa/aktivnosti/projekta</w:t>
            </w:r>
          </w:p>
        </w:tc>
        <w:tc>
          <w:tcPr>
            <w:tcW w:w="849" w:type="pct"/>
            <w:tcBorders>
              <w:top w:val="single" w:sz="4" w:space="0" w:color="auto"/>
              <w:left w:val="nil"/>
              <w:bottom w:val="single" w:sz="4" w:space="0" w:color="auto"/>
              <w:right w:val="single" w:sz="4" w:space="0" w:color="auto"/>
            </w:tcBorders>
            <w:shd w:val="clear" w:color="auto" w:fill="D9D9D9"/>
            <w:vAlign w:val="center"/>
            <w:hideMark/>
          </w:tcPr>
          <w:p w14:paraId="418DE676"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Rebalans</w:t>
            </w:r>
          </w:p>
          <w:p w14:paraId="7BCF1E7F"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2024.</w:t>
            </w:r>
          </w:p>
        </w:tc>
        <w:tc>
          <w:tcPr>
            <w:tcW w:w="636" w:type="pct"/>
            <w:tcBorders>
              <w:top w:val="single" w:sz="4" w:space="0" w:color="auto"/>
              <w:left w:val="nil"/>
              <w:bottom w:val="single" w:sz="4" w:space="0" w:color="auto"/>
              <w:right w:val="single" w:sz="4" w:space="0" w:color="auto"/>
            </w:tcBorders>
            <w:shd w:val="clear" w:color="auto" w:fill="D9D9D9"/>
            <w:vAlign w:val="center"/>
            <w:hideMark/>
          </w:tcPr>
          <w:p w14:paraId="53D1E1FA"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Izvršenje</w:t>
            </w:r>
          </w:p>
          <w:p w14:paraId="35D706C4"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2024.</w:t>
            </w:r>
          </w:p>
        </w:tc>
        <w:tc>
          <w:tcPr>
            <w:tcW w:w="705" w:type="pct"/>
            <w:tcBorders>
              <w:top w:val="single" w:sz="4" w:space="0" w:color="auto"/>
              <w:left w:val="nil"/>
              <w:bottom w:val="single" w:sz="4" w:space="0" w:color="auto"/>
              <w:right w:val="single" w:sz="4" w:space="0" w:color="auto"/>
            </w:tcBorders>
            <w:shd w:val="clear" w:color="auto" w:fill="D9D9D9"/>
            <w:vAlign w:val="center"/>
          </w:tcPr>
          <w:p w14:paraId="152B69F8"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Indeks</w:t>
            </w:r>
          </w:p>
        </w:tc>
      </w:tr>
      <w:tr w:rsidR="0081662F" w:rsidRPr="00D0532A" w14:paraId="332F5E4F" w14:textId="77777777" w:rsidTr="00EB2357">
        <w:trPr>
          <w:trHeight w:val="269"/>
        </w:trPr>
        <w:tc>
          <w:tcPr>
            <w:tcW w:w="1043" w:type="pct"/>
            <w:tcBorders>
              <w:top w:val="single" w:sz="4" w:space="0" w:color="auto"/>
              <w:left w:val="single" w:sz="4" w:space="0" w:color="auto"/>
              <w:bottom w:val="single" w:sz="4" w:space="0" w:color="auto"/>
              <w:right w:val="single" w:sz="4" w:space="0" w:color="auto"/>
            </w:tcBorders>
            <w:shd w:val="clear" w:color="auto" w:fill="D9D9D9"/>
            <w:vAlign w:val="center"/>
          </w:tcPr>
          <w:p w14:paraId="64EAB53F"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Program 1006</w:t>
            </w:r>
          </w:p>
        </w:tc>
        <w:tc>
          <w:tcPr>
            <w:tcW w:w="1767" w:type="pct"/>
            <w:tcBorders>
              <w:top w:val="single" w:sz="4" w:space="0" w:color="auto"/>
              <w:left w:val="single" w:sz="4" w:space="0" w:color="auto"/>
              <w:bottom w:val="single" w:sz="4" w:space="0" w:color="auto"/>
              <w:right w:val="single" w:sz="4" w:space="0" w:color="auto"/>
            </w:tcBorders>
            <w:shd w:val="clear" w:color="auto" w:fill="D9D9D9"/>
            <w:vAlign w:val="center"/>
          </w:tcPr>
          <w:p w14:paraId="1B380EBA" w14:textId="77777777" w:rsidR="0081662F" w:rsidRPr="00D0532A" w:rsidRDefault="0081662F" w:rsidP="00EB2357">
            <w:pPr>
              <w:spacing w:after="0" w:line="240" w:lineRule="auto"/>
              <w:rPr>
                <w:rFonts w:ascii="Times New Roman" w:hAnsi="Times New Roman" w:cs="Times New Roman"/>
                <w:b/>
                <w:bCs/>
                <w:lang w:eastAsia="hr-HR"/>
              </w:rPr>
            </w:pPr>
            <w:r w:rsidRPr="00D0532A">
              <w:rPr>
                <w:rFonts w:ascii="Times New Roman" w:eastAsia="Calibri" w:hAnsi="Times New Roman" w:cs="Times New Roman"/>
                <w:b/>
                <w:bCs/>
              </w:rPr>
              <w:t>Javne potrebe u kulturi</w:t>
            </w:r>
          </w:p>
        </w:tc>
        <w:tc>
          <w:tcPr>
            <w:tcW w:w="849" w:type="pct"/>
            <w:tcBorders>
              <w:top w:val="nil"/>
              <w:left w:val="nil"/>
              <w:bottom w:val="single" w:sz="4" w:space="0" w:color="auto"/>
              <w:right w:val="single" w:sz="4" w:space="0" w:color="auto"/>
            </w:tcBorders>
            <w:shd w:val="clear" w:color="auto" w:fill="D9D9D9"/>
            <w:noWrap/>
            <w:vAlign w:val="center"/>
          </w:tcPr>
          <w:p w14:paraId="5099AB12" w14:textId="77777777" w:rsidR="0081662F" w:rsidRPr="00D0532A" w:rsidRDefault="0081662F" w:rsidP="00EB2357">
            <w:pPr>
              <w:spacing w:after="0" w:line="240" w:lineRule="auto"/>
              <w:ind w:right="36"/>
              <w:jc w:val="right"/>
              <w:rPr>
                <w:rFonts w:ascii="Times New Roman" w:hAnsi="Times New Roman" w:cs="Times New Roman"/>
                <w:b/>
                <w:bCs/>
                <w:lang w:eastAsia="hr-HR"/>
              </w:rPr>
            </w:pPr>
            <w:r w:rsidRPr="00D0532A">
              <w:rPr>
                <w:rFonts w:ascii="Times New Roman" w:eastAsia="Calibri" w:hAnsi="Times New Roman" w:cs="Times New Roman"/>
                <w:b/>
                <w:bCs/>
              </w:rPr>
              <w:t>24.900,00</w:t>
            </w:r>
          </w:p>
        </w:tc>
        <w:tc>
          <w:tcPr>
            <w:tcW w:w="636" w:type="pct"/>
            <w:tcBorders>
              <w:top w:val="nil"/>
              <w:left w:val="nil"/>
              <w:bottom w:val="single" w:sz="4" w:space="0" w:color="auto"/>
              <w:right w:val="single" w:sz="4" w:space="0" w:color="auto"/>
            </w:tcBorders>
            <w:shd w:val="clear" w:color="auto" w:fill="D9D9D9"/>
            <w:noWrap/>
            <w:vAlign w:val="center"/>
          </w:tcPr>
          <w:p w14:paraId="32449F8A" w14:textId="77777777" w:rsidR="0081662F" w:rsidRPr="00D0532A" w:rsidRDefault="0081662F" w:rsidP="00EB2357">
            <w:pPr>
              <w:spacing w:after="0" w:line="240" w:lineRule="auto"/>
              <w:ind w:right="36"/>
              <w:jc w:val="right"/>
              <w:rPr>
                <w:rFonts w:ascii="Times New Roman" w:hAnsi="Times New Roman" w:cs="Times New Roman"/>
                <w:b/>
                <w:bCs/>
                <w:lang w:eastAsia="hr-HR"/>
              </w:rPr>
            </w:pPr>
            <w:r w:rsidRPr="00D0532A">
              <w:rPr>
                <w:rFonts w:ascii="Times New Roman" w:eastAsia="Calibri" w:hAnsi="Times New Roman" w:cs="Times New Roman"/>
                <w:b/>
                <w:bCs/>
              </w:rPr>
              <w:t>22.300,00</w:t>
            </w:r>
          </w:p>
        </w:tc>
        <w:tc>
          <w:tcPr>
            <w:tcW w:w="705" w:type="pct"/>
            <w:tcBorders>
              <w:top w:val="nil"/>
              <w:left w:val="nil"/>
              <w:bottom w:val="single" w:sz="4" w:space="0" w:color="auto"/>
              <w:right w:val="single" w:sz="4" w:space="0" w:color="auto"/>
            </w:tcBorders>
            <w:shd w:val="clear" w:color="auto" w:fill="D9D9D9"/>
            <w:vAlign w:val="center"/>
          </w:tcPr>
          <w:p w14:paraId="0DA94E59" w14:textId="77777777" w:rsidR="0081662F" w:rsidRPr="00D0532A" w:rsidRDefault="0081662F" w:rsidP="00EB2357">
            <w:pPr>
              <w:spacing w:after="0" w:line="240" w:lineRule="auto"/>
              <w:ind w:right="36"/>
              <w:jc w:val="right"/>
              <w:rPr>
                <w:rFonts w:ascii="Times New Roman" w:hAnsi="Times New Roman" w:cs="Times New Roman"/>
                <w:b/>
                <w:bCs/>
                <w:lang w:eastAsia="hr-HR"/>
              </w:rPr>
            </w:pPr>
            <w:r w:rsidRPr="00D0532A">
              <w:rPr>
                <w:rFonts w:ascii="Times New Roman" w:eastAsia="Calibri" w:hAnsi="Times New Roman" w:cs="Times New Roman"/>
                <w:b/>
                <w:bCs/>
              </w:rPr>
              <w:t>89,56%</w:t>
            </w:r>
          </w:p>
        </w:tc>
      </w:tr>
      <w:tr w:rsidR="0081662F" w:rsidRPr="00D0532A" w14:paraId="4637905F" w14:textId="77777777" w:rsidTr="00EB2357">
        <w:trPr>
          <w:trHeight w:val="269"/>
        </w:trPr>
        <w:tc>
          <w:tcPr>
            <w:tcW w:w="1043" w:type="pct"/>
            <w:tcBorders>
              <w:top w:val="single" w:sz="4" w:space="0" w:color="auto"/>
              <w:left w:val="single" w:sz="4" w:space="0" w:color="auto"/>
              <w:bottom w:val="single" w:sz="4" w:space="0" w:color="auto"/>
              <w:right w:val="single" w:sz="4" w:space="0" w:color="auto"/>
            </w:tcBorders>
            <w:vAlign w:val="center"/>
          </w:tcPr>
          <w:p w14:paraId="3B41DC75"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Aktivnost A100604</w:t>
            </w:r>
          </w:p>
        </w:tc>
        <w:tc>
          <w:tcPr>
            <w:tcW w:w="1767" w:type="pct"/>
            <w:tcBorders>
              <w:top w:val="single" w:sz="4" w:space="0" w:color="auto"/>
              <w:left w:val="single" w:sz="4" w:space="0" w:color="auto"/>
              <w:bottom w:val="single" w:sz="4" w:space="0" w:color="auto"/>
              <w:right w:val="single" w:sz="4" w:space="0" w:color="auto"/>
            </w:tcBorders>
            <w:shd w:val="clear" w:color="auto" w:fill="auto"/>
            <w:vAlign w:val="center"/>
          </w:tcPr>
          <w:p w14:paraId="68B35396" w14:textId="77777777" w:rsidR="0081662F" w:rsidRPr="00D0532A" w:rsidRDefault="0081662F" w:rsidP="00EB2357">
            <w:pPr>
              <w:spacing w:after="0" w:line="240" w:lineRule="auto"/>
              <w:rPr>
                <w:rFonts w:ascii="Times New Roman" w:hAnsi="Times New Roman" w:cs="Times New Roman"/>
                <w:lang w:eastAsia="hr-HR"/>
              </w:rPr>
            </w:pPr>
            <w:r w:rsidRPr="00D0532A">
              <w:rPr>
                <w:rFonts w:ascii="Times New Roman" w:eastAsia="Calibri" w:hAnsi="Times New Roman" w:cs="Times New Roman"/>
              </w:rPr>
              <w:t>Poticanje kulturno-umjetničkog amaterizma</w:t>
            </w:r>
          </w:p>
        </w:tc>
        <w:tc>
          <w:tcPr>
            <w:tcW w:w="849" w:type="pct"/>
            <w:tcBorders>
              <w:top w:val="nil"/>
              <w:left w:val="nil"/>
              <w:bottom w:val="single" w:sz="4" w:space="0" w:color="auto"/>
              <w:right w:val="single" w:sz="4" w:space="0" w:color="auto"/>
            </w:tcBorders>
            <w:shd w:val="clear" w:color="auto" w:fill="auto"/>
            <w:noWrap/>
            <w:vAlign w:val="center"/>
          </w:tcPr>
          <w:p w14:paraId="429A8E97" w14:textId="77777777" w:rsidR="0081662F" w:rsidRPr="00D0532A" w:rsidRDefault="0081662F" w:rsidP="00EB2357">
            <w:pPr>
              <w:spacing w:after="0" w:line="240" w:lineRule="auto"/>
              <w:ind w:right="36"/>
              <w:jc w:val="right"/>
              <w:rPr>
                <w:rFonts w:ascii="Times New Roman" w:hAnsi="Times New Roman" w:cs="Times New Roman"/>
                <w:lang w:eastAsia="hr-HR"/>
              </w:rPr>
            </w:pPr>
            <w:r w:rsidRPr="00D0532A">
              <w:rPr>
                <w:rFonts w:ascii="Times New Roman" w:eastAsia="Calibri" w:hAnsi="Times New Roman" w:cs="Times New Roman"/>
              </w:rPr>
              <w:t>12.600,00</w:t>
            </w:r>
          </w:p>
        </w:tc>
        <w:tc>
          <w:tcPr>
            <w:tcW w:w="636" w:type="pct"/>
            <w:tcBorders>
              <w:top w:val="nil"/>
              <w:left w:val="nil"/>
              <w:bottom w:val="single" w:sz="4" w:space="0" w:color="auto"/>
              <w:right w:val="single" w:sz="4" w:space="0" w:color="auto"/>
            </w:tcBorders>
            <w:shd w:val="clear" w:color="auto" w:fill="auto"/>
            <w:noWrap/>
            <w:vAlign w:val="center"/>
          </w:tcPr>
          <w:p w14:paraId="3E5CFC50" w14:textId="77777777" w:rsidR="0081662F" w:rsidRPr="00D0532A" w:rsidRDefault="0081662F" w:rsidP="00EB2357">
            <w:pPr>
              <w:spacing w:after="0" w:line="240" w:lineRule="auto"/>
              <w:ind w:right="36"/>
              <w:jc w:val="right"/>
              <w:rPr>
                <w:rFonts w:ascii="Times New Roman" w:hAnsi="Times New Roman" w:cs="Times New Roman"/>
                <w:lang w:eastAsia="hr-HR"/>
              </w:rPr>
            </w:pPr>
            <w:r w:rsidRPr="00D0532A">
              <w:rPr>
                <w:rFonts w:ascii="Times New Roman" w:eastAsia="Calibri" w:hAnsi="Times New Roman" w:cs="Times New Roman"/>
              </w:rPr>
              <w:t>10.700,00</w:t>
            </w:r>
          </w:p>
        </w:tc>
        <w:tc>
          <w:tcPr>
            <w:tcW w:w="705" w:type="pct"/>
            <w:tcBorders>
              <w:top w:val="nil"/>
              <w:left w:val="nil"/>
              <w:bottom w:val="single" w:sz="4" w:space="0" w:color="auto"/>
              <w:right w:val="single" w:sz="4" w:space="0" w:color="auto"/>
            </w:tcBorders>
            <w:vAlign w:val="center"/>
          </w:tcPr>
          <w:p w14:paraId="10487184" w14:textId="77777777" w:rsidR="0081662F" w:rsidRPr="00D0532A" w:rsidRDefault="0081662F" w:rsidP="00EB2357">
            <w:pPr>
              <w:spacing w:after="0" w:line="240" w:lineRule="auto"/>
              <w:ind w:right="36"/>
              <w:jc w:val="right"/>
              <w:rPr>
                <w:rFonts w:ascii="Times New Roman" w:hAnsi="Times New Roman" w:cs="Times New Roman"/>
                <w:lang w:eastAsia="hr-HR"/>
              </w:rPr>
            </w:pPr>
            <w:r w:rsidRPr="00D0532A">
              <w:rPr>
                <w:rFonts w:ascii="Times New Roman" w:eastAsia="Calibri" w:hAnsi="Times New Roman" w:cs="Times New Roman"/>
              </w:rPr>
              <w:t>84,92%</w:t>
            </w:r>
          </w:p>
        </w:tc>
      </w:tr>
      <w:tr w:rsidR="0081662F" w:rsidRPr="00D0532A" w14:paraId="25D64B5D" w14:textId="77777777" w:rsidTr="00EB2357">
        <w:trPr>
          <w:trHeight w:val="269"/>
        </w:trPr>
        <w:tc>
          <w:tcPr>
            <w:tcW w:w="1043" w:type="pct"/>
            <w:tcBorders>
              <w:top w:val="single" w:sz="4" w:space="0" w:color="auto"/>
              <w:left w:val="single" w:sz="4" w:space="0" w:color="auto"/>
              <w:bottom w:val="single" w:sz="4" w:space="0" w:color="auto"/>
              <w:right w:val="single" w:sz="4" w:space="0" w:color="auto"/>
            </w:tcBorders>
            <w:vAlign w:val="center"/>
          </w:tcPr>
          <w:p w14:paraId="5CAA67EC"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Aktivnost A100605</w:t>
            </w:r>
          </w:p>
        </w:tc>
        <w:tc>
          <w:tcPr>
            <w:tcW w:w="1767" w:type="pct"/>
            <w:tcBorders>
              <w:top w:val="single" w:sz="4" w:space="0" w:color="auto"/>
              <w:left w:val="single" w:sz="4" w:space="0" w:color="auto"/>
              <w:bottom w:val="single" w:sz="4" w:space="0" w:color="auto"/>
              <w:right w:val="single" w:sz="4" w:space="0" w:color="auto"/>
            </w:tcBorders>
            <w:shd w:val="clear" w:color="auto" w:fill="auto"/>
            <w:vAlign w:val="center"/>
          </w:tcPr>
          <w:p w14:paraId="1061B9A8" w14:textId="77777777" w:rsidR="0081662F" w:rsidRPr="00D0532A" w:rsidRDefault="0081662F" w:rsidP="00EB2357">
            <w:pPr>
              <w:spacing w:after="0" w:line="240" w:lineRule="auto"/>
              <w:rPr>
                <w:rFonts w:ascii="Times New Roman" w:hAnsi="Times New Roman" w:cs="Times New Roman"/>
                <w:lang w:eastAsia="hr-HR"/>
              </w:rPr>
            </w:pPr>
            <w:r w:rsidRPr="00D0532A">
              <w:rPr>
                <w:rFonts w:ascii="Times New Roman" w:eastAsia="Calibri" w:hAnsi="Times New Roman" w:cs="Times New Roman"/>
              </w:rPr>
              <w:t>Poticanje održavanja manifestacija u kulturi</w:t>
            </w:r>
          </w:p>
        </w:tc>
        <w:tc>
          <w:tcPr>
            <w:tcW w:w="849" w:type="pct"/>
            <w:tcBorders>
              <w:top w:val="nil"/>
              <w:left w:val="nil"/>
              <w:bottom w:val="single" w:sz="4" w:space="0" w:color="auto"/>
              <w:right w:val="single" w:sz="4" w:space="0" w:color="auto"/>
            </w:tcBorders>
            <w:shd w:val="clear" w:color="auto" w:fill="auto"/>
            <w:noWrap/>
            <w:vAlign w:val="center"/>
          </w:tcPr>
          <w:p w14:paraId="101C0B3F" w14:textId="77777777" w:rsidR="0081662F" w:rsidRPr="00D0532A" w:rsidRDefault="0081662F" w:rsidP="00EB2357">
            <w:pPr>
              <w:spacing w:after="0" w:line="240" w:lineRule="auto"/>
              <w:ind w:right="36"/>
              <w:jc w:val="right"/>
              <w:rPr>
                <w:rFonts w:ascii="Times New Roman" w:hAnsi="Times New Roman" w:cs="Times New Roman"/>
                <w:lang w:eastAsia="hr-HR"/>
              </w:rPr>
            </w:pPr>
            <w:r w:rsidRPr="00D0532A">
              <w:rPr>
                <w:rFonts w:ascii="Times New Roman" w:eastAsia="Calibri" w:hAnsi="Times New Roman" w:cs="Times New Roman"/>
              </w:rPr>
              <w:t>12.300,00</w:t>
            </w:r>
          </w:p>
        </w:tc>
        <w:tc>
          <w:tcPr>
            <w:tcW w:w="636" w:type="pct"/>
            <w:tcBorders>
              <w:top w:val="nil"/>
              <w:left w:val="nil"/>
              <w:bottom w:val="single" w:sz="4" w:space="0" w:color="auto"/>
              <w:right w:val="single" w:sz="4" w:space="0" w:color="auto"/>
            </w:tcBorders>
            <w:shd w:val="clear" w:color="auto" w:fill="auto"/>
            <w:noWrap/>
            <w:vAlign w:val="center"/>
          </w:tcPr>
          <w:p w14:paraId="1EE81F9E" w14:textId="77777777" w:rsidR="0081662F" w:rsidRPr="00D0532A" w:rsidRDefault="0081662F" w:rsidP="00EB2357">
            <w:pPr>
              <w:spacing w:after="0" w:line="240" w:lineRule="auto"/>
              <w:ind w:right="36"/>
              <w:jc w:val="right"/>
              <w:rPr>
                <w:rFonts w:ascii="Times New Roman" w:hAnsi="Times New Roman" w:cs="Times New Roman"/>
                <w:lang w:eastAsia="hr-HR"/>
              </w:rPr>
            </w:pPr>
            <w:r w:rsidRPr="00D0532A">
              <w:rPr>
                <w:rFonts w:ascii="Times New Roman" w:eastAsia="Calibri" w:hAnsi="Times New Roman" w:cs="Times New Roman"/>
              </w:rPr>
              <w:t>11.600,00</w:t>
            </w:r>
          </w:p>
        </w:tc>
        <w:tc>
          <w:tcPr>
            <w:tcW w:w="705" w:type="pct"/>
            <w:tcBorders>
              <w:top w:val="nil"/>
              <w:left w:val="nil"/>
              <w:bottom w:val="single" w:sz="4" w:space="0" w:color="auto"/>
              <w:right w:val="single" w:sz="4" w:space="0" w:color="auto"/>
            </w:tcBorders>
            <w:vAlign w:val="center"/>
          </w:tcPr>
          <w:p w14:paraId="4A11BEEC" w14:textId="77777777" w:rsidR="0081662F" w:rsidRPr="00D0532A" w:rsidRDefault="0081662F" w:rsidP="00EB2357">
            <w:pPr>
              <w:spacing w:after="0" w:line="240" w:lineRule="auto"/>
              <w:ind w:right="36"/>
              <w:jc w:val="right"/>
              <w:rPr>
                <w:rFonts w:ascii="Times New Roman" w:hAnsi="Times New Roman" w:cs="Times New Roman"/>
                <w:lang w:eastAsia="hr-HR"/>
              </w:rPr>
            </w:pPr>
            <w:r w:rsidRPr="00D0532A">
              <w:rPr>
                <w:rFonts w:ascii="Times New Roman" w:eastAsia="Calibri" w:hAnsi="Times New Roman" w:cs="Times New Roman"/>
              </w:rPr>
              <w:t>94,31%</w:t>
            </w:r>
          </w:p>
        </w:tc>
      </w:tr>
    </w:tbl>
    <w:p w14:paraId="2915EA48" w14:textId="77777777" w:rsidR="0081662F" w:rsidRPr="00D0532A" w:rsidRDefault="0081662F" w:rsidP="0081662F">
      <w:pPr>
        <w:spacing w:after="0" w:line="240" w:lineRule="auto"/>
        <w:jc w:val="both"/>
        <w:rPr>
          <w:rFonts w:ascii="Times New Roman" w:eastAsia="Calibri" w:hAnsi="Times New Roman" w:cs="Times New Roman"/>
          <w:color w:val="FF0000"/>
        </w:rPr>
      </w:pPr>
    </w:p>
    <w:p w14:paraId="48C9882C" w14:textId="77777777" w:rsidR="0081662F" w:rsidRPr="00D0532A" w:rsidRDefault="0081662F" w:rsidP="003734CB">
      <w:pPr>
        <w:numPr>
          <w:ilvl w:val="2"/>
          <w:numId w:val="11"/>
        </w:numPr>
        <w:spacing w:after="0" w:line="240" w:lineRule="auto"/>
        <w:contextualSpacing/>
        <w:jc w:val="both"/>
        <w:rPr>
          <w:rFonts w:ascii="Times New Roman" w:eastAsia="Calibri" w:hAnsi="Times New Roman" w:cs="Times New Roman"/>
          <w:b/>
          <w:bCs/>
        </w:rPr>
      </w:pPr>
      <w:r w:rsidRPr="00D0532A">
        <w:rPr>
          <w:rFonts w:ascii="Times New Roman" w:eastAsia="Calibri" w:hAnsi="Times New Roman" w:cs="Times New Roman"/>
          <w:b/>
          <w:bCs/>
        </w:rPr>
        <w:t>Aktivnost A100604 Poticanje kulturno – umjetničkog amaterizma</w:t>
      </w:r>
    </w:p>
    <w:p w14:paraId="7679ECC7" w14:textId="77777777" w:rsidR="0081662F" w:rsidRPr="00D0532A" w:rsidRDefault="0081662F" w:rsidP="0081662F">
      <w:pPr>
        <w:spacing w:after="0" w:line="240" w:lineRule="auto"/>
        <w:jc w:val="both"/>
        <w:rPr>
          <w:rFonts w:ascii="Times New Roman" w:hAnsi="Times New Roman" w:cs="Times New Roman"/>
          <w:lang w:eastAsia="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1647"/>
        <w:gridCol w:w="1979"/>
        <w:gridCol w:w="1276"/>
        <w:gridCol w:w="1276"/>
        <w:gridCol w:w="1274"/>
      </w:tblGrid>
      <w:tr w:rsidR="0081662F" w:rsidRPr="00D0532A" w14:paraId="23F753DE" w14:textId="77777777" w:rsidTr="00EB2357">
        <w:tc>
          <w:tcPr>
            <w:tcW w:w="888" w:type="pct"/>
            <w:shd w:val="clear" w:color="auto" w:fill="D1D1D1"/>
          </w:tcPr>
          <w:p w14:paraId="3E7D849B"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Pokazatelj rezultata</w:t>
            </w:r>
          </w:p>
        </w:tc>
        <w:tc>
          <w:tcPr>
            <w:tcW w:w="909" w:type="pct"/>
            <w:shd w:val="clear" w:color="auto" w:fill="D1D1D1"/>
          </w:tcPr>
          <w:p w14:paraId="705500F4"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Definicija pokazatelja</w:t>
            </w:r>
          </w:p>
        </w:tc>
        <w:tc>
          <w:tcPr>
            <w:tcW w:w="1092" w:type="pct"/>
            <w:shd w:val="clear" w:color="auto" w:fill="D1D1D1"/>
          </w:tcPr>
          <w:p w14:paraId="081277E5"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jedinica</w:t>
            </w:r>
          </w:p>
        </w:tc>
        <w:tc>
          <w:tcPr>
            <w:tcW w:w="704" w:type="pct"/>
            <w:shd w:val="clear" w:color="auto" w:fill="D1D1D1"/>
          </w:tcPr>
          <w:p w14:paraId="478E4B5B"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Ciljana vrijednost</w:t>
            </w:r>
          </w:p>
          <w:p w14:paraId="38EDC09E"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2024.</w:t>
            </w:r>
          </w:p>
        </w:tc>
        <w:tc>
          <w:tcPr>
            <w:tcW w:w="704" w:type="pct"/>
            <w:shd w:val="clear" w:color="auto" w:fill="D1D1D1"/>
          </w:tcPr>
          <w:p w14:paraId="14035015"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Izvršeno</w:t>
            </w:r>
          </w:p>
        </w:tc>
        <w:tc>
          <w:tcPr>
            <w:tcW w:w="704" w:type="pct"/>
            <w:shd w:val="clear" w:color="auto" w:fill="D1D1D1"/>
          </w:tcPr>
          <w:p w14:paraId="5E23F192"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Indeks</w:t>
            </w:r>
          </w:p>
        </w:tc>
      </w:tr>
      <w:tr w:rsidR="0081662F" w:rsidRPr="00D0532A" w14:paraId="7FB395A1" w14:textId="77777777" w:rsidTr="00EB2357">
        <w:tc>
          <w:tcPr>
            <w:tcW w:w="888" w:type="pct"/>
            <w:shd w:val="clear" w:color="auto" w:fill="auto"/>
          </w:tcPr>
          <w:p w14:paraId="62593FB7"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Održavanje broja sufinanciranih projekata</w:t>
            </w:r>
          </w:p>
        </w:tc>
        <w:tc>
          <w:tcPr>
            <w:tcW w:w="909" w:type="pct"/>
            <w:shd w:val="clear" w:color="auto" w:fill="auto"/>
          </w:tcPr>
          <w:p w14:paraId="14EE480B"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Broj projekata kulturno – umjetničkog amaterizma</w:t>
            </w:r>
          </w:p>
        </w:tc>
        <w:tc>
          <w:tcPr>
            <w:tcW w:w="1092" w:type="pct"/>
            <w:shd w:val="clear" w:color="auto" w:fill="auto"/>
          </w:tcPr>
          <w:p w14:paraId="144E8B71"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Broj projekata/kom</w:t>
            </w:r>
          </w:p>
        </w:tc>
        <w:tc>
          <w:tcPr>
            <w:tcW w:w="704" w:type="pct"/>
            <w:shd w:val="clear" w:color="auto" w:fill="auto"/>
          </w:tcPr>
          <w:p w14:paraId="24481F6E"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9</w:t>
            </w:r>
          </w:p>
        </w:tc>
        <w:tc>
          <w:tcPr>
            <w:tcW w:w="704" w:type="pct"/>
            <w:shd w:val="clear" w:color="auto" w:fill="auto"/>
          </w:tcPr>
          <w:p w14:paraId="7DEA8D55"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11</w:t>
            </w:r>
          </w:p>
        </w:tc>
        <w:tc>
          <w:tcPr>
            <w:tcW w:w="704" w:type="pct"/>
            <w:shd w:val="clear" w:color="auto" w:fill="auto"/>
          </w:tcPr>
          <w:p w14:paraId="2A3CF5EF"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122,22%</w:t>
            </w:r>
          </w:p>
        </w:tc>
      </w:tr>
    </w:tbl>
    <w:p w14:paraId="27805074" w14:textId="77777777" w:rsidR="0081662F" w:rsidRPr="00D0532A" w:rsidRDefault="0081662F" w:rsidP="0081662F">
      <w:pPr>
        <w:spacing w:after="0" w:line="240" w:lineRule="auto"/>
        <w:jc w:val="both"/>
        <w:rPr>
          <w:rFonts w:ascii="Times New Roman" w:eastAsia="Calibri" w:hAnsi="Times New Roman" w:cs="Times New Roman"/>
          <w:color w:val="FF0000"/>
        </w:rPr>
      </w:pPr>
    </w:p>
    <w:p w14:paraId="009B3B80" w14:textId="77777777" w:rsidR="0081662F" w:rsidRPr="00D0532A" w:rsidRDefault="0081662F" w:rsidP="003734CB">
      <w:pPr>
        <w:numPr>
          <w:ilvl w:val="2"/>
          <w:numId w:val="11"/>
        </w:numPr>
        <w:spacing w:after="0" w:line="240" w:lineRule="auto"/>
        <w:contextualSpacing/>
        <w:jc w:val="both"/>
        <w:rPr>
          <w:rFonts w:ascii="Times New Roman" w:eastAsia="Calibri" w:hAnsi="Times New Roman" w:cs="Times New Roman"/>
          <w:b/>
          <w:bCs/>
        </w:rPr>
      </w:pPr>
      <w:r w:rsidRPr="00D0532A">
        <w:rPr>
          <w:rFonts w:ascii="Times New Roman" w:eastAsia="Calibri" w:hAnsi="Times New Roman" w:cs="Times New Roman"/>
          <w:b/>
          <w:bCs/>
        </w:rPr>
        <w:t>Aktivnost A100605 Poticanje održavanja manifestacija u kulturi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1639"/>
        <w:gridCol w:w="1847"/>
        <w:gridCol w:w="1308"/>
        <w:gridCol w:w="1308"/>
        <w:gridCol w:w="1308"/>
      </w:tblGrid>
      <w:tr w:rsidR="0081662F" w:rsidRPr="00D0532A" w14:paraId="6AA34055" w14:textId="77777777" w:rsidTr="00EB2357">
        <w:tc>
          <w:tcPr>
            <w:tcW w:w="910" w:type="pct"/>
            <w:shd w:val="clear" w:color="auto" w:fill="D1D1D1"/>
          </w:tcPr>
          <w:p w14:paraId="5E464A4E" w14:textId="77777777" w:rsidR="0081662F" w:rsidRPr="00D0532A" w:rsidRDefault="0081662F" w:rsidP="00EB2357">
            <w:pPr>
              <w:spacing w:after="0" w:line="240" w:lineRule="auto"/>
              <w:rPr>
                <w:rFonts w:ascii="Times New Roman" w:eastAsia="Calibri" w:hAnsi="Times New Roman" w:cs="Times New Roman"/>
                <w:b/>
                <w:bCs/>
              </w:rPr>
            </w:pPr>
            <w:bookmarkStart w:id="2" w:name="_Hlk151905002"/>
            <w:r w:rsidRPr="00D0532A">
              <w:rPr>
                <w:rFonts w:ascii="Times New Roman" w:eastAsia="Calibri" w:hAnsi="Times New Roman" w:cs="Times New Roman"/>
                <w:b/>
                <w:bCs/>
              </w:rPr>
              <w:t>Pokazatelj rezultata</w:t>
            </w:r>
          </w:p>
        </w:tc>
        <w:tc>
          <w:tcPr>
            <w:tcW w:w="904" w:type="pct"/>
            <w:shd w:val="clear" w:color="auto" w:fill="D1D1D1"/>
          </w:tcPr>
          <w:p w14:paraId="499D8401"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Definicija pokazatelja</w:t>
            </w:r>
          </w:p>
        </w:tc>
        <w:tc>
          <w:tcPr>
            <w:tcW w:w="1019" w:type="pct"/>
            <w:shd w:val="clear" w:color="auto" w:fill="D1D1D1"/>
          </w:tcPr>
          <w:p w14:paraId="3ADDEE5C"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jedinica</w:t>
            </w:r>
          </w:p>
        </w:tc>
        <w:tc>
          <w:tcPr>
            <w:tcW w:w="722" w:type="pct"/>
            <w:shd w:val="clear" w:color="auto" w:fill="D1D1D1"/>
          </w:tcPr>
          <w:p w14:paraId="6F0E0AA6"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Ciljana vrijednost</w:t>
            </w:r>
          </w:p>
          <w:p w14:paraId="08BB6A3C"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2024.</w:t>
            </w:r>
          </w:p>
        </w:tc>
        <w:tc>
          <w:tcPr>
            <w:tcW w:w="722" w:type="pct"/>
            <w:shd w:val="clear" w:color="auto" w:fill="D1D1D1"/>
          </w:tcPr>
          <w:p w14:paraId="18E730E1"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Izvršeno</w:t>
            </w:r>
          </w:p>
        </w:tc>
        <w:tc>
          <w:tcPr>
            <w:tcW w:w="722" w:type="pct"/>
            <w:shd w:val="clear" w:color="auto" w:fill="D1D1D1"/>
          </w:tcPr>
          <w:p w14:paraId="784ADA3D"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Indeks</w:t>
            </w:r>
          </w:p>
        </w:tc>
      </w:tr>
      <w:tr w:rsidR="0081662F" w:rsidRPr="00D0532A" w14:paraId="0AA53520" w14:textId="77777777" w:rsidTr="00EB2357">
        <w:tc>
          <w:tcPr>
            <w:tcW w:w="910" w:type="pct"/>
            <w:shd w:val="clear" w:color="auto" w:fill="auto"/>
          </w:tcPr>
          <w:p w14:paraId="13E7E58F"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Održavanje broja sufinanciranih</w:t>
            </w:r>
          </w:p>
          <w:p w14:paraId="425E48E9"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manifestacija</w:t>
            </w:r>
          </w:p>
        </w:tc>
        <w:tc>
          <w:tcPr>
            <w:tcW w:w="904" w:type="pct"/>
            <w:shd w:val="clear" w:color="auto" w:fill="auto"/>
          </w:tcPr>
          <w:p w14:paraId="361FE1B2"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Broj manifestacija u kulturi</w:t>
            </w:r>
          </w:p>
        </w:tc>
        <w:tc>
          <w:tcPr>
            <w:tcW w:w="1019" w:type="pct"/>
            <w:shd w:val="clear" w:color="auto" w:fill="auto"/>
          </w:tcPr>
          <w:p w14:paraId="00223559"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Broj manifestacija/</w:t>
            </w:r>
          </w:p>
          <w:p w14:paraId="3B6535FA"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kom</w:t>
            </w:r>
          </w:p>
        </w:tc>
        <w:tc>
          <w:tcPr>
            <w:tcW w:w="722" w:type="pct"/>
            <w:shd w:val="clear" w:color="auto" w:fill="auto"/>
          </w:tcPr>
          <w:p w14:paraId="34D49CD3"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10</w:t>
            </w:r>
          </w:p>
        </w:tc>
        <w:tc>
          <w:tcPr>
            <w:tcW w:w="722" w:type="pct"/>
            <w:shd w:val="clear" w:color="auto" w:fill="auto"/>
          </w:tcPr>
          <w:p w14:paraId="5B912D2F"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7</w:t>
            </w:r>
          </w:p>
        </w:tc>
        <w:tc>
          <w:tcPr>
            <w:tcW w:w="722" w:type="pct"/>
            <w:shd w:val="clear" w:color="auto" w:fill="auto"/>
          </w:tcPr>
          <w:p w14:paraId="6B7F3871"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70%</w:t>
            </w:r>
          </w:p>
        </w:tc>
      </w:tr>
      <w:bookmarkEnd w:id="2"/>
    </w:tbl>
    <w:p w14:paraId="7EF3B9A7" w14:textId="77777777" w:rsidR="0081662F" w:rsidRPr="00D0532A" w:rsidRDefault="0081662F" w:rsidP="0081662F">
      <w:pPr>
        <w:spacing w:after="0" w:line="240" w:lineRule="auto"/>
        <w:rPr>
          <w:rFonts w:ascii="Times New Roman" w:eastAsia="Calibri" w:hAnsi="Times New Roman" w:cs="Times New Roman"/>
          <w:color w:val="FF0000"/>
        </w:rPr>
      </w:pPr>
    </w:p>
    <w:p w14:paraId="6726423D" w14:textId="77777777" w:rsidR="0081662F" w:rsidRPr="00D0532A" w:rsidRDefault="0081662F" w:rsidP="003734CB">
      <w:pPr>
        <w:numPr>
          <w:ilvl w:val="1"/>
          <w:numId w:val="11"/>
        </w:numPr>
        <w:spacing w:after="0" w:line="240" w:lineRule="auto"/>
        <w:contextualSpacing/>
        <w:rPr>
          <w:rFonts w:ascii="Times New Roman" w:eastAsia="Calibri" w:hAnsi="Times New Roman" w:cs="Times New Roman"/>
          <w:b/>
          <w:bCs/>
        </w:rPr>
      </w:pPr>
      <w:r w:rsidRPr="00D0532A">
        <w:rPr>
          <w:rFonts w:ascii="Times New Roman" w:eastAsia="Calibri" w:hAnsi="Times New Roman" w:cs="Times New Roman"/>
          <w:b/>
          <w:bCs/>
        </w:rPr>
        <w:t>Program 1007 Javne potrebe u tehničkoj kulturi</w:t>
      </w:r>
    </w:p>
    <w:tbl>
      <w:tblPr>
        <w:tblpPr w:leftFromText="180" w:rightFromText="180" w:vertAnchor="text" w:horzAnchor="margin" w:tblpY="187"/>
        <w:tblW w:w="5000" w:type="pct"/>
        <w:tblLook w:val="04A0" w:firstRow="1" w:lastRow="0" w:firstColumn="1" w:lastColumn="0" w:noHBand="0" w:noVBand="1"/>
      </w:tblPr>
      <w:tblGrid>
        <w:gridCol w:w="1891"/>
        <w:gridCol w:w="3332"/>
        <w:gridCol w:w="1408"/>
        <w:gridCol w:w="1152"/>
        <w:gridCol w:w="1277"/>
      </w:tblGrid>
      <w:tr w:rsidR="0081662F" w:rsidRPr="00D0532A" w14:paraId="7BF2DE26" w14:textId="77777777" w:rsidTr="00EB2357">
        <w:trPr>
          <w:trHeight w:val="564"/>
        </w:trPr>
        <w:tc>
          <w:tcPr>
            <w:tcW w:w="2882" w:type="pct"/>
            <w:gridSpan w:val="2"/>
            <w:tcBorders>
              <w:top w:val="single" w:sz="4" w:space="0" w:color="auto"/>
              <w:left w:val="single" w:sz="4" w:space="0" w:color="auto"/>
              <w:bottom w:val="single" w:sz="4" w:space="0" w:color="auto"/>
              <w:right w:val="single" w:sz="4" w:space="0" w:color="auto"/>
            </w:tcBorders>
            <w:shd w:val="clear" w:color="auto" w:fill="D9D9D9"/>
          </w:tcPr>
          <w:p w14:paraId="41C800B1"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lastRenderedPageBreak/>
              <w:t>Naziv programa/aktivnosti/projekta</w:t>
            </w:r>
          </w:p>
        </w:tc>
        <w:tc>
          <w:tcPr>
            <w:tcW w:w="777" w:type="pct"/>
            <w:tcBorders>
              <w:top w:val="single" w:sz="4" w:space="0" w:color="auto"/>
              <w:left w:val="nil"/>
              <w:bottom w:val="single" w:sz="4" w:space="0" w:color="auto"/>
              <w:right w:val="single" w:sz="4" w:space="0" w:color="auto"/>
            </w:tcBorders>
            <w:shd w:val="clear" w:color="auto" w:fill="D9D9D9"/>
            <w:vAlign w:val="center"/>
            <w:hideMark/>
          </w:tcPr>
          <w:p w14:paraId="30CF5AAC"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Rebalans 2024.</w:t>
            </w:r>
          </w:p>
        </w:tc>
        <w:tc>
          <w:tcPr>
            <w:tcW w:w="636" w:type="pct"/>
            <w:tcBorders>
              <w:top w:val="single" w:sz="4" w:space="0" w:color="auto"/>
              <w:left w:val="nil"/>
              <w:bottom w:val="single" w:sz="4" w:space="0" w:color="auto"/>
              <w:right w:val="single" w:sz="4" w:space="0" w:color="auto"/>
            </w:tcBorders>
            <w:shd w:val="clear" w:color="auto" w:fill="D9D9D9"/>
            <w:vAlign w:val="center"/>
            <w:hideMark/>
          </w:tcPr>
          <w:p w14:paraId="1DD64031"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 xml:space="preserve"> Izvršenje</w:t>
            </w:r>
          </w:p>
          <w:p w14:paraId="3F696B1F"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2024.</w:t>
            </w:r>
          </w:p>
        </w:tc>
        <w:tc>
          <w:tcPr>
            <w:tcW w:w="705" w:type="pct"/>
            <w:tcBorders>
              <w:top w:val="single" w:sz="4" w:space="0" w:color="auto"/>
              <w:left w:val="nil"/>
              <w:bottom w:val="single" w:sz="4" w:space="0" w:color="auto"/>
              <w:right w:val="single" w:sz="4" w:space="0" w:color="auto"/>
            </w:tcBorders>
            <w:shd w:val="clear" w:color="auto" w:fill="D9D9D9"/>
            <w:vAlign w:val="center"/>
          </w:tcPr>
          <w:p w14:paraId="4A3F5D80"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Indeks</w:t>
            </w:r>
          </w:p>
        </w:tc>
      </w:tr>
      <w:tr w:rsidR="0081662F" w:rsidRPr="00D0532A" w14:paraId="64505B85" w14:textId="77777777" w:rsidTr="00EB2357">
        <w:trPr>
          <w:trHeight w:val="269"/>
        </w:trPr>
        <w:tc>
          <w:tcPr>
            <w:tcW w:w="1043" w:type="pct"/>
            <w:tcBorders>
              <w:top w:val="single" w:sz="4" w:space="0" w:color="auto"/>
              <w:left w:val="single" w:sz="4" w:space="0" w:color="auto"/>
              <w:bottom w:val="single" w:sz="4" w:space="0" w:color="auto"/>
              <w:right w:val="single" w:sz="4" w:space="0" w:color="auto"/>
            </w:tcBorders>
            <w:shd w:val="clear" w:color="auto" w:fill="D9D9D9"/>
            <w:vAlign w:val="center"/>
          </w:tcPr>
          <w:p w14:paraId="2F41522A"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Program 1007</w:t>
            </w:r>
          </w:p>
        </w:tc>
        <w:tc>
          <w:tcPr>
            <w:tcW w:w="1839" w:type="pct"/>
            <w:tcBorders>
              <w:top w:val="single" w:sz="4" w:space="0" w:color="auto"/>
              <w:left w:val="single" w:sz="4" w:space="0" w:color="auto"/>
              <w:bottom w:val="single" w:sz="4" w:space="0" w:color="auto"/>
              <w:right w:val="single" w:sz="4" w:space="0" w:color="auto"/>
            </w:tcBorders>
            <w:shd w:val="clear" w:color="auto" w:fill="D9D9D9"/>
            <w:vAlign w:val="center"/>
          </w:tcPr>
          <w:p w14:paraId="77F9E08F" w14:textId="77777777" w:rsidR="0081662F" w:rsidRPr="00D0532A" w:rsidRDefault="0081662F" w:rsidP="00EB2357">
            <w:pPr>
              <w:spacing w:after="0" w:line="240" w:lineRule="auto"/>
              <w:rPr>
                <w:rFonts w:ascii="Times New Roman" w:hAnsi="Times New Roman" w:cs="Times New Roman"/>
                <w:b/>
                <w:bCs/>
                <w:lang w:eastAsia="hr-HR"/>
              </w:rPr>
            </w:pPr>
            <w:r w:rsidRPr="00D0532A">
              <w:rPr>
                <w:rFonts w:ascii="Times New Roman" w:eastAsia="Calibri" w:hAnsi="Times New Roman" w:cs="Times New Roman"/>
                <w:b/>
                <w:bCs/>
              </w:rPr>
              <w:t>Javne potrebe u tehničkoj kulturi</w:t>
            </w:r>
          </w:p>
        </w:tc>
        <w:tc>
          <w:tcPr>
            <w:tcW w:w="777" w:type="pct"/>
            <w:tcBorders>
              <w:top w:val="nil"/>
              <w:left w:val="nil"/>
              <w:bottom w:val="single" w:sz="4" w:space="0" w:color="auto"/>
              <w:right w:val="single" w:sz="4" w:space="0" w:color="auto"/>
            </w:tcBorders>
            <w:shd w:val="clear" w:color="auto" w:fill="D9D9D9"/>
            <w:noWrap/>
            <w:vAlign w:val="center"/>
          </w:tcPr>
          <w:p w14:paraId="4828BCD8" w14:textId="77777777" w:rsidR="0081662F" w:rsidRPr="00D0532A" w:rsidRDefault="0081662F" w:rsidP="00EB2357">
            <w:pPr>
              <w:spacing w:after="0" w:line="240" w:lineRule="auto"/>
              <w:ind w:right="36"/>
              <w:jc w:val="right"/>
              <w:rPr>
                <w:rFonts w:ascii="Times New Roman" w:hAnsi="Times New Roman" w:cs="Times New Roman"/>
                <w:b/>
                <w:bCs/>
                <w:lang w:eastAsia="hr-HR"/>
              </w:rPr>
            </w:pPr>
            <w:r w:rsidRPr="00D0532A">
              <w:rPr>
                <w:rFonts w:ascii="Times New Roman" w:eastAsia="Calibri" w:hAnsi="Times New Roman" w:cs="Times New Roman"/>
                <w:b/>
                <w:bCs/>
              </w:rPr>
              <w:t>13.300,00</w:t>
            </w:r>
          </w:p>
        </w:tc>
        <w:tc>
          <w:tcPr>
            <w:tcW w:w="636" w:type="pct"/>
            <w:tcBorders>
              <w:top w:val="nil"/>
              <w:left w:val="nil"/>
              <w:bottom w:val="single" w:sz="4" w:space="0" w:color="auto"/>
              <w:right w:val="single" w:sz="4" w:space="0" w:color="auto"/>
            </w:tcBorders>
            <w:shd w:val="clear" w:color="auto" w:fill="D9D9D9"/>
            <w:noWrap/>
            <w:vAlign w:val="center"/>
          </w:tcPr>
          <w:p w14:paraId="5DE17DB6" w14:textId="77777777" w:rsidR="0081662F" w:rsidRPr="00D0532A" w:rsidRDefault="0081662F" w:rsidP="00EB2357">
            <w:pPr>
              <w:spacing w:after="0" w:line="240" w:lineRule="auto"/>
              <w:ind w:right="36"/>
              <w:jc w:val="right"/>
              <w:rPr>
                <w:rFonts w:ascii="Times New Roman" w:hAnsi="Times New Roman" w:cs="Times New Roman"/>
                <w:b/>
                <w:bCs/>
                <w:lang w:eastAsia="hr-HR"/>
              </w:rPr>
            </w:pPr>
            <w:r w:rsidRPr="00D0532A">
              <w:rPr>
                <w:rFonts w:ascii="Times New Roman" w:hAnsi="Times New Roman" w:cs="Times New Roman"/>
                <w:b/>
                <w:bCs/>
                <w:lang w:eastAsia="hr-HR"/>
              </w:rPr>
              <w:t>13.300,00</w:t>
            </w:r>
          </w:p>
        </w:tc>
        <w:tc>
          <w:tcPr>
            <w:tcW w:w="705" w:type="pct"/>
            <w:tcBorders>
              <w:top w:val="nil"/>
              <w:left w:val="nil"/>
              <w:bottom w:val="single" w:sz="4" w:space="0" w:color="auto"/>
              <w:right w:val="single" w:sz="4" w:space="0" w:color="auto"/>
            </w:tcBorders>
            <w:shd w:val="clear" w:color="auto" w:fill="D9D9D9"/>
            <w:vAlign w:val="center"/>
          </w:tcPr>
          <w:p w14:paraId="2EA0A7C1" w14:textId="77777777" w:rsidR="0081662F" w:rsidRPr="00D0532A" w:rsidRDefault="0081662F" w:rsidP="00EB2357">
            <w:pPr>
              <w:spacing w:after="0" w:line="240" w:lineRule="auto"/>
              <w:ind w:right="36"/>
              <w:jc w:val="right"/>
              <w:rPr>
                <w:rFonts w:ascii="Times New Roman" w:hAnsi="Times New Roman" w:cs="Times New Roman"/>
                <w:b/>
                <w:bCs/>
                <w:lang w:eastAsia="hr-HR"/>
              </w:rPr>
            </w:pPr>
            <w:r w:rsidRPr="00D0532A">
              <w:rPr>
                <w:rFonts w:ascii="Times New Roman" w:hAnsi="Times New Roman" w:cs="Times New Roman"/>
                <w:b/>
                <w:bCs/>
                <w:lang w:eastAsia="hr-HR"/>
              </w:rPr>
              <w:t>100,00%</w:t>
            </w:r>
          </w:p>
        </w:tc>
      </w:tr>
      <w:tr w:rsidR="0081662F" w:rsidRPr="00D0532A" w14:paraId="745BB3EA" w14:textId="77777777" w:rsidTr="00EB2357">
        <w:trPr>
          <w:trHeight w:val="269"/>
        </w:trPr>
        <w:tc>
          <w:tcPr>
            <w:tcW w:w="1043" w:type="pct"/>
            <w:tcBorders>
              <w:top w:val="single" w:sz="4" w:space="0" w:color="auto"/>
              <w:left w:val="single" w:sz="4" w:space="0" w:color="auto"/>
              <w:bottom w:val="single" w:sz="4" w:space="0" w:color="auto"/>
              <w:right w:val="single" w:sz="4" w:space="0" w:color="auto"/>
            </w:tcBorders>
            <w:vAlign w:val="center"/>
          </w:tcPr>
          <w:p w14:paraId="79D3F74C"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Aktivnost A100701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3C313B9" w14:textId="77777777" w:rsidR="0081662F" w:rsidRPr="00D0532A" w:rsidRDefault="0081662F" w:rsidP="00EB2357">
            <w:pPr>
              <w:spacing w:after="0" w:line="240" w:lineRule="auto"/>
              <w:rPr>
                <w:rFonts w:ascii="Times New Roman" w:hAnsi="Times New Roman" w:cs="Times New Roman"/>
                <w:lang w:eastAsia="hr-HR"/>
              </w:rPr>
            </w:pPr>
            <w:r w:rsidRPr="00D0532A">
              <w:rPr>
                <w:rFonts w:ascii="Times New Roman" w:eastAsia="Calibri" w:hAnsi="Times New Roman" w:cs="Times New Roman"/>
              </w:rPr>
              <w:t>Djelatnost zajednice tehničke kulture</w:t>
            </w:r>
          </w:p>
        </w:tc>
        <w:tc>
          <w:tcPr>
            <w:tcW w:w="777" w:type="pct"/>
            <w:tcBorders>
              <w:top w:val="nil"/>
              <w:left w:val="nil"/>
              <w:bottom w:val="single" w:sz="4" w:space="0" w:color="auto"/>
              <w:right w:val="single" w:sz="4" w:space="0" w:color="auto"/>
            </w:tcBorders>
            <w:shd w:val="clear" w:color="auto" w:fill="auto"/>
            <w:noWrap/>
            <w:vAlign w:val="center"/>
          </w:tcPr>
          <w:p w14:paraId="7DD87672" w14:textId="77777777" w:rsidR="0081662F" w:rsidRPr="00D0532A" w:rsidRDefault="0081662F" w:rsidP="00EB2357">
            <w:pPr>
              <w:spacing w:after="0" w:line="240" w:lineRule="auto"/>
              <w:ind w:right="36"/>
              <w:jc w:val="right"/>
              <w:rPr>
                <w:rFonts w:ascii="Times New Roman" w:hAnsi="Times New Roman" w:cs="Times New Roman"/>
                <w:lang w:eastAsia="hr-HR"/>
              </w:rPr>
            </w:pPr>
            <w:r w:rsidRPr="00D0532A">
              <w:rPr>
                <w:rFonts w:ascii="Times New Roman" w:eastAsia="Calibri" w:hAnsi="Times New Roman" w:cs="Times New Roman"/>
              </w:rPr>
              <w:t>13.300,00</w:t>
            </w:r>
          </w:p>
        </w:tc>
        <w:tc>
          <w:tcPr>
            <w:tcW w:w="636" w:type="pct"/>
            <w:tcBorders>
              <w:top w:val="nil"/>
              <w:left w:val="nil"/>
              <w:bottom w:val="single" w:sz="4" w:space="0" w:color="auto"/>
              <w:right w:val="single" w:sz="4" w:space="0" w:color="auto"/>
            </w:tcBorders>
            <w:shd w:val="clear" w:color="auto" w:fill="auto"/>
            <w:noWrap/>
            <w:vAlign w:val="center"/>
          </w:tcPr>
          <w:p w14:paraId="7444F63C" w14:textId="77777777" w:rsidR="0081662F" w:rsidRPr="00D0532A" w:rsidRDefault="0081662F" w:rsidP="00EB2357">
            <w:pPr>
              <w:spacing w:after="0" w:line="240" w:lineRule="auto"/>
              <w:ind w:right="36"/>
              <w:jc w:val="right"/>
              <w:rPr>
                <w:rFonts w:ascii="Times New Roman" w:hAnsi="Times New Roman" w:cs="Times New Roman"/>
                <w:lang w:eastAsia="hr-HR"/>
              </w:rPr>
            </w:pPr>
            <w:r w:rsidRPr="00D0532A">
              <w:rPr>
                <w:rFonts w:ascii="Times New Roman" w:hAnsi="Times New Roman" w:cs="Times New Roman"/>
                <w:lang w:eastAsia="hr-HR"/>
              </w:rPr>
              <w:t>13.300,00</w:t>
            </w:r>
          </w:p>
        </w:tc>
        <w:tc>
          <w:tcPr>
            <w:tcW w:w="705" w:type="pct"/>
            <w:tcBorders>
              <w:top w:val="nil"/>
              <w:left w:val="nil"/>
              <w:bottom w:val="single" w:sz="4" w:space="0" w:color="auto"/>
              <w:right w:val="single" w:sz="4" w:space="0" w:color="auto"/>
            </w:tcBorders>
            <w:vAlign w:val="center"/>
          </w:tcPr>
          <w:p w14:paraId="14A761B2" w14:textId="77777777" w:rsidR="0081662F" w:rsidRPr="00D0532A" w:rsidRDefault="0081662F" w:rsidP="00EB2357">
            <w:pPr>
              <w:spacing w:after="0" w:line="240" w:lineRule="auto"/>
              <w:ind w:right="36"/>
              <w:jc w:val="right"/>
              <w:rPr>
                <w:rFonts w:ascii="Times New Roman" w:hAnsi="Times New Roman" w:cs="Times New Roman"/>
                <w:lang w:eastAsia="hr-HR"/>
              </w:rPr>
            </w:pPr>
            <w:r w:rsidRPr="00D0532A">
              <w:rPr>
                <w:rFonts w:ascii="Times New Roman" w:hAnsi="Times New Roman" w:cs="Times New Roman"/>
                <w:lang w:eastAsia="hr-HR"/>
              </w:rPr>
              <w:t>100,00%</w:t>
            </w:r>
          </w:p>
        </w:tc>
      </w:tr>
    </w:tbl>
    <w:p w14:paraId="7D12186E" w14:textId="77777777" w:rsidR="0081662F" w:rsidRPr="00D0532A" w:rsidRDefault="0081662F" w:rsidP="0081662F">
      <w:pPr>
        <w:spacing w:after="0" w:line="240" w:lineRule="auto"/>
        <w:jc w:val="both"/>
        <w:rPr>
          <w:rFonts w:ascii="Times New Roman" w:eastAsia="Calibri" w:hAnsi="Times New Roman" w:cs="Times New Roman"/>
          <w:color w:val="FF0000"/>
        </w:rPr>
      </w:pPr>
    </w:p>
    <w:p w14:paraId="3A40410D" w14:textId="77777777" w:rsidR="0081662F" w:rsidRPr="00D0532A" w:rsidRDefault="0081662F" w:rsidP="003734CB">
      <w:pPr>
        <w:numPr>
          <w:ilvl w:val="2"/>
          <w:numId w:val="11"/>
        </w:numPr>
        <w:spacing w:after="0" w:line="240" w:lineRule="auto"/>
        <w:contextualSpacing/>
        <w:jc w:val="both"/>
        <w:rPr>
          <w:rFonts w:ascii="Times New Roman" w:eastAsia="Calibri" w:hAnsi="Times New Roman" w:cs="Times New Roman"/>
          <w:b/>
          <w:bCs/>
        </w:rPr>
      </w:pPr>
      <w:r w:rsidRPr="00D0532A">
        <w:rPr>
          <w:rFonts w:ascii="Times New Roman" w:eastAsia="Calibri" w:hAnsi="Times New Roman" w:cs="Times New Roman"/>
          <w:b/>
          <w:bCs/>
        </w:rPr>
        <w:t>Aktivnost A100701 Djelatnost zajednice tehničke kulture</w:t>
      </w:r>
    </w:p>
    <w:p w14:paraId="4E0C6AC3" w14:textId="77777777" w:rsidR="0081662F" w:rsidRPr="00D0532A" w:rsidRDefault="0081662F" w:rsidP="0081662F">
      <w:pPr>
        <w:spacing w:after="0" w:line="240" w:lineRule="auto"/>
        <w:jc w:val="both"/>
        <w:rPr>
          <w:rFonts w:ascii="Times New Roman" w:eastAsia="Calibri"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1745"/>
        <w:gridCol w:w="2118"/>
        <w:gridCol w:w="1316"/>
        <w:gridCol w:w="1250"/>
        <w:gridCol w:w="1248"/>
      </w:tblGrid>
      <w:tr w:rsidR="0081662F" w:rsidRPr="00D0532A" w14:paraId="25C904C1" w14:textId="77777777" w:rsidTr="00EB2357">
        <w:tc>
          <w:tcPr>
            <w:tcW w:w="763" w:type="pct"/>
            <w:shd w:val="clear" w:color="auto" w:fill="D1D1D1"/>
          </w:tcPr>
          <w:p w14:paraId="4D6888EA"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Pokazatelj rezultata</w:t>
            </w:r>
          </w:p>
        </w:tc>
        <w:tc>
          <w:tcPr>
            <w:tcW w:w="963" w:type="pct"/>
            <w:shd w:val="clear" w:color="auto" w:fill="D1D1D1"/>
          </w:tcPr>
          <w:p w14:paraId="3E595D30"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Definicija pokazatelja</w:t>
            </w:r>
          </w:p>
        </w:tc>
        <w:tc>
          <w:tcPr>
            <w:tcW w:w="1169" w:type="pct"/>
            <w:shd w:val="clear" w:color="auto" w:fill="D1D1D1"/>
          </w:tcPr>
          <w:p w14:paraId="0558CEA9"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jedinica</w:t>
            </w:r>
          </w:p>
        </w:tc>
        <w:tc>
          <w:tcPr>
            <w:tcW w:w="726" w:type="pct"/>
            <w:shd w:val="clear" w:color="auto" w:fill="D1D1D1"/>
          </w:tcPr>
          <w:p w14:paraId="3AFCE32A"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Polazna vrijednost</w:t>
            </w:r>
          </w:p>
          <w:p w14:paraId="12A39DD3"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2024.</w:t>
            </w:r>
          </w:p>
        </w:tc>
        <w:tc>
          <w:tcPr>
            <w:tcW w:w="690" w:type="pct"/>
            <w:shd w:val="clear" w:color="auto" w:fill="D1D1D1"/>
          </w:tcPr>
          <w:p w14:paraId="29EA59C8"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Izvršeno</w:t>
            </w:r>
          </w:p>
        </w:tc>
        <w:tc>
          <w:tcPr>
            <w:tcW w:w="690" w:type="pct"/>
            <w:shd w:val="clear" w:color="auto" w:fill="D1D1D1"/>
          </w:tcPr>
          <w:p w14:paraId="1E8314FE"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Indeks</w:t>
            </w:r>
          </w:p>
        </w:tc>
      </w:tr>
      <w:tr w:rsidR="0081662F" w:rsidRPr="00D0532A" w14:paraId="12773A85" w14:textId="77777777" w:rsidTr="00EB2357">
        <w:tc>
          <w:tcPr>
            <w:tcW w:w="763" w:type="pct"/>
            <w:shd w:val="clear" w:color="auto" w:fill="auto"/>
          </w:tcPr>
          <w:p w14:paraId="2BC82799"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Održavanje broja ugovora</w:t>
            </w:r>
          </w:p>
        </w:tc>
        <w:tc>
          <w:tcPr>
            <w:tcW w:w="963" w:type="pct"/>
            <w:shd w:val="clear" w:color="auto" w:fill="auto"/>
          </w:tcPr>
          <w:p w14:paraId="38A3D700"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Broj ugovora temeljem kojih se sufinancira rad Zajednice tehničke kulture Grada Garešnice</w:t>
            </w:r>
          </w:p>
        </w:tc>
        <w:tc>
          <w:tcPr>
            <w:tcW w:w="1169" w:type="pct"/>
            <w:shd w:val="clear" w:color="auto" w:fill="auto"/>
          </w:tcPr>
          <w:p w14:paraId="007BDA3E"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Broj ugovora/</w:t>
            </w:r>
          </w:p>
          <w:p w14:paraId="2A703BB1"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kom</w:t>
            </w:r>
          </w:p>
        </w:tc>
        <w:tc>
          <w:tcPr>
            <w:tcW w:w="726" w:type="pct"/>
            <w:shd w:val="clear" w:color="auto" w:fill="auto"/>
          </w:tcPr>
          <w:p w14:paraId="2EAEAD80"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1</w:t>
            </w:r>
          </w:p>
        </w:tc>
        <w:tc>
          <w:tcPr>
            <w:tcW w:w="690" w:type="pct"/>
            <w:shd w:val="clear" w:color="auto" w:fill="auto"/>
          </w:tcPr>
          <w:p w14:paraId="7E42CF51"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1</w:t>
            </w:r>
          </w:p>
        </w:tc>
        <w:tc>
          <w:tcPr>
            <w:tcW w:w="690" w:type="pct"/>
            <w:shd w:val="clear" w:color="auto" w:fill="auto"/>
          </w:tcPr>
          <w:p w14:paraId="64184761"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100,00%</w:t>
            </w:r>
          </w:p>
        </w:tc>
      </w:tr>
    </w:tbl>
    <w:p w14:paraId="030CB179" w14:textId="77777777" w:rsidR="0081662F" w:rsidRPr="00D0532A" w:rsidRDefault="0081662F" w:rsidP="0081662F">
      <w:pPr>
        <w:spacing w:after="0" w:line="240" w:lineRule="auto"/>
        <w:rPr>
          <w:rFonts w:ascii="Times New Roman" w:eastAsia="Calibri" w:hAnsi="Times New Roman" w:cs="Times New Roman"/>
          <w:color w:val="FF0000"/>
        </w:rPr>
      </w:pPr>
    </w:p>
    <w:p w14:paraId="1901286E" w14:textId="77777777" w:rsidR="0081662F" w:rsidRPr="00D0532A" w:rsidRDefault="0081662F" w:rsidP="0081662F">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1.5.</w:t>
      </w:r>
      <w:r w:rsidRPr="00D0532A">
        <w:rPr>
          <w:rFonts w:ascii="Times New Roman" w:eastAsia="Calibri" w:hAnsi="Times New Roman" w:cs="Times New Roman"/>
          <w:b/>
          <w:bCs/>
        </w:rPr>
        <w:tab/>
        <w:t>Program 1008 Javne potrebe u sportu</w:t>
      </w:r>
    </w:p>
    <w:tbl>
      <w:tblPr>
        <w:tblpPr w:leftFromText="180" w:rightFromText="180" w:vertAnchor="text" w:horzAnchor="margin" w:tblpY="187"/>
        <w:tblW w:w="5000" w:type="pct"/>
        <w:tblLook w:val="04A0" w:firstRow="1" w:lastRow="0" w:firstColumn="1" w:lastColumn="0" w:noHBand="0" w:noVBand="1"/>
      </w:tblPr>
      <w:tblGrid>
        <w:gridCol w:w="1867"/>
        <w:gridCol w:w="3309"/>
        <w:gridCol w:w="1386"/>
        <w:gridCol w:w="1243"/>
        <w:gridCol w:w="1255"/>
      </w:tblGrid>
      <w:tr w:rsidR="0081662F" w:rsidRPr="00D0532A" w14:paraId="49F2E7B9" w14:textId="77777777" w:rsidTr="00EB2357">
        <w:trPr>
          <w:trHeight w:val="564"/>
        </w:trPr>
        <w:tc>
          <w:tcPr>
            <w:tcW w:w="2882" w:type="pct"/>
            <w:gridSpan w:val="2"/>
            <w:tcBorders>
              <w:top w:val="single" w:sz="4" w:space="0" w:color="auto"/>
              <w:left w:val="single" w:sz="4" w:space="0" w:color="auto"/>
              <w:bottom w:val="single" w:sz="4" w:space="0" w:color="auto"/>
              <w:right w:val="single" w:sz="4" w:space="0" w:color="auto"/>
            </w:tcBorders>
            <w:shd w:val="clear" w:color="auto" w:fill="D9D9D9"/>
          </w:tcPr>
          <w:p w14:paraId="5C78C3A7"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Naziv programa/aktivnosti/projekta</w:t>
            </w:r>
          </w:p>
        </w:tc>
        <w:tc>
          <w:tcPr>
            <w:tcW w:w="777" w:type="pct"/>
            <w:tcBorders>
              <w:top w:val="single" w:sz="4" w:space="0" w:color="auto"/>
              <w:left w:val="nil"/>
              <w:bottom w:val="single" w:sz="4" w:space="0" w:color="auto"/>
              <w:right w:val="single" w:sz="4" w:space="0" w:color="auto"/>
            </w:tcBorders>
            <w:shd w:val="clear" w:color="auto" w:fill="D9D9D9"/>
            <w:vAlign w:val="center"/>
            <w:hideMark/>
          </w:tcPr>
          <w:p w14:paraId="1FF6B749"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Rebalans 2024.</w:t>
            </w:r>
          </w:p>
        </w:tc>
        <w:tc>
          <w:tcPr>
            <w:tcW w:w="636" w:type="pct"/>
            <w:tcBorders>
              <w:top w:val="single" w:sz="4" w:space="0" w:color="auto"/>
              <w:left w:val="nil"/>
              <w:bottom w:val="single" w:sz="4" w:space="0" w:color="auto"/>
              <w:right w:val="single" w:sz="4" w:space="0" w:color="auto"/>
            </w:tcBorders>
            <w:shd w:val="clear" w:color="auto" w:fill="D9D9D9"/>
            <w:vAlign w:val="center"/>
            <w:hideMark/>
          </w:tcPr>
          <w:p w14:paraId="56E22849"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 xml:space="preserve"> Izvršenje</w:t>
            </w:r>
          </w:p>
          <w:p w14:paraId="3D305E46"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2024.</w:t>
            </w:r>
          </w:p>
        </w:tc>
        <w:tc>
          <w:tcPr>
            <w:tcW w:w="705" w:type="pct"/>
            <w:tcBorders>
              <w:top w:val="single" w:sz="4" w:space="0" w:color="auto"/>
              <w:left w:val="nil"/>
              <w:bottom w:val="single" w:sz="4" w:space="0" w:color="auto"/>
              <w:right w:val="single" w:sz="4" w:space="0" w:color="auto"/>
            </w:tcBorders>
            <w:shd w:val="clear" w:color="auto" w:fill="D9D9D9"/>
            <w:vAlign w:val="center"/>
          </w:tcPr>
          <w:p w14:paraId="039D7089"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Indeks</w:t>
            </w:r>
          </w:p>
        </w:tc>
      </w:tr>
      <w:tr w:rsidR="0081662F" w:rsidRPr="00D0532A" w14:paraId="169AEA37" w14:textId="77777777" w:rsidTr="00EB2357">
        <w:trPr>
          <w:trHeight w:val="269"/>
        </w:trPr>
        <w:tc>
          <w:tcPr>
            <w:tcW w:w="1043" w:type="pct"/>
            <w:tcBorders>
              <w:top w:val="single" w:sz="4" w:space="0" w:color="auto"/>
              <w:left w:val="single" w:sz="4" w:space="0" w:color="auto"/>
              <w:bottom w:val="single" w:sz="4" w:space="0" w:color="auto"/>
              <w:right w:val="single" w:sz="4" w:space="0" w:color="auto"/>
            </w:tcBorders>
            <w:shd w:val="clear" w:color="auto" w:fill="D9D9D9"/>
            <w:vAlign w:val="center"/>
          </w:tcPr>
          <w:p w14:paraId="06B087A4"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Program 1008</w:t>
            </w:r>
          </w:p>
        </w:tc>
        <w:tc>
          <w:tcPr>
            <w:tcW w:w="1839" w:type="pct"/>
            <w:tcBorders>
              <w:top w:val="single" w:sz="4" w:space="0" w:color="auto"/>
              <w:left w:val="single" w:sz="4" w:space="0" w:color="auto"/>
              <w:bottom w:val="single" w:sz="4" w:space="0" w:color="auto"/>
              <w:right w:val="single" w:sz="4" w:space="0" w:color="auto"/>
            </w:tcBorders>
            <w:shd w:val="clear" w:color="auto" w:fill="D9D9D9"/>
            <w:vAlign w:val="center"/>
          </w:tcPr>
          <w:p w14:paraId="3D50537A" w14:textId="77777777" w:rsidR="0081662F" w:rsidRPr="00D0532A" w:rsidRDefault="0081662F" w:rsidP="00EB2357">
            <w:pPr>
              <w:spacing w:after="0" w:line="240" w:lineRule="auto"/>
              <w:rPr>
                <w:rFonts w:ascii="Times New Roman" w:hAnsi="Times New Roman" w:cs="Times New Roman"/>
                <w:b/>
                <w:bCs/>
                <w:lang w:eastAsia="hr-HR"/>
              </w:rPr>
            </w:pPr>
            <w:r w:rsidRPr="00D0532A">
              <w:rPr>
                <w:rFonts w:ascii="Times New Roman" w:eastAsia="Calibri" w:hAnsi="Times New Roman" w:cs="Times New Roman"/>
                <w:b/>
                <w:bCs/>
              </w:rPr>
              <w:t>Javne potrebe u sportu</w:t>
            </w:r>
          </w:p>
        </w:tc>
        <w:tc>
          <w:tcPr>
            <w:tcW w:w="777" w:type="pct"/>
            <w:tcBorders>
              <w:top w:val="nil"/>
              <w:left w:val="nil"/>
              <w:bottom w:val="single" w:sz="4" w:space="0" w:color="auto"/>
              <w:right w:val="single" w:sz="4" w:space="0" w:color="auto"/>
            </w:tcBorders>
            <w:shd w:val="clear" w:color="auto" w:fill="D9D9D9"/>
            <w:noWrap/>
            <w:vAlign w:val="center"/>
          </w:tcPr>
          <w:p w14:paraId="4D9F524D" w14:textId="77777777" w:rsidR="0081662F" w:rsidRPr="00D0532A" w:rsidRDefault="0081662F" w:rsidP="00EB2357">
            <w:pPr>
              <w:spacing w:after="0" w:line="240" w:lineRule="auto"/>
              <w:ind w:right="36"/>
              <w:jc w:val="right"/>
              <w:rPr>
                <w:rFonts w:ascii="Times New Roman" w:hAnsi="Times New Roman" w:cs="Times New Roman"/>
                <w:b/>
                <w:bCs/>
                <w:lang w:eastAsia="hr-HR"/>
              </w:rPr>
            </w:pPr>
            <w:r w:rsidRPr="00D0532A">
              <w:rPr>
                <w:rFonts w:ascii="Times New Roman" w:eastAsia="Calibri" w:hAnsi="Times New Roman" w:cs="Times New Roman"/>
                <w:b/>
                <w:bCs/>
              </w:rPr>
              <w:t>161.500,00</w:t>
            </w:r>
          </w:p>
        </w:tc>
        <w:tc>
          <w:tcPr>
            <w:tcW w:w="636" w:type="pct"/>
            <w:tcBorders>
              <w:top w:val="nil"/>
              <w:left w:val="nil"/>
              <w:bottom w:val="single" w:sz="4" w:space="0" w:color="auto"/>
              <w:right w:val="single" w:sz="4" w:space="0" w:color="auto"/>
            </w:tcBorders>
            <w:shd w:val="clear" w:color="auto" w:fill="D9D9D9"/>
            <w:noWrap/>
            <w:vAlign w:val="center"/>
          </w:tcPr>
          <w:p w14:paraId="74252BC9" w14:textId="77777777" w:rsidR="0081662F" w:rsidRPr="00D0532A" w:rsidRDefault="0081662F" w:rsidP="00EB2357">
            <w:pPr>
              <w:spacing w:after="0" w:line="240" w:lineRule="auto"/>
              <w:ind w:right="36"/>
              <w:jc w:val="right"/>
              <w:rPr>
                <w:rFonts w:ascii="Times New Roman" w:hAnsi="Times New Roman" w:cs="Times New Roman"/>
                <w:b/>
                <w:bCs/>
                <w:lang w:eastAsia="hr-HR"/>
              </w:rPr>
            </w:pPr>
            <w:r w:rsidRPr="00D0532A">
              <w:rPr>
                <w:rFonts w:ascii="Times New Roman" w:hAnsi="Times New Roman" w:cs="Times New Roman"/>
                <w:b/>
                <w:bCs/>
                <w:lang w:eastAsia="hr-HR"/>
              </w:rPr>
              <w:t>160.680,00</w:t>
            </w:r>
          </w:p>
        </w:tc>
        <w:tc>
          <w:tcPr>
            <w:tcW w:w="705" w:type="pct"/>
            <w:tcBorders>
              <w:top w:val="nil"/>
              <w:left w:val="nil"/>
              <w:bottom w:val="single" w:sz="4" w:space="0" w:color="auto"/>
              <w:right w:val="single" w:sz="4" w:space="0" w:color="auto"/>
            </w:tcBorders>
            <w:shd w:val="clear" w:color="auto" w:fill="D9D9D9"/>
            <w:vAlign w:val="center"/>
          </w:tcPr>
          <w:p w14:paraId="510DB9BA" w14:textId="77777777" w:rsidR="0081662F" w:rsidRPr="00D0532A" w:rsidRDefault="0081662F" w:rsidP="00EB2357">
            <w:pPr>
              <w:spacing w:after="0" w:line="240" w:lineRule="auto"/>
              <w:ind w:right="36"/>
              <w:jc w:val="right"/>
              <w:rPr>
                <w:rFonts w:ascii="Times New Roman" w:hAnsi="Times New Roman" w:cs="Times New Roman"/>
                <w:b/>
                <w:bCs/>
                <w:lang w:eastAsia="hr-HR"/>
              </w:rPr>
            </w:pPr>
            <w:r w:rsidRPr="00D0532A">
              <w:rPr>
                <w:rFonts w:ascii="Times New Roman" w:hAnsi="Times New Roman" w:cs="Times New Roman"/>
                <w:b/>
                <w:bCs/>
                <w:lang w:eastAsia="hr-HR"/>
              </w:rPr>
              <w:t>99,49%</w:t>
            </w:r>
          </w:p>
        </w:tc>
      </w:tr>
      <w:tr w:rsidR="0081662F" w:rsidRPr="00D0532A" w14:paraId="5EAC97D9" w14:textId="77777777" w:rsidTr="00EB2357">
        <w:trPr>
          <w:trHeight w:val="269"/>
        </w:trPr>
        <w:tc>
          <w:tcPr>
            <w:tcW w:w="1043" w:type="pct"/>
            <w:tcBorders>
              <w:top w:val="single" w:sz="4" w:space="0" w:color="auto"/>
              <w:left w:val="single" w:sz="4" w:space="0" w:color="auto"/>
              <w:bottom w:val="single" w:sz="4" w:space="0" w:color="auto"/>
              <w:right w:val="single" w:sz="4" w:space="0" w:color="auto"/>
            </w:tcBorders>
            <w:vAlign w:val="center"/>
          </w:tcPr>
          <w:p w14:paraId="50180B0F"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Aktivnost A100801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456D1870" w14:textId="77777777" w:rsidR="0081662F" w:rsidRPr="00D0532A" w:rsidRDefault="0081662F" w:rsidP="00EB2357">
            <w:pPr>
              <w:spacing w:after="0" w:line="240" w:lineRule="auto"/>
              <w:rPr>
                <w:rFonts w:ascii="Times New Roman" w:hAnsi="Times New Roman" w:cs="Times New Roman"/>
                <w:lang w:eastAsia="hr-HR"/>
              </w:rPr>
            </w:pPr>
            <w:r w:rsidRPr="00D0532A">
              <w:rPr>
                <w:rFonts w:ascii="Times New Roman" w:eastAsia="Calibri" w:hAnsi="Times New Roman" w:cs="Times New Roman"/>
              </w:rPr>
              <w:t>Djelatnost sportske zajednice</w:t>
            </w:r>
          </w:p>
        </w:tc>
        <w:tc>
          <w:tcPr>
            <w:tcW w:w="777" w:type="pct"/>
            <w:tcBorders>
              <w:top w:val="nil"/>
              <w:left w:val="nil"/>
              <w:bottom w:val="single" w:sz="4" w:space="0" w:color="auto"/>
              <w:right w:val="single" w:sz="4" w:space="0" w:color="auto"/>
            </w:tcBorders>
            <w:shd w:val="clear" w:color="auto" w:fill="auto"/>
            <w:noWrap/>
          </w:tcPr>
          <w:p w14:paraId="054F604D" w14:textId="77777777" w:rsidR="0081662F" w:rsidRPr="00D0532A" w:rsidRDefault="0081662F" w:rsidP="00EB2357">
            <w:pPr>
              <w:spacing w:after="0" w:line="240" w:lineRule="auto"/>
              <w:ind w:right="36"/>
              <w:jc w:val="right"/>
              <w:rPr>
                <w:rFonts w:ascii="Times New Roman" w:hAnsi="Times New Roman" w:cs="Times New Roman"/>
                <w:lang w:eastAsia="hr-HR"/>
              </w:rPr>
            </w:pPr>
            <w:r w:rsidRPr="00D0532A">
              <w:rPr>
                <w:rFonts w:ascii="Times New Roman" w:hAnsi="Times New Roman" w:cs="Times New Roman"/>
              </w:rPr>
              <w:t>115.000,00</w:t>
            </w:r>
          </w:p>
        </w:tc>
        <w:tc>
          <w:tcPr>
            <w:tcW w:w="636" w:type="pct"/>
            <w:tcBorders>
              <w:top w:val="nil"/>
              <w:left w:val="nil"/>
              <w:bottom w:val="single" w:sz="4" w:space="0" w:color="auto"/>
              <w:right w:val="single" w:sz="4" w:space="0" w:color="auto"/>
            </w:tcBorders>
            <w:shd w:val="clear" w:color="auto" w:fill="auto"/>
            <w:noWrap/>
            <w:vAlign w:val="center"/>
          </w:tcPr>
          <w:p w14:paraId="512E14C2" w14:textId="77777777" w:rsidR="0081662F" w:rsidRPr="00D0532A" w:rsidRDefault="0081662F" w:rsidP="00EB2357">
            <w:pPr>
              <w:spacing w:after="0" w:line="240" w:lineRule="auto"/>
              <w:ind w:right="36"/>
              <w:jc w:val="right"/>
              <w:rPr>
                <w:rFonts w:ascii="Times New Roman" w:hAnsi="Times New Roman" w:cs="Times New Roman"/>
                <w:lang w:eastAsia="hr-HR"/>
              </w:rPr>
            </w:pPr>
            <w:r w:rsidRPr="00D0532A">
              <w:rPr>
                <w:rFonts w:ascii="Times New Roman" w:hAnsi="Times New Roman" w:cs="Times New Roman"/>
                <w:lang w:eastAsia="hr-HR"/>
              </w:rPr>
              <w:t>115.000,00</w:t>
            </w:r>
          </w:p>
        </w:tc>
        <w:tc>
          <w:tcPr>
            <w:tcW w:w="705" w:type="pct"/>
            <w:tcBorders>
              <w:top w:val="nil"/>
              <w:left w:val="nil"/>
              <w:bottom w:val="single" w:sz="4" w:space="0" w:color="auto"/>
              <w:right w:val="single" w:sz="4" w:space="0" w:color="auto"/>
            </w:tcBorders>
            <w:vAlign w:val="center"/>
          </w:tcPr>
          <w:p w14:paraId="6FDF2573" w14:textId="77777777" w:rsidR="0081662F" w:rsidRPr="00D0532A" w:rsidRDefault="0081662F" w:rsidP="00EB2357">
            <w:pPr>
              <w:spacing w:after="0" w:line="240" w:lineRule="auto"/>
              <w:ind w:right="36"/>
              <w:jc w:val="right"/>
              <w:rPr>
                <w:rFonts w:ascii="Times New Roman" w:hAnsi="Times New Roman" w:cs="Times New Roman"/>
                <w:lang w:eastAsia="hr-HR"/>
              </w:rPr>
            </w:pPr>
            <w:r w:rsidRPr="00D0532A">
              <w:rPr>
                <w:rFonts w:ascii="Times New Roman" w:hAnsi="Times New Roman" w:cs="Times New Roman"/>
                <w:lang w:eastAsia="hr-HR"/>
              </w:rPr>
              <w:t>100,00%</w:t>
            </w:r>
          </w:p>
        </w:tc>
      </w:tr>
      <w:tr w:rsidR="0081662F" w:rsidRPr="00D0532A" w14:paraId="4D2D741B" w14:textId="77777777" w:rsidTr="00EB2357">
        <w:trPr>
          <w:trHeight w:val="269"/>
        </w:trPr>
        <w:tc>
          <w:tcPr>
            <w:tcW w:w="1043" w:type="pct"/>
            <w:tcBorders>
              <w:top w:val="single" w:sz="4" w:space="0" w:color="auto"/>
              <w:left w:val="single" w:sz="4" w:space="0" w:color="auto"/>
              <w:bottom w:val="single" w:sz="4" w:space="0" w:color="auto"/>
              <w:right w:val="single" w:sz="4" w:space="0" w:color="auto"/>
            </w:tcBorders>
            <w:vAlign w:val="center"/>
          </w:tcPr>
          <w:p w14:paraId="1E4A4F67"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Kapitalni projekt K100802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3D4E7A7" w14:textId="77777777" w:rsidR="0081662F" w:rsidRPr="00D0532A" w:rsidRDefault="0081662F" w:rsidP="00EB2357">
            <w:pPr>
              <w:spacing w:after="0" w:line="240" w:lineRule="auto"/>
              <w:rPr>
                <w:rFonts w:ascii="Times New Roman" w:hAnsi="Times New Roman" w:cs="Times New Roman"/>
                <w:lang w:eastAsia="hr-HR"/>
              </w:rPr>
            </w:pPr>
            <w:r w:rsidRPr="00D0532A">
              <w:rPr>
                <w:rFonts w:ascii="Times New Roman" w:eastAsia="Calibri" w:hAnsi="Times New Roman" w:cs="Times New Roman"/>
              </w:rPr>
              <w:t>Nogometna igrališta</w:t>
            </w:r>
          </w:p>
        </w:tc>
        <w:tc>
          <w:tcPr>
            <w:tcW w:w="777" w:type="pct"/>
            <w:tcBorders>
              <w:top w:val="nil"/>
              <w:left w:val="nil"/>
              <w:bottom w:val="single" w:sz="4" w:space="0" w:color="auto"/>
              <w:right w:val="single" w:sz="4" w:space="0" w:color="auto"/>
            </w:tcBorders>
            <w:shd w:val="clear" w:color="auto" w:fill="auto"/>
            <w:noWrap/>
          </w:tcPr>
          <w:p w14:paraId="39C7C537" w14:textId="77777777" w:rsidR="0081662F" w:rsidRPr="00D0532A" w:rsidRDefault="0081662F" w:rsidP="00EB2357">
            <w:pPr>
              <w:spacing w:after="0" w:line="240" w:lineRule="auto"/>
              <w:ind w:right="36"/>
              <w:jc w:val="right"/>
              <w:rPr>
                <w:rFonts w:ascii="Times New Roman" w:hAnsi="Times New Roman" w:cs="Times New Roman"/>
                <w:lang w:eastAsia="hr-HR"/>
              </w:rPr>
            </w:pPr>
            <w:r w:rsidRPr="00D0532A">
              <w:rPr>
                <w:rFonts w:ascii="Times New Roman" w:hAnsi="Times New Roman" w:cs="Times New Roman"/>
              </w:rPr>
              <w:t>46.500,00</w:t>
            </w:r>
          </w:p>
        </w:tc>
        <w:tc>
          <w:tcPr>
            <w:tcW w:w="636" w:type="pct"/>
            <w:tcBorders>
              <w:top w:val="nil"/>
              <w:left w:val="nil"/>
              <w:bottom w:val="single" w:sz="4" w:space="0" w:color="auto"/>
              <w:right w:val="single" w:sz="4" w:space="0" w:color="auto"/>
            </w:tcBorders>
            <w:shd w:val="clear" w:color="auto" w:fill="auto"/>
            <w:noWrap/>
            <w:vAlign w:val="center"/>
          </w:tcPr>
          <w:p w14:paraId="3FE596C3" w14:textId="77777777" w:rsidR="0081662F" w:rsidRPr="00D0532A" w:rsidRDefault="0081662F" w:rsidP="00EB2357">
            <w:pPr>
              <w:spacing w:after="0" w:line="240" w:lineRule="auto"/>
              <w:ind w:right="36"/>
              <w:jc w:val="right"/>
              <w:rPr>
                <w:rFonts w:ascii="Times New Roman" w:hAnsi="Times New Roman" w:cs="Times New Roman"/>
                <w:lang w:eastAsia="hr-HR"/>
              </w:rPr>
            </w:pPr>
            <w:r w:rsidRPr="00D0532A">
              <w:rPr>
                <w:rFonts w:ascii="Times New Roman" w:hAnsi="Times New Roman" w:cs="Times New Roman"/>
                <w:lang w:eastAsia="hr-HR"/>
              </w:rPr>
              <w:t>45.680,00</w:t>
            </w:r>
          </w:p>
        </w:tc>
        <w:tc>
          <w:tcPr>
            <w:tcW w:w="705" w:type="pct"/>
            <w:tcBorders>
              <w:top w:val="nil"/>
              <w:left w:val="nil"/>
              <w:bottom w:val="single" w:sz="4" w:space="0" w:color="auto"/>
              <w:right w:val="single" w:sz="4" w:space="0" w:color="auto"/>
            </w:tcBorders>
            <w:vAlign w:val="center"/>
          </w:tcPr>
          <w:p w14:paraId="65D59120" w14:textId="77777777" w:rsidR="0081662F" w:rsidRPr="00D0532A" w:rsidRDefault="0081662F" w:rsidP="00EB2357">
            <w:pPr>
              <w:spacing w:after="0" w:line="240" w:lineRule="auto"/>
              <w:ind w:right="36"/>
              <w:jc w:val="right"/>
              <w:rPr>
                <w:rFonts w:ascii="Times New Roman" w:hAnsi="Times New Roman" w:cs="Times New Roman"/>
                <w:lang w:eastAsia="hr-HR"/>
              </w:rPr>
            </w:pPr>
            <w:r w:rsidRPr="00D0532A">
              <w:rPr>
                <w:rFonts w:ascii="Times New Roman" w:hAnsi="Times New Roman" w:cs="Times New Roman"/>
                <w:lang w:eastAsia="hr-HR"/>
              </w:rPr>
              <w:t>98,24%</w:t>
            </w:r>
          </w:p>
        </w:tc>
      </w:tr>
    </w:tbl>
    <w:p w14:paraId="63CC16D5" w14:textId="77777777" w:rsidR="0081662F" w:rsidRPr="00D0532A" w:rsidRDefault="0081662F" w:rsidP="0081662F">
      <w:pPr>
        <w:spacing w:after="0" w:line="240" w:lineRule="auto"/>
        <w:jc w:val="both"/>
        <w:rPr>
          <w:rFonts w:ascii="Times New Roman" w:eastAsia="Calibri" w:hAnsi="Times New Roman" w:cs="Times New Roman"/>
        </w:rPr>
      </w:pPr>
    </w:p>
    <w:p w14:paraId="2794E038" w14:textId="77777777" w:rsidR="0081662F" w:rsidRPr="00D0532A" w:rsidRDefault="0081662F" w:rsidP="0081662F">
      <w:pPr>
        <w:spacing w:after="0" w:line="240" w:lineRule="auto"/>
        <w:jc w:val="both"/>
        <w:rPr>
          <w:rFonts w:ascii="Times New Roman" w:eastAsia="Calibri" w:hAnsi="Times New Roman" w:cs="Times New Roman"/>
          <w:b/>
          <w:bCs/>
        </w:rPr>
      </w:pPr>
      <w:r w:rsidRPr="00D0532A">
        <w:rPr>
          <w:rFonts w:ascii="Times New Roman" w:eastAsia="Calibri" w:hAnsi="Times New Roman" w:cs="Times New Roman"/>
          <w:b/>
          <w:bCs/>
        </w:rPr>
        <w:t>1.5.1. Aktivnost A100801 Djelatnost Sportske zajednice</w:t>
      </w:r>
    </w:p>
    <w:p w14:paraId="156A7AF8" w14:textId="77777777" w:rsidR="0081662F" w:rsidRPr="00D0532A" w:rsidRDefault="0081662F" w:rsidP="0081662F">
      <w:pPr>
        <w:spacing w:after="0" w:line="240" w:lineRule="auto"/>
        <w:jc w:val="both"/>
        <w:rPr>
          <w:rFonts w:ascii="Times New Roman" w:eastAsia="Calibri"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1740"/>
        <w:gridCol w:w="2111"/>
        <w:gridCol w:w="1310"/>
        <w:gridCol w:w="1247"/>
        <w:gridCol w:w="1247"/>
      </w:tblGrid>
      <w:tr w:rsidR="0081662F" w:rsidRPr="00D0532A" w14:paraId="50590301" w14:textId="77777777" w:rsidTr="00EB2357">
        <w:tc>
          <w:tcPr>
            <w:tcW w:w="776" w:type="pct"/>
            <w:shd w:val="clear" w:color="auto" w:fill="D1D1D1"/>
          </w:tcPr>
          <w:p w14:paraId="30FC3F88"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Pokazatelj rezultata</w:t>
            </w:r>
          </w:p>
        </w:tc>
        <w:tc>
          <w:tcPr>
            <w:tcW w:w="960" w:type="pct"/>
            <w:shd w:val="clear" w:color="auto" w:fill="D1D1D1"/>
          </w:tcPr>
          <w:p w14:paraId="581E0A2A"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Definicija pokazatelja</w:t>
            </w:r>
          </w:p>
        </w:tc>
        <w:tc>
          <w:tcPr>
            <w:tcW w:w="1165" w:type="pct"/>
            <w:shd w:val="clear" w:color="auto" w:fill="D1D1D1"/>
          </w:tcPr>
          <w:p w14:paraId="1378CB39"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jedinica</w:t>
            </w:r>
          </w:p>
        </w:tc>
        <w:tc>
          <w:tcPr>
            <w:tcW w:w="723" w:type="pct"/>
            <w:shd w:val="clear" w:color="auto" w:fill="D1D1D1"/>
          </w:tcPr>
          <w:p w14:paraId="1C18F4A5"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Polazna vrijednost</w:t>
            </w:r>
          </w:p>
          <w:p w14:paraId="046E147E"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2024.</w:t>
            </w:r>
          </w:p>
        </w:tc>
        <w:tc>
          <w:tcPr>
            <w:tcW w:w="688" w:type="pct"/>
            <w:shd w:val="clear" w:color="auto" w:fill="D1D1D1"/>
          </w:tcPr>
          <w:p w14:paraId="0E14E23E"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Izvršenje</w:t>
            </w:r>
          </w:p>
        </w:tc>
        <w:tc>
          <w:tcPr>
            <w:tcW w:w="688" w:type="pct"/>
            <w:shd w:val="clear" w:color="auto" w:fill="D1D1D1"/>
          </w:tcPr>
          <w:p w14:paraId="52382E67"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Indeks</w:t>
            </w:r>
          </w:p>
        </w:tc>
      </w:tr>
      <w:tr w:rsidR="0081662F" w:rsidRPr="00D0532A" w14:paraId="3896703A" w14:textId="77777777" w:rsidTr="00EB2357">
        <w:tc>
          <w:tcPr>
            <w:tcW w:w="776" w:type="pct"/>
            <w:shd w:val="clear" w:color="auto" w:fill="auto"/>
          </w:tcPr>
          <w:p w14:paraId="01D51230"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 xml:space="preserve">Povećanje financijskih sredstava </w:t>
            </w:r>
          </w:p>
        </w:tc>
        <w:tc>
          <w:tcPr>
            <w:tcW w:w="960" w:type="pct"/>
            <w:shd w:val="clear" w:color="auto" w:fill="auto"/>
          </w:tcPr>
          <w:p w14:paraId="6627603A"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 xml:space="preserve">Povećanje financijskih sredstava radi poboljšanja uvjeta za razvoj sporta </w:t>
            </w:r>
          </w:p>
        </w:tc>
        <w:tc>
          <w:tcPr>
            <w:tcW w:w="1165" w:type="pct"/>
            <w:shd w:val="clear" w:color="auto" w:fill="auto"/>
          </w:tcPr>
          <w:p w14:paraId="0FA37208"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Povećanje/%</w:t>
            </w:r>
          </w:p>
        </w:tc>
        <w:tc>
          <w:tcPr>
            <w:tcW w:w="723" w:type="pct"/>
            <w:shd w:val="clear" w:color="auto" w:fill="auto"/>
          </w:tcPr>
          <w:p w14:paraId="0C5A6909"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4,5</w:t>
            </w:r>
          </w:p>
        </w:tc>
        <w:tc>
          <w:tcPr>
            <w:tcW w:w="688" w:type="pct"/>
            <w:shd w:val="clear" w:color="auto" w:fill="auto"/>
          </w:tcPr>
          <w:p w14:paraId="037C46BB"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27,42</w:t>
            </w:r>
          </w:p>
        </w:tc>
        <w:tc>
          <w:tcPr>
            <w:tcW w:w="688" w:type="pct"/>
            <w:shd w:val="clear" w:color="auto" w:fill="auto"/>
          </w:tcPr>
          <w:p w14:paraId="51B219D9"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609,</w:t>
            </w:r>
            <w:r>
              <w:rPr>
                <w:rFonts w:ascii="Times New Roman" w:eastAsia="Calibri" w:hAnsi="Times New Roman" w:cs="Times New Roman"/>
              </w:rPr>
              <w:t>41</w:t>
            </w:r>
            <w:r w:rsidRPr="00D0532A">
              <w:rPr>
                <w:rFonts w:ascii="Times New Roman" w:eastAsia="Calibri" w:hAnsi="Times New Roman" w:cs="Times New Roman"/>
              </w:rPr>
              <w:t>%</w:t>
            </w:r>
          </w:p>
        </w:tc>
      </w:tr>
    </w:tbl>
    <w:p w14:paraId="7E5C251A" w14:textId="77777777" w:rsidR="0081662F" w:rsidRPr="00D0532A" w:rsidRDefault="0081662F" w:rsidP="0081662F">
      <w:pPr>
        <w:spacing w:after="0" w:line="240" w:lineRule="auto"/>
        <w:rPr>
          <w:rFonts w:ascii="Times New Roman" w:eastAsia="Calibri" w:hAnsi="Times New Roman" w:cs="Times New Roman"/>
          <w:color w:val="FF0000"/>
        </w:rPr>
      </w:pPr>
    </w:p>
    <w:p w14:paraId="300853F4" w14:textId="77777777" w:rsidR="0081662F" w:rsidRPr="00D0532A" w:rsidRDefault="0081662F" w:rsidP="0081662F">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1.5.4. Kapitalni projekt K100802 Nogometna igrališta</w:t>
      </w:r>
    </w:p>
    <w:p w14:paraId="4A8974B5" w14:textId="77777777" w:rsidR="0081662F" w:rsidRPr="00D0532A" w:rsidRDefault="0081662F" w:rsidP="0081662F">
      <w:pPr>
        <w:spacing w:after="0" w:line="240" w:lineRule="auto"/>
        <w:jc w:val="both"/>
        <w:rPr>
          <w:rFonts w:ascii="Times New Roman" w:eastAsia="Calibri" w:hAnsi="Times New Roman" w:cs="Times New Roman"/>
        </w:rPr>
      </w:pPr>
      <w:r w:rsidRPr="00D0532A">
        <w:rPr>
          <w:rFonts w:ascii="Times New Roman" w:eastAsia="Calibri" w:hAnsi="Times New Roman" w:cs="Times New Roman"/>
        </w:rPr>
        <w:t xml:space="preserve">Ugovorom o kupoprodaji nekretnine Grad je stekao u vlasništvo nekretninu koja se nalazi na k.č.br. 20. u k.o. </w:t>
      </w:r>
      <w:proofErr w:type="spellStart"/>
      <w:r w:rsidRPr="00D0532A">
        <w:rPr>
          <w:rFonts w:ascii="Times New Roman" w:eastAsia="Calibri" w:hAnsi="Times New Roman" w:cs="Times New Roman"/>
        </w:rPr>
        <w:t>Kaniška</w:t>
      </w:r>
      <w:proofErr w:type="spellEnd"/>
      <w:r w:rsidRPr="00D0532A">
        <w:rPr>
          <w:rFonts w:ascii="Times New Roman" w:eastAsia="Calibri" w:hAnsi="Times New Roman" w:cs="Times New Roman"/>
        </w:rPr>
        <w:t xml:space="preserve"> Iva od sveukupno 3.479m² , te Ugovorom o darovanju nekretnine nekretninu koja se nalazi na k.č.br. 1367/2 u k.o. </w:t>
      </w:r>
      <w:proofErr w:type="spellStart"/>
      <w:r w:rsidRPr="00D0532A">
        <w:rPr>
          <w:rFonts w:ascii="Times New Roman" w:eastAsia="Calibri" w:hAnsi="Times New Roman" w:cs="Times New Roman"/>
        </w:rPr>
        <w:t>Kaniška</w:t>
      </w:r>
      <w:proofErr w:type="spellEnd"/>
      <w:r w:rsidRPr="00D0532A">
        <w:rPr>
          <w:rFonts w:ascii="Times New Roman" w:eastAsia="Calibri" w:hAnsi="Times New Roman" w:cs="Times New Roman"/>
        </w:rPr>
        <w:t xml:space="preserve"> Iva od sveukupno 22.016 m², a koja su u naravi nogometn</w:t>
      </w:r>
      <w:r>
        <w:rPr>
          <w:rFonts w:ascii="Times New Roman" w:eastAsia="Calibri" w:hAnsi="Times New Roman" w:cs="Times New Roman"/>
        </w:rPr>
        <w:t>a</w:t>
      </w:r>
      <w:r w:rsidRPr="00D0532A">
        <w:rPr>
          <w:rFonts w:ascii="Times New Roman" w:eastAsia="Calibri" w:hAnsi="Times New Roman" w:cs="Times New Roman"/>
        </w:rPr>
        <w:t xml:space="preserve"> igrališta u naselju </w:t>
      </w:r>
      <w:proofErr w:type="spellStart"/>
      <w:r w:rsidRPr="00D0532A">
        <w:rPr>
          <w:rFonts w:ascii="Times New Roman" w:eastAsia="Calibri" w:hAnsi="Times New Roman" w:cs="Times New Roman"/>
        </w:rPr>
        <w:t>Kaniška</w:t>
      </w:r>
      <w:proofErr w:type="spellEnd"/>
      <w:r w:rsidRPr="00D0532A">
        <w:rPr>
          <w:rFonts w:ascii="Times New Roman" w:eastAsia="Calibri" w:hAnsi="Times New Roman" w:cs="Times New Roman"/>
        </w:rPr>
        <w:t xml:space="preserve"> Iva.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725"/>
        <w:gridCol w:w="2062"/>
        <w:gridCol w:w="1308"/>
        <w:gridCol w:w="1308"/>
        <w:gridCol w:w="1308"/>
      </w:tblGrid>
      <w:tr w:rsidR="0081662F" w:rsidRPr="00D0532A" w14:paraId="5205A89E" w14:textId="77777777" w:rsidTr="00EB2357">
        <w:tc>
          <w:tcPr>
            <w:tcW w:w="744" w:type="pct"/>
            <w:shd w:val="clear" w:color="auto" w:fill="D1D1D1"/>
          </w:tcPr>
          <w:p w14:paraId="164F1F05"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Pokazatelj rezultata</w:t>
            </w:r>
          </w:p>
        </w:tc>
        <w:tc>
          <w:tcPr>
            <w:tcW w:w="952" w:type="pct"/>
            <w:shd w:val="clear" w:color="auto" w:fill="D1D1D1"/>
          </w:tcPr>
          <w:p w14:paraId="7465BF6E"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Definicija pokazatelja</w:t>
            </w:r>
          </w:p>
        </w:tc>
        <w:tc>
          <w:tcPr>
            <w:tcW w:w="1138" w:type="pct"/>
            <w:shd w:val="clear" w:color="auto" w:fill="D1D1D1"/>
          </w:tcPr>
          <w:p w14:paraId="7E6DDD23"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jedinica</w:t>
            </w:r>
          </w:p>
        </w:tc>
        <w:tc>
          <w:tcPr>
            <w:tcW w:w="722" w:type="pct"/>
            <w:shd w:val="clear" w:color="auto" w:fill="D1D1D1"/>
          </w:tcPr>
          <w:p w14:paraId="57C9836C"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Ciljana vrijednost</w:t>
            </w:r>
          </w:p>
          <w:p w14:paraId="68C39BE0"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2024.</w:t>
            </w:r>
          </w:p>
        </w:tc>
        <w:tc>
          <w:tcPr>
            <w:tcW w:w="722" w:type="pct"/>
            <w:shd w:val="clear" w:color="auto" w:fill="D1D1D1"/>
          </w:tcPr>
          <w:p w14:paraId="333FD1D1"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Izvršenje</w:t>
            </w:r>
          </w:p>
        </w:tc>
        <w:tc>
          <w:tcPr>
            <w:tcW w:w="722" w:type="pct"/>
            <w:shd w:val="clear" w:color="auto" w:fill="D1D1D1"/>
          </w:tcPr>
          <w:p w14:paraId="326118EA"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Indeks</w:t>
            </w:r>
          </w:p>
        </w:tc>
      </w:tr>
      <w:tr w:rsidR="0081662F" w:rsidRPr="00D0532A" w14:paraId="12E1633C" w14:textId="77777777" w:rsidTr="00EB2357">
        <w:tc>
          <w:tcPr>
            <w:tcW w:w="744" w:type="pct"/>
            <w:shd w:val="clear" w:color="auto" w:fill="auto"/>
          </w:tcPr>
          <w:p w14:paraId="3E22868C"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 xml:space="preserve">Povećanje stjecanja vlasništva na </w:t>
            </w:r>
            <w:proofErr w:type="spellStart"/>
            <w:r w:rsidRPr="00D0532A">
              <w:rPr>
                <w:rFonts w:ascii="Times New Roman" w:eastAsia="Calibri" w:hAnsi="Times New Roman" w:cs="Times New Roman"/>
              </w:rPr>
              <w:t>k.č</w:t>
            </w:r>
            <w:proofErr w:type="spellEnd"/>
            <w:r w:rsidRPr="00D0532A">
              <w:rPr>
                <w:rFonts w:ascii="Times New Roman" w:eastAsia="Calibri" w:hAnsi="Times New Roman" w:cs="Times New Roman"/>
              </w:rPr>
              <w:t>.</w:t>
            </w:r>
          </w:p>
        </w:tc>
        <w:tc>
          <w:tcPr>
            <w:tcW w:w="952" w:type="pct"/>
            <w:shd w:val="clear" w:color="auto" w:fill="auto"/>
          </w:tcPr>
          <w:p w14:paraId="4D9077D5"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Vlasništvo</w:t>
            </w:r>
          </w:p>
        </w:tc>
        <w:tc>
          <w:tcPr>
            <w:tcW w:w="1138" w:type="pct"/>
            <w:shd w:val="clear" w:color="auto" w:fill="auto"/>
          </w:tcPr>
          <w:p w14:paraId="3A521174"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 xml:space="preserve">Broj </w:t>
            </w:r>
          </w:p>
        </w:tc>
        <w:tc>
          <w:tcPr>
            <w:tcW w:w="722" w:type="pct"/>
            <w:shd w:val="clear" w:color="auto" w:fill="auto"/>
          </w:tcPr>
          <w:p w14:paraId="79745844"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2</w:t>
            </w:r>
          </w:p>
        </w:tc>
        <w:tc>
          <w:tcPr>
            <w:tcW w:w="722" w:type="pct"/>
            <w:shd w:val="clear" w:color="auto" w:fill="auto"/>
          </w:tcPr>
          <w:p w14:paraId="7F6B33B1"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2</w:t>
            </w:r>
          </w:p>
        </w:tc>
        <w:tc>
          <w:tcPr>
            <w:tcW w:w="722" w:type="pct"/>
            <w:shd w:val="clear" w:color="auto" w:fill="auto"/>
          </w:tcPr>
          <w:p w14:paraId="4EAB0B68"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100,00%</w:t>
            </w:r>
          </w:p>
        </w:tc>
      </w:tr>
    </w:tbl>
    <w:p w14:paraId="6BA8AF17" w14:textId="77777777" w:rsidR="0081662F" w:rsidRPr="00D0532A" w:rsidRDefault="0081662F" w:rsidP="0081662F">
      <w:pPr>
        <w:spacing w:after="0" w:line="240" w:lineRule="auto"/>
        <w:rPr>
          <w:rFonts w:ascii="Times New Roman" w:eastAsia="Calibri" w:hAnsi="Times New Roman" w:cs="Times New Roman"/>
          <w:color w:val="FF0000"/>
        </w:rPr>
      </w:pPr>
    </w:p>
    <w:p w14:paraId="4151EB55" w14:textId="77777777" w:rsidR="0081662F" w:rsidRPr="00D0532A" w:rsidRDefault="0081662F" w:rsidP="0081662F">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1.6. Program 1013 Javne potrebe u zdravstvu</w:t>
      </w:r>
    </w:p>
    <w:tbl>
      <w:tblPr>
        <w:tblpPr w:leftFromText="180" w:rightFromText="180" w:vertAnchor="text" w:horzAnchor="margin" w:tblpY="187"/>
        <w:tblW w:w="9271" w:type="dxa"/>
        <w:tblLook w:val="04A0" w:firstRow="1" w:lastRow="0" w:firstColumn="1" w:lastColumn="0" w:noHBand="0" w:noVBand="1"/>
      </w:tblPr>
      <w:tblGrid>
        <w:gridCol w:w="2043"/>
        <w:gridCol w:w="3555"/>
        <w:gridCol w:w="1257"/>
        <w:gridCol w:w="1208"/>
        <w:gridCol w:w="1208"/>
      </w:tblGrid>
      <w:tr w:rsidR="0081662F" w:rsidRPr="00D0532A" w14:paraId="0AAC500F" w14:textId="77777777" w:rsidTr="00EB2357">
        <w:trPr>
          <w:trHeight w:val="564"/>
        </w:trPr>
        <w:tc>
          <w:tcPr>
            <w:tcW w:w="5598" w:type="dxa"/>
            <w:gridSpan w:val="2"/>
            <w:tcBorders>
              <w:top w:val="single" w:sz="4" w:space="0" w:color="auto"/>
              <w:left w:val="single" w:sz="4" w:space="0" w:color="auto"/>
              <w:bottom w:val="single" w:sz="4" w:space="0" w:color="auto"/>
              <w:right w:val="single" w:sz="4" w:space="0" w:color="auto"/>
            </w:tcBorders>
            <w:shd w:val="clear" w:color="auto" w:fill="D9D9D9"/>
          </w:tcPr>
          <w:p w14:paraId="7EBDFDF5"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Naziv programa/aktivnosti/projekta</w:t>
            </w:r>
          </w:p>
        </w:tc>
        <w:tc>
          <w:tcPr>
            <w:tcW w:w="1257" w:type="dxa"/>
            <w:tcBorders>
              <w:top w:val="single" w:sz="4" w:space="0" w:color="auto"/>
              <w:left w:val="nil"/>
              <w:bottom w:val="single" w:sz="4" w:space="0" w:color="auto"/>
              <w:right w:val="single" w:sz="4" w:space="0" w:color="auto"/>
            </w:tcBorders>
            <w:shd w:val="clear" w:color="auto" w:fill="D9D9D9"/>
            <w:vAlign w:val="center"/>
          </w:tcPr>
          <w:p w14:paraId="59C4974A"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Rebalans 2024.</w:t>
            </w:r>
          </w:p>
        </w:tc>
        <w:tc>
          <w:tcPr>
            <w:tcW w:w="1208" w:type="dxa"/>
            <w:tcBorders>
              <w:top w:val="single" w:sz="4" w:space="0" w:color="auto"/>
              <w:left w:val="nil"/>
              <w:bottom w:val="single" w:sz="4" w:space="0" w:color="auto"/>
              <w:right w:val="single" w:sz="4" w:space="0" w:color="auto"/>
            </w:tcBorders>
            <w:shd w:val="clear" w:color="auto" w:fill="D9D9D9"/>
          </w:tcPr>
          <w:p w14:paraId="65ECD250"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Izvršenje</w:t>
            </w:r>
          </w:p>
          <w:p w14:paraId="494D3E7F"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2024.</w:t>
            </w:r>
          </w:p>
        </w:tc>
        <w:tc>
          <w:tcPr>
            <w:tcW w:w="1208" w:type="dxa"/>
            <w:tcBorders>
              <w:top w:val="single" w:sz="4" w:space="0" w:color="auto"/>
              <w:left w:val="nil"/>
              <w:bottom w:val="single" w:sz="4" w:space="0" w:color="auto"/>
              <w:right w:val="single" w:sz="4" w:space="0" w:color="auto"/>
            </w:tcBorders>
            <w:shd w:val="clear" w:color="auto" w:fill="D9D9D9"/>
          </w:tcPr>
          <w:p w14:paraId="33637C82"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Indeks</w:t>
            </w:r>
          </w:p>
        </w:tc>
      </w:tr>
      <w:tr w:rsidR="0081662F" w:rsidRPr="00D0532A" w14:paraId="0A3B59BD" w14:textId="77777777" w:rsidTr="00EB2357">
        <w:trPr>
          <w:trHeight w:val="269"/>
        </w:trPr>
        <w:tc>
          <w:tcPr>
            <w:tcW w:w="2043" w:type="dxa"/>
            <w:tcBorders>
              <w:top w:val="single" w:sz="4" w:space="0" w:color="auto"/>
              <w:left w:val="single" w:sz="4" w:space="0" w:color="auto"/>
              <w:bottom w:val="single" w:sz="4" w:space="0" w:color="auto"/>
              <w:right w:val="single" w:sz="4" w:space="0" w:color="auto"/>
            </w:tcBorders>
            <w:shd w:val="clear" w:color="auto" w:fill="D9D9D9"/>
            <w:vAlign w:val="center"/>
          </w:tcPr>
          <w:p w14:paraId="0F881835"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Program 013</w:t>
            </w:r>
          </w:p>
        </w:tc>
        <w:tc>
          <w:tcPr>
            <w:tcW w:w="3555" w:type="dxa"/>
            <w:tcBorders>
              <w:top w:val="single" w:sz="4" w:space="0" w:color="auto"/>
              <w:left w:val="single" w:sz="4" w:space="0" w:color="auto"/>
              <w:bottom w:val="single" w:sz="4" w:space="0" w:color="auto"/>
              <w:right w:val="single" w:sz="4" w:space="0" w:color="auto"/>
            </w:tcBorders>
            <w:shd w:val="clear" w:color="auto" w:fill="D9D9D9"/>
            <w:vAlign w:val="center"/>
          </w:tcPr>
          <w:p w14:paraId="73156B0A" w14:textId="77777777" w:rsidR="0081662F" w:rsidRPr="00D0532A" w:rsidRDefault="0081662F" w:rsidP="00EB2357">
            <w:pPr>
              <w:spacing w:after="0" w:line="240" w:lineRule="auto"/>
              <w:rPr>
                <w:rFonts w:ascii="Times New Roman" w:hAnsi="Times New Roman" w:cs="Times New Roman"/>
                <w:b/>
                <w:bCs/>
                <w:lang w:eastAsia="hr-HR"/>
              </w:rPr>
            </w:pPr>
            <w:r w:rsidRPr="00D0532A">
              <w:rPr>
                <w:rFonts w:ascii="Times New Roman" w:eastAsia="Calibri" w:hAnsi="Times New Roman" w:cs="Times New Roman"/>
                <w:b/>
                <w:bCs/>
              </w:rPr>
              <w:t>Javne potrebe u zdravstvu</w:t>
            </w:r>
          </w:p>
        </w:tc>
        <w:tc>
          <w:tcPr>
            <w:tcW w:w="1257" w:type="dxa"/>
            <w:tcBorders>
              <w:top w:val="nil"/>
              <w:left w:val="nil"/>
              <w:bottom w:val="single" w:sz="4" w:space="0" w:color="auto"/>
              <w:right w:val="single" w:sz="4" w:space="0" w:color="auto"/>
            </w:tcBorders>
            <w:shd w:val="clear" w:color="auto" w:fill="D9D9D9"/>
            <w:vAlign w:val="center"/>
          </w:tcPr>
          <w:p w14:paraId="17B84AE8" w14:textId="77777777" w:rsidR="0081662F" w:rsidRPr="00D0532A" w:rsidRDefault="0081662F" w:rsidP="00EB2357">
            <w:pPr>
              <w:spacing w:after="0" w:line="240" w:lineRule="auto"/>
              <w:ind w:right="36"/>
              <w:jc w:val="center"/>
              <w:rPr>
                <w:rFonts w:ascii="Times New Roman" w:hAnsi="Times New Roman" w:cs="Times New Roman"/>
                <w:b/>
                <w:bCs/>
                <w:lang w:eastAsia="hr-HR"/>
              </w:rPr>
            </w:pPr>
            <w:r w:rsidRPr="00D0532A">
              <w:rPr>
                <w:rFonts w:ascii="Times New Roman" w:eastAsia="Calibri" w:hAnsi="Times New Roman" w:cs="Times New Roman"/>
                <w:b/>
                <w:bCs/>
              </w:rPr>
              <w:t>7.150,00</w:t>
            </w:r>
          </w:p>
        </w:tc>
        <w:tc>
          <w:tcPr>
            <w:tcW w:w="1208" w:type="dxa"/>
            <w:tcBorders>
              <w:top w:val="nil"/>
              <w:left w:val="nil"/>
              <w:bottom w:val="single" w:sz="4" w:space="0" w:color="auto"/>
              <w:right w:val="single" w:sz="4" w:space="0" w:color="auto"/>
            </w:tcBorders>
            <w:shd w:val="clear" w:color="auto" w:fill="D9D9D9"/>
            <w:vAlign w:val="center"/>
          </w:tcPr>
          <w:p w14:paraId="141E6BE5" w14:textId="77777777" w:rsidR="0081662F" w:rsidRPr="00D0532A" w:rsidRDefault="0081662F" w:rsidP="00EB2357">
            <w:pPr>
              <w:spacing w:after="0" w:line="240" w:lineRule="auto"/>
              <w:ind w:right="36"/>
              <w:jc w:val="center"/>
              <w:rPr>
                <w:rFonts w:ascii="Times New Roman" w:eastAsia="Calibri" w:hAnsi="Times New Roman" w:cs="Times New Roman"/>
                <w:b/>
                <w:bCs/>
              </w:rPr>
            </w:pPr>
            <w:r w:rsidRPr="00D0532A">
              <w:rPr>
                <w:rFonts w:ascii="Times New Roman" w:eastAsia="Calibri" w:hAnsi="Times New Roman" w:cs="Times New Roman"/>
                <w:b/>
                <w:bCs/>
              </w:rPr>
              <w:t>6.135,50</w:t>
            </w:r>
          </w:p>
        </w:tc>
        <w:tc>
          <w:tcPr>
            <w:tcW w:w="1208" w:type="dxa"/>
            <w:tcBorders>
              <w:top w:val="nil"/>
              <w:left w:val="nil"/>
              <w:bottom w:val="single" w:sz="4" w:space="0" w:color="auto"/>
              <w:right w:val="single" w:sz="4" w:space="0" w:color="auto"/>
            </w:tcBorders>
            <w:shd w:val="clear" w:color="auto" w:fill="D9D9D9"/>
            <w:vAlign w:val="center"/>
          </w:tcPr>
          <w:p w14:paraId="6E1DD9D9" w14:textId="77777777" w:rsidR="0081662F" w:rsidRPr="00D0532A" w:rsidRDefault="0081662F" w:rsidP="00EB2357">
            <w:pPr>
              <w:spacing w:after="0" w:line="240" w:lineRule="auto"/>
              <w:ind w:right="36"/>
              <w:jc w:val="center"/>
              <w:rPr>
                <w:rFonts w:ascii="Times New Roman" w:eastAsia="Calibri" w:hAnsi="Times New Roman" w:cs="Times New Roman"/>
                <w:b/>
                <w:bCs/>
              </w:rPr>
            </w:pPr>
            <w:r w:rsidRPr="00D0532A">
              <w:rPr>
                <w:rFonts w:ascii="Times New Roman" w:eastAsia="Calibri" w:hAnsi="Times New Roman" w:cs="Times New Roman"/>
                <w:b/>
                <w:bCs/>
              </w:rPr>
              <w:t>85,81%</w:t>
            </w:r>
          </w:p>
        </w:tc>
      </w:tr>
      <w:tr w:rsidR="0081662F" w:rsidRPr="00D0532A" w14:paraId="3386656A" w14:textId="77777777" w:rsidTr="00EB2357">
        <w:trPr>
          <w:trHeight w:val="269"/>
        </w:trPr>
        <w:tc>
          <w:tcPr>
            <w:tcW w:w="2043" w:type="dxa"/>
            <w:tcBorders>
              <w:top w:val="single" w:sz="4" w:space="0" w:color="auto"/>
              <w:left w:val="single" w:sz="4" w:space="0" w:color="auto"/>
              <w:bottom w:val="single" w:sz="4" w:space="0" w:color="auto"/>
              <w:right w:val="single" w:sz="4" w:space="0" w:color="auto"/>
            </w:tcBorders>
            <w:vAlign w:val="center"/>
          </w:tcPr>
          <w:p w14:paraId="21EE5D89"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Aktivnost A101303</w:t>
            </w:r>
          </w:p>
        </w:tc>
        <w:tc>
          <w:tcPr>
            <w:tcW w:w="3555" w:type="dxa"/>
            <w:tcBorders>
              <w:top w:val="single" w:sz="4" w:space="0" w:color="auto"/>
              <w:left w:val="single" w:sz="4" w:space="0" w:color="auto"/>
              <w:bottom w:val="single" w:sz="4" w:space="0" w:color="auto"/>
              <w:right w:val="single" w:sz="4" w:space="0" w:color="auto"/>
            </w:tcBorders>
            <w:shd w:val="clear" w:color="auto" w:fill="auto"/>
            <w:vAlign w:val="center"/>
          </w:tcPr>
          <w:p w14:paraId="50871B3F" w14:textId="77777777" w:rsidR="0081662F" w:rsidRPr="00D0532A" w:rsidRDefault="0081662F" w:rsidP="00EB2357">
            <w:pPr>
              <w:spacing w:after="0" w:line="240" w:lineRule="auto"/>
              <w:jc w:val="center"/>
              <w:rPr>
                <w:rFonts w:ascii="Times New Roman" w:hAnsi="Times New Roman" w:cs="Times New Roman"/>
                <w:lang w:eastAsia="hr-HR"/>
              </w:rPr>
            </w:pPr>
            <w:r w:rsidRPr="00D0532A">
              <w:rPr>
                <w:rFonts w:ascii="Times New Roman" w:eastAsia="Calibri" w:hAnsi="Times New Roman" w:cs="Times New Roman"/>
              </w:rPr>
              <w:t>Stipendije za deficitarna zanimanja - liječnici</w:t>
            </w:r>
          </w:p>
        </w:tc>
        <w:tc>
          <w:tcPr>
            <w:tcW w:w="1257" w:type="dxa"/>
            <w:tcBorders>
              <w:top w:val="nil"/>
              <w:left w:val="nil"/>
              <w:bottom w:val="single" w:sz="4" w:space="0" w:color="auto"/>
              <w:right w:val="single" w:sz="4" w:space="0" w:color="auto"/>
            </w:tcBorders>
            <w:vAlign w:val="center"/>
          </w:tcPr>
          <w:p w14:paraId="6A2D2EDA"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eastAsia="Calibri" w:hAnsi="Times New Roman" w:cs="Times New Roman"/>
              </w:rPr>
              <w:t>2.600,00</w:t>
            </w:r>
          </w:p>
        </w:tc>
        <w:tc>
          <w:tcPr>
            <w:tcW w:w="1208" w:type="dxa"/>
            <w:tcBorders>
              <w:top w:val="nil"/>
              <w:left w:val="nil"/>
              <w:bottom w:val="single" w:sz="4" w:space="0" w:color="auto"/>
              <w:right w:val="single" w:sz="4" w:space="0" w:color="auto"/>
            </w:tcBorders>
            <w:vAlign w:val="center"/>
          </w:tcPr>
          <w:p w14:paraId="626B61C5" w14:textId="77777777" w:rsidR="0081662F" w:rsidRPr="00D0532A" w:rsidRDefault="0081662F" w:rsidP="00EB2357">
            <w:pPr>
              <w:spacing w:after="0" w:line="240" w:lineRule="auto"/>
              <w:ind w:right="36"/>
              <w:jc w:val="center"/>
              <w:rPr>
                <w:rFonts w:ascii="Times New Roman" w:eastAsia="Calibri" w:hAnsi="Times New Roman" w:cs="Times New Roman"/>
              </w:rPr>
            </w:pPr>
            <w:r w:rsidRPr="00D0532A">
              <w:rPr>
                <w:rFonts w:ascii="Times New Roman" w:eastAsia="Calibri" w:hAnsi="Times New Roman" w:cs="Times New Roman"/>
              </w:rPr>
              <w:t>1.600,00</w:t>
            </w:r>
          </w:p>
        </w:tc>
        <w:tc>
          <w:tcPr>
            <w:tcW w:w="1208" w:type="dxa"/>
            <w:tcBorders>
              <w:top w:val="nil"/>
              <w:left w:val="nil"/>
              <w:bottom w:val="single" w:sz="4" w:space="0" w:color="auto"/>
              <w:right w:val="single" w:sz="4" w:space="0" w:color="auto"/>
            </w:tcBorders>
            <w:vAlign w:val="center"/>
          </w:tcPr>
          <w:p w14:paraId="4C92B714" w14:textId="77777777" w:rsidR="0081662F" w:rsidRPr="00D0532A" w:rsidRDefault="0081662F" w:rsidP="00EB2357">
            <w:pPr>
              <w:spacing w:after="0" w:line="240" w:lineRule="auto"/>
              <w:ind w:right="36"/>
              <w:jc w:val="center"/>
              <w:rPr>
                <w:rFonts w:ascii="Times New Roman" w:eastAsia="Calibri" w:hAnsi="Times New Roman" w:cs="Times New Roman"/>
              </w:rPr>
            </w:pPr>
            <w:r w:rsidRPr="00D0532A">
              <w:rPr>
                <w:rFonts w:ascii="Times New Roman" w:eastAsia="Calibri" w:hAnsi="Times New Roman" w:cs="Times New Roman"/>
              </w:rPr>
              <w:t>61,54%</w:t>
            </w:r>
          </w:p>
        </w:tc>
      </w:tr>
      <w:tr w:rsidR="0081662F" w:rsidRPr="00D0532A" w14:paraId="1E079290" w14:textId="77777777" w:rsidTr="00EB2357">
        <w:trPr>
          <w:trHeight w:val="269"/>
        </w:trPr>
        <w:tc>
          <w:tcPr>
            <w:tcW w:w="2043" w:type="dxa"/>
            <w:tcBorders>
              <w:top w:val="single" w:sz="4" w:space="0" w:color="auto"/>
              <w:left w:val="single" w:sz="4" w:space="0" w:color="auto"/>
              <w:bottom w:val="single" w:sz="4" w:space="0" w:color="auto"/>
              <w:right w:val="single" w:sz="4" w:space="0" w:color="auto"/>
            </w:tcBorders>
            <w:vAlign w:val="center"/>
          </w:tcPr>
          <w:p w14:paraId="45ED639B"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Aktivnost A101304</w:t>
            </w:r>
          </w:p>
        </w:tc>
        <w:tc>
          <w:tcPr>
            <w:tcW w:w="3555" w:type="dxa"/>
            <w:tcBorders>
              <w:top w:val="single" w:sz="4" w:space="0" w:color="auto"/>
              <w:left w:val="single" w:sz="4" w:space="0" w:color="auto"/>
              <w:bottom w:val="single" w:sz="4" w:space="0" w:color="auto"/>
              <w:right w:val="single" w:sz="4" w:space="0" w:color="auto"/>
            </w:tcBorders>
            <w:shd w:val="clear" w:color="auto" w:fill="auto"/>
            <w:vAlign w:val="center"/>
          </w:tcPr>
          <w:p w14:paraId="3F1311D1" w14:textId="77777777" w:rsidR="0081662F" w:rsidRPr="00D0532A" w:rsidRDefault="0081662F" w:rsidP="00EB2357">
            <w:pPr>
              <w:spacing w:after="0" w:line="240" w:lineRule="auto"/>
              <w:jc w:val="center"/>
              <w:rPr>
                <w:rFonts w:ascii="Times New Roman" w:hAnsi="Times New Roman" w:cs="Times New Roman"/>
                <w:lang w:eastAsia="hr-HR"/>
              </w:rPr>
            </w:pPr>
            <w:r w:rsidRPr="00D0532A">
              <w:rPr>
                <w:rFonts w:ascii="Times New Roman" w:eastAsia="Calibri" w:hAnsi="Times New Roman" w:cs="Times New Roman"/>
              </w:rPr>
              <w:t>Financiranje smještaja za liječnika opće medicine</w:t>
            </w:r>
          </w:p>
        </w:tc>
        <w:tc>
          <w:tcPr>
            <w:tcW w:w="1257" w:type="dxa"/>
            <w:tcBorders>
              <w:top w:val="nil"/>
              <w:left w:val="nil"/>
              <w:bottom w:val="single" w:sz="4" w:space="0" w:color="auto"/>
              <w:right w:val="single" w:sz="4" w:space="0" w:color="auto"/>
            </w:tcBorders>
            <w:vAlign w:val="center"/>
          </w:tcPr>
          <w:p w14:paraId="599F56F7"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eastAsia="Calibri" w:hAnsi="Times New Roman" w:cs="Times New Roman"/>
              </w:rPr>
              <w:t>1.550,00</w:t>
            </w:r>
          </w:p>
        </w:tc>
        <w:tc>
          <w:tcPr>
            <w:tcW w:w="1208" w:type="dxa"/>
            <w:tcBorders>
              <w:top w:val="nil"/>
              <w:left w:val="nil"/>
              <w:bottom w:val="single" w:sz="4" w:space="0" w:color="auto"/>
              <w:right w:val="single" w:sz="4" w:space="0" w:color="auto"/>
            </w:tcBorders>
            <w:vAlign w:val="center"/>
          </w:tcPr>
          <w:p w14:paraId="50D82BFA" w14:textId="77777777" w:rsidR="0081662F" w:rsidRPr="00D0532A" w:rsidRDefault="0081662F" w:rsidP="00EB2357">
            <w:pPr>
              <w:spacing w:after="0" w:line="240" w:lineRule="auto"/>
              <w:ind w:right="36"/>
              <w:jc w:val="center"/>
              <w:rPr>
                <w:rFonts w:ascii="Times New Roman" w:eastAsia="Calibri" w:hAnsi="Times New Roman" w:cs="Times New Roman"/>
              </w:rPr>
            </w:pPr>
            <w:r w:rsidRPr="00D0532A">
              <w:rPr>
                <w:rFonts w:ascii="Times New Roman" w:eastAsia="Calibri" w:hAnsi="Times New Roman" w:cs="Times New Roman"/>
              </w:rPr>
              <w:t>1.535,50</w:t>
            </w:r>
          </w:p>
        </w:tc>
        <w:tc>
          <w:tcPr>
            <w:tcW w:w="1208" w:type="dxa"/>
            <w:tcBorders>
              <w:top w:val="nil"/>
              <w:left w:val="nil"/>
              <w:bottom w:val="single" w:sz="4" w:space="0" w:color="auto"/>
              <w:right w:val="single" w:sz="4" w:space="0" w:color="auto"/>
            </w:tcBorders>
            <w:vAlign w:val="center"/>
          </w:tcPr>
          <w:p w14:paraId="101C0564" w14:textId="77777777" w:rsidR="0081662F" w:rsidRPr="00D0532A" w:rsidRDefault="0081662F" w:rsidP="00EB2357">
            <w:pPr>
              <w:spacing w:after="0" w:line="240" w:lineRule="auto"/>
              <w:ind w:right="36"/>
              <w:jc w:val="center"/>
              <w:rPr>
                <w:rFonts w:ascii="Times New Roman" w:eastAsia="Calibri" w:hAnsi="Times New Roman" w:cs="Times New Roman"/>
              </w:rPr>
            </w:pPr>
            <w:r w:rsidRPr="00D0532A">
              <w:rPr>
                <w:rFonts w:ascii="Times New Roman" w:eastAsia="Calibri" w:hAnsi="Times New Roman" w:cs="Times New Roman"/>
              </w:rPr>
              <w:t>99,06%</w:t>
            </w:r>
          </w:p>
        </w:tc>
      </w:tr>
      <w:tr w:rsidR="0081662F" w:rsidRPr="00D0532A" w14:paraId="6D0F5410" w14:textId="77777777" w:rsidTr="00EB2357">
        <w:trPr>
          <w:trHeight w:val="269"/>
        </w:trPr>
        <w:tc>
          <w:tcPr>
            <w:tcW w:w="2043" w:type="dxa"/>
            <w:tcBorders>
              <w:top w:val="single" w:sz="4" w:space="0" w:color="auto"/>
              <w:left w:val="single" w:sz="4" w:space="0" w:color="auto"/>
              <w:bottom w:val="single" w:sz="4" w:space="0" w:color="auto"/>
              <w:right w:val="single" w:sz="4" w:space="0" w:color="auto"/>
            </w:tcBorders>
            <w:vAlign w:val="center"/>
          </w:tcPr>
          <w:p w14:paraId="238E71DC"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Aktivnost A101305</w:t>
            </w:r>
          </w:p>
        </w:tc>
        <w:tc>
          <w:tcPr>
            <w:tcW w:w="3555" w:type="dxa"/>
            <w:tcBorders>
              <w:top w:val="single" w:sz="4" w:space="0" w:color="auto"/>
              <w:left w:val="single" w:sz="4" w:space="0" w:color="auto"/>
              <w:bottom w:val="single" w:sz="4" w:space="0" w:color="auto"/>
              <w:right w:val="single" w:sz="4" w:space="0" w:color="auto"/>
            </w:tcBorders>
            <w:shd w:val="clear" w:color="auto" w:fill="auto"/>
            <w:vAlign w:val="center"/>
          </w:tcPr>
          <w:p w14:paraId="2AB2CCB4" w14:textId="77777777" w:rsidR="0081662F" w:rsidRPr="00D0532A" w:rsidRDefault="0081662F" w:rsidP="00EB2357">
            <w:pPr>
              <w:spacing w:after="0" w:line="240" w:lineRule="auto"/>
              <w:jc w:val="center"/>
              <w:rPr>
                <w:rFonts w:ascii="Times New Roman" w:hAnsi="Times New Roman" w:cs="Times New Roman"/>
                <w:lang w:eastAsia="hr-HR"/>
              </w:rPr>
            </w:pPr>
            <w:r w:rsidRPr="00D0532A">
              <w:rPr>
                <w:rFonts w:ascii="Times New Roman" w:eastAsia="Calibri" w:hAnsi="Times New Roman" w:cs="Times New Roman"/>
              </w:rPr>
              <w:t>Jednokratna nagrada liječnicima u prvoj godini rada na području Grada Garešnice</w:t>
            </w:r>
          </w:p>
        </w:tc>
        <w:tc>
          <w:tcPr>
            <w:tcW w:w="1257" w:type="dxa"/>
            <w:tcBorders>
              <w:top w:val="nil"/>
              <w:left w:val="nil"/>
              <w:bottom w:val="single" w:sz="4" w:space="0" w:color="auto"/>
              <w:right w:val="single" w:sz="4" w:space="0" w:color="auto"/>
            </w:tcBorders>
            <w:vAlign w:val="center"/>
          </w:tcPr>
          <w:p w14:paraId="2863EFAE"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eastAsia="Calibri" w:hAnsi="Times New Roman" w:cs="Times New Roman"/>
              </w:rPr>
              <w:t>3.000,00</w:t>
            </w:r>
          </w:p>
        </w:tc>
        <w:tc>
          <w:tcPr>
            <w:tcW w:w="1208" w:type="dxa"/>
            <w:tcBorders>
              <w:top w:val="nil"/>
              <w:left w:val="nil"/>
              <w:bottom w:val="single" w:sz="4" w:space="0" w:color="auto"/>
              <w:right w:val="single" w:sz="4" w:space="0" w:color="auto"/>
            </w:tcBorders>
            <w:vAlign w:val="center"/>
          </w:tcPr>
          <w:p w14:paraId="1CEEBB55" w14:textId="77777777" w:rsidR="0081662F" w:rsidRPr="00D0532A" w:rsidRDefault="0081662F" w:rsidP="00EB2357">
            <w:pPr>
              <w:spacing w:after="0" w:line="240" w:lineRule="auto"/>
              <w:ind w:right="36"/>
              <w:jc w:val="center"/>
              <w:rPr>
                <w:rFonts w:ascii="Times New Roman" w:eastAsia="Calibri" w:hAnsi="Times New Roman" w:cs="Times New Roman"/>
              </w:rPr>
            </w:pPr>
          </w:p>
          <w:p w14:paraId="0D956C8C" w14:textId="77777777" w:rsidR="0081662F" w:rsidRPr="00D0532A" w:rsidRDefault="0081662F" w:rsidP="00EB2357">
            <w:pPr>
              <w:spacing w:after="0" w:line="240" w:lineRule="auto"/>
              <w:ind w:right="36"/>
              <w:jc w:val="center"/>
              <w:rPr>
                <w:rFonts w:ascii="Times New Roman" w:eastAsia="Calibri" w:hAnsi="Times New Roman" w:cs="Times New Roman"/>
              </w:rPr>
            </w:pPr>
            <w:r w:rsidRPr="00D0532A">
              <w:rPr>
                <w:rFonts w:ascii="Times New Roman" w:eastAsia="Calibri" w:hAnsi="Times New Roman" w:cs="Times New Roman"/>
              </w:rPr>
              <w:t>3.000,00</w:t>
            </w:r>
          </w:p>
        </w:tc>
        <w:tc>
          <w:tcPr>
            <w:tcW w:w="1208" w:type="dxa"/>
            <w:tcBorders>
              <w:top w:val="nil"/>
              <w:left w:val="nil"/>
              <w:bottom w:val="single" w:sz="4" w:space="0" w:color="auto"/>
              <w:right w:val="single" w:sz="4" w:space="0" w:color="auto"/>
            </w:tcBorders>
            <w:vAlign w:val="center"/>
          </w:tcPr>
          <w:p w14:paraId="3871E0F8" w14:textId="77777777" w:rsidR="0081662F" w:rsidRPr="00D0532A" w:rsidRDefault="0081662F" w:rsidP="00EB2357">
            <w:pPr>
              <w:spacing w:after="0" w:line="240" w:lineRule="auto"/>
              <w:ind w:right="36"/>
              <w:jc w:val="center"/>
              <w:rPr>
                <w:rFonts w:ascii="Times New Roman" w:eastAsia="Calibri" w:hAnsi="Times New Roman" w:cs="Times New Roman"/>
              </w:rPr>
            </w:pPr>
          </w:p>
          <w:p w14:paraId="03D06715" w14:textId="77777777" w:rsidR="0081662F" w:rsidRPr="00D0532A" w:rsidRDefault="0081662F" w:rsidP="00EB2357">
            <w:pPr>
              <w:spacing w:after="0" w:line="240" w:lineRule="auto"/>
              <w:ind w:right="36"/>
              <w:jc w:val="center"/>
              <w:rPr>
                <w:rFonts w:ascii="Times New Roman" w:eastAsia="Calibri" w:hAnsi="Times New Roman" w:cs="Times New Roman"/>
              </w:rPr>
            </w:pPr>
            <w:r w:rsidRPr="00D0532A">
              <w:rPr>
                <w:rFonts w:ascii="Times New Roman" w:eastAsia="Calibri" w:hAnsi="Times New Roman" w:cs="Times New Roman"/>
              </w:rPr>
              <w:t>100,00%</w:t>
            </w:r>
          </w:p>
        </w:tc>
      </w:tr>
    </w:tbl>
    <w:p w14:paraId="0018D5F0" w14:textId="77777777" w:rsidR="0081662F" w:rsidRPr="00D0532A" w:rsidRDefault="0081662F" w:rsidP="0081662F">
      <w:pPr>
        <w:spacing w:after="0" w:line="240" w:lineRule="auto"/>
        <w:jc w:val="both"/>
        <w:rPr>
          <w:rFonts w:ascii="Times New Roman" w:eastAsia="Calibri" w:hAnsi="Times New Roman" w:cs="Times New Roman"/>
          <w:b/>
          <w:bCs/>
          <w:color w:val="FF0000"/>
        </w:rPr>
      </w:pPr>
    </w:p>
    <w:p w14:paraId="53D40FDC" w14:textId="77777777" w:rsidR="0081662F" w:rsidRPr="00D0532A" w:rsidRDefault="0081662F" w:rsidP="0081662F">
      <w:pPr>
        <w:spacing w:after="0" w:line="240" w:lineRule="auto"/>
        <w:jc w:val="both"/>
        <w:rPr>
          <w:rFonts w:ascii="Times New Roman" w:eastAsia="Calibri" w:hAnsi="Times New Roman" w:cs="Times New Roman"/>
          <w:b/>
          <w:bCs/>
        </w:rPr>
      </w:pPr>
      <w:r w:rsidRPr="00D0532A">
        <w:rPr>
          <w:rFonts w:ascii="Times New Roman" w:eastAsia="Calibri" w:hAnsi="Times New Roman" w:cs="Times New Roman"/>
          <w:b/>
          <w:bCs/>
        </w:rPr>
        <w:t>1.6.2. Aktivnost A101303 Stipendije za deficitarna zanimanja – liječnici</w:t>
      </w:r>
    </w:p>
    <w:p w14:paraId="09714331" w14:textId="4F4A88BA" w:rsidR="0081662F" w:rsidRPr="00D0532A" w:rsidRDefault="0081662F" w:rsidP="0081662F">
      <w:pPr>
        <w:spacing w:after="0" w:line="240" w:lineRule="auto"/>
        <w:jc w:val="both"/>
        <w:rPr>
          <w:rFonts w:ascii="Times New Roman" w:eastAsia="Calibri" w:hAnsi="Times New Roman" w:cs="Times New Roman"/>
        </w:rPr>
      </w:pPr>
      <w:r w:rsidRPr="00D0532A">
        <w:rPr>
          <w:rFonts w:ascii="Times New Roman" w:eastAsia="Calibri" w:hAnsi="Times New Roman" w:cs="Times New Roman"/>
        </w:rPr>
        <w:t>U 2024. godini zadržan je jedan Ugovor o dodjeli stipendije za defici</w:t>
      </w:r>
      <w:r w:rsidR="001D39EA">
        <w:rPr>
          <w:rFonts w:ascii="Times New Roman" w:eastAsia="Calibri" w:hAnsi="Times New Roman" w:cs="Times New Roman"/>
        </w:rPr>
        <w:t>tarna</w:t>
      </w:r>
      <w:r w:rsidRPr="00D0532A">
        <w:rPr>
          <w:rFonts w:ascii="Times New Roman" w:eastAsia="Calibri" w:hAnsi="Times New Roman" w:cs="Times New Roman"/>
        </w:rPr>
        <w:t xml:space="preserve"> zanimanja- liječnik iz 2018. godine koji je istekao polovinom 2024. godine. Na javni natječaj </w:t>
      </w:r>
      <w:r w:rsidRPr="00D0532A">
        <w:rPr>
          <w:rFonts w:ascii="Times New Roman" w:hAnsi="Times New Roman" w:cs="Times New Roman"/>
        </w:rPr>
        <w:t xml:space="preserve">za dodjelu stipendija u školskoj/akademskoj godini 2024./2025, </w:t>
      </w:r>
      <w:r w:rsidRPr="00D0532A">
        <w:rPr>
          <w:rFonts w:ascii="Times New Roman" w:eastAsia="Calibri" w:hAnsi="Times New Roman" w:cs="Times New Roman"/>
        </w:rPr>
        <w:t xml:space="preserve">koji je objavljen u listopadu 2024. godine, nije bilo prijavljenih kandidata za </w:t>
      </w:r>
      <w:r w:rsidR="001D39EA" w:rsidRPr="00D0532A">
        <w:rPr>
          <w:rFonts w:ascii="Times New Roman" w:eastAsia="Calibri" w:hAnsi="Times New Roman" w:cs="Times New Roman"/>
        </w:rPr>
        <w:t>defici</w:t>
      </w:r>
      <w:r w:rsidR="001D39EA">
        <w:rPr>
          <w:rFonts w:ascii="Times New Roman" w:eastAsia="Calibri" w:hAnsi="Times New Roman" w:cs="Times New Roman"/>
        </w:rPr>
        <w:t>t</w:t>
      </w:r>
      <w:r w:rsidR="001D39EA" w:rsidRPr="00D0532A">
        <w:rPr>
          <w:rFonts w:ascii="Times New Roman" w:eastAsia="Calibri" w:hAnsi="Times New Roman" w:cs="Times New Roman"/>
        </w:rPr>
        <w:t>a</w:t>
      </w:r>
      <w:r w:rsidR="001D39EA">
        <w:rPr>
          <w:rFonts w:ascii="Times New Roman" w:eastAsia="Calibri" w:hAnsi="Times New Roman" w:cs="Times New Roman"/>
        </w:rPr>
        <w:t>rna</w:t>
      </w:r>
      <w:r w:rsidRPr="00D0532A">
        <w:rPr>
          <w:rFonts w:ascii="Times New Roman" w:eastAsia="Calibri" w:hAnsi="Times New Roman" w:cs="Times New Roman"/>
        </w:rPr>
        <w:t xml:space="preserve"> zanimanja.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1474"/>
        <w:gridCol w:w="1783"/>
        <w:gridCol w:w="1321"/>
        <w:gridCol w:w="1283"/>
        <w:gridCol w:w="1283"/>
      </w:tblGrid>
      <w:tr w:rsidR="0081662F" w:rsidRPr="00D0532A" w14:paraId="4AD032C6" w14:textId="77777777" w:rsidTr="00EB2357">
        <w:tc>
          <w:tcPr>
            <w:tcW w:w="1057" w:type="pct"/>
            <w:shd w:val="clear" w:color="auto" w:fill="D1D1D1"/>
          </w:tcPr>
          <w:p w14:paraId="592B6EDD"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Pokazatelj rezultata</w:t>
            </w:r>
          </w:p>
        </w:tc>
        <w:tc>
          <w:tcPr>
            <w:tcW w:w="813" w:type="pct"/>
            <w:shd w:val="clear" w:color="auto" w:fill="D1D1D1"/>
          </w:tcPr>
          <w:p w14:paraId="7248F9BC"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Definicija pokazatelja</w:t>
            </w:r>
          </w:p>
        </w:tc>
        <w:tc>
          <w:tcPr>
            <w:tcW w:w="984" w:type="pct"/>
            <w:shd w:val="clear" w:color="auto" w:fill="D1D1D1"/>
          </w:tcPr>
          <w:p w14:paraId="74A19F40"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jedinica</w:t>
            </w:r>
          </w:p>
        </w:tc>
        <w:tc>
          <w:tcPr>
            <w:tcW w:w="729" w:type="pct"/>
            <w:shd w:val="clear" w:color="auto" w:fill="D1D1D1"/>
          </w:tcPr>
          <w:p w14:paraId="77674120"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Polazna vrijednost</w:t>
            </w:r>
          </w:p>
          <w:p w14:paraId="4F3A5199"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2024.</w:t>
            </w:r>
          </w:p>
        </w:tc>
        <w:tc>
          <w:tcPr>
            <w:tcW w:w="708" w:type="pct"/>
            <w:shd w:val="clear" w:color="auto" w:fill="D1D1D1"/>
          </w:tcPr>
          <w:p w14:paraId="0B5946DB"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Izvršeno</w:t>
            </w:r>
          </w:p>
        </w:tc>
        <w:tc>
          <w:tcPr>
            <w:tcW w:w="708" w:type="pct"/>
            <w:shd w:val="clear" w:color="auto" w:fill="D1D1D1"/>
          </w:tcPr>
          <w:p w14:paraId="7B000517"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Indeks</w:t>
            </w:r>
          </w:p>
        </w:tc>
      </w:tr>
      <w:tr w:rsidR="0081662F" w:rsidRPr="00D0532A" w14:paraId="7B89434E" w14:textId="77777777" w:rsidTr="00EB2357">
        <w:tc>
          <w:tcPr>
            <w:tcW w:w="1057" w:type="pct"/>
            <w:shd w:val="clear" w:color="auto" w:fill="auto"/>
          </w:tcPr>
          <w:p w14:paraId="3038B3AB"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Povećanje broja mladih liječnika</w:t>
            </w:r>
          </w:p>
        </w:tc>
        <w:tc>
          <w:tcPr>
            <w:tcW w:w="813" w:type="pct"/>
            <w:shd w:val="clear" w:color="auto" w:fill="auto"/>
          </w:tcPr>
          <w:p w14:paraId="0A516384"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Broj mladih liječnika koji nakon studija ostaju na području Grada Garešnice</w:t>
            </w:r>
          </w:p>
        </w:tc>
        <w:tc>
          <w:tcPr>
            <w:tcW w:w="984" w:type="pct"/>
            <w:shd w:val="clear" w:color="auto" w:fill="auto"/>
          </w:tcPr>
          <w:p w14:paraId="6F6381DD"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Broj liječnika</w:t>
            </w:r>
          </w:p>
          <w:p w14:paraId="5779DCFE" w14:textId="77777777" w:rsidR="0081662F" w:rsidRPr="00D0532A" w:rsidRDefault="0081662F" w:rsidP="00EB2357">
            <w:pPr>
              <w:spacing w:after="0" w:line="240" w:lineRule="auto"/>
              <w:rPr>
                <w:rFonts w:ascii="Times New Roman" w:eastAsia="Calibri" w:hAnsi="Times New Roman" w:cs="Times New Roman"/>
              </w:rPr>
            </w:pPr>
          </w:p>
        </w:tc>
        <w:tc>
          <w:tcPr>
            <w:tcW w:w="729" w:type="pct"/>
            <w:shd w:val="clear" w:color="auto" w:fill="auto"/>
          </w:tcPr>
          <w:p w14:paraId="791FD0B7"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1</w:t>
            </w:r>
          </w:p>
        </w:tc>
        <w:tc>
          <w:tcPr>
            <w:tcW w:w="708" w:type="pct"/>
            <w:shd w:val="clear" w:color="auto" w:fill="auto"/>
          </w:tcPr>
          <w:p w14:paraId="5496F184"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0</w:t>
            </w:r>
          </w:p>
        </w:tc>
        <w:tc>
          <w:tcPr>
            <w:tcW w:w="708" w:type="pct"/>
            <w:shd w:val="clear" w:color="auto" w:fill="auto"/>
          </w:tcPr>
          <w:p w14:paraId="3DBC4AAA"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0%</w:t>
            </w:r>
          </w:p>
        </w:tc>
      </w:tr>
    </w:tbl>
    <w:p w14:paraId="5BE80896" w14:textId="77777777" w:rsidR="0081662F" w:rsidRPr="00D0532A" w:rsidRDefault="0081662F" w:rsidP="0081662F">
      <w:pPr>
        <w:spacing w:after="0" w:line="240" w:lineRule="auto"/>
        <w:jc w:val="both"/>
        <w:rPr>
          <w:rFonts w:ascii="Times New Roman" w:eastAsia="Calibri" w:hAnsi="Times New Roman" w:cs="Times New Roman"/>
          <w:color w:val="FF0000"/>
        </w:rPr>
      </w:pPr>
    </w:p>
    <w:p w14:paraId="6F9E4911" w14:textId="77777777" w:rsidR="0081662F" w:rsidRPr="00D0532A" w:rsidRDefault="0081662F" w:rsidP="0081662F">
      <w:pPr>
        <w:spacing w:after="0" w:line="240" w:lineRule="auto"/>
        <w:jc w:val="both"/>
        <w:rPr>
          <w:rFonts w:ascii="Times New Roman" w:eastAsia="Calibri" w:hAnsi="Times New Roman" w:cs="Times New Roman"/>
          <w:b/>
          <w:bCs/>
        </w:rPr>
      </w:pPr>
      <w:r w:rsidRPr="00D0532A">
        <w:rPr>
          <w:rFonts w:ascii="Times New Roman" w:eastAsia="Calibri" w:hAnsi="Times New Roman" w:cs="Times New Roman"/>
          <w:b/>
          <w:bCs/>
        </w:rPr>
        <w:t>1.6.3. Aktivnost A101304 Financiranje smještaja za liječnike opće medicine</w:t>
      </w:r>
    </w:p>
    <w:p w14:paraId="26660491" w14:textId="77777777" w:rsidR="0081662F" w:rsidRPr="00D0532A" w:rsidRDefault="0081662F" w:rsidP="0081662F">
      <w:pPr>
        <w:spacing w:after="0" w:line="240" w:lineRule="auto"/>
        <w:jc w:val="both"/>
        <w:rPr>
          <w:rFonts w:ascii="Times New Roman" w:eastAsia="Calibri" w:hAnsi="Times New Roman" w:cs="Times New Roman"/>
        </w:rPr>
      </w:pPr>
      <w:r w:rsidRPr="00D0532A">
        <w:rPr>
          <w:rFonts w:ascii="Times New Roman" w:eastAsia="Calibri" w:hAnsi="Times New Roman" w:cs="Times New Roman"/>
        </w:rPr>
        <w:t xml:space="preserve">Sukladno Programu za mlade liječnike zaposlene na području Grada Garešnice, odnosno raspisanom javnom pozivu za liječnike zaposlene na području Grada Garešnice, financirana su dva smještaja za liječnike opće medicine, i to za Mjeru 1.1 pomoć pri rješavanju stambenog pitanja subvencioniranjem troškova stanovanja u stanu u vlasništvu Grada Garešnice te za Mjeru </w:t>
      </w:r>
      <w:r w:rsidRPr="00D0532A">
        <w:rPr>
          <w:rFonts w:ascii="Times New Roman" w:hAnsi="Times New Roman" w:cs="Times New Roman"/>
          <w:noProof/>
        </w:rPr>
        <w:t>1.3. pomoć pri rješavanju stambenog pitanja subvencioniranjem troškova stanovanja za nekretnine koje nisu u vlasništvu Grada Garešnice.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461"/>
        <w:gridCol w:w="1769"/>
        <w:gridCol w:w="1310"/>
        <w:gridCol w:w="1310"/>
        <w:gridCol w:w="1310"/>
      </w:tblGrid>
      <w:tr w:rsidR="0081662F" w:rsidRPr="00D0532A" w14:paraId="3696CAD1" w14:textId="77777777" w:rsidTr="00EB2357">
        <w:tc>
          <w:tcPr>
            <w:tcW w:w="1048" w:type="pct"/>
            <w:shd w:val="clear" w:color="auto" w:fill="D1D1D1"/>
          </w:tcPr>
          <w:p w14:paraId="32C9FE07"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Pokazatelj rezultata</w:t>
            </w:r>
          </w:p>
        </w:tc>
        <w:tc>
          <w:tcPr>
            <w:tcW w:w="806" w:type="pct"/>
            <w:shd w:val="clear" w:color="auto" w:fill="D1D1D1"/>
          </w:tcPr>
          <w:p w14:paraId="0A2313BC"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Definicija pokazatelja</w:t>
            </w:r>
          </w:p>
        </w:tc>
        <w:tc>
          <w:tcPr>
            <w:tcW w:w="976" w:type="pct"/>
            <w:shd w:val="clear" w:color="auto" w:fill="D1D1D1"/>
          </w:tcPr>
          <w:p w14:paraId="7EB8C7D1"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jedinica</w:t>
            </w:r>
          </w:p>
        </w:tc>
        <w:tc>
          <w:tcPr>
            <w:tcW w:w="723" w:type="pct"/>
            <w:shd w:val="clear" w:color="auto" w:fill="D1D1D1"/>
          </w:tcPr>
          <w:p w14:paraId="11D6A9CB"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Ciljana vrijednost</w:t>
            </w:r>
          </w:p>
          <w:p w14:paraId="733C96CD"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2024.</w:t>
            </w:r>
          </w:p>
        </w:tc>
        <w:tc>
          <w:tcPr>
            <w:tcW w:w="723" w:type="pct"/>
            <w:shd w:val="clear" w:color="auto" w:fill="D1D1D1"/>
          </w:tcPr>
          <w:p w14:paraId="7672304E"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Izvršeno</w:t>
            </w:r>
          </w:p>
        </w:tc>
        <w:tc>
          <w:tcPr>
            <w:tcW w:w="723" w:type="pct"/>
            <w:shd w:val="clear" w:color="auto" w:fill="D1D1D1"/>
          </w:tcPr>
          <w:p w14:paraId="15B407AA"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Indeks</w:t>
            </w:r>
          </w:p>
        </w:tc>
      </w:tr>
      <w:tr w:rsidR="0081662F" w:rsidRPr="00D0532A" w14:paraId="09CA6B2B" w14:textId="77777777" w:rsidTr="00EB2357">
        <w:tc>
          <w:tcPr>
            <w:tcW w:w="1048" w:type="pct"/>
            <w:shd w:val="clear" w:color="auto" w:fill="auto"/>
          </w:tcPr>
          <w:p w14:paraId="51EF8765"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 xml:space="preserve">Održati broj ugovora o korištenju stana </w:t>
            </w:r>
          </w:p>
        </w:tc>
        <w:tc>
          <w:tcPr>
            <w:tcW w:w="806" w:type="pct"/>
            <w:shd w:val="clear" w:color="auto" w:fill="auto"/>
          </w:tcPr>
          <w:p w14:paraId="6D2A14DD"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Broj ugovora o korištenju stana zaključenih između Grada Garešnice i liječnika</w:t>
            </w:r>
          </w:p>
        </w:tc>
        <w:tc>
          <w:tcPr>
            <w:tcW w:w="976" w:type="pct"/>
            <w:shd w:val="clear" w:color="auto" w:fill="auto"/>
          </w:tcPr>
          <w:p w14:paraId="026F6710"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Broj ugovora/kom</w:t>
            </w:r>
          </w:p>
          <w:p w14:paraId="06D17F32" w14:textId="77777777" w:rsidR="0081662F" w:rsidRPr="00D0532A" w:rsidRDefault="0081662F" w:rsidP="00EB2357">
            <w:pPr>
              <w:spacing w:after="0" w:line="240" w:lineRule="auto"/>
              <w:rPr>
                <w:rFonts w:ascii="Times New Roman" w:eastAsia="Calibri" w:hAnsi="Times New Roman" w:cs="Times New Roman"/>
              </w:rPr>
            </w:pPr>
          </w:p>
        </w:tc>
        <w:tc>
          <w:tcPr>
            <w:tcW w:w="723" w:type="pct"/>
            <w:shd w:val="clear" w:color="auto" w:fill="auto"/>
          </w:tcPr>
          <w:p w14:paraId="2E09655A"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2</w:t>
            </w:r>
          </w:p>
        </w:tc>
        <w:tc>
          <w:tcPr>
            <w:tcW w:w="723" w:type="pct"/>
            <w:shd w:val="clear" w:color="auto" w:fill="auto"/>
          </w:tcPr>
          <w:p w14:paraId="39820368"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2</w:t>
            </w:r>
          </w:p>
        </w:tc>
        <w:tc>
          <w:tcPr>
            <w:tcW w:w="723" w:type="pct"/>
            <w:shd w:val="clear" w:color="auto" w:fill="auto"/>
          </w:tcPr>
          <w:p w14:paraId="4BC96F94"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100%</w:t>
            </w:r>
          </w:p>
        </w:tc>
      </w:tr>
    </w:tbl>
    <w:p w14:paraId="357E0166" w14:textId="77777777" w:rsidR="0081662F" w:rsidRPr="00D0532A" w:rsidRDefault="0081662F" w:rsidP="0081662F">
      <w:pPr>
        <w:spacing w:after="0" w:line="240" w:lineRule="auto"/>
        <w:jc w:val="both"/>
        <w:rPr>
          <w:rFonts w:ascii="Times New Roman" w:eastAsia="Calibri" w:hAnsi="Times New Roman" w:cs="Times New Roman"/>
          <w:color w:val="FF0000"/>
        </w:rPr>
      </w:pPr>
    </w:p>
    <w:p w14:paraId="3E088969" w14:textId="77777777" w:rsidR="0081662F" w:rsidRPr="00D0532A" w:rsidRDefault="0081662F" w:rsidP="0081662F">
      <w:pPr>
        <w:spacing w:after="0" w:line="240" w:lineRule="auto"/>
        <w:jc w:val="both"/>
        <w:rPr>
          <w:rFonts w:ascii="Times New Roman" w:eastAsia="Calibri" w:hAnsi="Times New Roman" w:cs="Times New Roman"/>
          <w:b/>
          <w:bCs/>
        </w:rPr>
      </w:pPr>
      <w:r w:rsidRPr="00D0532A">
        <w:rPr>
          <w:rFonts w:ascii="Times New Roman" w:eastAsia="Calibri" w:hAnsi="Times New Roman" w:cs="Times New Roman"/>
          <w:b/>
          <w:bCs/>
        </w:rPr>
        <w:t>1.6.4. Aktivnost A101305 Jednokratna nagrada liječnicima u prvoj godini rada na području Grada Garešnice</w:t>
      </w:r>
    </w:p>
    <w:p w14:paraId="688C5570" w14:textId="77777777" w:rsidR="0081662F" w:rsidRPr="00D0532A" w:rsidRDefault="0081662F" w:rsidP="0081662F">
      <w:pPr>
        <w:spacing w:after="0" w:line="240" w:lineRule="auto"/>
        <w:jc w:val="both"/>
        <w:rPr>
          <w:rFonts w:ascii="Times New Roman" w:eastAsia="Calibri" w:hAnsi="Times New Roman" w:cs="Times New Roman"/>
        </w:rPr>
      </w:pPr>
      <w:r w:rsidRPr="00D0532A">
        <w:rPr>
          <w:rFonts w:ascii="Times New Roman" w:eastAsia="Calibri" w:hAnsi="Times New Roman" w:cs="Times New Roman"/>
        </w:rPr>
        <w:t>U 2024. godini Grad je sukladno objavljenom Javnom pozivu za liječnike zaposlene na području Grada Garešnice sklopio jedan Ugovor o dodjeli nagrade liječnicima u prvoj godini rada u iznosu od 3.000,00 eura.</w:t>
      </w:r>
    </w:p>
    <w:p w14:paraId="6AB690C9" w14:textId="77777777" w:rsidR="0081662F" w:rsidRPr="00D0532A" w:rsidRDefault="0081662F" w:rsidP="0081662F">
      <w:pPr>
        <w:spacing w:after="0" w:line="240" w:lineRule="auto"/>
        <w:jc w:val="both"/>
        <w:rPr>
          <w:rFonts w:ascii="Times New Roman" w:eastAsia="Calibri"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8"/>
        <w:gridCol w:w="1472"/>
        <w:gridCol w:w="1766"/>
        <w:gridCol w:w="1308"/>
        <w:gridCol w:w="1308"/>
        <w:gridCol w:w="1308"/>
      </w:tblGrid>
      <w:tr w:rsidR="0081662F" w:rsidRPr="00D0532A" w14:paraId="05C3CC6F" w14:textId="77777777" w:rsidTr="00EB2357">
        <w:tc>
          <w:tcPr>
            <w:tcW w:w="1047" w:type="pct"/>
            <w:shd w:val="clear" w:color="auto" w:fill="D1D1D1"/>
          </w:tcPr>
          <w:p w14:paraId="78DD6CD2"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lastRenderedPageBreak/>
              <w:t>Pokazatelj rezultata</w:t>
            </w:r>
          </w:p>
        </w:tc>
        <w:tc>
          <w:tcPr>
            <w:tcW w:w="812" w:type="pct"/>
            <w:shd w:val="clear" w:color="auto" w:fill="D1D1D1"/>
          </w:tcPr>
          <w:p w14:paraId="61A4B384"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Definicija pokazatelja</w:t>
            </w:r>
          </w:p>
        </w:tc>
        <w:tc>
          <w:tcPr>
            <w:tcW w:w="974" w:type="pct"/>
            <w:shd w:val="clear" w:color="auto" w:fill="D1D1D1"/>
          </w:tcPr>
          <w:p w14:paraId="0687B948"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jedinica</w:t>
            </w:r>
          </w:p>
        </w:tc>
        <w:tc>
          <w:tcPr>
            <w:tcW w:w="722" w:type="pct"/>
            <w:shd w:val="clear" w:color="auto" w:fill="D1D1D1"/>
          </w:tcPr>
          <w:p w14:paraId="1FDBA8F8"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Ciljana vrijednost</w:t>
            </w:r>
          </w:p>
          <w:p w14:paraId="48EDF335"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2024.</w:t>
            </w:r>
          </w:p>
        </w:tc>
        <w:tc>
          <w:tcPr>
            <w:tcW w:w="722" w:type="pct"/>
            <w:shd w:val="clear" w:color="auto" w:fill="D1D1D1"/>
          </w:tcPr>
          <w:p w14:paraId="6B980C2C"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Izvršeno</w:t>
            </w:r>
          </w:p>
        </w:tc>
        <w:tc>
          <w:tcPr>
            <w:tcW w:w="722" w:type="pct"/>
            <w:shd w:val="clear" w:color="auto" w:fill="D1D1D1"/>
          </w:tcPr>
          <w:p w14:paraId="4317DE9C"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Indeks</w:t>
            </w:r>
          </w:p>
        </w:tc>
      </w:tr>
      <w:tr w:rsidR="0081662F" w:rsidRPr="00D0532A" w14:paraId="3CF3ECFE" w14:textId="77777777" w:rsidTr="00EB2357">
        <w:tc>
          <w:tcPr>
            <w:tcW w:w="1047" w:type="pct"/>
            <w:shd w:val="clear" w:color="auto" w:fill="auto"/>
          </w:tcPr>
          <w:p w14:paraId="438675EC"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Povećanje broja liječnika</w:t>
            </w:r>
          </w:p>
        </w:tc>
        <w:tc>
          <w:tcPr>
            <w:tcW w:w="812" w:type="pct"/>
            <w:shd w:val="clear" w:color="auto" w:fill="auto"/>
          </w:tcPr>
          <w:p w14:paraId="1866B009"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Broj liječnika koji se zapošljavaju na području Grada Garešnice</w:t>
            </w:r>
          </w:p>
        </w:tc>
        <w:tc>
          <w:tcPr>
            <w:tcW w:w="974" w:type="pct"/>
            <w:shd w:val="clear" w:color="auto" w:fill="auto"/>
          </w:tcPr>
          <w:p w14:paraId="367BFFD1"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Broj liječnika</w:t>
            </w:r>
          </w:p>
          <w:p w14:paraId="4E11D7C1" w14:textId="77777777" w:rsidR="0081662F" w:rsidRPr="00D0532A" w:rsidRDefault="0081662F" w:rsidP="00EB2357">
            <w:pPr>
              <w:spacing w:after="0" w:line="240" w:lineRule="auto"/>
              <w:rPr>
                <w:rFonts w:ascii="Times New Roman" w:eastAsia="Calibri" w:hAnsi="Times New Roman" w:cs="Times New Roman"/>
              </w:rPr>
            </w:pPr>
          </w:p>
        </w:tc>
        <w:tc>
          <w:tcPr>
            <w:tcW w:w="722" w:type="pct"/>
            <w:shd w:val="clear" w:color="auto" w:fill="auto"/>
          </w:tcPr>
          <w:p w14:paraId="1D8EF75C"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1</w:t>
            </w:r>
          </w:p>
        </w:tc>
        <w:tc>
          <w:tcPr>
            <w:tcW w:w="722" w:type="pct"/>
            <w:shd w:val="clear" w:color="auto" w:fill="auto"/>
          </w:tcPr>
          <w:p w14:paraId="10B43BA6"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1</w:t>
            </w:r>
          </w:p>
        </w:tc>
        <w:tc>
          <w:tcPr>
            <w:tcW w:w="722" w:type="pct"/>
            <w:shd w:val="clear" w:color="auto" w:fill="auto"/>
          </w:tcPr>
          <w:p w14:paraId="6D60FDC2"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100%</w:t>
            </w:r>
          </w:p>
        </w:tc>
      </w:tr>
    </w:tbl>
    <w:p w14:paraId="74D7AD4D" w14:textId="77777777" w:rsidR="0081662F" w:rsidRPr="00D0532A" w:rsidRDefault="0081662F" w:rsidP="0081662F">
      <w:pPr>
        <w:spacing w:after="0" w:line="240" w:lineRule="auto"/>
        <w:jc w:val="both"/>
        <w:rPr>
          <w:rFonts w:ascii="Times New Roman" w:eastAsia="Calibri" w:hAnsi="Times New Roman" w:cs="Times New Roman"/>
          <w:b/>
          <w:bCs/>
        </w:rPr>
      </w:pPr>
    </w:p>
    <w:p w14:paraId="11206BCB" w14:textId="77777777" w:rsidR="0081662F" w:rsidRPr="00D0532A" w:rsidRDefault="0081662F" w:rsidP="0081662F">
      <w:pPr>
        <w:spacing w:after="0" w:line="240" w:lineRule="auto"/>
        <w:jc w:val="both"/>
        <w:rPr>
          <w:rFonts w:ascii="Times New Roman" w:eastAsia="Calibri" w:hAnsi="Times New Roman" w:cs="Times New Roman"/>
          <w:b/>
          <w:bCs/>
        </w:rPr>
      </w:pPr>
      <w:r w:rsidRPr="00D0532A">
        <w:rPr>
          <w:rFonts w:ascii="Times New Roman" w:eastAsia="Calibri" w:hAnsi="Times New Roman" w:cs="Times New Roman"/>
          <w:b/>
          <w:bCs/>
        </w:rPr>
        <w:t>1.7. Program 1014 Poticanje razvoja turizma i zajednice</w:t>
      </w:r>
    </w:p>
    <w:tbl>
      <w:tblPr>
        <w:tblpPr w:leftFromText="180" w:rightFromText="180" w:vertAnchor="text" w:horzAnchor="margin" w:tblpY="187"/>
        <w:tblW w:w="5000" w:type="pct"/>
        <w:tblLook w:val="04A0" w:firstRow="1" w:lastRow="0" w:firstColumn="1" w:lastColumn="0" w:noHBand="0" w:noVBand="1"/>
      </w:tblPr>
      <w:tblGrid>
        <w:gridCol w:w="1891"/>
        <w:gridCol w:w="3332"/>
        <w:gridCol w:w="1408"/>
        <w:gridCol w:w="1152"/>
        <w:gridCol w:w="1277"/>
      </w:tblGrid>
      <w:tr w:rsidR="0081662F" w:rsidRPr="00D0532A" w14:paraId="39E76190" w14:textId="77777777" w:rsidTr="00EB2357">
        <w:trPr>
          <w:trHeight w:val="564"/>
        </w:trPr>
        <w:tc>
          <w:tcPr>
            <w:tcW w:w="2882" w:type="pct"/>
            <w:gridSpan w:val="2"/>
            <w:tcBorders>
              <w:top w:val="single" w:sz="4" w:space="0" w:color="auto"/>
              <w:left w:val="single" w:sz="4" w:space="0" w:color="auto"/>
              <w:bottom w:val="single" w:sz="4" w:space="0" w:color="auto"/>
              <w:right w:val="single" w:sz="4" w:space="0" w:color="auto"/>
            </w:tcBorders>
            <w:shd w:val="clear" w:color="auto" w:fill="D9D9D9"/>
          </w:tcPr>
          <w:p w14:paraId="23D4184D"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Naziv programa/aktivnosti/projekta</w:t>
            </w:r>
          </w:p>
        </w:tc>
        <w:tc>
          <w:tcPr>
            <w:tcW w:w="777" w:type="pct"/>
            <w:tcBorders>
              <w:top w:val="single" w:sz="4" w:space="0" w:color="auto"/>
              <w:left w:val="nil"/>
              <w:bottom w:val="single" w:sz="4" w:space="0" w:color="auto"/>
              <w:right w:val="single" w:sz="4" w:space="0" w:color="auto"/>
            </w:tcBorders>
            <w:shd w:val="clear" w:color="auto" w:fill="D9D9D9"/>
            <w:vAlign w:val="center"/>
            <w:hideMark/>
          </w:tcPr>
          <w:p w14:paraId="1AB4F560"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Rebalans</w:t>
            </w:r>
          </w:p>
          <w:p w14:paraId="2B362E95"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2024.</w:t>
            </w:r>
          </w:p>
        </w:tc>
        <w:tc>
          <w:tcPr>
            <w:tcW w:w="636" w:type="pct"/>
            <w:tcBorders>
              <w:top w:val="single" w:sz="4" w:space="0" w:color="auto"/>
              <w:left w:val="nil"/>
              <w:bottom w:val="single" w:sz="4" w:space="0" w:color="auto"/>
              <w:right w:val="single" w:sz="4" w:space="0" w:color="auto"/>
            </w:tcBorders>
            <w:shd w:val="clear" w:color="auto" w:fill="D9D9D9"/>
            <w:vAlign w:val="center"/>
            <w:hideMark/>
          </w:tcPr>
          <w:p w14:paraId="58A5C146"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 xml:space="preserve"> Izvršeno</w:t>
            </w:r>
          </w:p>
          <w:p w14:paraId="69F48EA4"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2024.</w:t>
            </w:r>
          </w:p>
        </w:tc>
        <w:tc>
          <w:tcPr>
            <w:tcW w:w="705" w:type="pct"/>
            <w:tcBorders>
              <w:top w:val="single" w:sz="4" w:space="0" w:color="auto"/>
              <w:left w:val="nil"/>
              <w:bottom w:val="single" w:sz="4" w:space="0" w:color="auto"/>
              <w:right w:val="single" w:sz="4" w:space="0" w:color="auto"/>
            </w:tcBorders>
            <w:shd w:val="clear" w:color="auto" w:fill="D9D9D9"/>
            <w:vAlign w:val="center"/>
          </w:tcPr>
          <w:p w14:paraId="66111F37"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Indeks</w:t>
            </w:r>
          </w:p>
        </w:tc>
      </w:tr>
      <w:tr w:rsidR="0081662F" w:rsidRPr="00D0532A" w14:paraId="1CE764DC" w14:textId="77777777" w:rsidTr="00EB2357">
        <w:trPr>
          <w:trHeight w:val="269"/>
        </w:trPr>
        <w:tc>
          <w:tcPr>
            <w:tcW w:w="1043" w:type="pct"/>
            <w:tcBorders>
              <w:top w:val="single" w:sz="4" w:space="0" w:color="auto"/>
              <w:left w:val="single" w:sz="4" w:space="0" w:color="auto"/>
              <w:bottom w:val="single" w:sz="4" w:space="0" w:color="auto"/>
              <w:right w:val="single" w:sz="4" w:space="0" w:color="auto"/>
            </w:tcBorders>
            <w:shd w:val="clear" w:color="auto" w:fill="D9D9D9"/>
            <w:vAlign w:val="center"/>
          </w:tcPr>
          <w:p w14:paraId="7C96B051"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Program 014</w:t>
            </w:r>
          </w:p>
        </w:tc>
        <w:tc>
          <w:tcPr>
            <w:tcW w:w="1839" w:type="pct"/>
            <w:tcBorders>
              <w:top w:val="single" w:sz="4" w:space="0" w:color="auto"/>
              <w:left w:val="single" w:sz="4" w:space="0" w:color="auto"/>
              <w:bottom w:val="single" w:sz="4" w:space="0" w:color="auto"/>
              <w:right w:val="single" w:sz="4" w:space="0" w:color="auto"/>
            </w:tcBorders>
            <w:shd w:val="clear" w:color="auto" w:fill="D9D9D9"/>
            <w:vAlign w:val="center"/>
          </w:tcPr>
          <w:p w14:paraId="3BF71FEB" w14:textId="77777777" w:rsidR="0081662F" w:rsidRPr="00D0532A" w:rsidRDefault="0081662F" w:rsidP="00EB2357">
            <w:pPr>
              <w:spacing w:after="0" w:line="240" w:lineRule="auto"/>
              <w:rPr>
                <w:rFonts w:ascii="Times New Roman" w:hAnsi="Times New Roman" w:cs="Times New Roman"/>
                <w:b/>
                <w:bCs/>
                <w:lang w:eastAsia="hr-HR"/>
              </w:rPr>
            </w:pPr>
            <w:r w:rsidRPr="00D0532A">
              <w:rPr>
                <w:rFonts w:ascii="Times New Roman" w:eastAsia="Calibri" w:hAnsi="Times New Roman" w:cs="Times New Roman"/>
                <w:b/>
                <w:bCs/>
              </w:rPr>
              <w:t>Poticanje razvoja turizma i zajednice</w:t>
            </w:r>
          </w:p>
        </w:tc>
        <w:tc>
          <w:tcPr>
            <w:tcW w:w="777" w:type="pct"/>
            <w:tcBorders>
              <w:top w:val="nil"/>
              <w:left w:val="nil"/>
              <w:bottom w:val="single" w:sz="4" w:space="0" w:color="auto"/>
              <w:right w:val="single" w:sz="4" w:space="0" w:color="auto"/>
            </w:tcBorders>
            <w:shd w:val="clear" w:color="auto" w:fill="D9D9D9"/>
            <w:noWrap/>
            <w:vAlign w:val="center"/>
          </w:tcPr>
          <w:p w14:paraId="12904407" w14:textId="77777777" w:rsidR="0081662F" w:rsidRPr="00D0532A" w:rsidRDefault="0081662F" w:rsidP="00EB2357">
            <w:pPr>
              <w:spacing w:after="0" w:line="240" w:lineRule="auto"/>
              <w:ind w:right="36"/>
              <w:jc w:val="center"/>
              <w:rPr>
                <w:rFonts w:ascii="Times New Roman" w:hAnsi="Times New Roman" w:cs="Times New Roman"/>
                <w:b/>
                <w:bCs/>
                <w:lang w:eastAsia="hr-HR"/>
              </w:rPr>
            </w:pPr>
            <w:r w:rsidRPr="00D0532A">
              <w:rPr>
                <w:rFonts w:ascii="Times New Roman" w:hAnsi="Times New Roman" w:cs="Times New Roman"/>
                <w:b/>
                <w:bCs/>
              </w:rPr>
              <w:t>66.700,00</w:t>
            </w:r>
          </w:p>
        </w:tc>
        <w:tc>
          <w:tcPr>
            <w:tcW w:w="636" w:type="pct"/>
            <w:tcBorders>
              <w:top w:val="nil"/>
              <w:left w:val="nil"/>
              <w:bottom w:val="single" w:sz="4" w:space="0" w:color="auto"/>
              <w:right w:val="single" w:sz="4" w:space="0" w:color="auto"/>
            </w:tcBorders>
            <w:shd w:val="clear" w:color="auto" w:fill="D9D9D9"/>
            <w:noWrap/>
            <w:vAlign w:val="center"/>
          </w:tcPr>
          <w:p w14:paraId="438E8939" w14:textId="77777777" w:rsidR="0081662F" w:rsidRPr="00D0532A" w:rsidRDefault="0081662F" w:rsidP="00EB2357">
            <w:pPr>
              <w:spacing w:after="0" w:line="240" w:lineRule="auto"/>
              <w:ind w:right="36"/>
              <w:jc w:val="center"/>
              <w:rPr>
                <w:rFonts w:ascii="Times New Roman" w:hAnsi="Times New Roman" w:cs="Times New Roman"/>
                <w:b/>
                <w:bCs/>
                <w:lang w:eastAsia="hr-HR"/>
              </w:rPr>
            </w:pPr>
            <w:r w:rsidRPr="00D0532A">
              <w:rPr>
                <w:rFonts w:ascii="Times New Roman" w:hAnsi="Times New Roman" w:cs="Times New Roman"/>
                <w:b/>
                <w:bCs/>
                <w:lang w:eastAsia="hr-HR"/>
              </w:rPr>
              <w:t>66.700,00</w:t>
            </w:r>
          </w:p>
        </w:tc>
        <w:tc>
          <w:tcPr>
            <w:tcW w:w="705" w:type="pct"/>
            <w:tcBorders>
              <w:top w:val="nil"/>
              <w:left w:val="nil"/>
              <w:bottom w:val="single" w:sz="4" w:space="0" w:color="auto"/>
              <w:right w:val="single" w:sz="4" w:space="0" w:color="auto"/>
            </w:tcBorders>
            <w:shd w:val="clear" w:color="auto" w:fill="D9D9D9"/>
            <w:vAlign w:val="center"/>
          </w:tcPr>
          <w:p w14:paraId="4E3330E3" w14:textId="77777777" w:rsidR="0081662F" w:rsidRPr="00D0532A" w:rsidRDefault="0081662F" w:rsidP="00EB2357">
            <w:pPr>
              <w:spacing w:after="0" w:line="240" w:lineRule="auto"/>
              <w:ind w:right="36"/>
              <w:jc w:val="center"/>
              <w:rPr>
                <w:rFonts w:ascii="Times New Roman" w:hAnsi="Times New Roman" w:cs="Times New Roman"/>
                <w:b/>
                <w:bCs/>
                <w:lang w:eastAsia="hr-HR"/>
              </w:rPr>
            </w:pPr>
            <w:r w:rsidRPr="00D0532A">
              <w:rPr>
                <w:rFonts w:ascii="Times New Roman" w:hAnsi="Times New Roman" w:cs="Times New Roman"/>
                <w:b/>
                <w:bCs/>
                <w:lang w:eastAsia="hr-HR"/>
              </w:rPr>
              <w:t>100,00%</w:t>
            </w:r>
          </w:p>
        </w:tc>
      </w:tr>
      <w:tr w:rsidR="0081662F" w:rsidRPr="00D0532A" w14:paraId="028D9CC4" w14:textId="77777777" w:rsidTr="00EB2357">
        <w:trPr>
          <w:trHeight w:val="269"/>
        </w:trPr>
        <w:tc>
          <w:tcPr>
            <w:tcW w:w="1043" w:type="pct"/>
            <w:tcBorders>
              <w:top w:val="single" w:sz="4" w:space="0" w:color="auto"/>
              <w:left w:val="single" w:sz="4" w:space="0" w:color="auto"/>
              <w:bottom w:val="single" w:sz="4" w:space="0" w:color="auto"/>
              <w:right w:val="single" w:sz="4" w:space="0" w:color="auto"/>
            </w:tcBorders>
            <w:vAlign w:val="center"/>
          </w:tcPr>
          <w:p w14:paraId="74151114"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Aktivnost A101401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673D1F34" w14:textId="77777777" w:rsidR="0081662F" w:rsidRPr="00D0532A" w:rsidRDefault="0081662F" w:rsidP="00EB2357">
            <w:pPr>
              <w:spacing w:after="0" w:line="240" w:lineRule="auto"/>
              <w:rPr>
                <w:rFonts w:ascii="Times New Roman" w:hAnsi="Times New Roman" w:cs="Times New Roman"/>
                <w:lang w:eastAsia="hr-HR"/>
              </w:rPr>
            </w:pPr>
            <w:r w:rsidRPr="00D0532A">
              <w:rPr>
                <w:rFonts w:ascii="Times New Roman" w:eastAsia="Calibri" w:hAnsi="Times New Roman" w:cs="Times New Roman"/>
              </w:rPr>
              <w:t>Redovna djelatnost Turističke zajednice</w:t>
            </w:r>
          </w:p>
        </w:tc>
        <w:tc>
          <w:tcPr>
            <w:tcW w:w="777" w:type="pct"/>
            <w:tcBorders>
              <w:top w:val="nil"/>
              <w:left w:val="nil"/>
              <w:bottom w:val="single" w:sz="4" w:space="0" w:color="auto"/>
              <w:right w:val="single" w:sz="4" w:space="0" w:color="auto"/>
            </w:tcBorders>
            <w:shd w:val="clear" w:color="auto" w:fill="auto"/>
            <w:noWrap/>
            <w:vAlign w:val="center"/>
          </w:tcPr>
          <w:p w14:paraId="2EE3004F"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rPr>
              <w:t>66.700,00</w:t>
            </w:r>
          </w:p>
        </w:tc>
        <w:tc>
          <w:tcPr>
            <w:tcW w:w="636" w:type="pct"/>
            <w:tcBorders>
              <w:top w:val="nil"/>
              <w:left w:val="nil"/>
              <w:bottom w:val="single" w:sz="4" w:space="0" w:color="auto"/>
              <w:right w:val="single" w:sz="4" w:space="0" w:color="auto"/>
            </w:tcBorders>
            <w:shd w:val="clear" w:color="auto" w:fill="auto"/>
            <w:noWrap/>
            <w:vAlign w:val="center"/>
          </w:tcPr>
          <w:p w14:paraId="558F9830"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lang w:eastAsia="hr-HR"/>
              </w:rPr>
              <w:t>66.700,00</w:t>
            </w:r>
          </w:p>
        </w:tc>
        <w:tc>
          <w:tcPr>
            <w:tcW w:w="705" w:type="pct"/>
            <w:tcBorders>
              <w:top w:val="nil"/>
              <w:left w:val="nil"/>
              <w:bottom w:val="single" w:sz="4" w:space="0" w:color="auto"/>
              <w:right w:val="single" w:sz="4" w:space="0" w:color="auto"/>
            </w:tcBorders>
            <w:vAlign w:val="center"/>
          </w:tcPr>
          <w:p w14:paraId="00CE39D7"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lang w:eastAsia="hr-HR"/>
              </w:rPr>
              <w:t>100,00%</w:t>
            </w:r>
          </w:p>
        </w:tc>
      </w:tr>
    </w:tbl>
    <w:p w14:paraId="0DC3AC67" w14:textId="77777777" w:rsidR="0081662F" w:rsidRPr="00D0532A" w:rsidRDefault="0081662F" w:rsidP="0081662F">
      <w:pPr>
        <w:spacing w:after="0" w:line="240" w:lineRule="auto"/>
        <w:jc w:val="both"/>
        <w:rPr>
          <w:rFonts w:ascii="Times New Roman" w:eastAsia="Calibri" w:hAnsi="Times New Roman" w:cs="Times New Roman"/>
        </w:rPr>
      </w:pPr>
    </w:p>
    <w:p w14:paraId="26B995F0" w14:textId="77777777" w:rsidR="0081662F" w:rsidRPr="00D0532A" w:rsidRDefault="0081662F" w:rsidP="0081662F">
      <w:pPr>
        <w:spacing w:after="0" w:line="240" w:lineRule="auto"/>
        <w:jc w:val="both"/>
        <w:rPr>
          <w:rFonts w:ascii="Times New Roman" w:eastAsia="Calibri" w:hAnsi="Times New Roman" w:cs="Times New Roman"/>
          <w:color w:val="FF0000"/>
        </w:rPr>
      </w:pPr>
    </w:p>
    <w:p w14:paraId="38B9F151" w14:textId="77777777" w:rsidR="0081662F" w:rsidRPr="00D0532A" w:rsidRDefault="0081662F" w:rsidP="0081662F">
      <w:pPr>
        <w:spacing w:after="0" w:line="240" w:lineRule="auto"/>
        <w:jc w:val="both"/>
        <w:rPr>
          <w:rFonts w:ascii="Times New Roman" w:eastAsia="Calibri" w:hAnsi="Times New Roman" w:cs="Times New Roman"/>
          <w:b/>
          <w:bCs/>
        </w:rPr>
      </w:pPr>
      <w:r w:rsidRPr="00D0532A">
        <w:rPr>
          <w:rFonts w:ascii="Times New Roman" w:eastAsia="Calibri" w:hAnsi="Times New Roman" w:cs="Times New Roman"/>
          <w:b/>
          <w:bCs/>
        </w:rPr>
        <w:t>1.7.1. Aktivnost A101401 Redovna djelatnost Turističke zajednice</w:t>
      </w:r>
    </w:p>
    <w:p w14:paraId="506B7971" w14:textId="77777777" w:rsidR="0081662F" w:rsidRPr="00D0532A" w:rsidRDefault="0081662F" w:rsidP="0081662F">
      <w:pPr>
        <w:spacing w:after="0" w:line="240" w:lineRule="auto"/>
        <w:jc w:val="both"/>
        <w:rPr>
          <w:rFonts w:ascii="Times New Roman" w:eastAsia="Calibri" w:hAnsi="Times New Roman" w:cs="Times New Roman"/>
        </w:rPr>
      </w:pPr>
      <w:bookmarkStart w:id="3" w:name="_Hlk151919077"/>
      <w:r w:rsidRPr="00D0532A">
        <w:rPr>
          <w:rFonts w:ascii="Times New Roman" w:eastAsia="Calibri" w:hAnsi="Times New Roman" w:cs="Times New Roman"/>
        </w:rPr>
        <w:t>U 2024. godini za redovan rad Turističke zajednica Sjeverna Moslavina iznosila su 50.000 eura. Nakon drugih izmjena proračuna Grada ukupno planirana sredstva za redovan rad Turističke zajednice Sjeverna Moslavina iznosila su 66.700,00 eura, što je povećanje sredstava za 33%.</w:t>
      </w:r>
    </w:p>
    <w:bookmarkEnd w:id="3"/>
    <w:p w14:paraId="461ED172" w14:textId="77777777" w:rsidR="0081662F" w:rsidRPr="00D0532A" w:rsidRDefault="0081662F" w:rsidP="0081662F">
      <w:pPr>
        <w:spacing w:after="0" w:line="240" w:lineRule="auto"/>
        <w:jc w:val="both"/>
        <w:rPr>
          <w:rFonts w:ascii="Times New Roman" w:eastAsia="Calibri"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1700"/>
        <w:gridCol w:w="2031"/>
        <w:gridCol w:w="1308"/>
        <w:gridCol w:w="1308"/>
        <w:gridCol w:w="1308"/>
      </w:tblGrid>
      <w:tr w:rsidR="0081662F" w:rsidRPr="00D0532A" w14:paraId="6E92DA0C" w14:textId="77777777" w:rsidTr="00EB2357">
        <w:tc>
          <w:tcPr>
            <w:tcW w:w="775" w:type="pct"/>
            <w:shd w:val="clear" w:color="auto" w:fill="D1D1D1"/>
          </w:tcPr>
          <w:p w14:paraId="2755E3BF"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Pokazatelj rezultata</w:t>
            </w:r>
          </w:p>
        </w:tc>
        <w:tc>
          <w:tcPr>
            <w:tcW w:w="938" w:type="pct"/>
            <w:shd w:val="clear" w:color="auto" w:fill="D1D1D1"/>
          </w:tcPr>
          <w:p w14:paraId="250EEE5B"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Definicija pokazatelja</w:t>
            </w:r>
          </w:p>
        </w:tc>
        <w:tc>
          <w:tcPr>
            <w:tcW w:w="1121" w:type="pct"/>
            <w:shd w:val="clear" w:color="auto" w:fill="D1D1D1"/>
          </w:tcPr>
          <w:p w14:paraId="48DAD5FA"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jedinica</w:t>
            </w:r>
          </w:p>
        </w:tc>
        <w:tc>
          <w:tcPr>
            <w:tcW w:w="722" w:type="pct"/>
            <w:shd w:val="clear" w:color="auto" w:fill="D1D1D1"/>
          </w:tcPr>
          <w:p w14:paraId="0E4FA526"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Ciljana vrijednost</w:t>
            </w:r>
          </w:p>
          <w:p w14:paraId="207F67AB"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2024.</w:t>
            </w:r>
          </w:p>
        </w:tc>
        <w:tc>
          <w:tcPr>
            <w:tcW w:w="722" w:type="pct"/>
            <w:shd w:val="clear" w:color="auto" w:fill="D1D1D1"/>
          </w:tcPr>
          <w:p w14:paraId="52B8BBD3"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Izvršeno</w:t>
            </w:r>
          </w:p>
        </w:tc>
        <w:tc>
          <w:tcPr>
            <w:tcW w:w="722" w:type="pct"/>
            <w:shd w:val="clear" w:color="auto" w:fill="D1D1D1"/>
          </w:tcPr>
          <w:p w14:paraId="140A6A0B"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Indeks</w:t>
            </w:r>
          </w:p>
        </w:tc>
      </w:tr>
      <w:tr w:rsidR="0081662F" w:rsidRPr="00D0532A" w14:paraId="387E3C43" w14:textId="77777777" w:rsidTr="00EB2357">
        <w:tc>
          <w:tcPr>
            <w:tcW w:w="775" w:type="pct"/>
            <w:shd w:val="clear" w:color="auto" w:fill="auto"/>
          </w:tcPr>
          <w:p w14:paraId="12C3E517"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 xml:space="preserve">Povećanje financijskih sredstava </w:t>
            </w:r>
          </w:p>
        </w:tc>
        <w:tc>
          <w:tcPr>
            <w:tcW w:w="938" w:type="pct"/>
            <w:shd w:val="clear" w:color="auto" w:fill="auto"/>
          </w:tcPr>
          <w:p w14:paraId="00385809"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 xml:space="preserve">Financijska sredstava za razvoj turističke ponude </w:t>
            </w:r>
          </w:p>
        </w:tc>
        <w:tc>
          <w:tcPr>
            <w:tcW w:w="1121" w:type="pct"/>
            <w:shd w:val="clear" w:color="auto" w:fill="auto"/>
          </w:tcPr>
          <w:p w14:paraId="0C95F8FC"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Povećanje/%</w:t>
            </w:r>
          </w:p>
        </w:tc>
        <w:tc>
          <w:tcPr>
            <w:tcW w:w="722" w:type="pct"/>
            <w:shd w:val="clear" w:color="auto" w:fill="auto"/>
          </w:tcPr>
          <w:p w14:paraId="707D995D"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11</w:t>
            </w:r>
          </w:p>
        </w:tc>
        <w:tc>
          <w:tcPr>
            <w:tcW w:w="722" w:type="pct"/>
            <w:shd w:val="clear" w:color="auto" w:fill="auto"/>
          </w:tcPr>
          <w:p w14:paraId="1D716762"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33</w:t>
            </w:r>
          </w:p>
        </w:tc>
        <w:tc>
          <w:tcPr>
            <w:tcW w:w="722" w:type="pct"/>
            <w:shd w:val="clear" w:color="auto" w:fill="auto"/>
          </w:tcPr>
          <w:p w14:paraId="2297E6CE"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300%</w:t>
            </w:r>
          </w:p>
        </w:tc>
      </w:tr>
    </w:tbl>
    <w:p w14:paraId="5DDA9E7F" w14:textId="77777777" w:rsidR="0081662F" w:rsidRPr="00D0532A" w:rsidRDefault="0081662F" w:rsidP="0081662F">
      <w:pPr>
        <w:spacing w:after="0" w:line="240" w:lineRule="auto"/>
        <w:rPr>
          <w:rFonts w:ascii="Times New Roman" w:eastAsia="Calibri" w:hAnsi="Times New Roman" w:cs="Times New Roman"/>
          <w:color w:val="FF0000"/>
        </w:rPr>
      </w:pPr>
    </w:p>
    <w:p w14:paraId="26FF44E8" w14:textId="77777777" w:rsidR="0081662F" w:rsidRPr="00D0532A" w:rsidRDefault="0081662F" w:rsidP="0081662F">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1.8. Program 1016 Predškolsko obrazovanje</w:t>
      </w:r>
    </w:p>
    <w:tbl>
      <w:tblPr>
        <w:tblpPr w:leftFromText="180" w:rightFromText="180" w:vertAnchor="text" w:horzAnchor="margin" w:tblpY="187"/>
        <w:tblW w:w="5000" w:type="pct"/>
        <w:tblLook w:val="04A0" w:firstRow="1" w:lastRow="0" w:firstColumn="1" w:lastColumn="0" w:noHBand="0" w:noVBand="1"/>
      </w:tblPr>
      <w:tblGrid>
        <w:gridCol w:w="1890"/>
        <w:gridCol w:w="3202"/>
        <w:gridCol w:w="1408"/>
        <w:gridCol w:w="1279"/>
        <w:gridCol w:w="1281"/>
      </w:tblGrid>
      <w:tr w:rsidR="0081662F" w:rsidRPr="00D0532A" w14:paraId="55948911" w14:textId="77777777" w:rsidTr="00EB2357">
        <w:trPr>
          <w:trHeight w:val="564"/>
        </w:trPr>
        <w:tc>
          <w:tcPr>
            <w:tcW w:w="2810" w:type="pct"/>
            <w:gridSpan w:val="2"/>
            <w:tcBorders>
              <w:top w:val="single" w:sz="4" w:space="0" w:color="auto"/>
              <w:left w:val="single" w:sz="4" w:space="0" w:color="auto"/>
              <w:bottom w:val="single" w:sz="4" w:space="0" w:color="auto"/>
              <w:right w:val="single" w:sz="4" w:space="0" w:color="auto"/>
            </w:tcBorders>
            <w:shd w:val="clear" w:color="auto" w:fill="D9D9D9"/>
          </w:tcPr>
          <w:p w14:paraId="2A0338CC"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Naziv programa/aktivnosti/projekta</w:t>
            </w:r>
          </w:p>
        </w:tc>
        <w:tc>
          <w:tcPr>
            <w:tcW w:w="777" w:type="pct"/>
            <w:tcBorders>
              <w:top w:val="single" w:sz="4" w:space="0" w:color="auto"/>
              <w:left w:val="nil"/>
              <w:bottom w:val="single" w:sz="4" w:space="0" w:color="auto"/>
              <w:right w:val="single" w:sz="4" w:space="0" w:color="auto"/>
            </w:tcBorders>
            <w:shd w:val="clear" w:color="auto" w:fill="D9D9D9"/>
            <w:vAlign w:val="center"/>
            <w:hideMark/>
          </w:tcPr>
          <w:p w14:paraId="58A6ACA5"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Rebalans</w:t>
            </w:r>
          </w:p>
          <w:p w14:paraId="0D3A1B2C"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2024.</w:t>
            </w:r>
          </w:p>
        </w:tc>
        <w:tc>
          <w:tcPr>
            <w:tcW w:w="706" w:type="pct"/>
            <w:tcBorders>
              <w:top w:val="single" w:sz="4" w:space="0" w:color="auto"/>
              <w:left w:val="nil"/>
              <w:bottom w:val="single" w:sz="4" w:space="0" w:color="auto"/>
              <w:right w:val="single" w:sz="4" w:space="0" w:color="auto"/>
            </w:tcBorders>
            <w:shd w:val="clear" w:color="auto" w:fill="D9D9D9"/>
            <w:vAlign w:val="center"/>
          </w:tcPr>
          <w:p w14:paraId="093129AD"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Izvršenje</w:t>
            </w:r>
          </w:p>
          <w:p w14:paraId="3E187849"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2024.</w:t>
            </w:r>
          </w:p>
        </w:tc>
        <w:tc>
          <w:tcPr>
            <w:tcW w:w="707" w:type="pct"/>
            <w:tcBorders>
              <w:top w:val="single" w:sz="4" w:space="0" w:color="auto"/>
              <w:left w:val="nil"/>
              <w:bottom w:val="single" w:sz="4" w:space="0" w:color="auto"/>
              <w:right w:val="single" w:sz="4" w:space="0" w:color="auto"/>
            </w:tcBorders>
            <w:shd w:val="clear" w:color="auto" w:fill="D9D9D9"/>
            <w:vAlign w:val="center"/>
          </w:tcPr>
          <w:p w14:paraId="4BCB6954"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Indeks</w:t>
            </w:r>
          </w:p>
        </w:tc>
      </w:tr>
      <w:tr w:rsidR="0081662F" w:rsidRPr="00D0532A" w14:paraId="03AB74CE" w14:textId="77777777" w:rsidTr="00EB2357">
        <w:trPr>
          <w:trHeight w:val="269"/>
        </w:trPr>
        <w:tc>
          <w:tcPr>
            <w:tcW w:w="1043" w:type="pct"/>
            <w:tcBorders>
              <w:top w:val="single" w:sz="4" w:space="0" w:color="auto"/>
              <w:left w:val="single" w:sz="4" w:space="0" w:color="auto"/>
              <w:bottom w:val="single" w:sz="4" w:space="0" w:color="auto"/>
              <w:right w:val="single" w:sz="4" w:space="0" w:color="auto"/>
            </w:tcBorders>
            <w:shd w:val="clear" w:color="auto" w:fill="D9D9D9"/>
            <w:vAlign w:val="center"/>
          </w:tcPr>
          <w:p w14:paraId="3E5B2AF1"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Program 1016</w:t>
            </w:r>
          </w:p>
        </w:tc>
        <w:tc>
          <w:tcPr>
            <w:tcW w:w="1767" w:type="pct"/>
            <w:tcBorders>
              <w:top w:val="single" w:sz="4" w:space="0" w:color="auto"/>
              <w:left w:val="single" w:sz="4" w:space="0" w:color="auto"/>
              <w:bottom w:val="single" w:sz="4" w:space="0" w:color="auto"/>
              <w:right w:val="single" w:sz="4" w:space="0" w:color="auto"/>
            </w:tcBorders>
            <w:shd w:val="clear" w:color="auto" w:fill="D9D9D9"/>
            <w:vAlign w:val="center"/>
          </w:tcPr>
          <w:p w14:paraId="4A8B2A41" w14:textId="77777777" w:rsidR="0081662F" w:rsidRPr="00D0532A" w:rsidRDefault="0081662F" w:rsidP="00EB2357">
            <w:pPr>
              <w:spacing w:after="0" w:line="240" w:lineRule="auto"/>
              <w:rPr>
                <w:rFonts w:ascii="Times New Roman" w:hAnsi="Times New Roman" w:cs="Times New Roman"/>
                <w:b/>
                <w:bCs/>
                <w:lang w:eastAsia="hr-HR"/>
              </w:rPr>
            </w:pPr>
            <w:r w:rsidRPr="00D0532A">
              <w:rPr>
                <w:rFonts w:ascii="Times New Roman" w:eastAsia="Calibri" w:hAnsi="Times New Roman" w:cs="Times New Roman"/>
                <w:b/>
                <w:bCs/>
              </w:rPr>
              <w:t>Predškolsko obrazovanje</w:t>
            </w:r>
          </w:p>
        </w:tc>
        <w:tc>
          <w:tcPr>
            <w:tcW w:w="777" w:type="pct"/>
            <w:tcBorders>
              <w:top w:val="nil"/>
              <w:left w:val="nil"/>
              <w:bottom w:val="single" w:sz="4" w:space="0" w:color="auto"/>
              <w:right w:val="single" w:sz="4" w:space="0" w:color="auto"/>
            </w:tcBorders>
            <w:shd w:val="clear" w:color="auto" w:fill="D9D9D9"/>
            <w:noWrap/>
            <w:vAlign w:val="center"/>
          </w:tcPr>
          <w:p w14:paraId="57E0DD1F" w14:textId="77777777" w:rsidR="0081662F" w:rsidRPr="00D0532A" w:rsidRDefault="0081662F" w:rsidP="00EB2357">
            <w:pPr>
              <w:spacing w:after="0" w:line="240" w:lineRule="auto"/>
              <w:ind w:right="36"/>
              <w:jc w:val="center"/>
              <w:rPr>
                <w:rFonts w:ascii="Times New Roman" w:hAnsi="Times New Roman" w:cs="Times New Roman"/>
                <w:b/>
                <w:bCs/>
                <w:lang w:eastAsia="hr-HR"/>
              </w:rPr>
            </w:pPr>
            <w:r w:rsidRPr="00D0532A">
              <w:rPr>
                <w:rFonts w:ascii="Times New Roman" w:eastAsia="Calibri" w:hAnsi="Times New Roman" w:cs="Times New Roman"/>
                <w:b/>
                <w:bCs/>
              </w:rPr>
              <w:t>449.100,00</w:t>
            </w:r>
          </w:p>
        </w:tc>
        <w:tc>
          <w:tcPr>
            <w:tcW w:w="706" w:type="pct"/>
            <w:tcBorders>
              <w:top w:val="nil"/>
              <w:left w:val="nil"/>
              <w:bottom w:val="single" w:sz="4" w:space="0" w:color="auto"/>
              <w:right w:val="single" w:sz="4" w:space="0" w:color="auto"/>
            </w:tcBorders>
            <w:shd w:val="clear" w:color="auto" w:fill="D9D9D9"/>
            <w:noWrap/>
            <w:vAlign w:val="center"/>
          </w:tcPr>
          <w:p w14:paraId="688FE279" w14:textId="77777777" w:rsidR="0081662F" w:rsidRPr="00D0532A" w:rsidRDefault="0081662F" w:rsidP="00EB2357">
            <w:pPr>
              <w:spacing w:after="0" w:line="240" w:lineRule="auto"/>
              <w:ind w:right="36"/>
              <w:jc w:val="center"/>
              <w:rPr>
                <w:rFonts w:ascii="Times New Roman" w:hAnsi="Times New Roman" w:cs="Times New Roman"/>
                <w:b/>
                <w:bCs/>
                <w:lang w:eastAsia="hr-HR"/>
              </w:rPr>
            </w:pPr>
            <w:r w:rsidRPr="00D0532A">
              <w:rPr>
                <w:rFonts w:ascii="Times New Roman" w:hAnsi="Times New Roman" w:cs="Times New Roman"/>
                <w:b/>
                <w:bCs/>
                <w:lang w:eastAsia="hr-HR"/>
              </w:rPr>
              <w:t>396.391,04</w:t>
            </w:r>
          </w:p>
        </w:tc>
        <w:tc>
          <w:tcPr>
            <w:tcW w:w="707" w:type="pct"/>
            <w:tcBorders>
              <w:top w:val="nil"/>
              <w:left w:val="nil"/>
              <w:bottom w:val="single" w:sz="4" w:space="0" w:color="auto"/>
              <w:right w:val="single" w:sz="4" w:space="0" w:color="auto"/>
            </w:tcBorders>
            <w:shd w:val="clear" w:color="auto" w:fill="D9D9D9"/>
            <w:vAlign w:val="center"/>
          </w:tcPr>
          <w:p w14:paraId="72F03197" w14:textId="77777777" w:rsidR="0081662F" w:rsidRPr="00D0532A" w:rsidRDefault="0081662F" w:rsidP="00EB2357">
            <w:pPr>
              <w:spacing w:after="0" w:line="240" w:lineRule="auto"/>
              <w:ind w:right="36"/>
              <w:jc w:val="center"/>
              <w:rPr>
                <w:rFonts w:ascii="Times New Roman" w:hAnsi="Times New Roman" w:cs="Times New Roman"/>
                <w:b/>
                <w:bCs/>
                <w:lang w:eastAsia="hr-HR"/>
              </w:rPr>
            </w:pPr>
            <w:r w:rsidRPr="00D0532A">
              <w:rPr>
                <w:rFonts w:ascii="Times New Roman" w:hAnsi="Times New Roman" w:cs="Times New Roman"/>
                <w:b/>
                <w:bCs/>
                <w:lang w:eastAsia="hr-HR"/>
              </w:rPr>
              <w:t>88,26%</w:t>
            </w:r>
          </w:p>
        </w:tc>
      </w:tr>
      <w:tr w:rsidR="0081662F" w:rsidRPr="00D0532A" w14:paraId="6EC03268" w14:textId="77777777" w:rsidTr="00EB2357">
        <w:trPr>
          <w:trHeight w:val="269"/>
        </w:trPr>
        <w:tc>
          <w:tcPr>
            <w:tcW w:w="1043" w:type="pct"/>
            <w:tcBorders>
              <w:top w:val="single" w:sz="4" w:space="0" w:color="auto"/>
              <w:left w:val="single" w:sz="4" w:space="0" w:color="auto"/>
              <w:bottom w:val="single" w:sz="4" w:space="0" w:color="auto"/>
              <w:right w:val="single" w:sz="4" w:space="0" w:color="auto"/>
            </w:tcBorders>
            <w:vAlign w:val="center"/>
          </w:tcPr>
          <w:p w14:paraId="63ACBB8E"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Kapitalni projekt K101605</w:t>
            </w:r>
          </w:p>
        </w:tc>
        <w:tc>
          <w:tcPr>
            <w:tcW w:w="1767" w:type="pct"/>
            <w:tcBorders>
              <w:top w:val="single" w:sz="4" w:space="0" w:color="auto"/>
              <w:left w:val="single" w:sz="4" w:space="0" w:color="auto"/>
              <w:bottom w:val="single" w:sz="4" w:space="0" w:color="auto"/>
              <w:right w:val="single" w:sz="4" w:space="0" w:color="auto"/>
            </w:tcBorders>
            <w:shd w:val="clear" w:color="auto" w:fill="auto"/>
            <w:vAlign w:val="center"/>
          </w:tcPr>
          <w:p w14:paraId="74A423AE" w14:textId="77777777" w:rsidR="0081662F" w:rsidRPr="00D0532A" w:rsidRDefault="0081662F" w:rsidP="00EB2357">
            <w:pPr>
              <w:spacing w:after="0" w:line="240" w:lineRule="auto"/>
              <w:rPr>
                <w:rFonts w:ascii="Times New Roman" w:hAnsi="Times New Roman" w:cs="Times New Roman"/>
                <w:lang w:eastAsia="hr-HR"/>
              </w:rPr>
            </w:pPr>
            <w:r w:rsidRPr="00D0532A">
              <w:rPr>
                <w:rFonts w:ascii="Times New Roman" w:eastAsia="Calibri" w:hAnsi="Times New Roman" w:cs="Times New Roman"/>
              </w:rPr>
              <w:t>Dogradnja dječjeg vrtića "Maslačak"</w:t>
            </w:r>
          </w:p>
        </w:tc>
        <w:tc>
          <w:tcPr>
            <w:tcW w:w="777" w:type="pct"/>
            <w:tcBorders>
              <w:top w:val="nil"/>
              <w:left w:val="nil"/>
              <w:bottom w:val="single" w:sz="4" w:space="0" w:color="auto"/>
              <w:right w:val="single" w:sz="4" w:space="0" w:color="auto"/>
            </w:tcBorders>
            <w:shd w:val="clear" w:color="auto" w:fill="auto"/>
            <w:noWrap/>
            <w:vAlign w:val="center"/>
          </w:tcPr>
          <w:p w14:paraId="57F9B608"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eastAsia="Calibri" w:hAnsi="Times New Roman" w:cs="Times New Roman"/>
              </w:rPr>
              <w:t>85.000,00</w:t>
            </w:r>
          </w:p>
        </w:tc>
        <w:tc>
          <w:tcPr>
            <w:tcW w:w="706" w:type="pct"/>
            <w:tcBorders>
              <w:top w:val="nil"/>
              <w:left w:val="nil"/>
              <w:bottom w:val="single" w:sz="4" w:space="0" w:color="auto"/>
              <w:right w:val="single" w:sz="4" w:space="0" w:color="auto"/>
            </w:tcBorders>
            <w:shd w:val="clear" w:color="auto" w:fill="auto"/>
            <w:noWrap/>
            <w:vAlign w:val="center"/>
          </w:tcPr>
          <w:p w14:paraId="21C9396F"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lang w:eastAsia="hr-HR"/>
              </w:rPr>
              <w:t>36.312,50</w:t>
            </w:r>
          </w:p>
        </w:tc>
        <w:tc>
          <w:tcPr>
            <w:tcW w:w="707" w:type="pct"/>
            <w:tcBorders>
              <w:top w:val="nil"/>
              <w:left w:val="nil"/>
              <w:bottom w:val="single" w:sz="4" w:space="0" w:color="auto"/>
              <w:right w:val="single" w:sz="4" w:space="0" w:color="auto"/>
            </w:tcBorders>
            <w:vAlign w:val="center"/>
          </w:tcPr>
          <w:p w14:paraId="3FAD19B6"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lang w:eastAsia="hr-HR"/>
              </w:rPr>
              <w:t>42,72%</w:t>
            </w:r>
          </w:p>
        </w:tc>
      </w:tr>
      <w:tr w:rsidR="0081662F" w:rsidRPr="00D0532A" w14:paraId="0E26BEEC" w14:textId="77777777" w:rsidTr="00EB2357">
        <w:trPr>
          <w:trHeight w:val="269"/>
        </w:trPr>
        <w:tc>
          <w:tcPr>
            <w:tcW w:w="1043" w:type="pct"/>
            <w:tcBorders>
              <w:top w:val="single" w:sz="4" w:space="0" w:color="auto"/>
              <w:left w:val="single" w:sz="4" w:space="0" w:color="auto"/>
              <w:bottom w:val="single" w:sz="4" w:space="0" w:color="auto"/>
              <w:right w:val="single" w:sz="4" w:space="0" w:color="auto"/>
            </w:tcBorders>
            <w:vAlign w:val="center"/>
          </w:tcPr>
          <w:p w14:paraId="5E5AB112"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Kapitalni projekt K101606</w:t>
            </w:r>
          </w:p>
        </w:tc>
        <w:tc>
          <w:tcPr>
            <w:tcW w:w="1767" w:type="pct"/>
            <w:tcBorders>
              <w:top w:val="single" w:sz="4" w:space="0" w:color="auto"/>
              <w:left w:val="single" w:sz="4" w:space="0" w:color="auto"/>
              <w:bottom w:val="single" w:sz="4" w:space="0" w:color="auto"/>
              <w:right w:val="single" w:sz="4" w:space="0" w:color="auto"/>
            </w:tcBorders>
            <w:shd w:val="clear" w:color="auto" w:fill="auto"/>
            <w:vAlign w:val="center"/>
          </w:tcPr>
          <w:p w14:paraId="5847F1F4" w14:textId="77777777" w:rsidR="0081662F" w:rsidRPr="00D0532A" w:rsidRDefault="0081662F" w:rsidP="00EB2357">
            <w:pPr>
              <w:spacing w:after="0" w:line="240" w:lineRule="auto"/>
              <w:rPr>
                <w:rFonts w:ascii="Times New Roman" w:hAnsi="Times New Roman" w:cs="Times New Roman"/>
                <w:lang w:eastAsia="hr-HR"/>
              </w:rPr>
            </w:pPr>
            <w:r w:rsidRPr="00D0532A">
              <w:rPr>
                <w:rFonts w:ascii="Times New Roman" w:eastAsia="Calibri" w:hAnsi="Times New Roman" w:cs="Times New Roman"/>
              </w:rPr>
              <w:t>Obnova dječjeg vrtića "Maslačak"  - objekt na adresi Petra Svačića 11D, Garešnica - Faza I</w:t>
            </w:r>
          </w:p>
        </w:tc>
        <w:tc>
          <w:tcPr>
            <w:tcW w:w="777" w:type="pct"/>
            <w:tcBorders>
              <w:top w:val="nil"/>
              <w:left w:val="nil"/>
              <w:bottom w:val="single" w:sz="4" w:space="0" w:color="auto"/>
              <w:right w:val="single" w:sz="4" w:space="0" w:color="auto"/>
            </w:tcBorders>
            <w:shd w:val="clear" w:color="auto" w:fill="auto"/>
            <w:noWrap/>
            <w:vAlign w:val="center"/>
          </w:tcPr>
          <w:p w14:paraId="5B1A057D"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eastAsia="Calibri" w:hAnsi="Times New Roman" w:cs="Times New Roman"/>
              </w:rPr>
              <w:t>364.100,00</w:t>
            </w:r>
          </w:p>
        </w:tc>
        <w:tc>
          <w:tcPr>
            <w:tcW w:w="706" w:type="pct"/>
            <w:tcBorders>
              <w:top w:val="nil"/>
              <w:left w:val="nil"/>
              <w:bottom w:val="single" w:sz="4" w:space="0" w:color="auto"/>
              <w:right w:val="single" w:sz="4" w:space="0" w:color="auto"/>
            </w:tcBorders>
            <w:shd w:val="clear" w:color="auto" w:fill="auto"/>
            <w:noWrap/>
            <w:vAlign w:val="center"/>
          </w:tcPr>
          <w:p w14:paraId="1051832D"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lang w:eastAsia="hr-HR"/>
              </w:rPr>
              <w:t>360.078,54</w:t>
            </w:r>
          </w:p>
        </w:tc>
        <w:tc>
          <w:tcPr>
            <w:tcW w:w="707" w:type="pct"/>
            <w:tcBorders>
              <w:top w:val="nil"/>
              <w:left w:val="nil"/>
              <w:bottom w:val="single" w:sz="4" w:space="0" w:color="auto"/>
              <w:right w:val="single" w:sz="4" w:space="0" w:color="auto"/>
            </w:tcBorders>
            <w:vAlign w:val="center"/>
          </w:tcPr>
          <w:p w14:paraId="22220501" w14:textId="77777777" w:rsidR="0081662F" w:rsidRPr="00D0532A" w:rsidRDefault="0081662F" w:rsidP="00EB2357">
            <w:pPr>
              <w:spacing w:after="0" w:line="360" w:lineRule="auto"/>
              <w:ind w:right="36"/>
              <w:jc w:val="center"/>
              <w:rPr>
                <w:rFonts w:ascii="Times New Roman" w:hAnsi="Times New Roman" w:cs="Times New Roman"/>
                <w:lang w:eastAsia="hr-HR"/>
              </w:rPr>
            </w:pPr>
            <w:r w:rsidRPr="00D0532A">
              <w:rPr>
                <w:rFonts w:ascii="Times New Roman" w:hAnsi="Times New Roman" w:cs="Times New Roman"/>
                <w:lang w:eastAsia="hr-HR"/>
              </w:rPr>
              <w:t>98,90%</w:t>
            </w:r>
          </w:p>
        </w:tc>
      </w:tr>
    </w:tbl>
    <w:p w14:paraId="7F77291D" w14:textId="77777777" w:rsidR="0081662F" w:rsidRPr="00D0532A" w:rsidRDefault="0081662F" w:rsidP="0081662F">
      <w:pPr>
        <w:spacing w:after="0" w:line="240" w:lineRule="auto"/>
        <w:jc w:val="both"/>
        <w:rPr>
          <w:rFonts w:ascii="Times New Roman" w:eastAsia="Calibri" w:hAnsi="Times New Roman" w:cs="Times New Roman"/>
          <w:color w:val="FF0000"/>
        </w:rPr>
      </w:pPr>
    </w:p>
    <w:p w14:paraId="19714562" w14:textId="77777777" w:rsidR="0081662F" w:rsidRPr="00D0532A" w:rsidRDefault="0081662F" w:rsidP="0081662F">
      <w:pPr>
        <w:spacing w:after="0" w:line="240" w:lineRule="auto"/>
        <w:jc w:val="both"/>
        <w:rPr>
          <w:rFonts w:ascii="Times New Roman" w:eastAsia="Calibri" w:hAnsi="Times New Roman" w:cs="Times New Roman"/>
          <w:b/>
          <w:bCs/>
        </w:rPr>
      </w:pPr>
      <w:r w:rsidRPr="00D0532A">
        <w:rPr>
          <w:rFonts w:ascii="Times New Roman" w:eastAsia="Calibri" w:hAnsi="Times New Roman" w:cs="Times New Roman"/>
          <w:b/>
          <w:bCs/>
        </w:rPr>
        <w:t>1.8.1. Kapitalni projekt K101605 Dogradnja dječjeg vrtića Maslačak</w:t>
      </w:r>
    </w:p>
    <w:p w14:paraId="297F8038" w14:textId="77777777" w:rsidR="0081662F" w:rsidRPr="00D0532A" w:rsidRDefault="0081662F" w:rsidP="0081662F">
      <w:pPr>
        <w:spacing w:after="0" w:line="240" w:lineRule="auto"/>
        <w:jc w:val="both"/>
        <w:rPr>
          <w:rFonts w:ascii="Times New Roman" w:eastAsia="Calibri" w:hAnsi="Times New Roman" w:cs="Times New Roman"/>
        </w:rPr>
      </w:pPr>
      <w:bookmarkStart w:id="4" w:name="_Hlk169074508"/>
      <w:r w:rsidRPr="00D0532A">
        <w:rPr>
          <w:rFonts w:ascii="Times New Roman" w:eastAsia="Calibri" w:hAnsi="Times New Roman" w:cs="Times New Roman"/>
        </w:rPr>
        <w:t xml:space="preserve">U 2024. za projekt Dogradnje dječjeg vrtića Maslačak ishođen je Glavni projekt te je sklopljen ugovor sa izvođačima radova. </w:t>
      </w:r>
      <w:bookmarkEnd w:id="4"/>
      <w:r w:rsidRPr="00D0532A">
        <w:rPr>
          <w:rFonts w:ascii="Times New Roman" w:eastAsia="Calibri" w:hAnsi="Times New Roman" w:cs="Times New Roman"/>
        </w:rPr>
        <w:t>Ostali radovi izvršit će se u proračunskoj 2025. godini. Povećani broj djece koji su pohađali Dječji vrtić Maslačak povećan je zbog većeg broja djece koja su dobila odgodu od upisa u prvi razred.</w:t>
      </w:r>
    </w:p>
    <w:p w14:paraId="1B669FFD" w14:textId="77777777" w:rsidR="0081662F" w:rsidRPr="00D0532A" w:rsidRDefault="0081662F" w:rsidP="0081662F">
      <w:pPr>
        <w:spacing w:after="0" w:line="240" w:lineRule="auto"/>
        <w:jc w:val="both"/>
        <w:rPr>
          <w:rFonts w:ascii="Times New Roman" w:eastAsia="Calibri"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725"/>
        <w:gridCol w:w="2062"/>
        <w:gridCol w:w="1308"/>
        <w:gridCol w:w="1308"/>
        <w:gridCol w:w="1308"/>
      </w:tblGrid>
      <w:tr w:rsidR="0081662F" w:rsidRPr="00D0532A" w14:paraId="55DA1ED3" w14:textId="77777777" w:rsidTr="00EB2357">
        <w:tc>
          <w:tcPr>
            <w:tcW w:w="744" w:type="pct"/>
            <w:shd w:val="clear" w:color="auto" w:fill="D1D1D1"/>
          </w:tcPr>
          <w:p w14:paraId="4B1476DD"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Pokazatelj rezultata</w:t>
            </w:r>
          </w:p>
        </w:tc>
        <w:tc>
          <w:tcPr>
            <w:tcW w:w="952" w:type="pct"/>
            <w:shd w:val="clear" w:color="auto" w:fill="D1D1D1"/>
          </w:tcPr>
          <w:p w14:paraId="6B20E0D6"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Definicija pokazatelja</w:t>
            </w:r>
          </w:p>
        </w:tc>
        <w:tc>
          <w:tcPr>
            <w:tcW w:w="1138" w:type="pct"/>
            <w:shd w:val="clear" w:color="auto" w:fill="D1D1D1"/>
          </w:tcPr>
          <w:p w14:paraId="675E68CD"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jedinica</w:t>
            </w:r>
          </w:p>
        </w:tc>
        <w:tc>
          <w:tcPr>
            <w:tcW w:w="722" w:type="pct"/>
            <w:shd w:val="clear" w:color="auto" w:fill="D1D1D1"/>
          </w:tcPr>
          <w:p w14:paraId="2BE77271"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Ciljana vrijednost</w:t>
            </w:r>
          </w:p>
          <w:p w14:paraId="691E1717"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2024.</w:t>
            </w:r>
          </w:p>
        </w:tc>
        <w:tc>
          <w:tcPr>
            <w:tcW w:w="722" w:type="pct"/>
            <w:shd w:val="clear" w:color="auto" w:fill="D1D1D1"/>
          </w:tcPr>
          <w:p w14:paraId="4268B67B"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Izvršeno</w:t>
            </w:r>
          </w:p>
        </w:tc>
        <w:tc>
          <w:tcPr>
            <w:tcW w:w="722" w:type="pct"/>
            <w:shd w:val="clear" w:color="auto" w:fill="D1D1D1"/>
          </w:tcPr>
          <w:p w14:paraId="462D6074"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Indeks</w:t>
            </w:r>
          </w:p>
        </w:tc>
      </w:tr>
      <w:tr w:rsidR="0081662F" w:rsidRPr="00D0532A" w14:paraId="084A9914" w14:textId="77777777" w:rsidTr="00EB2357">
        <w:tc>
          <w:tcPr>
            <w:tcW w:w="744" w:type="pct"/>
            <w:shd w:val="clear" w:color="auto" w:fill="auto"/>
          </w:tcPr>
          <w:p w14:paraId="2BDD78F1"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lastRenderedPageBreak/>
              <w:t xml:space="preserve">Povećanje broja djece  </w:t>
            </w:r>
          </w:p>
        </w:tc>
        <w:tc>
          <w:tcPr>
            <w:tcW w:w="952" w:type="pct"/>
            <w:shd w:val="clear" w:color="auto" w:fill="auto"/>
          </w:tcPr>
          <w:p w14:paraId="6A758BCA"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 xml:space="preserve">Broj djece polaznika Dječjeg vrtića Maslačak </w:t>
            </w:r>
          </w:p>
        </w:tc>
        <w:tc>
          <w:tcPr>
            <w:tcW w:w="1138" w:type="pct"/>
            <w:shd w:val="clear" w:color="auto" w:fill="auto"/>
          </w:tcPr>
          <w:p w14:paraId="3A80C735"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Broj djece</w:t>
            </w:r>
          </w:p>
        </w:tc>
        <w:tc>
          <w:tcPr>
            <w:tcW w:w="722" w:type="pct"/>
            <w:shd w:val="clear" w:color="auto" w:fill="auto"/>
          </w:tcPr>
          <w:p w14:paraId="79671BA2"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370</w:t>
            </w:r>
          </w:p>
        </w:tc>
        <w:tc>
          <w:tcPr>
            <w:tcW w:w="722" w:type="pct"/>
            <w:shd w:val="clear" w:color="auto" w:fill="auto"/>
          </w:tcPr>
          <w:p w14:paraId="039C1ED3"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375</w:t>
            </w:r>
          </w:p>
        </w:tc>
        <w:tc>
          <w:tcPr>
            <w:tcW w:w="722" w:type="pct"/>
            <w:shd w:val="clear" w:color="auto" w:fill="auto"/>
          </w:tcPr>
          <w:p w14:paraId="175739A1"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101%</w:t>
            </w:r>
          </w:p>
        </w:tc>
      </w:tr>
    </w:tbl>
    <w:p w14:paraId="30DF4199" w14:textId="77777777" w:rsidR="0081662F" w:rsidRPr="00D0532A" w:rsidRDefault="0081662F" w:rsidP="0081662F">
      <w:pPr>
        <w:spacing w:after="0" w:line="240" w:lineRule="auto"/>
        <w:jc w:val="both"/>
        <w:rPr>
          <w:rFonts w:ascii="Times New Roman" w:eastAsia="Calibri" w:hAnsi="Times New Roman" w:cs="Times New Roman"/>
        </w:rPr>
      </w:pPr>
    </w:p>
    <w:p w14:paraId="7FE4604C" w14:textId="77777777" w:rsidR="0081662F" w:rsidRPr="00D0532A" w:rsidRDefault="0081662F" w:rsidP="0081662F">
      <w:pPr>
        <w:spacing w:after="0" w:line="240" w:lineRule="auto"/>
        <w:jc w:val="both"/>
        <w:rPr>
          <w:rFonts w:ascii="Times New Roman" w:eastAsia="Calibri" w:hAnsi="Times New Roman" w:cs="Times New Roman"/>
          <w:b/>
          <w:bCs/>
        </w:rPr>
      </w:pPr>
      <w:r w:rsidRPr="00D0532A">
        <w:rPr>
          <w:rFonts w:ascii="Times New Roman" w:eastAsia="Calibri" w:hAnsi="Times New Roman" w:cs="Times New Roman"/>
          <w:b/>
          <w:bCs/>
        </w:rPr>
        <w:t>1.8.1. Kapitalni projekt K101606 Obnova dječjeg vrtića Maslačak – objekt na adresi Petra Svačića 11D, Garešnica Faza I</w:t>
      </w:r>
    </w:p>
    <w:p w14:paraId="774F3C04" w14:textId="77777777" w:rsidR="0081662F" w:rsidRPr="00D0532A" w:rsidRDefault="0081662F" w:rsidP="0081662F">
      <w:pPr>
        <w:spacing w:after="0" w:line="240" w:lineRule="auto"/>
        <w:jc w:val="both"/>
        <w:rPr>
          <w:rFonts w:ascii="Times New Roman" w:eastAsia="Calibri" w:hAnsi="Times New Roman" w:cs="Times New Roman"/>
        </w:rPr>
      </w:pPr>
      <w:bookmarkStart w:id="5" w:name="_Hlk169074548"/>
      <w:r w:rsidRPr="00D0532A">
        <w:rPr>
          <w:rFonts w:ascii="Times New Roman" w:eastAsia="Calibri" w:hAnsi="Times New Roman" w:cs="Times New Roman"/>
        </w:rPr>
        <w:t xml:space="preserve">S obzirom da su radovi  postavljanja krovište na dijelu objekta, postavljanja dizalice topline, postavljanja zaštita od djelovanja munja (gromobrana), te instalacija fotonaponske elektrane tek izvršeni u prosincu 2024. godine, nije bilo smanjenja troškova električne energije. Isti će biti vidljivi u mjesecu siječnju 2025. godine. </w:t>
      </w:r>
      <w:bookmarkEnd w:id="5"/>
    </w:p>
    <w:p w14:paraId="35BE61C3" w14:textId="77777777" w:rsidR="0081662F" w:rsidRPr="00D0532A" w:rsidRDefault="0081662F" w:rsidP="0081662F">
      <w:pPr>
        <w:spacing w:after="0" w:line="240" w:lineRule="auto"/>
        <w:jc w:val="both"/>
        <w:rPr>
          <w:rFonts w:ascii="Times New Roman" w:eastAsia="Calibri"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725"/>
        <w:gridCol w:w="2062"/>
        <w:gridCol w:w="1308"/>
        <w:gridCol w:w="1308"/>
        <w:gridCol w:w="1308"/>
      </w:tblGrid>
      <w:tr w:rsidR="0081662F" w:rsidRPr="00D0532A" w14:paraId="68278984" w14:textId="77777777" w:rsidTr="00EB2357">
        <w:tc>
          <w:tcPr>
            <w:tcW w:w="744" w:type="pct"/>
            <w:shd w:val="clear" w:color="auto" w:fill="D1D1D1"/>
          </w:tcPr>
          <w:p w14:paraId="63B93680"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Pokazatelj rezultata</w:t>
            </w:r>
          </w:p>
        </w:tc>
        <w:tc>
          <w:tcPr>
            <w:tcW w:w="952" w:type="pct"/>
            <w:shd w:val="clear" w:color="auto" w:fill="D1D1D1"/>
          </w:tcPr>
          <w:p w14:paraId="536CC356"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Definicija pokazatelja</w:t>
            </w:r>
          </w:p>
        </w:tc>
        <w:tc>
          <w:tcPr>
            <w:tcW w:w="1138" w:type="pct"/>
            <w:shd w:val="clear" w:color="auto" w:fill="D1D1D1"/>
          </w:tcPr>
          <w:p w14:paraId="0E8E973B"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jedinica</w:t>
            </w:r>
          </w:p>
        </w:tc>
        <w:tc>
          <w:tcPr>
            <w:tcW w:w="722" w:type="pct"/>
            <w:shd w:val="clear" w:color="auto" w:fill="D1D1D1"/>
          </w:tcPr>
          <w:p w14:paraId="0F4C75DF"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Ciljana vrijednost</w:t>
            </w:r>
          </w:p>
          <w:p w14:paraId="0352B1C6"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2024.</w:t>
            </w:r>
          </w:p>
        </w:tc>
        <w:tc>
          <w:tcPr>
            <w:tcW w:w="722" w:type="pct"/>
            <w:shd w:val="clear" w:color="auto" w:fill="D1D1D1"/>
          </w:tcPr>
          <w:p w14:paraId="167AB088"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Izvršenje</w:t>
            </w:r>
          </w:p>
        </w:tc>
        <w:tc>
          <w:tcPr>
            <w:tcW w:w="722" w:type="pct"/>
            <w:shd w:val="clear" w:color="auto" w:fill="D1D1D1"/>
          </w:tcPr>
          <w:p w14:paraId="7BD2FC57"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Indeks</w:t>
            </w:r>
          </w:p>
        </w:tc>
      </w:tr>
      <w:tr w:rsidR="0081662F" w:rsidRPr="00D0532A" w14:paraId="4E654D96" w14:textId="77777777" w:rsidTr="00EB2357">
        <w:tc>
          <w:tcPr>
            <w:tcW w:w="744" w:type="pct"/>
            <w:shd w:val="clear" w:color="auto" w:fill="auto"/>
          </w:tcPr>
          <w:p w14:paraId="4FD38D28"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 xml:space="preserve">Smanjenje troškova električne energije  </w:t>
            </w:r>
          </w:p>
        </w:tc>
        <w:tc>
          <w:tcPr>
            <w:tcW w:w="952" w:type="pct"/>
            <w:shd w:val="clear" w:color="auto" w:fill="auto"/>
          </w:tcPr>
          <w:p w14:paraId="01DB0935"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 xml:space="preserve">Smanjenje troškova </w:t>
            </w:r>
          </w:p>
        </w:tc>
        <w:tc>
          <w:tcPr>
            <w:tcW w:w="1138" w:type="pct"/>
            <w:shd w:val="clear" w:color="auto" w:fill="auto"/>
          </w:tcPr>
          <w:p w14:paraId="4AFCE948"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w:t>
            </w:r>
          </w:p>
        </w:tc>
        <w:tc>
          <w:tcPr>
            <w:tcW w:w="722" w:type="pct"/>
            <w:shd w:val="clear" w:color="auto" w:fill="auto"/>
          </w:tcPr>
          <w:p w14:paraId="638E3D62"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25</w:t>
            </w:r>
          </w:p>
        </w:tc>
        <w:tc>
          <w:tcPr>
            <w:tcW w:w="722" w:type="pct"/>
            <w:shd w:val="clear" w:color="auto" w:fill="auto"/>
          </w:tcPr>
          <w:p w14:paraId="62D5BB5B"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0</w:t>
            </w:r>
          </w:p>
        </w:tc>
        <w:tc>
          <w:tcPr>
            <w:tcW w:w="722" w:type="pct"/>
            <w:shd w:val="clear" w:color="auto" w:fill="auto"/>
          </w:tcPr>
          <w:p w14:paraId="3C817B55"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0,00%</w:t>
            </w:r>
          </w:p>
        </w:tc>
      </w:tr>
    </w:tbl>
    <w:p w14:paraId="1F5E47F0" w14:textId="77777777" w:rsidR="0081662F" w:rsidRPr="00D0532A" w:rsidRDefault="0081662F" w:rsidP="0081662F">
      <w:pPr>
        <w:spacing w:after="0" w:line="240" w:lineRule="auto"/>
        <w:jc w:val="both"/>
        <w:rPr>
          <w:rFonts w:ascii="Times New Roman" w:eastAsia="Calibri" w:hAnsi="Times New Roman" w:cs="Times New Roman"/>
          <w:color w:val="FF0000"/>
        </w:rPr>
      </w:pPr>
    </w:p>
    <w:p w14:paraId="7EFA90DC" w14:textId="77777777" w:rsidR="0081662F" w:rsidRPr="00D0532A" w:rsidRDefault="0081662F" w:rsidP="0081662F">
      <w:pPr>
        <w:spacing w:after="0" w:line="240" w:lineRule="auto"/>
        <w:jc w:val="both"/>
        <w:rPr>
          <w:rFonts w:ascii="Times New Roman" w:eastAsia="Calibri" w:hAnsi="Times New Roman" w:cs="Times New Roman"/>
          <w:color w:val="FF0000"/>
        </w:rPr>
      </w:pPr>
    </w:p>
    <w:p w14:paraId="6D943D7B" w14:textId="77777777" w:rsidR="0081662F" w:rsidRPr="00D0532A" w:rsidRDefault="0081662F" w:rsidP="0081662F">
      <w:pPr>
        <w:spacing w:after="0" w:line="240" w:lineRule="auto"/>
        <w:jc w:val="both"/>
        <w:rPr>
          <w:rFonts w:ascii="Times New Roman" w:eastAsia="Calibri" w:hAnsi="Times New Roman" w:cs="Times New Roman"/>
          <w:b/>
          <w:bCs/>
        </w:rPr>
      </w:pPr>
      <w:r w:rsidRPr="00D0532A">
        <w:rPr>
          <w:rFonts w:ascii="Times New Roman" w:eastAsia="Calibri" w:hAnsi="Times New Roman" w:cs="Times New Roman"/>
          <w:b/>
          <w:bCs/>
        </w:rPr>
        <w:t>1.9. Program 1017 Poticajne mjere demografske obnove</w:t>
      </w:r>
    </w:p>
    <w:tbl>
      <w:tblPr>
        <w:tblpPr w:leftFromText="180" w:rightFromText="180" w:vertAnchor="text" w:horzAnchor="margin" w:tblpY="187"/>
        <w:tblW w:w="5000" w:type="pct"/>
        <w:tblLook w:val="04A0" w:firstRow="1" w:lastRow="0" w:firstColumn="1" w:lastColumn="0" w:noHBand="0" w:noVBand="1"/>
      </w:tblPr>
      <w:tblGrid>
        <w:gridCol w:w="1891"/>
        <w:gridCol w:w="3332"/>
        <w:gridCol w:w="1408"/>
        <w:gridCol w:w="1152"/>
        <w:gridCol w:w="1277"/>
      </w:tblGrid>
      <w:tr w:rsidR="0081662F" w:rsidRPr="00D0532A" w14:paraId="70C5E761" w14:textId="77777777" w:rsidTr="00EB2357">
        <w:trPr>
          <w:trHeight w:val="564"/>
        </w:trPr>
        <w:tc>
          <w:tcPr>
            <w:tcW w:w="2882" w:type="pct"/>
            <w:gridSpan w:val="2"/>
            <w:tcBorders>
              <w:top w:val="single" w:sz="4" w:space="0" w:color="auto"/>
              <w:left w:val="single" w:sz="4" w:space="0" w:color="auto"/>
              <w:bottom w:val="single" w:sz="4" w:space="0" w:color="auto"/>
              <w:right w:val="single" w:sz="4" w:space="0" w:color="auto"/>
            </w:tcBorders>
            <w:shd w:val="clear" w:color="auto" w:fill="D9D9D9"/>
          </w:tcPr>
          <w:p w14:paraId="6B0797BC"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Naziv programa/aktivnosti/projekta</w:t>
            </w:r>
          </w:p>
        </w:tc>
        <w:tc>
          <w:tcPr>
            <w:tcW w:w="777" w:type="pct"/>
            <w:tcBorders>
              <w:top w:val="single" w:sz="4" w:space="0" w:color="auto"/>
              <w:left w:val="nil"/>
              <w:bottom w:val="single" w:sz="4" w:space="0" w:color="auto"/>
              <w:right w:val="single" w:sz="4" w:space="0" w:color="auto"/>
            </w:tcBorders>
            <w:shd w:val="clear" w:color="auto" w:fill="D9D9D9"/>
            <w:vAlign w:val="center"/>
            <w:hideMark/>
          </w:tcPr>
          <w:p w14:paraId="1D54F179"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 xml:space="preserve">Rebalans </w:t>
            </w:r>
          </w:p>
          <w:p w14:paraId="5EC07144"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2024.</w:t>
            </w:r>
          </w:p>
        </w:tc>
        <w:tc>
          <w:tcPr>
            <w:tcW w:w="636" w:type="pct"/>
            <w:tcBorders>
              <w:top w:val="single" w:sz="4" w:space="0" w:color="auto"/>
              <w:left w:val="nil"/>
              <w:bottom w:val="single" w:sz="4" w:space="0" w:color="auto"/>
              <w:right w:val="single" w:sz="4" w:space="0" w:color="auto"/>
            </w:tcBorders>
            <w:shd w:val="clear" w:color="auto" w:fill="D9D9D9"/>
            <w:vAlign w:val="center"/>
          </w:tcPr>
          <w:p w14:paraId="17C63464"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Izvršenje</w:t>
            </w:r>
          </w:p>
          <w:p w14:paraId="29D4AF61"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2024.</w:t>
            </w:r>
          </w:p>
        </w:tc>
        <w:tc>
          <w:tcPr>
            <w:tcW w:w="705" w:type="pct"/>
            <w:tcBorders>
              <w:top w:val="single" w:sz="4" w:space="0" w:color="auto"/>
              <w:left w:val="nil"/>
              <w:bottom w:val="single" w:sz="4" w:space="0" w:color="auto"/>
              <w:right w:val="single" w:sz="4" w:space="0" w:color="auto"/>
            </w:tcBorders>
            <w:shd w:val="clear" w:color="auto" w:fill="D9D9D9"/>
            <w:vAlign w:val="center"/>
          </w:tcPr>
          <w:p w14:paraId="5F58E7EA"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Indeks</w:t>
            </w:r>
          </w:p>
        </w:tc>
      </w:tr>
      <w:tr w:rsidR="0081662F" w:rsidRPr="00D0532A" w14:paraId="76E62EC8" w14:textId="77777777" w:rsidTr="00EB2357">
        <w:trPr>
          <w:trHeight w:val="269"/>
        </w:trPr>
        <w:tc>
          <w:tcPr>
            <w:tcW w:w="1043" w:type="pct"/>
            <w:tcBorders>
              <w:top w:val="single" w:sz="4" w:space="0" w:color="auto"/>
              <w:left w:val="single" w:sz="4" w:space="0" w:color="auto"/>
              <w:bottom w:val="single" w:sz="4" w:space="0" w:color="auto"/>
              <w:right w:val="single" w:sz="4" w:space="0" w:color="auto"/>
            </w:tcBorders>
            <w:shd w:val="clear" w:color="auto" w:fill="D9D9D9"/>
            <w:vAlign w:val="center"/>
          </w:tcPr>
          <w:p w14:paraId="734A593D"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Program 1017</w:t>
            </w:r>
          </w:p>
        </w:tc>
        <w:tc>
          <w:tcPr>
            <w:tcW w:w="1839" w:type="pct"/>
            <w:tcBorders>
              <w:top w:val="single" w:sz="4" w:space="0" w:color="auto"/>
              <w:left w:val="single" w:sz="4" w:space="0" w:color="auto"/>
              <w:bottom w:val="single" w:sz="4" w:space="0" w:color="auto"/>
              <w:right w:val="single" w:sz="4" w:space="0" w:color="auto"/>
            </w:tcBorders>
            <w:shd w:val="clear" w:color="auto" w:fill="D9D9D9"/>
            <w:vAlign w:val="center"/>
          </w:tcPr>
          <w:p w14:paraId="064E73AC" w14:textId="77777777" w:rsidR="0081662F" w:rsidRPr="00D0532A" w:rsidRDefault="0081662F" w:rsidP="00EB2357">
            <w:pPr>
              <w:spacing w:after="0" w:line="240" w:lineRule="auto"/>
              <w:rPr>
                <w:rFonts w:ascii="Times New Roman" w:hAnsi="Times New Roman" w:cs="Times New Roman"/>
                <w:b/>
                <w:bCs/>
                <w:lang w:eastAsia="hr-HR"/>
              </w:rPr>
            </w:pPr>
            <w:r w:rsidRPr="00D0532A">
              <w:rPr>
                <w:rFonts w:ascii="Times New Roman" w:eastAsia="Calibri" w:hAnsi="Times New Roman" w:cs="Times New Roman"/>
                <w:b/>
                <w:bCs/>
              </w:rPr>
              <w:t>Poticajne mjere demografske obnove</w:t>
            </w:r>
          </w:p>
        </w:tc>
        <w:tc>
          <w:tcPr>
            <w:tcW w:w="777" w:type="pct"/>
            <w:tcBorders>
              <w:top w:val="nil"/>
              <w:left w:val="nil"/>
              <w:bottom w:val="single" w:sz="4" w:space="0" w:color="auto"/>
              <w:right w:val="single" w:sz="4" w:space="0" w:color="auto"/>
            </w:tcBorders>
            <w:shd w:val="clear" w:color="auto" w:fill="D9D9D9"/>
            <w:noWrap/>
            <w:vAlign w:val="center"/>
          </w:tcPr>
          <w:p w14:paraId="0AB8405D" w14:textId="77777777" w:rsidR="0081662F" w:rsidRPr="00D0532A" w:rsidRDefault="0081662F" w:rsidP="00EB2357">
            <w:pPr>
              <w:spacing w:after="0" w:line="240" w:lineRule="auto"/>
              <w:ind w:right="36"/>
              <w:jc w:val="center"/>
              <w:rPr>
                <w:rFonts w:ascii="Times New Roman" w:hAnsi="Times New Roman" w:cs="Times New Roman"/>
                <w:b/>
                <w:bCs/>
                <w:lang w:eastAsia="hr-HR"/>
              </w:rPr>
            </w:pPr>
            <w:r w:rsidRPr="00D0532A">
              <w:rPr>
                <w:rFonts w:ascii="Times New Roman" w:eastAsia="Calibri" w:hAnsi="Times New Roman" w:cs="Times New Roman"/>
                <w:b/>
                <w:bCs/>
              </w:rPr>
              <w:t>30.600,00</w:t>
            </w:r>
          </w:p>
        </w:tc>
        <w:tc>
          <w:tcPr>
            <w:tcW w:w="636" w:type="pct"/>
            <w:tcBorders>
              <w:top w:val="nil"/>
              <w:left w:val="nil"/>
              <w:bottom w:val="single" w:sz="4" w:space="0" w:color="auto"/>
              <w:right w:val="single" w:sz="4" w:space="0" w:color="auto"/>
            </w:tcBorders>
            <w:shd w:val="clear" w:color="auto" w:fill="D9D9D9"/>
            <w:noWrap/>
            <w:vAlign w:val="center"/>
          </w:tcPr>
          <w:p w14:paraId="5989F013" w14:textId="77777777" w:rsidR="0081662F" w:rsidRPr="00D0532A" w:rsidRDefault="0081662F" w:rsidP="00EB2357">
            <w:pPr>
              <w:spacing w:after="0" w:line="240" w:lineRule="auto"/>
              <w:ind w:right="36"/>
              <w:jc w:val="center"/>
              <w:rPr>
                <w:rFonts w:ascii="Times New Roman" w:hAnsi="Times New Roman" w:cs="Times New Roman"/>
                <w:b/>
                <w:bCs/>
                <w:lang w:eastAsia="hr-HR"/>
              </w:rPr>
            </w:pPr>
            <w:r w:rsidRPr="00D0532A">
              <w:rPr>
                <w:rFonts w:ascii="Times New Roman" w:hAnsi="Times New Roman" w:cs="Times New Roman"/>
                <w:b/>
                <w:bCs/>
                <w:lang w:eastAsia="hr-HR"/>
              </w:rPr>
              <w:t>27.072,80</w:t>
            </w:r>
          </w:p>
        </w:tc>
        <w:tc>
          <w:tcPr>
            <w:tcW w:w="705" w:type="pct"/>
            <w:tcBorders>
              <w:top w:val="nil"/>
              <w:left w:val="nil"/>
              <w:bottom w:val="single" w:sz="4" w:space="0" w:color="auto"/>
              <w:right w:val="single" w:sz="4" w:space="0" w:color="auto"/>
            </w:tcBorders>
            <w:shd w:val="clear" w:color="auto" w:fill="D9D9D9"/>
            <w:vAlign w:val="center"/>
          </w:tcPr>
          <w:p w14:paraId="1BCBDCE6" w14:textId="77777777" w:rsidR="0081662F" w:rsidRPr="00D0532A" w:rsidRDefault="0081662F" w:rsidP="00EB2357">
            <w:pPr>
              <w:spacing w:after="0" w:line="240" w:lineRule="auto"/>
              <w:ind w:right="36"/>
              <w:jc w:val="center"/>
              <w:rPr>
                <w:rFonts w:ascii="Times New Roman" w:hAnsi="Times New Roman" w:cs="Times New Roman"/>
                <w:b/>
                <w:bCs/>
                <w:lang w:eastAsia="hr-HR"/>
              </w:rPr>
            </w:pPr>
            <w:r w:rsidRPr="00D0532A">
              <w:rPr>
                <w:rFonts w:ascii="Times New Roman" w:hAnsi="Times New Roman" w:cs="Times New Roman"/>
                <w:b/>
                <w:bCs/>
                <w:lang w:eastAsia="hr-HR"/>
              </w:rPr>
              <w:t>88,47%</w:t>
            </w:r>
          </w:p>
        </w:tc>
      </w:tr>
      <w:tr w:rsidR="0081662F" w:rsidRPr="00D0532A" w14:paraId="730F4A73" w14:textId="77777777" w:rsidTr="00EB2357">
        <w:trPr>
          <w:trHeight w:val="269"/>
        </w:trPr>
        <w:tc>
          <w:tcPr>
            <w:tcW w:w="1043" w:type="pct"/>
            <w:tcBorders>
              <w:top w:val="single" w:sz="4" w:space="0" w:color="auto"/>
              <w:left w:val="single" w:sz="4" w:space="0" w:color="auto"/>
              <w:bottom w:val="single" w:sz="4" w:space="0" w:color="auto"/>
              <w:right w:val="single" w:sz="4" w:space="0" w:color="auto"/>
            </w:tcBorders>
            <w:vAlign w:val="center"/>
          </w:tcPr>
          <w:p w14:paraId="779D9694"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Aktivnost A101701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3A6A991" w14:textId="77777777" w:rsidR="0081662F" w:rsidRPr="00D0532A" w:rsidRDefault="0081662F" w:rsidP="00EB2357">
            <w:pPr>
              <w:spacing w:after="0" w:line="240" w:lineRule="auto"/>
              <w:rPr>
                <w:rFonts w:ascii="Times New Roman" w:hAnsi="Times New Roman" w:cs="Times New Roman"/>
                <w:lang w:eastAsia="hr-HR"/>
              </w:rPr>
            </w:pPr>
            <w:r w:rsidRPr="00D0532A">
              <w:rPr>
                <w:rFonts w:ascii="Times New Roman" w:eastAsia="Calibri" w:hAnsi="Times New Roman" w:cs="Times New Roman"/>
              </w:rPr>
              <w:t>Potpore za novorođeno dijete</w:t>
            </w:r>
          </w:p>
        </w:tc>
        <w:tc>
          <w:tcPr>
            <w:tcW w:w="777" w:type="pct"/>
            <w:tcBorders>
              <w:top w:val="nil"/>
              <w:left w:val="nil"/>
              <w:bottom w:val="single" w:sz="4" w:space="0" w:color="auto"/>
              <w:right w:val="single" w:sz="4" w:space="0" w:color="auto"/>
            </w:tcBorders>
            <w:shd w:val="clear" w:color="auto" w:fill="auto"/>
            <w:noWrap/>
            <w:vAlign w:val="center"/>
          </w:tcPr>
          <w:p w14:paraId="5BC41EFA"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eastAsia="Calibri" w:hAnsi="Times New Roman" w:cs="Times New Roman"/>
              </w:rPr>
              <w:t>14.600,00</w:t>
            </w:r>
          </w:p>
        </w:tc>
        <w:tc>
          <w:tcPr>
            <w:tcW w:w="636" w:type="pct"/>
            <w:tcBorders>
              <w:top w:val="nil"/>
              <w:left w:val="nil"/>
              <w:bottom w:val="single" w:sz="4" w:space="0" w:color="auto"/>
              <w:right w:val="single" w:sz="4" w:space="0" w:color="auto"/>
            </w:tcBorders>
            <w:shd w:val="clear" w:color="auto" w:fill="auto"/>
            <w:noWrap/>
            <w:vAlign w:val="center"/>
          </w:tcPr>
          <w:p w14:paraId="0DE54E0A"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lang w:eastAsia="hr-HR"/>
              </w:rPr>
              <w:t>14.200,00</w:t>
            </w:r>
          </w:p>
        </w:tc>
        <w:tc>
          <w:tcPr>
            <w:tcW w:w="705" w:type="pct"/>
            <w:tcBorders>
              <w:top w:val="nil"/>
              <w:left w:val="nil"/>
              <w:bottom w:val="single" w:sz="4" w:space="0" w:color="auto"/>
              <w:right w:val="single" w:sz="4" w:space="0" w:color="auto"/>
            </w:tcBorders>
            <w:vAlign w:val="center"/>
          </w:tcPr>
          <w:p w14:paraId="30EF9AB8"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lang w:eastAsia="hr-HR"/>
              </w:rPr>
              <w:t>97,26%</w:t>
            </w:r>
          </w:p>
        </w:tc>
      </w:tr>
      <w:tr w:rsidR="0081662F" w:rsidRPr="00D0532A" w14:paraId="3A49CDA2" w14:textId="77777777" w:rsidTr="00EB2357">
        <w:trPr>
          <w:trHeight w:val="269"/>
        </w:trPr>
        <w:tc>
          <w:tcPr>
            <w:tcW w:w="1043" w:type="pct"/>
            <w:tcBorders>
              <w:top w:val="single" w:sz="4" w:space="0" w:color="auto"/>
              <w:left w:val="single" w:sz="4" w:space="0" w:color="auto"/>
              <w:bottom w:val="single" w:sz="4" w:space="0" w:color="auto"/>
              <w:right w:val="single" w:sz="4" w:space="0" w:color="auto"/>
            </w:tcBorders>
            <w:vAlign w:val="center"/>
          </w:tcPr>
          <w:p w14:paraId="2CA8142A"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Aktivnost A101702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471A68CC" w14:textId="77777777" w:rsidR="0081662F" w:rsidRPr="00D0532A" w:rsidRDefault="0081662F" w:rsidP="00EB2357">
            <w:pPr>
              <w:spacing w:after="0" w:line="240" w:lineRule="auto"/>
              <w:rPr>
                <w:rFonts w:ascii="Times New Roman" w:hAnsi="Times New Roman" w:cs="Times New Roman"/>
                <w:lang w:eastAsia="hr-HR"/>
              </w:rPr>
            </w:pPr>
            <w:r w:rsidRPr="00D0532A">
              <w:rPr>
                <w:rFonts w:ascii="Times New Roman" w:eastAsia="Calibri" w:hAnsi="Times New Roman" w:cs="Times New Roman"/>
              </w:rPr>
              <w:t>Pomoć mladim obiteljima kod rješavanja stambenih pitanja</w:t>
            </w:r>
          </w:p>
        </w:tc>
        <w:tc>
          <w:tcPr>
            <w:tcW w:w="777" w:type="pct"/>
            <w:tcBorders>
              <w:top w:val="nil"/>
              <w:left w:val="nil"/>
              <w:bottom w:val="single" w:sz="4" w:space="0" w:color="auto"/>
              <w:right w:val="single" w:sz="4" w:space="0" w:color="auto"/>
            </w:tcBorders>
            <w:shd w:val="clear" w:color="auto" w:fill="auto"/>
            <w:noWrap/>
            <w:vAlign w:val="center"/>
          </w:tcPr>
          <w:p w14:paraId="5B333645"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eastAsia="Calibri" w:hAnsi="Times New Roman" w:cs="Times New Roman"/>
              </w:rPr>
              <w:t>15.000,00</w:t>
            </w:r>
          </w:p>
        </w:tc>
        <w:tc>
          <w:tcPr>
            <w:tcW w:w="636" w:type="pct"/>
            <w:tcBorders>
              <w:top w:val="nil"/>
              <w:left w:val="nil"/>
              <w:bottom w:val="single" w:sz="4" w:space="0" w:color="auto"/>
              <w:right w:val="single" w:sz="4" w:space="0" w:color="auto"/>
            </w:tcBorders>
            <w:shd w:val="clear" w:color="auto" w:fill="auto"/>
            <w:noWrap/>
            <w:vAlign w:val="center"/>
          </w:tcPr>
          <w:p w14:paraId="56B5DEF0"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lang w:eastAsia="hr-HR"/>
              </w:rPr>
              <w:t>12.872,00</w:t>
            </w:r>
          </w:p>
        </w:tc>
        <w:tc>
          <w:tcPr>
            <w:tcW w:w="705" w:type="pct"/>
            <w:tcBorders>
              <w:top w:val="nil"/>
              <w:left w:val="nil"/>
              <w:bottom w:val="single" w:sz="4" w:space="0" w:color="auto"/>
              <w:right w:val="single" w:sz="4" w:space="0" w:color="auto"/>
            </w:tcBorders>
            <w:vAlign w:val="center"/>
          </w:tcPr>
          <w:p w14:paraId="1A369048"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lang w:eastAsia="hr-HR"/>
              </w:rPr>
              <w:t>85,82%</w:t>
            </w:r>
          </w:p>
        </w:tc>
      </w:tr>
      <w:tr w:rsidR="0081662F" w:rsidRPr="00D0532A" w14:paraId="4145BD11" w14:textId="77777777" w:rsidTr="00EB2357">
        <w:trPr>
          <w:trHeight w:val="269"/>
        </w:trPr>
        <w:tc>
          <w:tcPr>
            <w:tcW w:w="1043" w:type="pct"/>
            <w:tcBorders>
              <w:top w:val="single" w:sz="4" w:space="0" w:color="auto"/>
              <w:left w:val="single" w:sz="4" w:space="0" w:color="auto"/>
              <w:bottom w:val="single" w:sz="4" w:space="0" w:color="auto"/>
              <w:right w:val="single" w:sz="4" w:space="0" w:color="auto"/>
            </w:tcBorders>
            <w:vAlign w:val="center"/>
          </w:tcPr>
          <w:p w14:paraId="3C629186"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Aktivnost A101703</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C759B12" w14:textId="77777777" w:rsidR="0081662F" w:rsidRPr="00D0532A" w:rsidRDefault="0081662F" w:rsidP="00EB2357">
            <w:pPr>
              <w:spacing w:after="0" w:line="240" w:lineRule="auto"/>
              <w:rPr>
                <w:rFonts w:ascii="Times New Roman" w:hAnsi="Times New Roman" w:cs="Times New Roman"/>
                <w:lang w:eastAsia="hr-HR"/>
              </w:rPr>
            </w:pPr>
            <w:r w:rsidRPr="00D0532A">
              <w:rPr>
                <w:rFonts w:ascii="Times New Roman" w:eastAsia="Calibri" w:hAnsi="Times New Roman" w:cs="Times New Roman"/>
              </w:rPr>
              <w:t>Pomoć mladim obiteljima oslobođenjem od plaćanja komunalnog doprinosa</w:t>
            </w:r>
          </w:p>
        </w:tc>
        <w:tc>
          <w:tcPr>
            <w:tcW w:w="777" w:type="pct"/>
            <w:tcBorders>
              <w:top w:val="nil"/>
              <w:left w:val="nil"/>
              <w:bottom w:val="single" w:sz="4" w:space="0" w:color="auto"/>
              <w:right w:val="single" w:sz="4" w:space="0" w:color="auto"/>
            </w:tcBorders>
            <w:shd w:val="clear" w:color="auto" w:fill="auto"/>
            <w:noWrap/>
            <w:vAlign w:val="center"/>
          </w:tcPr>
          <w:p w14:paraId="36CACFC4"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eastAsia="Calibri" w:hAnsi="Times New Roman" w:cs="Times New Roman"/>
              </w:rPr>
              <w:t>1.000,00</w:t>
            </w:r>
          </w:p>
        </w:tc>
        <w:tc>
          <w:tcPr>
            <w:tcW w:w="636" w:type="pct"/>
            <w:tcBorders>
              <w:top w:val="nil"/>
              <w:left w:val="nil"/>
              <w:bottom w:val="single" w:sz="4" w:space="0" w:color="auto"/>
              <w:right w:val="single" w:sz="4" w:space="0" w:color="auto"/>
            </w:tcBorders>
            <w:shd w:val="clear" w:color="auto" w:fill="auto"/>
            <w:noWrap/>
            <w:vAlign w:val="center"/>
          </w:tcPr>
          <w:p w14:paraId="1D915DF5"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lang w:eastAsia="hr-HR"/>
              </w:rPr>
              <w:t>0</w:t>
            </w:r>
          </w:p>
        </w:tc>
        <w:tc>
          <w:tcPr>
            <w:tcW w:w="705" w:type="pct"/>
            <w:tcBorders>
              <w:top w:val="nil"/>
              <w:left w:val="nil"/>
              <w:bottom w:val="single" w:sz="4" w:space="0" w:color="auto"/>
              <w:right w:val="single" w:sz="4" w:space="0" w:color="auto"/>
            </w:tcBorders>
            <w:vAlign w:val="center"/>
          </w:tcPr>
          <w:p w14:paraId="6CCE4BFB"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lang w:eastAsia="hr-HR"/>
              </w:rPr>
              <w:t>0,00%</w:t>
            </w:r>
          </w:p>
        </w:tc>
      </w:tr>
    </w:tbl>
    <w:p w14:paraId="2B7309C5" w14:textId="77777777" w:rsidR="0081662F" w:rsidRPr="00D0532A" w:rsidRDefault="0081662F" w:rsidP="0081662F">
      <w:pPr>
        <w:spacing w:after="0" w:line="240" w:lineRule="auto"/>
        <w:jc w:val="both"/>
        <w:rPr>
          <w:rFonts w:ascii="Times New Roman" w:eastAsia="Calibri" w:hAnsi="Times New Roman" w:cs="Times New Roman"/>
        </w:rPr>
      </w:pPr>
    </w:p>
    <w:p w14:paraId="774AA72D" w14:textId="77777777" w:rsidR="0081662F" w:rsidRPr="00D0532A" w:rsidRDefault="0081662F" w:rsidP="0081662F">
      <w:pPr>
        <w:spacing w:after="0" w:line="240" w:lineRule="auto"/>
        <w:jc w:val="both"/>
        <w:rPr>
          <w:rFonts w:ascii="Times New Roman" w:eastAsia="Calibri" w:hAnsi="Times New Roman" w:cs="Times New Roman"/>
          <w:b/>
          <w:bCs/>
        </w:rPr>
      </w:pPr>
      <w:r w:rsidRPr="00D0532A">
        <w:rPr>
          <w:rFonts w:ascii="Times New Roman" w:eastAsia="Calibri" w:hAnsi="Times New Roman" w:cs="Times New Roman"/>
          <w:b/>
          <w:bCs/>
        </w:rPr>
        <w:t>1.9.1. Aktivnost A101701 Potpore za novorođeno dijete</w:t>
      </w:r>
    </w:p>
    <w:p w14:paraId="05FC56AC" w14:textId="77777777" w:rsidR="0081662F" w:rsidRPr="00D0532A" w:rsidRDefault="0081662F" w:rsidP="0081662F">
      <w:pPr>
        <w:jc w:val="both"/>
        <w:rPr>
          <w:rFonts w:ascii="Times New Roman" w:hAnsi="Times New Roman" w:cs="Times New Roman"/>
        </w:rPr>
      </w:pPr>
      <w:r w:rsidRPr="00D0532A">
        <w:rPr>
          <w:rFonts w:ascii="Times New Roman" w:eastAsia="Calibri" w:hAnsi="Times New Roman" w:cs="Times New Roman"/>
        </w:rPr>
        <w:t>U 2024. godini Upravni odjel za društvene djelatnosti, imovinu i opće poslove izdalo je sveukupno 71. Rješenje</w:t>
      </w:r>
      <w:r w:rsidRPr="00D0532A">
        <w:rPr>
          <w:rFonts w:ascii="Times New Roman" w:hAnsi="Times New Roman" w:cs="Times New Roman"/>
        </w:rPr>
        <w:t xml:space="preserve"> o ostvarivanju prava na naknadu za novorođeno dijete.</w:t>
      </w:r>
      <w:r w:rsidRPr="00D0532A">
        <w:rPr>
          <w:rFonts w:ascii="Times New Roman" w:eastAsia="Calibri" w:hAnsi="Times New Roman" w:cs="Times New Roman"/>
        </w:rPr>
        <w:t xml:space="preserve"> </w:t>
      </w:r>
      <w:r w:rsidRPr="00D0532A">
        <w:rPr>
          <w:rFonts w:ascii="Times New Roman" w:hAnsi="Times New Roman" w:cs="Times New Roman"/>
        </w:rPr>
        <w:t xml:space="preserve">Novčani iznos za potporu za novorođenu utvrđivao se </w:t>
      </w:r>
      <w:proofErr w:type="spellStart"/>
      <w:r w:rsidRPr="00D0532A">
        <w:rPr>
          <w:rFonts w:ascii="Times New Roman" w:hAnsi="Times New Roman" w:cs="Times New Roman"/>
        </w:rPr>
        <w:t>se</w:t>
      </w:r>
      <w:proofErr w:type="spellEnd"/>
      <w:r w:rsidRPr="00D0532A">
        <w:rPr>
          <w:rFonts w:ascii="Times New Roman" w:hAnsi="Times New Roman" w:cs="Times New Roman"/>
        </w:rPr>
        <w:t xml:space="preserve"> u iznosu od 200 eura za svako dijete.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725"/>
        <w:gridCol w:w="2062"/>
        <w:gridCol w:w="1308"/>
        <w:gridCol w:w="1308"/>
        <w:gridCol w:w="1308"/>
      </w:tblGrid>
      <w:tr w:rsidR="0081662F" w:rsidRPr="00D0532A" w14:paraId="3F7A95F9" w14:textId="77777777" w:rsidTr="00EB2357">
        <w:tc>
          <w:tcPr>
            <w:tcW w:w="744" w:type="pct"/>
            <w:shd w:val="clear" w:color="auto" w:fill="D1D1D1"/>
          </w:tcPr>
          <w:p w14:paraId="3C95B88F"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Pokazatelj rezultata</w:t>
            </w:r>
          </w:p>
        </w:tc>
        <w:tc>
          <w:tcPr>
            <w:tcW w:w="952" w:type="pct"/>
            <w:shd w:val="clear" w:color="auto" w:fill="D1D1D1"/>
          </w:tcPr>
          <w:p w14:paraId="56D62901"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Definicija pokazatelja</w:t>
            </w:r>
          </w:p>
        </w:tc>
        <w:tc>
          <w:tcPr>
            <w:tcW w:w="1138" w:type="pct"/>
            <w:shd w:val="clear" w:color="auto" w:fill="D1D1D1"/>
          </w:tcPr>
          <w:p w14:paraId="70EFEA25"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jedinica</w:t>
            </w:r>
          </w:p>
        </w:tc>
        <w:tc>
          <w:tcPr>
            <w:tcW w:w="722" w:type="pct"/>
            <w:shd w:val="clear" w:color="auto" w:fill="D1D1D1"/>
          </w:tcPr>
          <w:p w14:paraId="3EF68507"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Ciljana vrijednost</w:t>
            </w:r>
          </w:p>
          <w:p w14:paraId="125A337D"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2024.</w:t>
            </w:r>
          </w:p>
        </w:tc>
        <w:tc>
          <w:tcPr>
            <w:tcW w:w="722" w:type="pct"/>
            <w:shd w:val="clear" w:color="auto" w:fill="D1D1D1"/>
          </w:tcPr>
          <w:p w14:paraId="29760300"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Izvršeno</w:t>
            </w:r>
          </w:p>
        </w:tc>
        <w:tc>
          <w:tcPr>
            <w:tcW w:w="722" w:type="pct"/>
            <w:shd w:val="clear" w:color="auto" w:fill="D1D1D1"/>
          </w:tcPr>
          <w:p w14:paraId="2F5DE082"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Indeks</w:t>
            </w:r>
          </w:p>
        </w:tc>
      </w:tr>
      <w:tr w:rsidR="0081662F" w:rsidRPr="00D0532A" w14:paraId="034443EB" w14:textId="77777777" w:rsidTr="00EB2357">
        <w:tc>
          <w:tcPr>
            <w:tcW w:w="744" w:type="pct"/>
            <w:shd w:val="clear" w:color="auto" w:fill="auto"/>
          </w:tcPr>
          <w:p w14:paraId="5CD83484"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 xml:space="preserve">Broja potpora  </w:t>
            </w:r>
          </w:p>
        </w:tc>
        <w:tc>
          <w:tcPr>
            <w:tcW w:w="952" w:type="pct"/>
            <w:shd w:val="clear" w:color="auto" w:fill="auto"/>
          </w:tcPr>
          <w:p w14:paraId="6D639B98"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 xml:space="preserve">Broj potpora isplaćenih za svako novorođeno dijete </w:t>
            </w:r>
          </w:p>
        </w:tc>
        <w:tc>
          <w:tcPr>
            <w:tcW w:w="1138" w:type="pct"/>
            <w:shd w:val="clear" w:color="auto" w:fill="auto"/>
          </w:tcPr>
          <w:p w14:paraId="215508C9"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Broj potpora</w:t>
            </w:r>
          </w:p>
        </w:tc>
        <w:tc>
          <w:tcPr>
            <w:tcW w:w="722" w:type="pct"/>
            <w:shd w:val="clear" w:color="auto" w:fill="auto"/>
          </w:tcPr>
          <w:p w14:paraId="563ED684"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74</w:t>
            </w:r>
          </w:p>
        </w:tc>
        <w:tc>
          <w:tcPr>
            <w:tcW w:w="722" w:type="pct"/>
            <w:shd w:val="clear" w:color="auto" w:fill="auto"/>
          </w:tcPr>
          <w:p w14:paraId="43B87B71"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71</w:t>
            </w:r>
          </w:p>
        </w:tc>
        <w:tc>
          <w:tcPr>
            <w:tcW w:w="722" w:type="pct"/>
            <w:shd w:val="clear" w:color="auto" w:fill="auto"/>
          </w:tcPr>
          <w:p w14:paraId="176470B3"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95,94%</w:t>
            </w:r>
          </w:p>
        </w:tc>
      </w:tr>
    </w:tbl>
    <w:p w14:paraId="6CEE4D62" w14:textId="77777777" w:rsidR="0081662F" w:rsidRPr="00D0532A" w:rsidRDefault="0081662F" w:rsidP="0081662F">
      <w:pPr>
        <w:spacing w:after="0" w:line="240" w:lineRule="auto"/>
        <w:jc w:val="both"/>
        <w:rPr>
          <w:rFonts w:ascii="Times New Roman" w:eastAsia="Calibri" w:hAnsi="Times New Roman" w:cs="Times New Roman"/>
          <w:b/>
          <w:bCs/>
          <w:color w:val="FF0000"/>
        </w:rPr>
      </w:pPr>
    </w:p>
    <w:p w14:paraId="0D1B9F98" w14:textId="77777777" w:rsidR="0081662F" w:rsidRPr="00D0532A" w:rsidRDefault="0081662F" w:rsidP="0081662F">
      <w:pPr>
        <w:spacing w:after="0" w:line="240" w:lineRule="auto"/>
        <w:jc w:val="both"/>
        <w:rPr>
          <w:rFonts w:ascii="Times New Roman" w:eastAsia="Calibri" w:hAnsi="Times New Roman" w:cs="Times New Roman"/>
          <w:b/>
          <w:bCs/>
          <w:color w:val="FF0000"/>
        </w:rPr>
      </w:pPr>
    </w:p>
    <w:p w14:paraId="77C63F7D" w14:textId="77777777" w:rsidR="0081662F" w:rsidRPr="00D0532A" w:rsidRDefault="0081662F" w:rsidP="0081662F">
      <w:pPr>
        <w:spacing w:after="0" w:line="240" w:lineRule="auto"/>
        <w:jc w:val="both"/>
        <w:rPr>
          <w:rFonts w:ascii="Times New Roman" w:eastAsia="Calibri" w:hAnsi="Times New Roman" w:cs="Times New Roman"/>
          <w:b/>
          <w:bCs/>
        </w:rPr>
      </w:pPr>
      <w:r w:rsidRPr="00D0532A">
        <w:rPr>
          <w:rFonts w:ascii="Times New Roman" w:eastAsia="Calibri" w:hAnsi="Times New Roman" w:cs="Times New Roman"/>
          <w:b/>
          <w:bCs/>
        </w:rPr>
        <w:t>1.9.2. Aktivnost A101702 Pomoć mladim obiteljima kod rješavanja stambenih pitanja</w:t>
      </w:r>
    </w:p>
    <w:p w14:paraId="0B7EA43C" w14:textId="7C841458" w:rsidR="0081662F" w:rsidRPr="00D0532A" w:rsidRDefault="0081662F" w:rsidP="001D39EA">
      <w:pPr>
        <w:widowControl w:val="0"/>
        <w:autoSpaceDE w:val="0"/>
        <w:autoSpaceDN w:val="0"/>
        <w:adjustRightInd w:val="0"/>
        <w:spacing w:after="0" w:line="269" w:lineRule="auto"/>
        <w:ind w:right="-2"/>
        <w:jc w:val="both"/>
        <w:rPr>
          <w:rFonts w:ascii="Times New Roman" w:hAnsi="Times New Roman" w:cs="Times New Roman"/>
        </w:rPr>
      </w:pPr>
      <w:r w:rsidRPr="00D0532A">
        <w:rPr>
          <w:rFonts w:ascii="Times New Roman" w:eastAsia="Calibri" w:hAnsi="Times New Roman" w:cs="Times New Roman"/>
        </w:rPr>
        <w:t>Sukladno objavljenom javnom pozivu koji je raspisao gradonačelnik temeljem Programa mjera za poticanje rješavanja stambenog pitanja mladih obitelji na području Grada Garešnice 2022. - 2024. godina, bilo je sveukupno 13 prijava, o</w:t>
      </w:r>
      <w:r w:rsidRPr="00D0532A">
        <w:rPr>
          <w:rFonts w:ascii="Times New Roman" w:hAnsi="Times New Roman" w:cs="Times New Roman"/>
        </w:rPr>
        <w:t>d toga 5 prijava za mjeru 1.2. pobol</w:t>
      </w:r>
      <w:r w:rsidRPr="00D0532A">
        <w:rPr>
          <w:rFonts w:ascii="Times New Roman" w:hAnsi="Times New Roman" w:cs="Times New Roman"/>
          <w:spacing w:val="1"/>
        </w:rPr>
        <w:t>j</w:t>
      </w:r>
      <w:r w:rsidRPr="00D0532A">
        <w:rPr>
          <w:rFonts w:ascii="Times New Roman" w:hAnsi="Times New Roman" w:cs="Times New Roman"/>
        </w:rPr>
        <w:t>š</w:t>
      </w:r>
      <w:r w:rsidRPr="00D0532A">
        <w:rPr>
          <w:rFonts w:ascii="Times New Roman" w:hAnsi="Times New Roman" w:cs="Times New Roman"/>
          <w:spacing w:val="-1"/>
        </w:rPr>
        <w:t>a</w:t>
      </w:r>
      <w:r w:rsidRPr="00D0532A">
        <w:rPr>
          <w:rFonts w:ascii="Times New Roman" w:hAnsi="Times New Roman" w:cs="Times New Roman"/>
        </w:rPr>
        <w:t>nje kv</w:t>
      </w:r>
      <w:r w:rsidRPr="00D0532A">
        <w:rPr>
          <w:rFonts w:ascii="Times New Roman" w:hAnsi="Times New Roman" w:cs="Times New Roman"/>
          <w:spacing w:val="-1"/>
        </w:rPr>
        <w:t>a</w:t>
      </w:r>
      <w:r w:rsidRPr="00D0532A">
        <w:rPr>
          <w:rFonts w:ascii="Times New Roman" w:hAnsi="Times New Roman" w:cs="Times New Roman"/>
        </w:rPr>
        <w:t>l</w:t>
      </w:r>
      <w:r w:rsidRPr="00D0532A">
        <w:rPr>
          <w:rFonts w:ascii="Times New Roman" w:hAnsi="Times New Roman" w:cs="Times New Roman"/>
          <w:spacing w:val="1"/>
        </w:rPr>
        <w:t>i</w:t>
      </w:r>
      <w:r w:rsidRPr="00D0532A">
        <w:rPr>
          <w:rFonts w:ascii="Times New Roman" w:hAnsi="Times New Roman" w:cs="Times New Roman"/>
        </w:rPr>
        <w:t>tete</w:t>
      </w:r>
      <w:r w:rsidRPr="00D0532A">
        <w:rPr>
          <w:rFonts w:ascii="Times New Roman" w:hAnsi="Times New Roman" w:cs="Times New Roman"/>
          <w:spacing w:val="-1"/>
        </w:rPr>
        <w:t xml:space="preserve"> </w:t>
      </w:r>
      <w:r w:rsidRPr="00D0532A">
        <w:rPr>
          <w:rFonts w:ascii="Times New Roman" w:hAnsi="Times New Roman" w:cs="Times New Roman"/>
        </w:rPr>
        <w:t>stanov</w:t>
      </w:r>
      <w:r w:rsidRPr="00D0532A">
        <w:rPr>
          <w:rFonts w:ascii="Times New Roman" w:hAnsi="Times New Roman" w:cs="Times New Roman"/>
          <w:spacing w:val="-1"/>
        </w:rPr>
        <w:t>a</w:t>
      </w:r>
      <w:r w:rsidRPr="00D0532A">
        <w:rPr>
          <w:rFonts w:ascii="Times New Roman" w:hAnsi="Times New Roman" w:cs="Times New Roman"/>
        </w:rPr>
        <w:t>n</w:t>
      </w:r>
      <w:r w:rsidRPr="00D0532A">
        <w:rPr>
          <w:rFonts w:ascii="Times New Roman" w:hAnsi="Times New Roman" w:cs="Times New Roman"/>
          <w:spacing w:val="3"/>
        </w:rPr>
        <w:t>j</w:t>
      </w:r>
      <w:r w:rsidRPr="00D0532A">
        <w:rPr>
          <w:rFonts w:ascii="Times New Roman" w:hAnsi="Times New Roman" w:cs="Times New Roman"/>
        </w:rPr>
        <w:t>a</w:t>
      </w:r>
      <w:r w:rsidRPr="00D0532A">
        <w:rPr>
          <w:rFonts w:ascii="Times New Roman" w:hAnsi="Times New Roman" w:cs="Times New Roman"/>
          <w:spacing w:val="1"/>
        </w:rPr>
        <w:t xml:space="preserve"> </w:t>
      </w:r>
      <w:r w:rsidRPr="00D0532A">
        <w:rPr>
          <w:rFonts w:ascii="Times New Roman" w:hAnsi="Times New Roman" w:cs="Times New Roman"/>
        </w:rPr>
        <w:lastRenderedPageBreak/>
        <w:t>ulag</w:t>
      </w:r>
      <w:r w:rsidRPr="00D0532A">
        <w:rPr>
          <w:rFonts w:ascii="Times New Roman" w:hAnsi="Times New Roman" w:cs="Times New Roman"/>
          <w:spacing w:val="-1"/>
        </w:rPr>
        <w:t>a</w:t>
      </w:r>
      <w:r w:rsidRPr="00D0532A">
        <w:rPr>
          <w:rFonts w:ascii="Times New Roman" w:hAnsi="Times New Roman" w:cs="Times New Roman"/>
        </w:rPr>
        <w:t xml:space="preserve">njem u </w:t>
      </w:r>
      <w:r w:rsidRPr="00D0532A">
        <w:rPr>
          <w:rFonts w:ascii="Times New Roman" w:hAnsi="Times New Roman" w:cs="Times New Roman"/>
          <w:spacing w:val="2"/>
        </w:rPr>
        <w:t xml:space="preserve"> </w:t>
      </w:r>
      <w:r w:rsidRPr="00D0532A">
        <w:rPr>
          <w:rFonts w:ascii="Times New Roman" w:hAnsi="Times New Roman" w:cs="Times New Roman"/>
        </w:rPr>
        <w:t>r</w:t>
      </w:r>
      <w:r w:rsidRPr="00D0532A">
        <w:rPr>
          <w:rFonts w:ascii="Times New Roman" w:hAnsi="Times New Roman" w:cs="Times New Roman"/>
          <w:spacing w:val="-2"/>
        </w:rPr>
        <w:t>e</w:t>
      </w:r>
      <w:r w:rsidRPr="00D0532A">
        <w:rPr>
          <w:rFonts w:ascii="Times New Roman" w:hAnsi="Times New Roman" w:cs="Times New Roman"/>
        </w:rPr>
        <w:t>konstru</w:t>
      </w:r>
      <w:r w:rsidRPr="00D0532A">
        <w:rPr>
          <w:rFonts w:ascii="Times New Roman" w:hAnsi="Times New Roman" w:cs="Times New Roman"/>
          <w:spacing w:val="1"/>
        </w:rPr>
        <w:t>kc</w:t>
      </w:r>
      <w:r w:rsidRPr="00D0532A">
        <w:rPr>
          <w:rFonts w:ascii="Times New Roman" w:hAnsi="Times New Roman" w:cs="Times New Roman"/>
        </w:rPr>
        <w:t>i</w:t>
      </w:r>
      <w:r w:rsidRPr="00D0532A">
        <w:rPr>
          <w:rFonts w:ascii="Times New Roman" w:hAnsi="Times New Roman" w:cs="Times New Roman"/>
          <w:spacing w:val="1"/>
        </w:rPr>
        <w:t>j</w:t>
      </w:r>
      <w:r w:rsidRPr="00D0532A">
        <w:rPr>
          <w:rFonts w:ascii="Times New Roman" w:hAnsi="Times New Roman" w:cs="Times New Roman"/>
        </w:rPr>
        <w:t>u obi</w:t>
      </w:r>
      <w:r w:rsidRPr="00D0532A">
        <w:rPr>
          <w:rFonts w:ascii="Times New Roman" w:hAnsi="Times New Roman" w:cs="Times New Roman"/>
          <w:spacing w:val="1"/>
        </w:rPr>
        <w:t>t</w:t>
      </w:r>
      <w:r w:rsidRPr="00D0532A">
        <w:rPr>
          <w:rFonts w:ascii="Times New Roman" w:hAnsi="Times New Roman" w:cs="Times New Roman"/>
          <w:spacing w:val="-1"/>
        </w:rPr>
        <w:t>e</w:t>
      </w:r>
      <w:r w:rsidRPr="00D0532A">
        <w:rPr>
          <w:rFonts w:ascii="Times New Roman" w:hAnsi="Times New Roman" w:cs="Times New Roman"/>
        </w:rPr>
        <w:t>l</w:t>
      </w:r>
      <w:r w:rsidRPr="00D0532A">
        <w:rPr>
          <w:rFonts w:ascii="Times New Roman" w:hAnsi="Times New Roman" w:cs="Times New Roman"/>
          <w:spacing w:val="1"/>
        </w:rPr>
        <w:t>j</w:t>
      </w:r>
      <w:r w:rsidRPr="00D0532A">
        <w:rPr>
          <w:rFonts w:ascii="Times New Roman" w:hAnsi="Times New Roman" w:cs="Times New Roman"/>
        </w:rPr>
        <w:t>skih ku</w:t>
      </w:r>
      <w:r w:rsidRPr="00D0532A">
        <w:rPr>
          <w:rFonts w:ascii="Times New Roman" w:hAnsi="Times New Roman" w:cs="Times New Roman"/>
          <w:spacing w:val="-1"/>
        </w:rPr>
        <w:t>ć</w:t>
      </w:r>
      <w:r w:rsidRPr="00D0532A">
        <w:rPr>
          <w:rFonts w:ascii="Times New Roman" w:hAnsi="Times New Roman" w:cs="Times New Roman"/>
        </w:rPr>
        <w:t>a</w:t>
      </w:r>
      <w:r w:rsidRPr="00D0532A">
        <w:rPr>
          <w:rFonts w:ascii="Times New Roman" w:hAnsi="Times New Roman" w:cs="Times New Roman"/>
          <w:spacing w:val="-1"/>
        </w:rPr>
        <w:t xml:space="preserve"> </w:t>
      </w:r>
      <w:r w:rsidRPr="00D0532A">
        <w:rPr>
          <w:rFonts w:ascii="Times New Roman" w:hAnsi="Times New Roman" w:cs="Times New Roman"/>
        </w:rPr>
        <w:t>i</w:t>
      </w:r>
      <w:r w:rsidRPr="00D0532A">
        <w:rPr>
          <w:rFonts w:ascii="Times New Roman" w:hAnsi="Times New Roman" w:cs="Times New Roman"/>
          <w:spacing w:val="1"/>
        </w:rPr>
        <w:t>l</w:t>
      </w:r>
      <w:r w:rsidRPr="00D0532A">
        <w:rPr>
          <w:rFonts w:ascii="Times New Roman" w:hAnsi="Times New Roman" w:cs="Times New Roman"/>
        </w:rPr>
        <w:t>i s</w:t>
      </w:r>
      <w:r w:rsidRPr="00D0532A">
        <w:rPr>
          <w:rFonts w:ascii="Times New Roman" w:hAnsi="Times New Roman" w:cs="Times New Roman"/>
          <w:spacing w:val="1"/>
        </w:rPr>
        <w:t>t</w:t>
      </w:r>
      <w:r w:rsidRPr="00D0532A">
        <w:rPr>
          <w:rFonts w:ascii="Times New Roman" w:hAnsi="Times New Roman" w:cs="Times New Roman"/>
          <w:spacing w:val="-1"/>
        </w:rPr>
        <w:t>a</w:t>
      </w:r>
      <w:r w:rsidRPr="00D0532A">
        <w:rPr>
          <w:rFonts w:ascii="Times New Roman" w:hAnsi="Times New Roman" w:cs="Times New Roman"/>
        </w:rPr>
        <w:t>nova</w:t>
      </w:r>
      <w:r w:rsidRPr="00D0532A">
        <w:rPr>
          <w:rFonts w:ascii="Times New Roman" w:hAnsi="Times New Roman" w:cs="Times New Roman"/>
          <w:spacing w:val="-1"/>
        </w:rPr>
        <w:t xml:space="preserve"> </w:t>
      </w:r>
      <w:r w:rsidRPr="00D0532A">
        <w:rPr>
          <w:rFonts w:ascii="Times New Roman" w:hAnsi="Times New Roman" w:cs="Times New Roman"/>
        </w:rPr>
        <w:t>koj</w:t>
      </w:r>
      <w:r w:rsidRPr="00D0532A">
        <w:rPr>
          <w:rFonts w:ascii="Times New Roman" w:hAnsi="Times New Roman" w:cs="Times New Roman"/>
          <w:spacing w:val="1"/>
        </w:rPr>
        <w:t>i</w:t>
      </w:r>
      <w:r w:rsidRPr="00D0532A">
        <w:rPr>
          <w:rFonts w:ascii="Times New Roman" w:hAnsi="Times New Roman" w:cs="Times New Roman"/>
        </w:rPr>
        <w:t xml:space="preserve">ma </w:t>
      </w:r>
      <w:r w:rsidRPr="00D0532A">
        <w:rPr>
          <w:rFonts w:ascii="Times New Roman" w:hAnsi="Times New Roman" w:cs="Times New Roman"/>
          <w:spacing w:val="2"/>
        </w:rPr>
        <w:t xml:space="preserve"> </w:t>
      </w:r>
      <w:r w:rsidRPr="00D0532A">
        <w:rPr>
          <w:rFonts w:ascii="Times New Roman" w:hAnsi="Times New Roman" w:cs="Times New Roman"/>
        </w:rPr>
        <w:t>se</w:t>
      </w:r>
      <w:r w:rsidRPr="00D0532A">
        <w:rPr>
          <w:rFonts w:ascii="Times New Roman" w:hAnsi="Times New Roman" w:cs="Times New Roman"/>
          <w:spacing w:val="59"/>
        </w:rPr>
        <w:t xml:space="preserve"> </w:t>
      </w:r>
      <w:r w:rsidRPr="00D0532A">
        <w:rPr>
          <w:rFonts w:ascii="Times New Roman" w:hAnsi="Times New Roman" w:cs="Times New Roman"/>
        </w:rPr>
        <w:t>osi</w:t>
      </w:r>
      <w:r w:rsidRPr="00D0532A">
        <w:rPr>
          <w:rFonts w:ascii="Times New Roman" w:hAnsi="Times New Roman" w:cs="Times New Roman"/>
          <w:spacing w:val="-2"/>
        </w:rPr>
        <w:t>g</w:t>
      </w:r>
      <w:r w:rsidRPr="00D0532A">
        <w:rPr>
          <w:rFonts w:ascii="Times New Roman" w:hAnsi="Times New Roman" w:cs="Times New Roman"/>
          <w:spacing w:val="2"/>
        </w:rPr>
        <w:t>u</w:t>
      </w:r>
      <w:r w:rsidRPr="00D0532A">
        <w:rPr>
          <w:rFonts w:ascii="Times New Roman" w:hAnsi="Times New Roman" w:cs="Times New Roman"/>
        </w:rPr>
        <w:t>r</w:t>
      </w:r>
      <w:r w:rsidRPr="00D0532A">
        <w:rPr>
          <w:rFonts w:ascii="Times New Roman" w:hAnsi="Times New Roman" w:cs="Times New Roman"/>
          <w:spacing w:val="-2"/>
        </w:rPr>
        <w:t>a</w:t>
      </w:r>
      <w:r w:rsidRPr="00D0532A">
        <w:rPr>
          <w:rFonts w:ascii="Times New Roman" w:hAnsi="Times New Roman" w:cs="Times New Roman"/>
          <w:spacing w:val="2"/>
        </w:rPr>
        <w:t>v</w:t>
      </w:r>
      <w:r w:rsidRPr="00D0532A">
        <w:rPr>
          <w:rFonts w:ascii="Times New Roman" w:hAnsi="Times New Roman" w:cs="Times New Roman"/>
        </w:rPr>
        <w:t>a</w:t>
      </w:r>
      <w:r w:rsidRPr="00D0532A">
        <w:rPr>
          <w:rFonts w:ascii="Times New Roman" w:hAnsi="Times New Roman" w:cs="Times New Roman"/>
          <w:spacing w:val="-1"/>
        </w:rPr>
        <w:t xml:space="preserve"> </w:t>
      </w:r>
      <w:r w:rsidRPr="00D0532A">
        <w:rPr>
          <w:rFonts w:ascii="Times New Roman" w:hAnsi="Times New Roman" w:cs="Times New Roman"/>
        </w:rPr>
        <w:t xml:space="preserve">novi  </w:t>
      </w:r>
      <w:r w:rsidRPr="00D0532A">
        <w:rPr>
          <w:rFonts w:ascii="Times New Roman" w:hAnsi="Times New Roman" w:cs="Times New Roman"/>
          <w:spacing w:val="1"/>
        </w:rPr>
        <w:t>i</w:t>
      </w:r>
      <w:r w:rsidRPr="00D0532A">
        <w:rPr>
          <w:rFonts w:ascii="Times New Roman" w:hAnsi="Times New Roman" w:cs="Times New Roman"/>
        </w:rPr>
        <w:t>li</w:t>
      </w:r>
      <w:r w:rsidRPr="00D0532A">
        <w:rPr>
          <w:rFonts w:ascii="Times New Roman" w:hAnsi="Times New Roman" w:cs="Times New Roman"/>
          <w:spacing w:val="1"/>
        </w:rPr>
        <w:t xml:space="preserve"> </w:t>
      </w:r>
      <w:r w:rsidRPr="00D0532A">
        <w:rPr>
          <w:rFonts w:ascii="Times New Roman" w:hAnsi="Times New Roman" w:cs="Times New Roman"/>
        </w:rPr>
        <w:t>pobol</w:t>
      </w:r>
      <w:r w:rsidRPr="00D0532A">
        <w:rPr>
          <w:rFonts w:ascii="Times New Roman" w:hAnsi="Times New Roman" w:cs="Times New Roman"/>
          <w:spacing w:val="1"/>
        </w:rPr>
        <w:t>j</w:t>
      </w:r>
      <w:r w:rsidRPr="00D0532A">
        <w:rPr>
          <w:rFonts w:ascii="Times New Roman" w:hAnsi="Times New Roman" w:cs="Times New Roman"/>
        </w:rPr>
        <w:t>š</w:t>
      </w:r>
      <w:r w:rsidRPr="00D0532A">
        <w:rPr>
          <w:rFonts w:ascii="Times New Roman" w:hAnsi="Times New Roman" w:cs="Times New Roman"/>
          <w:spacing w:val="-1"/>
        </w:rPr>
        <w:t>a</w:t>
      </w:r>
      <w:r w:rsidRPr="00D0532A">
        <w:rPr>
          <w:rFonts w:ascii="Times New Roman" w:hAnsi="Times New Roman" w:cs="Times New Roman"/>
        </w:rPr>
        <w:t>va postoje</w:t>
      </w:r>
      <w:r w:rsidRPr="00D0532A">
        <w:rPr>
          <w:rFonts w:ascii="Times New Roman" w:hAnsi="Times New Roman" w:cs="Times New Roman"/>
          <w:spacing w:val="-1"/>
        </w:rPr>
        <w:t>ć</w:t>
      </w:r>
      <w:r w:rsidRPr="00D0532A">
        <w:rPr>
          <w:rFonts w:ascii="Times New Roman" w:hAnsi="Times New Roman" w:cs="Times New Roman"/>
        </w:rPr>
        <w:t>i s</w:t>
      </w:r>
      <w:r w:rsidRPr="00D0532A">
        <w:rPr>
          <w:rFonts w:ascii="Times New Roman" w:hAnsi="Times New Roman" w:cs="Times New Roman"/>
          <w:spacing w:val="1"/>
        </w:rPr>
        <w:t>t</w:t>
      </w:r>
      <w:r w:rsidRPr="00D0532A">
        <w:rPr>
          <w:rFonts w:ascii="Times New Roman" w:hAnsi="Times New Roman" w:cs="Times New Roman"/>
          <w:spacing w:val="-1"/>
        </w:rPr>
        <w:t>a</w:t>
      </w:r>
      <w:r w:rsidRPr="00D0532A">
        <w:rPr>
          <w:rFonts w:ascii="Times New Roman" w:hAnsi="Times New Roman" w:cs="Times New Roman"/>
        </w:rPr>
        <w:t>mbeni p</w:t>
      </w:r>
      <w:r w:rsidRPr="00D0532A">
        <w:rPr>
          <w:rFonts w:ascii="Times New Roman" w:hAnsi="Times New Roman" w:cs="Times New Roman"/>
          <w:spacing w:val="-1"/>
        </w:rPr>
        <w:t>r</w:t>
      </w:r>
      <w:r w:rsidRPr="00D0532A">
        <w:rPr>
          <w:rFonts w:ascii="Times New Roman" w:hAnsi="Times New Roman" w:cs="Times New Roman"/>
        </w:rPr>
        <w:t>ostor ( 3 prijave su s punim iznosom od 930,00 eura , 1 prijava je 864,50 eur</w:t>
      </w:r>
      <w:r w:rsidR="001D39EA">
        <w:rPr>
          <w:rFonts w:ascii="Times New Roman" w:hAnsi="Times New Roman" w:cs="Times New Roman"/>
        </w:rPr>
        <w:t>a</w:t>
      </w:r>
      <w:r w:rsidRPr="00D0532A">
        <w:rPr>
          <w:rFonts w:ascii="Times New Roman" w:hAnsi="Times New Roman" w:cs="Times New Roman"/>
        </w:rPr>
        <w:t>, i 1 prijava s iznosom 848,30 eur</w:t>
      </w:r>
      <w:r w:rsidR="001D39EA">
        <w:rPr>
          <w:rFonts w:ascii="Times New Roman" w:hAnsi="Times New Roman" w:cs="Times New Roman"/>
        </w:rPr>
        <w:t>a</w:t>
      </w:r>
      <w:r w:rsidRPr="00D0532A">
        <w:rPr>
          <w:rFonts w:ascii="Times New Roman" w:hAnsi="Times New Roman" w:cs="Times New Roman"/>
        </w:rPr>
        <w:t>) i 8 prijava za Mj</w:t>
      </w:r>
      <w:r w:rsidRPr="00D0532A">
        <w:rPr>
          <w:rFonts w:ascii="Times New Roman" w:hAnsi="Times New Roman" w:cs="Times New Roman"/>
          <w:spacing w:val="-1"/>
        </w:rPr>
        <w:t>e</w:t>
      </w:r>
      <w:r w:rsidRPr="00D0532A">
        <w:rPr>
          <w:rFonts w:ascii="Times New Roman" w:hAnsi="Times New Roman" w:cs="Times New Roman"/>
        </w:rPr>
        <w:t>ru</w:t>
      </w:r>
      <w:r w:rsidRPr="00D0532A">
        <w:rPr>
          <w:rFonts w:ascii="Times New Roman" w:hAnsi="Times New Roman" w:cs="Times New Roman"/>
          <w:spacing w:val="-1"/>
        </w:rPr>
        <w:t xml:space="preserve"> </w:t>
      </w:r>
      <w:r w:rsidRPr="00D0532A">
        <w:rPr>
          <w:rFonts w:ascii="Times New Roman" w:hAnsi="Times New Roman" w:cs="Times New Roman"/>
        </w:rPr>
        <w:t>1.1. fin</w:t>
      </w:r>
      <w:r w:rsidRPr="00D0532A">
        <w:rPr>
          <w:rFonts w:ascii="Times New Roman" w:hAnsi="Times New Roman" w:cs="Times New Roman"/>
          <w:spacing w:val="-1"/>
        </w:rPr>
        <w:t>a</w:t>
      </w:r>
      <w:r w:rsidRPr="00D0532A">
        <w:rPr>
          <w:rFonts w:ascii="Times New Roman" w:hAnsi="Times New Roman" w:cs="Times New Roman"/>
          <w:spacing w:val="2"/>
        </w:rPr>
        <w:t>n</w:t>
      </w:r>
      <w:r w:rsidRPr="00D0532A">
        <w:rPr>
          <w:rFonts w:ascii="Times New Roman" w:hAnsi="Times New Roman" w:cs="Times New Roman"/>
          <w:spacing w:val="-1"/>
        </w:rPr>
        <w:t>c</w:t>
      </w:r>
      <w:r w:rsidRPr="00D0532A">
        <w:rPr>
          <w:rFonts w:ascii="Times New Roman" w:hAnsi="Times New Roman" w:cs="Times New Roman"/>
        </w:rPr>
        <w:t>i</w:t>
      </w:r>
      <w:r w:rsidRPr="00D0532A">
        <w:rPr>
          <w:rFonts w:ascii="Times New Roman" w:hAnsi="Times New Roman" w:cs="Times New Roman"/>
          <w:spacing w:val="1"/>
        </w:rPr>
        <w:t>j</w:t>
      </w:r>
      <w:r w:rsidRPr="00D0532A">
        <w:rPr>
          <w:rFonts w:ascii="Times New Roman" w:hAnsi="Times New Roman" w:cs="Times New Roman"/>
        </w:rPr>
        <w:t xml:space="preserve">ska </w:t>
      </w:r>
      <w:r w:rsidRPr="00D0532A">
        <w:rPr>
          <w:rFonts w:ascii="Times New Roman" w:hAnsi="Times New Roman" w:cs="Times New Roman"/>
          <w:spacing w:val="-1"/>
        </w:rPr>
        <w:t>p</w:t>
      </w:r>
      <w:r w:rsidRPr="00D0532A">
        <w:rPr>
          <w:rFonts w:ascii="Times New Roman" w:hAnsi="Times New Roman" w:cs="Times New Roman"/>
          <w:spacing w:val="2"/>
        </w:rPr>
        <w:t>o</w:t>
      </w:r>
      <w:r w:rsidRPr="00D0532A">
        <w:rPr>
          <w:rFonts w:ascii="Times New Roman" w:hAnsi="Times New Roman" w:cs="Times New Roman"/>
        </w:rPr>
        <w:t>moć p</w:t>
      </w:r>
      <w:r w:rsidRPr="00D0532A">
        <w:rPr>
          <w:rFonts w:ascii="Times New Roman" w:hAnsi="Times New Roman" w:cs="Times New Roman"/>
          <w:spacing w:val="-1"/>
        </w:rPr>
        <w:t>r</w:t>
      </w:r>
      <w:r w:rsidRPr="00D0532A">
        <w:rPr>
          <w:rFonts w:ascii="Times New Roman" w:hAnsi="Times New Roman" w:cs="Times New Roman"/>
        </w:rPr>
        <w:t>i kupn</w:t>
      </w:r>
      <w:r w:rsidRPr="00D0532A">
        <w:rPr>
          <w:rFonts w:ascii="Times New Roman" w:hAnsi="Times New Roman" w:cs="Times New Roman"/>
          <w:spacing w:val="1"/>
        </w:rPr>
        <w:t>j</w:t>
      </w:r>
      <w:r w:rsidRPr="00D0532A">
        <w:rPr>
          <w:rFonts w:ascii="Times New Roman" w:hAnsi="Times New Roman" w:cs="Times New Roman"/>
        </w:rPr>
        <w:t xml:space="preserve">i </w:t>
      </w:r>
      <w:r w:rsidRPr="00D0532A">
        <w:rPr>
          <w:rFonts w:ascii="Times New Roman" w:hAnsi="Times New Roman" w:cs="Times New Roman"/>
          <w:spacing w:val="-2"/>
        </w:rPr>
        <w:t>g</w:t>
      </w:r>
      <w:r w:rsidRPr="00D0532A">
        <w:rPr>
          <w:rFonts w:ascii="Times New Roman" w:hAnsi="Times New Roman" w:cs="Times New Roman"/>
          <w:spacing w:val="1"/>
        </w:rPr>
        <w:t>r</w:t>
      </w:r>
      <w:r w:rsidRPr="00D0532A">
        <w:rPr>
          <w:rFonts w:ascii="Times New Roman" w:hAnsi="Times New Roman" w:cs="Times New Roman"/>
          <w:spacing w:val="-1"/>
        </w:rPr>
        <w:t>a</w:t>
      </w:r>
      <w:r w:rsidRPr="00D0532A">
        <w:rPr>
          <w:rFonts w:ascii="Times New Roman" w:hAnsi="Times New Roman" w:cs="Times New Roman"/>
        </w:rPr>
        <w:t>đ</w:t>
      </w:r>
      <w:r w:rsidRPr="00D0532A">
        <w:rPr>
          <w:rFonts w:ascii="Times New Roman" w:hAnsi="Times New Roman" w:cs="Times New Roman"/>
          <w:spacing w:val="-1"/>
        </w:rPr>
        <w:t>e</w:t>
      </w:r>
      <w:r w:rsidRPr="00D0532A">
        <w:rPr>
          <w:rFonts w:ascii="Times New Roman" w:hAnsi="Times New Roman" w:cs="Times New Roman"/>
        </w:rPr>
        <w:t>vin</w:t>
      </w:r>
      <w:r w:rsidRPr="00D0532A">
        <w:rPr>
          <w:rFonts w:ascii="Times New Roman" w:hAnsi="Times New Roman" w:cs="Times New Roman"/>
          <w:spacing w:val="3"/>
        </w:rPr>
        <w:t>s</w:t>
      </w:r>
      <w:r w:rsidRPr="00D0532A">
        <w:rPr>
          <w:rFonts w:ascii="Times New Roman" w:hAnsi="Times New Roman" w:cs="Times New Roman"/>
        </w:rPr>
        <w:t>kog</w:t>
      </w:r>
      <w:r w:rsidRPr="00D0532A">
        <w:rPr>
          <w:rFonts w:ascii="Times New Roman" w:hAnsi="Times New Roman" w:cs="Times New Roman"/>
          <w:spacing w:val="-2"/>
        </w:rPr>
        <w:t xml:space="preserve"> </w:t>
      </w:r>
      <w:r w:rsidRPr="00D0532A">
        <w:rPr>
          <w:rFonts w:ascii="Times New Roman" w:hAnsi="Times New Roman" w:cs="Times New Roman"/>
          <w:spacing w:val="1"/>
        </w:rPr>
        <w:t>z</w:t>
      </w:r>
      <w:r w:rsidRPr="00D0532A">
        <w:rPr>
          <w:rFonts w:ascii="Times New Roman" w:hAnsi="Times New Roman" w:cs="Times New Roman"/>
          <w:spacing w:val="-1"/>
        </w:rPr>
        <w:t>e</w:t>
      </w:r>
      <w:r w:rsidRPr="00D0532A">
        <w:rPr>
          <w:rFonts w:ascii="Times New Roman" w:hAnsi="Times New Roman" w:cs="Times New Roman"/>
        </w:rPr>
        <w:t>m</w:t>
      </w:r>
      <w:r w:rsidRPr="00D0532A">
        <w:rPr>
          <w:rFonts w:ascii="Times New Roman" w:hAnsi="Times New Roman" w:cs="Times New Roman"/>
          <w:spacing w:val="1"/>
        </w:rPr>
        <w:t>l</w:t>
      </w:r>
      <w:r w:rsidRPr="00D0532A">
        <w:rPr>
          <w:rFonts w:ascii="Times New Roman" w:hAnsi="Times New Roman" w:cs="Times New Roman"/>
        </w:rPr>
        <w:t>j</w:t>
      </w:r>
      <w:r w:rsidRPr="00D0532A">
        <w:rPr>
          <w:rFonts w:ascii="Times New Roman" w:hAnsi="Times New Roman" w:cs="Times New Roman"/>
          <w:spacing w:val="1"/>
        </w:rPr>
        <w:t>i</w:t>
      </w:r>
      <w:r w:rsidRPr="00D0532A">
        <w:rPr>
          <w:rFonts w:ascii="Times New Roman" w:hAnsi="Times New Roman" w:cs="Times New Roman"/>
        </w:rPr>
        <w:t>šta  ili s</w:t>
      </w:r>
      <w:r w:rsidRPr="00D0532A">
        <w:rPr>
          <w:rFonts w:ascii="Times New Roman" w:hAnsi="Times New Roman" w:cs="Times New Roman"/>
          <w:spacing w:val="1"/>
        </w:rPr>
        <w:t>t</w:t>
      </w:r>
      <w:r w:rsidRPr="00D0532A">
        <w:rPr>
          <w:rFonts w:ascii="Times New Roman" w:hAnsi="Times New Roman" w:cs="Times New Roman"/>
          <w:spacing w:val="-1"/>
        </w:rPr>
        <w:t>a</w:t>
      </w:r>
      <w:r w:rsidRPr="00D0532A">
        <w:rPr>
          <w:rFonts w:ascii="Times New Roman" w:hAnsi="Times New Roman" w:cs="Times New Roman"/>
        </w:rPr>
        <w:t>mbenog objekta</w:t>
      </w:r>
      <w:r w:rsidRPr="00D0532A">
        <w:rPr>
          <w:rFonts w:ascii="Times New Roman" w:hAnsi="Times New Roman" w:cs="Times New Roman"/>
          <w:spacing w:val="-1"/>
        </w:rPr>
        <w:t xml:space="preserve"> ra</w:t>
      </w:r>
      <w:r w:rsidRPr="00D0532A">
        <w:rPr>
          <w:rFonts w:ascii="Times New Roman" w:hAnsi="Times New Roman" w:cs="Times New Roman"/>
        </w:rPr>
        <w:t>di r</w:t>
      </w:r>
      <w:r w:rsidRPr="00D0532A">
        <w:rPr>
          <w:rFonts w:ascii="Times New Roman" w:hAnsi="Times New Roman" w:cs="Times New Roman"/>
          <w:spacing w:val="2"/>
        </w:rPr>
        <w:t>j</w:t>
      </w:r>
      <w:r w:rsidRPr="00D0532A">
        <w:rPr>
          <w:rFonts w:ascii="Times New Roman" w:hAnsi="Times New Roman" w:cs="Times New Roman"/>
          <w:spacing w:val="-1"/>
        </w:rPr>
        <w:t>e</w:t>
      </w:r>
      <w:r w:rsidRPr="00D0532A">
        <w:rPr>
          <w:rFonts w:ascii="Times New Roman" w:hAnsi="Times New Roman" w:cs="Times New Roman"/>
        </w:rPr>
        <w:t>š</w:t>
      </w:r>
      <w:r w:rsidRPr="00D0532A">
        <w:rPr>
          <w:rFonts w:ascii="Times New Roman" w:hAnsi="Times New Roman" w:cs="Times New Roman"/>
          <w:spacing w:val="-1"/>
        </w:rPr>
        <w:t>a</w:t>
      </w:r>
      <w:r w:rsidRPr="00D0532A">
        <w:rPr>
          <w:rFonts w:ascii="Times New Roman" w:hAnsi="Times New Roman" w:cs="Times New Roman"/>
        </w:rPr>
        <w:t>v</w:t>
      </w:r>
      <w:r w:rsidRPr="00D0532A">
        <w:rPr>
          <w:rFonts w:ascii="Times New Roman" w:hAnsi="Times New Roman" w:cs="Times New Roman"/>
          <w:spacing w:val="-1"/>
        </w:rPr>
        <w:t>a</w:t>
      </w:r>
      <w:r w:rsidRPr="00D0532A">
        <w:rPr>
          <w:rFonts w:ascii="Times New Roman" w:hAnsi="Times New Roman" w:cs="Times New Roman"/>
        </w:rPr>
        <w:t>nja vl</w:t>
      </w:r>
      <w:r w:rsidRPr="00D0532A">
        <w:rPr>
          <w:rFonts w:ascii="Times New Roman" w:hAnsi="Times New Roman" w:cs="Times New Roman"/>
          <w:spacing w:val="-1"/>
        </w:rPr>
        <w:t>a</w:t>
      </w:r>
      <w:r w:rsidRPr="00D0532A">
        <w:rPr>
          <w:rFonts w:ascii="Times New Roman" w:hAnsi="Times New Roman" w:cs="Times New Roman"/>
        </w:rPr>
        <w:t>st</w:t>
      </w:r>
      <w:r w:rsidRPr="00D0532A">
        <w:rPr>
          <w:rFonts w:ascii="Times New Roman" w:hAnsi="Times New Roman" w:cs="Times New Roman"/>
          <w:spacing w:val="1"/>
        </w:rPr>
        <w:t>i</w:t>
      </w:r>
      <w:r w:rsidRPr="00D0532A">
        <w:rPr>
          <w:rFonts w:ascii="Times New Roman" w:hAnsi="Times New Roman" w:cs="Times New Roman"/>
        </w:rPr>
        <w:t>t</w:t>
      </w:r>
      <w:r w:rsidRPr="00D0532A">
        <w:rPr>
          <w:rFonts w:ascii="Times New Roman" w:hAnsi="Times New Roman" w:cs="Times New Roman"/>
          <w:spacing w:val="3"/>
        </w:rPr>
        <w:t>o</w:t>
      </w:r>
      <w:r w:rsidRPr="00D0532A">
        <w:rPr>
          <w:rFonts w:ascii="Times New Roman" w:hAnsi="Times New Roman" w:cs="Times New Roman"/>
        </w:rPr>
        <w:t>g</w:t>
      </w:r>
      <w:r w:rsidRPr="00D0532A">
        <w:rPr>
          <w:rFonts w:ascii="Times New Roman" w:hAnsi="Times New Roman" w:cs="Times New Roman"/>
          <w:spacing w:val="-2"/>
        </w:rPr>
        <w:t xml:space="preserve"> </w:t>
      </w:r>
      <w:r w:rsidRPr="00D0532A">
        <w:rPr>
          <w:rFonts w:ascii="Times New Roman" w:hAnsi="Times New Roman" w:cs="Times New Roman"/>
        </w:rPr>
        <w:t>stamb</w:t>
      </w:r>
      <w:r w:rsidRPr="00D0532A">
        <w:rPr>
          <w:rFonts w:ascii="Times New Roman" w:hAnsi="Times New Roman" w:cs="Times New Roman"/>
          <w:spacing w:val="1"/>
        </w:rPr>
        <w:t>e</w:t>
      </w:r>
      <w:r w:rsidRPr="00D0532A">
        <w:rPr>
          <w:rFonts w:ascii="Times New Roman" w:hAnsi="Times New Roman" w:cs="Times New Roman"/>
        </w:rPr>
        <w:t>nog</w:t>
      </w:r>
      <w:r w:rsidRPr="00D0532A">
        <w:rPr>
          <w:rFonts w:ascii="Times New Roman" w:hAnsi="Times New Roman" w:cs="Times New Roman"/>
          <w:spacing w:val="-2"/>
        </w:rPr>
        <w:t xml:space="preserve"> </w:t>
      </w:r>
      <w:r w:rsidRPr="00D0532A">
        <w:rPr>
          <w:rFonts w:ascii="Times New Roman" w:hAnsi="Times New Roman" w:cs="Times New Roman"/>
        </w:rPr>
        <w:t>pi</w:t>
      </w:r>
      <w:r w:rsidRPr="00D0532A">
        <w:rPr>
          <w:rFonts w:ascii="Times New Roman" w:hAnsi="Times New Roman" w:cs="Times New Roman"/>
          <w:spacing w:val="1"/>
        </w:rPr>
        <w:t>t</w:t>
      </w:r>
      <w:r w:rsidRPr="00D0532A">
        <w:rPr>
          <w:rFonts w:ascii="Times New Roman" w:hAnsi="Times New Roman" w:cs="Times New Roman"/>
          <w:spacing w:val="-1"/>
        </w:rPr>
        <w:t>a</w:t>
      </w:r>
      <w:r w:rsidRPr="00D0532A">
        <w:rPr>
          <w:rFonts w:ascii="Times New Roman" w:hAnsi="Times New Roman" w:cs="Times New Roman"/>
        </w:rPr>
        <w:t xml:space="preserve">nja </w:t>
      </w:r>
      <w:r w:rsidRPr="00D0532A">
        <w:rPr>
          <w:rFonts w:ascii="Times New Roman" w:hAnsi="Times New Roman" w:cs="Times New Roman"/>
          <w:spacing w:val="2"/>
        </w:rPr>
        <w:t>n</w:t>
      </w:r>
      <w:r w:rsidRPr="00D0532A">
        <w:rPr>
          <w:rFonts w:ascii="Times New Roman" w:hAnsi="Times New Roman" w:cs="Times New Roman"/>
        </w:rPr>
        <w:t>a</w:t>
      </w:r>
      <w:r w:rsidRPr="00D0532A">
        <w:rPr>
          <w:rFonts w:ascii="Times New Roman" w:hAnsi="Times New Roman" w:cs="Times New Roman"/>
          <w:spacing w:val="-1"/>
        </w:rPr>
        <w:t xml:space="preserve"> </w:t>
      </w:r>
      <w:r w:rsidRPr="00D0532A">
        <w:rPr>
          <w:rFonts w:ascii="Times New Roman" w:hAnsi="Times New Roman" w:cs="Times New Roman"/>
        </w:rPr>
        <w:t>pod</w:t>
      </w:r>
      <w:r w:rsidRPr="00D0532A">
        <w:rPr>
          <w:rFonts w:ascii="Times New Roman" w:hAnsi="Times New Roman" w:cs="Times New Roman"/>
          <w:spacing w:val="-1"/>
        </w:rPr>
        <w:t>r</w:t>
      </w:r>
      <w:r w:rsidRPr="00D0532A">
        <w:rPr>
          <w:rFonts w:ascii="Times New Roman" w:hAnsi="Times New Roman" w:cs="Times New Roman"/>
        </w:rPr>
        <w:t>u</w:t>
      </w:r>
      <w:r w:rsidRPr="00D0532A">
        <w:rPr>
          <w:rFonts w:ascii="Times New Roman" w:hAnsi="Times New Roman" w:cs="Times New Roman"/>
          <w:spacing w:val="-1"/>
        </w:rPr>
        <w:t>č</w:t>
      </w:r>
      <w:r w:rsidRPr="00D0532A">
        <w:rPr>
          <w:rFonts w:ascii="Times New Roman" w:hAnsi="Times New Roman" w:cs="Times New Roman"/>
        </w:rPr>
        <w:t xml:space="preserve">ju Grada Garešnice (sve s maksimalnim iznosom 930,00 eura). Sa </w:t>
      </w:r>
      <w:r w:rsidRPr="00D0532A">
        <w:rPr>
          <w:rFonts w:ascii="Times New Roman" w:eastAsia="Calibri" w:hAnsi="Times New Roman" w:cs="Times New Roman"/>
        </w:rPr>
        <w:t>mladim obiteljima sklopljeni su Ugovori temeljem kojih su se isplatila navedena sredstva.</w:t>
      </w:r>
    </w:p>
    <w:p w14:paraId="146F5529" w14:textId="77777777" w:rsidR="0081662F" w:rsidRPr="00D0532A" w:rsidRDefault="0081662F" w:rsidP="0081662F">
      <w:pPr>
        <w:spacing w:after="0" w:line="240" w:lineRule="auto"/>
        <w:jc w:val="both"/>
        <w:rPr>
          <w:rFonts w:ascii="Times New Roman" w:eastAsia="Calibri"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1750"/>
        <w:gridCol w:w="2124"/>
        <w:gridCol w:w="1319"/>
        <w:gridCol w:w="1254"/>
        <w:gridCol w:w="1254"/>
      </w:tblGrid>
      <w:tr w:rsidR="0081662F" w:rsidRPr="00D0532A" w14:paraId="4349865E" w14:textId="77777777" w:rsidTr="00EB2357">
        <w:tc>
          <w:tcPr>
            <w:tcW w:w="750" w:type="pct"/>
            <w:shd w:val="clear" w:color="auto" w:fill="D1D1D1"/>
          </w:tcPr>
          <w:p w14:paraId="0E22C4B0" w14:textId="77777777" w:rsidR="0081662F" w:rsidRPr="00D0532A" w:rsidRDefault="0081662F" w:rsidP="00EB2357">
            <w:pPr>
              <w:spacing w:after="0" w:line="240" w:lineRule="auto"/>
              <w:rPr>
                <w:rFonts w:ascii="Times New Roman" w:eastAsia="Calibri" w:hAnsi="Times New Roman" w:cs="Times New Roman"/>
                <w:b/>
                <w:bCs/>
              </w:rPr>
            </w:pPr>
            <w:bookmarkStart w:id="6" w:name="_Hlk151930513"/>
            <w:r w:rsidRPr="00D0532A">
              <w:rPr>
                <w:rFonts w:ascii="Times New Roman" w:eastAsia="Calibri" w:hAnsi="Times New Roman" w:cs="Times New Roman"/>
                <w:b/>
                <w:bCs/>
              </w:rPr>
              <w:t>Pokazatelj rezultata</w:t>
            </w:r>
          </w:p>
        </w:tc>
        <w:tc>
          <w:tcPr>
            <w:tcW w:w="966" w:type="pct"/>
            <w:shd w:val="clear" w:color="auto" w:fill="D1D1D1"/>
          </w:tcPr>
          <w:p w14:paraId="66E04FA7"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Definicija pokazatelja</w:t>
            </w:r>
          </w:p>
        </w:tc>
        <w:tc>
          <w:tcPr>
            <w:tcW w:w="1172" w:type="pct"/>
            <w:shd w:val="clear" w:color="auto" w:fill="D1D1D1"/>
          </w:tcPr>
          <w:p w14:paraId="465CB0F4"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jedinica</w:t>
            </w:r>
          </w:p>
        </w:tc>
        <w:tc>
          <w:tcPr>
            <w:tcW w:w="728" w:type="pct"/>
            <w:shd w:val="clear" w:color="auto" w:fill="D1D1D1"/>
          </w:tcPr>
          <w:p w14:paraId="6CFD6112"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Polazna vrijednost</w:t>
            </w:r>
          </w:p>
          <w:p w14:paraId="4F81E6F9"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2024.</w:t>
            </w:r>
          </w:p>
        </w:tc>
        <w:tc>
          <w:tcPr>
            <w:tcW w:w="692" w:type="pct"/>
            <w:shd w:val="clear" w:color="auto" w:fill="D1D1D1"/>
          </w:tcPr>
          <w:p w14:paraId="4586CCFA"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Izvršeno</w:t>
            </w:r>
          </w:p>
        </w:tc>
        <w:tc>
          <w:tcPr>
            <w:tcW w:w="692" w:type="pct"/>
            <w:shd w:val="clear" w:color="auto" w:fill="D1D1D1"/>
          </w:tcPr>
          <w:p w14:paraId="5F726996"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Indeks</w:t>
            </w:r>
          </w:p>
        </w:tc>
      </w:tr>
      <w:tr w:rsidR="0081662F" w:rsidRPr="00D0532A" w14:paraId="5E339C3D" w14:textId="77777777" w:rsidTr="00EB2357">
        <w:tc>
          <w:tcPr>
            <w:tcW w:w="750" w:type="pct"/>
            <w:shd w:val="clear" w:color="auto" w:fill="auto"/>
          </w:tcPr>
          <w:p w14:paraId="76B4AD0C"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 xml:space="preserve">Povećanje broja ugovora  </w:t>
            </w:r>
          </w:p>
        </w:tc>
        <w:tc>
          <w:tcPr>
            <w:tcW w:w="966" w:type="pct"/>
            <w:shd w:val="clear" w:color="auto" w:fill="auto"/>
          </w:tcPr>
          <w:p w14:paraId="0C5F8A97"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 xml:space="preserve">Broja ugovora temeljem kojih se isplaćuju financijska sredstva mladim obiteljima </w:t>
            </w:r>
          </w:p>
        </w:tc>
        <w:tc>
          <w:tcPr>
            <w:tcW w:w="1172" w:type="pct"/>
            <w:shd w:val="clear" w:color="auto" w:fill="auto"/>
          </w:tcPr>
          <w:p w14:paraId="4854859E"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Broj ugovora/kom</w:t>
            </w:r>
          </w:p>
        </w:tc>
        <w:tc>
          <w:tcPr>
            <w:tcW w:w="728" w:type="pct"/>
            <w:shd w:val="clear" w:color="auto" w:fill="auto"/>
          </w:tcPr>
          <w:p w14:paraId="6D96D22A" w14:textId="77777777" w:rsidR="0081662F" w:rsidRPr="00D0532A" w:rsidRDefault="0081662F" w:rsidP="00EB2357">
            <w:pPr>
              <w:spacing w:after="0" w:line="240" w:lineRule="auto"/>
              <w:rPr>
                <w:rFonts w:ascii="Times New Roman" w:eastAsia="Calibri" w:hAnsi="Times New Roman" w:cs="Times New Roman"/>
                <w:highlight w:val="yellow"/>
              </w:rPr>
            </w:pPr>
            <w:r w:rsidRPr="00D0532A">
              <w:rPr>
                <w:rFonts w:ascii="Times New Roman" w:eastAsia="Calibri" w:hAnsi="Times New Roman" w:cs="Times New Roman"/>
              </w:rPr>
              <w:t>15</w:t>
            </w:r>
          </w:p>
        </w:tc>
        <w:tc>
          <w:tcPr>
            <w:tcW w:w="692" w:type="pct"/>
            <w:shd w:val="clear" w:color="auto" w:fill="auto"/>
          </w:tcPr>
          <w:p w14:paraId="4E09984F"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13</w:t>
            </w:r>
          </w:p>
        </w:tc>
        <w:tc>
          <w:tcPr>
            <w:tcW w:w="692" w:type="pct"/>
            <w:shd w:val="clear" w:color="auto" w:fill="auto"/>
          </w:tcPr>
          <w:p w14:paraId="6124DCB3"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86,66%</w:t>
            </w:r>
          </w:p>
        </w:tc>
      </w:tr>
      <w:bookmarkEnd w:id="6"/>
    </w:tbl>
    <w:p w14:paraId="7CFDA87F" w14:textId="77777777" w:rsidR="0081662F" w:rsidRPr="00D0532A" w:rsidRDefault="0081662F" w:rsidP="0081662F">
      <w:pPr>
        <w:spacing w:after="0" w:line="240" w:lineRule="auto"/>
        <w:jc w:val="both"/>
        <w:rPr>
          <w:rFonts w:ascii="Times New Roman" w:eastAsia="Calibri" w:hAnsi="Times New Roman" w:cs="Times New Roman"/>
          <w:color w:val="FF0000"/>
        </w:rPr>
      </w:pPr>
    </w:p>
    <w:p w14:paraId="2A361643" w14:textId="77777777" w:rsidR="0081662F" w:rsidRPr="00D0532A" w:rsidRDefault="0081662F" w:rsidP="0081662F">
      <w:pPr>
        <w:spacing w:after="0" w:line="240" w:lineRule="auto"/>
        <w:jc w:val="both"/>
        <w:rPr>
          <w:rFonts w:ascii="Times New Roman" w:eastAsia="Calibri" w:hAnsi="Times New Roman" w:cs="Times New Roman"/>
          <w:b/>
          <w:bCs/>
        </w:rPr>
      </w:pPr>
      <w:r w:rsidRPr="00D0532A">
        <w:rPr>
          <w:rFonts w:ascii="Times New Roman" w:eastAsia="Calibri" w:hAnsi="Times New Roman" w:cs="Times New Roman"/>
          <w:b/>
          <w:bCs/>
        </w:rPr>
        <w:t>1.9.3. Aktivnost A101703 Pomoć mladim obiteljima oslobođenjem od plaćanja komunalnog doprinosa</w:t>
      </w:r>
    </w:p>
    <w:p w14:paraId="7800C135" w14:textId="77777777" w:rsidR="0081662F" w:rsidRPr="00D0532A" w:rsidRDefault="0081662F" w:rsidP="0081662F">
      <w:pPr>
        <w:spacing w:after="0" w:line="240" w:lineRule="auto"/>
        <w:jc w:val="both"/>
        <w:rPr>
          <w:rFonts w:ascii="Times New Roman" w:eastAsia="Calibri"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2224"/>
        <w:gridCol w:w="1353"/>
        <w:gridCol w:w="1365"/>
        <w:gridCol w:w="1365"/>
        <w:gridCol w:w="1363"/>
      </w:tblGrid>
      <w:tr w:rsidR="0081662F" w:rsidRPr="00D0532A" w14:paraId="6FEC5C9E" w14:textId="77777777" w:rsidTr="00EB2357">
        <w:tc>
          <w:tcPr>
            <w:tcW w:w="776" w:type="pct"/>
            <w:shd w:val="clear" w:color="auto" w:fill="D1D1D1"/>
          </w:tcPr>
          <w:p w14:paraId="50010949" w14:textId="77777777" w:rsidR="0081662F" w:rsidRPr="00D0532A" w:rsidRDefault="0081662F" w:rsidP="00EB2357">
            <w:pPr>
              <w:spacing w:after="0" w:line="240" w:lineRule="auto"/>
              <w:rPr>
                <w:rFonts w:ascii="Times New Roman" w:eastAsia="Calibri" w:hAnsi="Times New Roman" w:cs="Times New Roman"/>
                <w:b/>
                <w:bCs/>
              </w:rPr>
            </w:pPr>
            <w:bookmarkStart w:id="7" w:name="_Hlk151932481"/>
            <w:r w:rsidRPr="00D0532A">
              <w:rPr>
                <w:rFonts w:ascii="Times New Roman" w:eastAsia="Calibri" w:hAnsi="Times New Roman" w:cs="Times New Roman"/>
                <w:b/>
                <w:bCs/>
              </w:rPr>
              <w:t>Pokazatelj rezultata</w:t>
            </w:r>
          </w:p>
        </w:tc>
        <w:tc>
          <w:tcPr>
            <w:tcW w:w="1236" w:type="pct"/>
            <w:shd w:val="clear" w:color="auto" w:fill="D1D1D1"/>
          </w:tcPr>
          <w:p w14:paraId="52CE1940"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Definicija pokazatelja</w:t>
            </w:r>
          </w:p>
        </w:tc>
        <w:tc>
          <w:tcPr>
            <w:tcW w:w="703" w:type="pct"/>
            <w:shd w:val="clear" w:color="auto" w:fill="D1D1D1"/>
          </w:tcPr>
          <w:p w14:paraId="47AB7D06"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jedinica</w:t>
            </w:r>
          </w:p>
        </w:tc>
        <w:tc>
          <w:tcPr>
            <w:tcW w:w="762" w:type="pct"/>
            <w:shd w:val="clear" w:color="auto" w:fill="D1D1D1"/>
          </w:tcPr>
          <w:p w14:paraId="18E821AE"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Ciljana vrijednost</w:t>
            </w:r>
          </w:p>
          <w:p w14:paraId="1C60C32A"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2024.</w:t>
            </w:r>
          </w:p>
        </w:tc>
        <w:tc>
          <w:tcPr>
            <w:tcW w:w="762" w:type="pct"/>
            <w:shd w:val="clear" w:color="auto" w:fill="D1D1D1"/>
          </w:tcPr>
          <w:p w14:paraId="472BE984"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Izvršenje</w:t>
            </w:r>
          </w:p>
        </w:tc>
        <w:tc>
          <w:tcPr>
            <w:tcW w:w="762" w:type="pct"/>
            <w:shd w:val="clear" w:color="auto" w:fill="D1D1D1"/>
          </w:tcPr>
          <w:p w14:paraId="7AAA3CD3"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Indeks</w:t>
            </w:r>
          </w:p>
        </w:tc>
      </w:tr>
      <w:tr w:rsidR="0081662F" w:rsidRPr="00D0532A" w14:paraId="0BACF1C9" w14:textId="77777777" w:rsidTr="00EB2357">
        <w:tc>
          <w:tcPr>
            <w:tcW w:w="776" w:type="pct"/>
            <w:shd w:val="clear" w:color="auto" w:fill="auto"/>
          </w:tcPr>
          <w:p w14:paraId="59A9FDE0"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Povećanje broja rješenja</w:t>
            </w:r>
          </w:p>
        </w:tc>
        <w:tc>
          <w:tcPr>
            <w:tcW w:w="1236" w:type="pct"/>
            <w:shd w:val="clear" w:color="auto" w:fill="auto"/>
          </w:tcPr>
          <w:p w14:paraId="697D6A8A"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 xml:space="preserve">Broja rješenja kojima se mladim obiteljima utvrđuje oslobađanje od plaćanja komunalnog doprinosa  </w:t>
            </w:r>
          </w:p>
        </w:tc>
        <w:tc>
          <w:tcPr>
            <w:tcW w:w="703" w:type="pct"/>
            <w:shd w:val="clear" w:color="auto" w:fill="auto"/>
          </w:tcPr>
          <w:p w14:paraId="0B6D2D1E"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Broj rješenja/kom</w:t>
            </w:r>
          </w:p>
        </w:tc>
        <w:tc>
          <w:tcPr>
            <w:tcW w:w="762" w:type="pct"/>
            <w:shd w:val="clear" w:color="auto" w:fill="auto"/>
          </w:tcPr>
          <w:p w14:paraId="76688A79"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0</w:t>
            </w:r>
          </w:p>
        </w:tc>
        <w:tc>
          <w:tcPr>
            <w:tcW w:w="762" w:type="pct"/>
            <w:shd w:val="clear" w:color="auto" w:fill="auto"/>
          </w:tcPr>
          <w:p w14:paraId="2395351A"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0</w:t>
            </w:r>
          </w:p>
        </w:tc>
        <w:tc>
          <w:tcPr>
            <w:tcW w:w="762" w:type="pct"/>
            <w:shd w:val="clear" w:color="auto" w:fill="auto"/>
          </w:tcPr>
          <w:p w14:paraId="2E22E4B6"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0,00%</w:t>
            </w:r>
          </w:p>
        </w:tc>
      </w:tr>
      <w:bookmarkEnd w:id="7"/>
    </w:tbl>
    <w:p w14:paraId="04C4736E" w14:textId="77777777" w:rsidR="0081662F" w:rsidRPr="00D0532A" w:rsidRDefault="0081662F" w:rsidP="0081662F">
      <w:pPr>
        <w:spacing w:after="0" w:line="240" w:lineRule="auto"/>
        <w:rPr>
          <w:rFonts w:ascii="Times New Roman" w:eastAsia="Calibri" w:hAnsi="Times New Roman" w:cs="Times New Roman"/>
          <w:b/>
          <w:bCs/>
        </w:rPr>
      </w:pPr>
    </w:p>
    <w:p w14:paraId="7F8CFA68" w14:textId="77777777" w:rsidR="0081662F" w:rsidRPr="00D0532A" w:rsidRDefault="0081662F" w:rsidP="0081662F">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1.10. Program 1018 Socijalna skrb</w:t>
      </w:r>
    </w:p>
    <w:tbl>
      <w:tblPr>
        <w:tblpPr w:leftFromText="180" w:rightFromText="180" w:vertAnchor="text" w:horzAnchor="margin" w:tblpY="187"/>
        <w:tblW w:w="5000" w:type="pct"/>
        <w:tblLook w:val="04A0" w:firstRow="1" w:lastRow="0" w:firstColumn="1" w:lastColumn="0" w:noHBand="0" w:noVBand="1"/>
      </w:tblPr>
      <w:tblGrid>
        <w:gridCol w:w="1891"/>
        <w:gridCol w:w="3332"/>
        <w:gridCol w:w="1408"/>
        <w:gridCol w:w="1152"/>
        <w:gridCol w:w="1277"/>
      </w:tblGrid>
      <w:tr w:rsidR="0081662F" w:rsidRPr="00D0532A" w14:paraId="5382710B" w14:textId="77777777" w:rsidTr="00EB2357">
        <w:trPr>
          <w:trHeight w:val="564"/>
        </w:trPr>
        <w:tc>
          <w:tcPr>
            <w:tcW w:w="2882" w:type="pct"/>
            <w:gridSpan w:val="2"/>
            <w:tcBorders>
              <w:top w:val="single" w:sz="4" w:space="0" w:color="auto"/>
              <w:left w:val="single" w:sz="4" w:space="0" w:color="auto"/>
              <w:bottom w:val="single" w:sz="4" w:space="0" w:color="auto"/>
              <w:right w:val="single" w:sz="4" w:space="0" w:color="auto"/>
            </w:tcBorders>
            <w:shd w:val="clear" w:color="auto" w:fill="D9D9D9"/>
          </w:tcPr>
          <w:p w14:paraId="5E6F5181" w14:textId="77777777" w:rsidR="0081662F" w:rsidRPr="00D0532A" w:rsidRDefault="0081662F" w:rsidP="00EB2357">
            <w:pPr>
              <w:spacing w:after="0" w:line="240" w:lineRule="auto"/>
              <w:rPr>
                <w:rFonts w:ascii="Times New Roman" w:hAnsi="Times New Roman" w:cs="Times New Roman"/>
                <w:bCs/>
                <w:lang w:eastAsia="hr-HR"/>
              </w:rPr>
            </w:pPr>
            <w:r w:rsidRPr="00D0532A">
              <w:rPr>
                <w:rFonts w:ascii="Times New Roman" w:hAnsi="Times New Roman" w:cs="Times New Roman"/>
                <w:bCs/>
                <w:lang w:eastAsia="hr-HR"/>
              </w:rPr>
              <w:t>Naziv programa/aktivnosti/projekta</w:t>
            </w:r>
          </w:p>
        </w:tc>
        <w:tc>
          <w:tcPr>
            <w:tcW w:w="777" w:type="pct"/>
            <w:tcBorders>
              <w:top w:val="single" w:sz="4" w:space="0" w:color="auto"/>
              <w:left w:val="nil"/>
              <w:bottom w:val="single" w:sz="4" w:space="0" w:color="auto"/>
              <w:right w:val="single" w:sz="4" w:space="0" w:color="auto"/>
            </w:tcBorders>
            <w:shd w:val="clear" w:color="auto" w:fill="D9D9D9"/>
            <w:vAlign w:val="center"/>
            <w:hideMark/>
          </w:tcPr>
          <w:p w14:paraId="6F96A717" w14:textId="77777777" w:rsidR="0081662F" w:rsidRPr="00D0532A" w:rsidRDefault="0081662F" w:rsidP="00EB2357">
            <w:pPr>
              <w:spacing w:after="0" w:line="240" w:lineRule="auto"/>
              <w:rPr>
                <w:rFonts w:ascii="Times New Roman" w:hAnsi="Times New Roman" w:cs="Times New Roman"/>
                <w:bCs/>
                <w:lang w:eastAsia="hr-HR"/>
              </w:rPr>
            </w:pPr>
            <w:r w:rsidRPr="00D0532A">
              <w:rPr>
                <w:rFonts w:ascii="Times New Roman" w:hAnsi="Times New Roman" w:cs="Times New Roman"/>
                <w:bCs/>
                <w:lang w:eastAsia="hr-HR"/>
              </w:rPr>
              <w:t>Rebalans</w:t>
            </w:r>
          </w:p>
          <w:p w14:paraId="01950669" w14:textId="77777777" w:rsidR="0081662F" w:rsidRPr="00D0532A" w:rsidRDefault="0081662F" w:rsidP="00EB2357">
            <w:pPr>
              <w:spacing w:after="0" w:line="240" w:lineRule="auto"/>
              <w:rPr>
                <w:rFonts w:ascii="Times New Roman" w:hAnsi="Times New Roman" w:cs="Times New Roman"/>
                <w:bCs/>
                <w:lang w:eastAsia="hr-HR"/>
              </w:rPr>
            </w:pPr>
            <w:r w:rsidRPr="00D0532A">
              <w:rPr>
                <w:rFonts w:ascii="Times New Roman" w:hAnsi="Times New Roman" w:cs="Times New Roman"/>
                <w:bCs/>
                <w:lang w:eastAsia="hr-HR"/>
              </w:rPr>
              <w:t>2024.</w:t>
            </w:r>
          </w:p>
        </w:tc>
        <w:tc>
          <w:tcPr>
            <w:tcW w:w="636" w:type="pct"/>
            <w:tcBorders>
              <w:top w:val="single" w:sz="4" w:space="0" w:color="auto"/>
              <w:left w:val="nil"/>
              <w:bottom w:val="single" w:sz="4" w:space="0" w:color="auto"/>
              <w:right w:val="single" w:sz="4" w:space="0" w:color="auto"/>
            </w:tcBorders>
            <w:shd w:val="clear" w:color="auto" w:fill="D9D9D9"/>
            <w:vAlign w:val="center"/>
            <w:hideMark/>
          </w:tcPr>
          <w:p w14:paraId="4D2390BB" w14:textId="77777777" w:rsidR="0081662F" w:rsidRPr="00D0532A" w:rsidRDefault="0081662F" w:rsidP="00EB2357">
            <w:pPr>
              <w:spacing w:after="0" w:line="240" w:lineRule="auto"/>
              <w:rPr>
                <w:rFonts w:ascii="Times New Roman" w:hAnsi="Times New Roman" w:cs="Times New Roman"/>
                <w:bCs/>
                <w:lang w:eastAsia="hr-HR"/>
              </w:rPr>
            </w:pPr>
            <w:r w:rsidRPr="00D0532A">
              <w:rPr>
                <w:rFonts w:ascii="Times New Roman" w:hAnsi="Times New Roman" w:cs="Times New Roman"/>
                <w:bCs/>
                <w:lang w:eastAsia="hr-HR"/>
              </w:rPr>
              <w:t>Izvršenje</w:t>
            </w:r>
          </w:p>
          <w:p w14:paraId="687444AD" w14:textId="77777777" w:rsidR="0081662F" w:rsidRPr="00D0532A" w:rsidRDefault="0081662F" w:rsidP="00EB2357">
            <w:pPr>
              <w:spacing w:after="0" w:line="240" w:lineRule="auto"/>
              <w:rPr>
                <w:rFonts w:ascii="Times New Roman" w:hAnsi="Times New Roman" w:cs="Times New Roman"/>
                <w:bCs/>
                <w:lang w:eastAsia="hr-HR"/>
              </w:rPr>
            </w:pPr>
            <w:r w:rsidRPr="00D0532A">
              <w:rPr>
                <w:rFonts w:ascii="Times New Roman" w:hAnsi="Times New Roman" w:cs="Times New Roman"/>
                <w:bCs/>
                <w:lang w:eastAsia="hr-HR"/>
              </w:rPr>
              <w:t>2024.</w:t>
            </w:r>
          </w:p>
        </w:tc>
        <w:tc>
          <w:tcPr>
            <w:tcW w:w="705" w:type="pct"/>
            <w:tcBorders>
              <w:top w:val="single" w:sz="4" w:space="0" w:color="auto"/>
              <w:left w:val="nil"/>
              <w:bottom w:val="single" w:sz="4" w:space="0" w:color="auto"/>
              <w:right w:val="single" w:sz="4" w:space="0" w:color="auto"/>
            </w:tcBorders>
            <w:shd w:val="clear" w:color="auto" w:fill="D9D9D9"/>
            <w:vAlign w:val="center"/>
          </w:tcPr>
          <w:p w14:paraId="4F7B97FC" w14:textId="77777777" w:rsidR="0081662F" w:rsidRPr="00D0532A" w:rsidRDefault="0081662F" w:rsidP="00EB2357">
            <w:pPr>
              <w:spacing w:after="0" w:line="240" w:lineRule="auto"/>
              <w:rPr>
                <w:rFonts w:ascii="Times New Roman" w:hAnsi="Times New Roman" w:cs="Times New Roman"/>
                <w:bCs/>
                <w:lang w:eastAsia="hr-HR"/>
              </w:rPr>
            </w:pPr>
            <w:r w:rsidRPr="00D0532A">
              <w:rPr>
                <w:rFonts w:ascii="Times New Roman" w:hAnsi="Times New Roman" w:cs="Times New Roman"/>
                <w:bCs/>
                <w:lang w:eastAsia="hr-HR"/>
              </w:rPr>
              <w:t>Indeks</w:t>
            </w:r>
          </w:p>
        </w:tc>
      </w:tr>
      <w:tr w:rsidR="0081662F" w:rsidRPr="00D0532A" w14:paraId="26DEB92A" w14:textId="77777777" w:rsidTr="00EB2357">
        <w:trPr>
          <w:trHeight w:val="269"/>
        </w:trPr>
        <w:tc>
          <w:tcPr>
            <w:tcW w:w="1043" w:type="pct"/>
            <w:tcBorders>
              <w:top w:val="single" w:sz="4" w:space="0" w:color="auto"/>
              <w:left w:val="single" w:sz="4" w:space="0" w:color="auto"/>
              <w:bottom w:val="single" w:sz="4" w:space="0" w:color="auto"/>
              <w:right w:val="single" w:sz="4" w:space="0" w:color="auto"/>
            </w:tcBorders>
            <w:shd w:val="clear" w:color="auto" w:fill="D9D9D9"/>
            <w:vAlign w:val="center"/>
          </w:tcPr>
          <w:p w14:paraId="4E378C4F"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Program 1018</w:t>
            </w:r>
          </w:p>
        </w:tc>
        <w:tc>
          <w:tcPr>
            <w:tcW w:w="1839" w:type="pct"/>
            <w:tcBorders>
              <w:top w:val="single" w:sz="4" w:space="0" w:color="auto"/>
              <w:left w:val="single" w:sz="4" w:space="0" w:color="auto"/>
              <w:bottom w:val="single" w:sz="4" w:space="0" w:color="auto"/>
              <w:right w:val="single" w:sz="4" w:space="0" w:color="auto"/>
            </w:tcBorders>
            <w:shd w:val="clear" w:color="auto" w:fill="D9D9D9"/>
            <w:vAlign w:val="center"/>
          </w:tcPr>
          <w:p w14:paraId="440EA052" w14:textId="77777777" w:rsidR="0081662F" w:rsidRPr="00D0532A" w:rsidRDefault="0081662F" w:rsidP="00EB2357">
            <w:pPr>
              <w:spacing w:after="0" w:line="240" w:lineRule="auto"/>
              <w:rPr>
                <w:rFonts w:ascii="Times New Roman" w:hAnsi="Times New Roman" w:cs="Times New Roman"/>
                <w:b/>
                <w:bCs/>
                <w:lang w:eastAsia="hr-HR"/>
              </w:rPr>
            </w:pPr>
            <w:r w:rsidRPr="00D0532A">
              <w:rPr>
                <w:rFonts w:ascii="Times New Roman" w:eastAsia="Calibri" w:hAnsi="Times New Roman" w:cs="Times New Roman"/>
                <w:b/>
                <w:bCs/>
              </w:rPr>
              <w:t>Socijalna skrb</w:t>
            </w:r>
          </w:p>
        </w:tc>
        <w:tc>
          <w:tcPr>
            <w:tcW w:w="777" w:type="pct"/>
            <w:tcBorders>
              <w:top w:val="nil"/>
              <w:left w:val="nil"/>
              <w:bottom w:val="single" w:sz="4" w:space="0" w:color="auto"/>
              <w:right w:val="single" w:sz="4" w:space="0" w:color="auto"/>
            </w:tcBorders>
            <w:shd w:val="clear" w:color="auto" w:fill="D9D9D9"/>
            <w:noWrap/>
            <w:vAlign w:val="center"/>
          </w:tcPr>
          <w:p w14:paraId="002939AB" w14:textId="77777777" w:rsidR="0081662F" w:rsidRPr="00D0532A" w:rsidRDefault="0081662F" w:rsidP="00EB2357">
            <w:pPr>
              <w:spacing w:after="0" w:line="240" w:lineRule="auto"/>
              <w:ind w:right="36"/>
              <w:jc w:val="center"/>
              <w:rPr>
                <w:rFonts w:ascii="Times New Roman" w:hAnsi="Times New Roman" w:cs="Times New Roman"/>
                <w:b/>
                <w:bCs/>
                <w:lang w:eastAsia="hr-HR"/>
              </w:rPr>
            </w:pPr>
            <w:r w:rsidRPr="00D0532A">
              <w:rPr>
                <w:rFonts w:ascii="Times New Roman" w:hAnsi="Times New Roman" w:cs="Times New Roman"/>
                <w:b/>
                <w:bCs/>
              </w:rPr>
              <w:t>102.930,00</w:t>
            </w:r>
          </w:p>
        </w:tc>
        <w:tc>
          <w:tcPr>
            <w:tcW w:w="636" w:type="pct"/>
            <w:tcBorders>
              <w:top w:val="nil"/>
              <w:left w:val="nil"/>
              <w:bottom w:val="single" w:sz="4" w:space="0" w:color="auto"/>
              <w:right w:val="single" w:sz="4" w:space="0" w:color="auto"/>
            </w:tcBorders>
            <w:shd w:val="clear" w:color="auto" w:fill="D9D9D9"/>
            <w:noWrap/>
            <w:vAlign w:val="center"/>
          </w:tcPr>
          <w:p w14:paraId="4895FA5C" w14:textId="77777777" w:rsidR="0081662F" w:rsidRPr="00D0532A" w:rsidRDefault="0081662F" w:rsidP="00EB2357">
            <w:pPr>
              <w:spacing w:after="0" w:line="240" w:lineRule="auto"/>
              <w:ind w:right="36"/>
              <w:jc w:val="center"/>
              <w:rPr>
                <w:rFonts w:ascii="Times New Roman" w:hAnsi="Times New Roman" w:cs="Times New Roman"/>
                <w:b/>
                <w:bCs/>
                <w:lang w:eastAsia="hr-HR"/>
              </w:rPr>
            </w:pPr>
            <w:r w:rsidRPr="00D0532A">
              <w:rPr>
                <w:rFonts w:ascii="Times New Roman" w:hAnsi="Times New Roman" w:cs="Times New Roman"/>
                <w:b/>
                <w:bCs/>
                <w:lang w:eastAsia="hr-HR"/>
              </w:rPr>
              <w:t>86.939,27</w:t>
            </w:r>
          </w:p>
        </w:tc>
        <w:tc>
          <w:tcPr>
            <w:tcW w:w="705" w:type="pct"/>
            <w:tcBorders>
              <w:top w:val="nil"/>
              <w:left w:val="nil"/>
              <w:bottom w:val="single" w:sz="4" w:space="0" w:color="auto"/>
              <w:right w:val="single" w:sz="4" w:space="0" w:color="auto"/>
            </w:tcBorders>
            <w:shd w:val="clear" w:color="auto" w:fill="D9D9D9"/>
            <w:vAlign w:val="center"/>
          </w:tcPr>
          <w:p w14:paraId="3CB27FD4" w14:textId="77777777" w:rsidR="0081662F" w:rsidRPr="00D0532A" w:rsidRDefault="0081662F" w:rsidP="00EB2357">
            <w:pPr>
              <w:spacing w:after="0" w:line="240" w:lineRule="auto"/>
              <w:ind w:right="36"/>
              <w:jc w:val="center"/>
              <w:rPr>
                <w:rFonts w:ascii="Times New Roman" w:hAnsi="Times New Roman" w:cs="Times New Roman"/>
                <w:b/>
                <w:bCs/>
                <w:lang w:eastAsia="hr-HR"/>
              </w:rPr>
            </w:pPr>
            <w:r w:rsidRPr="00D0532A">
              <w:rPr>
                <w:rFonts w:ascii="Times New Roman" w:hAnsi="Times New Roman" w:cs="Times New Roman"/>
                <w:b/>
                <w:bCs/>
                <w:lang w:eastAsia="hr-HR"/>
              </w:rPr>
              <w:t>84,46%</w:t>
            </w:r>
          </w:p>
        </w:tc>
      </w:tr>
      <w:tr w:rsidR="0081662F" w:rsidRPr="00D0532A" w14:paraId="6A75D4B7" w14:textId="77777777" w:rsidTr="00EB2357">
        <w:trPr>
          <w:trHeight w:val="269"/>
        </w:trPr>
        <w:tc>
          <w:tcPr>
            <w:tcW w:w="1043" w:type="pct"/>
            <w:tcBorders>
              <w:top w:val="single" w:sz="4" w:space="0" w:color="auto"/>
              <w:left w:val="single" w:sz="4" w:space="0" w:color="auto"/>
              <w:bottom w:val="single" w:sz="4" w:space="0" w:color="auto"/>
              <w:right w:val="single" w:sz="4" w:space="0" w:color="auto"/>
            </w:tcBorders>
            <w:vAlign w:val="center"/>
          </w:tcPr>
          <w:p w14:paraId="49724F3B"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Aktivnost A101801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41567582" w14:textId="77777777" w:rsidR="0081662F" w:rsidRPr="00D0532A" w:rsidRDefault="0081662F" w:rsidP="00EB2357">
            <w:pPr>
              <w:spacing w:after="0" w:line="240" w:lineRule="auto"/>
              <w:rPr>
                <w:rFonts w:ascii="Times New Roman" w:hAnsi="Times New Roman" w:cs="Times New Roman"/>
                <w:lang w:eastAsia="hr-HR"/>
              </w:rPr>
            </w:pPr>
            <w:r w:rsidRPr="00D0532A">
              <w:rPr>
                <w:rFonts w:ascii="Times New Roman" w:eastAsia="Calibri" w:hAnsi="Times New Roman" w:cs="Times New Roman"/>
              </w:rPr>
              <w:t>Stipendije i školarine prema socijalnom programu</w:t>
            </w:r>
          </w:p>
        </w:tc>
        <w:tc>
          <w:tcPr>
            <w:tcW w:w="777" w:type="pct"/>
            <w:tcBorders>
              <w:top w:val="nil"/>
              <w:left w:val="nil"/>
              <w:bottom w:val="single" w:sz="4" w:space="0" w:color="auto"/>
              <w:right w:val="single" w:sz="4" w:space="0" w:color="auto"/>
            </w:tcBorders>
            <w:shd w:val="clear" w:color="auto" w:fill="auto"/>
            <w:noWrap/>
            <w:vAlign w:val="center"/>
          </w:tcPr>
          <w:p w14:paraId="2CE6C55C"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rPr>
              <w:t>31.000,00</w:t>
            </w:r>
          </w:p>
        </w:tc>
        <w:tc>
          <w:tcPr>
            <w:tcW w:w="636" w:type="pct"/>
            <w:tcBorders>
              <w:top w:val="nil"/>
              <w:left w:val="nil"/>
              <w:bottom w:val="single" w:sz="4" w:space="0" w:color="auto"/>
              <w:right w:val="single" w:sz="4" w:space="0" w:color="auto"/>
            </w:tcBorders>
            <w:shd w:val="clear" w:color="auto" w:fill="auto"/>
            <w:noWrap/>
            <w:vAlign w:val="center"/>
          </w:tcPr>
          <w:p w14:paraId="2C2E18B0"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lang w:eastAsia="hr-HR"/>
              </w:rPr>
              <w:t>33.300,00</w:t>
            </w:r>
          </w:p>
        </w:tc>
        <w:tc>
          <w:tcPr>
            <w:tcW w:w="705" w:type="pct"/>
            <w:tcBorders>
              <w:top w:val="nil"/>
              <w:left w:val="nil"/>
              <w:bottom w:val="single" w:sz="4" w:space="0" w:color="auto"/>
              <w:right w:val="single" w:sz="4" w:space="0" w:color="auto"/>
            </w:tcBorders>
            <w:vAlign w:val="center"/>
          </w:tcPr>
          <w:p w14:paraId="7F75EF9A"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lang w:eastAsia="hr-HR"/>
              </w:rPr>
              <w:t>107,42%</w:t>
            </w:r>
          </w:p>
        </w:tc>
      </w:tr>
      <w:tr w:rsidR="0081662F" w:rsidRPr="00D0532A" w14:paraId="3E5917DE" w14:textId="77777777" w:rsidTr="00EB2357">
        <w:trPr>
          <w:trHeight w:val="269"/>
        </w:trPr>
        <w:tc>
          <w:tcPr>
            <w:tcW w:w="1043" w:type="pct"/>
            <w:tcBorders>
              <w:top w:val="single" w:sz="4" w:space="0" w:color="auto"/>
              <w:left w:val="single" w:sz="4" w:space="0" w:color="auto"/>
              <w:bottom w:val="single" w:sz="4" w:space="0" w:color="auto"/>
              <w:right w:val="single" w:sz="4" w:space="0" w:color="auto"/>
            </w:tcBorders>
            <w:vAlign w:val="center"/>
          </w:tcPr>
          <w:p w14:paraId="456E4E5E"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Aktivnost A101802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3C1367A" w14:textId="77777777" w:rsidR="0081662F" w:rsidRPr="00D0532A" w:rsidRDefault="0081662F" w:rsidP="00EB2357">
            <w:pPr>
              <w:spacing w:after="0" w:line="240" w:lineRule="auto"/>
              <w:rPr>
                <w:rFonts w:ascii="Times New Roman" w:hAnsi="Times New Roman" w:cs="Times New Roman"/>
                <w:lang w:eastAsia="hr-HR"/>
              </w:rPr>
            </w:pPr>
            <w:r w:rsidRPr="00D0532A">
              <w:rPr>
                <w:rFonts w:ascii="Times New Roman" w:eastAsia="Calibri" w:hAnsi="Times New Roman" w:cs="Times New Roman"/>
              </w:rPr>
              <w:t>Pomoć u novcu socijalno ugroženim obiteljima koji nisu korisnici ZMN</w:t>
            </w:r>
          </w:p>
        </w:tc>
        <w:tc>
          <w:tcPr>
            <w:tcW w:w="777" w:type="pct"/>
            <w:tcBorders>
              <w:top w:val="nil"/>
              <w:left w:val="nil"/>
              <w:bottom w:val="single" w:sz="4" w:space="0" w:color="auto"/>
              <w:right w:val="single" w:sz="4" w:space="0" w:color="auto"/>
            </w:tcBorders>
            <w:shd w:val="clear" w:color="auto" w:fill="auto"/>
            <w:noWrap/>
            <w:vAlign w:val="center"/>
          </w:tcPr>
          <w:p w14:paraId="1653C75B"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rPr>
              <w:t>45.500,00</w:t>
            </w:r>
          </w:p>
        </w:tc>
        <w:tc>
          <w:tcPr>
            <w:tcW w:w="636" w:type="pct"/>
            <w:tcBorders>
              <w:top w:val="nil"/>
              <w:left w:val="nil"/>
              <w:bottom w:val="single" w:sz="4" w:space="0" w:color="auto"/>
              <w:right w:val="single" w:sz="4" w:space="0" w:color="auto"/>
            </w:tcBorders>
            <w:shd w:val="clear" w:color="auto" w:fill="auto"/>
            <w:noWrap/>
            <w:vAlign w:val="center"/>
          </w:tcPr>
          <w:p w14:paraId="2713AA27"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lang w:eastAsia="hr-HR"/>
              </w:rPr>
              <w:t>34.587,63</w:t>
            </w:r>
          </w:p>
        </w:tc>
        <w:tc>
          <w:tcPr>
            <w:tcW w:w="705" w:type="pct"/>
            <w:tcBorders>
              <w:top w:val="nil"/>
              <w:left w:val="nil"/>
              <w:bottom w:val="single" w:sz="4" w:space="0" w:color="auto"/>
              <w:right w:val="single" w:sz="4" w:space="0" w:color="auto"/>
            </w:tcBorders>
            <w:vAlign w:val="center"/>
          </w:tcPr>
          <w:p w14:paraId="38736792"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lang w:eastAsia="hr-HR"/>
              </w:rPr>
              <w:t>76,02%</w:t>
            </w:r>
          </w:p>
        </w:tc>
      </w:tr>
      <w:tr w:rsidR="0081662F" w:rsidRPr="00D0532A" w14:paraId="49A3CEBD" w14:textId="77777777" w:rsidTr="00EB2357">
        <w:trPr>
          <w:trHeight w:val="269"/>
        </w:trPr>
        <w:tc>
          <w:tcPr>
            <w:tcW w:w="1043" w:type="pct"/>
            <w:tcBorders>
              <w:top w:val="single" w:sz="4" w:space="0" w:color="auto"/>
              <w:left w:val="single" w:sz="4" w:space="0" w:color="auto"/>
              <w:bottom w:val="single" w:sz="4" w:space="0" w:color="auto"/>
              <w:right w:val="single" w:sz="4" w:space="0" w:color="auto"/>
            </w:tcBorders>
            <w:vAlign w:val="center"/>
          </w:tcPr>
          <w:p w14:paraId="7AF57297"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Aktivnost A101803</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53A0DFB" w14:textId="77777777" w:rsidR="0081662F" w:rsidRPr="00D0532A" w:rsidRDefault="0081662F" w:rsidP="00EB2357">
            <w:pPr>
              <w:spacing w:after="0" w:line="240" w:lineRule="auto"/>
              <w:rPr>
                <w:rFonts w:ascii="Times New Roman" w:hAnsi="Times New Roman" w:cs="Times New Roman"/>
                <w:lang w:eastAsia="hr-HR"/>
              </w:rPr>
            </w:pPr>
            <w:r w:rsidRPr="00D0532A">
              <w:rPr>
                <w:rFonts w:ascii="Times New Roman" w:eastAsia="Calibri" w:hAnsi="Times New Roman" w:cs="Times New Roman"/>
              </w:rPr>
              <w:t>Pomoć za podmirenje troškova stanovanja</w:t>
            </w:r>
          </w:p>
        </w:tc>
        <w:tc>
          <w:tcPr>
            <w:tcW w:w="777" w:type="pct"/>
            <w:tcBorders>
              <w:top w:val="nil"/>
              <w:left w:val="nil"/>
              <w:bottom w:val="single" w:sz="4" w:space="0" w:color="auto"/>
              <w:right w:val="single" w:sz="4" w:space="0" w:color="auto"/>
            </w:tcBorders>
            <w:shd w:val="clear" w:color="auto" w:fill="auto"/>
            <w:noWrap/>
            <w:vAlign w:val="center"/>
          </w:tcPr>
          <w:p w14:paraId="0F372B3B"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rPr>
              <w:t>13.000,00</w:t>
            </w:r>
          </w:p>
        </w:tc>
        <w:tc>
          <w:tcPr>
            <w:tcW w:w="636" w:type="pct"/>
            <w:tcBorders>
              <w:top w:val="nil"/>
              <w:left w:val="nil"/>
              <w:bottom w:val="single" w:sz="4" w:space="0" w:color="auto"/>
              <w:right w:val="single" w:sz="4" w:space="0" w:color="auto"/>
            </w:tcBorders>
            <w:shd w:val="clear" w:color="auto" w:fill="auto"/>
            <w:noWrap/>
            <w:vAlign w:val="center"/>
          </w:tcPr>
          <w:p w14:paraId="52823021"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lang w:eastAsia="hr-HR"/>
              </w:rPr>
              <w:t>8.051,64</w:t>
            </w:r>
          </w:p>
        </w:tc>
        <w:tc>
          <w:tcPr>
            <w:tcW w:w="705" w:type="pct"/>
            <w:tcBorders>
              <w:top w:val="nil"/>
              <w:left w:val="nil"/>
              <w:bottom w:val="single" w:sz="4" w:space="0" w:color="auto"/>
              <w:right w:val="single" w:sz="4" w:space="0" w:color="auto"/>
            </w:tcBorders>
            <w:vAlign w:val="center"/>
          </w:tcPr>
          <w:p w14:paraId="677D3695"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lang w:eastAsia="hr-HR"/>
              </w:rPr>
              <w:t>61,94%</w:t>
            </w:r>
          </w:p>
        </w:tc>
      </w:tr>
      <w:tr w:rsidR="0081662F" w:rsidRPr="00D0532A" w14:paraId="5463392E" w14:textId="77777777" w:rsidTr="00EB2357">
        <w:trPr>
          <w:trHeight w:val="269"/>
        </w:trPr>
        <w:tc>
          <w:tcPr>
            <w:tcW w:w="1043" w:type="pct"/>
            <w:tcBorders>
              <w:top w:val="single" w:sz="4" w:space="0" w:color="auto"/>
              <w:left w:val="single" w:sz="4" w:space="0" w:color="auto"/>
              <w:bottom w:val="single" w:sz="4" w:space="0" w:color="auto"/>
              <w:right w:val="single" w:sz="4" w:space="0" w:color="auto"/>
            </w:tcBorders>
            <w:vAlign w:val="center"/>
          </w:tcPr>
          <w:p w14:paraId="2C3F15FB"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Aktivnost A101806</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B3B188D" w14:textId="77777777" w:rsidR="0081662F" w:rsidRPr="00D0532A" w:rsidRDefault="0081662F" w:rsidP="00EB2357">
            <w:pPr>
              <w:spacing w:after="0" w:line="240" w:lineRule="auto"/>
              <w:rPr>
                <w:rFonts w:ascii="Times New Roman" w:hAnsi="Times New Roman" w:cs="Times New Roman"/>
                <w:lang w:eastAsia="hr-HR"/>
              </w:rPr>
            </w:pPr>
            <w:r w:rsidRPr="00D0532A">
              <w:rPr>
                <w:rFonts w:ascii="Times New Roman" w:eastAsia="Calibri" w:hAnsi="Times New Roman" w:cs="Times New Roman"/>
              </w:rPr>
              <w:t>Naknada za troškove osnovnoškolskog obrazovanja za učenike s teškoćama u razvoju</w:t>
            </w:r>
          </w:p>
        </w:tc>
        <w:tc>
          <w:tcPr>
            <w:tcW w:w="777" w:type="pct"/>
            <w:tcBorders>
              <w:top w:val="nil"/>
              <w:left w:val="nil"/>
              <w:bottom w:val="single" w:sz="4" w:space="0" w:color="auto"/>
              <w:right w:val="single" w:sz="4" w:space="0" w:color="auto"/>
            </w:tcBorders>
            <w:shd w:val="clear" w:color="auto" w:fill="auto"/>
            <w:noWrap/>
            <w:vAlign w:val="center"/>
          </w:tcPr>
          <w:p w14:paraId="75298EF1"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rPr>
              <w:t>2.600,00</w:t>
            </w:r>
          </w:p>
        </w:tc>
        <w:tc>
          <w:tcPr>
            <w:tcW w:w="636" w:type="pct"/>
            <w:tcBorders>
              <w:top w:val="nil"/>
              <w:left w:val="nil"/>
              <w:bottom w:val="single" w:sz="4" w:space="0" w:color="auto"/>
              <w:right w:val="single" w:sz="4" w:space="0" w:color="auto"/>
            </w:tcBorders>
            <w:shd w:val="clear" w:color="auto" w:fill="auto"/>
            <w:noWrap/>
            <w:vAlign w:val="center"/>
          </w:tcPr>
          <w:p w14:paraId="565DBCD2"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lang w:eastAsia="hr-HR"/>
              </w:rPr>
              <w:t>2.389,00</w:t>
            </w:r>
          </w:p>
        </w:tc>
        <w:tc>
          <w:tcPr>
            <w:tcW w:w="705" w:type="pct"/>
            <w:tcBorders>
              <w:top w:val="nil"/>
              <w:left w:val="nil"/>
              <w:bottom w:val="single" w:sz="4" w:space="0" w:color="auto"/>
              <w:right w:val="single" w:sz="4" w:space="0" w:color="auto"/>
            </w:tcBorders>
            <w:vAlign w:val="center"/>
          </w:tcPr>
          <w:p w14:paraId="65219522"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lang w:eastAsia="hr-HR"/>
              </w:rPr>
              <w:t>91,88%</w:t>
            </w:r>
          </w:p>
        </w:tc>
      </w:tr>
      <w:tr w:rsidR="0081662F" w:rsidRPr="00D0532A" w14:paraId="2FA54657" w14:textId="77777777" w:rsidTr="00EB2357">
        <w:trPr>
          <w:trHeight w:val="269"/>
        </w:trPr>
        <w:tc>
          <w:tcPr>
            <w:tcW w:w="1043" w:type="pct"/>
            <w:tcBorders>
              <w:top w:val="single" w:sz="4" w:space="0" w:color="auto"/>
              <w:left w:val="single" w:sz="4" w:space="0" w:color="auto"/>
              <w:bottom w:val="single" w:sz="4" w:space="0" w:color="auto"/>
              <w:right w:val="single" w:sz="4" w:space="0" w:color="auto"/>
            </w:tcBorders>
            <w:vAlign w:val="center"/>
          </w:tcPr>
          <w:p w14:paraId="7D956EE7"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Aktivnost A101807</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68CC81E9" w14:textId="77777777" w:rsidR="0081662F" w:rsidRPr="00D0532A" w:rsidRDefault="0081662F" w:rsidP="00EB2357">
            <w:pPr>
              <w:spacing w:after="0" w:line="240" w:lineRule="auto"/>
              <w:rPr>
                <w:rFonts w:ascii="Times New Roman" w:hAnsi="Times New Roman" w:cs="Times New Roman"/>
                <w:lang w:eastAsia="hr-HR"/>
              </w:rPr>
            </w:pPr>
            <w:r w:rsidRPr="00D0532A">
              <w:rPr>
                <w:rFonts w:ascii="Times New Roman" w:eastAsia="Calibri" w:hAnsi="Times New Roman" w:cs="Times New Roman"/>
              </w:rPr>
              <w:t>Jednokratna potpora učenicima i studentima</w:t>
            </w:r>
          </w:p>
        </w:tc>
        <w:tc>
          <w:tcPr>
            <w:tcW w:w="777" w:type="pct"/>
            <w:tcBorders>
              <w:top w:val="nil"/>
              <w:left w:val="nil"/>
              <w:bottom w:val="single" w:sz="4" w:space="0" w:color="auto"/>
              <w:right w:val="single" w:sz="4" w:space="0" w:color="auto"/>
            </w:tcBorders>
            <w:shd w:val="clear" w:color="auto" w:fill="auto"/>
            <w:noWrap/>
            <w:vAlign w:val="center"/>
          </w:tcPr>
          <w:p w14:paraId="08A0BA5D"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rPr>
              <w:t>1.330,00</w:t>
            </w:r>
          </w:p>
        </w:tc>
        <w:tc>
          <w:tcPr>
            <w:tcW w:w="636" w:type="pct"/>
            <w:tcBorders>
              <w:top w:val="nil"/>
              <w:left w:val="nil"/>
              <w:bottom w:val="single" w:sz="4" w:space="0" w:color="auto"/>
              <w:right w:val="single" w:sz="4" w:space="0" w:color="auto"/>
            </w:tcBorders>
            <w:shd w:val="clear" w:color="auto" w:fill="auto"/>
            <w:noWrap/>
            <w:vAlign w:val="center"/>
          </w:tcPr>
          <w:p w14:paraId="191A38C9"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lang w:eastAsia="hr-HR"/>
              </w:rPr>
              <w:t>700,00</w:t>
            </w:r>
          </w:p>
        </w:tc>
        <w:tc>
          <w:tcPr>
            <w:tcW w:w="705" w:type="pct"/>
            <w:tcBorders>
              <w:top w:val="nil"/>
              <w:left w:val="nil"/>
              <w:bottom w:val="single" w:sz="4" w:space="0" w:color="auto"/>
              <w:right w:val="single" w:sz="4" w:space="0" w:color="auto"/>
            </w:tcBorders>
            <w:vAlign w:val="center"/>
          </w:tcPr>
          <w:p w14:paraId="1E0136F0"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lang w:eastAsia="hr-HR"/>
              </w:rPr>
              <w:t>52,63%</w:t>
            </w:r>
          </w:p>
        </w:tc>
      </w:tr>
      <w:tr w:rsidR="0081662F" w:rsidRPr="00D0532A" w14:paraId="63AF065A" w14:textId="77777777" w:rsidTr="00EB2357">
        <w:trPr>
          <w:trHeight w:val="269"/>
        </w:trPr>
        <w:tc>
          <w:tcPr>
            <w:tcW w:w="1043" w:type="pct"/>
            <w:tcBorders>
              <w:top w:val="single" w:sz="4" w:space="0" w:color="auto"/>
              <w:left w:val="single" w:sz="4" w:space="0" w:color="auto"/>
              <w:bottom w:val="single" w:sz="4" w:space="0" w:color="auto"/>
              <w:right w:val="single" w:sz="4" w:space="0" w:color="auto"/>
            </w:tcBorders>
            <w:vAlign w:val="center"/>
          </w:tcPr>
          <w:p w14:paraId="72885770"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Aktivnost A101808</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38F49BD" w14:textId="77777777" w:rsidR="0081662F" w:rsidRPr="00D0532A" w:rsidRDefault="0081662F" w:rsidP="00EB2357">
            <w:pPr>
              <w:spacing w:after="0" w:line="240" w:lineRule="auto"/>
              <w:rPr>
                <w:rFonts w:ascii="Times New Roman" w:hAnsi="Times New Roman" w:cs="Times New Roman"/>
                <w:lang w:eastAsia="hr-HR"/>
              </w:rPr>
            </w:pPr>
            <w:r w:rsidRPr="00D0532A">
              <w:rPr>
                <w:rFonts w:ascii="Times New Roman" w:eastAsia="Calibri" w:hAnsi="Times New Roman" w:cs="Times New Roman"/>
              </w:rPr>
              <w:t>Sufinanciranje troškova odvoza komunalnog otpada</w:t>
            </w:r>
          </w:p>
        </w:tc>
        <w:tc>
          <w:tcPr>
            <w:tcW w:w="777" w:type="pct"/>
            <w:tcBorders>
              <w:top w:val="nil"/>
              <w:left w:val="nil"/>
              <w:bottom w:val="single" w:sz="4" w:space="0" w:color="auto"/>
              <w:right w:val="single" w:sz="4" w:space="0" w:color="auto"/>
            </w:tcBorders>
            <w:shd w:val="clear" w:color="auto" w:fill="auto"/>
            <w:noWrap/>
            <w:vAlign w:val="center"/>
          </w:tcPr>
          <w:p w14:paraId="5B0CC0C9"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rPr>
              <w:t>7.500,00</w:t>
            </w:r>
          </w:p>
        </w:tc>
        <w:tc>
          <w:tcPr>
            <w:tcW w:w="636" w:type="pct"/>
            <w:tcBorders>
              <w:top w:val="nil"/>
              <w:left w:val="nil"/>
              <w:bottom w:val="single" w:sz="4" w:space="0" w:color="auto"/>
              <w:right w:val="single" w:sz="4" w:space="0" w:color="auto"/>
            </w:tcBorders>
            <w:shd w:val="clear" w:color="auto" w:fill="auto"/>
            <w:noWrap/>
            <w:vAlign w:val="center"/>
          </w:tcPr>
          <w:p w14:paraId="134CB2DE"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lang w:eastAsia="hr-HR"/>
              </w:rPr>
              <w:t>7.911,00</w:t>
            </w:r>
          </w:p>
        </w:tc>
        <w:tc>
          <w:tcPr>
            <w:tcW w:w="705" w:type="pct"/>
            <w:tcBorders>
              <w:top w:val="nil"/>
              <w:left w:val="nil"/>
              <w:bottom w:val="single" w:sz="4" w:space="0" w:color="auto"/>
              <w:right w:val="single" w:sz="4" w:space="0" w:color="auto"/>
            </w:tcBorders>
            <w:vAlign w:val="center"/>
          </w:tcPr>
          <w:p w14:paraId="0076ABF2"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lang w:eastAsia="hr-HR"/>
              </w:rPr>
              <w:t>105,48%</w:t>
            </w:r>
          </w:p>
        </w:tc>
      </w:tr>
      <w:tr w:rsidR="0081662F" w:rsidRPr="00D0532A" w14:paraId="0EDF4E29" w14:textId="77777777" w:rsidTr="00EB2357">
        <w:trPr>
          <w:trHeight w:val="269"/>
        </w:trPr>
        <w:tc>
          <w:tcPr>
            <w:tcW w:w="1043" w:type="pct"/>
            <w:tcBorders>
              <w:top w:val="single" w:sz="4" w:space="0" w:color="auto"/>
              <w:left w:val="single" w:sz="4" w:space="0" w:color="auto"/>
              <w:bottom w:val="single" w:sz="4" w:space="0" w:color="auto"/>
              <w:right w:val="single" w:sz="4" w:space="0" w:color="auto"/>
            </w:tcBorders>
            <w:vAlign w:val="center"/>
          </w:tcPr>
          <w:p w14:paraId="4C93A7AD"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Aktivnost A101809</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7947C40" w14:textId="77777777" w:rsidR="0081662F" w:rsidRPr="00D0532A" w:rsidRDefault="0081662F" w:rsidP="00EB2357">
            <w:pPr>
              <w:spacing w:after="0" w:line="240" w:lineRule="auto"/>
              <w:rPr>
                <w:rFonts w:ascii="Times New Roman" w:hAnsi="Times New Roman" w:cs="Times New Roman"/>
                <w:lang w:eastAsia="hr-HR"/>
              </w:rPr>
            </w:pPr>
            <w:r w:rsidRPr="00D0532A">
              <w:rPr>
                <w:rFonts w:ascii="Times New Roman" w:eastAsia="Calibri" w:hAnsi="Times New Roman" w:cs="Times New Roman"/>
              </w:rPr>
              <w:t>Naknada za komunalno opremanje hrvatskih branitelja</w:t>
            </w:r>
          </w:p>
        </w:tc>
        <w:tc>
          <w:tcPr>
            <w:tcW w:w="777" w:type="pct"/>
            <w:tcBorders>
              <w:top w:val="nil"/>
              <w:left w:val="nil"/>
              <w:bottom w:val="single" w:sz="4" w:space="0" w:color="auto"/>
              <w:right w:val="single" w:sz="4" w:space="0" w:color="auto"/>
            </w:tcBorders>
            <w:shd w:val="clear" w:color="auto" w:fill="auto"/>
            <w:noWrap/>
            <w:vAlign w:val="center"/>
          </w:tcPr>
          <w:p w14:paraId="766F8C5F"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rPr>
              <w:t>2.000,00</w:t>
            </w:r>
          </w:p>
        </w:tc>
        <w:tc>
          <w:tcPr>
            <w:tcW w:w="636" w:type="pct"/>
            <w:tcBorders>
              <w:top w:val="nil"/>
              <w:left w:val="nil"/>
              <w:bottom w:val="single" w:sz="4" w:space="0" w:color="auto"/>
              <w:right w:val="single" w:sz="4" w:space="0" w:color="auto"/>
            </w:tcBorders>
            <w:shd w:val="clear" w:color="auto" w:fill="auto"/>
            <w:noWrap/>
            <w:vAlign w:val="center"/>
          </w:tcPr>
          <w:p w14:paraId="306912A5"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lang w:eastAsia="hr-HR"/>
              </w:rPr>
              <w:t>0,00</w:t>
            </w:r>
          </w:p>
        </w:tc>
        <w:tc>
          <w:tcPr>
            <w:tcW w:w="705" w:type="pct"/>
            <w:tcBorders>
              <w:top w:val="nil"/>
              <w:left w:val="nil"/>
              <w:bottom w:val="single" w:sz="4" w:space="0" w:color="auto"/>
              <w:right w:val="single" w:sz="4" w:space="0" w:color="auto"/>
            </w:tcBorders>
            <w:vAlign w:val="center"/>
          </w:tcPr>
          <w:p w14:paraId="49FD20C7"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lang w:eastAsia="hr-HR"/>
              </w:rPr>
              <w:t>0,00</w:t>
            </w:r>
          </w:p>
        </w:tc>
      </w:tr>
    </w:tbl>
    <w:p w14:paraId="27C62289" w14:textId="77777777" w:rsidR="0081662F" w:rsidRPr="00D0532A" w:rsidRDefault="0081662F" w:rsidP="0081662F">
      <w:pPr>
        <w:spacing w:after="0" w:line="240" w:lineRule="auto"/>
        <w:rPr>
          <w:rFonts w:ascii="Times New Roman" w:eastAsia="Calibri" w:hAnsi="Times New Roman" w:cs="Times New Roman"/>
          <w:color w:val="FF0000"/>
        </w:rPr>
      </w:pPr>
    </w:p>
    <w:p w14:paraId="7727989D" w14:textId="77777777" w:rsidR="0081662F" w:rsidRPr="00D0532A" w:rsidRDefault="0081662F" w:rsidP="0081662F">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1.10.1. Aktivnost A101801 Stipendije i školarine prema socijalnom programu</w:t>
      </w:r>
    </w:p>
    <w:p w14:paraId="4516BDBD" w14:textId="77777777" w:rsidR="0081662F" w:rsidRPr="00D0532A" w:rsidRDefault="0081662F" w:rsidP="0081662F">
      <w:pPr>
        <w:spacing w:after="0" w:line="240" w:lineRule="auto"/>
        <w:jc w:val="both"/>
        <w:rPr>
          <w:rFonts w:ascii="Times New Roman" w:eastAsia="Calibri" w:hAnsi="Times New Roman" w:cs="Times New Roman"/>
        </w:rPr>
      </w:pPr>
      <w:r w:rsidRPr="00D0532A">
        <w:rPr>
          <w:rFonts w:ascii="Times New Roman" w:eastAsia="Calibri" w:hAnsi="Times New Roman" w:cs="Times New Roman"/>
        </w:rPr>
        <w:lastRenderedPageBreak/>
        <w:t>U 2024. godini zaključeno je 16 ugovora za dodjelu stipendija učenicima srednjih škola i studentima s područja Grada Garešnice.  Sklopljeno je šest ugovora o dodjeli učeničkih stipendija od kojih dva po kriteriju uspješnosti</w:t>
      </w:r>
      <w:r>
        <w:rPr>
          <w:rFonts w:ascii="Times New Roman" w:eastAsia="Calibri" w:hAnsi="Times New Roman" w:cs="Times New Roman"/>
        </w:rPr>
        <w:t>,</w:t>
      </w:r>
      <w:r w:rsidRPr="00D0532A">
        <w:rPr>
          <w:rFonts w:ascii="Times New Roman" w:eastAsia="Calibri" w:hAnsi="Times New Roman" w:cs="Times New Roman"/>
        </w:rPr>
        <w:t xml:space="preserve"> a četiri po socijalnom kriteriju. Sklopljeno je deset ugovora o dodjeli stipendija studentima, i to dva po kriteriju uspješnosti, šest po socijalnom kriteriju te dvije po Odluci gradonačelnika diskrecijskom ocjenom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687"/>
        <w:gridCol w:w="2017"/>
        <w:gridCol w:w="1285"/>
        <w:gridCol w:w="1285"/>
        <w:gridCol w:w="1285"/>
      </w:tblGrid>
      <w:tr w:rsidR="0081662F" w:rsidRPr="00D0532A" w14:paraId="43FDA4A5" w14:textId="77777777" w:rsidTr="00EB2357">
        <w:tc>
          <w:tcPr>
            <w:tcW w:w="828" w:type="pct"/>
            <w:shd w:val="clear" w:color="auto" w:fill="D1D1D1"/>
          </w:tcPr>
          <w:p w14:paraId="1479DB7F"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Pokazatelj rezultata</w:t>
            </w:r>
          </w:p>
        </w:tc>
        <w:tc>
          <w:tcPr>
            <w:tcW w:w="931" w:type="pct"/>
            <w:shd w:val="clear" w:color="auto" w:fill="D1D1D1"/>
          </w:tcPr>
          <w:p w14:paraId="21E656D4"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Definicija pokazatelja</w:t>
            </w:r>
          </w:p>
        </w:tc>
        <w:tc>
          <w:tcPr>
            <w:tcW w:w="1113" w:type="pct"/>
            <w:shd w:val="clear" w:color="auto" w:fill="D1D1D1"/>
          </w:tcPr>
          <w:p w14:paraId="1C9DC5A1"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jedinica</w:t>
            </w:r>
          </w:p>
        </w:tc>
        <w:tc>
          <w:tcPr>
            <w:tcW w:w="709" w:type="pct"/>
            <w:shd w:val="clear" w:color="auto" w:fill="D1D1D1"/>
          </w:tcPr>
          <w:p w14:paraId="6BB37752"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Ciljana vrijednost</w:t>
            </w:r>
          </w:p>
          <w:p w14:paraId="5EF569B7"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2024.</w:t>
            </w:r>
          </w:p>
        </w:tc>
        <w:tc>
          <w:tcPr>
            <w:tcW w:w="709" w:type="pct"/>
            <w:shd w:val="clear" w:color="auto" w:fill="D1D1D1"/>
          </w:tcPr>
          <w:p w14:paraId="07E58519"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Izvršenje</w:t>
            </w:r>
          </w:p>
        </w:tc>
        <w:tc>
          <w:tcPr>
            <w:tcW w:w="709" w:type="pct"/>
            <w:shd w:val="clear" w:color="auto" w:fill="D1D1D1"/>
          </w:tcPr>
          <w:p w14:paraId="0B2FCDFA"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Indeks</w:t>
            </w:r>
          </w:p>
        </w:tc>
      </w:tr>
      <w:tr w:rsidR="0081662F" w:rsidRPr="00D0532A" w14:paraId="52DE06A0" w14:textId="77777777" w:rsidTr="00EB2357">
        <w:tc>
          <w:tcPr>
            <w:tcW w:w="828" w:type="pct"/>
            <w:shd w:val="clear" w:color="auto" w:fill="auto"/>
          </w:tcPr>
          <w:p w14:paraId="74A229F3"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Zadržavanje broja ugovora o stipendiranju</w:t>
            </w:r>
          </w:p>
        </w:tc>
        <w:tc>
          <w:tcPr>
            <w:tcW w:w="931" w:type="pct"/>
            <w:shd w:val="clear" w:color="auto" w:fill="auto"/>
          </w:tcPr>
          <w:p w14:paraId="0C305195"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 xml:space="preserve">Broja ugovora o stipendiranju učenika i studenata  </w:t>
            </w:r>
          </w:p>
        </w:tc>
        <w:tc>
          <w:tcPr>
            <w:tcW w:w="1113" w:type="pct"/>
            <w:shd w:val="clear" w:color="auto" w:fill="auto"/>
          </w:tcPr>
          <w:p w14:paraId="34B66FCF"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Broj ugovora/kom</w:t>
            </w:r>
          </w:p>
        </w:tc>
        <w:tc>
          <w:tcPr>
            <w:tcW w:w="709" w:type="pct"/>
            <w:shd w:val="clear" w:color="auto" w:fill="auto"/>
          </w:tcPr>
          <w:p w14:paraId="55EC3842"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12</w:t>
            </w:r>
          </w:p>
        </w:tc>
        <w:tc>
          <w:tcPr>
            <w:tcW w:w="709" w:type="pct"/>
            <w:shd w:val="clear" w:color="auto" w:fill="auto"/>
          </w:tcPr>
          <w:p w14:paraId="62371092"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16</w:t>
            </w:r>
          </w:p>
        </w:tc>
        <w:tc>
          <w:tcPr>
            <w:tcW w:w="709" w:type="pct"/>
            <w:shd w:val="clear" w:color="auto" w:fill="auto"/>
          </w:tcPr>
          <w:p w14:paraId="75838DA6"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133,33%</w:t>
            </w:r>
          </w:p>
        </w:tc>
      </w:tr>
    </w:tbl>
    <w:p w14:paraId="2AB10291" w14:textId="77777777" w:rsidR="0081662F" w:rsidRPr="00D0532A" w:rsidRDefault="0081662F" w:rsidP="0081662F">
      <w:pPr>
        <w:spacing w:after="0" w:line="240" w:lineRule="auto"/>
        <w:jc w:val="both"/>
        <w:rPr>
          <w:rFonts w:ascii="Times New Roman" w:eastAsia="Calibri" w:hAnsi="Times New Roman" w:cs="Times New Roman"/>
          <w:b/>
          <w:bCs/>
          <w:color w:val="FF0000"/>
        </w:rPr>
      </w:pPr>
    </w:p>
    <w:p w14:paraId="63BC315E" w14:textId="77777777" w:rsidR="0081662F" w:rsidRPr="00D0532A" w:rsidRDefault="0081662F" w:rsidP="0081662F">
      <w:pPr>
        <w:spacing w:after="0" w:line="240" w:lineRule="auto"/>
        <w:jc w:val="both"/>
        <w:rPr>
          <w:rFonts w:ascii="Times New Roman" w:eastAsia="Calibri" w:hAnsi="Times New Roman" w:cs="Times New Roman"/>
          <w:b/>
          <w:bCs/>
        </w:rPr>
      </w:pPr>
      <w:r w:rsidRPr="00D0532A">
        <w:rPr>
          <w:rFonts w:ascii="Times New Roman" w:eastAsia="Calibri" w:hAnsi="Times New Roman" w:cs="Times New Roman"/>
          <w:b/>
          <w:bCs/>
        </w:rPr>
        <w:t xml:space="preserve">1.10.2. Aktivnost A101802 </w:t>
      </w:r>
      <w:bookmarkStart w:id="8" w:name="_Hlk151932983"/>
      <w:r w:rsidRPr="00D0532A">
        <w:rPr>
          <w:rFonts w:ascii="Times New Roman" w:eastAsia="Calibri" w:hAnsi="Times New Roman" w:cs="Times New Roman"/>
          <w:b/>
          <w:bCs/>
        </w:rPr>
        <w:t>Pomoć u novcu socijalno ugroženim obiteljima koji nisu korisnici ZMN</w:t>
      </w:r>
    </w:p>
    <w:bookmarkEnd w:id="8"/>
    <w:p w14:paraId="45BEC1EF" w14:textId="77777777" w:rsidR="0081662F" w:rsidRPr="00D0532A" w:rsidRDefault="0081662F" w:rsidP="0081662F">
      <w:pPr>
        <w:spacing w:after="0" w:line="240" w:lineRule="auto"/>
        <w:jc w:val="both"/>
        <w:rPr>
          <w:rFonts w:ascii="Times New Roman" w:eastAsia="Calibri" w:hAnsi="Times New Roman" w:cs="Times New Roman"/>
        </w:rPr>
      </w:pPr>
      <w:r w:rsidRPr="00D0532A">
        <w:rPr>
          <w:rFonts w:ascii="Times New Roman" w:eastAsia="Calibri" w:hAnsi="Times New Roman" w:cs="Times New Roman"/>
        </w:rPr>
        <w:t xml:space="preserve">U 2024. godini Upravni odjel za društvene djelatnosti, imovinu i opće poslove izdalo je 86 Rješenja za isplatu jednokratnih novčanih pomoći samcima i kućanstvima koji nisu korisnici zajamčene minimalne naknade s ciljem povećanja broja korisnika kojima se pomaže u poboljšanju kvalitete života. </w:t>
      </w:r>
    </w:p>
    <w:p w14:paraId="4222BF0C" w14:textId="77777777" w:rsidR="0081662F" w:rsidRPr="00D0532A" w:rsidRDefault="0081662F" w:rsidP="0081662F">
      <w:pPr>
        <w:spacing w:after="0" w:line="240" w:lineRule="auto"/>
        <w:jc w:val="both"/>
        <w:rPr>
          <w:rFonts w:ascii="Times New Roman" w:eastAsia="Calibri" w:hAnsi="Times New Roman" w:cs="Times New Roman"/>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724"/>
        <w:gridCol w:w="2063"/>
        <w:gridCol w:w="1308"/>
        <w:gridCol w:w="1308"/>
        <w:gridCol w:w="1308"/>
      </w:tblGrid>
      <w:tr w:rsidR="0081662F" w:rsidRPr="00D0532A" w14:paraId="6CC64B54" w14:textId="77777777" w:rsidTr="00EB2357">
        <w:tc>
          <w:tcPr>
            <w:tcW w:w="744" w:type="pct"/>
            <w:shd w:val="clear" w:color="auto" w:fill="D1D1D1"/>
          </w:tcPr>
          <w:p w14:paraId="4A08054D"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Pokazatelj rezultata</w:t>
            </w:r>
          </w:p>
        </w:tc>
        <w:tc>
          <w:tcPr>
            <w:tcW w:w="951" w:type="pct"/>
            <w:shd w:val="clear" w:color="auto" w:fill="D1D1D1"/>
          </w:tcPr>
          <w:p w14:paraId="30C041ED"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Definicija pokazatelja</w:t>
            </w:r>
          </w:p>
        </w:tc>
        <w:tc>
          <w:tcPr>
            <w:tcW w:w="1138" w:type="pct"/>
            <w:shd w:val="clear" w:color="auto" w:fill="D1D1D1"/>
          </w:tcPr>
          <w:p w14:paraId="5AADEA9A"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jedinica</w:t>
            </w:r>
          </w:p>
        </w:tc>
        <w:tc>
          <w:tcPr>
            <w:tcW w:w="722" w:type="pct"/>
            <w:shd w:val="clear" w:color="auto" w:fill="D1D1D1"/>
          </w:tcPr>
          <w:p w14:paraId="5D0DF70D"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Ciljana vrijednost</w:t>
            </w:r>
          </w:p>
          <w:p w14:paraId="7BCB9725"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2024.</w:t>
            </w:r>
          </w:p>
        </w:tc>
        <w:tc>
          <w:tcPr>
            <w:tcW w:w="722" w:type="pct"/>
            <w:shd w:val="clear" w:color="auto" w:fill="D1D1D1"/>
          </w:tcPr>
          <w:p w14:paraId="4C725616" w14:textId="77777777" w:rsidR="0081662F" w:rsidRPr="00D0532A" w:rsidRDefault="0081662F" w:rsidP="00EB2357">
            <w:pPr>
              <w:spacing w:after="0" w:line="240" w:lineRule="auto"/>
              <w:jc w:val="center"/>
              <w:rPr>
                <w:rFonts w:ascii="Times New Roman" w:eastAsia="Calibri" w:hAnsi="Times New Roman" w:cs="Times New Roman"/>
                <w:b/>
                <w:bCs/>
              </w:rPr>
            </w:pPr>
            <w:r w:rsidRPr="00D0532A">
              <w:rPr>
                <w:rFonts w:ascii="Times New Roman" w:eastAsia="Calibri" w:hAnsi="Times New Roman" w:cs="Times New Roman"/>
                <w:b/>
                <w:bCs/>
              </w:rPr>
              <w:t>Izvršeno</w:t>
            </w:r>
          </w:p>
        </w:tc>
        <w:tc>
          <w:tcPr>
            <w:tcW w:w="722" w:type="pct"/>
            <w:shd w:val="clear" w:color="auto" w:fill="D1D1D1"/>
          </w:tcPr>
          <w:p w14:paraId="595D5658" w14:textId="77777777" w:rsidR="0081662F" w:rsidRPr="00D0532A" w:rsidRDefault="0081662F" w:rsidP="00EB2357">
            <w:pPr>
              <w:spacing w:after="0" w:line="240" w:lineRule="auto"/>
              <w:jc w:val="center"/>
              <w:rPr>
                <w:rFonts w:ascii="Times New Roman" w:eastAsia="Calibri" w:hAnsi="Times New Roman" w:cs="Times New Roman"/>
                <w:b/>
                <w:bCs/>
              </w:rPr>
            </w:pPr>
            <w:r w:rsidRPr="00D0532A">
              <w:rPr>
                <w:rFonts w:ascii="Times New Roman" w:eastAsia="Calibri" w:hAnsi="Times New Roman" w:cs="Times New Roman"/>
                <w:b/>
                <w:bCs/>
              </w:rPr>
              <w:t>Indeks</w:t>
            </w:r>
          </w:p>
        </w:tc>
      </w:tr>
      <w:tr w:rsidR="0081662F" w:rsidRPr="00D0532A" w14:paraId="1523F4AE" w14:textId="77777777" w:rsidTr="00EB2357">
        <w:tc>
          <w:tcPr>
            <w:tcW w:w="744" w:type="pct"/>
            <w:shd w:val="clear" w:color="auto" w:fill="auto"/>
          </w:tcPr>
          <w:p w14:paraId="0E44BBCC"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Povećanje broja korisnika</w:t>
            </w:r>
          </w:p>
        </w:tc>
        <w:tc>
          <w:tcPr>
            <w:tcW w:w="951" w:type="pct"/>
            <w:shd w:val="clear" w:color="auto" w:fill="auto"/>
          </w:tcPr>
          <w:p w14:paraId="7DE53255"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Broj korisnika kojima se isplaćuje jednokratna novčana pomoć</w:t>
            </w:r>
          </w:p>
        </w:tc>
        <w:tc>
          <w:tcPr>
            <w:tcW w:w="1138" w:type="pct"/>
            <w:shd w:val="clear" w:color="auto" w:fill="auto"/>
          </w:tcPr>
          <w:p w14:paraId="5CC8F40B"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Broj korisnika</w:t>
            </w:r>
          </w:p>
        </w:tc>
        <w:tc>
          <w:tcPr>
            <w:tcW w:w="722" w:type="pct"/>
            <w:shd w:val="clear" w:color="auto" w:fill="auto"/>
          </w:tcPr>
          <w:p w14:paraId="24472BEE"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100</w:t>
            </w:r>
          </w:p>
        </w:tc>
        <w:tc>
          <w:tcPr>
            <w:tcW w:w="722" w:type="pct"/>
            <w:shd w:val="clear" w:color="auto" w:fill="auto"/>
          </w:tcPr>
          <w:p w14:paraId="596D0C72"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86</w:t>
            </w:r>
          </w:p>
        </w:tc>
        <w:tc>
          <w:tcPr>
            <w:tcW w:w="722" w:type="pct"/>
            <w:shd w:val="clear" w:color="auto" w:fill="auto"/>
          </w:tcPr>
          <w:p w14:paraId="47835A17"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86%</w:t>
            </w:r>
          </w:p>
        </w:tc>
      </w:tr>
    </w:tbl>
    <w:p w14:paraId="1F6E8643" w14:textId="77777777" w:rsidR="0081662F" w:rsidRPr="00D0532A" w:rsidRDefault="0081662F" w:rsidP="0081662F">
      <w:pPr>
        <w:spacing w:after="0" w:line="240" w:lineRule="auto"/>
        <w:jc w:val="both"/>
        <w:rPr>
          <w:rFonts w:ascii="Times New Roman" w:eastAsia="Calibri" w:hAnsi="Times New Roman" w:cs="Times New Roman"/>
          <w:color w:val="FF0000"/>
        </w:rPr>
      </w:pPr>
    </w:p>
    <w:p w14:paraId="6E218404" w14:textId="77777777" w:rsidR="0081662F" w:rsidRPr="00D0532A" w:rsidRDefault="0081662F" w:rsidP="0081662F">
      <w:pPr>
        <w:spacing w:after="0" w:line="240" w:lineRule="auto"/>
        <w:jc w:val="both"/>
        <w:rPr>
          <w:rFonts w:ascii="Times New Roman" w:eastAsia="Calibri" w:hAnsi="Times New Roman" w:cs="Times New Roman"/>
          <w:b/>
          <w:bCs/>
        </w:rPr>
      </w:pPr>
      <w:r w:rsidRPr="00D0532A">
        <w:rPr>
          <w:rFonts w:ascii="Times New Roman" w:eastAsia="Calibri" w:hAnsi="Times New Roman" w:cs="Times New Roman"/>
          <w:b/>
          <w:bCs/>
        </w:rPr>
        <w:t>1.10.3. Aktivnost A101803 Pomoć za podmirenje troškova stanovanja</w:t>
      </w:r>
    </w:p>
    <w:p w14:paraId="16D278D4" w14:textId="77777777" w:rsidR="0081662F" w:rsidRPr="00D0532A" w:rsidRDefault="0081662F" w:rsidP="00361B01">
      <w:pPr>
        <w:spacing w:after="0" w:line="240" w:lineRule="auto"/>
        <w:jc w:val="both"/>
        <w:rPr>
          <w:rFonts w:ascii="Times New Roman" w:eastAsia="Calibri" w:hAnsi="Times New Roman" w:cs="Times New Roman"/>
        </w:rPr>
      </w:pPr>
      <w:r w:rsidRPr="00D0532A">
        <w:rPr>
          <w:rFonts w:ascii="Times New Roman" w:eastAsia="Calibri" w:hAnsi="Times New Roman" w:cs="Times New Roman"/>
        </w:rPr>
        <w:t xml:space="preserve">U 2024. godini  Upravni odjel za društvene djelatnosti, imovinu i opće poslove izdalo je </w:t>
      </w:r>
      <w:r>
        <w:rPr>
          <w:rFonts w:ascii="Times New Roman" w:eastAsia="Calibri" w:hAnsi="Times New Roman" w:cs="Times New Roman"/>
        </w:rPr>
        <w:t>devet</w:t>
      </w:r>
      <w:r w:rsidRPr="00D0532A">
        <w:rPr>
          <w:rFonts w:ascii="Times New Roman" w:eastAsia="Calibri" w:hAnsi="Times New Roman" w:cs="Times New Roman"/>
        </w:rPr>
        <w:t xml:space="preserve"> Rješenja za podmirenje troškova stanovanja korisnicima zajamčene minimalne naknade. </w:t>
      </w:r>
    </w:p>
    <w:p w14:paraId="23721BBC" w14:textId="77777777" w:rsidR="0081662F" w:rsidRPr="00D0532A" w:rsidRDefault="0081662F" w:rsidP="0081662F">
      <w:pPr>
        <w:spacing w:after="0" w:line="240" w:lineRule="auto"/>
        <w:rPr>
          <w:rFonts w:ascii="Times New Roman" w:eastAsia="Calibri"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724"/>
        <w:gridCol w:w="2063"/>
        <w:gridCol w:w="1308"/>
        <w:gridCol w:w="1308"/>
        <w:gridCol w:w="1308"/>
      </w:tblGrid>
      <w:tr w:rsidR="0081662F" w:rsidRPr="00D0532A" w14:paraId="719DA601" w14:textId="77777777" w:rsidTr="00EB2357">
        <w:tc>
          <w:tcPr>
            <w:tcW w:w="744" w:type="pct"/>
            <w:shd w:val="clear" w:color="auto" w:fill="D1D1D1"/>
          </w:tcPr>
          <w:p w14:paraId="6B9EB00B"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Pokazatelj rezultata</w:t>
            </w:r>
          </w:p>
        </w:tc>
        <w:tc>
          <w:tcPr>
            <w:tcW w:w="951" w:type="pct"/>
            <w:shd w:val="clear" w:color="auto" w:fill="D1D1D1"/>
          </w:tcPr>
          <w:p w14:paraId="41D49167"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Definicija pokazatelja</w:t>
            </w:r>
          </w:p>
        </w:tc>
        <w:tc>
          <w:tcPr>
            <w:tcW w:w="1138" w:type="pct"/>
            <w:shd w:val="clear" w:color="auto" w:fill="D1D1D1"/>
          </w:tcPr>
          <w:p w14:paraId="12DAFC8E"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jedinica</w:t>
            </w:r>
          </w:p>
        </w:tc>
        <w:tc>
          <w:tcPr>
            <w:tcW w:w="722" w:type="pct"/>
            <w:shd w:val="clear" w:color="auto" w:fill="D1D1D1"/>
          </w:tcPr>
          <w:p w14:paraId="761788C8"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Ciljana vrijednost</w:t>
            </w:r>
          </w:p>
          <w:p w14:paraId="7FE75F82"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2024.</w:t>
            </w:r>
          </w:p>
        </w:tc>
        <w:tc>
          <w:tcPr>
            <w:tcW w:w="722" w:type="pct"/>
            <w:shd w:val="clear" w:color="auto" w:fill="D1D1D1"/>
          </w:tcPr>
          <w:p w14:paraId="6A47EBFF"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Izvršenje</w:t>
            </w:r>
          </w:p>
        </w:tc>
        <w:tc>
          <w:tcPr>
            <w:tcW w:w="722" w:type="pct"/>
            <w:shd w:val="clear" w:color="auto" w:fill="D1D1D1"/>
          </w:tcPr>
          <w:p w14:paraId="64357385"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Indeks</w:t>
            </w:r>
          </w:p>
        </w:tc>
      </w:tr>
      <w:tr w:rsidR="0081662F" w:rsidRPr="00D0532A" w14:paraId="6B63F607" w14:textId="77777777" w:rsidTr="00EB2357">
        <w:tc>
          <w:tcPr>
            <w:tcW w:w="744" w:type="pct"/>
            <w:shd w:val="clear" w:color="auto" w:fill="auto"/>
          </w:tcPr>
          <w:p w14:paraId="47F67BC2"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Broj korisnika</w:t>
            </w:r>
          </w:p>
        </w:tc>
        <w:tc>
          <w:tcPr>
            <w:tcW w:w="951" w:type="pct"/>
            <w:shd w:val="clear" w:color="auto" w:fill="auto"/>
          </w:tcPr>
          <w:p w14:paraId="55F6A402"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Broj korisnika kojima se isplaćuje naknada za troškove stanovanja</w:t>
            </w:r>
          </w:p>
        </w:tc>
        <w:tc>
          <w:tcPr>
            <w:tcW w:w="1138" w:type="pct"/>
            <w:shd w:val="clear" w:color="auto" w:fill="auto"/>
          </w:tcPr>
          <w:p w14:paraId="71FEB518"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Broj korisnika</w:t>
            </w:r>
          </w:p>
        </w:tc>
        <w:tc>
          <w:tcPr>
            <w:tcW w:w="722" w:type="pct"/>
            <w:shd w:val="clear" w:color="auto" w:fill="auto"/>
          </w:tcPr>
          <w:p w14:paraId="537647CA"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15</w:t>
            </w:r>
          </w:p>
        </w:tc>
        <w:tc>
          <w:tcPr>
            <w:tcW w:w="722" w:type="pct"/>
            <w:shd w:val="clear" w:color="auto" w:fill="auto"/>
          </w:tcPr>
          <w:p w14:paraId="7BACE3C6"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9</w:t>
            </w:r>
          </w:p>
        </w:tc>
        <w:tc>
          <w:tcPr>
            <w:tcW w:w="722" w:type="pct"/>
            <w:shd w:val="clear" w:color="auto" w:fill="auto"/>
          </w:tcPr>
          <w:p w14:paraId="32AB2981"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60%</w:t>
            </w:r>
          </w:p>
        </w:tc>
      </w:tr>
    </w:tbl>
    <w:p w14:paraId="74E26546" w14:textId="77777777" w:rsidR="0081662F" w:rsidRPr="00D0532A" w:rsidRDefault="0081662F" w:rsidP="0081662F">
      <w:pPr>
        <w:spacing w:after="0" w:line="240" w:lineRule="auto"/>
        <w:jc w:val="both"/>
        <w:rPr>
          <w:rFonts w:ascii="Times New Roman" w:eastAsia="Calibri" w:hAnsi="Times New Roman" w:cs="Times New Roman"/>
          <w:b/>
          <w:bCs/>
          <w:color w:val="FF0000"/>
        </w:rPr>
      </w:pPr>
    </w:p>
    <w:p w14:paraId="2C541CA7" w14:textId="77777777" w:rsidR="0081662F" w:rsidRPr="00D0532A" w:rsidRDefault="0081662F" w:rsidP="0081662F">
      <w:pPr>
        <w:spacing w:after="0" w:line="240" w:lineRule="auto"/>
        <w:jc w:val="both"/>
        <w:rPr>
          <w:rFonts w:ascii="Times New Roman" w:eastAsia="Calibri" w:hAnsi="Times New Roman" w:cs="Times New Roman"/>
          <w:b/>
          <w:bCs/>
        </w:rPr>
      </w:pPr>
      <w:r w:rsidRPr="00D0532A">
        <w:rPr>
          <w:rFonts w:ascii="Times New Roman" w:eastAsia="Calibri" w:hAnsi="Times New Roman" w:cs="Times New Roman"/>
          <w:b/>
          <w:bCs/>
        </w:rPr>
        <w:t>1.10.4. Aktivnost A101806 Naknade za troškove osnovnoškolskog obrazovanja za učenike s teškoćama u razvoju</w:t>
      </w:r>
    </w:p>
    <w:p w14:paraId="31DBEDA3" w14:textId="77777777" w:rsidR="0081662F" w:rsidRPr="00D0532A" w:rsidRDefault="0081662F" w:rsidP="0081662F">
      <w:pPr>
        <w:spacing w:after="0" w:line="240" w:lineRule="auto"/>
        <w:jc w:val="both"/>
        <w:rPr>
          <w:rFonts w:ascii="Times New Roman" w:eastAsia="Calibri" w:hAnsi="Times New Roman" w:cs="Times New Roman"/>
        </w:rPr>
      </w:pPr>
      <w:r w:rsidRPr="00D0532A">
        <w:rPr>
          <w:rFonts w:ascii="Times New Roman" w:eastAsia="Calibri" w:hAnsi="Times New Roman" w:cs="Times New Roman"/>
        </w:rPr>
        <w:t xml:space="preserve">U 2024. godini  Upravni odjel za društvene djelatnosti, imovinu i opće poslove izdalo je jedno Rješenje za pomoć u troškovima osnovnoškolskog obrazovanja učenika s teškoćama u razvoju koji su upućeni na nastavak osnovnoškolskog obrazovanja po posebnom programu izvan mjesta prebivališta. </w:t>
      </w:r>
    </w:p>
    <w:p w14:paraId="5D385E2E" w14:textId="77777777" w:rsidR="0081662F" w:rsidRPr="00D0532A" w:rsidRDefault="0081662F" w:rsidP="0081662F">
      <w:pPr>
        <w:spacing w:after="0" w:line="240" w:lineRule="auto"/>
        <w:jc w:val="both"/>
        <w:rPr>
          <w:rFonts w:ascii="Times New Roman" w:eastAsia="Calibri" w:hAnsi="Times New Roman" w:cs="Times New Roman"/>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724"/>
        <w:gridCol w:w="2063"/>
        <w:gridCol w:w="1308"/>
        <w:gridCol w:w="1308"/>
        <w:gridCol w:w="1308"/>
      </w:tblGrid>
      <w:tr w:rsidR="0081662F" w:rsidRPr="00D0532A" w14:paraId="55568C48" w14:textId="77777777" w:rsidTr="00EB2357">
        <w:tc>
          <w:tcPr>
            <w:tcW w:w="744" w:type="pct"/>
            <w:shd w:val="clear" w:color="auto" w:fill="D1D1D1"/>
          </w:tcPr>
          <w:p w14:paraId="5681EDFD"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Pokazatelj rezultata</w:t>
            </w:r>
          </w:p>
        </w:tc>
        <w:tc>
          <w:tcPr>
            <w:tcW w:w="951" w:type="pct"/>
            <w:shd w:val="clear" w:color="auto" w:fill="D1D1D1"/>
          </w:tcPr>
          <w:p w14:paraId="5193F699"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Definicija pokazatelja</w:t>
            </w:r>
          </w:p>
        </w:tc>
        <w:tc>
          <w:tcPr>
            <w:tcW w:w="1138" w:type="pct"/>
            <w:shd w:val="clear" w:color="auto" w:fill="D1D1D1"/>
          </w:tcPr>
          <w:p w14:paraId="346836CE"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jedinica</w:t>
            </w:r>
          </w:p>
        </w:tc>
        <w:tc>
          <w:tcPr>
            <w:tcW w:w="722" w:type="pct"/>
            <w:shd w:val="clear" w:color="auto" w:fill="D1D1D1"/>
          </w:tcPr>
          <w:p w14:paraId="1D0B53E8"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Ciljana vrijednost</w:t>
            </w:r>
          </w:p>
          <w:p w14:paraId="569EA14E"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2024.</w:t>
            </w:r>
          </w:p>
        </w:tc>
        <w:tc>
          <w:tcPr>
            <w:tcW w:w="722" w:type="pct"/>
            <w:shd w:val="clear" w:color="auto" w:fill="D1D1D1"/>
          </w:tcPr>
          <w:p w14:paraId="1E9F05C1"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Izvršenje</w:t>
            </w:r>
          </w:p>
        </w:tc>
        <w:tc>
          <w:tcPr>
            <w:tcW w:w="722" w:type="pct"/>
            <w:shd w:val="clear" w:color="auto" w:fill="D1D1D1"/>
          </w:tcPr>
          <w:p w14:paraId="55AC7D7A"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Indeks</w:t>
            </w:r>
          </w:p>
        </w:tc>
      </w:tr>
      <w:tr w:rsidR="0081662F" w:rsidRPr="00D0532A" w14:paraId="76F33465" w14:textId="77777777" w:rsidTr="00EB2357">
        <w:tc>
          <w:tcPr>
            <w:tcW w:w="744" w:type="pct"/>
            <w:shd w:val="clear" w:color="auto" w:fill="auto"/>
          </w:tcPr>
          <w:p w14:paraId="745093A0"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Povećanje broja korisnika</w:t>
            </w:r>
          </w:p>
        </w:tc>
        <w:tc>
          <w:tcPr>
            <w:tcW w:w="951" w:type="pct"/>
            <w:shd w:val="clear" w:color="auto" w:fill="auto"/>
          </w:tcPr>
          <w:p w14:paraId="523C496D"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 xml:space="preserve">Broj korisnika kojima se isplaćuje naknada </w:t>
            </w:r>
          </w:p>
        </w:tc>
        <w:tc>
          <w:tcPr>
            <w:tcW w:w="1138" w:type="pct"/>
            <w:shd w:val="clear" w:color="auto" w:fill="auto"/>
          </w:tcPr>
          <w:p w14:paraId="6DD9AE71"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Broj korisnika</w:t>
            </w:r>
          </w:p>
        </w:tc>
        <w:tc>
          <w:tcPr>
            <w:tcW w:w="722" w:type="pct"/>
            <w:shd w:val="clear" w:color="auto" w:fill="auto"/>
          </w:tcPr>
          <w:p w14:paraId="530608B4"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1</w:t>
            </w:r>
          </w:p>
        </w:tc>
        <w:tc>
          <w:tcPr>
            <w:tcW w:w="722" w:type="pct"/>
            <w:shd w:val="clear" w:color="auto" w:fill="auto"/>
          </w:tcPr>
          <w:p w14:paraId="2988D1B6"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1</w:t>
            </w:r>
          </w:p>
        </w:tc>
        <w:tc>
          <w:tcPr>
            <w:tcW w:w="722" w:type="pct"/>
            <w:shd w:val="clear" w:color="auto" w:fill="auto"/>
          </w:tcPr>
          <w:p w14:paraId="00E1F150"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100%</w:t>
            </w:r>
          </w:p>
        </w:tc>
      </w:tr>
    </w:tbl>
    <w:p w14:paraId="6B2DF895" w14:textId="77777777" w:rsidR="0081662F" w:rsidRPr="00D0532A" w:rsidRDefault="0081662F" w:rsidP="0081662F">
      <w:pPr>
        <w:spacing w:after="0" w:line="240" w:lineRule="auto"/>
        <w:jc w:val="both"/>
        <w:rPr>
          <w:rFonts w:ascii="Times New Roman" w:eastAsia="Calibri" w:hAnsi="Times New Roman" w:cs="Times New Roman"/>
          <w:color w:val="FF0000"/>
        </w:rPr>
      </w:pPr>
    </w:p>
    <w:p w14:paraId="5DA6551A" w14:textId="77777777" w:rsidR="0081662F" w:rsidRPr="00D0532A" w:rsidRDefault="0081662F" w:rsidP="0081662F">
      <w:pPr>
        <w:spacing w:after="0" w:line="240" w:lineRule="auto"/>
        <w:jc w:val="both"/>
        <w:rPr>
          <w:rFonts w:ascii="Times New Roman" w:eastAsia="Calibri" w:hAnsi="Times New Roman" w:cs="Times New Roman"/>
          <w:b/>
          <w:bCs/>
        </w:rPr>
      </w:pPr>
      <w:r w:rsidRPr="00D0532A">
        <w:rPr>
          <w:rFonts w:ascii="Times New Roman" w:eastAsia="Calibri" w:hAnsi="Times New Roman" w:cs="Times New Roman"/>
          <w:b/>
          <w:bCs/>
        </w:rPr>
        <w:t>1.10.5. Aktivnost A101807 Jednokratna potpora učenicima i studentima</w:t>
      </w:r>
    </w:p>
    <w:p w14:paraId="511BB2B7" w14:textId="77777777" w:rsidR="0081662F" w:rsidRPr="00D0532A" w:rsidRDefault="0081662F" w:rsidP="0081662F">
      <w:pPr>
        <w:spacing w:after="0" w:line="240" w:lineRule="auto"/>
        <w:jc w:val="both"/>
        <w:rPr>
          <w:rFonts w:ascii="Times New Roman" w:eastAsia="Calibri" w:hAnsi="Times New Roman" w:cs="Times New Roman"/>
        </w:rPr>
      </w:pPr>
      <w:r w:rsidRPr="00D0532A">
        <w:rPr>
          <w:rFonts w:ascii="Times New Roman" w:eastAsia="Calibri" w:hAnsi="Times New Roman" w:cs="Times New Roman"/>
        </w:rPr>
        <w:t>Sukladno članku 37. Odluke o socijalnoj skrbi Grada Garešnice, dva učenika i jedan student koji su bili sudionici natječaja za dodjelu stipendija za školsku/akademsku godinu 2024/2025, ostvarili su posebnom Odlukom Gradonačelnika pravo na jednokratnu novčanu potporu. Učenicima u iznosu od 200,00 eura</w:t>
      </w:r>
      <w:r>
        <w:rPr>
          <w:rFonts w:ascii="Times New Roman" w:eastAsia="Calibri" w:hAnsi="Times New Roman" w:cs="Times New Roman"/>
        </w:rPr>
        <w:t>,</w:t>
      </w:r>
      <w:r w:rsidRPr="00D0532A">
        <w:rPr>
          <w:rFonts w:ascii="Times New Roman" w:eastAsia="Calibri" w:hAnsi="Times New Roman" w:cs="Times New Roman"/>
        </w:rPr>
        <w:t xml:space="preserve"> te studentu u iznosu od 300,00 eura.</w:t>
      </w:r>
    </w:p>
    <w:p w14:paraId="2EA40261" w14:textId="77777777" w:rsidR="0081662F" w:rsidRPr="00D0532A" w:rsidRDefault="0081662F" w:rsidP="0081662F">
      <w:pPr>
        <w:spacing w:after="0" w:line="240" w:lineRule="auto"/>
        <w:jc w:val="both"/>
        <w:rPr>
          <w:rFonts w:ascii="Times New Roman" w:eastAsia="Calibri" w:hAnsi="Times New Roman" w:cs="Times New Roman"/>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726"/>
        <w:gridCol w:w="2061"/>
        <w:gridCol w:w="1308"/>
        <w:gridCol w:w="1308"/>
        <w:gridCol w:w="1308"/>
      </w:tblGrid>
      <w:tr w:rsidR="0081662F" w:rsidRPr="00D0532A" w14:paraId="7FE06D58" w14:textId="77777777" w:rsidTr="00EB2357">
        <w:tc>
          <w:tcPr>
            <w:tcW w:w="744" w:type="pct"/>
            <w:shd w:val="clear" w:color="auto" w:fill="D1D1D1"/>
          </w:tcPr>
          <w:p w14:paraId="64FC0C4B"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Pokazatelj rezultata</w:t>
            </w:r>
          </w:p>
        </w:tc>
        <w:tc>
          <w:tcPr>
            <w:tcW w:w="952" w:type="pct"/>
            <w:shd w:val="clear" w:color="auto" w:fill="D1D1D1"/>
          </w:tcPr>
          <w:p w14:paraId="347076E8"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Definicija pokazatelja</w:t>
            </w:r>
          </w:p>
        </w:tc>
        <w:tc>
          <w:tcPr>
            <w:tcW w:w="1137" w:type="pct"/>
            <w:shd w:val="clear" w:color="auto" w:fill="D1D1D1"/>
          </w:tcPr>
          <w:p w14:paraId="598E7E11"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jedinica</w:t>
            </w:r>
          </w:p>
        </w:tc>
        <w:tc>
          <w:tcPr>
            <w:tcW w:w="722" w:type="pct"/>
            <w:shd w:val="clear" w:color="auto" w:fill="D1D1D1"/>
          </w:tcPr>
          <w:p w14:paraId="4A873F92"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Ciljana vrijednost</w:t>
            </w:r>
          </w:p>
          <w:p w14:paraId="419EA55F"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2024.</w:t>
            </w:r>
          </w:p>
        </w:tc>
        <w:tc>
          <w:tcPr>
            <w:tcW w:w="722" w:type="pct"/>
            <w:shd w:val="clear" w:color="auto" w:fill="D1D1D1"/>
          </w:tcPr>
          <w:p w14:paraId="7E3B0579"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Izvršenje</w:t>
            </w:r>
          </w:p>
        </w:tc>
        <w:tc>
          <w:tcPr>
            <w:tcW w:w="722" w:type="pct"/>
            <w:shd w:val="clear" w:color="auto" w:fill="D1D1D1"/>
          </w:tcPr>
          <w:p w14:paraId="394DFC9A"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Indeks</w:t>
            </w:r>
          </w:p>
        </w:tc>
      </w:tr>
      <w:tr w:rsidR="0081662F" w:rsidRPr="00D0532A" w14:paraId="245A7D5A" w14:textId="77777777" w:rsidTr="00EB2357">
        <w:tc>
          <w:tcPr>
            <w:tcW w:w="744" w:type="pct"/>
            <w:shd w:val="clear" w:color="auto" w:fill="auto"/>
          </w:tcPr>
          <w:p w14:paraId="5FCFBB28"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Broj</w:t>
            </w:r>
          </w:p>
          <w:p w14:paraId="3F4BE6D7"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potpora</w:t>
            </w:r>
          </w:p>
        </w:tc>
        <w:tc>
          <w:tcPr>
            <w:tcW w:w="952" w:type="pct"/>
            <w:shd w:val="clear" w:color="auto" w:fill="auto"/>
          </w:tcPr>
          <w:p w14:paraId="5DE3A2DD"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 xml:space="preserve">Broj jednokratnih novčanih potpora dodijeljenih učenicima i studentima </w:t>
            </w:r>
          </w:p>
        </w:tc>
        <w:tc>
          <w:tcPr>
            <w:tcW w:w="1137" w:type="pct"/>
            <w:shd w:val="clear" w:color="auto" w:fill="auto"/>
          </w:tcPr>
          <w:p w14:paraId="00EBF38C"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Broj potpora</w:t>
            </w:r>
          </w:p>
        </w:tc>
        <w:tc>
          <w:tcPr>
            <w:tcW w:w="722" w:type="pct"/>
            <w:shd w:val="clear" w:color="auto" w:fill="auto"/>
          </w:tcPr>
          <w:p w14:paraId="76EAED9D"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5</w:t>
            </w:r>
          </w:p>
        </w:tc>
        <w:tc>
          <w:tcPr>
            <w:tcW w:w="722" w:type="pct"/>
            <w:shd w:val="clear" w:color="auto" w:fill="auto"/>
          </w:tcPr>
          <w:p w14:paraId="2DAAA33D"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3</w:t>
            </w:r>
          </w:p>
        </w:tc>
        <w:tc>
          <w:tcPr>
            <w:tcW w:w="722" w:type="pct"/>
            <w:shd w:val="clear" w:color="auto" w:fill="auto"/>
          </w:tcPr>
          <w:p w14:paraId="06451C47"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60%</w:t>
            </w:r>
          </w:p>
        </w:tc>
      </w:tr>
    </w:tbl>
    <w:p w14:paraId="3E87A9F5" w14:textId="77777777" w:rsidR="0081662F" w:rsidRPr="00D0532A" w:rsidRDefault="0081662F" w:rsidP="0081662F">
      <w:pPr>
        <w:spacing w:after="0" w:line="240" w:lineRule="auto"/>
        <w:rPr>
          <w:rFonts w:ascii="Times New Roman" w:eastAsia="Calibri" w:hAnsi="Times New Roman" w:cs="Times New Roman"/>
          <w:color w:val="FF0000"/>
        </w:rPr>
      </w:pPr>
    </w:p>
    <w:p w14:paraId="758FE1AF" w14:textId="77777777" w:rsidR="0081662F" w:rsidRPr="00D0532A" w:rsidRDefault="0081662F" w:rsidP="0081662F">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1.10.6. Aktivnost A101808 Sufinanciranje troškova odvoza komunalnog otpada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728"/>
        <w:gridCol w:w="2059"/>
        <w:gridCol w:w="1308"/>
        <w:gridCol w:w="1308"/>
        <w:gridCol w:w="1308"/>
      </w:tblGrid>
      <w:tr w:rsidR="0081662F" w:rsidRPr="00D0532A" w14:paraId="5691E9CE" w14:textId="77777777" w:rsidTr="00EB2357">
        <w:tc>
          <w:tcPr>
            <w:tcW w:w="744" w:type="pct"/>
            <w:shd w:val="clear" w:color="auto" w:fill="D1D1D1"/>
          </w:tcPr>
          <w:p w14:paraId="2BD1F3EE"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Pokazatelj rezultata</w:t>
            </w:r>
          </w:p>
        </w:tc>
        <w:tc>
          <w:tcPr>
            <w:tcW w:w="953" w:type="pct"/>
            <w:shd w:val="clear" w:color="auto" w:fill="D1D1D1"/>
          </w:tcPr>
          <w:p w14:paraId="3087C6F5"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Definicija pokazatelja</w:t>
            </w:r>
          </w:p>
        </w:tc>
        <w:tc>
          <w:tcPr>
            <w:tcW w:w="1136" w:type="pct"/>
            <w:shd w:val="clear" w:color="auto" w:fill="D1D1D1"/>
          </w:tcPr>
          <w:p w14:paraId="63E86225"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jedinica</w:t>
            </w:r>
          </w:p>
        </w:tc>
        <w:tc>
          <w:tcPr>
            <w:tcW w:w="722" w:type="pct"/>
            <w:shd w:val="clear" w:color="auto" w:fill="D1D1D1"/>
          </w:tcPr>
          <w:p w14:paraId="650A07AC"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Ciljana vrijednost</w:t>
            </w:r>
          </w:p>
          <w:p w14:paraId="4CD53058"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2024.</w:t>
            </w:r>
          </w:p>
        </w:tc>
        <w:tc>
          <w:tcPr>
            <w:tcW w:w="722" w:type="pct"/>
            <w:shd w:val="clear" w:color="auto" w:fill="D1D1D1"/>
          </w:tcPr>
          <w:p w14:paraId="29AC7829"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Izvršenje</w:t>
            </w:r>
          </w:p>
        </w:tc>
        <w:tc>
          <w:tcPr>
            <w:tcW w:w="722" w:type="pct"/>
            <w:shd w:val="clear" w:color="auto" w:fill="D1D1D1"/>
          </w:tcPr>
          <w:p w14:paraId="588A8EB7"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Indeks</w:t>
            </w:r>
          </w:p>
        </w:tc>
      </w:tr>
      <w:tr w:rsidR="0081662F" w:rsidRPr="00D0532A" w14:paraId="475B20B9" w14:textId="77777777" w:rsidTr="00EB2357">
        <w:tc>
          <w:tcPr>
            <w:tcW w:w="744" w:type="pct"/>
            <w:shd w:val="clear" w:color="auto" w:fill="auto"/>
          </w:tcPr>
          <w:p w14:paraId="36C3702F"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Povećanje broja korisnika</w:t>
            </w:r>
          </w:p>
        </w:tc>
        <w:tc>
          <w:tcPr>
            <w:tcW w:w="953" w:type="pct"/>
            <w:shd w:val="clear" w:color="auto" w:fill="auto"/>
          </w:tcPr>
          <w:p w14:paraId="02B38794"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 xml:space="preserve">Broj korisnika kojima se sufinanciraju troškovi odvoza komunalnog otpada </w:t>
            </w:r>
          </w:p>
        </w:tc>
        <w:tc>
          <w:tcPr>
            <w:tcW w:w="1136" w:type="pct"/>
            <w:shd w:val="clear" w:color="auto" w:fill="auto"/>
          </w:tcPr>
          <w:p w14:paraId="3C64FDB3"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Broj korisnika</w:t>
            </w:r>
          </w:p>
        </w:tc>
        <w:tc>
          <w:tcPr>
            <w:tcW w:w="722" w:type="pct"/>
            <w:shd w:val="clear" w:color="auto" w:fill="auto"/>
          </w:tcPr>
          <w:p w14:paraId="09659A11"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215</w:t>
            </w:r>
          </w:p>
        </w:tc>
        <w:tc>
          <w:tcPr>
            <w:tcW w:w="722" w:type="pct"/>
            <w:shd w:val="clear" w:color="auto" w:fill="auto"/>
          </w:tcPr>
          <w:p w14:paraId="19D44715"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215</w:t>
            </w:r>
          </w:p>
        </w:tc>
        <w:tc>
          <w:tcPr>
            <w:tcW w:w="722" w:type="pct"/>
            <w:shd w:val="clear" w:color="auto" w:fill="auto"/>
          </w:tcPr>
          <w:p w14:paraId="7FB7C059"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100%</w:t>
            </w:r>
          </w:p>
        </w:tc>
      </w:tr>
    </w:tbl>
    <w:p w14:paraId="0E0345EE" w14:textId="77777777" w:rsidR="0081662F" w:rsidRPr="00D0532A" w:rsidRDefault="0081662F" w:rsidP="0081662F">
      <w:pPr>
        <w:spacing w:after="0" w:line="240" w:lineRule="auto"/>
        <w:rPr>
          <w:rFonts w:ascii="Times New Roman" w:eastAsia="Calibri" w:hAnsi="Times New Roman" w:cs="Times New Roman"/>
          <w:color w:val="FF0000"/>
        </w:rPr>
      </w:pPr>
    </w:p>
    <w:p w14:paraId="2E9E8471" w14:textId="77777777" w:rsidR="0081662F" w:rsidRPr="00D0532A" w:rsidRDefault="0081662F" w:rsidP="0081662F">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1.10.7. Aktivnost A101890 Naknada za komunalno opremanje hrvatskih branitelja</w:t>
      </w:r>
    </w:p>
    <w:p w14:paraId="124BB9BF" w14:textId="77777777" w:rsidR="0081662F" w:rsidRPr="00D0532A" w:rsidRDefault="0081662F" w:rsidP="0081662F">
      <w:pPr>
        <w:spacing w:after="0" w:line="240" w:lineRule="auto"/>
        <w:jc w:val="both"/>
        <w:rPr>
          <w:rFonts w:ascii="Times New Roman" w:eastAsia="Calibri" w:hAnsi="Times New Roman" w:cs="Times New Roman"/>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724"/>
        <w:gridCol w:w="2063"/>
        <w:gridCol w:w="1308"/>
        <w:gridCol w:w="1308"/>
        <w:gridCol w:w="1308"/>
      </w:tblGrid>
      <w:tr w:rsidR="0081662F" w:rsidRPr="00D0532A" w14:paraId="67797F36" w14:textId="77777777" w:rsidTr="00EB2357">
        <w:tc>
          <w:tcPr>
            <w:tcW w:w="744" w:type="pct"/>
            <w:shd w:val="clear" w:color="auto" w:fill="D1D1D1"/>
          </w:tcPr>
          <w:p w14:paraId="7E218DEE"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Pokazatelj rezultata</w:t>
            </w:r>
          </w:p>
        </w:tc>
        <w:tc>
          <w:tcPr>
            <w:tcW w:w="951" w:type="pct"/>
            <w:shd w:val="clear" w:color="auto" w:fill="D1D1D1"/>
          </w:tcPr>
          <w:p w14:paraId="684ED07B"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Definicija pokazatelja</w:t>
            </w:r>
          </w:p>
        </w:tc>
        <w:tc>
          <w:tcPr>
            <w:tcW w:w="1138" w:type="pct"/>
            <w:shd w:val="clear" w:color="auto" w:fill="D1D1D1"/>
          </w:tcPr>
          <w:p w14:paraId="32A0E39D"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jedinica</w:t>
            </w:r>
          </w:p>
        </w:tc>
        <w:tc>
          <w:tcPr>
            <w:tcW w:w="722" w:type="pct"/>
            <w:shd w:val="clear" w:color="auto" w:fill="D1D1D1"/>
          </w:tcPr>
          <w:p w14:paraId="6148CB36"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Ciljana vrijednost</w:t>
            </w:r>
          </w:p>
          <w:p w14:paraId="40A8B3E7"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2024.</w:t>
            </w:r>
          </w:p>
        </w:tc>
        <w:tc>
          <w:tcPr>
            <w:tcW w:w="722" w:type="pct"/>
            <w:shd w:val="clear" w:color="auto" w:fill="D1D1D1"/>
          </w:tcPr>
          <w:p w14:paraId="230A843B"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Izvršenje</w:t>
            </w:r>
          </w:p>
        </w:tc>
        <w:tc>
          <w:tcPr>
            <w:tcW w:w="722" w:type="pct"/>
            <w:shd w:val="clear" w:color="auto" w:fill="D1D1D1"/>
          </w:tcPr>
          <w:p w14:paraId="657F80B5"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Indeks</w:t>
            </w:r>
          </w:p>
        </w:tc>
      </w:tr>
      <w:tr w:rsidR="0081662F" w:rsidRPr="00D0532A" w14:paraId="7504B81B" w14:textId="77777777" w:rsidTr="00EB2357">
        <w:tc>
          <w:tcPr>
            <w:tcW w:w="744" w:type="pct"/>
            <w:shd w:val="clear" w:color="auto" w:fill="auto"/>
          </w:tcPr>
          <w:p w14:paraId="3B122431"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Održati broja korisnika</w:t>
            </w:r>
          </w:p>
        </w:tc>
        <w:tc>
          <w:tcPr>
            <w:tcW w:w="951" w:type="pct"/>
            <w:shd w:val="clear" w:color="auto" w:fill="auto"/>
          </w:tcPr>
          <w:p w14:paraId="42034304"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 xml:space="preserve">Broj korisnika kojima se isplaćuje naknada za komunalno opremanje hrvatskih branitelja </w:t>
            </w:r>
          </w:p>
        </w:tc>
        <w:tc>
          <w:tcPr>
            <w:tcW w:w="1138" w:type="pct"/>
            <w:shd w:val="clear" w:color="auto" w:fill="auto"/>
          </w:tcPr>
          <w:p w14:paraId="122EDAC8"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Broj korisnika</w:t>
            </w:r>
          </w:p>
        </w:tc>
        <w:tc>
          <w:tcPr>
            <w:tcW w:w="722" w:type="pct"/>
            <w:shd w:val="clear" w:color="auto" w:fill="auto"/>
          </w:tcPr>
          <w:p w14:paraId="2A8BD478"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1</w:t>
            </w:r>
          </w:p>
        </w:tc>
        <w:tc>
          <w:tcPr>
            <w:tcW w:w="722" w:type="pct"/>
            <w:shd w:val="clear" w:color="auto" w:fill="auto"/>
          </w:tcPr>
          <w:p w14:paraId="5162C0B5"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0</w:t>
            </w:r>
          </w:p>
        </w:tc>
        <w:tc>
          <w:tcPr>
            <w:tcW w:w="722" w:type="pct"/>
            <w:shd w:val="clear" w:color="auto" w:fill="auto"/>
          </w:tcPr>
          <w:p w14:paraId="5487B3AC"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0,00%</w:t>
            </w:r>
          </w:p>
        </w:tc>
      </w:tr>
    </w:tbl>
    <w:p w14:paraId="5117CFDB" w14:textId="77777777" w:rsidR="0081662F" w:rsidRPr="00D0532A" w:rsidRDefault="0081662F" w:rsidP="0081662F">
      <w:pPr>
        <w:spacing w:after="0" w:line="240" w:lineRule="auto"/>
        <w:rPr>
          <w:rFonts w:ascii="Times New Roman" w:eastAsia="Calibri" w:hAnsi="Times New Roman" w:cs="Times New Roman"/>
          <w:b/>
          <w:bCs/>
          <w:color w:val="FF0000"/>
        </w:rPr>
      </w:pPr>
    </w:p>
    <w:p w14:paraId="198DDBB4" w14:textId="77777777" w:rsidR="0081662F" w:rsidRPr="00D0532A" w:rsidRDefault="0081662F" w:rsidP="0081662F">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1.11. Program 1019 Humanitarna skrb kroz udruge građana</w:t>
      </w:r>
    </w:p>
    <w:tbl>
      <w:tblPr>
        <w:tblpPr w:leftFromText="180" w:rightFromText="180" w:vertAnchor="text" w:horzAnchor="margin" w:tblpY="187"/>
        <w:tblW w:w="5000" w:type="pct"/>
        <w:tblLook w:val="04A0" w:firstRow="1" w:lastRow="0" w:firstColumn="1" w:lastColumn="0" w:noHBand="0" w:noVBand="1"/>
      </w:tblPr>
      <w:tblGrid>
        <w:gridCol w:w="1891"/>
        <w:gridCol w:w="3332"/>
        <w:gridCol w:w="1408"/>
        <w:gridCol w:w="1152"/>
        <w:gridCol w:w="1277"/>
      </w:tblGrid>
      <w:tr w:rsidR="0081662F" w:rsidRPr="00D0532A" w14:paraId="3BA16BE9" w14:textId="77777777" w:rsidTr="00EB2357">
        <w:trPr>
          <w:trHeight w:val="564"/>
        </w:trPr>
        <w:tc>
          <w:tcPr>
            <w:tcW w:w="2882"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2324561"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Naziv programa/aktivnosti/projekta</w:t>
            </w:r>
          </w:p>
        </w:tc>
        <w:tc>
          <w:tcPr>
            <w:tcW w:w="777" w:type="pct"/>
            <w:tcBorders>
              <w:top w:val="single" w:sz="4" w:space="0" w:color="auto"/>
              <w:left w:val="nil"/>
              <w:bottom w:val="single" w:sz="4" w:space="0" w:color="auto"/>
              <w:right w:val="single" w:sz="4" w:space="0" w:color="auto"/>
            </w:tcBorders>
            <w:shd w:val="clear" w:color="auto" w:fill="D9D9D9"/>
            <w:vAlign w:val="center"/>
            <w:hideMark/>
          </w:tcPr>
          <w:p w14:paraId="0D9C94E6"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Rebalans</w:t>
            </w:r>
          </w:p>
          <w:p w14:paraId="4B08FC5E"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2024.</w:t>
            </w:r>
          </w:p>
        </w:tc>
        <w:tc>
          <w:tcPr>
            <w:tcW w:w="636" w:type="pct"/>
            <w:tcBorders>
              <w:top w:val="single" w:sz="4" w:space="0" w:color="auto"/>
              <w:left w:val="nil"/>
              <w:bottom w:val="single" w:sz="4" w:space="0" w:color="auto"/>
              <w:right w:val="single" w:sz="4" w:space="0" w:color="auto"/>
            </w:tcBorders>
            <w:shd w:val="clear" w:color="auto" w:fill="D9D9D9"/>
            <w:vAlign w:val="center"/>
            <w:hideMark/>
          </w:tcPr>
          <w:p w14:paraId="32C6808F"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Izvršenje</w:t>
            </w:r>
          </w:p>
          <w:p w14:paraId="043EC2B2"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2024.</w:t>
            </w:r>
          </w:p>
        </w:tc>
        <w:tc>
          <w:tcPr>
            <w:tcW w:w="705" w:type="pct"/>
            <w:tcBorders>
              <w:top w:val="single" w:sz="4" w:space="0" w:color="auto"/>
              <w:left w:val="nil"/>
              <w:bottom w:val="single" w:sz="4" w:space="0" w:color="auto"/>
              <w:right w:val="single" w:sz="4" w:space="0" w:color="auto"/>
            </w:tcBorders>
            <w:shd w:val="clear" w:color="auto" w:fill="D9D9D9"/>
            <w:vAlign w:val="center"/>
          </w:tcPr>
          <w:p w14:paraId="76BFEAD9"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Indeks</w:t>
            </w:r>
          </w:p>
        </w:tc>
      </w:tr>
      <w:tr w:rsidR="0081662F" w:rsidRPr="00D0532A" w14:paraId="4D0C131E" w14:textId="77777777" w:rsidTr="00EB2357">
        <w:trPr>
          <w:trHeight w:val="269"/>
        </w:trPr>
        <w:tc>
          <w:tcPr>
            <w:tcW w:w="1043" w:type="pct"/>
            <w:tcBorders>
              <w:top w:val="single" w:sz="4" w:space="0" w:color="auto"/>
              <w:left w:val="single" w:sz="4" w:space="0" w:color="auto"/>
              <w:bottom w:val="single" w:sz="4" w:space="0" w:color="auto"/>
              <w:right w:val="single" w:sz="4" w:space="0" w:color="auto"/>
            </w:tcBorders>
            <w:shd w:val="clear" w:color="auto" w:fill="D9D9D9"/>
            <w:vAlign w:val="center"/>
          </w:tcPr>
          <w:p w14:paraId="3AB5A4D5" w14:textId="77777777" w:rsidR="0081662F" w:rsidRPr="00D0532A" w:rsidRDefault="0081662F" w:rsidP="00EB2357">
            <w:pPr>
              <w:spacing w:after="0" w:line="240" w:lineRule="auto"/>
              <w:jc w:val="center"/>
              <w:rPr>
                <w:rFonts w:ascii="Times New Roman" w:eastAsia="Calibri" w:hAnsi="Times New Roman" w:cs="Times New Roman"/>
                <w:b/>
                <w:bCs/>
              </w:rPr>
            </w:pPr>
            <w:r w:rsidRPr="00D0532A">
              <w:rPr>
                <w:rFonts w:ascii="Times New Roman" w:eastAsia="Calibri" w:hAnsi="Times New Roman" w:cs="Times New Roman"/>
                <w:b/>
                <w:bCs/>
              </w:rPr>
              <w:t>Program 1019</w:t>
            </w:r>
          </w:p>
        </w:tc>
        <w:tc>
          <w:tcPr>
            <w:tcW w:w="1839" w:type="pct"/>
            <w:tcBorders>
              <w:top w:val="single" w:sz="4" w:space="0" w:color="auto"/>
              <w:left w:val="single" w:sz="4" w:space="0" w:color="auto"/>
              <w:bottom w:val="single" w:sz="4" w:space="0" w:color="auto"/>
              <w:right w:val="single" w:sz="4" w:space="0" w:color="auto"/>
            </w:tcBorders>
            <w:shd w:val="clear" w:color="auto" w:fill="D9D9D9"/>
            <w:vAlign w:val="center"/>
          </w:tcPr>
          <w:p w14:paraId="65815B64" w14:textId="77777777" w:rsidR="0081662F" w:rsidRPr="00D0532A" w:rsidRDefault="0081662F" w:rsidP="00EB2357">
            <w:pPr>
              <w:spacing w:after="0" w:line="240" w:lineRule="auto"/>
              <w:jc w:val="center"/>
              <w:rPr>
                <w:rFonts w:ascii="Times New Roman" w:hAnsi="Times New Roman" w:cs="Times New Roman"/>
                <w:b/>
                <w:bCs/>
                <w:lang w:eastAsia="hr-HR"/>
              </w:rPr>
            </w:pPr>
            <w:r w:rsidRPr="00D0532A">
              <w:rPr>
                <w:rFonts w:ascii="Times New Roman" w:eastAsia="Calibri" w:hAnsi="Times New Roman" w:cs="Times New Roman"/>
                <w:b/>
                <w:bCs/>
              </w:rPr>
              <w:t>Humanitarna skrb kroz udruge građana</w:t>
            </w:r>
          </w:p>
        </w:tc>
        <w:tc>
          <w:tcPr>
            <w:tcW w:w="777" w:type="pct"/>
            <w:tcBorders>
              <w:top w:val="nil"/>
              <w:left w:val="nil"/>
              <w:bottom w:val="single" w:sz="4" w:space="0" w:color="auto"/>
              <w:right w:val="single" w:sz="4" w:space="0" w:color="auto"/>
            </w:tcBorders>
            <w:shd w:val="clear" w:color="auto" w:fill="D9D9D9"/>
            <w:noWrap/>
            <w:vAlign w:val="center"/>
          </w:tcPr>
          <w:p w14:paraId="2E9BE744" w14:textId="77777777" w:rsidR="0081662F" w:rsidRPr="00D0532A" w:rsidRDefault="0081662F" w:rsidP="00EB2357">
            <w:pPr>
              <w:spacing w:after="0" w:line="240" w:lineRule="auto"/>
              <w:ind w:right="36"/>
              <w:jc w:val="center"/>
              <w:rPr>
                <w:rFonts w:ascii="Times New Roman" w:hAnsi="Times New Roman" w:cs="Times New Roman"/>
                <w:b/>
                <w:bCs/>
                <w:lang w:eastAsia="hr-HR"/>
              </w:rPr>
            </w:pPr>
            <w:r w:rsidRPr="00D0532A">
              <w:rPr>
                <w:rFonts w:ascii="Times New Roman" w:hAnsi="Times New Roman" w:cs="Times New Roman"/>
                <w:b/>
                <w:bCs/>
              </w:rPr>
              <w:t>43.970,00</w:t>
            </w:r>
          </w:p>
        </w:tc>
        <w:tc>
          <w:tcPr>
            <w:tcW w:w="636" w:type="pct"/>
            <w:tcBorders>
              <w:top w:val="nil"/>
              <w:left w:val="nil"/>
              <w:bottom w:val="single" w:sz="4" w:space="0" w:color="auto"/>
              <w:right w:val="single" w:sz="4" w:space="0" w:color="auto"/>
            </w:tcBorders>
            <w:shd w:val="clear" w:color="auto" w:fill="D9D9D9"/>
            <w:noWrap/>
            <w:vAlign w:val="center"/>
          </w:tcPr>
          <w:p w14:paraId="2E03F0AC" w14:textId="77777777" w:rsidR="0081662F" w:rsidRPr="00D0532A" w:rsidRDefault="0081662F" w:rsidP="00EB2357">
            <w:pPr>
              <w:spacing w:after="0" w:line="240" w:lineRule="auto"/>
              <w:ind w:right="36"/>
              <w:jc w:val="center"/>
              <w:rPr>
                <w:rFonts w:ascii="Times New Roman" w:hAnsi="Times New Roman" w:cs="Times New Roman"/>
                <w:b/>
                <w:bCs/>
                <w:lang w:eastAsia="hr-HR"/>
              </w:rPr>
            </w:pPr>
            <w:r w:rsidRPr="00D0532A">
              <w:rPr>
                <w:rFonts w:ascii="Times New Roman" w:hAnsi="Times New Roman" w:cs="Times New Roman"/>
                <w:b/>
                <w:bCs/>
                <w:lang w:eastAsia="hr-HR"/>
              </w:rPr>
              <w:t>43.970,00</w:t>
            </w:r>
          </w:p>
        </w:tc>
        <w:tc>
          <w:tcPr>
            <w:tcW w:w="705" w:type="pct"/>
            <w:tcBorders>
              <w:top w:val="nil"/>
              <w:left w:val="nil"/>
              <w:bottom w:val="single" w:sz="4" w:space="0" w:color="auto"/>
              <w:right w:val="single" w:sz="4" w:space="0" w:color="auto"/>
            </w:tcBorders>
            <w:shd w:val="clear" w:color="auto" w:fill="D9D9D9"/>
            <w:vAlign w:val="center"/>
          </w:tcPr>
          <w:p w14:paraId="6834CF92" w14:textId="77777777" w:rsidR="0081662F" w:rsidRPr="00D0532A" w:rsidRDefault="0081662F" w:rsidP="00EB2357">
            <w:pPr>
              <w:spacing w:after="0" w:line="240" w:lineRule="auto"/>
              <w:ind w:right="36"/>
              <w:jc w:val="center"/>
              <w:rPr>
                <w:rFonts w:ascii="Times New Roman" w:hAnsi="Times New Roman" w:cs="Times New Roman"/>
                <w:b/>
                <w:bCs/>
                <w:lang w:eastAsia="hr-HR"/>
              </w:rPr>
            </w:pPr>
            <w:r w:rsidRPr="00D0532A">
              <w:rPr>
                <w:rFonts w:ascii="Times New Roman" w:hAnsi="Times New Roman" w:cs="Times New Roman"/>
                <w:b/>
                <w:bCs/>
                <w:lang w:eastAsia="hr-HR"/>
              </w:rPr>
              <w:t>100%</w:t>
            </w:r>
          </w:p>
        </w:tc>
      </w:tr>
      <w:tr w:rsidR="0081662F" w:rsidRPr="00D0532A" w14:paraId="3872200F" w14:textId="77777777" w:rsidTr="00EB2357">
        <w:trPr>
          <w:trHeight w:val="269"/>
        </w:trPr>
        <w:tc>
          <w:tcPr>
            <w:tcW w:w="1043" w:type="pct"/>
            <w:tcBorders>
              <w:top w:val="single" w:sz="4" w:space="0" w:color="auto"/>
              <w:left w:val="single" w:sz="4" w:space="0" w:color="auto"/>
              <w:bottom w:val="single" w:sz="4" w:space="0" w:color="auto"/>
              <w:right w:val="single" w:sz="4" w:space="0" w:color="auto"/>
            </w:tcBorders>
            <w:vAlign w:val="center"/>
          </w:tcPr>
          <w:p w14:paraId="63464222" w14:textId="77777777" w:rsidR="0081662F" w:rsidRPr="00D0532A" w:rsidRDefault="0081662F" w:rsidP="00EB2357">
            <w:pPr>
              <w:spacing w:after="0" w:line="240" w:lineRule="auto"/>
              <w:jc w:val="center"/>
              <w:rPr>
                <w:rFonts w:ascii="Times New Roman" w:eastAsia="Calibri" w:hAnsi="Times New Roman" w:cs="Times New Roman"/>
              </w:rPr>
            </w:pPr>
            <w:r w:rsidRPr="00D0532A">
              <w:rPr>
                <w:rFonts w:ascii="Times New Roman" w:eastAsia="Calibri" w:hAnsi="Times New Roman" w:cs="Times New Roman"/>
              </w:rPr>
              <w:t>Aktivnost A101901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9640332" w14:textId="77777777" w:rsidR="0081662F" w:rsidRPr="00D0532A" w:rsidRDefault="0081662F" w:rsidP="00EB2357">
            <w:pPr>
              <w:spacing w:after="0" w:line="240" w:lineRule="auto"/>
              <w:jc w:val="center"/>
              <w:rPr>
                <w:rFonts w:ascii="Times New Roman" w:hAnsi="Times New Roman" w:cs="Times New Roman"/>
                <w:lang w:eastAsia="hr-HR"/>
              </w:rPr>
            </w:pPr>
            <w:r w:rsidRPr="00D0532A">
              <w:rPr>
                <w:rFonts w:ascii="Times New Roman" w:eastAsia="Calibri" w:hAnsi="Times New Roman" w:cs="Times New Roman"/>
              </w:rPr>
              <w:t>Poticaj djelovanju udruga osoba s invaliditetom, socijalnih i humanitarnih udruga</w:t>
            </w:r>
          </w:p>
        </w:tc>
        <w:tc>
          <w:tcPr>
            <w:tcW w:w="777" w:type="pct"/>
            <w:tcBorders>
              <w:top w:val="nil"/>
              <w:left w:val="nil"/>
              <w:bottom w:val="single" w:sz="4" w:space="0" w:color="auto"/>
              <w:right w:val="single" w:sz="4" w:space="0" w:color="auto"/>
            </w:tcBorders>
            <w:shd w:val="clear" w:color="auto" w:fill="auto"/>
            <w:noWrap/>
            <w:vAlign w:val="center"/>
          </w:tcPr>
          <w:p w14:paraId="2CDB5DC5"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rPr>
              <w:t>3.300,00</w:t>
            </w:r>
          </w:p>
        </w:tc>
        <w:tc>
          <w:tcPr>
            <w:tcW w:w="636" w:type="pct"/>
            <w:tcBorders>
              <w:top w:val="nil"/>
              <w:left w:val="nil"/>
              <w:bottom w:val="single" w:sz="4" w:space="0" w:color="auto"/>
              <w:right w:val="single" w:sz="4" w:space="0" w:color="auto"/>
            </w:tcBorders>
            <w:shd w:val="clear" w:color="auto" w:fill="auto"/>
            <w:noWrap/>
            <w:vAlign w:val="center"/>
          </w:tcPr>
          <w:p w14:paraId="76A928C7"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lang w:eastAsia="hr-HR"/>
              </w:rPr>
              <w:t>3.300,00</w:t>
            </w:r>
          </w:p>
        </w:tc>
        <w:tc>
          <w:tcPr>
            <w:tcW w:w="705" w:type="pct"/>
            <w:tcBorders>
              <w:top w:val="nil"/>
              <w:left w:val="nil"/>
              <w:bottom w:val="single" w:sz="4" w:space="0" w:color="auto"/>
              <w:right w:val="single" w:sz="4" w:space="0" w:color="auto"/>
            </w:tcBorders>
            <w:vAlign w:val="center"/>
          </w:tcPr>
          <w:p w14:paraId="528E4ECE"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lang w:eastAsia="hr-HR"/>
              </w:rPr>
              <w:t>100%</w:t>
            </w:r>
          </w:p>
        </w:tc>
      </w:tr>
      <w:tr w:rsidR="0081662F" w:rsidRPr="00D0532A" w14:paraId="61922B1F" w14:textId="77777777" w:rsidTr="00EB2357">
        <w:trPr>
          <w:trHeight w:val="269"/>
        </w:trPr>
        <w:tc>
          <w:tcPr>
            <w:tcW w:w="1043" w:type="pct"/>
            <w:tcBorders>
              <w:top w:val="single" w:sz="4" w:space="0" w:color="auto"/>
              <w:left w:val="single" w:sz="4" w:space="0" w:color="auto"/>
              <w:bottom w:val="single" w:sz="4" w:space="0" w:color="auto"/>
              <w:right w:val="single" w:sz="4" w:space="0" w:color="auto"/>
            </w:tcBorders>
            <w:vAlign w:val="center"/>
          </w:tcPr>
          <w:p w14:paraId="0D44B685" w14:textId="77777777" w:rsidR="0081662F" w:rsidRPr="00D0532A" w:rsidRDefault="0081662F" w:rsidP="00EB2357">
            <w:pPr>
              <w:spacing w:after="0" w:line="240" w:lineRule="auto"/>
              <w:jc w:val="center"/>
              <w:rPr>
                <w:rFonts w:ascii="Times New Roman" w:eastAsia="Calibri" w:hAnsi="Times New Roman" w:cs="Times New Roman"/>
              </w:rPr>
            </w:pPr>
            <w:r w:rsidRPr="00D0532A">
              <w:rPr>
                <w:rFonts w:ascii="Times New Roman" w:eastAsia="Calibri" w:hAnsi="Times New Roman" w:cs="Times New Roman"/>
              </w:rPr>
              <w:t>Aktivnost A101902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01AC258" w14:textId="77777777" w:rsidR="0081662F" w:rsidRPr="00D0532A" w:rsidRDefault="0081662F" w:rsidP="00EB2357">
            <w:pPr>
              <w:spacing w:after="0" w:line="240" w:lineRule="auto"/>
              <w:jc w:val="center"/>
              <w:rPr>
                <w:rFonts w:ascii="Times New Roman" w:hAnsi="Times New Roman" w:cs="Times New Roman"/>
                <w:lang w:eastAsia="hr-HR"/>
              </w:rPr>
            </w:pPr>
            <w:r w:rsidRPr="00D0532A">
              <w:rPr>
                <w:rFonts w:ascii="Times New Roman" w:eastAsia="Calibri" w:hAnsi="Times New Roman" w:cs="Times New Roman"/>
              </w:rPr>
              <w:t>Poticaj djelovanju udruga proisteklih iz Domovinskog rata</w:t>
            </w:r>
          </w:p>
        </w:tc>
        <w:tc>
          <w:tcPr>
            <w:tcW w:w="777" w:type="pct"/>
            <w:tcBorders>
              <w:top w:val="nil"/>
              <w:left w:val="nil"/>
              <w:bottom w:val="single" w:sz="4" w:space="0" w:color="auto"/>
              <w:right w:val="single" w:sz="4" w:space="0" w:color="auto"/>
            </w:tcBorders>
            <w:shd w:val="clear" w:color="auto" w:fill="auto"/>
            <w:noWrap/>
            <w:vAlign w:val="center"/>
          </w:tcPr>
          <w:p w14:paraId="3D9E5C05"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rPr>
              <w:t>9.670,00</w:t>
            </w:r>
          </w:p>
        </w:tc>
        <w:tc>
          <w:tcPr>
            <w:tcW w:w="636" w:type="pct"/>
            <w:tcBorders>
              <w:top w:val="nil"/>
              <w:left w:val="nil"/>
              <w:bottom w:val="single" w:sz="4" w:space="0" w:color="auto"/>
              <w:right w:val="single" w:sz="4" w:space="0" w:color="auto"/>
            </w:tcBorders>
            <w:shd w:val="clear" w:color="auto" w:fill="auto"/>
            <w:noWrap/>
            <w:vAlign w:val="center"/>
          </w:tcPr>
          <w:p w14:paraId="7F3D128A"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lang w:eastAsia="hr-HR"/>
              </w:rPr>
              <w:t>9.670,00</w:t>
            </w:r>
          </w:p>
        </w:tc>
        <w:tc>
          <w:tcPr>
            <w:tcW w:w="705" w:type="pct"/>
            <w:tcBorders>
              <w:top w:val="nil"/>
              <w:left w:val="nil"/>
              <w:bottom w:val="single" w:sz="4" w:space="0" w:color="auto"/>
              <w:right w:val="single" w:sz="4" w:space="0" w:color="auto"/>
            </w:tcBorders>
            <w:vAlign w:val="center"/>
          </w:tcPr>
          <w:p w14:paraId="64FD3975"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lang w:eastAsia="hr-HR"/>
              </w:rPr>
              <w:t>100%</w:t>
            </w:r>
          </w:p>
        </w:tc>
      </w:tr>
      <w:tr w:rsidR="0081662F" w:rsidRPr="00D0532A" w14:paraId="142CF89E" w14:textId="77777777" w:rsidTr="00EB2357">
        <w:trPr>
          <w:trHeight w:val="269"/>
        </w:trPr>
        <w:tc>
          <w:tcPr>
            <w:tcW w:w="1043" w:type="pct"/>
            <w:tcBorders>
              <w:top w:val="single" w:sz="4" w:space="0" w:color="auto"/>
              <w:left w:val="single" w:sz="4" w:space="0" w:color="auto"/>
              <w:bottom w:val="single" w:sz="4" w:space="0" w:color="auto"/>
              <w:right w:val="single" w:sz="4" w:space="0" w:color="auto"/>
            </w:tcBorders>
            <w:vAlign w:val="center"/>
          </w:tcPr>
          <w:p w14:paraId="3F8D3A80" w14:textId="77777777" w:rsidR="0081662F" w:rsidRPr="00D0532A" w:rsidRDefault="0081662F" w:rsidP="00EB2357">
            <w:pPr>
              <w:spacing w:after="0" w:line="240" w:lineRule="auto"/>
              <w:jc w:val="center"/>
              <w:rPr>
                <w:rFonts w:ascii="Times New Roman" w:eastAsia="Calibri" w:hAnsi="Times New Roman" w:cs="Times New Roman"/>
              </w:rPr>
            </w:pPr>
            <w:r w:rsidRPr="00D0532A">
              <w:rPr>
                <w:rFonts w:ascii="Times New Roman" w:eastAsia="Calibri" w:hAnsi="Times New Roman" w:cs="Times New Roman"/>
              </w:rPr>
              <w:lastRenderedPageBreak/>
              <w:t>Aktivnost A101904</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0A0C1B" w14:textId="77777777" w:rsidR="0081662F" w:rsidRPr="00D0532A" w:rsidRDefault="0081662F" w:rsidP="00EB2357">
            <w:pPr>
              <w:spacing w:after="0" w:line="240" w:lineRule="auto"/>
              <w:jc w:val="center"/>
              <w:rPr>
                <w:rFonts w:ascii="Times New Roman" w:hAnsi="Times New Roman" w:cs="Times New Roman"/>
                <w:lang w:eastAsia="hr-HR"/>
              </w:rPr>
            </w:pPr>
            <w:r w:rsidRPr="00D0532A">
              <w:rPr>
                <w:rFonts w:ascii="Times New Roman" w:eastAsia="Calibri" w:hAnsi="Times New Roman" w:cs="Times New Roman"/>
              </w:rPr>
              <w:t>Humanitarna djelatnost Crvenog križa</w:t>
            </w:r>
          </w:p>
        </w:tc>
        <w:tc>
          <w:tcPr>
            <w:tcW w:w="777" w:type="pct"/>
            <w:tcBorders>
              <w:top w:val="nil"/>
              <w:left w:val="nil"/>
              <w:bottom w:val="single" w:sz="4" w:space="0" w:color="auto"/>
              <w:right w:val="single" w:sz="4" w:space="0" w:color="auto"/>
            </w:tcBorders>
            <w:shd w:val="clear" w:color="auto" w:fill="auto"/>
            <w:noWrap/>
            <w:vAlign w:val="center"/>
          </w:tcPr>
          <w:p w14:paraId="247F25DA"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rPr>
              <w:t>31.000,00</w:t>
            </w:r>
          </w:p>
        </w:tc>
        <w:tc>
          <w:tcPr>
            <w:tcW w:w="636" w:type="pct"/>
            <w:tcBorders>
              <w:top w:val="nil"/>
              <w:left w:val="nil"/>
              <w:bottom w:val="single" w:sz="4" w:space="0" w:color="auto"/>
              <w:right w:val="single" w:sz="4" w:space="0" w:color="auto"/>
            </w:tcBorders>
            <w:shd w:val="clear" w:color="auto" w:fill="auto"/>
            <w:noWrap/>
            <w:vAlign w:val="center"/>
          </w:tcPr>
          <w:p w14:paraId="3CDBDEF5"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lang w:eastAsia="hr-HR"/>
              </w:rPr>
              <w:t>31.000,00</w:t>
            </w:r>
          </w:p>
        </w:tc>
        <w:tc>
          <w:tcPr>
            <w:tcW w:w="705" w:type="pct"/>
            <w:tcBorders>
              <w:top w:val="nil"/>
              <w:left w:val="nil"/>
              <w:bottom w:val="single" w:sz="4" w:space="0" w:color="auto"/>
              <w:right w:val="single" w:sz="4" w:space="0" w:color="auto"/>
            </w:tcBorders>
            <w:vAlign w:val="center"/>
          </w:tcPr>
          <w:p w14:paraId="5A0530C6"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lang w:eastAsia="hr-HR"/>
              </w:rPr>
              <w:t>100%</w:t>
            </w:r>
          </w:p>
        </w:tc>
      </w:tr>
    </w:tbl>
    <w:p w14:paraId="1C4A9354" w14:textId="77777777" w:rsidR="0081662F" w:rsidRPr="00D0532A" w:rsidRDefault="0081662F" w:rsidP="0081662F">
      <w:pPr>
        <w:spacing w:after="0" w:line="240" w:lineRule="auto"/>
        <w:jc w:val="both"/>
        <w:rPr>
          <w:rFonts w:ascii="Times New Roman" w:eastAsia="Calibri" w:hAnsi="Times New Roman" w:cs="Times New Roman"/>
          <w:color w:val="FF0000"/>
        </w:rPr>
      </w:pPr>
    </w:p>
    <w:p w14:paraId="7402AD64" w14:textId="77777777" w:rsidR="0081662F" w:rsidRPr="00D0532A" w:rsidRDefault="0081662F" w:rsidP="0081662F">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1.11.1. Aktivnost A101901 Poticaj djelovanju udruga osoba s invaliditetom, socijalnih i humanitarnih udruga</w:t>
      </w:r>
    </w:p>
    <w:p w14:paraId="25C2D828" w14:textId="77777777" w:rsidR="0081662F" w:rsidRPr="00D0532A" w:rsidRDefault="0081662F" w:rsidP="0081662F">
      <w:pPr>
        <w:spacing w:after="0" w:line="240" w:lineRule="auto"/>
        <w:jc w:val="both"/>
        <w:rPr>
          <w:rFonts w:ascii="Times New Roman" w:eastAsia="Calibri"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1725"/>
        <w:gridCol w:w="1325"/>
        <w:gridCol w:w="1397"/>
        <w:gridCol w:w="1397"/>
        <w:gridCol w:w="1397"/>
      </w:tblGrid>
      <w:tr w:rsidR="0081662F" w:rsidRPr="00D0532A" w14:paraId="1F1EFD9E" w14:textId="77777777" w:rsidTr="00EB2357">
        <w:tc>
          <w:tcPr>
            <w:tcW w:w="1004" w:type="pct"/>
            <w:shd w:val="clear" w:color="auto" w:fill="D1D1D1"/>
          </w:tcPr>
          <w:p w14:paraId="3EEB2FB4"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Pokazatelj rezultata</w:t>
            </w:r>
          </w:p>
        </w:tc>
        <w:tc>
          <w:tcPr>
            <w:tcW w:w="952" w:type="pct"/>
            <w:shd w:val="clear" w:color="auto" w:fill="D1D1D1"/>
          </w:tcPr>
          <w:p w14:paraId="5F91D691"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Definicija pokazatelja</w:t>
            </w:r>
          </w:p>
        </w:tc>
        <w:tc>
          <w:tcPr>
            <w:tcW w:w="731" w:type="pct"/>
            <w:shd w:val="clear" w:color="auto" w:fill="D1D1D1"/>
          </w:tcPr>
          <w:p w14:paraId="78E17222"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jedinica</w:t>
            </w:r>
          </w:p>
        </w:tc>
        <w:tc>
          <w:tcPr>
            <w:tcW w:w="771" w:type="pct"/>
            <w:shd w:val="clear" w:color="auto" w:fill="D1D1D1"/>
          </w:tcPr>
          <w:p w14:paraId="7BE46D0C"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Ciljana vrijednost</w:t>
            </w:r>
          </w:p>
          <w:p w14:paraId="05385861"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2024.</w:t>
            </w:r>
          </w:p>
        </w:tc>
        <w:tc>
          <w:tcPr>
            <w:tcW w:w="771" w:type="pct"/>
            <w:shd w:val="clear" w:color="auto" w:fill="D1D1D1"/>
          </w:tcPr>
          <w:p w14:paraId="5DA32DD2"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Izvršeno</w:t>
            </w:r>
          </w:p>
        </w:tc>
        <w:tc>
          <w:tcPr>
            <w:tcW w:w="771" w:type="pct"/>
            <w:shd w:val="clear" w:color="auto" w:fill="D1D1D1"/>
          </w:tcPr>
          <w:p w14:paraId="5821AE0D"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Indeks</w:t>
            </w:r>
          </w:p>
        </w:tc>
      </w:tr>
      <w:tr w:rsidR="0081662F" w:rsidRPr="00D0532A" w14:paraId="3054C022" w14:textId="77777777" w:rsidTr="00EB2357">
        <w:tc>
          <w:tcPr>
            <w:tcW w:w="1004" w:type="pct"/>
            <w:shd w:val="clear" w:color="auto" w:fill="auto"/>
          </w:tcPr>
          <w:p w14:paraId="02F46886"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Održavanje broja sufinanciranih projekata</w:t>
            </w:r>
          </w:p>
        </w:tc>
        <w:tc>
          <w:tcPr>
            <w:tcW w:w="952" w:type="pct"/>
            <w:shd w:val="clear" w:color="auto" w:fill="auto"/>
          </w:tcPr>
          <w:p w14:paraId="755A9326"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Broj projekata udruga osoba s invaliditetom</w:t>
            </w:r>
          </w:p>
        </w:tc>
        <w:tc>
          <w:tcPr>
            <w:tcW w:w="731" w:type="pct"/>
            <w:shd w:val="clear" w:color="auto" w:fill="auto"/>
          </w:tcPr>
          <w:p w14:paraId="2ECC1B09"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Broj projekata</w:t>
            </w:r>
          </w:p>
          <w:p w14:paraId="6735E6FC"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/kom</w:t>
            </w:r>
          </w:p>
        </w:tc>
        <w:tc>
          <w:tcPr>
            <w:tcW w:w="771" w:type="pct"/>
            <w:shd w:val="clear" w:color="auto" w:fill="auto"/>
          </w:tcPr>
          <w:p w14:paraId="19EB2CAA"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5</w:t>
            </w:r>
          </w:p>
        </w:tc>
        <w:tc>
          <w:tcPr>
            <w:tcW w:w="771" w:type="pct"/>
            <w:shd w:val="clear" w:color="auto" w:fill="auto"/>
          </w:tcPr>
          <w:p w14:paraId="6E1D2470"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5</w:t>
            </w:r>
          </w:p>
        </w:tc>
        <w:tc>
          <w:tcPr>
            <w:tcW w:w="771" w:type="pct"/>
            <w:shd w:val="clear" w:color="auto" w:fill="auto"/>
          </w:tcPr>
          <w:p w14:paraId="6F0BBCBE"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100%</w:t>
            </w:r>
          </w:p>
        </w:tc>
      </w:tr>
    </w:tbl>
    <w:p w14:paraId="3E5B9C9D" w14:textId="77777777" w:rsidR="0081662F" w:rsidRPr="00D0532A" w:rsidRDefault="0081662F" w:rsidP="0081662F">
      <w:pPr>
        <w:spacing w:after="0" w:line="240" w:lineRule="auto"/>
        <w:rPr>
          <w:rFonts w:ascii="Times New Roman" w:eastAsia="Calibri" w:hAnsi="Times New Roman" w:cs="Times New Roman"/>
          <w:color w:val="FF0000"/>
        </w:rPr>
      </w:pPr>
    </w:p>
    <w:p w14:paraId="5B93F8B8" w14:textId="77777777" w:rsidR="0081662F" w:rsidRPr="00D0532A" w:rsidRDefault="0081662F" w:rsidP="0081662F">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1.11.2. Aktivnost A101902 Poticaj djelovanju udruga proisteklih iz Domovinskog rata</w:t>
      </w:r>
    </w:p>
    <w:p w14:paraId="56B981D6" w14:textId="77777777" w:rsidR="0081662F" w:rsidRPr="00D0532A" w:rsidRDefault="0081662F" w:rsidP="0081662F">
      <w:pPr>
        <w:spacing w:after="0" w:line="240" w:lineRule="auto"/>
        <w:jc w:val="both"/>
        <w:rPr>
          <w:rFonts w:ascii="Times New Roman" w:eastAsia="Calibri"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1784"/>
        <w:gridCol w:w="1452"/>
        <w:gridCol w:w="1446"/>
        <w:gridCol w:w="1326"/>
        <w:gridCol w:w="1326"/>
      </w:tblGrid>
      <w:tr w:rsidR="0081662F" w:rsidRPr="00D0532A" w14:paraId="1E8644B0" w14:textId="77777777" w:rsidTr="00EB2357">
        <w:tc>
          <w:tcPr>
            <w:tcW w:w="952" w:type="pct"/>
            <w:shd w:val="clear" w:color="auto" w:fill="D1D1D1"/>
          </w:tcPr>
          <w:p w14:paraId="25B6C42A"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Pokazatelj rezultata</w:t>
            </w:r>
          </w:p>
        </w:tc>
        <w:tc>
          <w:tcPr>
            <w:tcW w:w="984" w:type="pct"/>
            <w:shd w:val="clear" w:color="auto" w:fill="D1D1D1"/>
          </w:tcPr>
          <w:p w14:paraId="6F90356E"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Definicija pokazatelja</w:t>
            </w:r>
          </w:p>
        </w:tc>
        <w:tc>
          <w:tcPr>
            <w:tcW w:w="801" w:type="pct"/>
            <w:shd w:val="clear" w:color="auto" w:fill="D1D1D1"/>
          </w:tcPr>
          <w:p w14:paraId="0A5EA351"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jedinica</w:t>
            </w:r>
          </w:p>
        </w:tc>
        <w:tc>
          <w:tcPr>
            <w:tcW w:w="798" w:type="pct"/>
            <w:shd w:val="clear" w:color="auto" w:fill="D1D1D1"/>
          </w:tcPr>
          <w:p w14:paraId="6BAC12B2"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Ciljana vrijednost</w:t>
            </w:r>
          </w:p>
          <w:p w14:paraId="43562050"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2024.</w:t>
            </w:r>
          </w:p>
        </w:tc>
        <w:tc>
          <w:tcPr>
            <w:tcW w:w="732" w:type="pct"/>
            <w:shd w:val="clear" w:color="auto" w:fill="D1D1D1"/>
          </w:tcPr>
          <w:p w14:paraId="5A227B65"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Izvršeno</w:t>
            </w:r>
          </w:p>
        </w:tc>
        <w:tc>
          <w:tcPr>
            <w:tcW w:w="732" w:type="pct"/>
            <w:shd w:val="clear" w:color="auto" w:fill="D1D1D1"/>
          </w:tcPr>
          <w:p w14:paraId="77E4C5D4"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Ciljana vrijednost 2026.</w:t>
            </w:r>
          </w:p>
        </w:tc>
      </w:tr>
      <w:tr w:rsidR="0081662F" w:rsidRPr="00D0532A" w14:paraId="47823E19" w14:textId="77777777" w:rsidTr="00EB2357">
        <w:tc>
          <w:tcPr>
            <w:tcW w:w="952" w:type="pct"/>
            <w:shd w:val="clear" w:color="auto" w:fill="auto"/>
          </w:tcPr>
          <w:p w14:paraId="2005D25B"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Povećanje</w:t>
            </w:r>
          </w:p>
          <w:p w14:paraId="1A63AC4D"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broja sufinanciranih projekata</w:t>
            </w:r>
          </w:p>
        </w:tc>
        <w:tc>
          <w:tcPr>
            <w:tcW w:w="984" w:type="pct"/>
            <w:shd w:val="clear" w:color="auto" w:fill="auto"/>
          </w:tcPr>
          <w:p w14:paraId="7CD5C522"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Broj projekata udruga proisteklih iz Domovinskog rata</w:t>
            </w:r>
          </w:p>
        </w:tc>
        <w:tc>
          <w:tcPr>
            <w:tcW w:w="801" w:type="pct"/>
            <w:shd w:val="clear" w:color="auto" w:fill="auto"/>
          </w:tcPr>
          <w:p w14:paraId="2FF8AE47"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Broj projekata / kom</w:t>
            </w:r>
          </w:p>
        </w:tc>
        <w:tc>
          <w:tcPr>
            <w:tcW w:w="798" w:type="pct"/>
            <w:shd w:val="clear" w:color="auto" w:fill="auto"/>
          </w:tcPr>
          <w:p w14:paraId="72429642"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9</w:t>
            </w:r>
          </w:p>
        </w:tc>
        <w:tc>
          <w:tcPr>
            <w:tcW w:w="732" w:type="pct"/>
            <w:shd w:val="clear" w:color="auto" w:fill="auto"/>
          </w:tcPr>
          <w:p w14:paraId="7F8B5237"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9</w:t>
            </w:r>
          </w:p>
        </w:tc>
        <w:tc>
          <w:tcPr>
            <w:tcW w:w="732" w:type="pct"/>
            <w:shd w:val="clear" w:color="auto" w:fill="auto"/>
          </w:tcPr>
          <w:p w14:paraId="1EDE0C15"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100%</w:t>
            </w:r>
          </w:p>
        </w:tc>
      </w:tr>
    </w:tbl>
    <w:p w14:paraId="6A950EF6" w14:textId="77777777" w:rsidR="0081662F" w:rsidRPr="00D0532A" w:rsidRDefault="0081662F" w:rsidP="0081662F">
      <w:pPr>
        <w:spacing w:after="0" w:line="240" w:lineRule="auto"/>
        <w:rPr>
          <w:rFonts w:ascii="Times New Roman" w:eastAsia="Calibri" w:hAnsi="Times New Roman" w:cs="Times New Roman"/>
          <w:color w:val="FF0000"/>
        </w:rPr>
      </w:pPr>
    </w:p>
    <w:p w14:paraId="736BD0F3" w14:textId="77777777" w:rsidR="0081662F" w:rsidRPr="00D0532A" w:rsidRDefault="0081662F" w:rsidP="0081662F">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1.11.3. Aktivnost A101904 Humanitarna djelatnost Crvenog križa</w:t>
      </w:r>
    </w:p>
    <w:p w14:paraId="0A3BF577" w14:textId="77777777" w:rsidR="0081662F" w:rsidRPr="00D0532A" w:rsidRDefault="0081662F" w:rsidP="0081662F">
      <w:pPr>
        <w:spacing w:after="0" w:line="240" w:lineRule="auto"/>
        <w:jc w:val="both"/>
        <w:rPr>
          <w:rFonts w:ascii="Times New Roman" w:eastAsia="Calibri"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1720"/>
        <w:gridCol w:w="2040"/>
        <w:gridCol w:w="1308"/>
        <w:gridCol w:w="1308"/>
        <w:gridCol w:w="1308"/>
      </w:tblGrid>
      <w:tr w:rsidR="0081662F" w:rsidRPr="00D0532A" w14:paraId="00D45938" w14:textId="77777777" w:rsidTr="00EB2357">
        <w:tc>
          <w:tcPr>
            <w:tcW w:w="759" w:type="pct"/>
            <w:shd w:val="clear" w:color="auto" w:fill="D1D1D1"/>
          </w:tcPr>
          <w:p w14:paraId="39447B05"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Pokazatelj rezultata</w:t>
            </w:r>
          </w:p>
        </w:tc>
        <w:tc>
          <w:tcPr>
            <w:tcW w:w="949" w:type="pct"/>
            <w:shd w:val="clear" w:color="auto" w:fill="D1D1D1"/>
          </w:tcPr>
          <w:p w14:paraId="13304FC7"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Definicija pokazatelja</w:t>
            </w:r>
          </w:p>
        </w:tc>
        <w:tc>
          <w:tcPr>
            <w:tcW w:w="1126" w:type="pct"/>
            <w:shd w:val="clear" w:color="auto" w:fill="D1D1D1"/>
          </w:tcPr>
          <w:p w14:paraId="3F713A6B"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jedinica</w:t>
            </w:r>
          </w:p>
        </w:tc>
        <w:tc>
          <w:tcPr>
            <w:tcW w:w="722" w:type="pct"/>
            <w:shd w:val="clear" w:color="auto" w:fill="D1D1D1"/>
          </w:tcPr>
          <w:p w14:paraId="75DAEC64"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Ciljana vrijednost</w:t>
            </w:r>
          </w:p>
          <w:p w14:paraId="6AABAA24"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2024.</w:t>
            </w:r>
          </w:p>
        </w:tc>
        <w:tc>
          <w:tcPr>
            <w:tcW w:w="722" w:type="pct"/>
            <w:shd w:val="clear" w:color="auto" w:fill="D1D1D1"/>
          </w:tcPr>
          <w:p w14:paraId="56AB23FC"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Izvršeno</w:t>
            </w:r>
          </w:p>
        </w:tc>
        <w:tc>
          <w:tcPr>
            <w:tcW w:w="722" w:type="pct"/>
            <w:shd w:val="clear" w:color="auto" w:fill="D1D1D1"/>
          </w:tcPr>
          <w:p w14:paraId="7E904C84"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Indeks</w:t>
            </w:r>
          </w:p>
        </w:tc>
      </w:tr>
      <w:tr w:rsidR="0081662F" w:rsidRPr="00D0532A" w14:paraId="45A05F9D" w14:textId="77777777" w:rsidTr="00EB2357">
        <w:tc>
          <w:tcPr>
            <w:tcW w:w="759" w:type="pct"/>
            <w:shd w:val="clear" w:color="auto" w:fill="auto"/>
          </w:tcPr>
          <w:p w14:paraId="6D6F7728"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Održavanje broja ugovora</w:t>
            </w:r>
          </w:p>
        </w:tc>
        <w:tc>
          <w:tcPr>
            <w:tcW w:w="949" w:type="pct"/>
            <w:shd w:val="clear" w:color="auto" w:fill="auto"/>
          </w:tcPr>
          <w:p w14:paraId="683B341D"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Broj ugovora temeljem kojih se sufinancira humanitarna djelatnost Crvenog križa</w:t>
            </w:r>
          </w:p>
        </w:tc>
        <w:tc>
          <w:tcPr>
            <w:tcW w:w="1126" w:type="pct"/>
            <w:shd w:val="clear" w:color="auto" w:fill="auto"/>
          </w:tcPr>
          <w:p w14:paraId="424B2835"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Broj ugovora/</w:t>
            </w:r>
          </w:p>
          <w:p w14:paraId="585253C4"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kom</w:t>
            </w:r>
          </w:p>
        </w:tc>
        <w:tc>
          <w:tcPr>
            <w:tcW w:w="722" w:type="pct"/>
            <w:shd w:val="clear" w:color="auto" w:fill="auto"/>
          </w:tcPr>
          <w:p w14:paraId="69647039"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1</w:t>
            </w:r>
          </w:p>
        </w:tc>
        <w:tc>
          <w:tcPr>
            <w:tcW w:w="722" w:type="pct"/>
            <w:shd w:val="clear" w:color="auto" w:fill="auto"/>
          </w:tcPr>
          <w:p w14:paraId="4D323BBC"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1</w:t>
            </w:r>
          </w:p>
        </w:tc>
        <w:tc>
          <w:tcPr>
            <w:tcW w:w="722" w:type="pct"/>
            <w:shd w:val="clear" w:color="auto" w:fill="auto"/>
          </w:tcPr>
          <w:p w14:paraId="1B2A6CE5"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100%</w:t>
            </w:r>
          </w:p>
        </w:tc>
      </w:tr>
    </w:tbl>
    <w:p w14:paraId="3480DC62" w14:textId="77777777" w:rsidR="0081662F" w:rsidRPr="00D0532A" w:rsidRDefault="0081662F" w:rsidP="0081662F">
      <w:pPr>
        <w:spacing w:after="0" w:line="240" w:lineRule="auto"/>
        <w:jc w:val="both"/>
        <w:rPr>
          <w:rFonts w:ascii="Times New Roman" w:eastAsia="Calibri" w:hAnsi="Times New Roman" w:cs="Times New Roman"/>
          <w:color w:val="FF0000"/>
        </w:rPr>
      </w:pPr>
    </w:p>
    <w:p w14:paraId="4E9366FB" w14:textId="77777777" w:rsidR="0081662F" w:rsidRPr="00D0532A" w:rsidRDefault="0081662F" w:rsidP="0081662F">
      <w:pPr>
        <w:spacing w:after="0" w:line="240" w:lineRule="auto"/>
        <w:jc w:val="both"/>
        <w:rPr>
          <w:rFonts w:ascii="Times New Roman" w:eastAsia="Calibri" w:hAnsi="Times New Roman" w:cs="Times New Roman"/>
          <w:b/>
          <w:bCs/>
        </w:rPr>
      </w:pPr>
      <w:r w:rsidRPr="00D0532A">
        <w:rPr>
          <w:rFonts w:ascii="Times New Roman" w:eastAsia="Calibri" w:hAnsi="Times New Roman" w:cs="Times New Roman"/>
          <w:b/>
          <w:bCs/>
        </w:rPr>
        <w:t>1.12. Program 1020 Obrazovanje</w:t>
      </w:r>
    </w:p>
    <w:tbl>
      <w:tblPr>
        <w:tblpPr w:leftFromText="180" w:rightFromText="180" w:vertAnchor="text" w:horzAnchor="margin" w:tblpY="187"/>
        <w:tblW w:w="5000" w:type="pct"/>
        <w:tblLook w:val="04A0" w:firstRow="1" w:lastRow="0" w:firstColumn="1" w:lastColumn="0" w:noHBand="0" w:noVBand="1"/>
      </w:tblPr>
      <w:tblGrid>
        <w:gridCol w:w="1867"/>
        <w:gridCol w:w="3309"/>
        <w:gridCol w:w="1386"/>
        <w:gridCol w:w="1243"/>
        <w:gridCol w:w="1255"/>
      </w:tblGrid>
      <w:tr w:rsidR="0081662F" w:rsidRPr="00D0532A" w14:paraId="07F55085" w14:textId="77777777" w:rsidTr="00EB2357">
        <w:trPr>
          <w:trHeight w:val="564"/>
        </w:trPr>
        <w:tc>
          <w:tcPr>
            <w:tcW w:w="2882" w:type="pct"/>
            <w:gridSpan w:val="2"/>
            <w:tcBorders>
              <w:top w:val="single" w:sz="4" w:space="0" w:color="auto"/>
              <w:left w:val="single" w:sz="4" w:space="0" w:color="auto"/>
              <w:bottom w:val="single" w:sz="4" w:space="0" w:color="auto"/>
              <w:right w:val="single" w:sz="4" w:space="0" w:color="auto"/>
            </w:tcBorders>
            <w:shd w:val="clear" w:color="auto" w:fill="D9D9D9"/>
          </w:tcPr>
          <w:p w14:paraId="07E27AB0"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Naziv programa/aktivnosti/projekta</w:t>
            </w:r>
          </w:p>
        </w:tc>
        <w:tc>
          <w:tcPr>
            <w:tcW w:w="777" w:type="pct"/>
            <w:tcBorders>
              <w:top w:val="single" w:sz="4" w:space="0" w:color="auto"/>
              <w:left w:val="nil"/>
              <w:bottom w:val="single" w:sz="4" w:space="0" w:color="auto"/>
              <w:right w:val="single" w:sz="4" w:space="0" w:color="auto"/>
            </w:tcBorders>
            <w:shd w:val="clear" w:color="auto" w:fill="D9D9D9"/>
            <w:vAlign w:val="center"/>
            <w:hideMark/>
          </w:tcPr>
          <w:p w14:paraId="16895AB4"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Rebalans</w:t>
            </w:r>
          </w:p>
          <w:p w14:paraId="2E6957AD"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2024.</w:t>
            </w:r>
          </w:p>
        </w:tc>
        <w:tc>
          <w:tcPr>
            <w:tcW w:w="636" w:type="pct"/>
            <w:tcBorders>
              <w:top w:val="single" w:sz="4" w:space="0" w:color="auto"/>
              <w:left w:val="nil"/>
              <w:bottom w:val="single" w:sz="4" w:space="0" w:color="auto"/>
              <w:right w:val="single" w:sz="4" w:space="0" w:color="auto"/>
            </w:tcBorders>
            <w:shd w:val="clear" w:color="auto" w:fill="D9D9D9"/>
            <w:vAlign w:val="center"/>
            <w:hideMark/>
          </w:tcPr>
          <w:p w14:paraId="1A5548BD"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Izvršenje</w:t>
            </w:r>
          </w:p>
          <w:p w14:paraId="54D439AD"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2024.</w:t>
            </w:r>
          </w:p>
        </w:tc>
        <w:tc>
          <w:tcPr>
            <w:tcW w:w="705" w:type="pct"/>
            <w:tcBorders>
              <w:top w:val="single" w:sz="4" w:space="0" w:color="auto"/>
              <w:left w:val="nil"/>
              <w:bottom w:val="single" w:sz="4" w:space="0" w:color="auto"/>
              <w:right w:val="single" w:sz="4" w:space="0" w:color="auto"/>
            </w:tcBorders>
            <w:shd w:val="clear" w:color="auto" w:fill="D9D9D9"/>
            <w:vAlign w:val="center"/>
          </w:tcPr>
          <w:p w14:paraId="6CB57278"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Indeks</w:t>
            </w:r>
          </w:p>
        </w:tc>
      </w:tr>
      <w:tr w:rsidR="0081662F" w:rsidRPr="00D0532A" w14:paraId="05DCD036" w14:textId="77777777" w:rsidTr="00EB2357">
        <w:trPr>
          <w:trHeight w:val="269"/>
        </w:trPr>
        <w:tc>
          <w:tcPr>
            <w:tcW w:w="1043" w:type="pct"/>
            <w:tcBorders>
              <w:top w:val="single" w:sz="4" w:space="0" w:color="auto"/>
              <w:left w:val="single" w:sz="4" w:space="0" w:color="auto"/>
              <w:bottom w:val="single" w:sz="4" w:space="0" w:color="auto"/>
              <w:right w:val="single" w:sz="4" w:space="0" w:color="auto"/>
            </w:tcBorders>
            <w:shd w:val="clear" w:color="auto" w:fill="D9D9D9"/>
            <w:vAlign w:val="center"/>
          </w:tcPr>
          <w:p w14:paraId="691EB995"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Program 1020</w:t>
            </w:r>
          </w:p>
        </w:tc>
        <w:tc>
          <w:tcPr>
            <w:tcW w:w="1839" w:type="pct"/>
            <w:tcBorders>
              <w:top w:val="single" w:sz="4" w:space="0" w:color="auto"/>
              <w:left w:val="single" w:sz="4" w:space="0" w:color="auto"/>
              <w:bottom w:val="single" w:sz="4" w:space="0" w:color="auto"/>
              <w:right w:val="single" w:sz="4" w:space="0" w:color="auto"/>
            </w:tcBorders>
            <w:shd w:val="clear" w:color="auto" w:fill="D9D9D9"/>
            <w:vAlign w:val="center"/>
          </w:tcPr>
          <w:p w14:paraId="5AC27CF7" w14:textId="77777777" w:rsidR="0081662F" w:rsidRPr="00D0532A" w:rsidRDefault="0081662F" w:rsidP="00EB2357">
            <w:pPr>
              <w:spacing w:after="0" w:line="240" w:lineRule="auto"/>
              <w:rPr>
                <w:rFonts w:ascii="Times New Roman" w:hAnsi="Times New Roman" w:cs="Times New Roman"/>
                <w:b/>
                <w:bCs/>
                <w:lang w:eastAsia="hr-HR"/>
              </w:rPr>
            </w:pPr>
            <w:r w:rsidRPr="00D0532A">
              <w:rPr>
                <w:rFonts w:ascii="Times New Roman" w:eastAsia="Calibri" w:hAnsi="Times New Roman" w:cs="Times New Roman"/>
                <w:b/>
                <w:bCs/>
              </w:rPr>
              <w:t>Obrazovanje</w:t>
            </w:r>
          </w:p>
        </w:tc>
        <w:tc>
          <w:tcPr>
            <w:tcW w:w="777" w:type="pct"/>
            <w:tcBorders>
              <w:top w:val="nil"/>
              <w:left w:val="nil"/>
              <w:bottom w:val="single" w:sz="4" w:space="0" w:color="auto"/>
              <w:right w:val="single" w:sz="4" w:space="0" w:color="auto"/>
            </w:tcBorders>
            <w:shd w:val="clear" w:color="auto" w:fill="D9D9D9"/>
            <w:noWrap/>
            <w:vAlign w:val="center"/>
          </w:tcPr>
          <w:p w14:paraId="724108E3" w14:textId="77777777" w:rsidR="0081662F" w:rsidRPr="00D0532A" w:rsidRDefault="0081662F" w:rsidP="00EB2357">
            <w:pPr>
              <w:spacing w:after="0" w:line="240" w:lineRule="auto"/>
              <w:ind w:right="36"/>
              <w:jc w:val="center"/>
              <w:rPr>
                <w:rFonts w:ascii="Times New Roman" w:hAnsi="Times New Roman" w:cs="Times New Roman"/>
                <w:b/>
                <w:bCs/>
                <w:lang w:eastAsia="hr-HR"/>
              </w:rPr>
            </w:pPr>
            <w:r w:rsidRPr="00D0532A">
              <w:rPr>
                <w:rFonts w:ascii="Times New Roman" w:hAnsi="Times New Roman" w:cs="Times New Roman"/>
                <w:b/>
                <w:bCs/>
              </w:rPr>
              <w:t>423.170,00</w:t>
            </w:r>
          </w:p>
        </w:tc>
        <w:tc>
          <w:tcPr>
            <w:tcW w:w="636" w:type="pct"/>
            <w:tcBorders>
              <w:top w:val="nil"/>
              <w:left w:val="nil"/>
              <w:bottom w:val="single" w:sz="4" w:space="0" w:color="auto"/>
              <w:right w:val="single" w:sz="4" w:space="0" w:color="auto"/>
            </w:tcBorders>
            <w:shd w:val="clear" w:color="auto" w:fill="D9D9D9"/>
            <w:noWrap/>
            <w:vAlign w:val="center"/>
          </w:tcPr>
          <w:p w14:paraId="43FEE1A7" w14:textId="77777777" w:rsidR="0081662F" w:rsidRPr="00D0532A" w:rsidRDefault="0081662F" w:rsidP="00EB2357">
            <w:pPr>
              <w:spacing w:after="0" w:line="240" w:lineRule="auto"/>
              <w:ind w:right="36"/>
              <w:jc w:val="center"/>
              <w:rPr>
                <w:rFonts w:ascii="Times New Roman" w:hAnsi="Times New Roman" w:cs="Times New Roman"/>
                <w:b/>
                <w:bCs/>
                <w:lang w:eastAsia="hr-HR"/>
              </w:rPr>
            </w:pPr>
            <w:r w:rsidRPr="00D0532A">
              <w:rPr>
                <w:rFonts w:ascii="Times New Roman" w:hAnsi="Times New Roman" w:cs="Times New Roman"/>
                <w:b/>
                <w:bCs/>
                <w:lang w:eastAsia="hr-HR"/>
              </w:rPr>
              <w:t>400.600,07</w:t>
            </w:r>
          </w:p>
        </w:tc>
        <w:tc>
          <w:tcPr>
            <w:tcW w:w="705" w:type="pct"/>
            <w:tcBorders>
              <w:top w:val="nil"/>
              <w:left w:val="nil"/>
              <w:bottom w:val="single" w:sz="4" w:space="0" w:color="auto"/>
              <w:right w:val="single" w:sz="4" w:space="0" w:color="auto"/>
            </w:tcBorders>
            <w:shd w:val="clear" w:color="auto" w:fill="D9D9D9"/>
            <w:vAlign w:val="center"/>
          </w:tcPr>
          <w:p w14:paraId="2423A0CE" w14:textId="77777777" w:rsidR="0081662F" w:rsidRPr="00D0532A" w:rsidRDefault="0081662F" w:rsidP="00EB2357">
            <w:pPr>
              <w:spacing w:after="0" w:line="240" w:lineRule="auto"/>
              <w:ind w:right="36"/>
              <w:jc w:val="center"/>
              <w:rPr>
                <w:rFonts w:ascii="Times New Roman" w:hAnsi="Times New Roman" w:cs="Times New Roman"/>
                <w:b/>
                <w:bCs/>
                <w:lang w:eastAsia="hr-HR"/>
              </w:rPr>
            </w:pPr>
            <w:r w:rsidRPr="00D0532A">
              <w:rPr>
                <w:rFonts w:ascii="Times New Roman" w:hAnsi="Times New Roman" w:cs="Times New Roman"/>
                <w:b/>
                <w:bCs/>
                <w:lang w:eastAsia="hr-HR"/>
              </w:rPr>
              <w:t>94,67%</w:t>
            </w:r>
          </w:p>
        </w:tc>
      </w:tr>
      <w:tr w:rsidR="0081662F" w:rsidRPr="00D0532A" w14:paraId="0699EC20" w14:textId="77777777" w:rsidTr="00EB2357">
        <w:trPr>
          <w:trHeight w:val="269"/>
        </w:trPr>
        <w:tc>
          <w:tcPr>
            <w:tcW w:w="1043" w:type="pct"/>
            <w:tcBorders>
              <w:top w:val="single" w:sz="4" w:space="0" w:color="auto"/>
              <w:left w:val="single" w:sz="4" w:space="0" w:color="auto"/>
              <w:bottom w:val="single" w:sz="4" w:space="0" w:color="auto"/>
              <w:right w:val="single" w:sz="4" w:space="0" w:color="auto"/>
            </w:tcBorders>
            <w:vAlign w:val="center"/>
          </w:tcPr>
          <w:p w14:paraId="032C6523"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Aktivnost A102002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930A80F" w14:textId="77777777" w:rsidR="0081662F" w:rsidRPr="00D0532A" w:rsidRDefault="0081662F" w:rsidP="00EB2357">
            <w:pPr>
              <w:spacing w:after="0" w:line="240" w:lineRule="auto"/>
              <w:rPr>
                <w:rFonts w:ascii="Times New Roman" w:hAnsi="Times New Roman" w:cs="Times New Roman"/>
                <w:lang w:eastAsia="hr-HR"/>
              </w:rPr>
            </w:pPr>
            <w:r w:rsidRPr="00D0532A">
              <w:rPr>
                <w:rFonts w:ascii="Times New Roman" w:eastAsia="Calibri" w:hAnsi="Times New Roman" w:cs="Times New Roman"/>
              </w:rPr>
              <w:t>Sufinanciranje troškova prijevoza učenika srednjih škola</w:t>
            </w:r>
          </w:p>
        </w:tc>
        <w:tc>
          <w:tcPr>
            <w:tcW w:w="777" w:type="pct"/>
            <w:tcBorders>
              <w:top w:val="nil"/>
              <w:left w:val="nil"/>
              <w:bottom w:val="single" w:sz="4" w:space="0" w:color="auto"/>
              <w:right w:val="single" w:sz="4" w:space="0" w:color="auto"/>
            </w:tcBorders>
            <w:shd w:val="clear" w:color="auto" w:fill="auto"/>
            <w:noWrap/>
            <w:vAlign w:val="center"/>
          </w:tcPr>
          <w:p w14:paraId="3AAC3812"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rPr>
              <w:t>8.000,00</w:t>
            </w:r>
          </w:p>
        </w:tc>
        <w:tc>
          <w:tcPr>
            <w:tcW w:w="636" w:type="pct"/>
            <w:tcBorders>
              <w:top w:val="nil"/>
              <w:left w:val="nil"/>
              <w:bottom w:val="single" w:sz="4" w:space="0" w:color="auto"/>
              <w:right w:val="single" w:sz="4" w:space="0" w:color="auto"/>
            </w:tcBorders>
            <w:shd w:val="clear" w:color="auto" w:fill="auto"/>
            <w:noWrap/>
            <w:vAlign w:val="center"/>
          </w:tcPr>
          <w:p w14:paraId="7BEFD53D"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lang w:eastAsia="hr-HR"/>
              </w:rPr>
              <w:t>7.583,40</w:t>
            </w:r>
          </w:p>
        </w:tc>
        <w:tc>
          <w:tcPr>
            <w:tcW w:w="705" w:type="pct"/>
            <w:tcBorders>
              <w:top w:val="nil"/>
              <w:left w:val="nil"/>
              <w:bottom w:val="single" w:sz="4" w:space="0" w:color="auto"/>
              <w:right w:val="single" w:sz="4" w:space="0" w:color="auto"/>
            </w:tcBorders>
            <w:vAlign w:val="center"/>
          </w:tcPr>
          <w:p w14:paraId="3AD48909"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lang w:eastAsia="hr-HR"/>
              </w:rPr>
              <w:t>94,79%</w:t>
            </w:r>
          </w:p>
        </w:tc>
      </w:tr>
      <w:tr w:rsidR="0081662F" w:rsidRPr="00D0532A" w14:paraId="3406F8A4" w14:textId="77777777" w:rsidTr="00EB2357">
        <w:trPr>
          <w:trHeight w:val="269"/>
        </w:trPr>
        <w:tc>
          <w:tcPr>
            <w:tcW w:w="1043" w:type="pct"/>
            <w:tcBorders>
              <w:top w:val="single" w:sz="4" w:space="0" w:color="auto"/>
              <w:left w:val="single" w:sz="4" w:space="0" w:color="auto"/>
              <w:bottom w:val="single" w:sz="4" w:space="0" w:color="auto"/>
              <w:right w:val="single" w:sz="4" w:space="0" w:color="auto"/>
            </w:tcBorders>
            <w:vAlign w:val="center"/>
          </w:tcPr>
          <w:p w14:paraId="5A043089"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Aktivnost A102003</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6DC6D85A" w14:textId="77777777" w:rsidR="0081662F" w:rsidRPr="00D0532A" w:rsidRDefault="0081662F" w:rsidP="00EB2357">
            <w:pPr>
              <w:spacing w:after="0" w:line="240" w:lineRule="auto"/>
              <w:rPr>
                <w:rFonts w:ascii="Times New Roman" w:hAnsi="Times New Roman" w:cs="Times New Roman"/>
                <w:lang w:eastAsia="hr-HR"/>
              </w:rPr>
            </w:pPr>
            <w:r w:rsidRPr="00D0532A">
              <w:rPr>
                <w:rFonts w:ascii="Times New Roman" w:eastAsia="Calibri" w:hAnsi="Times New Roman" w:cs="Times New Roman"/>
              </w:rPr>
              <w:t>Sufinanciranje nabave drugog obrazovnog materijala za učenike osnovnih škola</w:t>
            </w:r>
          </w:p>
        </w:tc>
        <w:tc>
          <w:tcPr>
            <w:tcW w:w="777" w:type="pct"/>
            <w:tcBorders>
              <w:top w:val="nil"/>
              <w:left w:val="nil"/>
              <w:bottom w:val="single" w:sz="4" w:space="0" w:color="auto"/>
              <w:right w:val="single" w:sz="4" w:space="0" w:color="auto"/>
            </w:tcBorders>
            <w:shd w:val="clear" w:color="auto" w:fill="auto"/>
            <w:noWrap/>
            <w:vAlign w:val="center"/>
          </w:tcPr>
          <w:p w14:paraId="0066D3B5"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rPr>
              <w:t>57.010,00</w:t>
            </w:r>
          </w:p>
        </w:tc>
        <w:tc>
          <w:tcPr>
            <w:tcW w:w="636" w:type="pct"/>
            <w:tcBorders>
              <w:top w:val="nil"/>
              <w:left w:val="nil"/>
              <w:bottom w:val="single" w:sz="4" w:space="0" w:color="auto"/>
              <w:right w:val="single" w:sz="4" w:space="0" w:color="auto"/>
            </w:tcBorders>
            <w:shd w:val="clear" w:color="auto" w:fill="auto"/>
            <w:noWrap/>
            <w:vAlign w:val="center"/>
          </w:tcPr>
          <w:p w14:paraId="03D48686"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lang w:eastAsia="hr-HR"/>
              </w:rPr>
              <w:t>55.958,01</w:t>
            </w:r>
          </w:p>
        </w:tc>
        <w:tc>
          <w:tcPr>
            <w:tcW w:w="705" w:type="pct"/>
            <w:tcBorders>
              <w:top w:val="nil"/>
              <w:left w:val="nil"/>
              <w:bottom w:val="single" w:sz="4" w:space="0" w:color="auto"/>
              <w:right w:val="single" w:sz="4" w:space="0" w:color="auto"/>
            </w:tcBorders>
            <w:vAlign w:val="center"/>
          </w:tcPr>
          <w:p w14:paraId="0B3965E7"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lang w:eastAsia="hr-HR"/>
              </w:rPr>
              <w:t>98,15%</w:t>
            </w:r>
          </w:p>
        </w:tc>
      </w:tr>
      <w:tr w:rsidR="0081662F" w:rsidRPr="00D0532A" w14:paraId="60C977D1" w14:textId="77777777" w:rsidTr="00EB2357">
        <w:trPr>
          <w:trHeight w:val="269"/>
        </w:trPr>
        <w:tc>
          <w:tcPr>
            <w:tcW w:w="1043" w:type="pct"/>
            <w:tcBorders>
              <w:top w:val="single" w:sz="4" w:space="0" w:color="auto"/>
              <w:left w:val="single" w:sz="4" w:space="0" w:color="auto"/>
              <w:bottom w:val="single" w:sz="4" w:space="0" w:color="auto"/>
              <w:right w:val="single" w:sz="4" w:space="0" w:color="auto"/>
            </w:tcBorders>
            <w:vAlign w:val="center"/>
          </w:tcPr>
          <w:p w14:paraId="0A7D7533"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Aktivnost A102004</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A05D78C" w14:textId="77777777" w:rsidR="0081662F" w:rsidRPr="00D0532A" w:rsidRDefault="0081662F" w:rsidP="00EB2357">
            <w:pPr>
              <w:spacing w:after="0" w:line="240" w:lineRule="auto"/>
              <w:rPr>
                <w:rFonts w:ascii="Times New Roman" w:hAnsi="Times New Roman" w:cs="Times New Roman"/>
                <w:lang w:eastAsia="hr-HR"/>
              </w:rPr>
            </w:pPr>
            <w:r w:rsidRPr="00D0532A">
              <w:rPr>
                <w:rFonts w:ascii="Times New Roman" w:eastAsia="Calibri" w:hAnsi="Times New Roman" w:cs="Times New Roman"/>
              </w:rPr>
              <w:t>Sufinanciranje troškova školskih natjecanja, susreta i smotri</w:t>
            </w:r>
          </w:p>
        </w:tc>
        <w:tc>
          <w:tcPr>
            <w:tcW w:w="777" w:type="pct"/>
            <w:tcBorders>
              <w:top w:val="nil"/>
              <w:left w:val="nil"/>
              <w:bottom w:val="single" w:sz="4" w:space="0" w:color="auto"/>
              <w:right w:val="single" w:sz="4" w:space="0" w:color="auto"/>
            </w:tcBorders>
            <w:shd w:val="clear" w:color="auto" w:fill="auto"/>
            <w:noWrap/>
            <w:vAlign w:val="center"/>
          </w:tcPr>
          <w:p w14:paraId="1D2ABF8F"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rPr>
              <w:t>800,00</w:t>
            </w:r>
          </w:p>
        </w:tc>
        <w:tc>
          <w:tcPr>
            <w:tcW w:w="636" w:type="pct"/>
            <w:tcBorders>
              <w:top w:val="nil"/>
              <w:left w:val="nil"/>
              <w:bottom w:val="single" w:sz="4" w:space="0" w:color="auto"/>
              <w:right w:val="single" w:sz="4" w:space="0" w:color="auto"/>
            </w:tcBorders>
            <w:shd w:val="clear" w:color="auto" w:fill="auto"/>
            <w:noWrap/>
            <w:vAlign w:val="center"/>
          </w:tcPr>
          <w:p w14:paraId="0C039ACB"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lang w:eastAsia="hr-HR"/>
              </w:rPr>
              <w:t>0,00</w:t>
            </w:r>
          </w:p>
        </w:tc>
        <w:tc>
          <w:tcPr>
            <w:tcW w:w="705" w:type="pct"/>
            <w:tcBorders>
              <w:top w:val="nil"/>
              <w:left w:val="nil"/>
              <w:bottom w:val="single" w:sz="4" w:space="0" w:color="auto"/>
              <w:right w:val="single" w:sz="4" w:space="0" w:color="auto"/>
            </w:tcBorders>
            <w:vAlign w:val="center"/>
          </w:tcPr>
          <w:p w14:paraId="015624AB"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lang w:eastAsia="hr-HR"/>
              </w:rPr>
              <w:t>0,00%</w:t>
            </w:r>
          </w:p>
        </w:tc>
      </w:tr>
      <w:tr w:rsidR="0081662F" w:rsidRPr="00D0532A" w14:paraId="12A51AC5" w14:textId="77777777" w:rsidTr="00EB2357">
        <w:trPr>
          <w:trHeight w:val="269"/>
        </w:trPr>
        <w:tc>
          <w:tcPr>
            <w:tcW w:w="1043" w:type="pct"/>
            <w:tcBorders>
              <w:top w:val="single" w:sz="4" w:space="0" w:color="auto"/>
              <w:left w:val="single" w:sz="4" w:space="0" w:color="auto"/>
              <w:bottom w:val="single" w:sz="4" w:space="0" w:color="auto"/>
              <w:right w:val="single" w:sz="4" w:space="0" w:color="auto"/>
            </w:tcBorders>
            <w:vAlign w:val="center"/>
          </w:tcPr>
          <w:p w14:paraId="2C067E42"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Aktivnost A102005</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02671D6" w14:textId="77777777" w:rsidR="0081662F" w:rsidRPr="00D0532A" w:rsidRDefault="0081662F" w:rsidP="00EB2357">
            <w:pPr>
              <w:spacing w:after="0" w:line="240" w:lineRule="auto"/>
              <w:rPr>
                <w:rFonts w:ascii="Times New Roman" w:hAnsi="Times New Roman" w:cs="Times New Roman"/>
                <w:lang w:eastAsia="hr-HR"/>
              </w:rPr>
            </w:pPr>
            <w:r w:rsidRPr="00D0532A">
              <w:rPr>
                <w:rFonts w:ascii="Times New Roman" w:eastAsia="Calibri" w:hAnsi="Times New Roman" w:cs="Times New Roman"/>
              </w:rPr>
              <w:t>Nagrade učenicima i studentima za postignute rezultate</w:t>
            </w:r>
          </w:p>
        </w:tc>
        <w:tc>
          <w:tcPr>
            <w:tcW w:w="777" w:type="pct"/>
            <w:tcBorders>
              <w:top w:val="nil"/>
              <w:left w:val="nil"/>
              <w:bottom w:val="single" w:sz="4" w:space="0" w:color="auto"/>
              <w:right w:val="single" w:sz="4" w:space="0" w:color="auto"/>
            </w:tcBorders>
            <w:shd w:val="clear" w:color="auto" w:fill="auto"/>
            <w:noWrap/>
            <w:vAlign w:val="center"/>
          </w:tcPr>
          <w:p w14:paraId="2DE9D9A3"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rPr>
              <w:t>400,00</w:t>
            </w:r>
          </w:p>
        </w:tc>
        <w:tc>
          <w:tcPr>
            <w:tcW w:w="636" w:type="pct"/>
            <w:tcBorders>
              <w:top w:val="nil"/>
              <w:left w:val="nil"/>
              <w:bottom w:val="single" w:sz="4" w:space="0" w:color="auto"/>
              <w:right w:val="single" w:sz="4" w:space="0" w:color="auto"/>
            </w:tcBorders>
            <w:shd w:val="clear" w:color="auto" w:fill="auto"/>
            <w:noWrap/>
            <w:vAlign w:val="center"/>
          </w:tcPr>
          <w:p w14:paraId="7F4F1335"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lang w:eastAsia="hr-HR"/>
              </w:rPr>
              <w:t>200,00</w:t>
            </w:r>
          </w:p>
        </w:tc>
        <w:tc>
          <w:tcPr>
            <w:tcW w:w="705" w:type="pct"/>
            <w:tcBorders>
              <w:top w:val="nil"/>
              <w:left w:val="nil"/>
              <w:bottom w:val="single" w:sz="4" w:space="0" w:color="auto"/>
              <w:right w:val="single" w:sz="4" w:space="0" w:color="auto"/>
            </w:tcBorders>
            <w:vAlign w:val="center"/>
          </w:tcPr>
          <w:p w14:paraId="17A0E605"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lang w:eastAsia="hr-HR"/>
              </w:rPr>
              <w:t>50,00%</w:t>
            </w:r>
          </w:p>
        </w:tc>
      </w:tr>
      <w:tr w:rsidR="0081662F" w:rsidRPr="00D0532A" w14:paraId="76834D15" w14:textId="77777777" w:rsidTr="00EB2357">
        <w:trPr>
          <w:trHeight w:val="269"/>
        </w:trPr>
        <w:tc>
          <w:tcPr>
            <w:tcW w:w="1043" w:type="pct"/>
            <w:tcBorders>
              <w:top w:val="single" w:sz="4" w:space="0" w:color="auto"/>
              <w:left w:val="single" w:sz="4" w:space="0" w:color="auto"/>
              <w:bottom w:val="single" w:sz="4" w:space="0" w:color="auto"/>
              <w:right w:val="single" w:sz="4" w:space="0" w:color="auto"/>
            </w:tcBorders>
            <w:vAlign w:val="center"/>
          </w:tcPr>
          <w:p w14:paraId="6300BFF2"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Aktivnost A102006</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ED09296" w14:textId="720D6F00" w:rsidR="0081662F" w:rsidRPr="00D0532A" w:rsidRDefault="0081662F" w:rsidP="00EB2357">
            <w:pPr>
              <w:spacing w:after="0" w:line="240" w:lineRule="auto"/>
              <w:rPr>
                <w:rFonts w:ascii="Times New Roman" w:hAnsi="Times New Roman" w:cs="Times New Roman"/>
                <w:lang w:eastAsia="hr-HR"/>
              </w:rPr>
            </w:pPr>
            <w:r w:rsidRPr="00D0532A">
              <w:rPr>
                <w:rFonts w:ascii="Times New Roman" w:eastAsia="Calibri" w:hAnsi="Times New Roman" w:cs="Times New Roman"/>
              </w:rPr>
              <w:t>Jednokratna potpora učenicima S.Š. A.</w:t>
            </w:r>
            <w:r w:rsidR="001D39EA">
              <w:rPr>
                <w:rFonts w:ascii="Times New Roman" w:eastAsia="Calibri" w:hAnsi="Times New Roman" w:cs="Times New Roman"/>
              </w:rPr>
              <w:t xml:space="preserve"> </w:t>
            </w:r>
            <w:r w:rsidRPr="00D0532A">
              <w:rPr>
                <w:rFonts w:ascii="Times New Roman" w:eastAsia="Calibri" w:hAnsi="Times New Roman" w:cs="Times New Roman"/>
              </w:rPr>
              <w:t>Šenoa Garešnica koji pohađaju Opću gimnaziju</w:t>
            </w:r>
          </w:p>
        </w:tc>
        <w:tc>
          <w:tcPr>
            <w:tcW w:w="777" w:type="pct"/>
            <w:tcBorders>
              <w:top w:val="nil"/>
              <w:left w:val="nil"/>
              <w:bottom w:val="single" w:sz="4" w:space="0" w:color="auto"/>
              <w:right w:val="single" w:sz="4" w:space="0" w:color="auto"/>
            </w:tcBorders>
            <w:shd w:val="clear" w:color="auto" w:fill="auto"/>
            <w:noWrap/>
            <w:vAlign w:val="center"/>
          </w:tcPr>
          <w:p w14:paraId="12945F02"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rPr>
              <w:t>2.000,00</w:t>
            </w:r>
          </w:p>
        </w:tc>
        <w:tc>
          <w:tcPr>
            <w:tcW w:w="636" w:type="pct"/>
            <w:tcBorders>
              <w:top w:val="nil"/>
              <w:left w:val="nil"/>
              <w:bottom w:val="single" w:sz="4" w:space="0" w:color="auto"/>
              <w:right w:val="single" w:sz="4" w:space="0" w:color="auto"/>
            </w:tcBorders>
            <w:shd w:val="clear" w:color="auto" w:fill="auto"/>
            <w:noWrap/>
            <w:vAlign w:val="center"/>
          </w:tcPr>
          <w:p w14:paraId="610D9363"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lang w:eastAsia="hr-HR"/>
              </w:rPr>
              <w:t>1.950,00</w:t>
            </w:r>
          </w:p>
        </w:tc>
        <w:tc>
          <w:tcPr>
            <w:tcW w:w="705" w:type="pct"/>
            <w:tcBorders>
              <w:top w:val="nil"/>
              <w:left w:val="nil"/>
              <w:bottom w:val="single" w:sz="4" w:space="0" w:color="auto"/>
              <w:right w:val="single" w:sz="4" w:space="0" w:color="auto"/>
            </w:tcBorders>
            <w:vAlign w:val="center"/>
          </w:tcPr>
          <w:p w14:paraId="60DC17A0"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lang w:eastAsia="hr-HR"/>
              </w:rPr>
              <w:t>97,50%</w:t>
            </w:r>
          </w:p>
        </w:tc>
      </w:tr>
      <w:tr w:rsidR="0081662F" w:rsidRPr="00D0532A" w14:paraId="55B40C75" w14:textId="77777777" w:rsidTr="00EB2357">
        <w:trPr>
          <w:trHeight w:val="269"/>
        </w:trPr>
        <w:tc>
          <w:tcPr>
            <w:tcW w:w="1043" w:type="pct"/>
            <w:tcBorders>
              <w:top w:val="single" w:sz="4" w:space="0" w:color="auto"/>
              <w:left w:val="single" w:sz="4" w:space="0" w:color="auto"/>
              <w:bottom w:val="single" w:sz="4" w:space="0" w:color="auto"/>
              <w:right w:val="single" w:sz="4" w:space="0" w:color="auto"/>
            </w:tcBorders>
            <w:vAlign w:val="center"/>
          </w:tcPr>
          <w:p w14:paraId="2631176A"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lastRenderedPageBreak/>
              <w:t>Aktivnost A102010</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445C0FDB" w14:textId="77777777" w:rsidR="0081662F" w:rsidRPr="00D0532A" w:rsidRDefault="0081662F" w:rsidP="00EB2357">
            <w:pPr>
              <w:spacing w:after="0" w:line="240" w:lineRule="auto"/>
              <w:rPr>
                <w:rFonts w:ascii="Times New Roman" w:hAnsi="Times New Roman" w:cs="Times New Roman"/>
                <w:lang w:eastAsia="hr-HR"/>
              </w:rPr>
            </w:pPr>
            <w:r w:rsidRPr="00D0532A">
              <w:rPr>
                <w:rFonts w:ascii="Times New Roman" w:eastAsia="Calibri" w:hAnsi="Times New Roman" w:cs="Times New Roman"/>
              </w:rPr>
              <w:t>Sufinanciranje troškova prijevoza učenika osnovnih škola</w:t>
            </w:r>
          </w:p>
        </w:tc>
        <w:tc>
          <w:tcPr>
            <w:tcW w:w="777" w:type="pct"/>
            <w:tcBorders>
              <w:top w:val="nil"/>
              <w:left w:val="nil"/>
              <w:bottom w:val="single" w:sz="4" w:space="0" w:color="auto"/>
              <w:right w:val="single" w:sz="4" w:space="0" w:color="auto"/>
            </w:tcBorders>
            <w:shd w:val="clear" w:color="auto" w:fill="auto"/>
            <w:noWrap/>
            <w:vAlign w:val="center"/>
          </w:tcPr>
          <w:p w14:paraId="1AD90FF0"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rPr>
              <w:t>300.000,00</w:t>
            </w:r>
          </w:p>
        </w:tc>
        <w:tc>
          <w:tcPr>
            <w:tcW w:w="636" w:type="pct"/>
            <w:tcBorders>
              <w:top w:val="nil"/>
              <w:left w:val="nil"/>
              <w:bottom w:val="single" w:sz="4" w:space="0" w:color="auto"/>
              <w:right w:val="single" w:sz="4" w:space="0" w:color="auto"/>
            </w:tcBorders>
            <w:shd w:val="clear" w:color="auto" w:fill="auto"/>
            <w:noWrap/>
            <w:vAlign w:val="center"/>
          </w:tcPr>
          <w:p w14:paraId="144539B0"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lang w:eastAsia="hr-HR"/>
              </w:rPr>
              <w:t>279.995,10</w:t>
            </w:r>
          </w:p>
        </w:tc>
        <w:tc>
          <w:tcPr>
            <w:tcW w:w="705" w:type="pct"/>
            <w:tcBorders>
              <w:top w:val="nil"/>
              <w:left w:val="nil"/>
              <w:bottom w:val="single" w:sz="4" w:space="0" w:color="auto"/>
              <w:right w:val="single" w:sz="4" w:space="0" w:color="auto"/>
            </w:tcBorders>
            <w:vAlign w:val="center"/>
          </w:tcPr>
          <w:p w14:paraId="3EC2E410"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lang w:eastAsia="hr-HR"/>
              </w:rPr>
              <w:t>93,33%</w:t>
            </w:r>
          </w:p>
        </w:tc>
      </w:tr>
      <w:tr w:rsidR="0081662F" w:rsidRPr="00D0532A" w14:paraId="7FA7E4ED" w14:textId="77777777" w:rsidTr="00EB2357">
        <w:trPr>
          <w:trHeight w:val="269"/>
        </w:trPr>
        <w:tc>
          <w:tcPr>
            <w:tcW w:w="1043" w:type="pct"/>
            <w:tcBorders>
              <w:top w:val="single" w:sz="4" w:space="0" w:color="auto"/>
              <w:left w:val="single" w:sz="4" w:space="0" w:color="auto"/>
              <w:bottom w:val="single" w:sz="4" w:space="0" w:color="auto"/>
              <w:right w:val="single" w:sz="4" w:space="0" w:color="auto"/>
            </w:tcBorders>
            <w:vAlign w:val="center"/>
          </w:tcPr>
          <w:p w14:paraId="774ECBC1"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Kapitalni projekt K102007</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4EB907E" w14:textId="77777777" w:rsidR="0081662F" w:rsidRPr="00D0532A" w:rsidRDefault="0081662F" w:rsidP="00EB2357">
            <w:pPr>
              <w:spacing w:after="0" w:line="240" w:lineRule="auto"/>
              <w:rPr>
                <w:rFonts w:ascii="Times New Roman" w:hAnsi="Times New Roman" w:cs="Times New Roman"/>
                <w:lang w:eastAsia="hr-HR"/>
              </w:rPr>
            </w:pPr>
            <w:r w:rsidRPr="00D0532A">
              <w:rPr>
                <w:rFonts w:ascii="Times New Roman" w:eastAsia="Calibri" w:hAnsi="Times New Roman" w:cs="Times New Roman"/>
              </w:rPr>
              <w:t>Uređenje prostora Osnovne škole Garešnica</w:t>
            </w:r>
          </w:p>
        </w:tc>
        <w:tc>
          <w:tcPr>
            <w:tcW w:w="777" w:type="pct"/>
            <w:tcBorders>
              <w:top w:val="nil"/>
              <w:left w:val="nil"/>
              <w:bottom w:val="single" w:sz="4" w:space="0" w:color="auto"/>
              <w:right w:val="single" w:sz="4" w:space="0" w:color="auto"/>
            </w:tcBorders>
            <w:shd w:val="clear" w:color="auto" w:fill="auto"/>
            <w:noWrap/>
            <w:vAlign w:val="center"/>
          </w:tcPr>
          <w:p w14:paraId="7C130278"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rPr>
              <w:t>53.300,00</w:t>
            </w:r>
          </w:p>
        </w:tc>
        <w:tc>
          <w:tcPr>
            <w:tcW w:w="636" w:type="pct"/>
            <w:tcBorders>
              <w:top w:val="nil"/>
              <w:left w:val="nil"/>
              <w:bottom w:val="single" w:sz="4" w:space="0" w:color="auto"/>
              <w:right w:val="single" w:sz="4" w:space="0" w:color="auto"/>
            </w:tcBorders>
            <w:shd w:val="clear" w:color="auto" w:fill="auto"/>
            <w:noWrap/>
            <w:vAlign w:val="center"/>
          </w:tcPr>
          <w:p w14:paraId="0052A77D"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lang w:eastAsia="hr-HR"/>
              </w:rPr>
              <w:t>51.923,56</w:t>
            </w:r>
          </w:p>
        </w:tc>
        <w:tc>
          <w:tcPr>
            <w:tcW w:w="705" w:type="pct"/>
            <w:tcBorders>
              <w:top w:val="nil"/>
              <w:left w:val="nil"/>
              <w:bottom w:val="single" w:sz="4" w:space="0" w:color="auto"/>
              <w:right w:val="single" w:sz="4" w:space="0" w:color="auto"/>
            </w:tcBorders>
            <w:vAlign w:val="center"/>
          </w:tcPr>
          <w:p w14:paraId="7DF01D7B"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lang w:eastAsia="hr-HR"/>
              </w:rPr>
              <w:t>97,42%</w:t>
            </w:r>
          </w:p>
        </w:tc>
      </w:tr>
      <w:tr w:rsidR="0081662F" w:rsidRPr="00D0532A" w14:paraId="7965ABAF" w14:textId="77777777" w:rsidTr="00EB2357">
        <w:trPr>
          <w:trHeight w:val="269"/>
        </w:trPr>
        <w:tc>
          <w:tcPr>
            <w:tcW w:w="1043" w:type="pct"/>
            <w:tcBorders>
              <w:top w:val="single" w:sz="4" w:space="0" w:color="auto"/>
              <w:left w:val="single" w:sz="4" w:space="0" w:color="auto"/>
              <w:bottom w:val="single" w:sz="4" w:space="0" w:color="auto"/>
              <w:right w:val="single" w:sz="4" w:space="0" w:color="auto"/>
            </w:tcBorders>
            <w:vAlign w:val="center"/>
          </w:tcPr>
          <w:p w14:paraId="6706603E"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Tekući projekt T102011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AA70602" w14:textId="77777777" w:rsidR="0081662F" w:rsidRPr="00D0532A" w:rsidRDefault="0081662F" w:rsidP="00EB2357">
            <w:pPr>
              <w:spacing w:after="0" w:line="240" w:lineRule="auto"/>
              <w:rPr>
                <w:rFonts w:ascii="Times New Roman" w:hAnsi="Times New Roman" w:cs="Times New Roman"/>
                <w:lang w:eastAsia="hr-HR"/>
              </w:rPr>
            </w:pPr>
            <w:r w:rsidRPr="00D0532A">
              <w:rPr>
                <w:rFonts w:ascii="Times New Roman" w:eastAsia="Calibri" w:hAnsi="Times New Roman" w:cs="Times New Roman"/>
              </w:rPr>
              <w:t>Provedba edukativnih i kulturnih aktivnosti za djecu</w:t>
            </w:r>
          </w:p>
        </w:tc>
        <w:tc>
          <w:tcPr>
            <w:tcW w:w="777" w:type="pct"/>
            <w:tcBorders>
              <w:top w:val="nil"/>
              <w:left w:val="nil"/>
              <w:bottom w:val="single" w:sz="4" w:space="0" w:color="auto"/>
              <w:right w:val="single" w:sz="4" w:space="0" w:color="auto"/>
            </w:tcBorders>
            <w:shd w:val="clear" w:color="auto" w:fill="auto"/>
            <w:noWrap/>
            <w:vAlign w:val="center"/>
          </w:tcPr>
          <w:p w14:paraId="749E729C"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rPr>
              <w:t>1.660,00</w:t>
            </w:r>
          </w:p>
        </w:tc>
        <w:tc>
          <w:tcPr>
            <w:tcW w:w="636" w:type="pct"/>
            <w:tcBorders>
              <w:top w:val="nil"/>
              <w:left w:val="nil"/>
              <w:bottom w:val="single" w:sz="4" w:space="0" w:color="auto"/>
              <w:right w:val="single" w:sz="4" w:space="0" w:color="auto"/>
            </w:tcBorders>
            <w:shd w:val="clear" w:color="auto" w:fill="auto"/>
            <w:noWrap/>
            <w:vAlign w:val="center"/>
          </w:tcPr>
          <w:p w14:paraId="7D9FBC7C"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lang w:eastAsia="hr-HR"/>
              </w:rPr>
              <w:t>2.990,00</w:t>
            </w:r>
          </w:p>
        </w:tc>
        <w:tc>
          <w:tcPr>
            <w:tcW w:w="705" w:type="pct"/>
            <w:tcBorders>
              <w:top w:val="nil"/>
              <w:left w:val="nil"/>
              <w:bottom w:val="single" w:sz="4" w:space="0" w:color="auto"/>
              <w:right w:val="single" w:sz="4" w:space="0" w:color="auto"/>
            </w:tcBorders>
            <w:vAlign w:val="center"/>
          </w:tcPr>
          <w:p w14:paraId="740EDDF3"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lang w:eastAsia="hr-HR"/>
              </w:rPr>
              <w:t>180,12%</w:t>
            </w:r>
          </w:p>
        </w:tc>
      </w:tr>
    </w:tbl>
    <w:p w14:paraId="4C7854E1" w14:textId="77777777" w:rsidR="0081662F" w:rsidRPr="00D0532A" w:rsidRDefault="0081662F" w:rsidP="0081662F">
      <w:pPr>
        <w:spacing w:after="0" w:line="240" w:lineRule="auto"/>
        <w:jc w:val="both"/>
        <w:rPr>
          <w:rFonts w:ascii="Times New Roman" w:eastAsia="Calibri" w:hAnsi="Times New Roman" w:cs="Times New Roman"/>
          <w:color w:val="FF0000"/>
        </w:rPr>
      </w:pPr>
    </w:p>
    <w:p w14:paraId="3F5D22C4" w14:textId="77777777" w:rsidR="0081662F" w:rsidRPr="00D0532A" w:rsidRDefault="0081662F" w:rsidP="0081662F">
      <w:pPr>
        <w:spacing w:after="0" w:line="240" w:lineRule="auto"/>
        <w:jc w:val="both"/>
        <w:rPr>
          <w:rFonts w:ascii="Times New Roman" w:eastAsia="Calibri" w:hAnsi="Times New Roman" w:cs="Times New Roman"/>
          <w:b/>
          <w:bCs/>
        </w:rPr>
      </w:pPr>
      <w:r w:rsidRPr="00D0532A">
        <w:rPr>
          <w:rFonts w:ascii="Times New Roman" w:eastAsia="Calibri" w:hAnsi="Times New Roman" w:cs="Times New Roman"/>
          <w:b/>
          <w:bCs/>
        </w:rPr>
        <w:t>1.12.1. Aktivnost A102002 Sufinanciranje troškova prijevoza učenika srednjih škola</w:t>
      </w:r>
    </w:p>
    <w:p w14:paraId="730B89AC" w14:textId="77777777" w:rsidR="0081662F" w:rsidRPr="00D0532A" w:rsidRDefault="0081662F" w:rsidP="0081662F">
      <w:pPr>
        <w:spacing w:after="0" w:line="240" w:lineRule="auto"/>
        <w:jc w:val="both"/>
        <w:rPr>
          <w:rFonts w:ascii="Times New Roman" w:eastAsia="Calibri" w:hAnsi="Times New Roman" w:cs="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1722"/>
        <w:gridCol w:w="2038"/>
        <w:gridCol w:w="1308"/>
        <w:gridCol w:w="1308"/>
        <w:gridCol w:w="1308"/>
      </w:tblGrid>
      <w:tr w:rsidR="0081662F" w:rsidRPr="00D0532A" w14:paraId="15EF11C5" w14:textId="77777777" w:rsidTr="00EB2357">
        <w:tc>
          <w:tcPr>
            <w:tcW w:w="759" w:type="pct"/>
            <w:shd w:val="clear" w:color="auto" w:fill="D1D1D1"/>
          </w:tcPr>
          <w:p w14:paraId="1CAD8ED6"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Pokazatelj rezultata</w:t>
            </w:r>
          </w:p>
        </w:tc>
        <w:tc>
          <w:tcPr>
            <w:tcW w:w="950" w:type="pct"/>
            <w:shd w:val="clear" w:color="auto" w:fill="D1D1D1"/>
          </w:tcPr>
          <w:p w14:paraId="494D6B41"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Definicija pokazatelja</w:t>
            </w:r>
          </w:p>
        </w:tc>
        <w:tc>
          <w:tcPr>
            <w:tcW w:w="1124" w:type="pct"/>
            <w:shd w:val="clear" w:color="auto" w:fill="D1D1D1"/>
          </w:tcPr>
          <w:p w14:paraId="3A186957"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jedinica</w:t>
            </w:r>
          </w:p>
        </w:tc>
        <w:tc>
          <w:tcPr>
            <w:tcW w:w="722" w:type="pct"/>
            <w:shd w:val="clear" w:color="auto" w:fill="D1D1D1"/>
          </w:tcPr>
          <w:p w14:paraId="558E0872"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Ciljana vrijednost</w:t>
            </w:r>
          </w:p>
          <w:p w14:paraId="44E6CF16"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2024.</w:t>
            </w:r>
          </w:p>
        </w:tc>
        <w:tc>
          <w:tcPr>
            <w:tcW w:w="722" w:type="pct"/>
            <w:shd w:val="clear" w:color="auto" w:fill="D1D1D1"/>
          </w:tcPr>
          <w:p w14:paraId="65A35861"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Izvršeno</w:t>
            </w:r>
          </w:p>
        </w:tc>
        <w:tc>
          <w:tcPr>
            <w:tcW w:w="722" w:type="pct"/>
            <w:shd w:val="clear" w:color="auto" w:fill="D1D1D1"/>
          </w:tcPr>
          <w:p w14:paraId="468275D4"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Indeks</w:t>
            </w:r>
          </w:p>
        </w:tc>
      </w:tr>
      <w:tr w:rsidR="0081662F" w:rsidRPr="00D0532A" w14:paraId="0F09C13C" w14:textId="77777777" w:rsidTr="00EB2357">
        <w:tc>
          <w:tcPr>
            <w:tcW w:w="759" w:type="pct"/>
            <w:shd w:val="clear" w:color="auto" w:fill="auto"/>
          </w:tcPr>
          <w:p w14:paraId="0F897E8C"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Održavanje broja ugovora</w:t>
            </w:r>
          </w:p>
        </w:tc>
        <w:tc>
          <w:tcPr>
            <w:tcW w:w="950" w:type="pct"/>
            <w:shd w:val="clear" w:color="auto" w:fill="auto"/>
          </w:tcPr>
          <w:p w14:paraId="28C87B61"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Broj ugovora temeljem kojih se sufinanciraju troškovi prijevoza učenika srednjih škola</w:t>
            </w:r>
          </w:p>
          <w:p w14:paraId="2E320CC2" w14:textId="77777777" w:rsidR="0081662F" w:rsidRPr="00D0532A" w:rsidRDefault="0081662F" w:rsidP="00EB2357">
            <w:pPr>
              <w:spacing w:after="0" w:line="240" w:lineRule="auto"/>
              <w:rPr>
                <w:rFonts w:ascii="Times New Roman" w:eastAsia="Calibri" w:hAnsi="Times New Roman" w:cs="Times New Roman"/>
              </w:rPr>
            </w:pPr>
          </w:p>
        </w:tc>
        <w:tc>
          <w:tcPr>
            <w:tcW w:w="1124" w:type="pct"/>
            <w:shd w:val="clear" w:color="auto" w:fill="auto"/>
          </w:tcPr>
          <w:p w14:paraId="5120441E"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Broj ugovora/</w:t>
            </w:r>
          </w:p>
          <w:p w14:paraId="5DE22457"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kom</w:t>
            </w:r>
          </w:p>
        </w:tc>
        <w:tc>
          <w:tcPr>
            <w:tcW w:w="722" w:type="pct"/>
            <w:shd w:val="clear" w:color="auto" w:fill="auto"/>
          </w:tcPr>
          <w:p w14:paraId="4798F798"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1</w:t>
            </w:r>
          </w:p>
        </w:tc>
        <w:tc>
          <w:tcPr>
            <w:tcW w:w="722" w:type="pct"/>
            <w:shd w:val="clear" w:color="auto" w:fill="auto"/>
          </w:tcPr>
          <w:p w14:paraId="525F61D4"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1</w:t>
            </w:r>
          </w:p>
        </w:tc>
        <w:tc>
          <w:tcPr>
            <w:tcW w:w="722" w:type="pct"/>
            <w:shd w:val="clear" w:color="auto" w:fill="auto"/>
          </w:tcPr>
          <w:p w14:paraId="3038D32A"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100%</w:t>
            </w:r>
          </w:p>
        </w:tc>
      </w:tr>
    </w:tbl>
    <w:p w14:paraId="0446DF83" w14:textId="77777777" w:rsidR="0081662F" w:rsidRPr="00D0532A" w:rsidRDefault="0081662F" w:rsidP="0081662F">
      <w:pPr>
        <w:spacing w:after="0" w:line="240" w:lineRule="auto"/>
        <w:jc w:val="both"/>
        <w:rPr>
          <w:rFonts w:ascii="Times New Roman" w:eastAsia="Calibri" w:hAnsi="Times New Roman" w:cs="Times New Roman"/>
          <w:b/>
          <w:bCs/>
          <w:color w:val="FF0000"/>
        </w:rPr>
      </w:pPr>
    </w:p>
    <w:p w14:paraId="2DF9475C" w14:textId="77777777" w:rsidR="0081662F" w:rsidRPr="00D0532A" w:rsidRDefault="0081662F" w:rsidP="0081662F">
      <w:pPr>
        <w:spacing w:after="0" w:line="240" w:lineRule="auto"/>
        <w:jc w:val="both"/>
        <w:rPr>
          <w:rFonts w:ascii="Times New Roman" w:eastAsia="Calibri" w:hAnsi="Times New Roman" w:cs="Times New Roman"/>
          <w:b/>
          <w:bCs/>
        </w:rPr>
      </w:pPr>
      <w:r w:rsidRPr="00D0532A">
        <w:rPr>
          <w:rFonts w:ascii="Times New Roman" w:eastAsia="Calibri" w:hAnsi="Times New Roman" w:cs="Times New Roman"/>
          <w:b/>
          <w:bCs/>
        </w:rPr>
        <w:t>1.12.2. Aktivnost A102003 Sufinanciranje nabave drugog obrazovnog materijala za učenike osnovnih škola</w:t>
      </w:r>
    </w:p>
    <w:p w14:paraId="4F3352B0" w14:textId="77777777" w:rsidR="0081662F" w:rsidRPr="00D0532A" w:rsidRDefault="0081662F" w:rsidP="0081662F">
      <w:pPr>
        <w:spacing w:after="0" w:line="240" w:lineRule="auto"/>
        <w:jc w:val="both"/>
        <w:rPr>
          <w:rFonts w:ascii="Times New Roman" w:eastAsia="Calibri"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1722"/>
        <w:gridCol w:w="2038"/>
        <w:gridCol w:w="1308"/>
        <w:gridCol w:w="1308"/>
        <w:gridCol w:w="1308"/>
      </w:tblGrid>
      <w:tr w:rsidR="0081662F" w:rsidRPr="00D0532A" w14:paraId="579291F1" w14:textId="77777777" w:rsidTr="00EB2357">
        <w:tc>
          <w:tcPr>
            <w:tcW w:w="759" w:type="pct"/>
            <w:shd w:val="clear" w:color="auto" w:fill="D1D1D1"/>
          </w:tcPr>
          <w:p w14:paraId="7EF8019A" w14:textId="77777777" w:rsidR="0081662F" w:rsidRPr="00D0532A" w:rsidRDefault="0081662F" w:rsidP="00EB2357">
            <w:pPr>
              <w:spacing w:after="0" w:line="240" w:lineRule="auto"/>
              <w:rPr>
                <w:rFonts w:ascii="Times New Roman" w:eastAsia="Calibri" w:hAnsi="Times New Roman" w:cs="Times New Roman"/>
                <w:b/>
                <w:bCs/>
              </w:rPr>
            </w:pPr>
            <w:bookmarkStart w:id="9" w:name="_Hlk152228773"/>
            <w:r w:rsidRPr="00D0532A">
              <w:rPr>
                <w:rFonts w:ascii="Times New Roman" w:eastAsia="Calibri" w:hAnsi="Times New Roman" w:cs="Times New Roman"/>
                <w:b/>
                <w:bCs/>
              </w:rPr>
              <w:t>Pokazatelj rezultata</w:t>
            </w:r>
          </w:p>
        </w:tc>
        <w:tc>
          <w:tcPr>
            <w:tcW w:w="950" w:type="pct"/>
            <w:shd w:val="clear" w:color="auto" w:fill="D1D1D1"/>
          </w:tcPr>
          <w:p w14:paraId="0B625EB8"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Definicija pokazatelja</w:t>
            </w:r>
          </w:p>
        </w:tc>
        <w:tc>
          <w:tcPr>
            <w:tcW w:w="1124" w:type="pct"/>
            <w:shd w:val="clear" w:color="auto" w:fill="D1D1D1"/>
          </w:tcPr>
          <w:p w14:paraId="57D8705D"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jedinica</w:t>
            </w:r>
          </w:p>
        </w:tc>
        <w:tc>
          <w:tcPr>
            <w:tcW w:w="722" w:type="pct"/>
            <w:shd w:val="clear" w:color="auto" w:fill="D1D1D1"/>
          </w:tcPr>
          <w:p w14:paraId="255B907B"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Ciljana vrijednost</w:t>
            </w:r>
          </w:p>
          <w:p w14:paraId="44C2795A"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2024.</w:t>
            </w:r>
          </w:p>
        </w:tc>
        <w:tc>
          <w:tcPr>
            <w:tcW w:w="722" w:type="pct"/>
            <w:shd w:val="clear" w:color="auto" w:fill="D1D1D1"/>
          </w:tcPr>
          <w:p w14:paraId="73B65426"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Izvršeno</w:t>
            </w:r>
          </w:p>
        </w:tc>
        <w:tc>
          <w:tcPr>
            <w:tcW w:w="722" w:type="pct"/>
            <w:shd w:val="clear" w:color="auto" w:fill="D1D1D1"/>
          </w:tcPr>
          <w:p w14:paraId="34C72992"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Indeks</w:t>
            </w:r>
          </w:p>
        </w:tc>
      </w:tr>
      <w:tr w:rsidR="0081662F" w:rsidRPr="00D0532A" w14:paraId="525C6D1D" w14:textId="77777777" w:rsidTr="00EB2357">
        <w:tc>
          <w:tcPr>
            <w:tcW w:w="759" w:type="pct"/>
            <w:shd w:val="clear" w:color="auto" w:fill="auto"/>
          </w:tcPr>
          <w:p w14:paraId="2CF5A477"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Održavanje broja ugovora</w:t>
            </w:r>
          </w:p>
        </w:tc>
        <w:tc>
          <w:tcPr>
            <w:tcW w:w="950" w:type="pct"/>
            <w:shd w:val="clear" w:color="auto" w:fill="auto"/>
          </w:tcPr>
          <w:p w14:paraId="66B341DE"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Broj ugovora temeljem kojih se sufinanciraju troškovi drugog obrazovnog materijala</w:t>
            </w:r>
          </w:p>
          <w:p w14:paraId="05F2DD49" w14:textId="77777777" w:rsidR="0081662F" w:rsidRPr="00D0532A" w:rsidRDefault="0081662F" w:rsidP="00EB2357">
            <w:pPr>
              <w:spacing w:after="0" w:line="240" w:lineRule="auto"/>
              <w:rPr>
                <w:rFonts w:ascii="Times New Roman" w:eastAsia="Calibri" w:hAnsi="Times New Roman" w:cs="Times New Roman"/>
              </w:rPr>
            </w:pPr>
          </w:p>
        </w:tc>
        <w:tc>
          <w:tcPr>
            <w:tcW w:w="1124" w:type="pct"/>
            <w:shd w:val="clear" w:color="auto" w:fill="auto"/>
          </w:tcPr>
          <w:p w14:paraId="511FE1C1"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Broj ugovora/</w:t>
            </w:r>
          </w:p>
          <w:p w14:paraId="4F2497B5"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kom</w:t>
            </w:r>
          </w:p>
        </w:tc>
        <w:tc>
          <w:tcPr>
            <w:tcW w:w="722" w:type="pct"/>
            <w:shd w:val="clear" w:color="auto" w:fill="auto"/>
          </w:tcPr>
          <w:p w14:paraId="49DCD87D"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1</w:t>
            </w:r>
          </w:p>
        </w:tc>
        <w:tc>
          <w:tcPr>
            <w:tcW w:w="722" w:type="pct"/>
            <w:shd w:val="clear" w:color="auto" w:fill="auto"/>
          </w:tcPr>
          <w:p w14:paraId="386A162B"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1</w:t>
            </w:r>
          </w:p>
        </w:tc>
        <w:tc>
          <w:tcPr>
            <w:tcW w:w="722" w:type="pct"/>
            <w:shd w:val="clear" w:color="auto" w:fill="auto"/>
          </w:tcPr>
          <w:p w14:paraId="58E13288"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100%</w:t>
            </w:r>
          </w:p>
        </w:tc>
      </w:tr>
      <w:bookmarkEnd w:id="9"/>
    </w:tbl>
    <w:p w14:paraId="3ED2C5FB" w14:textId="77777777" w:rsidR="0081662F" w:rsidRPr="00D0532A" w:rsidRDefault="0081662F" w:rsidP="0081662F">
      <w:pPr>
        <w:spacing w:after="0" w:line="240" w:lineRule="auto"/>
        <w:rPr>
          <w:rFonts w:ascii="Times New Roman" w:eastAsia="Calibri" w:hAnsi="Times New Roman" w:cs="Times New Roman"/>
          <w:color w:val="FF0000"/>
        </w:rPr>
      </w:pPr>
    </w:p>
    <w:p w14:paraId="3701FCDC" w14:textId="77777777" w:rsidR="0081662F" w:rsidRPr="00D0532A" w:rsidRDefault="0081662F" w:rsidP="0081662F">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1.12.3. Aktivnost A102004 Sufinanciranje školskih natjecanja, susreta i smotri</w:t>
      </w:r>
    </w:p>
    <w:p w14:paraId="624E531F" w14:textId="77777777" w:rsidR="0081662F" w:rsidRPr="00D0532A" w:rsidRDefault="0081662F" w:rsidP="0081662F">
      <w:pPr>
        <w:spacing w:after="0" w:line="240" w:lineRule="auto"/>
        <w:jc w:val="both"/>
        <w:rPr>
          <w:rFonts w:ascii="Times New Roman" w:eastAsia="Calibri"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725"/>
        <w:gridCol w:w="2062"/>
        <w:gridCol w:w="1308"/>
        <w:gridCol w:w="1308"/>
        <w:gridCol w:w="1308"/>
      </w:tblGrid>
      <w:tr w:rsidR="0081662F" w:rsidRPr="00D0532A" w14:paraId="61BDC6EA" w14:textId="77777777" w:rsidTr="00EB2357">
        <w:tc>
          <w:tcPr>
            <w:tcW w:w="744" w:type="pct"/>
            <w:shd w:val="clear" w:color="auto" w:fill="D1D1D1"/>
          </w:tcPr>
          <w:p w14:paraId="71D7A5E0"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Pokazatelj rezultata</w:t>
            </w:r>
          </w:p>
        </w:tc>
        <w:tc>
          <w:tcPr>
            <w:tcW w:w="952" w:type="pct"/>
            <w:shd w:val="clear" w:color="auto" w:fill="D1D1D1"/>
          </w:tcPr>
          <w:p w14:paraId="79036581"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Definicija pokazatelja</w:t>
            </w:r>
          </w:p>
        </w:tc>
        <w:tc>
          <w:tcPr>
            <w:tcW w:w="1138" w:type="pct"/>
            <w:shd w:val="clear" w:color="auto" w:fill="D1D1D1"/>
          </w:tcPr>
          <w:p w14:paraId="1259EBB2"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jedinica</w:t>
            </w:r>
          </w:p>
        </w:tc>
        <w:tc>
          <w:tcPr>
            <w:tcW w:w="722" w:type="pct"/>
            <w:shd w:val="clear" w:color="auto" w:fill="D1D1D1"/>
          </w:tcPr>
          <w:p w14:paraId="1EB3B973"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Ciljana vrijednost</w:t>
            </w:r>
          </w:p>
          <w:p w14:paraId="6FDE2393"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2024.</w:t>
            </w:r>
          </w:p>
        </w:tc>
        <w:tc>
          <w:tcPr>
            <w:tcW w:w="722" w:type="pct"/>
            <w:shd w:val="clear" w:color="auto" w:fill="D1D1D1"/>
          </w:tcPr>
          <w:p w14:paraId="3807C473"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Izvršeno</w:t>
            </w:r>
          </w:p>
        </w:tc>
        <w:tc>
          <w:tcPr>
            <w:tcW w:w="722" w:type="pct"/>
            <w:shd w:val="clear" w:color="auto" w:fill="D1D1D1"/>
          </w:tcPr>
          <w:p w14:paraId="1D0847F8"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Indeks</w:t>
            </w:r>
          </w:p>
        </w:tc>
      </w:tr>
      <w:tr w:rsidR="0081662F" w:rsidRPr="00D0532A" w14:paraId="40468471" w14:textId="77777777" w:rsidTr="00EB2357">
        <w:tc>
          <w:tcPr>
            <w:tcW w:w="744" w:type="pct"/>
            <w:shd w:val="clear" w:color="auto" w:fill="auto"/>
          </w:tcPr>
          <w:p w14:paraId="4884E655"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Povećanje broja učenika</w:t>
            </w:r>
          </w:p>
        </w:tc>
        <w:tc>
          <w:tcPr>
            <w:tcW w:w="952" w:type="pct"/>
            <w:shd w:val="clear" w:color="auto" w:fill="auto"/>
          </w:tcPr>
          <w:p w14:paraId="2D85373A"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Broj učenika kojima se sufinancira odlazak na školska natjecanja, susrete i smotre</w:t>
            </w:r>
          </w:p>
          <w:p w14:paraId="6AA47892" w14:textId="77777777" w:rsidR="0081662F" w:rsidRPr="00D0532A" w:rsidRDefault="0081662F" w:rsidP="00EB2357">
            <w:pPr>
              <w:spacing w:after="0" w:line="240" w:lineRule="auto"/>
              <w:rPr>
                <w:rFonts w:ascii="Times New Roman" w:eastAsia="Calibri" w:hAnsi="Times New Roman" w:cs="Times New Roman"/>
              </w:rPr>
            </w:pPr>
          </w:p>
        </w:tc>
        <w:tc>
          <w:tcPr>
            <w:tcW w:w="1138" w:type="pct"/>
            <w:shd w:val="clear" w:color="auto" w:fill="auto"/>
          </w:tcPr>
          <w:p w14:paraId="42B26456"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Broj učenika</w:t>
            </w:r>
          </w:p>
        </w:tc>
        <w:tc>
          <w:tcPr>
            <w:tcW w:w="722" w:type="pct"/>
            <w:shd w:val="clear" w:color="auto" w:fill="auto"/>
          </w:tcPr>
          <w:p w14:paraId="50C01547"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2</w:t>
            </w:r>
          </w:p>
        </w:tc>
        <w:tc>
          <w:tcPr>
            <w:tcW w:w="722" w:type="pct"/>
            <w:shd w:val="clear" w:color="auto" w:fill="auto"/>
          </w:tcPr>
          <w:p w14:paraId="73FD1D0E"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0</w:t>
            </w:r>
          </w:p>
        </w:tc>
        <w:tc>
          <w:tcPr>
            <w:tcW w:w="722" w:type="pct"/>
            <w:shd w:val="clear" w:color="auto" w:fill="auto"/>
          </w:tcPr>
          <w:p w14:paraId="5050A13D"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0,00%</w:t>
            </w:r>
          </w:p>
        </w:tc>
      </w:tr>
    </w:tbl>
    <w:p w14:paraId="6C53B060" w14:textId="77777777" w:rsidR="0081662F" w:rsidRPr="00D0532A" w:rsidRDefault="0081662F" w:rsidP="0081662F">
      <w:pPr>
        <w:spacing w:after="0" w:line="240" w:lineRule="auto"/>
        <w:rPr>
          <w:rFonts w:ascii="Times New Roman" w:eastAsia="Calibri" w:hAnsi="Times New Roman" w:cs="Times New Roman"/>
          <w:color w:val="FF0000"/>
        </w:rPr>
      </w:pPr>
    </w:p>
    <w:p w14:paraId="61A23E18" w14:textId="77777777" w:rsidR="0081662F" w:rsidRPr="00D0532A" w:rsidRDefault="0081662F" w:rsidP="0081662F">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1.12.4. Aktivnost A102005 Nagrade učenicima za postignute rezultate</w:t>
      </w:r>
    </w:p>
    <w:p w14:paraId="28351C3A" w14:textId="77777777" w:rsidR="0081662F" w:rsidRPr="00D0532A" w:rsidRDefault="0081662F" w:rsidP="0081662F">
      <w:pPr>
        <w:spacing w:after="0" w:line="240" w:lineRule="auto"/>
        <w:jc w:val="both"/>
        <w:rPr>
          <w:rFonts w:ascii="Times New Roman" w:eastAsia="Calibri" w:hAnsi="Times New Roman" w:cs="Times New Roman"/>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725"/>
        <w:gridCol w:w="2062"/>
        <w:gridCol w:w="1308"/>
        <w:gridCol w:w="1308"/>
        <w:gridCol w:w="1308"/>
      </w:tblGrid>
      <w:tr w:rsidR="0081662F" w:rsidRPr="00D0532A" w14:paraId="7086061F" w14:textId="77777777" w:rsidTr="00EB2357">
        <w:tc>
          <w:tcPr>
            <w:tcW w:w="744" w:type="pct"/>
            <w:shd w:val="clear" w:color="auto" w:fill="D1D1D1"/>
          </w:tcPr>
          <w:p w14:paraId="18889A11"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Pokazatelj rezultata</w:t>
            </w:r>
          </w:p>
        </w:tc>
        <w:tc>
          <w:tcPr>
            <w:tcW w:w="952" w:type="pct"/>
            <w:shd w:val="clear" w:color="auto" w:fill="D1D1D1"/>
          </w:tcPr>
          <w:p w14:paraId="4B8B2C1B"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Definicija pokazatelja</w:t>
            </w:r>
          </w:p>
        </w:tc>
        <w:tc>
          <w:tcPr>
            <w:tcW w:w="1138" w:type="pct"/>
            <w:shd w:val="clear" w:color="auto" w:fill="D1D1D1"/>
          </w:tcPr>
          <w:p w14:paraId="3527EEE9"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jedinica</w:t>
            </w:r>
          </w:p>
        </w:tc>
        <w:tc>
          <w:tcPr>
            <w:tcW w:w="722" w:type="pct"/>
            <w:shd w:val="clear" w:color="auto" w:fill="D1D1D1"/>
          </w:tcPr>
          <w:p w14:paraId="58053816"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Ciljana vrijednost</w:t>
            </w:r>
          </w:p>
          <w:p w14:paraId="5B457CDB"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2024.</w:t>
            </w:r>
          </w:p>
        </w:tc>
        <w:tc>
          <w:tcPr>
            <w:tcW w:w="722" w:type="pct"/>
            <w:shd w:val="clear" w:color="auto" w:fill="D1D1D1"/>
          </w:tcPr>
          <w:p w14:paraId="13D3C7BC"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Izvršeno</w:t>
            </w:r>
          </w:p>
        </w:tc>
        <w:tc>
          <w:tcPr>
            <w:tcW w:w="722" w:type="pct"/>
            <w:shd w:val="clear" w:color="auto" w:fill="D1D1D1"/>
          </w:tcPr>
          <w:p w14:paraId="3EA23989"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Ciljana vrijednost 2026.</w:t>
            </w:r>
          </w:p>
        </w:tc>
      </w:tr>
      <w:tr w:rsidR="0081662F" w:rsidRPr="00D0532A" w14:paraId="1C02A179" w14:textId="77777777" w:rsidTr="00EB2357">
        <w:tc>
          <w:tcPr>
            <w:tcW w:w="744" w:type="pct"/>
            <w:shd w:val="clear" w:color="auto" w:fill="auto"/>
          </w:tcPr>
          <w:p w14:paraId="60A5CCCB"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lastRenderedPageBreak/>
              <w:t>Povećanje broja učenika</w:t>
            </w:r>
          </w:p>
        </w:tc>
        <w:tc>
          <w:tcPr>
            <w:tcW w:w="952" w:type="pct"/>
            <w:shd w:val="clear" w:color="auto" w:fill="auto"/>
          </w:tcPr>
          <w:p w14:paraId="53AE7990"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Broj učenika kojima se dodjeljuju nagrade za postignute rezultate</w:t>
            </w:r>
          </w:p>
          <w:p w14:paraId="677A5FC7" w14:textId="77777777" w:rsidR="0081662F" w:rsidRPr="00D0532A" w:rsidRDefault="0081662F" w:rsidP="00EB2357">
            <w:pPr>
              <w:spacing w:after="0" w:line="240" w:lineRule="auto"/>
              <w:rPr>
                <w:rFonts w:ascii="Times New Roman" w:eastAsia="Calibri" w:hAnsi="Times New Roman" w:cs="Times New Roman"/>
              </w:rPr>
            </w:pPr>
          </w:p>
        </w:tc>
        <w:tc>
          <w:tcPr>
            <w:tcW w:w="1138" w:type="pct"/>
            <w:shd w:val="clear" w:color="auto" w:fill="auto"/>
          </w:tcPr>
          <w:p w14:paraId="5CB946A8"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Broj učenika</w:t>
            </w:r>
          </w:p>
        </w:tc>
        <w:tc>
          <w:tcPr>
            <w:tcW w:w="722" w:type="pct"/>
            <w:shd w:val="clear" w:color="auto" w:fill="auto"/>
          </w:tcPr>
          <w:p w14:paraId="4AD8946A"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2</w:t>
            </w:r>
          </w:p>
        </w:tc>
        <w:tc>
          <w:tcPr>
            <w:tcW w:w="722" w:type="pct"/>
            <w:shd w:val="clear" w:color="auto" w:fill="auto"/>
          </w:tcPr>
          <w:p w14:paraId="71C28A3C"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0</w:t>
            </w:r>
          </w:p>
        </w:tc>
        <w:tc>
          <w:tcPr>
            <w:tcW w:w="722" w:type="pct"/>
            <w:shd w:val="clear" w:color="auto" w:fill="auto"/>
          </w:tcPr>
          <w:p w14:paraId="4F3E16EF"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5</w:t>
            </w:r>
          </w:p>
        </w:tc>
      </w:tr>
    </w:tbl>
    <w:p w14:paraId="2BF95FD9" w14:textId="77777777" w:rsidR="0081662F" w:rsidRPr="00D0532A" w:rsidRDefault="0081662F" w:rsidP="0081662F">
      <w:pPr>
        <w:spacing w:after="0" w:line="240" w:lineRule="auto"/>
        <w:jc w:val="both"/>
        <w:rPr>
          <w:rFonts w:ascii="Times New Roman" w:eastAsia="Calibri" w:hAnsi="Times New Roman" w:cs="Times New Roman"/>
          <w:color w:val="FF0000"/>
        </w:rPr>
      </w:pPr>
    </w:p>
    <w:p w14:paraId="18DEC6D9" w14:textId="77777777" w:rsidR="0081662F" w:rsidRPr="00D0532A" w:rsidRDefault="0081662F" w:rsidP="0081662F">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1.12.5. Aktivnost A102006 Jednokratne potpore učenicima SŠ August Šenoa Garešnica koji pohađaju Opću gimnaziju</w:t>
      </w:r>
    </w:p>
    <w:p w14:paraId="357F4375" w14:textId="77777777" w:rsidR="0081662F" w:rsidRPr="00D0532A" w:rsidRDefault="0081662F" w:rsidP="0081662F">
      <w:pPr>
        <w:spacing w:after="0" w:line="240" w:lineRule="auto"/>
        <w:jc w:val="both"/>
        <w:rPr>
          <w:rFonts w:ascii="Times New Roman" w:eastAsia="Calibri"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728"/>
        <w:gridCol w:w="2059"/>
        <w:gridCol w:w="1308"/>
        <w:gridCol w:w="1308"/>
        <w:gridCol w:w="1308"/>
      </w:tblGrid>
      <w:tr w:rsidR="0081662F" w:rsidRPr="00D0532A" w14:paraId="3BD6828C" w14:textId="77777777" w:rsidTr="00EB2357">
        <w:tc>
          <w:tcPr>
            <w:tcW w:w="744" w:type="pct"/>
            <w:shd w:val="clear" w:color="auto" w:fill="D1D1D1"/>
          </w:tcPr>
          <w:p w14:paraId="6E4BA410"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Pokazatelj rezultata</w:t>
            </w:r>
          </w:p>
        </w:tc>
        <w:tc>
          <w:tcPr>
            <w:tcW w:w="953" w:type="pct"/>
            <w:shd w:val="clear" w:color="auto" w:fill="D1D1D1"/>
          </w:tcPr>
          <w:p w14:paraId="66E1DB5E"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Definicija pokazatelja</w:t>
            </w:r>
          </w:p>
        </w:tc>
        <w:tc>
          <w:tcPr>
            <w:tcW w:w="1136" w:type="pct"/>
            <w:shd w:val="clear" w:color="auto" w:fill="D1D1D1"/>
          </w:tcPr>
          <w:p w14:paraId="01A9922C"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jedinica</w:t>
            </w:r>
          </w:p>
        </w:tc>
        <w:tc>
          <w:tcPr>
            <w:tcW w:w="722" w:type="pct"/>
            <w:shd w:val="clear" w:color="auto" w:fill="D1D1D1"/>
          </w:tcPr>
          <w:p w14:paraId="61596079"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Ciljana vrijednost</w:t>
            </w:r>
          </w:p>
          <w:p w14:paraId="3CD6EE88"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2024.</w:t>
            </w:r>
          </w:p>
        </w:tc>
        <w:tc>
          <w:tcPr>
            <w:tcW w:w="722" w:type="pct"/>
            <w:shd w:val="clear" w:color="auto" w:fill="D1D1D1"/>
          </w:tcPr>
          <w:p w14:paraId="1C899DEB"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Izvršeno</w:t>
            </w:r>
          </w:p>
        </w:tc>
        <w:tc>
          <w:tcPr>
            <w:tcW w:w="722" w:type="pct"/>
            <w:shd w:val="clear" w:color="auto" w:fill="D1D1D1"/>
          </w:tcPr>
          <w:p w14:paraId="667BF0EC"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Indeks</w:t>
            </w:r>
          </w:p>
        </w:tc>
      </w:tr>
      <w:tr w:rsidR="0081662F" w:rsidRPr="00D0532A" w14:paraId="09041718" w14:textId="77777777" w:rsidTr="00EB2357">
        <w:trPr>
          <w:trHeight w:val="1214"/>
        </w:trPr>
        <w:tc>
          <w:tcPr>
            <w:tcW w:w="744" w:type="pct"/>
            <w:shd w:val="clear" w:color="auto" w:fill="auto"/>
          </w:tcPr>
          <w:p w14:paraId="2F5B1585"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Broja učenika</w:t>
            </w:r>
          </w:p>
        </w:tc>
        <w:tc>
          <w:tcPr>
            <w:tcW w:w="953" w:type="pct"/>
            <w:shd w:val="clear" w:color="auto" w:fill="auto"/>
          </w:tcPr>
          <w:p w14:paraId="54554EEE"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Broj učenika Opće gimnazije kojima se sufinanciraju udžbenici</w:t>
            </w:r>
          </w:p>
          <w:p w14:paraId="67C1E277" w14:textId="77777777" w:rsidR="0081662F" w:rsidRPr="00D0532A" w:rsidRDefault="0081662F" w:rsidP="00EB2357">
            <w:pPr>
              <w:spacing w:after="0" w:line="240" w:lineRule="auto"/>
              <w:rPr>
                <w:rFonts w:ascii="Times New Roman" w:eastAsia="Calibri" w:hAnsi="Times New Roman" w:cs="Times New Roman"/>
              </w:rPr>
            </w:pPr>
          </w:p>
        </w:tc>
        <w:tc>
          <w:tcPr>
            <w:tcW w:w="1136" w:type="pct"/>
            <w:shd w:val="clear" w:color="auto" w:fill="auto"/>
          </w:tcPr>
          <w:p w14:paraId="1419DF8D"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Broj učenika</w:t>
            </w:r>
          </w:p>
        </w:tc>
        <w:tc>
          <w:tcPr>
            <w:tcW w:w="722" w:type="pct"/>
            <w:shd w:val="clear" w:color="auto" w:fill="auto"/>
          </w:tcPr>
          <w:p w14:paraId="3FA1E26A"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11</w:t>
            </w:r>
          </w:p>
        </w:tc>
        <w:tc>
          <w:tcPr>
            <w:tcW w:w="722" w:type="pct"/>
            <w:shd w:val="clear" w:color="auto" w:fill="auto"/>
          </w:tcPr>
          <w:p w14:paraId="4077CD35"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11</w:t>
            </w:r>
          </w:p>
        </w:tc>
        <w:tc>
          <w:tcPr>
            <w:tcW w:w="722" w:type="pct"/>
            <w:shd w:val="clear" w:color="auto" w:fill="auto"/>
          </w:tcPr>
          <w:p w14:paraId="4F0835C8"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100%</w:t>
            </w:r>
          </w:p>
        </w:tc>
      </w:tr>
    </w:tbl>
    <w:p w14:paraId="7CF6BA99" w14:textId="77777777" w:rsidR="0081662F" w:rsidRDefault="0081662F" w:rsidP="0081662F">
      <w:pPr>
        <w:spacing w:after="0" w:line="240" w:lineRule="auto"/>
        <w:rPr>
          <w:rFonts w:ascii="Times New Roman" w:eastAsia="Calibri" w:hAnsi="Times New Roman" w:cs="Times New Roman"/>
          <w:b/>
          <w:bCs/>
          <w:color w:val="FF0000"/>
        </w:rPr>
      </w:pPr>
    </w:p>
    <w:p w14:paraId="2BCE69C3" w14:textId="77777777" w:rsidR="00361B01" w:rsidRPr="00D0532A" w:rsidRDefault="00361B01" w:rsidP="0081662F">
      <w:pPr>
        <w:spacing w:after="0" w:line="240" w:lineRule="auto"/>
        <w:rPr>
          <w:rFonts w:ascii="Times New Roman" w:eastAsia="Calibri" w:hAnsi="Times New Roman" w:cs="Times New Roman"/>
          <w:b/>
          <w:bCs/>
          <w:color w:val="FF0000"/>
        </w:rPr>
      </w:pPr>
    </w:p>
    <w:p w14:paraId="20617958" w14:textId="77777777" w:rsidR="0081662F" w:rsidRPr="00D0532A" w:rsidRDefault="0081662F" w:rsidP="0081662F">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1.12.6. Aktivnost A102010 Sufinanciranje troškova prijevoza učenika osnovnih škola</w:t>
      </w:r>
    </w:p>
    <w:p w14:paraId="5678DEE3" w14:textId="77777777" w:rsidR="0081662F" w:rsidRPr="00D0532A" w:rsidRDefault="0081662F" w:rsidP="0081662F">
      <w:pPr>
        <w:spacing w:after="0" w:line="240" w:lineRule="auto"/>
        <w:jc w:val="both"/>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1495"/>
        <w:gridCol w:w="1679"/>
        <w:gridCol w:w="1170"/>
        <w:gridCol w:w="1170"/>
        <w:gridCol w:w="1170"/>
        <w:gridCol w:w="1170"/>
      </w:tblGrid>
      <w:tr w:rsidR="0081662F" w:rsidRPr="00D0532A" w14:paraId="6FF124CE" w14:textId="77777777" w:rsidTr="00EB2357">
        <w:tc>
          <w:tcPr>
            <w:tcW w:w="1131" w:type="dxa"/>
            <w:shd w:val="clear" w:color="auto" w:fill="D1D1D1"/>
          </w:tcPr>
          <w:p w14:paraId="760B93F6" w14:textId="77777777" w:rsidR="0081662F" w:rsidRPr="00D0532A" w:rsidRDefault="0081662F" w:rsidP="00EB2357">
            <w:pPr>
              <w:spacing w:after="0" w:line="240" w:lineRule="auto"/>
              <w:rPr>
                <w:rFonts w:ascii="Times New Roman" w:eastAsia="Calibri" w:hAnsi="Times New Roman" w:cs="Times New Roman"/>
                <w:b/>
                <w:bCs/>
              </w:rPr>
            </w:pPr>
            <w:bookmarkStart w:id="10" w:name="_Hlk152328390"/>
            <w:r w:rsidRPr="00D0532A">
              <w:rPr>
                <w:rFonts w:ascii="Times New Roman" w:eastAsia="Calibri" w:hAnsi="Times New Roman" w:cs="Times New Roman"/>
                <w:b/>
                <w:bCs/>
              </w:rPr>
              <w:t>Pokazatelj rezultata</w:t>
            </w:r>
          </w:p>
        </w:tc>
        <w:tc>
          <w:tcPr>
            <w:tcW w:w="1553" w:type="dxa"/>
            <w:shd w:val="clear" w:color="auto" w:fill="D1D1D1"/>
          </w:tcPr>
          <w:p w14:paraId="35383AFB"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Definicija pokazatelja</w:t>
            </w:r>
          </w:p>
        </w:tc>
        <w:tc>
          <w:tcPr>
            <w:tcW w:w="1884" w:type="dxa"/>
            <w:shd w:val="clear" w:color="auto" w:fill="D1D1D1"/>
          </w:tcPr>
          <w:p w14:paraId="493B7757"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jedinica</w:t>
            </w:r>
          </w:p>
        </w:tc>
        <w:tc>
          <w:tcPr>
            <w:tcW w:w="1112" w:type="dxa"/>
            <w:shd w:val="clear" w:color="auto" w:fill="D1D1D1"/>
          </w:tcPr>
          <w:p w14:paraId="095E1B60"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Polazna vrijednost</w:t>
            </w:r>
          </w:p>
          <w:p w14:paraId="7A4CF263"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2023.</w:t>
            </w:r>
          </w:p>
        </w:tc>
        <w:tc>
          <w:tcPr>
            <w:tcW w:w="1112" w:type="dxa"/>
            <w:shd w:val="clear" w:color="auto" w:fill="D1D1D1"/>
          </w:tcPr>
          <w:p w14:paraId="74FBA8DD"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Ciljana vrijednost</w:t>
            </w:r>
          </w:p>
          <w:p w14:paraId="758A0B83"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2024.</w:t>
            </w:r>
          </w:p>
        </w:tc>
        <w:tc>
          <w:tcPr>
            <w:tcW w:w="1112" w:type="dxa"/>
            <w:shd w:val="clear" w:color="auto" w:fill="D1D1D1"/>
          </w:tcPr>
          <w:p w14:paraId="4BE889B7"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Ciljana vrijednost 2025.</w:t>
            </w:r>
          </w:p>
        </w:tc>
        <w:tc>
          <w:tcPr>
            <w:tcW w:w="1112" w:type="dxa"/>
            <w:shd w:val="clear" w:color="auto" w:fill="D1D1D1"/>
          </w:tcPr>
          <w:p w14:paraId="32F80554"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Ciljana vrijednost 2026.</w:t>
            </w:r>
          </w:p>
        </w:tc>
      </w:tr>
      <w:tr w:rsidR="0081662F" w:rsidRPr="00D0532A" w14:paraId="552CA2B6" w14:textId="77777777" w:rsidTr="00EB2357">
        <w:tc>
          <w:tcPr>
            <w:tcW w:w="1131" w:type="dxa"/>
            <w:shd w:val="clear" w:color="auto" w:fill="auto"/>
          </w:tcPr>
          <w:p w14:paraId="111DE302"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Broj ugovora</w:t>
            </w:r>
          </w:p>
        </w:tc>
        <w:tc>
          <w:tcPr>
            <w:tcW w:w="1553" w:type="dxa"/>
            <w:shd w:val="clear" w:color="auto" w:fill="auto"/>
          </w:tcPr>
          <w:p w14:paraId="429A740E"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Broj ugovora temeljem kojih je ugovoren prijevoz učenika osnovnih škola</w:t>
            </w:r>
          </w:p>
          <w:p w14:paraId="3A631CFF" w14:textId="77777777" w:rsidR="0081662F" w:rsidRPr="00D0532A" w:rsidRDefault="0081662F" w:rsidP="00EB2357">
            <w:pPr>
              <w:spacing w:after="0" w:line="240" w:lineRule="auto"/>
              <w:rPr>
                <w:rFonts w:ascii="Times New Roman" w:eastAsia="Calibri" w:hAnsi="Times New Roman" w:cs="Times New Roman"/>
              </w:rPr>
            </w:pPr>
          </w:p>
        </w:tc>
        <w:tc>
          <w:tcPr>
            <w:tcW w:w="1884" w:type="dxa"/>
            <w:shd w:val="clear" w:color="auto" w:fill="auto"/>
          </w:tcPr>
          <w:p w14:paraId="075C294C"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Broj ugovora/</w:t>
            </w:r>
          </w:p>
          <w:p w14:paraId="75A90719"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kom</w:t>
            </w:r>
          </w:p>
        </w:tc>
        <w:tc>
          <w:tcPr>
            <w:tcW w:w="1112" w:type="dxa"/>
            <w:shd w:val="clear" w:color="auto" w:fill="auto"/>
          </w:tcPr>
          <w:p w14:paraId="708236A7"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1</w:t>
            </w:r>
          </w:p>
        </w:tc>
        <w:tc>
          <w:tcPr>
            <w:tcW w:w="1112" w:type="dxa"/>
            <w:shd w:val="clear" w:color="auto" w:fill="auto"/>
          </w:tcPr>
          <w:p w14:paraId="4E778626"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1</w:t>
            </w:r>
          </w:p>
        </w:tc>
        <w:tc>
          <w:tcPr>
            <w:tcW w:w="1112" w:type="dxa"/>
            <w:shd w:val="clear" w:color="auto" w:fill="auto"/>
          </w:tcPr>
          <w:p w14:paraId="5A6245C8"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1</w:t>
            </w:r>
          </w:p>
        </w:tc>
        <w:tc>
          <w:tcPr>
            <w:tcW w:w="1112" w:type="dxa"/>
            <w:shd w:val="clear" w:color="auto" w:fill="auto"/>
          </w:tcPr>
          <w:p w14:paraId="071BEBAB"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1</w:t>
            </w:r>
          </w:p>
        </w:tc>
      </w:tr>
      <w:bookmarkEnd w:id="10"/>
    </w:tbl>
    <w:p w14:paraId="2C6B04AC" w14:textId="77777777" w:rsidR="0081662F" w:rsidRPr="00D0532A" w:rsidRDefault="0081662F" w:rsidP="0081662F">
      <w:pPr>
        <w:spacing w:after="0" w:line="240" w:lineRule="auto"/>
        <w:rPr>
          <w:rFonts w:ascii="Times New Roman" w:eastAsia="Calibri" w:hAnsi="Times New Roman" w:cs="Times New Roman"/>
          <w:color w:val="FF0000"/>
        </w:rPr>
      </w:pPr>
    </w:p>
    <w:p w14:paraId="209F0B2F" w14:textId="77777777" w:rsidR="0081662F" w:rsidRPr="00D0532A" w:rsidRDefault="0081662F" w:rsidP="0081662F">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1.13. Program 1022 Poticanje zapošljavanja</w:t>
      </w:r>
    </w:p>
    <w:tbl>
      <w:tblPr>
        <w:tblpPr w:leftFromText="180" w:rightFromText="180" w:vertAnchor="text" w:horzAnchor="margin" w:tblpY="187"/>
        <w:tblW w:w="5000" w:type="pct"/>
        <w:tblLook w:val="04A0" w:firstRow="1" w:lastRow="0" w:firstColumn="1" w:lastColumn="0" w:noHBand="0" w:noVBand="1"/>
      </w:tblPr>
      <w:tblGrid>
        <w:gridCol w:w="1867"/>
        <w:gridCol w:w="3309"/>
        <w:gridCol w:w="1386"/>
        <w:gridCol w:w="1243"/>
        <w:gridCol w:w="1255"/>
      </w:tblGrid>
      <w:tr w:rsidR="0081662F" w:rsidRPr="00D0532A" w14:paraId="4D4A0C98" w14:textId="77777777" w:rsidTr="00EB2357">
        <w:trPr>
          <w:trHeight w:val="564"/>
        </w:trPr>
        <w:tc>
          <w:tcPr>
            <w:tcW w:w="2882" w:type="pct"/>
            <w:gridSpan w:val="2"/>
            <w:tcBorders>
              <w:top w:val="single" w:sz="4" w:space="0" w:color="auto"/>
              <w:left w:val="single" w:sz="4" w:space="0" w:color="auto"/>
              <w:bottom w:val="single" w:sz="4" w:space="0" w:color="auto"/>
              <w:right w:val="single" w:sz="4" w:space="0" w:color="auto"/>
            </w:tcBorders>
            <w:shd w:val="clear" w:color="auto" w:fill="D9D9D9"/>
          </w:tcPr>
          <w:p w14:paraId="107CD59B"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Naziv programa/aktivnosti/projekta</w:t>
            </w:r>
          </w:p>
        </w:tc>
        <w:tc>
          <w:tcPr>
            <w:tcW w:w="777" w:type="pct"/>
            <w:tcBorders>
              <w:top w:val="single" w:sz="4" w:space="0" w:color="auto"/>
              <w:left w:val="nil"/>
              <w:bottom w:val="single" w:sz="4" w:space="0" w:color="auto"/>
              <w:right w:val="single" w:sz="4" w:space="0" w:color="auto"/>
            </w:tcBorders>
            <w:shd w:val="clear" w:color="auto" w:fill="D9D9D9"/>
            <w:vAlign w:val="center"/>
            <w:hideMark/>
          </w:tcPr>
          <w:p w14:paraId="201B5262"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Rebalans</w:t>
            </w:r>
          </w:p>
          <w:p w14:paraId="5334407C"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2024.</w:t>
            </w:r>
          </w:p>
        </w:tc>
        <w:tc>
          <w:tcPr>
            <w:tcW w:w="636" w:type="pct"/>
            <w:tcBorders>
              <w:top w:val="single" w:sz="4" w:space="0" w:color="auto"/>
              <w:left w:val="nil"/>
              <w:bottom w:val="single" w:sz="4" w:space="0" w:color="auto"/>
              <w:right w:val="single" w:sz="4" w:space="0" w:color="auto"/>
            </w:tcBorders>
            <w:shd w:val="clear" w:color="auto" w:fill="D9D9D9"/>
            <w:vAlign w:val="center"/>
            <w:hideMark/>
          </w:tcPr>
          <w:p w14:paraId="169AA872"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 xml:space="preserve"> Izvršenje</w:t>
            </w:r>
          </w:p>
          <w:p w14:paraId="463CD742"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2024.</w:t>
            </w:r>
          </w:p>
        </w:tc>
        <w:tc>
          <w:tcPr>
            <w:tcW w:w="705" w:type="pct"/>
            <w:tcBorders>
              <w:top w:val="single" w:sz="4" w:space="0" w:color="auto"/>
              <w:left w:val="nil"/>
              <w:bottom w:val="single" w:sz="4" w:space="0" w:color="auto"/>
              <w:right w:val="single" w:sz="4" w:space="0" w:color="auto"/>
            </w:tcBorders>
            <w:shd w:val="clear" w:color="auto" w:fill="D9D9D9"/>
            <w:vAlign w:val="center"/>
          </w:tcPr>
          <w:p w14:paraId="271AE182"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Indeks</w:t>
            </w:r>
          </w:p>
        </w:tc>
      </w:tr>
      <w:tr w:rsidR="0081662F" w:rsidRPr="00D0532A" w14:paraId="3CAC905F" w14:textId="77777777" w:rsidTr="00EB2357">
        <w:trPr>
          <w:trHeight w:val="269"/>
        </w:trPr>
        <w:tc>
          <w:tcPr>
            <w:tcW w:w="1043" w:type="pct"/>
            <w:tcBorders>
              <w:top w:val="single" w:sz="4" w:space="0" w:color="auto"/>
              <w:left w:val="single" w:sz="4" w:space="0" w:color="auto"/>
              <w:bottom w:val="single" w:sz="4" w:space="0" w:color="auto"/>
              <w:right w:val="single" w:sz="4" w:space="0" w:color="auto"/>
            </w:tcBorders>
            <w:shd w:val="clear" w:color="auto" w:fill="D9D9D9"/>
            <w:vAlign w:val="center"/>
          </w:tcPr>
          <w:p w14:paraId="2CD2114A"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Program 1022</w:t>
            </w:r>
          </w:p>
        </w:tc>
        <w:tc>
          <w:tcPr>
            <w:tcW w:w="1839" w:type="pct"/>
            <w:tcBorders>
              <w:top w:val="single" w:sz="4" w:space="0" w:color="auto"/>
              <w:left w:val="single" w:sz="4" w:space="0" w:color="auto"/>
              <w:bottom w:val="single" w:sz="4" w:space="0" w:color="auto"/>
              <w:right w:val="single" w:sz="4" w:space="0" w:color="auto"/>
            </w:tcBorders>
            <w:shd w:val="clear" w:color="auto" w:fill="D9D9D9"/>
            <w:vAlign w:val="center"/>
          </w:tcPr>
          <w:p w14:paraId="11EE1735" w14:textId="77777777" w:rsidR="0081662F" w:rsidRPr="00D0532A" w:rsidRDefault="0081662F" w:rsidP="00EB2357">
            <w:pPr>
              <w:spacing w:after="0" w:line="240" w:lineRule="auto"/>
              <w:rPr>
                <w:rFonts w:ascii="Times New Roman" w:hAnsi="Times New Roman" w:cs="Times New Roman"/>
                <w:b/>
                <w:bCs/>
                <w:lang w:eastAsia="hr-HR"/>
              </w:rPr>
            </w:pPr>
            <w:r w:rsidRPr="00D0532A">
              <w:rPr>
                <w:rFonts w:ascii="Times New Roman" w:eastAsia="Calibri" w:hAnsi="Times New Roman" w:cs="Times New Roman"/>
                <w:b/>
                <w:bCs/>
              </w:rPr>
              <w:t>Poticanje zapošljavanja</w:t>
            </w:r>
          </w:p>
        </w:tc>
        <w:tc>
          <w:tcPr>
            <w:tcW w:w="777" w:type="pct"/>
            <w:tcBorders>
              <w:top w:val="nil"/>
              <w:left w:val="nil"/>
              <w:bottom w:val="single" w:sz="4" w:space="0" w:color="auto"/>
              <w:right w:val="single" w:sz="4" w:space="0" w:color="auto"/>
            </w:tcBorders>
            <w:shd w:val="clear" w:color="auto" w:fill="D9D9D9"/>
            <w:noWrap/>
            <w:vAlign w:val="center"/>
          </w:tcPr>
          <w:p w14:paraId="75FCFF21" w14:textId="77777777" w:rsidR="0081662F" w:rsidRPr="00D0532A" w:rsidRDefault="0081662F" w:rsidP="00EB2357">
            <w:pPr>
              <w:spacing w:after="0" w:line="240" w:lineRule="auto"/>
              <w:ind w:right="36"/>
              <w:jc w:val="center"/>
              <w:rPr>
                <w:rFonts w:ascii="Times New Roman" w:hAnsi="Times New Roman" w:cs="Times New Roman"/>
                <w:b/>
                <w:bCs/>
                <w:lang w:eastAsia="hr-HR"/>
              </w:rPr>
            </w:pPr>
            <w:r w:rsidRPr="00D0532A">
              <w:rPr>
                <w:rFonts w:ascii="Times New Roman" w:hAnsi="Times New Roman" w:cs="Times New Roman"/>
                <w:b/>
                <w:bCs/>
              </w:rPr>
              <w:t>363.170,00</w:t>
            </w:r>
          </w:p>
        </w:tc>
        <w:tc>
          <w:tcPr>
            <w:tcW w:w="636" w:type="pct"/>
            <w:tcBorders>
              <w:top w:val="nil"/>
              <w:left w:val="nil"/>
              <w:bottom w:val="single" w:sz="4" w:space="0" w:color="auto"/>
              <w:right w:val="single" w:sz="4" w:space="0" w:color="auto"/>
            </w:tcBorders>
            <w:shd w:val="clear" w:color="auto" w:fill="D9D9D9"/>
            <w:noWrap/>
            <w:vAlign w:val="center"/>
          </w:tcPr>
          <w:p w14:paraId="05D47BA5" w14:textId="77777777" w:rsidR="0081662F" w:rsidRPr="00D0532A" w:rsidRDefault="0081662F" w:rsidP="00EB2357">
            <w:pPr>
              <w:spacing w:after="0" w:line="240" w:lineRule="auto"/>
              <w:ind w:right="36"/>
              <w:jc w:val="center"/>
              <w:rPr>
                <w:rFonts w:ascii="Times New Roman" w:hAnsi="Times New Roman" w:cs="Times New Roman"/>
                <w:b/>
                <w:bCs/>
                <w:lang w:eastAsia="hr-HR"/>
              </w:rPr>
            </w:pPr>
            <w:r w:rsidRPr="00D0532A">
              <w:rPr>
                <w:rFonts w:ascii="Times New Roman" w:hAnsi="Times New Roman" w:cs="Times New Roman"/>
                <w:b/>
                <w:bCs/>
                <w:lang w:eastAsia="hr-HR"/>
              </w:rPr>
              <w:t>335.454,84</w:t>
            </w:r>
          </w:p>
        </w:tc>
        <w:tc>
          <w:tcPr>
            <w:tcW w:w="705" w:type="pct"/>
            <w:tcBorders>
              <w:top w:val="nil"/>
              <w:left w:val="nil"/>
              <w:bottom w:val="single" w:sz="4" w:space="0" w:color="auto"/>
              <w:right w:val="single" w:sz="4" w:space="0" w:color="auto"/>
            </w:tcBorders>
            <w:shd w:val="clear" w:color="auto" w:fill="D9D9D9"/>
            <w:vAlign w:val="center"/>
          </w:tcPr>
          <w:p w14:paraId="439816B9" w14:textId="77777777" w:rsidR="0081662F" w:rsidRPr="00D0532A" w:rsidRDefault="0081662F" w:rsidP="00EB2357">
            <w:pPr>
              <w:spacing w:after="0" w:line="240" w:lineRule="auto"/>
              <w:ind w:right="36"/>
              <w:jc w:val="center"/>
              <w:rPr>
                <w:rFonts w:ascii="Times New Roman" w:hAnsi="Times New Roman" w:cs="Times New Roman"/>
                <w:b/>
                <w:bCs/>
                <w:lang w:eastAsia="hr-HR"/>
              </w:rPr>
            </w:pPr>
            <w:r w:rsidRPr="00D0532A">
              <w:rPr>
                <w:rFonts w:ascii="Times New Roman" w:hAnsi="Times New Roman" w:cs="Times New Roman"/>
                <w:b/>
                <w:bCs/>
                <w:lang w:eastAsia="hr-HR"/>
              </w:rPr>
              <w:t>92,37%</w:t>
            </w:r>
          </w:p>
        </w:tc>
      </w:tr>
      <w:tr w:rsidR="0081662F" w:rsidRPr="00D0532A" w14:paraId="544E9AEB" w14:textId="77777777" w:rsidTr="00EB2357">
        <w:trPr>
          <w:trHeight w:val="269"/>
        </w:trPr>
        <w:tc>
          <w:tcPr>
            <w:tcW w:w="1043" w:type="pct"/>
            <w:tcBorders>
              <w:top w:val="single" w:sz="4" w:space="0" w:color="auto"/>
              <w:left w:val="single" w:sz="4" w:space="0" w:color="auto"/>
              <w:bottom w:val="single" w:sz="4" w:space="0" w:color="auto"/>
              <w:right w:val="single" w:sz="4" w:space="0" w:color="auto"/>
            </w:tcBorders>
            <w:vAlign w:val="center"/>
          </w:tcPr>
          <w:p w14:paraId="432B6C32"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Aktivnost A102201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3E29247" w14:textId="77777777" w:rsidR="0081662F" w:rsidRPr="00D0532A" w:rsidRDefault="0081662F" w:rsidP="00EB2357">
            <w:pPr>
              <w:spacing w:after="0" w:line="240" w:lineRule="auto"/>
              <w:rPr>
                <w:rFonts w:ascii="Times New Roman" w:hAnsi="Times New Roman" w:cs="Times New Roman"/>
                <w:lang w:eastAsia="hr-HR"/>
              </w:rPr>
            </w:pPr>
            <w:r w:rsidRPr="00D0532A">
              <w:rPr>
                <w:rFonts w:ascii="Times New Roman" w:eastAsia="Calibri" w:hAnsi="Times New Roman" w:cs="Times New Roman"/>
              </w:rPr>
              <w:t>Redovna djelatnost zaposlenih u javnim radovima</w:t>
            </w:r>
          </w:p>
        </w:tc>
        <w:tc>
          <w:tcPr>
            <w:tcW w:w="777" w:type="pct"/>
            <w:tcBorders>
              <w:top w:val="nil"/>
              <w:left w:val="nil"/>
              <w:bottom w:val="single" w:sz="4" w:space="0" w:color="auto"/>
              <w:right w:val="single" w:sz="4" w:space="0" w:color="auto"/>
            </w:tcBorders>
            <w:shd w:val="clear" w:color="auto" w:fill="auto"/>
            <w:noWrap/>
            <w:vAlign w:val="center"/>
          </w:tcPr>
          <w:p w14:paraId="56129F02"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rPr>
              <w:t>6.170,00</w:t>
            </w:r>
          </w:p>
        </w:tc>
        <w:tc>
          <w:tcPr>
            <w:tcW w:w="636" w:type="pct"/>
            <w:tcBorders>
              <w:top w:val="nil"/>
              <w:left w:val="nil"/>
              <w:bottom w:val="single" w:sz="4" w:space="0" w:color="auto"/>
              <w:right w:val="single" w:sz="4" w:space="0" w:color="auto"/>
            </w:tcBorders>
            <w:shd w:val="clear" w:color="auto" w:fill="auto"/>
            <w:noWrap/>
            <w:vAlign w:val="center"/>
          </w:tcPr>
          <w:p w14:paraId="236AFB40"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lang w:eastAsia="hr-HR"/>
              </w:rPr>
              <w:t>6.160,11</w:t>
            </w:r>
          </w:p>
        </w:tc>
        <w:tc>
          <w:tcPr>
            <w:tcW w:w="705" w:type="pct"/>
            <w:tcBorders>
              <w:top w:val="nil"/>
              <w:left w:val="nil"/>
              <w:bottom w:val="single" w:sz="4" w:space="0" w:color="auto"/>
              <w:right w:val="single" w:sz="4" w:space="0" w:color="auto"/>
            </w:tcBorders>
            <w:vAlign w:val="center"/>
          </w:tcPr>
          <w:p w14:paraId="5A3592D3"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lang w:eastAsia="hr-HR"/>
              </w:rPr>
              <w:t>99,84%</w:t>
            </w:r>
          </w:p>
        </w:tc>
      </w:tr>
      <w:tr w:rsidR="0081662F" w:rsidRPr="00D0532A" w14:paraId="2169B8C7" w14:textId="77777777" w:rsidTr="00EB2357">
        <w:trPr>
          <w:trHeight w:val="269"/>
        </w:trPr>
        <w:tc>
          <w:tcPr>
            <w:tcW w:w="1043" w:type="pct"/>
            <w:tcBorders>
              <w:top w:val="single" w:sz="4" w:space="0" w:color="auto"/>
              <w:left w:val="single" w:sz="4" w:space="0" w:color="auto"/>
              <w:bottom w:val="single" w:sz="4" w:space="0" w:color="auto"/>
              <w:right w:val="single" w:sz="4" w:space="0" w:color="auto"/>
            </w:tcBorders>
            <w:vAlign w:val="center"/>
          </w:tcPr>
          <w:p w14:paraId="669A0348"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Tekući projekt T102204</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D7CE029" w14:textId="77777777" w:rsidR="0081662F" w:rsidRPr="00D0532A" w:rsidRDefault="0081662F" w:rsidP="00EB2357">
            <w:pPr>
              <w:spacing w:after="0" w:line="240" w:lineRule="auto"/>
              <w:rPr>
                <w:rFonts w:ascii="Times New Roman" w:hAnsi="Times New Roman" w:cs="Times New Roman"/>
                <w:lang w:eastAsia="hr-HR"/>
              </w:rPr>
            </w:pPr>
            <w:r w:rsidRPr="00D0532A">
              <w:rPr>
                <w:rFonts w:ascii="Times New Roman" w:eastAsia="Calibri" w:hAnsi="Times New Roman" w:cs="Times New Roman"/>
              </w:rPr>
              <w:t>Projekt "Nikad nije kasno" -  faza IV</w:t>
            </w:r>
          </w:p>
        </w:tc>
        <w:tc>
          <w:tcPr>
            <w:tcW w:w="777" w:type="pct"/>
            <w:tcBorders>
              <w:top w:val="nil"/>
              <w:left w:val="nil"/>
              <w:bottom w:val="single" w:sz="4" w:space="0" w:color="auto"/>
              <w:right w:val="single" w:sz="4" w:space="0" w:color="auto"/>
            </w:tcBorders>
            <w:shd w:val="clear" w:color="auto" w:fill="auto"/>
            <w:noWrap/>
            <w:vAlign w:val="center"/>
          </w:tcPr>
          <w:p w14:paraId="7AB05A29"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rPr>
              <w:t>357.000,00</w:t>
            </w:r>
          </w:p>
        </w:tc>
        <w:tc>
          <w:tcPr>
            <w:tcW w:w="636" w:type="pct"/>
            <w:tcBorders>
              <w:top w:val="nil"/>
              <w:left w:val="nil"/>
              <w:bottom w:val="single" w:sz="4" w:space="0" w:color="auto"/>
              <w:right w:val="single" w:sz="4" w:space="0" w:color="auto"/>
            </w:tcBorders>
            <w:shd w:val="clear" w:color="auto" w:fill="auto"/>
            <w:noWrap/>
            <w:vAlign w:val="center"/>
          </w:tcPr>
          <w:p w14:paraId="5A7FCBDB"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lang w:eastAsia="hr-HR"/>
              </w:rPr>
              <w:t>329.294,73</w:t>
            </w:r>
          </w:p>
        </w:tc>
        <w:tc>
          <w:tcPr>
            <w:tcW w:w="705" w:type="pct"/>
            <w:tcBorders>
              <w:top w:val="nil"/>
              <w:left w:val="nil"/>
              <w:bottom w:val="single" w:sz="4" w:space="0" w:color="auto"/>
              <w:right w:val="single" w:sz="4" w:space="0" w:color="auto"/>
            </w:tcBorders>
            <w:vAlign w:val="center"/>
          </w:tcPr>
          <w:p w14:paraId="73BC7F3A"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lang w:eastAsia="hr-HR"/>
              </w:rPr>
              <w:t>92,24%</w:t>
            </w:r>
          </w:p>
        </w:tc>
      </w:tr>
    </w:tbl>
    <w:p w14:paraId="6FE26290" w14:textId="77777777" w:rsidR="0081662F" w:rsidRPr="00D0532A" w:rsidRDefault="0081662F" w:rsidP="0081662F">
      <w:pPr>
        <w:spacing w:after="0" w:line="240" w:lineRule="auto"/>
        <w:jc w:val="both"/>
        <w:rPr>
          <w:rFonts w:ascii="Times New Roman" w:eastAsia="Calibri" w:hAnsi="Times New Roman" w:cs="Times New Roman"/>
          <w:color w:val="FF0000"/>
        </w:rPr>
      </w:pPr>
    </w:p>
    <w:p w14:paraId="5AEC17F6" w14:textId="77777777" w:rsidR="0081662F" w:rsidRPr="00D0532A" w:rsidRDefault="0081662F" w:rsidP="0081662F">
      <w:pPr>
        <w:spacing w:after="0" w:line="240" w:lineRule="auto"/>
        <w:jc w:val="both"/>
        <w:rPr>
          <w:rFonts w:ascii="Times New Roman" w:eastAsia="Calibri" w:hAnsi="Times New Roman" w:cs="Times New Roman"/>
          <w:b/>
          <w:bCs/>
        </w:rPr>
      </w:pPr>
      <w:r w:rsidRPr="00D0532A">
        <w:rPr>
          <w:rFonts w:ascii="Times New Roman" w:eastAsia="Calibri" w:hAnsi="Times New Roman" w:cs="Times New Roman"/>
          <w:b/>
          <w:bCs/>
        </w:rPr>
        <w:t>1.13.1. Aktivnost A102201 Redovna djelatnost zaposlenih u javnim radovima</w:t>
      </w:r>
    </w:p>
    <w:p w14:paraId="2E6016B4" w14:textId="77777777" w:rsidR="0081662F" w:rsidRPr="00D0532A" w:rsidRDefault="0081662F" w:rsidP="0081662F">
      <w:pPr>
        <w:spacing w:after="0" w:line="240" w:lineRule="auto"/>
        <w:jc w:val="both"/>
        <w:rPr>
          <w:rFonts w:ascii="Times New Roman" w:eastAsia="Calibri"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725"/>
        <w:gridCol w:w="2062"/>
        <w:gridCol w:w="1308"/>
        <w:gridCol w:w="1308"/>
        <w:gridCol w:w="1308"/>
      </w:tblGrid>
      <w:tr w:rsidR="0081662F" w:rsidRPr="00D0532A" w14:paraId="1D05CBA1" w14:textId="77777777" w:rsidTr="00EB2357">
        <w:tc>
          <w:tcPr>
            <w:tcW w:w="744" w:type="pct"/>
            <w:shd w:val="clear" w:color="auto" w:fill="D1D1D1"/>
          </w:tcPr>
          <w:p w14:paraId="3753C52B" w14:textId="77777777" w:rsidR="0081662F" w:rsidRPr="00D0532A" w:rsidRDefault="0081662F" w:rsidP="00EB2357">
            <w:pPr>
              <w:spacing w:after="0" w:line="240" w:lineRule="auto"/>
              <w:rPr>
                <w:rFonts w:ascii="Times New Roman" w:eastAsia="Calibri" w:hAnsi="Times New Roman" w:cs="Times New Roman"/>
                <w:b/>
                <w:bCs/>
              </w:rPr>
            </w:pPr>
            <w:bookmarkStart w:id="11" w:name="_Hlk152329296"/>
            <w:r w:rsidRPr="00D0532A">
              <w:rPr>
                <w:rFonts w:ascii="Times New Roman" w:eastAsia="Calibri" w:hAnsi="Times New Roman" w:cs="Times New Roman"/>
                <w:b/>
                <w:bCs/>
              </w:rPr>
              <w:t>Pokazatelj rezultata</w:t>
            </w:r>
          </w:p>
        </w:tc>
        <w:tc>
          <w:tcPr>
            <w:tcW w:w="952" w:type="pct"/>
            <w:shd w:val="clear" w:color="auto" w:fill="D1D1D1"/>
          </w:tcPr>
          <w:p w14:paraId="23BFCAEE"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Definicija pokazatelja</w:t>
            </w:r>
          </w:p>
        </w:tc>
        <w:tc>
          <w:tcPr>
            <w:tcW w:w="1138" w:type="pct"/>
            <w:shd w:val="clear" w:color="auto" w:fill="D1D1D1"/>
          </w:tcPr>
          <w:p w14:paraId="0FD8CACE"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jedinica</w:t>
            </w:r>
          </w:p>
        </w:tc>
        <w:tc>
          <w:tcPr>
            <w:tcW w:w="722" w:type="pct"/>
            <w:shd w:val="clear" w:color="auto" w:fill="D1D1D1"/>
          </w:tcPr>
          <w:p w14:paraId="0AE8F91C"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Ciljana vrijednost</w:t>
            </w:r>
          </w:p>
          <w:p w14:paraId="26A96A76"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2024.</w:t>
            </w:r>
          </w:p>
        </w:tc>
        <w:tc>
          <w:tcPr>
            <w:tcW w:w="722" w:type="pct"/>
            <w:shd w:val="clear" w:color="auto" w:fill="D1D1D1"/>
          </w:tcPr>
          <w:p w14:paraId="4C65E8B0"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Izvršeno</w:t>
            </w:r>
          </w:p>
        </w:tc>
        <w:tc>
          <w:tcPr>
            <w:tcW w:w="722" w:type="pct"/>
            <w:shd w:val="clear" w:color="auto" w:fill="D1D1D1"/>
          </w:tcPr>
          <w:p w14:paraId="7C9C8E23"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Indeks</w:t>
            </w:r>
          </w:p>
        </w:tc>
      </w:tr>
      <w:tr w:rsidR="0081662F" w:rsidRPr="00D0532A" w14:paraId="0643EA8D" w14:textId="77777777" w:rsidTr="00EB2357">
        <w:tc>
          <w:tcPr>
            <w:tcW w:w="744" w:type="pct"/>
            <w:shd w:val="clear" w:color="auto" w:fill="auto"/>
          </w:tcPr>
          <w:p w14:paraId="02619D29"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 xml:space="preserve">Broj </w:t>
            </w:r>
          </w:p>
          <w:p w14:paraId="75D6CDD0"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osoba</w:t>
            </w:r>
          </w:p>
        </w:tc>
        <w:tc>
          <w:tcPr>
            <w:tcW w:w="952" w:type="pct"/>
            <w:shd w:val="clear" w:color="auto" w:fill="auto"/>
          </w:tcPr>
          <w:p w14:paraId="4CA28CF1"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 xml:space="preserve">Broj osoba zaposlenih kroz </w:t>
            </w:r>
            <w:r w:rsidRPr="00D0532A">
              <w:rPr>
                <w:rFonts w:ascii="Times New Roman" w:eastAsia="Calibri" w:hAnsi="Times New Roman" w:cs="Times New Roman"/>
              </w:rPr>
              <w:lastRenderedPageBreak/>
              <w:t>program javnih radova</w:t>
            </w:r>
          </w:p>
          <w:p w14:paraId="1305C502" w14:textId="77777777" w:rsidR="0081662F" w:rsidRPr="00D0532A" w:rsidRDefault="0081662F" w:rsidP="00EB2357">
            <w:pPr>
              <w:spacing w:after="0" w:line="240" w:lineRule="auto"/>
              <w:rPr>
                <w:rFonts w:ascii="Times New Roman" w:eastAsia="Calibri" w:hAnsi="Times New Roman" w:cs="Times New Roman"/>
              </w:rPr>
            </w:pPr>
          </w:p>
        </w:tc>
        <w:tc>
          <w:tcPr>
            <w:tcW w:w="1138" w:type="pct"/>
            <w:shd w:val="clear" w:color="auto" w:fill="auto"/>
          </w:tcPr>
          <w:p w14:paraId="5F638DD4"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lastRenderedPageBreak/>
              <w:t>Broj osoba</w:t>
            </w:r>
          </w:p>
        </w:tc>
        <w:tc>
          <w:tcPr>
            <w:tcW w:w="722" w:type="pct"/>
            <w:shd w:val="clear" w:color="auto" w:fill="auto"/>
          </w:tcPr>
          <w:p w14:paraId="0944EF63"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1</w:t>
            </w:r>
          </w:p>
        </w:tc>
        <w:tc>
          <w:tcPr>
            <w:tcW w:w="722" w:type="pct"/>
            <w:shd w:val="clear" w:color="auto" w:fill="auto"/>
          </w:tcPr>
          <w:p w14:paraId="34A055A0"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1</w:t>
            </w:r>
          </w:p>
        </w:tc>
        <w:tc>
          <w:tcPr>
            <w:tcW w:w="722" w:type="pct"/>
            <w:shd w:val="clear" w:color="auto" w:fill="auto"/>
          </w:tcPr>
          <w:p w14:paraId="0601987F"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100%</w:t>
            </w:r>
          </w:p>
        </w:tc>
      </w:tr>
      <w:bookmarkEnd w:id="11"/>
    </w:tbl>
    <w:p w14:paraId="7689CF5A" w14:textId="77777777" w:rsidR="0081662F" w:rsidRPr="00D0532A" w:rsidRDefault="0081662F" w:rsidP="0081662F">
      <w:pPr>
        <w:spacing w:after="0" w:line="240" w:lineRule="auto"/>
        <w:jc w:val="both"/>
        <w:rPr>
          <w:rFonts w:ascii="Times New Roman" w:eastAsia="Calibri" w:hAnsi="Times New Roman" w:cs="Times New Roman"/>
          <w:color w:val="FF0000"/>
        </w:rPr>
      </w:pPr>
    </w:p>
    <w:p w14:paraId="1FE4AF60" w14:textId="77777777" w:rsidR="0081662F" w:rsidRPr="00D0532A" w:rsidRDefault="0081662F" w:rsidP="0081662F">
      <w:pPr>
        <w:spacing w:after="0" w:line="240" w:lineRule="auto"/>
        <w:jc w:val="both"/>
        <w:rPr>
          <w:rFonts w:ascii="Times New Roman" w:eastAsia="Calibri" w:hAnsi="Times New Roman" w:cs="Times New Roman"/>
          <w:b/>
          <w:bCs/>
        </w:rPr>
      </w:pPr>
      <w:r w:rsidRPr="00D0532A">
        <w:rPr>
          <w:rFonts w:ascii="Times New Roman" w:eastAsia="Calibri" w:hAnsi="Times New Roman" w:cs="Times New Roman"/>
          <w:b/>
          <w:bCs/>
        </w:rPr>
        <w:t>1.13.2. Tekući projekt T102204 Projekt „Nikad nije kasno“ – faza IV</w:t>
      </w:r>
    </w:p>
    <w:p w14:paraId="2328BD22" w14:textId="77777777" w:rsidR="0081662F" w:rsidRPr="00D0532A" w:rsidRDefault="0081662F" w:rsidP="0081662F">
      <w:pPr>
        <w:spacing w:after="0" w:line="240" w:lineRule="auto"/>
        <w:jc w:val="both"/>
        <w:rPr>
          <w:rFonts w:ascii="Times New Roman" w:eastAsia="Calibri"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725"/>
        <w:gridCol w:w="2062"/>
        <w:gridCol w:w="1308"/>
        <w:gridCol w:w="1308"/>
        <w:gridCol w:w="1308"/>
      </w:tblGrid>
      <w:tr w:rsidR="0081662F" w:rsidRPr="00D0532A" w14:paraId="07FE7390" w14:textId="77777777" w:rsidTr="00EB2357">
        <w:tc>
          <w:tcPr>
            <w:tcW w:w="744" w:type="pct"/>
            <w:shd w:val="clear" w:color="auto" w:fill="D1D1D1"/>
          </w:tcPr>
          <w:p w14:paraId="6CEC9139"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Pokazatelj rezultata</w:t>
            </w:r>
          </w:p>
        </w:tc>
        <w:tc>
          <w:tcPr>
            <w:tcW w:w="952" w:type="pct"/>
            <w:shd w:val="clear" w:color="auto" w:fill="D1D1D1"/>
          </w:tcPr>
          <w:p w14:paraId="4A8C29AC"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Definicija pokazatelja</w:t>
            </w:r>
          </w:p>
        </w:tc>
        <w:tc>
          <w:tcPr>
            <w:tcW w:w="1138" w:type="pct"/>
            <w:shd w:val="clear" w:color="auto" w:fill="D1D1D1"/>
          </w:tcPr>
          <w:p w14:paraId="7E278FF6"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jedinica</w:t>
            </w:r>
          </w:p>
        </w:tc>
        <w:tc>
          <w:tcPr>
            <w:tcW w:w="722" w:type="pct"/>
            <w:shd w:val="clear" w:color="auto" w:fill="D1D1D1"/>
          </w:tcPr>
          <w:p w14:paraId="4ECAC076"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Ciljana vrijednost</w:t>
            </w:r>
          </w:p>
          <w:p w14:paraId="53463E84"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2024.</w:t>
            </w:r>
          </w:p>
        </w:tc>
        <w:tc>
          <w:tcPr>
            <w:tcW w:w="722" w:type="pct"/>
            <w:shd w:val="clear" w:color="auto" w:fill="D1D1D1"/>
          </w:tcPr>
          <w:p w14:paraId="48D92B04"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Izvršeno</w:t>
            </w:r>
          </w:p>
        </w:tc>
        <w:tc>
          <w:tcPr>
            <w:tcW w:w="722" w:type="pct"/>
            <w:shd w:val="clear" w:color="auto" w:fill="D1D1D1"/>
          </w:tcPr>
          <w:p w14:paraId="4E5402DB"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Indeks</w:t>
            </w:r>
          </w:p>
        </w:tc>
      </w:tr>
      <w:tr w:rsidR="0081662F" w:rsidRPr="00D0532A" w14:paraId="0118A052" w14:textId="77777777" w:rsidTr="00EB2357">
        <w:tc>
          <w:tcPr>
            <w:tcW w:w="744" w:type="pct"/>
            <w:shd w:val="clear" w:color="auto" w:fill="auto"/>
          </w:tcPr>
          <w:p w14:paraId="47A41349"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 xml:space="preserve">Broj </w:t>
            </w:r>
          </w:p>
          <w:p w14:paraId="7C84A54B"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osoba</w:t>
            </w:r>
          </w:p>
        </w:tc>
        <w:tc>
          <w:tcPr>
            <w:tcW w:w="952" w:type="pct"/>
            <w:shd w:val="clear" w:color="auto" w:fill="auto"/>
          </w:tcPr>
          <w:p w14:paraId="07C61CEB"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Broj osoba zaposlenih kroz projekt</w:t>
            </w:r>
          </w:p>
          <w:p w14:paraId="565021C9" w14:textId="77777777" w:rsidR="0081662F" w:rsidRPr="00D0532A" w:rsidRDefault="0081662F" w:rsidP="00EB2357">
            <w:pPr>
              <w:spacing w:after="0" w:line="240" w:lineRule="auto"/>
              <w:rPr>
                <w:rFonts w:ascii="Times New Roman" w:eastAsia="Calibri" w:hAnsi="Times New Roman" w:cs="Times New Roman"/>
              </w:rPr>
            </w:pPr>
          </w:p>
        </w:tc>
        <w:tc>
          <w:tcPr>
            <w:tcW w:w="1138" w:type="pct"/>
            <w:shd w:val="clear" w:color="auto" w:fill="auto"/>
          </w:tcPr>
          <w:p w14:paraId="5B2D019F"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Broj osoba</w:t>
            </w:r>
          </w:p>
        </w:tc>
        <w:tc>
          <w:tcPr>
            <w:tcW w:w="722" w:type="pct"/>
            <w:shd w:val="clear" w:color="auto" w:fill="auto"/>
          </w:tcPr>
          <w:p w14:paraId="68A4164A"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30</w:t>
            </w:r>
          </w:p>
        </w:tc>
        <w:tc>
          <w:tcPr>
            <w:tcW w:w="722" w:type="pct"/>
            <w:shd w:val="clear" w:color="auto" w:fill="auto"/>
          </w:tcPr>
          <w:p w14:paraId="79F7F370"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30</w:t>
            </w:r>
          </w:p>
        </w:tc>
        <w:tc>
          <w:tcPr>
            <w:tcW w:w="722" w:type="pct"/>
            <w:shd w:val="clear" w:color="auto" w:fill="auto"/>
          </w:tcPr>
          <w:p w14:paraId="384318BB"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100%</w:t>
            </w:r>
          </w:p>
        </w:tc>
      </w:tr>
    </w:tbl>
    <w:p w14:paraId="28CB09DC" w14:textId="77777777" w:rsidR="0081662F" w:rsidRPr="00D0532A" w:rsidRDefault="0081662F" w:rsidP="0081662F">
      <w:pPr>
        <w:spacing w:after="0" w:line="240" w:lineRule="auto"/>
        <w:jc w:val="both"/>
        <w:rPr>
          <w:rFonts w:ascii="Times New Roman" w:eastAsia="Calibri" w:hAnsi="Times New Roman" w:cs="Times New Roman"/>
          <w:color w:val="FF0000"/>
        </w:rPr>
      </w:pPr>
    </w:p>
    <w:p w14:paraId="10460CE0" w14:textId="77777777" w:rsidR="0081662F" w:rsidRPr="00D0532A" w:rsidRDefault="0081662F" w:rsidP="0081662F">
      <w:pPr>
        <w:spacing w:after="0" w:line="240" w:lineRule="auto"/>
        <w:jc w:val="both"/>
        <w:rPr>
          <w:rFonts w:ascii="Times New Roman" w:eastAsia="Calibri" w:hAnsi="Times New Roman" w:cs="Times New Roman"/>
          <w:b/>
          <w:bCs/>
        </w:rPr>
      </w:pPr>
      <w:r w:rsidRPr="00D0532A">
        <w:rPr>
          <w:rFonts w:ascii="Times New Roman" w:eastAsia="Calibri" w:hAnsi="Times New Roman" w:cs="Times New Roman"/>
          <w:b/>
          <w:bCs/>
        </w:rPr>
        <w:t>1.14. Program 1024 Razvoj civilnog društva – udruge građana</w:t>
      </w:r>
    </w:p>
    <w:tbl>
      <w:tblPr>
        <w:tblpPr w:leftFromText="180" w:rightFromText="180" w:vertAnchor="text" w:horzAnchor="margin" w:tblpY="187"/>
        <w:tblW w:w="5000" w:type="pct"/>
        <w:tblLook w:val="04A0" w:firstRow="1" w:lastRow="0" w:firstColumn="1" w:lastColumn="0" w:noHBand="0" w:noVBand="1"/>
      </w:tblPr>
      <w:tblGrid>
        <w:gridCol w:w="1891"/>
        <w:gridCol w:w="3332"/>
        <w:gridCol w:w="1408"/>
        <w:gridCol w:w="1152"/>
        <w:gridCol w:w="1277"/>
      </w:tblGrid>
      <w:tr w:rsidR="0081662F" w:rsidRPr="00D0532A" w14:paraId="0962B1F3" w14:textId="77777777" w:rsidTr="00EB2357">
        <w:trPr>
          <w:trHeight w:val="564"/>
        </w:trPr>
        <w:tc>
          <w:tcPr>
            <w:tcW w:w="2882" w:type="pct"/>
            <w:gridSpan w:val="2"/>
            <w:tcBorders>
              <w:top w:val="single" w:sz="4" w:space="0" w:color="auto"/>
              <w:left w:val="single" w:sz="4" w:space="0" w:color="auto"/>
              <w:bottom w:val="single" w:sz="4" w:space="0" w:color="auto"/>
              <w:right w:val="single" w:sz="4" w:space="0" w:color="auto"/>
            </w:tcBorders>
            <w:shd w:val="clear" w:color="auto" w:fill="D9D9D9"/>
          </w:tcPr>
          <w:p w14:paraId="6A68A515"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Naziv programa/aktivnosti/projekta</w:t>
            </w:r>
          </w:p>
        </w:tc>
        <w:tc>
          <w:tcPr>
            <w:tcW w:w="777" w:type="pct"/>
            <w:tcBorders>
              <w:top w:val="single" w:sz="4" w:space="0" w:color="auto"/>
              <w:left w:val="nil"/>
              <w:bottom w:val="single" w:sz="4" w:space="0" w:color="auto"/>
              <w:right w:val="single" w:sz="4" w:space="0" w:color="auto"/>
            </w:tcBorders>
            <w:shd w:val="clear" w:color="auto" w:fill="D9D9D9"/>
            <w:vAlign w:val="center"/>
            <w:hideMark/>
          </w:tcPr>
          <w:p w14:paraId="4B92058F"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Rebalans</w:t>
            </w:r>
          </w:p>
          <w:p w14:paraId="3BEC28E6"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2024.</w:t>
            </w:r>
          </w:p>
        </w:tc>
        <w:tc>
          <w:tcPr>
            <w:tcW w:w="636" w:type="pct"/>
            <w:tcBorders>
              <w:top w:val="single" w:sz="4" w:space="0" w:color="auto"/>
              <w:left w:val="nil"/>
              <w:bottom w:val="single" w:sz="4" w:space="0" w:color="auto"/>
              <w:right w:val="single" w:sz="4" w:space="0" w:color="auto"/>
            </w:tcBorders>
            <w:shd w:val="clear" w:color="auto" w:fill="D9D9D9"/>
            <w:vAlign w:val="center"/>
            <w:hideMark/>
          </w:tcPr>
          <w:p w14:paraId="6DE9D33F"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Izvršenje</w:t>
            </w:r>
          </w:p>
          <w:p w14:paraId="3E5A13F8"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2024.</w:t>
            </w:r>
          </w:p>
        </w:tc>
        <w:tc>
          <w:tcPr>
            <w:tcW w:w="705" w:type="pct"/>
            <w:tcBorders>
              <w:top w:val="single" w:sz="4" w:space="0" w:color="auto"/>
              <w:left w:val="nil"/>
              <w:bottom w:val="single" w:sz="4" w:space="0" w:color="auto"/>
              <w:right w:val="single" w:sz="4" w:space="0" w:color="auto"/>
            </w:tcBorders>
            <w:shd w:val="clear" w:color="auto" w:fill="D9D9D9"/>
            <w:vAlign w:val="center"/>
          </w:tcPr>
          <w:p w14:paraId="20BCE324"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Indeks</w:t>
            </w:r>
          </w:p>
        </w:tc>
      </w:tr>
      <w:tr w:rsidR="0081662F" w:rsidRPr="00D0532A" w14:paraId="1610F403" w14:textId="77777777" w:rsidTr="00EB2357">
        <w:trPr>
          <w:trHeight w:val="269"/>
        </w:trPr>
        <w:tc>
          <w:tcPr>
            <w:tcW w:w="1043" w:type="pct"/>
            <w:tcBorders>
              <w:top w:val="single" w:sz="4" w:space="0" w:color="auto"/>
              <w:left w:val="single" w:sz="4" w:space="0" w:color="auto"/>
              <w:bottom w:val="single" w:sz="4" w:space="0" w:color="auto"/>
              <w:right w:val="single" w:sz="4" w:space="0" w:color="auto"/>
            </w:tcBorders>
            <w:shd w:val="clear" w:color="auto" w:fill="D9D9D9"/>
            <w:vAlign w:val="center"/>
          </w:tcPr>
          <w:p w14:paraId="2A5170E6"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Program 1024</w:t>
            </w:r>
          </w:p>
        </w:tc>
        <w:tc>
          <w:tcPr>
            <w:tcW w:w="1839" w:type="pct"/>
            <w:tcBorders>
              <w:top w:val="single" w:sz="4" w:space="0" w:color="auto"/>
              <w:left w:val="single" w:sz="4" w:space="0" w:color="auto"/>
              <w:bottom w:val="single" w:sz="4" w:space="0" w:color="auto"/>
              <w:right w:val="single" w:sz="4" w:space="0" w:color="auto"/>
            </w:tcBorders>
            <w:shd w:val="clear" w:color="auto" w:fill="D9D9D9"/>
            <w:vAlign w:val="center"/>
          </w:tcPr>
          <w:p w14:paraId="1164F52F" w14:textId="77777777" w:rsidR="0081662F" w:rsidRPr="00D0532A" w:rsidRDefault="0081662F" w:rsidP="00EB2357">
            <w:pPr>
              <w:spacing w:after="0" w:line="240" w:lineRule="auto"/>
              <w:rPr>
                <w:rFonts w:ascii="Times New Roman" w:hAnsi="Times New Roman" w:cs="Times New Roman"/>
                <w:b/>
                <w:bCs/>
                <w:lang w:eastAsia="hr-HR"/>
              </w:rPr>
            </w:pPr>
            <w:r w:rsidRPr="00D0532A">
              <w:rPr>
                <w:rFonts w:ascii="Times New Roman" w:eastAsia="Calibri" w:hAnsi="Times New Roman" w:cs="Times New Roman"/>
                <w:b/>
                <w:bCs/>
              </w:rPr>
              <w:t>Razvoj civilnog društva - udruge građana</w:t>
            </w:r>
          </w:p>
        </w:tc>
        <w:tc>
          <w:tcPr>
            <w:tcW w:w="777" w:type="pct"/>
            <w:tcBorders>
              <w:top w:val="nil"/>
              <w:left w:val="nil"/>
              <w:bottom w:val="single" w:sz="4" w:space="0" w:color="auto"/>
              <w:right w:val="single" w:sz="4" w:space="0" w:color="auto"/>
            </w:tcBorders>
            <w:shd w:val="clear" w:color="auto" w:fill="D9D9D9"/>
            <w:noWrap/>
            <w:vAlign w:val="center"/>
          </w:tcPr>
          <w:p w14:paraId="691EC671" w14:textId="77777777" w:rsidR="0081662F" w:rsidRPr="00D0532A" w:rsidRDefault="0081662F" w:rsidP="00EB2357">
            <w:pPr>
              <w:spacing w:after="0" w:line="240" w:lineRule="auto"/>
              <w:ind w:right="36"/>
              <w:jc w:val="center"/>
              <w:rPr>
                <w:rFonts w:ascii="Times New Roman" w:hAnsi="Times New Roman" w:cs="Times New Roman"/>
                <w:b/>
                <w:bCs/>
                <w:lang w:eastAsia="hr-HR"/>
              </w:rPr>
            </w:pPr>
            <w:r w:rsidRPr="00D0532A">
              <w:rPr>
                <w:rFonts w:ascii="Times New Roman" w:hAnsi="Times New Roman" w:cs="Times New Roman"/>
                <w:b/>
                <w:bCs/>
              </w:rPr>
              <w:t>26.620,00</w:t>
            </w:r>
          </w:p>
        </w:tc>
        <w:tc>
          <w:tcPr>
            <w:tcW w:w="636" w:type="pct"/>
            <w:tcBorders>
              <w:top w:val="nil"/>
              <w:left w:val="nil"/>
              <w:bottom w:val="single" w:sz="4" w:space="0" w:color="auto"/>
              <w:right w:val="single" w:sz="4" w:space="0" w:color="auto"/>
            </w:tcBorders>
            <w:shd w:val="clear" w:color="auto" w:fill="D9D9D9"/>
            <w:noWrap/>
            <w:vAlign w:val="center"/>
          </w:tcPr>
          <w:p w14:paraId="5CAFC9FF" w14:textId="77777777" w:rsidR="0081662F" w:rsidRPr="00D0532A" w:rsidRDefault="0081662F" w:rsidP="00EB2357">
            <w:pPr>
              <w:spacing w:after="0" w:line="240" w:lineRule="auto"/>
              <w:ind w:right="36"/>
              <w:jc w:val="center"/>
              <w:rPr>
                <w:rFonts w:ascii="Times New Roman" w:hAnsi="Times New Roman" w:cs="Times New Roman"/>
                <w:b/>
                <w:bCs/>
                <w:lang w:eastAsia="hr-HR"/>
              </w:rPr>
            </w:pPr>
            <w:r w:rsidRPr="00D0532A">
              <w:rPr>
                <w:rFonts w:ascii="Times New Roman" w:hAnsi="Times New Roman" w:cs="Times New Roman"/>
                <w:b/>
                <w:bCs/>
                <w:lang w:eastAsia="hr-HR"/>
              </w:rPr>
              <w:t>22.665,78</w:t>
            </w:r>
          </w:p>
        </w:tc>
        <w:tc>
          <w:tcPr>
            <w:tcW w:w="705" w:type="pct"/>
            <w:tcBorders>
              <w:top w:val="nil"/>
              <w:left w:val="nil"/>
              <w:bottom w:val="single" w:sz="4" w:space="0" w:color="auto"/>
              <w:right w:val="single" w:sz="4" w:space="0" w:color="auto"/>
            </w:tcBorders>
            <w:shd w:val="clear" w:color="auto" w:fill="D9D9D9"/>
            <w:vAlign w:val="center"/>
          </w:tcPr>
          <w:p w14:paraId="5EE51985" w14:textId="77777777" w:rsidR="0081662F" w:rsidRPr="00D0532A" w:rsidRDefault="0081662F" w:rsidP="00EB2357">
            <w:pPr>
              <w:spacing w:after="0" w:line="240" w:lineRule="auto"/>
              <w:ind w:right="36"/>
              <w:jc w:val="center"/>
              <w:rPr>
                <w:rFonts w:ascii="Times New Roman" w:hAnsi="Times New Roman" w:cs="Times New Roman"/>
                <w:b/>
                <w:bCs/>
                <w:lang w:eastAsia="hr-HR"/>
              </w:rPr>
            </w:pPr>
            <w:r w:rsidRPr="00D0532A">
              <w:rPr>
                <w:rFonts w:ascii="Times New Roman" w:hAnsi="Times New Roman" w:cs="Times New Roman"/>
                <w:b/>
                <w:bCs/>
                <w:lang w:eastAsia="hr-HR"/>
              </w:rPr>
              <w:t>85,15%</w:t>
            </w:r>
          </w:p>
        </w:tc>
      </w:tr>
      <w:tr w:rsidR="0081662F" w:rsidRPr="00D0532A" w14:paraId="70AA1042" w14:textId="77777777" w:rsidTr="00EB2357">
        <w:trPr>
          <w:trHeight w:val="269"/>
        </w:trPr>
        <w:tc>
          <w:tcPr>
            <w:tcW w:w="1043" w:type="pct"/>
            <w:tcBorders>
              <w:top w:val="single" w:sz="4" w:space="0" w:color="auto"/>
              <w:left w:val="single" w:sz="4" w:space="0" w:color="auto"/>
              <w:bottom w:val="single" w:sz="4" w:space="0" w:color="auto"/>
              <w:right w:val="single" w:sz="4" w:space="0" w:color="auto"/>
            </w:tcBorders>
            <w:vAlign w:val="center"/>
          </w:tcPr>
          <w:p w14:paraId="236DD1C3"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Aktivnost A102401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4714E1EF" w14:textId="77777777" w:rsidR="0081662F" w:rsidRPr="00D0532A" w:rsidRDefault="0081662F" w:rsidP="00EB2357">
            <w:pPr>
              <w:spacing w:after="0" w:line="240" w:lineRule="auto"/>
              <w:rPr>
                <w:rFonts w:ascii="Times New Roman" w:hAnsi="Times New Roman" w:cs="Times New Roman"/>
                <w:lang w:eastAsia="hr-HR"/>
              </w:rPr>
            </w:pPr>
            <w:r w:rsidRPr="00D0532A">
              <w:rPr>
                <w:rFonts w:ascii="Times New Roman" w:eastAsia="Calibri" w:hAnsi="Times New Roman" w:cs="Times New Roman"/>
              </w:rPr>
              <w:t>Poticaj djelovanju udruga građana - natječaji</w:t>
            </w:r>
          </w:p>
        </w:tc>
        <w:tc>
          <w:tcPr>
            <w:tcW w:w="777" w:type="pct"/>
            <w:tcBorders>
              <w:top w:val="nil"/>
              <w:left w:val="nil"/>
              <w:bottom w:val="single" w:sz="4" w:space="0" w:color="auto"/>
              <w:right w:val="single" w:sz="4" w:space="0" w:color="auto"/>
            </w:tcBorders>
            <w:shd w:val="clear" w:color="auto" w:fill="auto"/>
            <w:noWrap/>
            <w:vAlign w:val="center"/>
          </w:tcPr>
          <w:p w14:paraId="072C5B3B"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rPr>
              <w:t>12.000,00</w:t>
            </w:r>
          </w:p>
        </w:tc>
        <w:tc>
          <w:tcPr>
            <w:tcW w:w="636" w:type="pct"/>
            <w:tcBorders>
              <w:top w:val="nil"/>
              <w:left w:val="nil"/>
              <w:bottom w:val="single" w:sz="4" w:space="0" w:color="auto"/>
              <w:right w:val="single" w:sz="4" w:space="0" w:color="auto"/>
            </w:tcBorders>
            <w:shd w:val="clear" w:color="auto" w:fill="auto"/>
            <w:noWrap/>
            <w:vAlign w:val="center"/>
          </w:tcPr>
          <w:p w14:paraId="4BB48BE6"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lang w:eastAsia="hr-HR"/>
              </w:rPr>
              <w:t>9.392,00</w:t>
            </w:r>
          </w:p>
        </w:tc>
        <w:tc>
          <w:tcPr>
            <w:tcW w:w="705" w:type="pct"/>
            <w:tcBorders>
              <w:top w:val="nil"/>
              <w:left w:val="nil"/>
              <w:bottom w:val="single" w:sz="4" w:space="0" w:color="auto"/>
              <w:right w:val="single" w:sz="4" w:space="0" w:color="auto"/>
            </w:tcBorders>
            <w:vAlign w:val="center"/>
          </w:tcPr>
          <w:p w14:paraId="6867C980"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lang w:eastAsia="hr-HR"/>
              </w:rPr>
              <w:t>78,27%</w:t>
            </w:r>
          </w:p>
        </w:tc>
      </w:tr>
      <w:tr w:rsidR="0081662F" w:rsidRPr="00D0532A" w14:paraId="60450314" w14:textId="77777777" w:rsidTr="00EB2357">
        <w:trPr>
          <w:trHeight w:val="269"/>
        </w:trPr>
        <w:tc>
          <w:tcPr>
            <w:tcW w:w="1043" w:type="pct"/>
            <w:tcBorders>
              <w:top w:val="single" w:sz="4" w:space="0" w:color="auto"/>
              <w:left w:val="single" w:sz="4" w:space="0" w:color="auto"/>
              <w:bottom w:val="single" w:sz="4" w:space="0" w:color="auto"/>
              <w:right w:val="single" w:sz="4" w:space="0" w:color="auto"/>
            </w:tcBorders>
            <w:vAlign w:val="center"/>
          </w:tcPr>
          <w:p w14:paraId="473EAF3C"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Aktivnost A102402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4AD562FE" w14:textId="77777777" w:rsidR="0081662F" w:rsidRPr="00D0532A" w:rsidRDefault="0081662F" w:rsidP="00EB2357">
            <w:pPr>
              <w:spacing w:after="0" w:line="240" w:lineRule="auto"/>
              <w:rPr>
                <w:rFonts w:ascii="Times New Roman" w:hAnsi="Times New Roman" w:cs="Times New Roman"/>
                <w:lang w:eastAsia="hr-HR"/>
              </w:rPr>
            </w:pPr>
            <w:r w:rsidRPr="00D0532A">
              <w:rPr>
                <w:rFonts w:ascii="Times New Roman" w:eastAsia="Calibri" w:hAnsi="Times New Roman" w:cs="Times New Roman"/>
              </w:rPr>
              <w:t>Djelatnost vjerskih zajednica</w:t>
            </w:r>
          </w:p>
        </w:tc>
        <w:tc>
          <w:tcPr>
            <w:tcW w:w="777" w:type="pct"/>
            <w:tcBorders>
              <w:top w:val="nil"/>
              <w:left w:val="nil"/>
              <w:bottom w:val="single" w:sz="4" w:space="0" w:color="auto"/>
              <w:right w:val="single" w:sz="4" w:space="0" w:color="auto"/>
            </w:tcBorders>
            <w:shd w:val="clear" w:color="auto" w:fill="auto"/>
            <w:noWrap/>
            <w:vAlign w:val="center"/>
          </w:tcPr>
          <w:p w14:paraId="77438E13"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rPr>
              <w:t>5.620,00</w:t>
            </w:r>
          </w:p>
        </w:tc>
        <w:tc>
          <w:tcPr>
            <w:tcW w:w="636" w:type="pct"/>
            <w:tcBorders>
              <w:top w:val="nil"/>
              <w:left w:val="nil"/>
              <w:bottom w:val="single" w:sz="4" w:space="0" w:color="auto"/>
              <w:right w:val="single" w:sz="4" w:space="0" w:color="auto"/>
            </w:tcBorders>
            <w:shd w:val="clear" w:color="auto" w:fill="auto"/>
            <w:noWrap/>
            <w:vAlign w:val="center"/>
          </w:tcPr>
          <w:p w14:paraId="75AE6D01"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lang w:eastAsia="hr-HR"/>
              </w:rPr>
              <w:t>4.273,78</w:t>
            </w:r>
          </w:p>
        </w:tc>
        <w:tc>
          <w:tcPr>
            <w:tcW w:w="705" w:type="pct"/>
            <w:tcBorders>
              <w:top w:val="nil"/>
              <w:left w:val="nil"/>
              <w:bottom w:val="single" w:sz="4" w:space="0" w:color="auto"/>
              <w:right w:val="single" w:sz="4" w:space="0" w:color="auto"/>
            </w:tcBorders>
            <w:vAlign w:val="center"/>
          </w:tcPr>
          <w:p w14:paraId="3F98B42D"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lang w:eastAsia="hr-HR"/>
              </w:rPr>
              <w:t>76,05%</w:t>
            </w:r>
          </w:p>
        </w:tc>
      </w:tr>
      <w:tr w:rsidR="0081662F" w:rsidRPr="00D0532A" w14:paraId="1FDBB74C" w14:textId="77777777" w:rsidTr="00EB2357">
        <w:trPr>
          <w:trHeight w:val="269"/>
        </w:trPr>
        <w:tc>
          <w:tcPr>
            <w:tcW w:w="1043" w:type="pct"/>
            <w:tcBorders>
              <w:top w:val="single" w:sz="4" w:space="0" w:color="auto"/>
              <w:left w:val="single" w:sz="4" w:space="0" w:color="auto"/>
              <w:bottom w:val="single" w:sz="4" w:space="0" w:color="auto"/>
              <w:right w:val="single" w:sz="4" w:space="0" w:color="auto"/>
            </w:tcBorders>
            <w:vAlign w:val="center"/>
          </w:tcPr>
          <w:p w14:paraId="52940336"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Kapitalni projekt K102401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34C0C81" w14:textId="77777777" w:rsidR="0081662F" w:rsidRPr="00D0532A" w:rsidRDefault="0081662F" w:rsidP="00EB2357">
            <w:pPr>
              <w:spacing w:after="0" w:line="240" w:lineRule="auto"/>
              <w:rPr>
                <w:rFonts w:ascii="Times New Roman" w:hAnsi="Times New Roman" w:cs="Times New Roman"/>
                <w:lang w:eastAsia="hr-HR"/>
              </w:rPr>
            </w:pPr>
            <w:r w:rsidRPr="00D0532A">
              <w:rPr>
                <w:rFonts w:ascii="Times New Roman" w:eastAsia="Calibri" w:hAnsi="Times New Roman" w:cs="Times New Roman"/>
              </w:rPr>
              <w:t>Obnova sakralnih objekata</w:t>
            </w:r>
          </w:p>
        </w:tc>
        <w:tc>
          <w:tcPr>
            <w:tcW w:w="777" w:type="pct"/>
            <w:tcBorders>
              <w:top w:val="nil"/>
              <w:left w:val="nil"/>
              <w:bottom w:val="single" w:sz="4" w:space="0" w:color="auto"/>
              <w:right w:val="single" w:sz="4" w:space="0" w:color="auto"/>
            </w:tcBorders>
            <w:shd w:val="clear" w:color="auto" w:fill="auto"/>
            <w:noWrap/>
            <w:vAlign w:val="center"/>
          </w:tcPr>
          <w:p w14:paraId="67887B31"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rPr>
              <w:t>9.000,00</w:t>
            </w:r>
          </w:p>
        </w:tc>
        <w:tc>
          <w:tcPr>
            <w:tcW w:w="636" w:type="pct"/>
            <w:tcBorders>
              <w:top w:val="nil"/>
              <w:left w:val="nil"/>
              <w:bottom w:val="single" w:sz="4" w:space="0" w:color="auto"/>
              <w:right w:val="single" w:sz="4" w:space="0" w:color="auto"/>
            </w:tcBorders>
            <w:shd w:val="clear" w:color="auto" w:fill="auto"/>
            <w:noWrap/>
            <w:vAlign w:val="center"/>
          </w:tcPr>
          <w:p w14:paraId="79EAE7D4"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lang w:eastAsia="hr-HR"/>
              </w:rPr>
              <w:t>9.000,00</w:t>
            </w:r>
          </w:p>
        </w:tc>
        <w:tc>
          <w:tcPr>
            <w:tcW w:w="705" w:type="pct"/>
            <w:tcBorders>
              <w:top w:val="nil"/>
              <w:left w:val="nil"/>
              <w:bottom w:val="single" w:sz="4" w:space="0" w:color="auto"/>
              <w:right w:val="single" w:sz="4" w:space="0" w:color="auto"/>
            </w:tcBorders>
            <w:vAlign w:val="center"/>
          </w:tcPr>
          <w:p w14:paraId="43CCB8D6" w14:textId="77777777" w:rsidR="0081662F" w:rsidRPr="00D0532A" w:rsidRDefault="0081662F" w:rsidP="00EB2357">
            <w:pPr>
              <w:spacing w:after="0" w:line="240" w:lineRule="auto"/>
              <w:ind w:right="36"/>
              <w:jc w:val="center"/>
              <w:rPr>
                <w:rFonts w:ascii="Times New Roman" w:hAnsi="Times New Roman" w:cs="Times New Roman"/>
                <w:lang w:eastAsia="hr-HR"/>
              </w:rPr>
            </w:pPr>
            <w:r w:rsidRPr="00D0532A">
              <w:rPr>
                <w:rFonts w:ascii="Times New Roman" w:hAnsi="Times New Roman" w:cs="Times New Roman"/>
                <w:lang w:eastAsia="hr-HR"/>
              </w:rPr>
              <w:t>100%</w:t>
            </w:r>
          </w:p>
        </w:tc>
      </w:tr>
    </w:tbl>
    <w:p w14:paraId="569FCC2B" w14:textId="77777777" w:rsidR="00361B01" w:rsidRDefault="00361B01" w:rsidP="0081662F">
      <w:pPr>
        <w:spacing w:after="0" w:line="240" w:lineRule="auto"/>
        <w:rPr>
          <w:rFonts w:ascii="Times New Roman" w:eastAsia="Calibri" w:hAnsi="Times New Roman" w:cs="Times New Roman"/>
          <w:b/>
          <w:bCs/>
        </w:rPr>
      </w:pPr>
    </w:p>
    <w:p w14:paraId="39301442" w14:textId="28BC3090" w:rsidR="0081662F" w:rsidRPr="00D0532A" w:rsidRDefault="0081662F" w:rsidP="0081662F">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1.14.1. Aktivnost A102401 Poticaj djelovanju udruga građana</w:t>
      </w:r>
    </w:p>
    <w:p w14:paraId="0485F5D5" w14:textId="77777777" w:rsidR="0081662F" w:rsidRPr="00D0532A" w:rsidRDefault="0081662F" w:rsidP="0081662F">
      <w:pPr>
        <w:spacing w:after="0" w:line="240" w:lineRule="auto"/>
        <w:rPr>
          <w:rFonts w:ascii="Times New Roman" w:eastAsia="Calibri"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1903"/>
        <w:gridCol w:w="1578"/>
        <w:gridCol w:w="1308"/>
        <w:gridCol w:w="1308"/>
        <w:gridCol w:w="1308"/>
      </w:tblGrid>
      <w:tr w:rsidR="0081662F" w:rsidRPr="00D0532A" w14:paraId="0E73A137" w14:textId="77777777" w:rsidTr="00EB2357">
        <w:tc>
          <w:tcPr>
            <w:tcW w:w="913" w:type="pct"/>
            <w:shd w:val="clear" w:color="auto" w:fill="D1D1D1"/>
          </w:tcPr>
          <w:p w14:paraId="2234954B"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Pokazatelj rezultata</w:t>
            </w:r>
          </w:p>
        </w:tc>
        <w:tc>
          <w:tcPr>
            <w:tcW w:w="1050" w:type="pct"/>
            <w:shd w:val="clear" w:color="auto" w:fill="D1D1D1"/>
          </w:tcPr>
          <w:p w14:paraId="56501877"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Definicija pokazatelja</w:t>
            </w:r>
          </w:p>
        </w:tc>
        <w:tc>
          <w:tcPr>
            <w:tcW w:w="871" w:type="pct"/>
            <w:shd w:val="clear" w:color="auto" w:fill="D1D1D1"/>
          </w:tcPr>
          <w:p w14:paraId="59C76C3D"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jedinica</w:t>
            </w:r>
          </w:p>
        </w:tc>
        <w:tc>
          <w:tcPr>
            <w:tcW w:w="722" w:type="pct"/>
            <w:shd w:val="clear" w:color="auto" w:fill="D1D1D1"/>
          </w:tcPr>
          <w:p w14:paraId="52904649"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Ciljana vrijednost</w:t>
            </w:r>
          </w:p>
          <w:p w14:paraId="03E54E77"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2024.</w:t>
            </w:r>
          </w:p>
        </w:tc>
        <w:tc>
          <w:tcPr>
            <w:tcW w:w="722" w:type="pct"/>
            <w:shd w:val="clear" w:color="auto" w:fill="D1D1D1"/>
          </w:tcPr>
          <w:p w14:paraId="0EFFECF2"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Izvršeno</w:t>
            </w:r>
          </w:p>
        </w:tc>
        <w:tc>
          <w:tcPr>
            <w:tcW w:w="722" w:type="pct"/>
            <w:shd w:val="clear" w:color="auto" w:fill="D1D1D1"/>
          </w:tcPr>
          <w:p w14:paraId="0B31BEDB"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Indeks</w:t>
            </w:r>
          </w:p>
        </w:tc>
      </w:tr>
      <w:tr w:rsidR="0081662F" w:rsidRPr="00D0532A" w14:paraId="70F24D61" w14:textId="77777777" w:rsidTr="00EB2357">
        <w:tc>
          <w:tcPr>
            <w:tcW w:w="913" w:type="pct"/>
            <w:shd w:val="clear" w:color="auto" w:fill="auto"/>
          </w:tcPr>
          <w:p w14:paraId="04FC83AA"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Broj sufinanciranih projekata</w:t>
            </w:r>
          </w:p>
        </w:tc>
        <w:tc>
          <w:tcPr>
            <w:tcW w:w="1050" w:type="pct"/>
            <w:shd w:val="clear" w:color="auto" w:fill="auto"/>
          </w:tcPr>
          <w:p w14:paraId="6653CB93"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Broj projekata udruga građana koji se sufinanciraju temeljem natječaja</w:t>
            </w:r>
          </w:p>
        </w:tc>
        <w:tc>
          <w:tcPr>
            <w:tcW w:w="871" w:type="pct"/>
            <w:shd w:val="clear" w:color="auto" w:fill="auto"/>
          </w:tcPr>
          <w:p w14:paraId="37B5B6CC"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Broj projekata</w:t>
            </w:r>
          </w:p>
        </w:tc>
        <w:tc>
          <w:tcPr>
            <w:tcW w:w="722" w:type="pct"/>
            <w:shd w:val="clear" w:color="auto" w:fill="auto"/>
          </w:tcPr>
          <w:p w14:paraId="51327544" w14:textId="77777777" w:rsidR="0081662F" w:rsidRPr="00D0532A" w:rsidRDefault="0081662F" w:rsidP="00EB2357">
            <w:pPr>
              <w:spacing w:after="0" w:line="240" w:lineRule="auto"/>
              <w:jc w:val="center"/>
              <w:rPr>
                <w:rFonts w:ascii="Times New Roman" w:eastAsia="Calibri" w:hAnsi="Times New Roman" w:cs="Times New Roman"/>
              </w:rPr>
            </w:pPr>
            <w:r w:rsidRPr="00D0532A">
              <w:rPr>
                <w:rFonts w:ascii="Times New Roman" w:eastAsia="Calibri" w:hAnsi="Times New Roman" w:cs="Times New Roman"/>
              </w:rPr>
              <w:t>21</w:t>
            </w:r>
          </w:p>
        </w:tc>
        <w:tc>
          <w:tcPr>
            <w:tcW w:w="722" w:type="pct"/>
            <w:shd w:val="clear" w:color="auto" w:fill="auto"/>
          </w:tcPr>
          <w:p w14:paraId="17C9A4A5" w14:textId="77777777" w:rsidR="0081662F" w:rsidRPr="00D0532A" w:rsidRDefault="0081662F" w:rsidP="00EB2357">
            <w:pPr>
              <w:spacing w:after="0" w:line="240" w:lineRule="auto"/>
              <w:jc w:val="center"/>
              <w:rPr>
                <w:rFonts w:ascii="Times New Roman" w:eastAsia="Calibri" w:hAnsi="Times New Roman" w:cs="Times New Roman"/>
              </w:rPr>
            </w:pPr>
            <w:r w:rsidRPr="00D0532A">
              <w:rPr>
                <w:rFonts w:ascii="Times New Roman" w:eastAsia="Calibri" w:hAnsi="Times New Roman" w:cs="Times New Roman"/>
              </w:rPr>
              <w:t>17</w:t>
            </w:r>
          </w:p>
        </w:tc>
        <w:tc>
          <w:tcPr>
            <w:tcW w:w="722" w:type="pct"/>
            <w:shd w:val="clear" w:color="auto" w:fill="auto"/>
          </w:tcPr>
          <w:p w14:paraId="2DBE19D8" w14:textId="77777777" w:rsidR="0081662F" w:rsidRPr="00D0532A" w:rsidRDefault="0081662F" w:rsidP="00EB2357">
            <w:pPr>
              <w:spacing w:after="0" w:line="240" w:lineRule="auto"/>
              <w:jc w:val="center"/>
              <w:rPr>
                <w:rFonts w:ascii="Times New Roman" w:eastAsia="Calibri" w:hAnsi="Times New Roman" w:cs="Times New Roman"/>
              </w:rPr>
            </w:pPr>
            <w:r w:rsidRPr="00D0532A">
              <w:rPr>
                <w:rFonts w:ascii="Times New Roman" w:eastAsia="Calibri" w:hAnsi="Times New Roman" w:cs="Times New Roman"/>
              </w:rPr>
              <w:t>80,95%</w:t>
            </w:r>
          </w:p>
        </w:tc>
      </w:tr>
    </w:tbl>
    <w:p w14:paraId="1A8F813F" w14:textId="77777777" w:rsidR="0081662F" w:rsidRPr="00D0532A" w:rsidRDefault="0081662F" w:rsidP="0081662F">
      <w:pPr>
        <w:spacing w:after="0" w:line="240" w:lineRule="auto"/>
        <w:rPr>
          <w:rFonts w:ascii="Times New Roman" w:eastAsia="Calibri" w:hAnsi="Times New Roman" w:cs="Times New Roman"/>
          <w:color w:val="FF0000"/>
        </w:rPr>
      </w:pPr>
    </w:p>
    <w:p w14:paraId="0E5DFCDF" w14:textId="77777777" w:rsidR="0081662F" w:rsidRPr="00D0532A" w:rsidRDefault="0081662F" w:rsidP="0081662F">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1.14.2. Aktivnost A102402 Djelatnost vjerskih zajednica</w:t>
      </w:r>
    </w:p>
    <w:p w14:paraId="46BAA637" w14:textId="77777777" w:rsidR="0081662F" w:rsidRPr="00D0532A" w:rsidRDefault="0081662F" w:rsidP="0081662F">
      <w:pPr>
        <w:spacing w:after="0" w:line="240" w:lineRule="auto"/>
        <w:jc w:val="both"/>
        <w:rPr>
          <w:rFonts w:ascii="Times New Roman" w:eastAsia="Calibri"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725"/>
        <w:gridCol w:w="2062"/>
        <w:gridCol w:w="1308"/>
        <w:gridCol w:w="1308"/>
        <w:gridCol w:w="1308"/>
      </w:tblGrid>
      <w:tr w:rsidR="0081662F" w:rsidRPr="00D0532A" w14:paraId="5B32E1F6" w14:textId="77777777" w:rsidTr="00EB2357">
        <w:tc>
          <w:tcPr>
            <w:tcW w:w="744" w:type="pct"/>
            <w:shd w:val="clear" w:color="auto" w:fill="D1D1D1"/>
          </w:tcPr>
          <w:p w14:paraId="01877675"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Pokazatelj rezultata</w:t>
            </w:r>
          </w:p>
        </w:tc>
        <w:tc>
          <w:tcPr>
            <w:tcW w:w="952" w:type="pct"/>
            <w:shd w:val="clear" w:color="auto" w:fill="D1D1D1"/>
          </w:tcPr>
          <w:p w14:paraId="44D81E40"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Definicija pokazatelja</w:t>
            </w:r>
          </w:p>
        </w:tc>
        <w:tc>
          <w:tcPr>
            <w:tcW w:w="1138" w:type="pct"/>
            <w:shd w:val="clear" w:color="auto" w:fill="D1D1D1"/>
          </w:tcPr>
          <w:p w14:paraId="320D5C7C"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jedinica</w:t>
            </w:r>
          </w:p>
        </w:tc>
        <w:tc>
          <w:tcPr>
            <w:tcW w:w="722" w:type="pct"/>
            <w:shd w:val="clear" w:color="auto" w:fill="D1D1D1"/>
          </w:tcPr>
          <w:p w14:paraId="45A1E12E"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Ciljana vrijednost</w:t>
            </w:r>
          </w:p>
          <w:p w14:paraId="6E487D45"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2024.</w:t>
            </w:r>
          </w:p>
        </w:tc>
        <w:tc>
          <w:tcPr>
            <w:tcW w:w="722" w:type="pct"/>
            <w:shd w:val="clear" w:color="auto" w:fill="D1D1D1"/>
          </w:tcPr>
          <w:p w14:paraId="6DFABEEB"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Izvršenje</w:t>
            </w:r>
          </w:p>
        </w:tc>
        <w:tc>
          <w:tcPr>
            <w:tcW w:w="722" w:type="pct"/>
            <w:shd w:val="clear" w:color="auto" w:fill="D1D1D1"/>
          </w:tcPr>
          <w:p w14:paraId="477B2B24"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Indeks</w:t>
            </w:r>
          </w:p>
        </w:tc>
      </w:tr>
      <w:tr w:rsidR="0081662F" w:rsidRPr="00D0532A" w14:paraId="3A688B0F" w14:textId="77777777" w:rsidTr="00EB2357">
        <w:tc>
          <w:tcPr>
            <w:tcW w:w="744" w:type="pct"/>
            <w:shd w:val="clear" w:color="auto" w:fill="auto"/>
          </w:tcPr>
          <w:p w14:paraId="4A138B0F"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 xml:space="preserve">Broj </w:t>
            </w:r>
          </w:p>
          <w:p w14:paraId="6ACA9F7B"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zahtjeva</w:t>
            </w:r>
          </w:p>
        </w:tc>
        <w:tc>
          <w:tcPr>
            <w:tcW w:w="952" w:type="pct"/>
            <w:shd w:val="clear" w:color="auto" w:fill="auto"/>
          </w:tcPr>
          <w:p w14:paraId="7A551423"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Broj odobrenih zahtjeva temeljem kojih se sufinancira rad vjerskih zajednica</w:t>
            </w:r>
          </w:p>
          <w:p w14:paraId="2CF276A1" w14:textId="77777777" w:rsidR="0081662F" w:rsidRPr="00D0532A" w:rsidRDefault="0081662F" w:rsidP="00EB2357">
            <w:pPr>
              <w:spacing w:after="0" w:line="240" w:lineRule="auto"/>
              <w:rPr>
                <w:rFonts w:ascii="Times New Roman" w:eastAsia="Calibri" w:hAnsi="Times New Roman" w:cs="Times New Roman"/>
              </w:rPr>
            </w:pPr>
          </w:p>
        </w:tc>
        <w:tc>
          <w:tcPr>
            <w:tcW w:w="1138" w:type="pct"/>
            <w:shd w:val="clear" w:color="auto" w:fill="auto"/>
          </w:tcPr>
          <w:p w14:paraId="6CBDD853"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Broj zahtjeva</w:t>
            </w:r>
          </w:p>
        </w:tc>
        <w:tc>
          <w:tcPr>
            <w:tcW w:w="722" w:type="pct"/>
            <w:shd w:val="clear" w:color="auto" w:fill="auto"/>
          </w:tcPr>
          <w:p w14:paraId="4A20E030"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6</w:t>
            </w:r>
          </w:p>
        </w:tc>
        <w:tc>
          <w:tcPr>
            <w:tcW w:w="722" w:type="pct"/>
            <w:shd w:val="clear" w:color="auto" w:fill="auto"/>
          </w:tcPr>
          <w:p w14:paraId="6A456AF9"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5</w:t>
            </w:r>
          </w:p>
        </w:tc>
        <w:tc>
          <w:tcPr>
            <w:tcW w:w="722" w:type="pct"/>
            <w:shd w:val="clear" w:color="auto" w:fill="auto"/>
          </w:tcPr>
          <w:p w14:paraId="0425D4FC"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83,33%</w:t>
            </w:r>
          </w:p>
        </w:tc>
      </w:tr>
    </w:tbl>
    <w:p w14:paraId="57AB8B2D" w14:textId="77777777" w:rsidR="0081662F" w:rsidRPr="00D0532A" w:rsidRDefault="0081662F" w:rsidP="0081662F">
      <w:pPr>
        <w:spacing w:after="0" w:line="240" w:lineRule="auto"/>
        <w:rPr>
          <w:rFonts w:ascii="Times New Roman" w:eastAsia="Calibri" w:hAnsi="Times New Roman" w:cs="Times New Roman"/>
        </w:rPr>
      </w:pPr>
    </w:p>
    <w:p w14:paraId="6B07172F" w14:textId="77777777" w:rsidR="0081662F" w:rsidRPr="00D0532A" w:rsidRDefault="0081662F" w:rsidP="0081662F">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1.14.3. Kapitalni projekt K102401 Obnova sakralnih objekata</w:t>
      </w:r>
    </w:p>
    <w:p w14:paraId="0A115E1D" w14:textId="77777777" w:rsidR="0081662F" w:rsidRPr="00D0532A" w:rsidRDefault="0081662F" w:rsidP="0081662F">
      <w:pPr>
        <w:spacing w:after="0" w:line="240" w:lineRule="auto"/>
        <w:rPr>
          <w:rFonts w:ascii="Times New Roman" w:eastAsia="Calibri"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2399"/>
        <w:gridCol w:w="1113"/>
        <w:gridCol w:w="1381"/>
        <w:gridCol w:w="1381"/>
        <w:gridCol w:w="1381"/>
      </w:tblGrid>
      <w:tr w:rsidR="0081662F" w:rsidRPr="00D0532A" w14:paraId="4F8880F5" w14:textId="77777777" w:rsidTr="00EB2357">
        <w:tc>
          <w:tcPr>
            <w:tcW w:w="776" w:type="pct"/>
            <w:shd w:val="clear" w:color="auto" w:fill="D1D1D1"/>
          </w:tcPr>
          <w:p w14:paraId="575431B6"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lastRenderedPageBreak/>
              <w:t>Pokazatelj rezultata</w:t>
            </w:r>
          </w:p>
        </w:tc>
        <w:tc>
          <w:tcPr>
            <w:tcW w:w="1324" w:type="pct"/>
            <w:shd w:val="clear" w:color="auto" w:fill="D1D1D1"/>
          </w:tcPr>
          <w:p w14:paraId="5403EF47"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Definicija pokazatelja</w:t>
            </w:r>
          </w:p>
        </w:tc>
        <w:tc>
          <w:tcPr>
            <w:tcW w:w="614" w:type="pct"/>
            <w:shd w:val="clear" w:color="auto" w:fill="D1D1D1"/>
          </w:tcPr>
          <w:p w14:paraId="35FF60AB"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jedinica</w:t>
            </w:r>
          </w:p>
        </w:tc>
        <w:tc>
          <w:tcPr>
            <w:tcW w:w="762" w:type="pct"/>
            <w:shd w:val="clear" w:color="auto" w:fill="D1D1D1"/>
          </w:tcPr>
          <w:p w14:paraId="212C4CDA"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Ciljana vrijednost</w:t>
            </w:r>
          </w:p>
          <w:p w14:paraId="3B8CFAAC"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2024.</w:t>
            </w:r>
          </w:p>
        </w:tc>
        <w:tc>
          <w:tcPr>
            <w:tcW w:w="762" w:type="pct"/>
            <w:shd w:val="clear" w:color="auto" w:fill="D1D1D1"/>
          </w:tcPr>
          <w:p w14:paraId="2A796A28"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Izvršenje</w:t>
            </w:r>
          </w:p>
        </w:tc>
        <w:tc>
          <w:tcPr>
            <w:tcW w:w="762" w:type="pct"/>
            <w:shd w:val="clear" w:color="auto" w:fill="D1D1D1"/>
          </w:tcPr>
          <w:p w14:paraId="0EEA59ED" w14:textId="77777777" w:rsidR="0081662F" w:rsidRPr="00D0532A" w:rsidRDefault="0081662F" w:rsidP="00EB2357">
            <w:pPr>
              <w:spacing w:after="0" w:line="240" w:lineRule="auto"/>
              <w:rPr>
                <w:rFonts w:ascii="Times New Roman" w:eastAsia="Calibri" w:hAnsi="Times New Roman" w:cs="Times New Roman"/>
                <w:b/>
                <w:bCs/>
              </w:rPr>
            </w:pPr>
            <w:r w:rsidRPr="00D0532A">
              <w:rPr>
                <w:rFonts w:ascii="Times New Roman" w:eastAsia="Calibri" w:hAnsi="Times New Roman" w:cs="Times New Roman"/>
                <w:b/>
                <w:bCs/>
              </w:rPr>
              <w:t>Indeks</w:t>
            </w:r>
          </w:p>
        </w:tc>
      </w:tr>
      <w:tr w:rsidR="0081662F" w:rsidRPr="00D0532A" w14:paraId="14BE72C4" w14:textId="77777777" w:rsidTr="00EB2357">
        <w:tc>
          <w:tcPr>
            <w:tcW w:w="776" w:type="pct"/>
            <w:shd w:val="clear" w:color="auto" w:fill="auto"/>
          </w:tcPr>
          <w:p w14:paraId="42C8291F"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 xml:space="preserve">Povećanje broja </w:t>
            </w:r>
          </w:p>
          <w:p w14:paraId="13DE563E"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zahtjeva</w:t>
            </w:r>
          </w:p>
        </w:tc>
        <w:tc>
          <w:tcPr>
            <w:tcW w:w="1324" w:type="pct"/>
            <w:shd w:val="clear" w:color="auto" w:fill="auto"/>
          </w:tcPr>
          <w:p w14:paraId="539F430B"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Broj odobrenih zahtjeva temeljem kojih se sufinancira obnova sakralnih objekata</w:t>
            </w:r>
          </w:p>
          <w:p w14:paraId="1FDBD184" w14:textId="77777777" w:rsidR="0081662F" w:rsidRPr="00D0532A" w:rsidRDefault="0081662F" w:rsidP="00EB2357">
            <w:pPr>
              <w:spacing w:after="0" w:line="240" w:lineRule="auto"/>
              <w:rPr>
                <w:rFonts w:ascii="Times New Roman" w:eastAsia="Calibri" w:hAnsi="Times New Roman" w:cs="Times New Roman"/>
              </w:rPr>
            </w:pPr>
          </w:p>
        </w:tc>
        <w:tc>
          <w:tcPr>
            <w:tcW w:w="614" w:type="pct"/>
            <w:shd w:val="clear" w:color="auto" w:fill="auto"/>
          </w:tcPr>
          <w:p w14:paraId="4F018A98"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Broj zahtjeva</w:t>
            </w:r>
          </w:p>
        </w:tc>
        <w:tc>
          <w:tcPr>
            <w:tcW w:w="762" w:type="pct"/>
            <w:shd w:val="clear" w:color="auto" w:fill="auto"/>
          </w:tcPr>
          <w:p w14:paraId="092EDAAA"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3</w:t>
            </w:r>
          </w:p>
        </w:tc>
        <w:tc>
          <w:tcPr>
            <w:tcW w:w="762" w:type="pct"/>
            <w:shd w:val="clear" w:color="auto" w:fill="auto"/>
          </w:tcPr>
          <w:p w14:paraId="65875F62"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2</w:t>
            </w:r>
          </w:p>
        </w:tc>
        <w:tc>
          <w:tcPr>
            <w:tcW w:w="762" w:type="pct"/>
            <w:shd w:val="clear" w:color="auto" w:fill="auto"/>
          </w:tcPr>
          <w:p w14:paraId="15631237" w14:textId="77777777" w:rsidR="0081662F" w:rsidRPr="00D0532A" w:rsidRDefault="0081662F" w:rsidP="00EB2357">
            <w:pPr>
              <w:spacing w:after="0" w:line="240" w:lineRule="auto"/>
              <w:rPr>
                <w:rFonts w:ascii="Times New Roman" w:eastAsia="Calibri" w:hAnsi="Times New Roman" w:cs="Times New Roman"/>
              </w:rPr>
            </w:pPr>
            <w:r w:rsidRPr="00D0532A">
              <w:rPr>
                <w:rFonts w:ascii="Times New Roman" w:eastAsia="Calibri" w:hAnsi="Times New Roman" w:cs="Times New Roman"/>
              </w:rPr>
              <w:t>66,66%</w:t>
            </w:r>
          </w:p>
        </w:tc>
      </w:tr>
    </w:tbl>
    <w:p w14:paraId="6945982D" w14:textId="77777777" w:rsidR="0081662F" w:rsidRPr="00D0532A" w:rsidRDefault="0081662F" w:rsidP="0081662F">
      <w:pPr>
        <w:spacing w:after="0" w:line="240" w:lineRule="auto"/>
        <w:rPr>
          <w:rFonts w:ascii="Times New Roman" w:eastAsia="Calibri" w:hAnsi="Times New Roman" w:cs="Times New Roman"/>
          <w:color w:val="FF0000"/>
        </w:rPr>
      </w:pPr>
    </w:p>
    <w:p w14:paraId="2DEBE16C" w14:textId="77777777" w:rsidR="0081662F" w:rsidRDefault="0081662F" w:rsidP="0081662F">
      <w:pPr>
        <w:spacing w:after="0" w:line="240" w:lineRule="auto"/>
        <w:rPr>
          <w:rFonts w:ascii="Times New Roman" w:eastAsia="Calibri" w:hAnsi="Times New Roman" w:cs="Times New Roman"/>
          <w:color w:val="FF0000"/>
        </w:rPr>
      </w:pPr>
    </w:p>
    <w:p w14:paraId="3E281E67" w14:textId="77777777" w:rsidR="0081662F" w:rsidRDefault="0081662F" w:rsidP="0081662F">
      <w:pPr>
        <w:spacing w:after="0" w:line="240" w:lineRule="auto"/>
        <w:rPr>
          <w:rFonts w:ascii="Times New Roman" w:eastAsia="Calibri" w:hAnsi="Times New Roman" w:cs="Times New Roman"/>
          <w:color w:val="FF0000"/>
        </w:rPr>
      </w:pPr>
    </w:p>
    <w:p w14:paraId="72CDA02F" w14:textId="77777777" w:rsidR="0081662F" w:rsidRDefault="0081662F" w:rsidP="0081662F">
      <w:pPr>
        <w:spacing w:after="0" w:line="240" w:lineRule="auto"/>
        <w:rPr>
          <w:rFonts w:ascii="Times New Roman" w:eastAsia="Calibri" w:hAnsi="Times New Roman" w:cs="Times New Roman"/>
          <w:color w:val="FF0000"/>
        </w:rPr>
      </w:pPr>
    </w:p>
    <w:p w14:paraId="3AEDB310" w14:textId="77777777" w:rsidR="0081662F" w:rsidRPr="00D0532A" w:rsidRDefault="0081662F" w:rsidP="0081662F">
      <w:pPr>
        <w:spacing w:after="0" w:line="240" w:lineRule="auto"/>
        <w:rPr>
          <w:rFonts w:ascii="Times New Roman" w:eastAsia="Calibri" w:hAnsi="Times New Roman" w:cs="Times New Roman"/>
          <w:color w:val="FF0000"/>
        </w:rPr>
      </w:pPr>
    </w:p>
    <w:p w14:paraId="354AAA26" w14:textId="77777777" w:rsidR="0081662F" w:rsidRPr="00722358" w:rsidRDefault="0081662F" w:rsidP="0081662F">
      <w:pPr>
        <w:spacing w:after="0" w:line="240" w:lineRule="auto"/>
        <w:ind w:firstLine="567"/>
        <w:jc w:val="both"/>
        <w:rPr>
          <w:rFonts w:ascii="Times New Roman" w:hAnsi="Times New Roman" w:cs="Times New Roman"/>
          <w:b/>
          <w:bCs/>
          <w:i/>
          <w:lang w:eastAsia="hr-HR"/>
        </w:rPr>
      </w:pPr>
      <w:r w:rsidRPr="00722358">
        <w:rPr>
          <w:rFonts w:ascii="Times New Roman" w:hAnsi="Times New Roman" w:cs="Times New Roman"/>
          <w:b/>
          <w:bCs/>
          <w:i/>
          <w:lang w:eastAsia="hr-HR"/>
        </w:rPr>
        <w:t>GLAVA 00202  -   Vatrogasne postrojbe</w:t>
      </w:r>
    </w:p>
    <w:p w14:paraId="0C6E5331" w14:textId="77777777" w:rsidR="0081662F" w:rsidRPr="00722358" w:rsidRDefault="0081662F" w:rsidP="0081662F">
      <w:pPr>
        <w:spacing w:after="0" w:line="240" w:lineRule="auto"/>
        <w:ind w:firstLine="567"/>
        <w:jc w:val="both"/>
        <w:rPr>
          <w:rFonts w:ascii="Times New Roman" w:hAnsi="Times New Roman" w:cs="Times New Roman"/>
          <w:b/>
          <w:bCs/>
          <w:i/>
          <w:lang w:eastAsia="hr-HR"/>
        </w:rPr>
      </w:pPr>
      <w:r w:rsidRPr="00722358">
        <w:rPr>
          <w:rFonts w:ascii="Times New Roman" w:hAnsi="Times New Roman" w:cs="Times New Roman"/>
          <w:b/>
          <w:bCs/>
          <w:i/>
          <w:lang w:eastAsia="hr-HR"/>
        </w:rPr>
        <w:t>Proračunski korisnik 00202 34709 – Javna vatrogasna postrojba</w:t>
      </w:r>
    </w:p>
    <w:p w14:paraId="7F7A3B0A" w14:textId="77777777" w:rsidR="0081662F" w:rsidRPr="00722358" w:rsidRDefault="0081662F" w:rsidP="0081662F">
      <w:pPr>
        <w:spacing w:after="0" w:line="240" w:lineRule="auto"/>
        <w:ind w:firstLine="567"/>
        <w:jc w:val="both"/>
        <w:rPr>
          <w:rFonts w:ascii="Times New Roman" w:hAnsi="Times New Roman" w:cs="Times New Roman"/>
          <w:b/>
          <w:bCs/>
          <w:i/>
          <w:lang w:eastAsia="hr-HR"/>
        </w:rPr>
      </w:pPr>
    </w:p>
    <w:p w14:paraId="667D6D5B" w14:textId="77777777" w:rsidR="0081662F" w:rsidRPr="00D0532A" w:rsidRDefault="0081662F" w:rsidP="0081662F">
      <w:pPr>
        <w:spacing w:after="0" w:line="240" w:lineRule="auto"/>
        <w:jc w:val="both"/>
        <w:rPr>
          <w:rFonts w:ascii="Times New Roman" w:hAnsi="Times New Roman" w:cs="Times New Roman"/>
          <w:iCs/>
          <w:lang w:eastAsia="hr-HR"/>
        </w:rPr>
      </w:pPr>
    </w:p>
    <w:p w14:paraId="74D91AB1" w14:textId="77777777" w:rsidR="0081662F" w:rsidRPr="00D0532A" w:rsidRDefault="0081662F" w:rsidP="0081662F">
      <w:pPr>
        <w:tabs>
          <w:tab w:val="left" w:pos="284"/>
        </w:tabs>
        <w:jc w:val="both"/>
        <w:rPr>
          <w:rFonts w:ascii="Times New Roman" w:hAnsi="Times New Roman" w:cs="Times New Roman"/>
          <w:bCs/>
        </w:rPr>
      </w:pPr>
      <w:r w:rsidRPr="00D0532A">
        <w:rPr>
          <w:rFonts w:ascii="Times New Roman" w:hAnsi="Times New Roman" w:cs="Times New Roman"/>
          <w:b/>
          <w:bCs/>
        </w:rPr>
        <w:t xml:space="preserve">Program 1005 </w:t>
      </w:r>
      <w:r w:rsidRPr="00D0532A">
        <w:rPr>
          <w:rFonts w:ascii="Times New Roman" w:hAnsi="Times New Roman" w:cs="Times New Roman"/>
          <w:bCs/>
        </w:rPr>
        <w:t>– Zaštita od požara i civilna zaštita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3048"/>
        <w:gridCol w:w="2796"/>
      </w:tblGrid>
      <w:tr w:rsidR="0081662F" w:rsidRPr="00D0532A" w14:paraId="21E164DF" w14:textId="77777777" w:rsidTr="00EB2357">
        <w:trPr>
          <w:trHeight w:val="454"/>
        </w:trPr>
        <w:tc>
          <w:tcPr>
            <w:tcW w:w="1775" w:type="pct"/>
            <w:shd w:val="clear" w:color="auto" w:fill="D9D9D9"/>
          </w:tcPr>
          <w:p w14:paraId="47E1E1F3" w14:textId="77777777" w:rsidR="0081662F" w:rsidRPr="00D0532A" w:rsidRDefault="0081662F" w:rsidP="00EB2357">
            <w:pPr>
              <w:spacing w:after="120"/>
              <w:jc w:val="center"/>
              <w:rPr>
                <w:rFonts w:ascii="Times New Roman" w:hAnsi="Times New Roman" w:cs="Times New Roman"/>
                <w:bCs/>
              </w:rPr>
            </w:pPr>
            <w:r w:rsidRPr="00D0532A">
              <w:rPr>
                <w:rFonts w:ascii="Times New Roman" w:hAnsi="Times New Roman" w:cs="Times New Roman"/>
                <w:bCs/>
              </w:rPr>
              <w:t>Rebalans 2024</w:t>
            </w:r>
          </w:p>
        </w:tc>
        <w:tc>
          <w:tcPr>
            <w:tcW w:w="1682" w:type="pct"/>
            <w:shd w:val="clear" w:color="auto" w:fill="D9D9D9"/>
          </w:tcPr>
          <w:p w14:paraId="3FA6059D" w14:textId="77777777" w:rsidR="0081662F" w:rsidRPr="00D0532A" w:rsidRDefault="0081662F" w:rsidP="00EB2357">
            <w:pPr>
              <w:spacing w:after="120"/>
              <w:jc w:val="center"/>
              <w:rPr>
                <w:rFonts w:ascii="Times New Roman" w:hAnsi="Times New Roman" w:cs="Times New Roman"/>
                <w:bCs/>
              </w:rPr>
            </w:pPr>
            <w:r w:rsidRPr="00D0532A">
              <w:rPr>
                <w:rFonts w:ascii="Times New Roman" w:hAnsi="Times New Roman" w:cs="Times New Roman"/>
                <w:bCs/>
              </w:rPr>
              <w:t>Izvršenje 2024</w:t>
            </w:r>
          </w:p>
        </w:tc>
        <w:tc>
          <w:tcPr>
            <w:tcW w:w="1543" w:type="pct"/>
            <w:shd w:val="clear" w:color="auto" w:fill="D9D9D9"/>
          </w:tcPr>
          <w:p w14:paraId="5F3225CF" w14:textId="77777777" w:rsidR="0081662F" w:rsidRPr="00D0532A" w:rsidRDefault="0081662F" w:rsidP="00EB2357">
            <w:pPr>
              <w:spacing w:after="120"/>
              <w:jc w:val="center"/>
              <w:rPr>
                <w:rFonts w:ascii="Times New Roman" w:hAnsi="Times New Roman" w:cs="Times New Roman"/>
                <w:bCs/>
              </w:rPr>
            </w:pPr>
            <w:r w:rsidRPr="00D0532A">
              <w:rPr>
                <w:rFonts w:ascii="Times New Roman" w:hAnsi="Times New Roman" w:cs="Times New Roman"/>
                <w:bCs/>
              </w:rPr>
              <w:t>Indeks</w:t>
            </w:r>
          </w:p>
        </w:tc>
      </w:tr>
      <w:tr w:rsidR="0081662F" w:rsidRPr="00D0532A" w14:paraId="19648D98" w14:textId="77777777" w:rsidTr="00EB2357">
        <w:trPr>
          <w:trHeight w:val="454"/>
        </w:trPr>
        <w:tc>
          <w:tcPr>
            <w:tcW w:w="1775" w:type="pct"/>
            <w:shd w:val="clear" w:color="auto" w:fill="auto"/>
            <w:vAlign w:val="center"/>
          </w:tcPr>
          <w:p w14:paraId="5EE77D5A" w14:textId="77777777" w:rsidR="0081662F" w:rsidRPr="00D0532A" w:rsidRDefault="0081662F" w:rsidP="00EB2357">
            <w:pPr>
              <w:spacing w:after="120"/>
              <w:jc w:val="center"/>
              <w:rPr>
                <w:rFonts w:ascii="Times New Roman" w:hAnsi="Times New Roman" w:cs="Times New Roman"/>
              </w:rPr>
            </w:pPr>
            <w:r w:rsidRPr="00D0532A">
              <w:rPr>
                <w:rFonts w:ascii="Times New Roman" w:hAnsi="Times New Roman" w:cs="Times New Roman"/>
                <w:color w:val="000000"/>
              </w:rPr>
              <w:t>936.526,20</w:t>
            </w:r>
          </w:p>
        </w:tc>
        <w:tc>
          <w:tcPr>
            <w:tcW w:w="1682" w:type="pct"/>
            <w:shd w:val="clear" w:color="auto" w:fill="auto"/>
            <w:vAlign w:val="center"/>
          </w:tcPr>
          <w:p w14:paraId="71C0C454" w14:textId="1FA1D5B0" w:rsidR="0081662F" w:rsidRPr="00D0532A" w:rsidRDefault="00361B01" w:rsidP="00EB2357">
            <w:pPr>
              <w:spacing w:after="120"/>
              <w:jc w:val="center"/>
              <w:rPr>
                <w:rFonts w:ascii="Times New Roman" w:hAnsi="Times New Roman" w:cs="Times New Roman"/>
              </w:rPr>
            </w:pPr>
            <w:r>
              <w:rPr>
                <w:rFonts w:ascii="Times New Roman" w:hAnsi="Times New Roman" w:cs="Times New Roman"/>
              </w:rPr>
              <w:t>922.771,34</w:t>
            </w:r>
          </w:p>
        </w:tc>
        <w:tc>
          <w:tcPr>
            <w:tcW w:w="1543" w:type="pct"/>
            <w:shd w:val="clear" w:color="auto" w:fill="auto"/>
            <w:vAlign w:val="center"/>
          </w:tcPr>
          <w:p w14:paraId="0B38B42B" w14:textId="679E2046" w:rsidR="0081662F" w:rsidRPr="00D0532A" w:rsidRDefault="0081662F" w:rsidP="00EB2357">
            <w:pPr>
              <w:spacing w:after="120"/>
              <w:jc w:val="center"/>
              <w:rPr>
                <w:rFonts w:ascii="Times New Roman" w:hAnsi="Times New Roman" w:cs="Times New Roman"/>
              </w:rPr>
            </w:pPr>
            <w:r w:rsidRPr="00D0532A">
              <w:rPr>
                <w:rFonts w:ascii="Times New Roman" w:hAnsi="Times New Roman" w:cs="Times New Roman"/>
                <w:color w:val="000000"/>
              </w:rPr>
              <w:t>9</w:t>
            </w:r>
            <w:r w:rsidR="00361B01">
              <w:rPr>
                <w:rFonts w:ascii="Times New Roman" w:hAnsi="Times New Roman" w:cs="Times New Roman"/>
                <w:color w:val="000000"/>
              </w:rPr>
              <w:t>8,53</w:t>
            </w:r>
            <w:r w:rsidRPr="00D0532A">
              <w:rPr>
                <w:rFonts w:ascii="Times New Roman" w:hAnsi="Times New Roman" w:cs="Times New Roman"/>
                <w:color w:val="000000"/>
              </w:rPr>
              <w:t>%</w:t>
            </w:r>
          </w:p>
        </w:tc>
      </w:tr>
    </w:tbl>
    <w:p w14:paraId="4198CDFF" w14:textId="77777777" w:rsidR="0081662F" w:rsidRPr="00D0532A" w:rsidRDefault="0081662F" w:rsidP="0081662F">
      <w:pPr>
        <w:tabs>
          <w:tab w:val="left" w:pos="284"/>
        </w:tabs>
        <w:jc w:val="both"/>
        <w:rPr>
          <w:rFonts w:ascii="Times New Roman" w:hAnsi="Times New Roman" w:cs="Times New Roman"/>
          <w:bCs/>
          <w:i/>
        </w:rPr>
      </w:pPr>
    </w:p>
    <w:tbl>
      <w:tblPr>
        <w:tblW w:w="4964" w:type="pct"/>
        <w:tblLayout w:type="fixed"/>
        <w:tblLook w:val="04A0" w:firstRow="1" w:lastRow="0" w:firstColumn="1" w:lastColumn="0" w:noHBand="0" w:noVBand="1"/>
      </w:tblPr>
      <w:tblGrid>
        <w:gridCol w:w="4981"/>
        <w:gridCol w:w="1526"/>
        <w:gridCol w:w="1427"/>
        <w:gridCol w:w="1061"/>
      </w:tblGrid>
      <w:tr w:rsidR="0081662F" w:rsidRPr="00D0532A" w14:paraId="1AAAAAD8" w14:textId="77777777" w:rsidTr="00361B01">
        <w:trPr>
          <w:trHeight w:val="895"/>
        </w:trPr>
        <w:tc>
          <w:tcPr>
            <w:tcW w:w="2769"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E2377F2" w14:textId="77777777" w:rsidR="0081662F" w:rsidRPr="00D0532A" w:rsidRDefault="0081662F" w:rsidP="00EB2357">
            <w:pPr>
              <w:jc w:val="both"/>
              <w:rPr>
                <w:rFonts w:ascii="Times New Roman" w:hAnsi="Times New Roman" w:cs="Times New Roman"/>
                <w:bCs/>
                <w:color w:val="000000"/>
              </w:rPr>
            </w:pPr>
            <w:r w:rsidRPr="00D0532A">
              <w:rPr>
                <w:rFonts w:ascii="Times New Roman" w:hAnsi="Times New Roman" w:cs="Times New Roman"/>
                <w:bCs/>
                <w:color w:val="000000"/>
              </w:rPr>
              <w:t>Naziv aktivnosti</w:t>
            </w:r>
          </w:p>
        </w:tc>
        <w:tc>
          <w:tcPr>
            <w:tcW w:w="848" w:type="pct"/>
            <w:tcBorders>
              <w:top w:val="single" w:sz="4" w:space="0" w:color="auto"/>
              <w:left w:val="nil"/>
              <w:bottom w:val="single" w:sz="4" w:space="0" w:color="auto"/>
              <w:right w:val="single" w:sz="4" w:space="0" w:color="auto"/>
            </w:tcBorders>
            <w:shd w:val="clear" w:color="auto" w:fill="BFBFBF"/>
            <w:vAlign w:val="center"/>
            <w:hideMark/>
          </w:tcPr>
          <w:p w14:paraId="51BD3D41" w14:textId="77777777" w:rsidR="0081662F" w:rsidRPr="00D0532A" w:rsidRDefault="0081662F" w:rsidP="00EB2357">
            <w:pPr>
              <w:jc w:val="center"/>
              <w:rPr>
                <w:rFonts w:ascii="Times New Roman" w:hAnsi="Times New Roman" w:cs="Times New Roman"/>
                <w:bCs/>
                <w:color w:val="000000"/>
              </w:rPr>
            </w:pPr>
            <w:r w:rsidRPr="00D0532A">
              <w:rPr>
                <w:rFonts w:ascii="Times New Roman" w:hAnsi="Times New Roman" w:cs="Times New Roman"/>
                <w:bCs/>
                <w:color w:val="000000"/>
              </w:rPr>
              <w:t>Rebalans</w:t>
            </w:r>
          </w:p>
          <w:p w14:paraId="63E3C53F" w14:textId="77777777" w:rsidR="0081662F" w:rsidRPr="00D0532A" w:rsidRDefault="0081662F" w:rsidP="00EB2357">
            <w:pPr>
              <w:jc w:val="center"/>
              <w:rPr>
                <w:rFonts w:ascii="Times New Roman" w:hAnsi="Times New Roman" w:cs="Times New Roman"/>
                <w:bCs/>
                <w:color w:val="000000"/>
              </w:rPr>
            </w:pPr>
            <w:r w:rsidRPr="00D0532A">
              <w:rPr>
                <w:rFonts w:ascii="Times New Roman" w:hAnsi="Times New Roman" w:cs="Times New Roman"/>
                <w:bCs/>
                <w:color w:val="000000"/>
              </w:rPr>
              <w:t>2024.</w:t>
            </w:r>
          </w:p>
        </w:tc>
        <w:tc>
          <w:tcPr>
            <w:tcW w:w="793" w:type="pct"/>
            <w:tcBorders>
              <w:top w:val="single" w:sz="4" w:space="0" w:color="auto"/>
              <w:left w:val="nil"/>
              <w:bottom w:val="single" w:sz="4" w:space="0" w:color="auto"/>
              <w:right w:val="single" w:sz="4" w:space="0" w:color="auto"/>
            </w:tcBorders>
            <w:shd w:val="clear" w:color="auto" w:fill="BFBFBF"/>
            <w:vAlign w:val="center"/>
            <w:hideMark/>
          </w:tcPr>
          <w:p w14:paraId="3412EB89" w14:textId="77777777" w:rsidR="0081662F" w:rsidRPr="00D0532A" w:rsidRDefault="0081662F" w:rsidP="00EB2357">
            <w:pPr>
              <w:jc w:val="center"/>
              <w:rPr>
                <w:rFonts w:ascii="Times New Roman" w:hAnsi="Times New Roman" w:cs="Times New Roman"/>
                <w:bCs/>
                <w:color w:val="000000"/>
              </w:rPr>
            </w:pPr>
            <w:r w:rsidRPr="00D0532A">
              <w:rPr>
                <w:rFonts w:ascii="Times New Roman" w:hAnsi="Times New Roman" w:cs="Times New Roman"/>
                <w:bCs/>
                <w:color w:val="000000"/>
              </w:rPr>
              <w:t>Izvršenje 2024</w:t>
            </w:r>
          </w:p>
        </w:tc>
        <w:tc>
          <w:tcPr>
            <w:tcW w:w="590" w:type="pct"/>
            <w:tcBorders>
              <w:top w:val="single" w:sz="4" w:space="0" w:color="auto"/>
              <w:left w:val="nil"/>
              <w:bottom w:val="single" w:sz="4" w:space="0" w:color="auto"/>
              <w:right w:val="single" w:sz="4" w:space="0" w:color="auto"/>
            </w:tcBorders>
            <w:shd w:val="clear" w:color="auto" w:fill="BFBFBF"/>
            <w:vAlign w:val="center"/>
          </w:tcPr>
          <w:p w14:paraId="54E2C4F4" w14:textId="77777777" w:rsidR="0081662F" w:rsidRPr="00D0532A" w:rsidRDefault="0081662F" w:rsidP="00EB2357">
            <w:pPr>
              <w:jc w:val="center"/>
              <w:rPr>
                <w:rFonts w:ascii="Times New Roman" w:hAnsi="Times New Roman" w:cs="Times New Roman"/>
                <w:bCs/>
                <w:color w:val="000000"/>
              </w:rPr>
            </w:pPr>
            <w:r w:rsidRPr="00D0532A">
              <w:rPr>
                <w:rFonts w:ascii="Times New Roman" w:hAnsi="Times New Roman" w:cs="Times New Roman"/>
                <w:bCs/>
                <w:color w:val="000000"/>
              </w:rPr>
              <w:t>Indeks</w:t>
            </w:r>
          </w:p>
        </w:tc>
      </w:tr>
      <w:tr w:rsidR="0081662F" w:rsidRPr="00D0532A" w14:paraId="7639004E" w14:textId="77777777" w:rsidTr="00361B01">
        <w:trPr>
          <w:trHeight w:val="334"/>
        </w:trPr>
        <w:tc>
          <w:tcPr>
            <w:tcW w:w="2769" w:type="pct"/>
            <w:tcBorders>
              <w:top w:val="single" w:sz="4" w:space="0" w:color="auto"/>
              <w:left w:val="single" w:sz="4" w:space="0" w:color="auto"/>
              <w:bottom w:val="single" w:sz="4" w:space="0" w:color="auto"/>
              <w:right w:val="single" w:sz="4" w:space="0" w:color="auto"/>
            </w:tcBorders>
            <w:shd w:val="clear" w:color="auto" w:fill="auto"/>
            <w:hideMark/>
          </w:tcPr>
          <w:p w14:paraId="2068F105" w14:textId="77777777" w:rsidR="0081662F" w:rsidRPr="00D0532A" w:rsidRDefault="0081662F" w:rsidP="00EB2357">
            <w:pPr>
              <w:jc w:val="both"/>
              <w:rPr>
                <w:rFonts w:ascii="Times New Roman" w:hAnsi="Times New Roman" w:cs="Times New Roman"/>
                <w:color w:val="000000"/>
              </w:rPr>
            </w:pPr>
            <w:r w:rsidRPr="00D0532A">
              <w:rPr>
                <w:rFonts w:ascii="Times New Roman" w:hAnsi="Times New Roman" w:cs="Times New Roman"/>
                <w:color w:val="000000"/>
              </w:rPr>
              <w:t xml:space="preserve">Aktivnost A100501 Redovan rad javne vatrogasne postrojbe </w:t>
            </w:r>
          </w:p>
        </w:tc>
        <w:tc>
          <w:tcPr>
            <w:tcW w:w="848" w:type="pct"/>
            <w:tcBorders>
              <w:top w:val="nil"/>
              <w:left w:val="nil"/>
              <w:bottom w:val="single" w:sz="4" w:space="0" w:color="auto"/>
              <w:right w:val="single" w:sz="4" w:space="0" w:color="auto"/>
            </w:tcBorders>
            <w:shd w:val="clear" w:color="auto" w:fill="auto"/>
            <w:noWrap/>
            <w:vAlign w:val="center"/>
            <w:hideMark/>
          </w:tcPr>
          <w:p w14:paraId="74F30A68" w14:textId="77777777" w:rsidR="0081662F" w:rsidRPr="00D0532A" w:rsidRDefault="0081662F" w:rsidP="00EB2357">
            <w:pPr>
              <w:jc w:val="center"/>
              <w:rPr>
                <w:rFonts w:ascii="Times New Roman" w:hAnsi="Times New Roman" w:cs="Times New Roman"/>
                <w:color w:val="000000"/>
              </w:rPr>
            </w:pPr>
            <w:r w:rsidRPr="00D0532A">
              <w:rPr>
                <w:rFonts w:ascii="Times New Roman" w:eastAsia="Calibri" w:hAnsi="Times New Roman" w:cs="Times New Roman"/>
                <w:color w:val="000000"/>
                <w:lang w:val="en-US"/>
              </w:rPr>
              <w:t>589.296,20</w:t>
            </w:r>
          </w:p>
        </w:tc>
        <w:tc>
          <w:tcPr>
            <w:tcW w:w="793" w:type="pct"/>
            <w:tcBorders>
              <w:top w:val="nil"/>
              <w:left w:val="nil"/>
              <w:bottom w:val="single" w:sz="4" w:space="0" w:color="auto"/>
              <w:right w:val="single" w:sz="4" w:space="0" w:color="auto"/>
            </w:tcBorders>
            <w:shd w:val="clear" w:color="auto" w:fill="auto"/>
            <w:noWrap/>
            <w:vAlign w:val="center"/>
            <w:hideMark/>
          </w:tcPr>
          <w:p w14:paraId="2AE31D76" w14:textId="65A1C8F3" w:rsidR="0081662F" w:rsidRPr="00D0532A" w:rsidRDefault="0081662F" w:rsidP="00EB2357">
            <w:pPr>
              <w:jc w:val="center"/>
              <w:rPr>
                <w:rFonts w:ascii="Times New Roman" w:hAnsi="Times New Roman" w:cs="Times New Roman"/>
                <w:color w:val="000000"/>
              </w:rPr>
            </w:pPr>
            <w:r w:rsidRPr="00D0532A">
              <w:rPr>
                <w:rFonts w:ascii="Times New Roman" w:eastAsia="Calibri" w:hAnsi="Times New Roman" w:cs="Times New Roman"/>
                <w:color w:val="000000"/>
                <w:lang w:val="en-US"/>
              </w:rPr>
              <w:t>5</w:t>
            </w:r>
            <w:r w:rsidR="00361B01">
              <w:rPr>
                <w:rFonts w:ascii="Times New Roman" w:eastAsia="Calibri" w:hAnsi="Times New Roman" w:cs="Times New Roman"/>
                <w:color w:val="000000"/>
                <w:lang w:val="en-US"/>
              </w:rPr>
              <w:t>77.687,56</w:t>
            </w:r>
          </w:p>
        </w:tc>
        <w:tc>
          <w:tcPr>
            <w:tcW w:w="590" w:type="pct"/>
            <w:tcBorders>
              <w:top w:val="nil"/>
              <w:left w:val="nil"/>
              <w:bottom w:val="single" w:sz="4" w:space="0" w:color="auto"/>
              <w:right w:val="single" w:sz="4" w:space="0" w:color="auto"/>
            </w:tcBorders>
            <w:vAlign w:val="center"/>
          </w:tcPr>
          <w:p w14:paraId="65EDFE13" w14:textId="099E4014" w:rsidR="0081662F" w:rsidRPr="00D0532A" w:rsidRDefault="00361B01" w:rsidP="00EB2357">
            <w:pPr>
              <w:jc w:val="center"/>
              <w:rPr>
                <w:rFonts w:ascii="Times New Roman" w:hAnsi="Times New Roman" w:cs="Times New Roman"/>
                <w:color w:val="000000"/>
              </w:rPr>
            </w:pPr>
            <w:r>
              <w:rPr>
                <w:rFonts w:ascii="Times New Roman" w:hAnsi="Times New Roman" w:cs="Times New Roman"/>
                <w:color w:val="000000"/>
              </w:rPr>
              <w:t>98,53%</w:t>
            </w:r>
          </w:p>
        </w:tc>
      </w:tr>
      <w:tr w:rsidR="0081662F" w:rsidRPr="00D0532A" w14:paraId="098E7AA9" w14:textId="77777777" w:rsidTr="00361B01">
        <w:trPr>
          <w:trHeight w:val="334"/>
        </w:trPr>
        <w:tc>
          <w:tcPr>
            <w:tcW w:w="2769" w:type="pct"/>
            <w:tcBorders>
              <w:top w:val="single" w:sz="4" w:space="0" w:color="auto"/>
              <w:left w:val="single" w:sz="4" w:space="0" w:color="auto"/>
              <w:bottom w:val="single" w:sz="4" w:space="0" w:color="auto"/>
              <w:right w:val="single" w:sz="4" w:space="0" w:color="auto"/>
            </w:tcBorders>
            <w:shd w:val="clear" w:color="auto" w:fill="auto"/>
            <w:noWrap/>
            <w:hideMark/>
          </w:tcPr>
          <w:p w14:paraId="03CDB5A3" w14:textId="77777777" w:rsidR="0081662F" w:rsidRPr="00D0532A" w:rsidRDefault="0081662F" w:rsidP="00EB2357">
            <w:pPr>
              <w:jc w:val="both"/>
              <w:rPr>
                <w:rFonts w:ascii="Times New Roman" w:hAnsi="Times New Roman" w:cs="Times New Roman"/>
                <w:color w:val="000000"/>
              </w:rPr>
            </w:pPr>
            <w:r w:rsidRPr="00D0532A">
              <w:rPr>
                <w:rFonts w:ascii="Times New Roman" w:hAnsi="Times New Roman" w:cs="Times New Roman"/>
                <w:color w:val="000000"/>
              </w:rPr>
              <w:t>Aktivnost A 100504 Redovan rad javne vatrogasne postrojbe-decentralizirana sredstva</w:t>
            </w:r>
          </w:p>
        </w:tc>
        <w:tc>
          <w:tcPr>
            <w:tcW w:w="848" w:type="pct"/>
            <w:tcBorders>
              <w:top w:val="nil"/>
              <w:left w:val="nil"/>
              <w:bottom w:val="single" w:sz="4" w:space="0" w:color="auto"/>
              <w:right w:val="single" w:sz="4" w:space="0" w:color="auto"/>
            </w:tcBorders>
            <w:shd w:val="clear" w:color="auto" w:fill="auto"/>
            <w:noWrap/>
            <w:vAlign w:val="center"/>
            <w:hideMark/>
          </w:tcPr>
          <w:p w14:paraId="05BDE717" w14:textId="77777777" w:rsidR="0081662F" w:rsidRPr="00D0532A" w:rsidRDefault="0081662F" w:rsidP="00EB2357">
            <w:pPr>
              <w:jc w:val="center"/>
              <w:rPr>
                <w:rFonts w:ascii="Times New Roman" w:hAnsi="Times New Roman" w:cs="Times New Roman"/>
                <w:color w:val="000000"/>
              </w:rPr>
            </w:pPr>
            <w:r w:rsidRPr="00D0532A">
              <w:rPr>
                <w:rFonts w:ascii="Times New Roman" w:eastAsia="Calibri" w:hAnsi="Times New Roman" w:cs="Times New Roman"/>
                <w:color w:val="000000"/>
                <w:lang w:val="en-US"/>
              </w:rPr>
              <w:t>321.630,00</w:t>
            </w:r>
          </w:p>
        </w:tc>
        <w:tc>
          <w:tcPr>
            <w:tcW w:w="793" w:type="pct"/>
            <w:tcBorders>
              <w:top w:val="nil"/>
              <w:left w:val="nil"/>
              <w:bottom w:val="single" w:sz="4" w:space="0" w:color="auto"/>
              <w:right w:val="single" w:sz="4" w:space="0" w:color="auto"/>
            </w:tcBorders>
            <w:shd w:val="clear" w:color="auto" w:fill="auto"/>
            <w:noWrap/>
            <w:vAlign w:val="center"/>
            <w:hideMark/>
          </w:tcPr>
          <w:p w14:paraId="61570BA9" w14:textId="6DE87D13" w:rsidR="0081662F" w:rsidRPr="00D0532A" w:rsidRDefault="0081662F" w:rsidP="00EB2357">
            <w:pPr>
              <w:jc w:val="center"/>
              <w:rPr>
                <w:rFonts w:ascii="Times New Roman" w:hAnsi="Times New Roman" w:cs="Times New Roman"/>
                <w:color w:val="000000"/>
              </w:rPr>
            </w:pPr>
            <w:r w:rsidRPr="00D0532A">
              <w:rPr>
                <w:rFonts w:ascii="Times New Roman" w:eastAsia="Calibri" w:hAnsi="Times New Roman" w:cs="Times New Roman"/>
                <w:color w:val="000000"/>
                <w:lang w:val="en-US"/>
              </w:rPr>
              <w:t>3</w:t>
            </w:r>
            <w:r w:rsidR="00361B01">
              <w:rPr>
                <w:rFonts w:ascii="Times New Roman" w:eastAsia="Calibri" w:hAnsi="Times New Roman" w:cs="Times New Roman"/>
                <w:color w:val="000000"/>
                <w:lang w:val="en-US"/>
              </w:rPr>
              <w:t>22.088,63</w:t>
            </w:r>
          </w:p>
        </w:tc>
        <w:tc>
          <w:tcPr>
            <w:tcW w:w="590" w:type="pct"/>
            <w:tcBorders>
              <w:top w:val="nil"/>
              <w:left w:val="nil"/>
              <w:bottom w:val="single" w:sz="4" w:space="0" w:color="auto"/>
              <w:right w:val="single" w:sz="4" w:space="0" w:color="auto"/>
            </w:tcBorders>
            <w:vAlign w:val="center"/>
          </w:tcPr>
          <w:p w14:paraId="636735F9" w14:textId="14651820" w:rsidR="0081662F" w:rsidRPr="00D0532A" w:rsidRDefault="0081662F" w:rsidP="00EB2357">
            <w:pPr>
              <w:jc w:val="center"/>
              <w:rPr>
                <w:rFonts w:ascii="Times New Roman" w:hAnsi="Times New Roman" w:cs="Times New Roman"/>
                <w:color w:val="000000"/>
              </w:rPr>
            </w:pPr>
            <w:r w:rsidRPr="00D0532A">
              <w:rPr>
                <w:rFonts w:ascii="Times New Roman" w:eastAsia="Calibri" w:hAnsi="Times New Roman" w:cs="Times New Roman"/>
                <w:color w:val="000000"/>
                <w:lang w:val="en-US"/>
              </w:rPr>
              <w:t>100,</w:t>
            </w:r>
            <w:r w:rsidR="00361B01">
              <w:rPr>
                <w:rFonts w:ascii="Times New Roman" w:eastAsia="Calibri" w:hAnsi="Times New Roman" w:cs="Times New Roman"/>
                <w:color w:val="000000"/>
                <w:lang w:val="en-US"/>
              </w:rPr>
              <w:t>14</w:t>
            </w:r>
            <w:r w:rsidRPr="00D0532A">
              <w:rPr>
                <w:rFonts w:ascii="Times New Roman" w:eastAsia="Calibri" w:hAnsi="Times New Roman" w:cs="Times New Roman"/>
                <w:color w:val="000000"/>
                <w:lang w:val="en-US"/>
              </w:rPr>
              <w:t>%</w:t>
            </w:r>
          </w:p>
        </w:tc>
      </w:tr>
      <w:tr w:rsidR="0081662F" w:rsidRPr="00D0532A" w14:paraId="008CAE30" w14:textId="77777777" w:rsidTr="00361B01">
        <w:trPr>
          <w:trHeight w:val="334"/>
        </w:trPr>
        <w:tc>
          <w:tcPr>
            <w:tcW w:w="2769" w:type="pct"/>
            <w:tcBorders>
              <w:top w:val="single" w:sz="4" w:space="0" w:color="auto"/>
              <w:left w:val="single" w:sz="4" w:space="0" w:color="auto"/>
              <w:bottom w:val="single" w:sz="4" w:space="0" w:color="auto"/>
              <w:right w:val="single" w:sz="4" w:space="0" w:color="auto"/>
            </w:tcBorders>
            <w:shd w:val="clear" w:color="auto" w:fill="auto"/>
            <w:noWrap/>
          </w:tcPr>
          <w:p w14:paraId="3A0459C5" w14:textId="77777777" w:rsidR="0081662F" w:rsidRPr="00D0532A" w:rsidRDefault="0081662F" w:rsidP="00EB2357">
            <w:pPr>
              <w:jc w:val="both"/>
              <w:rPr>
                <w:rFonts w:ascii="Times New Roman" w:hAnsi="Times New Roman" w:cs="Times New Roman"/>
                <w:color w:val="000000"/>
              </w:rPr>
            </w:pPr>
            <w:r w:rsidRPr="00D0532A">
              <w:rPr>
                <w:rFonts w:ascii="Times New Roman" w:hAnsi="Times New Roman" w:cs="Times New Roman"/>
                <w:color w:val="000000"/>
              </w:rPr>
              <w:t>Kapitalni projekt K100501 nabava dugotrajne imovine (Javna vatrogasna postrojba)</w:t>
            </w:r>
          </w:p>
        </w:tc>
        <w:tc>
          <w:tcPr>
            <w:tcW w:w="848" w:type="pct"/>
            <w:tcBorders>
              <w:top w:val="nil"/>
              <w:left w:val="nil"/>
              <w:bottom w:val="single" w:sz="4" w:space="0" w:color="auto"/>
              <w:right w:val="single" w:sz="4" w:space="0" w:color="auto"/>
            </w:tcBorders>
            <w:shd w:val="clear" w:color="auto" w:fill="auto"/>
            <w:noWrap/>
            <w:vAlign w:val="center"/>
          </w:tcPr>
          <w:p w14:paraId="53F4B321" w14:textId="77777777" w:rsidR="0081662F" w:rsidRPr="00D0532A" w:rsidRDefault="0081662F" w:rsidP="00EB2357">
            <w:pPr>
              <w:jc w:val="center"/>
              <w:rPr>
                <w:rFonts w:ascii="Times New Roman" w:hAnsi="Times New Roman" w:cs="Times New Roman"/>
                <w:color w:val="000000"/>
              </w:rPr>
            </w:pPr>
            <w:r w:rsidRPr="00D0532A">
              <w:rPr>
                <w:rFonts w:ascii="Times New Roman" w:eastAsia="Calibri" w:hAnsi="Times New Roman" w:cs="Times New Roman"/>
                <w:color w:val="000000"/>
                <w:lang w:val="en-US"/>
              </w:rPr>
              <w:t>25.600,00</w:t>
            </w:r>
          </w:p>
        </w:tc>
        <w:tc>
          <w:tcPr>
            <w:tcW w:w="793" w:type="pct"/>
            <w:tcBorders>
              <w:top w:val="nil"/>
              <w:left w:val="nil"/>
              <w:bottom w:val="single" w:sz="4" w:space="0" w:color="auto"/>
              <w:right w:val="single" w:sz="4" w:space="0" w:color="auto"/>
            </w:tcBorders>
            <w:shd w:val="clear" w:color="auto" w:fill="auto"/>
            <w:noWrap/>
            <w:vAlign w:val="center"/>
          </w:tcPr>
          <w:p w14:paraId="6D88EDA6" w14:textId="77777777" w:rsidR="0081662F" w:rsidRPr="00D0532A" w:rsidRDefault="0081662F" w:rsidP="00EB2357">
            <w:pPr>
              <w:jc w:val="center"/>
              <w:rPr>
                <w:rFonts w:ascii="Times New Roman" w:hAnsi="Times New Roman" w:cs="Times New Roman"/>
                <w:color w:val="000000"/>
              </w:rPr>
            </w:pPr>
            <w:r w:rsidRPr="00D0532A">
              <w:rPr>
                <w:rFonts w:ascii="Times New Roman" w:eastAsia="Calibri" w:hAnsi="Times New Roman" w:cs="Times New Roman"/>
                <w:color w:val="000000"/>
                <w:lang w:val="en-US"/>
              </w:rPr>
              <w:t>22.995,15</w:t>
            </w:r>
          </w:p>
        </w:tc>
        <w:tc>
          <w:tcPr>
            <w:tcW w:w="590" w:type="pct"/>
            <w:tcBorders>
              <w:top w:val="nil"/>
              <w:left w:val="nil"/>
              <w:bottom w:val="single" w:sz="4" w:space="0" w:color="auto"/>
              <w:right w:val="single" w:sz="4" w:space="0" w:color="auto"/>
            </w:tcBorders>
            <w:vAlign w:val="center"/>
          </w:tcPr>
          <w:p w14:paraId="3911F264" w14:textId="77777777" w:rsidR="0081662F" w:rsidRPr="00D0532A" w:rsidRDefault="0081662F" w:rsidP="00EB2357">
            <w:pPr>
              <w:jc w:val="center"/>
              <w:rPr>
                <w:rFonts w:ascii="Times New Roman" w:hAnsi="Times New Roman" w:cs="Times New Roman"/>
                <w:color w:val="000000"/>
              </w:rPr>
            </w:pPr>
            <w:r w:rsidRPr="00D0532A">
              <w:rPr>
                <w:rFonts w:ascii="Times New Roman" w:eastAsia="Calibri" w:hAnsi="Times New Roman" w:cs="Times New Roman"/>
                <w:color w:val="000000"/>
                <w:lang w:val="en-US"/>
              </w:rPr>
              <w:t>89,82%</w:t>
            </w:r>
          </w:p>
        </w:tc>
      </w:tr>
      <w:tr w:rsidR="0081662F" w:rsidRPr="00D0532A" w14:paraId="045D4C7E" w14:textId="77777777" w:rsidTr="00361B01">
        <w:trPr>
          <w:trHeight w:val="334"/>
        </w:trPr>
        <w:tc>
          <w:tcPr>
            <w:tcW w:w="2769" w:type="pct"/>
            <w:tcBorders>
              <w:top w:val="single" w:sz="4" w:space="0" w:color="auto"/>
              <w:left w:val="single" w:sz="4" w:space="0" w:color="auto"/>
              <w:bottom w:val="single" w:sz="4" w:space="0" w:color="auto"/>
              <w:right w:val="single" w:sz="4" w:space="0" w:color="auto"/>
            </w:tcBorders>
            <w:shd w:val="clear" w:color="auto" w:fill="auto"/>
            <w:noWrap/>
            <w:hideMark/>
          </w:tcPr>
          <w:p w14:paraId="30032255" w14:textId="77777777" w:rsidR="0081662F" w:rsidRPr="00D0532A" w:rsidRDefault="0081662F" w:rsidP="00EB2357">
            <w:pPr>
              <w:jc w:val="both"/>
              <w:rPr>
                <w:rFonts w:ascii="Times New Roman" w:hAnsi="Times New Roman" w:cs="Times New Roman"/>
                <w:b/>
                <w:color w:val="000000"/>
              </w:rPr>
            </w:pPr>
            <w:r w:rsidRPr="00D0532A">
              <w:rPr>
                <w:rFonts w:ascii="Times New Roman" w:hAnsi="Times New Roman" w:cs="Times New Roman"/>
                <w:b/>
                <w:color w:val="000000"/>
              </w:rPr>
              <w:t>Ukupno program:</w:t>
            </w:r>
          </w:p>
        </w:tc>
        <w:tc>
          <w:tcPr>
            <w:tcW w:w="848" w:type="pct"/>
            <w:tcBorders>
              <w:top w:val="nil"/>
              <w:left w:val="nil"/>
              <w:bottom w:val="single" w:sz="4" w:space="0" w:color="auto"/>
              <w:right w:val="single" w:sz="4" w:space="0" w:color="auto"/>
            </w:tcBorders>
            <w:shd w:val="clear" w:color="auto" w:fill="auto"/>
            <w:noWrap/>
            <w:vAlign w:val="center"/>
            <w:hideMark/>
          </w:tcPr>
          <w:p w14:paraId="0348E7E2" w14:textId="77777777" w:rsidR="0081662F" w:rsidRPr="00D0532A" w:rsidRDefault="0081662F" w:rsidP="00EB2357">
            <w:pPr>
              <w:jc w:val="center"/>
              <w:rPr>
                <w:rFonts w:ascii="Times New Roman" w:hAnsi="Times New Roman" w:cs="Times New Roman"/>
                <w:b/>
                <w:bCs/>
                <w:color w:val="000000"/>
              </w:rPr>
            </w:pPr>
            <w:r w:rsidRPr="00D0532A">
              <w:rPr>
                <w:rFonts w:ascii="Times New Roman" w:eastAsia="Calibri" w:hAnsi="Times New Roman" w:cs="Times New Roman"/>
                <w:b/>
                <w:bCs/>
                <w:color w:val="000000"/>
                <w:lang w:val="en-US"/>
              </w:rPr>
              <w:t>936.526,20</w:t>
            </w:r>
          </w:p>
        </w:tc>
        <w:tc>
          <w:tcPr>
            <w:tcW w:w="793" w:type="pct"/>
            <w:tcBorders>
              <w:top w:val="nil"/>
              <w:left w:val="nil"/>
              <w:bottom w:val="single" w:sz="4" w:space="0" w:color="auto"/>
              <w:right w:val="single" w:sz="4" w:space="0" w:color="auto"/>
            </w:tcBorders>
            <w:shd w:val="clear" w:color="auto" w:fill="auto"/>
            <w:noWrap/>
            <w:vAlign w:val="center"/>
            <w:hideMark/>
          </w:tcPr>
          <w:p w14:paraId="1EF46F48" w14:textId="6D5B961F" w:rsidR="0081662F" w:rsidRPr="00D0532A" w:rsidRDefault="00361B01" w:rsidP="00EB2357">
            <w:pPr>
              <w:jc w:val="center"/>
              <w:rPr>
                <w:rFonts w:ascii="Times New Roman" w:hAnsi="Times New Roman" w:cs="Times New Roman"/>
                <w:b/>
                <w:bCs/>
                <w:color w:val="000000"/>
              </w:rPr>
            </w:pPr>
            <w:r>
              <w:rPr>
                <w:rFonts w:ascii="Times New Roman" w:hAnsi="Times New Roman" w:cs="Times New Roman"/>
                <w:b/>
                <w:bCs/>
                <w:color w:val="000000"/>
              </w:rPr>
              <w:t>922.771,34</w:t>
            </w:r>
          </w:p>
        </w:tc>
        <w:tc>
          <w:tcPr>
            <w:tcW w:w="590" w:type="pct"/>
            <w:tcBorders>
              <w:top w:val="nil"/>
              <w:left w:val="nil"/>
              <w:bottom w:val="single" w:sz="4" w:space="0" w:color="auto"/>
              <w:right w:val="single" w:sz="4" w:space="0" w:color="auto"/>
            </w:tcBorders>
            <w:vAlign w:val="center"/>
          </w:tcPr>
          <w:p w14:paraId="225DD266" w14:textId="6CB4573B" w:rsidR="0081662F" w:rsidRPr="00D0532A" w:rsidRDefault="00361B01" w:rsidP="00EB2357">
            <w:pPr>
              <w:jc w:val="center"/>
              <w:rPr>
                <w:rFonts w:ascii="Times New Roman" w:hAnsi="Times New Roman" w:cs="Times New Roman"/>
                <w:b/>
                <w:bCs/>
                <w:color w:val="000000"/>
              </w:rPr>
            </w:pPr>
            <w:r>
              <w:rPr>
                <w:rFonts w:ascii="Times New Roman" w:eastAsia="Calibri" w:hAnsi="Times New Roman" w:cs="Times New Roman"/>
                <w:b/>
                <w:bCs/>
                <w:color w:val="000000"/>
                <w:lang w:val="en-US"/>
              </w:rPr>
              <w:t>98,53</w:t>
            </w:r>
            <w:r w:rsidR="0081662F" w:rsidRPr="00D0532A">
              <w:rPr>
                <w:rFonts w:ascii="Times New Roman" w:eastAsia="Calibri" w:hAnsi="Times New Roman" w:cs="Times New Roman"/>
                <w:b/>
                <w:bCs/>
                <w:color w:val="000000"/>
                <w:lang w:val="en-US"/>
              </w:rPr>
              <w:t>%</w:t>
            </w:r>
          </w:p>
        </w:tc>
      </w:tr>
    </w:tbl>
    <w:p w14:paraId="0A4C26CD" w14:textId="77777777" w:rsidR="0081662F" w:rsidRPr="00D0532A" w:rsidRDefault="0081662F" w:rsidP="0081662F">
      <w:pPr>
        <w:rPr>
          <w:rFonts w:ascii="Times New Roman" w:eastAsia="Calibri" w:hAnsi="Times New Roman" w:cs="Times New Roman"/>
        </w:rPr>
      </w:pPr>
    </w:p>
    <w:tbl>
      <w:tblPr>
        <w:tblW w:w="5000" w:type="pct"/>
        <w:tblLook w:val="04A0" w:firstRow="1" w:lastRow="0" w:firstColumn="1" w:lastColumn="0" w:noHBand="0" w:noVBand="1"/>
      </w:tblPr>
      <w:tblGrid>
        <w:gridCol w:w="9060"/>
      </w:tblGrid>
      <w:tr w:rsidR="0081662F" w:rsidRPr="00D0532A" w14:paraId="1FD717CF" w14:textId="77777777" w:rsidTr="00EB2357">
        <w:trPr>
          <w:trHeight w:val="3115"/>
        </w:trPr>
        <w:tc>
          <w:tcPr>
            <w:tcW w:w="5000" w:type="pct"/>
            <w:tcBorders>
              <w:top w:val="single" w:sz="4" w:space="0" w:color="auto"/>
              <w:left w:val="single" w:sz="4" w:space="0" w:color="auto"/>
              <w:bottom w:val="single" w:sz="4" w:space="0" w:color="auto"/>
              <w:right w:val="single" w:sz="4" w:space="0" w:color="auto"/>
            </w:tcBorders>
            <w:shd w:val="clear" w:color="auto" w:fill="auto"/>
            <w:noWrap/>
            <w:hideMark/>
          </w:tcPr>
          <w:p w14:paraId="267937F7" w14:textId="77777777" w:rsidR="0081662F" w:rsidRPr="00D0532A" w:rsidRDefault="0081662F" w:rsidP="00EB2357">
            <w:pPr>
              <w:ind w:firstLine="709"/>
              <w:jc w:val="both"/>
              <w:rPr>
                <w:rFonts w:ascii="Times New Roman" w:eastAsia="Calibri" w:hAnsi="Times New Roman" w:cs="Times New Roman"/>
                <w:bCs/>
              </w:rPr>
            </w:pPr>
            <w:r w:rsidRPr="00D0532A">
              <w:rPr>
                <w:rFonts w:ascii="Times New Roman" w:hAnsi="Times New Roman" w:cs="Times New Roman"/>
                <w:bCs/>
              </w:rPr>
              <w:t>Opis programa:</w:t>
            </w:r>
            <w:r w:rsidRPr="00D0532A">
              <w:rPr>
                <w:rFonts w:ascii="Times New Roman" w:eastAsia="Calibri" w:hAnsi="Times New Roman" w:cs="Times New Roman"/>
                <w:bCs/>
              </w:rPr>
              <w:t xml:space="preserve"> Redovna djelatnost JVP Garešnica po Strategiji  usmjerena je unapređenju sigurnosti za građane, sa svrhom smanjenja rizika opasnosti po život i imovinu stanovnika i okolinu kroz razvoj odgovarajuće infrastrukture, planiranje i ojačavanje kapaciteta za zaštitu građana na svim razinama, sa ciljem povećanje sigurnosti i kvalitete života na području grada. </w:t>
            </w:r>
          </w:p>
          <w:p w14:paraId="1364C461" w14:textId="77777777" w:rsidR="0081662F" w:rsidRPr="00D0532A" w:rsidRDefault="0081662F" w:rsidP="00EB2357">
            <w:pPr>
              <w:ind w:firstLine="709"/>
              <w:jc w:val="both"/>
              <w:rPr>
                <w:rFonts w:ascii="Times New Roman" w:eastAsia="Calibri" w:hAnsi="Times New Roman" w:cs="Times New Roman"/>
                <w:bCs/>
              </w:rPr>
            </w:pPr>
            <w:r w:rsidRPr="00D0532A">
              <w:rPr>
                <w:rFonts w:ascii="Times New Roman" w:eastAsia="Calibri" w:hAnsi="Times New Roman" w:cs="Times New Roman"/>
                <w:bCs/>
              </w:rPr>
              <w:t>JVP Garešnica je glavna operativna snaga Grada Garešnica u sustavu civilne zaštite za intervencije na gašenju požara, ali i kod tehničko tehnoloških nesreća, prirodnih ugroza (poplava, potres, orkansko nevrijeme i drugo), te drugih tehničkih intervencija.</w:t>
            </w:r>
          </w:p>
          <w:p w14:paraId="1BCE7D91" w14:textId="77777777" w:rsidR="0081662F" w:rsidRPr="009607ED" w:rsidRDefault="0081662F" w:rsidP="00EB2357">
            <w:pPr>
              <w:ind w:firstLine="709"/>
              <w:jc w:val="both"/>
              <w:rPr>
                <w:rFonts w:ascii="Times New Roman" w:eastAsia="Calibri" w:hAnsi="Times New Roman" w:cs="Times New Roman"/>
                <w:bCs/>
              </w:rPr>
            </w:pPr>
            <w:r w:rsidRPr="00D0532A">
              <w:rPr>
                <w:rFonts w:ascii="Times New Roman" w:eastAsia="Calibri" w:hAnsi="Times New Roman" w:cs="Times New Roman"/>
                <w:bCs/>
              </w:rPr>
              <w:t xml:space="preserve">Određivanje ukupnog broja vatrogasaca na području, temelji se na izračunu potrebne vatrogasne tehnike i vatrogasnih snaga, u ovisnosti od broja istovremenih požara, faktora rizika od pojave i širenja požara (karakteristični objekti, broj stanovnika, površine i gustoće naseljenosti), </w:t>
            </w:r>
            <w:r w:rsidRPr="00D0532A">
              <w:rPr>
                <w:rFonts w:ascii="Times New Roman" w:eastAsia="Calibri" w:hAnsi="Times New Roman" w:cs="Times New Roman"/>
                <w:bCs/>
              </w:rPr>
              <w:lastRenderedPageBreak/>
              <w:t>postojećih vatrogasnih snaga, veličine, uređenosti i kategorije ugroženosti šumskih i poljoprivrednih površina, izvorištima vode, stanju prometnica, veličine industrijskih zona, prosječnog broja požara u posljednjih deset godina i drugo.</w:t>
            </w:r>
          </w:p>
          <w:p w14:paraId="5BB3E7F9" w14:textId="77777777" w:rsidR="0081662F" w:rsidRPr="00D0532A" w:rsidRDefault="0081662F" w:rsidP="00EB2357">
            <w:pPr>
              <w:rPr>
                <w:rFonts w:ascii="Times New Roman" w:hAnsi="Times New Roman" w:cs="Times New Roman"/>
                <w:color w:val="000000"/>
              </w:rPr>
            </w:pPr>
          </w:p>
        </w:tc>
      </w:tr>
      <w:tr w:rsidR="0081662F" w:rsidRPr="00D0532A" w14:paraId="0147B9D4" w14:textId="77777777" w:rsidTr="00EB2357">
        <w:trPr>
          <w:trHeight w:val="576"/>
        </w:trPr>
        <w:tc>
          <w:tcPr>
            <w:tcW w:w="5000" w:type="pct"/>
            <w:tcBorders>
              <w:top w:val="single" w:sz="4" w:space="0" w:color="auto"/>
              <w:left w:val="single" w:sz="4" w:space="0" w:color="auto"/>
              <w:bottom w:val="single" w:sz="4" w:space="0" w:color="auto"/>
              <w:right w:val="single" w:sz="4" w:space="0" w:color="auto"/>
            </w:tcBorders>
            <w:shd w:val="clear" w:color="auto" w:fill="auto"/>
            <w:noWrap/>
            <w:hideMark/>
          </w:tcPr>
          <w:p w14:paraId="19B921FD" w14:textId="77777777" w:rsidR="0081662F" w:rsidRPr="00D0532A" w:rsidRDefault="0081662F" w:rsidP="00EB2357">
            <w:pPr>
              <w:rPr>
                <w:rFonts w:ascii="Times New Roman" w:hAnsi="Times New Roman" w:cs="Times New Roman"/>
                <w:color w:val="000000"/>
              </w:rPr>
            </w:pPr>
            <w:r w:rsidRPr="00D0532A">
              <w:rPr>
                <w:rFonts w:ascii="Times New Roman" w:hAnsi="Times New Roman" w:cs="Times New Roman"/>
                <w:b/>
                <w:color w:val="000000"/>
              </w:rPr>
              <w:lastRenderedPageBreak/>
              <w:t>Zakonske i druge pravne osnove programa</w:t>
            </w:r>
            <w:r w:rsidRPr="00D0532A">
              <w:rPr>
                <w:rFonts w:ascii="Times New Roman" w:hAnsi="Times New Roman" w:cs="Times New Roman"/>
                <w:color w:val="000000"/>
              </w:rPr>
              <w:t>:</w:t>
            </w:r>
          </w:p>
          <w:p w14:paraId="6E59ACD1" w14:textId="77777777" w:rsidR="0081662F" w:rsidRPr="00D0532A" w:rsidRDefault="0081662F" w:rsidP="00EB2357">
            <w:pPr>
              <w:jc w:val="both"/>
              <w:rPr>
                <w:rFonts w:ascii="Times New Roman" w:eastAsia="Calibri" w:hAnsi="Times New Roman" w:cs="Times New Roman"/>
              </w:rPr>
            </w:pPr>
            <w:r w:rsidRPr="00D0532A">
              <w:rPr>
                <w:rFonts w:ascii="Times New Roman" w:eastAsia="Calibri" w:hAnsi="Times New Roman" w:cs="Times New Roman"/>
              </w:rPr>
              <w:t xml:space="preserve">            </w:t>
            </w:r>
            <w:r w:rsidRPr="00D0532A">
              <w:rPr>
                <w:rFonts w:ascii="Times New Roman" w:eastAsia="Calibri" w:hAnsi="Times New Roman" w:cs="Times New Roman"/>
                <w:bCs/>
              </w:rPr>
              <w:t>Vatrogasna postrojba mora biti opremljena opremom i sredstvima koja omogućavaju uspješno obavljanje vatrogasne djelatnosti. Pravilnikom o minimumu tehničke opreme i sredstava vatrogasnih postrojbi (“Narodne novine” broj 43/95. i 91/02.) određen je minimum tehničke opreme i sredstava potreban da bi vatrogasne postrojbe mogle obavljati svoju djelatnost.</w:t>
            </w:r>
          </w:p>
        </w:tc>
      </w:tr>
      <w:tr w:rsidR="0081662F" w:rsidRPr="00D0532A" w14:paraId="79F6ADDA" w14:textId="77777777" w:rsidTr="00EB2357">
        <w:trPr>
          <w:trHeight w:val="584"/>
        </w:trPr>
        <w:tc>
          <w:tcPr>
            <w:tcW w:w="5000" w:type="pct"/>
            <w:tcBorders>
              <w:top w:val="single" w:sz="4" w:space="0" w:color="auto"/>
              <w:left w:val="single" w:sz="4" w:space="0" w:color="auto"/>
              <w:bottom w:val="single" w:sz="4" w:space="0" w:color="auto"/>
              <w:right w:val="single" w:sz="4" w:space="0" w:color="000000"/>
            </w:tcBorders>
            <w:shd w:val="clear" w:color="auto" w:fill="auto"/>
            <w:hideMark/>
          </w:tcPr>
          <w:p w14:paraId="37B09CB5" w14:textId="77777777" w:rsidR="0081662F" w:rsidRPr="00D0532A" w:rsidRDefault="0081662F" w:rsidP="00EB2357">
            <w:pPr>
              <w:rPr>
                <w:rFonts w:ascii="Times New Roman" w:hAnsi="Times New Roman" w:cs="Times New Roman"/>
                <w:b/>
                <w:color w:val="000000"/>
              </w:rPr>
            </w:pPr>
            <w:r w:rsidRPr="00D0532A">
              <w:rPr>
                <w:rFonts w:ascii="Times New Roman" w:hAnsi="Times New Roman" w:cs="Times New Roman"/>
                <w:b/>
                <w:color w:val="000000"/>
              </w:rPr>
              <w:t>Ciljevi provedbe programa u razdoblju 2024.-2026.</w:t>
            </w:r>
          </w:p>
          <w:p w14:paraId="0D78A96B" w14:textId="77777777" w:rsidR="0081662F" w:rsidRPr="00D0532A" w:rsidRDefault="0081662F" w:rsidP="00EB2357">
            <w:pPr>
              <w:jc w:val="both"/>
              <w:rPr>
                <w:rFonts w:ascii="Times New Roman" w:hAnsi="Times New Roman" w:cs="Times New Roman"/>
                <w:b/>
                <w:color w:val="000000"/>
              </w:rPr>
            </w:pPr>
            <w:r w:rsidRPr="00D0532A">
              <w:rPr>
                <w:rFonts w:ascii="Times New Roman" w:hAnsi="Times New Roman" w:cs="Times New Roman"/>
                <w:bCs/>
                <w:color w:val="000000"/>
              </w:rPr>
              <w:t xml:space="preserve">Cilj </w:t>
            </w:r>
            <w:r w:rsidRPr="00D0532A">
              <w:rPr>
                <w:rFonts w:ascii="Times New Roman" w:eastAsia="Calibri" w:hAnsi="Times New Roman" w:cs="Times New Roman"/>
                <w:bCs/>
              </w:rPr>
              <w:t>je unaprijediti</w:t>
            </w:r>
            <w:r w:rsidRPr="00D0532A">
              <w:rPr>
                <w:rFonts w:ascii="Times New Roman" w:eastAsia="Calibri" w:hAnsi="Times New Roman" w:cs="Times New Roman"/>
              </w:rPr>
              <w:t xml:space="preserve"> sigurnost za građane, sa svrhom smanjenja rizika opasnosti po život i imovinu stanovnika i okolinu kroz razvoj odgovarajuće infrastrukture, planiranje i ojačavanje kapaciteta za zaštitu građana na svim razinama, sa ciljem povećanje sigurnosti i kvalitete života na području grada. </w:t>
            </w:r>
          </w:p>
          <w:p w14:paraId="69082EC2" w14:textId="77777777" w:rsidR="0081662F" w:rsidRPr="00D0532A" w:rsidRDefault="0081662F" w:rsidP="00EB2357">
            <w:pPr>
              <w:rPr>
                <w:rFonts w:ascii="Times New Roman" w:hAnsi="Times New Roman" w:cs="Times New Roman"/>
                <w:i/>
                <w:color w:val="000000"/>
              </w:rPr>
            </w:pPr>
          </w:p>
        </w:tc>
      </w:tr>
    </w:tbl>
    <w:p w14:paraId="07787B2F" w14:textId="77777777" w:rsidR="0081662F" w:rsidRPr="00D0532A" w:rsidRDefault="0081662F" w:rsidP="0081662F">
      <w:pPr>
        <w:rPr>
          <w:rFonts w:ascii="Times New Roman" w:eastAsia="Calibri" w:hAnsi="Times New Roman" w:cs="Times New Roman"/>
        </w:rPr>
      </w:pPr>
    </w:p>
    <w:tbl>
      <w:tblPr>
        <w:tblW w:w="5000" w:type="pct"/>
        <w:tblLook w:val="04A0" w:firstRow="1" w:lastRow="0" w:firstColumn="1" w:lastColumn="0" w:noHBand="0" w:noVBand="1"/>
      </w:tblPr>
      <w:tblGrid>
        <w:gridCol w:w="8838"/>
        <w:gridCol w:w="222"/>
      </w:tblGrid>
      <w:tr w:rsidR="0081662F" w:rsidRPr="00D0532A" w14:paraId="7778EE68" w14:textId="77777777" w:rsidTr="00EB2357">
        <w:trPr>
          <w:gridAfter w:val="1"/>
          <w:wAfter w:w="122" w:type="pct"/>
          <w:trHeight w:val="343"/>
        </w:trPr>
        <w:tc>
          <w:tcPr>
            <w:tcW w:w="4878" w:type="pct"/>
            <w:tcBorders>
              <w:top w:val="single" w:sz="4" w:space="0" w:color="auto"/>
              <w:left w:val="single" w:sz="4" w:space="0" w:color="auto"/>
              <w:bottom w:val="single" w:sz="4" w:space="0" w:color="auto"/>
              <w:right w:val="single" w:sz="4" w:space="0" w:color="auto"/>
            </w:tcBorders>
            <w:hideMark/>
          </w:tcPr>
          <w:p w14:paraId="341A7EA2" w14:textId="77777777" w:rsidR="0081662F" w:rsidRPr="00D0532A" w:rsidRDefault="0081662F" w:rsidP="00EB2357">
            <w:pPr>
              <w:rPr>
                <w:rFonts w:ascii="Times New Roman" w:hAnsi="Times New Roman" w:cs="Times New Roman"/>
                <w:b/>
                <w:bCs/>
              </w:rPr>
            </w:pPr>
            <w:r w:rsidRPr="00D0532A">
              <w:rPr>
                <w:rFonts w:ascii="Times New Roman" w:hAnsi="Times New Roman" w:cs="Times New Roman"/>
                <w:b/>
                <w:bCs/>
                <w:color w:val="000000"/>
              </w:rPr>
              <w:t>Aktivnost A1005 Redovan rad javne vatrogasne postrojbe</w:t>
            </w:r>
          </w:p>
        </w:tc>
      </w:tr>
      <w:tr w:rsidR="0081662F" w:rsidRPr="00D0532A" w14:paraId="635E29E3" w14:textId="77777777" w:rsidTr="00EB2357">
        <w:trPr>
          <w:gridAfter w:val="1"/>
          <w:wAfter w:w="122" w:type="pct"/>
          <w:trHeight w:val="518"/>
        </w:trPr>
        <w:tc>
          <w:tcPr>
            <w:tcW w:w="4878" w:type="pct"/>
            <w:vMerge w:val="restart"/>
            <w:tcBorders>
              <w:top w:val="single" w:sz="4" w:space="0" w:color="auto"/>
              <w:left w:val="single" w:sz="4" w:space="0" w:color="auto"/>
              <w:bottom w:val="single" w:sz="4" w:space="0" w:color="auto"/>
              <w:right w:val="single" w:sz="4" w:space="0" w:color="auto"/>
            </w:tcBorders>
            <w:hideMark/>
          </w:tcPr>
          <w:p w14:paraId="755EF8A6" w14:textId="77777777" w:rsidR="0081662F" w:rsidRPr="00D0532A" w:rsidRDefault="0081662F" w:rsidP="00EB2357">
            <w:pPr>
              <w:jc w:val="both"/>
              <w:rPr>
                <w:rFonts w:ascii="Times New Roman" w:eastAsia="Calibri" w:hAnsi="Times New Roman" w:cs="Times New Roman"/>
                <w:bCs/>
              </w:rPr>
            </w:pPr>
            <w:r w:rsidRPr="00D0532A">
              <w:rPr>
                <w:rFonts w:ascii="Times New Roman" w:eastAsia="Calibri" w:hAnsi="Times New Roman" w:cs="Times New Roman"/>
                <w:bCs/>
              </w:rPr>
              <w:t>Redovna djelatnost JVP Garešnica usmjerena je unapređenju sigurnosti za građane, sa svrhom smanjenja rizika opasnosti po život i imovinu stanovnika i okolinu kroz razvoj odgovarajuće infrastrukture, planiranje i ojačavanje kapaciteta za zaštitu građana na svim razinama, sa ciljem povećanje sigurnosti i kvalitete života na području grada, a jedan od načina postizanja ovih ciljeva je i skraćenje vremena izlaska na intervenciju.</w:t>
            </w:r>
          </w:p>
          <w:p w14:paraId="5775F5A9" w14:textId="77777777" w:rsidR="0081662F" w:rsidRPr="00D0532A" w:rsidRDefault="0081662F" w:rsidP="00EB2357">
            <w:pPr>
              <w:jc w:val="both"/>
              <w:rPr>
                <w:rFonts w:ascii="Times New Roman" w:hAnsi="Times New Roman" w:cs="Times New Roman"/>
                <w:color w:val="000000"/>
              </w:rPr>
            </w:pPr>
            <w:r w:rsidRPr="00D0532A">
              <w:rPr>
                <w:rFonts w:ascii="Times New Roman" w:eastAsia="Calibri" w:hAnsi="Times New Roman" w:cs="Times New Roman"/>
                <w:bCs/>
                <w:iCs/>
                <w:color w:val="000000"/>
              </w:rPr>
              <w:t>Povećanje troškova za zaposlene planirano je sukladno Pravilniku o klasifikaciji postrojbi i koeficijentima složenosti poslova te radnih mjesta i mjerila za utvrđivanje radnih mjesta vatrogasaca (N.N. broj 85/24),   Uredba o visini dodataka na osnovni koeficijent za radna mjesta profesionalnih vatrogasaca (N.N. 92/24)</w:t>
            </w:r>
          </w:p>
        </w:tc>
      </w:tr>
      <w:tr w:rsidR="0081662F" w:rsidRPr="00D0532A" w14:paraId="074CD704" w14:textId="77777777" w:rsidTr="00EB2357">
        <w:trPr>
          <w:trHeight w:val="705"/>
        </w:trPr>
        <w:tc>
          <w:tcPr>
            <w:tcW w:w="4878" w:type="pct"/>
            <w:vMerge/>
            <w:tcBorders>
              <w:top w:val="single" w:sz="4" w:space="0" w:color="auto"/>
              <w:left w:val="single" w:sz="4" w:space="0" w:color="auto"/>
              <w:bottom w:val="single" w:sz="4" w:space="0" w:color="auto"/>
              <w:right w:val="single" w:sz="4" w:space="0" w:color="auto"/>
            </w:tcBorders>
            <w:vAlign w:val="center"/>
            <w:hideMark/>
          </w:tcPr>
          <w:p w14:paraId="2E79CCF9" w14:textId="77777777" w:rsidR="0081662F" w:rsidRPr="00D0532A" w:rsidRDefault="0081662F" w:rsidP="00EB2357">
            <w:pPr>
              <w:rPr>
                <w:rFonts w:ascii="Times New Roman" w:hAnsi="Times New Roman" w:cs="Times New Roman"/>
                <w:color w:val="000000"/>
              </w:rPr>
            </w:pPr>
          </w:p>
        </w:tc>
        <w:tc>
          <w:tcPr>
            <w:tcW w:w="122" w:type="pct"/>
            <w:vAlign w:val="center"/>
            <w:hideMark/>
          </w:tcPr>
          <w:p w14:paraId="11B92854" w14:textId="77777777" w:rsidR="0081662F" w:rsidRPr="00D0532A" w:rsidRDefault="0081662F" w:rsidP="00EB2357">
            <w:pPr>
              <w:rPr>
                <w:rFonts w:ascii="Times New Roman" w:hAnsi="Times New Roman" w:cs="Times New Roman"/>
                <w:color w:val="000000"/>
              </w:rPr>
            </w:pPr>
          </w:p>
        </w:tc>
      </w:tr>
    </w:tbl>
    <w:p w14:paraId="29E16648" w14:textId="77777777" w:rsidR="0081662F" w:rsidRPr="00D0532A" w:rsidRDefault="0081662F" w:rsidP="0081662F">
      <w:pPr>
        <w:rPr>
          <w:rFonts w:ascii="Times New Roman" w:eastAsia="Calibri" w:hAnsi="Times New Roman" w:cs="Times New Roman"/>
        </w:rPr>
      </w:pPr>
    </w:p>
    <w:p w14:paraId="471DA9FA" w14:textId="77777777" w:rsidR="0081662F" w:rsidRPr="00D0532A" w:rsidRDefault="0081662F" w:rsidP="0081662F">
      <w:pPr>
        <w:rPr>
          <w:rFonts w:ascii="Times New Roman" w:eastAsia="Calibri" w:hAnsi="Times New Roman" w:cs="Times New Roman"/>
          <w:b/>
        </w:rPr>
      </w:pPr>
      <w:r w:rsidRPr="00D0532A">
        <w:rPr>
          <w:rFonts w:ascii="Times New Roman" w:eastAsia="Calibri" w:hAnsi="Times New Roman" w:cs="Times New Roman"/>
          <w:b/>
        </w:rPr>
        <w:t>Pokazatelji rezultata: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6"/>
        <w:gridCol w:w="2006"/>
        <w:gridCol w:w="1178"/>
        <w:gridCol w:w="1412"/>
        <w:gridCol w:w="1518"/>
        <w:gridCol w:w="1310"/>
      </w:tblGrid>
      <w:tr w:rsidR="0081662F" w:rsidRPr="00D0532A" w14:paraId="42973011" w14:textId="77777777" w:rsidTr="001D39EA">
        <w:trPr>
          <w:trHeight w:val="795"/>
        </w:trPr>
        <w:tc>
          <w:tcPr>
            <w:tcW w:w="903" w:type="pct"/>
            <w:shd w:val="clear" w:color="auto" w:fill="BFBFBF"/>
          </w:tcPr>
          <w:p w14:paraId="580EC325" w14:textId="77777777" w:rsidR="0081662F" w:rsidRPr="00D0532A" w:rsidRDefault="0081662F" w:rsidP="00EB2357">
            <w:pPr>
              <w:jc w:val="center"/>
              <w:rPr>
                <w:rFonts w:ascii="Times New Roman" w:hAnsi="Times New Roman" w:cs="Times New Roman"/>
                <w:b/>
                <w:color w:val="000000"/>
              </w:rPr>
            </w:pPr>
            <w:r w:rsidRPr="00D0532A">
              <w:rPr>
                <w:rFonts w:ascii="Times New Roman" w:hAnsi="Times New Roman" w:cs="Times New Roman"/>
                <w:b/>
                <w:color w:val="000000"/>
              </w:rPr>
              <w:t>Pokazatelj</w:t>
            </w:r>
          </w:p>
          <w:p w14:paraId="49614ECA" w14:textId="77777777" w:rsidR="0081662F" w:rsidRPr="00D0532A" w:rsidRDefault="0081662F" w:rsidP="00EB2357">
            <w:pPr>
              <w:jc w:val="center"/>
              <w:rPr>
                <w:rFonts w:ascii="Times New Roman" w:eastAsia="Calibri" w:hAnsi="Times New Roman" w:cs="Times New Roman"/>
                <w:b/>
              </w:rPr>
            </w:pPr>
            <w:r w:rsidRPr="00D0532A">
              <w:rPr>
                <w:rFonts w:ascii="Times New Roman" w:hAnsi="Times New Roman" w:cs="Times New Roman"/>
                <w:b/>
                <w:color w:val="000000"/>
              </w:rPr>
              <w:t>rezultata</w:t>
            </w:r>
          </w:p>
        </w:tc>
        <w:tc>
          <w:tcPr>
            <w:tcW w:w="1107" w:type="pct"/>
            <w:shd w:val="clear" w:color="auto" w:fill="BFBFBF"/>
          </w:tcPr>
          <w:p w14:paraId="351867E3" w14:textId="77777777" w:rsidR="0081662F" w:rsidRPr="00D0532A" w:rsidRDefault="0081662F" w:rsidP="00EB2357">
            <w:pPr>
              <w:jc w:val="center"/>
              <w:rPr>
                <w:rFonts w:ascii="Times New Roman" w:eastAsia="Calibri" w:hAnsi="Times New Roman" w:cs="Times New Roman"/>
                <w:b/>
              </w:rPr>
            </w:pPr>
            <w:r w:rsidRPr="00D0532A">
              <w:rPr>
                <w:rFonts w:ascii="Times New Roman" w:hAnsi="Times New Roman" w:cs="Times New Roman"/>
                <w:b/>
                <w:color w:val="000000"/>
              </w:rPr>
              <w:t>Definicija pokazatelja</w:t>
            </w:r>
          </w:p>
        </w:tc>
        <w:tc>
          <w:tcPr>
            <w:tcW w:w="650" w:type="pct"/>
            <w:shd w:val="clear" w:color="auto" w:fill="BFBFBF"/>
            <w:vAlign w:val="center"/>
          </w:tcPr>
          <w:p w14:paraId="04563467" w14:textId="77777777" w:rsidR="0081662F" w:rsidRPr="00D0532A" w:rsidRDefault="0081662F" w:rsidP="00EB2357">
            <w:pPr>
              <w:jc w:val="center"/>
              <w:rPr>
                <w:rFonts w:ascii="Times New Roman" w:eastAsia="Calibri" w:hAnsi="Times New Roman" w:cs="Times New Roman"/>
                <w:b/>
              </w:rPr>
            </w:pPr>
            <w:r w:rsidRPr="00D0532A">
              <w:rPr>
                <w:rFonts w:ascii="Times New Roman" w:hAnsi="Times New Roman" w:cs="Times New Roman"/>
                <w:b/>
                <w:color w:val="000000"/>
              </w:rPr>
              <w:t>Jedinica</w:t>
            </w:r>
          </w:p>
        </w:tc>
        <w:tc>
          <w:tcPr>
            <w:tcW w:w="779" w:type="pct"/>
            <w:shd w:val="clear" w:color="auto" w:fill="BFBFBF"/>
          </w:tcPr>
          <w:p w14:paraId="7A250B16" w14:textId="77777777" w:rsidR="0081662F" w:rsidRPr="00D0532A" w:rsidRDefault="0081662F" w:rsidP="00EB2357">
            <w:pPr>
              <w:jc w:val="center"/>
              <w:rPr>
                <w:rFonts w:ascii="Times New Roman" w:eastAsia="Calibri" w:hAnsi="Times New Roman" w:cs="Times New Roman"/>
                <w:b/>
              </w:rPr>
            </w:pPr>
            <w:r w:rsidRPr="00D0532A">
              <w:rPr>
                <w:rFonts w:ascii="Times New Roman" w:hAnsi="Times New Roman" w:cs="Times New Roman"/>
                <w:b/>
                <w:color w:val="000000"/>
              </w:rPr>
              <w:t>Ciljana vrijednost 2024.</w:t>
            </w:r>
          </w:p>
        </w:tc>
        <w:tc>
          <w:tcPr>
            <w:tcW w:w="838" w:type="pct"/>
            <w:shd w:val="clear" w:color="auto" w:fill="BFBFBF"/>
          </w:tcPr>
          <w:p w14:paraId="7A27499E" w14:textId="77777777" w:rsidR="0081662F" w:rsidRPr="00D0532A" w:rsidRDefault="0081662F" w:rsidP="00EB2357">
            <w:pPr>
              <w:jc w:val="center"/>
              <w:rPr>
                <w:rFonts w:ascii="Times New Roman" w:hAnsi="Times New Roman" w:cs="Times New Roman"/>
                <w:b/>
                <w:color w:val="000000"/>
              </w:rPr>
            </w:pPr>
            <w:r w:rsidRPr="00D0532A">
              <w:rPr>
                <w:rFonts w:ascii="Times New Roman" w:hAnsi="Times New Roman" w:cs="Times New Roman"/>
                <w:b/>
                <w:color w:val="000000"/>
              </w:rPr>
              <w:t>Ostvarenje</w:t>
            </w:r>
          </w:p>
          <w:p w14:paraId="504031B3" w14:textId="77777777" w:rsidR="0081662F" w:rsidRPr="00D0532A" w:rsidRDefault="0081662F" w:rsidP="00EB2357">
            <w:pPr>
              <w:jc w:val="center"/>
              <w:rPr>
                <w:rFonts w:ascii="Times New Roman" w:hAnsi="Times New Roman" w:cs="Times New Roman"/>
                <w:b/>
                <w:color w:val="000000"/>
              </w:rPr>
            </w:pPr>
            <w:r w:rsidRPr="00D0532A">
              <w:rPr>
                <w:rFonts w:ascii="Times New Roman" w:hAnsi="Times New Roman" w:cs="Times New Roman"/>
                <w:b/>
                <w:color w:val="000000"/>
              </w:rPr>
              <w:t>2024.</w:t>
            </w:r>
          </w:p>
        </w:tc>
        <w:tc>
          <w:tcPr>
            <w:tcW w:w="723" w:type="pct"/>
            <w:shd w:val="clear" w:color="auto" w:fill="BFBFBF"/>
          </w:tcPr>
          <w:p w14:paraId="49BF913E" w14:textId="77777777" w:rsidR="0081662F" w:rsidRPr="00D0532A" w:rsidRDefault="0081662F" w:rsidP="00EB2357">
            <w:pPr>
              <w:jc w:val="center"/>
              <w:rPr>
                <w:rFonts w:ascii="Times New Roman" w:hAnsi="Times New Roman" w:cs="Times New Roman"/>
                <w:b/>
                <w:color w:val="000000"/>
              </w:rPr>
            </w:pPr>
          </w:p>
          <w:p w14:paraId="5533E2F8" w14:textId="77777777" w:rsidR="0081662F" w:rsidRPr="00D0532A" w:rsidRDefault="0081662F" w:rsidP="00EB2357">
            <w:pPr>
              <w:jc w:val="center"/>
              <w:rPr>
                <w:rFonts w:ascii="Times New Roman" w:eastAsia="Calibri" w:hAnsi="Times New Roman" w:cs="Times New Roman"/>
                <w:b/>
              </w:rPr>
            </w:pPr>
            <w:r w:rsidRPr="00D0532A">
              <w:rPr>
                <w:rFonts w:ascii="Times New Roman" w:eastAsia="Calibri" w:hAnsi="Times New Roman" w:cs="Times New Roman"/>
                <w:b/>
              </w:rPr>
              <w:t>Index</w:t>
            </w:r>
          </w:p>
        </w:tc>
      </w:tr>
      <w:tr w:rsidR="0081662F" w:rsidRPr="00D0532A" w14:paraId="2C7C7AE2" w14:textId="77777777" w:rsidTr="001D39EA">
        <w:trPr>
          <w:trHeight w:val="1704"/>
        </w:trPr>
        <w:tc>
          <w:tcPr>
            <w:tcW w:w="903" w:type="pct"/>
            <w:shd w:val="clear" w:color="auto" w:fill="auto"/>
          </w:tcPr>
          <w:p w14:paraId="3D1BCC33" w14:textId="77777777" w:rsidR="0081662F" w:rsidRPr="00D0532A" w:rsidRDefault="0081662F" w:rsidP="00EB2357">
            <w:pPr>
              <w:rPr>
                <w:rFonts w:ascii="Times New Roman" w:eastAsia="Calibri" w:hAnsi="Times New Roman" w:cs="Times New Roman"/>
                <w:bCs/>
              </w:rPr>
            </w:pPr>
            <w:r w:rsidRPr="00D0532A">
              <w:rPr>
                <w:rFonts w:ascii="Times New Roman" w:eastAsia="Calibri" w:hAnsi="Times New Roman" w:cs="Times New Roman"/>
                <w:bCs/>
              </w:rPr>
              <w:lastRenderedPageBreak/>
              <w:t>Skraćenje vremena izlaska na intervencije-dolaska do mjesta izvršenja intervencije</w:t>
            </w:r>
          </w:p>
        </w:tc>
        <w:tc>
          <w:tcPr>
            <w:tcW w:w="1107" w:type="pct"/>
            <w:shd w:val="clear" w:color="auto" w:fill="auto"/>
          </w:tcPr>
          <w:p w14:paraId="6E759A10" w14:textId="77777777" w:rsidR="0081662F" w:rsidRPr="00D0532A" w:rsidRDefault="0081662F" w:rsidP="00EB2357">
            <w:pPr>
              <w:rPr>
                <w:rFonts w:ascii="Times New Roman" w:eastAsia="Calibri" w:hAnsi="Times New Roman" w:cs="Times New Roman"/>
                <w:bCs/>
              </w:rPr>
            </w:pPr>
            <w:r w:rsidRPr="00D0532A">
              <w:rPr>
                <w:rFonts w:ascii="Times New Roman" w:eastAsia="Calibri" w:hAnsi="Times New Roman" w:cs="Times New Roman"/>
                <w:bCs/>
              </w:rPr>
              <w:t xml:space="preserve">Rad  Javne vatrogasne postrojbe usmjeren je ka sprječavanju ugroza (požari i </w:t>
            </w:r>
            <w:proofErr w:type="spellStart"/>
            <w:r w:rsidRPr="00D0532A">
              <w:rPr>
                <w:rFonts w:ascii="Times New Roman" w:eastAsia="Calibri" w:hAnsi="Times New Roman" w:cs="Times New Roman"/>
                <w:bCs/>
              </w:rPr>
              <w:t>sl</w:t>
            </w:r>
            <w:proofErr w:type="spellEnd"/>
            <w:r w:rsidRPr="00D0532A">
              <w:rPr>
                <w:rFonts w:ascii="Times New Roman" w:eastAsia="Calibri" w:hAnsi="Times New Roman" w:cs="Times New Roman"/>
                <w:bCs/>
              </w:rPr>
              <w:t xml:space="preserve">) te asistencija hitnoj pomoći i policiji u saniranju posljedica prometnih nezgoda </w:t>
            </w:r>
          </w:p>
        </w:tc>
        <w:tc>
          <w:tcPr>
            <w:tcW w:w="650" w:type="pct"/>
            <w:shd w:val="clear" w:color="auto" w:fill="auto"/>
          </w:tcPr>
          <w:p w14:paraId="30A45A57" w14:textId="77777777" w:rsidR="0081662F" w:rsidRPr="00D0532A" w:rsidRDefault="0081662F" w:rsidP="00EB2357">
            <w:pPr>
              <w:jc w:val="center"/>
              <w:rPr>
                <w:rFonts w:ascii="Times New Roman" w:eastAsia="Calibri" w:hAnsi="Times New Roman" w:cs="Times New Roman"/>
                <w:bCs/>
              </w:rPr>
            </w:pPr>
            <w:r w:rsidRPr="00D0532A">
              <w:rPr>
                <w:rFonts w:ascii="Times New Roman" w:eastAsia="Calibri" w:hAnsi="Times New Roman" w:cs="Times New Roman"/>
                <w:bCs/>
              </w:rPr>
              <w:t>minuta</w:t>
            </w:r>
          </w:p>
        </w:tc>
        <w:tc>
          <w:tcPr>
            <w:tcW w:w="779" w:type="pct"/>
            <w:shd w:val="clear" w:color="auto" w:fill="auto"/>
          </w:tcPr>
          <w:p w14:paraId="2C2A7F44" w14:textId="77777777" w:rsidR="0081662F" w:rsidRPr="00D0532A" w:rsidRDefault="0081662F" w:rsidP="00EB2357">
            <w:pPr>
              <w:jc w:val="center"/>
              <w:rPr>
                <w:rFonts w:ascii="Times New Roman" w:eastAsia="Calibri" w:hAnsi="Times New Roman" w:cs="Times New Roman"/>
                <w:bCs/>
              </w:rPr>
            </w:pPr>
            <w:r w:rsidRPr="00D0532A">
              <w:rPr>
                <w:rFonts w:ascii="Times New Roman" w:eastAsia="Calibri" w:hAnsi="Times New Roman" w:cs="Times New Roman"/>
                <w:bCs/>
              </w:rPr>
              <w:t xml:space="preserve"> 11 minuta</w:t>
            </w:r>
          </w:p>
        </w:tc>
        <w:tc>
          <w:tcPr>
            <w:tcW w:w="838" w:type="pct"/>
            <w:shd w:val="clear" w:color="auto" w:fill="auto"/>
          </w:tcPr>
          <w:p w14:paraId="75612E5D" w14:textId="77777777" w:rsidR="0081662F" w:rsidRPr="00D0532A" w:rsidRDefault="0081662F" w:rsidP="00EB2357">
            <w:pPr>
              <w:jc w:val="center"/>
              <w:rPr>
                <w:rFonts w:ascii="Times New Roman" w:eastAsia="Calibri" w:hAnsi="Times New Roman" w:cs="Times New Roman"/>
                <w:bCs/>
              </w:rPr>
            </w:pPr>
            <w:r w:rsidRPr="00D0532A">
              <w:rPr>
                <w:rFonts w:ascii="Times New Roman" w:eastAsia="Calibri" w:hAnsi="Times New Roman" w:cs="Times New Roman"/>
                <w:bCs/>
              </w:rPr>
              <w:t>10 minuta</w:t>
            </w:r>
          </w:p>
        </w:tc>
        <w:tc>
          <w:tcPr>
            <w:tcW w:w="723" w:type="pct"/>
            <w:shd w:val="clear" w:color="auto" w:fill="auto"/>
          </w:tcPr>
          <w:p w14:paraId="2C3C9DBF" w14:textId="77777777" w:rsidR="0081662F" w:rsidRPr="00D0532A" w:rsidRDefault="0081662F" w:rsidP="00EB2357">
            <w:pPr>
              <w:jc w:val="center"/>
              <w:rPr>
                <w:rFonts w:ascii="Times New Roman" w:eastAsia="Calibri" w:hAnsi="Times New Roman" w:cs="Times New Roman"/>
                <w:bCs/>
              </w:rPr>
            </w:pPr>
            <w:r w:rsidRPr="00D0532A">
              <w:rPr>
                <w:rFonts w:ascii="Times New Roman" w:eastAsia="Calibri" w:hAnsi="Times New Roman" w:cs="Times New Roman"/>
                <w:bCs/>
              </w:rPr>
              <w:t>90,91%</w:t>
            </w:r>
          </w:p>
        </w:tc>
      </w:tr>
    </w:tbl>
    <w:p w14:paraId="3E83096B" w14:textId="77777777" w:rsidR="0081662F" w:rsidRPr="00D0532A" w:rsidRDefault="0081662F" w:rsidP="0081662F">
      <w:pPr>
        <w:rPr>
          <w:rFonts w:ascii="Times New Roman" w:eastAsia="Calibri" w:hAnsi="Times New Roman" w:cs="Times New Roman"/>
        </w:rPr>
      </w:pPr>
    </w:p>
    <w:tbl>
      <w:tblPr>
        <w:tblW w:w="5000" w:type="pct"/>
        <w:tblLook w:val="04A0" w:firstRow="1" w:lastRow="0" w:firstColumn="1" w:lastColumn="0" w:noHBand="0" w:noVBand="1"/>
      </w:tblPr>
      <w:tblGrid>
        <w:gridCol w:w="9060"/>
      </w:tblGrid>
      <w:tr w:rsidR="0081662F" w:rsidRPr="00D0532A" w14:paraId="44F062DD" w14:textId="77777777" w:rsidTr="00EB2357">
        <w:trPr>
          <w:trHeight w:val="296"/>
        </w:trPr>
        <w:tc>
          <w:tcPr>
            <w:tcW w:w="5000" w:type="pct"/>
            <w:tcBorders>
              <w:top w:val="single" w:sz="4" w:space="0" w:color="auto"/>
              <w:left w:val="single" w:sz="4" w:space="0" w:color="auto"/>
              <w:bottom w:val="single" w:sz="4" w:space="0" w:color="auto"/>
              <w:right w:val="single" w:sz="4" w:space="0" w:color="auto"/>
            </w:tcBorders>
            <w:hideMark/>
          </w:tcPr>
          <w:p w14:paraId="440D1521" w14:textId="77777777" w:rsidR="0081662F" w:rsidRPr="00D0532A" w:rsidRDefault="0081662F" w:rsidP="00EB2357">
            <w:pPr>
              <w:rPr>
                <w:rFonts w:ascii="Times New Roman" w:hAnsi="Times New Roman" w:cs="Times New Roman"/>
                <w:b/>
                <w:bCs/>
              </w:rPr>
            </w:pPr>
            <w:r w:rsidRPr="00D0532A">
              <w:rPr>
                <w:rFonts w:ascii="Times New Roman" w:hAnsi="Times New Roman" w:cs="Times New Roman"/>
                <w:b/>
                <w:bCs/>
                <w:color w:val="000000"/>
              </w:rPr>
              <w:t>Kapitalni projekt K100501 nabava dugotrajne imovine (Javna vatrogasna postrojba)</w:t>
            </w:r>
          </w:p>
        </w:tc>
      </w:tr>
      <w:tr w:rsidR="0081662F" w:rsidRPr="00D0532A" w14:paraId="02897FDF" w14:textId="77777777" w:rsidTr="00EB2357">
        <w:trPr>
          <w:trHeight w:val="566"/>
        </w:trPr>
        <w:tc>
          <w:tcPr>
            <w:tcW w:w="5000" w:type="pct"/>
            <w:vMerge w:val="restart"/>
            <w:tcBorders>
              <w:top w:val="single" w:sz="4" w:space="0" w:color="auto"/>
              <w:left w:val="single" w:sz="4" w:space="0" w:color="auto"/>
              <w:bottom w:val="single" w:sz="4" w:space="0" w:color="auto"/>
              <w:right w:val="single" w:sz="4" w:space="0" w:color="auto"/>
            </w:tcBorders>
            <w:hideMark/>
          </w:tcPr>
          <w:p w14:paraId="550D83E3" w14:textId="77777777" w:rsidR="0081662F" w:rsidRPr="00D0532A" w:rsidRDefault="0081662F" w:rsidP="00EB2357">
            <w:pPr>
              <w:rPr>
                <w:rFonts w:ascii="Times New Roman" w:eastAsia="Calibri" w:hAnsi="Times New Roman" w:cs="Times New Roman"/>
              </w:rPr>
            </w:pPr>
            <w:r w:rsidRPr="00D0532A">
              <w:rPr>
                <w:rFonts w:ascii="Times New Roman" w:eastAsia="Calibri" w:hAnsi="Times New Roman" w:cs="Times New Roman"/>
                <w:bCs/>
              </w:rPr>
              <w:t>Nabava dugotrajne imovine usmjerena je na održavanje i kupnju nove vatrogasne opreme, kako bi se produžio vijek trajanja i povećala učinkovitost postojeće opreme i vatrogasnih vozila, a samim time se podiže nivo zaštite od požara Grada Garešnica i susjednih općina.</w:t>
            </w:r>
          </w:p>
        </w:tc>
      </w:tr>
    </w:tbl>
    <w:p w14:paraId="6FFB50C5" w14:textId="77777777" w:rsidR="0081662F" w:rsidRPr="00D0532A" w:rsidRDefault="0081662F" w:rsidP="0081662F">
      <w:pPr>
        <w:rPr>
          <w:rFonts w:ascii="Times New Roman" w:eastAsia="Calibri" w:hAnsi="Times New Roman" w:cs="Times New Roman"/>
        </w:rPr>
      </w:pPr>
    </w:p>
    <w:tbl>
      <w:tblPr>
        <w:tblW w:w="5134" w:type="pct"/>
        <w:tblLook w:val="04A0" w:firstRow="1" w:lastRow="0" w:firstColumn="1" w:lastColumn="0" w:noHBand="0" w:noVBand="1"/>
      </w:tblPr>
      <w:tblGrid>
        <w:gridCol w:w="9067"/>
        <w:gridCol w:w="236"/>
      </w:tblGrid>
      <w:tr w:rsidR="0081662F" w:rsidRPr="00D0532A" w14:paraId="3ED11659" w14:textId="77777777" w:rsidTr="001D39EA">
        <w:trPr>
          <w:gridAfter w:val="1"/>
          <w:wAfter w:w="127" w:type="pct"/>
          <w:trHeight w:val="630"/>
        </w:trPr>
        <w:tc>
          <w:tcPr>
            <w:tcW w:w="4873" w:type="pct"/>
            <w:vMerge w:val="restart"/>
            <w:tcBorders>
              <w:top w:val="single" w:sz="4" w:space="0" w:color="auto"/>
              <w:left w:val="single" w:sz="4" w:space="0" w:color="auto"/>
              <w:bottom w:val="single" w:sz="4" w:space="0" w:color="auto"/>
              <w:right w:val="single" w:sz="4" w:space="0" w:color="auto"/>
            </w:tcBorders>
            <w:hideMark/>
          </w:tcPr>
          <w:p w14:paraId="17568FB4" w14:textId="77777777" w:rsidR="0081662F" w:rsidRPr="00D0532A" w:rsidRDefault="0081662F" w:rsidP="00EB2357">
            <w:pPr>
              <w:rPr>
                <w:rFonts w:ascii="Times New Roman" w:eastAsia="Calibri" w:hAnsi="Times New Roman" w:cs="Times New Roman"/>
              </w:rPr>
            </w:pPr>
            <w:r w:rsidRPr="00D0532A">
              <w:rPr>
                <w:rFonts w:ascii="Times New Roman" w:eastAsia="Calibri" w:hAnsi="Times New Roman" w:cs="Times New Roman"/>
                <w:bCs/>
              </w:rPr>
              <w:t>Nabava dugotrajne imovine usmjerena je na održavanje i kupnju nove vatrogasne opreme, kako bi se produžio vijek trajanja i povećala učinkovitost postojeće opreme i vatrogasnih vozila, a samim time se podiže nivo zaštite od požara Grada Garešnica i susjednih općina.</w:t>
            </w:r>
          </w:p>
          <w:p w14:paraId="6ED3B9CA" w14:textId="77777777" w:rsidR="0081662F" w:rsidRPr="00D0532A" w:rsidRDefault="0081662F" w:rsidP="00EB2357">
            <w:pPr>
              <w:rPr>
                <w:rFonts w:ascii="Times New Roman" w:eastAsia="Calibri" w:hAnsi="Times New Roman" w:cs="Times New Roman"/>
              </w:rPr>
            </w:pPr>
          </w:p>
          <w:p w14:paraId="4B8B6C93" w14:textId="77777777" w:rsidR="0081662F" w:rsidRPr="00D0532A" w:rsidRDefault="0081662F" w:rsidP="00EB2357">
            <w:pPr>
              <w:rPr>
                <w:rFonts w:ascii="Times New Roman" w:eastAsia="Calibri" w:hAnsi="Times New Roman" w:cs="Times New Roman"/>
              </w:rPr>
            </w:pPr>
          </w:p>
        </w:tc>
      </w:tr>
      <w:tr w:rsidR="0081662F" w:rsidRPr="00D0532A" w14:paraId="41C86B3B" w14:textId="77777777" w:rsidTr="001D39EA">
        <w:trPr>
          <w:trHeight w:val="670"/>
        </w:trPr>
        <w:tc>
          <w:tcPr>
            <w:tcW w:w="4873" w:type="pct"/>
            <w:vMerge/>
            <w:tcBorders>
              <w:top w:val="single" w:sz="4" w:space="0" w:color="auto"/>
              <w:left w:val="single" w:sz="4" w:space="0" w:color="auto"/>
              <w:bottom w:val="single" w:sz="4" w:space="0" w:color="auto"/>
              <w:right w:val="single" w:sz="4" w:space="0" w:color="auto"/>
            </w:tcBorders>
            <w:vAlign w:val="center"/>
            <w:hideMark/>
          </w:tcPr>
          <w:p w14:paraId="76533117" w14:textId="77777777" w:rsidR="0081662F" w:rsidRPr="00D0532A" w:rsidRDefault="0081662F" w:rsidP="00EB2357">
            <w:pPr>
              <w:rPr>
                <w:rFonts w:ascii="Times New Roman" w:hAnsi="Times New Roman" w:cs="Times New Roman"/>
                <w:color w:val="000000"/>
              </w:rPr>
            </w:pPr>
          </w:p>
        </w:tc>
        <w:tc>
          <w:tcPr>
            <w:tcW w:w="127" w:type="pct"/>
            <w:vAlign w:val="center"/>
            <w:hideMark/>
          </w:tcPr>
          <w:p w14:paraId="708F3A9C" w14:textId="77777777" w:rsidR="0081662F" w:rsidRPr="00D0532A" w:rsidRDefault="0081662F" w:rsidP="00EB2357">
            <w:pPr>
              <w:rPr>
                <w:rFonts w:ascii="Times New Roman" w:hAnsi="Times New Roman" w:cs="Times New Roman"/>
                <w:color w:val="000000"/>
              </w:rPr>
            </w:pPr>
          </w:p>
        </w:tc>
      </w:tr>
    </w:tbl>
    <w:p w14:paraId="40C69A50" w14:textId="77777777" w:rsidR="0081662F" w:rsidRPr="00D0532A" w:rsidRDefault="0081662F" w:rsidP="0081662F">
      <w:pP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1319"/>
        <w:gridCol w:w="1533"/>
        <w:gridCol w:w="1170"/>
        <w:gridCol w:w="2752"/>
        <w:gridCol w:w="1074"/>
      </w:tblGrid>
      <w:tr w:rsidR="0081662F" w:rsidRPr="00D0532A" w14:paraId="77511E4C" w14:textId="77777777" w:rsidTr="00EB2357">
        <w:trPr>
          <w:trHeight w:val="1446"/>
        </w:trPr>
        <w:tc>
          <w:tcPr>
            <w:tcW w:w="673" w:type="pct"/>
            <w:shd w:val="clear" w:color="auto" w:fill="BFBFBF"/>
          </w:tcPr>
          <w:p w14:paraId="1E1ACDC6" w14:textId="77777777" w:rsidR="0081662F" w:rsidRPr="00D0532A" w:rsidRDefault="0081662F" w:rsidP="00EB2357">
            <w:pPr>
              <w:jc w:val="center"/>
              <w:rPr>
                <w:rFonts w:ascii="Times New Roman" w:hAnsi="Times New Roman" w:cs="Times New Roman"/>
                <w:b/>
                <w:color w:val="000000"/>
              </w:rPr>
            </w:pPr>
            <w:r w:rsidRPr="00D0532A">
              <w:rPr>
                <w:rFonts w:ascii="Times New Roman" w:hAnsi="Times New Roman" w:cs="Times New Roman"/>
                <w:b/>
                <w:color w:val="000000"/>
              </w:rPr>
              <w:t>Pokazatelj</w:t>
            </w:r>
          </w:p>
          <w:p w14:paraId="0554EF30" w14:textId="77777777" w:rsidR="0081662F" w:rsidRPr="00D0532A" w:rsidRDefault="0081662F" w:rsidP="00EB2357">
            <w:pPr>
              <w:jc w:val="center"/>
              <w:rPr>
                <w:rFonts w:ascii="Times New Roman" w:eastAsia="Calibri" w:hAnsi="Times New Roman" w:cs="Times New Roman"/>
                <w:b/>
              </w:rPr>
            </w:pPr>
            <w:r w:rsidRPr="00D0532A">
              <w:rPr>
                <w:rFonts w:ascii="Times New Roman" w:hAnsi="Times New Roman" w:cs="Times New Roman"/>
                <w:b/>
                <w:color w:val="000000"/>
              </w:rPr>
              <w:t>rezultata</w:t>
            </w:r>
          </w:p>
        </w:tc>
        <w:tc>
          <w:tcPr>
            <w:tcW w:w="732" w:type="pct"/>
            <w:shd w:val="clear" w:color="auto" w:fill="BFBFBF"/>
          </w:tcPr>
          <w:p w14:paraId="2668B824" w14:textId="77777777" w:rsidR="0081662F" w:rsidRPr="00D0532A" w:rsidRDefault="0081662F" w:rsidP="00EB2357">
            <w:pPr>
              <w:jc w:val="center"/>
              <w:rPr>
                <w:rFonts w:ascii="Times New Roman" w:eastAsia="Calibri" w:hAnsi="Times New Roman" w:cs="Times New Roman"/>
                <w:b/>
              </w:rPr>
            </w:pPr>
            <w:r w:rsidRPr="00D0532A">
              <w:rPr>
                <w:rFonts w:ascii="Times New Roman" w:hAnsi="Times New Roman" w:cs="Times New Roman"/>
                <w:b/>
                <w:color w:val="000000"/>
              </w:rPr>
              <w:t>Definicija pokazatelja</w:t>
            </w:r>
          </w:p>
        </w:tc>
        <w:tc>
          <w:tcPr>
            <w:tcW w:w="850" w:type="pct"/>
            <w:shd w:val="clear" w:color="auto" w:fill="BFBFBF"/>
            <w:vAlign w:val="center"/>
          </w:tcPr>
          <w:p w14:paraId="1A6CFD4B" w14:textId="77777777" w:rsidR="0081662F" w:rsidRPr="00D0532A" w:rsidRDefault="0081662F" w:rsidP="00EB2357">
            <w:pPr>
              <w:jc w:val="center"/>
              <w:rPr>
                <w:rFonts w:ascii="Times New Roman" w:eastAsia="Calibri" w:hAnsi="Times New Roman" w:cs="Times New Roman"/>
                <w:b/>
              </w:rPr>
            </w:pPr>
            <w:r w:rsidRPr="00D0532A">
              <w:rPr>
                <w:rFonts w:ascii="Times New Roman" w:hAnsi="Times New Roman" w:cs="Times New Roman"/>
                <w:b/>
                <w:color w:val="000000"/>
              </w:rPr>
              <w:t>Jedinica</w:t>
            </w:r>
          </w:p>
        </w:tc>
        <w:tc>
          <w:tcPr>
            <w:tcW w:w="627" w:type="pct"/>
            <w:shd w:val="clear" w:color="auto" w:fill="BFBFBF"/>
          </w:tcPr>
          <w:p w14:paraId="623DF345" w14:textId="77777777" w:rsidR="0081662F" w:rsidRPr="00D0532A" w:rsidRDefault="0081662F" w:rsidP="00EB2357">
            <w:pPr>
              <w:jc w:val="center"/>
              <w:rPr>
                <w:rFonts w:ascii="Times New Roman" w:eastAsia="Calibri" w:hAnsi="Times New Roman" w:cs="Times New Roman"/>
                <w:b/>
              </w:rPr>
            </w:pPr>
            <w:r w:rsidRPr="00D0532A">
              <w:rPr>
                <w:rFonts w:ascii="Times New Roman" w:hAnsi="Times New Roman" w:cs="Times New Roman"/>
                <w:b/>
                <w:color w:val="000000"/>
              </w:rPr>
              <w:t>Ciljana vrijednost 2024.</w:t>
            </w:r>
          </w:p>
        </w:tc>
        <w:tc>
          <w:tcPr>
            <w:tcW w:w="1522" w:type="pct"/>
            <w:shd w:val="clear" w:color="auto" w:fill="BFBFBF"/>
          </w:tcPr>
          <w:p w14:paraId="7DAA93C6" w14:textId="77777777" w:rsidR="0081662F" w:rsidRPr="00D0532A" w:rsidRDefault="0081662F" w:rsidP="00EB2357">
            <w:pPr>
              <w:jc w:val="center"/>
              <w:rPr>
                <w:rFonts w:ascii="Times New Roman" w:hAnsi="Times New Roman" w:cs="Times New Roman"/>
                <w:b/>
                <w:color w:val="000000"/>
              </w:rPr>
            </w:pPr>
            <w:r w:rsidRPr="00D0532A">
              <w:rPr>
                <w:rFonts w:ascii="Times New Roman" w:hAnsi="Times New Roman" w:cs="Times New Roman"/>
                <w:b/>
                <w:color w:val="000000"/>
              </w:rPr>
              <w:t>Ostvarenje</w:t>
            </w:r>
          </w:p>
          <w:p w14:paraId="13F420D9" w14:textId="77777777" w:rsidR="0081662F" w:rsidRPr="00D0532A" w:rsidRDefault="0081662F" w:rsidP="00EB2357">
            <w:pPr>
              <w:jc w:val="center"/>
              <w:rPr>
                <w:rFonts w:ascii="Times New Roman" w:hAnsi="Times New Roman" w:cs="Times New Roman"/>
                <w:b/>
                <w:color w:val="000000"/>
              </w:rPr>
            </w:pPr>
            <w:r w:rsidRPr="00D0532A">
              <w:rPr>
                <w:rFonts w:ascii="Times New Roman" w:hAnsi="Times New Roman" w:cs="Times New Roman"/>
                <w:b/>
                <w:color w:val="000000"/>
              </w:rPr>
              <w:t>2024.</w:t>
            </w:r>
          </w:p>
        </w:tc>
        <w:tc>
          <w:tcPr>
            <w:tcW w:w="596" w:type="pct"/>
            <w:shd w:val="clear" w:color="auto" w:fill="BFBFBF"/>
          </w:tcPr>
          <w:p w14:paraId="179CD982" w14:textId="77777777" w:rsidR="0081662F" w:rsidRPr="00D0532A" w:rsidRDefault="0081662F" w:rsidP="00EB2357">
            <w:pPr>
              <w:jc w:val="center"/>
              <w:rPr>
                <w:rFonts w:ascii="Times New Roman" w:hAnsi="Times New Roman" w:cs="Times New Roman"/>
                <w:b/>
                <w:color w:val="000000"/>
              </w:rPr>
            </w:pPr>
            <w:r w:rsidRPr="00D0532A">
              <w:rPr>
                <w:rFonts w:ascii="Times New Roman" w:hAnsi="Times New Roman" w:cs="Times New Roman"/>
                <w:b/>
                <w:color w:val="000000"/>
              </w:rPr>
              <w:t>Index</w:t>
            </w:r>
          </w:p>
        </w:tc>
      </w:tr>
      <w:tr w:rsidR="0081662F" w:rsidRPr="00D0532A" w14:paraId="3780CD05" w14:textId="77777777" w:rsidTr="00EB2357">
        <w:trPr>
          <w:trHeight w:val="1446"/>
        </w:trPr>
        <w:tc>
          <w:tcPr>
            <w:tcW w:w="673" w:type="pct"/>
            <w:tcBorders>
              <w:bottom w:val="single" w:sz="4" w:space="0" w:color="auto"/>
            </w:tcBorders>
            <w:shd w:val="clear" w:color="auto" w:fill="auto"/>
          </w:tcPr>
          <w:p w14:paraId="7E045426" w14:textId="77777777" w:rsidR="0081662F" w:rsidRPr="00D0532A" w:rsidRDefault="0081662F" w:rsidP="00EB2357">
            <w:pPr>
              <w:jc w:val="center"/>
              <w:rPr>
                <w:rFonts w:ascii="Times New Roman" w:eastAsia="Calibri" w:hAnsi="Times New Roman" w:cs="Times New Roman"/>
                <w:bCs/>
              </w:rPr>
            </w:pPr>
            <w:r w:rsidRPr="00D0532A">
              <w:rPr>
                <w:rFonts w:ascii="Times New Roman" w:eastAsia="Calibri" w:hAnsi="Times New Roman" w:cs="Times New Roman"/>
                <w:bCs/>
              </w:rPr>
              <w:t>Produženje vijeka trajanja dugotrajne imovine</w:t>
            </w:r>
          </w:p>
        </w:tc>
        <w:tc>
          <w:tcPr>
            <w:tcW w:w="732" w:type="pct"/>
            <w:tcBorders>
              <w:bottom w:val="single" w:sz="4" w:space="0" w:color="auto"/>
            </w:tcBorders>
            <w:shd w:val="clear" w:color="auto" w:fill="auto"/>
          </w:tcPr>
          <w:p w14:paraId="071D3077" w14:textId="77777777" w:rsidR="0081662F" w:rsidRPr="00D0532A" w:rsidRDefault="0081662F" w:rsidP="00EB2357">
            <w:pPr>
              <w:jc w:val="center"/>
              <w:rPr>
                <w:rFonts w:ascii="Times New Roman" w:eastAsia="Calibri" w:hAnsi="Times New Roman" w:cs="Times New Roman"/>
                <w:bCs/>
              </w:rPr>
            </w:pPr>
            <w:r w:rsidRPr="00D0532A">
              <w:rPr>
                <w:rFonts w:ascii="Times New Roman" w:eastAsia="Calibri" w:hAnsi="Times New Roman" w:cs="Times New Roman"/>
                <w:bCs/>
              </w:rPr>
              <w:t>Nabava nove vatrogasne opreme za produženje vijeka trajanja dugotrajne imovine.</w:t>
            </w:r>
          </w:p>
        </w:tc>
        <w:tc>
          <w:tcPr>
            <w:tcW w:w="850" w:type="pct"/>
            <w:tcBorders>
              <w:bottom w:val="single" w:sz="4" w:space="0" w:color="auto"/>
            </w:tcBorders>
            <w:shd w:val="clear" w:color="auto" w:fill="auto"/>
          </w:tcPr>
          <w:p w14:paraId="05D9060C" w14:textId="77777777" w:rsidR="0081662F" w:rsidRPr="00D0532A" w:rsidRDefault="0081662F" w:rsidP="00EB2357">
            <w:pPr>
              <w:jc w:val="center"/>
              <w:rPr>
                <w:rFonts w:ascii="Times New Roman" w:eastAsia="Calibri" w:hAnsi="Times New Roman" w:cs="Times New Roman"/>
                <w:bCs/>
              </w:rPr>
            </w:pPr>
            <w:r w:rsidRPr="00D0532A">
              <w:rPr>
                <w:rFonts w:ascii="Times New Roman" w:eastAsia="Calibri" w:hAnsi="Times New Roman" w:cs="Times New Roman"/>
                <w:bCs/>
              </w:rPr>
              <w:t>mjeseci</w:t>
            </w:r>
          </w:p>
        </w:tc>
        <w:tc>
          <w:tcPr>
            <w:tcW w:w="627" w:type="pct"/>
            <w:tcBorders>
              <w:bottom w:val="single" w:sz="4" w:space="0" w:color="auto"/>
            </w:tcBorders>
            <w:shd w:val="clear" w:color="auto" w:fill="auto"/>
          </w:tcPr>
          <w:p w14:paraId="71C9B267" w14:textId="77777777" w:rsidR="0081662F" w:rsidRPr="00D0532A" w:rsidRDefault="0081662F" w:rsidP="00EB2357">
            <w:pPr>
              <w:jc w:val="center"/>
              <w:rPr>
                <w:rFonts w:ascii="Times New Roman" w:eastAsia="Calibri" w:hAnsi="Times New Roman" w:cs="Times New Roman"/>
                <w:bCs/>
              </w:rPr>
            </w:pPr>
            <w:r w:rsidRPr="00D0532A">
              <w:rPr>
                <w:rFonts w:ascii="Times New Roman" w:eastAsia="Calibri" w:hAnsi="Times New Roman" w:cs="Times New Roman"/>
                <w:bCs/>
              </w:rPr>
              <w:t>30 mjeseci</w:t>
            </w:r>
          </w:p>
        </w:tc>
        <w:tc>
          <w:tcPr>
            <w:tcW w:w="1522" w:type="pct"/>
            <w:tcBorders>
              <w:bottom w:val="single" w:sz="4" w:space="0" w:color="auto"/>
            </w:tcBorders>
            <w:shd w:val="clear" w:color="auto" w:fill="auto"/>
          </w:tcPr>
          <w:p w14:paraId="61CE1486" w14:textId="77777777" w:rsidR="0081662F" w:rsidRPr="00D0532A" w:rsidRDefault="0081662F" w:rsidP="00EB2357">
            <w:pPr>
              <w:jc w:val="center"/>
              <w:rPr>
                <w:rFonts w:ascii="Times New Roman" w:eastAsia="Calibri" w:hAnsi="Times New Roman" w:cs="Times New Roman"/>
                <w:bCs/>
              </w:rPr>
            </w:pPr>
            <w:r w:rsidRPr="00D0532A">
              <w:rPr>
                <w:rFonts w:ascii="Times New Roman" w:eastAsia="Calibri" w:hAnsi="Times New Roman" w:cs="Times New Roman"/>
                <w:bCs/>
              </w:rPr>
              <w:t>30 mjeseci</w:t>
            </w:r>
          </w:p>
        </w:tc>
        <w:tc>
          <w:tcPr>
            <w:tcW w:w="596" w:type="pct"/>
            <w:tcBorders>
              <w:bottom w:val="single" w:sz="4" w:space="0" w:color="auto"/>
            </w:tcBorders>
            <w:shd w:val="clear" w:color="auto" w:fill="auto"/>
          </w:tcPr>
          <w:p w14:paraId="39F6434E" w14:textId="77777777" w:rsidR="0081662F" w:rsidRPr="00D0532A" w:rsidRDefault="0081662F" w:rsidP="00EB2357">
            <w:pPr>
              <w:jc w:val="center"/>
              <w:rPr>
                <w:rFonts w:ascii="Times New Roman" w:eastAsia="Calibri" w:hAnsi="Times New Roman" w:cs="Times New Roman"/>
                <w:bCs/>
              </w:rPr>
            </w:pPr>
            <w:r w:rsidRPr="00D0532A">
              <w:rPr>
                <w:rFonts w:ascii="Times New Roman" w:eastAsia="Calibri" w:hAnsi="Times New Roman" w:cs="Times New Roman"/>
                <w:bCs/>
              </w:rPr>
              <w:t>100,00%</w:t>
            </w:r>
          </w:p>
        </w:tc>
      </w:tr>
    </w:tbl>
    <w:p w14:paraId="63460FCE" w14:textId="77777777" w:rsidR="0081662F" w:rsidRPr="00D0532A" w:rsidRDefault="0081662F" w:rsidP="0081662F">
      <w:pPr>
        <w:spacing w:after="0" w:line="240" w:lineRule="auto"/>
        <w:jc w:val="both"/>
        <w:rPr>
          <w:rFonts w:ascii="Times New Roman" w:hAnsi="Times New Roman" w:cs="Times New Roman"/>
          <w:b/>
          <w:bCs/>
          <w:i/>
          <w:color w:val="FF0000"/>
          <w:lang w:eastAsia="hr-HR"/>
        </w:rPr>
      </w:pPr>
    </w:p>
    <w:p w14:paraId="11D94D9F" w14:textId="77777777" w:rsidR="0081662F" w:rsidRPr="00D0532A" w:rsidRDefault="0081662F" w:rsidP="0081662F">
      <w:pPr>
        <w:spacing w:after="0" w:line="240" w:lineRule="auto"/>
        <w:ind w:firstLine="567"/>
        <w:jc w:val="both"/>
        <w:rPr>
          <w:rFonts w:ascii="Times New Roman" w:hAnsi="Times New Roman" w:cs="Times New Roman"/>
          <w:b/>
          <w:bCs/>
          <w:i/>
          <w:color w:val="FF0000"/>
          <w:lang w:eastAsia="hr-HR"/>
        </w:rPr>
      </w:pPr>
    </w:p>
    <w:p w14:paraId="588382EF" w14:textId="77777777" w:rsidR="0081662F" w:rsidRPr="00D0532A" w:rsidRDefault="0081662F" w:rsidP="0081662F">
      <w:pPr>
        <w:spacing w:after="0" w:line="240" w:lineRule="auto"/>
        <w:ind w:firstLine="567"/>
        <w:jc w:val="both"/>
        <w:rPr>
          <w:rFonts w:ascii="Times New Roman" w:hAnsi="Times New Roman" w:cs="Times New Roman"/>
          <w:b/>
          <w:bCs/>
          <w:i/>
          <w:color w:val="FF0000"/>
          <w:lang w:eastAsia="hr-HR"/>
        </w:rPr>
      </w:pPr>
    </w:p>
    <w:p w14:paraId="4842F12D" w14:textId="55DC5BFB" w:rsidR="0081662F" w:rsidRPr="00D0532A" w:rsidRDefault="0081662F" w:rsidP="0081662F">
      <w:pPr>
        <w:spacing w:after="0" w:line="240" w:lineRule="auto"/>
        <w:jc w:val="both"/>
        <w:rPr>
          <w:rFonts w:ascii="Times New Roman" w:hAnsi="Times New Roman" w:cs="Times New Roman"/>
          <w:b/>
          <w:bCs/>
          <w:i/>
          <w:lang w:eastAsia="hr-HR"/>
        </w:rPr>
      </w:pPr>
      <w:r>
        <w:rPr>
          <w:rFonts w:ascii="Times New Roman" w:hAnsi="Times New Roman" w:cs="Times New Roman"/>
          <w:b/>
          <w:bCs/>
          <w:i/>
          <w:lang w:eastAsia="hr-HR"/>
        </w:rPr>
        <w:t xml:space="preserve">           </w:t>
      </w:r>
      <w:r w:rsidRPr="00D0532A">
        <w:rPr>
          <w:rFonts w:ascii="Times New Roman" w:hAnsi="Times New Roman" w:cs="Times New Roman"/>
          <w:b/>
          <w:bCs/>
          <w:i/>
          <w:lang w:eastAsia="hr-HR"/>
        </w:rPr>
        <w:t>GLAVA 00203  Predškolski odgoj</w:t>
      </w:r>
    </w:p>
    <w:p w14:paraId="4B2B29D5" w14:textId="77777777" w:rsidR="0081662F" w:rsidRPr="00D0532A" w:rsidRDefault="0081662F" w:rsidP="0081662F">
      <w:pPr>
        <w:spacing w:after="0" w:line="240" w:lineRule="auto"/>
        <w:ind w:firstLine="567"/>
        <w:jc w:val="both"/>
        <w:rPr>
          <w:rFonts w:ascii="Times New Roman" w:hAnsi="Times New Roman" w:cs="Times New Roman"/>
          <w:b/>
          <w:bCs/>
          <w:i/>
          <w:lang w:eastAsia="hr-HR"/>
        </w:rPr>
      </w:pPr>
      <w:r w:rsidRPr="00D0532A">
        <w:rPr>
          <w:rFonts w:ascii="Times New Roman" w:hAnsi="Times New Roman" w:cs="Times New Roman"/>
          <w:b/>
          <w:bCs/>
          <w:i/>
          <w:lang w:eastAsia="hr-HR"/>
        </w:rPr>
        <w:t>Proračunski korisnik 0020334686 Dječji vrtić „Maslačak“ Garešnica</w:t>
      </w:r>
    </w:p>
    <w:p w14:paraId="51F0AC17" w14:textId="77777777" w:rsidR="0081662F" w:rsidRPr="00D0532A" w:rsidRDefault="0081662F" w:rsidP="0081662F">
      <w:pPr>
        <w:spacing w:after="0" w:line="240" w:lineRule="auto"/>
        <w:jc w:val="both"/>
        <w:rPr>
          <w:rFonts w:ascii="Times New Roman" w:hAnsi="Times New Roman" w:cs="Times New Roman"/>
        </w:rPr>
      </w:pPr>
    </w:p>
    <w:p w14:paraId="1906D4C9" w14:textId="7554A2ED" w:rsidR="0081662F" w:rsidRPr="00D0532A" w:rsidRDefault="0081662F" w:rsidP="0081662F">
      <w:pPr>
        <w:spacing w:after="0" w:line="240" w:lineRule="auto"/>
        <w:jc w:val="both"/>
        <w:rPr>
          <w:rFonts w:ascii="Times New Roman" w:hAnsi="Times New Roman" w:cs="Times New Roman"/>
        </w:rPr>
      </w:pPr>
      <w:r w:rsidRPr="00D0532A">
        <w:rPr>
          <w:rFonts w:ascii="Times New Roman" w:hAnsi="Times New Roman" w:cs="Times New Roman"/>
        </w:rPr>
        <w:t xml:space="preserve">Svi rashodi i izdatci o izvršenju financijskog plana za razdoblje od 01.01.2024.-31.12.2024. detaljno su vidljivi u posebnom dijelu izvještaja o izvršenju po programskoj i ekonomskoj klasifikaciji te izvorima </w:t>
      </w:r>
      <w:r w:rsidRPr="00D0532A">
        <w:rPr>
          <w:rFonts w:ascii="Times New Roman" w:hAnsi="Times New Roman" w:cs="Times New Roman"/>
        </w:rPr>
        <w:lastRenderedPageBreak/>
        <w:t>financiranja gdje se oni prikazuju po programima i aktivnostima. Izvršenje ukupnih rashoda i izdataka u programu 1016 Predškolski odgoj iznosi 1.7</w:t>
      </w:r>
      <w:r w:rsidR="00361B01">
        <w:rPr>
          <w:rFonts w:ascii="Times New Roman" w:hAnsi="Times New Roman" w:cs="Times New Roman"/>
        </w:rPr>
        <w:t>21.606,61</w:t>
      </w:r>
      <w:r w:rsidRPr="00D0532A">
        <w:rPr>
          <w:rFonts w:ascii="Times New Roman" w:hAnsi="Times New Roman" w:cs="Times New Roman"/>
        </w:rPr>
        <w:t xml:space="preserve"> eura, odnosno 9</w:t>
      </w:r>
      <w:r w:rsidR="00361B01">
        <w:rPr>
          <w:rFonts w:ascii="Times New Roman" w:hAnsi="Times New Roman" w:cs="Times New Roman"/>
        </w:rPr>
        <w:t>3,70</w:t>
      </w:r>
      <w:r w:rsidRPr="00D0532A">
        <w:rPr>
          <w:rFonts w:ascii="Times New Roman" w:hAnsi="Times New Roman" w:cs="Times New Roman"/>
        </w:rPr>
        <w:t>% plana.</w:t>
      </w:r>
    </w:p>
    <w:p w14:paraId="361DE21C" w14:textId="77777777" w:rsidR="0081662F" w:rsidRPr="00D0532A" w:rsidRDefault="0081662F" w:rsidP="0081662F">
      <w:pPr>
        <w:spacing w:after="0" w:line="240" w:lineRule="auto"/>
        <w:jc w:val="both"/>
        <w:rPr>
          <w:rFonts w:ascii="Times New Roman" w:hAnsi="Times New Roman" w:cs="Times New Roman"/>
          <w:lang w:eastAsia="hr-HR"/>
        </w:rPr>
      </w:pPr>
      <w:r w:rsidRPr="00D0532A">
        <w:rPr>
          <w:rFonts w:ascii="Times New Roman" w:hAnsi="Times New Roman" w:cs="Times New Roman"/>
        </w:rPr>
        <w:t xml:space="preserve">Program 1016 Predškolski odgoj podijeljen je na: Aktivnost A101601 redovan rad Dječjeg vrtića Maslačak, </w:t>
      </w:r>
      <w:bookmarkStart w:id="12" w:name="_Hlk130885690"/>
      <w:r w:rsidRPr="00D0532A">
        <w:rPr>
          <w:rFonts w:ascii="Times New Roman" w:hAnsi="Times New Roman" w:cs="Times New Roman"/>
        </w:rPr>
        <w:t>Aktivnost A101602 Redovno održavanje opreme i prijevoznih sredstava,</w:t>
      </w:r>
      <w:bookmarkEnd w:id="12"/>
      <w:r w:rsidRPr="00D0532A">
        <w:rPr>
          <w:rFonts w:ascii="Times New Roman" w:hAnsi="Times New Roman" w:cs="Times New Roman"/>
        </w:rPr>
        <w:t xml:space="preserve"> Aktivnost A101603 Redovno održavanje objekta vrtića i Kapitalni projekt K101601 opremanje javne ustanove -Dječji vrtić. </w:t>
      </w:r>
      <w:r w:rsidRPr="00D0532A">
        <w:rPr>
          <w:rFonts w:ascii="Times New Roman" w:hAnsi="Times New Roman" w:cs="Times New Roman"/>
          <w:lang w:eastAsia="hr-HR"/>
        </w:rPr>
        <w:t xml:space="preserve">Osnovni cilj ovog programa je osiguravanje materijalnih i financijskih uvjeta za obavljanje redovne djelatnosti vrtića, u skladu s obvezujućim zakonima i na temelju njih donesenim ostalim propisima. </w:t>
      </w:r>
    </w:p>
    <w:p w14:paraId="337823C4" w14:textId="77777777" w:rsidR="0081662F" w:rsidRPr="00D0532A" w:rsidRDefault="0081662F" w:rsidP="0081662F">
      <w:pPr>
        <w:spacing w:after="0" w:line="240" w:lineRule="auto"/>
        <w:jc w:val="both"/>
        <w:rPr>
          <w:rFonts w:ascii="Times New Roman" w:hAnsi="Times New Roman" w:cs="Times New Roman"/>
        </w:rPr>
      </w:pPr>
      <w:r w:rsidRPr="00D0532A">
        <w:rPr>
          <w:rFonts w:ascii="Times New Roman" w:hAnsi="Times New Roman" w:cs="Times New Roman"/>
        </w:rPr>
        <w:t xml:space="preserve">Slijedi obrazloženje izvršenja programa koji se daje kroz obrazloženje izvršenja aktivnosti i projekata zajedno sa ciljevima koji su ostvareni i pokazateljima uspješnosti realizacije tih ciljeva. </w:t>
      </w:r>
    </w:p>
    <w:p w14:paraId="2300D6A5" w14:textId="77777777" w:rsidR="0081662F" w:rsidRDefault="0081662F" w:rsidP="0081662F">
      <w:pPr>
        <w:spacing w:after="0" w:line="240" w:lineRule="auto"/>
        <w:rPr>
          <w:rFonts w:ascii="Times New Roman" w:hAnsi="Times New Roman" w:cs="Times New Roman"/>
        </w:rPr>
      </w:pPr>
    </w:p>
    <w:tbl>
      <w:tblPr>
        <w:tblW w:w="5000" w:type="pct"/>
        <w:tblLayout w:type="fixed"/>
        <w:tblLook w:val="04A0" w:firstRow="1" w:lastRow="0" w:firstColumn="1" w:lastColumn="0" w:noHBand="0" w:noVBand="1"/>
      </w:tblPr>
      <w:tblGrid>
        <w:gridCol w:w="5222"/>
        <w:gridCol w:w="1245"/>
        <w:gridCol w:w="1388"/>
        <w:gridCol w:w="1205"/>
      </w:tblGrid>
      <w:tr w:rsidR="00760AE5" w:rsidRPr="00897E2F" w14:paraId="482297A7" w14:textId="77777777" w:rsidTr="00EB2357">
        <w:trPr>
          <w:trHeight w:val="564"/>
        </w:trPr>
        <w:tc>
          <w:tcPr>
            <w:tcW w:w="2882"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A8D9F0D" w14:textId="77777777" w:rsidR="00760AE5" w:rsidRPr="00897E2F" w:rsidRDefault="00760AE5" w:rsidP="00760AE5">
            <w:pPr>
              <w:spacing w:after="0" w:line="240" w:lineRule="atLeast"/>
              <w:jc w:val="center"/>
              <w:rPr>
                <w:rFonts w:ascii="Times New Roman" w:hAnsi="Times New Roman" w:cs="Times New Roman"/>
                <w:b/>
                <w:bCs/>
                <w:w w:val="95"/>
                <w:sz w:val="20"/>
                <w:szCs w:val="20"/>
              </w:rPr>
            </w:pPr>
            <w:r w:rsidRPr="00897E2F">
              <w:rPr>
                <w:rFonts w:ascii="Times New Roman" w:hAnsi="Times New Roman" w:cs="Times New Roman"/>
                <w:b/>
                <w:bCs/>
                <w:w w:val="95"/>
                <w:sz w:val="20"/>
                <w:szCs w:val="20"/>
              </w:rPr>
              <w:t>Naziv aktivnosti</w:t>
            </w:r>
          </w:p>
        </w:tc>
        <w:tc>
          <w:tcPr>
            <w:tcW w:w="687" w:type="pct"/>
            <w:tcBorders>
              <w:top w:val="single" w:sz="4" w:space="0" w:color="auto"/>
              <w:left w:val="nil"/>
              <w:bottom w:val="single" w:sz="4" w:space="0" w:color="auto"/>
              <w:right w:val="single" w:sz="4" w:space="0" w:color="auto"/>
            </w:tcBorders>
            <w:shd w:val="clear" w:color="auto" w:fill="BFBFBF"/>
            <w:noWrap/>
            <w:vAlign w:val="center"/>
          </w:tcPr>
          <w:p w14:paraId="661B8A51" w14:textId="32E32E5C" w:rsidR="00760AE5" w:rsidRPr="00897E2F" w:rsidRDefault="00760AE5" w:rsidP="00760AE5">
            <w:pPr>
              <w:spacing w:after="0" w:line="240" w:lineRule="atLeast"/>
              <w:jc w:val="center"/>
              <w:rPr>
                <w:rFonts w:ascii="Times New Roman" w:hAnsi="Times New Roman" w:cs="Times New Roman"/>
                <w:b/>
                <w:bCs/>
                <w:w w:val="95"/>
                <w:sz w:val="20"/>
                <w:szCs w:val="20"/>
              </w:rPr>
            </w:pPr>
            <w:r w:rsidRPr="00897E2F">
              <w:rPr>
                <w:rFonts w:ascii="Times New Roman" w:hAnsi="Times New Roman" w:cs="Times New Roman"/>
                <w:b/>
                <w:bCs/>
                <w:w w:val="95"/>
                <w:sz w:val="20"/>
                <w:szCs w:val="20"/>
              </w:rPr>
              <w:t>Rebalans 202</w:t>
            </w:r>
            <w:r>
              <w:rPr>
                <w:rFonts w:ascii="Times New Roman" w:hAnsi="Times New Roman" w:cs="Times New Roman"/>
                <w:b/>
                <w:bCs/>
                <w:w w:val="95"/>
                <w:sz w:val="20"/>
                <w:szCs w:val="20"/>
              </w:rPr>
              <w:t>4</w:t>
            </w:r>
            <w:r w:rsidRPr="00897E2F">
              <w:rPr>
                <w:rFonts w:ascii="Times New Roman" w:hAnsi="Times New Roman" w:cs="Times New Roman"/>
                <w:b/>
                <w:bCs/>
                <w:w w:val="95"/>
                <w:sz w:val="20"/>
                <w:szCs w:val="20"/>
              </w:rPr>
              <w:t>.</w:t>
            </w:r>
          </w:p>
        </w:tc>
        <w:tc>
          <w:tcPr>
            <w:tcW w:w="766" w:type="pct"/>
            <w:tcBorders>
              <w:top w:val="single" w:sz="4" w:space="0" w:color="auto"/>
              <w:left w:val="nil"/>
              <w:bottom w:val="single" w:sz="4" w:space="0" w:color="auto"/>
              <w:right w:val="single" w:sz="4" w:space="0" w:color="auto"/>
            </w:tcBorders>
            <w:shd w:val="clear" w:color="auto" w:fill="BFBFBF"/>
            <w:vAlign w:val="center"/>
          </w:tcPr>
          <w:p w14:paraId="4996390A" w14:textId="63519ECB" w:rsidR="00760AE5" w:rsidRPr="00897E2F" w:rsidRDefault="00760AE5" w:rsidP="00760AE5">
            <w:pPr>
              <w:spacing w:after="0" w:line="240" w:lineRule="atLeast"/>
              <w:jc w:val="center"/>
              <w:rPr>
                <w:rFonts w:ascii="Times New Roman" w:hAnsi="Times New Roman" w:cs="Times New Roman"/>
                <w:b/>
                <w:bCs/>
                <w:w w:val="95"/>
                <w:sz w:val="20"/>
                <w:szCs w:val="20"/>
              </w:rPr>
            </w:pPr>
            <w:r w:rsidRPr="00897E2F">
              <w:rPr>
                <w:rFonts w:ascii="Times New Roman" w:hAnsi="Times New Roman" w:cs="Times New Roman"/>
                <w:b/>
                <w:bCs/>
                <w:w w:val="95"/>
                <w:sz w:val="20"/>
                <w:szCs w:val="20"/>
              </w:rPr>
              <w:t>Izvršenje 202</w:t>
            </w:r>
            <w:r>
              <w:rPr>
                <w:rFonts w:ascii="Times New Roman" w:hAnsi="Times New Roman" w:cs="Times New Roman"/>
                <w:b/>
                <w:bCs/>
                <w:w w:val="95"/>
                <w:sz w:val="20"/>
                <w:szCs w:val="20"/>
              </w:rPr>
              <w:t>4</w:t>
            </w:r>
            <w:r w:rsidRPr="00897E2F">
              <w:rPr>
                <w:rFonts w:ascii="Times New Roman" w:hAnsi="Times New Roman" w:cs="Times New Roman"/>
                <w:b/>
                <w:bCs/>
                <w:w w:val="95"/>
                <w:sz w:val="20"/>
                <w:szCs w:val="20"/>
              </w:rPr>
              <w:t>.</w:t>
            </w:r>
          </w:p>
        </w:tc>
        <w:tc>
          <w:tcPr>
            <w:tcW w:w="665" w:type="pct"/>
            <w:tcBorders>
              <w:top w:val="single" w:sz="4" w:space="0" w:color="auto"/>
              <w:left w:val="nil"/>
              <w:bottom w:val="single" w:sz="4" w:space="0" w:color="auto"/>
              <w:right w:val="single" w:sz="4" w:space="0" w:color="auto"/>
            </w:tcBorders>
            <w:shd w:val="clear" w:color="auto" w:fill="BFBFBF"/>
            <w:vAlign w:val="center"/>
          </w:tcPr>
          <w:p w14:paraId="231718E4" w14:textId="77777777" w:rsidR="00760AE5" w:rsidRPr="00897E2F" w:rsidRDefault="00760AE5" w:rsidP="00760AE5">
            <w:pPr>
              <w:spacing w:after="0" w:line="240" w:lineRule="atLeast"/>
              <w:jc w:val="center"/>
              <w:rPr>
                <w:rFonts w:ascii="Times New Roman" w:hAnsi="Times New Roman" w:cs="Times New Roman"/>
                <w:b/>
                <w:bCs/>
                <w:w w:val="95"/>
                <w:sz w:val="20"/>
                <w:szCs w:val="20"/>
              </w:rPr>
            </w:pPr>
            <w:r w:rsidRPr="00897E2F">
              <w:rPr>
                <w:rFonts w:ascii="Times New Roman" w:hAnsi="Times New Roman" w:cs="Times New Roman"/>
                <w:b/>
                <w:bCs/>
                <w:w w:val="95"/>
                <w:sz w:val="20"/>
                <w:szCs w:val="20"/>
              </w:rPr>
              <w:t>Indeks</w:t>
            </w:r>
          </w:p>
        </w:tc>
      </w:tr>
      <w:tr w:rsidR="00760AE5" w:rsidRPr="00897E2F" w14:paraId="0840614C" w14:textId="77777777" w:rsidTr="00EB2357">
        <w:trPr>
          <w:trHeight w:val="282"/>
        </w:trPr>
        <w:tc>
          <w:tcPr>
            <w:tcW w:w="2882" w:type="pct"/>
            <w:tcBorders>
              <w:top w:val="single" w:sz="4" w:space="0" w:color="auto"/>
              <w:left w:val="single" w:sz="4" w:space="0" w:color="auto"/>
              <w:bottom w:val="single" w:sz="4" w:space="0" w:color="auto"/>
              <w:right w:val="single" w:sz="4" w:space="0" w:color="auto"/>
            </w:tcBorders>
            <w:hideMark/>
          </w:tcPr>
          <w:p w14:paraId="7220BDAD" w14:textId="77777777" w:rsidR="00760AE5" w:rsidRPr="00897E2F" w:rsidRDefault="00760AE5" w:rsidP="00EB2357">
            <w:pPr>
              <w:spacing w:after="0" w:line="240" w:lineRule="atLeast"/>
              <w:rPr>
                <w:rFonts w:ascii="Times New Roman" w:hAnsi="Times New Roman" w:cs="Times New Roman"/>
                <w:w w:val="95"/>
                <w:sz w:val="20"/>
                <w:szCs w:val="20"/>
              </w:rPr>
            </w:pPr>
            <w:r w:rsidRPr="00897E2F">
              <w:rPr>
                <w:rFonts w:ascii="Times New Roman" w:hAnsi="Times New Roman" w:cs="Times New Roman"/>
                <w:w w:val="95"/>
                <w:sz w:val="20"/>
                <w:szCs w:val="20"/>
              </w:rPr>
              <w:t xml:space="preserve">Aktivnost A101601 Redovan rad Dječjeg vrtića Maslačak </w:t>
            </w:r>
          </w:p>
        </w:tc>
        <w:tc>
          <w:tcPr>
            <w:tcW w:w="687" w:type="pct"/>
            <w:tcBorders>
              <w:top w:val="nil"/>
              <w:left w:val="nil"/>
              <w:bottom w:val="single" w:sz="4" w:space="0" w:color="auto"/>
              <w:right w:val="single" w:sz="4" w:space="0" w:color="auto"/>
            </w:tcBorders>
            <w:noWrap/>
            <w:vAlign w:val="bottom"/>
          </w:tcPr>
          <w:p w14:paraId="6D199825" w14:textId="176AD0F3" w:rsidR="00760AE5" w:rsidRPr="00897E2F" w:rsidRDefault="00760AE5" w:rsidP="00EB2357">
            <w:pPr>
              <w:spacing w:after="0" w:line="240" w:lineRule="atLeast"/>
              <w:jc w:val="right"/>
              <w:rPr>
                <w:rFonts w:ascii="Times New Roman" w:hAnsi="Times New Roman" w:cs="Times New Roman"/>
                <w:w w:val="95"/>
                <w:sz w:val="20"/>
                <w:szCs w:val="20"/>
              </w:rPr>
            </w:pPr>
            <w:r>
              <w:rPr>
                <w:rFonts w:ascii="Times New Roman" w:hAnsi="Times New Roman" w:cs="Times New Roman"/>
                <w:w w:val="95"/>
                <w:sz w:val="20"/>
                <w:szCs w:val="20"/>
              </w:rPr>
              <w:t>1.834.428,62</w:t>
            </w:r>
          </w:p>
        </w:tc>
        <w:tc>
          <w:tcPr>
            <w:tcW w:w="766" w:type="pct"/>
            <w:tcBorders>
              <w:top w:val="nil"/>
              <w:left w:val="nil"/>
              <w:bottom w:val="single" w:sz="4" w:space="0" w:color="auto"/>
              <w:right w:val="single" w:sz="4" w:space="0" w:color="auto"/>
            </w:tcBorders>
            <w:noWrap/>
            <w:vAlign w:val="bottom"/>
          </w:tcPr>
          <w:p w14:paraId="09EEBEDA" w14:textId="252D502C" w:rsidR="00760AE5" w:rsidRPr="00897E2F" w:rsidRDefault="00760AE5" w:rsidP="00EB2357">
            <w:pPr>
              <w:spacing w:after="0" w:line="240" w:lineRule="atLeast"/>
              <w:jc w:val="right"/>
              <w:rPr>
                <w:rFonts w:ascii="Times New Roman" w:hAnsi="Times New Roman" w:cs="Times New Roman"/>
                <w:w w:val="95"/>
                <w:sz w:val="20"/>
                <w:szCs w:val="20"/>
              </w:rPr>
            </w:pPr>
            <w:r>
              <w:rPr>
                <w:rFonts w:ascii="Times New Roman" w:hAnsi="Times New Roman" w:cs="Times New Roman"/>
                <w:w w:val="95"/>
                <w:sz w:val="20"/>
                <w:szCs w:val="20"/>
              </w:rPr>
              <w:t>1.721.606,61</w:t>
            </w:r>
          </w:p>
        </w:tc>
        <w:tc>
          <w:tcPr>
            <w:tcW w:w="665" w:type="pct"/>
            <w:tcBorders>
              <w:top w:val="nil"/>
              <w:left w:val="nil"/>
              <w:bottom w:val="single" w:sz="4" w:space="0" w:color="auto"/>
              <w:right w:val="single" w:sz="4" w:space="0" w:color="auto"/>
            </w:tcBorders>
            <w:noWrap/>
            <w:vAlign w:val="bottom"/>
          </w:tcPr>
          <w:p w14:paraId="271C6AF8" w14:textId="6467D182" w:rsidR="00760AE5" w:rsidRPr="00897E2F" w:rsidRDefault="00760AE5" w:rsidP="00EB2357">
            <w:pPr>
              <w:spacing w:after="0" w:line="240" w:lineRule="atLeast"/>
              <w:jc w:val="right"/>
              <w:rPr>
                <w:rFonts w:ascii="Times New Roman" w:hAnsi="Times New Roman" w:cs="Times New Roman"/>
                <w:w w:val="95"/>
                <w:sz w:val="20"/>
                <w:szCs w:val="20"/>
              </w:rPr>
            </w:pPr>
            <w:r>
              <w:rPr>
                <w:rFonts w:ascii="Times New Roman" w:hAnsi="Times New Roman" w:cs="Times New Roman"/>
                <w:w w:val="95"/>
                <w:sz w:val="20"/>
                <w:szCs w:val="20"/>
              </w:rPr>
              <w:t>93,85</w:t>
            </w:r>
          </w:p>
        </w:tc>
      </w:tr>
      <w:tr w:rsidR="00760AE5" w:rsidRPr="00897E2F" w14:paraId="4F8FAA04" w14:textId="77777777" w:rsidTr="00EB2357">
        <w:trPr>
          <w:trHeight w:val="282"/>
        </w:trPr>
        <w:tc>
          <w:tcPr>
            <w:tcW w:w="2882" w:type="pct"/>
            <w:tcBorders>
              <w:top w:val="single" w:sz="4" w:space="0" w:color="auto"/>
              <w:left w:val="single" w:sz="4" w:space="0" w:color="auto"/>
              <w:bottom w:val="single" w:sz="4" w:space="0" w:color="auto"/>
              <w:right w:val="single" w:sz="4" w:space="0" w:color="auto"/>
            </w:tcBorders>
            <w:noWrap/>
          </w:tcPr>
          <w:p w14:paraId="28E152BD" w14:textId="77777777" w:rsidR="00760AE5" w:rsidRPr="00897E2F" w:rsidRDefault="00760AE5" w:rsidP="00EB2357">
            <w:pPr>
              <w:spacing w:after="0" w:line="240" w:lineRule="atLeast"/>
              <w:rPr>
                <w:rFonts w:ascii="Times New Roman" w:hAnsi="Times New Roman" w:cs="Times New Roman"/>
                <w:w w:val="95"/>
                <w:sz w:val="20"/>
                <w:szCs w:val="20"/>
              </w:rPr>
            </w:pPr>
            <w:r w:rsidRPr="00897E2F">
              <w:rPr>
                <w:rFonts w:ascii="Times New Roman" w:hAnsi="Times New Roman" w:cs="Times New Roman"/>
                <w:w w:val="95"/>
                <w:sz w:val="20"/>
                <w:szCs w:val="20"/>
              </w:rPr>
              <w:t>Aktivnost A101602 Redovno održavanje opreme i prijevoznih sredstava</w:t>
            </w:r>
          </w:p>
        </w:tc>
        <w:tc>
          <w:tcPr>
            <w:tcW w:w="687" w:type="pct"/>
            <w:tcBorders>
              <w:top w:val="nil"/>
              <w:left w:val="nil"/>
              <w:bottom w:val="single" w:sz="4" w:space="0" w:color="auto"/>
              <w:right w:val="single" w:sz="4" w:space="0" w:color="auto"/>
            </w:tcBorders>
            <w:noWrap/>
            <w:vAlign w:val="bottom"/>
          </w:tcPr>
          <w:p w14:paraId="672FE3FD" w14:textId="16BEA669" w:rsidR="00760AE5" w:rsidRPr="00897E2F" w:rsidRDefault="00760AE5" w:rsidP="00EB2357">
            <w:pPr>
              <w:spacing w:after="0" w:line="240" w:lineRule="atLeast"/>
              <w:jc w:val="right"/>
              <w:rPr>
                <w:rFonts w:ascii="Times New Roman" w:hAnsi="Times New Roman" w:cs="Times New Roman"/>
                <w:w w:val="95"/>
                <w:sz w:val="20"/>
                <w:szCs w:val="20"/>
              </w:rPr>
            </w:pPr>
            <w:r>
              <w:rPr>
                <w:rFonts w:ascii="Times New Roman" w:hAnsi="Times New Roman" w:cs="Times New Roman"/>
                <w:w w:val="95"/>
                <w:sz w:val="20"/>
                <w:szCs w:val="20"/>
              </w:rPr>
              <w:t>9.100,00</w:t>
            </w:r>
          </w:p>
        </w:tc>
        <w:tc>
          <w:tcPr>
            <w:tcW w:w="766" w:type="pct"/>
            <w:tcBorders>
              <w:top w:val="nil"/>
              <w:left w:val="nil"/>
              <w:bottom w:val="single" w:sz="4" w:space="0" w:color="auto"/>
              <w:right w:val="single" w:sz="4" w:space="0" w:color="auto"/>
            </w:tcBorders>
            <w:noWrap/>
            <w:vAlign w:val="bottom"/>
          </w:tcPr>
          <w:p w14:paraId="334A5E1E" w14:textId="1003E925" w:rsidR="00760AE5" w:rsidRPr="00897E2F" w:rsidRDefault="00760AE5" w:rsidP="00EB2357">
            <w:pPr>
              <w:spacing w:after="0" w:line="240" w:lineRule="atLeast"/>
              <w:jc w:val="right"/>
              <w:rPr>
                <w:rFonts w:ascii="Times New Roman" w:hAnsi="Times New Roman" w:cs="Times New Roman"/>
                <w:w w:val="95"/>
                <w:sz w:val="20"/>
                <w:szCs w:val="20"/>
              </w:rPr>
            </w:pPr>
            <w:r>
              <w:rPr>
                <w:rFonts w:ascii="Times New Roman" w:hAnsi="Times New Roman" w:cs="Times New Roman"/>
                <w:w w:val="95"/>
                <w:sz w:val="20"/>
                <w:szCs w:val="20"/>
              </w:rPr>
              <w:t>7.174,68</w:t>
            </w:r>
          </w:p>
        </w:tc>
        <w:tc>
          <w:tcPr>
            <w:tcW w:w="665" w:type="pct"/>
            <w:tcBorders>
              <w:top w:val="nil"/>
              <w:left w:val="nil"/>
              <w:bottom w:val="single" w:sz="4" w:space="0" w:color="auto"/>
              <w:right w:val="single" w:sz="4" w:space="0" w:color="auto"/>
            </w:tcBorders>
            <w:noWrap/>
            <w:vAlign w:val="bottom"/>
          </w:tcPr>
          <w:p w14:paraId="47096C61" w14:textId="75005217" w:rsidR="00760AE5" w:rsidRPr="00897E2F" w:rsidRDefault="00760AE5" w:rsidP="00EB2357">
            <w:pPr>
              <w:spacing w:after="0" w:line="240" w:lineRule="atLeast"/>
              <w:jc w:val="right"/>
              <w:rPr>
                <w:rFonts w:ascii="Times New Roman" w:hAnsi="Times New Roman" w:cs="Times New Roman"/>
                <w:w w:val="95"/>
                <w:sz w:val="20"/>
                <w:szCs w:val="20"/>
              </w:rPr>
            </w:pPr>
            <w:r>
              <w:rPr>
                <w:rFonts w:ascii="Times New Roman" w:hAnsi="Times New Roman" w:cs="Times New Roman"/>
                <w:w w:val="95"/>
                <w:sz w:val="20"/>
                <w:szCs w:val="20"/>
              </w:rPr>
              <w:t>78,84</w:t>
            </w:r>
          </w:p>
        </w:tc>
      </w:tr>
      <w:tr w:rsidR="00760AE5" w:rsidRPr="00897E2F" w14:paraId="7C0F12DB" w14:textId="77777777" w:rsidTr="00EB2357">
        <w:trPr>
          <w:trHeight w:val="282"/>
        </w:trPr>
        <w:tc>
          <w:tcPr>
            <w:tcW w:w="2882" w:type="pct"/>
            <w:tcBorders>
              <w:top w:val="single" w:sz="4" w:space="0" w:color="auto"/>
              <w:left w:val="single" w:sz="4" w:space="0" w:color="auto"/>
              <w:bottom w:val="single" w:sz="4" w:space="0" w:color="auto"/>
              <w:right w:val="single" w:sz="4" w:space="0" w:color="auto"/>
            </w:tcBorders>
            <w:noWrap/>
            <w:hideMark/>
          </w:tcPr>
          <w:p w14:paraId="557A410E" w14:textId="77777777" w:rsidR="00760AE5" w:rsidRPr="00897E2F" w:rsidRDefault="00760AE5" w:rsidP="00EB2357">
            <w:pPr>
              <w:spacing w:after="0" w:line="240" w:lineRule="atLeast"/>
              <w:rPr>
                <w:rFonts w:ascii="Times New Roman" w:hAnsi="Times New Roman" w:cs="Times New Roman"/>
                <w:w w:val="95"/>
                <w:sz w:val="20"/>
                <w:szCs w:val="20"/>
              </w:rPr>
            </w:pPr>
            <w:r w:rsidRPr="00897E2F">
              <w:rPr>
                <w:rFonts w:ascii="Times New Roman" w:hAnsi="Times New Roman" w:cs="Times New Roman"/>
                <w:w w:val="95"/>
                <w:sz w:val="20"/>
                <w:szCs w:val="20"/>
              </w:rPr>
              <w:t>Aktivnost A101603 Redovno održavanje objekta vrtića</w:t>
            </w:r>
          </w:p>
        </w:tc>
        <w:tc>
          <w:tcPr>
            <w:tcW w:w="687" w:type="pct"/>
            <w:tcBorders>
              <w:top w:val="nil"/>
              <w:left w:val="nil"/>
              <w:bottom w:val="single" w:sz="4" w:space="0" w:color="auto"/>
              <w:right w:val="single" w:sz="4" w:space="0" w:color="auto"/>
            </w:tcBorders>
            <w:noWrap/>
            <w:vAlign w:val="bottom"/>
          </w:tcPr>
          <w:p w14:paraId="4E1E9B9D" w14:textId="5B09A785" w:rsidR="00760AE5" w:rsidRPr="00897E2F" w:rsidRDefault="00760AE5" w:rsidP="00EB2357">
            <w:pPr>
              <w:spacing w:after="0" w:line="240" w:lineRule="atLeast"/>
              <w:jc w:val="right"/>
              <w:rPr>
                <w:rFonts w:ascii="Times New Roman" w:hAnsi="Times New Roman" w:cs="Times New Roman"/>
                <w:w w:val="95"/>
                <w:sz w:val="20"/>
                <w:szCs w:val="20"/>
              </w:rPr>
            </w:pPr>
            <w:r>
              <w:rPr>
                <w:rFonts w:ascii="Times New Roman" w:hAnsi="Times New Roman" w:cs="Times New Roman"/>
                <w:w w:val="95"/>
                <w:sz w:val="20"/>
                <w:szCs w:val="20"/>
              </w:rPr>
              <w:t>1.300,00</w:t>
            </w:r>
          </w:p>
        </w:tc>
        <w:tc>
          <w:tcPr>
            <w:tcW w:w="766" w:type="pct"/>
            <w:tcBorders>
              <w:top w:val="nil"/>
              <w:left w:val="nil"/>
              <w:bottom w:val="single" w:sz="4" w:space="0" w:color="auto"/>
              <w:right w:val="single" w:sz="4" w:space="0" w:color="auto"/>
            </w:tcBorders>
            <w:noWrap/>
            <w:vAlign w:val="bottom"/>
          </w:tcPr>
          <w:p w14:paraId="0744B499" w14:textId="0DDA4230" w:rsidR="00760AE5" w:rsidRPr="00897E2F" w:rsidRDefault="00760AE5" w:rsidP="00EB2357">
            <w:pPr>
              <w:spacing w:after="0" w:line="240" w:lineRule="atLeast"/>
              <w:jc w:val="right"/>
              <w:rPr>
                <w:rFonts w:ascii="Times New Roman" w:hAnsi="Times New Roman" w:cs="Times New Roman"/>
                <w:w w:val="95"/>
                <w:sz w:val="20"/>
                <w:szCs w:val="20"/>
              </w:rPr>
            </w:pPr>
            <w:r>
              <w:rPr>
                <w:rFonts w:ascii="Times New Roman" w:hAnsi="Times New Roman" w:cs="Times New Roman"/>
                <w:w w:val="95"/>
                <w:sz w:val="20"/>
                <w:szCs w:val="20"/>
              </w:rPr>
              <w:t>636,11</w:t>
            </w:r>
          </w:p>
        </w:tc>
        <w:tc>
          <w:tcPr>
            <w:tcW w:w="665" w:type="pct"/>
            <w:tcBorders>
              <w:top w:val="nil"/>
              <w:left w:val="nil"/>
              <w:bottom w:val="single" w:sz="4" w:space="0" w:color="auto"/>
              <w:right w:val="single" w:sz="4" w:space="0" w:color="auto"/>
            </w:tcBorders>
            <w:noWrap/>
            <w:vAlign w:val="bottom"/>
          </w:tcPr>
          <w:p w14:paraId="71D10DE6" w14:textId="3171D2F5" w:rsidR="00760AE5" w:rsidRPr="00897E2F" w:rsidRDefault="00760AE5" w:rsidP="00EB2357">
            <w:pPr>
              <w:spacing w:after="0" w:line="240" w:lineRule="atLeast"/>
              <w:jc w:val="right"/>
              <w:rPr>
                <w:rFonts w:ascii="Times New Roman" w:hAnsi="Times New Roman" w:cs="Times New Roman"/>
                <w:w w:val="95"/>
                <w:sz w:val="20"/>
                <w:szCs w:val="20"/>
              </w:rPr>
            </w:pPr>
            <w:r>
              <w:rPr>
                <w:rFonts w:ascii="Times New Roman" w:hAnsi="Times New Roman" w:cs="Times New Roman"/>
                <w:w w:val="95"/>
                <w:sz w:val="20"/>
                <w:szCs w:val="20"/>
              </w:rPr>
              <w:t>48,93</w:t>
            </w:r>
          </w:p>
        </w:tc>
      </w:tr>
      <w:tr w:rsidR="00760AE5" w:rsidRPr="00897E2F" w14:paraId="71009923" w14:textId="77777777" w:rsidTr="00EB2357">
        <w:trPr>
          <w:trHeight w:val="282"/>
        </w:trPr>
        <w:tc>
          <w:tcPr>
            <w:tcW w:w="2882" w:type="pct"/>
            <w:tcBorders>
              <w:top w:val="single" w:sz="4" w:space="0" w:color="auto"/>
              <w:left w:val="single" w:sz="4" w:space="0" w:color="auto"/>
              <w:bottom w:val="single" w:sz="4" w:space="0" w:color="auto"/>
              <w:right w:val="single" w:sz="4" w:space="0" w:color="auto"/>
            </w:tcBorders>
            <w:noWrap/>
          </w:tcPr>
          <w:p w14:paraId="695367BF" w14:textId="77777777" w:rsidR="00760AE5" w:rsidRPr="00897E2F" w:rsidRDefault="00760AE5" w:rsidP="00EB2357">
            <w:pPr>
              <w:spacing w:after="0" w:line="240" w:lineRule="atLeast"/>
              <w:rPr>
                <w:rFonts w:ascii="Times New Roman" w:hAnsi="Times New Roman" w:cs="Times New Roman"/>
                <w:w w:val="95"/>
                <w:sz w:val="20"/>
                <w:szCs w:val="20"/>
              </w:rPr>
            </w:pPr>
            <w:r w:rsidRPr="00897E2F">
              <w:rPr>
                <w:rFonts w:ascii="Times New Roman" w:hAnsi="Times New Roman" w:cs="Times New Roman"/>
                <w:w w:val="95"/>
                <w:sz w:val="20"/>
                <w:szCs w:val="20"/>
              </w:rPr>
              <w:t>Kapitalni projekt K101601 Opremanje javne ustanove Dječji vrtić</w:t>
            </w:r>
          </w:p>
        </w:tc>
        <w:tc>
          <w:tcPr>
            <w:tcW w:w="687" w:type="pct"/>
            <w:tcBorders>
              <w:top w:val="nil"/>
              <w:left w:val="nil"/>
              <w:bottom w:val="single" w:sz="4" w:space="0" w:color="auto"/>
              <w:right w:val="single" w:sz="4" w:space="0" w:color="auto"/>
            </w:tcBorders>
            <w:noWrap/>
            <w:vAlign w:val="bottom"/>
          </w:tcPr>
          <w:p w14:paraId="3FC004E5" w14:textId="67FDBC7A" w:rsidR="00760AE5" w:rsidRPr="00897E2F" w:rsidRDefault="00760AE5" w:rsidP="00EB2357">
            <w:pPr>
              <w:spacing w:after="0" w:line="240" w:lineRule="atLeast"/>
              <w:jc w:val="right"/>
              <w:rPr>
                <w:rFonts w:ascii="Times New Roman" w:hAnsi="Times New Roman" w:cs="Times New Roman"/>
                <w:w w:val="95"/>
                <w:sz w:val="20"/>
                <w:szCs w:val="20"/>
              </w:rPr>
            </w:pPr>
            <w:r>
              <w:rPr>
                <w:rFonts w:ascii="Times New Roman" w:hAnsi="Times New Roman" w:cs="Times New Roman"/>
                <w:w w:val="95"/>
                <w:sz w:val="20"/>
                <w:szCs w:val="20"/>
              </w:rPr>
              <w:t>36.700,00</w:t>
            </w:r>
          </w:p>
        </w:tc>
        <w:tc>
          <w:tcPr>
            <w:tcW w:w="766" w:type="pct"/>
            <w:tcBorders>
              <w:top w:val="nil"/>
              <w:left w:val="nil"/>
              <w:bottom w:val="single" w:sz="4" w:space="0" w:color="auto"/>
              <w:right w:val="single" w:sz="4" w:space="0" w:color="auto"/>
            </w:tcBorders>
            <w:noWrap/>
            <w:vAlign w:val="bottom"/>
          </w:tcPr>
          <w:p w14:paraId="44889E5B" w14:textId="7951114D" w:rsidR="00760AE5" w:rsidRPr="00897E2F" w:rsidRDefault="00760AE5" w:rsidP="00EB2357">
            <w:pPr>
              <w:spacing w:after="0" w:line="240" w:lineRule="atLeast"/>
              <w:jc w:val="right"/>
              <w:rPr>
                <w:rFonts w:ascii="Times New Roman" w:hAnsi="Times New Roman" w:cs="Times New Roman"/>
                <w:w w:val="95"/>
                <w:sz w:val="20"/>
                <w:szCs w:val="20"/>
              </w:rPr>
            </w:pPr>
            <w:r>
              <w:rPr>
                <w:rFonts w:ascii="Times New Roman" w:hAnsi="Times New Roman" w:cs="Times New Roman"/>
                <w:w w:val="95"/>
                <w:sz w:val="20"/>
                <w:szCs w:val="20"/>
              </w:rPr>
              <w:t>33.530,10</w:t>
            </w:r>
          </w:p>
        </w:tc>
        <w:tc>
          <w:tcPr>
            <w:tcW w:w="665" w:type="pct"/>
            <w:tcBorders>
              <w:top w:val="nil"/>
              <w:left w:val="nil"/>
              <w:bottom w:val="single" w:sz="4" w:space="0" w:color="auto"/>
              <w:right w:val="single" w:sz="4" w:space="0" w:color="auto"/>
            </w:tcBorders>
            <w:noWrap/>
            <w:vAlign w:val="bottom"/>
          </w:tcPr>
          <w:p w14:paraId="482FE8BE" w14:textId="60A36C33" w:rsidR="00760AE5" w:rsidRPr="00897E2F" w:rsidRDefault="00760AE5" w:rsidP="00EB2357">
            <w:pPr>
              <w:spacing w:after="0" w:line="240" w:lineRule="atLeast"/>
              <w:jc w:val="right"/>
              <w:rPr>
                <w:rFonts w:ascii="Times New Roman" w:hAnsi="Times New Roman" w:cs="Times New Roman"/>
                <w:w w:val="95"/>
                <w:sz w:val="20"/>
                <w:szCs w:val="20"/>
              </w:rPr>
            </w:pPr>
          </w:p>
        </w:tc>
      </w:tr>
      <w:tr w:rsidR="00760AE5" w:rsidRPr="00897E2F" w14:paraId="4DFDACB3" w14:textId="77777777" w:rsidTr="00EB2357">
        <w:trPr>
          <w:trHeight w:val="282"/>
        </w:trPr>
        <w:tc>
          <w:tcPr>
            <w:tcW w:w="2882" w:type="pct"/>
            <w:tcBorders>
              <w:top w:val="single" w:sz="4" w:space="0" w:color="auto"/>
              <w:left w:val="single" w:sz="4" w:space="0" w:color="auto"/>
              <w:bottom w:val="single" w:sz="4" w:space="0" w:color="auto"/>
              <w:right w:val="single" w:sz="4" w:space="0" w:color="auto"/>
            </w:tcBorders>
            <w:noWrap/>
            <w:hideMark/>
          </w:tcPr>
          <w:p w14:paraId="3EFFC4EF" w14:textId="77777777" w:rsidR="00760AE5" w:rsidRPr="00897E2F" w:rsidRDefault="00760AE5" w:rsidP="00EB2357">
            <w:pPr>
              <w:spacing w:after="0" w:line="240" w:lineRule="atLeast"/>
              <w:rPr>
                <w:rFonts w:ascii="Times New Roman" w:hAnsi="Times New Roman" w:cs="Times New Roman"/>
                <w:b/>
                <w:bCs/>
                <w:w w:val="95"/>
                <w:sz w:val="20"/>
                <w:szCs w:val="20"/>
              </w:rPr>
            </w:pPr>
            <w:r w:rsidRPr="00897E2F">
              <w:rPr>
                <w:rFonts w:ascii="Times New Roman" w:hAnsi="Times New Roman" w:cs="Times New Roman"/>
                <w:b/>
                <w:bCs/>
                <w:w w:val="95"/>
                <w:sz w:val="20"/>
                <w:szCs w:val="20"/>
              </w:rPr>
              <w:t>Ukupno program:</w:t>
            </w:r>
          </w:p>
        </w:tc>
        <w:tc>
          <w:tcPr>
            <w:tcW w:w="687" w:type="pct"/>
            <w:tcBorders>
              <w:top w:val="nil"/>
              <w:left w:val="nil"/>
              <w:bottom w:val="single" w:sz="4" w:space="0" w:color="auto"/>
              <w:right w:val="single" w:sz="4" w:space="0" w:color="auto"/>
            </w:tcBorders>
            <w:noWrap/>
            <w:vAlign w:val="bottom"/>
          </w:tcPr>
          <w:p w14:paraId="7532C9FB" w14:textId="6591D670" w:rsidR="00760AE5" w:rsidRPr="00897E2F" w:rsidRDefault="00760AE5" w:rsidP="00EB2357">
            <w:pPr>
              <w:spacing w:after="0" w:line="240" w:lineRule="atLeast"/>
              <w:jc w:val="right"/>
              <w:rPr>
                <w:rFonts w:ascii="Times New Roman" w:hAnsi="Times New Roman" w:cs="Times New Roman"/>
                <w:b/>
                <w:bCs/>
                <w:w w:val="95"/>
                <w:sz w:val="20"/>
                <w:szCs w:val="20"/>
              </w:rPr>
            </w:pPr>
            <w:r>
              <w:rPr>
                <w:rFonts w:ascii="Times New Roman" w:hAnsi="Times New Roman" w:cs="Times New Roman"/>
                <w:b/>
                <w:bCs/>
                <w:w w:val="95"/>
                <w:sz w:val="20"/>
                <w:szCs w:val="20"/>
              </w:rPr>
              <w:t>1.881.528,62</w:t>
            </w:r>
          </w:p>
        </w:tc>
        <w:tc>
          <w:tcPr>
            <w:tcW w:w="766" w:type="pct"/>
            <w:tcBorders>
              <w:top w:val="nil"/>
              <w:left w:val="nil"/>
              <w:bottom w:val="single" w:sz="4" w:space="0" w:color="auto"/>
              <w:right w:val="single" w:sz="4" w:space="0" w:color="auto"/>
            </w:tcBorders>
            <w:noWrap/>
            <w:vAlign w:val="bottom"/>
          </w:tcPr>
          <w:p w14:paraId="387B9520" w14:textId="29D6F4D2" w:rsidR="00760AE5" w:rsidRPr="00897E2F" w:rsidRDefault="00760AE5" w:rsidP="00EB2357">
            <w:pPr>
              <w:spacing w:after="0" w:line="240" w:lineRule="atLeast"/>
              <w:jc w:val="right"/>
              <w:rPr>
                <w:rFonts w:ascii="Times New Roman" w:hAnsi="Times New Roman" w:cs="Times New Roman"/>
                <w:b/>
                <w:bCs/>
                <w:w w:val="95"/>
                <w:sz w:val="20"/>
                <w:szCs w:val="20"/>
              </w:rPr>
            </w:pPr>
            <w:r w:rsidRPr="00897E2F">
              <w:rPr>
                <w:rFonts w:ascii="Times New Roman" w:hAnsi="Times New Roman" w:cs="Times New Roman"/>
                <w:b/>
                <w:bCs/>
                <w:w w:val="95"/>
                <w:sz w:val="20"/>
                <w:szCs w:val="20"/>
              </w:rPr>
              <w:t>1.</w:t>
            </w:r>
            <w:r>
              <w:rPr>
                <w:rFonts w:ascii="Times New Roman" w:hAnsi="Times New Roman" w:cs="Times New Roman"/>
                <w:b/>
                <w:bCs/>
                <w:w w:val="95"/>
                <w:sz w:val="20"/>
                <w:szCs w:val="20"/>
              </w:rPr>
              <w:t>762.947,50</w:t>
            </w:r>
          </w:p>
        </w:tc>
        <w:tc>
          <w:tcPr>
            <w:tcW w:w="665" w:type="pct"/>
            <w:tcBorders>
              <w:top w:val="nil"/>
              <w:left w:val="nil"/>
              <w:bottom w:val="single" w:sz="4" w:space="0" w:color="auto"/>
              <w:right w:val="single" w:sz="4" w:space="0" w:color="auto"/>
            </w:tcBorders>
            <w:noWrap/>
            <w:vAlign w:val="bottom"/>
          </w:tcPr>
          <w:p w14:paraId="7814B8AD" w14:textId="2FFAED4B" w:rsidR="00760AE5" w:rsidRPr="00897E2F" w:rsidRDefault="00760AE5" w:rsidP="00EB2357">
            <w:pPr>
              <w:spacing w:after="0" w:line="240" w:lineRule="atLeast"/>
              <w:jc w:val="right"/>
              <w:rPr>
                <w:rFonts w:ascii="Times New Roman" w:hAnsi="Times New Roman" w:cs="Times New Roman"/>
                <w:b/>
                <w:bCs/>
                <w:w w:val="95"/>
                <w:sz w:val="20"/>
                <w:szCs w:val="20"/>
              </w:rPr>
            </w:pPr>
            <w:r>
              <w:rPr>
                <w:rFonts w:ascii="Times New Roman" w:hAnsi="Times New Roman" w:cs="Times New Roman"/>
                <w:b/>
                <w:bCs/>
                <w:w w:val="95"/>
                <w:sz w:val="20"/>
                <w:szCs w:val="20"/>
              </w:rPr>
              <w:t>93,70</w:t>
            </w:r>
          </w:p>
        </w:tc>
      </w:tr>
    </w:tbl>
    <w:p w14:paraId="4D49D772" w14:textId="77777777" w:rsidR="00760AE5" w:rsidRDefault="00760AE5" w:rsidP="0081662F">
      <w:pPr>
        <w:spacing w:after="0" w:line="240" w:lineRule="auto"/>
        <w:rPr>
          <w:rFonts w:ascii="Times New Roman" w:hAnsi="Times New Roman" w:cs="Times New Roman"/>
        </w:rPr>
      </w:pPr>
    </w:p>
    <w:p w14:paraId="02560F17" w14:textId="77777777" w:rsidR="00760AE5" w:rsidRPr="00D0532A" w:rsidRDefault="00760AE5" w:rsidP="0081662F">
      <w:pPr>
        <w:spacing w:after="0" w:line="240" w:lineRule="auto"/>
        <w:rPr>
          <w:rFonts w:ascii="Times New Roman" w:hAnsi="Times New Roman" w:cs="Times New Roman"/>
        </w:rPr>
      </w:pPr>
    </w:p>
    <w:p w14:paraId="72373382" w14:textId="77777777" w:rsidR="0081662F" w:rsidRPr="00D0532A" w:rsidRDefault="0081662F" w:rsidP="0081662F">
      <w:pPr>
        <w:spacing w:after="0" w:line="240" w:lineRule="auto"/>
        <w:rPr>
          <w:rFonts w:ascii="Times New Roman" w:hAnsi="Times New Roman" w:cs="Times New Roman"/>
          <w:b/>
          <w:bCs/>
        </w:rPr>
      </w:pPr>
      <w:r w:rsidRPr="00D0532A">
        <w:rPr>
          <w:rFonts w:ascii="Times New Roman" w:hAnsi="Times New Roman" w:cs="Times New Roman"/>
          <w:b/>
          <w:bCs/>
        </w:rPr>
        <w:t>Aktivnost redovan rad Dječjeg vrtića Maslačak-A101601</w:t>
      </w:r>
    </w:p>
    <w:p w14:paraId="5DC8955D" w14:textId="7E11B745" w:rsidR="0081662F" w:rsidRPr="00D0532A" w:rsidRDefault="0081662F" w:rsidP="00760AE5">
      <w:pPr>
        <w:spacing w:after="0" w:line="240" w:lineRule="auto"/>
        <w:jc w:val="both"/>
        <w:rPr>
          <w:rFonts w:ascii="Times New Roman" w:hAnsi="Times New Roman" w:cs="Times New Roman"/>
          <w:color w:val="000000"/>
          <w:lang w:eastAsia="hr-HR"/>
        </w:rPr>
      </w:pPr>
      <w:r w:rsidRPr="00D0532A">
        <w:rPr>
          <w:rFonts w:ascii="Times New Roman" w:hAnsi="Times New Roman" w:cs="Times New Roman"/>
        </w:rPr>
        <w:t>O</w:t>
      </w:r>
      <w:r w:rsidRPr="00D0532A">
        <w:rPr>
          <w:rFonts w:ascii="Times New Roman" w:hAnsi="Times New Roman" w:cs="Times New Roman"/>
          <w:color w:val="000000"/>
          <w:lang w:eastAsia="hr-HR"/>
        </w:rPr>
        <w:t xml:space="preserve"> odnosi se na provedbu redovne djelatnosti vrtića koja obuhvaća odgoj, obrazovanje i skrb o djeci predškolske dobi sa ciljem da što većem broju djece omogućimo kvalitetan predškolski odgoj prilagođen njegovim razvojnim potrebama. Cilj je podići kvalitetu rada stalnim i kvalitetnim usavršavanjima stručnih djelatnika i podizanjem kvalitete materijalnih uvjeta rada kako za djecu tako i za zaposlene. Djecu poticati na izražavanje kreativnosti, sudjelovanje u projektima. Poticati komunikaciju između odgajatelj-dijete-roditelj. Cilj je održavati razna događanja, organizirati  posjete kulturnim manifestacijama, održavati radionice, provoditi aktivnosti koje doprinose razvoju pozitivnih vrijednosti u razvoju djeteta. U okviru ove aktivnosti u prošloj godini ostvareno je ukupno </w:t>
      </w:r>
      <w:r w:rsidR="00760AE5">
        <w:rPr>
          <w:rFonts w:ascii="Times New Roman" w:hAnsi="Times New Roman" w:cs="Times New Roman"/>
          <w:color w:val="000000"/>
          <w:lang w:eastAsia="hr-HR"/>
        </w:rPr>
        <w:t>1.721.606,61</w:t>
      </w:r>
      <w:r w:rsidRPr="00D0532A">
        <w:rPr>
          <w:rFonts w:ascii="Times New Roman" w:hAnsi="Times New Roman" w:cs="Times New Roman"/>
          <w:color w:val="000000"/>
          <w:lang w:eastAsia="hr-HR"/>
        </w:rPr>
        <w:t xml:space="preserve"> eura rashoda što je </w:t>
      </w:r>
      <w:r w:rsidR="00760AE5">
        <w:rPr>
          <w:rFonts w:ascii="Times New Roman" w:hAnsi="Times New Roman" w:cs="Times New Roman"/>
          <w:color w:val="000000"/>
          <w:lang w:eastAsia="hr-HR"/>
        </w:rPr>
        <w:t>izvršenje 93,85</w:t>
      </w:r>
      <w:r w:rsidRPr="00D0532A">
        <w:rPr>
          <w:rFonts w:ascii="Times New Roman" w:hAnsi="Times New Roman" w:cs="Times New Roman"/>
          <w:color w:val="000000"/>
          <w:lang w:eastAsia="hr-HR"/>
        </w:rPr>
        <w:t xml:space="preserve">% financijskog plana. </w:t>
      </w:r>
    </w:p>
    <w:p w14:paraId="7316F51D" w14:textId="77777777" w:rsidR="0081662F" w:rsidRPr="00D0532A" w:rsidRDefault="0081662F" w:rsidP="0081662F">
      <w:pPr>
        <w:spacing w:after="0" w:line="240" w:lineRule="auto"/>
        <w:jc w:val="both"/>
        <w:rPr>
          <w:rFonts w:ascii="Times New Roman" w:hAnsi="Times New Roman" w:cs="Times New Roman"/>
        </w:rPr>
      </w:pPr>
      <w:r w:rsidRPr="00D0532A">
        <w:rPr>
          <w:rFonts w:ascii="Times New Roman" w:hAnsi="Times New Roman" w:cs="Times New Roman"/>
        </w:rPr>
        <w:t>Povećanje broja djece koja su obuhvaćena redovnim desetosatnim programom je bio cilj u 2024. godini koji je i ostvaren. Godinu smo započeli sa 325 polaznika, a na dan 31.12.2024. godini ukupan broj djece je bio 337.</w:t>
      </w:r>
    </w:p>
    <w:p w14:paraId="52C63BB1" w14:textId="05BB64C8" w:rsidR="0081662F" w:rsidRPr="00D0532A" w:rsidRDefault="0081662F" w:rsidP="0081662F">
      <w:pPr>
        <w:spacing w:after="0" w:line="240" w:lineRule="auto"/>
        <w:jc w:val="both"/>
        <w:rPr>
          <w:rFonts w:ascii="Times New Roman" w:hAnsi="Times New Roman" w:cs="Times New Roman"/>
        </w:rPr>
      </w:pPr>
      <w:r w:rsidRPr="00D0532A">
        <w:rPr>
          <w:rFonts w:ascii="Times New Roman" w:hAnsi="Times New Roman" w:cs="Times New Roman"/>
        </w:rPr>
        <w:t xml:space="preserve">Organizirane posjete kulturnim manifestacijama i ustanovama našega Grada su ostvarene u cijelosti.  Sudjelovanje na GAF-u, Gastro-flori, posjete Knjižnici i čitaonici Đuro Sudeta, Uredu Gradonačelnika povodom Dana Grada, Osnovnoj školi Garešnica, posjeta Vatrogasnoj zajednici Općine Velika </w:t>
      </w:r>
      <w:proofErr w:type="spellStart"/>
      <w:r w:rsidRPr="00D0532A">
        <w:rPr>
          <w:rFonts w:ascii="Times New Roman" w:hAnsi="Times New Roman" w:cs="Times New Roman"/>
        </w:rPr>
        <w:t>Trnovitica</w:t>
      </w:r>
      <w:proofErr w:type="spellEnd"/>
      <w:r w:rsidRPr="00D0532A">
        <w:rPr>
          <w:rFonts w:ascii="Times New Roman" w:hAnsi="Times New Roman" w:cs="Times New Roman"/>
        </w:rPr>
        <w:t xml:space="preserve"> na svjetski dan vatrogasaca, Osnovnoj školi Slavka Kolara u Hercegovcu na HAK-ovoj radionici Vidi i klikni, posjetili Centar za posjetitelje Natura 2000, </w:t>
      </w:r>
      <w:proofErr w:type="spellStart"/>
      <w:r w:rsidRPr="00D0532A">
        <w:rPr>
          <w:rFonts w:ascii="Times New Roman" w:hAnsi="Times New Roman" w:cs="Times New Roman"/>
        </w:rPr>
        <w:t>Reciklažno</w:t>
      </w:r>
      <w:proofErr w:type="spellEnd"/>
      <w:r w:rsidRPr="00D0532A">
        <w:rPr>
          <w:rFonts w:ascii="Times New Roman" w:hAnsi="Times New Roman" w:cs="Times New Roman"/>
        </w:rPr>
        <w:t xml:space="preserve"> dvorište, sudjelovanje na Bož</w:t>
      </w:r>
      <w:r w:rsidR="00361B01">
        <w:rPr>
          <w:rFonts w:ascii="Times New Roman" w:hAnsi="Times New Roman" w:cs="Times New Roman"/>
        </w:rPr>
        <w:t>i</w:t>
      </w:r>
      <w:r w:rsidRPr="00D0532A">
        <w:rPr>
          <w:rFonts w:ascii="Times New Roman" w:hAnsi="Times New Roman" w:cs="Times New Roman"/>
        </w:rPr>
        <w:t xml:space="preserve">ćnom sajmu, posjete pošti i banci, kinu u Hrvatskom domu, sudjelovanje na </w:t>
      </w:r>
      <w:proofErr w:type="spellStart"/>
      <w:r w:rsidRPr="00D0532A">
        <w:rPr>
          <w:rFonts w:ascii="Times New Roman" w:hAnsi="Times New Roman" w:cs="Times New Roman"/>
        </w:rPr>
        <w:t>Infinity</w:t>
      </w:r>
      <w:proofErr w:type="spellEnd"/>
      <w:r w:rsidRPr="00D0532A">
        <w:rPr>
          <w:rFonts w:ascii="Times New Roman" w:hAnsi="Times New Roman" w:cs="Times New Roman"/>
        </w:rPr>
        <w:t xml:space="preserve"> festivalu.</w:t>
      </w:r>
    </w:p>
    <w:p w14:paraId="19ECCD58" w14:textId="77777777" w:rsidR="0081662F" w:rsidRPr="00D0532A" w:rsidRDefault="0081662F" w:rsidP="0081662F">
      <w:pPr>
        <w:spacing w:after="0" w:line="240" w:lineRule="auto"/>
        <w:jc w:val="both"/>
        <w:rPr>
          <w:rFonts w:ascii="Times New Roman" w:hAnsi="Times New Roman" w:cs="Times New Roman"/>
        </w:rPr>
      </w:pPr>
      <w:r w:rsidRPr="00D0532A">
        <w:rPr>
          <w:rFonts w:ascii="Times New Roman" w:hAnsi="Times New Roman" w:cs="Times New Roman"/>
        </w:rPr>
        <w:t>Jedna od važnih sastavnica u odgoju i obrazovanju je partnerski odnos sa roditeljima, odnosno sa obitelji djeteta koja polazi vrtić. Oni predstavljaju važan i nezaobilazan čimbenik u planiranju i provedbi odgojno-obrazovnog procesa u našoj ustanovi stoga nam je trajna zadaća jačanje partnerskih odnosa ustanove sa roditeljima. U 2024. godini  ostvarili smo zadani cilj u održavanju radionica i edukacija sa roditeljima: edukacije Izazovi u odgoju djece od 1. do 3. godine, Izazovi u odgoju djece od 3. do 6. godine, Važnost čitanja djeci od najranije dobi, sudjelovanje očeva u provođenju aktivnosti sa svojom djecom na Dan očeva, druženje sa roditeljima u parku i izrada narukvica, Božićna radionica sa roditeljima, Uskrsna radionica, obilježavanje olimpijskog dana sa roditeljima, obilježavanje Majčinog dana, akcija prikupljanja čepova u suradnji sa roditeljima.</w:t>
      </w:r>
    </w:p>
    <w:p w14:paraId="2C8E6CDB" w14:textId="565D09E7" w:rsidR="0081662F" w:rsidRPr="00D0532A" w:rsidRDefault="0081662F" w:rsidP="0081662F">
      <w:pPr>
        <w:spacing w:after="0" w:line="240" w:lineRule="auto"/>
        <w:jc w:val="both"/>
        <w:rPr>
          <w:rFonts w:ascii="Times New Roman" w:hAnsi="Times New Roman" w:cs="Times New Roman"/>
          <w:lang w:eastAsia="hr-HR"/>
        </w:rPr>
      </w:pPr>
      <w:r w:rsidRPr="00D0532A">
        <w:rPr>
          <w:rFonts w:ascii="Times New Roman" w:hAnsi="Times New Roman" w:cs="Times New Roman"/>
          <w:lang w:eastAsia="hr-HR"/>
        </w:rPr>
        <w:t xml:space="preserve">Cilj poboljšanje materijalnih uvjeta za obavljanje redovne djelatnosti je ostvaren. U 2024. godini nabavljene su dječje </w:t>
      </w:r>
      <w:proofErr w:type="spellStart"/>
      <w:r w:rsidRPr="00D0532A">
        <w:rPr>
          <w:rFonts w:ascii="Times New Roman" w:hAnsi="Times New Roman" w:cs="Times New Roman"/>
          <w:lang w:eastAsia="hr-HR"/>
        </w:rPr>
        <w:t>guralice</w:t>
      </w:r>
      <w:proofErr w:type="spellEnd"/>
      <w:r w:rsidRPr="00D0532A">
        <w:rPr>
          <w:rFonts w:ascii="Times New Roman" w:hAnsi="Times New Roman" w:cs="Times New Roman"/>
          <w:lang w:eastAsia="hr-HR"/>
        </w:rPr>
        <w:t>, mali bicikl</w:t>
      </w:r>
      <w:r w:rsidR="00361B01">
        <w:rPr>
          <w:rFonts w:ascii="Times New Roman" w:hAnsi="Times New Roman" w:cs="Times New Roman"/>
          <w:lang w:eastAsia="hr-HR"/>
        </w:rPr>
        <w:t>i</w:t>
      </w:r>
      <w:r w:rsidRPr="00D0532A">
        <w:rPr>
          <w:rFonts w:ascii="Times New Roman" w:hAnsi="Times New Roman" w:cs="Times New Roman"/>
          <w:lang w:eastAsia="hr-HR"/>
        </w:rPr>
        <w:t>, romobili, nova didaktika za grupe, slikovnice. Cilj nam je i dalje osiguravati poticajan i ugodan prostor za igru i učenje te ga opremati svime onime što potiče cjelokupan razvoj djece.</w:t>
      </w:r>
    </w:p>
    <w:p w14:paraId="6EF2D6C3" w14:textId="77777777" w:rsidR="0081662F" w:rsidRPr="00D0532A" w:rsidRDefault="0081662F" w:rsidP="0081662F">
      <w:pPr>
        <w:spacing w:after="0" w:line="240" w:lineRule="auto"/>
        <w:rPr>
          <w:rFonts w:ascii="Times New Roman" w:hAnsi="Times New Roman" w:cs="Times New Roman"/>
        </w:rPr>
      </w:pPr>
    </w:p>
    <w:p w14:paraId="7525E26F" w14:textId="77777777" w:rsidR="0081662F" w:rsidRPr="00D0532A" w:rsidRDefault="0081662F" w:rsidP="0081662F">
      <w:pPr>
        <w:spacing w:after="0" w:line="240" w:lineRule="auto"/>
        <w:rPr>
          <w:rFonts w:ascii="Times New Roman" w:hAnsi="Times New Roman" w:cs="Times New Roman"/>
        </w:rPr>
      </w:pPr>
      <w:r w:rsidRPr="00D0532A">
        <w:rPr>
          <w:rFonts w:ascii="Times New Roman" w:hAnsi="Times New Roman" w:cs="Times New Roman"/>
        </w:rPr>
        <w:lastRenderedPageBreak/>
        <w:t>Prikaz indeksa izvršenja u tablici ispod:</w:t>
      </w:r>
    </w:p>
    <w:tbl>
      <w:tblPr>
        <w:tblStyle w:val="Reetkatablice"/>
        <w:tblW w:w="5000" w:type="pct"/>
        <w:tblLook w:val="04A0" w:firstRow="1" w:lastRow="0" w:firstColumn="1" w:lastColumn="0" w:noHBand="0" w:noVBand="1"/>
      </w:tblPr>
      <w:tblGrid>
        <w:gridCol w:w="1613"/>
        <w:gridCol w:w="1613"/>
        <w:gridCol w:w="1614"/>
        <w:gridCol w:w="1031"/>
        <w:gridCol w:w="1083"/>
        <w:gridCol w:w="1130"/>
        <w:gridCol w:w="976"/>
      </w:tblGrid>
      <w:tr w:rsidR="00760AE5" w:rsidRPr="00760AE5" w14:paraId="2027C2D5" w14:textId="77777777" w:rsidTr="00760AE5">
        <w:tc>
          <w:tcPr>
            <w:tcW w:w="89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6CB63B" w14:textId="77777777" w:rsidR="0081662F" w:rsidRPr="00760AE5" w:rsidRDefault="0081662F" w:rsidP="00EB2357">
            <w:pPr>
              <w:jc w:val="center"/>
              <w:rPr>
                <w:rFonts w:ascii="Times New Roman" w:hAnsi="Times New Roman"/>
                <w:b/>
                <w:color w:val="000000"/>
                <w:sz w:val="20"/>
                <w:szCs w:val="20"/>
              </w:rPr>
            </w:pPr>
            <w:bookmarkStart w:id="13" w:name="_Hlk193274807"/>
          </w:p>
          <w:p w14:paraId="6A97E3A7" w14:textId="77777777" w:rsidR="0081662F" w:rsidRPr="00760AE5" w:rsidRDefault="0081662F" w:rsidP="00EB2357">
            <w:pPr>
              <w:jc w:val="center"/>
              <w:rPr>
                <w:rFonts w:ascii="Times New Roman" w:hAnsi="Times New Roman"/>
                <w:b/>
                <w:color w:val="000000"/>
                <w:sz w:val="20"/>
                <w:szCs w:val="20"/>
              </w:rPr>
            </w:pPr>
            <w:r w:rsidRPr="00760AE5">
              <w:rPr>
                <w:rFonts w:ascii="Times New Roman" w:hAnsi="Times New Roman"/>
                <w:b/>
                <w:color w:val="000000"/>
                <w:sz w:val="20"/>
                <w:szCs w:val="20"/>
              </w:rPr>
              <w:t>Pokazatelj</w:t>
            </w:r>
          </w:p>
          <w:p w14:paraId="60055EEC" w14:textId="77777777" w:rsidR="0081662F" w:rsidRPr="00760AE5" w:rsidRDefault="0081662F" w:rsidP="00EB2357">
            <w:pPr>
              <w:jc w:val="center"/>
              <w:rPr>
                <w:rFonts w:ascii="Times New Roman" w:hAnsi="Times New Roman"/>
                <w:b/>
                <w:color w:val="000000"/>
                <w:sz w:val="20"/>
                <w:szCs w:val="20"/>
              </w:rPr>
            </w:pPr>
            <w:r w:rsidRPr="00760AE5">
              <w:rPr>
                <w:rFonts w:ascii="Times New Roman" w:hAnsi="Times New Roman"/>
                <w:b/>
                <w:color w:val="000000"/>
                <w:sz w:val="20"/>
                <w:szCs w:val="20"/>
              </w:rPr>
              <w:t>rezultata</w:t>
            </w:r>
          </w:p>
        </w:tc>
        <w:tc>
          <w:tcPr>
            <w:tcW w:w="89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177B18" w14:textId="77777777" w:rsidR="0081662F" w:rsidRPr="00760AE5" w:rsidRDefault="0081662F" w:rsidP="00EB2357">
            <w:pPr>
              <w:jc w:val="center"/>
              <w:rPr>
                <w:rFonts w:ascii="Times New Roman" w:hAnsi="Times New Roman"/>
                <w:b/>
                <w:color w:val="000000"/>
                <w:sz w:val="20"/>
                <w:szCs w:val="20"/>
              </w:rPr>
            </w:pPr>
          </w:p>
          <w:p w14:paraId="24DA2F1F" w14:textId="77777777" w:rsidR="0081662F" w:rsidRPr="00760AE5" w:rsidRDefault="0081662F" w:rsidP="00EB2357">
            <w:pPr>
              <w:jc w:val="center"/>
              <w:rPr>
                <w:rFonts w:ascii="Times New Roman" w:hAnsi="Times New Roman"/>
                <w:b/>
                <w:color w:val="000000"/>
                <w:sz w:val="20"/>
                <w:szCs w:val="20"/>
              </w:rPr>
            </w:pPr>
            <w:r w:rsidRPr="00760AE5">
              <w:rPr>
                <w:rFonts w:ascii="Times New Roman" w:hAnsi="Times New Roman"/>
                <w:b/>
                <w:color w:val="000000"/>
                <w:sz w:val="20"/>
                <w:szCs w:val="20"/>
              </w:rPr>
              <w:t>Definicija</w:t>
            </w:r>
          </w:p>
        </w:tc>
        <w:tc>
          <w:tcPr>
            <w:tcW w:w="89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4E8536" w14:textId="77777777" w:rsidR="0081662F" w:rsidRPr="00760AE5" w:rsidRDefault="0081662F" w:rsidP="00EB2357">
            <w:pPr>
              <w:jc w:val="center"/>
              <w:rPr>
                <w:rFonts w:ascii="Times New Roman" w:hAnsi="Times New Roman"/>
                <w:b/>
                <w:color w:val="000000"/>
                <w:sz w:val="20"/>
                <w:szCs w:val="20"/>
              </w:rPr>
            </w:pPr>
          </w:p>
          <w:p w14:paraId="1C59575D" w14:textId="77777777" w:rsidR="0081662F" w:rsidRPr="00760AE5" w:rsidRDefault="0081662F" w:rsidP="00EB2357">
            <w:pPr>
              <w:jc w:val="center"/>
              <w:rPr>
                <w:rFonts w:ascii="Times New Roman" w:hAnsi="Times New Roman"/>
                <w:b/>
                <w:color w:val="000000"/>
                <w:sz w:val="20"/>
                <w:szCs w:val="20"/>
              </w:rPr>
            </w:pPr>
            <w:r w:rsidRPr="00760AE5">
              <w:rPr>
                <w:rFonts w:ascii="Times New Roman" w:hAnsi="Times New Roman"/>
                <w:b/>
                <w:color w:val="000000"/>
                <w:sz w:val="20"/>
                <w:szCs w:val="20"/>
              </w:rPr>
              <w:t>Jedinica</w:t>
            </w:r>
          </w:p>
        </w:tc>
        <w:tc>
          <w:tcPr>
            <w:tcW w:w="57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795018" w14:textId="77777777" w:rsidR="0081662F" w:rsidRPr="00760AE5" w:rsidRDefault="0081662F" w:rsidP="00EB2357">
            <w:pPr>
              <w:jc w:val="center"/>
              <w:rPr>
                <w:rFonts w:ascii="Times New Roman" w:hAnsi="Times New Roman"/>
                <w:b/>
                <w:color w:val="000000"/>
                <w:sz w:val="20"/>
                <w:szCs w:val="20"/>
              </w:rPr>
            </w:pPr>
          </w:p>
          <w:p w14:paraId="0B02833C" w14:textId="77777777" w:rsidR="0081662F" w:rsidRPr="00760AE5" w:rsidRDefault="0081662F" w:rsidP="00EB2357">
            <w:pPr>
              <w:jc w:val="center"/>
              <w:rPr>
                <w:rFonts w:ascii="Times New Roman" w:hAnsi="Times New Roman"/>
                <w:b/>
                <w:color w:val="000000"/>
                <w:sz w:val="20"/>
                <w:szCs w:val="20"/>
              </w:rPr>
            </w:pPr>
            <w:r w:rsidRPr="00760AE5">
              <w:rPr>
                <w:rFonts w:ascii="Times New Roman" w:hAnsi="Times New Roman"/>
                <w:b/>
                <w:color w:val="000000"/>
                <w:sz w:val="20"/>
                <w:szCs w:val="20"/>
              </w:rPr>
              <w:t>Izvor</w:t>
            </w:r>
          </w:p>
          <w:p w14:paraId="7A715874" w14:textId="77777777" w:rsidR="0081662F" w:rsidRPr="00760AE5" w:rsidRDefault="0081662F" w:rsidP="00EB2357">
            <w:pPr>
              <w:jc w:val="center"/>
              <w:rPr>
                <w:rFonts w:ascii="Times New Roman" w:hAnsi="Times New Roman"/>
                <w:b/>
                <w:color w:val="000000"/>
                <w:sz w:val="20"/>
                <w:szCs w:val="20"/>
              </w:rPr>
            </w:pPr>
            <w:r w:rsidRPr="00760AE5">
              <w:rPr>
                <w:rFonts w:ascii="Times New Roman" w:hAnsi="Times New Roman"/>
                <w:b/>
                <w:color w:val="000000"/>
                <w:sz w:val="20"/>
                <w:szCs w:val="20"/>
              </w:rPr>
              <w:t>podataka</w:t>
            </w:r>
          </w:p>
        </w:tc>
        <w:tc>
          <w:tcPr>
            <w:tcW w:w="58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5B5B2A" w14:textId="77777777" w:rsidR="0081662F" w:rsidRPr="00760AE5" w:rsidRDefault="0081662F" w:rsidP="00EB2357">
            <w:pPr>
              <w:jc w:val="center"/>
              <w:rPr>
                <w:rFonts w:ascii="Times New Roman" w:hAnsi="Times New Roman"/>
                <w:b/>
                <w:color w:val="000000"/>
                <w:sz w:val="20"/>
                <w:szCs w:val="20"/>
              </w:rPr>
            </w:pPr>
            <w:r w:rsidRPr="00760AE5">
              <w:rPr>
                <w:rFonts w:ascii="Times New Roman" w:hAnsi="Times New Roman"/>
                <w:b/>
                <w:color w:val="000000"/>
                <w:sz w:val="20"/>
                <w:szCs w:val="20"/>
              </w:rPr>
              <w:t>Planirana vrijednost 2024</w:t>
            </w:r>
          </w:p>
        </w:tc>
        <w:tc>
          <w:tcPr>
            <w:tcW w:w="62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C5525D" w14:textId="77777777" w:rsidR="0081662F" w:rsidRPr="00760AE5" w:rsidRDefault="0081662F" w:rsidP="00EB2357">
            <w:pPr>
              <w:jc w:val="center"/>
              <w:rPr>
                <w:rFonts w:ascii="Times New Roman" w:hAnsi="Times New Roman"/>
                <w:b/>
                <w:color w:val="000000"/>
                <w:sz w:val="20"/>
                <w:szCs w:val="20"/>
              </w:rPr>
            </w:pPr>
            <w:r w:rsidRPr="00760AE5">
              <w:rPr>
                <w:rFonts w:ascii="Times New Roman" w:hAnsi="Times New Roman"/>
                <w:b/>
                <w:color w:val="000000"/>
                <w:sz w:val="20"/>
                <w:szCs w:val="20"/>
              </w:rPr>
              <w:t xml:space="preserve">Izvršenje  2024. </w:t>
            </w:r>
          </w:p>
        </w:tc>
        <w:tc>
          <w:tcPr>
            <w:tcW w:w="54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F5C081" w14:textId="77777777" w:rsidR="0081662F" w:rsidRPr="00760AE5" w:rsidRDefault="0081662F" w:rsidP="00EB2357">
            <w:pPr>
              <w:jc w:val="center"/>
              <w:rPr>
                <w:rFonts w:ascii="Times New Roman" w:hAnsi="Times New Roman"/>
                <w:b/>
                <w:color w:val="000000"/>
                <w:sz w:val="20"/>
                <w:szCs w:val="20"/>
              </w:rPr>
            </w:pPr>
          </w:p>
          <w:p w14:paraId="5AE7057B" w14:textId="77777777" w:rsidR="0081662F" w:rsidRPr="00760AE5" w:rsidRDefault="0081662F" w:rsidP="00EB2357">
            <w:pPr>
              <w:jc w:val="center"/>
              <w:rPr>
                <w:rFonts w:ascii="Times New Roman" w:hAnsi="Times New Roman"/>
                <w:b/>
                <w:color w:val="000000"/>
                <w:sz w:val="20"/>
                <w:szCs w:val="20"/>
              </w:rPr>
            </w:pPr>
          </w:p>
          <w:p w14:paraId="6BCA19BF" w14:textId="77777777" w:rsidR="0081662F" w:rsidRPr="00760AE5" w:rsidRDefault="0081662F" w:rsidP="00EB2357">
            <w:pPr>
              <w:jc w:val="center"/>
              <w:rPr>
                <w:rFonts w:ascii="Times New Roman" w:hAnsi="Times New Roman"/>
                <w:b/>
                <w:color w:val="000000"/>
                <w:sz w:val="20"/>
                <w:szCs w:val="20"/>
              </w:rPr>
            </w:pPr>
            <w:r w:rsidRPr="00760AE5">
              <w:rPr>
                <w:rFonts w:ascii="Times New Roman" w:hAnsi="Times New Roman"/>
                <w:b/>
                <w:color w:val="000000"/>
                <w:sz w:val="20"/>
                <w:szCs w:val="20"/>
              </w:rPr>
              <w:t>Indeks %</w:t>
            </w:r>
          </w:p>
          <w:p w14:paraId="434A9AF7" w14:textId="77777777" w:rsidR="0081662F" w:rsidRPr="00760AE5" w:rsidRDefault="0081662F" w:rsidP="00EB2357">
            <w:pPr>
              <w:jc w:val="center"/>
              <w:rPr>
                <w:rFonts w:ascii="Times New Roman" w:hAnsi="Times New Roman"/>
                <w:b/>
                <w:color w:val="000000"/>
                <w:sz w:val="20"/>
                <w:szCs w:val="20"/>
              </w:rPr>
            </w:pPr>
          </w:p>
        </w:tc>
      </w:tr>
      <w:tr w:rsidR="00760AE5" w:rsidRPr="00760AE5" w14:paraId="721138DF" w14:textId="77777777" w:rsidTr="00760AE5">
        <w:tc>
          <w:tcPr>
            <w:tcW w:w="893" w:type="pct"/>
            <w:tcBorders>
              <w:top w:val="single" w:sz="4" w:space="0" w:color="auto"/>
              <w:left w:val="single" w:sz="4" w:space="0" w:color="auto"/>
              <w:bottom w:val="single" w:sz="4" w:space="0" w:color="auto"/>
              <w:right w:val="single" w:sz="4" w:space="0" w:color="auto"/>
            </w:tcBorders>
          </w:tcPr>
          <w:p w14:paraId="306A3BB3" w14:textId="77777777" w:rsidR="0081662F" w:rsidRPr="00760AE5" w:rsidRDefault="0081662F" w:rsidP="00EB2357">
            <w:pPr>
              <w:jc w:val="center"/>
              <w:rPr>
                <w:rFonts w:ascii="Times New Roman" w:hAnsi="Times New Roman"/>
                <w:color w:val="000000"/>
                <w:sz w:val="20"/>
                <w:szCs w:val="20"/>
              </w:rPr>
            </w:pPr>
          </w:p>
          <w:p w14:paraId="7680FF17" w14:textId="77777777" w:rsidR="0081662F" w:rsidRPr="00760AE5" w:rsidRDefault="0081662F" w:rsidP="00EB2357">
            <w:pPr>
              <w:jc w:val="center"/>
              <w:rPr>
                <w:rFonts w:ascii="Times New Roman" w:hAnsi="Times New Roman"/>
                <w:color w:val="000000"/>
                <w:sz w:val="20"/>
                <w:szCs w:val="20"/>
              </w:rPr>
            </w:pPr>
          </w:p>
          <w:p w14:paraId="4DC716FB" w14:textId="77777777" w:rsidR="0081662F" w:rsidRPr="00760AE5" w:rsidRDefault="0081662F" w:rsidP="00EB2357">
            <w:pPr>
              <w:jc w:val="center"/>
              <w:rPr>
                <w:rFonts w:ascii="Times New Roman" w:hAnsi="Times New Roman"/>
                <w:color w:val="000000"/>
                <w:sz w:val="20"/>
                <w:szCs w:val="20"/>
              </w:rPr>
            </w:pPr>
          </w:p>
          <w:p w14:paraId="69C97E50" w14:textId="77777777" w:rsidR="0081662F" w:rsidRPr="00760AE5" w:rsidRDefault="0081662F" w:rsidP="00EB2357">
            <w:pPr>
              <w:jc w:val="center"/>
              <w:rPr>
                <w:rFonts w:ascii="Times New Roman" w:hAnsi="Times New Roman"/>
                <w:color w:val="000000"/>
                <w:sz w:val="20"/>
                <w:szCs w:val="20"/>
              </w:rPr>
            </w:pPr>
          </w:p>
          <w:p w14:paraId="71FFA8D0" w14:textId="77777777" w:rsidR="0081662F" w:rsidRPr="00760AE5" w:rsidRDefault="0081662F" w:rsidP="00EB2357">
            <w:pPr>
              <w:jc w:val="center"/>
              <w:rPr>
                <w:rFonts w:ascii="Times New Roman" w:hAnsi="Times New Roman"/>
                <w:color w:val="000000"/>
                <w:sz w:val="20"/>
                <w:szCs w:val="20"/>
              </w:rPr>
            </w:pPr>
            <w:r w:rsidRPr="00760AE5">
              <w:rPr>
                <w:rFonts w:ascii="Times New Roman" w:hAnsi="Times New Roman"/>
                <w:color w:val="000000"/>
                <w:sz w:val="20"/>
                <w:szCs w:val="20"/>
              </w:rPr>
              <w:t xml:space="preserve">Povećanje broja upisane djece  </w:t>
            </w:r>
          </w:p>
        </w:tc>
        <w:tc>
          <w:tcPr>
            <w:tcW w:w="893" w:type="pct"/>
            <w:tcBorders>
              <w:top w:val="single" w:sz="4" w:space="0" w:color="auto"/>
              <w:left w:val="single" w:sz="4" w:space="0" w:color="auto"/>
              <w:bottom w:val="single" w:sz="4" w:space="0" w:color="auto"/>
              <w:right w:val="single" w:sz="4" w:space="0" w:color="auto"/>
            </w:tcBorders>
          </w:tcPr>
          <w:p w14:paraId="77FC2706" w14:textId="77777777" w:rsidR="0081662F" w:rsidRPr="00760AE5" w:rsidRDefault="0081662F" w:rsidP="00EB2357">
            <w:pPr>
              <w:jc w:val="center"/>
              <w:rPr>
                <w:rFonts w:ascii="Times New Roman" w:hAnsi="Times New Roman"/>
                <w:color w:val="000000"/>
                <w:sz w:val="20"/>
                <w:szCs w:val="20"/>
              </w:rPr>
            </w:pPr>
            <w:r w:rsidRPr="00760AE5">
              <w:rPr>
                <w:rFonts w:ascii="Times New Roman" w:hAnsi="Times New Roman"/>
                <w:color w:val="000000"/>
                <w:sz w:val="20"/>
                <w:szCs w:val="20"/>
              </w:rPr>
              <w:t>Povećanjem broja djece koja su obuhvaćena redovnim programom utječe se na poboljšanje kvalitete odgoja, obrazovanja</w:t>
            </w:r>
          </w:p>
          <w:p w14:paraId="1F720DF0" w14:textId="77777777" w:rsidR="0081662F" w:rsidRPr="00760AE5" w:rsidRDefault="0081662F" w:rsidP="00EB2357">
            <w:pPr>
              <w:jc w:val="center"/>
              <w:rPr>
                <w:rFonts w:ascii="Times New Roman" w:hAnsi="Times New Roman"/>
                <w:color w:val="000000"/>
                <w:sz w:val="20"/>
                <w:szCs w:val="20"/>
              </w:rPr>
            </w:pPr>
          </w:p>
        </w:tc>
        <w:tc>
          <w:tcPr>
            <w:tcW w:w="893" w:type="pct"/>
            <w:tcBorders>
              <w:top w:val="single" w:sz="4" w:space="0" w:color="auto"/>
              <w:left w:val="single" w:sz="4" w:space="0" w:color="auto"/>
              <w:bottom w:val="single" w:sz="4" w:space="0" w:color="auto"/>
              <w:right w:val="single" w:sz="4" w:space="0" w:color="auto"/>
            </w:tcBorders>
          </w:tcPr>
          <w:p w14:paraId="758D744B" w14:textId="77777777" w:rsidR="0081662F" w:rsidRPr="00760AE5" w:rsidRDefault="0081662F" w:rsidP="00EB2357">
            <w:pPr>
              <w:jc w:val="center"/>
              <w:rPr>
                <w:rFonts w:ascii="Times New Roman" w:hAnsi="Times New Roman"/>
                <w:color w:val="000000"/>
                <w:sz w:val="20"/>
                <w:szCs w:val="20"/>
              </w:rPr>
            </w:pPr>
          </w:p>
          <w:p w14:paraId="4EB365B8" w14:textId="77777777" w:rsidR="0081662F" w:rsidRPr="00760AE5" w:rsidRDefault="0081662F" w:rsidP="00EB2357">
            <w:pPr>
              <w:jc w:val="center"/>
              <w:rPr>
                <w:rFonts w:ascii="Times New Roman" w:hAnsi="Times New Roman"/>
                <w:color w:val="000000"/>
                <w:sz w:val="20"/>
                <w:szCs w:val="20"/>
              </w:rPr>
            </w:pPr>
          </w:p>
          <w:p w14:paraId="53522314" w14:textId="77777777" w:rsidR="0081662F" w:rsidRPr="00760AE5" w:rsidRDefault="0081662F" w:rsidP="00EB2357">
            <w:pPr>
              <w:jc w:val="center"/>
              <w:rPr>
                <w:rFonts w:ascii="Times New Roman" w:hAnsi="Times New Roman"/>
                <w:color w:val="000000"/>
                <w:sz w:val="20"/>
                <w:szCs w:val="20"/>
              </w:rPr>
            </w:pPr>
            <w:r w:rsidRPr="00760AE5">
              <w:rPr>
                <w:rFonts w:ascii="Times New Roman" w:hAnsi="Times New Roman"/>
                <w:color w:val="000000"/>
                <w:sz w:val="20"/>
                <w:szCs w:val="20"/>
              </w:rPr>
              <w:t xml:space="preserve">Broj djece </w:t>
            </w:r>
          </w:p>
        </w:tc>
        <w:tc>
          <w:tcPr>
            <w:tcW w:w="571" w:type="pct"/>
            <w:tcBorders>
              <w:top w:val="single" w:sz="4" w:space="0" w:color="auto"/>
              <w:left w:val="single" w:sz="4" w:space="0" w:color="auto"/>
              <w:bottom w:val="single" w:sz="4" w:space="0" w:color="auto"/>
              <w:right w:val="single" w:sz="4" w:space="0" w:color="auto"/>
            </w:tcBorders>
          </w:tcPr>
          <w:p w14:paraId="11188AF0" w14:textId="77777777" w:rsidR="0081662F" w:rsidRPr="00760AE5" w:rsidRDefault="0081662F" w:rsidP="00EB2357">
            <w:pPr>
              <w:jc w:val="center"/>
              <w:rPr>
                <w:rFonts w:ascii="Times New Roman" w:hAnsi="Times New Roman"/>
                <w:color w:val="000000"/>
                <w:sz w:val="20"/>
                <w:szCs w:val="20"/>
              </w:rPr>
            </w:pPr>
          </w:p>
          <w:p w14:paraId="7596D667" w14:textId="77777777" w:rsidR="0081662F" w:rsidRPr="00760AE5" w:rsidRDefault="0081662F" w:rsidP="00EB2357">
            <w:pPr>
              <w:jc w:val="center"/>
              <w:rPr>
                <w:rFonts w:ascii="Times New Roman" w:hAnsi="Times New Roman"/>
                <w:color w:val="000000"/>
                <w:sz w:val="20"/>
                <w:szCs w:val="20"/>
              </w:rPr>
            </w:pPr>
          </w:p>
          <w:p w14:paraId="36AC169E" w14:textId="77777777" w:rsidR="0081662F" w:rsidRPr="00760AE5" w:rsidRDefault="0081662F" w:rsidP="00EB2357">
            <w:pPr>
              <w:jc w:val="center"/>
              <w:rPr>
                <w:rFonts w:ascii="Times New Roman" w:hAnsi="Times New Roman"/>
                <w:color w:val="000000"/>
                <w:sz w:val="20"/>
                <w:szCs w:val="20"/>
              </w:rPr>
            </w:pPr>
            <w:r w:rsidRPr="00760AE5">
              <w:rPr>
                <w:rFonts w:ascii="Times New Roman" w:hAnsi="Times New Roman"/>
                <w:color w:val="000000"/>
                <w:sz w:val="20"/>
                <w:szCs w:val="20"/>
              </w:rPr>
              <w:t>Dječji vrtić Maslačak</w:t>
            </w:r>
          </w:p>
        </w:tc>
        <w:tc>
          <w:tcPr>
            <w:tcW w:w="583" w:type="pct"/>
            <w:tcBorders>
              <w:top w:val="single" w:sz="4" w:space="0" w:color="auto"/>
              <w:left w:val="single" w:sz="4" w:space="0" w:color="auto"/>
              <w:bottom w:val="single" w:sz="4" w:space="0" w:color="auto"/>
              <w:right w:val="single" w:sz="4" w:space="0" w:color="auto"/>
            </w:tcBorders>
          </w:tcPr>
          <w:p w14:paraId="02EC8624" w14:textId="77777777" w:rsidR="0081662F" w:rsidRPr="00760AE5" w:rsidRDefault="0081662F" w:rsidP="00EB2357">
            <w:pPr>
              <w:jc w:val="center"/>
              <w:rPr>
                <w:rFonts w:ascii="Times New Roman" w:hAnsi="Times New Roman"/>
                <w:color w:val="000000"/>
                <w:sz w:val="20"/>
                <w:szCs w:val="20"/>
              </w:rPr>
            </w:pPr>
          </w:p>
          <w:p w14:paraId="46E2C548" w14:textId="77777777" w:rsidR="0081662F" w:rsidRPr="00760AE5" w:rsidRDefault="0081662F" w:rsidP="00EB2357">
            <w:pPr>
              <w:jc w:val="center"/>
              <w:rPr>
                <w:rFonts w:ascii="Times New Roman" w:hAnsi="Times New Roman"/>
                <w:color w:val="000000"/>
                <w:sz w:val="20"/>
                <w:szCs w:val="20"/>
              </w:rPr>
            </w:pPr>
          </w:p>
          <w:p w14:paraId="04B72976" w14:textId="77777777" w:rsidR="0081662F" w:rsidRPr="00760AE5" w:rsidRDefault="0081662F" w:rsidP="00EB2357">
            <w:pPr>
              <w:jc w:val="center"/>
              <w:rPr>
                <w:rFonts w:ascii="Times New Roman" w:hAnsi="Times New Roman"/>
                <w:color w:val="000000"/>
                <w:sz w:val="20"/>
                <w:szCs w:val="20"/>
              </w:rPr>
            </w:pPr>
            <w:r w:rsidRPr="00760AE5">
              <w:rPr>
                <w:rFonts w:ascii="Times New Roman" w:hAnsi="Times New Roman"/>
                <w:color w:val="000000"/>
                <w:sz w:val="20"/>
                <w:szCs w:val="20"/>
              </w:rPr>
              <w:t>335</w:t>
            </w:r>
          </w:p>
        </w:tc>
        <w:tc>
          <w:tcPr>
            <w:tcW w:w="626" w:type="pct"/>
            <w:tcBorders>
              <w:top w:val="single" w:sz="4" w:space="0" w:color="auto"/>
              <w:left w:val="single" w:sz="4" w:space="0" w:color="auto"/>
              <w:bottom w:val="single" w:sz="4" w:space="0" w:color="auto"/>
              <w:right w:val="single" w:sz="4" w:space="0" w:color="auto"/>
            </w:tcBorders>
          </w:tcPr>
          <w:p w14:paraId="01BE573B" w14:textId="77777777" w:rsidR="0081662F" w:rsidRPr="00760AE5" w:rsidRDefault="0081662F" w:rsidP="00EB2357">
            <w:pPr>
              <w:jc w:val="center"/>
              <w:rPr>
                <w:rFonts w:ascii="Times New Roman" w:hAnsi="Times New Roman"/>
                <w:color w:val="000000"/>
                <w:sz w:val="20"/>
                <w:szCs w:val="20"/>
              </w:rPr>
            </w:pPr>
          </w:p>
          <w:p w14:paraId="7E253138" w14:textId="77777777" w:rsidR="0081662F" w:rsidRPr="00760AE5" w:rsidRDefault="0081662F" w:rsidP="00EB2357">
            <w:pPr>
              <w:jc w:val="center"/>
              <w:rPr>
                <w:rFonts w:ascii="Times New Roman" w:hAnsi="Times New Roman"/>
                <w:color w:val="000000"/>
                <w:sz w:val="20"/>
                <w:szCs w:val="20"/>
              </w:rPr>
            </w:pPr>
          </w:p>
          <w:p w14:paraId="73DE39CA" w14:textId="77777777" w:rsidR="0081662F" w:rsidRPr="00760AE5" w:rsidRDefault="0081662F" w:rsidP="00EB2357">
            <w:pPr>
              <w:jc w:val="center"/>
              <w:rPr>
                <w:rFonts w:ascii="Times New Roman" w:hAnsi="Times New Roman"/>
                <w:color w:val="000000"/>
                <w:sz w:val="20"/>
                <w:szCs w:val="20"/>
              </w:rPr>
            </w:pPr>
            <w:r w:rsidRPr="00760AE5">
              <w:rPr>
                <w:rFonts w:ascii="Times New Roman" w:hAnsi="Times New Roman"/>
                <w:color w:val="000000"/>
                <w:sz w:val="20"/>
                <w:szCs w:val="20"/>
              </w:rPr>
              <w:t>337</w:t>
            </w:r>
          </w:p>
        </w:tc>
        <w:tc>
          <w:tcPr>
            <w:tcW w:w="542" w:type="pct"/>
            <w:tcBorders>
              <w:top w:val="single" w:sz="4" w:space="0" w:color="auto"/>
              <w:left w:val="single" w:sz="4" w:space="0" w:color="auto"/>
              <w:bottom w:val="single" w:sz="4" w:space="0" w:color="auto"/>
              <w:right w:val="single" w:sz="4" w:space="0" w:color="auto"/>
            </w:tcBorders>
          </w:tcPr>
          <w:p w14:paraId="2F5BE24F" w14:textId="77777777" w:rsidR="0081662F" w:rsidRPr="00760AE5" w:rsidRDefault="0081662F" w:rsidP="00EB2357">
            <w:pPr>
              <w:jc w:val="center"/>
              <w:rPr>
                <w:rFonts w:ascii="Times New Roman" w:hAnsi="Times New Roman"/>
                <w:color w:val="000000"/>
                <w:sz w:val="20"/>
                <w:szCs w:val="20"/>
              </w:rPr>
            </w:pPr>
          </w:p>
          <w:p w14:paraId="7305C823" w14:textId="77777777" w:rsidR="0081662F" w:rsidRPr="00760AE5" w:rsidRDefault="0081662F" w:rsidP="00EB2357">
            <w:pPr>
              <w:jc w:val="center"/>
              <w:rPr>
                <w:rFonts w:ascii="Times New Roman" w:hAnsi="Times New Roman"/>
                <w:color w:val="000000"/>
                <w:sz w:val="20"/>
                <w:szCs w:val="20"/>
              </w:rPr>
            </w:pPr>
          </w:p>
          <w:p w14:paraId="3FDBE5F2" w14:textId="77777777" w:rsidR="0081662F" w:rsidRPr="00760AE5" w:rsidRDefault="0081662F" w:rsidP="00EB2357">
            <w:pPr>
              <w:jc w:val="center"/>
              <w:rPr>
                <w:rFonts w:ascii="Times New Roman" w:hAnsi="Times New Roman"/>
                <w:color w:val="000000"/>
                <w:sz w:val="20"/>
                <w:szCs w:val="20"/>
              </w:rPr>
            </w:pPr>
            <w:r w:rsidRPr="00760AE5">
              <w:rPr>
                <w:rFonts w:ascii="Times New Roman" w:hAnsi="Times New Roman"/>
                <w:color w:val="000000"/>
                <w:sz w:val="20"/>
                <w:szCs w:val="20"/>
              </w:rPr>
              <w:t>100,60%</w:t>
            </w:r>
          </w:p>
        </w:tc>
      </w:tr>
      <w:tr w:rsidR="00760AE5" w:rsidRPr="00760AE5" w14:paraId="7BA4B26F" w14:textId="77777777" w:rsidTr="00760AE5">
        <w:trPr>
          <w:trHeight w:val="3116"/>
        </w:trPr>
        <w:tc>
          <w:tcPr>
            <w:tcW w:w="893" w:type="pct"/>
            <w:tcBorders>
              <w:top w:val="single" w:sz="4" w:space="0" w:color="auto"/>
              <w:left w:val="single" w:sz="4" w:space="0" w:color="auto"/>
              <w:bottom w:val="single" w:sz="4" w:space="0" w:color="auto"/>
              <w:right w:val="single" w:sz="4" w:space="0" w:color="auto"/>
            </w:tcBorders>
          </w:tcPr>
          <w:p w14:paraId="19BFB98D" w14:textId="77777777" w:rsidR="0081662F" w:rsidRPr="00760AE5" w:rsidRDefault="0081662F" w:rsidP="00EB2357">
            <w:pPr>
              <w:jc w:val="center"/>
              <w:rPr>
                <w:rFonts w:ascii="Times New Roman" w:hAnsi="Times New Roman"/>
                <w:color w:val="000000"/>
                <w:sz w:val="20"/>
                <w:szCs w:val="20"/>
              </w:rPr>
            </w:pPr>
            <w:r w:rsidRPr="00760AE5">
              <w:rPr>
                <w:rFonts w:ascii="Times New Roman" w:hAnsi="Times New Roman"/>
                <w:color w:val="000000"/>
                <w:sz w:val="20"/>
                <w:szCs w:val="20"/>
              </w:rPr>
              <w:t>Povećanje broja organiziranih posjeta vrtićkih skupina kulturnim manifestacijama i događanjima i Gradu, posjete važnim ustanovama u našem okruženju</w:t>
            </w:r>
          </w:p>
        </w:tc>
        <w:tc>
          <w:tcPr>
            <w:tcW w:w="893" w:type="pct"/>
            <w:tcBorders>
              <w:top w:val="single" w:sz="4" w:space="0" w:color="auto"/>
              <w:left w:val="single" w:sz="4" w:space="0" w:color="auto"/>
              <w:bottom w:val="single" w:sz="4" w:space="0" w:color="auto"/>
              <w:right w:val="single" w:sz="4" w:space="0" w:color="auto"/>
            </w:tcBorders>
            <w:vAlign w:val="bottom"/>
          </w:tcPr>
          <w:p w14:paraId="6B3E177C" w14:textId="77777777" w:rsidR="0081662F" w:rsidRPr="00760AE5" w:rsidRDefault="0081662F" w:rsidP="00EB2357">
            <w:pPr>
              <w:jc w:val="center"/>
              <w:rPr>
                <w:rFonts w:ascii="Times New Roman" w:hAnsi="Times New Roman"/>
                <w:color w:val="000000"/>
                <w:sz w:val="20"/>
                <w:szCs w:val="20"/>
              </w:rPr>
            </w:pPr>
            <w:r w:rsidRPr="00760AE5">
              <w:rPr>
                <w:rFonts w:ascii="Times New Roman" w:hAnsi="Times New Roman"/>
                <w:color w:val="000000"/>
                <w:sz w:val="20"/>
                <w:szCs w:val="20"/>
              </w:rPr>
              <w:t>Organiziranjem posjeta vrtićkih skupina kulturnim manifestacijama i posjetama ustanovama našega Grada proširuju se i bogate nova saznanja o našem Gradu i zavičaju u kojem žive</w:t>
            </w:r>
          </w:p>
        </w:tc>
        <w:tc>
          <w:tcPr>
            <w:tcW w:w="893" w:type="pct"/>
            <w:tcBorders>
              <w:top w:val="single" w:sz="4" w:space="0" w:color="auto"/>
              <w:left w:val="single" w:sz="4" w:space="0" w:color="auto"/>
              <w:bottom w:val="single" w:sz="4" w:space="0" w:color="auto"/>
              <w:right w:val="single" w:sz="4" w:space="0" w:color="auto"/>
            </w:tcBorders>
          </w:tcPr>
          <w:p w14:paraId="4817D1E7" w14:textId="77777777" w:rsidR="0081662F" w:rsidRPr="00760AE5" w:rsidRDefault="0081662F" w:rsidP="00EB2357">
            <w:pPr>
              <w:jc w:val="center"/>
              <w:rPr>
                <w:rFonts w:ascii="Times New Roman" w:hAnsi="Times New Roman"/>
                <w:color w:val="000000"/>
                <w:sz w:val="20"/>
                <w:szCs w:val="20"/>
              </w:rPr>
            </w:pPr>
          </w:p>
          <w:p w14:paraId="54DC6D73" w14:textId="77777777" w:rsidR="0081662F" w:rsidRPr="00760AE5" w:rsidRDefault="0081662F" w:rsidP="00EB2357">
            <w:pPr>
              <w:jc w:val="center"/>
              <w:rPr>
                <w:rFonts w:ascii="Times New Roman" w:hAnsi="Times New Roman"/>
                <w:color w:val="000000"/>
                <w:sz w:val="20"/>
                <w:szCs w:val="20"/>
              </w:rPr>
            </w:pPr>
          </w:p>
          <w:p w14:paraId="275FA926" w14:textId="77777777" w:rsidR="0081662F" w:rsidRPr="00760AE5" w:rsidRDefault="0081662F" w:rsidP="00EB2357">
            <w:pPr>
              <w:jc w:val="center"/>
              <w:rPr>
                <w:rFonts w:ascii="Times New Roman" w:hAnsi="Times New Roman"/>
                <w:color w:val="000000"/>
                <w:sz w:val="20"/>
                <w:szCs w:val="20"/>
              </w:rPr>
            </w:pPr>
          </w:p>
          <w:p w14:paraId="1BE8DE83" w14:textId="77777777" w:rsidR="0081662F" w:rsidRPr="00760AE5" w:rsidRDefault="0081662F" w:rsidP="00EB2357">
            <w:pPr>
              <w:jc w:val="center"/>
              <w:rPr>
                <w:rFonts w:ascii="Times New Roman" w:hAnsi="Times New Roman"/>
                <w:color w:val="000000"/>
                <w:sz w:val="20"/>
                <w:szCs w:val="20"/>
              </w:rPr>
            </w:pPr>
          </w:p>
          <w:p w14:paraId="4FAD1AE9" w14:textId="77777777" w:rsidR="0081662F" w:rsidRPr="00760AE5" w:rsidRDefault="0081662F" w:rsidP="00EB2357">
            <w:pPr>
              <w:jc w:val="center"/>
              <w:rPr>
                <w:rFonts w:ascii="Times New Roman" w:hAnsi="Times New Roman"/>
                <w:color w:val="000000"/>
                <w:sz w:val="20"/>
                <w:szCs w:val="20"/>
              </w:rPr>
            </w:pPr>
            <w:r w:rsidRPr="00760AE5">
              <w:rPr>
                <w:rFonts w:ascii="Times New Roman" w:hAnsi="Times New Roman"/>
                <w:color w:val="000000"/>
                <w:sz w:val="20"/>
                <w:szCs w:val="20"/>
              </w:rPr>
              <w:t>Broj  posjeta kulturnim manifestacijama i događajima u Grad</w:t>
            </w:r>
          </w:p>
        </w:tc>
        <w:tc>
          <w:tcPr>
            <w:tcW w:w="571" w:type="pct"/>
            <w:tcBorders>
              <w:top w:val="single" w:sz="4" w:space="0" w:color="auto"/>
              <w:left w:val="single" w:sz="4" w:space="0" w:color="auto"/>
              <w:bottom w:val="single" w:sz="4" w:space="0" w:color="auto"/>
              <w:right w:val="single" w:sz="4" w:space="0" w:color="auto"/>
            </w:tcBorders>
          </w:tcPr>
          <w:p w14:paraId="3EEE35E2" w14:textId="77777777" w:rsidR="0081662F" w:rsidRPr="00760AE5" w:rsidRDefault="0081662F" w:rsidP="00EB2357">
            <w:pPr>
              <w:jc w:val="center"/>
              <w:rPr>
                <w:rFonts w:ascii="Times New Roman" w:hAnsi="Times New Roman"/>
                <w:color w:val="000000"/>
                <w:sz w:val="20"/>
                <w:szCs w:val="20"/>
              </w:rPr>
            </w:pPr>
          </w:p>
          <w:p w14:paraId="539605C1" w14:textId="77777777" w:rsidR="0081662F" w:rsidRPr="00760AE5" w:rsidRDefault="0081662F" w:rsidP="00EB2357">
            <w:pPr>
              <w:jc w:val="center"/>
              <w:rPr>
                <w:rFonts w:ascii="Times New Roman" w:hAnsi="Times New Roman"/>
                <w:color w:val="000000"/>
                <w:sz w:val="20"/>
                <w:szCs w:val="20"/>
              </w:rPr>
            </w:pPr>
          </w:p>
          <w:p w14:paraId="3D67911C" w14:textId="77777777" w:rsidR="0081662F" w:rsidRPr="00760AE5" w:rsidRDefault="0081662F" w:rsidP="00EB2357">
            <w:pPr>
              <w:jc w:val="center"/>
              <w:rPr>
                <w:rFonts w:ascii="Times New Roman" w:hAnsi="Times New Roman"/>
                <w:color w:val="000000"/>
                <w:sz w:val="20"/>
                <w:szCs w:val="20"/>
              </w:rPr>
            </w:pPr>
            <w:r w:rsidRPr="00760AE5">
              <w:rPr>
                <w:rFonts w:ascii="Times New Roman" w:hAnsi="Times New Roman"/>
                <w:color w:val="000000"/>
                <w:sz w:val="20"/>
                <w:szCs w:val="20"/>
              </w:rPr>
              <w:t>Dječji vrtić Maslačak</w:t>
            </w:r>
          </w:p>
        </w:tc>
        <w:tc>
          <w:tcPr>
            <w:tcW w:w="583" w:type="pct"/>
            <w:tcBorders>
              <w:top w:val="single" w:sz="4" w:space="0" w:color="auto"/>
              <w:left w:val="single" w:sz="4" w:space="0" w:color="auto"/>
              <w:bottom w:val="single" w:sz="4" w:space="0" w:color="auto"/>
              <w:right w:val="single" w:sz="4" w:space="0" w:color="auto"/>
            </w:tcBorders>
          </w:tcPr>
          <w:p w14:paraId="4936AA66" w14:textId="77777777" w:rsidR="0081662F" w:rsidRPr="00760AE5" w:rsidRDefault="0081662F" w:rsidP="00EB2357">
            <w:pPr>
              <w:jc w:val="center"/>
              <w:rPr>
                <w:rFonts w:ascii="Times New Roman" w:hAnsi="Times New Roman"/>
                <w:color w:val="000000"/>
                <w:sz w:val="20"/>
                <w:szCs w:val="20"/>
              </w:rPr>
            </w:pPr>
          </w:p>
          <w:p w14:paraId="5133F2FB" w14:textId="77777777" w:rsidR="0081662F" w:rsidRPr="00760AE5" w:rsidRDefault="0081662F" w:rsidP="00EB2357">
            <w:pPr>
              <w:jc w:val="center"/>
              <w:rPr>
                <w:rFonts w:ascii="Times New Roman" w:hAnsi="Times New Roman"/>
                <w:color w:val="000000"/>
                <w:sz w:val="20"/>
                <w:szCs w:val="20"/>
              </w:rPr>
            </w:pPr>
          </w:p>
          <w:p w14:paraId="50FD5E8D" w14:textId="77777777" w:rsidR="0081662F" w:rsidRPr="00760AE5" w:rsidRDefault="0081662F" w:rsidP="00EB2357">
            <w:pPr>
              <w:jc w:val="center"/>
              <w:rPr>
                <w:rFonts w:ascii="Times New Roman" w:hAnsi="Times New Roman"/>
                <w:color w:val="000000"/>
                <w:sz w:val="20"/>
                <w:szCs w:val="20"/>
              </w:rPr>
            </w:pPr>
            <w:r w:rsidRPr="00760AE5">
              <w:rPr>
                <w:rFonts w:ascii="Times New Roman" w:hAnsi="Times New Roman"/>
                <w:color w:val="000000"/>
                <w:sz w:val="20"/>
                <w:szCs w:val="20"/>
              </w:rPr>
              <w:t>12</w:t>
            </w:r>
          </w:p>
        </w:tc>
        <w:tc>
          <w:tcPr>
            <w:tcW w:w="626" w:type="pct"/>
            <w:tcBorders>
              <w:top w:val="single" w:sz="4" w:space="0" w:color="auto"/>
              <w:left w:val="single" w:sz="4" w:space="0" w:color="auto"/>
              <w:bottom w:val="single" w:sz="4" w:space="0" w:color="auto"/>
              <w:right w:val="single" w:sz="4" w:space="0" w:color="auto"/>
            </w:tcBorders>
          </w:tcPr>
          <w:p w14:paraId="2321191F" w14:textId="77777777" w:rsidR="0081662F" w:rsidRPr="00760AE5" w:rsidRDefault="0081662F" w:rsidP="00EB2357">
            <w:pPr>
              <w:jc w:val="center"/>
              <w:rPr>
                <w:rFonts w:ascii="Times New Roman" w:hAnsi="Times New Roman"/>
                <w:color w:val="000000"/>
                <w:sz w:val="20"/>
                <w:szCs w:val="20"/>
              </w:rPr>
            </w:pPr>
          </w:p>
          <w:p w14:paraId="47CD8231" w14:textId="77777777" w:rsidR="0081662F" w:rsidRPr="00760AE5" w:rsidRDefault="0081662F" w:rsidP="00EB2357">
            <w:pPr>
              <w:jc w:val="center"/>
              <w:rPr>
                <w:rFonts w:ascii="Times New Roman" w:hAnsi="Times New Roman"/>
                <w:color w:val="000000"/>
                <w:sz w:val="20"/>
                <w:szCs w:val="20"/>
              </w:rPr>
            </w:pPr>
          </w:p>
          <w:p w14:paraId="32087A07" w14:textId="77777777" w:rsidR="0081662F" w:rsidRPr="00760AE5" w:rsidRDefault="0081662F" w:rsidP="00EB2357">
            <w:pPr>
              <w:jc w:val="center"/>
              <w:rPr>
                <w:rFonts w:ascii="Times New Roman" w:hAnsi="Times New Roman"/>
                <w:color w:val="000000"/>
                <w:sz w:val="20"/>
                <w:szCs w:val="20"/>
              </w:rPr>
            </w:pPr>
            <w:r w:rsidRPr="00760AE5">
              <w:rPr>
                <w:rFonts w:ascii="Times New Roman" w:hAnsi="Times New Roman"/>
                <w:color w:val="000000"/>
                <w:sz w:val="20"/>
                <w:szCs w:val="20"/>
              </w:rPr>
              <w:t>14</w:t>
            </w:r>
          </w:p>
        </w:tc>
        <w:tc>
          <w:tcPr>
            <w:tcW w:w="542" w:type="pct"/>
            <w:tcBorders>
              <w:top w:val="single" w:sz="4" w:space="0" w:color="auto"/>
              <w:left w:val="single" w:sz="4" w:space="0" w:color="auto"/>
              <w:bottom w:val="single" w:sz="4" w:space="0" w:color="auto"/>
              <w:right w:val="single" w:sz="4" w:space="0" w:color="auto"/>
            </w:tcBorders>
          </w:tcPr>
          <w:p w14:paraId="0A3E2B6C" w14:textId="77777777" w:rsidR="0081662F" w:rsidRPr="00760AE5" w:rsidRDefault="0081662F" w:rsidP="00EB2357">
            <w:pPr>
              <w:jc w:val="center"/>
              <w:rPr>
                <w:rFonts w:ascii="Times New Roman" w:hAnsi="Times New Roman"/>
                <w:color w:val="000000"/>
                <w:sz w:val="20"/>
                <w:szCs w:val="20"/>
              </w:rPr>
            </w:pPr>
          </w:p>
          <w:p w14:paraId="0E148FA6" w14:textId="77777777" w:rsidR="0081662F" w:rsidRPr="00760AE5" w:rsidRDefault="0081662F" w:rsidP="00EB2357">
            <w:pPr>
              <w:jc w:val="center"/>
              <w:rPr>
                <w:rFonts w:ascii="Times New Roman" w:hAnsi="Times New Roman"/>
                <w:color w:val="000000"/>
                <w:sz w:val="20"/>
                <w:szCs w:val="20"/>
              </w:rPr>
            </w:pPr>
          </w:p>
          <w:p w14:paraId="45D79CBC" w14:textId="77777777" w:rsidR="0081662F" w:rsidRPr="00760AE5" w:rsidRDefault="0081662F" w:rsidP="00EB2357">
            <w:pPr>
              <w:jc w:val="center"/>
              <w:rPr>
                <w:rFonts w:ascii="Times New Roman" w:hAnsi="Times New Roman"/>
                <w:color w:val="000000"/>
                <w:sz w:val="20"/>
                <w:szCs w:val="20"/>
              </w:rPr>
            </w:pPr>
            <w:r w:rsidRPr="00760AE5">
              <w:rPr>
                <w:rFonts w:ascii="Times New Roman" w:hAnsi="Times New Roman"/>
                <w:color w:val="000000"/>
                <w:sz w:val="20"/>
                <w:szCs w:val="20"/>
              </w:rPr>
              <w:t>116,66%</w:t>
            </w:r>
          </w:p>
        </w:tc>
      </w:tr>
      <w:tr w:rsidR="00760AE5" w:rsidRPr="00760AE5" w14:paraId="2428C6A8" w14:textId="77777777" w:rsidTr="00760AE5">
        <w:tc>
          <w:tcPr>
            <w:tcW w:w="893" w:type="pct"/>
            <w:tcBorders>
              <w:top w:val="single" w:sz="4" w:space="0" w:color="auto"/>
              <w:left w:val="single" w:sz="4" w:space="0" w:color="auto"/>
              <w:bottom w:val="single" w:sz="4" w:space="0" w:color="auto"/>
              <w:right w:val="single" w:sz="4" w:space="0" w:color="auto"/>
            </w:tcBorders>
          </w:tcPr>
          <w:p w14:paraId="785E39DE" w14:textId="77777777" w:rsidR="0081662F" w:rsidRPr="00760AE5" w:rsidRDefault="0081662F" w:rsidP="00EB2357">
            <w:pPr>
              <w:jc w:val="center"/>
              <w:rPr>
                <w:rFonts w:ascii="Times New Roman" w:hAnsi="Times New Roman"/>
                <w:sz w:val="20"/>
                <w:szCs w:val="20"/>
              </w:rPr>
            </w:pPr>
          </w:p>
          <w:p w14:paraId="51DEE911" w14:textId="77777777" w:rsidR="0081662F" w:rsidRPr="00760AE5" w:rsidRDefault="0081662F" w:rsidP="00EB2357">
            <w:pPr>
              <w:jc w:val="center"/>
              <w:rPr>
                <w:rFonts w:ascii="Times New Roman" w:hAnsi="Times New Roman"/>
                <w:sz w:val="20"/>
                <w:szCs w:val="20"/>
              </w:rPr>
            </w:pPr>
          </w:p>
          <w:p w14:paraId="6FA00EE9" w14:textId="77777777" w:rsidR="0081662F" w:rsidRPr="00760AE5" w:rsidRDefault="0081662F" w:rsidP="00EB2357">
            <w:pPr>
              <w:jc w:val="center"/>
              <w:rPr>
                <w:rFonts w:ascii="Times New Roman" w:hAnsi="Times New Roman"/>
                <w:color w:val="000000"/>
                <w:sz w:val="20"/>
                <w:szCs w:val="20"/>
              </w:rPr>
            </w:pPr>
            <w:r w:rsidRPr="00760AE5">
              <w:rPr>
                <w:rFonts w:ascii="Times New Roman" w:hAnsi="Times New Roman"/>
                <w:sz w:val="20"/>
                <w:szCs w:val="20"/>
              </w:rPr>
              <w:t>Povećanje broja održanih kreativnih radionica u koje su uključeni roditelji</w:t>
            </w:r>
          </w:p>
        </w:tc>
        <w:tc>
          <w:tcPr>
            <w:tcW w:w="893" w:type="pct"/>
            <w:tcBorders>
              <w:top w:val="single" w:sz="4" w:space="0" w:color="auto"/>
              <w:left w:val="single" w:sz="4" w:space="0" w:color="auto"/>
              <w:bottom w:val="single" w:sz="4" w:space="0" w:color="auto"/>
              <w:right w:val="single" w:sz="4" w:space="0" w:color="auto"/>
            </w:tcBorders>
            <w:vAlign w:val="bottom"/>
          </w:tcPr>
          <w:p w14:paraId="6A68E366" w14:textId="77777777" w:rsidR="0081662F" w:rsidRPr="00760AE5" w:rsidRDefault="0081662F" w:rsidP="00EB2357">
            <w:pPr>
              <w:jc w:val="center"/>
              <w:rPr>
                <w:rFonts w:ascii="Times New Roman" w:hAnsi="Times New Roman"/>
                <w:color w:val="000000"/>
                <w:sz w:val="20"/>
                <w:szCs w:val="20"/>
              </w:rPr>
            </w:pPr>
            <w:r w:rsidRPr="00760AE5">
              <w:rPr>
                <w:rFonts w:ascii="Times New Roman" w:hAnsi="Times New Roman"/>
                <w:color w:val="000000"/>
                <w:sz w:val="20"/>
                <w:szCs w:val="20"/>
              </w:rPr>
              <w:t>Kroz različite oblike suradnje (radionice, edukacije roditelja, savjetovanje) poticati aktivno uključivanje roditelja u neposredni odgojno obrazovni proces</w:t>
            </w:r>
          </w:p>
        </w:tc>
        <w:tc>
          <w:tcPr>
            <w:tcW w:w="893" w:type="pct"/>
            <w:tcBorders>
              <w:top w:val="single" w:sz="4" w:space="0" w:color="auto"/>
              <w:left w:val="single" w:sz="4" w:space="0" w:color="auto"/>
              <w:bottom w:val="single" w:sz="4" w:space="0" w:color="auto"/>
              <w:right w:val="single" w:sz="4" w:space="0" w:color="auto"/>
            </w:tcBorders>
          </w:tcPr>
          <w:p w14:paraId="54E8A97A" w14:textId="77777777" w:rsidR="0081662F" w:rsidRPr="00760AE5" w:rsidRDefault="0081662F" w:rsidP="00EB2357">
            <w:pPr>
              <w:jc w:val="center"/>
              <w:rPr>
                <w:rFonts w:ascii="Times New Roman" w:hAnsi="Times New Roman"/>
                <w:color w:val="000000"/>
                <w:sz w:val="20"/>
                <w:szCs w:val="20"/>
              </w:rPr>
            </w:pPr>
            <w:r w:rsidRPr="00760AE5">
              <w:rPr>
                <w:rFonts w:ascii="Times New Roman" w:hAnsi="Times New Roman"/>
                <w:color w:val="000000"/>
                <w:sz w:val="20"/>
                <w:szCs w:val="20"/>
              </w:rPr>
              <w:t>Broj održanih radionica godišnje</w:t>
            </w:r>
          </w:p>
        </w:tc>
        <w:tc>
          <w:tcPr>
            <w:tcW w:w="571" w:type="pct"/>
            <w:tcBorders>
              <w:top w:val="single" w:sz="4" w:space="0" w:color="auto"/>
              <w:left w:val="single" w:sz="4" w:space="0" w:color="auto"/>
              <w:bottom w:val="single" w:sz="4" w:space="0" w:color="auto"/>
              <w:right w:val="single" w:sz="4" w:space="0" w:color="auto"/>
            </w:tcBorders>
          </w:tcPr>
          <w:p w14:paraId="7CBA9CF6" w14:textId="77777777" w:rsidR="0081662F" w:rsidRPr="00760AE5" w:rsidRDefault="0081662F" w:rsidP="00EB2357">
            <w:pPr>
              <w:jc w:val="center"/>
              <w:rPr>
                <w:rFonts w:ascii="Times New Roman" w:hAnsi="Times New Roman"/>
                <w:color w:val="000000"/>
                <w:sz w:val="20"/>
                <w:szCs w:val="20"/>
              </w:rPr>
            </w:pPr>
          </w:p>
          <w:p w14:paraId="1E247BEF" w14:textId="77777777" w:rsidR="0081662F" w:rsidRPr="00760AE5" w:rsidRDefault="0081662F" w:rsidP="00EB2357">
            <w:pPr>
              <w:jc w:val="center"/>
              <w:rPr>
                <w:rFonts w:ascii="Times New Roman" w:hAnsi="Times New Roman"/>
                <w:color w:val="000000"/>
                <w:sz w:val="20"/>
                <w:szCs w:val="20"/>
              </w:rPr>
            </w:pPr>
          </w:p>
          <w:p w14:paraId="78B34F52" w14:textId="77777777" w:rsidR="0081662F" w:rsidRPr="00760AE5" w:rsidRDefault="0081662F" w:rsidP="00EB2357">
            <w:pPr>
              <w:jc w:val="center"/>
              <w:rPr>
                <w:rFonts w:ascii="Times New Roman" w:hAnsi="Times New Roman"/>
                <w:color w:val="000000"/>
                <w:sz w:val="20"/>
                <w:szCs w:val="20"/>
              </w:rPr>
            </w:pPr>
          </w:p>
          <w:p w14:paraId="11F6F248" w14:textId="77777777" w:rsidR="0081662F" w:rsidRPr="00760AE5" w:rsidRDefault="0081662F" w:rsidP="00EB2357">
            <w:pPr>
              <w:jc w:val="center"/>
              <w:rPr>
                <w:rFonts w:ascii="Times New Roman" w:hAnsi="Times New Roman"/>
                <w:color w:val="000000"/>
                <w:sz w:val="20"/>
                <w:szCs w:val="20"/>
              </w:rPr>
            </w:pPr>
          </w:p>
          <w:p w14:paraId="49B96070" w14:textId="77777777" w:rsidR="0081662F" w:rsidRPr="00760AE5" w:rsidRDefault="0081662F" w:rsidP="00EB2357">
            <w:pPr>
              <w:jc w:val="center"/>
              <w:rPr>
                <w:rFonts w:ascii="Times New Roman" w:hAnsi="Times New Roman"/>
                <w:color w:val="000000"/>
                <w:sz w:val="20"/>
                <w:szCs w:val="20"/>
              </w:rPr>
            </w:pPr>
          </w:p>
          <w:p w14:paraId="67B58FF0" w14:textId="77777777" w:rsidR="0081662F" w:rsidRPr="00760AE5" w:rsidRDefault="0081662F" w:rsidP="00EB2357">
            <w:pPr>
              <w:jc w:val="center"/>
              <w:rPr>
                <w:rFonts w:ascii="Times New Roman" w:hAnsi="Times New Roman"/>
                <w:color w:val="000000"/>
                <w:sz w:val="20"/>
                <w:szCs w:val="20"/>
              </w:rPr>
            </w:pPr>
            <w:r w:rsidRPr="00760AE5">
              <w:rPr>
                <w:rFonts w:ascii="Times New Roman" w:hAnsi="Times New Roman"/>
                <w:color w:val="000000"/>
                <w:sz w:val="20"/>
                <w:szCs w:val="20"/>
              </w:rPr>
              <w:t>Dječji vrtić Maslačak</w:t>
            </w:r>
          </w:p>
        </w:tc>
        <w:tc>
          <w:tcPr>
            <w:tcW w:w="583" w:type="pct"/>
            <w:tcBorders>
              <w:top w:val="single" w:sz="4" w:space="0" w:color="auto"/>
              <w:left w:val="single" w:sz="4" w:space="0" w:color="auto"/>
              <w:bottom w:val="single" w:sz="4" w:space="0" w:color="auto"/>
              <w:right w:val="single" w:sz="4" w:space="0" w:color="auto"/>
            </w:tcBorders>
          </w:tcPr>
          <w:p w14:paraId="3B5FCF91" w14:textId="77777777" w:rsidR="0081662F" w:rsidRPr="00760AE5" w:rsidRDefault="0081662F" w:rsidP="00EB2357">
            <w:pPr>
              <w:jc w:val="center"/>
              <w:rPr>
                <w:rFonts w:ascii="Times New Roman" w:hAnsi="Times New Roman"/>
                <w:color w:val="000000"/>
                <w:sz w:val="20"/>
                <w:szCs w:val="20"/>
              </w:rPr>
            </w:pPr>
          </w:p>
          <w:p w14:paraId="65AABE4C" w14:textId="77777777" w:rsidR="0081662F" w:rsidRPr="00760AE5" w:rsidRDefault="0081662F" w:rsidP="00EB2357">
            <w:pPr>
              <w:jc w:val="center"/>
              <w:rPr>
                <w:rFonts w:ascii="Times New Roman" w:hAnsi="Times New Roman"/>
                <w:color w:val="000000"/>
                <w:sz w:val="20"/>
                <w:szCs w:val="20"/>
              </w:rPr>
            </w:pPr>
          </w:p>
          <w:p w14:paraId="62535488" w14:textId="77777777" w:rsidR="0081662F" w:rsidRPr="00760AE5" w:rsidRDefault="0081662F" w:rsidP="00EB2357">
            <w:pPr>
              <w:jc w:val="center"/>
              <w:rPr>
                <w:rFonts w:ascii="Times New Roman" w:hAnsi="Times New Roman"/>
                <w:color w:val="000000"/>
                <w:sz w:val="20"/>
                <w:szCs w:val="20"/>
              </w:rPr>
            </w:pPr>
          </w:p>
          <w:p w14:paraId="31DEC6F7" w14:textId="77777777" w:rsidR="0081662F" w:rsidRPr="00760AE5" w:rsidRDefault="0081662F" w:rsidP="00EB2357">
            <w:pPr>
              <w:jc w:val="center"/>
              <w:rPr>
                <w:rFonts w:ascii="Times New Roman" w:hAnsi="Times New Roman"/>
                <w:color w:val="000000"/>
                <w:sz w:val="20"/>
                <w:szCs w:val="20"/>
              </w:rPr>
            </w:pPr>
          </w:p>
          <w:p w14:paraId="4A83B83D" w14:textId="77777777" w:rsidR="0081662F" w:rsidRPr="00760AE5" w:rsidRDefault="0081662F" w:rsidP="00EB2357">
            <w:pPr>
              <w:jc w:val="center"/>
              <w:rPr>
                <w:rFonts w:ascii="Times New Roman" w:hAnsi="Times New Roman"/>
                <w:color w:val="000000"/>
                <w:sz w:val="20"/>
                <w:szCs w:val="20"/>
              </w:rPr>
            </w:pPr>
          </w:p>
          <w:p w14:paraId="3A3FD314" w14:textId="77777777" w:rsidR="0081662F" w:rsidRPr="00760AE5" w:rsidRDefault="0081662F" w:rsidP="00EB2357">
            <w:pPr>
              <w:jc w:val="center"/>
              <w:rPr>
                <w:rFonts w:ascii="Times New Roman" w:hAnsi="Times New Roman"/>
                <w:color w:val="000000"/>
                <w:sz w:val="20"/>
                <w:szCs w:val="20"/>
                <w:vertAlign w:val="superscript"/>
              </w:rPr>
            </w:pPr>
            <w:r w:rsidRPr="00760AE5">
              <w:rPr>
                <w:rFonts w:ascii="Times New Roman" w:hAnsi="Times New Roman"/>
                <w:color w:val="000000"/>
                <w:sz w:val="20"/>
                <w:szCs w:val="20"/>
              </w:rPr>
              <w:t>6</w:t>
            </w:r>
          </w:p>
          <w:p w14:paraId="3D9174B7" w14:textId="77777777" w:rsidR="0081662F" w:rsidRPr="00760AE5" w:rsidRDefault="0081662F" w:rsidP="00EB2357">
            <w:pPr>
              <w:jc w:val="center"/>
              <w:rPr>
                <w:rFonts w:ascii="Times New Roman" w:hAnsi="Times New Roman"/>
                <w:color w:val="000000"/>
                <w:sz w:val="20"/>
                <w:szCs w:val="20"/>
              </w:rPr>
            </w:pPr>
          </w:p>
        </w:tc>
        <w:tc>
          <w:tcPr>
            <w:tcW w:w="626" w:type="pct"/>
            <w:tcBorders>
              <w:top w:val="single" w:sz="4" w:space="0" w:color="auto"/>
              <w:left w:val="single" w:sz="4" w:space="0" w:color="auto"/>
              <w:bottom w:val="single" w:sz="4" w:space="0" w:color="auto"/>
              <w:right w:val="single" w:sz="4" w:space="0" w:color="auto"/>
            </w:tcBorders>
          </w:tcPr>
          <w:p w14:paraId="10377124" w14:textId="77777777" w:rsidR="0081662F" w:rsidRPr="00760AE5" w:rsidRDefault="0081662F" w:rsidP="00EB2357">
            <w:pPr>
              <w:jc w:val="center"/>
              <w:rPr>
                <w:rFonts w:ascii="Times New Roman" w:hAnsi="Times New Roman"/>
                <w:color w:val="000000"/>
                <w:sz w:val="20"/>
                <w:szCs w:val="20"/>
              </w:rPr>
            </w:pPr>
          </w:p>
          <w:p w14:paraId="39FC31B1" w14:textId="77777777" w:rsidR="0081662F" w:rsidRPr="00760AE5" w:rsidRDefault="0081662F" w:rsidP="00EB2357">
            <w:pPr>
              <w:jc w:val="center"/>
              <w:rPr>
                <w:rFonts w:ascii="Times New Roman" w:hAnsi="Times New Roman"/>
                <w:color w:val="000000"/>
                <w:sz w:val="20"/>
                <w:szCs w:val="20"/>
              </w:rPr>
            </w:pPr>
          </w:p>
          <w:p w14:paraId="1B0B354F" w14:textId="77777777" w:rsidR="0081662F" w:rsidRPr="00760AE5" w:rsidRDefault="0081662F" w:rsidP="00EB2357">
            <w:pPr>
              <w:jc w:val="center"/>
              <w:rPr>
                <w:rFonts w:ascii="Times New Roman" w:hAnsi="Times New Roman"/>
                <w:color w:val="000000"/>
                <w:sz w:val="20"/>
                <w:szCs w:val="20"/>
              </w:rPr>
            </w:pPr>
          </w:p>
          <w:p w14:paraId="1808E1A8" w14:textId="77777777" w:rsidR="0081662F" w:rsidRPr="00760AE5" w:rsidRDefault="0081662F" w:rsidP="00EB2357">
            <w:pPr>
              <w:jc w:val="center"/>
              <w:rPr>
                <w:rFonts w:ascii="Times New Roman" w:hAnsi="Times New Roman"/>
                <w:color w:val="000000"/>
                <w:sz w:val="20"/>
                <w:szCs w:val="20"/>
              </w:rPr>
            </w:pPr>
          </w:p>
          <w:p w14:paraId="27C5A839" w14:textId="77777777" w:rsidR="0081662F" w:rsidRPr="00760AE5" w:rsidRDefault="0081662F" w:rsidP="00EB2357">
            <w:pPr>
              <w:jc w:val="center"/>
              <w:rPr>
                <w:rFonts w:ascii="Times New Roman" w:hAnsi="Times New Roman"/>
                <w:color w:val="000000"/>
                <w:sz w:val="20"/>
                <w:szCs w:val="20"/>
              </w:rPr>
            </w:pPr>
          </w:p>
          <w:p w14:paraId="64D36367" w14:textId="77777777" w:rsidR="0081662F" w:rsidRPr="00760AE5" w:rsidRDefault="0081662F" w:rsidP="00EB2357">
            <w:pPr>
              <w:jc w:val="center"/>
              <w:rPr>
                <w:rFonts w:ascii="Times New Roman" w:hAnsi="Times New Roman"/>
                <w:color w:val="000000"/>
                <w:sz w:val="20"/>
                <w:szCs w:val="20"/>
                <w:vertAlign w:val="superscript"/>
              </w:rPr>
            </w:pPr>
            <w:r w:rsidRPr="00760AE5">
              <w:rPr>
                <w:rFonts w:ascii="Times New Roman" w:hAnsi="Times New Roman"/>
                <w:color w:val="000000"/>
                <w:sz w:val="20"/>
                <w:szCs w:val="20"/>
              </w:rPr>
              <w:t>8</w:t>
            </w:r>
          </w:p>
          <w:p w14:paraId="1C995850" w14:textId="77777777" w:rsidR="0081662F" w:rsidRPr="00760AE5" w:rsidRDefault="0081662F" w:rsidP="00EB2357">
            <w:pPr>
              <w:jc w:val="center"/>
              <w:rPr>
                <w:rFonts w:ascii="Times New Roman" w:hAnsi="Times New Roman"/>
                <w:color w:val="000000"/>
                <w:sz w:val="20"/>
                <w:szCs w:val="20"/>
              </w:rPr>
            </w:pPr>
          </w:p>
          <w:p w14:paraId="41DDAC23" w14:textId="77777777" w:rsidR="0081662F" w:rsidRPr="00760AE5" w:rsidRDefault="0081662F" w:rsidP="00EB2357">
            <w:pPr>
              <w:jc w:val="center"/>
              <w:rPr>
                <w:rFonts w:ascii="Times New Roman" w:hAnsi="Times New Roman"/>
                <w:color w:val="000000"/>
                <w:sz w:val="20"/>
                <w:szCs w:val="20"/>
              </w:rPr>
            </w:pPr>
          </w:p>
          <w:p w14:paraId="70218198" w14:textId="77777777" w:rsidR="0081662F" w:rsidRPr="00760AE5" w:rsidRDefault="0081662F" w:rsidP="00EB2357">
            <w:pPr>
              <w:jc w:val="center"/>
              <w:rPr>
                <w:rFonts w:ascii="Times New Roman" w:hAnsi="Times New Roman"/>
                <w:color w:val="000000"/>
                <w:sz w:val="20"/>
                <w:szCs w:val="20"/>
              </w:rPr>
            </w:pPr>
          </w:p>
          <w:p w14:paraId="50759DFA" w14:textId="77777777" w:rsidR="0081662F" w:rsidRPr="00760AE5" w:rsidRDefault="0081662F" w:rsidP="00EB2357">
            <w:pPr>
              <w:jc w:val="center"/>
              <w:rPr>
                <w:rFonts w:ascii="Times New Roman" w:hAnsi="Times New Roman"/>
                <w:color w:val="000000"/>
                <w:sz w:val="20"/>
                <w:szCs w:val="20"/>
              </w:rPr>
            </w:pPr>
          </w:p>
        </w:tc>
        <w:tc>
          <w:tcPr>
            <w:tcW w:w="542" w:type="pct"/>
            <w:tcBorders>
              <w:top w:val="single" w:sz="4" w:space="0" w:color="auto"/>
              <w:left w:val="single" w:sz="4" w:space="0" w:color="auto"/>
              <w:bottom w:val="single" w:sz="4" w:space="0" w:color="auto"/>
              <w:right w:val="single" w:sz="4" w:space="0" w:color="auto"/>
            </w:tcBorders>
          </w:tcPr>
          <w:p w14:paraId="4B3A601A" w14:textId="77777777" w:rsidR="0081662F" w:rsidRPr="00760AE5" w:rsidRDefault="0081662F" w:rsidP="00EB2357">
            <w:pPr>
              <w:jc w:val="center"/>
              <w:rPr>
                <w:rFonts w:ascii="Times New Roman" w:hAnsi="Times New Roman"/>
                <w:color w:val="000000"/>
                <w:sz w:val="20"/>
                <w:szCs w:val="20"/>
              </w:rPr>
            </w:pPr>
          </w:p>
          <w:p w14:paraId="1985AEF2" w14:textId="77777777" w:rsidR="0081662F" w:rsidRPr="00760AE5" w:rsidRDefault="0081662F" w:rsidP="00EB2357">
            <w:pPr>
              <w:jc w:val="center"/>
              <w:rPr>
                <w:rFonts w:ascii="Times New Roman" w:hAnsi="Times New Roman"/>
                <w:color w:val="000000"/>
                <w:sz w:val="20"/>
                <w:szCs w:val="20"/>
              </w:rPr>
            </w:pPr>
          </w:p>
          <w:p w14:paraId="38954A2A" w14:textId="77777777" w:rsidR="0081662F" w:rsidRPr="00760AE5" w:rsidRDefault="0081662F" w:rsidP="00EB2357">
            <w:pPr>
              <w:jc w:val="center"/>
              <w:rPr>
                <w:rFonts w:ascii="Times New Roman" w:hAnsi="Times New Roman"/>
                <w:color w:val="000000"/>
                <w:sz w:val="20"/>
                <w:szCs w:val="20"/>
              </w:rPr>
            </w:pPr>
          </w:p>
          <w:p w14:paraId="524AF557" w14:textId="77777777" w:rsidR="0081662F" w:rsidRPr="00760AE5" w:rsidRDefault="0081662F" w:rsidP="00EB2357">
            <w:pPr>
              <w:jc w:val="center"/>
              <w:rPr>
                <w:rFonts w:ascii="Times New Roman" w:hAnsi="Times New Roman"/>
                <w:color w:val="000000"/>
                <w:sz w:val="20"/>
                <w:szCs w:val="20"/>
              </w:rPr>
            </w:pPr>
          </w:p>
          <w:p w14:paraId="20B2DA68" w14:textId="77777777" w:rsidR="0081662F" w:rsidRPr="00760AE5" w:rsidRDefault="0081662F" w:rsidP="00EB2357">
            <w:pPr>
              <w:jc w:val="center"/>
              <w:rPr>
                <w:rFonts w:ascii="Times New Roman" w:hAnsi="Times New Roman"/>
                <w:color w:val="000000"/>
                <w:sz w:val="20"/>
                <w:szCs w:val="20"/>
              </w:rPr>
            </w:pPr>
          </w:p>
          <w:p w14:paraId="08718C6B" w14:textId="77777777" w:rsidR="0081662F" w:rsidRPr="00760AE5" w:rsidRDefault="0081662F" w:rsidP="00EB2357">
            <w:pPr>
              <w:rPr>
                <w:rFonts w:ascii="Times New Roman" w:hAnsi="Times New Roman"/>
                <w:color w:val="000000"/>
                <w:sz w:val="20"/>
                <w:szCs w:val="20"/>
              </w:rPr>
            </w:pPr>
            <w:r w:rsidRPr="00760AE5">
              <w:rPr>
                <w:rFonts w:ascii="Times New Roman" w:hAnsi="Times New Roman"/>
                <w:color w:val="000000"/>
                <w:sz w:val="20"/>
                <w:szCs w:val="20"/>
              </w:rPr>
              <w:t>133,33%</w:t>
            </w:r>
          </w:p>
          <w:p w14:paraId="0724A709" w14:textId="77777777" w:rsidR="0081662F" w:rsidRPr="00760AE5" w:rsidRDefault="0081662F" w:rsidP="00EB2357">
            <w:pPr>
              <w:jc w:val="center"/>
              <w:rPr>
                <w:rFonts w:ascii="Times New Roman" w:hAnsi="Times New Roman"/>
                <w:color w:val="000000"/>
                <w:sz w:val="20"/>
                <w:szCs w:val="20"/>
              </w:rPr>
            </w:pPr>
          </w:p>
        </w:tc>
      </w:tr>
      <w:tr w:rsidR="00760AE5" w:rsidRPr="00760AE5" w14:paraId="21EFC9CA" w14:textId="77777777" w:rsidTr="00760AE5">
        <w:trPr>
          <w:trHeight w:val="2678"/>
        </w:trPr>
        <w:tc>
          <w:tcPr>
            <w:tcW w:w="893" w:type="pct"/>
            <w:tcBorders>
              <w:top w:val="single" w:sz="4" w:space="0" w:color="auto"/>
              <w:left w:val="single" w:sz="4" w:space="0" w:color="auto"/>
              <w:bottom w:val="single" w:sz="4" w:space="0" w:color="auto"/>
              <w:right w:val="single" w:sz="4" w:space="0" w:color="auto"/>
            </w:tcBorders>
            <w:hideMark/>
          </w:tcPr>
          <w:p w14:paraId="4B59F253" w14:textId="77777777" w:rsidR="0081662F" w:rsidRPr="00760AE5" w:rsidRDefault="0081662F" w:rsidP="00EB2357">
            <w:pPr>
              <w:rPr>
                <w:rFonts w:ascii="Times New Roman" w:hAnsi="Times New Roman"/>
                <w:color w:val="000000"/>
                <w:sz w:val="20"/>
                <w:szCs w:val="20"/>
              </w:rPr>
            </w:pPr>
            <w:r w:rsidRPr="00760AE5">
              <w:rPr>
                <w:rFonts w:ascii="Times New Roman" w:hAnsi="Times New Roman"/>
                <w:sz w:val="20"/>
                <w:szCs w:val="20"/>
              </w:rPr>
              <w:t>Poboljšanje materijalnih uvjeta za obavljanje redovne djelatnosti (didaktika, slikovnice, dječji bicikli)</w:t>
            </w:r>
            <w:r w:rsidRPr="00760AE5">
              <w:rPr>
                <w:rFonts w:ascii="Times New Roman" w:hAnsi="Times New Roman"/>
                <w:color w:val="000000"/>
                <w:sz w:val="20"/>
                <w:szCs w:val="20"/>
              </w:rPr>
              <w:t xml:space="preserve">  </w:t>
            </w:r>
          </w:p>
        </w:tc>
        <w:tc>
          <w:tcPr>
            <w:tcW w:w="893" w:type="pct"/>
            <w:tcBorders>
              <w:top w:val="single" w:sz="4" w:space="0" w:color="auto"/>
              <w:left w:val="single" w:sz="4" w:space="0" w:color="auto"/>
              <w:bottom w:val="single" w:sz="4" w:space="0" w:color="auto"/>
              <w:right w:val="single" w:sz="4" w:space="0" w:color="auto"/>
            </w:tcBorders>
            <w:vAlign w:val="bottom"/>
          </w:tcPr>
          <w:p w14:paraId="54B22514" w14:textId="77777777" w:rsidR="0081662F" w:rsidRPr="00760AE5" w:rsidRDefault="0081662F" w:rsidP="00EB2357">
            <w:pPr>
              <w:rPr>
                <w:rFonts w:ascii="Times New Roman" w:hAnsi="Times New Roman"/>
                <w:color w:val="000000"/>
                <w:sz w:val="20"/>
                <w:szCs w:val="20"/>
              </w:rPr>
            </w:pPr>
            <w:r w:rsidRPr="00760AE5">
              <w:rPr>
                <w:rFonts w:ascii="Times New Roman" w:hAnsi="Times New Roman"/>
                <w:color w:val="000000"/>
                <w:sz w:val="20"/>
                <w:szCs w:val="20"/>
              </w:rPr>
              <w:t>Razvoj grube motorike, ravnoteže, preciznosti, usvajanje elemenata empatičnog ponašanja u odnosu na svoje vršnjake, bolje poticajno okruženje</w:t>
            </w:r>
          </w:p>
        </w:tc>
        <w:tc>
          <w:tcPr>
            <w:tcW w:w="893" w:type="pct"/>
            <w:tcBorders>
              <w:top w:val="single" w:sz="4" w:space="0" w:color="auto"/>
              <w:left w:val="single" w:sz="4" w:space="0" w:color="auto"/>
              <w:bottom w:val="single" w:sz="4" w:space="0" w:color="auto"/>
              <w:right w:val="single" w:sz="4" w:space="0" w:color="auto"/>
            </w:tcBorders>
          </w:tcPr>
          <w:p w14:paraId="514562AE" w14:textId="77777777" w:rsidR="0081662F" w:rsidRPr="00760AE5" w:rsidRDefault="0081662F" w:rsidP="00EB2357">
            <w:pPr>
              <w:jc w:val="center"/>
              <w:rPr>
                <w:rFonts w:ascii="Times New Roman" w:hAnsi="Times New Roman"/>
                <w:color w:val="000000"/>
                <w:sz w:val="20"/>
                <w:szCs w:val="20"/>
              </w:rPr>
            </w:pPr>
          </w:p>
          <w:p w14:paraId="6DE7950F" w14:textId="77777777" w:rsidR="0081662F" w:rsidRPr="00760AE5" w:rsidRDefault="0081662F" w:rsidP="00EB2357">
            <w:pPr>
              <w:jc w:val="center"/>
              <w:rPr>
                <w:rFonts w:ascii="Times New Roman" w:hAnsi="Times New Roman"/>
                <w:color w:val="000000"/>
                <w:sz w:val="20"/>
                <w:szCs w:val="20"/>
              </w:rPr>
            </w:pPr>
          </w:p>
          <w:p w14:paraId="684E5735" w14:textId="77777777" w:rsidR="0081662F" w:rsidRPr="00760AE5" w:rsidRDefault="0081662F" w:rsidP="00EB2357">
            <w:pPr>
              <w:jc w:val="center"/>
              <w:rPr>
                <w:rFonts w:ascii="Times New Roman" w:hAnsi="Times New Roman"/>
                <w:color w:val="000000"/>
                <w:sz w:val="20"/>
                <w:szCs w:val="20"/>
              </w:rPr>
            </w:pPr>
          </w:p>
          <w:p w14:paraId="207488B6" w14:textId="77777777" w:rsidR="0081662F" w:rsidRPr="00760AE5" w:rsidRDefault="0081662F" w:rsidP="00EB2357">
            <w:pPr>
              <w:rPr>
                <w:rFonts w:ascii="Times New Roman" w:hAnsi="Times New Roman"/>
                <w:color w:val="000000"/>
                <w:sz w:val="20"/>
                <w:szCs w:val="20"/>
              </w:rPr>
            </w:pPr>
          </w:p>
          <w:p w14:paraId="31AD7CA5" w14:textId="77777777" w:rsidR="0081662F" w:rsidRPr="00760AE5" w:rsidRDefault="0081662F" w:rsidP="00EB2357">
            <w:pPr>
              <w:jc w:val="center"/>
              <w:rPr>
                <w:rFonts w:ascii="Times New Roman" w:hAnsi="Times New Roman"/>
                <w:color w:val="000000"/>
                <w:sz w:val="20"/>
                <w:szCs w:val="20"/>
              </w:rPr>
            </w:pPr>
            <w:r w:rsidRPr="00760AE5">
              <w:rPr>
                <w:rFonts w:ascii="Times New Roman" w:hAnsi="Times New Roman"/>
                <w:color w:val="000000"/>
                <w:sz w:val="20"/>
                <w:szCs w:val="20"/>
              </w:rPr>
              <w:t>%poboljšanje sredstava za rad u skupinama</w:t>
            </w:r>
          </w:p>
        </w:tc>
        <w:tc>
          <w:tcPr>
            <w:tcW w:w="571" w:type="pct"/>
            <w:tcBorders>
              <w:top w:val="single" w:sz="4" w:space="0" w:color="auto"/>
              <w:left w:val="single" w:sz="4" w:space="0" w:color="auto"/>
              <w:bottom w:val="single" w:sz="4" w:space="0" w:color="auto"/>
              <w:right w:val="single" w:sz="4" w:space="0" w:color="auto"/>
            </w:tcBorders>
          </w:tcPr>
          <w:p w14:paraId="67938734" w14:textId="77777777" w:rsidR="0081662F" w:rsidRPr="00760AE5" w:rsidRDefault="0081662F" w:rsidP="00EB2357">
            <w:pPr>
              <w:jc w:val="center"/>
              <w:rPr>
                <w:rFonts w:ascii="Times New Roman" w:hAnsi="Times New Roman"/>
                <w:color w:val="000000"/>
                <w:sz w:val="20"/>
                <w:szCs w:val="20"/>
              </w:rPr>
            </w:pPr>
          </w:p>
          <w:p w14:paraId="21B6B7C0" w14:textId="77777777" w:rsidR="0081662F" w:rsidRPr="00760AE5" w:rsidRDefault="0081662F" w:rsidP="00EB2357">
            <w:pPr>
              <w:jc w:val="center"/>
              <w:rPr>
                <w:rFonts w:ascii="Times New Roman" w:hAnsi="Times New Roman"/>
                <w:color w:val="000000"/>
                <w:sz w:val="20"/>
                <w:szCs w:val="20"/>
              </w:rPr>
            </w:pPr>
          </w:p>
          <w:p w14:paraId="79B3FCC4" w14:textId="77777777" w:rsidR="0081662F" w:rsidRPr="00760AE5" w:rsidRDefault="0081662F" w:rsidP="00EB2357">
            <w:pPr>
              <w:jc w:val="center"/>
              <w:rPr>
                <w:rFonts w:ascii="Times New Roman" w:hAnsi="Times New Roman"/>
                <w:color w:val="000000"/>
                <w:sz w:val="20"/>
                <w:szCs w:val="20"/>
              </w:rPr>
            </w:pPr>
          </w:p>
          <w:p w14:paraId="08F4D801" w14:textId="77777777" w:rsidR="0081662F" w:rsidRPr="00760AE5" w:rsidRDefault="0081662F" w:rsidP="00EB2357">
            <w:pPr>
              <w:jc w:val="center"/>
              <w:rPr>
                <w:rFonts w:ascii="Times New Roman" w:hAnsi="Times New Roman"/>
                <w:color w:val="000000"/>
                <w:sz w:val="20"/>
                <w:szCs w:val="20"/>
              </w:rPr>
            </w:pPr>
          </w:p>
          <w:p w14:paraId="340F47F3" w14:textId="77777777" w:rsidR="0081662F" w:rsidRPr="00760AE5" w:rsidRDefault="0081662F" w:rsidP="00EB2357">
            <w:pPr>
              <w:jc w:val="center"/>
              <w:rPr>
                <w:rFonts w:ascii="Times New Roman" w:hAnsi="Times New Roman"/>
                <w:color w:val="000000"/>
                <w:sz w:val="20"/>
                <w:szCs w:val="20"/>
              </w:rPr>
            </w:pPr>
          </w:p>
          <w:p w14:paraId="494807D9" w14:textId="77777777" w:rsidR="0081662F" w:rsidRPr="00760AE5" w:rsidRDefault="0081662F" w:rsidP="00EB2357">
            <w:pPr>
              <w:jc w:val="center"/>
              <w:rPr>
                <w:rFonts w:ascii="Times New Roman" w:hAnsi="Times New Roman"/>
                <w:color w:val="000000"/>
                <w:sz w:val="20"/>
                <w:szCs w:val="20"/>
              </w:rPr>
            </w:pPr>
            <w:r w:rsidRPr="00760AE5">
              <w:rPr>
                <w:rFonts w:ascii="Times New Roman" w:hAnsi="Times New Roman"/>
                <w:color w:val="000000"/>
                <w:sz w:val="20"/>
                <w:szCs w:val="20"/>
              </w:rPr>
              <w:t>Dječji vrtić Maslačak</w:t>
            </w:r>
          </w:p>
        </w:tc>
        <w:tc>
          <w:tcPr>
            <w:tcW w:w="583" w:type="pct"/>
            <w:tcBorders>
              <w:top w:val="single" w:sz="4" w:space="0" w:color="auto"/>
              <w:left w:val="single" w:sz="4" w:space="0" w:color="auto"/>
              <w:bottom w:val="single" w:sz="4" w:space="0" w:color="auto"/>
              <w:right w:val="single" w:sz="4" w:space="0" w:color="auto"/>
            </w:tcBorders>
          </w:tcPr>
          <w:p w14:paraId="6B61F01D" w14:textId="77777777" w:rsidR="0081662F" w:rsidRPr="00760AE5" w:rsidRDefault="0081662F" w:rsidP="00EB2357">
            <w:pPr>
              <w:jc w:val="center"/>
              <w:rPr>
                <w:rFonts w:ascii="Times New Roman" w:hAnsi="Times New Roman"/>
                <w:color w:val="000000"/>
                <w:sz w:val="20"/>
                <w:szCs w:val="20"/>
              </w:rPr>
            </w:pPr>
          </w:p>
          <w:p w14:paraId="27457209" w14:textId="77777777" w:rsidR="0081662F" w:rsidRPr="00760AE5" w:rsidRDefault="0081662F" w:rsidP="00EB2357">
            <w:pPr>
              <w:jc w:val="center"/>
              <w:rPr>
                <w:rFonts w:ascii="Times New Roman" w:hAnsi="Times New Roman"/>
                <w:color w:val="000000"/>
                <w:sz w:val="20"/>
                <w:szCs w:val="20"/>
              </w:rPr>
            </w:pPr>
          </w:p>
          <w:p w14:paraId="2E349385" w14:textId="77777777" w:rsidR="0081662F" w:rsidRPr="00760AE5" w:rsidRDefault="0081662F" w:rsidP="00EB2357">
            <w:pPr>
              <w:jc w:val="center"/>
              <w:rPr>
                <w:rFonts w:ascii="Times New Roman" w:hAnsi="Times New Roman"/>
                <w:color w:val="000000"/>
                <w:sz w:val="20"/>
                <w:szCs w:val="20"/>
              </w:rPr>
            </w:pPr>
          </w:p>
          <w:p w14:paraId="320C1D66" w14:textId="77777777" w:rsidR="0081662F" w:rsidRPr="00760AE5" w:rsidRDefault="0081662F" w:rsidP="00EB2357">
            <w:pPr>
              <w:jc w:val="center"/>
              <w:rPr>
                <w:rFonts w:ascii="Times New Roman" w:hAnsi="Times New Roman"/>
                <w:color w:val="000000"/>
                <w:sz w:val="20"/>
                <w:szCs w:val="20"/>
              </w:rPr>
            </w:pPr>
          </w:p>
          <w:p w14:paraId="15D0A1DB" w14:textId="77777777" w:rsidR="0081662F" w:rsidRPr="00760AE5" w:rsidRDefault="0081662F" w:rsidP="00EB2357">
            <w:pPr>
              <w:jc w:val="center"/>
              <w:rPr>
                <w:rFonts w:ascii="Times New Roman" w:hAnsi="Times New Roman"/>
                <w:color w:val="000000"/>
                <w:sz w:val="20"/>
                <w:szCs w:val="20"/>
              </w:rPr>
            </w:pPr>
          </w:p>
          <w:p w14:paraId="7FDE1330" w14:textId="77777777" w:rsidR="0081662F" w:rsidRPr="00760AE5" w:rsidRDefault="0081662F" w:rsidP="00EB2357">
            <w:pPr>
              <w:jc w:val="center"/>
              <w:rPr>
                <w:rFonts w:ascii="Times New Roman" w:hAnsi="Times New Roman"/>
                <w:color w:val="000000"/>
                <w:sz w:val="20"/>
                <w:szCs w:val="20"/>
              </w:rPr>
            </w:pPr>
            <w:r w:rsidRPr="00760AE5">
              <w:rPr>
                <w:rFonts w:ascii="Times New Roman" w:hAnsi="Times New Roman"/>
                <w:color w:val="000000"/>
                <w:sz w:val="20"/>
                <w:szCs w:val="20"/>
              </w:rPr>
              <w:t>30%</w:t>
            </w:r>
          </w:p>
        </w:tc>
        <w:tc>
          <w:tcPr>
            <w:tcW w:w="626" w:type="pct"/>
            <w:tcBorders>
              <w:top w:val="single" w:sz="4" w:space="0" w:color="auto"/>
              <w:left w:val="single" w:sz="4" w:space="0" w:color="auto"/>
              <w:bottom w:val="single" w:sz="4" w:space="0" w:color="auto"/>
              <w:right w:val="single" w:sz="4" w:space="0" w:color="auto"/>
            </w:tcBorders>
          </w:tcPr>
          <w:p w14:paraId="05932754" w14:textId="77777777" w:rsidR="0081662F" w:rsidRPr="00760AE5" w:rsidRDefault="0081662F" w:rsidP="00EB2357">
            <w:pPr>
              <w:jc w:val="center"/>
              <w:rPr>
                <w:rFonts w:ascii="Times New Roman" w:hAnsi="Times New Roman"/>
                <w:color w:val="000000"/>
                <w:sz w:val="20"/>
                <w:szCs w:val="20"/>
              </w:rPr>
            </w:pPr>
          </w:p>
          <w:p w14:paraId="795883F9" w14:textId="77777777" w:rsidR="0081662F" w:rsidRPr="00760AE5" w:rsidRDefault="0081662F" w:rsidP="00EB2357">
            <w:pPr>
              <w:jc w:val="center"/>
              <w:rPr>
                <w:rFonts w:ascii="Times New Roman" w:hAnsi="Times New Roman"/>
                <w:color w:val="000000"/>
                <w:sz w:val="20"/>
                <w:szCs w:val="20"/>
              </w:rPr>
            </w:pPr>
          </w:p>
          <w:p w14:paraId="53CBEC14" w14:textId="77777777" w:rsidR="0081662F" w:rsidRPr="00760AE5" w:rsidRDefault="0081662F" w:rsidP="00EB2357">
            <w:pPr>
              <w:jc w:val="center"/>
              <w:rPr>
                <w:rFonts w:ascii="Times New Roman" w:hAnsi="Times New Roman"/>
                <w:color w:val="000000"/>
                <w:sz w:val="20"/>
                <w:szCs w:val="20"/>
              </w:rPr>
            </w:pPr>
          </w:p>
          <w:p w14:paraId="512CA896" w14:textId="77777777" w:rsidR="0081662F" w:rsidRPr="00760AE5" w:rsidRDefault="0081662F" w:rsidP="00EB2357">
            <w:pPr>
              <w:jc w:val="center"/>
              <w:rPr>
                <w:rFonts w:ascii="Times New Roman" w:hAnsi="Times New Roman"/>
                <w:color w:val="000000"/>
                <w:sz w:val="20"/>
                <w:szCs w:val="20"/>
              </w:rPr>
            </w:pPr>
          </w:p>
          <w:p w14:paraId="394C5CDB" w14:textId="77777777" w:rsidR="0081662F" w:rsidRPr="00760AE5" w:rsidRDefault="0081662F" w:rsidP="00EB2357">
            <w:pPr>
              <w:jc w:val="center"/>
              <w:rPr>
                <w:rFonts w:ascii="Times New Roman" w:hAnsi="Times New Roman"/>
                <w:color w:val="000000"/>
                <w:sz w:val="20"/>
                <w:szCs w:val="20"/>
              </w:rPr>
            </w:pPr>
          </w:p>
          <w:p w14:paraId="419319A5" w14:textId="77777777" w:rsidR="0081662F" w:rsidRPr="00760AE5" w:rsidRDefault="0081662F" w:rsidP="00EB2357">
            <w:pPr>
              <w:jc w:val="center"/>
              <w:rPr>
                <w:rFonts w:ascii="Times New Roman" w:hAnsi="Times New Roman"/>
                <w:color w:val="000000"/>
                <w:sz w:val="20"/>
                <w:szCs w:val="20"/>
              </w:rPr>
            </w:pPr>
            <w:r w:rsidRPr="00760AE5">
              <w:rPr>
                <w:rFonts w:ascii="Times New Roman" w:hAnsi="Times New Roman"/>
                <w:color w:val="000000"/>
                <w:sz w:val="20"/>
                <w:szCs w:val="20"/>
              </w:rPr>
              <w:t>11</w:t>
            </w:r>
          </w:p>
          <w:p w14:paraId="434BB1D9" w14:textId="77777777" w:rsidR="0081662F" w:rsidRPr="00760AE5" w:rsidRDefault="0081662F" w:rsidP="00EB2357">
            <w:pPr>
              <w:jc w:val="center"/>
              <w:rPr>
                <w:rFonts w:ascii="Times New Roman" w:hAnsi="Times New Roman"/>
                <w:color w:val="000000"/>
                <w:sz w:val="20"/>
                <w:szCs w:val="20"/>
              </w:rPr>
            </w:pPr>
          </w:p>
        </w:tc>
        <w:tc>
          <w:tcPr>
            <w:tcW w:w="542" w:type="pct"/>
            <w:tcBorders>
              <w:top w:val="single" w:sz="4" w:space="0" w:color="auto"/>
              <w:left w:val="single" w:sz="4" w:space="0" w:color="auto"/>
              <w:bottom w:val="single" w:sz="4" w:space="0" w:color="auto"/>
              <w:right w:val="single" w:sz="4" w:space="0" w:color="auto"/>
            </w:tcBorders>
          </w:tcPr>
          <w:p w14:paraId="49F2A2AE" w14:textId="77777777" w:rsidR="0081662F" w:rsidRPr="00760AE5" w:rsidRDefault="0081662F" w:rsidP="00EB2357">
            <w:pPr>
              <w:jc w:val="center"/>
              <w:rPr>
                <w:rFonts w:ascii="Times New Roman" w:hAnsi="Times New Roman"/>
                <w:color w:val="000000"/>
                <w:sz w:val="20"/>
                <w:szCs w:val="20"/>
              </w:rPr>
            </w:pPr>
          </w:p>
          <w:p w14:paraId="7C57C6AC" w14:textId="77777777" w:rsidR="0081662F" w:rsidRPr="00760AE5" w:rsidRDefault="0081662F" w:rsidP="00EB2357">
            <w:pPr>
              <w:jc w:val="center"/>
              <w:rPr>
                <w:rFonts w:ascii="Times New Roman" w:hAnsi="Times New Roman"/>
                <w:color w:val="000000"/>
                <w:sz w:val="20"/>
                <w:szCs w:val="20"/>
              </w:rPr>
            </w:pPr>
          </w:p>
          <w:p w14:paraId="4E6DB00A" w14:textId="77777777" w:rsidR="0081662F" w:rsidRPr="00760AE5" w:rsidRDefault="0081662F" w:rsidP="00EB2357">
            <w:pPr>
              <w:jc w:val="center"/>
              <w:rPr>
                <w:rFonts w:ascii="Times New Roman" w:hAnsi="Times New Roman"/>
                <w:color w:val="000000"/>
                <w:sz w:val="20"/>
                <w:szCs w:val="20"/>
              </w:rPr>
            </w:pPr>
          </w:p>
          <w:p w14:paraId="61075DB3" w14:textId="77777777" w:rsidR="0081662F" w:rsidRPr="00760AE5" w:rsidRDefault="0081662F" w:rsidP="00EB2357">
            <w:pPr>
              <w:jc w:val="center"/>
              <w:rPr>
                <w:rFonts w:ascii="Times New Roman" w:hAnsi="Times New Roman"/>
                <w:color w:val="000000"/>
                <w:sz w:val="20"/>
                <w:szCs w:val="20"/>
              </w:rPr>
            </w:pPr>
          </w:p>
          <w:p w14:paraId="72A295B5" w14:textId="77777777" w:rsidR="0081662F" w:rsidRPr="00760AE5" w:rsidRDefault="0081662F" w:rsidP="00EB2357">
            <w:pPr>
              <w:jc w:val="center"/>
              <w:rPr>
                <w:rFonts w:ascii="Times New Roman" w:hAnsi="Times New Roman"/>
                <w:color w:val="000000"/>
                <w:sz w:val="20"/>
                <w:szCs w:val="20"/>
              </w:rPr>
            </w:pPr>
          </w:p>
          <w:p w14:paraId="6256405B" w14:textId="77777777" w:rsidR="0081662F" w:rsidRPr="00760AE5" w:rsidRDefault="0081662F" w:rsidP="00EB2357">
            <w:pPr>
              <w:jc w:val="center"/>
              <w:rPr>
                <w:rFonts w:ascii="Times New Roman" w:hAnsi="Times New Roman"/>
                <w:color w:val="000000"/>
                <w:sz w:val="20"/>
                <w:szCs w:val="20"/>
              </w:rPr>
            </w:pPr>
            <w:r w:rsidRPr="00760AE5">
              <w:rPr>
                <w:rFonts w:ascii="Times New Roman" w:hAnsi="Times New Roman"/>
                <w:color w:val="000000"/>
                <w:sz w:val="20"/>
                <w:szCs w:val="20"/>
              </w:rPr>
              <w:t>122,22%</w:t>
            </w:r>
          </w:p>
        </w:tc>
      </w:tr>
      <w:bookmarkEnd w:id="13"/>
    </w:tbl>
    <w:p w14:paraId="071CFEFC" w14:textId="77777777" w:rsidR="0081662F" w:rsidRPr="00D0532A" w:rsidRDefault="0081662F" w:rsidP="0081662F">
      <w:pPr>
        <w:spacing w:after="0" w:line="240" w:lineRule="auto"/>
        <w:rPr>
          <w:rFonts w:ascii="Times New Roman" w:hAnsi="Times New Roman" w:cs="Times New Roman"/>
        </w:rPr>
      </w:pPr>
    </w:p>
    <w:p w14:paraId="7E6ED0A6" w14:textId="77777777" w:rsidR="0081662F" w:rsidRPr="00D0532A" w:rsidRDefault="0081662F" w:rsidP="0081662F">
      <w:pPr>
        <w:spacing w:after="0" w:line="240" w:lineRule="auto"/>
        <w:rPr>
          <w:rFonts w:ascii="Times New Roman" w:hAnsi="Times New Roman" w:cs="Times New Roman"/>
          <w:b/>
          <w:bCs/>
        </w:rPr>
      </w:pPr>
      <w:r w:rsidRPr="00D0532A">
        <w:rPr>
          <w:rFonts w:ascii="Times New Roman" w:hAnsi="Times New Roman" w:cs="Times New Roman"/>
          <w:b/>
          <w:bCs/>
        </w:rPr>
        <w:t>Aktivnost Redovno održavanje opreme i prijevoznih sredstava-A101602</w:t>
      </w:r>
    </w:p>
    <w:p w14:paraId="7C477EF7" w14:textId="77777777" w:rsidR="0081662F" w:rsidRPr="00D0532A" w:rsidRDefault="0081662F" w:rsidP="0081662F">
      <w:pPr>
        <w:spacing w:after="0" w:line="240" w:lineRule="auto"/>
        <w:rPr>
          <w:rFonts w:ascii="Times New Roman" w:hAnsi="Times New Roman" w:cs="Times New Roman"/>
        </w:rPr>
      </w:pPr>
    </w:p>
    <w:p w14:paraId="5DDEC3F0" w14:textId="77777777" w:rsidR="0081662F" w:rsidRPr="00D0532A" w:rsidRDefault="0081662F" w:rsidP="0081662F">
      <w:pPr>
        <w:spacing w:after="0" w:line="240" w:lineRule="auto"/>
        <w:jc w:val="both"/>
        <w:rPr>
          <w:rFonts w:ascii="Times New Roman" w:hAnsi="Times New Roman" w:cs="Times New Roman"/>
        </w:rPr>
      </w:pPr>
      <w:r w:rsidRPr="00D0532A">
        <w:rPr>
          <w:rFonts w:ascii="Times New Roman" w:hAnsi="Times New Roman" w:cs="Times New Roman"/>
        </w:rPr>
        <w:t xml:space="preserve">Ukupni rashodi za navedenu aktivnost iznose 7.174,68 eura što je 78,84% plana. Aktivnost obuhvaća redovne servise klima uređaja, plinskih bojlera, vatrogasnih aparata, službenog vozila, te popravke </w:t>
      </w:r>
      <w:r w:rsidRPr="00D0532A">
        <w:rPr>
          <w:rFonts w:ascii="Times New Roman" w:hAnsi="Times New Roman" w:cs="Times New Roman"/>
        </w:rPr>
        <w:lastRenderedPageBreak/>
        <w:t>uređaja koji se koriste. Cilj je redovnim održavanjem povećati vijek trajanja strojeva i opreme te osigurati sigurno rukovanje istima. Prikaz prema izvorima:</w:t>
      </w:r>
    </w:p>
    <w:p w14:paraId="460FB1EB" w14:textId="77777777" w:rsidR="0081662F" w:rsidRPr="00D0532A" w:rsidRDefault="0081662F" w:rsidP="0081662F">
      <w:pPr>
        <w:spacing w:after="0" w:line="240" w:lineRule="auto"/>
        <w:rPr>
          <w:rFonts w:ascii="Times New Roman" w:hAnsi="Times New Roman" w:cs="Times New Roman"/>
        </w:rPr>
      </w:pPr>
      <w:r w:rsidRPr="00D0532A">
        <w:rPr>
          <w:rFonts w:ascii="Times New Roman" w:hAnsi="Times New Roman" w:cs="Times New Roman"/>
        </w:rPr>
        <w:t>3.1. Vlastiti prihodi-6.754,88 eura, tj. 83,39% plana</w:t>
      </w:r>
    </w:p>
    <w:p w14:paraId="63295524" w14:textId="77777777" w:rsidR="0081662F" w:rsidRPr="00D0532A" w:rsidRDefault="0081662F" w:rsidP="0081662F">
      <w:pPr>
        <w:spacing w:after="0" w:line="240" w:lineRule="auto"/>
        <w:rPr>
          <w:rFonts w:ascii="Times New Roman" w:hAnsi="Times New Roman" w:cs="Times New Roman"/>
        </w:rPr>
      </w:pPr>
      <w:r w:rsidRPr="00D0532A">
        <w:rPr>
          <w:rFonts w:ascii="Times New Roman" w:hAnsi="Times New Roman" w:cs="Times New Roman"/>
        </w:rPr>
        <w:t>5.5. Općinski proračun-419,80 eura, tj.41,98% plana</w:t>
      </w:r>
    </w:p>
    <w:p w14:paraId="43B43EF0" w14:textId="77777777" w:rsidR="0081662F" w:rsidRPr="00D0532A" w:rsidRDefault="0081662F" w:rsidP="0081662F">
      <w:pPr>
        <w:spacing w:after="0" w:line="240" w:lineRule="auto"/>
        <w:rPr>
          <w:rFonts w:ascii="Times New Roman" w:hAnsi="Times New Roman" w:cs="Times New Roman"/>
        </w:rPr>
      </w:pPr>
    </w:p>
    <w:p w14:paraId="74DF5680" w14:textId="77777777" w:rsidR="0081662F" w:rsidRPr="00D0532A" w:rsidRDefault="0081662F" w:rsidP="0081662F">
      <w:pPr>
        <w:spacing w:after="0" w:line="240" w:lineRule="auto"/>
        <w:rPr>
          <w:rFonts w:ascii="Times New Roman" w:hAnsi="Times New Roman" w:cs="Times New Roman"/>
          <w:b/>
          <w:bCs/>
        </w:rPr>
      </w:pPr>
      <w:r w:rsidRPr="00D0532A">
        <w:rPr>
          <w:rFonts w:ascii="Times New Roman" w:hAnsi="Times New Roman" w:cs="Times New Roman"/>
          <w:b/>
          <w:bCs/>
        </w:rPr>
        <w:t>Aktivnost Redovno održavanje objekta vrtića-A101603</w:t>
      </w:r>
    </w:p>
    <w:p w14:paraId="37065A1F" w14:textId="77777777" w:rsidR="0081662F" w:rsidRPr="00D0532A" w:rsidRDefault="0081662F" w:rsidP="0081662F">
      <w:pPr>
        <w:spacing w:after="0" w:line="240" w:lineRule="auto"/>
        <w:rPr>
          <w:rFonts w:ascii="Times New Roman" w:hAnsi="Times New Roman" w:cs="Times New Roman"/>
        </w:rPr>
      </w:pPr>
    </w:p>
    <w:p w14:paraId="09BC2737" w14:textId="77777777" w:rsidR="0081662F" w:rsidRPr="00D0532A" w:rsidRDefault="0081662F" w:rsidP="0081662F">
      <w:pPr>
        <w:spacing w:after="0" w:line="240" w:lineRule="auto"/>
        <w:jc w:val="both"/>
        <w:rPr>
          <w:rFonts w:ascii="Times New Roman" w:hAnsi="Times New Roman" w:cs="Times New Roman"/>
        </w:rPr>
      </w:pPr>
      <w:r w:rsidRPr="00D0532A">
        <w:rPr>
          <w:rFonts w:ascii="Times New Roman" w:hAnsi="Times New Roman" w:cs="Times New Roman"/>
        </w:rPr>
        <w:t xml:space="preserve">Ukupni rashodi za navedenu aktivnost iznose 636,11 eura što je 48,93% od planiranog. U protekloj godini provedena redovna održavanja, bojanje dijela zidova, sanacija dotrajalih drvenih klupica i igrala uz objekt.  Prikaz prema izvorima: </w:t>
      </w:r>
    </w:p>
    <w:p w14:paraId="12391531" w14:textId="77777777" w:rsidR="0081662F" w:rsidRPr="00D0532A" w:rsidRDefault="0081662F" w:rsidP="0081662F">
      <w:pPr>
        <w:spacing w:after="0" w:line="240" w:lineRule="auto"/>
        <w:rPr>
          <w:rFonts w:ascii="Times New Roman" w:hAnsi="Times New Roman" w:cs="Times New Roman"/>
        </w:rPr>
      </w:pPr>
      <w:r w:rsidRPr="00D0532A">
        <w:rPr>
          <w:rFonts w:ascii="Times New Roman" w:hAnsi="Times New Roman" w:cs="Times New Roman"/>
        </w:rPr>
        <w:t>3.1. Vlastiti prihodi-516,96 eura, tj. 57,44% plana</w:t>
      </w:r>
    </w:p>
    <w:p w14:paraId="32EEB2B9" w14:textId="77777777" w:rsidR="0081662F" w:rsidRPr="00D0532A" w:rsidRDefault="0081662F" w:rsidP="0081662F">
      <w:pPr>
        <w:spacing w:after="0" w:line="240" w:lineRule="auto"/>
        <w:rPr>
          <w:rFonts w:ascii="Times New Roman" w:hAnsi="Times New Roman" w:cs="Times New Roman"/>
        </w:rPr>
      </w:pPr>
      <w:r w:rsidRPr="00D0532A">
        <w:rPr>
          <w:rFonts w:ascii="Times New Roman" w:hAnsi="Times New Roman" w:cs="Times New Roman"/>
        </w:rPr>
        <w:t>5.5. Općinski proračun-119,15 eura, tj. 29,79% plana</w:t>
      </w:r>
    </w:p>
    <w:p w14:paraId="0A4B2659" w14:textId="77777777" w:rsidR="0081662F" w:rsidRPr="00D0532A" w:rsidRDefault="0081662F" w:rsidP="0081662F">
      <w:pPr>
        <w:spacing w:after="0" w:line="240" w:lineRule="auto"/>
        <w:rPr>
          <w:rFonts w:ascii="Times New Roman" w:hAnsi="Times New Roman" w:cs="Times New Roman"/>
        </w:rPr>
      </w:pPr>
    </w:p>
    <w:p w14:paraId="000ACE39" w14:textId="77777777" w:rsidR="0081662F" w:rsidRPr="00D0532A" w:rsidRDefault="0081662F" w:rsidP="0081662F">
      <w:pPr>
        <w:spacing w:after="0" w:line="240" w:lineRule="auto"/>
        <w:rPr>
          <w:rFonts w:ascii="Times New Roman" w:hAnsi="Times New Roman" w:cs="Times New Roman"/>
          <w:b/>
          <w:bCs/>
        </w:rPr>
      </w:pPr>
      <w:r w:rsidRPr="00D0532A">
        <w:rPr>
          <w:rFonts w:ascii="Times New Roman" w:hAnsi="Times New Roman" w:cs="Times New Roman"/>
          <w:b/>
          <w:bCs/>
        </w:rPr>
        <w:t>Kapitalni projekt: Opremanje javne ustanove - Dječji vrtić Maslačak</w:t>
      </w:r>
    </w:p>
    <w:p w14:paraId="3996026D" w14:textId="77777777" w:rsidR="0081662F" w:rsidRPr="00D0532A" w:rsidRDefault="0081662F" w:rsidP="0081662F">
      <w:pPr>
        <w:spacing w:after="0" w:line="240" w:lineRule="auto"/>
        <w:rPr>
          <w:rFonts w:ascii="Times New Roman" w:hAnsi="Times New Roman" w:cs="Times New Roman"/>
        </w:rPr>
      </w:pPr>
    </w:p>
    <w:p w14:paraId="4AE7DF66" w14:textId="77777777" w:rsidR="0081662F" w:rsidRPr="00D0532A" w:rsidRDefault="0081662F" w:rsidP="0081662F">
      <w:pPr>
        <w:spacing w:after="0" w:line="240" w:lineRule="auto"/>
        <w:jc w:val="both"/>
        <w:rPr>
          <w:rFonts w:ascii="Times New Roman" w:hAnsi="Times New Roman" w:cs="Times New Roman"/>
        </w:rPr>
      </w:pPr>
      <w:r w:rsidRPr="00D0532A">
        <w:rPr>
          <w:rFonts w:ascii="Times New Roman" w:hAnsi="Times New Roman" w:cs="Times New Roman"/>
        </w:rPr>
        <w:t xml:space="preserve">Rashodi za navedeni Kapitalni projekt iznose 33.530,10 eura što je 91,36% od planiranog.  Zadani cilj poboljšanje prostorno materijalnih uvjeta, opremanje dvorane, prostora u kojem borave djeca smo ostvarili u opsegu koji smo planirali. Izvršena je nabava opreme za dvoranu u Garešničkom Brestovcu kompletima za razvoj motorike, nabavljen dio namještaja za objekt na lokaciji Petra Svačića.  U slijedećim godinama ćemo nastaviti opremanje novim namještajem objekt Petra Svačića jer se radi o našem najstarijem objektu  na kojem trenutno traje nadogradnja i rekonstrukcija te će biti potrebno u narednim godinama obnoviti prostorije novim namještajem. Cilj poboljšanje sigurnosti djece za vrijeme boravka u vrtiću i očuvanje dvorišta i sprava smo ostvarili. Nadograđen video nadzor na objektu u Garešničkom Brestovcu i postavljen novi video nadzor na centralnom objektu na lokaciji Kralja Tomislava. Također ostvaren i cilj stvaranja kvalitetnijih uvjeta rada, sve što je planirano je i ostvareno: postavljan klima uređaja u kuhinju centralnog objekta, obnovljena dva ureda novim uredskim stolicama, novi multifunkcionalni pisač, prijenosno računalo te nešto strojeva za domare. Kroz donaciju Prima </w:t>
      </w:r>
      <w:proofErr w:type="spellStart"/>
      <w:r w:rsidRPr="00D0532A">
        <w:rPr>
          <w:rFonts w:ascii="Times New Roman" w:hAnsi="Times New Roman" w:cs="Times New Roman"/>
        </w:rPr>
        <w:t>Commerce</w:t>
      </w:r>
      <w:proofErr w:type="spellEnd"/>
      <w:r w:rsidRPr="00D0532A">
        <w:rPr>
          <w:rFonts w:ascii="Times New Roman" w:hAnsi="Times New Roman" w:cs="Times New Roman"/>
        </w:rPr>
        <w:t xml:space="preserve"> d.o.o. namještajem opremljen ured logopeda u Garešničkom Brestovcu. Zbog sve učestalijih popravaka službenog vozila proizvedenog 2004. godine u dogovoru sa Osnivačem nabavljeno novo službeno vozila te je isto financirano iz izvora 1.1. opći prihodi i primici. Prikaz prema izvorima: </w:t>
      </w:r>
    </w:p>
    <w:p w14:paraId="3C721E54" w14:textId="77777777" w:rsidR="0081662F" w:rsidRPr="00D0532A" w:rsidRDefault="0081662F" w:rsidP="0081662F">
      <w:pPr>
        <w:spacing w:after="0" w:line="240" w:lineRule="auto"/>
        <w:rPr>
          <w:rFonts w:ascii="Times New Roman" w:hAnsi="Times New Roman" w:cs="Times New Roman"/>
        </w:rPr>
      </w:pPr>
      <w:r w:rsidRPr="00D0532A">
        <w:rPr>
          <w:rFonts w:ascii="Times New Roman" w:hAnsi="Times New Roman" w:cs="Times New Roman"/>
        </w:rPr>
        <w:t>1.1. Opći prihodi i primici-20.210,58 eura, tj. 98,59% plana</w:t>
      </w:r>
    </w:p>
    <w:p w14:paraId="010240EE" w14:textId="77777777" w:rsidR="0081662F" w:rsidRPr="00D0532A" w:rsidRDefault="0081662F" w:rsidP="0081662F">
      <w:pPr>
        <w:spacing w:after="0" w:line="240" w:lineRule="auto"/>
        <w:rPr>
          <w:rFonts w:ascii="Times New Roman" w:hAnsi="Times New Roman" w:cs="Times New Roman"/>
        </w:rPr>
      </w:pPr>
      <w:r w:rsidRPr="00D0532A">
        <w:rPr>
          <w:rFonts w:ascii="Times New Roman" w:hAnsi="Times New Roman" w:cs="Times New Roman"/>
        </w:rPr>
        <w:t>3.1. Vlastiti prihodi-12.713,27 eura, tj. 83,09% plana</w:t>
      </w:r>
    </w:p>
    <w:p w14:paraId="4E8197B8" w14:textId="77777777" w:rsidR="0081662F" w:rsidRPr="00D0532A" w:rsidRDefault="0081662F" w:rsidP="0081662F">
      <w:pPr>
        <w:spacing w:after="0" w:line="240" w:lineRule="auto"/>
        <w:rPr>
          <w:rFonts w:ascii="Times New Roman" w:hAnsi="Times New Roman" w:cs="Times New Roman"/>
        </w:rPr>
      </w:pPr>
      <w:r w:rsidRPr="00D0532A">
        <w:rPr>
          <w:rFonts w:ascii="Times New Roman" w:hAnsi="Times New Roman" w:cs="Times New Roman"/>
        </w:rPr>
        <w:t>5.5. Općinski proračun-606,25 eura, tj. 67,36% plana</w:t>
      </w:r>
    </w:p>
    <w:p w14:paraId="5CA63C98" w14:textId="77777777" w:rsidR="0081662F" w:rsidRPr="00D0532A" w:rsidRDefault="0081662F" w:rsidP="0081662F">
      <w:pPr>
        <w:spacing w:after="0" w:line="240" w:lineRule="auto"/>
        <w:rPr>
          <w:rFonts w:ascii="Times New Roman" w:hAnsi="Times New Roman" w:cs="Times New Roman"/>
        </w:rPr>
      </w:pPr>
    </w:p>
    <w:p w14:paraId="706F74D9" w14:textId="77777777" w:rsidR="0081662F" w:rsidRPr="00D0532A" w:rsidRDefault="0081662F" w:rsidP="0081662F">
      <w:pPr>
        <w:spacing w:after="0" w:line="240" w:lineRule="auto"/>
        <w:rPr>
          <w:rFonts w:ascii="Times New Roman" w:hAnsi="Times New Roman" w:cs="Times New Roman"/>
        </w:rPr>
      </w:pPr>
      <w:r w:rsidRPr="00D0532A">
        <w:rPr>
          <w:rFonts w:ascii="Times New Roman" w:hAnsi="Times New Roman" w:cs="Times New Roman"/>
        </w:rPr>
        <w:t>Prikaz indeksa izvršenja kroz tablicu ispod:</w:t>
      </w:r>
    </w:p>
    <w:tbl>
      <w:tblPr>
        <w:tblStyle w:val="Reetkatablice"/>
        <w:tblW w:w="5000" w:type="pct"/>
        <w:tblLook w:val="04A0" w:firstRow="1" w:lastRow="0" w:firstColumn="1" w:lastColumn="0" w:noHBand="0" w:noVBand="1"/>
      </w:tblPr>
      <w:tblGrid>
        <w:gridCol w:w="1371"/>
        <w:gridCol w:w="1463"/>
        <w:gridCol w:w="1316"/>
        <w:gridCol w:w="1107"/>
        <w:gridCol w:w="1269"/>
        <w:gridCol w:w="1433"/>
        <w:gridCol w:w="1101"/>
      </w:tblGrid>
      <w:tr w:rsidR="0081662F" w:rsidRPr="00D0532A" w14:paraId="408B10F1" w14:textId="77777777" w:rsidTr="00EB2357">
        <w:tc>
          <w:tcPr>
            <w:tcW w:w="712" w:type="pct"/>
            <w:tcBorders>
              <w:top w:val="single" w:sz="4" w:space="0" w:color="auto"/>
              <w:left w:val="single" w:sz="4" w:space="0" w:color="auto"/>
              <w:bottom w:val="single" w:sz="4" w:space="0" w:color="auto"/>
              <w:right w:val="single" w:sz="4" w:space="0" w:color="auto"/>
            </w:tcBorders>
          </w:tcPr>
          <w:p w14:paraId="7EE29CAB" w14:textId="77777777" w:rsidR="0081662F" w:rsidRPr="00D0532A" w:rsidRDefault="0081662F" w:rsidP="00EB2357">
            <w:pPr>
              <w:jc w:val="center"/>
              <w:rPr>
                <w:rFonts w:ascii="Times New Roman" w:hAnsi="Times New Roman"/>
                <w:b/>
                <w:color w:val="000000"/>
              </w:rPr>
            </w:pPr>
          </w:p>
          <w:p w14:paraId="56A1456E" w14:textId="77777777" w:rsidR="0081662F" w:rsidRPr="00D0532A" w:rsidRDefault="0081662F" w:rsidP="00EB2357">
            <w:pPr>
              <w:jc w:val="center"/>
              <w:rPr>
                <w:rFonts w:ascii="Times New Roman" w:hAnsi="Times New Roman"/>
                <w:b/>
                <w:color w:val="000000"/>
              </w:rPr>
            </w:pPr>
            <w:r w:rsidRPr="00D0532A">
              <w:rPr>
                <w:rFonts w:ascii="Times New Roman" w:hAnsi="Times New Roman"/>
                <w:b/>
                <w:color w:val="000000"/>
              </w:rPr>
              <w:t>Pokazatelj</w:t>
            </w:r>
          </w:p>
          <w:p w14:paraId="03F169CD" w14:textId="77777777" w:rsidR="0081662F" w:rsidRPr="00D0532A" w:rsidRDefault="0081662F" w:rsidP="00EB2357">
            <w:pPr>
              <w:jc w:val="center"/>
              <w:rPr>
                <w:rFonts w:ascii="Times New Roman" w:hAnsi="Times New Roman"/>
                <w:b/>
                <w:color w:val="000000"/>
              </w:rPr>
            </w:pPr>
            <w:r w:rsidRPr="00D0532A">
              <w:rPr>
                <w:rFonts w:ascii="Times New Roman" w:hAnsi="Times New Roman"/>
                <w:b/>
                <w:color w:val="000000"/>
              </w:rPr>
              <w:t>rezultata</w:t>
            </w:r>
          </w:p>
        </w:tc>
        <w:tc>
          <w:tcPr>
            <w:tcW w:w="805" w:type="pct"/>
            <w:tcBorders>
              <w:top w:val="single" w:sz="4" w:space="0" w:color="auto"/>
              <w:left w:val="single" w:sz="4" w:space="0" w:color="auto"/>
              <w:bottom w:val="single" w:sz="4" w:space="0" w:color="auto"/>
              <w:right w:val="single" w:sz="4" w:space="0" w:color="auto"/>
            </w:tcBorders>
          </w:tcPr>
          <w:p w14:paraId="5F7492F8" w14:textId="77777777" w:rsidR="0081662F" w:rsidRPr="00D0532A" w:rsidRDefault="0081662F" w:rsidP="00EB2357">
            <w:pPr>
              <w:jc w:val="center"/>
              <w:rPr>
                <w:rFonts w:ascii="Times New Roman" w:hAnsi="Times New Roman"/>
                <w:b/>
                <w:color w:val="000000"/>
              </w:rPr>
            </w:pPr>
          </w:p>
          <w:p w14:paraId="16372876" w14:textId="77777777" w:rsidR="0081662F" w:rsidRPr="00D0532A" w:rsidRDefault="0081662F" w:rsidP="00EB2357">
            <w:pPr>
              <w:jc w:val="center"/>
              <w:rPr>
                <w:rFonts w:ascii="Times New Roman" w:hAnsi="Times New Roman"/>
                <w:b/>
                <w:color w:val="000000"/>
              </w:rPr>
            </w:pPr>
            <w:r w:rsidRPr="00D0532A">
              <w:rPr>
                <w:rFonts w:ascii="Times New Roman" w:hAnsi="Times New Roman"/>
                <w:b/>
                <w:color w:val="000000"/>
              </w:rPr>
              <w:t>Definicija</w:t>
            </w:r>
          </w:p>
        </w:tc>
        <w:tc>
          <w:tcPr>
            <w:tcW w:w="715" w:type="pct"/>
            <w:tcBorders>
              <w:top w:val="single" w:sz="4" w:space="0" w:color="auto"/>
              <w:left w:val="single" w:sz="4" w:space="0" w:color="auto"/>
              <w:bottom w:val="single" w:sz="4" w:space="0" w:color="auto"/>
              <w:right w:val="single" w:sz="4" w:space="0" w:color="auto"/>
            </w:tcBorders>
          </w:tcPr>
          <w:p w14:paraId="5D17EDB7" w14:textId="77777777" w:rsidR="0081662F" w:rsidRPr="00D0532A" w:rsidRDefault="0081662F" w:rsidP="00EB2357">
            <w:pPr>
              <w:jc w:val="center"/>
              <w:rPr>
                <w:rFonts w:ascii="Times New Roman" w:hAnsi="Times New Roman"/>
                <w:b/>
                <w:color w:val="000000"/>
              </w:rPr>
            </w:pPr>
          </w:p>
          <w:p w14:paraId="7A075DD1" w14:textId="77777777" w:rsidR="0081662F" w:rsidRPr="00D0532A" w:rsidRDefault="0081662F" w:rsidP="00EB2357">
            <w:pPr>
              <w:jc w:val="center"/>
              <w:rPr>
                <w:rFonts w:ascii="Times New Roman" w:hAnsi="Times New Roman"/>
                <w:b/>
                <w:color w:val="000000"/>
              </w:rPr>
            </w:pPr>
            <w:r w:rsidRPr="00D0532A">
              <w:rPr>
                <w:rFonts w:ascii="Times New Roman" w:hAnsi="Times New Roman"/>
                <w:b/>
                <w:color w:val="000000"/>
              </w:rPr>
              <w:t>Jedinica</w:t>
            </w:r>
          </w:p>
        </w:tc>
        <w:tc>
          <w:tcPr>
            <w:tcW w:w="626" w:type="pct"/>
            <w:tcBorders>
              <w:top w:val="single" w:sz="4" w:space="0" w:color="auto"/>
              <w:left w:val="single" w:sz="4" w:space="0" w:color="auto"/>
              <w:bottom w:val="single" w:sz="4" w:space="0" w:color="auto"/>
              <w:right w:val="single" w:sz="4" w:space="0" w:color="auto"/>
            </w:tcBorders>
          </w:tcPr>
          <w:p w14:paraId="07A7210D" w14:textId="77777777" w:rsidR="0081662F" w:rsidRPr="00D0532A" w:rsidRDefault="0081662F" w:rsidP="00EB2357">
            <w:pPr>
              <w:jc w:val="center"/>
              <w:rPr>
                <w:rFonts w:ascii="Times New Roman" w:hAnsi="Times New Roman"/>
                <w:b/>
                <w:color w:val="000000"/>
              </w:rPr>
            </w:pPr>
          </w:p>
          <w:p w14:paraId="31ABA898" w14:textId="77777777" w:rsidR="0081662F" w:rsidRPr="00D0532A" w:rsidRDefault="0081662F" w:rsidP="00EB2357">
            <w:pPr>
              <w:jc w:val="center"/>
              <w:rPr>
                <w:rFonts w:ascii="Times New Roman" w:hAnsi="Times New Roman"/>
                <w:b/>
                <w:color w:val="000000"/>
              </w:rPr>
            </w:pPr>
            <w:r w:rsidRPr="00D0532A">
              <w:rPr>
                <w:rFonts w:ascii="Times New Roman" w:hAnsi="Times New Roman"/>
                <w:b/>
                <w:color w:val="000000"/>
              </w:rPr>
              <w:t>Izvor</w:t>
            </w:r>
          </w:p>
          <w:p w14:paraId="216FA3E4" w14:textId="77777777" w:rsidR="0081662F" w:rsidRPr="00D0532A" w:rsidRDefault="0081662F" w:rsidP="00EB2357">
            <w:pPr>
              <w:jc w:val="center"/>
              <w:rPr>
                <w:rFonts w:ascii="Times New Roman" w:hAnsi="Times New Roman"/>
                <w:b/>
                <w:color w:val="000000"/>
              </w:rPr>
            </w:pPr>
            <w:r w:rsidRPr="00D0532A">
              <w:rPr>
                <w:rFonts w:ascii="Times New Roman" w:hAnsi="Times New Roman"/>
                <w:b/>
                <w:color w:val="000000"/>
              </w:rPr>
              <w:t>podataka</w:t>
            </w:r>
          </w:p>
        </w:tc>
        <w:tc>
          <w:tcPr>
            <w:tcW w:w="715" w:type="pct"/>
            <w:tcBorders>
              <w:top w:val="single" w:sz="4" w:space="0" w:color="auto"/>
              <w:left w:val="single" w:sz="4" w:space="0" w:color="auto"/>
              <w:bottom w:val="single" w:sz="4" w:space="0" w:color="auto"/>
              <w:right w:val="single" w:sz="4" w:space="0" w:color="auto"/>
            </w:tcBorders>
            <w:hideMark/>
          </w:tcPr>
          <w:p w14:paraId="52EF1F0B" w14:textId="77777777" w:rsidR="0081662F" w:rsidRPr="00D0532A" w:rsidRDefault="0081662F" w:rsidP="00EB2357">
            <w:pPr>
              <w:jc w:val="center"/>
              <w:rPr>
                <w:rFonts w:ascii="Times New Roman" w:hAnsi="Times New Roman"/>
                <w:b/>
                <w:color w:val="000000"/>
              </w:rPr>
            </w:pPr>
            <w:r w:rsidRPr="00D0532A">
              <w:rPr>
                <w:rFonts w:ascii="Times New Roman" w:hAnsi="Times New Roman"/>
                <w:b/>
                <w:color w:val="000000"/>
              </w:rPr>
              <w:t>Planirana vrijednost 2024.</w:t>
            </w:r>
          </w:p>
        </w:tc>
        <w:tc>
          <w:tcPr>
            <w:tcW w:w="805" w:type="pct"/>
            <w:tcBorders>
              <w:top w:val="single" w:sz="4" w:space="0" w:color="auto"/>
              <w:left w:val="single" w:sz="4" w:space="0" w:color="auto"/>
              <w:bottom w:val="single" w:sz="4" w:space="0" w:color="auto"/>
              <w:right w:val="single" w:sz="4" w:space="0" w:color="auto"/>
            </w:tcBorders>
            <w:hideMark/>
          </w:tcPr>
          <w:p w14:paraId="3A86D232" w14:textId="77777777" w:rsidR="0081662F" w:rsidRPr="00D0532A" w:rsidRDefault="0081662F" w:rsidP="00EB2357">
            <w:pPr>
              <w:jc w:val="center"/>
              <w:rPr>
                <w:rFonts w:ascii="Times New Roman" w:hAnsi="Times New Roman"/>
                <w:b/>
                <w:color w:val="000000"/>
              </w:rPr>
            </w:pPr>
            <w:r w:rsidRPr="00D0532A">
              <w:rPr>
                <w:rFonts w:ascii="Times New Roman" w:hAnsi="Times New Roman"/>
                <w:b/>
                <w:color w:val="000000"/>
              </w:rPr>
              <w:t xml:space="preserve">Izvršenje  2024. </w:t>
            </w:r>
          </w:p>
        </w:tc>
        <w:tc>
          <w:tcPr>
            <w:tcW w:w="622" w:type="pct"/>
            <w:tcBorders>
              <w:top w:val="single" w:sz="4" w:space="0" w:color="auto"/>
              <w:left w:val="single" w:sz="4" w:space="0" w:color="auto"/>
              <w:bottom w:val="single" w:sz="4" w:space="0" w:color="auto"/>
              <w:right w:val="single" w:sz="4" w:space="0" w:color="auto"/>
            </w:tcBorders>
            <w:hideMark/>
          </w:tcPr>
          <w:p w14:paraId="613AA2E7" w14:textId="77777777" w:rsidR="0081662F" w:rsidRPr="00D0532A" w:rsidRDefault="0081662F" w:rsidP="00EB2357">
            <w:pPr>
              <w:jc w:val="center"/>
              <w:rPr>
                <w:rFonts w:ascii="Times New Roman" w:hAnsi="Times New Roman"/>
                <w:b/>
                <w:color w:val="000000"/>
              </w:rPr>
            </w:pPr>
          </w:p>
          <w:p w14:paraId="2188507C" w14:textId="77777777" w:rsidR="0081662F" w:rsidRPr="00D0532A" w:rsidRDefault="0081662F" w:rsidP="00EB2357">
            <w:pPr>
              <w:jc w:val="center"/>
              <w:rPr>
                <w:rFonts w:ascii="Times New Roman" w:hAnsi="Times New Roman"/>
                <w:b/>
                <w:color w:val="000000"/>
              </w:rPr>
            </w:pPr>
          </w:p>
          <w:p w14:paraId="0584735A" w14:textId="77777777" w:rsidR="0081662F" w:rsidRPr="00D0532A" w:rsidRDefault="0081662F" w:rsidP="00EB2357">
            <w:pPr>
              <w:jc w:val="center"/>
              <w:rPr>
                <w:rFonts w:ascii="Times New Roman" w:hAnsi="Times New Roman"/>
                <w:b/>
                <w:color w:val="000000"/>
              </w:rPr>
            </w:pPr>
            <w:r w:rsidRPr="00D0532A">
              <w:rPr>
                <w:rFonts w:ascii="Times New Roman" w:hAnsi="Times New Roman"/>
                <w:b/>
                <w:color w:val="000000"/>
              </w:rPr>
              <w:t>Indeks %</w:t>
            </w:r>
          </w:p>
          <w:p w14:paraId="4549F00E" w14:textId="77777777" w:rsidR="0081662F" w:rsidRPr="00D0532A" w:rsidRDefault="0081662F" w:rsidP="00EB2357">
            <w:pPr>
              <w:jc w:val="center"/>
              <w:rPr>
                <w:rFonts w:ascii="Times New Roman" w:hAnsi="Times New Roman"/>
                <w:b/>
                <w:color w:val="000000"/>
              </w:rPr>
            </w:pPr>
          </w:p>
        </w:tc>
      </w:tr>
      <w:tr w:rsidR="0081662F" w:rsidRPr="00D0532A" w14:paraId="66989A57" w14:textId="77777777" w:rsidTr="00EB2357">
        <w:tc>
          <w:tcPr>
            <w:tcW w:w="712" w:type="pct"/>
            <w:tcBorders>
              <w:top w:val="single" w:sz="4" w:space="0" w:color="auto"/>
              <w:left w:val="single" w:sz="4" w:space="0" w:color="auto"/>
              <w:bottom w:val="single" w:sz="4" w:space="0" w:color="auto"/>
              <w:right w:val="single" w:sz="4" w:space="0" w:color="auto"/>
            </w:tcBorders>
          </w:tcPr>
          <w:p w14:paraId="3215CECF" w14:textId="77777777" w:rsidR="0081662F" w:rsidRPr="00D0532A" w:rsidRDefault="0081662F" w:rsidP="00EB2357">
            <w:pPr>
              <w:jc w:val="center"/>
              <w:rPr>
                <w:rFonts w:ascii="Times New Roman" w:hAnsi="Times New Roman"/>
                <w:color w:val="000000"/>
              </w:rPr>
            </w:pPr>
          </w:p>
          <w:p w14:paraId="09ABAC33" w14:textId="77777777" w:rsidR="0081662F" w:rsidRPr="00D0532A" w:rsidRDefault="0081662F" w:rsidP="00EB2357">
            <w:pPr>
              <w:jc w:val="center"/>
              <w:rPr>
                <w:rFonts w:ascii="Times New Roman" w:hAnsi="Times New Roman"/>
                <w:color w:val="000000"/>
              </w:rPr>
            </w:pPr>
            <w:r w:rsidRPr="00D0532A">
              <w:rPr>
                <w:rFonts w:ascii="Times New Roman" w:hAnsi="Times New Roman"/>
              </w:rPr>
              <w:t xml:space="preserve">Poboljšanje prostorno- materijalnih uvjeta vrtića (formiranje i opremanje dvorane rekvizitima za vježbanje i razvijanje koordinacije, opremanje prostora u kojem borave </w:t>
            </w:r>
            <w:r w:rsidRPr="00D0532A">
              <w:rPr>
                <w:rFonts w:ascii="Times New Roman" w:hAnsi="Times New Roman"/>
              </w:rPr>
              <w:lastRenderedPageBreak/>
              <w:t>djeca, bolje poticajno okruženje</w:t>
            </w:r>
          </w:p>
        </w:tc>
        <w:tc>
          <w:tcPr>
            <w:tcW w:w="805" w:type="pct"/>
            <w:tcBorders>
              <w:top w:val="single" w:sz="4" w:space="0" w:color="auto"/>
              <w:left w:val="single" w:sz="4" w:space="0" w:color="auto"/>
              <w:bottom w:val="single" w:sz="4" w:space="0" w:color="auto"/>
              <w:right w:val="single" w:sz="4" w:space="0" w:color="auto"/>
            </w:tcBorders>
          </w:tcPr>
          <w:p w14:paraId="19F9E191" w14:textId="77777777" w:rsidR="0081662F" w:rsidRPr="00D0532A" w:rsidRDefault="0081662F" w:rsidP="00EB2357">
            <w:pPr>
              <w:jc w:val="center"/>
              <w:rPr>
                <w:rFonts w:ascii="Times New Roman" w:hAnsi="Times New Roman"/>
                <w:color w:val="000000"/>
              </w:rPr>
            </w:pPr>
          </w:p>
          <w:p w14:paraId="224F44A1" w14:textId="77777777" w:rsidR="0081662F" w:rsidRPr="00D0532A" w:rsidRDefault="0081662F" w:rsidP="00EB2357">
            <w:pPr>
              <w:jc w:val="center"/>
              <w:rPr>
                <w:rFonts w:ascii="Times New Roman" w:hAnsi="Times New Roman"/>
                <w:color w:val="000000"/>
              </w:rPr>
            </w:pPr>
            <w:r w:rsidRPr="00D0532A">
              <w:rPr>
                <w:rFonts w:ascii="Times New Roman" w:hAnsi="Times New Roman"/>
                <w:color w:val="000000"/>
              </w:rPr>
              <w:t>Osiguran kvalitetan rad i razvijanje koordinacije kod djece</w:t>
            </w:r>
          </w:p>
          <w:p w14:paraId="56089CDE" w14:textId="77777777" w:rsidR="0081662F" w:rsidRPr="00D0532A" w:rsidRDefault="0081662F" w:rsidP="00EB2357">
            <w:pPr>
              <w:jc w:val="center"/>
              <w:rPr>
                <w:rFonts w:ascii="Times New Roman" w:hAnsi="Times New Roman"/>
                <w:color w:val="000000"/>
              </w:rPr>
            </w:pPr>
          </w:p>
          <w:p w14:paraId="2376DC53" w14:textId="77777777" w:rsidR="0081662F" w:rsidRPr="00D0532A" w:rsidRDefault="0081662F" w:rsidP="00EB2357">
            <w:pPr>
              <w:jc w:val="center"/>
              <w:rPr>
                <w:rFonts w:ascii="Times New Roman" w:hAnsi="Times New Roman"/>
                <w:color w:val="000000"/>
              </w:rPr>
            </w:pPr>
          </w:p>
          <w:p w14:paraId="21EF104E" w14:textId="77777777" w:rsidR="0081662F" w:rsidRPr="00D0532A" w:rsidRDefault="0081662F" w:rsidP="00EB2357">
            <w:pPr>
              <w:jc w:val="center"/>
              <w:rPr>
                <w:rFonts w:ascii="Times New Roman" w:hAnsi="Times New Roman"/>
                <w:color w:val="000000"/>
              </w:rPr>
            </w:pPr>
          </w:p>
        </w:tc>
        <w:tc>
          <w:tcPr>
            <w:tcW w:w="715" w:type="pct"/>
            <w:tcBorders>
              <w:top w:val="single" w:sz="4" w:space="0" w:color="auto"/>
              <w:left w:val="single" w:sz="4" w:space="0" w:color="auto"/>
              <w:bottom w:val="single" w:sz="4" w:space="0" w:color="auto"/>
              <w:right w:val="single" w:sz="4" w:space="0" w:color="auto"/>
            </w:tcBorders>
          </w:tcPr>
          <w:p w14:paraId="6B5143FE" w14:textId="77777777" w:rsidR="0081662F" w:rsidRPr="00D0532A" w:rsidRDefault="0081662F" w:rsidP="00EB2357">
            <w:pPr>
              <w:jc w:val="center"/>
              <w:rPr>
                <w:rFonts w:ascii="Times New Roman" w:hAnsi="Times New Roman"/>
                <w:color w:val="000000"/>
              </w:rPr>
            </w:pPr>
          </w:p>
          <w:p w14:paraId="27AA684D" w14:textId="77777777" w:rsidR="0081662F" w:rsidRPr="00D0532A" w:rsidRDefault="0081662F" w:rsidP="00EB2357">
            <w:pPr>
              <w:jc w:val="center"/>
              <w:rPr>
                <w:rFonts w:ascii="Times New Roman" w:hAnsi="Times New Roman"/>
                <w:color w:val="000000"/>
              </w:rPr>
            </w:pPr>
          </w:p>
          <w:p w14:paraId="4F7023B8" w14:textId="77777777" w:rsidR="0081662F" w:rsidRPr="00D0532A" w:rsidRDefault="0081662F" w:rsidP="00EB2357">
            <w:pPr>
              <w:jc w:val="center"/>
              <w:rPr>
                <w:rFonts w:ascii="Times New Roman" w:hAnsi="Times New Roman"/>
                <w:color w:val="000000"/>
              </w:rPr>
            </w:pPr>
            <w:r w:rsidRPr="00D0532A">
              <w:rPr>
                <w:rFonts w:ascii="Times New Roman" w:hAnsi="Times New Roman"/>
                <w:color w:val="000000"/>
              </w:rPr>
              <w:t>Osiguran kvalitetan rad i razvijanje koordinacije kod djece</w:t>
            </w:r>
          </w:p>
          <w:p w14:paraId="1C172A34" w14:textId="77777777" w:rsidR="0081662F" w:rsidRPr="00D0532A" w:rsidRDefault="0081662F" w:rsidP="00EB2357">
            <w:pPr>
              <w:jc w:val="center"/>
              <w:rPr>
                <w:rFonts w:ascii="Times New Roman" w:hAnsi="Times New Roman"/>
                <w:color w:val="000000"/>
              </w:rPr>
            </w:pPr>
          </w:p>
          <w:p w14:paraId="3FBAD6FF" w14:textId="77777777" w:rsidR="0081662F" w:rsidRPr="00D0532A" w:rsidRDefault="0081662F" w:rsidP="00EB2357">
            <w:pPr>
              <w:jc w:val="center"/>
              <w:rPr>
                <w:rFonts w:ascii="Times New Roman" w:hAnsi="Times New Roman"/>
                <w:color w:val="000000"/>
              </w:rPr>
            </w:pPr>
          </w:p>
          <w:p w14:paraId="7DD6C0C3" w14:textId="77777777" w:rsidR="0081662F" w:rsidRPr="00D0532A" w:rsidRDefault="0081662F" w:rsidP="00EB2357">
            <w:pPr>
              <w:jc w:val="center"/>
              <w:rPr>
                <w:rFonts w:ascii="Times New Roman" w:hAnsi="Times New Roman"/>
                <w:color w:val="000000"/>
              </w:rPr>
            </w:pPr>
          </w:p>
        </w:tc>
        <w:tc>
          <w:tcPr>
            <w:tcW w:w="626" w:type="pct"/>
            <w:tcBorders>
              <w:top w:val="single" w:sz="4" w:space="0" w:color="auto"/>
              <w:left w:val="single" w:sz="4" w:space="0" w:color="auto"/>
              <w:bottom w:val="single" w:sz="4" w:space="0" w:color="auto"/>
              <w:right w:val="single" w:sz="4" w:space="0" w:color="auto"/>
            </w:tcBorders>
          </w:tcPr>
          <w:p w14:paraId="32ADE7A9" w14:textId="77777777" w:rsidR="0081662F" w:rsidRPr="00D0532A" w:rsidRDefault="0081662F" w:rsidP="00EB2357">
            <w:pPr>
              <w:jc w:val="center"/>
              <w:rPr>
                <w:rFonts w:ascii="Times New Roman" w:hAnsi="Times New Roman"/>
                <w:color w:val="000000"/>
              </w:rPr>
            </w:pPr>
          </w:p>
          <w:p w14:paraId="549D0ABF" w14:textId="77777777" w:rsidR="0081662F" w:rsidRPr="00D0532A" w:rsidRDefault="0081662F" w:rsidP="00EB2357">
            <w:pPr>
              <w:jc w:val="center"/>
              <w:rPr>
                <w:rFonts w:ascii="Times New Roman" w:hAnsi="Times New Roman"/>
                <w:color w:val="000000"/>
              </w:rPr>
            </w:pPr>
            <w:r w:rsidRPr="00D0532A">
              <w:rPr>
                <w:rFonts w:ascii="Times New Roman" w:hAnsi="Times New Roman"/>
                <w:color w:val="000000"/>
              </w:rPr>
              <w:t>Dječji vrtić Maslačak</w:t>
            </w:r>
          </w:p>
        </w:tc>
        <w:tc>
          <w:tcPr>
            <w:tcW w:w="715" w:type="pct"/>
            <w:tcBorders>
              <w:top w:val="single" w:sz="4" w:space="0" w:color="auto"/>
              <w:left w:val="single" w:sz="4" w:space="0" w:color="auto"/>
              <w:bottom w:val="single" w:sz="4" w:space="0" w:color="auto"/>
              <w:right w:val="single" w:sz="4" w:space="0" w:color="auto"/>
            </w:tcBorders>
          </w:tcPr>
          <w:p w14:paraId="27B21EC0" w14:textId="77777777" w:rsidR="0081662F" w:rsidRPr="00D0532A" w:rsidRDefault="0081662F" w:rsidP="00EB2357">
            <w:pPr>
              <w:jc w:val="center"/>
              <w:rPr>
                <w:rFonts w:ascii="Times New Roman" w:hAnsi="Times New Roman"/>
                <w:color w:val="000000"/>
              </w:rPr>
            </w:pPr>
          </w:p>
          <w:p w14:paraId="77526BA9" w14:textId="77777777" w:rsidR="0081662F" w:rsidRPr="00D0532A" w:rsidRDefault="0081662F" w:rsidP="00EB2357">
            <w:pPr>
              <w:jc w:val="center"/>
              <w:rPr>
                <w:rFonts w:ascii="Times New Roman" w:hAnsi="Times New Roman"/>
                <w:color w:val="000000"/>
              </w:rPr>
            </w:pPr>
          </w:p>
          <w:p w14:paraId="2FF93046" w14:textId="77777777" w:rsidR="0081662F" w:rsidRPr="00D0532A" w:rsidRDefault="0081662F" w:rsidP="00EB2357">
            <w:pPr>
              <w:jc w:val="center"/>
              <w:rPr>
                <w:rFonts w:ascii="Times New Roman" w:hAnsi="Times New Roman"/>
                <w:color w:val="000000"/>
              </w:rPr>
            </w:pPr>
            <w:r w:rsidRPr="00D0532A">
              <w:rPr>
                <w:rFonts w:ascii="Times New Roman" w:hAnsi="Times New Roman"/>
                <w:color w:val="000000"/>
              </w:rPr>
              <w:t>50%</w:t>
            </w:r>
          </w:p>
        </w:tc>
        <w:tc>
          <w:tcPr>
            <w:tcW w:w="805" w:type="pct"/>
            <w:tcBorders>
              <w:top w:val="single" w:sz="4" w:space="0" w:color="auto"/>
              <w:left w:val="single" w:sz="4" w:space="0" w:color="auto"/>
              <w:bottom w:val="single" w:sz="4" w:space="0" w:color="auto"/>
              <w:right w:val="single" w:sz="4" w:space="0" w:color="auto"/>
            </w:tcBorders>
          </w:tcPr>
          <w:p w14:paraId="05BDCD44" w14:textId="77777777" w:rsidR="0081662F" w:rsidRPr="00D0532A" w:rsidRDefault="0081662F" w:rsidP="00EB2357">
            <w:pPr>
              <w:jc w:val="center"/>
              <w:rPr>
                <w:rFonts w:ascii="Times New Roman" w:hAnsi="Times New Roman"/>
                <w:color w:val="000000"/>
              </w:rPr>
            </w:pPr>
          </w:p>
          <w:p w14:paraId="5D786964" w14:textId="77777777" w:rsidR="0081662F" w:rsidRPr="00D0532A" w:rsidRDefault="0081662F" w:rsidP="00EB2357">
            <w:pPr>
              <w:jc w:val="center"/>
              <w:rPr>
                <w:rFonts w:ascii="Times New Roman" w:hAnsi="Times New Roman"/>
                <w:color w:val="000000"/>
              </w:rPr>
            </w:pPr>
          </w:p>
          <w:p w14:paraId="6F700A4D" w14:textId="77777777" w:rsidR="0081662F" w:rsidRPr="00D0532A" w:rsidRDefault="0081662F" w:rsidP="00EB2357">
            <w:pPr>
              <w:jc w:val="center"/>
              <w:rPr>
                <w:rFonts w:ascii="Times New Roman" w:hAnsi="Times New Roman"/>
                <w:color w:val="000000"/>
              </w:rPr>
            </w:pPr>
            <w:r w:rsidRPr="00D0532A">
              <w:rPr>
                <w:rFonts w:ascii="Times New Roman" w:hAnsi="Times New Roman"/>
                <w:color w:val="000000"/>
              </w:rPr>
              <w:t>50%</w:t>
            </w:r>
          </w:p>
        </w:tc>
        <w:tc>
          <w:tcPr>
            <w:tcW w:w="622" w:type="pct"/>
            <w:tcBorders>
              <w:top w:val="single" w:sz="4" w:space="0" w:color="auto"/>
              <w:left w:val="single" w:sz="4" w:space="0" w:color="auto"/>
              <w:bottom w:val="single" w:sz="4" w:space="0" w:color="auto"/>
              <w:right w:val="single" w:sz="4" w:space="0" w:color="auto"/>
            </w:tcBorders>
          </w:tcPr>
          <w:p w14:paraId="3848182B" w14:textId="77777777" w:rsidR="0081662F" w:rsidRPr="00D0532A" w:rsidRDefault="0081662F" w:rsidP="00EB2357">
            <w:pPr>
              <w:jc w:val="center"/>
              <w:rPr>
                <w:rFonts w:ascii="Times New Roman" w:hAnsi="Times New Roman"/>
                <w:color w:val="000000"/>
              </w:rPr>
            </w:pPr>
          </w:p>
          <w:p w14:paraId="40D40E8D" w14:textId="77777777" w:rsidR="0081662F" w:rsidRPr="00D0532A" w:rsidRDefault="0081662F" w:rsidP="00EB2357">
            <w:pPr>
              <w:jc w:val="center"/>
              <w:rPr>
                <w:rFonts w:ascii="Times New Roman" w:hAnsi="Times New Roman"/>
                <w:color w:val="000000"/>
              </w:rPr>
            </w:pPr>
          </w:p>
          <w:p w14:paraId="223F0467" w14:textId="77777777" w:rsidR="0081662F" w:rsidRPr="00D0532A" w:rsidRDefault="0081662F" w:rsidP="00EB2357">
            <w:pPr>
              <w:jc w:val="center"/>
              <w:rPr>
                <w:rFonts w:ascii="Times New Roman" w:hAnsi="Times New Roman"/>
                <w:color w:val="000000"/>
              </w:rPr>
            </w:pPr>
            <w:r w:rsidRPr="00D0532A">
              <w:rPr>
                <w:rFonts w:ascii="Times New Roman" w:hAnsi="Times New Roman"/>
                <w:color w:val="000000"/>
              </w:rPr>
              <w:t>100%</w:t>
            </w:r>
          </w:p>
        </w:tc>
      </w:tr>
      <w:tr w:rsidR="0081662F" w:rsidRPr="00D0532A" w14:paraId="7E35417B" w14:textId="77777777" w:rsidTr="00EB2357">
        <w:tc>
          <w:tcPr>
            <w:tcW w:w="712" w:type="pct"/>
            <w:tcBorders>
              <w:top w:val="single" w:sz="4" w:space="0" w:color="auto"/>
              <w:left w:val="single" w:sz="4" w:space="0" w:color="auto"/>
              <w:bottom w:val="single" w:sz="4" w:space="0" w:color="auto"/>
              <w:right w:val="single" w:sz="4" w:space="0" w:color="auto"/>
            </w:tcBorders>
          </w:tcPr>
          <w:p w14:paraId="0765DAEB" w14:textId="77777777" w:rsidR="0081662F" w:rsidRPr="00D0532A" w:rsidRDefault="0081662F" w:rsidP="00EB2357">
            <w:pPr>
              <w:jc w:val="center"/>
              <w:rPr>
                <w:rFonts w:ascii="Times New Roman" w:hAnsi="Times New Roman"/>
                <w:color w:val="000000"/>
              </w:rPr>
            </w:pPr>
            <w:r w:rsidRPr="00D0532A">
              <w:rPr>
                <w:rFonts w:ascii="Times New Roman" w:hAnsi="Times New Roman"/>
                <w:color w:val="000000"/>
              </w:rPr>
              <w:t>Poboljšanje sigurnosti djece za vrijeme boravka u vrtiću i očuvanje dvorišta i sprava za igranje</w:t>
            </w:r>
          </w:p>
        </w:tc>
        <w:tc>
          <w:tcPr>
            <w:tcW w:w="805" w:type="pct"/>
            <w:tcBorders>
              <w:top w:val="single" w:sz="4" w:space="0" w:color="auto"/>
              <w:left w:val="single" w:sz="4" w:space="0" w:color="auto"/>
              <w:bottom w:val="single" w:sz="4" w:space="0" w:color="auto"/>
              <w:right w:val="single" w:sz="4" w:space="0" w:color="auto"/>
            </w:tcBorders>
            <w:vAlign w:val="bottom"/>
          </w:tcPr>
          <w:p w14:paraId="698C1EA5" w14:textId="77777777" w:rsidR="0081662F" w:rsidRPr="00D0532A" w:rsidRDefault="0081662F" w:rsidP="00EB2357">
            <w:pPr>
              <w:jc w:val="center"/>
              <w:rPr>
                <w:rFonts w:ascii="Times New Roman" w:hAnsi="Times New Roman"/>
                <w:color w:val="000000"/>
              </w:rPr>
            </w:pPr>
            <w:r w:rsidRPr="00D0532A">
              <w:rPr>
                <w:rFonts w:ascii="Times New Roman" w:hAnsi="Times New Roman"/>
                <w:color w:val="000000"/>
              </w:rPr>
              <w:t>Postavljanjem video nadzora osigurati će se  nadzor nad predškolskom ustanovom od 0-24 sata u svrhu očuvanja igračaka na dvorištima i prostora same ustanove</w:t>
            </w:r>
          </w:p>
        </w:tc>
        <w:tc>
          <w:tcPr>
            <w:tcW w:w="715" w:type="pct"/>
            <w:tcBorders>
              <w:top w:val="single" w:sz="4" w:space="0" w:color="auto"/>
              <w:left w:val="single" w:sz="4" w:space="0" w:color="auto"/>
              <w:bottom w:val="single" w:sz="4" w:space="0" w:color="auto"/>
              <w:right w:val="single" w:sz="4" w:space="0" w:color="auto"/>
            </w:tcBorders>
          </w:tcPr>
          <w:p w14:paraId="3F807F67" w14:textId="77777777" w:rsidR="0081662F" w:rsidRPr="00D0532A" w:rsidRDefault="0081662F" w:rsidP="00EB2357">
            <w:pPr>
              <w:rPr>
                <w:rFonts w:ascii="Times New Roman" w:hAnsi="Times New Roman"/>
                <w:color w:val="000000"/>
              </w:rPr>
            </w:pPr>
          </w:p>
          <w:p w14:paraId="3FA455A1" w14:textId="77777777" w:rsidR="0081662F" w:rsidRPr="00D0532A" w:rsidRDefault="0081662F" w:rsidP="00EB2357">
            <w:pPr>
              <w:rPr>
                <w:rFonts w:ascii="Times New Roman" w:hAnsi="Times New Roman"/>
                <w:color w:val="000000"/>
              </w:rPr>
            </w:pPr>
          </w:p>
          <w:p w14:paraId="1E75D8B5" w14:textId="77777777" w:rsidR="0081662F" w:rsidRPr="00D0532A" w:rsidRDefault="0081662F" w:rsidP="00EB2357">
            <w:pPr>
              <w:rPr>
                <w:rFonts w:ascii="Times New Roman" w:hAnsi="Times New Roman"/>
                <w:color w:val="000000"/>
              </w:rPr>
            </w:pPr>
            <w:r w:rsidRPr="00D0532A">
              <w:rPr>
                <w:rFonts w:ascii="Times New Roman" w:hAnsi="Times New Roman"/>
                <w:color w:val="000000"/>
              </w:rPr>
              <w:t>Broj objekata</w:t>
            </w:r>
          </w:p>
          <w:p w14:paraId="2A075BB7" w14:textId="77777777" w:rsidR="0081662F" w:rsidRPr="00D0532A" w:rsidRDefault="0081662F" w:rsidP="00EB2357">
            <w:pPr>
              <w:rPr>
                <w:rFonts w:ascii="Times New Roman" w:hAnsi="Times New Roman"/>
                <w:color w:val="000000"/>
              </w:rPr>
            </w:pPr>
          </w:p>
          <w:p w14:paraId="77564BA7" w14:textId="77777777" w:rsidR="0081662F" w:rsidRPr="00D0532A" w:rsidRDefault="0081662F" w:rsidP="00EB2357">
            <w:pPr>
              <w:jc w:val="center"/>
              <w:rPr>
                <w:rFonts w:ascii="Times New Roman" w:hAnsi="Times New Roman"/>
                <w:color w:val="000000"/>
              </w:rPr>
            </w:pPr>
            <w:r w:rsidRPr="00D0532A">
              <w:rPr>
                <w:rFonts w:ascii="Times New Roman" w:hAnsi="Times New Roman"/>
                <w:color w:val="000000"/>
              </w:rPr>
              <w:t>%povećanja sigurnosti</w:t>
            </w:r>
          </w:p>
        </w:tc>
        <w:tc>
          <w:tcPr>
            <w:tcW w:w="626" w:type="pct"/>
            <w:tcBorders>
              <w:top w:val="single" w:sz="4" w:space="0" w:color="auto"/>
              <w:left w:val="single" w:sz="4" w:space="0" w:color="auto"/>
              <w:bottom w:val="single" w:sz="4" w:space="0" w:color="auto"/>
              <w:right w:val="single" w:sz="4" w:space="0" w:color="auto"/>
            </w:tcBorders>
          </w:tcPr>
          <w:p w14:paraId="44A12D25" w14:textId="77777777" w:rsidR="0081662F" w:rsidRPr="00D0532A" w:rsidRDefault="0081662F" w:rsidP="00EB2357">
            <w:pPr>
              <w:jc w:val="center"/>
              <w:rPr>
                <w:rFonts w:ascii="Times New Roman" w:hAnsi="Times New Roman"/>
                <w:color w:val="000000"/>
              </w:rPr>
            </w:pPr>
          </w:p>
          <w:p w14:paraId="764DB86F" w14:textId="77777777" w:rsidR="0081662F" w:rsidRPr="00D0532A" w:rsidRDefault="0081662F" w:rsidP="00EB2357">
            <w:pPr>
              <w:jc w:val="center"/>
              <w:rPr>
                <w:rFonts w:ascii="Times New Roman" w:hAnsi="Times New Roman"/>
                <w:color w:val="000000"/>
              </w:rPr>
            </w:pPr>
          </w:p>
          <w:p w14:paraId="1EA96BEB" w14:textId="77777777" w:rsidR="0081662F" w:rsidRPr="00D0532A" w:rsidRDefault="0081662F" w:rsidP="00EB2357">
            <w:pPr>
              <w:jc w:val="center"/>
              <w:rPr>
                <w:rFonts w:ascii="Times New Roman" w:hAnsi="Times New Roman"/>
                <w:color w:val="000000"/>
              </w:rPr>
            </w:pPr>
          </w:p>
          <w:p w14:paraId="649DD7EE" w14:textId="77777777" w:rsidR="0081662F" w:rsidRPr="00D0532A" w:rsidRDefault="0081662F" w:rsidP="00EB2357">
            <w:pPr>
              <w:jc w:val="center"/>
              <w:rPr>
                <w:rFonts w:ascii="Times New Roman" w:hAnsi="Times New Roman"/>
                <w:color w:val="000000"/>
              </w:rPr>
            </w:pPr>
            <w:r w:rsidRPr="00D0532A">
              <w:rPr>
                <w:rFonts w:ascii="Times New Roman" w:hAnsi="Times New Roman"/>
                <w:color w:val="000000"/>
              </w:rPr>
              <w:t>Dječji vrtić Maslačak</w:t>
            </w:r>
          </w:p>
          <w:p w14:paraId="1671C332" w14:textId="77777777" w:rsidR="0081662F" w:rsidRPr="00D0532A" w:rsidRDefault="0081662F" w:rsidP="00EB2357">
            <w:pPr>
              <w:jc w:val="center"/>
              <w:rPr>
                <w:rFonts w:ascii="Times New Roman" w:hAnsi="Times New Roman"/>
                <w:color w:val="000000"/>
              </w:rPr>
            </w:pPr>
          </w:p>
          <w:p w14:paraId="255A00B3" w14:textId="77777777" w:rsidR="0081662F" w:rsidRPr="00D0532A" w:rsidRDefault="0081662F" w:rsidP="00EB2357">
            <w:pPr>
              <w:jc w:val="center"/>
              <w:rPr>
                <w:rFonts w:ascii="Times New Roman" w:hAnsi="Times New Roman"/>
                <w:color w:val="000000"/>
              </w:rPr>
            </w:pPr>
          </w:p>
        </w:tc>
        <w:tc>
          <w:tcPr>
            <w:tcW w:w="715" w:type="pct"/>
            <w:tcBorders>
              <w:top w:val="single" w:sz="4" w:space="0" w:color="auto"/>
              <w:left w:val="single" w:sz="4" w:space="0" w:color="auto"/>
              <w:bottom w:val="single" w:sz="4" w:space="0" w:color="auto"/>
              <w:right w:val="single" w:sz="4" w:space="0" w:color="auto"/>
            </w:tcBorders>
          </w:tcPr>
          <w:p w14:paraId="08D99AF6" w14:textId="77777777" w:rsidR="0081662F" w:rsidRPr="00D0532A" w:rsidRDefault="0081662F" w:rsidP="00EB2357">
            <w:pPr>
              <w:jc w:val="center"/>
              <w:rPr>
                <w:rFonts w:ascii="Times New Roman" w:hAnsi="Times New Roman"/>
                <w:color w:val="000000"/>
              </w:rPr>
            </w:pPr>
          </w:p>
          <w:p w14:paraId="1F1A913B" w14:textId="77777777" w:rsidR="0081662F" w:rsidRPr="00D0532A" w:rsidRDefault="0081662F" w:rsidP="00EB2357">
            <w:pPr>
              <w:jc w:val="center"/>
              <w:rPr>
                <w:rFonts w:ascii="Times New Roman" w:hAnsi="Times New Roman"/>
                <w:color w:val="000000"/>
              </w:rPr>
            </w:pPr>
          </w:p>
          <w:p w14:paraId="5942514F" w14:textId="77777777" w:rsidR="0081662F" w:rsidRPr="00D0532A" w:rsidRDefault="0081662F" w:rsidP="00EB2357">
            <w:pPr>
              <w:jc w:val="center"/>
              <w:rPr>
                <w:rFonts w:ascii="Times New Roman" w:hAnsi="Times New Roman"/>
                <w:color w:val="000000"/>
              </w:rPr>
            </w:pPr>
          </w:p>
          <w:p w14:paraId="60362B79" w14:textId="77777777" w:rsidR="0081662F" w:rsidRPr="00D0532A" w:rsidRDefault="0081662F" w:rsidP="00EB2357">
            <w:pPr>
              <w:jc w:val="center"/>
              <w:rPr>
                <w:rFonts w:ascii="Times New Roman" w:hAnsi="Times New Roman"/>
                <w:color w:val="000000"/>
              </w:rPr>
            </w:pPr>
            <w:r w:rsidRPr="00D0532A">
              <w:rPr>
                <w:rFonts w:ascii="Times New Roman" w:hAnsi="Times New Roman"/>
                <w:color w:val="000000"/>
              </w:rPr>
              <w:t>2</w:t>
            </w:r>
          </w:p>
        </w:tc>
        <w:tc>
          <w:tcPr>
            <w:tcW w:w="805" w:type="pct"/>
            <w:tcBorders>
              <w:top w:val="single" w:sz="4" w:space="0" w:color="auto"/>
              <w:left w:val="single" w:sz="4" w:space="0" w:color="auto"/>
              <w:bottom w:val="single" w:sz="4" w:space="0" w:color="auto"/>
              <w:right w:val="single" w:sz="4" w:space="0" w:color="auto"/>
            </w:tcBorders>
          </w:tcPr>
          <w:p w14:paraId="192EB0C1" w14:textId="77777777" w:rsidR="0081662F" w:rsidRPr="00D0532A" w:rsidRDefault="0081662F" w:rsidP="00EB2357">
            <w:pPr>
              <w:jc w:val="center"/>
              <w:rPr>
                <w:rFonts w:ascii="Times New Roman" w:hAnsi="Times New Roman"/>
                <w:color w:val="000000"/>
              </w:rPr>
            </w:pPr>
          </w:p>
          <w:p w14:paraId="2F3F8FE4" w14:textId="77777777" w:rsidR="0081662F" w:rsidRPr="00D0532A" w:rsidRDefault="0081662F" w:rsidP="00EB2357">
            <w:pPr>
              <w:jc w:val="center"/>
              <w:rPr>
                <w:rFonts w:ascii="Times New Roman" w:hAnsi="Times New Roman"/>
                <w:color w:val="000000"/>
              </w:rPr>
            </w:pPr>
          </w:p>
          <w:p w14:paraId="347FE503" w14:textId="77777777" w:rsidR="0081662F" w:rsidRPr="00D0532A" w:rsidRDefault="0081662F" w:rsidP="00EB2357">
            <w:pPr>
              <w:jc w:val="center"/>
              <w:rPr>
                <w:rFonts w:ascii="Times New Roman" w:hAnsi="Times New Roman"/>
                <w:color w:val="000000"/>
              </w:rPr>
            </w:pPr>
          </w:p>
          <w:p w14:paraId="29816CFF" w14:textId="77777777" w:rsidR="0081662F" w:rsidRPr="00D0532A" w:rsidRDefault="0081662F" w:rsidP="00EB2357">
            <w:pPr>
              <w:jc w:val="center"/>
              <w:rPr>
                <w:rFonts w:ascii="Times New Roman" w:hAnsi="Times New Roman"/>
                <w:color w:val="000000"/>
              </w:rPr>
            </w:pPr>
            <w:r w:rsidRPr="00D0532A">
              <w:rPr>
                <w:rFonts w:ascii="Times New Roman" w:hAnsi="Times New Roman"/>
                <w:color w:val="000000"/>
              </w:rPr>
              <w:t>2</w:t>
            </w:r>
          </w:p>
        </w:tc>
        <w:tc>
          <w:tcPr>
            <w:tcW w:w="622" w:type="pct"/>
            <w:tcBorders>
              <w:top w:val="single" w:sz="4" w:space="0" w:color="auto"/>
              <w:left w:val="single" w:sz="4" w:space="0" w:color="auto"/>
              <w:bottom w:val="single" w:sz="4" w:space="0" w:color="auto"/>
              <w:right w:val="single" w:sz="4" w:space="0" w:color="auto"/>
            </w:tcBorders>
          </w:tcPr>
          <w:p w14:paraId="653F425C" w14:textId="77777777" w:rsidR="0081662F" w:rsidRPr="00D0532A" w:rsidRDefault="0081662F" w:rsidP="00EB2357">
            <w:pPr>
              <w:jc w:val="center"/>
              <w:rPr>
                <w:rFonts w:ascii="Times New Roman" w:hAnsi="Times New Roman"/>
                <w:color w:val="000000"/>
              </w:rPr>
            </w:pPr>
          </w:p>
          <w:p w14:paraId="46E1A773" w14:textId="77777777" w:rsidR="0081662F" w:rsidRPr="00D0532A" w:rsidRDefault="0081662F" w:rsidP="00EB2357">
            <w:pPr>
              <w:jc w:val="center"/>
              <w:rPr>
                <w:rFonts w:ascii="Times New Roman" w:hAnsi="Times New Roman"/>
                <w:color w:val="000000"/>
              </w:rPr>
            </w:pPr>
          </w:p>
          <w:p w14:paraId="59E1D36C" w14:textId="77777777" w:rsidR="0081662F" w:rsidRPr="00D0532A" w:rsidRDefault="0081662F" w:rsidP="00EB2357">
            <w:pPr>
              <w:jc w:val="center"/>
              <w:rPr>
                <w:rFonts w:ascii="Times New Roman" w:hAnsi="Times New Roman"/>
                <w:color w:val="000000"/>
              </w:rPr>
            </w:pPr>
          </w:p>
          <w:p w14:paraId="4778BE9C" w14:textId="77777777" w:rsidR="0081662F" w:rsidRPr="00D0532A" w:rsidRDefault="0081662F" w:rsidP="00EB2357">
            <w:pPr>
              <w:jc w:val="center"/>
              <w:rPr>
                <w:rFonts w:ascii="Times New Roman" w:hAnsi="Times New Roman"/>
                <w:color w:val="000000"/>
              </w:rPr>
            </w:pPr>
            <w:r w:rsidRPr="00D0532A">
              <w:rPr>
                <w:rFonts w:ascii="Times New Roman" w:hAnsi="Times New Roman"/>
                <w:color w:val="000000"/>
              </w:rPr>
              <w:t>100%</w:t>
            </w:r>
          </w:p>
        </w:tc>
      </w:tr>
      <w:tr w:rsidR="0081662F" w:rsidRPr="00D0532A" w14:paraId="522A9700" w14:textId="77777777" w:rsidTr="00EB2357">
        <w:tc>
          <w:tcPr>
            <w:tcW w:w="712" w:type="pct"/>
            <w:tcBorders>
              <w:top w:val="single" w:sz="4" w:space="0" w:color="auto"/>
              <w:left w:val="single" w:sz="4" w:space="0" w:color="auto"/>
              <w:bottom w:val="single" w:sz="4" w:space="0" w:color="auto"/>
              <w:right w:val="single" w:sz="4" w:space="0" w:color="auto"/>
            </w:tcBorders>
          </w:tcPr>
          <w:p w14:paraId="5C1E1194" w14:textId="77777777" w:rsidR="0081662F" w:rsidRPr="00D0532A" w:rsidRDefault="0081662F" w:rsidP="00EB2357">
            <w:pPr>
              <w:jc w:val="center"/>
              <w:rPr>
                <w:rFonts w:ascii="Times New Roman" w:hAnsi="Times New Roman"/>
                <w:color w:val="000000"/>
              </w:rPr>
            </w:pPr>
            <w:r w:rsidRPr="00D0532A">
              <w:rPr>
                <w:rFonts w:ascii="Times New Roman" w:hAnsi="Times New Roman"/>
                <w:color w:val="000000"/>
              </w:rPr>
              <w:t>Poboljšanje standarda djelatnosti</w:t>
            </w:r>
          </w:p>
        </w:tc>
        <w:tc>
          <w:tcPr>
            <w:tcW w:w="805" w:type="pct"/>
            <w:tcBorders>
              <w:top w:val="single" w:sz="4" w:space="0" w:color="auto"/>
              <w:left w:val="single" w:sz="4" w:space="0" w:color="auto"/>
              <w:bottom w:val="single" w:sz="4" w:space="0" w:color="auto"/>
              <w:right w:val="single" w:sz="4" w:space="0" w:color="auto"/>
            </w:tcBorders>
            <w:vAlign w:val="bottom"/>
          </w:tcPr>
          <w:p w14:paraId="08954B63" w14:textId="77777777" w:rsidR="0081662F" w:rsidRPr="00D0532A" w:rsidRDefault="0081662F" w:rsidP="00EB2357">
            <w:pPr>
              <w:rPr>
                <w:rFonts w:ascii="Times New Roman" w:hAnsi="Times New Roman"/>
                <w:color w:val="000000"/>
              </w:rPr>
            </w:pPr>
            <w:r w:rsidRPr="00D0532A">
              <w:rPr>
                <w:rFonts w:ascii="Times New Roman" w:hAnsi="Times New Roman"/>
                <w:color w:val="000000"/>
              </w:rPr>
              <w:t xml:space="preserve">Stvaranjem kvalitetnih uvjeta osigurava se kvalitetan rad </w:t>
            </w:r>
          </w:p>
          <w:p w14:paraId="6279C8AA" w14:textId="77777777" w:rsidR="0081662F" w:rsidRPr="00D0532A" w:rsidRDefault="0081662F" w:rsidP="00EB2357">
            <w:pPr>
              <w:jc w:val="center"/>
              <w:rPr>
                <w:rFonts w:ascii="Times New Roman" w:hAnsi="Times New Roman"/>
                <w:color w:val="000000"/>
              </w:rPr>
            </w:pPr>
          </w:p>
        </w:tc>
        <w:tc>
          <w:tcPr>
            <w:tcW w:w="715" w:type="pct"/>
            <w:tcBorders>
              <w:top w:val="single" w:sz="4" w:space="0" w:color="auto"/>
              <w:left w:val="single" w:sz="4" w:space="0" w:color="auto"/>
              <w:bottom w:val="single" w:sz="4" w:space="0" w:color="auto"/>
              <w:right w:val="single" w:sz="4" w:space="0" w:color="auto"/>
            </w:tcBorders>
          </w:tcPr>
          <w:p w14:paraId="75140855" w14:textId="77777777" w:rsidR="0081662F" w:rsidRPr="00D0532A" w:rsidRDefault="0081662F" w:rsidP="00EB2357">
            <w:pPr>
              <w:jc w:val="center"/>
              <w:rPr>
                <w:rFonts w:ascii="Times New Roman" w:hAnsi="Times New Roman"/>
              </w:rPr>
            </w:pPr>
          </w:p>
          <w:p w14:paraId="1C909845" w14:textId="77777777" w:rsidR="0081662F" w:rsidRPr="00D0532A" w:rsidRDefault="0081662F" w:rsidP="00EB2357">
            <w:pPr>
              <w:jc w:val="center"/>
              <w:rPr>
                <w:rFonts w:ascii="Times New Roman" w:hAnsi="Times New Roman"/>
                <w:color w:val="000000"/>
              </w:rPr>
            </w:pPr>
            <w:r w:rsidRPr="00D0532A">
              <w:rPr>
                <w:rFonts w:ascii="Times New Roman" w:hAnsi="Times New Roman"/>
              </w:rPr>
              <w:t>% poboljšanje uvjeta rada</w:t>
            </w:r>
          </w:p>
        </w:tc>
        <w:tc>
          <w:tcPr>
            <w:tcW w:w="626" w:type="pct"/>
            <w:tcBorders>
              <w:top w:val="single" w:sz="4" w:space="0" w:color="auto"/>
              <w:left w:val="single" w:sz="4" w:space="0" w:color="auto"/>
              <w:bottom w:val="single" w:sz="4" w:space="0" w:color="auto"/>
              <w:right w:val="single" w:sz="4" w:space="0" w:color="auto"/>
            </w:tcBorders>
          </w:tcPr>
          <w:p w14:paraId="722E5E6A" w14:textId="77777777" w:rsidR="0081662F" w:rsidRPr="00D0532A" w:rsidRDefault="0081662F" w:rsidP="00EB2357">
            <w:pPr>
              <w:jc w:val="center"/>
              <w:rPr>
                <w:rFonts w:ascii="Times New Roman" w:hAnsi="Times New Roman"/>
                <w:color w:val="000000"/>
              </w:rPr>
            </w:pPr>
          </w:p>
          <w:p w14:paraId="77E8F00E" w14:textId="77777777" w:rsidR="0081662F" w:rsidRPr="00D0532A" w:rsidRDefault="0081662F" w:rsidP="00EB2357">
            <w:pPr>
              <w:jc w:val="center"/>
              <w:rPr>
                <w:rFonts w:ascii="Times New Roman" w:hAnsi="Times New Roman"/>
                <w:color w:val="000000"/>
              </w:rPr>
            </w:pPr>
          </w:p>
          <w:p w14:paraId="3E4E4A7D" w14:textId="77777777" w:rsidR="0081662F" w:rsidRPr="00D0532A" w:rsidRDefault="0081662F" w:rsidP="00EB2357">
            <w:pPr>
              <w:jc w:val="center"/>
              <w:rPr>
                <w:rFonts w:ascii="Times New Roman" w:hAnsi="Times New Roman"/>
                <w:color w:val="000000"/>
              </w:rPr>
            </w:pPr>
            <w:r w:rsidRPr="00D0532A">
              <w:rPr>
                <w:rFonts w:ascii="Times New Roman" w:hAnsi="Times New Roman"/>
                <w:color w:val="000000"/>
              </w:rPr>
              <w:t>Dječji vrtić Maslačak</w:t>
            </w:r>
          </w:p>
          <w:p w14:paraId="5C8C6B8F" w14:textId="77777777" w:rsidR="0081662F" w:rsidRPr="00D0532A" w:rsidRDefault="0081662F" w:rsidP="00EB2357">
            <w:pPr>
              <w:jc w:val="center"/>
              <w:rPr>
                <w:rFonts w:ascii="Times New Roman" w:hAnsi="Times New Roman"/>
                <w:color w:val="000000"/>
              </w:rPr>
            </w:pPr>
          </w:p>
        </w:tc>
        <w:tc>
          <w:tcPr>
            <w:tcW w:w="715" w:type="pct"/>
            <w:tcBorders>
              <w:top w:val="single" w:sz="4" w:space="0" w:color="auto"/>
              <w:left w:val="single" w:sz="4" w:space="0" w:color="auto"/>
              <w:bottom w:val="single" w:sz="4" w:space="0" w:color="auto"/>
              <w:right w:val="single" w:sz="4" w:space="0" w:color="auto"/>
            </w:tcBorders>
          </w:tcPr>
          <w:p w14:paraId="1207381A" w14:textId="77777777" w:rsidR="0081662F" w:rsidRPr="00D0532A" w:rsidRDefault="0081662F" w:rsidP="00EB2357">
            <w:pPr>
              <w:jc w:val="center"/>
              <w:rPr>
                <w:rFonts w:ascii="Times New Roman" w:hAnsi="Times New Roman"/>
                <w:color w:val="000000"/>
              </w:rPr>
            </w:pPr>
          </w:p>
          <w:p w14:paraId="39FFE72E" w14:textId="77777777" w:rsidR="0081662F" w:rsidRPr="00D0532A" w:rsidRDefault="0081662F" w:rsidP="00EB2357">
            <w:pPr>
              <w:jc w:val="center"/>
              <w:rPr>
                <w:rFonts w:ascii="Times New Roman" w:hAnsi="Times New Roman"/>
                <w:color w:val="000000"/>
              </w:rPr>
            </w:pPr>
          </w:p>
          <w:p w14:paraId="2954B038" w14:textId="77777777" w:rsidR="0081662F" w:rsidRPr="00D0532A" w:rsidRDefault="0081662F" w:rsidP="00EB2357">
            <w:pPr>
              <w:jc w:val="center"/>
              <w:rPr>
                <w:rFonts w:ascii="Times New Roman" w:hAnsi="Times New Roman"/>
                <w:color w:val="000000"/>
              </w:rPr>
            </w:pPr>
            <w:r w:rsidRPr="00D0532A">
              <w:rPr>
                <w:rFonts w:ascii="Times New Roman" w:hAnsi="Times New Roman"/>
                <w:color w:val="000000"/>
              </w:rPr>
              <w:t>60%</w:t>
            </w:r>
          </w:p>
        </w:tc>
        <w:tc>
          <w:tcPr>
            <w:tcW w:w="805" w:type="pct"/>
            <w:tcBorders>
              <w:top w:val="single" w:sz="4" w:space="0" w:color="auto"/>
              <w:left w:val="single" w:sz="4" w:space="0" w:color="auto"/>
              <w:bottom w:val="single" w:sz="4" w:space="0" w:color="auto"/>
              <w:right w:val="single" w:sz="4" w:space="0" w:color="auto"/>
            </w:tcBorders>
          </w:tcPr>
          <w:p w14:paraId="30F92C63" w14:textId="77777777" w:rsidR="0081662F" w:rsidRPr="00D0532A" w:rsidRDefault="0081662F" w:rsidP="00EB2357">
            <w:pPr>
              <w:jc w:val="center"/>
              <w:rPr>
                <w:rFonts w:ascii="Times New Roman" w:hAnsi="Times New Roman"/>
                <w:color w:val="000000"/>
              </w:rPr>
            </w:pPr>
          </w:p>
          <w:p w14:paraId="622895D9" w14:textId="77777777" w:rsidR="0081662F" w:rsidRPr="00D0532A" w:rsidRDefault="0081662F" w:rsidP="00EB2357">
            <w:pPr>
              <w:jc w:val="center"/>
              <w:rPr>
                <w:rFonts w:ascii="Times New Roman" w:hAnsi="Times New Roman"/>
                <w:color w:val="000000"/>
              </w:rPr>
            </w:pPr>
          </w:p>
          <w:p w14:paraId="4A099566" w14:textId="77777777" w:rsidR="0081662F" w:rsidRPr="00D0532A" w:rsidRDefault="0081662F" w:rsidP="00EB2357">
            <w:pPr>
              <w:jc w:val="center"/>
              <w:rPr>
                <w:rFonts w:ascii="Times New Roman" w:hAnsi="Times New Roman"/>
                <w:color w:val="000000"/>
              </w:rPr>
            </w:pPr>
            <w:r w:rsidRPr="00D0532A">
              <w:rPr>
                <w:rFonts w:ascii="Times New Roman" w:hAnsi="Times New Roman"/>
                <w:color w:val="000000"/>
              </w:rPr>
              <w:t>60%</w:t>
            </w:r>
          </w:p>
        </w:tc>
        <w:tc>
          <w:tcPr>
            <w:tcW w:w="622" w:type="pct"/>
            <w:tcBorders>
              <w:top w:val="single" w:sz="4" w:space="0" w:color="auto"/>
              <w:left w:val="single" w:sz="4" w:space="0" w:color="auto"/>
              <w:bottom w:val="single" w:sz="4" w:space="0" w:color="auto"/>
              <w:right w:val="single" w:sz="4" w:space="0" w:color="auto"/>
            </w:tcBorders>
          </w:tcPr>
          <w:p w14:paraId="6CB555A6" w14:textId="77777777" w:rsidR="0081662F" w:rsidRPr="00D0532A" w:rsidRDefault="0081662F" w:rsidP="00EB2357">
            <w:pPr>
              <w:jc w:val="center"/>
              <w:rPr>
                <w:rFonts w:ascii="Times New Roman" w:hAnsi="Times New Roman"/>
                <w:color w:val="000000"/>
              </w:rPr>
            </w:pPr>
          </w:p>
          <w:p w14:paraId="03A3BB38" w14:textId="77777777" w:rsidR="0081662F" w:rsidRPr="00D0532A" w:rsidRDefault="0081662F" w:rsidP="00EB2357">
            <w:pPr>
              <w:jc w:val="center"/>
              <w:rPr>
                <w:rFonts w:ascii="Times New Roman" w:hAnsi="Times New Roman"/>
                <w:color w:val="000000"/>
              </w:rPr>
            </w:pPr>
          </w:p>
          <w:p w14:paraId="3B51F4D6" w14:textId="77777777" w:rsidR="0081662F" w:rsidRPr="00D0532A" w:rsidRDefault="0081662F" w:rsidP="00EB2357">
            <w:pPr>
              <w:jc w:val="center"/>
              <w:rPr>
                <w:rFonts w:ascii="Times New Roman" w:hAnsi="Times New Roman"/>
                <w:color w:val="000000"/>
              </w:rPr>
            </w:pPr>
            <w:r w:rsidRPr="00D0532A">
              <w:rPr>
                <w:rFonts w:ascii="Times New Roman" w:hAnsi="Times New Roman"/>
                <w:color w:val="000000"/>
              </w:rPr>
              <w:t>100%</w:t>
            </w:r>
          </w:p>
        </w:tc>
      </w:tr>
    </w:tbl>
    <w:p w14:paraId="46EFABFF" w14:textId="77777777" w:rsidR="0081662F" w:rsidRDefault="0081662F" w:rsidP="0081662F">
      <w:pPr>
        <w:spacing w:after="0" w:line="240" w:lineRule="auto"/>
        <w:jc w:val="both"/>
        <w:rPr>
          <w:rFonts w:ascii="Times New Roman" w:hAnsi="Times New Roman" w:cs="Times New Roman"/>
          <w:b/>
          <w:bCs/>
          <w:i/>
          <w:color w:val="FF0000"/>
          <w:lang w:eastAsia="hr-HR"/>
        </w:rPr>
      </w:pPr>
    </w:p>
    <w:p w14:paraId="5EBE1844" w14:textId="77777777" w:rsidR="00760AE5" w:rsidRPr="00D0532A" w:rsidRDefault="00760AE5" w:rsidP="0081662F">
      <w:pPr>
        <w:spacing w:after="0" w:line="240" w:lineRule="auto"/>
        <w:jc w:val="both"/>
        <w:rPr>
          <w:rFonts w:ascii="Times New Roman" w:hAnsi="Times New Roman" w:cs="Times New Roman"/>
          <w:b/>
          <w:bCs/>
          <w:i/>
          <w:color w:val="FF0000"/>
          <w:lang w:eastAsia="hr-HR"/>
        </w:rPr>
      </w:pPr>
    </w:p>
    <w:p w14:paraId="73A63D09" w14:textId="77777777" w:rsidR="0081662F" w:rsidRPr="00D0532A" w:rsidRDefault="0081662F" w:rsidP="0081662F">
      <w:pPr>
        <w:spacing w:after="0" w:line="240" w:lineRule="auto"/>
        <w:jc w:val="both"/>
        <w:rPr>
          <w:rFonts w:ascii="Times New Roman" w:hAnsi="Times New Roman" w:cs="Times New Roman"/>
          <w:b/>
          <w:bCs/>
          <w:i/>
          <w:lang w:eastAsia="hr-HR"/>
        </w:rPr>
      </w:pPr>
    </w:p>
    <w:p w14:paraId="4B807595" w14:textId="77777777" w:rsidR="0081662F" w:rsidRPr="00D0532A" w:rsidRDefault="0081662F" w:rsidP="0081662F">
      <w:pPr>
        <w:spacing w:after="0" w:line="240" w:lineRule="auto"/>
        <w:ind w:firstLine="567"/>
        <w:jc w:val="both"/>
        <w:rPr>
          <w:rFonts w:ascii="Times New Roman" w:hAnsi="Times New Roman" w:cs="Times New Roman"/>
          <w:b/>
          <w:bCs/>
          <w:i/>
          <w:lang w:eastAsia="hr-HR"/>
        </w:rPr>
      </w:pPr>
      <w:r w:rsidRPr="00D0532A">
        <w:rPr>
          <w:rFonts w:ascii="Times New Roman" w:hAnsi="Times New Roman" w:cs="Times New Roman"/>
          <w:b/>
          <w:bCs/>
          <w:i/>
          <w:lang w:eastAsia="hr-HR"/>
        </w:rPr>
        <w:t>GLAVA 00204  Ustanove kulture</w:t>
      </w:r>
    </w:p>
    <w:p w14:paraId="1A2BC3F3" w14:textId="77777777" w:rsidR="0081662F" w:rsidRPr="00D0532A" w:rsidRDefault="0081662F" w:rsidP="0081662F">
      <w:pPr>
        <w:spacing w:after="0" w:line="240" w:lineRule="auto"/>
        <w:ind w:firstLine="567"/>
        <w:jc w:val="both"/>
        <w:rPr>
          <w:rFonts w:ascii="Times New Roman" w:hAnsi="Times New Roman" w:cs="Times New Roman"/>
          <w:b/>
          <w:bCs/>
          <w:i/>
          <w:lang w:eastAsia="hr-HR"/>
        </w:rPr>
      </w:pPr>
      <w:r w:rsidRPr="00D0532A">
        <w:rPr>
          <w:rFonts w:ascii="Times New Roman" w:hAnsi="Times New Roman" w:cs="Times New Roman"/>
          <w:b/>
          <w:bCs/>
          <w:i/>
          <w:lang w:eastAsia="hr-HR"/>
        </w:rPr>
        <w:t>Proračunski korisnik 0020434686 Hrvatska knjižnica i čitaonica „Đuro Sudeta“ Garešnica</w:t>
      </w:r>
    </w:p>
    <w:p w14:paraId="1C090D8F" w14:textId="77777777" w:rsidR="0081662F" w:rsidRPr="00D0532A" w:rsidRDefault="0081662F" w:rsidP="0081662F">
      <w:pPr>
        <w:spacing w:after="0" w:line="240" w:lineRule="auto"/>
        <w:ind w:firstLine="567"/>
        <w:jc w:val="both"/>
        <w:rPr>
          <w:rFonts w:ascii="Times New Roman" w:hAnsi="Times New Roman" w:cs="Times New Roman"/>
          <w:b/>
          <w:bCs/>
          <w:i/>
          <w:lang w:eastAsia="hr-HR"/>
        </w:rPr>
      </w:pPr>
    </w:p>
    <w:p w14:paraId="2259D6FB" w14:textId="77777777" w:rsidR="0081662F" w:rsidRPr="00D0532A" w:rsidRDefault="0081662F" w:rsidP="0081662F">
      <w:pPr>
        <w:jc w:val="both"/>
        <w:rPr>
          <w:rFonts w:ascii="Times New Roman" w:hAnsi="Times New Roman" w:cs="Times New Roman"/>
          <w:b/>
          <w:bCs/>
          <w:lang w:eastAsia="hr-HR"/>
        </w:rPr>
      </w:pPr>
      <w:r w:rsidRPr="00D0532A">
        <w:rPr>
          <w:rFonts w:ascii="Times New Roman" w:hAnsi="Times New Roman" w:cs="Times New Roman"/>
          <w:b/>
          <w:bCs/>
          <w:lang w:eastAsia="hr-HR"/>
        </w:rPr>
        <w:t>Program 1006  Javne potrebe u kulturi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3059"/>
        <w:gridCol w:w="2926"/>
      </w:tblGrid>
      <w:tr w:rsidR="0081662F" w:rsidRPr="00D0532A" w14:paraId="5DCDA9A8" w14:textId="77777777" w:rsidTr="00EB2357">
        <w:tc>
          <w:tcPr>
            <w:tcW w:w="1697" w:type="pct"/>
            <w:shd w:val="clear" w:color="auto" w:fill="D9D9D9"/>
          </w:tcPr>
          <w:p w14:paraId="6B991F37" w14:textId="77777777" w:rsidR="0081662F" w:rsidRPr="00D0532A" w:rsidRDefault="0081662F" w:rsidP="00EB2357">
            <w:pPr>
              <w:spacing w:after="120"/>
              <w:jc w:val="center"/>
              <w:rPr>
                <w:rFonts w:ascii="Times New Roman" w:hAnsi="Times New Roman" w:cs="Times New Roman"/>
                <w:bCs/>
                <w:lang w:eastAsia="hr-HR"/>
              </w:rPr>
            </w:pPr>
            <w:r w:rsidRPr="00D0532A">
              <w:rPr>
                <w:rFonts w:ascii="Times New Roman" w:hAnsi="Times New Roman" w:cs="Times New Roman"/>
                <w:bCs/>
                <w:lang w:eastAsia="hr-HR"/>
              </w:rPr>
              <w:t>Rebalans 2024</w:t>
            </w:r>
          </w:p>
        </w:tc>
        <w:tc>
          <w:tcPr>
            <w:tcW w:w="1688" w:type="pct"/>
            <w:shd w:val="clear" w:color="auto" w:fill="D9D9D9"/>
          </w:tcPr>
          <w:p w14:paraId="6C4F7E7C" w14:textId="77777777" w:rsidR="0081662F" w:rsidRPr="00D0532A" w:rsidRDefault="0081662F" w:rsidP="00EB2357">
            <w:pPr>
              <w:spacing w:after="120"/>
              <w:jc w:val="center"/>
              <w:rPr>
                <w:rFonts w:ascii="Times New Roman" w:hAnsi="Times New Roman" w:cs="Times New Roman"/>
                <w:bCs/>
                <w:lang w:eastAsia="hr-HR"/>
              </w:rPr>
            </w:pPr>
            <w:r w:rsidRPr="00D0532A">
              <w:rPr>
                <w:rFonts w:ascii="Times New Roman" w:hAnsi="Times New Roman" w:cs="Times New Roman"/>
                <w:bCs/>
                <w:lang w:eastAsia="hr-HR"/>
              </w:rPr>
              <w:t>Izvršenje 2024</w:t>
            </w:r>
          </w:p>
        </w:tc>
        <w:tc>
          <w:tcPr>
            <w:tcW w:w="1615" w:type="pct"/>
            <w:shd w:val="clear" w:color="auto" w:fill="D9D9D9"/>
          </w:tcPr>
          <w:p w14:paraId="40B43E7A" w14:textId="77777777" w:rsidR="0081662F" w:rsidRPr="00D0532A" w:rsidRDefault="0081662F" w:rsidP="00EB2357">
            <w:pPr>
              <w:spacing w:after="120"/>
              <w:jc w:val="center"/>
              <w:rPr>
                <w:rFonts w:ascii="Times New Roman" w:hAnsi="Times New Roman" w:cs="Times New Roman"/>
                <w:bCs/>
                <w:lang w:eastAsia="hr-HR"/>
              </w:rPr>
            </w:pPr>
            <w:r w:rsidRPr="00D0532A">
              <w:rPr>
                <w:rFonts w:ascii="Times New Roman" w:hAnsi="Times New Roman" w:cs="Times New Roman"/>
                <w:bCs/>
                <w:lang w:eastAsia="hr-HR"/>
              </w:rPr>
              <w:t>Indeks 2/1</w:t>
            </w:r>
          </w:p>
        </w:tc>
      </w:tr>
      <w:tr w:rsidR="0081662F" w:rsidRPr="00D0532A" w14:paraId="6A13EA8C" w14:textId="77777777" w:rsidTr="00EB2357">
        <w:tc>
          <w:tcPr>
            <w:tcW w:w="1697" w:type="pct"/>
            <w:shd w:val="clear" w:color="auto" w:fill="auto"/>
            <w:vAlign w:val="center"/>
          </w:tcPr>
          <w:p w14:paraId="35F27BFB" w14:textId="77777777" w:rsidR="0081662F" w:rsidRPr="00D0532A" w:rsidRDefault="0081662F" w:rsidP="00EB2357">
            <w:pPr>
              <w:spacing w:after="120"/>
              <w:jc w:val="center"/>
              <w:rPr>
                <w:rFonts w:ascii="Times New Roman" w:hAnsi="Times New Roman" w:cs="Times New Roman"/>
                <w:lang w:eastAsia="hr-HR"/>
              </w:rPr>
            </w:pPr>
            <w:r w:rsidRPr="00D0532A">
              <w:rPr>
                <w:rFonts w:ascii="Times New Roman" w:hAnsi="Times New Roman" w:cs="Times New Roman"/>
                <w:lang w:eastAsia="hr-HR"/>
              </w:rPr>
              <w:t>165.900,00</w:t>
            </w:r>
          </w:p>
        </w:tc>
        <w:tc>
          <w:tcPr>
            <w:tcW w:w="1688" w:type="pct"/>
            <w:shd w:val="clear" w:color="auto" w:fill="auto"/>
            <w:vAlign w:val="center"/>
          </w:tcPr>
          <w:p w14:paraId="328B1FE1" w14:textId="1F96F841" w:rsidR="0081662F" w:rsidRPr="00D0532A" w:rsidRDefault="0081662F" w:rsidP="00EB2357">
            <w:pPr>
              <w:spacing w:after="120"/>
              <w:jc w:val="center"/>
              <w:rPr>
                <w:rFonts w:ascii="Times New Roman" w:hAnsi="Times New Roman" w:cs="Times New Roman"/>
                <w:lang w:eastAsia="hr-HR"/>
              </w:rPr>
            </w:pPr>
            <w:r w:rsidRPr="00D0532A">
              <w:rPr>
                <w:rFonts w:ascii="Times New Roman" w:hAnsi="Times New Roman" w:cs="Times New Roman"/>
                <w:color w:val="000000"/>
                <w:lang w:eastAsia="hr-HR"/>
              </w:rPr>
              <w:t>1</w:t>
            </w:r>
            <w:r w:rsidR="00760AE5">
              <w:rPr>
                <w:rFonts w:ascii="Times New Roman" w:hAnsi="Times New Roman" w:cs="Times New Roman"/>
                <w:color w:val="000000"/>
                <w:lang w:eastAsia="hr-HR"/>
              </w:rPr>
              <w:t>61.463,32</w:t>
            </w:r>
          </w:p>
        </w:tc>
        <w:tc>
          <w:tcPr>
            <w:tcW w:w="1615" w:type="pct"/>
            <w:shd w:val="clear" w:color="auto" w:fill="auto"/>
            <w:vAlign w:val="center"/>
          </w:tcPr>
          <w:p w14:paraId="1E52D075" w14:textId="37C367A2" w:rsidR="0081662F" w:rsidRPr="00D0532A" w:rsidRDefault="0081662F" w:rsidP="00EB2357">
            <w:pPr>
              <w:spacing w:after="120"/>
              <w:jc w:val="center"/>
              <w:rPr>
                <w:rFonts w:ascii="Times New Roman" w:hAnsi="Times New Roman" w:cs="Times New Roman"/>
                <w:lang w:eastAsia="hr-HR"/>
              </w:rPr>
            </w:pPr>
            <w:r w:rsidRPr="00D0532A">
              <w:rPr>
                <w:rFonts w:ascii="Times New Roman" w:hAnsi="Times New Roman" w:cs="Times New Roman"/>
                <w:lang w:eastAsia="hr-HR"/>
              </w:rPr>
              <w:t>9</w:t>
            </w:r>
            <w:r w:rsidR="00760AE5">
              <w:rPr>
                <w:rFonts w:ascii="Times New Roman" w:hAnsi="Times New Roman" w:cs="Times New Roman"/>
                <w:lang w:eastAsia="hr-HR"/>
              </w:rPr>
              <w:t>6,35</w:t>
            </w:r>
          </w:p>
        </w:tc>
      </w:tr>
    </w:tbl>
    <w:p w14:paraId="1919F918" w14:textId="77777777" w:rsidR="0081662F" w:rsidRPr="00D0532A" w:rsidRDefault="0081662F" w:rsidP="0081662F">
      <w:pPr>
        <w:jc w:val="both"/>
        <w:rPr>
          <w:rFonts w:ascii="Times New Roman" w:hAnsi="Times New Roman" w:cs="Times New Roman"/>
          <w:bCs/>
          <w:lang w:eastAsia="hr-HR"/>
        </w:rPr>
      </w:pPr>
      <w:r w:rsidRPr="00D0532A">
        <w:rPr>
          <w:rFonts w:ascii="Times New Roman" w:hAnsi="Times New Roman" w:cs="Times New Roman"/>
          <w:bCs/>
          <w:lang w:eastAsia="hr-HR"/>
        </w:rPr>
        <w:t>Programa javnih potreba u kulturi / aktivnosti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7"/>
        <w:gridCol w:w="1474"/>
        <w:gridCol w:w="1473"/>
        <w:gridCol w:w="1596"/>
      </w:tblGrid>
      <w:tr w:rsidR="0081662F" w:rsidRPr="00D0532A" w14:paraId="43F722C7" w14:textId="77777777" w:rsidTr="00EB2357">
        <w:trPr>
          <w:trHeight w:val="425"/>
        </w:trPr>
        <w:tc>
          <w:tcPr>
            <w:tcW w:w="2492" w:type="pct"/>
            <w:shd w:val="clear" w:color="auto" w:fill="BFBFBF"/>
          </w:tcPr>
          <w:p w14:paraId="1475C757" w14:textId="77777777" w:rsidR="0081662F" w:rsidRPr="00D0532A" w:rsidRDefault="0081662F" w:rsidP="00EB2357">
            <w:pPr>
              <w:jc w:val="center"/>
              <w:rPr>
                <w:rFonts w:ascii="Times New Roman" w:hAnsi="Times New Roman" w:cs="Times New Roman"/>
                <w:b/>
                <w:bCs/>
              </w:rPr>
            </w:pPr>
            <w:r w:rsidRPr="00D0532A">
              <w:rPr>
                <w:rFonts w:ascii="Times New Roman" w:hAnsi="Times New Roman" w:cs="Times New Roman"/>
                <w:b/>
                <w:bCs/>
              </w:rPr>
              <w:t>Aktivnost/projekt</w:t>
            </w:r>
          </w:p>
        </w:tc>
        <w:tc>
          <w:tcPr>
            <w:tcW w:w="813" w:type="pct"/>
            <w:shd w:val="clear" w:color="auto" w:fill="BFBFBF"/>
          </w:tcPr>
          <w:p w14:paraId="056D223C" w14:textId="77777777" w:rsidR="0081662F" w:rsidRPr="00D0532A" w:rsidRDefault="0081662F" w:rsidP="00EB2357">
            <w:pPr>
              <w:jc w:val="center"/>
              <w:rPr>
                <w:rFonts w:ascii="Times New Roman" w:hAnsi="Times New Roman" w:cs="Times New Roman"/>
              </w:rPr>
            </w:pPr>
            <w:r w:rsidRPr="00D0532A">
              <w:rPr>
                <w:rFonts w:ascii="Times New Roman" w:hAnsi="Times New Roman" w:cs="Times New Roman"/>
              </w:rPr>
              <w:t>Rebalans 2024.</w:t>
            </w:r>
          </w:p>
        </w:tc>
        <w:tc>
          <w:tcPr>
            <w:tcW w:w="813" w:type="pct"/>
            <w:shd w:val="clear" w:color="auto" w:fill="BFBFBF"/>
          </w:tcPr>
          <w:p w14:paraId="46C7122A" w14:textId="77777777" w:rsidR="0081662F" w:rsidRPr="00D0532A" w:rsidRDefault="0081662F" w:rsidP="00EB2357">
            <w:pPr>
              <w:jc w:val="center"/>
              <w:rPr>
                <w:rFonts w:ascii="Times New Roman" w:hAnsi="Times New Roman" w:cs="Times New Roman"/>
              </w:rPr>
            </w:pPr>
            <w:r w:rsidRPr="00D0532A">
              <w:rPr>
                <w:rFonts w:ascii="Times New Roman" w:hAnsi="Times New Roman" w:cs="Times New Roman"/>
              </w:rPr>
              <w:t>Izvršenje 2024</w:t>
            </w:r>
          </w:p>
        </w:tc>
        <w:tc>
          <w:tcPr>
            <w:tcW w:w="881" w:type="pct"/>
            <w:shd w:val="clear" w:color="auto" w:fill="BFBFBF"/>
          </w:tcPr>
          <w:p w14:paraId="5E10C234" w14:textId="77777777" w:rsidR="0081662F" w:rsidRPr="00D0532A" w:rsidRDefault="0081662F" w:rsidP="00EB2357">
            <w:pPr>
              <w:jc w:val="center"/>
              <w:rPr>
                <w:rFonts w:ascii="Times New Roman" w:hAnsi="Times New Roman" w:cs="Times New Roman"/>
              </w:rPr>
            </w:pPr>
            <w:r w:rsidRPr="00D0532A">
              <w:rPr>
                <w:rFonts w:ascii="Times New Roman" w:hAnsi="Times New Roman" w:cs="Times New Roman"/>
              </w:rPr>
              <w:t>Indeks 2/1</w:t>
            </w:r>
          </w:p>
        </w:tc>
      </w:tr>
      <w:tr w:rsidR="0081662F" w:rsidRPr="00D0532A" w14:paraId="55AA22D5" w14:textId="77777777" w:rsidTr="00EB2357">
        <w:trPr>
          <w:trHeight w:val="525"/>
        </w:trPr>
        <w:tc>
          <w:tcPr>
            <w:tcW w:w="2492" w:type="pct"/>
            <w:shd w:val="clear" w:color="auto" w:fill="auto"/>
          </w:tcPr>
          <w:p w14:paraId="7AFDF69E" w14:textId="77777777" w:rsidR="0081662F" w:rsidRPr="00D0532A" w:rsidRDefault="0081662F" w:rsidP="00EB2357">
            <w:pPr>
              <w:rPr>
                <w:rFonts w:ascii="Times New Roman" w:hAnsi="Times New Roman" w:cs="Times New Roman"/>
              </w:rPr>
            </w:pPr>
            <w:r w:rsidRPr="00D0532A">
              <w:rPr>
                <w:rFonts w:ascii="Times New Roman" w:hAnsi="Times New Roman" w:cs="Times New Roman"/>
              </w:rPr>
              <w:t>Aktivnost A100601 Redovna djelatnost Knjižnice i čitaonice „Đuro Sudeta“</w:t>
            </w:r>
          </w:p>
        </w:tc>
        <w:tc>
          <w:tcPr>
            <w:tcW w:w="813" w:type="pct"/>
            <w:shd w:val="clear" w:color="auto" w:fill="auto"/>
            <w:vAlign w:val="center"/>
          </w:tcPr>
          <w:p w14:paraId="7BEB12CA" w14:textId="77777777" w:rsidR="0081662F" w:rsidRPr="00D0532A" w:rsidRDefault="0081662F" w:rsidP="00EB2357">
            <w:pPr>
              <w:jc w:val="right"/>
              <w:rPr>
                <w:rFonts w:ascii="Times New Roman" w:hAnsi="Times New Roman" w:cs="Times New Roman"/>
              </w:rPr>
            </w:pPr>
            <w:r w:rsidRPr="00D0532A">
              <w:rPr>
                <w:rFonts w:ascii="Times New Roman" w:hAnsi="Times New Roman" w:cs="Times New Roman"/>
              </w:rPr>
              <w:t>131.860,00</w:t>
            </w:r>
          </w:p>
        </w:tc>
        <w:tc>
          <w:tcPr>
            <w:tcW w:w="813" w:type="pct"/>
            <w:shd w:val="clear" w:color="auto" w:fill="auto"/>
            <w:vAlign w:val="center"/>
          </w:tcPr>
          <w:p w14:paraId="043CD848" w14:textId="123E06F1" w:rsidR="0081662F" w:rsidRPr="00D0532A" w:rsidRDefault="00132F9E" w:rsidP="00EB2357">
            <w:pPr>
              <w:jc w:val="right"/>
              <w:rPr>
                <w:rFonts w:ascii="Times New Roman" w:hAnsi="Times New Roman" w:cs="Times New Roman"/>
              </w:rPr>
            </w:pPr>
            <w:r>
              <w:rPr>
                <w:rFonts w:ascii="Times New Roman" w:hAnsi="Times New Roman" w:cs="Times New Roman"/>
              </w:rPr>
              <w:t>128.481,95</w:t>
            </w:r>
          </w:p>
        </w:tc>
        <w:tc>
          <w:tcPr>
            <w:tcW w:w="881" w:type="pct"/>
            <w:shd w:val="clear" w:color="auto" w:fill="auto"/>
            <w:vAlign w:val="center"/>
          </w:tcPr>
          <w:p w14:paraId="2D41F03D" w14:textId="22D25F97" w:rsidR="0081662F" w:rsidRPr="00D0532A" w:rsidRDefault="00132F9E" w:rsidP="00132F9E">
            <w:pPr>
              <w:jc w:val="center"/>
              <w:rPr>
                <w:rFonts w:ascii="Times New Roman" w:hAnsi="Times New Roman" w:cs="Times New Roman"/>
              </w:rPr>
            </w:pPr>
            <w:r>
              <w:rPr>
                <w:rFonts w:ascii="Times New Roman" w:hAnsi="Times New Roman" w:cs="Times New Roman"/>
              </w:rPr>
              <w:t>96,22</w:t>
            </w:r>
          </w:p>
        </w:tc>
      </w:tr>
      <w:tr w:rsidR="0081662F" w:rsidRPr="00D0532A" w14:paraId="462B9A18" w14:textId="77777777" w:rsidTr="00EB2357">
        <w:trPr>
          <w:trHeight w:val="498"/>
        </w:trPr>
        <w:tc>
          <w:tcPr>
            <w:tcW w:w="2492" w:type="pct"/>
            <w:shd w:val="clear" w:color="auto" w:fill="auto"/>
          </w:tcPr>
          <w:p w14:paraId="7B073AF0" w14:textId="77777777" w:rsidR="0081662F" w:rsidRPr="00D0532A" w:rsidRDefault="0081662F" w:rsidP="00EB2357">
            <w:pPr>
              <w:rPr>
                <w:rFonts w:ascii="Times New Roman" w:hAnsi="Times New Roman" w:cs="Times New Roman"/>
              </w:rPr>
            </w:pPr>
            <w:r w:rsidRPr="00D0532A">
              <w:rPr>
                <w:rFonts w:ascii="Times New Roman" w:hAnsi="Times New Roman" w:cs="Times New Roman"/>
              </w:rPr>
              <w:t>Aktivnost A100602 Održavanje opreme za redovno korištenje</w:t>
            </w:r>
          </w:p>
        </w:tc>
        <w:tc>
          <w:tcPr>
            <w:tcW w:w="813" w:type="pct"/>
            <w:shd w:val="clear" w:color="auto" w:fill="auto"/>
            <w:vAlign w:val="center"/>
          </w:tcPr>
          <w:p w14:paraId="5F6D092A" w14:textId="77777777" w:rsidR="0081662F" w:rsidRPr="00D0532A" w:rsidRDefault="0081662F" w:rsidP="00EB2357">
            <w:pPr>
              <w:jc w:val="right"/>
              <w:rPr>
                <w:rFonts w:ascii="Times New Roman" w:hAnsi="Times New Roman" w:cs="Times New Roman"/>
              </w:rPr>
            </w:pPr>
            <w:r w:rsidRPr="00D0532A">
              <w:rPr>
                <w:rFonts w:ascii="Times New Roman" w:hAnsi="Times New Roman" w:cs="Times New Roman"/>
              </w:rPr>
              <w:t>0,00</w:t>
            </w:r>
          </w:p>
        </w:tc>
        <w:tc>
          <w:tcPr>
            <w:tcW w:w="813" w:type="pct"/>
            <w:shd w:val="clear" w:color="auto" w:fill="auto"/>
            <w:vAlign w:val="center"/>
          </w:tcPr>
          <w:p w14:paraId="75057363" w14:textId="25D753F3" w:rsidR="0081662F" w:rsidRPr="00D0532A" w:rsidRDefault="00132F9E" w:rsidP="00EB2357">
            <w:pPr>
              <w:jc w:val="right"/>
              <w:rPr>
                <w:rFonts w:ascii="Times New Roman" w:hAnsi="Times New Roman" w:cs="Times New Roman"/>
              </w:rPr>
            </w:pPr>
            <w:r>
              <w:rPr>
                <w:rFonts w:ascii="Times New Roman" w:hAnsi="Times New Roman" w:cs="Times New Roman"/>
              </w:rPr>
              <w:t>0,00</w:t>
            </w:r>
          </w:p>
        </w:tc>
        <w:tc>
          <w:tcPr>
            <w:tcW w:w="881" w:type="pct"/>
            <w:shd w:val="clear" w:color="auto" w:fill="auto"/>
            <w:vAlign w:val="center"/>
          </w:tcPr>
          <w:p w14:paraId="6D2882B7" w14:textId="636515BA" w:rsidR="0081662F" w:rsidRPr="00D0532A" w:rsidRDefault="00132F9E" w:rsidP="00132F9E">
            <w:pPr>
              <w:jc w:val="center"/>
              <w:rPr>
                <w:rFonts w:ascii="Times New Roman" w:hAnsi="Times New Roman" w:cs="Times New Roman"/>
              </w:rPr>
            </w:pPr>
            <w:r>
              <w:rPr>
                <w:rFonts w:ascii="Times New Roman" w:hAnsi="Times New Roman" w:cs="Times New Roman"/>
              </w:rPr>
              <w:t>0,00</w:t>
            </w:r>
          </w:p>
        </w:tc>
      </w:tr>
      <w:tr w:rsidR="0081662F" w:rsidRPr="00D0532A" w14:paraId="1FA4B81B" w14:textId="77777777" w:rsidTr="00EB2357">
        <w:trPr>
          <w:trHeight w:val="498"/>
        </w:trPr>
        <w:tc>
          <w:tcPr>
            <w:tcW w:w="2492" w:type="pct"/>
            <w:shd w:val="clear" w:color="auto" w:fill="auto"/>
          </w:tcPr>
          <w:p w14:paraId="11C36F0D" w14:textId="77777777" w:rsidR="0081662F" w:rsidRPr="00D0532A" w:rsidRDefault="0081662F" w:rsidP="00EB2357">
            <w:pPr>
              <w:rPr>
                <w:rFonts w:ascii="Times New Roman" w:hAnsi="Times New Roman" w:cs="Times New Roman"/>
              </w:rPr>
            </w:pPr>
            <w:r w:rsidRPr="00D0532A">
              <w:rPr>
                <w:rFonts w:ascii="Times New Roman" w:hAnsi="Times New Roman" w:cs="Times New Roman"/>
              </w:rPr>
              <w:t>Aktivnost A100603 Održavanje poslovnog objekta knjižnice za redovno korištenje</w:t>
            </w:r>
          </w:p>
        </w:tc>
        <w:tc>
          <w:tcPr>
            <w:tcW w:w="813" w:type="pct"/>
            <w:shd w:val="clear" w:color="auto" w:fill="auto"/>
            <w:vAlign w:val="center"/>
          </w:tcPr>
          <w:p w14:paraId="11880185" w14:textId="77777777" w:rsidR="0081662F" w:rsidRPr="00D0532A" w:rsidRDefault="0081662F" w:rsidP="00EB2357">
            <w:pPr>
              <w:jc w:val="right"/>
              <w:rPr>
                <w:rFonts w:ascii="Times New Roman" w:hAnsi="Times New Roman" w:cs="Times New Roman"/>
              </w:rPr>
            </w:pPr>
            <w:r w:rsidRPr="00D0532A">
              <w:rPr>
                <w:rFonts w:ascii="Times New Roman" w:hAnsi="Times New Roman" w:cs="Times New Roman"/>
              </w:rPr>
              <w:t>750,00</w:t>
            </w:r>
          </w:p>
        </w:tc>
        <w:tc>
          <w:tcPr>
            <w:tcW w:w="813" w:type="pct"/>
            <w:shd w:val="clear" w:color="auto" w:fill="auto"/>
            <w:vAlign w:val="center"/>
          </w:tcPr>
          <w:p w14:paraId="29AEFCD8" w14:textId="168754CC" w:rsidR="0081662F" w:rsidRPr="00D0532A" w:rsidRDefault="00132F9E" w:rsidP="00EB2357">
            <w:pPr>
              <w:jc w:val="right"/>
              <w:rPr>
                <w:rFonts w:ascii="Times New Roman" w:hAnsi="Times New Roman" w:cs="Times New Roman"/>
              </w:rPr>
            </w:pPr>
            <w:r>
              <w:rPr>
                <w:rFonts w:ascii="Times New Roman" w:hAnsi="Times New Roman" w:cs="Times New Roman"/>
              </w:rPr>
              <w:t>750,00</w:t>
            </w:r>
          </w:p>
        </w:tc>
        <w:tc>
          <w:tcPr>
            <w:tcW w:w="881" w:type="pct"/>
            <w:shd w:val="clear" w:color="auto" w:fill="auto"/>
            <w:vAlign w:val="center"/>
          </w:tcPr>
          <w:p w14:paraId="3926C6C8" w14:textId="21621744" w:rsidR="0081662F" w:rsidRPr="00D0532A" w:rsidRDefault="00132F9E" w:rsidP="00132F9E">
            <w:pPr>
              <w:jc w:val="center"/>
              <w:rPr>
                <w:rFonts w:ascii="Times New Roman" w:hAnsi="Times New Roman" w:cs="Times New Roman"/>
              </w:rPr>
            </w:pPr>
            <w:r>
              <w:rPr>
                <w:rFonts w:ascii="Times New Roman" w:hAnsi="Times New Roman" w:cs="Times New Roman"/>
              </w:rPr>
              <w:t>100,00</w:t>
            </w:r>
          </w:p>
        </w:tc>
      </w:tr>
      <w:tr w:rsidR="0081662F" w:rsidRPr="00D0532A" w14:paraId="0ED42910" w14:textId="77777777" w:rsidTr="00EB2357">
        <w:trPr>
          <w:trHeight w:val="261"/>
        </w:trPr>
        <w:tc>
          <w:tcPr>
            <w:tcW w:w="2492" w:type="pct"/>
            <w:shd w:val="clear" w:color="auto" w:fill="auto"/>
          </w:tcPr>
          <w:p w14:paraId="0D37A84C" w14:textId="77777777" w:rsidR="0081662F" w:rsidRPr="00D0532A" w:rsidRDefault="0081662F" w:rsidP="00EB2357">
            <w:pPr>
              <w:rPr>
                <w:rFonts w:ascii="Times New Roman" w:hAnsi="Times New Roman" w:cs="Times New Roman"/>
              </w:rPr>
            </w:pPr>
            <w:r w:rsidRPr="00D0532A">
              <w:rPr>
                <w:rFonts w:ascii="Times New Roman" w:hAnsi="Times New Roman" w:cs="Times New Roman"/>
              </w:rPr>
              <w:t>Kapitalni projekt</w:t>
            </w:r>
            <w:r w:rsidRPr="00D0532A">
              <w:rPr>
                <w:rFonts w:ascii="Times New Roman" w:eastAsia="Calibri" w:hAnsi="Times New Roman" w:cs="Times New Roman"/>
              </w:rPr>
              <w:t xml:space="preserve"> </w:t>
            </w:r>
            <w:r w:rsidRPr="00D0532A">
              <w:rPr>
                <w:rFonts w:ascii="Times New Roman" w:hAnsi="Times New Roman" w:cs="Times New Roman"/>
              </w:rPr>
              <w:t>K100601 Opremanje knjižnice</w:t>
            </w:r>
          </w:p>
        </w:tc>
        <w:tc>
          <w:tcPr>
            <w:tcW w:w="813" w:type="pct"/>
            <w:shd w:val="clear" w:color="auto" w:fill="auto"/>
            <w:vAlign w:val="center"/>
          </w:tcPr>
          <w:p w14:paraId="2B401FD6" w14:textId="77777777" w:rsidR="0081662F" w:rsidRPr="00D0532A" w:rsidRDefault="0081662F" w:rsidP="00EB2357">
            <w:pPr>
              <w:jc w:val="right"/>
              <w:rPr>
                <w:rFonts w:ascii="Times New Roman" w:hAnsi="Times New Roman" w:cs="Times New Roman"/>
              </w:rPr>
            </w:pPr>
            <w:r w:rsidRPr="00D0532A">
              <w:rPr>
                <w:rFonts w:ascii="Times New Roman" w:eastAsia="Calibri" w:hAnsi="Times New Roman" w:cs="Times New Roman"/>
                <w:lang w:val="en-US"/>
              </w:rPr>
              <w:t>33.290,00</w:t>
            </w:r>
          </w:p>
        </w:tc>
        <w:tc>
          <w:tcPr>
            <w:tcW w:w="813" w:type="pct"/>
            <w:shd w:val="clear" w:color="auto" w:fill="auto"/>
            <w:vAlign w:val="center"/>
          </w:tcPr>
          <w:p w14:paraId="56121F5F" w14:textId="5A1C38AA" w:rsidR="0081662F" w:rsidRPr="00D0532A" w:rsidRDefault="00132F9E" w:rsidP="00EB2357">
            <w:pPr>
              <w:jc w:val="right"/>
              <w:rPr>
                <w:rFonts w:ascii="Times New Roman" w:hAnsi="Times New Roman" w:cs="Times New Roman"/>
              </w:rPr>
            </w:pPr>
            <w:r>
              <w:rPr>
                <w:rFonts w:ascii="Times New Roman" w:hAnsi="Times New Roman" w:cs="Times New Roman"/>
              </w:rPr>
              <w:t>32.231,37</w:t>
            </w:r>
          </w:p>
        </w:tc>
        <w:tc>
          <w:tcPr>
            <w:tcW w:w="881" w:type="pct"/>
            <w:shd w:val="clear" w:color="auto" w:fill="auto"/>
            <w:vAlign w:val="center"/>
          </w:tcPr>
          <w:p w14:paraId="104A560F" w14:textId="0BF5C5FD" w:rsidR="0081662F" w:rsidRPr="00D0532A" w:rsidRDefault="00132F9E" w:rsidP="00132F9E">
            <w:pPr>
              <w:jc w:val="center"/>
              <w:rPr>
                <w:rFonts w:ascii="Times New Roman" w:hAnsi="Times New Roman" w:cs="Times New Roman"/>
              </w:rPr>
            </w:pPr>
            <w:r>
              <w:rPr>
                <w:rFonts w:ascii="Times New Roman" w:hAnsi="Times New Roman" w:cs="Times New Roman"/>
              </w:rPr>
              <w:t>96,82</w:t>
            </w:r>
          </w:p>
        </w:tc>
      </w:tr>
      <w:tr w:rsidR="0081662F" w:rsidRPr="00D0532A" w14:paraId="27DFDB64" w14:textId="77777777" w:rsidTr="00EB2357">
        <w:trPr>
          <w:trHeight w:val="249"/>
        </w:trPr>
        <w:tc>
          <w:tcPr>
            <w:tcW w:w="2492" w:type="pct"/>
            <w:shd w:val="clear" w:color="auto" w:fill="auto"/>
          </w:tcPr>
          <w:p w14:paraId="7C37F358" w14:textId="77777777" w:rsidR="0081662F" w:rsidRPr="00D0532A" w:rsidRDefault="0081662F" w:rsidP="00EB2357">
            <w:pPr>
              <w:rPr>
                <w:rFonts w:ascii="Times New Roman" w:hAnsi="Times New Roman" w:cs="Times New Roman"/>
                <w:b/>
                <w:bCs/>
              </w:rPr>
            </w:pPr>
            <w:r w:rsidRPr="00D0532A">
              <w:rPr>
                <w:rFonts w:ascii="Times New Roman" w:hAnsi="Times New Roman" w:cs="Times New Roman"/>
                <w:b/>
                <w:bCs/>
              </w:rPr>
              <w:t>Ukupno projekt</w:t>
            </w:r>
          </w:p>
        </w:tc>
        <w:tc>
          <w:tcPr>
            <w:tcW w:w="813" w:type="pct"/>
            <w:shd w:val="clear" w:color="auto" w:fill="auto"/>
            <w:vAlign w:val="center"/>
          </w:tcPr>
          <w:p w14:paraId="097F8171" w14:textId="77777777" w:rsidR="0081662F" w:rsidRPr="00D0532A" w:rsidRDefault="0081662F" w:rsidP="00EB2357">
            <w:pPr>
              <w:jc w:val="right"/>
              <w:rPr>
                <w:rFonts w:ascii="Times New Roman" w:hAnsi="Times New Roman" w:cs="Times New Roman"/>
                <w:b/>
                <w:bCs/>
              </w:rPr>
            </w:pPr>
            <w:r w:rsidRPr="00D0532A">
              <w:rPr>
                <w:rFonts w:ascii="Times New Roman" w:eastAsia="Calibri" w:hAnsi="Times New Roman" w:cs="Times New Roman"/>
                <w:b/>
                <w:bCs/>
                <w:lang w:val="en-US"/>
              </w:rPr>
              <w:t>165.900,00</w:t>
            </w:r>
          </w:p>
        </w:tc>
        <w:tc>
          <w:tcPr>
            <w:tcW w:w="813" w:type="pct"/>
            <w:shd w:val="clear" w:color="auto" w:fill="auto"/>
            <w:vAlign w:val="center"/>
          </w:tcPr>
          <w:p w14:paraId="7B9572EF" w14:textId="75C7438C" w:rsidR="0081662F" w:rsidRPr="00D0532A" w:rsidRDefault="00132F9E" w:rsidP="00EB2357">
            <w:pPr>
              <w:jc w:val="right"/>
              <w:rPr>
                <w:rFonts w:ascii="Times New Roman" w:hAnsi="Times New Roman" w:cs="Times New Roman"/>
                <w:b/>
                <w:bCs/>
              </w:rPr>
            </w:pPr>
            <w:r>
              <w:rPr>
                <w:rFonts w:ascii="Times New Roman" w:hAnsi="Times New Roman" w:cs="Times New Roman"/>
                <w:b/>
                <w:bCs/>
              </w:rPr>
              <w:t>161.463,32</w:t>
            </w:r>
          </w:p>
        </w:tc>
        <w:tc>
          <w:tcPr>
            <w:tcW w:w="881" w:type="pct"/>
            <w:shd w:val="clear" w:color="auto" w:fill="auto"/>
            <w:vAlign w:val="center"/>
          </w:tcPr>
          <w:p w14:paraId="2F674571" w14:textId="5E38ED43" w:rsidR="0081662F" w:rsidRPr="00D0532A" w:rsidRDefault="00132F9E" w:rsidP="00132F9E">
            <w:pPr>
              <w:jc w:val="center"/>
              <w:rPr>
                <w:rFonts w:ascii="Times New Roman" w:hAnsi="Times New Roman" w:cs="Times New Roman"/>
                <w:b/>
                <w:bCs/>
              </w:rPr>
            </w:pPr>
            <w:r>
              <w:rPr>
                <w:rFonts w:ascii="Times New Roman" w:hAnsi="Times New Roman" w:cs="Times New Roman"/>
                <w:b/>
                <w:bCs/>
              </w:rPr>
              <w:t>96,35</w:t>
            </w:r>
          </w:p>
        </w:tc>
      </w:tr>
    </w:tbl>
    <w:p w14:paraId="51F04EEA" w14:textId="77777777" w:rsidR="0081662F" w:rsidRPr="00D0532A" w:rsidRDefault="0081662F" w:rsidP="0081662F">
      <w:pPr>
        <w:jc w:val="both"/>
        <w:rPr>
          <w:rFonts w:ascii="Times New Roman" w:hAnsi="Times New Roman" w:cs="Times New Roman"/>
          <w:b/>
          <w:bCs/>
          <w:lang w:eastAsia="hr-HR"/>
        </w:rPr>
      </w:pPr>
    </w:p>
    <w:p w14:paraId="0B103AB5" w14:textId="2BA16CBD" w:rsidR="0081662F" w:rsidRPr="00D0532A" w:rsidRDefault="0081662F" w:rsidP="0081662F">
      <w:pPr>
        <w:jc w:val="both"/>
        <w:rPr>
          <w:rFonts w:ascii="Times New Roman" w:hAnsi="Times New Roman" w:cs="Times New Roman"/>
          <w:bCs/>
          <w:lang w:eastAsia="hr-HR"/>
        </w:rPr>
      </w:pPr>
      <w:r w:rsidRPr="00D0532A">
        <w:rPr>
          <w:rFonts w:ascii="Times New Roman" w:hAnsi="Times New Roman" w:cs="Times New Roman"/>
          <w:b/>
          <w:iCs/>
          <w:lang w:eastAsia="hr-HR"/>
        </w:rPr>
        <w:lastRenderedPageBreak/>
        <w:t>Aktivnost A100601</w:t>
      </w:r>
      <w:r w:rsidRPr="00D0532A">
        <w:rPr>
          <w:rFonts w:ascii="Times New Roman" w:hAnsi="Times New Roman" w:cs="Times New Roman"/>
          <w:b/>
          <w:i/>
          <w:lang w:eastAsia="hr-HR"/>
        </w:rPr>
        <w:t xml:space="preserve"> </w:t>
      </w:r>
      <w:r w:rsidRPr="00D0532A">
        <w:rPr>
          <w:rFonts w:ascii="Times New Roman" w:hAnsi="Times New Roman" w:cs="Times New Roman"/>
          <w:b/>
          <w:lang w:eastAsia="hr-HR"/>
        </w:rPr>
        <w:t xml:space="preserve">Redovna djelatnost knjižnice </w:t>
      </w:r>
      <w:r w:rsidRPr="00D0532A">
        <w:rPr>
          <w:rFonts w:ascii="Times New Roman" w:hAnsi="Times New Roman" w:cs="Times New Roman"/>
          <w:bCs/>
          <w:lang w:eastAsia="hr-HR"/>
        </w:rPr>
        <w:t xml:space="preserve">– ostvareno u iznosu od </w:t>
      </w:r>
      <w:r w:rsidR="00132F9E">
        <w:rPr>
          <w:rFonts w:ascii="Times New Roman" w:hAnsi="Times New Roman" w:cs="Times New Roman"/>
          <w:bCs/>
          <w:lang w:eastAsia="hr-HR"/>
        </w:rPr>
        <w:t>128.481,95</w:t>
      </w:r>
      <w:r w:rsidRPr="00D0532A">
        <w:rPr>
          <w:rFonts w:ascii="Times New Roman" w:hAnsi="Times New Roman" w:cs="Times New Roman"/>
          <w:bCs/>
          <w:lang w:eastAsia="hr-HR"/>
        </w:rPr>
        <w:t xml:space="preserve"> eura odnosno 9</w:t>
      </w:r>
      <w:r w:rsidR="00132F9E">
        <w:rPr>
          <w:rFonts w:ascii="Times New Roman" w:hAnsi="Times New Roman" w:cs="Times New Roman"/>
          <w:bCs/>
          <w:lang w:eastAsia="hr-HR"/>
        </w:rPr>
        <w:t>6,22</w:t>
      </w:r>
      <w:r w:rsidRPr="00D0532A">
        <w:rPr>
          <w:rFonts w:ascii="Times New Roman" w:hAnsi="Times New Roman" w:cs="Times New Roman"/>
          <w:bCs/>
          <w:lang w:eastAsia="hr-HR"/>
        </w:rPr>
        <w:t>% izvršenja plana.</w:t>
      </w:r>
    </w:p>
    <w:p w14:paraId="08A8E11D" w14:textId="77777777" w:rsidR="0081662F" w:rsidRPr="00D0532A" w:rsidRDefault="0081662F" w:rsidP="0081662F">
      <w:pPr>
        <w:jc w:val="both"/>
        <w:rPr>
          <w:rFonts w:ascii="Times New Roman" w:hAnsi="Times New Roman" w:cs="Times New Roman"/>
          <w:bCs/>
          <w:lang w:eastAsia="hr-HR"/>
        </w:rPr>
      </w:pPr>
      <w:r w:rsidRPr="00D0532A">
        <w:rPr>
          <w:rFonts w:ascii="Times New Roman" w:hAnsi="Times New Roman" w:cs="Times New Roman"/>
          <w:b/>
          <w:lang w:eastAsia="hr-HR"/>
        </w:rPr>
        <w:t xml:space="preserve">Aktivnost A 100603 Održavanje poslovnog objekta knjižnice – </w:t>
      </w:r>
      <w:r w:rsidRPr="00D0532A">
        <w:rPr>
          <w:rFonts w:ascii="Times New Roman" w:hAnsi="Times New Roman" w:cs="Times New Roman"/>
          <w:bCs/>
          <w:lang w:eastAsia="hr-HR"/>
        </w:rPr>
        <w:t>za redovno korištenje ostvareno 750,00 eura odnosno 100,00% izvršenje plana</w:t>
      </w:r>
    </w:p>
    <w:p w14:paraId="51D0C138" w14:textId="535BCEF0" w:rsidR="0081662F" w:rsidRPr="00D0532A" w:rsidRDefault="0081662F" w:rsidP="0081662F">
      <w:pPr>
        <w:jc w:val="both"/>
        <w:rPr>
          <w:rFonts w:ascii="Times New Roman" w:hAnsi="Times New Roman" w:cs="Times New Roman"/>
          <w:bCs/>
          <w:lang w:eastAsia="hr-HR"/>
        </w:rPr>
      </w:pPr>
      <w:r w:rsidRPr="00D0532A">
        <w:rPr>
          <w:rFonts w:ascii="Times New Roman" w:hAnsi="Times New Roman" w:cs="Times New Roman"/>
          <w:b/>
          <w:lang w:eastAsia="hr-HR"/>
        </w:rPr>
        <w:t xml:space="preserve">Kapitalni projekt K 100601  opremanje knjižnice </w:t>
      </w:r>
      <w:r w:rsidRPr="00D0532A">
        <w:rPr>
          <w:rFonts w:ascii="Times New Roman" w:hAnsi="Times New Roman" w:cs="Times New Roman"/>
          <w:bCs/>
          <w:lang w:eastAsia="hr-HR"/>
        </w:rPr>
        <w:t>– ostvareno u iznosu 32.231,37 eura odnosno 96,82% izvršenje plana. Nabavljen</w:t>
      </w:r>
      <w:r w:rsidR="00132F9E">
        <w:rPr>
          <w:rFonts w:ascii="Times New Roman" w:hAnsi="Times New Roman" w:cs="Times New Roman"/>
          <w:bCs/>
          <w:lang w:eastAsia="hr-HR"/>
        </w:rPr>
        <w:t>a je</w:t>
      </w:r>
      <w:r w:rsidRPr="00D0532A">
        <w:rPr>
          <w:rFonts w:ascii="Times New Roman" w:hAnsi="Times New Roman" w:cs="Times New Roman"/>
          <w:bCs/>
          <w:lang w:eastAsia="hr-HR"/>
        </w:rPr>
        <w:t xml:space="preserve"> uredsk</w:t>
      </w:r>
      <w:r w:rsidR="00132F9E">
        <w:rPr>
          <w:rFonts w:ascii="Times New Roman" w:hAnsi="Times New Roman" w:cs="Times New Roman"/>
          <w:bCs/>
          <w:lang w:eastAsia="hr-HR"/>
        </w:rPr>
        <w:t>a</w:t>
      </w:r>
      <w:r w:rsidRPr="00D0532A">
        <w:rPr>
          <w:rFonts w:ascii="Times New Roman" w:hAnsi="Times New Roman" w:cs="Times New Roman"/>
          <w:bCs/>
          <w:lang w:eastAsia="hr-HR"/>
        </w:rPr>
        <w:t xml:space="preserve"> oprem</w:t>
      </w:r>
      <w:r w:rsidR="00132F9E">
        <w:rPr>
          <w:rFonts w:ascii="Times New Roman" w:hAnsi="Times New Roman" w:cs="Times New Roman"/>
          <w:bCs/>
          <w:lang w:eastAsia="hr-HR"/>
        </w:rPr>
        <w:t>a</w:t>
      </w:r>
      <w:r w:rsidRPr="00D0532A">
        <w:rPr>
          <w:rFonts w:ascii="Times New Roman" w:hAnsi="Times New Roman" w:cs="Times New Roman"/>
          <w:bCs/>
          <w:lang w:eastAsia="hr-HR"/>
        </w:rPr>
        <w:t xml:space="preserve"> te se ulagalo u redovnu kupnju knjiga te otkup knjiga od Ministarstva kulture i medija Republike Hrvatske.</w:t>
      </w:r>
    </w:p>
    <w:p w14:paraId="50915736" w14:textId="77777777" w:rsidR="0081662F" w:rsidRPr="00D0532A" w:rsidRDefault="0081662F" w:rsidP="0081662F">
      <w:pPr>
        <w:rPr>
          <w:rFonts w:ascii="Times New Roman" w:eastAsia="Calibri" w:hAnsi="Times New Roman" w:cs="Times New Roman"/>
          <w:b/>
          <w:bCs/>
        </w:rPr>
      </w:pPr>
      <w:r w:rsidRPr="00D0532A">
        <w:rPr>
          <w:rFonts w:ascii="Times New Roman" w:eastAsia="Calibri" w:hAnsi="Times New Roman" w:cs="Times New Roman"/>
          <w:b/>
          <w:bCs/>
        </w:rPr>
        <w:t xml:space="preserve">Pokazatelji uspješnosti/ciljana vrijednost </w:t>
      </w:r>
    </w:p>
    <w:p w14:paraId="72CB9299" w14:textId="77777777" w:rsidR="0081662F" w:rsidRPr="00D0532A" w:rsidRDefault="0081662F" w:rsidP="0081662F">
      <w:pPr>
        <w:rPr>
          <w:rFonts w:ascii="Times New Roman" w:eastAsia="Calibri" w:hAnsi="Times New Roman" w:cs="Times New Roman"/>
        </w:rPr>
      </w:pPr>
      <w:r w:rsidRPr="00D0532A">
        <w:rPr>
          <w:rFonts w:ascii="Times New Roman" w:eastAsia="Calibri" w:hAnsi="Times New Roman" w:cs="Times New Roman"/>
        </w:rPr>
        <w:t>Mjerenje uspješnosti temelji se na godišnjem programu</w:t>
      </w:r>
    </w:p>
    <w:p w14:paraId="06C3EB93" w14:textId="77777777" w:rsidR="0081662F" w:rsidRPr="00D0532A" w:rsidRDefault="0081662F" w:rsidP="0081662F">
      <w:pPr>
        <w:rPr>
          <w:rFonts w:ascii="Times New Roman" w:eastAsia="Calibri" w:hAnsi="Times New Roman" w:cs="Times New Roman"/>
        </w:rPr>
      </w:pPr>
      <w:r w:rsidRPr="00D0532A">
        <w:rPr>
          <w:rFonts w:ascii="Times New Roman" w:eastAsia="Calibri" w:hAnsi="Times New Roman" w:cs="Times New Roman"/>
        </w:rPr>
        <w:t>Mjerenje utvrđenih ciljeva i rezultata programa Hrvatske knjižnice i čitaonice Đuro Sudeta kao i postignuti ciljevi utvrđeni su kako slijedi:</w:t>
      </w:r>
    </w:p>
    <w:p w14:paraId="253120C6" w14:textId="77777777" w:rsidR="0081662F" w:rsidRPr="00D0532A" w:rsidRDefault="0081662F" w:rsidP="0081662F">
      <w:pPr>
        <w:rPr>
          <w:rFonts w:ascii="Times New Roman" w:eastAsia="Calibri" w:hAnsi="Times New Roman" w:cs="Times New Roman"/>
        </w:rPr>
      </w:pPr>
      <w:r w:rsidRPr="00D0532A">
        <w:rPr>
          <w:rFonts w:ascii="Times New Roman" w:eastAsia="Calibri" w:hAnsi="Times New Roman" w:cs="Times New Roman"/>
        </w:rPr>
        <w:t>1.Cilj i pokazatelji uspješnosti / Popularizacija hrvatske i strane književnosti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232"/>
        <w:gridCol w:w="1221"/>
        <w:gridCol w:w="1107"/>
        <w:gridCol w:w="1039"/>
        <w:gridCol w:w="1027"/>
        <w:gridCol w:w="1107"/>
        <w:gridCol w:w="1107"/>
      </w:tblGrid>
      <w:tr w:rsidR="0081662F" w:rsidRPr="00D0532A" w14:paraId="067EE2A6" w14:textId="77777777" w:rsidTr="00EB2357">
        <w:tc>
          <w:tcPr>
            <w:tcW w:w="1444" w:type="dxa"/>
            <w:shd w:val="clear" w:color="auto" w:fill="BFBFBF"/>
          </w:tcPr>
          <w:p w14:paraId="68C31283" w14:textId="77777777" w:rsidR="0081662F" w:rsidRPr="00D0532A" w:rsidRDefault="0081662F" w:rsidP="00EB2357">
            <w:pPr>
              <w:jc w:val="center"/>
              <w:rPr>
                <w:rFonts w:ascii="Times New Roman" w:eastAsia="Calibri" w:hAnsi="Times New Roman" w:cs="Times New Roman"/>
                <w:b/>
                <w:bCs/>
              </w:rPr>
            </w:pPr>
            <w:r w:rsidRPr="00D0532A">
              <w:rPr>
                <w:rFonts w:ascii="Times New Roman" w:eastAsia="Calibri" w:hAnsi="Times New Roman" w:cs="Times New Roman"/>
                <w:b/>
                <w:bCs/>
              </w:rPr>
              <w:t>Pokazatelj rezultata</w:t>
            </w:r>
          </w:p>
        </w:tc>
        <w:tc>
          <w:tcPr>
            <w:tcW w:w="1444" w:type="dxa"/>
            <w:shd w:val="clear" w:color="auto" w:fill="BFBFBF"/>
          </w:tcPr>
          <w:p w14:paraId="1EAA097A" w14:textId="77777777" w:rsidR="0081662F" w:rsidRPr="00D0532A" w:rsidRDefault="0081662F" w:rsidP="00EB2357">
            <w:pPr>
              <w:jc w:val="center"/>
              <w:rPr>
                <w:rFonts w:ascii="Times New Roman" w:eastAsia="Calibri" w:hAnsi="Times New Roman" w:cs="Times New Roman"/>
                <w:b/>
                <w:bCs/>
              </w:rPr>
            </w:pPr>
            <w:r w:rsidRPr="00D0532A">
              <w:rPr>
                <w:rFonts w:ascii="Times New Roman" w:eastAsia="Calibri" w:hAnsi="Times New Roman" w:cs="Times New Roman"/>
                <w:b/>
                <w:bCs/>
              </w:rPr>
              <w:t>Definicija</w:t>
            </w:r>
          </w:p>
        </w:tc>
        <w:tc>
          <w:tcPr>
            <w:tcW w:w="1444" w:type="dxa"/>
            <w:shd w:val="clear" w:color="auto" w:fill="BFBFBF"/>
          </w:tcPr>
          <w:p w14:paraId="7C3A57A5" w14:textId="77777777" w:rsidR="0081662F" w:rsidRPr="00D0532A" w:rsidRDefault="0081662F" w:rsidP="00EB2357">
            <w:pPr>
              <w:jc w:val="center"/>
              <w:rPr>
                <w:rFonts w:ascii="Times New Roman" w:eastAsia="Calibri" w:hAnsi="Times New Roman" w:cs="Times New Roman"/>
                <w:b/>
                <w:bCs/>
              </w:rPr>
            </w:pPr>
            <w:r w:rsidRPr="00D0532A">
              <w:rPr>
                <w:rFonts w:ascii="Times New Roman" w:eastAsia="Calibri" w:hAnsi="Times New Roman" w:cs="Times New Roman"/>
                <w:b/>
                <w:bCs/>
              </w:rPr>
              <w:t>Jedinica</w:t>
            </w:r>
          </w:p>
        </w:tc>
        <w:tc>
          <w:tcPr>
            <w:tcW w:w="1444" w:type="dxa"/>
            <w:shd w:val="clear" w:color="auto" w:fill="BFBFBF"/>
          </w:tcPr>
          <w:p w14:paraId="65415C56" w14:textId="77777777" w:rsidR="0081662F" w:rsidRPr="00D0532A" w:rsidRDefault="0081662F" w:rsidP="00EB2357">
            <w:pPr>
              <w:jc w:val="center"/>
              <w:rPr>
                <w:rFonts w:ascii="Times New Roman" w:eastAsia="Calibri" w:hAnsi="Times New Roman" w:cs="Times New Roman"/>
                <w:b/>
                <w:bCs/>
              </w:rPr>
            </w:pPr>
            <w:r w:rsidRPr="00D0532A">
              <w:rPr>
                <w:rFonts w:ascii="Times New Roman" w:eastAsia="Calibri" w:hAnsi="Times New Roman" w:cs="Times New Roman"/>
                <w:b/>
                <w:bCs/>
              </w:rPr>
              <w:t>Polazna vrijednost</w:t>
            </w:r>
          </w:p>
        </w:tc>
        <w:tc>
          <w:tcPr>
            <w:tcW w:w="1444" w:type="dxa"/>
            <w:shd w:val="clear" w:color="auto" w:fill="BFBFBF"/>
          </w:tcPr>
          <w:p w14:paraId="178031C7" w14:textId="77777777" w:rsidR="0081662F" w:rsidRPr="00D0532A" w:rsidRDefault="0081662F" w:rsidP="00EB2357">
            <w:pPr>
              <w:jc w:val="center"/>
              <w:rPr>
                <w:rFonts w:ascii="Times New Roman" w:eastAsia="Calibri" w:hAnsi="Times New Roman" w:cs="Times New Roman"/>
                <w:b/>
                <w:bCs/>
              </w:rPr>
            </w:pPr>
            <w:r w:rsidRPr="00D0532A">
              <w:rPr>
                <w:rFonts w:ascii="Times New Roman" w:eastAsia="Calibri" w:hAnsi="Times New Roman" w:cs="Times New Roman"/>
                <w:b/>
                <w:bCs/>
              </w:rPr>
              <w:t>Izvor podataka</w:t>
            </w:r>
          </w:p>
        </w:tc>
        <w:tc>
          <w:tcPr>
            <w:tcW w:w="1444" w:type="dxa"/>
            <w:shd w:val="clear" w:color="auto" w:fill="BFBFBF"/>
          </w:tcPr>
          <w:p w14:paraId="2C024D4D" w14:textId="77777777" w:rsidR="0081662F" w:rsidRPr="00D0532A" w:rsidRDefault="0081662F" w:rsidP="00EB2357">
            <w:pPr>
              <w:jc w:val="center"/>
              <w:rPr>
                <w:rFonts w:ascii="Times New Roman" w:eastAsia="Calibri" w:hAnsi="Times New Roman" w:cs="Times New Roman"/>
                <w:b/>
                <w:bCs/>
              </w:rPr>
            </w:pPr>
            <w:r w:rsidRPr="00D0532A">
              <w:rPr>
                <w:rFonts w:ascii="Times New Roman" w:eastAsia="Calibri" w:hAnsi="Times New Roman" w:cs="Times New Roman"/>
                <w:b/>
                <w:bCs/>
              </w:rPr>
              <w:t>Izvršenje 2024.</w:t>
            </w:r>
          </w:p>
        </w:tc>
        <w:tc>
          <w:tcPr>
            <w:tcW w:w="1444" w:type="dxa"/>
            <w:shd w:val="clear" w:color="auto" w:fill="BFBFBF"/>
          </w:tcPr>
          <w:p w14:paraId="6F5C4AAD" w14:textId="77777777" w:rsidR="0081662F" w:rsidRPr="00D0532A" w:rsidRDefault="0081662F" w:rsidP="00EB2357">
            <w:pPr>
              <w:jc w:val="center"/>
              <w:rPr>
                <w:rFonts w:ascii="Times New Roman" w:eastAsia="Calibri" w:hAnsi="Times New Roman" w:cs="Times New Roman"/>
                <w:b/>
                <w:bCs/>
              </w:rPr>
            </w:pPr>
            <w:r w:rsidRPr="00D0532A">
              <w:rPr>
                <w:rFonts w:ascii="Times New Roman" w:eastAsia="Calibri" w:hAnsi="Times New Roman" w:cs="Times New Roman"/>
                <w:b/>
                <w:bCs/>
              </w:rPr>
              <w:t>Ciljana vrijednost 2025.</w:t>
            </w:r>
          </w:p>
        </w:tc>
        <w:tc>
          <w:tcPr>
            <w:tcW w:w="1444" w:type="dxa"/>
            <w:shd w:val="clear" w:color="auto" w:fill="BFBFBF"/>
          </w:tcPr>
          <w:p w14:paraId="42A9C888" w14:textId="77777777" w:rsidR="0081662F" w:rsidRPr="00D0532A" w:rsidRDefault="0081662F" w:rsidP="00EB2357">
            <w:pPr>
              <w:jc w:val="center"/>
              <w:rPr>
                <w:rFonts w:ascii="Times New Roman" w:eastAsia="Calibri" w:hAnsi="Times New Roman" w:cs="Times New Roman"/>
                <w:b/>
                <w:bCs/>
              </w:rPr>
            </w:pPr>
            <w:r w:rsidRPr="00D0532A">
              <w:rPr>
                <w:rFonts w:ascii="Times New Roman" w:eastAsia="Calibri" w:hAnsi="Times New Roman" w:cs="Times New Roman"/>
                <w:b/>
                <w:bCs/>
              </w:rPr>
              <w:t>Ciljana vrijednost 2026.</w:t>
            </w:r>
          </w:p>
        </w:tc>
      </w:tr>
      <w:tr w:rsidR="0081662F" w:rsidRPr="00D0532A" w14:paraId="4C174EA2" w14:textId="77777777" w:rsidTr="00EB2357">
        <w:tc>
          <w:tcPr>
            <w:tcW w:w="1444" w:type="dxa"/>
            <w:shd w:val="clear" w:color="auto" w:fill="auto"/>
          </w:tcPr>
          <w:p w14:paraId="4CC9BA98" w14:textId="77777777" w:rsidR="0081662F" w:rsidRPr="00D0532A" w:rsidRDefault="0081662F" w:rsidP="00EB2357">
            <w:pPr>
              <w:rPr>
                <w:rFonts w:ascii="Times New Roman" w:eastAsia="Calibri" w:hAnsi="Times New Roman" w:cs="Times New Roman"/>
              </w:rPr>
            </w:pPr>
            <w:r w:rsidRPr="00D0532A">
              <w:rPr>
                <w:rFonts w:ascii="Times New Roman" w:eastAsia="Calibri" w:hAnsi="Times New Roman" w:cs="Times New Roman"/>
              </w:rPr>
              <w:t xml:space="preserve">Povećanje dostupnosti vrijednih književnih djela hrvatske </w:t>
            </w:r>
            <w:r>
              <w:rPr>
                <w:rFonts w:ascii="Times New Roman" w:eastAsia="Calibri" w:hAnsi="Times New Roman" w:cs="Times New Roman"/>
              </w:rPr>
              <w:t>i</w:t>
            </w:r>
            <w:r w:rsidRPr="00D0532A">
              <w:rPr>
                <w:rFonts w:ascii="Times New Roman" w:eastAsia="Calibri" w:hAnsi="Times New Roman" w:cs="Times New Roman"/>
              </w:rPr>
              <w:t xml:space="preserve"> strane književnosti s ciljem zadržavanja stalnih članova </w:t>
            </w:r>
            <w:r>
              <w:rPr>
                <w:rFonts w:ascii="Times New Roman" w:eastAsia="Calibri" w:hAnsi="Times New Roman" w:cs="Times New Roman"/>
              </w:rPr>
              <w:t>i</w:t>
            </w:r>
            <w:r w:rsidRPr="00D0532A">
              <w:rPr>
                <w:rFonts w:ascii="Times New Roman" w:eastAsia="Calibri" w:hAnsi="Times New Roman" w:cs="Times New Roman"/>
              </w:rPr>
              <w:t xml:space="preserve"> učlanjenja novih</w:t>
            </w:r>
          </w:p>
        </w:tc>
        <w:tc>
          <w:tcPr>
            <w:tcW w:w="1444" w:type="dxa"/>
            <w:shd w:val="clear" w:color="auto" w:fill="auto"/>
          </w:tcPr>
          <w:p w14:paraId="72082D36" w14:textId="77777777" w:rsidR="0081662F" w:rsidRPr="00D0532A" w:rsidRDefault="0081662F" w:rsidP="00EB2357">
            <w:pPr>
              <w:rPr>
                <w:rFonts w:ascii="Times New Roman" w:eastAsia="Calibri" w:hAnsi="Times New Roman" w:cs="Times New Roman"/>
              </w:rPr>
            </w:pPr>
            <w:r w:rsidRPr="00D0532A">
              <w:rPr>
                <w:rFonts w:ascii="Times New Roman" w:eastAsia="Calibri" w:hAnsi="Times New Roman" w:cs="Times New Roman"/>
              </w:rPr>
              <w:t>Povećanje  broja vrijednih djela omogućit će korisnicima lakšu dobavljivost traženih naslova</w:t>
            </w:r>
          </w:p>
        </w:tc>
        <w:tc>
          <w:tcPr>
            <w:tcW w:w="1444" w:type="dxa"/>
            <w:shd w:val="clear" w:color="auto" w:fill="auto"/>
          </w:tcPr>
          <w:p w14:paraId="3EBB6235" w14:textId="77777777" w:rsidR="0081662F" w:rsidRPr="00D0532A" w:rsidRDefault="0081662F" w:rsidP="00EB2357">
            <w:pPr>
              <w:rPr>
                <w:rFonts w:ascii="Times New Roman" w:eastAsia="Calibri" w:hAnsi="Times New Roman" w:cs="Times New Roman"/>
              </w:rPr>
            </w:pPr>
            <w:r w:rsidRPr="00D0532A">
              <w:rPr>
                <w:rFonts w:ascii="Times New Roman" w:eastAsia="Calibri" w:hAnsi="Times New Roman" w:cs="Times New Roman"/>
              </w:rPr>
              <w:t xml:space="preserve">Broj dostupnih vrijednih djela hrvatske </w:t>
            </w:r>
            <w:r>
              <w:rPr>
                <w:rFonts w:ascii="Times New Roman" w:eastAsia="Calibri" w:hAnsi="Times New Roman" w:cs="Times New Roman"/>
              </w:rPr>
              <w:t xml:space="preserve">i </w:t>
            </w:r>
            <w:r w:rsidRPr="00D0532A">
              <w:rPr>
                <w:rFonts w:ascii="Times New Roman" w:eastAsia="Calibri" w:hAnsi="Times New Roman" w:cs="Times New Roman"/>
              </w:rPr>
              <w:t>strane književnosti</w:t>
            </w:r>
          </w:p>
        </w:tc>
        <w:tc>
          <w:tcPr>
            <w:tcW w:w="1444" w:type="dxa"/>
            <w:shd w:val="clear" w:color="auto" w:fill="auto"/>
          </w:tcPr>
          <w:p w14:paraId="35B3732E" w14:textId="77777777" w:rsidR="0081662F" w:rsidRPr="00D0532A" w:rsidRDefault="0081662F" w:rsidP="00EB2357">
            <w:pPr>
              <w:rPr>
                <w:rFonts w:ascii="Times New Roman" w:eastAsia="Calibri" w:hAnsi="Times New Roman" w:cs="Times New Roman"/>
              </w:rPr>
            </w:pPr>
            <w:r w:rsidRPr="00D0532A">
              <w:rPr>
                <w:rFonts w:ascii="Times New Roman" w:eastAsia="Calibri" w:hAnsi="Times New Roman" w:cs="Times New Roman"/>
              </w:rPr>
              <w:t>100 svezaka građe</w:t>
            </w:r>
          </w:p>
        </w:tc>
        <w:tc>
          <w:tcPr>
            <w:tcW w:w="1444" w:type="dxa"/>
            <w:shd w:val="clear" w:color="auto" w:fill="auto"/>
          </w:tcPr>
          <w:p w14:paraId="40568314" w14:textId="77777777" w:rsidR="0081662F" w:rsidRPr="00D0532A" w:rsidRDefault="0081662F" w:rsidP="00EB2357">
            <w:pPr>
              <w:rPr>
                <w:rFonts w:ascii="Times New Roman" w:eastAsia="Calibri" w:hAnsi="Times New Roman" w:cs="Times New Roman"/>
              </w:rPr>
            </w:pPr>
            <w:r w:rsidRPr="00D0532A">
              <w:rPr>
                <w:rFonts w:ascii="Times New Roman" w:eastAsia="Calibri" w:hAnsi="Times New Roman" w:cs="Times New Roman"/>
              </w:rPr>
              <w:t>knjižnica</w:t>
            </w:r>
          </w:p>
        </w:tc>
        <w:tc>
          <w:tcPr>
            <w:tcW w:w="1444" w:type="dxa"/>
            <w:shd w:val="clear" w:color="auto" w:fill="auto"/>
          </w:tcPr>
          <w:p w14:paraId="51EF6829" w14:textId="77777777" w:rsidR="0081662F" w:rsidRPr="00D0532A" w:rsidRDefault="0081662F" w:rsidP="00EB2357">
            <w:pPr>
              <w:rPr>
                <w:rFonts w:ascii="Times New Roman" w:eastAsia="Calibri" w:hAnsi="Times New Roman" w:cs="Times New Roman"/>
              </w:rPr>
            </w:pPr>
            <w:r w:rsidRPr="00D0532A">
              <w:rPr>
                <w:rFonts w:ascii="Times New Roman" w:eastAsia="Calibri" w:hAnsi="Times New Roman" w:cs="Times New Roman"/>
              </w:rPr>
              <w:t>1400 sv.</w:t>
            </w:r>
          </w:p>
        </w:tc>
        <w:tc>
          <w:tcPr>
            <w:tcW w:w="1444" w:type="dxa"/>
            <w:shd w:val="clear" w:color="auto" w:fill="auto"/>
          </w:tcPr>
          <w:p w14:paraId="687BDB30" w14:textId="77777777" w:rsidR="0081662F" w:rsidRPr="00D0532A" w:rsidRDefault="0081662F" w:rsidP="00EB2357">
            <w:pPr>
              <w:rPr>
                <w:rFonts w:ascii="Times New Roman" w:eastAsia="Calibri" w:hAnsi="Times New Roman" w:cs="Times New Roman"/>
              </w:rPr>
            </w:pPr>
            <w:r w:rsidRPr="00D0532A">
              <w:rPr>
                <w:rFonts w:ascii="Times New Roman" w:eastAsia="Calibri" w:hAnsi="Times New Roman" w:cs="Times New Roman"/>
              </w:rPr>
              <w:t>1500sv.</w:t>
            </w:r>
          </w:p>
        </w:tc>
        <w:tc>
          <w:tcPr>
            <w:tcW w:w="1444" w:type="dxa"/>
            <w:shd w:val="clear" w:color="auto" w:fill="auto"/>
          </w:tcPr>
          <w:p w14:paraId="7294A8A9" w14:textId="77777777" w:rsidR="0081662F" w:rsidRPr="00D0532A" w:rsidRDefault="0081662F" w:rsidP="00EB2357">
            <w:pPr>
              <w:rPr>
                <w:rFonts w:ascii="Times New Roman" w:eastAsia="Calibri" w:hAnsi="Times New Roman" w:cs="Times New Roman"/>
                <w:b/>
                <w:bCs/>
              </w:rPr>
            </w:pPr>
            <w:r w:rsidRPr="00D0532A">
              <w:rPr>
                <w:rFonts w:ascii="Times New Roman" w:eastAsia="Calibri" w:hAnsi="Times New Roman" w:cs="Times New Roman"/>
              </w:rPr>
              <w:t>1500 sv</w:t>
            </w:r>
            <w:r w:rsidRPr="00D0532A">
              <w:rPr>
                <w:rFonts w:ascii="Times New Roman" w:eastAsia="Calibri" w:hAnsi="Times New Roman" w:cs="Times New Roman"/>
                <w:b/>
                <w:bCs/>
              </w:rPr>
              <w:t>.</w:t>
            </w:r>
          </w:p>
        </w:tc>
      </w:tr>
    </w:tbl>
    <w:p w14:paraId="353084C7" w14:textId="77777777" w:rsidR="0081662F" w:rsidRPr="00D0532A" w:rsidRDefault="0081662F" w:rsidP="0081662F">
      <w:pPr>
        <w:rPr>
          <w:rFonts w:ascii="Times New Roman" w:eastAsia="Calibri" w:hAnsi="Times New Roman" w:cs="Times New Roman"/>
          <w:b/>
          <w:bCs/>
        </w:rPr>
      </w:pPr>
    </w:p>
    <w:p w14:paraId="21629DA9" w14:textId="77777777" w:rsidR="0081662F" w:rsidRPr="00D0532A" w:rsidRDefault="0081662F" w:rsidP="0081662F">
      <w:pPr>
        <w:rPr>
          <w:rFonts w:ascii="Times New Roman" w:eastAsia="Calibri" w:hAnsi="Times New Roman" w:cs="Times New Roman"/>
        </w:rPr>
      </w:pPr>
      <w:r w:rsidRPr="00D0532A">
        <w:rPr>
          <w:rFonts w:ascii="Times New Roman" w:eastAsia="Calibri" w:hAnsi="Times New Roman" w:cs="Times New Roman"/>
        </w:rPr>
        <w:t>2.Cilj i pokazatelji uspješnosti / Popularizacija knjige I čitanja, promicanje umjetnosti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199"/>
        <w:gridCol w:w="1275"/>
        <w:gridCol w:w="1078"/>
        <w:gridCol w:w="1012"/>
        <w:gridCol w:w="1000"/>
        <w:gridCol w:w="1078"/>
        <w:gridCol w:w="1078"/>
      </w:tblGrid>
      <w:tr w:rsidR="0081662F" w:rsidRPr="00D0532A" w14:paraId="7B47A9CA" w14:textId="77777777" w:rsidTr="00EB2357">
        <w:tc>
          <w:tcPr>
            <w:tcW w:w="1343" w:type="dxa"/>
            <w:shd w:val="clear" w:color="auto" w:fill="BFBFBF"/>
          </w:tcPr>
          <w:p w14:paraId="5F472E4A" w14:textId="77777777" w:rsidR="0081662F" w:rsidRPr="00D0532A" w:rsidRDefault="0081662F" w:rsidP="00EB2357">
            <w:pPr>
              <w:rPr>
                <w:rFonts w:ascii="Times New Roman" w:eastAsia="Calibri" w:hAnsi="Times New Roman" w:cs="Times New Roman"/>
                <w:b/>
                <w:bCs/>
              </w:rPr>
            </w:pPr>
            <w:r w:rsidRPr="00D0532A">
              <w:rPr>
                <w:rFonts w:ascii="Times New Roman" w:eastAsia="Calibri" w:hAnsi="Times New Roman" w:cs="Times New Roman"/>
                <w:b/>
                <w:bCs/>
              </w:rPr>
              <w:t>Pokazatelj rezultata</w:t>
            </w:r>
          </w:p>
        </w:tc>
        <w:tc>
          <w:tcPr>
            <w:tcW w:w="1199" w:type="dxa"/>
            <w:shd w:val="clear" w:color="auto" w:fill="BFBFBF"/>
          </w:tcPr>
          <w:p w14:paraId="48C7BB2D" w14:textId="77777777" w:rsidR="0081662F" w:rsidRPr="00D0532A" w:rsidRDefault="0081662F" w:rsidP="00EB2357">
            <w:pPr>
              <w:rPr>
                <w:rFonts w:ascii="Times New Roman" w:eastAsia="Calibri" w:hAnsi="Times New Roman" w:cs="Times New Roman"/>
                <w:b/>
                <w:bCs/>
              </w:rPr>
            </w:pPr>
            <w:r w:rsidRPr="00D0532A">
              <w:rPr>
                <w:rFonts w:ascii="Times New Roman" w:eastAsia="Calibri" w:hAnsi="Times New Roman" w:cs="Times New Roman"/>
                <w:b/>
                <w:bCs/>
              </w:rPr>
              <w:t>Definicija</w:t>
            </w:r>
          </w:p>
        </w:tc>
        <w:tc>
          <w:tcPr>
            <w:tcW w:w="1273" w:type="dxa"/>
            <w:shd w:val="clear" w:color="auto" w:fill="BFBFBF"/>
          </w:tcPr>
          <w:p w14:paraId="31649593" w14:textId="77777777" w:rsidR="0081662F" w:rsidRPr="00D0532A" w:rsidRDefault="0081662F" w:rsidP="00EB2357">
            <w:pPr>
              <w:rPr>
                <w:rFonts w:ascii="Times New Roman" w:eastAsia="Calibri" w:hAnsi="Times New Roman" w:cs="Times New Roman"/>
                <w:b/>
                <w:bCs/>
              </w:rPr>
            </w:pPr>
            <w:r w:rsidRPr="00D0532A">
              <w:rPr>
                <w:rFonts w:ascii="Times New Roman" w:eastAsia="Calibri" w:hAnsi="Times New Roman" w:cs="Times New Roman"/>
                <w:b/>
                <w:bCs/>
              </w:rPr>
              <w:t>Jedinica</w:t>
            </w:r>
          </w:p>
        </w:tc>
        <w:tc>
          <w:tcPr>
            <w:tcW w:w="1078" w:type="dxa"/>
            <w:shd w:val="clear" w:color="auto" w:fill="BFBFBF"/>
          </w:tcPr>
          <w:p w14:paraId="7ACAF547" w14:textId="77777777" w:rsidR="0081662F" w:rsidRPr="00D0532A" w:rsidRDefault="0081662F" w:rsidP="00EB2357">
            <w:pPr>
              <w:rPr>
                <w:rFonts w:ascii="Times New Roman" w:eastAsia="Calibri" w:hAnsi="Times New Roman" w:cs="Times New Roman"/>
                <w:b/>
                <w:bCs/>
              </w:rPr>
            </w:pPr>
            <w:r w:rsidRPr="00D0532A">
              <w:rPr>
                <w:rFonts w:ascii="Times New Roman" w:eastAsia="Calibri" w:hAnsi="Times New Roman" w:cs="Times New Roman"/>
                <w:b/>
                <w:bCs/>
              </w:rPr>
              <w:t>Polazna vrijednost</w:t>
            </w:r>
          </w:p>
        </w:tc>
        <w:tc>
          <w:tcPr>
            <w:tcW w:w="1012" w:type="dxa"/>
            <w:shd w:val="clear" w:color="auto" w:fill="BFBFBF"/>
          </w:tcPr>
          <w:p w14:paraId="57308C91" w14:textId="77777777" w:rsidR="0081662F" w:rsidRPr="00D0532A" w:rsidRDefault="0081662F" w:rsidP="00EB2357">
            <w:pPr>
              <w:rPr>
                <w:rFonts w:ascii="Times New Roman" w:eastAsia="Calibri" w:hAnsi="Times New Roman" w:cs="Times New Roman"/>
                <w:b/>
                <w:bCs/>
              </w:rPr>
            </w:pPr>
            <w:r w:rsidRPr="00D0532A">
              <w:rPr>
                <w:rFonts w:ascii="Times New Roman" w:eastAsia="Calibri" w:hAnsi="Times New Roman" w:cs="Times New Roman"/>
                <w:b/>
                <w:bCs/>
              </w:rPr>
              <w:t>Izvor podataka</w:t>
            </w:r>
          </w:p>
        </w:tc>
        <w:tc>
          <w:tcPr>
            <w:tcW w:w="1001" w:type="dxa"/>
            <w:shd w:val="clear" w:color="auto" w:fill="BFBFBF"/>
          </w:tcPr>
          <w:p w14:paraId="7C8D868A" w14:textId="77777777" w:rsidR="0081662F" w:rsidRPr="00D0532A" w:rsidRDefault="0081662F" w:rsidP="00EB2357">
            <w:pPr>
              <w:rPr>
                <w:rFonts w:ascii="Times New Roman" w:eastAsia="Calibri" w:hAnsi="Times New Roman" w:cs="Times New Roman"/>
                <w:b/>
                <w:bCs/>
              </w:rPr>
            </w:pPr>
            <w:r w:rsidRPr="00D0532A">
              <w:rPr>
                <w:rFonts w:ascii="Times New Roman" w:eastAsia="Calibri" w:hAnsi="Times New Roman" w:cs="Times New Roman"/>
                <w:b/>
                <w:bCs/>
              </w:rPr>
              <w:t>Izvršenje 2024.</w:t>
            </w:r>
          </w:p>
        </w:tc>
        <w:tc>
          <w:tcPr>
            <w:tcW w:w="1078" w:type="dxa"/>
            <w:shd w:val="clear" w:color="auto" w:fill="BFBFBF"/>
          </w:tcPr>
          <w:p w14:paraId="5C6F639A" w14:textId="77777777" w:rsidR="0081662F" w:rsidRPr="00D0532A" w:rsidRDefault="0081662F" w:rsidP="00EB2357">
            <w:pPr>
              <w:rPr>
                <w:rFonts w:ascii="Times New Roman" w:eastAsia="Calibri" w:hAnsi="Times New Roman" w:cs="Times New Roman"/>
                <w:b/>
                <w:bCs/>
              </w:rPr>
            </w:pPr>
            <w:r w:rsidRPr="00D0532A">
              <w:rPr>
                <w:rFonts w:ascii="Times New Roman" w:eastAsia="Calibri" w:hAnsi="Times New Roman" w:cs="Times New Roman"/>
                <w:b/>
                <w:bCs/>
              </w:rPr>
              <w:t>Ciljana vrijednost 2025.</w:t>
            </w:r>
          </w:p>
        </w:tc>
        <w:tc>
          <w:tcPr>
            <w:tcW w:w="1078" w:type="dxa"/>
            <w:shd w:val="clear" w:color="auto" w:fill="BFBFBF"/>
          </w:tcPr>
          <w:p w14:paraId="384CF45F" w14:textId="77777777" w:rsidR="0081662F" w:rsidRPr="00D0532A" w:rsidRDefault="0081662F" w:rsidP="00EB2357">
            <w:pPr>
              <w:rPr>
                <w:rFonts w:ascii="Times New Roman" w:eastAsia="Calibri" w:hAnsi="Times New Roman" w:cs="Times New Roman"/>
                <w:b/>
                <w:bCs/>
              </w:rPr>
            </w:pPr>
            <w:r w:rsidRPr="00D0532A">
              <w:rPr>
                <w:rFonts w:ascii="Times New Roman" w:eastAsia="Calibri" w:hAnsi="Times New Roman" w:cs="Times New Roman"/>
                <w:b/>
                <w:bCs/>
              </w:rPr>
              <w:t>Ciljana vrijednost 2026.</w:t>
            </w:r>
          </w:p>
        </w:tc>
      </w:tr>
      <w:tr w:rsidR="0081662F" w:rsidRPr="00D0532A" w14:paraId="4517D664" w14:textId="77777777" w:rsidTr="00EB2357">
        <w:tc>
          <w:tcPr>
            <w:tcW w:w="1343" w:type="dxa"/>
            <w:shd w:val="clear" w:color="auto" w:fill="auto"/>
          </w:tcPr>
          <w:p w14:paraId="07499CF4" w14:textId="77777777" w:rsidR="0081662F" w:rsidRPr="00D0532A" w:rsidRDefault="0081662F" w:rsidP="00EB2357">
            <w:pPr>
              <w:rPr>
                <w:rFonts w:ascii="Times New Roman" w:eastAsia="Calibri" w:hAnsi="Times New Roman" w:cs="Times New Roman"/>
              </w:rPr>
            </w:pPr>
            <w:r w:rsidRPr="00D0532A">
              <w:rPr>
                <w:rFonts w:ascii="Times New Roman" w:eastAsia="Calibri" w:hAnsi="Times New Roman" w:cs="Times New Roman"/>
              </w:rPr>
              <w:t>Povećanje broja književnih susreta</w:t>
            </w:r>
          </w:p>
          <w:p w14:paraId="2E16E5C7" w14:textId="77777777" w:rsidR="0081662F" w:rsidRPr="00D0532A" w:rsidRDefault="0081662F" w:rsidP="00EB2357">
            <w:pPr>
              <w:rPr>
                <w:rFonts w:ascii="Times New Roman" w:eastAsia="Calibri" w:hAnsi="Times New Roman" w:cs="Times New Roman"/>
              </w:rPr>
            </w:pPr>
            <w:r w:rsidRPr="00D0532A">
              <w:rPr>
                <w:rFonts w:ascii="Times New Roman" w:eastAsia="Calibri" w:hAnsi="Times New Roman" w:cs="Times New Roman"/>
              </w:rPr>
              <w:lastRenderedPageBreak/>
              <w:t>Povećanje broja kreativnih radionica, izložbi</w:t>
            </w:r>
          </w:p>
          <w:p w14:paraId="3F79D26B" w14:textId="77777777" w:rsidR="0081662F" w:rsidRPr="00D0532A" w:rsidRDefault="0081662F" w:rsidP="00EB2357">
            <w:pPr>
              <w:rPr>
                <w:rFonts w:ascii="Times New Roman" w:eastAsia="Calibri" w:hAnsi="Times New Roman" w:cs="Times New Roman"/>
              </w:rPr>
            </w:pPr>
          </w:p>
          <w:p w14:paraId="3F8A2584" w14:textId="77777777" w:rsidR="0081662F" w:rsidRPr="00D0532A" w:rsidRDefault="0081662F" w:rsidP="00EB2357">
            <w:pPr>
              <w:rPr>
                <w:rFonts w:ascii="Times New Roman" w:eastAsia="Calibri" w:hAnsi="Times New Roman" w:cs="Times New Roman"/>
              </w:rPr>
            </w:pPr>
          </w:p>
          <w:p w14:paraId="31CE2035" w14:textId="77777777" w:rsidR="0081662F" w:rsidRPr="00D0532A" w:rsidRDefault="0081662F" w:rsidP="00EB2357">
            <w:pPr>
              <w:rPr>
                <w:rFonts w:ascii="Times New Roman" w:eastAsia="Calibri" w:hAnsi="Times New Roman" w:cs="Times New Roman"/>
              </w:rPr>
            </w:pPr>
          </w:p>
          <w:p w14:paraId="4BB65045" w14:textId="77777777" w:rsidR="0081662F" w:rsidRPr="00D0532A" w:rsidRDefault="0081662F" w:rsidP="00EB2357">
            <w:pPr>
              <w:rPr>
                <w:rFonts w:ascii="Times New Roman" w:eastAsia="Calibri" w:hAnsi="Times New Roman" w:cs="Times New Roman"/>
              </w:rPr>
            </w:pPr>
          </w:p>
          <w:p w14:paraId="2C3237B1" w14:textId="77777777" w:rsidR="0081662F" w:rsidRPr="00D0532A" w:rsidRDefault="0081662F" w:rsidP="00EB2357">
            <w:pPr>
              <w:rPr>
                <w:rFonts w:ascii="Times New Roman" w:eastAsia="Calibri" w:hAnsi="Times New Roman" w:cs="Times New Roman"/>
              </w:rPr>
            </w:pPr>
          </w:p>
          <w:p w14:paraId="1D8F45DD" w14:textId="77777777" w:rsidR="0081662F" w:rsidRPr="00D0532A" w:rsidRDefault="0081662F" w:rsidP="00EB2357">
            <w:pPr>
              <w:rPr>
                <w:rFonts w:ascii="Times New Roman" w:eastAsia="Calibri" w:hAnsi="Times New Roman" w:cs="Times New Roman"/>
              </w:rPr>
            </w:pPr>
          </w:p>
          <w:p w14:paraId="1C77EA7B" w14:textId="77777777" w:rsidR="0081662F" w:rsidRPr="00D0532A" w:rsidRDefault="0081662F" w:rsidP="00EB2357">
            <w:pPr>
              <w:rPr>
                <w:rFonts w:ascii="Times New Roman" w:eastAsia="Calibri" w:hAnsi="Times New Roman" w:cs="Times New Roman"/>
              </w:rPr>
            </w:pPr>
          </w:p>
          <w:p w14:paraId="3F6B3731" w14:textId="77777777" w:rsidR="0081662F" w:rsidRPr="00D0532A" w:rsidRDefault="0081662F" w:rsidP="00EB2357">
            <w:pPr>
              <w:rPr>
                <w:rFonts w:ascii="Times New Roman" w:hAnsi="Times New Roman" w:cs="Times New Roman"/>
              </w:rPr>
            </w:pPr>
            <w:r w:rsidRPr="00D0532A">
              <w:rPr>
                <w:rFonts w:ascii="Times New Roman" w:eastAsia="Calibri" w:hAnsi="Times New Roman" w:cs="Times New Roman"/>
              </w:rPr>
              <w:t xml:space="preserve">Približavanje </w:t>
            </w:r>
            <w:proofErr w:type="spellStart"/>
            <w:r w:rsidRPr="00D0532A">
              <w:rPr>
                <w:rFonts w:ascii="Times New Roman" w:eastAsia="Calibri" w:hAnsi="Times New Roman" w:cs="Times New Roman"/>
              </w:rPr>
              <w:t>lektirnih</w:t>
            </w:r>
            <w:proofErr w:type="spellEnd"/>
            <w:r w:rsidRPr="00D0532A">
              <w:rPr>
                <w:rFonts w:ascii="Times New Roman" w:eastAsia="Calibri" w:hAnsi="Times New Roman" w:cs="Times New Roman"/>
              </w:rPr>
              <w:t xml:space="preserve"> djela čitatelju, organizirani posjeti knjižnici, </w:t>
            </w:r>
            <w:r w:rsidRPr="00D0532A">
              <w:rPr>
                <w:rFonts w:ascii="Times New Roman" w:hAnsi="Times New Roman" w:cs="Times New Roman"/>
              </w:rPr>
              <w:t>popularizacija knjižnice u lokalnoj sredini, poticanje čitanja</w:t>
            </w:r>
          </w:p>
        </w:tc>
        <w:tc>
          <w:tcPr>
            <w:tcW w:w="1199" w:type="dxa"/>
            <w:shd w:val="clear" w:color="auto" w:fill="auto"/>
          </w:tcPr>
          <w:p w14:paraId="0F3129B9" w14:textId="77777777" w:rsidR="0081662F" w:rsidRPr="00D0532A" w:rsidRDefault="0081662F" w:rsidP="00EB2357">
            <w:pPr>
              <w:rPr>
                <w:rFonts w:ascii="Times New Roman" w:eastAsia="Calibri" w:hAnsi="Times New Roman" w:cs="Times New Roman"/>
              </w:rPr>
            </w:pPr>
            <w:r w:rsidRPr="00D0532A">
              <w:rPr>
                <w:rFonts w:ascii="Times New Roman" w:eastAsia="Calibri" w:hAnsi="Times New Roman" w:cs="Times New Roman"/>
              </w:rPr>
              <w:lastRenderedPageBreak/>
              <w:t xml:space="preserve">Povećanjem broja književnih susreta </w:t>
            </w:r>
          </w:p>
          <w:p w14:paraId="6C1A464B" w14:textId="77777777" w:rsidR="0081662F" w:rsidRPr="00D0532A" w:rsidRDefault="0081662F" w:rsidP="00EB2357">
            <w:pPr>
              <w:rPr>
                <w:rFonts w:ascii="Times New Roman" w:eastAsia="Calibri" w:hAnsi="Times New Roman" w:cs="Times New Roman"/>
              </w:rPr>
            </w:pPr>
            <w:r w:rsidRPr="00D0532A">
              <w:rPr>
                <w:rFonts w:ascii="Times New Roman" w:eastAsia="Calibri" w:hAnsi="Times New Roman" w:cs="Times New Roman"/>
              </w:rPr>
              <w:lastRenderedPageBreak/>
              <w:t xml:space="preserve">Povećanje broja kreativnih radionica s </w:t>
            </w:r>
            <w:proofErr w:type="spellStart"/>
            <w:r w:rsidRPr="00D0532A">
              <w:rPr>
                <w:rFonts w:ascii="Times New Roman" w:eastAsia="Calibri" w:hAnsi="Times New Roman" w:cs="Times New Roman"/>
              </w:rPr>
              <w:t>pričaonicam</w:t>
            </w:r>
            <w:proofErr w:type="spellEnd"/>
            <w:r w:rsidRPr="00D0532A">
              <w:rPr>
                <w:rFonts w:ascii="Times New Roman" w:eastAsia="Calibri" w:hAnsi="Times New Roman" w:cs="Times New Roman"/>
              </w:rPr>
              <w:t xml:space="preserve"> </w:t>
            </w:r>
            <w:r>
              <w:rPr>
                <w:rFonts w:ascii="Times New Roman" w:eastAsia="Calibri" w:hAnsi="Times New Roman" w:cs="Times New Roman"/>
              </w:rPr>
              <w:t>i</w:t>
            </w:r>
            <w:r w:rsidRPr="00D0532A">
              <w:rPr>
                <w:rFonts w:ascii="Times New Roman" w:eastAsia="Calibri" w:hAnsi="Times New Roman" w:cs="Times New Roman"/>
              </w:rPr>
              <w:t xml:space="preserve"> igrokazima </w:t>
            </w:r>
          </w:p>
          <w:p w14:paraId="47078BE7" w14:textId="77777777" w:rsidR="0081662F" w:rsidRPr="00D0532A" w:rsidRDefault="0081662F" w:rsidP="00EB2357">
            <w:pPr>
              <w:rPr>
                <w:rFonts w:ascii="Times New Roman" w:eastAsia="Calibri" w:hAnsi="Times New Roman" w:cs="Times New Roman"/>
              </w:rPr>
            </w:pPr>
          </w:p>
          <w:p w14:paraId="078F030D" w14:textId="77777777" w:rsidR="0081662F" w:rsidRPr="00D0532A" w:rsidRDefault="0081662F" w:rsidP="00EB2357">
            <w:pPr>
              <w:rPr>
                <w:rFonts w:ascii="Times New Roman" w:eastAsia="Calibri" w:hAnsi="Times New Roman" w:cs="Times New Roman"/>
              </w:rPr>
            </w:pPr>
            <w:r w:rsidRPr="00D0532A">
              <w:rPr>
                <w:rFonts w:ascii="Times New Roman" w:eastAsia="Calibri" w:hAnsi="Times New Roman" w:cs="Times New Roman"/>
              </w:rPr>
              <w:t>-</w:t>
            </w:r>
          </w:p>
          <w:p w14:paraId="1474ACF1" w14:textId="77777777" w:rsidR="0081662F" w:rsidRPr="00D0532A" w:rsidRDefault="0081662F" w:rsidP="00EB2357">
            <w:pPr>
              <w:rPr>
                <w:rFonts w:ascii="Times New Roman" w:eastAsia="Calibri" w:hAnsi="Times New Roman" w:cs="Times New Roman"/>
              </w:rPr>
            </w:pPr>
          </w:p>
          <w:p w14:paraId="5B1B5B43" w14:textId="77777777" w:rsidR="0081662F" w:rsidRPr="00D0532A" w:rsidRDefault="0081662F" w:rsidP="00EB2357">
            <w:pPr>
              <w:rPr>
                <w:rFonts w:ascii="Times New Roman" w:eastAsia="Calibri" w:hAnsi="Times New Roman" w:cs="Times New Roman"/>
              </w:rPr>
            </w:pPr>
          </w:p>
          <w:p w14:paraId="4388FEA5" w14:textId="77777777" w:rsidR="0081662F" w:rsidRPr="00D0532A" w:rsidRDefault="0081662F" w:rsidP="00EB2357">
            <w:pPr>
              <w:rPr>
                <w:rFonts w:ascii="Times New Roman" w:eastAsia="Calibri" w:hAnsi="Times New Roman" w:cs="Times New Roman"/>
              </w:rPr>
            </w:pPr>
          </w:p>
          <w:p w14:paraId="799DC998" w14:textId="77777777" w:rsidR="0081662F" w:rsidRPr="00D0532A" w:rsidRDefault="0081662F" w:rsidP="00EB2357">
            <w:pPr>
              <w:rPr>
                <w:rFonts w:ascii="Times New Roman" w:eastAsia="Calibri" w:hAnsi="Times New Roman" w:cs="Times New Roman"/>
              </w:rPr>
            </w:pPr>
          </w:p>
          <w:p w14:paraId="354BBB43" w14:textId="77777777" w:rsidR="0081662F" w:rsidRPr="00D0532A" w:rsidRDefault="0081662F" w:rsidP="00EB2357">
            <w:pPr>
              <w:rPr>
                <w:rFonts w:ascii="Times New Roman" w:eastAsia="Calibri" w:hAnsi="Times New Roman" w:cs="Times New Roman"/>
              </w:rPr>
            </w:pPr>
            <w:r w:rsidRPr="00D0532A">
              <w:rPr>
                <w:rFonts w:ascii="Times New Roman" w:eastAsia="Calibri" w:hAnsi="Times New Roman" w:cs="Times New Roman"/>
              </w:rPr>
              <w:t xml:space="preserve">Povećanjem broja posjeta </w:t>
            </w:r>
          </w:p>
          <w:p w14:paraId="355BDAAC" w14:textId="77777777" w:rsidR="0081662F" w:rsidRPr="00D0532A" w:rsidRDefault="0081662F" w:rsidP="00EB2357">
            <w:pPr>
              <w:rPr>
                <w:rFonts w:ascii="Times New Roman" w:eastAsia="Calibri" w:hAnsi="Times New Roman" w:cs="Times New Roman"/>
              </w:rPr>
            </w:pPr>
            <w:r w:rsidRPr="00D0532A">
              <w:rPr>
                <w:rFonts w:ascii="Times New Roman" w:eastAsia="Calibri" w:hAnsi="Times New Roman" w:cs="Times New Roman"/>
              </w:rPr>
              <w:t xml:space="preserve">potiče se korisnike na čitanje </w:t>
            </w:r>
            <w:r>
              <w:rPr>
                <w:rFonts w:ascii="Times New Roman" w:eastAsia="Calibri" w:hAnsi="Times New Roman" w:cs="Times New Roman"/>
              </w:rPr>
              <w:t>i</w:t>
            </w:r>
            <w:r w:rsidRPr="00D0532A">
              <w:rPr>
                <w:rFonts w:ascii="Times New Roman" w:eastAsia="Calibri" w:hAnsi="Times New Roman" w:cs="Times New Roman"/>
              </w:rPr>
              <w:t xml:space="preserve"> korištenje usluga Knjižnice</w:t>
            </w:r>
          </w:p>
          <w:p w14:paraId="1FE0D074" w14:textId="77777777" w:rsidR="0081662F" w:rsidRPr="00D0532A" w:rsidRDefault="0081662F" w:rsidP="00EB2357">
            <w:pPr>
              <w:rPr>
                <w:rFonts w:ascii="Times New Roman" w:eastAsia="Calibri" w:hAnsi="Times New Roman" w:cs="Times New Roman"/>
              </w:rPr>
            </w:pPr>
          </w:p>
        </w:tc>
        <w:tc>
          <w:tcPr>
            <w:tcW w:w="1273" w:type="dxa"/>
            <w:shd w:val="clear" w:color="auto" w:fill="auto"/>
          </w:tcPr>
          <w:p w14:paraId="0EA9AF10" w14:textId="77777777" w:rsidR="0081662F" w:rsidRPr="00D0532A" w:rsidRDefault="0081662F" w:rsidP="00EB2357">
            <w:pPr>
              <w:rPr>
                <w:rFonts w:ascii="Times New Roman" w:eastAsia="Calibri" w:hAnsi="Times New Roman" w:cs="Times New Roman"/>
              </w:rPr>
            </w:pPr>
            <w:r w:rsidRPr="00D0532A">
              <w:rPr>
                <w:rFonts w:ascii="Times New Roman" w:eastAsia="Calibri" w:hAnsi="Times New Roman" w:cs="Times New Roman"/>
              </w:rPr>
              <w:lastRenderedPageBreak/>
              <w:t xml:space="preserve">Broj održanih književnih susreta, </w:t>
            </w:r>
          </w:p>
          <w:p w14:paraId="1EAD9FC7" w14:textId="77777777" w:rsidR="0081662F" w:rsidRPr="00D0532A" w:rsidRDefault="0081662F" w:rsidP="00EB2357">
            <w:pPr>
              <w:rPr>
                <w:rFonts w:ascii="Times New Roman" w:eastAsia="Calibri" w:hAnsi="Times New Roman" w:cs="Times New Roman"/>
              </w:rPr>
            </w:pPr>
            <w:r w:rsidRPr="00D0532A">
              <w:rPr>
                <w:rFonts w:ascii="Times New Roman" w:eastAsia="Calibri" w:hAnsi="Times New Roman" w:cs="Times New Roman"/>
              </w:rPr>
              <w:lastRenderedPageBreak/>
              <w:t xml:space="preserve"> Broj radionica i </w:t>
            </w:r>
            <w:proofErr w:type="spellStart"/>
            <w:r w:rsidRPr="00D0532A">
              <w:rPr>
                <w:rFonts w:ascii="Times New Roman" w:eastAsia="Calibri" w:hAnsi="Times New Roman" w:cs="Times New Roman"/>
              </w:rPr>
              <w:t>pričaonica</w:t>
            </w:r>
            <w:proofErr w:type="spellEnd"/>
            <w:r w:rsidRPr="00D0532A">
              <w:rPr>
                <w:rFonts w:ascii="Times New Roman" w:eastAsia="Calibri" w:hAnsi="Times New Roman" w:cs="Times New Roman"/>
              </w:rPr>
              <w:t xml:space="preserve"> / igrokaza, organiziranih posjeta postavljenim izložbama /vrijedne izložbe, umjetnička djela</w:t>
            </w:r>
            <w:r>
              <w:rPr>
                <w:rFonts w:ascii="Times New Roman" w:eastAsia="Calibri" w:hAnsi="Times New Roman" w:cs="Times New Roman"/>
              </w:rPr>
              <w:t>/</w:t>
            </w:r>
            <w:r w:rsidRPr="00D0532A">
              <w:rPr>
                <w:rFonts w:ascii="Times New Roman" w:eastAsia="Calibri" w:hAnsi="Times New Roman" w:cs="Times New Roman"/>
              </w:rPr>
              <w:t>broj organiziranih posjeta učenika</w:t>
            </w:r>
          </w:p>
          <w:p w14:paraId="05D75A28" w14:textId="77777777" w:rsidR="0081662F" w:rsidRPr="00D0532A" w:rsidRDefault="0081662F" w:rsidP="00EB2357">
            <w:pPr>
              <w:rPr>
                <w:rFonts w:ascii="Times New Roman" w:eastAsia="Calibri" w:hAnsi="Times New Roman" w:cs="Times New Roman"/>
              </w:rPr>
            </w:pPr>
          </w:p>
          <w:p w14:paraId="31AA613C" w14:textId="77777777" w:rsidR="0081662F" w:rsidRPr="00D0532A" w:rsidRDefault="0081662F" w:rsidP="00EB2357">
            <w:pPr>
              <w:rPr>
                <w:rFonts w:ascii="Times New Roman" w:eastAsia="Calibri" w:hAnsi="Times New Roman" w:cs="Times New Roman"/>
              </w:rPr>
            </w:pPr>
          </w:p>
          <w:p w14:paraId="7061172E" w14:textId="77777777" w:rsidR="0081662F" w:rsidRPr="00D0532A" w:rsidRDefault="0081662F" w:rsidP="00EB2357">
            <w:pPr>
              <w:rPr>
                <w:rFonts w:ascii="Times New Roman" w:eastAsia="Calibri" w:hAnsi="Times New Roman" w:cs="Times New Roman"/>
              </w:rPr>
            </w:pPr>
          </w:p>
          <w:p w14:paraId="57C33E7D" w14:textId="77777777" w:rsidR="0081662F" w:rsidRPr="00D0532A" w:rsidRDefault="0081662F" w:rsidP="00EB2357">
            <w:pPr>
              <w:rPr>
                <w:rFonts w:ascii="Times New Roman" w:eastAsia="Calibri" w:hAnsi="Times New Roman" w:cs="Times New Roman"/>
              </w:rPr>
            </w:pPr>
          </w:p>
          <w:p w14:paraId="78412822" w14:textId="77777777" w:rsidR="0081662F" w:rsidRPr="00D0532A" w:rsidRDefault="0081662F" w:rsidP="00EB2357">
            <w:pPr>
              <w:rPr>
                <w:rFonts w:ascii="Times New Roman" w:eastAsia="Calibri" w:hAnsi="Times New Roman" w:cs="Times New Roman"/>
              </w:rPr>
            </w:pPr>
          </w:p>
          <w:p w14:paraId="76ADA1AD" w14:textId="77777777" w:rsidR="0081662F" w:rsidRPr="00D0532A" w:rsidRDefault="0081662F" w:rsidP="00EB2357">
            <w:pPr>
              <w:rPr>
                <w:rFonts w:ascii="Times New Roman" w:eastAsia="Calibri" w:hAnsi="Times New Roman" w:cs="Times New Roman"/>
              </w:rPr>
            </w:pPr>
          </w:p>
          <w:p w14:paraId="7E205777" w14:textId="77777777" w:rsidR="0081662F" w:rsidRPr="00D0532A" w:rsidRDefault="0081662F" w:rsidP="00EB2357">
            <w:pPr>
              <w:rPr>
                <w:rFonts w:ascii="Times New Roman" w:eastAsia="Calibri" w:hAnsi="Times New Roman" w:cs="Times New Roman"/>
              </w:rPr>
            </w:pPr>
          </w:p>
        </w:tc>
        <w:tc>
          <w:tcPr>
            <w:tcW w:w="1078" w:type="dxa"/>
            <w:shd w:val="clear" w:color="auto" w:fill="auto"/>
          </w:tcPr>
          <w:p w14:paraId="39C8668B" w14:textId="77777777" w:rsidR="0081662F" w:rsidRPr="00D0532A" w:rsidRDefault="0081662F" w:rsidP="00EB2357">
            <w:pPr>
              <w:jc w:val="center"/>
              <w:rPr>
                <w:rFonts w:ascii="Times New Roman" w:eastAsia="Calibri" w:hAnsi="Times New Roman" w:cs="Times New Roman"/>
              </w:rPr>
            </w:pPr>
            <w:r w:rsidRPr="00D0532A">
              <w:rPr>
                <w:rFonts w:ascii="Times New Roman" w:eastAsia="Calibri" w:hAnsi="Times New Roman" w:cs="Times New Roman"/>
              </w:rPr>
              <w:lastRenderedPageBreak/>
              <w:t>8</w:t>
            </w:r>
          </w:p>
          <w:p w14:paraId="5812B524" w14:textId="77777777" w:rsidR="0081662F" w:rsidRPr="00D0532A" w:rsidRDefault="0081662F" w:rsidP="00EB2357">
            <w:pPr>
              <w:jc w:val="center"/>
              <w:rPr>
                <w:rFonts w:ascii="Times New Roman" w:eastAsia="Calibri" w:hAnsi="Times New Roman" w:cs="Times New Roman"/>
              </w:rPr>
            </w:pPr>
          </w:p>
          <w:p w14:paraId="60BC0D54" w14:textId="77777777" w:rsidR="0081662F" w:rsidRPr="00D0532A" w:rsidRDefault="0081662F" w:rsidP="00EB2357">
            <w:pPr>
              <w:jc w:val="center"/>
              <w:rPr>
                <w:rFonts w:ascii="Times New Roman" w:eastAsia="Calibri" w:hAnsi="Times New Roman" w:cs="Times New Roman"/>
              </w:rPr>
            </w:pPr>
          </w:p>
          <w:p w14:paraId="295834E5" w14:textId="77777777" w:rsidR="0081662F" w:rsidRPr="00D0532A" w:rsidRDefault="0081662F" w:rsidP="00EB2357">
            <w:pPr>
              <w:rPr>
                <w:rFonts w:ascii="Times New Roman" w:eastAsia="Calibri" w:hAnsi="Times New Roman" w:cs="Times New Roman"/>
              </w:rPr>
            </w:pPr>
          </w:p>
          <w:p w14:paraId="37F205D1" w14:textId="77777777" w:rsidR="0081662F" w:rsidRPr="00D0532A" w:rsidRDefault="0081662F" w:rsidP="00EB2357">
            <w:pPr>
              <w:rPr>
                <w:rFonts w:ascii="Times New Roman" w:eastAsia="Calibri" w:hAnsi="Times New Roman" w:cs="Times New Roman"/>
              </w:rPr>
            </w:pPr>
          </w:p>
          <w:p w14:paraId="5AD5E77C" w14:textId="77777777" w:rsidR="0081662F" w:rsidRPr="00D0532A" w:rsidRDefault="0081662F" w:rsidP="00EB2357">
            <w:pPr>
              <w:jc w:val="center"/>
              <w:rPr>
                <w:rFonts w:ascii="Times New Roman" w:eastAsia="Calibri" w:hAnsi="Times New Roman" w:cs="Times New Roman"/>
              </w:rPr>
            </w:pPr>
          </w:p>
          <w:p w14:paraId="5B1E619A" w14:textId="77777777" w:rsidR="0081662F" w:rsidRPr="00D0532A" w:rsidRDefault="0081662F" w:rsidP="00EB2357">
            <w:pPr>
              <w:jc w:val="center"/>
              <w:rPr>
                <w:rFonts w:ascii="Times New Roman" w:eastAsia="Calibri" w:hAnsi="Times New Roman" w:cs="Times New Roman"/>
              </w:rPr>
            </w:pPr>
            <w:r w:rsidRPr="00D0532A">
              <w:rPr>
                <w:rFonts w:ascii="Times New Roman" w:eastAsia="Calibri" w:hAnsi="Times New Roman" w:cs="Times New Roman"/>
              </w:rPr>
              <w:t>4</w:t>
            </w:r>
          </w:p>
          <w:p w14:paraId="37933DD1" w14:textId="77777777" w:rsidR="0081662F" w:rsidRPr="00D0532A" w:rsidRDefault="0081662F" w:rsidP="00EB2357">
            <w:pPr>
              <w:jc w:val="center"/>
              <w:rPr>
                <w:rFonts w:ascii="Times New Roman" w:eastAsia="Calibri" w:hAnsi="Times New Roman" w:cs="Times New Roman"/>
              </w:rPr>
            </w:pPr>
          </w:p>
          <w:p w14:paraId="26B751D8" w14:textId="77777777" w:rsidR="0081662F" w:rsidRPr="00D0532A" w:rsidRDefault="0081662F" w:rsidP="00EB2357">
            <w:pPr>
              <w:jc w:val="center"/>
              <w:rPr>
                <w:rFonts w:ascii="Times New Roman" w:eastAsia="Calibri" w:hAnsi="Times New Roman" w:cs="Times New Roman"/>
              </w:rPr>
            </w:pPr>
          </w:p>
          <w:p w14:paraId="61CB99EB" w14:textId="77777777" w:rsidR="0081662F" w:rsidRPr="00D0532A" w:rsidRDefault="0081662F" w:rsidP="00EB2357">
            <w:pPr>
              <w:jc w:val="center"/>
              <w:rPr>
                <w:rFonts w:ascii="Times New Roman" w:eastAsia="Calibri" w:hAnsi="Times New Roman" w:cs="Times New Roman"/>
              </w:rPr>
            </w:pPr>
          </w:p>
          <w:p w14:paraId="5ADCAD07" w14:textId="77777777" w:rsidR="0081662F" w:rsidRPr="00D0532A" w:rsidRDefault="0081662F" w:rsidP="00EB2357">
            <w:pPr>
              <w:jc w:val="center"/>
              <w:rPr>
                <w:rFonts w:ascii="Times New Roman" w:eastAsia="Calibri" w:hAnsi="Times New Roman" w:cs="Times New Roman"/>
              </w:rPr>
            </w:pPr>
          </w:p>
          <w:p w14:paraId="5EE6CB85" w14:textId="77777777" w:rsidR="0081662F" w:rsidRPr="00D0532A" w:rsidRDefault="0081662F" w:rsidP="00EB2357">
            <w:pPr>
              <w:jc w:val="center"/>
              <w:rPr>
                <w:rFonts w:ascii="Times New Roman" w:eastAsia="Calibri" w:hAnsi="Times New Roman" w:cs="Times New Roman"/>
              </w:rPr>
            </w:pPr>
          </w:p>
          <w:p w14:paraId="571A8F52" w14:textId="77777777" w:rsidR="0081662F" w:rsidRPr="00D0532A" w:rsidRDefault="0081662F" w:rsidP="00EB2357">
            <w:pPr>
              <w:jc w:val="center"/>
              <w:rPr>
                <w:rFonts w:ascii="Times New Roman" w:eastAsia="Calibri" w:hAnsi="Times New Roman" w:cs="Times New Roman"/>
              </w:rPr>
            </w:pPr>
          </w:p>
          <w:p w14:paraId="30F92D1C" w14:textId="77777777" w:rsidR="0081662F" w:rsidRPr="00D0532A" w:rsidRDefault="0081662F" w:rsidP="00EB2357">
            <w:pPr>
              <w:jc w:val="center"/>
              <w:rPr>
                <w:rFonts w:ascii="Times New Roman" w:eastAsia="Calibri" w:hAnsi="Times New Roman" w:cs="Times New Roman"/>
              </w:rPr>
            </w:pPr>
          </w:p>
          <w:p w14:paraId="6244495C" w14:textId="77777777" w:rsidR="0081662F" w:rsidRPr="00D0532A" w:rsidRDefault="0081662F" w:rsidP="00EB2357">
            <w:pPr>
              <w:jc w:val="center"/>
              <w:rPr>
                <w:rFonts w:ascii="Times New Roman" w:eastAsia="Calibri" w:hAnsi="Times New Roman" w:cs="Times New Roman"/>
              </w:rPr>
            </w:pPr>
          </w:p>
          <w:p w14:paraId="70BF457B" w14:textId="77777777" w:rsidR="0081662F" w:rsidRPr="00D0532A" w:rsidRDefault="0081662F" w:rsidP="00EB2357">
            <w:pPr>
              <w:jc w:val="center"/>
              <w:rPr>
                <w:rFonts w:ascii="Times New Roman" w:eastAsia="Calibri" w:hAnsi="Times New Roman" w:cs="Times New Roman"/>
              </w:rPr>
            </w:pPr>
          </w:p>
          <w:p w14:paraId="74D97192" w14:textId="77777777" w:rsidR="0081662F" w:rsidRPr="00D0532A" w:rsidRDefault="0081662F" w:rsidP="00EB2357">
            <w:pPr>
              <w:jc w:val="center"/>
              <w:rPr>
                <w:rFonts w:ascii="Times New Roman" w:eastAsia="Calibri" w:hAnsi="Times New Roman" w:cs="Times New Roman"/>
              </w:rPr>
            </w:pPr>
          </w:p>
          <w:p w14:paraId="54E6F1D6" w14:textId="77777777" w:rsidR="0081662F" w:rsidRPr="00D0532A" w:rsidRDefault="0081662F" w:rsidP="00EB2357">
            <w:pPr>
              <w:jc w:val="center"/>
              <w:rPr>
                <w:rFonts w:ascii="Times New Roman" w:eastAsia="Calibri" w:hAnsi="Times New Roman" w:cs="Times New Roman"/>
              </w:rPr>
            </w:pPr>
            <w:r w:rsidRPr="00D0532A">
              <w:rPr>
                <w:rFonts w:ascii="Times New Roman" w:eastAsia="Calibri" w:hAnsi="Times New Roman" w:cs="Times New Roman"/>
              </w:rPr>
              <w:t>10</w:t>
            </w:r>
          </w:p>
          <w:p w14:paraId="3AD88C10" w14:textId="77777777" w:rsidR="0081662F" w:rsidRPr="00D0532A" w:rsidRDefault="0081662F" w:rsidP="00EB2357">
            <w:pPr>
              <w:jc w:val="center"/>
              <w:rPr>
                <w:rFonts w:ascii="Times New Roman" w:eastAsia="Calibri" w:hAnsi="Times New Roman" w:cs="Times New Roman"/>
              </w:rPr>
            </w:pPr>
          </w:p>
          <w:p w14:paraId="20821C2E" w14:textId="77777777" w:rsidR="0081662F" w:rsidRPr="00D0532A" w:rsidRDefault="0081662F" w:rsidP="00EB2357">
            <w:pPr>
              <w:jc w:val="center"/>
              <w:rPr>
                <w:rFonts w:ascii="Times New Roman" w:eastAsia="Calibri" w:hAnsi="Times New Roman" w:cs="Times New Roman"/>
              </w:rPr>
            </w:pPr>
          </w:p>
          <w:p w14:paraId="3A7FC66F" w14:textId="77777777" w:rsidR="0081662F" w:rsidRPr="00D0532A" w:rsidRDefault="0081662F" w:rsidP="00EB2357">
            <w:pPr>
              <w:rPr>
                <w:rFonts w:ascii="Times New Roman" w:eastAsia="Calibri" w:hAnsi="Times New Roman" w:cs="Times New Roman"/>
              </w:rPr>
            </w:pPr>
          </w:p>
        </w:tc>
        <w:tc>
          <w:tcPr>
            <w:tcW w:w="1012" w:type="dxa"/>
            <w:shd w:val="clear" w:color="auto" w:fill="auto"/>
          </w:tcPr>
          <w:p w14:paraId="52EC733B" w14:textId="77777777" w:rsidR="0081662F" w:rsidRPr="00321F69" w:rsidRDefault="0081662F" w:rsidP="00EB2357">
            <w:pPr>
              <w:jc w:val="center"/>
              <w:rPr>
                <w:rFonts w:ascii="Times New Roman" w:eastAsia="Calibri" w:hAnsi="Times New Roman" w:cs="Times New Roman"/>
                <w:sz w:val="20"/>
                <w:szCs w:val="20"/>
              </w:rPr>
            </w:pPr>
            <w:r w:rsidRPr="00321F69">
              <w:rPr>
                <w:rFonts w:ascii="Times New Roman" w:eastAsia="Calibri" w:hAnsi="Times New Roman" w:cs="Times New Roman"/>
                <w:sz w:val="20"/>
                <w:szCs w:val="20"/>
              </w:rPr>
              <w:lastRenderedPageBreak/>
              <w:t>Knjižnica</w:t>
            </w:r>
          </w:p>
          <w:p w14:paraId="540D6F48" w14:textId="77777777" w:rsidR="0081662F" w:rsidRPr="00321F69" w:rsidRDefault="0081662F" w:rsidP="00EB2357">
            <w:pPr>
              <w:jc w:val="center"/>
              <w:rPr>
                <w:rFonts w:ascii="Times New Roman" w:eastAsia="Calibri" w:hAnsi="Times New Roman" w:cs="Times New Roman"/>
                <w:sz w:val="20"/>
                <w:szCs w:val="20"/>
              </w:rPr>
            </w:pPr>
          </w:p>
          <w:p w14:paraId="2272F69F" w14:textId="77777777" w:rsidR="0081662F" w:rsidRPr="00321F69" w:rsidRDefault="0081662F" w:rsidP="00EB2357">
            <w:pPr>
              <w:jc w:val="center"/>
              <w:rPr>
                <w:rFonts w:ascii="Times New Roman" w:eastAsia="Calibri" w:hAnsi="Times New Roman" w:cs="Times New Roman"/>
                <w:sz w:val="20"/>
                <w:szCs w:val="20"/>
              </w:rPr>
            </w:pPr>
          </w:p>
          <w:p w14:paraId="2F6C06F5" w14:textId="77777777" w:rsidR="0081662F" w:rsidRPr="00321F69" w:rsidRDefault="0081662F" w:rsidP="00EB2357">
            <w:pPr>
              <w:jc w:val="center"/>
              <w:rPr>
                <w:rFonts w:ascii="Times New Roman" w:eastAsia="Calibri" w:hAnsi="Times New Roman" w:cs="Times New Roman"/>
                <w:sz w:val="20"/>
                <w:szCs w:val="20"/>
              </w:rPr>
            </w:pPr>
          </w:p>
          <w:p w14:paraId="5E53ACA2" w14:textId="77777777" w:rsidR="0081662F" w:rsidRPr="00321F69" w:rsidRDefault="0081662F" w:rsidP="00EB2357">
            <w:pPr>
              <w:rPr>
                <w:rFonts w:ascii="Times New Roman" w:eastAsia="Calibri" w:hAnsi="Times New Roman" w:cs="Times New Roman"/>
                <w:sz w:val="20"/>
                <w:szCs w:val="20"/>
              </w:rPr>
            </w:pPr>
          </w:p>
          <w:p w14:paraId="4B12B591" w14:textId="77777777" w:rsidR="0081662F" w:rsidRPr="00321F69" w:rsidRDefault="0081662F" w:rsidP="00EB2357">
            <w:pPr>
              <w:jc w:val="center"/>
              <w:rPr>
                <w:rFonts w:ascii="Times New Roman" w:eastAsia="Calibri" w:hAnsi="Times New Roman" w:cs="Times New Roman"/>
                <w:sz w:val="20"/>
                <w:szCs w:val="20"/>
              </w:rPr>
            </w:pPr>
            <w:r w:rsidRPr="00321F69">
              <w:rPr>
                <w:rFonts w:ascii="Times New Roman" w:eastAsia="Calibri" w:hAnsi="Times New Roman" w:cs="Times New Roman"/>
                <w:sz w:val="20"/>
                <w:szCs w:val="20"/>
              </w:rPr>
              <w:t>Knjižnica</w:t>
            </w:r>
          </w:p>
          <w:p w14:paraId="27CC590A" w14:textId="77777777" w:rsidR="0081662F" w:rsidRPr="00D0532A" w:rsidRDefault="0081662F" w:rsidP="00EB2357">
            <w:pPr>
              <w:jc w:val="center"/>
              <w:rPr>
                <w:rFonts w:ascii="Times New Roman" w:eastAsia="Calibri" w:hAnsi="Times New Roman" w:cs="Times New Roman"/>
              </w:rPr>
            </w:pPr>
          </w:p>
          <w:p w14:paraId="6580948B" w14:textId="77777777" w:rsidR="0081662F" w:rsidRPr="00D0532A" w:rsidRDefault="0081662F" w:rsidP="00EB2357">
            <w:pPr>
              <w:jc w:val="center"/>
              <w:rPr>
                <w:rFonts w:ascii="Times New Roman" w:eastAsia="Calibri" w:hAnsi="Times New Roman" w:cs="Times New Roman"/>
              </w:rPr>
            </w:pPr>
          </w:p>
          <w:p w14:paraId="10CF9661" w14:textId="77777777" w:rsidR="0081662F" w:rsidRPr="00D0532A" w:rsidRDefault="0081662F" w:rsidP="00EB2357">
            <w:pPr>
              <w:jc w:val="center"/>
              <w:rPr>
                <w:rFonts w:ascii="Times New Roman" w:eastAsia="Calibri" w:hAnsi="Times New Roman" w:cs="Times New Roman"/>
              </w:rPr>
            </w:pPr>
          </w:p>
          <w:p w14:paraId="06C8C0B6" w14:textId="77777777" w:rsidR="0081662F" w:rsidRPr="00D0532A" w:rsidRDefault="0081662F" w:rsidP="00EB2357">
            <w:pPr>
              <w:jc w:val="center"/>
              <w:rPr>
                <w:rFonts w:ascii="Times New Roman" w:eastAsia="Calibri" w:hAnsi="Times New Roman" w:cs="Times New Roman"/>
              </w:rPr>
            </w:pPr>
          </w:p>
          <w:p w14:paraId="5E95C5CE" w14:textId="77777777" w:rsidR="0081662F" w:rsidRPr="00D0532A" w:rsidRDefault="0081662F" w:rsidP="00EB2357">
            <w:pPr>
              <w:jc w:val="center"/>
              <w:rPr>
                <w:rFonts w:ascii="Times New Roman" w:eastAsia="Calibri" w:hAnsi="Times New Roman" w:cs="Times New Roman"/>
              </w:rPr>
            </w:pPr>
          </w:p>
          <w:p w14:paraId="32D258D0" w14:textId="77777777" w:rsidR="0081662F" w:rsidRPr="00D0532A" w:rsidRDefault="0081662F" w:rsidP="00EB2357">
            <w:pPr>
              <w:jc w:val="center"/>
              <w:rPr>
                <w:rFonts w:ascii="Times New Roman" w:eastAsia="Calibri" w:hAnsi="Times New Roman" w:cs="Times New Roman"/>
              </w:rPr>
            </w:pPr>
          </w:p>
          <w:p w14:paraId="4AA5E965" w14:textId="77777777" w:rsidR="0081662F" w:rsidRPr="00D0532A" w:rsidRDefault="0081662F" w:rsidP="00EB2357">
            <w:pPr>
              <w:jc w:val="center"/>
              <w:rPr>
                <w:rFonts w:ascii="Times New Roman" w:eastAsia="Calibri" w:hAnsi="Times New Roman" w:cs="Times New Roman"/>
              </w:rPr>
            </w:pPr>
          </w:p>
          <w:p w14:paraId="59F7AC9E" w14:textId="77777777" w:rsidR="0081662F" w:rsidRPr="00D0532A" w:rsidRDefault="0081662F" w:rsidP="00EB2357">
            <w:pPr>
              <w:jc w:val="center"/>
              <w:rPr>
                <w:rFonts w:ascii="Times New Roman" w:eastAsia="Calibri" w:hAnsi="Times New Roman" w:cs="Times New Roman"/>
              </w:rPr>
            </w:pPr>
          </w:p>
          <w:p w14:paraId="0DA61CF1" w14:textId="77777777" w:rsidR="0081662F" w:rsidRPr="00D0532A" w:rsidRDefault="0081662F" w:rsidP="00EB2357">
            <w:pPr>
              <w:jc w:val="center"/>
              <w:rPr>
                <w:rFonts w:ascii="Times New Roman" w:eastAsia="Calibri" w:hAnsi="Times New Roman" w:cs="Times New Roman"/>
              </w:rPr>
            </w:pPr>
          </w:p>
          <w:p w14:paraId="38B10079" w14:textId="77777777" w:rsidR="0081662F" w:rsidRPr="00D0532A" w:rsidRDefault="0081662F" w:rsidP="00EB2357">
            <w:pPr>
              <w:jc w:val="center"/>
              <w:rPr>
                <w:rFonts w:ascii="Times New Roman" w:eastAsia="Calibri" w:hAnsi="Times New Roman" w:cs="Times New Roman"/>
              </w:rPr>
            </w:pPr>
          </w:p>
          <w:p w14:paraId="796C0143" w14:textId="77777777" w:rsidR="0081662F" w:rsidRDefault="0081662F" w:rsidP="00EB2357">
            <w:pPr>
              <w:jc w:val="center"/>
              <w:rPr>
                <w:rFonts w:ascii="Times New Roman" w:eastAsia="Calibri" w:hAnsi="Times New Roman" w:cs="Times New Roman"/>
                <w:sz w:val="20"/>
                <w:szCs w:val="20"/>
              </w:rPr>
            </w:pPr>
          </w:p>
          <w:p w14:paraId="3F796957" w14:textId="77777777" w:rsidR="0081662F" w:rsidRPr="00321F69" w:rsidRDefault="0081662F" w:rsidP="00EB2357">
            <w:pPr>
              <w:jc w:val="center"/>
              <w:rPr>
                <w:rFonts w:ascii="Times New Roman" w:eastAsia="Calibri" w:hAnsi="Times New Roman" w:cs="Times New Roman"/>
                <w:sz w:val="20"/>
                <w:szCs w:val="20"/>
              </w:rPr>
            </w:pPr>
            <w:r w:rsidRPr="00321F69">
              <w:rPr>
                <w:rFonts w:ascii="Times New Roman" w:eastAsia="Calibri" w:hAnsi="Times New Roman" w:cs="Times New Roman"/>
                <w:sz w:val="20"/>
                <w:szCs w:val="20"/>
              </w:rPr>
              <w:t>Knjižnica</w:t>
            </w:r>
          </w:p>
        </w:tc>
        <w:tc>
          <w:tcPr>
            <w:tcW w:w="1001" w:type="dxa"/>
            <w:shd w:val="clear" w:color="auto" w:fill="auto"/>
          </w:tcPr>
          <w:p w14:paraId="2FCB0E24" w14:textId="77777777" w:rsidR="0081662F" w:rsidRPr="00D0532A" w:rsidRDefault="0081662F" w:rsidP="00EB2357">
            <w:pPr>
              <w:jc w:val="center"/>
              <w:rPr>
                <w:rFonts w:ascii="Times New Roman" w:eastAsia="Calibri" w:hAnsi="Times New Roman" w:cs="Times New Roman"/>
              </w:rPr>
            </w:pPr>
            <w:r w:rsidRPr="00D0532A">
              <w:rPr>
                <w:rFonts w:ascii="Times New Roman" w:eastAsia="Calibri" w:hAnsi="Times New Roman" w:cs="Times New Roman"/>
              </w:rPr>
              <w:lastRenderedPageBreak/>
              <w:t>20</w:t>
            </w:r>
          </w:p>
          <w:p w14:paraId="1BEA4542" w14:textId="77777777" w:rsidR="0081662F" w:rsidRPr="00D0532A" w:rsidRDefault="0081662F" w:rsidP="00EB2357">
            <w:pPr>
              <w:jc w:val="center"/>
              <w:rPr>
                <w:rFonts w:ascii="Times New Roman" w:eastAsia="Calibri" w:hAnsi="Times New Roman" w:cs="Times New Roman"/>
              </w:rPr>
            </w:pPr>
          </w:p>
          <w:p w14:paraId="056FC813" w14:textId="77777777" w:rsidR="0081662F" w:rsidRPr="00D0532A" w:rsidRDefault="0081662F" w:rsidP="00EB2357">
            <w:pPr>
              <w:jc w:val="center"/>
              <w:rPr>
                <w:rFonts w:ascii="Times New Roman" w:eastAsia="Calibri" w:hAnsi="Times New Roman" w:cs="Times New Roman"/>
              </w:rPr>
            </w:pPr>
          </w:p>
          <w:p w14:paraId="2C5B453D" w14:textId="77777777" w:rsidR="0081662F" w:rsidRPr="00D0532A" w:rsidRDefault="0081662F" w:rsidP="00EB2357">
            <w:pPr>
              <w:jc w:val="center"/>
              <w:rPr>
                <w:rFonts w:ascii="Times New Roman" w:eastAsia="Calibri" w:hAnsi="Times New Roman" w:cs="Times New Roman"/>
              </w:rPr>
            </w:pPr>
          </w:p>
          <w:p w14:paraId="447C01D0" w14:textId="77777777" w:rsidR="0081662F" w:rsidRPr="00D0532A" w:rsidRDefault="0081662F" w:rsidP="00EB2357">
            <w:pPr>
              <w:jc w:val="center"/>
              <w:rPr>
                <w:rFonts w:ascii="Times New Roman" w:eastAsia="Calibri" w:hAnsi="Times New Roman" w:cs="Times New Roman"/>
              </w:rPr>
            </w:pPr>
          </w:p>
          <w:p w14:paraId="645E5B6E" w14:textId="77777777" w:rsidR="0081662F" w:rsidRPr="00D0532A" w:rsidRDefault="0081662F" w:rsidP="00EB2357">
            <w:pPr>
              <w:jc w:val="center"/>
              <w:rPr>
                <w:rFonts w:ascii="Times New Roman" w:eastAsia="Calibri" w:hAnsi="Times New Roman" w:cs="Times New Roman"/>
              </w:rPr>
            </w:pPr>
          </w:p>
          <w:p w14:paraId="12E6871F" w14:textId="77777777" w:rsidR="0081662F" w:rsidRPr="00D0532A" w:rsidRDefault="0081662F" w:rsidP="00EB2357">
            <w:pPr>
              <w:jc w:val="center"/>
              <w:rPr>
                <w:rFonts w:ascii="Times New Roman" w:eastAsia="Calibri" w:hAnsi="Times New Roman" w:cs="Times New Roman"/>
              </w:rPr>
            </w:pPr>
            <w:r w:rsidRPr="00D0532A">
              <w:rPr>
                <w:rFonts w:ascii="Times New Roman" w:eastAsia="Calibri" w:hAnsi="Times New Roman" w:cs="Times New Roman"/>
              </w:rPr>
              <w:t>15</w:t>
            </w:r>
          </w:p>
          <w:p w14:paraId="30DA62EA" w14:textId="77777777" w:rsidR="0081662F" w:rsidRPr="00D0532A" w:rsidRDefault="0081662F" w:rsidP="00EB2357">
            <w:pPr>
              <w:jc w:val="center"/>
              <w:rPr>
                <w:rFonts w:ascii="Times New Roman" w:eastAsia="Calibri" w:hAnsi="Times New Roman" w:cs="Times New Roman"/>
              </w:rPr>
            </w:pPr>
          </w:p>
          <w:p w14:paraId="45117CC1" w14:textId="77777777" w:rsidR="0081662F" w:rsidRPr="00D0532A" w:rsidRDefault="0081662F" w:rsidP="00EB2357">
            <w:pPr>
              <w:jc w:val="center"/>
              <w:rPr>
                <w:rFonts w:ascii="Times New Roman" w:eastAsia="Calibri" w:hAnsi="Times New Roman" w:cs="Times New Roman"/>
              </w:rPr>
            </w:pPr>
          </w:p>
          <w:p w14:paraId="4AEBD879" w14:textId="77777777" w:rsidR="0081662F" w:rsidRPr="00D0532A" w:rsidRDefault="0081662F" w:rsidP="00EB2357">
            <w:pPr>
              <w:jc w:val="center"/>
              <w:rPr>
                <w:rFonts w:ascii="Times New Roman" w:eastAsia="Calibri" w:hAnsi="Times New Roman" w:cs="Times New Roman"/>
              </w:rPr>
            </w:pPr>
          </w:p>
          <w:p w14:paraId="54DC640F" w14:textId="77777777" w:rsidR="0081662F" w:rsidRPr="00D0532A" w:rsidRDefault="0081662F" w:rsidP="00EB2357">
            <w:pPr>
              <w:jc w:val="center"/>
              <w:rPr>
                <w:rFonts w:ascii="Times New Roman" w:eastAsia="Calibri" w:hAnsi="Times New Roman" w:cs="Times New Roman"/>
              </w:rPr>
            </w:pPr>
          </w:p>
          <w:p w14:paraId="25F785F1" w14:textId="77777777" w:rsidR="0081662F" w:rsidRPr="00D0532A" w:rsidRDefault="0081662F" w:rsidP="00EB2357">
            <w:pPr>
              <w:jc w:val="center"/>
              <w:rPr>
                <w:rFonts w:ascii="Times New Roman" w:eastAsia="Calibri" w:hAnsi="Times New Roman" w:cs="Times New Roman"/>
              </w:rPr>
            </w:pPr>
          </w:p>
          <w:p w14:paraId="23DA3702" w14:textId="77777777" w:rsidR="0081662F" w:rsidRPr="00D0532A" w:rsidRDefault="0081662F" w:rsidP="00EB2357">
            <w:pPr>
              <w:jc w:val="center"/>
              <w:rPr>
                <w:rFonts w:ascii="Times New Roman" w:eastAsia="Calibri" w:hAnsi="Times New Roman" w:cs="Times New Roman"/>
              </w:rPr>
            </w:pPr>
          </w:p>
          <w:p w14:paraId="057D1402" w14:textId="77777777" w:rsidR="0081662F" w:rsidRPr="00D0532A" w:rsidRDefault="0081662F" w:rsidP="00EB2357">
            <w:pPr>
              <w:jc w:val="center"/>
              <w:rPr>
                <w:rFonts w:ascii="Times New Roman" w:eastAsia="Calibri" w:hAnsi="Times New Roman" w:cs="Times New Roman"/>
              </w:rPr>
            </w:pPr>
          </w:p>
          <w:p w14:paraId="2A7540C2" w14:textId="77777777" w:rsidR="0081662F" w:rsidRPr="00D0532A" w:rsidRDefault="0081662F" w:rsidP="00EB2357">
            <w:pPr>
              <w:jc w:val="center"/>
              <w:rPr>
                <w:rFonts w:ascii="Times New Roman" w:eastAsia="Calibri" w:hAnsi="Times New Roman" w:cs="Times New Roman"/>
              </w:rPr>
            </w:pPr>
          </w:p>
          <w:p w14:paraId="6F421682" w14:textId="77777777" w:rsidR="0081662F" w:rsidRPr="00D0532A" w:rsidRDefault="0081662F" w:rsidP="00EB2357">
            <w:pPr>
              <w:jc w:val="center"/>
              <w:rPr>
                <w:rFonts w:ascii="Times New Roman" w:eastAsia="Calibri" w:hAnsi="Times New Roman" w:cs="Times New Roman"/>
              </w:rPr>
            </w:pPr>
          </w:p>
          <w:p w14:paraId="556676BB" w14:textId="77777777" w:rsidR="0081662F" w:rsidRPr="00D0532A" w:rsidRDefault="0081662F" w:rsidP="00EB2357">
            <w:pPr>
              <w:jc w:val="center"/>
              <w:rPr>
                <w:rFonts w:ascii="Times New Roman" w:eastAsia="Calibri" w:hAnsi="Times New Roman" w:cs="Times New Roman"/>
              </w:rPr>
            </w:pPr>
          </w:p>
          <w:p w14:paraId="56E5C75D" w14:textId="77777777" w:rsidR="0081662F" w:rsidRPr="00D0532A" w:rsidRDefault="0081662F" w:rsidP="00EB2357">
            <w:pPr>
              <w:jc w:val="center"/>
              <w:rPr>
                <w:rFonts w:ascii="Times New Roman" w:eastAsia="Calibri" w:hAnsi="Times New Roman" w:cs="Times New Roman"/>
              </w:rPr>
            </w:pPr>
            <w:r w:rsidRPr="00D0532A">
              <w:rPr>
                <w:rFonts w:ascii="Times New Roman" w:eastAsia="Calibri" w:hAnsi="Times New Roman" w:cs="Times New Roman"/>
              </w:rPr>
              <w:t>15</w:t>
            </w:r>
          </w:p>
          <w:p w14:paraId="481E160C" w14:textId="77777777" w:rsidR="0081662F" w:rsidRPr="00D0532A" w:rsidRDefault="0081662F" w:rsidP="00EB2357">
            <w:pPr>
              <w:jc w:val="center"/>
              <w:rPr>
                <w:rFonts w:ascii="Times New Roman" w:eastAsia="Calibri" w:hAnsi="Times New Roman" w:cs="Times New Roman"/>
              </w:rPr>
            </w:pPr>
          </w:p>
          <w:p w14:paraId="4540AD57" w14:textId="77777777" w:rsidR="0081662F" w:rsidRPr="00D0532A" w:rsidRDefault="0081662F" w:rsidP="00EB2357">
            <w:pPr>
              <w:rPr>
                <w:rFonts w:ascii="Times New Roman" w:eastAsia="Calibri" w:hAnsi="Times New Roman" w:cs="Times New Roman"/>
              </w:rPr>
            </w:pPr>
          </w:p>
        </w:tc>
        <w:tc>
          <w:tcPr>
            <w:tcW w:w="1078" w:type="dxa"/>
            <w:shd w:val="clear" w:color="auto" w:fill="auto"/>
          </w:tcPr>
          <w:p w14:paraId="5D46BA6C" w14:textId="77777777" w:rsidR="0081662F" w:rsidRPr="00D0532A" w:rsidRDefault="0081662F" w:rsidP="00EB2357">
            <w:pPr>
              <w:jc w:val="center"/>
              <w:rPr>
                <w:rFonts w:ascii="Times New Roman" w:eastAsia="Calibri" w:hAnsi="Times New Roman" w:cs="Times New Roman"/>
              </w:rPr>
            </w:pPr>
            <w:r w:rsidRPr="00D0532A">
              <w:rPr>
                <w:rFonts w:ascii="Times New Roman" w:eastAsia="Calibri" w:hAnsi="Times New Roman" w:cs="Times New Roman"/>
              </w:rPr>
              <w:lastRenderedPageBreak/>
              <w:t>20</w:t>
            </w:r>
          </w:p>
          <w:p w14:paraId="7D6A9693" w14:textId="77777777" w:rsidR="0081662F" w:rsidRPr="00D0532A" w:rsidRDefault="0081662F" w:rsidP="00EB2357">
            <w:pPr>
              <w:jc w:val="center"/>
              <w:rPr>
                <w:rFonts w:ascii="Times New Roman" w:eastAsia="Calibri" w:hAnsi="Times New Roman" w:cs="Times New Roman"/>
              </w:rPr>
            </w:pPr>
          </w:p>
          <w:p w14:paraId="7D1F8155" w14:textId="77777777" w:rsidR="0081662F" w:rsidRPr="00D0532A" w:rsidRDefault="0081662F" w:rsidP="00EB2357">
            <w:pPr>
              <w:jc w:val="center"/>
              <w:rPr>
                <w:rFonts w:ascii="Times New Roman" w:eastAsia="Calibri" w:hAnsi="Times New Roman" w:cs="Times New Roman"/>
              </w:rPr>
            </w:pPr>
          </w:p>
          <w:p w14:paraId="3CB18481" w14:textId="77777777" w:rsidR="0081662F" w:rsidRPr="00D0532A" w:rsidRDefault="0081662F" w:rsidP="00EB2357">
            <w:pPr>
              <w:jc w:val="center"/>
              <w:rPr>
                <w:rFonts w:ascii="Times New Roman" w:eastAsia="Calibri" w:hAnsi="Times New Roman" w:cs="Times New Roman"/>
              </w:rPr>
            </w:pPr>
          </w:p>
          <w:p w14:paraId="01350EA0" w14:textId="77777777" w:rsidR="0081662F" w:rsidRPr="00D0532A" w:rsidRDefault="0081662F" w:rsidP="00EB2357">
            <w:pPr>
              <w:jc w:val="center"/>
              <w:rPr>
                <w:rFonts w:ascii="Times New Roman" w:eastAsia="Calibri" w:hAnsi="Times New Roman" w:cs="Times New Roman"/>
              </w:rPr>
            </w:pPr>
          </w:p>
          <w:p w14:paraId="6B7EC7B8" w14:textId="77777777" w:rsidR="0081662F" w:rsidRPr="00D0532A" w:rsidRDefault="0081662F" w:rsidP="00EB2357">
            <w:pPr>
              <w:jc w:val="center"/>
              <w:rPr>
                <w:rFonts w:ascii="Times New Roman" w:eastAsia="Calibri" w:hAnsi="Times New Roman" w:cs="Times New Roman"/>
              </w:rPr>
            </w:pPr>
          </w:p>
          <w:p w14:paraId="79C0D581" w14:textId="77777777" w:rsidR="0081662F" w:rsidRPr="00D0532A" w:rsidRDefault="0081662F" w:rsidP="00EB2357">
            <w:pPr>
              <w:jc w:val="center"/>
              <w:rPr>
                <w:rFonts w:ascii="Times New Roman" w:eastAsia="Calibri" w:hAnsi="Times New Roman" w:cs="Times New Roman"/>
              </w:rPr>
            </w:pPr>
            <w:r w:rsidRPr="00D0532A">
              <w:rPr>
                <w:rFonts w:ascii="Times New Roman" w:eastAsia="Calibri" w:hAnsi="Times New Roman" w:cs="Times New Roman"/>
              </w:rPr>
              <w:t>15</w:t>
            </w:r>
          </w:p>
          <w:p w14:paraId="75CB9E63" w14:textId="77777777" w:rsidR="0081662F" w:rsidRPr="00D0532A" w:rsidRDefault="0081662F" w:rsidP="00EB2357">
            <w:pPr>
              <w:jc w:val="center"/>
              <w:rPr>
                <w:rFonts w:ascii="Times New Roman" w:eastAsia="Calibri" w:hAnsi="Times New Roman" w:cs="Times New Roman"/>
              </w:rPr>
            </w:pPr>
          </w:p>
          <w:p w14:paraId="1F8824CB" w14:textId="77777777" w:rsidR="0081662F" w:rsidRPr="00D0532A" w:rsidRDefault="0081662F" w:rsidP="00EB2357">
            <w:pPr>
              <w:jc w:val="center"/>
              <w:rPr>
                <w:rFonts w:ascii="Times New Roman" w:eastAsia="Calibri" w:hAnsi="Times New Roman" w:cs="Times New Roman"/>
              </w:rPr>
            </w:pPr>
          </w:p>
          <w:p w14:paraId="44F837B8" w14:textId="77777777" w:rsidR="0081662F" w:rsidRPr="00D0532A" w:rsidRDefault="0081662F" w:rsidP="00EB2357">
            <w:pPr>
              <w:jc w:val="center"/>
              <w:rPr>
                <w:rFonts w:ascii="Times New Roman" w:eastAsia="Calibri" w:hAnsi="Times New Roman" w:cs="Times New Roman"/>
              </w:rPr>
            </w:pPr>
          </w:p>
          <w:p w14:paraId="017E5BA0" w14:textId="77777777" w:rsidR="0081662F" w:rsidRPr="00D0532A" w:rsidRDefault="0081662F" w:rsidP="00EB2357">
            <w:pPr>
              <w:jc w:val="center"/>
              <w:rPr>
                <w:rFonts w:ascii="Times New Roman" w:eastAsia="Calibri" w:hAnsi="Times New Roman" w:cs="Times New Roman"/>
              </w:rPr>
            </w:pPr>
          </w:p>
          <w:p w14:paraId="678DAB11" w14:textId="77777777" w:rsidR="0081662F" w:rsidRPr="00D0532A" w:rsidRDefault="0081662F" w:rsidP="00EB2357">
            <w:pPr>
              <w:jc w:val="center"/>
              <w:rPr>
                <w:rFonts w:ascii="Times New Roman" w:eastAsia="Calibri" w:hAnsi="Times New Roman" w:cs="Times New Roman"/>
              </w:rPr>
            </w:pPr>
          </w:p>
          <w:p w14:paraId="40E88FE1" w14:textId="77777777" w:rsidR="0081662F" w:rsidRPr="00D0532A" w:rsidRDefault="0081662F" w:rsidP="00EB2357">
            <w:pPr>
              <w:jc w:val="center"/>
              <w:rPr>
                <w:rFonts w:ascii="Times New Roman" w:eastAsia="Calibri" w:hAnsi="Times New Roman" w:cs="Times New Roman"/>
              </w:rPr>
            </w:pPr>
          </w:p>
          <w:p w14:paraId="34E494D6" w14:textId="77777777" w:rsidR="0081662F" w:rsidRPr="00D0532A" w:rsidRDefault="0081662F" w:rsidP="00EB2357">
            <w:pPr>
              <w:jc w:val="center"/>
              <w:rPr>
                <w:rFonts w:ascii="Times New Roman" w:eastAsia="Calibri" w:hAnsi="Times New Roman" w:cs="Times New Roman"/>
              </w:rPr>
            </w:pPr>
          </w:p>
          <w:p w14:paraId="402EB760" w14:textId="77777777" w:rsidR="0081662F" w:rsidRPr="00D0532A" w:rsidRDefault="0081662F" w:rsidP="00EB2357">
            <w:pPr>
              <w:jc w:val="center"/>
              <w:rPr>
                <w:rFonts w:ascii="Times New Roman" w:eastAsia="Calibri" w:hAnsi="Times New Roman" w:cs="Times New Roman"/>
              </w:rPr>
            </w:pPr>
          </w:p>
          <w:p w14:paraId="5B3DAB59" w14:textId="77777777" w:rsidR="0081662F" w:rsidRPr="00D0532A" w:rsidRDefault="0081662F" w:rsidP="00EB2357">
            <w:pPr>
              <w:rPr>
                <w:rFonts w:ascii="Times New Roman" w:eastAsia="Calibri" w:hAnsi="Times New Roman" w:cs="Times New Roman"/>
              </w:rPr>
            </w:pPr>
          </w:p>
          <w:p w14:paraId="67E36E7D" w14:textId="77777777" w:rsidR="0081662F" w:rsidRPr="00D0532A" w:rsidRDefault="0081662F" w:rsidP="00EB2357">
            <w:pPr>
              <w:rPr>
                <w:rFonts w:ascii="Times New Roman" w:eastAsia="Calibri" w:hAnsi="Times New Roman" w:cs="Times New Roman"/>
              </w:rPr>
            </w:pPr>
          </w:p>
          <w:p w14:paraId="1B12A69A" w14:textId="77777777" w:rsidR="0081662F" w:rsidRPr="00D0532A" w:rsidRDefault="0081662F" w:rsidP="00EB2357">
            <w:pPr>
              <w:rPr>
                <w:rFonts w:ascii="Times New Roman" w:eastAsia="Calibri" w:hAnsi="Times New Roman" w:cs="Times New Roman"/>
              </w:rPr>
            </w:pPr>
            <w:r w:rsidRPr="00D0532A">
              <w:rPr>
                <w:rFonts w:ascii="Times New Roman" w:eastAsia="Calibri" w:hAnsi="Times New Roman" w:cs="Times New Roman"/>
              </w:rPr>
              <w:t>15</w:t>
            </w:r>
          </w:p>
          <w:p w14:paraId="358E18B8" w14:textId="77777777" w:rsidR="0081662F" w:rsidRPr="00D0532A" w:rsidRDefault="0081662F" w:rsidP="00EB2357">
            <w:pPr>
              <w:rPr>
                <w:rFonts w:ascii="Times New Roman" w:eastAsia="Calibri" w:hAnsi="Times New Roman" w:cs="Times New Roman"/>
              </w:rPr>
            </w:pPr>
          </w:p>
          <w:p w14:paraId="27571C38" w14:textId="77777777" w:rsidR="0081662F" w:rsidRPr="00D0532A" w:rsidRDefault="0081662F" w:rsidP="00EB2357">
            <w:pPr>
              <w:rPr>
                <w:rFonts w:ascii="Times New Roman" w:eastAsia="Calibri" w:hAnsi="Times New Roman" w:cs="Times New Roman"/>
              </w:rPr>
            </w:pPr>
          </w:p>
          <w:p w14:paraId="53E24DDC" w14:textId="77777777" w:rsidR="0081662F" w:rsidRPr="00D0532A" w:rsidRDefault="0081662F" w:rsidP="00EB2357">
            <w:pPr>
              <w:rPr>
                <w:rFonts w:ascii="Times New Roman" w:eastAsia="Calibri" w:hAnsi="Times New Roman" w:cs="Times New Roman"/>
              </w:rPr>
            </w:pPr>
          </w:p>
        </w:tc>
        <w:tc>
          <w:tcPr>
            <w:tcW w:w="1078" w:type="dxa"/>
            <w:shd w:val="clear" w:color="auto" w:fill="auto"/>
          </w:tcPr>
          <w:p w14:paraId="2BD1CFA2" w14:textId="77777777" w:rsidR="0081662F" w:rsidRPr="00D0532A" w:rsidRDefault="0081662F" w:rsidP="00EB2357">
            <w:pPr>
              <w:jc w:val="center"/>
              <w:rPr>
                <w:rFonts w:ascii="Times New Roman" w:eastAsia="Calibri" w:hAnsi="Times New Roman" w:cs="Times New Roman"/>
              </w:rPr>
            </w:pPr>
            <w:r w:rsidRPr="00D0532A">
              <w:rPr>
                <w:rFonts w:ascii="Times New Roman" w:eastAsia="Calibri" w:hAnsi="Times New Roman" w:cs="Times New Roman"/>
              </w:rPr>
              <w:lastRenderedPageBreak/>
              <w:t>20</w:t>
            </w:r>
          </w:p>
          <w:p w14:paraId="2B17441B" w14:textId="77777777" w:rsidR="0081662F" w:rsidRPr="00D0532A" w:rsidRDefault="0081662F" w:rsidP="00EB2357">
            <w:pPr>
              <w:jc w:val="center"/>
              <w:rPr>
                <w:rFonts w:ascii="Times New Roman" w:eastAsia="Calibri" w:hAnsi="Times New Roman" w:cs="Times New Roman"/>
              </w:rPr>
            </w:pPr>
          </w:p>
          <w:p w14:paraId="369C99E0" w14:textId="77777777" w:rsidR="0081662F" w:rsidRPr="00D0532A" w:rsidRDefault="0081662F" w:rsidP="00EB2357">
            <w:pPr>
              <w:jc w:val="center"/>
              <w:rPr>
                <w:rFonts w:ascii="Times New Roman" w:eastAsia="Calibri" w:hAnsi="Times New Roman" w:cs="Times New Roman"/>
              </w:rPr>
            </w:pPr>
          </w:p>
          <w:p w14:paraId="30C7E697" w14:textId="77777777" w:rsidR="0081662F" w:rsidRPr="00D0532A" w:rsidRDefault="0081662F" w:rsidP="00EB2357">
            <w:pPr>
              <w:jc w:val="center"/>
              <w:rPr>
                <w:rFonts w:ascii="Times New Roman" w:eastAsia="Calibri" w:hAnsi="Times New Roman" w:cs="Times New Roman"/>
              </w:rPr>
            </w:pPr>
          </w:p>
          <w:p w14:paraId="7FE5FBE1" w14:textId="77777777" w:rsidR="0081662F" w:rsidRPr="00D0532A" w:rsidRDefault="0081662F" w:rsidP="00EB2357">
            <w:pPr>
              <w:jc w:val="center"/>
              <w:rPr>
                <w:rFonts w:ascii="Times New Roman" w:eastAsia="Calibri" w:hAnsi="Times New Roman" w:cs="Times New Roman"/>
              </w:rPr>
            </w:pPr>
          </w:p>
          <w:p w14:paraId="34FCDC74" w14:textId="77777777" w:rsidR="0081662F" w:rsidRPr="00D0532A" w:rsidRDefault="0081662F" w:rsidP="00EB2357">
            <w:pPr>
              <w:rPr>
                <w:rFonts w:ascii="Times New Roman" w:eastAsia="Calibri" w:hAnsi="Times New Roman" w:cs="Times New Roman"/>
              </w:rPr>
            </w:pPr>
          </w:p>
          <w:p w14:paraId="63A20F67" w14:textId="77777777" w:rsidR="0081662F" w:rsidRPr="00D0532A" w:rsidRDefault="0081662F" w:rsidP="00EB2357">
            <w:pPr>
              <w:jc w:val="center"/>
              <w:rPr>
                <w:rFonts w:ascii="Times New Roman" w:eastAsia="Calibri" w:hAnsi="Times New Roman" w:cs="Times New Roman"/>
              </w:rPr>
            </w:pPr>
            <w:r w:rsidRPr="00D0532A">
              <w:rPr>
                <w:rFonts w:ascii="Times New Roman" w:eastAsia="Calibri" w:hAnsi="Times New Roman" w:cs="Times New Roman"/>
              </w:rPr>
              <w:t>15</w:t>
            </w:r>
          </w:p>
          <w:p w14:paraId="5B35C446" w14:textId="77777777" w:rsidR="0081662F" w:rsidRPr="00D0532A" w:rsidRDefault="0081662F" w:rsidP="00EB2357">
            <w:pPr>
              <w:jc w:val="center"/>
              <w:rPr>
                <w:rFonts w:ascii="Times New Roman" w:eastAsia="Calibri" w:hAnsi="Times New Roman" w:cs="Times New Roman"/>
              </w:rPr>
            </w:pPr>
          </w:p>
          <w:p w14:paraId="38B793D0" w14:textId="77777777" w:rsidR="0081662F" w:rsidRPr="00D0532A" w:rsidRDefault="0081662F" w:rsidP="00EB2357">
            <w:pPr>
              <w:jc w:val="center"/>
              <w:rPr>
                <w:rFonts w:ascii="Times New Roman" w:eastAsia="Calibri" w:hAnsi="Times New Roman" w:cs="Times New Roman"/>
              </w:rPr>
            </w:pPr>
          </w:p>
          <w:p w14:paraId="75AE58FE" w14:textId="77777777" w:rsidR="0081662F" w:rsidRPr="00D0532A" w:rsidRDefault="0081662F" w:rsidP="00EB2357">
            <w:pPr>
              <w:jc w:val="center"/>
              <w:rPr>
                <w:rFonts w:ascii="Times New Roman" w:eastAsia="Calibri" w:hAnsi="Times New Roman" w:cs="Times New Roman"/>
              </w:rPr>
            </w:pPr>
          </w:p>
          <w:p w14:paraId="3C98FE96" w14:textId="77777777" w:rsidR="0081662F" w:rsidRPr="00D0532A" w:rsidRDefault="0081662F" w:rsidP="00EB2357">
            <w:pPr>
              <w:jc w:val="center"/>
              <w:rPr>
                <w:rFonts w:ascii="Times New Roman" w:eastAsia="Calibri" w:hAnsi="Times New Roman" w:cs="Times New Roman"/>
              </w:rPr>
            </w:pPr>
          </w:p>
          <w:p w14:paraId="546B9323" w14:textId="77777777" w:rsidR="0081662F" w:rsidRPr="00D0532A" w:rsidRDefault="0081662F" w:rsidP="00EB2357">
            <w:pPr>
              <w:jc w:val="center"/>
              <w:rPr>
                <w:rFonts w:ascii="Times New Roman" w:eastAsia="Calibri" w:hAnsi="Times New Roman" w:cs="Times New Roman"/>
              </w:rPr>
            </w:pPr>
          </w:p>
          <w:p w14:paraId="3DF88CF7" w14:textId="77777777" w:rsidR="0081662F" w:rsidRPr="00D0532A" w:rsidRDefault="0081662F" w:rsidP="00EB2357">
            <w:pPr>
              <w:jc w:val="center"/>
              <w:rPr>
                <w:rFonts w:ascii="Times New Roman" w:eastAsia="Calibri" w:hAnsi="Times New Roman" w:cs="Times New Roman"/>
              </w:rPr>
            </w:pPr>
          </w:p>
          <w:p w14:paraId="0344C51D" w14:textId="77777777" w:rsidR="0081662F" w:rsidRPr="00D0532A" w:rsidRDefault="0081662F" w:rsidP="00EB2357">
            <w:pPr>
              <w:jc w:val="center"/>
              <w:rPr>
                <w:rFonts w:ascii="Times New Roman" w:eastAsia="Calibri" w:hAnsi="Times New Roman" w:cs="Times New Roman"/>
              </w:rPr>
            </w:pPr>
          </w:p>
          <w:p w14:paraId="004A93CD" w14:textId="77777777" w:rsidR="0081662F" w:rsidRPr="00D0532A" w:rsidRDefault="0081662F" w:rsidP="00EB2357">
            <w:pPr>
              <w:jc w:val="center"/>
              <w:rPr>
                <w:rFonts w:ascii="Times New Roman" w:eastAsia="Calibri" w:hAnsi="Times New Roman" w:cs="Times New Roman"/>
              </w:rPr>
            </w:pPr>
          </w:p>
          <w:p w14:paraId="4814BDAC" w14:textId="77777777" w:rsidR="0081662F" w:rsidRPr="00D0532A" w:rsidRDefault="0081662F" w:rsidP="00EB2357">
            <w:pPr>
              <w:jc w:val="center"/>
              <w:rPr>
                <w:rFonts w:ascii="Times New Roman" w:eastAsia="Calibri" w:hAnsi="Times New Roman" w:cs="Times New Roman"/>
              </w:rPr>
            </w:pPr>
          </w:p>
          <w:p w14:paraId="5EBD41AC" w14:textId="77777777" w:rsidR="0081662F" w:rsidRPr="00D0532A" w:rsidRDefault="0081662F" w:rsidP="00EB2357">
            <w:pPr>
              <w:jc w:val="center"/>
              <w:rPr>
                <w:rFonts w:ascii="Times New Roman" w:eastAsia="Calibri" w:hAnsi="Times New Roman" w:cs="Times New Roman"/>
              </w:rPr>
            </w:pPr>
          </w:p>
          <w:p w14:paraId="1D8D5D65" w14:textId="77777777" w:rsidR="0081662F" w:rsidRPr="00D0532A" w:rsidRDefault="0081662F" w:rsidP="00EB2357">
            <w:pPr>
              <w:jc w:val="center"/>
              <w:rPr>
                <w:rFonts w:ascii="Times New Roman" w:eastAsia="Calibri" w:hAnsi="Times New Roman" w:cs="Times New Roman"/>
              </w:rPr>
            </w:pPr>
            <w:r w:rsidRPr="00D0532A">
              <w:rPr>
                <w:rFonts w:ascii="Times New Roman" w:eastAsia="Calibri" w:hAnsi="Times New Roman" w:cs="Times New Roman"/>
              </w:rPr>
              <w:t>15</w:t>
            </w:r>
          </w:p>
          <w:p w14:paraId="5344B379" w14:textId="77777777" w:rsidR="0081662F" w:rsidRPr="00D0532A" w:rsidRDefault="0081662F" w:rsidP="00EB2357">
            <w:pPr>
              <w:jc w:val="center"/>
              <w:rPr>
                <w:rFonts w:ascii="Times New Roman" w:eastAsia="Calibri" w:hAnsi="Times New Roman" w:cs="Times New Roman"/>
              </w:rPr>
            </w:pPr>
          </w:p>
          <w:p w14:paraId="0DA60340" w14:textId="77777777" w:rsidR="0081662F" w:rsidRPr="00D0532A" w:rsidRDefault="0081662F" w:rsidP="00EB2357">
            <w:pPr>
              <w:jc w:val="center"/>
              <w:rPr>
                <w:rFonts w:ascii="Times New Roman" w:eastAsia="Calibri" w:hAnsi="Times New Roman" w:cs="Times New Roman"/>
              </w:rPr>
            </w:pPr>
          </w:p>
          <w:p w14:paraId="34D75D02" w14:textId="77777777" w:rsidR="0081662F" w:rsidRPr="00D0532A" w:rsidRDefault="0081662F" w:rsidP="00EB2357">
            <w:pPr>
              <w:rPr>
                <w:rFonts w:ascii="Times New Roman" w:eastAsia="Calibri" w:hAnsi="Times New Roman" w:cs="Times New Roman"/>
              </w:rPr>
            </w:pPr>
          </w:p>
        </w:tc>
      </w:tr>
    </w:tbl>
    <w:p w14:paraId="3E888ACD" w14:textId="77777777" w:rsidR="0081662F" w:rsidRPr="00D0532A" w:rsidRDefault="0081662F" w:rsidP="0081662F">
      <w:pPr>
        <w:rPr>
          <w:rFonts w:ascii="Times New Roman" w:eastAsia="Calibri" w:hAnsi="Times New Roman" w:cs="Times New Roman"/>
          <w:b/>
          <w:bCs/>
        </w:rPr>
      </w:pPr>
    </w:p>
    <w:p w14:paraId="1741B776" w14:textId="77777777" w:rsidR="0081662F" w:rsidRPr="00D0532A" w:rsidRDefault="0081662F" w:rsidP="0081662F">
      <w:pPr>
        <w:rPr>
          <w:rFonts w:ascii="Times New Roman" w:hAnsi="Times New Roman" w:cs="Times New Roman"/>
        </w:rPr>
      </w:pPr>
      <w:r w:rsidRPr="00D0532A">
        <w:rPr>
          <w:rFonts w:ascii="Times New Roman" w:eastAsia="Calibri" w:hAnsi="Times New Roman" w:cs="Times New Roman"/>
        </w:rPr>
        <w:t xml:space="preserve">3.Cilj i pokazatelji uspješnosti / </w:t>
      </w:r>
      <w:r w:rsidRPr="00D0532A">
        <w:rPr>
          <w:rFonts w:ascii="Times New Roman" w:hAnsi="Times New Roman" w:cs="Times New Roman"/>
        </w:rPr>
        <w:t>Promicanje zavičajne pisane riječi</w:t>
      </w:r>
    </w:p>
    <w:p w14:paraId="4F27ED4D" w14:textId="77777777" w:rsidR="0081662F" w:rsidRPr="00D0532A" w:rsidRDefault="0081662F" w:rsidP="0081662F">
      <w:pPr>
        <w:rPr>
          <w:rFonts w:ascii="Times New Roman" w:eastAsia="Calibri" w:hAnsi="Times New Roman" w:cs="Times New Roman"/>
        </w:rPr>
      </w:pPr>
      <w:r w:rsidRPr="00D0532A">
        <w:rPr>
          <w:rFonts w:ascii="Times New Roman" w:hAnsi="Times New Roman" w:cs="Times New Roman"/>
        </w:rPr>
        <w:t>Poticanje na pisanje i kreativnost u lokalnoj zajednici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1094"/>
        <w:gridCol w:w="1059"/>
        <w:gridCol w:w="1117"/>
        <w:gridCol w:w="1048"/>
        <w:gridCol w:w="1116"/>
        <w:gridCol w:w="1220"/>
        <w:gridCol w:w="1255"/>
      </w:tblGrid>
      <w:tr w:rsidR="0081662F" w:rsidRPr="00D0532A" w14:paraId="4F379DB0" w14:textId="77777777" w:rsidTr="00EB2357">
        <w:tc>
          <w:tcPr>
            <w:tcW w:w="1152" w:type="dxa"/>
            <w:shd w:val="clear" w:color="auto" w:fill="BFBFBF"/>
          </w:tcPr>
          <w:p w14:paraId="49C78F18" w14:textId="77777777" w:rsidR="0081662F" w:rsidRPr="00D0532A" w:rsidRDefault="0081662F" w:rsidP="00EB2357">
            <w:pPr>
              <w:rPr>
                <w:rFonts w:ascii="Times New Roman" w:eastAsia="Calibri" w:hAnsi="Times New Roman" w:cs="Times New Roman"/>
                <w:b/>
                <w:bCs/>
              </w:rPr>
            </w:pPr>
            <w:r w:rsidRPr="00D0532A">
              <w:rPr>
                <w:rFonts w:ascii="Times New Roman" w:eastAsia="Calibri" w:hAnsi="Times New Roman" w:cs="Times New Roman"/>
                <w:b/>
                <w:bCs/>
              </w:rPr>
              <w:t>Pokazatelj rezultata</w:t>
            </w:r>
          </w:p>
        </w:tc>
        <w:tc>
          <w:tcPr>
            <w:tcW w:w="1095" w:type="dxa"/>
            <w:shd w:val="clear" w:color="auto" w:fill="BFBFBF"/>
          </w:tcPr>
          <w:p w14:paraId="07C969AF" w14:textId="77777777" w:rsidR="0081662F" w:rsidRPr="00D0532A" w:rsidRDefault="0081662F" w:rsidP="00EB2357">
            <w:pPr>
              <w:rPr>
                <w:rFonts w:ascii="Times New Roman" w:eastAsia="Calibri" w:hAnsi="Times New Roman" w:cs="Times New Roman"/>
                <w:b/>
                <w:bCs/>
              </w:rPr>
            </w:pPr>
            <w:r w:rsidRPr="00D0532A">
              <w:rPr>
                <w:rFonts w:ascii="Times New Roman" w:eastAsia="Calibri" w:hAnsi="Times New Roman" w:cs="Times New Roman"/>
                <w:b/>
                <w:bCs/>
              </w:rPr>
              <w:t>Definicija</w:t>
            </w:r>
          </w:p>
        </w:tc>
        <w:tc>
          <w:tcPr>
            <w:tcW w:w="1059" w:type="dxa"/>
            <w:shd w:val="clear" w:color="auto" w:fill="BFBFBF"/>
          </w:tcPr>
          <w:p w14:paraId="54E80982" w14:textId="77777777" w:rsidR="0081662F" w:rsidRPr="00D0532A" w:rsidRDefault="0081662F" w:rsidP="00EB2357">
            <w:pPr>
              <w:rPr>
                <w:rFonts w:ascii="Times New Roman" w:eastAsia="Calibri" w:hAnsi="Times New Roman" w:cs="Times New Roman"/>
                <w:b/>
                <w:bCs/>
              </w:rPr>
            </w:pPr>
            <w:r w:rsidRPr="00D0532A">
              <w:rPr>
                <w:rFonts w:ascii="Times New Roman" w:eastAsia="Calibri" w:hAnsi="Times New Roman" w:cs="Times New Roman"/>
                <w:b/>
                <w:bCs/>
              </w:rPr>
              <w:t>Jedinica</w:t>
            </w:r>
          </w:p>
        </w:tc>
        <w:tc>
          <w:tcPr>
            <w:tcW w:w="800" w:type="dxa"/>
            <w:shd w:val="clear" w:color="auto" w:fill="BFBFBF"/>
          </w:tcPr>
          <w:p w14:paraId="64C19D23" w14:textId="77777777" w:rsidR="0081662F" w:rsidRPr="00D0532A" w:rsidRDefault="0081662F" w:rsidP="00EB2357">
            <w:pPr>
              <w:rPr>
                <w:rFonts w:ascii="Times New Roman" w:eastAsia="Calibri" w:hAnsi="Times New Roman" w:cs="Times New Roman"/>
                <w:b/>
                <w:bCs/>
              </w:rPr>
            </w:pPr>
            <w:r w:rsidRPr="00D0532A">
              <w:rPr>
                <w:rFonts w:ascii="Times New Roman" w:eastAsia="Calibri" w:hAnsi="Times New Roman" w:cs="Times New Roman"/>
                <w:b/>
                <w:bCs/>
              </w:rPr>
              <w:t>Polazna vrijednost</w:t>
            </w:r>
          </w:p>
        </w:tc>
        <w:tc>
          <w:tcPr>
            <w:tcW w:w="1365" w:type="dxa"/>
            <w:shd w:val="clear" w:color="auto" w:fill="BFBFBF"/>
          </w:tcPr>
          <w:p w14:paraId="72B62A8B" w14:textId="77777777" w:rsidR="0081662F" w:rsidRPr="00D0532A" w:rsidRDefault="0081662F" w:rsidP="00EB2357">
            <w:pPr>
              <w:rPr>
                <w:rFonts w:ascii="Times New Roman" w:eastAsia="Calibri" w:hAnsi="Times New Roman" w:cs="Times New Roman"/>
                <w:b/>
                <w:bCs/>
              </w:rPr>
            </w:pPr>
            <w:r w:rsidRPr="00D0532A">
              <w:rPr>
                <w:rFonts w:ascii="Times New Roman" w:eastAsia="Calibri" w:hAnsi="Times New Roman" w:cs="Times New Roman"/>
                <w:b/>
                <w:bCs/>
              </w:rPr>
              <w:t>Izvor podataka</w:t>
            </w:r>
          </w:p>
        </w:tc>
        <w:tc>
          <w:tcPr>
            <w:tcW w:w="1116" w:type="dxa"/>
            <w:shd w:val="clear" w:color="auto" w:fill="BFBFBF"/>
          </w:tcPr>
          <w:p w14:paraId="518B06BD" w14:textId="77777777" w:rsidR="0081662F" w:rsidRPr="00D0532A" w:rsidRDefault="0081662F" w:rsidP="00EB2357">
            <w:pPr>
              <w:rPr>
                <w:rFonts w:ascii="Times New Roman" w:eastAsia="Calibri" w:hAnsi="Times New Roman" w:cs="Times New Roman"/>
                <w:b/>
                <w:bCs/>
              </w:rPr>
            </w:pPr>
            <w:r w:rsidRPr="00D0532A">
              <w:rPr>
                <w:rFonts w:ascii="Times New Roman" w:eastAsia="Calibri" w:hAnsi="Times New Roman" w:cs="Times New Roman"/>
                <w:b/>
                <w:bCs/>
              </w:rPr>
              <w:t>Izvršenje 2024.</w:t>
            </w:r>
          </w:p>
        </w:tc>
        <w:tc>
          <w:tcPr>
            <w:tcW w:w="1220" w:type="dxa"/>
            <w:shd w:val="clear" w:color="auto" w:fill="BFBFBF"/>
          </w:tcPr>
          <w:p w14:paraId="5D8E5E65" w14:textId="77777777" w:rsidR="0081662F" w:rsidRPr="00D0532A" w:rsidRDefault="0081662F" w:rsidP="00EB2357">
            <w:pPr>
              <w:rPr>
                <w:rFonts w:ascii="Times New Roman" w:eastAsia="Calibri" w:hAnsi="Times New Roman" w:cs="Times New Roman"/>
                <w:b/>
                <w:bCs/>
              </w:rPr>
            </w:pPr>
            <w:r w:rsidRPr="00D0532A">
              <w:rPr>
                <w:rFonts w:ascii="Times New Roman" w:eastAsia="Calibri" w:hAnsi="Times New Roman" w:cs="Times New Roman"/>
                <w:b/>
                <w:bCs/>
              </w:rPr>
              <w:t>Ciljana vrijednost 2025.</w:t>
            </w:r>
          </w:p>
        </w:tc>
        <w:tc>
          <w:tcPr>
            <w:tcW w:w="1255" w:type="dxa"/>
            <w:shd w:val="clear" w:color="auto" w:fill="BFBFBF"/>
          </w:tcPr>
          <w:p w14:paraId="39C82B73" w14:textId="77777777" w:rsidR="0081662F" w:rsidRPr="00D0532A" w:rsidRDefault="0081662F" w:rsidP="00EB2357">
            <w:pPr>
              <w:rPr>
                <w:rFonts w:ascii="Times New Roman" w:eastAsia="Calibri" w:hAnsi="Times New Roman" w:cs="Times New Roman"/>
                <w:b/>
                <w:bCs/>
              </w:rPr>
            </w:pPr>
            <w:r w:rsidRPr="00D0532A">
              <w:rPr>
                <w:rFonts w:ascii="Times New Roman" w:eastAsia="Calibri" w:hAnsi="Times New Roman" w:cs="Times New Roman"/>
                <w:b/>
                <w:bCs/>
              </w:rPr>
              <w:t>Ciljana vrijednost 2026.</w:t>
            </w:r>
          </w:p>
        </w:tc>
      </w:tr>
      <w:tr w:rsidR="0081662F" w:rsidRPr="00D0532A" w14:paraId="542DF123" w14:textId="77777777" w:rsidTr="00EB2357">
        <w:trPr>
          <w:trHeight w:val="2967"/>
        </w:trPr>
        <w:tc>
          <w:tcPr>
            <w:tcW w:w="1152" w:type="dxa"/>
            <w:shd w:val="clear" w:color="auto" w:fill="auto"/>
          </w:tcPr>
          <w:p w14:paraId="23A94AA5" w14:textId="77777777" w:rsidR="0081662F" w:rsidRPr="00D0532A" w:rsidRDefault="0081662F" w:rsidP="00EB2357">
            <w:pPr>
              <w:rPr>
                <w:rFonts w:ascii="Times New Roman" w:eastAsia="Calibri" w:hAnsi="Times New Roman" w:cs="Times New Roman"/>
              </w:rPr>
            </w:pPr>
          </w:p>
          <w:p w14:paraId="30A17063" w14:textId="77777777" w:rsidR="0081662F" w:rsidRPr="00D0532A" w:rsidRDefault="0081662F" w:rsidP="00EB2357">
            <w:pPr>
              <w:rPr>
                <w:rFonts w:ascii="Times New Roman" w:hAnsi="Times New Roman" w:cs="Times New Roman"/>
              </w:rPr>
            </w:pPr>
          </w:p>
          <w:p w14:paraId="3C6154A4" w14:textId="77777777" w:rsidR="0081662F" w:rsidRPr="00D0532A" w:rsidRDefault="0081662F" w:rsidP="00EB2357">
            <w:pPr>
              <w:rPr>
                <w:rFonts w:ascii="Times New Roman" w:eastAsia="Calibri" w:hAnsi="Times New Roman" w:cs="Times New Roman"/>
              </w:rPr>
            </w:pPr>
            <w:r w:rsidRPr="00D0532A">
              <w:rPr>
                <w:rFonts w:ascii="Times New Roman" w:hAnsi="Times New Roman" w:cs="Times New Roman"/>
              </w:rPr>
              <w:t xml:space="preserve">Izdavačka djelatnost </w:t>
            </w:r>
          </w:p>
        </w:tc>
        <w:tc>
          <w:tcPr>
            <w:tcW w:w="1095" w:type="dxa"/>
            <w:shd w:val="clear" w:color="auto" w:fill="auto"/>
          </w:tcPr>
          <w:p w14:paraId="7CF8E6C6" w14:textId="77777777" w:rsidR="0081662F" w:rsidRPr="00D0532A" w:rsidRDefault="0081662F" w:rsidP="00EB2357">
            <w:pPr>
              <w:rPr>
                <w:rFonts w:ascii="Times New Roman" w:eastAsia="Calibri" w:hAnsi="Times New Roman" w:cs="Times New Roman"/>
              </w:rPr>
            </w:pPr>
          </w:p>
          <w:p w14:paraId="73BA39E8" w14:textId="77777777" w:rsidR="0081662F" w:rsidRPr="00D0532A" w:rsidRDefault="0081662F" w:rsidP="00EB2357">
            <w:pPr>
              <w:rPr>
                <w:rFonts w:ascii="Times New Roman" w:eastAsia="Calibri" w:hAnsi="Times New Roman" w:cs="Times New Roman"/>
              </w:rPr>
            </w:pPr>
          </w:p>
          <w:p w14:paraId="4A4C5C69" w14:textId="77777777" w:rsidR="0081662F" w:rsidRPr="00D0532A" w:rsidRDefault="0081662F" w:rsidP="00EB2357">
            <w:pPr>
              <w:rPr>
                <w:rFonts w:ascii="Times New Roman" w:eastAsia="Calibri" w:hAnsi="Times New Roman" w:cs="Times New Roman"/>
              </w:rPr>
            </w:pPr>
            <w:r w:rsidRPr="00D0532A">
              <w:rPr>
                <w:rFonts w:ascii="Times New Roman" w:eastAsia="Calibri" w:hAnsi="Times New Roman" w:cs="Times New Roman"/>
              </w:rPr>
              <w:t>Knjižnica kao nakladnik:</w:t>
            </w:r>
          </w:p>
          <w:p w14:paraId="6E820DF8" w14:textId="77777777" w:rsidR="0081662F" w:rsidRPr="00D0532A" w:rsidRDefault="0081662F" w:rsidP="00EB2357">
            <w:pPr>
              <w:rPr>
                <w:rFonts w:ascii="Times New Roman" w:eastAsia="Calibri" w:hAnsi="Times New Roman" w:cs="Times New Roman"/>
              </w:rPr>
            </w:pPr>
          </w:p>
          <w:p w14:paraId="0E5EDD88" w14:textId="77777777" w:rsidR="0081662F" w:rsidRPr="00D0532A" w:rsidRDefault="0081662F" w:rsidP="00EB2357">
            <w:pPr>
              <w:rPr>
                <w:rFonts w:ascii="Times New Roman" w:eastAsia="Calibri" w:hAnsi="Times New Roman" w:cs="Times New Roman"/>
              </w:rPr>
            </w:pPr>
            <w:r w:rsidRPr="00D0532A">
              <w:rPr>
                <w:rFonts w:ascii="Times New Roman" w:hAnsi="Times New Roman" w:cs="Times New Roman"/>
              </w:rPr>
              <w:t>izdavanje zbirke poezije zavičajnih autora Pleter stihova</w:t>
            </w:r>
          </w:p>
        </w:tc>
        <w:tc>
          <w:tcPr>
            <w:tcW w:w="1059" w:type="dxa"/>
            <w:shd w:val="clear" w:color="auto" w:fill="auto"/>
          </w:tcPr>
          <w:p w14:paraId="68655663" w14:textId="77777777" w:rsidR="0081662F" w:rsidRPr="00D0532A" w:rsidRDefault="0081662F" w:rsidP="00EB2357">
            <w:pPr>
              <w:rPr>
                <w:rFonts w:ascii="Times New Roman" w:eastAsia="Calibri" w:hAnsi="Times New Roman" w:cs="Times New Roman"/>
              </w:rPr>
            </w:pPr>
          </w:p>
          <w:p w14:paraId="12B005B6" w14:textId="77777777" w:rsidR="0081662F" w:rsidRPr="00D0532A" w:rsidRDefault="0081662F" w:rsidP="00EB2357">
            <w:pPr>
              <w:rPr>
                <w:rFonts w:ascii="Times New Roman" w:eastAsia="Calibri" w:hAnsi="Times New Roman" w:cs="Times New Roman"/>
              </w:rPr>
            </w:pPr>
          </w:p>
          <w:p w14:paraId="05D7C042" w14:textId="77777777" w:rsidR="0081662F" w:rsidRPr="00D0532A" w:rsidRDefault="0081662F" w:rsidP="00EB2357">
            <w:pPr>
              <w:rPr>
                <w:rFonts w:ascii="Times New Roman" w:eastAsia="Calibri" w:hAnsi="Times New Roman" w:cs="Times New Roman"/>
              </w:rPr>
            </w:pPr>
            <w:r w:rsidRPr="00D0532A">
              <w:rPr>
                <w:rFonts w:ascii="Times New Roman" w:eastAsia="Calibri" w:hAnsi="Times New Roman" w:cs="Times New Roman"/>
              </w:rPr>
              <w:t>Broj tiskanih svezaka u 2024.</w:t>
            </w:r>
          </w:p>
          <w:p w14:paraId="40F74CBD" w14:textId="77777777" w:rsidR="0081662F" w:rsidRPr="00D0532A" w:rsidRDefault="0081662F" w:rsidP="00EB2357">
            <w:pPr>
              <w:rPr>
                <w:rFonts w:ascii="Times New Roman" w:eastAsia="Calibri" w:hAnsi="Times New Roman" w:cs="Times New Roman"/>
              </w:rPr>
            </w:pPr>
          </w:p>
          <w:p w14:paraId="6A47C14E" w14:textId="77777777" w:rsidR="0081662F" w:rsidRPr="00D0532A" w:rsidRDefault="0081662F" w:rsidP="00EB2357">
            <w:pPr>
              <w:rPr>
                <w:rFonts w:ascii="Times New Roman" w:eastAsia="Calibri" w:hAnsi="Times New Roman" w:cs="Times New Roman"/>
              </w:rPr>
            </w:pPr>
          </w:p>
          <w:p w14:paraId="5DCFB496" w14:textId="77777777" w:rsidR="0081662F" w:rsidRPr="00D0532A" w:rsidRDefault="0081662F" w:rsidP="00EB2357">
            <w:pPr>
              <w:rPr>
                <w:rFonts w:ascii="Times New Roman" w:eastAsia="Calibri" w:hAnsi="Times New Roman" w:cs="Times New Roman"/>
              </w:rPr>
            </w:pPr>
          </w:p>
          <w:p w14:paraId="044FC3E0" w14:textId="77777777" w:rsidR="0081662F" w:rsidRPr="00D0532A" w:rsidRDefault="0081662F" w:rsidP="00EB2357">
            <w:pPr>
              <w:rPr>
                <w:rFonts w:ascii="Times New Roman" w:eastAsia="Calibri" w:hAnsi="Times New Roman" w:cs="Times New Roman"/>
              </w:rPr>
            </w:pPr>
            <w:r w:rsidRPr="00D0532A">
              <w:rPr>
                <w:rFonts w:ascii="Times New Roman" w:eastAsia="Calibri" w:hAnsi="Times New Roman" w:cs="Times New Roman"/>
              </w:rPr>
              <w:t>Broj održanih promocija</w:t>
            </w:r>
          </w:p>
        </w:tc>
        <w:tc>
          <w:tcPr>
            <w:tcW w:w="800" w:type="dxa"/>
            <w:shd w:val="clear" w:color="auto" w:fill="auto"/>
          </w:tcPr>
          <w:p w14:paraId="031A12A3" w14:textId="77777777" w:rsidR="0081662F" w:rsidRPr="00D0532A" w:rsidRDefault="0081662F" w:rsidP="00EB2357">
            <w:pPr>
              <w:jc w:val="center"/>
              <w:rPr>
                <w:rFonts w:ascii="Times New Roman" w:eastAsia="Calibri" w:hAnsi="Times New Roman" w:cs="Times New Roman"/>
              </w:rPr>
            </w:pPr>
          </w:p>
          <w:p w14:paraId="1A49BBC7" w14:textId="77777777" w:rsidR="0081662F" w:rsidRPr="00D0532A" w:rsidRDefault="0081662F" w:rsidP="00EB2357">
            <w:pPr>
              <w:jc w:val="center"/>
              <w:rPr>
                <w:rFonts w:ascii="Times New Roman" w:eastAsia="Calibri" w:hAnsi="Times New Roman" w:cs="Times New Roman"/>
              </w:rPr>
            </w:pPr>
          </w:p>
          <w:p w14:paraId="19B57C7E" w14:textId="77777777" w:rsidR="0081662F" w:rsidRPr="00D0532A" w:rsidRDefault="0081662F" w:rsidP="00EB2357">
            <w:pPr>
              <w:rPr>
                <w:rFonts w:ascii="Times New Roman" w:eastAsia="Calibri" w:hAnsi="Times New Roman" w:cs="Times New Roman"/>
              </w:rPr>
            </w:pPr>
            <w:r w:rsidRPr="00D0532A">
              <w:rPr>
                <w:rFonts w:ascii="Times New Roman" w:eastAsia="Calibri" w:hAnsi="Times New Roman" w:cs="Times New Roman"/>
              </w:rPr>
              <w:t>100 sv.</w:t>
            </w:r>
          </w:p>
          <w:p w14:paraId="6275A4EB" w14:textId="77777777" w:rsidR="0081662F" w:rsidRPr="00D0532A" w:rsidRDefault="0081662F" w:rsidP="00EB2357">
            <w:pPr>
              <w:jc w:val="center"/>
              <w:rPr>
                <w:rFonts w:ascii="Times New Roman" w:eastAsia="Calibri" w:hAnsi="Times New Roman" w:cs="Times New Roman"/>
              </w:rPr>
            </w:pPr>
          </w:p>
          <w:p w14:paraId="5644BF95" w14:textId="77777777" w:rsidR="0081662F" w:rsidRPr="00D0532A" w:rsidRDefault="0081662F" w:rsidP="00EB2357">
            <w:pPr>
              <w:jc w:val="center"/>
              <w:rPr>
                <w:rFonts w:ascii="Times New Roman" w:eastAsia="Calibri" w:hAnsi="Times New Roman" w:cs="Times New Roman"/>
              </w:rPr>
            </w:pPr>
          </w:p>
          <w:p w14:paraId="2676ACC5" w14:textId="77777777" w:rsidR="0081662F" w:rsidRPr="00D0532A" w:rsidRDefault="0081662F" w:rsidP="00EB2357">
            <w:pPr>
              <w:jc w:val="center"/>
              <w:rPr>
                <w:rFonts w:ascii="Times New Roman" w:eastAsia="Calibri" w:hAnsi="Times New Roman" w:cs="Times New Roman"/>
              </w:rPr>
            </w:pPr>
          </w:p>
          <w:p w14:paraId="31CEBBC9" w14:textId="77777777" w:rsidR="0081662F" w:rsidRPr="00D0532A" w:rsidRDefault="0081662F" w:rsidP="00EB2357">
            <w:pPr>
              <w:jc w:val="center"/>
              <w:rPr>
                <w:rFonts w:ascii="Times New Roman" w:eastAsia="Calibri" w:hAnsi="Times New Roman" w:cs="Times New Roman"/>
              </w:rPr>
            </w:pPr>
          </w:p>
          <w:p w14:paraId="6306ED07" w14:textId="77777777" w:rsidR="0081662F" w:rsidRPr="00D0532A" w:rsidRDefault="0081662F" w:rsidP="00EB2357">
            <w:pPr>
              <w:jc w:val="center"/>
              <w:rPr>
                <w:rFonts w:ascii="Times New Roman" w:eastAsia="Calibri" w:hAnsi="Times New Roman" w:cs="Times New Roman"/>
              </w:rPr>
            </w:pPr>
          </w:p>
          <w:p w14:paraId="1BC00BAC" w14:textId="77777777" w:rsidR="0081662F" w:rsidRPr="00D0532A" w:rsidRDefault="0081662F" w:rsidP="00EB2357">
            <w:pPr>
              <w:jc w:val="center"/>
              <w:rPr>
                <w:rFonts w:ascii="Times New Roman" w:eastAsia="Calibri" w:hAnsi="Times New Roman" w:cs="Times New Roman"/>
              </w:rPr>
            </w:pPr>
          </w:p>
          <w:p w14:paraId="318C8F11" w14:textId="77777777" w:rsidR="0081662F" w:rsidRPr="00D0532A" w:rsidRDefault="0081662F" w:rsidP="00EB2357">
            <w:pPr>
              <w:jc w:val="center"/>
              <w:rPr>
                <w:rFonts w:ascii="Times New Roman" w:eastAsia="Calibri" w:hAnsi="Times New Roman" w:cs="Times New Roman"/>
              </w:rPr>
            </w:pPr>
            <w:r w:rsidRPr="00D0532A">
              <w:rPr>
                <w:rFonts w:ascii="Times New Roman" w:eastAsia="Calibri" w:hAnsi="Times New Roman" w:cs="Times New Roman"/>
              </w:rPr>
              <w:t>1</w:t>
            </w:r>
          </w:p>
        </w:tc>
        <w:tc>
          <w:tcPr>
            <w:tcW w:w="1365" w:type="dxa"/>
            <w:shd w:val="clear" w:color="auto" w:fill="auto"/>
          </w:tcPr>
          <w:p w14:paraId="785940E3" w14:textId="77777777" w:rsidR="0081662F" w:rsidRDefault="0081662F" w:rsidP="00EB2357">
            <w:pPr>
              <w:jc w:val="center"/>
              <w:rPr>
                <w:rFonts w:ascii="Times New Roman" w:eastAsia="Calibri" w:hAnsi="Times New Roman" w:cs="Times New Roman"/>
              </w:rPr>
            </w:pPr>
          </w:p>
          <w:p w14:paraId="131B29C5" w14:textId="77777777" w:rsidR="0081662F" w:rsidRDefault="0081662F" w:rsidP="00EB2357">
            <w:pPr>
              <w:jc w:val="center"/>
              <w:rPr>
                <w:rFonts w:ascii="Times New Roman" w:eastAsia="Calibri" w:hAnsi="Times New Roman" w:cs="Times New Roman"/>
              </w:rPr>
            </w:pPr>
          </w:p>
          <w:p w14:paraId="141E3439" w14:textId="77777777" w:rsidR="0081662F" w:rsidRDefault="0081662F" w:rsidP="00EB2357">
            <w:pPr>
              <w:jc w:val="center"/>
              <w:rPr>
                <w:rFonts w:ascii="Times New Roman" w:eastAsia="Calibri" w:hAnsi="Times New Roman" w:cs="Times New Roman"/>
              </w:rPr>
            </w:pPr>
          </w:p>
          <w:p w14:paraId="65C63763" w14:textId="77777777" w:rsidR="0081662F" w:rsidRPr="00D0532A" w:rsidRDefault="0081662F" w:rsidP="00EB2357">
            <w:pPr>
              <w:jc w:val="center"/>
              <w:rPr>
                <w:rFonts w:ascii="Times New Roman" w:eastAsia="Calibri" w:hAnsi="Times New Roman" w:cs="Times New Roman"/>
              </w:rPr>
            </w:pPr>
            <w:r w:rsidRPr="00D0532A">
              <w:rPr>
                <w:rFonts w:ascii="Times New Roman" w:eastAsia="Calibri" w:hAnsi="Times New Roman" w:cs="Times New Roman"/>
              </w:rPr>
              <w:t>Knjižnica</w:t>
            </w:r>
          </w:p>
          <w:p w14:paraId="0047B227" w14:textId="77777777" w:rsidR="0081662F" w:rsidRPr="00D0532A" w:rsidRDefault="0081662F" w:rsidP="00EB2357">
            <w:pPr>
              <w:jc w:val="center"/>
              <w:rPr>
                <w:rFonts w:ascii="Times New Roman" w:eastAsia="Calibri" w:hAnsi="Times New Roman" w:cs="Times New Roman"/>
              </w:rPr>
            </w:pPr>
          </w:p>
          <w:p w14:paraId="598A25D5" w14:textId="77777777" w:rsidR="0081662F" w:rsidRPr="00D0532A" w:rsidRDefault="0081662F" w:rsidP="00EB2357">
            <w:pPr>
              <w:jc w:val="center"/>
              <w:rPr>
                <w:rFonts w:ascii="Times New Roman" w:eastAsia="Calibri" w:hAnsi="Times New Roman" w:cs="Times New Roman"/>
              </w:rPr>
            </w:pPr>
          </w:p>
          <w:p w14:paraId="23DA47E8" w14:textId="77777777" w:rsidR="0081662F" w:rsidRPr="00D0532A" w:rsidRDefault="0081662F" w:rsidP="00EB2357">
            <w:pPr>
              <w:jc w:val="center"/>
              <w:rPr>
                <w:rFonts w:ascii="Times New Roman" w:eastAsia="Calibri" w:hAnsi="Times New Roman" w:cs="Times New Roman"/>
              </w:rPr>
            </w:pPr>
          </w:p>
          <w:p w14:paraId="080543E2" w14:textId="77777777" w:rsidR="0081662F" w:rsidRPr="00D0532A" w:rsidRDefault="0081662F" w:rsidP="00EB2357">
            <w:pPr>
              <w:jc w:val="center"/>
              <w:rPr>
                <w:rFonts w:ascii="Times New Roman" w:eastAsia="Calibri" w:hAnsi="Times New Roman" w:cs="Times New Roman"/>
              </w:rPr>
            </w:pPr>
          </w:p>
          <w:p w14:paraId="4D09FC35" w14:textId="77777777" w:rsidR="0081662F" w:rsidRPr="00D0532A" w:rsidRDefault="0081662F" w:rsidP="00EB2357">
            <w:pPr>
              <w:jc w:val="center"/>
              <w:rPr>
                <w:rFonts w:ascii="Times New Roman" w:eastAsia="Calibri" w:hAnsi="Times New Roman" w:cs="Times New Roman"/>
              </w:rPr>
            </w:pPr>
          </w:p>
          <w:p w14:paraId="131D658F" w14:textId="77777777" w:rsidR="0081662F" w:rsidRPr="00D0532A" w:rsidRDefault="0081662F" w:rsidP="00EB2357">
            <w:pPr>
              <w:rPr>
                <w:rFonts w:ascii="Times New Roman" w:eastAsia="Calibri" w:hAnsi="Times New Roman" w:cs="Times New Roman"/>
              </w:rPr>
            </w:pPr>
            <w:r w:rsidRPr="00D0532A">
              <w:rPr>
                <w:rFonts w:ascii="Times New Roman" w:eastAsia="Calibri" w:hAnsi="Times New Roman" w:cs="Times New Roman"/>
              </w:rPr>
              <w:t>Knjižnica</w:t>
            </w:r>
          </w:p>
        </w:tc>
        <w:tc>
          <w:tcPr>
            <w:tcW w:w="1116" w:type="dxa"/>
            <w:shd w:val="clear" w:color="auto" w:fill="auto"/>
          </w:tcPr>
          <w:p w14:paraId="69CDCC6E" w14:textId="77777777" w:rsidR="0081662F" w:rsidRPr="00D0532A" w:rsidRDefault="0081662F" w:rsidP="00EB2357">
            <w:pPr>
              <w:rPr>
                <w:rFonts w:ascii="Times New Roman" w:eastAsia="Calibri" w:hAnsi="Times New Roman" w:cs="Times New Roman"/>
              </w:rPr>
            </w:pPr>
          </w:p>
          <w:p w14:paraId="17287B9E" w14:textId="77777777" w:rsidR="0081662F" w:rsidRPr="00D0532A" w:rsidRDefault="0081662F" w:rsidP="00EB2357">
            <w:pPr>
              <w:rPr>
                <w:rFonts w:ascii="Times New Roman" w:eastAsia="Calibri" w:hAnsi="Times New Roman" w:cs="Times New Roman"/>
              </w:rPr>
            </w:pPr>
          </w:p>
          <w:p w14:paraId="071B2635" w14:textId="77777777" w:rsidR="0081662F" w:rsidRPr="00D0532A" w:rsidRDefault="0081662F" w:rsidP="00EB2357">
            <w:pPr>
              <w:rPr>
                <w:rFonts w:ascii="Times New Roman" w:eastAsia="Calibri" w:hAnsi="Times New Roman" w:cs="Times New Roman"/>
              </w:rPr>
            </w:pPr>
            <w:r w:rsidRPr="00D0532A">
              <w:rPr>
                <w:rFonts w:ascii="Times New Roman" w:eastAsia="Calibri" w:hAnsi="Times New Roman" w:cs="Times New Roman"/>
              </w:rPr>
              <w:t>Broj tiskanih primjeraka - 200 sv.</w:t>
            </w:r>
          </w:p>
          <w:p w14:paraId="37956F82" w14:textId="77777777" w:rsidR="0081662F" w:rsidRPr="00D0532A" w:rsidRDefault="0081662F" w:rsidP="00EB2357">
            <w:pPr>
              <w:jc w:val="center"/>
              <w:rPr>
                <w:rFonts w:ascii="Times New Roman" w:eastAsia="Calibri" w:hAnsi="Times New Roman" w:cs="Times New Roman"/>
              </w:rPr>
            </w:pPr>
          </w:p>
          <w:p w14:paraId="7AE3A72A" w14:textId="77777777" w:rsidR="0081662F" w:rsidRPr="00D0532A" w:rsidRDefault="0081662F" w:rsidP="00EB2357">
            <w:pPr>
              <w:jc w:val="center"/>
              <w:rPr>
                <w:rFonts w:ascii="Times New Roman" w:eastAsia="Calibri" w:hAnsi="Times New Roman" w:cs="Times New Roman"/>
              </w:rPr>
            </w:pPr>
          </w:p>
          <w:p w14:paraId="0A90E767" w14:textId="77777777" w:rsidR="0081662F" w:rsidRPr="00D0532A" w:rsidRDefault="0081662F" w:rsidP="00EB2357">
            <w:pPr>
              <w:rPr>
                <w:rFonts w:ascii="Times New Roman" w:eastAsia="Calibri" w:hAnsi="Times New Roman" w:cs="Times New Roman"/>
              </w:rPr>
            </w:pPr>
            <w:r w:rsidRPr="00D0532A">
              <w:rPr>
                <w:rFonts w:ascii="Times New Roman" w:eastAsia="Calibri" w:hAnsi="Times New Roman" w:cs="Times New Roman"/>
              </w:rPr>
              <w:t>Broj održanih promocija u 2024. (1)</w:t>
            </w:r>
          </w:p>
          <w:p w14:paraId="740A18AE" w14:textId="77777777" w:rsidR="0081662F" w:rsidRPr="00D0532A" w:rsidRDefault="0081662F" w:rsidP="00EB2357">
            <w:pPr>
              <w:rPr>
                <w:rFonts w:ascii="Times New Roman" w:eastAsia="Calibri" w:hAnsi="Times New Roman" w:cs="Times New Roman"/>
              </w:rPr>
            </w:pPr>
            <w:r w:rsidRPr="00D0532A">
              <w:rPr>
                <w:rFonts w:ascii="Times New Roman" w:eastAsia="Calibri" w:hAnsi="Times New Roman" w:cs="Times New Roman"/>
              </w:rPr>
              <w:t>Broj nazočnih</w:t>
            </w:r>
          </w:p>
          <w:p w14:paraId="4261C93E" w14:textId="77777777" w:rsidR="0081662F" w:rsidRPr="00D0532A" w:rsidRDefault="0081662F" w:rsidP="00EB2357">
            <w:pPr>
              <w:rPr>
                <w:rFonts w:ascii="Times New Roman" w:eastAsia="Calibri" w:hAnsi="Times New Roman" w:cs="Times New Roman"/>
              </w:rPr>
            </w:pPr>
            <w:r w:rsidRPr="00D0532A">
              <w:rPr>
                <w:rFonts w:ascii="Times New Roman" w:eastAsia="Calibri" w:hAnsi="Times New Roman" w:cs="Times New Roman"/>
              </w:rPr>
              <w:t xml:space="preserve">na promociji (0) </w:t>
            </w:r>
          </w:p>
        </w:tc>
        <w:tc>
          <w:tcPr>
            <w:tcW w:w="1220" w:type="dxa"/>
            <w:shd w:val="clear" w:color="auto" w:fill="auto"/>
          </w:tcPr>
          <w:p w14:paraId="3C721715" w14:textId="77777777" w:rsidR="0081662F" w:rsidRPr="00D0532A" w:rsidRDefault="0081662F" w:rsidP="00EB2357">
            <w:pPr>
              <w:jc w:val="center"/>
              <w:rPr>
                <w:rFonts w:ascii="Times New Roman" w:eastAsia="Calibri" w:hAnsi="Times New Roman" w:cs="Times New Roman"/>
              </w:rPr>
            </w:pPr>
          </w:p>
          <w:p w14:paraId="7FEC4602" w14:textId="77777777" w:rsidR="0081662F" w:rsidRPr="00D0532A" w:rsidRDefault="0081662F" w:rsidP="00EB2357">
            <w:pPr>
              <w:rPr>
                <w:rFonts w:ascii="Times New Roman" w:eastAsia="Calibri" w:hAnsi="Times New Roman" w:cs="Times New Roman"/>
              </w:rPr>
            </w:pPr>
          </w:p>
          <w:p w14:paraId="2646C293" w14:textId="77777777" w:rsidR="0081662F" w:rsidRPr="00D0532A" w:rsidRDefault="0081662F" w:rsidP="00EB2357">
            <w:pPr>
              <w:rPr>
                <w:rFonts w:ascii="Times New Roman" w:eastAsia="Calibri" w:hAnsi="Times New Roman" w:cs="Times New Roman"/>
              </w:rPr>
            </w:pPr>
            <w:r w:rsidRPr="00D0532A">
              <w:rPr>
                <w:rFonts w:ascii="Times New Roman" w:eastAsia="Calibri" w:hAnsi="Times New Roman" w:cs="Times New Roman"/>
              </w:rPr>
              <w:t>200 sv. Knjige Priče i legende garešničkog kraja</w:t>
            </w:r>
          </w:p>
          <w:p w14:paraId="03A34105" w14:textId="77777777" w:rsidR="0081662F" w:rsidRPr="00D0532A" w:rsidRDefault="0081662F" w:rsidP="00EB2357">
            <w:pPr>
              <w:rPr>
                <w:rFonts w:ascii="Times New Roman" w:eastAsia="Calibri" w:hAnsi="Times New Roman" w:cs="Times New Roman"/>
              </w:rPr>
            </w:pPr>
          </w:p>
          <w:p w14:paraId="29021876" w14:textId="77777777" w:rsidR="0081662F" w:rsidRPr="00D0532A" w:rsidRDefault="0081662F" w:rsidP="00EB2357">
            <w:pPr>
              <w:jc w:val="center"/>
              <w:rPr>
                <w:rFonts w:ascii="Times New Roman" w:eastAsia="Calibri" w:hAnsi="Times New Roman" w:cs="Times New Roman"/>
              </w:rPr>
            </w:pPr>
            <w:r w:rsidRPr="00D0532A">
              <w:rPr>
                <w:rFonts w:ascii="Times New Roman" w:eastAsia="Calibri" w:hAnsi="Times New Roman" w:cs="Times New Roman"/>
              </w:rPr>
              <w:t>Očekivani broj promocija (1)</w:t>
            </w:r>
          </w:p>
          <w:p w14:paraId="507130D2" w14:textId="77777777" w:rsidR="0081662F" w:rsidRPr="00D0532A" w:rsidRDefault="0081662F" w:rsidP="00EB2357">
            <w:pPr>
              <w:rPr>
                <w:rFonts w:ascii="Times New Roman" w:eastAsia="Calibri" w:hAnsi="Times New Roman" w:cs="Times New Roman"/>
              </w:rPr>
            </w:pPr>
            <w:r w:rsidRPr="00D0532A">
              <w:rPr>
                <w:rFonts w:ascii="Times New Roman" w:eastAsia="Calibri" w:hAnsi="Times New Roman" w:cs="Times New Roman"/>
              </w:rPr>
              <w:t>Očekivani broj nazočnih</w:t>
            </w:r>
          </w:p>
          <w:p w14:paraId="216ACCD8" w14:textId="77777777" w:rsidR="0081662F" w:rsidRPr="00D0532A" w:rsidRDefault="0081662F" w:rsidP="00EB2357">
            <w:pPr>
              <w:rPr>
                <w:rFonts w:ascii="Times New Roman" w:eastAsia="Calibri" w:hAnsi="Times New Roman" w:cs="Times New Roman"/>
              </w:rPr>
            </w:pPr>
            <w:r w:rsidRPr="00D0532A">
              <w:rPr>
                <w:rFonts w:ascii="Times New Roman" w:eastAsia="Calibri" w:hAnsi="Times New Roman" w:cs="Times New Roman"/>
              </w:rPr>
              <w:t>na promociji (80)</w:t>
            </w:r>
          </w:p>
        </w:tc>
        <w:tc>
          <w:tcPr>
            <w:tcW w:w="1255" w:type="dxa"/>
            <w:shd w:val="clear" w:color="auto" w:fill="auto"/>
          </w:tcPr>
          <w:p w14:paraId="19414B2B" w14:textId="77777777" w:rsidR="0081662F" w:rsidRPr="00D0532A" w:rsidRDefault="0081662F" w:rsidP="00EB2357">
            <w:pPr>
              <w:jc w:val="center"/>
              <w:rPr>
                <w:rFonts w:ascii="Times New Roman" w:eastAsia="Calibri" w:hAnsi="Times New Roman" w:cs="Times New Roman"/>
              </w:rPr>
            </w:pPr>
          </w:p>
          <w:p w14:paraId="78ED7C25" w14:textId="77777777" w:rsidR="0081662F" w:rsidRPr="00D0532A" w:rsidRDefault="0081662F" w:rsidP="00EB2357">
            <w:pPr>
              <w:jc w:val="center"/>
              <w:rPr>
                <w:rFonts w:ascii="Times New Roman" w:eastAsia="Calibri" w:hAnsi="Times New Roman" w:cs="Times New Roman"/>
              </w:rPr>
            </w:pPr>
          </w:p>
          <w:p w14:paraId="49C09B3D" w14:textId="77777777" w:rsidR="0081662F" w:rsidRPr="00D0532A" w:rsidRDefault="0081662F" w:rsidP="00EB2357">
            <w:pPr>
              <w:rPr>
                <w:rFonts w:ascii="Times New Roman" w:eastAsia="Calibri" w:hAnsi="Times New Roman" w:cs="Times New Roman"/>
              </w:rPr>
            </w:pPr>
            <w:r w:rsidRPr="00D0532A">
              <w:rPr>
                <w:rFonts w:ascii="Times New Roman" w:eastAsia="Calibri" w:hAnsi="Times New Roman" w:cs="Times New Roman"/>
              </w:rPr>
              <w:t>200 sv. Knjige Sakralno Domoljubna poezija (zavičajni autori)</w:t>
            </w:r>
          </w:p>
          <w:p w14:paraId="7D10607A" w14:textId="77777777" w:rsidR="0081662F" w:rsidRPr="00D0532A" w:rsidRDefault="0081662F" w:rsidP="00EB2357">
            <w:pPr>
              <w:rPr>
                <w:rFonts w:ascii="Times New Roman" w:eastAsia="Calibri" w:hAnsi="Times New Roman" w:cs="Times New Roman"/>
              </w:rPr>
            </w:pPr>
            <w:r w:rsidRPr="00D0532A">
              <w:rPr>
                <w:rFonts w:ascii="Times New Roman" w:eastAsia="Calibri" w:hAnsi="Times New Roman" w:cs="Times New Roman"/>
              </w:rPr>
              <w:t>Očekivani broj promocija (1)</w:t>
            </w:r>
          </w:p>
          <w:p w14:paraId="7852290B" w14:textId="77777777" w:rsidR="0081662F" w:rsidRPr="00D0532A" w:rsidRDefault="0081662F" w:rsidP="00EB2357">
            <w:pPr>
              <w:rPr>
                <w:rFonts w:ascii="Times New Roman" w:eastAsia="Calibri" w:hAnsi="Times New Roman" w:cs="Times New Roman"/>
              </w:rPr>
            </w:pPr>
            <w:r w:rsidRPr="00D0532A">
              <w:rPr>
                <w:rFonts w:ascii="Times New Roman" w:eastAsia="Calibri" w:hAnsi="Times New Roman" w:cs="Times New Roman"/>
              </w:rPr>
              <w:t>Očekivani broj nazočnih</w:t>
            </w:r>
          </w:p>
          <w:p w14:paraId="02FD8D9A" w14:textId="77777777" w:rsidR="0081662F" w:rsidRPr="00D0532A" w:rsidRDefault="0081662F" w:rsidP="00EB2357">
            <w:pPr>
              <w:rPr>
                <w:rFonts w:ascii="Times New Roman" w:eastAsia="Calibri" w:hAnsi="Times New Roman" w:cs="Times New Roman"/>
              </w:rPr>
            </w:pPr>
            <w:r w:rsidRPr="00D0532A">
              <w:rPr>
                <w:rFonts w:ascii="Times New Roman" w:eastAsia="Calibri" w:hAnsi="Times New Roman" w:cs="Times New Roman"/>
              </w:rPr>
              <w:t>na promociji (80)</w:t>
            </w:r>
          </w:p>
        </w:tc>
      </w:tr>
    </w:tbl>
    <w:p w14:paraId="01889B4C" w14:textId="77777777" w:rsidR="0081662F" w:rsidRPr="00D0532A" w:rsidRDefault="0081662F" w:rsidP="0081662F">
      <w:pPr>
        <w:spacing w:after="0" w:line="240" w:lineRule="auto"/>
        <w:jc w:val="both"/>
        <w:rPr>
          <w:rFonts w:ascii="Times New Roman" w:hAnsi="Times New Roman" w:cs="Times New Roman"/>
          <w:bCs/>
          <w:color w:val="FF0000"/>
          <w:lang w:eastAsia="hr-HR"/>
        </w:rPr>
      </w:pPr>
    </w:p>
    <w:p w14:paraId="70BA52FA" w14:textId="77777777" w:rsidR="0081662F" w:rsidRPr="00D0532A" w:rsidRDefault="0081662F" w:rsidP="0081662F">
      <w:pPr>
        <w:tabs>
          <w:tab w:val="left" w:pos="284"/>
        </w:tabs>
        <w:spacing w:after="0" w:line="240" w:lineRule="auto"/>
        <w:jc w:val="both"/>
        <w:rPr>
          <w:rFonts w:ascii="Times New Roman" w:hAnsi="Times New Roman" w:cs="Times New Roman"/>
          <w:bCs/>
          <w:color w:val="FF0000"/>
          <w:lang w:eastAsia="hr-HR"/>
        </w:rPr>
      </w:pPr>
    </w:p>
    <w:p w14:paraId="370E2CA5" w14:textId="77777777" w:rsidR="0081662F" w:rsidRPr="00D0532A" w:rsidRDefault="0081662F" w:rsidP="0081662F">
      <w:pPr>
        <w:spacing w:after="0" w:line="240" w:lineRule="auto"/>
        <w:ind w:firstLine="567"/>
        <w:jc w:val="both"/>
        <w:rPr>
          <w:rFonts w:ascii="Times New Roman" w:hAnsi="Times New Roman" w:cs="Times New Roman"/>
          <w:b/>
          <w:bCs/>
          <w:i/>
          <w:lang w:eastAsia="hr-HR"/>
        </w:rPr>
      </w:pPr>
      <w:r w:rsidRPr="00D0532A">
        <w:rPr>
          <w:rFonts w:ascii="Times New Roman" w:hAnsi="Times New Roman" w:cs="Times New Roman"/>
          <w:b/>
          <w:bCs/>
          <w:i/>
          <w:lang w:eastAsia="hr-HR"/>
        </w:rPr>
        <w:t>GLAVA 00205  JAVNA USTANOVA</w:t>
      </w:r>
    </w:p>
    <w:p w14:paraId="35D383A5" w14:textId="77777777" w:rsidR="0081662F" w:rsidRPr="00D0532A" w:rsidRDefault="0081662F" w:rsidP="0081662F">
      <w:pPr>
        <w:spacing w:after="0" w:line="240" w:lineRule="auto"/>
        <w:ind w:firstLine="567"/>
        <w:jc w:val="both"/>
        <w:rPr>
          <w:rFonts w:ascii="Times New Roman" w:hAnsi="Times New Roman" w:cs="Times New Roman"/>
          <w:b/>
          <w:bCs/>
          <w:i/>
          <w:lang w:eastAsia="hr-HR"/>
        </w:rPr>
      </w:pPr>
      <w:r w:rsidRPr="00D0532A">
        <w:rPr>
          <w:rFonts w:ascii="Times New Roman" w:hAnsi="Times New Roman" w:cs="Times New Roman"/>
          <w:b/>
          <w:bCs/>
          <w:i/>
          <w:lang w:eastAsia="hr-HR"/>
        </w:rPr>
        <w:t>Proračunski korisnik 0020552581 Javna ustanova za upravljanje Centrom za posjetitelje Garešnica</w:t>
      </w:r>
    </w:p>
    <w:p w14:paraId="0E6E1248" w14:textId="77777777" w:rsidR="0081662F" w:rsidRPr="00D0532A" w:rsidRDefault="0081662F" w:rsidP="0081662F">
      <w:pPr>
        <w:spacing w:after="0" w:line="240" w:lineRule="auto"/>
        <w:jc w:val="both"/>
        <w:rPr>
          <w:rFonts w:ascii="Times New Roman" w:eastAsia="Calibri" w:hAnsi="Times New Roman" w:cs="Times New Roman"/>
        </w:rPr>
      </w:pPr>
    </w:p>
    <w:p w14:paraId="2FC0169E" w14:textId="77777777" w:rsidR="0081662F" w:rsidRPr="00D0532A" w:rsidRDefault="0081662F" w:rsidP="0081662F">
      <w:pPr>
        <w:rPr>
          <w:rFonts w:ascii="Times New Roman" w:hAnsi="Times New Roman" w:cs="Times New Roman"/>
        </w:rPr>
      </w:pPr>
      <w:r w:rsidRPr="00D0532A">
        <w:rPr>
          <w:rFonts w:ascii="Times New Roman" w:hAnsi="Times New Roman" w:cs="Times New Roman"/>
        </w:rPr>
        <w:t xml:space="preserve">Svi rashodi i izdatci detaljno su vidljivi u posebnom dijelu izvještaja o izvršenju po programskoj i ekonomskoj klasifikaciji te izvorima financiranja gdje se oni prikazuju po programima i aktivnostima. </w:t>
      </w:r>
    </w:p>
    <w:p w14:paraId="773089A8" w14:textId="77777777" w:rsidR="0081662F" w:rsidRPr="00D0532A" w:rsidRDefault="0081662F" w:rsidP="0081662F">
      <w:pPr>
        <w:rPr>
          <w:rFonts w:ascii="Times New Roman" w:hAnsi="Times New Roman" w:cs="Times New Roman"/>
          <w:b/>
          <w:bCs/>
        </w:rPr>
      </w:pPr>
      <w:r w:rsidRPr="00D0532A">
        <w:rPr>
          <w:rFonts w:ascii="Times New Roman" w:hAnsi="Times New Roman" w:cs="Times New Roman"/>
          <w:b/>
          <w:bCs/>
        </w:rPr>
        <w:t>Program 1014 Poticanje razvoja turizma i zajednice podijeljen je na:</w:t>
      </w:r>
      <w:bookmarkStart w:id="14" w:name="_Hlk193276524"/>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1418"/>
        <w:gridCol w:w="1276"/>
        <w:gridCol w:w="1275"/>
      </w:tblGrid>
      <w:tr w:rsidR="0081662F" w:rsidRPr="00D0532A" w14:paraId="1673D62A" w14:textId="77777777" w:rsidTr="00EB2357">
        <w:trPr>
          <w:trHeight w:val="417"/>
        </w:trPr>
        <w:tc>
          <w:tcPr>
            <w:tcW w:w="5098" w:type="dxa"/>
            <w:shd w:val="clear" w:color="auto" w:fill="BFBFBF"/>
          </w:tcPr>
          <w:p w14:paraId="1C1DDF34" w14:textId="77777777" w:rsidR="0081662F" w:rsidRPr="00D0532A" w:rsidRDefault="0081662F" w:rsidP="00EB2357">
            <w:pPr>
              <w:jc w:val="center"/>
              <w:rPr>
                <w:rFonts w:ascii="Times New Roman" w:hAnsi="Times New Roman" w:cs="Times New Roman"/>
                <w:color w:val="000000"/>
              </w:rPr>
            </w:pPr>
            <w:r w:rsidRPr="00D0532A">
              <w:rPr>
                <w:rFonts w:ascii="Times New Roman" w:hAnsi="Times New Roman" w:cs="Times New Roman"/>
                <w:color w:val="000000"/>
              </w:rPr>
              <w:t>Aktivnost</w:t>
            </w:r>
          </w:p>
        </w:tc>
        <w:tc>
          <w:tcPr>
            <w:tcW w:w="1418" w:type="dxa"/>
            <w:shd w:val="clear" w:color="auto" w:fill="BFBFBF"/>
          </w:tcPr>
          <w:p w14:paraId="41089A65" w14:textId="77777777" w:rsidR="0081662F" w:rsidRPr="00D0532A" w:rsidRDefault="0081662F" w:rsidP="00EB2357">
            <w:pPr>
              <w:jc w:val="center"/>
              <w:rPr>
                <w:rFonts w:ascii="Times New Roman" w:hAnsi="Times New Roman" w:cs="Times New Roman"/>
                <w:color w:val="000000"/>
              </w:rPr>
            </w:pPr>
            <w:r w:rsidRPr="00D0532A">
              <w:rPr>
                <w:rFonts w:ascii="Times New Roman" w:hAnsi="Times New Roman" w:cs="Times New Roman"/>
                <w:color w:val="000000"/>
              </w:rPr>
              <w:t>Rebalans za 2024.</w:t>
            </w:r>
          </w:p>
        </w:tc>
        <w:tc>
          <w:tcPr>
            <w:tcW w:w="1276" w:type="dxa"/>
            <w:shd w:val="clear" w:color="auto" w:fill="BFBFBF"/>
          </w:tcPr>
          <w:p w14:paraId="0217D9A1" w14:textId="77777777" w:rsidR="0081662F" w:rsidRPr="00D0532A" w:rsidRDefault="0081662F" w:rsidP="00EB2357">
            <w:pPr>
              <w:jc w:val="center"/>
              <w:rPr>
                <w:rFonts w:ascii="Times New Roman" w:hAnsi="Times New Roman" w:cs="Times New Roman"/>
                <w:color w:val="000000"/>
              </w:rPr>
            </w:pPr>
            <w:r w:rsidRPr="00D0532A">
              <w:rPr>
                <w:rFonts w:ascii="Times New Roman" w:hAnsi="Times New Roman" w:cs="Times New Roman"/>
                <w:color w:val="000000"/>
              </w:rPr>
              <w:t>Izvršenje za 2024.</w:t>
            </w:r>
          </w:p>
        </w:tc>
        <w:tc>
          <w:tcPr>
            <w:tcW w:w="1275" w:type="dxa"/>
            <w:shd w:val="clear" w:color="auto" w:fill="BFBFBF"/>
          </w:tcPr>
          <w:p w14:paraId="6804AD28" w14:textId="77777777" w:rsidR="0081662F" w:rsidRPr="00D0532A" w:rsidRDefault="0081662F" w:rsidP="00EB2357">
            <w:pPr>
              <w:jc w:val="center"/>
              <w:rPr>
                <w:rFonts w:ascii="Times New Roman" w:hAnsi="Times New Roman" w:cs="Times New Roman"/>
                <w:color w:val="000000"/>
              </w:rPr>
            </w:pPr>
            <w:r w:rsidRPr="00D0532A">
              <w:rPr>
                <w:rFonts w:ascii="Times New Roman" w:hAnsi="Times New Roman" w:cs="Times New Roman"/>
                <w:color w:val="000000"/>
              </w:rPr>
              <w:t>Indeks</w:t>
            </w:r>
          </w:p>
        </w:tc>
      </w:tr>
      <w:tr w:rsidR="0081662F" w:rsidRPr="00D0532A" w14:paraId="0795F131" w14:textId="77777777" w:rsidTr="00EB2357">
        <w:trPr>
          <w:trHeight w:val="397"/>
        </w:trPr>
        <w:tc>
          <w:tcPr>
            <w:tcW w:w="5098" w:type="dxa"/>
            <w:shd w:val="clear" w:color="auto" w:fill="auto"/>
          </w:tcPr>
          <w:p w14:paraId="74EBD2AF" w14:textId="77777777" w:rsidR="0081662F" w:rsidRPr="00D0532A" w:rsidRDefault="0081662F" w:rsidP="00EB2357">
            <w:pPr>
              <w:rPr>
                <w:rFonts w:ascii="Times New Roman" w:hAnsi="Times New Roman" w:cs="Times New Roman"/>
                <w:color w:val="000000"/>
              </w:rPr>
            </w:pPr>
            <w:r w:rsidRPr="00D0532A">
              <w:rPr>
                <w:rFonts w:ascii="Times New Roman" w:hAnsi="Times New Roman" w:cs="Times New Roman"/>
                <w:color w:val="000000"/>
              </w:rPr>
              <w:t>Aktivnost A101402 Redovna djelatnost Javne ustanove</w:t>
            </w:r>
          </w:p>
        </w:tc>
        <w:tc>
          <w:tcPr>
            <w:tcW w:w="1418" w:type="dxa"/>
            <w:shd w:val="clear" w:color="auto" w:fill="auto"/>
            <w:vAlign w:val="center"/>
          </w:tcPr>
          <w:p w14:paraId="15FE8414" w14:textId="77777777" w:rsidR="0081662F" w:rsidRPr="00D0532A" w:rsidRDefault="0081662F" w:rsidP="00EB2357">
            <w:pPr>
              <w:jc w:val="right"/>
              <w:rPr>
                <w:rFonts w:ascii="Times New Roman" w:hAnsi="Times New Roman" w:cs="Times New Roman"/>
                <w:color w:val="000000"/>
                <w:lang w:val="en-US"/>
              </w:rPr>
            </w:pPr>
            <w:r w:rsidRPr="00D0532A">
              <w:rPr>
                <w:rFonts w:ascii="Times New Roman" w:eastAsia="Calibri" w:hAnsi="Times New Roman" w:cs="Times New Roman"/>
                <w:color w:val="000000"/>
                <w:lang w:val="en-US"/>
              </w:rPr>
              <w:t>158.470,00</w:t>
            </w:r>
          </w:p>
        </w:tc>
        <w:tc>
          <w:tcPr>
            <w:tcW w:w="1276" w:type="dxa"/>
            <w:shd w:val="clear" w:color="auto" w:fill="auto"/>
            <w:vAlign w:val="center"/>
          </w:tcPr>
          <w:p w14:paraId="601DBA85" w14:textId="2D20CFC5" w:rsidR="0081662F" w:rsidRPr="00D0532A" w:rsidRDefault="0081662F" w:rsidP="00EB2357">
            <w:pPr>
              <w:jc w:val="right"/>
              <w:rPr>
                <w:rFonts w:ascii="Times New Roman" w:hAnsi="Times New Roman" w:cs="Times New Roman"/>
                <w:color w:val="000000"/>
                <w:lang w:val="en-US"/>
              </w:rPr>
            </w:pPr>
            <w:r w:rsidRPr="00D0532A">
              <w:rPr>
                <w:rFonts w:ascii="Times New Roman" w:eastAsia="Calibri" w:hAnsi="Times New Roman" w:cs="Times New Roman"/>
                <w:color w:val="000000"/>
                <w:lang w:val="en-US"/>
              </w:rPr>
              <w:t>1</w:t>
            </w:r>
            <w:r w:rsidR="00132F9E">
              <w:rPr>
                <w:rFonts w:ascii="Times New Roman" w:eastAsia="Calibri" w:hAnsi="Times New Roman" w:cs="Times New Roman"/>
                <w:color w:val="000000"/>
                <w:lang w:val="en-US"/>
              </w:rPr>
              <w:t>44.255,00</w:t>
            </w:r>
          </w:p>
        </w:tc>
        <w:tc>
          <w:tcPr>
            <w:tcW w:w="1275" w:type="dxa"/>
            <w:shd w:val="clear" w:color="auto" w:fill="auto"/>
            <w:vAlign w:val="center"/>
          </w:tcPr>
          <w:p w14:paraId="6F89768D" w14:textId="7BE94FBD" w:rsidR="0081662F" w:rsidRPr="00D0532A" w:rsidRDefault="00132F9E" w:rsidP="00EB2357">
            <w:pPr>
              <w:jc w:val="center"/>
              <w:rPr>
                <w:rFonts w:ascii="Times New Roman" w:hAnsi="Times New Roman" w:cs="Times New Roman"/>
                <w:color w:val="000000"/>
                <w:lang w:val="en-US"/>
              </w:rPr>
            </w:pPr>
            <w:r>
              <w:rPr>
                <w:rFonts w:ascii="Times New Roman" w:eastAsia="Calibri" w:hAnsi="Times New Roman" w:cs="Times New Roman"/>
                <w:color w:val="000000"/>
                <w:lang w:val="en-US"/>
              </w:rPr>
              <w:t>91,03</w:t>
            </w:r>
            <w:r w:rsidR="0081662F" w:rsidRPr="00D0532A">
              <w:rPr>
                <w:rFonts w:ascii="Times New Roman" w:eastAsia="Calibri" w:hAnsi="Times New Roman" w:cs="Times New Roman"/>
                <w:color w:val="000000"/>
                <w:lang w:val="en-US"/>
              </w:rPr>
              <w:t>%</w:t>
            </w:r>
          </w:p>
        </w:tc>
      </w:tr>
      <w:tr w:rsidR="0081662F" w:rsidRPr="00D0532A" w14:paraId="1E9EA810" w14:textId="77777777" w:rsidTr="00EB2357">
        <w:trPr>
          <w:trHeight w:val="397"/>
        </w:trPr>
        <w:tc>
          <w:tcPr>
            <w:tcW w:w="5098" w:type="dxa"/>
            <w:shd w:val="clear" w:color="auto" w:fill="auto"/>
          </w:tcPr>
          <w:p w14:paraId="1E52A2EB" w14:textId="77777777" w:rsidR="0081662F" w:rsidRPr="00D0532A" w:rsidRDefault="0081662F" w:rsidP="00EB2357">
            <w:pPr>
              <w:rPr>
                <w:rFonts w:ascii="Times New Roman" w:hAnsi="Times New Roman" w:cs="Times New Roman"/>
                <w:color w:val="000000"/>
              </w:rPr>
            </w:pPr>
            <w:r w:rsidRPr="00D0532A">
              <w:rPr>
                <w:rFonts w:ascii="Times New Roman" w:hAnsi="Times New Roman" w:cs="Times New Roman"/>
                <w:color w:val="000000"/>
              </w:rPr>
              <w:t>Aktivnost A101405 Redovno održavanje objekta Javne ustanove</w:t>
            </w:r>
          </w:p>
        </w:tc>
        <w:tc>
          <w:tcPr>
            <w:tcW w:w="1418" w:type="dxa"/>
            <w:shd w:val="clear" w:color="auto" w:fill="auto"/>
            <w:vAlign w:val="center"/>
          </w:tcPr>
          <w:p w14:paraId="6340DB19" w14:textId="77777777" w:rsidR="0081662F" w:rsidRPr="00D0532A" w:rsidRDefault="0081662F" w:rsidP="00EB2357">
            <w:pPr>
              <w:jc w:val="right"/>
              <w:rPr>
                <w:rFonts w:ascii="Times New Roman" w:hAnsi="Times New Roman" w:cs="Times New Roman"/>
                <w:color w:val="000000"/>
                <w:lang w:val="en-US"/>
              </w:rPr>
            </w:pPr>
            <w:r w:rsidRPr="00D0532A">
              <w:rPr>
                <w:rFonts w:ascii="Times New Roman" w:eastAsia="Calibri" w:hAnsi="Times New Roman" w:cs="Times New Roman"/>
                <w:color w:val="000000"/>
                <w:lang w:val="en-US"/>
              </w:rPr>
              <w:t>2.000,00</w:t>
            </w:r>
          </w:p>
        </w:tc>
        <w:tc>
          <w:tcPr>
            <w:tcW w:w="1276" w:type="dxa"/>
            <w:shd w:val="clear" w:color="auto" w:fill="auto"/>
            <w:vAlign w:val="center"/>
          </w:tcPr>
          <w:p w14:paraId="4A224418" w14:textId="77777777" w:rsidR="0081662F" w:rsidRPr="00D0532A" w:rsidRDefault="0081662F" w:rsidP="00EB2357">
            <w:pPr>
              <w:jc w:val="right"/>
              <w:rPr>
                <w:rFonts w:ascii="Times New Roman" w:hAnsi="Times New Roman" w:cs="Times New Roman"/>
                <w:color w:val="000000"/>
                <w:lang w:val="en-US"/>
              </w:rPr>
            </w:pPr>
            <w:r w:rsidRPr="00D0532A">
              <w:rPr>
                <w:rFonts w:ascii="Times New Roman" w:eastAsia="Calibri" w:hAnsi="Times New Roman" w:cs="Times New Roman"/>
                <w:color w:val="000000"/>
                <w:lang w:val="en-US"/>
              </w:rPr>
              <w:t>1.074,49</w:t>
            </w:r>
          </w:p>
        </w:tc>
        <w:tc>
          <w:tcPr>
            <w:tcW w:w="1275" w:type="dxa"/>
            <w:shd w:val="clear" w:color="auto" w:fill="auto"/>
            <w:vAlign w:val="center"/>
          </w:tcPr>
          <w:p w14:paraId="1F9B29C8" w14:textId="77777777" w:rsidR="0081662F" w:rsidRPr="00D0532A" w:rsidRDefault="0081662F" w:rsidP="00EB2357">
            <w:pPr>
              <w:jc w:val="center"/>
              <w:rPr>
                <w:rFonts w:ascii="Times New Roman" w:hAnsi="Times New Roman" w:cs="Times New Roman"/>
                <w:color w:val="000000"/>
                <w:lang w:val="en-US"/>
              </w:rPr>
            </w:pPr>
            <w:r w:rsidRPr="00D0532A">
              <w:rPr>
                <w:rFonts w:ascii="Times New Roman" w:eastAsia="Calibri" w:hAnsi="Times New Roman" w:cs="Times New Roman"/>
                <w:color w:val="000000"/>
                <w:lang w:val="en-US"/>
              </w:rPr>
              <w:t>53,72%</w:t>
            </w:r>
          </w:p>
        </w:tc>
      </w:tr>
      <w:tr w:rsidR="0081662F" w:rsidRPr="00D0532A" w14:paraId="7A1542EC" w14:textId="77777777" w:rsidTr="00EB2357">
        <w:trPr>
          <w:trHeight w:val="397"/>
        </w:trPr>
        <w:tc>
          <w:tcPr>
            <w:tcW w:w="5098" w:type="dxa"/>
            <w:shd w:val="clear" w:color="auto" w:fill="auto"/>
          </w:tcPr>
          <w:p w14:paraId="47A22F73" w14:textId="77777777" w:rsidR="0081662F" w:rsidRPr="00D0532A" w:rsidRDefault="0081662F" w:rsidP="00EB2357">
            <w:pPr>
              <w:rPr>
                <w:rFonts w:ascii="Times New Roman" w:hAnsi="Times New Roman" w:cs="Times New Roman"/>
                <w:color w:val="000000"/>
              </w:rPr>
            </w:pPr>
            <w:r w:rsidRPr="00D0532A">
              <w:rPr>
                <w:rFonts w:ascii="Times New Roman" w:hAnsi="Times New Roman" w:cs="Times New Roman"/>
                <w:color w:val="000000"/>
              </w:rPr>
              <w:t>Aktivnost A101406 Redovno održavanje opreme i prijevoznih sredstava Javne ustanove</w:t>
            </w:r>
          </w:p>
        </w:tc>
        <w:tc>
          <w:tcPr>
            <w:tcW w:w="1418" w:type="dxa"/>
            <w:shd w:val="clear" w:color="auto" w:fill="auto"/>
            <w:vAlign w:val="center"/>
          </w:tcPr>
          <w:p w14:paraId="34032D1D" w14:textId="77777777" w:rsidR="0081662F" w:rsidRPr="00D0532A" w:rsidRDefault="0081662F" w:rsidP="00EB2357">
            <w:pPr>
              <w:jc w:val="right"/>
              <w:rPr>
                <w:rFonts w:ascii="Times New Roman" w:hAnsi="Times New Roman" w:cs="Times New Roman"/>
                <w:color w:val="000000"/>
                <w:lang w:val="en-US"/>
              </w:rPr>
            </w:pPr>
            <w:r w:rsidRPr="00D0532A">
              <w:rPr>
                <w:rFonts w:ascii="Times New Roman" w:eastAsia="Calibri" w:hAnsi="Times New Roman" w:cs="Times New Roman"/>
                <w:color w:val="000000"/>
                <w:lang w:val="en-US"/>
              </w:rPr>
              <w:t>2.000,00</w:t>
            </w:r>
          </w:p>
        </w:tc>
        <w:tc>
          <w:tcPr>
            <w:tcW w:w="1276" w:type="dxa"/>
            <w:shd w:val="clear" w:color="auto" w:fill="auto"/>
            <w:vAlign w:val="center"/>
          </w:tcPr>
          <w:p w14:paraId="78E67F4F" w14:textId="77777777" w:rsidR="0081662F" w:rsidRPr="00D0532A" w:rsidRDefault="0081662F" w:rsidP="00EB2357">
            <w:pPr>
              <w:jc w:val="right"/>
              <w:rPr>
                <w:rFonts w:ascii="Times New Roman" w:hAnsi="Times New Roman" w:cs="Times New Roman"/>
                <w:color w:val="000000"/>
                <w:lang w:val="en-US"/>
              </w:rPr>
            </w:pPr>
            <w:r w:rsidRPr="00D0532A">
              <w:rPr>
                <w:rFonts w:ascii="Times New Roman" w:eastAsia="Calibri" w:hAnsi="Times New Roman" w:cs="Times New Roman"/>
                <w:color w:val="000000"/>
                <w:lang w:val="en-US"/>
              </w:rPr>
              <w:t>895,55</w:t>
            </w:r>
          </w:p>
        </w:tc>
        <w:tc>
          <w:tcPr>
            <w:tcW w:w="1275" w:type="dxa"/>
            <w:shd w:val="clear" w:color="auto" w:fill="auto"/>
            <w:vAlign w:val="center"/>
          </w:tcPr>
          <w:p w14:paraId="3DAEE85E" w14:textId="77777777" w:rsidR="0081662F" w:rsidRPr="00D0532A" w:rsidRDefault="0081662F" w:rsidP="00EB2357">
            <w:pPr>
              <w:jc w:val="center"/>
              <w:rPr>
                <w:rFonts w:ascii="Times New Roman" w:hAnsi="Times New Roman" w:cs="Times New Roman"/>
                <w:color w:val="000000"/>
                <w:lang w:val="en-US"/>
              </w:rPr>
            </w:pPr>
            <w:r w:rsidRPr="00D0532A">
              <w:rPr>
                <w:rFonts w:ascii="Times New Roman" w:eastAsia="Calibri" w:hAnsi="Times New Roman" w:cs="Times New Roman"/>
                <w:color w:val="000000"/>
                <w:lang w:val="en-US"/>
              </w:rPr>
              <w:t>44,78%</w:t>
            </w:r>
          </w:p>
        </w:tc>
      </w:tr>
      <w:tr w:rsidR="0081662F" w:rsidRPr="00D0532A" w14:paraId="0D6C7E50" w14:textId="77777777" w:rsidTr="00EB2357">
        <w:trPr>
          <w:trHeight w:val="397"/>
        </w:trPr>
        <w:tc>
          <w:tcPr>
            <w:tcW w:w="5098" w:type="dxa"/>
            <w:shd w:val="clear" w:color="auto" w:fill="auto"/>
          </w:tcPr>
          <w:p w14:paraId="1CB563B4" w14:textId="77777777" w:rsidR="0081662F" w:rsidRPr="00D0532A" w:rsidRDefault="0081662F" w:rsidP="00EB2357">
            <w:pPr>
              <w:rPr>
                <w:rFonts w:ascii="Times New Roman" w:hAnsi="Times New Roman" w:cs="Times New Roman"/>
                <w:color w:val="000000"/>
              </w:rPr>
            </w:pPr>
            <w:r w:rsidRPr="00D0532A">
              <w:rPr>
                <w:rFonts w:ascii="Times New Roman" w:hAnsi="Times New Roman" w:cs="Times New Roman"/>
                <w:color w:val="000000"/>
              </w:rPr>
              <w:t>Kapitalni projekt K101404 Opremanje Javne ustanove Garešnica</w:t>
            </w:r>
          </w:p>
        </w:tc>
        <w:tc>
          <w:tcPr>
            <w:tcW w:w="1418" w:type="dxa"/>
            <w:shd w:val="clear" w:color="auto" w:fill="auto"/>
            <w:vAlign w:val="center"/>
          </w:tcPr>
          <w:p w14:paraId="75BEAF8D" w14:textId="77777777" w:rsidR="0081662F" w:rsidRPr="00D0532A" w:rsidRDefault="0081662F" w:rsidP="00EB2357">
            <w:pPr>
              <w:jc w:val="right"/>
              <w:rPr>
                <w:rFonts w:ascii="Times New Roman" w:hAnsi="Times New Roman" w:cs="Times New Roman"/>
                <w:color w:val="000000"/>
                <w:lang w:val="en-US"/>
              </w:rPr>
            </w:pPr>
            <w:r w:rsidRPr="00D0532A">
              <w:rPr>
                <w:rFonts w:ascii="Times New Roman" w:eastAsia="Calibri" w:hAnsi="Times New Roman" w:cs="Times New Roman"/>
                <w:color w:val="000000"/>
                <w:lang w:val="en-US"/>
              </w:rPr>
              <w:t>4.100,00</w:t>
            </w:r>
          </w:p>
        </w:tc>
        <w:tc>
          <w:tcPr>
            <w:tcW w:w="1276" w:type="dxa"/>
            <w:shd w:val="clear" w:color="auto" w:fill="auto"/>
            <w:vAlign w:val="center"/>
          </w:tcPr>
          <w:p w14:paraId="2F61B926" w14:textId="77777777" w:rsidR="0081662F" w:rsidRPr="00D0532A" w:rsidRDefault="0081662F" w:rsidP="00EB2357">
            <w:pPr>
              <w:jc w:val="right"/>
              <w:rPr>
                <w:rFonts w:ascii="Times New Roman" w:hAnsi="Times New Roman" w:cs="Times New Roman"/>
                <w:color w:val="000000"/>
                <w:lang w:val="en-US"/>
              </w:rPr>
            </w:pPr>
            <w:r w:rsidRPr="00D0532A">
              <w:rPr>
                <w:rFonts w:ascii="Times New Roman" w:eastAsia="Calibri" w:hAnsi="Times New Roman" w:cs="Times New Roman"/>
                <w:color w:val="000000"/>
                <w:lang w:val="en-US"/>
              </w:rPr>
              <w:t>3.973,41</w:t>
            </w:r>
          </w:p>
        </w:tc>
        <w:tc>
          <w:tcPr>
            <w:tcW w:w="1275" w:type="dxa"/>
            <w:shd w:val="clear" w:color="auto" w:fill="auto"/>
            <w:vAlign w:val="center"/>
          </w:tcPr>
          <w:p w14:paraId="5308A345" w14:textId="77777777" w:rsidR="0081662F" w:rsidRPr="00D0532A" w:rsidRDefault="0081662F" w:rsidP="00EB2357">
            <w:pPr>
              <w:jc w:val="center"/>
              <w:rPr>
                <w:rFonts w:ascii="Times New Roman" w:hAnsi="Times New Roman" w:cs="Times New Roman"/>
                <w:color w:val="000000"/>
                <w:lang w:val="en-US"/>
              </w:rPr>
            </w:pPr>
            <w:r w:rsidRPr="00D0532A">
              <w:rPr>
                <w:rFonts w:ascii="Times New Roman" w:eastAsia="Calibri" w:hAnsi="Times New Roman" w:cs="Times New Roman"/>
                <w:color w:val="000000"/>
                <w:lang w:val="en-US"/>
              </w:rPr>
              <w:t>96,91%</w:t>
            </w:r>
          </w:p>
        </w:tc>
      </w:tr>
      <w:tr w:rsidR="0081662F" w:rsidRPr="00D0532A" w14:paraId="7E26ABCF" w14:textId="77777777" w:rsidTr="00EB2357">
        <w:trPr>
          <w:trHeight w:val="397"/>
        </w:trPr>
        <w:tc>
          <w:tcPr>
            <w:tcW w:w="5098" w:type="dxa"/>
            <w:shd w:val="clear" w:color="auto" w:fill="auto"/>
          </w:tcPr>
          <w:p w14:paraId="16367A4A" w14:textId="77777777" w:rsidR="0081662F" w:rsidRPr="00D0532A" w:rsidRDefault="0081662F" w:rsidP="00EB2357">
            <w:pPr>
              <w:rPr>
                <w:rFonts w:ascii="Times New Roman" w:hAnsi="Times New Roman" w:cs="Times New Roman"/>
                <w:color w:val="000000"/>
              </w:rPr>
            </w:pPr>
            <w:r w:rsidRPr="00D0532A">
              <w:rPr>
                <w:rFonts w:ascii="Times New Roman" w:hAnsi="Times New Roman" w:cs="Times New Roman"/>
                <w:b/>
                <w:bCs/>
                <w:lang w:eastAsia="hr-HR"/>
              </w:rPr>
              <w:lastRenderedPageBreak/>
              <w:t>Program 1014</w:t>
            </w:r>
            <w:r w:rsidRPr="00D0532A">
              <w:rPr>
                <w:rFonts w:ascii="Times New Roman" w:hAnsi="Times New Roman" w:cs="Times New Roman"/>
                <w:b/>
                <w:bCs/>
                <w:i/>
                <w:lang w:eastAsia="hr-HR"/>
              </w:rPr>
              <w:t xml:space="preserve"> – </w:t>
            </w:r>
            <w:r w:rsidRPr="00D0532A">
              <w:rPr>
                <w:rFonts w:ascii="Times New Roman" w:hAnsi="Times New Roman" w:cs="Times New Roman"/>
                <w:b/>
                <w:bCs/>
                <w:lang w:eastAsia="hr-HR"/>
              </w:rPr>
              <w:t>Poticanje razvoja turizma i zajednice</w:t>
            </w:r>
          </w:p>
        </w:tc>
        <w:tc>
          <w:tcPr>
            <w:tcW w:w="1418" w:type="dxa"/>
            <w:shd w:val="clear" w:color="auto" w:fill="auto"/>
            <w:vAlign w:val="center"/>
          </w:tcPr>
          <w:p w14:paraId="42FE1757" w14:textId="77777777" w:rsidR="0081662F" w:rsidRPr="00D0532A" w:rsidRDefault="0081662F" w:rsidP="00EB2357">
            <w:pPr>
              <w:jc w:val="right"/>
              <w:rPr>
                <w:rFonts w:ascii="Times New Roman" w:eastAsia="Calibri" w:hAnsi="Times New Roman" w:cs="Times New Roman"/>
                <w:b/>
                <w:bCs/>
                <w:color w:val="000000"/>
                <w:lang w:val="en-US"/>
              </w:rPr>
            </w:pPr>
            <w:r w:rsidRPr="00D0532A">
              <w:rPr>
                <w:rFonts w:ascii="Times New Roman" w:eastAsia="Calibri" w:hAnsi="Times New Roman" w:cs="Times New Roman"/>
                <w:b/>
                <w:bCs/>
                <w:color w:val="000000"/>
                <w:lang w:val="en-US"/>
              </w:rPr>
              <w:t>166.570,00</w:t>
            </w:r>
          </w:p>
        </w:tc>
        <w:tc>
          <w:tcPr>
            <w:tcW w:w="1276" w:type="dxa"/>
            <w:shd w:val="clear" w:color="auto" w:fill="auto"/>
            <w:vAlign w:val="center"/>
          </w:tcPr>
          <w:p w14:paraId="28D22FC3" w14:textId="6F12735E" w:rsidR="0081662F" w:rsidRPr="00D0532A" w:rsidRDefault="0081662F" w:rsidP="00EB2357">
            <w:pPr>
              <w:jc w:val="right"/>
              <w:rPr>
                <w:rFonts w:ascii="Times New Roman" w:eastAsia="Calibri" w:hAnsi="Times New Roman" w:cs="Times New Roman"/>
                <w:b/>
                <w:bCs/>
                <w:color w:val="000000"/>
                <w:lang w:val="en-US"/>
              </w:rPr>
            </w:pPr>
            <w:r w:rsidRPr="00D0532A">
              <w:rPr>
                <w:rFonts w:ascii="Times New Roman" w:eastAsia="Calibri" w:hAnsi="Times New Roman" w:cs="Times New Roman"/>
                <w:b/>
                <w:bCs/>
                <w:color w:val="000000"/>
                <w:lang w:val="en-US"/>
              </w:rPr>
              <w:t>1</w:t>
            </w:r>
            <w:r w:rsidR="00132F9E">
              <w:rPr>
                <w:rFonts w:ascii="Times New Roman" w:eastAsia="Calibri" w:hAnsi="Times New Roman" w:cs="Times New Roman"/>
                <w:b/>
                <w:bCs/>
                <w:color w:val="000000"/>
                <w:lang w:val="en-US"/>
              </w:rPr>
              <w:t>50.198,45</w:t>
            </w:r>
          </w:p>
        </w:tc>
        <w:tc>
          <w:tcPr>
            <w:tcW w:w="1275" w:type="dxa"/>
            <w:shd w:val="clear" w:color="auto" w:fill="auto"/>
            <w:vAlign w:val="center"/>
          </w:tcPr>
          <w:p w14:paraId="227F0670" w14:textId="5C6ABF1A" w:rsidR="0081662F" w:rsidRPr="00D0532A" w:rsidRDefault="00132F9E" w:rsidP="00EB2357">
            <w:pPr>
              <w:jc w:val="center"/>
              <w:rPr>
                <w:rFonts w:ascii="Times New Roman" w:eastAsia="Calibri" w:hAnsi="Times New Roman" w:cs="Times New Roman"/>
                <w:b/>
                <w:bCs/>
                <w:color w:val="000000"/>
                <w:lang w:val="en-US"/>
              </w:rPr>
            </w:pPr>
            <w:r>
              <w:rPr>
                <w:rFonts w:ascii="Times New Roman" w:eastAsia="Calibri" w:hAnsi="Times New Roman" w:cs="Times New Roman"/>
                <w:b/>
                <w:bCs/>
                <w:color w:val="000000"/>
                <w:lang w:val="en-US"/>
              </w:rPr>
              <w:t>90,17</w:t>
            </w:r>
            <w:r w:rsidR="0081662F" w:rsidRPr="00D0532A">
              <w:rPr>
                <w:rFonts w:ascii="Times New Roman" w:eastAsia="Calibri" w:hAnsi="Times New Roman" w:cs="Times New Roman"/>
                <w:b/>
                <w:bCs/>
                <w:color w:val="000000"/>
                <w:lang w:val="en-US"/>
              </w:rPr>
              <w:t>%</w:t>
            </w:r>
          </w:p>
        </w:tc>
      </w:tr>
      <w:bookmarkEnd w:id="14"/>
    </w:tbl>
    <w:p w14:paraId="2C9A1C16" w14:textId="77777777" w:rsidR="0081662F" w:rsidRPr="00D0532A" w:rsidRDefault="0081662F" w:rsidP="0081662F">
      <w:pPr>
        <w:rPr>
          <w:rFonts w:ascii="Times New Roman" w:hAnsi="Times New Roman" w:cs="Times New Roman"/>
        </w:rPr>
      </w:pPr>
    </w:p>
    <w:p w14:paraId="2F344372" w14:textId="77777777" w:rsidR="0081662F" w:rsidRPr="00D0532A" w:rsidRDefault="0081662F" w:rsidP="0081662F">
      <w:pPr>
        <w:rPr>
          <w:rFonts w:ascii="Times New Roman" w:hAnsi="Times New Roman" w:cs="Times New Roman"/>
          <w:b/>
          <w:bCs/>
        </w:rPr>
      </w:pPr>
      <w:r w:rsidRPr="00D0532A">
        <w:rPr>
          <w:rFonts w:ascii="Times New Roman" w:hAnsi="Times New Roman" w:cs="Times New Roman"/>
          <w:b/>
          <w:bCs/>
        </w:rPr>
        <w:t>Aktivnost A101402 Redovna djelatnost Javne ustanove Garešnica</w:t>
      </w:r>
    </w:p>
    <w:p w14:paraId="030C42E3" w14:textId="77777777" w:rsidR="0081662F" w:rsidRPr="00D0532A" w:rsidRDefault="0081662F" w:rsidP="00132F9E">
      <w:pPr>
        <w:spacing w:after="0"/>
        <w:jc w:val="both"/>
        <w:rPr>
          <w:rFonts w:ascii="Times New Roman" w:hAnsi="Times New Roman" w:cs="Times New Roman"/>
        </w:rPr>
      </w:pPr>
      <w:r w:rsidRPr="00D0532A">
        <w:rPr>
          <w:rFonts w:ascii="Times New Roman" w:hAnsi="Times New Roman" w:cs="Times New Roman"/>
        </w:rPr>
        <w:t xml:space="preserve">Obuhvaća prihode i rashode za plaće, ostale rashode, doprinose, stručna usavršavanja zaposlenika kako bi mogli što stručnije i točnije prenijeti znanje na grupe ili pojedince koji posjećuju Javnu ustanovu i koriste njene usluge. Također, ovom aktivnošću obuhvaćaju se usluge tekućeg održavanja, usluge promidžbe i informiranja, računalne i ostale usluge. </w:t>
      </w:r>
    </w:p>
    <w:p w14:paraId="086EA31C" w14:textId="5C956E63" w:rsidR="0081662F" w:rsidRPr="00D0532A" w:rsidRDefault="0081662F" w:rsidP="0081662F">
      <w:pPr>
        <w:spacing w:after="0"/>
        <w:rPr>
          <w:rFonts w:ascii="Times New Roman" w:hAnsi="Times New Roman" w:cs="Times New Roman"/>
        </w:rPr>
      </w:pPr>
      <w:r w:rsidRPr="00D0532A">
        <w:rPr>
          <w:rFonts w:ascii="Times New Roman" w:hAnsi="Times New Roman" w:cs="Times New Roman"/>
        </w:rPr>
        <w:t>Ukupni rashodi za ovu Aktivnost iznose 1</w:t>
      </w:r>
      <w:r w:rsidR="00132F9E">
        <w:rPr>
          <w:rFonts w:ascii="Times New Roman" w:hAnsi="Times New Roman" w:cs="Times New Roman"/>
        </w:rPr>
        <w:t>44.255,00</w:t>
      </w:r>
      <w:r w:rsidRPr="00D0532A">
        <w:rPr>
          <w:rFonts w:ascii="Times New Roman" w:hAnsi="Times New Roman" w:cs="Times New Roman"/>
        </w:rPr>
        <w:t xml:space="preserve"> eura što je </w:t>
      </w:r>
      <w:r w:rsidR="00132F9E">
        <w:rPr>
          <w:rFonts w:ascii="Times New Roman" w:hAnsi="Times New Roman" w:cs="Times New Roman"/>
        </w:rPr>
        <w:t>91,03</w:t>
      </w:r>
      <w:r w:rsidRPr="00D0532A">
        <w:rPr>
          <w:rFonts w:ascii="Times New Roman" w:hAnsi="Times New Roman" w:cs="Times New Roman"/>
        </w:rPr>
        <w:t xml:space="preserve">% izvršenja plana. </w:t>
      </w:r>
    </w:p>
    <w:p w14:paraId="177415D6" w14:textId="77777777" w:rsidR="0081662F" w:rsidRPr="00D0532A" w:rsidRDefault="0081662F" w:rsidP="0081662F">
      <w:pPr>
        <w:spacing w:after="0"/>
        <w:rPr>
          <w:rFonts w:ascii="Times New Roman" w:hAnsi="Times New Roman" w:cs="Times New Roman"/>
        </w:rPr>
      </w:pPr>
      <w:r w:rsidRPr="00D0532A">
        <w:rPr>
          <w:rFonts w:ascii="Times New Roman" w:hAnsi="Times New Roman" w:cs="Times New Roman"/>
        </w:rPr>
        <w:t xml:space="preserve">Aktivnost se financira: </w:t>
      </w:r>
    </w:p>
    <w:p w14:paraId="5B7660BD" w14:textId="77777777" w:rsidR="0081662F" w:rsidRPr="00D0532A" w:rsidRDefault="0081662F" w:rsidP="003734CB">
      <w:pPr>
        <w:pStyle w:val="Odlomakpopisa"/>
        <w:numPr>
          <w:ilvl w:val="0"/>
          <w:numId w:val="12"/>
        </w:numPr>
      </w:pPr>
      <w:r w:rsidRPr="00D0532A">
        <w:t>1.1. Opći prihodi i primici</w:t>
      </w:r>
    </w:p>
    <w:p w14:paraId="676A117B" w14:textId="77777777" w:rsidR="0081662F" w:rsidRPr="00D0532A" w:rsidRDefault="0081662F" w:rsidP="003734CB">
      <w:pPr>
        <w:pStyle w:val="Odlomakpopisa"/>
        <w:numPr>
          <w:ilvl w:val="0"/>
          <w:numId w:val="12"/>
        </w:numPr>
      </w:pPr>
      <w:r w:rsidRPr="00D0532A">
        <w:t xml:space="preserve">3.1. Vlastiti prihodi </w:t>
      </w:r>
    </w:p>
    <w:p w14:paraId="6B2D8388" w14:textId="77777777" w:rsidR="0081662F" w:rsidRPr="00D0532A" w:rsidRDefault="0081662F" w:rsidP="003734CB">
      <w:pPr>
        <w:pStyle w:val="Odlomakpopisa"/>
        <w:numPr>
          <w:ilvl w:val="0"/>
          <w:numId w:val="12"/>
        </w:numPr>
      </w:pPr>
      <w:r w:rsidRPr="00D0532A">
        <w:t>6.1. Donacije</w:t>
      </w:r>
    </w:p>
    <w:p w14:paraId="4C1BEF2B" w14:textId="77777777" w:rsidR="0081662F" w:rsidRPr="00D0532A" w:rsidRDefault="0081662F" w:rsidP="003734CB">
      <w:pPr>
        <w:pStyle w:val="Odlomakpopisa"/>
        <w:numPr>
          <w:ilvl w:val="0"/>
          <w:numId w:val="12"/>
        </w:numPr>
      </w:pPr>
      <w:r w:rsidRPr="00D0532A">
        <w:t xml:space="preserve">9.1. Višak iz prethodnih godina – </w:t>
      </w:r>
      <w:proofErr w:type="spellStart"/>
      <w:r w:rsidRPr="00D0532A">
        <w:t>Pror</w:t>
      </w:r>
      <w:proofErr w:type="spellEnd"/>
      <w:r w:rsidRPr="00D0532A">
        <w:t>. korisnici</w:t>
      </w:r>
    </w:p>
    <w:p w14:paraId="66B31AB6" w14:textId="77777777" w:rsidR="0081662F" w:rsidRPr="00D0532A" w:rsidRDefault="0081662F" w:rsidP="0081662F">
      <w:pPr>
        <w:rPr>
          <w:rFonts w:ascii="Times New Roman" w:hAnsi="Times New Roman" w:cs="Times New Roman"/>
        </w:rPr>
      </w:pPr>
    </w:p>
    <w:p w14:paraId="0014AD02" w14:textId="77777777" w:rsidR="0081662F" w:rsidRPr="00D0532A" w:rsidRDefault="0081662F" w:rsidP="0081662F">
      <w:pPr>
        <w:spacing w:after="0"/>
        <w:rPr>
          <w:rFonts w:ascii="Times New Roman" w:hAnsi="Times New Roman" w:cs="Times New Roman"/>
          <w:b/>
          <w:bCs/>
        </w:rPr>
      </w:pPr>
      <w:r w:rsidRPr="00D0532A">
        <w:rPr>
          <w:rFonts w:ascii="Times New Roman" w:hAnsi="Times New Roman" w:cs="Times New Roman"/>
          <w:b/>
          <w:bCs/>
        </w:rPr>
        <w:t>Aktivnost A101405 Redovno održavanje objekta Javne ustanove Garešnica</w:t>
      </w:r>
    </w:p>
    <w:p w14:paraId="343DE6FD" w14:textId="77777777" w:rsidR="0081662F" w:rsidRPr="00D0532A" w:rsidRDefault="0081662F" w:rsidP="00132F9E">
      <w:pPr>
        <w:spacing w:after="0"/>
        <w:rPr>
          <w:rFonts w:ascii="Times New Roman" w:hAnsi="Times New Roman" w:cs="Times New Roman"/>
        </w:rPr>
      </w:pPr>
      <w:r w:rsidRPr="00D0532A">
        <w:rPr>
          <w:rFonts w:ascii="Times New Roman" w:hAnsi="Times New Roman" w:cs="Times New Roman"/>
        </w:rPr>
        <w:t xml:space="preserve">Obuhvaća prihode i materijalne rashode za usluge tekućeg i investicijskog održavanja. </w:t>
      </w:r>
    </w:p>
    <w:p w14:paraId="45D359C5" w14:textId="77777777" w:rsidR="0081662F" w:rsidRPr="00D0532A" w:rsidRDefault="0081662F" w:rsidP="00132F9E">
      <w:pPr>
        <w:spacing w:after="0"/>
        <w:rPr>
          <w:rFonts w:ascii="Times New Roman" w:hAnsi="Times New Roman" w:cs="Times New Roman"/>
        </w:rPr>
      </w:pPr>
      <w:r w:rsidRPr="00D0532A">
        <w:rPr>
          <w:rFonts w:ascii="Times New Roman" w:hAnsi="Times New Roman" w:cs="Times New Roman"/>
        </w:rPr>
        <w:t xml:space="preserve">Ukupni rashodi za ovu Aktivnost iznose 1.074,49 eura što je 53,72% izvršenja plana. </w:t>
      </w:r>
    </w:p>
    <w:p w14:paraId="5827A438" w14:textId="77777777" w:rsidR="0081662F" w:rsidRPr="00D0532A" w:rsidRDefault="0081662F" w:rsidP="0081662F">
      <w:pPr>
        <w:spacing w:after="0"/>
        <w:rPr>
          <w:rFonts w:ascii="Times New Roman" w:hAnsi="Times New Roman" w:cs="Times New Roman"/>
        </w:rPr>
      </w:pPr>
      <w:r w:rsidRPr="00D0532A">
        <w:rPr>
          <w:rFonts w:ascii="Times New Roman" w:hAnsi="Times New Roman" w:cs="Times New Roman"/>
        </w:rPr>
        <w:t xml:space="preserve">Aktivnost se financira: </w:t>
      </w:r>
    </w:p>
    <w:p w14:paraId="03D3E764" w14:textId="77777777" w:rsidR="0081662F" w:rsidRPr="00D0532A" w:rsidRDefault="0081662F" w:rsidP="003734CB">
      <w:pPr>
        <w:pStyle w:val="Odlomakpopisa"/>
        <w:numPr>
          <w:ilvl w:val="0"/>
          <w:numId w:val="12"/>
        </w:numPr>
      </w:pPr>
      <w:r w:rsidRPr="00D0532A">
        <w:t>1.1. Opći prihodi i primici</w:t>
      </w:r>
    </w:p>
    <w:p w14:paraId="7360A225" w14:textId="77777777" w:rsidR="0081662F" w:rsidRPr="00D0532A" w:rsidRDefault="0081662F" w:rsidP="0081662F">
      <w:pPr>
        <w:pStyle w:val="Odlomakpopisa"/>
        <w:ind w:left="1426"/>
      </w:pPr>
    </w:p>
    <w:p w14:paraId="5D3955D5" w14:textId="77777777" w:rsidR="0081662F" w:rsidRPr="00D0532A" w:rsidRDefault="0081662F" w:rsidP="0081662F">
      <w:pPr>
        <w:spacing w:after="0"/>
        <w:rPr>
          <w:rFonts w:ascii="Times New Roman" w:hAnsi="Times New Roman" w:cs="Times New Roman"/>
          <w:b/>
          <w:bCs/>
        </w:rPr>
      </w:pPr>
      <w:r w:rsidRPr="00D0532A">
        <w:rPr>
          <w:rFonts w:ascii="Times New Roman" w:hAnsi="Times New Roman" w:cs="Times New Roman"/>
          <w:b/>
          <w:bCs/>
        </w:rPr>
        <w:t>Aktivnost A101406 Redovno održavanje opreme i prijevoznih sredstava</w:t>
      </w:r>
    </w:p>
    <w:p w14:paraId="7B9EB7E6" w14:textId="77777777" w:rsidR="0081662F" w:rsidRPr="00D0532A" w:rsidRDefault="0081662F" w:rsidP="0081662F">
      <w:pPr>
        <w:spacing w:after="0"/>
        <w:rPr>
          <w:rFonts w:ascii="Times New Roman" w:hAnsi="Times New Roman" w:cs="Times New Roman"/>
        </w:rPr>
      </w:pPr>
      <w:r w:rsidRPr="00D0532A">
        <w:rPr>
          <w:rFonts w:ascii="Times New Roman" w:hAnsi="Times New Roman" w:cs="Times New Roman"/>
        </w:rPr>
        <w:t xml:space="preserve">Obuhvaća prihode i materijalne rashode- materijal i dijelove za tekuće i investicijsko održavanje. </w:t>
      </w:r>
    </w:p>
    <w:p w14:paraId="1301E57F" w14:textId="77777777" w:rsidR="0081662F" w:rsidRPr="00D0532A" w:rsidRDefault="0081662F" w:rsidP="0081662F">
      <w:pPr>
        <w:spacing w:after="0"/>
        <w:rPr>
          <w:rFonts w:ascii="Times New Roman" w:hAnsi="Times New Roman" w:cs="Times New Roman"/>
        </w:rPr>
      </w:pPr>
      <w:r w:rsidRPr="00D0532A">
        <w:rPr>
          <w:rFonts w:ascii="Times New Roman" w:hAnsi="Times New Roman" w:cs="Times New Roman"/>
        </w:rPr>
        <w:t xml:space="preserve">Ukupni rashodi za ovu Aktivnost iznose 895,55 eura što je 44,78% izvršenja plana. </w:t>
      </w:r>
    </w:p>
    <w:p w14:paraId="4ACE0530" w14:textId="77777777" w:rsidR="0081662F" w:rsidRPr="00D0532A" w:rsidRDefault="0081662F" w:rsidP="0081662F">
      <w:pPr>
        <w:spacing w:after="0"/>
        <w:rPr>
          <w:rFonts w:ascii="Times New Roman" w:hAnsi="Times New Roman" w:cs="Times New Roman"/>
        </w:rPr>
      </w:pPr>
      <w:r w:rsidRPr="00D0532A">
        <w:rPr>
          <w:rFonts w:ascii="Times New Roman" w:hAnsi="Times New Roman" w:cs="Times New Roman"/>
        </w:rPr>
        <w:t xml:space="preserve">Aktivnost se financira: </w:t>
      </w:r>
    </w:p>
    <w:p w14:paraId="5CA9EA49" w14:textId="77777777" w:rsidR="0081662F" w:rsidRPr="00D0532A" w:rsidRDefault="0081662F" w:rsidP="003734CB">
      <w:pPr>
        <w:pStyle w:val="Odlomakpopisa"/>
        <w:numPr>
          <w:ilvl w:val="0"/>
          <w:numId w:val="12"/>
        </w:numPr>
      </w:pPr>
      <w:r w:rsidRPr="00D0532A">
        <w:t>1.1. Opći prihodi i primici</w:t>
      </w:r>
    </w:p>
    <w:p w14:paraId="7D8DE947" w14:textId="77777777" w:rsidR="0081662F" w:rsidRPr="00D0532A" w:rsidRDefault="0081662F" w:rsidP="0081662F">
      <w:pPr>
        <w:pStyle w:val="Odlomakpopisa"/>
        <w:ind w:left="1426"/>
      </w:pPr>
    </w:p>
    <w:p w14:paraId="483B452C" w14:textId="77777777" w:rsidR="0081662F" w:rsidRPr="00D0532A" w:rsidRDefault="0081662F" w:rsidP="0081662F">
      <w:pPr>
        <w:rPr>
          <w:rFonts w:ascii="Times New Roman" w:hAnsi="Times New Roman" w:cs="Times New Roman"/>
          <w:b/>
          <w:bCs/>
        </w:rPr>
      </w:pPr>
      <w:r w:rsidRPr="00D0532A">
        <w:rPr>
          <w:rFonts w:ascii="Times New Roman" w:hAnsi="Times New Roman" w:cs="Times New Roman"/>
          <w:b/>
          <w:bCs/>
        </w:rPr>
        <w:t>Kapitalni projekt K101404 Opremanje Javne ustanove Garešnica</w:t>
      </w:r>
    </w:p>
    <w:p w14:paraId="24D996E8" w14:textId="77777777" w:rsidR="0081662F" w:rsidRPr="00D0532A" w:rsidRDefault="0081662F" w:rsidP="0081662F">
      <w:pPr>
        <w:spacing w:after="0"/>
        <w:rPr>
          <w:rFonts w:ascii="Times New Roman" w:hAnsi="Times New Roman" w:cs="Times New Roman"/>
        </w:rPr>
      </w:pPr>
      <w:r w:rsidRPr="00D0532A">
        <w:rPr>
          <w:rFonts w:ascii="Times New Roman" w:hAnsi="Times New Roman" w:cs="Times New Roman"/>
        </w:rPr>
        <w:t xml:space="preserve">Obuhvaća prihode i rashode za nabavu proizvedene dugotrajne imovine (uredska oprema i namještaj, te umjetnička literarna i znanstvena djela). </w:t>
      </w:r>
    </w:p>
    <w:p w14:paraId="4A7F07AA" w14:textId="086836BC" w:rsidR="0081662F" w:rsidRPr="00D0532A" w:rsidRDefault="0081662F" w:rsidP="0081662F">
      <w:pPr>
        <w:spacing w:after="0"/>
        <w:rPr>
          <w:rFonts w:ascii="Times New Roman" w:hAnsi="Times New Roman" w:cs="Times New Roman"/>
        </w:rPr>
      </w:pPr>
      <w:r w:rsidRPr="00D0532A">
        <w:rPr>
          <w:rFonts w:ascii="Times New Roman" w:hAnsi="Times New Roman" w:cs="Times New Roman"/>
        </w:rPr>
        <w:t>Ukupni rashodi za ovu Aktivnost iznose 3.973,41 eur</w:t>
      </w:r>
      <w:r w:rsidR="001D39EA">
        <w:rPr>
          <w:rFonts w:ascii="Times New Roman" w:hAnsi="Times New Roman" w:cs="Times New Roman"/>
        </w:rPr>
        <w:t>a</w:t>
      </w:r>
      <w:r w:rsidRPr="00D0532A">
        <w:rPr>
          <w:rFonts w:ascii="Times New Roman" w:hAnsi="Times New Roman" w:cs="Times New Roman"/>
        </w:rPr>
        <w:t xml:space="preserve"> što je 96,91% izvršenja plana. </w:t>
      </w:r>
    </w:p>
    <w:p w14:paraId="0655E63E" w14:textId="77777777" w:rsidR="0081662F" w:rsidRPr="00D0532A" w:rsidRDefault="0081662F" w:rsidP="0081662F">
      <w:pPr>
        <w:spacing w:after="0"/>
        <w:rPr>
          <w:rFonts w:ascii="Times New Roman" w:hAnsi="Times New Roman" w:cs="Times New Roman"/>
        </w:rPr>
      </w:pPr>
      <w:r w:rsidRPr="00D0532A">
        <w:rPr>
          <w:rFonts w:ascii="Times New Roman" w:hAnsi="Times New Roman" w:cs="Times New Roman"/>
        </w:rPr>
        <w:t xml:space="preserve">Aktivnost se financira: </w:t>
      </w:r>
    </w:p>
    <w:p w14:paraId="286E9810" w14:textId="77777777" w:rsidR="0081662F" w:rsidRPr="00D0532A" w:rsidRDefault="0081662F" w:rsidP="003734CB">
      <w:pPr>
        <w:pStyle w:val="Odlomakpopisa"/>
        <w:numPr>
          <w:ilvl w:val="0"/>
          <w:numId w:val="12"/>
        </w:numPr>
      </w:pPr>
      <w:r w:rsidRPr="00D0532A">
        <w:t>1.1. Opći prihodi i primici</w:t>
      </w:r>
    </w:p>
    <w:p w14:paraId="35CC78DA" w14:textId="77777777" w:rsidR="0081662F" w:rsidRPr="00D0532A" w:rsidRDefault="0081662F" w:rsidP="0081662F">
      <w:pPr>
        <w:rPr>
          <w:rFonts w:ascii="Times New Roman" w:hAnsi="Times New Roman" w:cs="Times New Roman"/>
        </w:rPr>
      </w:pPr>
    </w:p>
    <w:p w14:paraId="00451146" w14:textId="77777777" w:rsidR="0081662F" w:rsidRPr="00D0532A" w:rsidRDefault="0081662F" w:rsidP="0081662F">
      <w:pPr>
        <w:rPr>
          <w:rFonts w:ascii="Times New Roman" w:hAnsi="Times New Roman" w:cs="Times New Roman"/>
          <w:b/>
          <w:bCs/>
        </w:rPr>
      </w:pPr>
      <w:r w:rsidRPr="00D0532A">
        <w:rPr>
          <w:rFonts w:ascii="Times New Roman" w:hAnsi="Times New Roman" w:cs="Times New Roman"/>
          <w:b/>
          <w:bCs/>
        </w:rPr>
        <w:t>Pokazatelji rezultata</w:t>
      </w:r>
    </w:p>
    <w:p w14:paraId="74B4683E" w14:textId="77777777" w:rsidR="0081662F" w:rsidRPr="00D0532A" w:rsidRDefault="0081662F" w:rsidP="0081662F">
      <w:pPr>
        <w:jc w:val="both"/>
        <w:rPr>
          <w:rFonts w:ascii="Times New Roman" w:eastAsia="Calibri" w:hAnsi="Times New Roman" w:cs="Times New Roman"/>
        </w:rPr>
      </w:pPr>
      <w:r w:rsidRPr="00D0532A">
        <w:rPr>
          <w:rFonts w:ascii="Times New Roman" w:eastAsia="Calibri" w:hAnsi="Times New Roman" w:cs="Times New Roman"/>
          <w:b/>
        </w:rPr>
        <w:t>CILJ</w:t>
      </w:r>
      <w:r w:rsidRPr="00D0532A">
        <w:rPr>
          <w:rFonts w:ascii="Times New Roman" w:eastAsia="Calibri" w:hAnsi="Times New Roman" w:cs="Times New Roman"/>
        </w:rPr>
        <w:t xml:space="preserve">: Diferencirani turistički proizvodi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532"/>
        <w:gridCol w:w="2225"/>
        <w:gridCol w:w="1616"/>
        <w:gridCol w:w="1229"/>
        <w:gridCol w:w="1229"/>
        <w:gridCol w:w="1229"/>
      </w:tblGrid>
      <w:tr w:rsidR="0081662F" w:rsidRPr="00D0532A" w14:paraId="70DE3AE4" w14:textId="77777777" w:rsidTr="00EB2357">
        <w:trPr>
          <w:trHeight w:val="795"/>
        </w:trPr>
        <w:tc>
          <w:tcPr>
            <w:tcW w:w="845" w:type="pct"/>
            <w:shd w:val="clear" w:color="auto" w:fill="BFBFBF"/>
          </w:tcPr>
          <w:p w14:paraId="48100D1B" w14:textId="77777777" w:rsidR="0081662F" w:rsidRPr="00D0532A" w:rsidRDefault="0081662F" w:rsidP="00EB2357">
            <w:pPr>
              <w:jc w:val="center"/>
              <w:rPr>
                <w:rFonts w:ascii="Times New Roman" w:eastAsia="Calibri" w:hAnsi="Times New Roman" w:cs="Times New Roman"/>
                <w:b/>
              </w:rPr>
            </w:pPr>
            <w:r w:rsidRPr="00D0532A">
              <w:rPr>
                <w:rFonts w:ascii="Times New Roman" w:eastAsia="Calibri" w:hAnsi="Times New Roman" w:cs="Times New Roman"/>
                <w:b/>
              </w:rPr>
              <w:t>Pokazatelj rezultata</w:t>
            </w:r>
          </w:p>
        </w:tc>
        <w:tc>
          <w:tcPr>
            <w:tcW w:w="1228" w:type="pct"/>
            <w:shd w:val="clear" w:color="auto" w:fill="BFBFBF"/>
          </w:tcPr>
          <w:p w14:paraId="2AD3B354" w14:textId="77777777" w:rsidR="0081662F" w:rsidRPr="00D0532A" w:rsidRDefault="0081662F" w:rsidP="00EB2357">
            <w:pPr>
              <w:jc w:val="center"/>
              <w:rPr>
                <w:rFonts w:ascii="Times New Roman" w:eastAsia="Calibri" w:hAnsi="Times New Roman" w:cs="Times New Roman"/>
                <w:b/>
              </w:rPr>
            </w:pPr>
            <w:r w:rsidRPr="00D0532A">
              <w:rPr>
                <w:rFonts w:ascii="Times New Roman" w:eastAsia="Calibri" w:hAnsi="Times New Roman" w:cs="Times New Roman"/>
                <w:b/>
              </w:rPr>
              <w:t>Definicija pokazatelja</w:t>
            </w:r>
          </w:p>
        </w:tc>
        <w:tc>
          <w:tcPr>
            <w:tcW w:w="892" w:type="pct"/>
            <w:shd w:val="clear" w:color="auto" w:fill="BFBFBF"/>
          </w:tcPr>
          <w:p w14:paraId="16937449" w14:textId="77777777" w:rsidR="0081662F" w:rsidRPr="00D0532A" w:rsidRDefault="0081662F" w:rsidP="00EB2357">
            <w:pPr>
              <w:jc w:val="center"/>
              <w:rPr>
                <w:rFonts w:ascii="Times New Roman" w:eastAsia="Calibri" w:hAnsi="Times New Roman" w:cs="Times New Roman"/>
                <w:b/>
              </w:rPr>
            </w:pPr>
            <w:r w:rsidRPr="00D0532A">
              <w:rPr>
                <w:rFonts w:ascii="Times New Roman" w:eastAsia="Calibri" w:hAnsi="Times New Roman" w:cs="Times New Roman"/>
                <w:b/>
              </w:rPr>
              <w:t>Jedinica</w:t>
            </w:r>
          </w:p>
        </w:tc>
        <w:tc>
          <w:tcPr>
            <w:tcW w:w="678" w:type="pct"/>
            <w:shd w:val="clear" w:color="auto" w:fill="BFBFBF"/>
          </w:tcPr>
          <w:p w14:paraId="31E0D509" w14:textId="77777777" w:rsidR="0081662F" w:rsidRPr="00D0532A" w:rsidRDefault="0081662F" w:rsidP="00EB2357">
            <w:pPr>
              <w:jc w:val="center"/>
              <w:rPr>
                <w:rFonts w:ascii="Times New Roman" w:eastAsia="Calibri" w:hAnsi="Times New Roman" w:cs="Times New Roman"/>
                <w:b/>
              </w:rPr>
            </w:pPr>
            <w:r w:rsidRPr="00D0532A">
              <w:rPr>
                <w:rFonts w:ascii="Times New Roman" w:eastAsia="Calibri" w:hAnsi="Times New Roman" w:cs="Times New Roman"/>
                <w:b/>
              </w:rPr>
              <w:t>Ciljana</w:t>
            </w:r>
            <w:r w:rsidRPr="00D0532A">
              <w:rPr>
                <w:rFonts w:ascii="Times New Roman" w:eastAsia="Calibri" w:hAnsi="Times New Roman" w:cs="Times New Roman"/>
                <w:b/>
              </w:rPr>
              <w:br/>
              <w:t>vrijednost</w:t>
            </w:r>
          </w:p>
          <w:p w14:paraId="19597CCF" w14:textId="77777777" w:rsidR="0081662F" w:rsidRPr="00D0532A" w:rsidRDefault="0081662F" w:rsidP="00EB2357">
            <w:pPr>
              <w:jc w:val="center"/>
              <w:rPr>
                <w:rFonts w:ascii="Times New Roman" w:eastAsia="Calibri" w:hAnsi="Times New Roman" w:cs="Times New Roman"/>
                <w:b/>
              </w:rPr>
            </w:pPr>
            <w:r w:rsidRPr="00D0532A">
              <w:rPr>
                <w:rFonts w:ascii="Times New Roman" w:eastAsia="Calibri" w:hAnsi="Times New Roman" w:cs="Times New Roman"/>
                <w:b/>
              </w:rPr>
              <w:t>2024.</w:t>
            </w:r>
          </w:p>
        </w:tc>
        <w:tc>
          <w:tcPr>
            <w:tcW w:w="678" w:type="pct"/>
            <w:shd w:val="clear" w:color="auto" w:fill="BFBFBF"/>
          </w:tcPr>
          <w:p w14:paraId="1915D011" w14:textId="77777777" w:rsidR="0081662F" w:rsidRPr="00D0532A" w:rsidRDefault="0081662F" w:rsidP="00EB2357">
            <w:pPr>
              <w:jc w:val="center"/>
              <w:rPr>
                <w:rFonts w:ascii="Times New Roman" w:eastAsia="Calibri" w:hAnsi="Times New Roman" w:cs="Times New Roman"/>
                <w:b/>
              </w:rPr>
            </w:pPr>
            <w:r w:rsidRPr="00D0532A">
              <w:rPr>
                <w:rFonts w:ascii="Times New Roman" w:eastAsia="Calibri" w:hAnsi="Times New Roman" w:cs="Times New Roman"/>
                <w:b/>
              </w:rPr>
              <w:t xml:space="preserve">Izvršenje </w:t>
            </w:r>
          </w:p>
          <w:p w14:paraId="74DBDEDC" w14:textId="77777777" w:rsidR="0081662F" w:rsidRPr="00D0532A" w:rsidRDefault="0081662F" w:rsidP="00EB2357">
            <w:pPr>
              <w:jc w:val="center"/>
              <w:rPr>
                <w:rFonts w:ascii="Times New Roman" w:eastAsia="Calibri" w:hAnsi="Times New Roman" w:cs="Times New Roman"/>
                <w:b/>
              </w:rPr>
            </w:pPr>
            <w:r w:rsidRPr="00D0532A">
              <w:rPr>
                <w:rFonts w:ascii="Times New Roman" w:eastAsia="Calibri" w:hAnsi="Times New Roman" w:cs="Times New Roman"/>
                <w:b/>
              </w:rPr>
              <w:t>2024.</w:t>
            </w:r>
          </w:p>
        </w:tc>
        <w:tc>
          <w:tcPr>
            <w:tcW w:w="678" w:type="pct"/>
            <w:shd w:val="clear" w:color="auto" w:fill="BFBFBF"/>
          </w:tcPr>
          <w:p w14:paraId="32019116" w14:textId="77777777" w:rsidR="0081662F" w:rsidRPr="00D0532A" w:rsidRDefault="0081662F" w:rsidP="00EB2357">
            <w:pPr>
              <w:jc w:val="center"/>
              <w:rPr>
                <w:rFonts w:ascii="Times New Roman" w:eastAsia="Calibri" w:hAnsi="Times New Roman" w:cs="Times New Roman"/>
                <w:b/>
              </w:rPr>
            </w:pPr>
          </w:p>
          <w:p w14:paraId="0127D9E1" w14:textId="77777777" w:rsidR="0081662F" w:rsidRPr="00D0532A" w:rsidRDefault="0081662F" w:rsidP="00EB2357">
            <w:pPr>
              <w:jc w:val="center"/>
              <w:rPr>
                <w:rFonts w:ascii="Times New Roman" w:eastAsia="Calibri" w:hAnsi="Times New Roman" w:cs="Times New Roman"/>
                <w:b/>
              </w:rPr>
            </w:pPr>
            <w:r w:rsidRPr="00D0532A">
              <w:rPr>
                <w:rFonts w:ascii="Times New Roman" w:eastAsia="Calibri" w:hAnsi="Times New Roman" w:cs="Times New Roman"/>
                <w:b/>
              </w:rPr>
              <w:t>Indeks</w:t>
            </w:r>
          </w:p>
        </w:tc>
      </w:tr>
      <w:tr w:rsidR="0081662F" w:rsidRPr="00D0532A" w14:paraId="6F3A4089" w14:textId="77777777" w:rsidTr="00EB2357">
        <w:trPr>
          <w:trHeight w:val="520"/>
        </w:trPr>
        <w:tc>
          <w:tcPr>
            <w:tcW w:w="845" w:type="pct"/>
            <w:shd w:val="clear" w:color="auto" w:fill="auto"/>
          </w:tcPr>
          <w:p w14:paraId="188638D7" w14:textId="77777777" w:rsidR="0081662F" w:rsidRPr="00D0532A" w:rsidRDefault="0081662F" w:rsidP="00EB2357">
            <w:pPr>
              <w:jc w:val="center"/>
              <w:rPr>
                <w:rFonts w:ascii="Times New Roman" w:eastAsia="Calibri" w:hAnsi="Times New Roman" w:cs="Times New Roman"/>
              </w:rPr>
            </w:pPr>
            <w:r w:rsidRPr="00D0532A">
              <w:rPr>
                <w:rFonts w:ascii="Times New Roman" w:eastAsia="Calibri" w:hAnsi="Times New Roman" w:cs="Times New Roman"/>
              </w:rPr>
              <w:lastRenderedPageBreak/>
              <w:t>Broj posjetitelja</w:t>
            </w:r>
          </w:p>
        </w:tc>
        <w:tc>
          <w:tcPr>
            <w:tcW w:w="1228" w:type="pct"/>
            <w:shd w:val="clear" w:color="auto" w:fill="auto"/>
          </w:tcPr>
          <w:p w14:paraId="703F406E" w14:textId="77777777" w:rsidR="0081662F" w:rsidRPr="00D0532A" w:rsidRDefault="0081662F" w:rsidP="00EB2357">
            <w:pPr>
              <w:jc w:val="center"/>
              <w:rPr>
                <w:rFonts w:ascii="Times New Roman" w:eastAsia="Calibri" w:hAnsi="Times New Roman" w:cs="Times New Roman"/>
              </w:rPr>
            </w:pPr>
            <w:r w:rsidRPr="00D0532A">
              <w:rPr>
                <w:rFonts w:ascii="Times New Roman" w:eastAsia="Calibri" w:hAnsi="Times New Roman" w:cs="Times New Roman"/>
              </w:rPr>
              <w:t>Broj posjetitelja u Centru uključujući sve aktivnosti, događanja i ulaznice kroz cijelu godinu</w:t>
            </w:r>
          </w:p>
        </w:tc>
        <w:tc>
          <w:tcPr>
            <w:tcW w:w="892" w:type="pct"/>
            <w:shd w:val="clear" w:color="auto" w:fill="auto"/>
          </w:tcPr>
          <w:p w14:paraId="4597C23B" w14:textId="77777777" w:rsidR="0081662F" w:rsidRPr="00D0532A" w:rsidRDefault="0081662F" w:rsidP="00EB2357">
            <w:pPr>
              <w:jc w:val="center"/>
              <w:rPr>
                <w:rFonts w:ascii="Times New Roman" w:eastAsia="Calibri" w:hAnsi="Times New Roman" w:cs="Times New Roman"/>
              </w:rPr>
            </w:pPr>
            <w:r w:rsidRPr="00D0532A">
              <w:rPr>
                <w:rFonts w:ascii="Times New Roman" w:eastAsia="Calibri" w:hAnsi="Times New Roman" w:cs="Times New Roman"/>
              </w:rPr>
              <w:t>Broj posjetitelja/</w:t>
            </w:r>
          </w:p>
          <w:p w14:paraId="6A033E74" w14:textId="77777777" w:rsidR="0081662F" w:rsidRPr="00D0532A" w:rsidRDefault="0081662F" w:rsidP="00EB2357">
            <w:pPr>
              <w:jc w:val="center"/>
              <w:rPr>
                <w:rFonts w:ascii="Times New Roman" w:eastAsia="Calibri" w:hAnsi="Times New Roman" w:cs="Times New Roman"/>
              </w:rPr>
            </w:pPr>
            <w:r w:rsidRPr="00D0532A">
              <w:rPr>
                <w:rFonts w:ascii="Times New Roman" w:eastAsia="Calibri" w:hAnsi="Times New Roman" w:cs="Times New Roman"/>
              </w:rPr>
              <w:t>pax</w:t>
            </w:r>
          </w:p>
        </w:tc>
        <w:tc>
          <w:tcPr>
            <w:tcW w:w="678" w:type="pct"/>
            <w:shd w:val="clear" w:color="auto" w:fill="auto"/>
          </w:tcPr>
          <w:p w14:paraId="197FCCFF" w14:textId="77777777" w:rsidR="0081662F" w:rsidRPr="00D0532A" w:rsidRDefault="0081662F" w:rsidP="00EB2357">
            <w:pPr>
              <w:jc w:val="center"/>
              <w:rPr>
                <w:rFonts w:ascii="Times New Roman" w:eastAsia="Calibri" w:hAnsi="Times New Roman" w:cs="Times New Roman"/>
              </w:rPr>
            </w:pPr>
          </w:p>
          <w:p w14:paraId="56E818D8" w14:textId="77777777" w:rsidR="0081662F" w:rsidRPr="00D0532A" w:rsidRDefault="0081662F" w:rsidP="00EB2357">
            <w:pPr>
              <w:jc w:val="center"/>
              <w:rPr>
                <w:rFonts w:ascii="Times New Roman" w:eastAsia="Calibri" w:hAnsi="Times New Roman" w:cs="Times New Roman"/>
              </w:rPr>
            </w:pPr>
            <w:r w:rsidRPr="00D0532A">
              <w:rPr>
                <w:rFonts w:ascii="Times New Roman" w:eastAsia="Calibri" w:hAnsi="Times New Roman" w:cs="Times New Roman"/>
              </w:rPr>
              <w:t>3347</w:t>
            </w:r>
          </w:p>
        </w:tc>
        <w:tc>
          <w:tcPr>
            <w:tcW w:w="678" w:type="pct"/>
            <w:shd w:val="clear" w:color="auto" w:fill="auto"/>
          </w:tcPr>
          <w:p w14:paraId="210DF7E1" w14:textId="77777777" w:rsidR="0081662F" w:rsidRPr="00D0532A" w:rsidRDefault="0081662F" w:rsidP="00EB2357">
            <w:pPr>
              <w:jc w:val="center"/>
              <w:rPr>
                <w:rFonts w:ascii="Times New Roman" w:eastAsia="Calibri" w:hAnsi="Times New Roman" w:cs="Times New Roman"/>
              </w:rPr>
            </w:pPr>
          </w:p>
          <w:p w14:paraId="2FEB2B4F" w14:textId="77777777" w:rsidR="0081662F" w:rsidRPr="00D0532A" w:rsidRDefault="0081662F" w:rsidP="00EB2357">
            <w:pPr>
              <w:jc w:val="center"/>
              <w:rPr>
                <w:rFonts w:ascii="Times New Roman" w:eastAsia="Calibri" w:hAnsi="Times New Roman" w:cs="Times New Roman"/>
              </w:rPr>
            </w:pPr>
            <w:r w:rsidRPr="00D0532A">
              <w:rPr>
                <w:rFonts w:ascii="Times New Roman" w:eastAsia="Calibri" w:hAnsi="Times New Roman" w:cs="Times New Roman"/>
              </w:rPr>
              <w:t>3591</w:t>
            </w:r>
          </w:p>
        </w:tc>
        <w:tc>
          <w:tcPr>
            <w:tcW w:w="678" w:type="pct"/>
            <w:shd w:val="clear" w:color="auto" w:fill="auto"/>
          </w:tcPr>
          <w:p w14:paraId="6BE954DB" w14:textId="77777777" w:rsidR="0081662F" w:rsidRPr="00D0532A" w:rsidRDefault="0081662F" w:rsidP="00EB2357">
            <w:pPr>
              <w:jc w:val="center"/>
              <w:rPr>
                <w:rFonts w:ascii="Times New Roman" w:eastAsia="Calibri" w:hAnsi="Times New Roman" w:cs="Times New Roman"/>
              </w:rPr>
            </w:pPr>
          </w:p>
          <w:p w14:paraId="7169499F" w14:textId="77777777" w:rsidR="0081662F" w:rsidRPr="00D0532A" w:rsidRDefault="0081662F" w:rsidP="00EB2357">
            <w:pPr>
              <w:jc w:val="center"/>
              <w:rPr>
                <w:rFonts w:ascii="Times New Roman" w:eastAsia="Calibri" w:hAnsi="Times New Roman" w:cs="Times New Roman"/>
              </w:rPr>
            </w:pPr>
            <w:r w:rsidRPr="00D0532A">
              <w:rPr>
                <w:rFonts w:ascii="Times New Roman" w:eastAsia="Calibri" w:hAnsi="Times New Roman" w:cs="Times New Roman"/>
              </w:rPr>
              <w:t>107%</w:t>
            </w:r>
          </w:p>
        </w:tc>
      </w:tr>
      <w:tr w:rsidR="0081662F" w:rsidRPr="00D0532A" w14:paraId="7B89AA77" w14:textId="77777777" w:rsidTr="00EB2357">
        <w:trPr>
          <w:trHeight w:val="530"/>
        </w:trPr>
        <w:tc>
          <w:tcPr>
            <w:tcW w:w="845" w:type="pct"/>
            <w:shd w:val="clear" w:color="auto" w:fill="auto"/>
          </w:tcPr>
          <w:p w14:paraId="28CAB7A4" w14:textId="77777777" w:rsidR="0081662F" w:rsidRPr="00D0532A" w:rsidRDefault="0081662F" w:rsidP="00EB2357">
            <w:pPr>
              <w:jc w:val="center"/>
              <w:rPr>
                <w:rFonts w:ascii="Times New Roman" w:eastAsia="Calibri" w:hAnsi="Times New Roman" w:cs="Times New Roman"/>
              </w:rPr>
            </w:pPr>
            <w:r w:rsidRPr="00D0532A">
              <w:rPr>
                <w:rFonts w:ascii="Times New Roman" w:eastAsia="Calibri" w:hAnsi="Times New Roman" w:cs="Times New Roman"/>
              </w:rPr>
              <w:t>Broj tematskih aktivnosti</w:t>
            </w:r>
          </w:p>
        </w:tc>
        <w:tc>
          <w:tcPr>
            <w:tcW w:w="1228" w:type="pct"/>
            <w:shd w:val="clear" w:color="auto" w:fill="auto"/>
          </w:tcPr>
          <w:p w14:paraId="03F3C967" w14:textId="77777777" w:rsidR="0081662F" w:rsidRPr="00D0532A" w:rsidRDefault="0081662F" w:rsidP="00EB2357">
            <w:pPr>
              <w:jc w:val="center"/>
              <w:rPr>
                <w:rFonts w:ascii="Times New Roman" w:eastAsia="Calibri" w:hAnsi="Times New Roman" w:cs="Times New Roman"/>
              </w:rPr>
            </w:pPr>
            <w:r w:rsidRPr="00D0532A">
              <w:rPr>
                <w:rFonts w:ascii="Times New Roman" w:eastAsia="Calibri" w:hAnsi="Times New Roman" w:cs="Times New Roman"/>
              </w:rPr>
              <w:t>Posjetitelje se potiče na dolazak i sudjelovanje na tematskim aktivnostima i radionicama</w:t>
            </w:r>
          </w:p>
        </w:tc>
        <w:tc>
          <w:tcPr>
            <w:tcW w:w="892" w:type="pct"/>
            <w:shd w:val="clear" w:color="auto" w:fill="auto"/>
          </w:tcPr>
          <w:p w14:paraId="3A821816" w14:textId="77777777" w:rsidR="0081662F" w:rsidRPr="00D0532A" w:rsidRDefault="0081662F" w:rsidP="00EB2357">
            <w:pPr>
              <w:jc w:val="center"/>
              <w:rPr>
                <w:rFonts w:ascii="Times New Roman" w:eastAsia="Calibri" w:hAnsi="Times New Roman" w:cs="Times New Roman"/>
              </w:rPr>
            </w:pPr>
            <w:r w:rsidRPr="00D0532A">
              <w:rPr>
                <w:rFonts w:ascii="Times New Roman" w:eastAsia="Calibri" w:hAnsi="Times New Roman" w:cs="Times New Roman"/>
              </w:rPr>
              <w:t>Broj tematskih aktivnosti/ kom</w:t>
            </w:r>
          </w:p>
        </w:tc>
        <w:tc>
          <w:tcPr>
            <w:tcW w:w="678" w:type="pct"/>
            <w:shd w:val="clear" w:color="auto" w:fill="auto"/>
          </w:tcPr>
          <w:p w14:paraId="2BE2C927" w14:textId="77777777" w:rsidR="0081662F" w:rsidRPr="00D0532A" w:rsidRDefault="0081662F" w:rsidP="00EB2357">
            <w:pPr>
              <w:jc w:val="center"/>
              <w:rPr>
                <w:rFonts w:ascii="Times New Roman" w:eastAsia="Calibri" w:hAnsi="Times New Roman" w:cs="Times New Roman"/>
                <w:highlight w:val="white"/>
              </w:rPr>
            </w:pPr>
          </w:p>
          <w:p w14:paraId="364BA9BF" w14:textId="77777777" w:rsidR="0081662F" w:rsidRPr="00D0532A" w:rsidRDefault="0081662F" w:rsidP="00EB2357">
            <w:pPr>
              <w:jc w:val="center"/>
              <w:rPr>
                <w:rFonts w:ascii="Times New Roman" w:eastAsia="Calibri" w:hAnsi="Times New Roman" w:cs="Times New Roman"/>
                <w:highlight w:val="white"/>
              </w:rPr>
            </w:pPr>
          </w:p>
          <w:p w14:paraId="0FBBD04B" w14:textId="77777777" w:rsidR="0081662F" w:rsidRPr="00D0532A" w:rsidRDefault="0081662F" w:rsidP="00EB2357">
            <w:pPr>
              <w:jc w:val="center"/>
              <w:rPr>
                <w:rFonts w:ascii="Times New Roman" w:eastAsia="Calibri" w:hAnsi="Times New Roman" w:cs="Times New Roman"/>
                <w:highlight w:val="white"/>
              </w:rPr>
            </w:pPr>
            <w:r w:rsidRPr="00D0532A">
              <w:rPr>
                <w:rFonts w:ascii="Times New Roman" w:eastAsia="Calibri" w:hAnsi="Times New Roman" w:cs="Times New Roman"/>
                <w:highlight w:val="white"/>
              </w:rPr>
              <w:t>30</w:t>
            </w:r>
          </w:p>
        </w:tc>
        <w:tc>
          <w:tcPr>
            <w:tcW w:w="678" w:type="pct"/>
            <w:shd w:val="clear" w:color="auto" w:fill="auto"/>
          </w:tcPr>
          <w:p w14:paraId="333280CC" w14:textId="77777777" w:rsidR="0081662F" w:rsidRPr="00D0532A" w:rsidRDefault="0081662F" w:rsidP="00EB2357">
            <w:pPr>
              <w:jc w:val="center"/>
              <w:rPr>
                <w:rFonts w:ascii="Times New Roman" w:eastAsia="Calibri" w:hAnsi="Times New Roman" w:cs="Times New Roman"/>
                <w:highlight w:val="white"/>
              </w:rPr>
            </w:pPr>
          </w:p>
          <w:p w14:paraId="3383EAC0" w14:textId="77777777" w:rsidR="0081662F" w:rsidRPr="00D0532A" w:rsidRDefault="0081662F" w:rsidP="00EB2357">
            <w:pPr>
              <w:jc w:val="center"/>
              <w:rPr>
                <w:rFonts w:ascii="Times New Roman" w:eastAsia="Calibri" w:hAnsi="Times New Roman" w:cs="Times New Roman"/>
                <w:highlight w:val="white"/>
              </w:rPr>
            </w:pPr>
          </w:p>
          <w:p w14:paraId="66D19D04" w14:textId="77777777" w:rsidR="0081662F" w:rsidRPr="00D0532A" w:rsidRDefault="0081662F" w:rsidP="00EB2357">
            <w:pPr>
              <w:jc w:val="center"/>
              <w:rPr>
                <w:rFonts w:ascii="Times New Roman" w:eastAsia="Calibri" w:hAnsi="Times New Roman" w:cs="Times New Roman"/>
                <w:highlight w:val="white"/>
              </w:rPr>
            </w:pPr>
            <w:r w:rsidRPr="00D0532A">
              <w:rPr>
                <w:rFonts w:ascii="Times New Roman" w:eastAsia="Calibri" w:hAnsi="Times New Roman" w:cs="Times New Roman"/>
                <w:highlight w:val="white"/>
              </w:rPr>
              <w:t>29</w:t>
            </w:r>
          </w:p>
        </w:tc>
        <w:tc>
          <w:tcPr>
            <w:tcW w:w="678" w:type="pct"/>
            <w:shd w:val="clear" w:color="auto" w:fill="auto"/>
          </w:tcPr>
          <w:p w14:paraId="1281976B" w14:textId="77777777" w:rsidR="0081662F" w:rsidRPr="00D0532A" w:rsidRDefault="0081662F" w:rsidP="00EB2357">
            <w:pPr>
              <w:jc w:val="center"/>
              <w:rPr>
                <w:rFonts w:ascii="Times New Roman" w:eastAsia="Calibri" w:hAnsi="Times New Roman" w:cs="Times New Roman"/>
                <w:highlight w:val="white"/>
              </w:rPr>
            </w:pPr>
          </w:p>
          <w:p w14:paraId="109AAC1B" w14:textId="77777777" w:rsidR="0081662F" w:rsidRPr="00D0532A" w:rsidRDefault="0081662F" w:rsidP="00EB2357">
            <w:pPr>
              <w:jc w:val="center"/>
              <w:rPr>
                <w:rFonts w:ascii="Times New Roman" w:eastAsia="Calibri" w:hAnsi="Times New Roman" w:cs="Times New Roman"/>
                <w:highlight w:val="white"/>
              </w:rPr>
            </w:pPr>
          </w:p>
          <w:p w14:paraId="18C93F2F" w14:textId="77777777" w:rsidR="0081662F" w:rsidRPr="00D0532A" w:rsidRDefault="0081662F" w:rsidP="00EB2357">
            <w:pPr>
              <w:jc w:val="center"/>
              <w:rPr>
                <w:rFonts w:ascii="Times New Roman" w:eastAsia="Calibri" w:hAnsi="Times New Roman" w:cs="Times New Roman"/>
                <w:highlight w:val="white"/>
              </w:rPr>
            </w:pPr>
            <w:r w:rsidRPr="00D0532A">
              <w:rPr>
                <w:rFonts w:ascii="Times New Roman" w:eastAsia="Calibri" w:hAnsi="Times New Roman" w:cs="Times New Roman"/>
                <w:highlight w:val="white"/>
              </w:rPr>
              <w:t>96%</w:t>
            </w:r>
          </w:p>
        </w:tc>
      </w:tr>
      <w:tr w:rsidR="0081662F" w:rsidRPr="00D0532A" w14:paraId="4FAFBFF7" w14:textId="77777777" w:rsidTr="00EB2357">
        <w:trPr>
          <w:trHeight w:val="530"/>
        </w:trPr>
        <w:tc>
          <w:tcPr>
            <w:tcW w:w="845" w:type="pct"/>
            <w:shd w:val="clear" w:color="auto" w:fill="auto"/>
          </w:tcPr>
          <w:p w14:paraId="6B5D8081" w14:textId="77777777" w:rsidR="0081662F" w:rsidRPr="00D0532A" w:rsidRDefault="0081662F" w:rsidP="00EB2357">
            <w:pPr>
              <w:jc w:val="center"/>
              <w:rPr>
                <w:rFonts w:ascii="Times New Roman" w:eastAsia="Calibri" w:hAnsi="Times New Roman" w:cs="Times New Roman"/>
              </w:rPr>
            </w:pPr>
            <w:r w:rsidRPr="00D0532A">
              <w:rPr>
                <w:rFonts w:ascii="Times New Roman" w:eastAsia="Calibri" w:hAnsi="Times New Roman" w:cs="Times New Roman"/>
              </w:rPr>
              <w:t>Broj događanja/</w:t>
            </w:r>
          </w:p>
          <w:p w14:paraId="7D17B6A4" w14:textId="77777777" w:rsidR="0081662F" w:rsidRPr="00D0532A" w:rsidRDefault="0081662F" w:rsidP="00EB2357">
            <w:pPr>
              <w:jc w:val="center"/>
              <w:rPr>
                <w:rFonts w:ascii="Times New Roman" w:eastAsia="Calibri" w:hAnsi="Times New Roman" w:cs="Times New Roman"/>
              </w:rPr>
            </w:pPr>
            <w:r w:rsidRPr="00D0532A">
              <w:rPr>
                <w:rFonts w:ascii="Times New Roman" w:eastAsia="Calibri" w:hAnsi="Times New Roman" w:cs="Times New Roman"/>
              </w:rPr>
              <w:t>manifestacija</w:t>
            </w:r>
          </w:p>
        </w:tc>
        <w:tc>
          <w:tcPr>
            <w:tcW w:w="1228" w:type="pct"/>
            <w:shd w:val="clear" w:color="auto" w:fill="auto"/>
          </w:tcPr>
          <w:p w14:paraId="11C6B36F" w14:textId="77777777" w:rsidR="0081662F" w:rsidRPr="00D0532A" w:rsidRDefault="0081662F" w:rsidP="00EB2357">
            <w:pPr>
              <w:jc w:val="center"/>
              <w:rPr>
                <w:rFonts w:ascii="Times New Roman" w:eastAsia="Calibri" w:hAnsi="Times New Roman" w:cs="Times New Roman"/>
              </w:rPr>
            </w:pPr>
            <w:r w:rsidRPr="00D0532A">
              <w:rPr>
                <w:rFonts w:ascii="Times New Roman" w:eastAsia="Calibri" w:hAnsi="Times New Roman" w:cs="Times New Roman"/>
              </w:rPr>
              <w:t xml:space="preserve">Posjetitelje se potiče na dolazak na područje </w:t>
            </w:r>
            <w:proofErr w:type="spellStart"/>
            <w:r w:rsidRPr="00D0532A">
              <w:rPr>
                <w:rFonts w:ascii="Times New Roman" w:eastAsia="Calibri" w:hAnsi="Times New Roman" w:cs="Times New Roman"/>
              </w:rPr>
              <w:t>Poilovlja</w:t>
            </w:r>
            <w:proofErr w:type="spellEnd"/>
            <w:r w:rsidRPr="00D0532A">
              <w:rPr>
                <w:rFonts w:ascii="Times New Roman" w:eastAsia="Calibri" w:hAnsi="Times New Roman" w:cs="Times New Roman"/>
              </w:rPr>
              <w:t xml:space="preserve"> </w:t>
            </w:r>
          </w:p>
        </w:tc>
        <w:tc>
          <w:tcPr>
            <w:tcW w:w="892" w:type="pct"/>
            <w:shd w:val="clear" w:color="auto" w:fill="auto"/>
          </w:tcPr>
          <w:p w14:paraId="0EDE5490" w14:textId="77777777" w:rsidR="0081662F" w:rsidRPr="00D0532A" w:rsidRDefault="0081662F" w:rsidP="00EB2357">
            <w:pPr>
              <w:jc w:val="center"/>
              <w:rPr>
                <w:rFonts w:ascii="Times New Roman" w:eastAsia="Calibri" w:hAnsi="Times New Roman" w:cs="Times New Roman"/>
              </w:rPr>
            </w:pPr>
            <w:r w:rsidRPr="00D0532A">
              <w:rPr>
                <w:rFonts w:ascii="Times New Roman" w:eastAsia="Calibri" w:hAnsi="Times New Roman" w:cs="Times New Roman"/>
              </w:rPr>
              <w:t>Broj organiziranih i realiziranih događanja i manifestacija</w:t>
            </w:r>
          </w:p>
        </w:tc>
        <w:tc>
          <w:tcPr>
            <w:tcW w:w="678" w:type="pct"/>
            <w:shd w:val="clear" w:color="auto" w:fill="auto"/>
          </w:tcPr>
          <w:p w14:paraId="025EC460" w14:textId="77777777" w:rsidR="0081662F" w:rsidRPr="00D0532A" w:rsidRDefault="0081662F" w:rsidP="00EB2357">
            <w:pPr>
              <w:jc w:val="center"/>
              <w:rPr>
                <w:rFonts w:ascii="Times New Roman" w:eastAsia="Calibri" w:hAnsi="Times New Roman" w:cs="Times New Roman"/>
              </w:rPr>
            </w:pPr>
          </w:p>
          <w:p w14:paraId="08A042DD" w14:textId="77777777" w:rsidR="0081662F" w:rsidRPr="00D0532A" w:rsidRDefault="0081662F" w:rsidP="00EB2357">
            <w:pPr>
              <w:jc w:val="center"/>
              <w:rPr>
                <w:rFonts w:ascii="Times New Roman" w:eastAsia="Calibri" w:hAnsi="Times New Roman" w:cs="Times New Roman"/>
              </w:rPr>
            </w:pPr>
            <w:r w:rsidRPr="00D0532A">
              <w:rPr>
                <w:rFonts w:ascii="Times New Roman" w:eastAsia="Calibri" w:hAnsi="Times New Roman" w:cs="Times New Roman"/>
              </w:rPr>
              <w:t>1</w:t>
            </w:r>
          </w:p>
        </w:tc>
        <w:tc>
          <w:tcPr>
            <w:tcW w:w="678" w:type="pct"/>
            <w:shd w:val="clear" w:color="auto" w:fill="auto"/>
          </w:tcPr>
          <w:p w14:paraId="0731BD4E" w14:textId="77777777" w:rsidR="0081662F" w:rsidRPr="00D0532A" w:rsidRDefault="0081662F" w:rsidP="00EB2357">
            <w:pPr>
              <w:jc w:val="center"/>
              <w:rPr>
                <w:rFonts w:ascii="Times New Roman" w:eastAsia="Calibri" w:hAnsi="Times New Roman" w:cs="Times New Roman"/>
              </w:rPr>
            </w:pPr>
          </w:p>
          <w:p w14:paraId="1A381978" w14:textId="77777777" w:rsidR="0081662F" w:rsidRPr="00D0532A" w:rsidRDefault="0081662F" w:rsidP="00EB2357">
            <w:pPr>
              <w:jc w:val="center"/>
              <w:rPr>
                <w:rFonts w:ascii="Times New Roman" w:eastAsia="Calibri" w:hAnsi="Times New Roman" w:cs="Times New Roman"/>
              </w:rPr>
            </w:pPr>
            <w:r w:rsidRPr="00D0532A">
              <w:rPr>
                <w:rFonts w:ascii="Times New Roman" w:eastAsia="Calibri" w:hAnsi="Times New Roman" w:cs="Times New Roman"/>
              </w:rPr>
              <w:t>1</w:t>
            </w:r>
          </w:p>
        </w:tc>
        <w:tc>
          <w:tcPr>
            <w:tcW w:w="678" w:type="pct"/>
            <w:shd w:val="clear" w:color="auto" w:fill="auto"/>
          </w:tcPr>
          <w:p w14:paraId="7535C764" w14:textId="77777777" w:rsidR="0081662F" w:rsidRPr="00D0532A" w:rsidRDefault="0081662F" w:rsidP="00EB2357">
            <w:pPr>
              <w:jc w:val="center"/>
              <w:rPr>
                <w:rFonts w:ascii="Times New Roman" w:eastAsia="Calibri" w:hAnsi="Times New Roman" w:cs="Times New Roman"/>
              </w:rPr>
            </w:pPr>
          </w:p>
          <w:p w14:paraId="2B2F467C" w14:textId="77777777" w:rsidR="0081662F" w:rsidRPr="00D0532A" w:rsidRDefault="0081662F" w:rsidP="00EB2357">
            <w:pPr>
              <w:jc w:val="center"/>
              <w:rPr>
                <w:rFonts w:ascii="Times New Roman" w:eastAsia="Calibri" w:hAnsi="Times New Roman" w:cs="Times New Roman"/>
              </w:rPr>
            </w:pPr>
            <w:r w:rsidRPr="00D0532A">
              <w:rPr>
                <w:rFonts w:ascii="Times New Roman" w:eastAsia="Calibri" w:hAnsi="Times New Roman" w:cs="Times New Roman"/>
              </w:rPr>
              <w:t>100%</w:t>
            </w:r>
          </w:p>
        </w:tc>
      </w:tr>
      <w:tr w:rsidR="0081662F" w:rsidRPr="00D0532A" w14:paraId="3DAE6EDA" w14:textId="77777777" w:rsidTr="00EB2357">
        <w:trPr>
          <w:trHeight w:val="520"/>
        </w:trPr>
        <w:tc>
          <w:tcPr>
            <w:tcW w:w="845" w:type="pct"/>
            <w:shd w:val="clear" w:color="auto" w:fill="auto"/>
          </w:tcPr>
          <w:p w14:paraId="2464340F" w14:textId="77777777" w:rsidR="0081662F" w:rsidRPr="00D0532A" w:rsidRDefault="0081662F" w:rsidP="00EB2357">
            <w:pPr>
              <w:jc w:val="center"/>
              <w:rPr>
                <w:rFonts w:ascii="Times New Roman" w:eastAsia="Calibri" w:hAnsi="Times New Roman" w:cs="Times New Roman"/>
              </w:rPr>
            </w:pPr>
            <w:r w:rsidRPr="00D0532A">
              <w:rPr>
                <w:rFonts w:ascii="Times New Roman" w:eastAsia="Calibri" w:hAnsi="Times New Roman" w:cs="Times New Roman"/>
              </w:rPr>
              <w:t>Broj dolazaka organiziranih školskih grupa</w:t>
            </w:r>
          </w:p>
        </w:tc>
        <w:tc>
          <w:tcPr>
            <w:tcW w:w="1228" w:type="pct"/>
            <w:shd w:val="clear" w:color="auto" w:fill="auto"/>
          </w:tcPr>
          <w:p w14:paraId="332DE84F" w14:textId="77777777" w:rsidR="0081662F" w:rsidRPr="00D0532A" w:rsidRDefault="0081662F" w:rsidP="00EB2357">
            <w:pPr>
              <w:jc w:val="center"/>
              <w:rPr>
                <w:rFonts w:ascii="Times New Roman" w:eastAsia="Calibri" w:hAnsi="Times New Roman" w:cs="Times New Roman"/>
              </w:rPr>
            </w:pPr>
            <w:r w:rsidRPr="00D0532A">
              <w:rPr>
                <w:rFonts w:ascii="Times New Roman" w:eastAsia="Calibri" w:hAnsi="Times New Roman" w:cs="Times New Roman"/>
              </w:rPr>
              <w:t>Dolazak i izvršavanje sadržaja i ponude za školske grupe</w:t>
            </w:r>
          </w:p>
        </w:tc>
        <w:tc>
          <w:tcPr>
            <w:tcW w:w="892" w:type="pct"/>
            <w:shd w:val="clear" w:color="auto" w:fill="auto"/>
          </w:tcPr>
          <w:p w14:paraId="0335F5C5" w14:textId="77777777" w:rsidR="0081662F" w:rsidRPr="00D0532A" w:rsidRDefault="0081662F" w:rsidP="00EB2357">
            <w:pPr>
              <w:jc w:val="center"/>
              <w:rPr>
                <w:rFonts w:ascii="Times New Roman" w:eastAsia="Calibri" w:hAnsi="Times New Roman" w:cs="Times New Roman"/>
              </w:rPr>
            </w:pPr>
            <w:r w:rsidRPr="00D0532A">
              <w:rPr>
                <w:rFonts w:ascii="Times New Roman" w:eastAsia="Calibri" w:hAnsi="Times New Roman" w:cs="Times New Roman"/>
              </w:rPr>
              <w:t>Broj posjeta organiziranih školskih grupa</w:t>
            </w:r>
          </w:p>
        </w:tc>
        <w:tc>
          <w:tcPr>
            <w:tcW w:w="678" w:type="pct"/>
            <w:shd w:val="clear" w:color="auto" w:fill="auto"/>
          </w:tcPr>
          <w:p w14:paraId="48223C97" w14:textId="77777777" w:rsidR="0081662F" w:rsidRPr="00D0532A" w:rsidRDefault="0081662F" w:rsidP="00EB2357">
            <w:pPr>
              <w:jc w:val="center"/>
              <w:rPr>
                <w:rFonts w:ascii="Times New Roman" w:eastAsia="Calibri" w:hAnsi="Times New Roman" w:cs="Times New Roman"/>
              </w:rPr>
            </w:pPr>
          </w:p>
          <w:p w14:paraId="647B4545" w14:textId="77777777" w:rsidR="0081662F" w:rsidRPr="00D0532A" w:rsidRDefault="0081662F" w:rsidP="00EB2357">
            <w:pPr>
              <w:jc w:val="center"/>
              <w:rPr>
                <w:rFonts w:ascii="Times New Roman" w:eastAsia="Calibri" w:hAnsi="Times New Roman" w:cs="Times New Roman"/>
              </w:rPr>
            </w:pPr>
            <w:r w:rsidRPr="00D0532A">
              <w:rPr>
                <w:rFonts w:ascii="Times New Roman" w:eastAsia="Calibri" w:hAnsi="Times New Roman" w:cs="Times New Roman"/>
              </w:rPr>
              <w:t>38</w:t>
            </w:r>
          </w:p>
        </w:tc>
        <w:tc>
          <w:tcPr>
            <w:tcW w:w="678" w:type="pct"/>
            <w:shd w:val="clear" w:color="auto" w:fill="auto"/>
          </w:tcPr>
          <w:p w14:paraId="681D65CB" w14:textId="77777777" w:rsidR="0081662F" w:rsidRPr="00D0532A" w:rsidRDefault="0081662F" w:rsidP="00EB2357">
            <w:pPr>
              <w:jc w:val="center"/>
              <w:rPr>
                <w:rFonts w:ascii="Times New Roman" w:eastAsia="Calibri" w:hAnsi="Times New Roman" w:cs="Times New Roman"/>
              </w:rPr>
            </w:pPr>
          </w:p>
          <w:p w14:paraId="4AD71501" w14:textId="77777777" w:rsidR="0081662F" w:rsidRPr="00D0532A" w:rsidRDefault="0081662F" w:rsidP="00EB2357">
            <w:pPr>
              <w:jc w:val="center"/>
              <w:rPr>
                <w:rFonts w:ascii="Times New Roman" w:eastAsia="Calibri" w:hAnsi="Times New Roman" w:cs="Times New Roman"/>
              </w:rPr>
            </w:pPr>
            <w:r w:rsidRPr="00D0532A">
              <w:rPr>
                <w:rFonts w:ascii="Times New Roman" w:eastAsia="Calibri" w:hAnsi="Times New Roman" w:cs="Times New Roman"/>
              </w:rPr>
              <w:t>40</w:t>
            </w:r>
          </w:p>
        </w:tc>
        <w:tc>
          <w:tcPr>
            <w:tcW w:w="678" w:type="pct"/>
            <w:shd w:val="clear" w:color="auto" w:fill="auto"/>
          </w:tcPr>
          <w:p w14:paraId="384DB5A9" w14:textId="77777777" w:rsidR="0081662F" w:rsidRPr="00D0532A" w:rsidRDefault="0081662F" w:rsidP="00EB2357">
            <w:pPr>
              <w:jc w:val="center"/>
              <w:rPr>
                <w:rFonts w:ascii="Times New Roman" w:eastAsia="Calibri" w:hAnsi="Times New Roman" w:cs="Times New Roman"/>
              </w:rPr>
            </w:pPr>
          </w:p>
          <w:p w14:paraId="183ED642" w14:textId="77777777" w:rsidR="0081662F" w:rsidRPr="00D0532A" w:rsidRDefault="0081662F" w:rsidP="00EB2357">
            <w:pPr>
              <w:jc w:val="center"/>
              <w:rPr>
                <w:rFonts w:ascii="Times New Roman" w:eastAsia="Calibri" w:hAnsi="Times New Roman" w:cs="Times New Roman"/>
              </w:rPr>
            </w:pPr>
            <w:r w:rsidRPr="00D0532A">
              <w:rPr>
                <w:rFonts w:ascii="Times New Roman" w:eastAsia="Calibri" w:hAnsi="Times New Roman" w:cs="Times New Roman"/>
              </w:rPr>
              <w:t>105%</w:t>
            </w:r>
          </w:p>
        </w:tc>
      </w:tr>
      <w:tr w:rsidR="0081662F" w:rsidRPr="00D0532A" w14:paraId="46ECD64F" w14:textId="77777777" w:rsidTr="00EB2357">
        <w:trPr>
          <w:trHeight w:val="520"/>
        </w:trPr>
        <w:tc>
          <w:tcPr>
            <w:tcW w:w="845" w:type="pct"/>
            <w:shd w:val="clear" w:color="auto" w:fill="auto"/>
          </w:tcPr>
          <w:p w14:paraId="67DF88F8" w14:textId="77777777" w:rsidR="0081662F" w:rsidRPr="00D0532A" w:rsidRDefault="0081662F" w:rsidP="00EB2357">
            <w:pPr>
              <w:jc w:val="center"/>
              <w:rPr>
                <w:rFonts w:ascii="Times New Roman" w:eastAsia="Calibri" w:hAnsi="Times New Roman" w:cs="Times New Roman"/>
              </w:rPr>
            </w:pPr>
            <w:r w:rsidRPr="00D0532A">
              <w:rPr>
                <w:rFonts w:ascii="Times New Roman" w:eastAsia="Calibri" w:hAnsi="Times New Roman" w:cs="Times New Roman"/>
              </w:rPr>
              <w:t>Broj privremenih izložbi</w:t>
            </w:r>
          </w:p>
        </w:tc>
        <w:tc>
          <w:tcPr>
            <w:tcW w:w="1228" w:type="pct"/>
            <w:shd w:val="clear" w:color="auto" w:fill="auto"/>
          </w:tcPr>
          <w:p w14:paraId="059681E4" w14:textId="77777777" w:rsidR="0081662F" w:rsidRPr="00D0532A" w:rsidRDefault="0081662F" w:rsidP="00EB2357">
            <w:pPr>
              <w:jc w:val="center"/>
              <w:rPr>
                <w:rFonts w:ascii="Times New Roman" w:eastAsia="Calibri" w:hAnsi="Times New Roman" w:cs="Times New Roman"/>
              </w:rPr>
            </w:pPr>
            <w:r w:rsidRPr="00D0532A">
              <w:rPr>
                <w:rFonts w:ascii="Times New Roman" w:eastAsia="Calibri" w:hAnsi="Times New Roman" w:cs="Times New Roman"/>
              </w:rPr>
              <w:t xml:space="preserve">Organizacija i održavanje privremenih izložbi u Centru </w:t>
            </w:r>
          </w:p>
        </w:tc>
        <w:tc>
          <w:tcPr>
            <w:tcW w:w="892" w:type="pct"/>
            <w:shd w:val="clear" w:color="auto" w:fill="auto"/>
          </w:tcPr>
          <w:p w14:paraId="7A01BB9A" w14:textId="77777777" w:rsidR="0081662F" w:rsidRPr="00D0532A" w:rsidRDefault="0081662F" w:rsidP="00EB2357">
            <w:pPr>
              <w:jc w:val="center"/>
              <w:rPr>
                <w:rFonts w:ascii="Times New Roman" w:eastAsia="Calibri" w:hAnsi="Times New Roman" w:cs="Times New Roman"/>
              </w:rPr>
            </w:pPr>
            <w:r w:rsidRPr="00D0532A">
              <w:rPr>
                <w:rFonts w:ascii="Times New Roman" w:eastAsia="Calibri" w:hAnsi="Times New Roman" w:cs="Times New Roman"/>
              </w:rPr>
              <w:t>Broj privremenih izložbi</w:t>
            </w:r>
          </w:p>
        </w:tc>
        <w:tc>
          <w:tcPr>
            <w:tcW w:w="678" w:type="pct"/>
            <w:shd w:val="clear" w:color="auto" w:fill="auto"/>
          </w:tcPr>
          <w:p w14:paraId="2F86F07E" w14:textId="77777777" w:rsidR="0081662F" w:rsidRPr="00D0532A" w:rsidRDefault="0081662F" w:rsidP="00EB2357">
            <w:pPr>
              <w:jc w:val="center"/>
              <w:rPr>
                <w:rFonts w:ascii="Times New Roman" w:eastAsia="Calibri" w:hAnsi="Times New Roman" w:cs="Times New Roman"/>
                <w:strike/>
              </w:rPr>
            </w:pPr>
          </w:p>
          <w:p w14:paraId="66C4DAD4" w14:textId="77777777" w:rsidR="0081662F" w:rsidRPr="00D0532A" w:rsidRDefault="0081662F" w:rsidP="00EB2357">
            <w:pPr>
              <w:jc w:val="center"/>
              <w:rPr>
                <w:rFonts w:ascii="Times New Roman" w:eastAsia="Calibri" w:hAnsi="Times New Roman" w:cs="Times New Roman"/>
              </w:rPr>
            </w:pPr>
            <w:r w:rsidRPr="00D0532A">
              <w:rPr>
                <w:rFonts w:ascii="Times New Roman" w:eastAsia="Calibri" w:hAnsi="Times New Roman" w:cs="Times New Roman"/>
              </w:rPr>
              <w:t>8</w:t>
            </w:r>
          </w:p>
        </w:tc>
        <w:tc>
          <w:tcPr>
            <w:tcW w:w="678" w:type="pct"/>
            <w:shd w:val="clear" w:color="auto" w:fill="auto"/>
          </w:tcPr>
          <w:p w14:paraId="290BD4AD" w14:textId="77777777" w:rsidR="0081662F" w:rsidRPr="00D0532A" w:rsidRDefault="0081662F" w:rsidP="00EB2357">
            <w:pPr>
              <w:jc w:val="center"/>
              <w:rPr>
                <w:rFonts w:ascii="Times New Roman" w:eastAsia="Calibri" w:hAnsi="Times New Roman" w:cs="Times New Roman"/>
              </w:rPr>
            </w:pPr>
          </w:p>
          <w:p w14:paraId="45EACCA3" w14:textId="77777777" w:rsidR="0081662F" w:rsidRPr="00D0532A" w:rsidRDefault="0081662F" w:rsidP="00EB2357">
            <w:pPr>
              <w:jc w:val="center"/>
              <w:rPr>
                <w:rFonts w:ascii="Times New Roman" w:eastAsia="Calibri" w:hAnsi="Times New Roman" w:cs="Times New Roman"/>
              </w:rPr>
            </w:pPr>
            <w:r w:rsidRPr="00D0532A">
              <w:rPr>
                <w:rFonts w:ascii="Times New Roman" w:eastAsia="Calibri" w:hAnsi="Times New Roman" w:cs="Times New Roman"/>
              </w:rPr>
              <w:t>7</w:t>
            </w:r>
          </w:p>
        </w:tc>
        <w:tc>
          <w:tcPr>
            <w:tcW w:w="678" w:type="pct"/>
            <w:shd w:val="clear" w:color="auto" w:fill="auto"/>
          </w:tcPr>
          <w:p w14:paraId="5BB9503F" w14:textId="77777777" w:rsidR="0081662F" w:rsidRPr="00D0532A" w:rsidRDefault="0081662F" w:rsidP="00EB2357">
            <w:pPr>
              <w:jc w:val="center"/>
              <w:rPr>
                <w:rFonts w:ascii="Times New Roman" w:eastAsia="Calibri" w:hAnsi="Times New Roman" w:cs="Times New Roman"/>
              </w:rPr>
            </w:pPr>
          </w:p>
          <w:p w14:paraId="6F486237" w14:textId="77777777" w:rsidR="0081662F" w:rsidRPr="00D0532A" w:rsidRDefault="0081662F" w:rsidP="00EB2357">
            <w:pPr>
              <w:jc w:val="center"/>
              <w:rPr>
                <w:rFonts w:ascii="Times New Roman" w:eastAsia="Calibri" w:hAnsi="Times New Roman" w:cs="Times New Roman"/>
              </w:rPr>
            </w:pPr>
            <w:r w:rsidRPr="00D0532A">
              <w:rPr>
                <w:rFonts w:ascii="Times New Roman" w:eastAsia="Calibri" w:hAnsi="Times New Roman" w:cs="Times New Roman"/>
              </w:rPr>
              <w:t>87,5%</w:t>
            </w:r>
          </w:p>
        </w:tc>
      </w:tr>
    </w:tbl>
    <w:p w14:paraId="06E67822" w14:textId="77777777" w:rsidR="0081662F" w:rsidRPr="00D0532A" w:rsidRDefault="0081662F" w:rsidP="0081662F">
      <w:pPr>
        <w:jc w:val="both"/>
        <w:rPr>
          <w:rFonts w:ascii="Times New Roman" w:eastAsia="Calibri" w:hAnsi="Times New Roman" w:cs="Times New Roman"/>
          <w:b/>
          <w:color w:val="FF0000"/>
          <w:lang w:val="en-US"/>
        </w:rPr>
      </w:pPr>
    </w:p>
    <w:p w14:paraId="529B6540" w14:textId="77777777" w:rsidR="0081662F" w:rsidRPr="00D0532A" w:rsidRDefault="0081662F" w:rsidP="0081662F">
      <w:pPr>
        <w:jc w:val="both"/>
        <w:rPr>
          <w:rFonts w:ascii="Times New Roman" w:eastAsia="Calibri" w:hAnsi="Times New Roman" w:cs="Times New Roman"/>
        </w:rPr>
      </w:pPr>
      <w:r w:rsidRPr="00D0532A">
        <w:rPr>
          <w:rFonts w:ascii="Times New Roman" w:eastAsia="Calibri" w:hAnsi="Times New Roman" w:cs="Times New Roman"/>
          <w:b/>
        </w:rPr>
        <w:t>CILJ</w:t>
      </w:r>
      <w:r w:rsidRPr="00D0532A">
        <w:rPr>
          <w:rFonts w:ascii="Times New Roman" w:eastAsia="Calibri" w:hAnsi="Times New Roman" w:cs="Times New Roman"/>
        </w:rPr>
        <w:t>: Prikazivanje kino projekcija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2209"/>
        <w:gridCol w:w="1167"/>
        <w:gridCol w:w="1343"/>
        <w:gridCol w:w="1343"/>
        <w:gridCol w:w="1343"/>
      </w:tblGrid>
      <w:tr w:rsidR="0081662F" w:rsidRPr="00D0532A" w14:paraId="51229885" w14:textId="77777777" w:rsidTr="00EB2357">
        <w:tc>
          <w:tcPr>
            <w:tcW w:w="913" w:type="pct"/>
            <w:shd w:val="clear" w:color="auto" w:fill="AEAAAA"/>
          </w:tcPr>
          <w:p w14:paraId="2E882B3B" w14:textId="77777777" w:rsidR="0081662F" w:rsidRPr="00D0532A" w:rsidRDefault="0081662F" w:rsidP="00EB2357">
            <w:pPr>
              <w:jc w:val="center"/>
              <w:rPr>
                <w:rFonts w:ascii="Times New Roman" w:hAnsi="Times New Roman" w:cs="Times New Roman"/>
                <w:b/>
                <w:bCs/>
              </w:rPr>
            </w:pPr>
            <w:r w:rsidRPr="00D0532A">
              <w:rPr>
                <w:rFonts w:ascii="Times New Roman" w:hAnsi="Times New Roman" w:cs="Times New Roman"/>
                <w:b/>
                <w:bCs/>
              </w:rPr>
              <w:t>Pokazatelj rezultata</w:t>
            </w:r>
          </w:p>
        </w:tc>
        <w:tc>
          <w:tcPr>
            <w:tcW w:w="1219" w:type="pct"/>
            <w:shd w:val="clear" w:color="auto" w:fill="AEAAAA"/>
          </w:tcPr>
          <w:p w14:paraId="38EF4E40" w14:textId="77777777" w:rsidR="0081662F" w:rsidRPr="00D0532A" w:rsidRDefault="0081662F" w:rsidP="00EB2357">
            <w:pPr>
              <w:jc w:val="center"/>
              <w:rPr>
                <w:rFonts w:ascii="Times New Roman" w:hAnsi="Times New Roman" w:cs="Times New Roman"/>
                <w:b/>
                <w:bCs/>
              </w:rPr>
            </w:pPr>
            <w:r w:rsidRPr="00D0532A">
              <w:rPr>
                <w:rFonts w:ascii="Times New Roman" w:hAnsi="Times New Roman" w:cs="Times New Roman"/>
                <w:b/>
                <w:bCs/>
              </w:rPr>
              <w:t>Definicija pokazatelja</w:t>
            </w:r>
          </w:p>
        </w:tc>
        <w:tc>
          <w:tcPr>
            <w:tcW w:w="644" w:type="pct"/>
            <w:shd w:val="clear" w:color="auto" w:fill="AEAAAA"/>
          </w:tcPr>
          <w:p w14:paraId="4F99C298" w14:textId="77777777" w:rsidR="0081662F" w:rsidRPr="00D0532A" w:rsidRDefault="0081662F" w:rsidP="00EB2357">
            <w:pPr>
              <w:jc w:val="center"/>
              <w:rPr>
                <w:rFonts w:ascii="Times New Roman" w:hAnsi="Times New Roman" w:cs="Times New Roman"/>
                <w:b/>
                <w:bCs/>
              </w:rPr>
            </w:pPr>
            <w:r w:rsidRPr="00D0532A">
              <w:rPr>
                <w:rFonts w:ascii="Times New Roman" w:hAnsi="Times New Roman" w:cs="Times New Roman"/>
                <w:b/>
                <w:bCs/>
              </w:rPr>
              <w:t xml:space="preserve">Jedinica </w:t>
            </w:r>
          </w:p>
        </w:tc>
        <w:tc>
          <w:tcPr>
            <w:tcW w:w="741" w:type="pct"/>
            <w:shd w:val="clear" w:color="auto" w:fill="AEAAAA"/>
          </w:tcPr>
          <w:p w14:paraId="58CB16C9" w14:textId="77777777" w:rsidR="0081662F" w:rsidRPr="00D0532A" w:rsidRDefault="0081662F" w:rsidP="00EB2357">
            <w:pPr>
              <w:jc w:val="center"/>
              <w:rPr>
                <w:rFonts w:ascii="Times New Roman" w:hAnsi="Times New Roman" w:cs="Times New Roman"/>
                <w:b/>
                <w:bCs/>
              </w:rPr>
            </w:pPr>
            <w:r w:rsidRPr="00D0532A">
              <w:rPr>
                <w:rFonts w:ascii="Times New Roman" w:hAnsi="Times New Roman" w:cs="Times New Roman"/>
                <w:b/>
                <w:bCs/>
              </w:rPr>
              <w:t>Ciljana vrijednost 2024.</w:t>
            </w:r>
          </w:p>
        </w:tc>
        <w:tc>
          <w:tcPr>
            <w:tcW w:w="741" w:type="pct"/>
            <w:shd w:val="clear" w:color="auto" w:fill="AEAAAA"/>
          </w:tcPr>
          <w:p w14:paraId="0236077F" w14:textId="77777777" w:rsidR="0081662F" w:rsidRPr="00D0532A" w:rsidRDefault="0081662F" w:rsidP="00EB2357">
            <w:pPr>
              <w:jc w:val="center"/>
              <w:rPr>
                <w:rFonts w:ascii="Times New Roman" w:hAnsi="Times New Roman" w:cs="Times New Roman"/>
                <w:b/>
                <w:bCs/>
              </w:rPr>
            </w:pPr>
            <w:r w:rsidRPr="00D0532A">
              <w:rPr>
                <w:rFonts w:ascii="Times New Roman" w:hAnsi="Times New Roman" w:cs="Times New Roman"/>
                <w:b/>
                <w:bCs/>
              </w:rPr>
              <w:t xml:space="preserve">Izvršenje </w:t>
            </w:r>
          </w:p>
          <w:p w14:paraId="6DCA4AE2" w14:textId="77777777" w:rsidR="0081662F" w:rsidRPr="00D0532A" w:rsidRDefault="0081662F" w:rsidP="00EB2357">
            <w:pPr>
              <w:jc w:val="center"/>
              <w:rPr>
                <w:rFonts w:ascii="Times New Roman" w:hAnsi="Times New Roman" w:cs="Times New Roman"/>
                <w:b/>
                <w:bCs/>
              </w:rPr>
            </w:pPr>
            <w:r w:rsidRPr="00D0532A">
              <w:rPr>
                <w:rFonts w:ascii="Times New Roman" w:hAnsi="Times New Roman" w:cs="Times New Roman"/>
                <w:b/>
                <w:bCs/>
              </w:rPr>
              <w:t>2024.</w:t>
            </w:r>
          </w:p>
        </w:tc>
        <w:tc>
          <w:tcPr>
            <w:tcW w:w="741" w:type="pct"/>
            <w:shd w:val="clear" w:color="auto" w:fill="AEAAAA"/>
          </w:tcPr>
          <w:p w14:paraId="04A79F57" w14:textId="77777777" w:rsidR="0081662F" w:rsidRPr="00D0532A" w:rsidRDefault="0081662F" w:rsidP="00EB2357">
            <w:pPr>
              <w:jc w:val="center"/>
              <w:rPr>
                <w:rFonts w:ascii="Times New Roman" w:hAnsi="Times New Roman" w:cs="Times New Roman"/>
                <w:b/>
                <w:bCs/>
              </w:rPr>
            </w:pPr>
          </w:p>
          <w:p w14:paraId="2D9891EA" w14:textId="77777777" w:rsidR="0081662F" w:rsidRPr="00D0532A" w:rsidRDefault="0081662F" w:rsidP="00EB2357">
            <w:pPr>
              <w:jc w:val="center"/>
              <w:rPr>
                <w:rFonts w:ascii="Times New Roman" w:hAnsi="Times New Roman" w:cs="Times New Roman"/>
                <w:b/>
                <w:bCs/>
              </w:rPr>
            </w:pPr>
            <w:r w:rsidRPr="00D0532A">
              <w:rPr>
                <w:rFonts w:ascii="Times New Roman" w:hAnsi="Times New Roman" w:cs="Times New Roman"/>
                <w:b/>
                <w:bCs/>
              </w:rPr>
              <w:t>Indeks</w:t>
            </w:r>
          </w:p>
        </w:tc>
      </w:tr>
      <w:tr w:rsidR="0081662F" w:rsidRPr="00D0532A" w14:paraId="3D7A9B34" w14:textId="77777777" w:rsidTr="00EB2357">
        <w:tc>
          <w:tcPr>
            <w:tcW w:w="913" w:type="pct"/>
            <w:shd w:val="clear" w:color="auto" w:fill="auto"/>
            <w:vAlign w:val="center"/>
          </w:tcPr>
          <w:p w14:paraId="37421057" w14:textId="77777777" w:rsidR="0081662F" w:rsidRPr="00D0532A" w:rsidRDefault="0081662F" w:rsidP="00EB2357">
            <w:pPr>
              <w:spacing w:after="0"/>
              <w:jc w:val="center"/>
              <w:rPr>
                <w:rFonts w:ascii="Times New Roman" w:eastAsia="Calibri" w:hAnsi="Times New Roman" w:cs="Times New Roman"/>
              </w:rPr>
            </w:pPr>
          </w:p>
          <w:p w14:paraId="7C79B444" w14:textId="77777777" w:rsidR="0081662F" w:rsidRPr="00D0532A" w:rsidRDefault="0081662F" w:rsidP="00EB2357">
            <w:pPr>
              <w:spacing w:after="0"/>
              <w:jc w:val="center"/>
              <w:rPr>
                <w:rFonts w:ascii="Times New Roman" w:eastAsia="Calibri" w:hAnsi="Times New Roman" w:cs="Times New Roman"/>
              </w:rPr>
            </w:pPr>
          </w:p>
          <w:p w14:paraId="64058CA9" w14:textId="77777777" w:rsidR="0081662F" w:rsidRPr="00D0532A" w:rsidRDefault="0081662F" w:rsidP="00EB2357">
            <w:pPr>
              <w:spacing w:after="0"/>
              <w:jc w:val="center"/>
              <w:rPr>
                <w:rFonts w:ascii="Times New Roman" w:eastAsia="Calibri" w:hAnsi="Times New Roman" w:cs="Times New Roman"/>
              </w:rPr>
            </w:pPr>
            <w:r w:rsidRPr="00D0532A">
              <w:rPr>
                <w:rFonts w:ascii="Times New Roman" w:eastAsia="Calibri" w:hAnsi="Times New Roman" w:cs="Times New Roman"/>
              </w:rPr>
              <w:t>Kino projekcija</w:t>
            </w:r>
          </w:p>
        </w:tc>
        <w:tc>
          <w:tcPr>
            <w:tcW w:w="1219" w:type="pct"/>
            <w:shd w:val="clear" w:color="auto" w:fill="auto"/>
            <w:vAlign w:val="center"/>
          </w:tcPr>
          <w:p w14:paraId="43F22841" w14:textId="77777777" w:rsidR="0081662F" w:rsidRPr="00D0532A" w:rsidRDefault="0081662F" w:rsidP="00EB2357">
            <w:pPr>
              <w:spacing w:after="0"/>
              <w:jc w:val="center"/>
              <w:rPr>
                <w:rFonts w:ascii="Times New Roman" w:eastAsia="Calibri" w:hAnsi="Times New Roman" w:cs="Times New Roman"/>
              </w:rPr>
            </w:pPr>
            <w:r w:rsidRPr="00D0532A">
              <w:rPr>
                <w:rFonts w:ascii="Times New Roman" w:eastAsia="Calibri" w:hAnsi="Times New Roman" w:cs="Times New Roman"/>
              </w:rPr>
              <w:t>Broj organiziranih i izvršenih kino projekcija povećava dodatni kulturni sadržaj u gradu Garešnici</w:t>
            </w:r>
          </w:p>
        </w:tc>
        <w:tc>
          <w:tcPr>
            <w:tcW w:w="644" w:type="pct"/>
            <w:shd w:val="clear" w:color="auto" w:fill="auto"/>
            <w:vAlign w:val="center"/>
          </w:tcPr>
          <w:p w14:paraId="3BFF1EEE" w14:textId="77777777" w:rsidR="0081662F" w:rsidRPr="00D0532A" w:rsidRDefault="0081662F" w:rsidP="00EB2357">
            <w:pPr>
              <w:spacing w:after="0"/>
              <w:jc w:val="center"/>
              <w:rPr>
                <w:rFonts w:ascii="Times New Roman" w:eastAsia="Calibri" w:hAnsi="Times New Roman" w:cs="Times New Roman"/>
              </w:rPr>
            </w:pPr>
          </w:p>
          <w:p w14:paraId="455257B8" w14:textId="77777777" w:rsidR="0081662F" w:rsidRPr="00D0532A" w:rsidRDefault="0081662F" w:rsidP="00EB2357">
            <w:pPr>
              <w:spacing w:after="0"/>
              <w:jc w:val="center"/>
              <w:rPr>
                <w:rFonts w:ascii="Times New Roman" w:eastAsia="Calibri" w:hAnsi="Times New Roman" w:cs="Times New Roman"/>
              </w:rPr>
            </w:pPr>
            <w:r w:rsidRPr="00D0532A">
              <w:rPr>
                <w:rFonts w:ascii="Times New Roman" w:eastAsia="Calibri" w:hAnsi="Times New Roman" w:cs="Times New Roman"/>
              </w:rPr>
              <w:t>Broj kino projekcija</w:t>
            </w:r>
          </w:p>
        </w:tc>
        <w:tc>
          <w:tcPr>
            <w:tcW w:w="741" w:type="pct"/>
            <w:shd w:val="clear" w:color="auto" w:fill="auto"/>
            <w:vAlign w:val="center"/>
          </w:tcPr>
          <w:p w14:paraId="02FBFDB9" w14:textId="77777777" w:rsidR="0081662F" w:rsidRPr="00D0532A" w:rsidRDefault="0081662F" w:rsidP="00EB2357">
            <w:pPr>
              <w:spacing w:after="0"/>
              <w:jc w:val="center"/>
              <w:rPr>
                <w:rFonts w:ascii="Times New Roman" w:eastAsia="Calibri" w:hAnsi="Times New Roman" w:cs="Times New Roman"/>
              </w:rPr>
            </w:pPr>
          </w:p>
          <w:p w14:paraId="18414773" w14:textId="77777777" w:rsidR="0081662F" w:rsidRPr="00D0532A" w:rsidRDefault="0081662F" w:rsidP="00EB2357">
            <w:pPr>
              <w:spacing w:after="0"/>
              <w:jc w:val="center"/>
              <w:rPr>
                <w:rFonts w:ascii="Times New Roman" w:eastAsia="Calibri" w:hAnsi="Times New Roman" w:cs="Times New Roman"/>
              </w:rPr>
            </w:pPr>
          </w:p>
          <w:p w14:paraId="1B5EC4D3" w14:textId="77777777" w:rsidR="0081662F" w:rsidRPr="00D0532A" w:rsidRDefault="0081662F" w:rsidP="00EB2357">
            <w:pPr>
              <w:spacing w:after="0"/>
              <w:jc w:val="center"/>
              <w:rPr>
                <w:rFonts w:ascii="Times New Roman" w:eastAsia="Calibri" w:hAnsi="Times New Roman" w:cs="Times New Roman"/>
              </w:rPr>
            </w:pPr>
          </w:p>
          <w:p w14:paraId="1DB1860E" w14:textId="77777777" w:rsidR="0081662F" w:rsidRPr="00D0532A" w:rsidRDefault="0081662F" w:rsidP="00EB2357">
            <w:pPr>
              <w:spacing w:after="0"/>
              <w:jc w:val="center"/>
              <w:rPr>
                <w:rFonts w:ascii="Times New Roman" w:eastAsia="Calibri" w:hAnsi="Times New Roman" w:cs="Times New Roman"/>
              </w:rPr>
            </w:pPr>
            <w:r w:rsidRPr="00D0532A">
              <w:rPr>
                <w:rFonts w:ascii="Times New Roman" w:eastAsia="Calibri" w:hAnsi="Times New Roman" w:cs="Times New Roman"/>
              </w:rPr>
              <w:t>60</w:t>
            </w:r>
          </w:p>
          <w:p w14:paraId="3E7091CA" w14:textId="77777777" w:rsidR="0081662F" w:rsidRPr="00D0532A" w:rsidRDefault="0081662F" w:rsidP="00EB2357">
            <w:pPr>
              <w:spacing w:after="0"/>
              <w:jc w:val="center"/>
              <w:rPr>
                <w:rFonts w:ascii="Times New Roman" w:eastAsia="Calibri" w:hAnsi="Times New Roman" w:cs="Times New Roman"/>
              </w:rPr>
            </w:pPr>
          </w:p>
          <w:p w14:paraId="7F95CFE4" w14:textId="77777777" w:rsidR="0081662F" w:rsidRPr="00D0532A" w:rsidRDefault="0081662F" w:rsidP="00EB2357">
            <w:pPr>
              <w:spacing w:after="0"/>
              <w:jc w:val="center"/>
              <w:rPr>
                <w:rFonts w:ascii="Times New Roman" w:eastAsia="Calibri" w:hAnsi="Times New Roman" w:cs="Times New Roman"/>
                <w:strike/>
              </w:rPr>
            </w:pPr>
          </w:p>
          <w:p w14:paraId="3155520B" w14:textId="77777777" w:rsidR="0081662F" w:rsidRPr="00D0532A" w:rsidRDefault="0081662F" w:rsidP="00EB2357">
            <w:pPr>
              <w:spacing w:after="0"/>
              <w:jc w:val="center"/>
              <w:rPr>
                <w:rFonts w:ascii="Times New Roman" w:eastAsia="Calibri" w:hAnsi="Times New Roman" w:cs="Times New Roman"/>
                <w:strike/>
              </w:rPr>
            </w:pPr>
          </w:p>
        </w:tc>
        <w:tc>
          <w:tcPr>
            <w:tcW w:w="741" w:type="pct"/>
            <w:shd w:val="clear" w:color="auto" w:fill="auto"/>
            <w:vAlign w:val="center"/>
          </w:tcPr>
          <w:p w14:paraId="31393F59" w14:textId="77777777" w:rsidR="0081662F" w:rsidRPr="00D0532A" w:rsidRDefault="0081662F" w:rsidP="00EB2357">
            <w:pPr>
              <w:spacing w:after="0"/>
              <w:jc w:val="center"/>
              <w:rPr>
                <w:rFonts w:ascii="Times New Roman" w:eastAsia="Calibri" w:hAnsi="Times New Roman" w:cs="Times New Roman"/>
                <w:strike/>
              </w:rPr>
            </w:pPr>
            <w:r w:rsidRPr="00D0532A">
              <w:rPr>
                <w:rFonts w:ascii="Times New Roman" w:eastAsia="Calibri" w:hAnsi="Times New Roman" w:cs="Times New Roman"/>
              </w:rPr>
              <w:t>61</w:t>
            </w:r>
          </w:p>
        </w:tc>
        <w:tc>
          <w:tcPr>
            <w:tcW w:w="741" w:type="pct"/>
            <w:shd w:val="clear" w:color="auto" w:fill="auto"/>
            <w:vAlign w:val="center"/>
          </w:tcPr>
          <w:p w14:paraId="7C3FFA84" w14:textId="77777777" w:rsidR="0081662F" w:rsidRPr="00D0532A" w:rsidRDefault="0081662F" w:rsidP="00EB2357">
            <w:pPr>
              <w:spacing w:after="0"/>
              <w:jc w:val="center"/>
              <w:rPr>
                <w:rFonts w:ascii="Times New Roman" w:eastAsia="Calibri" w:hAnsi="Times New Roman" w:cs="Times New Roman"/>
                <w:strike/>
              </w:rPr>
            </w:pPr>
            <w:r w:rsidRPr="00D0532A">
              <w:rPr>
                <w:rFonts w:ascii="Times New Roman" w:eastAsia="Calibri" w:hAnsi="Times New Roman" w:cs="Times New Roman"/>
              </w:rPr>
              <w:t>101%</w:t>
            </w:r>
          </w:p>
        </w:tc>
      </w:tr>
      <w:tr w:rsidR="0081662F" w:rsidRPr="00D0532A" w14:paraId="078C3167" w14:textId="77777777" w:rsidTr="00EB2357">
        <w:tc>
          <w:tcPr>
            <w:tcW w:w="913" w:type="pct"/>
            <w:shd w:val="clear" w:color="auto" w:fill="auto"/>
            <w:vAlign w:val="center"/>
          </w:tcPr>
          <w:p w14:paraId="23A10078" w14:textId="77777777" w:rsidR="0081662F" w:rsidRPr="00D0532A" w:rsidRDefault="0081662F" w:rsidP="00EB2357">
            <w:pPr>
              <w:spacing w:after="0"/>
              <w:jc w:val="center"/>
              <w:rPr>
                <w:rFonts w:ascii="Times New Roman" w:eastAsia="Calibri" w:hAnsi="Times New Roman" w:cs="Times New Roman"/>
              </w:rPr>
            </w:pPr>
            <w:r w:rsidRPr="00D0532A">
              <w:rPr>
                <w:rFonts w:ascii="Times New Roman" w:eastAsia="Calibri" w:hAnsi="Times New Roman" w:cs="Times New Roman"/>
              </w:rPr>
              <w:t>Kino ulaznica</w:t>
            </w:r>
          </w:p>
        </w:tc>
        <w:tc>
          <w:tcPr>
            <w:tcW w:w="1219" w:type="pct"/>
            <w:shd w:val="clear" w:color="auto" w:fill="auto"/>
            <w:vAlign w:val="center"/>
          </w:tcPr>
          <w:p w14:paraId="729BC89E" w14:textId="77777777" w:rsidR="0081662F" w:rsidRPr="00D0532A" w:rsidRDefault="0081662F" w:rsidP="00EB2357">
            <w:pPr>
              <w:spacing w:after="0"/>
              <w:jc w:val="center"/>
              <w:rPr>
                <w:rFonts w:ascii="Times New Roman" w:eastAsia="Calibri" w:hAnsi="Times New Roman" w:cs="Times New Roman"/>
              </w:rPr>
            </w:pPr>
            <w:r w:rsidRPr="00D0532A">
              <w:rPr>
                <w:rFonts w:ascii="Times New Roman" w:eastAsia="Calibri" w:hAnsi="Times New Roman" w:cs="Times New Roman"/>
              </w:rPr>
              <w:t>Broj izdanih (prodanih) kino ulaznica pokazuje koliko je osoba prisustvovalo kino projekcijama</w:t>
            </w:r>
          </w:p>
        </w:tc>
        <w:tc>
          <w:tcPr>
            <w:tcW w:w="644" w:type="pct"/>
            <w:shd w:val="clear" w:color="auto" w:fill="auto"/>
            <w:vAlign w:val="center"/>
          </w:tcPr>
          <w:p w14:paraId="5D6C4B1C" w14:textId="77777777" w:rsidR="0081662F" w:rsidRPr="00D0532A" w:rsidRDefault="0081662F" w:rsidP="00EB2357">
            <w:pPr>
              <w:spacing w:after="0"/>
              <w:jc w:val="center"/>
              <w:rPr>
                <w:rFonts w:ascii="Times New Roman" w:eastAsia="Calibri" w:hAnsi="Times New Roman" w:cs="Times New Roman"/>
              </w:rPr>
            </w:pPr>
          </w:p>
          <w:p w14:paraId="1E8A58CD" w14:textId="77777777" w:rsidR="0081662F" w:rsidRPr="00D0532A" w:rsidRDefault="0081662F" w:rsidP="00EB2357">
            <w:pPr>
              <w:spacing w:after="0"/>
              <w:jc w:val="center"/>
              <w:rPr>
                <w:rFonts w:ascii="Times New Roman" w:eastAsia="Calibri" w:hAnsi="Times New Roman" w:cs="Times New Roman"/>
              </w:rPr>
            </w:pPr>
            <w:r w:rsidRPr="00D0532A">
              <w:rPr>
                <w:rFonts w:ascii="Times New Roman" w:eastAsia="Calibri" w:hAnsi="Times New Roman" w:cs="Times New Roman"/>
              </w:rPr>
              <w:t>Broj izdanih ulaznica</w:t>
            </w:r>
          </w:p>
        </w:tc>
        <w:tc>
          <w:tcPr>
            <w:tcW w:w="741" w:type="pct"/>
            <w:shd w:val="clear" w:color="auto" w:fill="auto"/>
            <w:vAlign w:val="center"/>
          </w:tcPr>
          <w:p w14:paraId="3C7D6BF7" w14:textId="77777777" w:rsidR="0081662F" w:rsidRPr="00D0532A" w:rsidRDefault="0081662F" w:rsidP="00EB2357">
            <w:pPr>
              <w:spacing w:after="0"/>
              <w:jc w:val="center"/>
              <w:rPr>
                <w:rFonts w:ascii="Times New Roman" w:eastAsia="Calibri" w:hAnsi="Times New Roman" w:cs="Times New Roman"/>
              </w:rPr>
            </w:pPr>
          </w:p>
          <w:p w14:paraId="32A3C51D" w14:textId="77777777" w:rsidR="0081662F" w:rsidRPr="00D0532A" w:rsidRDefault="0081662F" w:rsidP="00EB2357">
            <w:pPr>
              <w:spacing w:after="0"/>
              <w:jc w:val="center"/>
              <w:rPr>
                <w:rFonts w:ascii="Times New Roman" w:eastAsia="Calibri" w:hAnsi="Times New Roman" w:cs="Times New Roman"/>
              </w:rPr>
            </w:pPr>
          </w:p>
          <w:p w14:paraId="4FCDAFF8" w14:textId="77777777" w:rsidR="0081662F" w:rsidRPr="00D0532A" w:rsidRDefault="0081662F" w:rsidP="00EB2357">
            <w:pPr>
              <w:spacing w:after="0"/>
              <w:jc w:val="center"/>
              <w:rPr>
                <w:rFonts w:ascii="Times New Roman" w:eastAsia="Calibri" w:hAnsi="Times New Roman" w:cs="Times New Roman"/>
              </w:rPr>
            </w:pPr>
            <w:r w:rsidRPr="00D0532A">
              <w:rPr>
                <w:rFonts w:ascii="Times New Roman" w:eastAsia="Calibri" w:hAnsi="Times New Roman" w:cs="Times New Roman"/>
              </w:rPr>
              <w:t>2845</w:t>
            </w:r>
          </w:p>
          <w:p w14:paraId="20E48D0B" w14:textId="77777777" w:rsidR="0081662F" w:rsidRPr="00D0532A" w:rsidRDefault="0081662F" w:rsidP="00EB2357">
            <w:pPr>
              <w:spacing w:after="0"/>
              <w:jc w:val="center"/>
              <w:rPr>
                <w:rFonts w:ascii="Times New Roman" w:eastAsia="Calibri" w:hAnsi="Times New Roman" w:cs="Times New Roman"/>
              </w:rPr>
            </w:pPr>
          </w:p>
          <w:p w14:paraId="7B03B190" w14:textId="77777777" w:rsidR="0081662F" w:rsidRPr="00D0532A" w:rsidRDefault="0081662F" w:rsidP="00EB2357">
            <w:pPr>
              <w:spacing w:after="0"/>
              <w:jc w:val="center"/>
              <w:rPr>
                <w:rFonts w:ascii="Times New Roman" w:eastAsia="Calibri" w:hAnsi="Times New Roman" w:cs="Times New Roman"/>
              </w:rPr>
            </w:pPr>
          </w:p>
          <w:p w14:paraId="57BFE7F5" w14:textId="77777777" w:rsidR="0081662F" w:rsidRPr="00D0532A" w:rsidRDefault="0081662F" w:rsidP="00EB2357">
            <w:pPr>
              <w:spacing w:after="0"/>
              <w:jc w:val="center"/>
              <w:rPr>
                <w:rFonts w:ascii="Times New Roman" w:eastAsia="Calibri" w:hAnsi="Times New Roman" w:cs="Times New Roman"/>
              </w:rPr>
            </w:pPr>
          </w:p>
        </w:tc>
        <w:tc>
          <w:tcPr>
            <w:tcW w:w="741" w:type="pct"/>
            <w:shd w:val="clear" w:color="auto" w:fill="auto"/>
            <w:vAlign w:val="center"/>
          </w:tcPr>
          <w:p w14:paraId="78328B93" w14:textId="77777777" w:rsidR="0081662F" w:rsidRPr="00D0532A" w:rsidRDefault="0081662F" w:rsidP="00EB2357">
            <w:pPr>
              <w:spacing w:after="0"/>
              <w:jc w:val="center"/>
              <w:rPr>
                <w:rFonts w:ascii="Times New Roman" w:eastAsia="Calibri" w:hAnsi="Times New Roman" w:cs="Times New Roman"/>
              </w:rPr>
            </w:pPr>
            <w:r w:rsidRPr="00D0532A">
              <w:rPr>
                <w:rFonts w:ascii="Times New Roman" w:eastAsia="Calibri" w:hAnsi="Times New Roman" w:cs="Times New Roman"/>
              </w:rPr>
              <w:t>3099</w:t>
            </w:r>
          </w:p>
          <w:p w14:paraId="462183FB" w14:textId="77777777" w:rsidR="0081662F" w:rsidRPr="00D0532A" w:rsidRDefault="0081662F" w:rsidP="00EB2357">
            <w:pPr>
              <w:spacing w:after="0"/>
              <w:jc w:val="center"/>
              <w:rPr>
                <w:rFonts w:ascii="Times New Roman" w:eastAsia="Calibri" w:hAnsi="Times New Roman" w:cs="Times New Roman"/>
              </w:rPr>
            </w:pPr>
          </w:p>
        </w:tc>
        <w:tc>
          <w:tcPr>
            <w:tcW w:w="741" w:type="pct"/>
            <w:shd w:val="clear" w:color="auto" w:fill="auto"/>
            <w:vAlign w:val="center"/>
          </w:tcPr>
          <w:p w14:paraId="0ED11E83" w14:textId="77777777" w:rsidR="0081662F" w:rsidRPr="00D0532A" w:rsidRDefault="0081662F" w:rsidP="00EB2357">
            <w:pPr>
              <w:spacing w:after="0"/>
              <w:jc w:val="center"/>
              <w:rPr>
                <w:rFonts w:ascii="Times New Roman" w:eastAsia="Calibri" w:hAnsi="Times New Roman" w:cs="Times New Roman"/>
              </w:rPr>
            </w:pPr>
            <w:r w:rsidRPr="00D0532A">
              <w:rPr>
                <w:rFonts w:ascii="Times New Roman" w:eastAsia="Calibri" w:hAnsi="Times New Roman" w:cs="Times New Roman"/>
              </w:rPr>
              <w:t>108%</w:t>
            </w:r>
          </w:p>
        </w:tc>
      </w:tr>
    </w:tbl>
    <w:p w14:paraId="284FFD88" w14:textId="77777777" w:rsidR="0081662F" w:rsidRPr="00D0532A" w:rsidRDefault="0081662F" w:rsidP="0081662F">
      <w:pPr>
        <w:jc w:val="both"/>
        <w:rPr>
          <w:rFonts w:ascii="Times New Roman" w:eastAsia="Calibri" w:hAnsi="Times New Roman" w:cs="Times New Roman"/>
          <w:color w:val="FF0000"/>
        </w:rPr>
      </w:pPr>
    </w:p>
    <w:p w14:paraId="1FBE1E54" w14:textId="77777777" w:rsidR="0081662F" w:rsidRPr="00D0532A" w:rsidRDefault="0081662F" w:rsidP="0081662F">
      <w:pPr>
        <w:jc w:val="both"/>
        <w:rPr>
          <w:rFonts w:ascii="Times New Roman" w:eastAsia="Calibri" w:hAnsi="Times New Roman" w:cs="Times New Roman"/>
        </w:rPr>
      </w:pPr>
      <w:r w:rsidRPr="00D0532A">
        <w:rPr>
          <w:rFonts w:ascii="Times New Roman" w:eastAsia="Calibri" w:hAnsi="Times New Roman" w:cs="Times New Roman"/>
          <w:b/>
        </w:rPr>
        <w:lastRenderedPageBreak/>
        <w:t>CILJ:</w:t>
      </w:r>
      <w:r w:rsidRPr="00D0532A">
        <w:rPr>
          <w:rFonts w:ascii="Times New Roman" w:eastAsia="Calibri" w:hAnsi="Times New Roman" w:cs="Times New Roman"/>
        </w:rPr>
        <w:t xml:space="preserve"> Promicanje kulturno-umjetničkih djelatnosti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130"/>
        <w:gridCol w:w="2017"/>
        <w:gridCol w:w="1439"/>
        <w:gridCol w:w="1170"/>
        <w:gridCol w:w="1152"/>
        <w:gridCol w:w="1152"/>
      </w:tblGrid>
      <w:tr w:rsidR="0081662F" w:rsidRPr="00D0532A" w14:paraId="53977E31" w14:textId="77777777" w:rsidTr="00EB2357">
        <w:trPr>
          <w:trHeight w:val="795"/>
        </w:trPr>
        <w:tc>
          <w:tcPr>
            <w:tcW w:w="1177" w:type="pct"/>
            <w:shd w:val="clear" w:color="auto" w:fill="BFBFBF"/>
          </w:tcPr>
          <w:p w14:paraId="5B9E40C6" w14:textId="77777777" w:rsidR="0081662F" w:rsidRPr="00D0532A" w:rsidRDefault="0081662F" w:rsidP="00EB2357">
            <w:pPr>
              <w:spacing w:before="120" w:after="120"/>
              <w:jc w:val="center"/>
              <w:rPr>
                <w:rFonts w:ascii="Times New Roman" w:eastAsia="Calibri" w:hAnsi="Times New Roman" w:cs="Times New Roman"/>
                <w:b/>
              </w:rPr>
            </w:pPr>
            <w:r w:rsidRPr="00D0532A">
              <w:rPr>
                <w:rFonts w:ascii="Times New Roman" w:eastAsia="Calibri" w:hAnsi="Times New Roman" w:cs="Times New Roman"/>
                <w:b/>
              </w:rPr>
              <w:t>Pokazatelj rezultata</w:t>
            </w:r>
          </w:p>
        </w:tc>
        <w:tc>
          <w:tcPr>
            <w:tcW w:w="1115" w:type="pct"/>
            <w:shd w:val="clear" w:color="auto" w:fill="BFBFBF"/>
          </w:tcPr>
          <w:p w14:paraId="6127D7F9" w14:textId="77777777" w:rsidR="0081662F" w:rsidRPr="00D0532A" w:rsidRDefault="0081662F" w:rsidP="00EB2357">
            <w:pPr>
              <w:spacing w:before="120" w:after="120"/>
              <w:jc w:val="center"/>
              <w:rPr>
                <w:rFonts w:ascii="Times New Roman" w:eastAsia="Calibri" w:hAnsi="Times New Roman" w:cs="Times New Roman"/>
                <w:b/>
              </w:rPr>
            </w:pPr>
            <w:r w:rsidRPr="00D0532A">
              <w:rPr>
                <w:rFonts w:ascii="Times New Roman" w:eastAsia="Calibri" w:hAnsi="Times New Roman" w:cs="Times New Roman"/>
                <w:b/>
              </w:rPr>
              <w:t>Definicija pokazatelja</w:t>
            </w:r>
          </w:p>
        </w:tc>
        <w:tc>
          <w:tcPr>
            <w:tcW w:w="796" w:type="pct"/>
            <w:shd w:val="clear" w:color="auto" w:fill="BFBFBF"/>
          </w:tcPr>
          <w:p w14:paraId="509568D0" w14:textId="77777777" w:rsidR="0081662F" w:rsidRPr="00D0532A" w:rsidRDefault="0081662F" w:rsidP="00EB2357">
            <w:pPr>
              <w:spacing w:before="120" w:after="120"/>
              <w:jc w:val="center"/>
              <w:rPr>
                <w:rFonts w:ascii="Times New Roman" w:eastAsia="Calibri" w:hAnsi="Times New Roman" w:cs="Times New Roman"/>
                <w:b/>
              </w:rPr>
            </w:pPr>
            <w:r w:rsidRPr="00D0532A">
              <w:rPr>
                <w:rFonts w:ascii="Times New Roman" w:eastAsia="Calibri" w:hAnsi="Times New Roman" w:cs="Times New Roman"/>
                <w:b/>
              </w:rPr>
              <w:t>Jedinica</w:t>
            </w:r>
          </w:p>
        </w:tc>
        <w:tc>
          <w:tcPr>
            <w:tcW w:w="637" w:type="pct"/>
            <w:shd w:val="clear" w:color="auto" w:fill="BFBFBF"/>
          </w:tcPr>
          <w:p w14:paraId="0EE2C8FC" w14:textId="77777777" w:rsidR="0081662F" w:rsidRPr="00D0532A" w:rsidRDefault="0081662F" w:rsidP="00EB2357">
            <w:pPr>
              <w:spacing w:before="120" w:after="120"/>
              <w:jc w:val="center"/>
              <w:rPr>
                <w:rFonts w:ascii="Times New Roman" w:eastAsia="Calibri" w:hAnsi="Times New Roman" w:cs="Times New Roman"/>
                <w:b/>
              </w:rPr>
            </w:pPr>
            <w:r w:rsidRPr="00D0532A">
              <w:rPr>
                <w:rFonts w:ascii="Times New Roman" w:eastAsia="Calibri" w:hAnsi="Times New Roman" w:cs="Times New Roman"/>
                <w:b/>
              </w:rPr>
              <w:t>Polazna / ciljana vrijednost</w:t>
            </w:r>
          </w:p>
          <w:p w14:paraId="2D4521B9" w14:textId="77777777" w:rsidR="0081662F" w:rsidRPr="00D0532A" w:rsidRDefault="0081662F" w:rsidP="00EB2357">
            <w:pPr>
              <w:spacing w:before="120" w:after="120"/>
              <w:jc w:val="center"/>
              <w:rPr>
                <w:rFonts w:ascii="Times New Roman" w:eastAsia="Calibri" w:hAnsi="Times New Roman" w:cs="Times New Roman"/>
                <w:b/>
              </w:rPr>
            </w:pPr>
            <w:r w:rsidRPr="00D0532A">
              <w:rPr>
                <w:rFonts w:ascii="Times New Roman" w:eastAsia="Calibri" w:hAnsi="Times New Roman" w:cs="Times New Roman"/>
                <w:b/>
              </w:rPr>
              <w:t>2024.</w:t>
            </w:r>
          </w:p>
        </w:tc>
        <w:tc>
          <w:tcPr>
            <w:tcW w:w="637" w:type="pct"/>
            <w:shd w:val="clear" w:color="auto" w:fill="BFBFBF"/>
          </w:tcPr>
          <w:p w14:paraId="502B7632" w14:textId="77777777" w:rsidR="0081662F" w:rsidRPr="00D0532A" w:rsidRDefault="0081662F" w:rsidP="00EB2357">
            <w:pPr>
              <w:spacing w:before="120" w:after="120"/>
              <w:jc w:val="center"/>
              <w:rPr>
                <w:rFonts w:ascii="Times New Roman" w:eastAsia="Calibri" w:hAnsi="Times New Roman" w:cs="Times New Roman"/>
                <w:b/>
              </w:rPr>
            </w:pPr>
            <w:r w:rsidRPr="00D0532A">
              <w:rPr>
                <w:rFonts w:ascii="Times New Roman" w:eastAsia="Calibri" w:hAnsi="Times New Roman" w:cs="Times New Roman"/>
                <w:b/>
              </w:rPr>
              <w:t xml:space="preserve">Izvršenje za </w:t>
            </w:r>
          </w:p>
          <w:p w14:paraId="2E623AA6" w14:textId="77777777" w:rsidR="0081662F" w:rsidRPr="00D0532A" w:rsidRDefault="0081662F" w:rsidP="00EB2357">
            <w:pPr>
              <w:spacing w:before="120" w:after="120"/>
              <w:jc w:val="center"/>
              <w:rPr>
                <w:rFonts w:ascii="Times New Roman" w:eastAsia="Calibri" w:hAnsi="Times New Roman" w:cs="Times New Roman"/>
                <w:b/>
              </w:rPr>
            </w:pPr>
            <w:r w:rsidRPr="00D0532A">
              <w:rPr>
                <w:rFonts w:ascii="Times New Roman" w:eastAsia="Calibri" w:hAnsi="Times New Roman" w:cs="Times New Roman"/>
                <w:b/>
              </w:rPr>
              <w:t>2024.</w:t>
            </w:r>
          </w:p>
        </w:tc>
        <w:tc>
          <w:tcPr>
            <w:tcW w:w="637" w:type="pct"/>
            <w:shd w:val="clear" w:color="auto" w:fill="BFBFBF"/>
          </w:tcPr>
          <w:p w14:paraId="0970CE05" w14:textId="77777777" w:rsidR="0081662F" w:rsidRPr="00D0532A" w:rsidRDefault="0081662F" w:rsidP="00EB2357">
            <w:pPr>
              <w:spacing w:before="120" w:after="120"/>
              <w:jc w:val="center"/>
              <w:rPr>
                <w:rFonts w:ascii="Times New Roman" w:eastAsia="Calibri" w:hAnsi="Times New Roman" w:cs="Times New Roman"/>
                <w:b/>
              </w:rPr>
            </w:pPr>
          </w:p>
          <w:p w14:paraId="479C55E1" w14:textId="77777777" w:rsidR="0081662F" w:rsidRPr="00D0532A" w:rsidRDefault="0081662F" w:rsidP="00EB2357">
            <w:pPr>
              <w:spacing w:before="120" w:after="120"/>
              <w:jc w:val="center"/>
              <w:rPr>
                <w:rFonts w:ascii="Times New Roman" w:eastAsia="Calibri" w:hAnsi="Times New Roman" w:cs="Times New Roman"/>
                <w:b/>
              </w:rPr>
            </w:pPr>
            <w:r w:rsidRPr="00D0532A">
              <w:rPr>
                <w:rFonts w:ascii="Times New Roman" w:eastAsia="Calibri" w:hAnsi="Times New Roman" w:cs="Times New Roman"/>
                <w:b/>
              </w:rPr>
              <w:t>Indeks</w:t>
            </w:r>
          </w:p>
        </w:tc>
      </w:tr>
      <w:tr w:rsidR="0081662F" w:rsidRPr="00D0532A" w14:paraId="58742744" w14:textId="77777777" w:rsidTr="00EB2357">
        <w:trPr>
          <w:trHeight w:val="520"/>
        </w:trPr>
        <w:tc>
          <w:tcPr>
            <w:tcW w:w="1177" w:type="pct"/>
            <w:shd w:val="clear" w:color="auto" w:fill="auto"/>
          </w:tcPr>
          <w:p w14:paraId="75D0F564" w14:textId="77777777" w:rsidR="0081662F" w:rsidRPr="00D0532A" w:rsidRDefault="0081662F" w:rsidP="00EB2357">
            <w:pPr>
              <w:spacing w:after="120"/>
              <w:jc w:val="center"/>
              <w:rPr>
                <w:rFonts w:ascii="Times New Roman" w:eastAsia="Calibri" w:hAnsi="Times New Roman" w:cs="Times New Roman"/>
              </w:rPr>
            </w:pPr>
            <w:r w:rsidRPr="00D0532A">
              <w:rPr>
                <w:rFonts w:ascii="Times New Roman" w:eastAsia="Calibri" w:hAnsi="Times New Roman" w:cs="Times New Roman"/>
              </w:rPr>
              <w:t xml:space="preserve">Broj edukativnih kulturno-umjetničkih radionica </w:t>
            </w:r>
          </w:p>
        </w:tc>
        <w:tc>
          <w:tcPr>
            <w:tcW w:w="1115" w:type="pct"/>
            <w:shd w:val="clear" w:color="auto" w:fill="auto"/>
          </w:tcPr>
          <w:p w14:paraId="6C62E421" w14:textId="77777777" w:rsidR="0081662F" w:rsidRPr="00D0532A" w:rsidRDefault="0081662F" w:rsidP="00EB2357">
            <w:pPr>
              <w:spacing w:after="120"/>
              <w:jc w:val="center"/>
              <w:rPr>
                <w:rFonts w:ascii="Times New Roman" w:eastAsia="Calibri" w:hAnsi="Times New Roman" w:cs="Times New Roman"/>
              </w:rPr>
            </w:pPr>
            <w:r w:rsidRPr="00D0532A">
              <w:rPr>
                <w:rFonts w:ascii="Times New Roman" w:eastAsia="Calibri" w:hAnsi="Times New Roman" w:cs="Times New Roman"/>
              </w:rPr>
              <w:t>Organizirane i realizirane kulturno-umjetničke radionice potiču na aktivno sudjelovanje u kulturnoj sferi područja</w:t>
            </w:r>
          </w:p>
        </w:tc>
        <w:tc>
          <w:tcPr>
            <w:tcW w:w="796" w:type="pct"/>
            <w:shd w:val="clear" w:color="auto" w:fill="auto"/>
          </w:tcPr>
          <w:p w14:paraId="28D6A7EC" w14:textId="77777777" w:rsidR="0081662F" w:rsidRPr="00D0532A" w:rsidRDefault="0081662F" w:rsidP="00EB2357">
            <w:pPr>
              <w:spacing w:after="120"/>
              <w:jc w:val="center"/>
              <w:rPr>
                <w:rFonts w:ascii="Times New Roman" w:eastAsia="Calibri" w:hAnsi="Times New Roman" w:cs="Times New Roman"/>
              </w:rPr>
            </w:pPr>
            <w:r w:rsidRPr="00D0532A">
              <w:rPr>
                <w:rFonts w:ascii="Times New Roman" w:eastAsia="Calibri" w:hAnsi="Times New Roman" w:cs="Times New Roman"/>
              </w:rPr>
              <w:t>Broj edukativnih kulturno-umjetničkih radionica</w:t>
            </w:r>
          </w:p>
          <w:p w14:paraId="4DF4CBCB" w14:textId="77777777" w:rsidR="0081662F" w:rsidRPr="00D0532A" w:rsidRDefault="0081662F" w:rsidP="00EB2357">
            <w:pPr>
              <w:spacing w:after="120"/>
              <w:jc w:val="center"/>
              <w:rPr>
                <w:rFonts w:ascii="Times New Roman" w:eastAsia="Calibri" w:hAnsi="Times New Roman" w:cs="Times New Roman"/>
              </w:rPr>
            </w:pPr>
          </w:p>
        </w:tc>
        <w:tc>
          <w:tcPr>
            <w:tcW w:w="637" w:type="pct"/>
            <w:shd w:val="clear" w:color="auto" w:fill="auto"/>
          </w:tcPr>
          <w:p w14:paraId="433B1A64" w14:textId="77777777" w:rsidR="0081662F" w:rsidRPr="00D0532A" w:rsidRDefault="0081662F" w:rsidP="00EB2357">
            <w:pPr>
              <w:spacing w:after="120"/>
              <w:jc w:val="center"/>
              <w:rPr>
                <w:rFonts w:ascii="Times New Roman" w:eastAsia="Calibri" w:hAnsi="Times New Roman" w:cs="Times New Roman"/>
              </w:rPr>
            </w:pPr>
          </w:p>
          <w:p w14:paraId="4D703A88" w14:textId="77777777" w:rsidR="0081662F" w:rsidRPr="00D0532A" w:rsidRDefault="0081662F" w:rsidP="00EB2357">
            <w:pPr>
              <w:spacing w:after="120"/>
              <w:jc w:val="center"/>
              <w:rPr>
                <w:rFonts w:ascii="Times New Roman" w:eastAsia="Calibri" w:hAnsi="Times New Roman" w:cs="Times New Roman"/>
              </w:rPr>
            </w:pPr>
          </w:p>
          <w:p w14:paraId="658242D4" w14:textId="77777777" w:rsidR="0081662F" w:rsidRPr="00D0532A" w:rsidRDefault="0081662F" w:rsidP="00EB2357">
            <w:pPr>
              <w:spacing w:after="120"/>
              <w:jc w:val="center"/>
              <w:rPr>
                <w:rFonts w:ascii="Times New Roman" w:eastAsia="Calibri" w:hAnsi="Times New Roman" w:cs="Times New Roman"/>
              </w:rPr>
            </w:pPr>
            <w:r w:rsidRPr="00D0532A">
              <w:rPr>
                <w:rFonts w:ascii="Times New Roman" w:eastAsia="Calibri" w:hAnsi="Times New Roman" w:cs="Times New Roman"/>
              </w:rPr>
              <w:t>2</w:t>
            </w:r>
          </w:p>
        </w:tc>
        <w:tc>
          <w:tcPr>
            <w:tcW w:w="637" w:type="pct"/>
            <w:shd w:val="clear" w:color="auto" w:fill="auto"/>
          </w:tcPr>
          <w:p w14:paraId="514AAD89" w14:textId="77777777" w:rsidR="0081662F" w:rsidRPr="00D0532A" w:rsidRDefault="0081662F" w:rsidP="00EB2357">
            <w:pPr>
              <w:spacing w:after="120"/>
              <w:jc w:val="center"/>
              <w:rPr>
                <w:rFonts w:ascii="Times New Roman" w:eastAsia="Calibri" w:hAnsi="Times New Roman" w:cs="Times New Roman"/>
              </w:rPr>
            </w:pPr>
          </w:p>
          <w:p w14:paraId="38F0378A" w14:textId="77777777" w:rsidR="0081662F" w:rsidRPr="00D0532A" w:rsidRDefault="0081662F" w:rsidP="00EB2357">
            <w:pPr>
              <w:spacing w:after="120"/>
              <w:jc w:val="center"/>
              <w:rPr>
                <w:rFonts w:ascii="Times New Roman" w:eastAsia="Calibri" w:hAnsi="Times New Roman" w:cs="Times New Roman"/>
              </w:rPr>
            </w:pPr>
          </w:p>
          <w:p w14:paraId="728F69A5" w14:textId="77777777" w:rsidR="0081662F" w:rsidRPr="00D0532A" w:rsidRDefault="0081662F" w:rsidP="00EB2357">
            <w:pPr>
              <w:spacing w:after="120"/>
              <w:jc w:val="center"/>
              <w:rPr>
                <w:rFonts w:ascii="Times New Roman" w:eastAsia="Calibri" w:hAnsi="Times New Roman" w:cs="Times New Roman"/>
              </w:rPr>
            </w:pPr>
            <w:r w:rsidRPr="00D0532A">
              <w:rPr>
                <w:rFonts w:ascii="Times New Roman" w:eastAsia="Calibri" w:hAnsi="Times New Roman" w:cs="Times New Roman"/>
              </w:rPr>
              <w:t>2</w:t>
            </w:r>
          </w:p>
        </w:tc>
        <w:tc>
          <w:tcPr>
            <w:tcW w:w="637" w:type="pct"/>
            <w:shd w:val="clear" w:color="auto" w:fill="auto"/>
          </w:tcPr>
          <w:p w14:paraId="02D4C7D8" w14:textId="77777777" w:rsidR="0081662F" w:rsidRPr="00D0532A" w:rsidRDefault="0081662F" w:rsidP="00EB2357">
            <w:pPr>
              <w:spacing w:after="120"/>
              <w:jc w:val="center"/>
              <w:rPr>
                <w:rFonts w:ascii="Times New Roman" w:eastAsia="Calibri" w:hAnsi="Times New Roman" w:cs="Times New Roman"/>
              </w:rPr>
            </w:pPr>
          </w:p>
          <w:p w14:paraId="38036856" w14:textId="77777777" w:rsidR="0081662F" w:rsidRPr="00D0532A" w:rsidRDefault="0081662F" w:rsidP="00EB2357">
            <w:pPr>
              <w:spacing w:after="120"/>
              <w:jc w:val="center"/>
              <w:rPr>
                <w:rFonts w:ascii="Times New Roman" w:eastAsia="Calibri" w:hAnsi="Times New Roman" w:cs="Times New Roman"/>
              </w:rPr>
            </w:pPr>
          </w:p>
          <w:p w14:paraId="75C66DEE" w14:textId="77777777" w:rsidR="0081662F" w:rsidRPr="00D0532A" w:rsidRDefault="0081662F" w:rsidP="00EB2357">
            <w:pPr>
              <w:spacing w:after="120"/>
              <w:jc w:val="center"/>
              <w:rPr>
                <w:rFonts w:ascii="Times New Roman" w:eastAsia="Calibri" w:hAnsi="Times New Roman" w:cs="Times New Roman"/>
              </w:rPr>
            </w:pPr>
            <w:r w:rsidRPr="00D0532A">
              <w:rPr>
                <w:rFonts w:ascii="Times New Roman" w:eastAsia="Calibri" w:hAnsi="Times New Roman" w:cs="Times New Roman"/>
              </w:rPr>
              <w:t>100%</w:t>
            </w:r>
          </w:p>
        </w:tc>
      </w:tr>
      <w:tr w:rsidR="0081662F" w:rsidRPr="00D0532A" w14:paraId="085E5168" w14:textId="77777777" w:rsidTr="00EB2357">
        <w:trPr>
          <w:trHeight w:val="520"/>
        </w:trPr>
        <w:tc>
          <w:tcPr>
            <w:tcW w:w="1177" w:type="pct"/>
            <w:shd w:val="clear" w:color="auto" w:fill="auto"/>
          </w:tcPr>
          <w:p w14:paraId="7B133371" w14:textId="77777777" w:rsidR="0081662F" w:rsidRPr="00D0532A" w:rsidRDefault="0081662F" w:rsidP="00EB2357">
            <w:pPr>
              <w:spacing w:after="120"/>
              <w:jc w:val="center"/>
              <w:rPr>
                <w:rFonts w:ascii="Times New Roman" w:eastAsia="Calibri" w:hAnsi="Times New Roman" w:cs="Times New Roman"/>
              </w:rPr>
            </w:pPr>
            <w:r w:rsidRPr="00D0532A">
              <w:rPr>
                <w:rFonts w:ascii="Times New Roman" w:eastAsia="Calibri" w:hAnsi="Times New Roman" w:cs="Times New Roman"/>
              </w:rPr>
              <w:t xml:space="preserve">Broj sudionika na edukativnim kulturno-umjetničkim radionicama </w:t>
            </w:r>
          </w:p>
          <w:p w14:paraId="2AA96ACA" w14:textId="77777777" w:rsidR="0081662F" w:rsidRPr="00D0532A" w:rsidRDefault="0081662F" w:rsidP="00EB2357">
            <w:pPr>
              <w:spacing w:after="120"/>
              <w:jc w:val="center"/>
              <w:rPr>
                <w:rFonts w:ascii="Times New Roman" w:eastAsia="Calibri" w:hAnsi="Times New Roman" w:cs="Times New Roman"/>
              </w:rPr>
            </w:pPr>
          </w:p>
        </w:tc>
        <w:tc>
          <w:tcPr>
            <w:tcW w:w="1115" w:type="pct"/>
            <w:shd w:val="clear" w:color="auto" w:fill="auto"/>
          </w:tcPr>
          <w:p w14:paraId="4072A139" w14:textId="77777777" w:rsidR="0081662F" w:rsidRPr="00D0532A" w:rsidRDefault="0081662F" w:rsidP="00EB2357">
            <w:pPr>
              <w:spacing w:after="120"/>
              <w:jc w:val="center"/>
              <w:rPr>
                <w:rFonts w:ascii="Times New Roman" w:eastAsia="Calibri" w:hAnsi="Times New Roman" w:cs="Times New Roman"/>
              </w:rPr>
            </w:pPr>
            <w:r w:rsidRPr="00D0532A">
              <w:rPr>
                <w:rFonts w:ascii="Times New Roman" w:eastAsia="Calibri" w:hAnsi="Times New Roman" w:cs="Times New Roman"/>
              </w:rPr>
              <w:t>Broj sudionika/polaznika na edukativnim kulturno-umjetničkim radionicama</w:t>
            </w:r>
          </w:p>
        </w:tc>
        <w:tc>
          <w:tcPr>
            <w:tcW w:w="796" w:type="pct"/>
            <w:shd w:val="clear" w:color="auto" w:fill="auto"/>
          </w:tcPr>
          <w:p w14:paraId="089FD962" w14:textId="77777777" w:rsidR="0081662F" w:rsidRPr="00D0532A" w:rsidRDefault="0081662F" w:rsidP="00EB2357">
            <w:pPr>
              <w:spacing w:after="120"/>
              <w:jc w:val="center"/>
              <w:rPr>
                <w:rFonts w:ascii="Times New Roman" w:eastAsia="Calibri" w:hAnsi="Times New Roman" w:cs="Times New Roman"/>
              </w:rPr>
            </w:pPr>
            <w:r w:rsidRPr="00D0532A">
              <w:rPr>
                <w:rFonts w:ascii="Times New Roman" w:eastAsia="Calibri" w:hAnsi="Times New Roman" w:cs="Times New Roman"/>
              </w:rPr>
              <w:t>Broj polaznika na edukativnim kulturno-umjetničkim radionicama</w:t>
            </w:r>
          </w:p>
        </w:tc>
        <w:tc>
          <w:tcPr>
            <w:tcW w:w="637" w:type="pct"/>
            <w:shd w:val="clear" w:color="auto" w:fill="auto"/>
          </w:tcPr>
          <w:p w14:paraId="776337A0" w14:textId="77777777" w:rsidR="0081662F" w:rsidRPr="00D0532A" w:rsidRDefault="0081662F" w:rsidP="00EB2357">
            <w:pPr>
              <w:spacing w:after="120"/>
              <w:jc w:val="center"/>
              <w:rPr>
                <w:rFonts w:ascii="Times New Roman" w:eastAsia="Calibri" w:hAnsi="Times New Roman" w:cs="Times New Roman"/>
              </w:rPr>
            </w:pPr>
          </w:p>
          <w:p w14:paraId="3459E9B7" w14:textId="77777777" w:rsidR="0081662F" w:rsidRPr="00D0532A" w:rsidRDefault="0081662F" w:rsidP="00EB2357">
            <w:pPr>
              <w:spacing w:after="120"/>
              <w:jc w:val="center"/>
              <w:rPr>
                <w:rFonts w:ascii="Times New Roman" w:eastAsia="Calibri" w:hAnsi="Times New Roman" w:cs="Times New Roman"/>
              </w:rPr>
            </w:pPr>
          </w:p>
          <w:p w14:paraId="7867DD3B" w14:textId="77777777" w:rsidR="0081662F" w:rsidRPr="00D0532A" w:rsidRDefault="0081662F" w:rsidP="00EB2357">
            <w:pPr>
              <w:spacing w:after="120"/>
              <w:jc w:val="center"/>
              <w:rPr>
                <w:rFonts w:ascii="Times New Roman" w:eastAsia="Calibri" w:hAnsi="Times New Roman" w:cs="Times New Roman"/>
              </w:rPr>
            </w:pPr>
            <w:r w:rsidRPr="00D0532A">
              <w:rPr>
                <w:rFonts w:ascii="Times New Roman" w:eastAsia="Calibri" w:hAnsi="Times New Roman" w:cs="Times New Roman"/>
              </w:rPr>
              <w:t>50</w:t>
            </w:r>
          </w:p>
        </w:tc>
        <w:tc>
          <w:tcPr>
            <w:tcW w:w="637" w:type="pct"/>
            <w:shd w:val="clear" w:color="auto" w:fill="auto"/>
          </w:tcPr>
          <w:p w14:paraId="439F12C6" w14:textId="77777777" w:rsidR="0081662F" w:rsidRPr="00D0532A" w:rsidRDefault="0081662F" w:rsidP="00EB2357">
            <w:pPr>
              <w:spacing w:after="120"/>
              <w:jc w:val="center"/>
              <w:rPr>
                <w:rFonts w:ascii="Times New Roman" w:eastAsia="Calibri" w:hAnsi="Times New Roman" w:cs="Times New Roman"/>
              </w:rPr>
            </w:pPr>
          </w:p>
          <w:p w14:paraId="48A016F6" w14:textId="77777777" w:rsidR="0081662F" w:rsidRPr="00D0532A" w:rsidRDefault="0081662F" w:rsidP="00EB2357">
            <w:pPr>
              <w:spacing w:after="120"/>
              <w:jc w:val="center"/>
              <w:rPr>
                <w:rFonts w:ascii="Times New Roman" w:eastAsia="Calibri" w:hAnsi="Times New Roman" w:cs="Times New Roman"/>
              </w:rPr>
            </w:pPr>
          </w:p>
          <w:p w14:paraId="409DBDD3" w14:textId="77777777" w:rsidR="0081662F" w:rsidRPr="00D0532A" w:rsidRDefault="0081662F" w:rsidP="00EB2357">
            <w:pPr>
              <w:spacing w:after="120"/>
              <w:jc w:val="center"/>
              <w:rPr>
                <w:rFonts w:ascii="Times New Roman" w:eastAsia="Calibri" w:hAnsi="Times New Roman" w:cs="Times New Roman"/>
              </w:rPr>
            </w:pPr>
            <w:r w:rsidRPr="00D0532A">
              <w:rPr>
                <w:rFonts w:ascii="Times New Roman" w:eastAsia="Calibri" w:hAnsi="Times New Roman" w:cs="Times New Roman"/>
              </w:rPr>
              <w:t>132</w:t>
            </w:r>
          </w:p>
        </w:tc>
        <w:tc>
          <w:tcPr>
            <w:tcW w:w="637" w:type="pct"/>
            <w:shd w:val="clear" w:color="auto" w:fill="auto"/>
          </w:tcPr>
          <w:p w14:paraId="7E88150D" w14:textId="77777777" w:rsidR="0081662F" w:rsidRPr="00D0532A" w:rsidRDefault="0081662F" w:rsidP="00EB2357">
            <w:pPr>
              <w:spacing w:after="120"/>
              <w:jc w:val="center"/>
              <w:rPr>
                <w:rFonts w:ascii="Times New Roman" w:eastAsia="Calibri" w:hAnsi="Times New Roman" w:cs="Times New Roman"/>
              </w:rPr>
            </w:pPr>
          </w:p>
          <w:p w14:paraId="459C85EA" w14:textId="77777777" w:rsidR="0081662F" w:rsidRPr="00D0532A" w:rsidRDefault="0081662F" w:rsidP="00EB2357">
            <w:pPr>
              <w:spacing w:after="120"/>
              <w:jc w:val="center"/>
              <w:rPr>
                <w:rFonts w:ascii="Times New Roman" w:eastAsia="Calibri" w:hAnsi="Times New Roman" w:cs="Times New Roman"/>
              </w:rPr>
            </w:pPr>
          </w:p>
          <w:p w14:paraId="20CA34F5" w14:textId="77777777" w:rsidR="0081662F" w:rsidRPr="00D0532A" w:rsidRDefault="0081662F" w:rsidP="00EB2357">
            <w:pPr>
              <w:spacing w:after="120"/>
              <w:jc w:val="center"/>
              <w:rPr>
                <w:rFonts w:ascii="Times New Roman" w:eastAsia="Calibri" w:hAnsi="Times New Roman" w:cs="Times New Roman"/>
              </w:rPr>
            </w:pPr>
            <w:r w:rsidRPr="00D0532A">
              <w:rPr>
                <w:rFonts w:ascii="Times New Roman" w:eastAsia="Calibri" w:hAnsi="Times New Roman" w:cs="Times New Roman"/>
              </w:rPr>
              <w:t>264%</w:t>
            </w:r>
          </w:p>
        </w:tc>
      </w:tr>
    </w:tbl>
    <w:p w14:paraId="2565B150" w14:textId="77777777" w:rsidR="0081662F" w:rsidRPr="00D0532A" w:rsidRDefault="0081662F" w:rsidP="0081662F">
      <w:pPr>
        <w:tabs>
          <w:tab w:val="left" w:pos="284"/>
        </w:tabs>
        <w:spacing w:after="0" w:line="240" w:lineRule="auto"/>
        <w:jc w:val="both"/>
        <w:rPr>
          <w:rFonts w:ascii="Times New Roman" w:hAnsi="Times New Roman" w:cs="Times New Roman"/>
          <w:bCs/>
          <w:lang w:eastAsia="hr-HR"/>
        </w:rPr>
      </w:pPr>
    </w:p>
    <w:p w14:paraId="49501C2F" w14:textId="77777777" w:rsidR="0081662F" w:rsidRPr="00D0532A" w:rsidRDefault="0081662F" w:rsidP="0081662F">
      <w:pPr>
        <w:tabs>
          <w:tab w:val="left" w:pos="284"/>
        </w:tabs>
        <w:spacing w:after="0" w:line="240" w:lineRule="auto"/>
        <w:jc w:val="both"/>
        <w:rPr>
          <w:rFonts w:ascii="Times New Roman" w:hAnsi="Times New Roman" w:cs="Times New Roman"/>
          <w:bCs/>
          <w:lang w:eastAsia="hr-HR"/>
        </w:rPr>
      </w:pPr>
    </w:p>
    <w:p w14:paraId="215613EA" w14:textId="77777777" w:rsidR="0081662F" w:rsidRPr="00D0532A" w:rsidRDefault="0081662F" w:rsidP="0081662F">
      <w:pPr>
        <w:spacing w:after="0" w:line="240" w:lineRule="auto"/>
        <w:ind w:firstLine="567"/>
        <w:jc w:val="both"/>
        <w:rPr>
          <w:rFonts w:ascii="Times New Roman" w:hAnsi="Times New Roman" w:cs="Times New Roman"/>
          <w:b/>
          <w:bCs/>
          <w:i/>
          <w:lang w:eastAsia="hr-HR"/>
        </w:rPr>
      </w:pPr>
      <w:r w:rsidRPr="00D0532A">
        <w:rPr>
          <w:rFonts w:ascii="Times New Roman" w:hAnsi="Times New Roman" w:cs="Times New Roman"/>
          <w:b/>
          <w:bCs/>
          <w:i/>
          <w:lang w:eastAsia="hr-HR"/>
        </w:rPr>
        <w:t>GLAVA 00206  OSNOVNO ŠKOLSTVO</w:t>
      </w:r>
    </w:p>
    <w:p w14:paraId="7E46AD81" w14:textId="77777777" w:rsidR="0081662F" w:rsidRPr="00D0532A" w:rsidRDefault="0081662F" w:rsidP="0081662F">
      <w:pPr>
        <w:spacing w:after="0" w:line="240" w:lineRule="auto"/>
        <w:ind w:firstLine="567"/>
        <w:jc w:val="both"/>
        <w:rPr>
          <w:rFonts w:ascii="Times New Roman" w:hAnsi="Times New Roman" w:cs="Times New Roman"/>
          <w:b/>
          <w:bCs/>
          <w:i/>
          <w:lang w:eastAsia="hr-HR"/>
        </w:rPr>
      </w:pPr>
    </w:p>
    <w:p w14:paraId="787B2239" w14:textId="77777777" w:rsidR="0081662F" w:rsidRPr="00D0532A" w:rsidRDefault="0081662F" w:rsidP="0081662F">
      <w:pPr>
        <w:spacing w:after="0" w:line="240" w:lineRule="auto"/>
        <w:jc w:val="both"/>
        <w:rPr>
          <w:rFonts w:ascii="Times New Roman" w:eastAsia="Calibri" w:hAnsi="Times New Roman" w:cs="Times New Roman"/>
          <w:bCs/>
        </w:rPr>
      </w:pPr>
      <w:r w:rsidRPr="00D0532A">
        <w:rPr>
          <w:rFonts w:ascii="Times New Roman" w:eastAsia="Calibri" w:hAnsi="Times New Roman" w:cs="Times New Roman"/>
          <w:bCs/>
        </w:rPr>
        <w:t xml:space="preserve">Sukladno Odluci Bjelovarsko- bilogorske županije i Ugovoru o prijenosu osnivačkih prava nad Osnovnom školom Garešnica i Osnovnom školom </w:t>
      </w:r>
      <w:proofErr w:type="spellStart"/>
      <w:r w:rsidRPr="00D0532A">
        <w:rPr>
          <w:rFonts w:ascii="Times New Roman" w:eastAsia="Calibri" w:hAnsi="Times New Roman" w:cs="Times New Roman"/>
          <w:bCs/>
        </w:rPr>
        <w:t>Trnovitički</w:t>
      </w:r>
      <w:proofErr w:type="spellEnd"/>
      <w:r w:rsidRPr="00D0532A">
        <w:rPr>
          <w:rFonts w:ascii="Times New Roman" w:eastAsia="Calibri" w:hAnsi="Times New Roman" w:cs="Times New Roman"/>
          <w:bCs/>
        </w:rPr>
        <w:t xml:space="preserve"> Popovac sa 1. siječnjem 2023. godine iste škole postaju proračunski korisnici Grada Garešnice i njihovi financijski planovi postaju sastavni dio proračuna Grada Garešnice.</w:t>
      </w:r>
    </w:p>
    <w:p w14:paraId="26DCE85C" w14:textId="77777777" w:rsidR="0081662F" w:rsidRPr="00D0532A" w:rsidRDefault="0081662F" w:rsidP="0081662F">
      <w:pPr>
        <w:spacing w:after="0" w:line="240" w:lineRule="auto"/>
        <w:jc w:val="both"/>
        <w:rPr>
          <w:rFonts w:ascii="Times New Roman" w:hAnsi="Times New Roman" w:cs="Times New Roman"/>
          <w:b/>
          <w:bCs/>
          <w:i/>
          <w:color w:val="FF0000"/>
          <w:lang w:eastAsia="hr-HR"/>
        </w:rPr>
      </w:pPr>
    </w:p>
    <w:p w14:paraId="03CACA72" w14:textId="77777777" w:rsidR="0081662F" w:rsidRPr="00D0532A" w:rsidRDefault="0081662F" w:rsidP="0081662F">
      <w:pPr>
        <w:spacing w:after="0" w:line="240" w:lineRule="auto"/>
        <w:ind w:firstLine="567"/>
        <w:jc w:val="both"/>
        <w:rPr>
          <w:rFonts w:ascii="Times New Roman" w:hAnsi="Times New Roman" w:cs="Times New Roman"/>
          <w:b/>
          <w:bCs/>
          <w:i/>
          <w:lang w:eastAsia="hr-HR"/>
        </w:rPr>
      </w:pPr>
      <w:r w:rsidRPr="00D0532A">
        <w:rPr>
          <w:rFonts w:ascii="Times New Roman" w:hAnsi="Times New Roman" w:cs="Times New Roman"/>
          <w:b/>
          <w:bCs/>
          <w:i/>
          <w:lang w:eastAsia="hr-HR"/>
        </w:rPr>
        <w:t>Proračunski korisnik 0020608424 Osnovna škola Garešnica</w:t>
      </w:r>
    </w:p>
    <w:p w14:paraId="15C533A9" w14:textId="77777777" w:rsidR="0081662F" w:rsidRPr="00D0532A" w:rsidRDefault="0081662F" w:rsidP="0081662F">
      <w:pPr>
        <w:spacing w:after="0" w:line="240" w:lineRule="auto"/>
        <w:jc w:val="both"/>
        <w:rPr>
          <w:rFonts w:ascii="Times New Roman" w:hAnsi="Times New Roman" w:cs="Times New Roman"/>
          <w:b/>
          <w:bCs/>
          <w:i/>
          <w:color w:val="FF0000"/>
          <w:lang w:eastAsia="hr-HR"/>
        </w:rPr>
      </w:pPr>
    </w:p>
    <w:p w14:paraId="495B8F5E" w14:textId="77777777" w:rsidR="0081662F" w:rsidRPr="00D0532A" w:rsidRDefault="0081662F" w:rsidP="0081662F">
      <w:pPr>
        <w:spacing w:after="0" w:line="240" w:lineRule="auto"/>
        <w:jc w:val="both"/>
        <w:rPr>
          <w:rFonts w:ascii="Times New Roman" w:hAnsi="Times New Roman" w:cs="Times New Roman"/>
        </w:rPr>
      </w:pPr>
      <w:r w:rsidRPr="00D0532A">
        <w:rPr>
          <w:rFonts w:ascii="Times New Roman" w:hAnsi="Times New Roman" w:cs="Times New Roman"/>
        </w:rPr>
        <w:t>Svi rashodi i izdaci detaljno su vidljivi u posebnom dijelu izvještaja o izvršenju po programskoj i ekonomskoj klasifikaciji te izvorima financiranja gdje se oni prikazuju po programima i aktivnostima.</w:t>
      </w:r>
    </w:p>
    <w:p w14:paraId="5897F319" w14:textId="77777777" w:rsidR="0081662F" w:rsidRPr="00D0532A" w:rsidRDefault="0081662F" w:rsidP="0081662F">
      <w:pPr>
        <w:spacing w:after="0" w:line="240" w:lineRule="auto"/>
        <w:jc w:val="both"/>
        <w:rPr>
          <w:rFonts w:ascii="Times New Roman" w:hAnsi="Times New Roman" w:cs="Times New Roman"/>
        </w:rPr>
      </w:pPr>
    </w:p>
    <w:p w14:paraId="5855D9C7" w14:textId="77777777" w:rsidR="0081662F" w:rsidRPr="00361B01" w:rsidRDefault="0081662F" w:rsidP="0081662F">
      <w:pPr>
        <w:spacing w:after="0" w:line="240" w:lineRule="auto"/>
        <w:jc w:val="both"/>
        <w:rPr>
          <w:rFonts w:ascii="Times New Roman" w:hAnsi="Times New Roman" w:cs="Times New Roman"/>
          <w:bCs/>
        </w:rPr>
      </w:pPr>
      <w:r w:rsidRPr="00361B01">
        <w:rPr>
          <w:rFonts w:ascii="Times New Roman" w:hAnsi="Times New Roman" w:cs="Times New Roman"/>
          <w:bCs/>
        </w:rPr>
        <w:t xml:space="preserve">Program 1020 Obrazovanje podijeljen je na: </w:t>
      </w:r>
    </w:p>
    <w:p w14:paraId="70907D02" w14:textId="77777777" w:rsidR="0081662F" w:rsidRPr="00361B01" w:rsidRDefault="0081662F" w:rsidP="003734CB">
      <w:pPr>
        <w:pStyle w:val="Odlomakpopisa"/>
        <w:numPr>
          <w:ilvl w:val="0"/>
          <w:numId w:val="13"/>
        </w:numPr>
        <w:ind w:left="567"/>
        <w:jc w:val="both"/>
        <w:rPr>
          <w:bCs/>
          <w:sz w:val="22"/>
          <w:szCs w:val="22"/>
        </w:rPr>
      </w:pPr>
      <w:r w:rsidRPr="00361B01">
        <w:rPr>
          <w:bCs/>
          <w:sz w:val="22"/>
          <w:szCs w:val="22"/>
        </w:rPr>
        <w:t>Aktivnost  A102007 Redovna djelatnost OŠ – decentralizirane funkcije,</w:t>
      </w:r>
    </w:p>
    <w:p w14:paraId="7218AE22" w14:textId="77777777" w:rsidR="0081662F" w:rsidRPr="00361B01" w:rsidRDefault="0081662F" w:rsidP="003734CB">
      <w:pPr>
        <w:pStyle w:val="Odlomakpopisa"/>
        <w:numPr>
          <w:ilvl w:val="0"/>
          <w:numId w:val="13"/>
        </w:numPr>
        <w:ind w:left="567"/>
        <w:jc w:val="both"/>
        <w:rPr>
          <w:bCs/>
          <w:sz w:val="22"/>
          <w:szCs w:val="22"/>
        </w:rPr>
      </w:pPr>
      <w:r w:rsidRPr="00361B01">
        <w:rPr>
          <w:bCs/>
          <w:sz w:val="22"/>
          <w:szCs w:val="22"/>
        </w:rPr>
        <w:t xml:space="preserve">Aktivnost  A102008 Redovna djelatnost OŠ – izvan </w:t>
      </w:r>
      <w:proofErr w:type="spellStart"/>
      <w:r w:rsidRPr="00361B01">
        <w:rPr>
          <w:bCs/>
          <w:sz w:val="22"/>
          <w:szCs w:val="22"/>
        </w:rPr>
        <w:t>dec</w:t>
      </w:r>
      <w:proofErr w:type="spellEnd"/>
      <w:r w:rsidRPr="00361B01">
        <w:rPr>
          <w:bCs/>
          <w:sz w:val="22"/>
          <w:szCs w:val="22"/>
        </w:rPr>
        <w:t xml:space="preserve">. sredstava,  </w:t>
      </w:r>
    </w:p>
    <w:p w14:paraId="37DD4AA9" w14:textId="77777777" w:rsidR="0081662F" w:rsidRPr="00361B01" w:rsidRDefault="0081662F" w:rsidP="003734CB">
      <w:pPr>
        <w:pStyle w:val="Odlomakpopisa"/>
        <w:numPr>
          <w:ilvl w:val="0"/>
          <w:numId w:val="13"/>
        </w:numPr>
        <w:ind w:left="567"/>
        <w:jc w:val="both"/>
        <w:rPr>
          <w:bCs/>
          <w:sz w:val="22"/>
          <w:szCs w:val="22"/>
        </w:rPr>
      </w:pPr>
      <w:r w:rsidRPr="00361B01">
        <w:rPr>
          <w:bCs/>
          <w:sz w:val="22"/>
          <w:szCs w:val="22"/>
        </w:rPr>
        <w:t xml:space="preserve">Aktivnost A102009 Prehrana za učenike osnovnih škola osigurana iz sredstava Državnog proračuna, </w:t>
      </w:r>
    </w:p>
    <w:p w14:paraId="3F85F60F" w14:textId="77777777" w:rsidR="0081662F" w:rsidRPr="00361B01" w:rsidRDefault="0081662F" w:rsidP="003734CB">
      <w:pPr>
        <w:pStyle w:val="Odlomakpopisa"/>
        <w:numPr>
          <w:ilvl w:val="0"/>
          <w:numId w:val="13"/>
        </w:numPr>
        <w:ind w:left="567"/>
        <w:jc w:val="both"/>
        <w:rPr>
          <w:bCs/>
          <w:sz w:val="22"/>
          <w:szCs w:val="22"/>
        </w:rPr>
      </w:pPr>
      <w:r w:rsidRPr="00361B01">
        <w:rPr>
          <w:bCs/>
          <w:sz w:val="22"/>
          <w:szCs w:val="22"/>
        </w:rPr>
        <w:t xml:space="preserve">Kapitalni projekt  K102004 Opremanje OŠ (nabava knjiga i opreme) – decentralizirana sredstva, </w:t>
      </w:r>
    </w:p>
    <w:p w14:paraId="113D6DED" w14:textId="77777777" w:rsidR="0081662F" w:rsidRPr="00361B01" w:rsidRDefault="0081662F" w:rsidP="003734CB">
      <w:pPr>
        <w:pStyle w:val="Odlomakpopisa"/>
        <w:numPr>
          <w:ilvl w:val="0"/>
          <w:numId w:val="13"/>
        </w:numPr>
        <w:ind w:left="567"/>
        <w:jc w:val="both"/>
        <w:rPr>
          <w:bCs/>
          <w:sz w:val="22"/>
          <w:szCs w:val="22"/>
        </w:rPr>
      </w:pPr>
      <w:r w:rsidRPr="00361B01">
        <w:rPr>
          <w:bCs/>
          <w:sz w:val="22"/>
          <w:szCs w:val="22"/>
        </w:rPr>
        <w:t xml:space="preserve">Kapitalni projekt  K102005 Opremanje OŠ (nabava knjiga i opreme) - izvan </w:t>
      </w:r>
      <w:proofErr w:type="spellStart"/>
      <w:r w:rsidRPr="00361B01">
        <w:rPr>
          <w:bCs/>
          <w:sz w:val="22"/>
          <w:szCs w:val="22"/>
        </w:rPr>
        <w:t>dec</w:t>
      </w:r>
      <w:proofErr w:type="spellEnd"/>
      <w:r w:rsidRPr="00361B01">
        <w:rPr>
          <w:bCs/>
          <w:sz w:val="22"/>
          <w:szCs w:val="22"/>
        </w:rPr>
        <w:t xml:space="preserve">. sredstava, </w:t>
      </w:r>
    </w:p>
    <w:p w14:paraId="7CAED3B8" w14:textId="77777777" w:rsidR="0081662F" w:rsidRPr="00361B01" w:rsidRDefault="0081662F" w:rsidP="003734CB">
      <w:pPr>
        <w:pStyle w:val="Odlomakpopisa"/>
        <w:numPr>
          <w:ilvl w:val="0"/>
          <w:numId w:val="13"/>
        </w:numPr>
        <w:ind w:left="567"/>
        <w:jc w:val="both"/>
        <w:rPr>
          <w:bCs/>
          <w:sz w:val="22"/>
          <w:szCs w:val="22"/>
        </w:rPr>
      </w:pPr>
      <w:r w:rsidRPr="00361B01">
        <w:rPr>
          <w:bCs/>
          <w:sz w:val="22"/>
          <w:szCs w:val="22"/>
        </w:rPr>
        <w:t xml:space="preserve">Tekući projekt T102004: „Medni dan“ </w:t>
      </w:r>
    </w:p>
    <w:p w14:paraId="59FD23A4" w14:textId="77777777" w:rsidR="0081662F" w:rsidRPr="00361B01" w:rsidRDefault="0081662F" w:rsidP="003734CB">
      <w:pPr>
        <w:pStyle w:val="Odlomakpopisa"/>
        <w:numPr>
          <w:ilvl w:val="0"/>
          <w:numId w:val="13"/>
        </w:numPr>
        <w:ind w:left="567"/>
        <w:jc w:val="both"/>
        <w:rPr>
          <w:bCs/>
          <w:sz w:val="22"/>
          <w:szCs w:val="22"/>
        </w:rPr>
      </w:pPr>
      <w:r w:rsidRPr="00361B01">
        <w:rPr>
          <w:bCs/>
          <w:sz w:val="22"/>
          <w:szCs w:val="22"/>
        </w:rPr>
        <w:t xml:space="preserve">Tekući projekt T102005: „Pomoćnici u nastavi – faza VI“, </w:t>
      </w:r>
    </w:p>
    <w:p w14:paraId="5F4D36B3" w14:textId="77777777" w:rsidR="0081662F" w:rsidRPr="00361B01" w:rsidRDefault="0081662F" w:rsidP="003734CB">
      <w:pPr>
        <w:pStyle w:val="Odlomakpopisa"/>
        <w:numPr>
          <w:ilvl w:val="0"/>
          <w:numId w:val="13"/>
        </w:numPr>
        <w:ind w:left="567"/>
        <w:jc w:val="both"/>
        <w:rPr>
          <w:bCs/>
          <w:sz w:val="22"/>
          <w:szCs w:val="22"/>
        </w:rPr>
      </w:pPr>
      <w:r w:rsidRPr="00361B01">
        <w:rPr>
          <w:bCs/>
          <w:sz w:val="22"/>
          <w:szCs w:val="22"/>
        </w:rPr>
        <w:t xml:space="preserve">Tekući projekt T102010: „Pomoćnici u nastavi – faza VII“  </w:t>
      </w:r>
    </w:p>
    <w:p w14:paraId="30384EFD" w14:textId="77777777" w:rsidR="0081662F" w:rsidRPr="00361B01" w:rsidRDefault="0081662F" w:rsidP="003734CB">
      <w:pPr>
        <w:pStyle w:val="Odlomakpopisa"/>
        <w:numPr>
          <w:ilvl w:val="0"/>
          <w:numId w:val="13"/>
        </w:numPr>
        <w:ind w:left="567"/>
        <w:jc w:val="both"/>
        <w:rPr>
          <w:bCs/>
          <w:sz w:val="22"/>
          <w:szCs w:val="22"/>
        </w:rPr>
      </w:pPr>
      <w:r w:rsidRPr="00361B01">
        <w:rPr>
          <w:bCs/>
          <w:sz w:val="22"/>
          <w:szCs w:val="22"/>
        </w:rPr>
        <w:t>Tekući projekt T102006: Produženi boravak u osnovnoj školi.</w:t>
      </w:r>
    </w:p>
    <w:p w14:paraId="7B3B1134" w14:textId="77777777" w:rsidR="0081662F" w:rsidRPr="00D0532A" w:rsidRDefault="0081662F" w:rsidP="0081662F">
      <w:pPr>
        <w:pStyle w:val="Odlomakpopisa"/>
        <w:ind w:left="2160"/>
      </w:pPr>
    </w:p>
    <w:tbl>
      <w:tblPr>
        <w:tblW w:w="5000" w:type="pct"/>
        <w:jc w:val="center"/>
        <w:tblLook w:val="04A0" w:firstRow="1" w:lastRow="0" w:firstColumn="1" w:lastColumn="0" w:noHBand="0" w:noVBand="1"/>
      </w:tblPr>
      <w:tblGrid>
        <w:gridCol w:w="4147"/>
        <w:gridCol w:w="1637"/>
        <w:gridCol w:w="1638"/>
        <w:gridCol w:w="1638"/>
      </w:tblGrid>
      <w:tr w:rsidR="0081662F" w:rsidRPr="00D0532A" w14:paraId="4B06FA63" w14:textId="77777777" w:rsidTr="00EB2357">
        <w:trPr>
          <w:trHeight w:val="557"/>
          <w:jc w:val="center"/>
        </w:trPr>
        <w:tc>
          <w:tcPr>
            <w:tcW w:w="2263" w:type="pct"/>
            <w:tcBorders>
              <w:top w:val="single" w:sz="4" w:space="0" w:color="auto"/>
              <w:left w:val="single" w:sz="4" w:space="0" w:color="auto"/>
              <w:bottom w:val="single" w:sz="4" w:space="0" w:color="auto"/>
              <w:right w:val="single" w:sz="4" w:space="0" w:color="auto"/>
            </w:tcBorders>
            <w:noWrap/>
            <w:vAlign w:val="center"/>
            <w:hideMark/>
          </w:tcPr>
          <w:p w14:paraId="240FFB2B" w14:textId="77777777" w:rsidR="0081662F" w:rsidRPr="00D0532A" w:rsidRDefault="0081662F" w:rsidP="00EB2357">
            <w:pPr>
              <w:spacing w:after="0"/>
              <w:jc w:val="center"/>
              <w:rPr>
                <w:rFonts w:ascii="Times New Roman" w:hAnsi="Times New Roman" w:cs="Times New Roman"/>
                <w:b/>
                <w:color w:val="000000"/>
                <w:lang w:eastAsia="hr-HR"/>
              </w:rPr>
            </w:pPr>
            <w:r w:rsidRPr="00D0532A">
              <w:rPr>
                <w:rFonts w:ascii="Times New Roman" w:hAnsi="Times New Roman" w:cs="Times New Roman"/>
                <w:b/>
                <w:color w:val="000000"/>
                <w:lang w:eastAsia="hr-HR"/>
              </w:rPr>
              <w:t>OSNOVNOŠKOLSKO OBRAZOVANJE</w:t>
            </w:r>
          </w:p>
        </w:tc>
        <w:tc>
          <w:tcPr>
            <w:tcW w:w="912" w:type="pct"/>
            <w:tcBorders>
              <w:top w:val="single" w:sz="4" w:space="0" w:color="auto"/>
              <w:left w:val="nil"/>
              <w:bottom w:val="single" w:sz="4" w:space="0" w:color="auto"/>
              <w:right w:val="single" w:sz="4" w:space="0" w:color="auto"/>
            </w:tcBorders>
            <w:noWrap/>
            <w:vAlign w:val="center"/>
            <w:hideMark/>
          </w:tcPr>
          <w:p w14:paraId="14235D17" w14:textId="77777777" w:rsidR="0081662F" w:rsidRPr="00D0532A" w:rsidRDefault="0081662F" w:rsidP="00EB2357">
            <w:pPr>
              <w:spacing w:after="0"/>
              <w:jc w:val="center"/>
              <w:rPr>
                <w:rFonts w:ascii="Times New Roman" w:hAnsi="Times New Roman" w:cs="Times New Roman"/>
                <w:b/>
                <w:color w:val="000000"/>
                <w:lang w:eastAsia="hr-HR"/>
              </w:rPr>
            </w:pPr>
            <w:r w:rsidRPr="00D0532A">
              <w:rPr>
                <w:rFonts w:ascii="Times New Roman" w:hAnsi="Times New Roman" w:cs="Times New Roman"/>
                <w:b/>
                <w:color w:val="000000"/>
                <w:lang w:eastAsia="hr-HR"/>
              </w:rPr>
              <w:t>Rebalans 2024.</w:t>
            </w:r>
          </w:p>
        </w:tc>
        <w:tc>
          <w:tcPr>
            <w:tcW w:w="912" w:type="pct"/>
            <w:tcBorders>
              <w:top w:val="single" w:sz="4" w:space="0" w:color="auto"/>
              <w:left w:val="nil"/>
              <w:bottom w:val="single" w:sz="4" w:space="0" w:color="auto"/>
              <w:right w:val="single" w:sz="4" w:space="0" w:color="auto"/>
            </w:tcBorders>
            <w:vAlign w:val="center"/>
            <w:hideMark/>
          </w:tcPr>
          <w:p w14:paraId="2BB7053D" w14:textId="77777777" w:rsidR="0081662F" w:rsidRPr="00D0532A" w:rsidRDefault="0081662F" w:rsidP="00EB2357">
            <w:pPr>
              <w:spacing w:after="0"/>
              <w:jc w:val="center"/>
              <w:rPr>
                <w:rFonts w:ascii="Times New Roman" w:hAnsi="Times New Roman" w:cs="Times New Roman"/>
                <w:b/>
                <w:color w:val="000000"/>
                <w:lang w:eastAsia="hr-HR"/>
              </w:rPr>
            </w:pPr>
            <w:r w:rsidRPr="00D0532A">
              <w:rPr>
                <w:rFonts w:ascii="Times New Roman" w:hAnsi="Times New Roman" w:cs="Times New Roman"/>
                <w:b/>
                <w:color w:val="000000"/>
                <w:lang w:eastAsia="hr-HR"/>
              </w:rPr>
              <w:t>Izvršenje</w:t>
            </w:r>
          </w:p>
          <w:p w14:paraId="2750AC62" w14:textId="77777777" w:rsidR="0081662F" w:rsidRPr="00D0532A" w:rsidRDefault="0081662F" w:rsidP="00EB2357">
            <w:pPr>
              <w:spacing w:after="0"/>
              <w:jc w:val="center"/>
              <w:rPr>
                <w:rFonts w:ascii="Times New Roman" w:hAnsi="Times New Roman" w:cs="Times New Roman"/>
                <w:b/>
                <w:color w:val="000000"/>
                <w:lang w:eastAsia="hr-HR"/>
              </w:rPr>
            </w:pPr>
            <w:r w:rsidRPr="00D0532A">
              <w:rPr>
                <w:rFonts w:ascii="Times New Roman" w:hAnsi="Times New Roman" w:cs="Times New Roman"/>
                <w:b/>
                <w:color w:val="000000"/>
                <w:lang w:eastAsia="hr-HR"/>
              </w:rPr>
              <w:t>2024.</w:t>
            </w:r>
          </w:p>
        </w:tc>
        <w:tc>
          <w:tcPr>
            <w:tcW w:w="912" w:type="pct"/>
            <w:tcBorders>
              <w:top w:val="single" w:sz="4" w:space="0" w:color="auto"/>
              <w:left w:val="nil"/>
              <w:bottom w:val="single" w:sz="4" w:space="0" w:color="auto"/>
              <w:right w:val="single" w:sz="4" w:space="0" w:color="auto"/>
            </w:tcBorders>
            <w:vAlign w:val="center"/>
            <w:hideMark/>
          </w:tcPr>
          <w:p w14:paraId="5CF2006B" w14:textId="77777777" w:rsidR="0081662F" w:rsidRPr="00D0532A" w:rsidRDefault="0081662F" w:rsidP="00EB2357">
            <w:pPr>
              <w:spacing w:after="0"/>
              <w:jc w:val="center"/>
              <w:rPr>
                <w:rFonts w:ascii="Times New Roman" w:hAnsi="Times New Roman" w:cs="Times New Roman"/>
                <w:b/>
                <w:color w:val="000000"/>
                <w:lang w:eastAsia="hr-HR"/>
              </w:rPr>
            </w:pPr>
            <w:r w:rsidRPr="00D0532A">
              <w:rPr>
                <w:rFonts w:ascii="Times New Roman" w:hAnsi="Times New Roman" w:cs="Times New Roman"/>
                <w:b/>
                <w:color w:val="000000"/>
                <w:lang w:eastAsia="hr-HR"/>
              </w:rPr>
              <w:t>Indeks</w:t>
            </w:r>
          </w:p>
        </w:tc>
      </w:tr>
      <w:tr w:rsidR="0081662F" w:rsidRPr="00D0532A" w14:paraId="0D2815EF" w14:textId="77777777" w:rsidTr="00EB2357">
        <w:trPr>
          <w:trHeight w:val="282"/>
          <w:jc w:val="center"/>
        </w:trPr>
        <w:tc>
          <w:tcPr>
            <w:tcW w:w="2263" w:type="pct"/>
            <w:tcBorders>
              <w:top w:val="single" w:sz="4" w:space="0" w:color="auto"/>
              <w:left w:val="single" w:sz="4" w:space="0" w:color="auto"/>
              <w:bottom w:val="single" w:sz="4" w:space="0" w:color="auto"/>
              <w:right w:val="single" w:sz="4" w:space="0" w:color="auto"/>
            </w:tcBorders>
            <w:hideMark/>
          </w:tcPr>
          <w:p w14:paraId="65C088EC" w14:textId="77777777" w:rsidR="0081662F" w:rsidRPr="00D0532A" w:rsidRDefault="0081662F" w:rsidP="00EB2357">
            <w:pPr>
              <w:spacing w:after="0"/>
              <w:rPr>
                <w:rFonts w:ascii="Times New Roman" w:hAnsi="Times New Roman" w:cs="Times New Roman"/>
                <w:color w:val="000000"/>
                <w:lang w:eastAsia="hr-HR"/>
              </w:rPr>
            </w:pPr>
            <w:r w:rsidRPr="00D0532A">
              <w:rPr>
                <w:rFonts w:ascii="Times New Roman" w:hAnsi="Times New Roman" w:cs="Times New Roman"/>
                <w:color w:val="000000"/>
                <w:lang w:eastAsia="hr-HR"/>
              </w:rPr>
              <w:t xml:space="preserve">Program 1020 Obrazovanje </w:t>
            </w:r>
          </w:p>
        </w:tc>
        <w:tc>
          <w:tcPr>
            <w:tcW w:w="912" w:type="pct"/>
            <w:tcBorders>
              <w:top w:val="nil"/>
              <w:left w:val="nil"/>
              <w:bottom w:val="single" w:sz="4" w:space="0" w:color="auto"/>
              <w:right w:val="single" w:sz="4" w:space="0" w:color="auto"/>
            </w:tcBorders>
            <w:noWrap/>
            <w:vAlign w:val="bottom"/>
            <w:hideMark/>
          </w:tcPr>
          <w:p w14:paraId="2651A139" w14:textId="77777777" w:rsidR="0081662F" w:rsidRPr="00D0532A" w:rsidRDefault="0081662F" w:rsidP="00EB2357">
            <w:pPr>
              <w:spacing w:after="0"/>
              <w:jc w:val="center"/>
              <w:rPr>
                <w:rFonts w:ascii="Times New Roman" w:hAnsi="Times New Roman" w:cs="Times New Roman"/>
                <w:color w:val="000000"/>
                <w:lang w:eastAsia="hr-HR"/>
              </w:rPr>
            </w:pPr>
            <w:r w:rsidRPr="00D0532A">
              <w:rPr>
                <w:rFonts w:ascii="Times New Roman" w:hAnsi="Times New Roman" w:cs="Times New Roman"/>
                <w:color w:val="000000"/>
                <w:lang w:eastAsia="hr-HR"/>
              </w:rPr>
              <w:t>2.808.252,01</w:t>
            </w:r>
          </w:p>
        </w:tc>
        <w:tc>
          <w:tcPr>
            <w:tcW w:w="912" w:type="pct"/>
            <w:tcBorders>
              <w:top w:val="nil"/>
              <w:left w:val="nil"/>
              <w:bottom w:val="single" w:sz="4" w:space="0" w:color="auto"/>
              <w:right w:val="single" w:sz="4" w:space="0" w:color="auto"/>
            </w:tcBorders>
            <w:noWrap/>
            <w:vAlign w:val="bottom"/>
          </w:tcPr>
          <w:p w14:paraId="24A2D93B" w14:textId="58D18279" w:rsidR="0081662F" w:rsidRPr="00D0532A" w:rsidRDefault="00132F9E" w:rsidP="00EB2357">
            <w:pPr>
              <w:spacing w:after="0"/>
              <w:jc w:val="center"/>
              <w:rPr>
                <w:rFonts w:ascii="Times New Roman" w:hAnsi="Times New Roman" w:cs="Times New Roman"/>
                <w:color w:val="000000"/>
                <w:lang w:eastAsia="hr-HR"/>
              </w:rPr>
            </w:pPr>
            <w:r>
              <w:rPr>
                <w:rFonts w:ascii="Times New Roman" w:hAnsi="Times New Roman" w:cs="Times New Roman"/>
                <w:color w:val="000000"/>
                <w:lang w:eastAsia="hr-HR"/>
              </w:rPr>
              <w:t>2.787.727,29</w:t>
            </w:r>
          </w:p>
        </w:tc>
        <w:tc>
          <w:tcPr>
            <w:tcW w:w="912" w:type="pct"/>
            <w:tcBorders>
              <w:top w:val="nil"/>
              <w:left w:val="nil"/>
              <w:bottom w:val="single" w:sz="4" w:space="0" w:color="auto"/>
              <w:right w:val="single" w:sz="4" w:space="0" w:color="auto"/>
            </w:tcBorders>
            <w:noWrap/>
            <w:vAlign w:val="bottom"/>
          </w:tcPr>
          <w:p w14:paraId="167477E4" w14:textId="760CD348" w:rsidR="0081662F" w:rsidRPr="00D0532A" w:rsidRDefault="00132F9E" w:rsidP="00EB2357">
            <w:pPr>
              <w:spacing w:after="0"/>
              <w:jc w:val="center"/>
              <w:rPr>
                <w:rFonts w:ascii="Times New Roman" w:hAnsi="Times New Roman" w:cs="Times New Roman"/>
                <w:color w:val="000000"/>
                <w:lang w:eastAsia="hr-HR"/>
              </w:rPr>
            </w:pPr>
            <w:r>
              <w:rPr>
                <w:rFonts w:ascii="Times New Roman" w:hAnsi="Times New Roman" w:cs="Times New Roman"/>
                <w:color w:val="000000"/>
                <w:lang w:eastAsia="hr-HR"/>
              </w:rPr>
              <w:t>99,27</w:t>
            </w:r>
            <w:r w:rsidR="0081662F" w:rsidRPr="00D0532A">
              <w:rPr>
                <w:rFonts w:ascii="Times New Roman" w:hAnsi="Times New Roman" w:cs="Times New Roman"/>
                <w:color w:val="000000"/>
                <w:lang w:eastAsia="hr-HR"/>
              </w:rPr>
              <w:t>%</w:t>
            </w:r>
          </w:p>
        </w:tc>
      </w:tr>
      <w:tr w:rsidR="0081662F" w:rsidRPr="00D0532A" w14:paraId="451AE76D" w14:textId="77777777" w:rsidTr="00EB2357">
        <w:trPr>
          <w:trHeight w:val="282"/>
          <w:jc w:val="center"/>
        </w:trPr>
        <w:tc>
          <w:tcPr>
            <w:tcW w:w="2263" w:type="pct"/>
            <w:tcBorders>
              <w:top w:val="single" w:sz="4" w:space="0" w:color="auto"/>
              <w:left w:val="single" w:sz="4" w:space="0" w:color="auto"/>
              <w:bottom w:val="single" w:sz="4" w:space="0" w:color="auto"/>
              <w:right w:val="single" w:sz="4" w:space="0" w:color="auto"/>
            </w:tcBorders>
            <w:noWrap/>
            <w:hideMark/>
          </w:tcPr>
          <w:p w14:paraId="55DE3CD4" w14:textId="77777777" w:rsidR="0081662F" w:rsidRPr="00D0532A" w:rsidRDefault="0081662F" w:rsidP="00EB2357">
            <w:pPr>
              <w:spacing w:after="0"/>
              <w:rPr>
                <w:rFonts w:ascii="Times New Roman" w:hAnsi="Times New Roman" w:cs="Times New Roman"/>
                <w:b/>
                <w:color w:val="000000"/>
                <w:lang w:eastAsia="hr-HR"/>
              </w:rPr>
            </w:pPr>
            <w:r w:rsidRPr="00D0532A">
              <w:rPr>
                <w:rFonts w:ascii="Times New Roman" w:hAnsi="Times New Roman" w:cs="Times New Roman"/>
                <w:b/>
                <w:color w:val="000000"/>
                <w:lang w:eastAsia="hr-HR"/>
              </w:rPr>
              <w:lastRenderedPageBreak/>
              <w:t>Ukupno:</w:t>
            </w:r>
          </w:p>
        </w:tc>
        <w:tc>
          <w:tcPr>
            <w:tcW w:w="912" w:type="pct"/>
            <w:tcBorders>
              <w:top w:val="nil"/>
              <w:left w:val="nil"/>
              <w:bottom w:val="single" w:sz="4" w:space="0" w:color="auto"/>
              <w:right w:val="single" w:sz="4" w:space="0" w:color="auto"/>
            </w:tcBorders>
            <w:noWrap/>
            <w:vAlign w:val="bottom"/>
            <w:hideMark/>
          </w:tcPr>
          <w:p w14:paraId="49D06409" w14:textId="77777777" w:rsidR="0081662F" w:rsidRPr="00D0532A" w:rsidRDefault="0081662F" w:rsidP="00EB2357">
            <w:pPr>
              <w:spacing w:after="0"/>
              <w:jc w:val="center"/>
              <w:rPr>
                <w:rFonts w:ascii="Times New Roman" w:hAnsi="Times New Roman" w:cs="Times New Roman"/>
                <w:color w:val="000000"/>
                <w:lang w:eastAsia="hr-HR"/>
              </w:rPr>
            </w:pPr>
            <w:r w:rsidRPr="00D0532A">
              <w:rPr>
                <w:rFonts w:ascii="Times New Roman" w:hAnsi="Times New Roman" w:cs="Times New Roman"/>
                <w:color w:val="000000"/>
                <w:lang w:eastAsia="hr-HR"/>
              </w:rPr>
              <w:t>2.808.252,01</w:t>
            </w:r>
          </w:p>
        </w:tc>
        <w:tc>
          <w:tcPr>
            <w:tcW w:w="912" w:type="pct"/>
            <w:tcBorders>
              <w:top w:val="nil"/>
              <w:left w:val="nil"/>
              <w:bottom w:val="single" w:sz="4" w:space="0" w:color="auto"/>
              <w:right w:val="single" w:sz="4" w:space="0" w:color="auto"/>
            </w:tcBorders>
            <w:noWrap/>
            <w:vAlign w:val="bottom"/>
          </w:tcPr>
          <w:p w14:paraId="5A9A90FF" w14:textId="649F25DF" w:rsidR="0081662F" w:rsidRPr="00D0532A" w:rsidRDefault="00132F9E" w:rsidP="00EB2357">
            <w:pPr>
              <w:spacing w:after="0"/>
              <w:jc w:val="center"/>
              <w:rPr>
                <w:rFonts w:ascii="Times New Roman" w:hAnsi="Times New Roman" w:cs="Times New Roman"/>
                <w:color w:val="000000"/>
                <w:lang w:eastAsia="hr-HR"/>
              </w:rPr>
            </w:pPr>
            <w:r>
              <w:rPr>
                <w:rFonts w:ascii="Times New Roman" w:hAnsi="Times New Roman" w:cs="Times New Roman"/>
                <w:color w:val="000000"/>
                <w:lang w:eastAsia="hr-HR"/>
              </w:rPr>
              <w:t>2.787.727,29</w:t>
            </w:r>
          </w:p>
        </w:tc>
        <w:tc>
          <w:tcPr>
            <w:tcW w:w="912" w:type="pct"/>
            <w:tcBorders>
              <w:top w:val="nil"/>
              <w:left w:val="nil"/>
              <w:bottom w:val="single" w:sz="4" w:space="0" w:color="auto"/>
              <w:right w:val="single" w:sz="4" w:space="0" w:color="auto"/>
            </w:tcBorders>
            <w:noWrap/>
            <w:vAlign w:val="bottom"/>
          </w:tcPr>
          <w:p w14:paraId="76B97DC5" w14:textId="527698F8" w:rsidR="0081662F" w:rsidRPr="00D0532A" w:rsidRDefault="0081662F" w:rsidP="00EB2357">
            <w:pPr>
              <w:spacing w:after="0"/>
              <w:jc w:val="center"/>
              <w:rPr>
                <w:rFonts w:ascii="Times New Roman" w:hAnsi="Times New Roman" w:cs="Times New Roman"/>
                <w:color w:val="000000"/>
                <w:lang w:eastAsia="hr-HR"/>
              </w:rPr>
            </w:pPr>
            <w:r w:rsidRPr="00D0532A">
              <w:rPr>
                <w:rFonts w:ascii="Times New Roman" w:hAnsi="Times New Roman" w:cs="Times New Roman"/>
                <w:color w:val="000000"/>
                <w:lang w:eastAsia="hr-HR"/>
              </w:rPr>
              <w:t>99,</w:t>
            </w:r>
            <w:r w:rsidR="00132F9E">
              <w:rPr>
                <w:rFonts w:ascii="Times New Roman" w:hAnsi="Times New Roman" w:cs="Times New Roman"/>
                <w:color w:val="000000"/>
                <w:lang w:eastAsia="hr-HR"/>
              </w:rPr>
              <w:t>27</w:t>
            </w:r>
            <w:r w:rsidRPr="00D0532A">
              <w:rPr>
                <w:rFonts w:ascii="Times New Roman" w:hAnsi="Times New Roman" w:cs="Times New Roman"/>
                <w:color w:val="000000"/>
                <w:lang w:eastAsia="hr-HR"/>
              </w:rPr>
              <w:t>%</w:t>
            </w:r>
          </w:p>
        </w:tc>
      </w:tr>
    </w:tbl>
    <w:p w14:paraId="342D19FD" w14:textId="77777777" w:rsidR="0081662F" w:rsidRPr="00D0532A" w:rsidRDefault="0081662F" w:rsidP="0081662F">
      <w:pPr>
        <w:pStyle w:val="Odlomakpopisa"/>
        <w:ind w:left="2160"/>
      </w:pPr>
    </w:p>
    <w:p w14:paraId="414ACD23" w14:textId="77777777" w:rsidR="0081662F" w:rsidRPr="00D0532A" w:rsidRDefault="0081662F" w:rsidP="0081662F">
      <w:pPr>
        <w:spacing w:after="0" w:line="240" w:lineRule="auto"/>
        <w:jc w:val="both"/>
        <w:rPr>
          <w:rFonts w:ascii="Times New Roman" w:hAnsi="Times New Roman" w:cs="Times New Roman"/>
          <w:b/>
          <w:bCs/>
        </w:rPr>
      </w:pPr>
      <w:r w:rsidRPr="00D0532A">
        <w:rPr>
          <w:rFonts w:ascii="Times New Roman" w:hAnsi="Times New Roman" w:cs="Times New Roman"/>
          <w:b/>
          <w:bCs/>
        </w:rPr>
        <w:t>Aktivnost redovna djelatnost OŠ Garešnica – decentralizirane funkcije – A102007</w:t>
      </w:r>
    </w:p>
    <w:p w14:paraId="6DAC8377" w14:textId="6E80D867" w:rsidR="0081662F" w:rsidRPr="00D0532A" w:rsidRDefault="0081662F" w:rsidP="0081662F">
      <w:pPr>
        <w:spacing w:after="0" w:line="240" w:lineRule="auto"/>
        <w:jc w:val="both"/>
        <w:rPr>
          <w:rFonts w:ascii="Times New Roman" w:hAnsi="Times New Roman" w:cs="Times New Roman"/>
        </w:rPr>
      </w:pPr>
      <w:r w:rsidRPr="00D0532A">
        <w:rPr>
          <w:rFonts w:ascii="Times New Roman" w:hAnsi="Times New Roman" w:cs="Times New Roman"/>
        </w:rPr>
        <w:t>Ukupni rashodi za Aktivnost redovnu djelatnost iznose 9</w:t>
      </w:r>
      <w:r w:rsidR="0096449D">
        <w:rPr>
          <w:rFonts w:ascii="Times New Roman" w:hAnsi="Times New Roman" w:cs="Times New Roman"/>
        </w:rPr>
        <w:t>7.445,98</w:t>
      </w:r>
      <w:r w:rsidRPr="00D0532A">
        <w:rPr>
          <w:rFonts w:ascii="Times New Roman" w:hAnsi="Times New Roman" w:cs="Times New Roman"/>
        </w:rPr>
        <w:t xml:space="preserve"> eura, što je 10</w:t>
      </w:r>
      <w:r w:rsidR="0096449D">
        <w:rPr>
          <w:rFonts w:ascii="Times New Roman" w:hAnsi="Times New Roman" w:cs="Times New Roman"/>
        </w:rPr>
        <w:t>4,78</w:t>
      </w:r>
      <w:r w:rsidRPr="00D0532A">
        <w:rPr>
          <w:rFonts w:ascii="Times New Roman" w:hAnsi="Times New Roman" w:cs="Times New Roman"/>
        </w:rPr>
        <w:t>% plana. Aktivnost se financira iz izvora: 5.2.4 državni proračun-</w:t>
      </w:r>
      <w:proofErr w:type="spellStart"/>
      <w:r w:rsidRPr="00D0532A">
        <w:rPr>
          <w:rFonts w:ascii="Times New Roman" w:hAnsi="Times New Roman" w:cs="Times New Roman"/>
        </w:rPr>
        <w:t>dec</w:t>
      </w:r>
      <w:proofErr w:type="spellEnd"/>
      <w:r w:rsidRPr="00D0532A">
        <w:rPr>
          <w:rFonts w:ascii="Times New Roman" w:hAnsi="Times New Roman" w:cs="Times New Roman"/>
        </w:rPr>
        <w:t xml:space="preserve">. sredstva školstvo. Aktivnost obuhvaća  naknade troškova zaposlenima, rashode za materijal i energiju, rashode za usluge i ostale rashode poslovanja. </w:t>
      </w:r>
    </w:p>
    <w:p w14:paraId="0E3C5E93" w14:textId="77777777" w:rsidR="0081662F" w:rsidRPr="00D0532A" w:rsidRDefault="0081662F" w:rsidP="0081662F">
      <w:pPr>
        <w:jc w:val="both"/>
        <w:rPr>
          <w:rFonts w:ascii="Times New Roman" w:hAnsi="Times New Roman" w:cs="Times New Roman"/>
          <w:bCs/>
          <w:lang w:eastAsia="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4"/>
        <w:gridCol w:w="2011"/>
        <w:gridCol w:w="1134"/>
        <w:gridCol w:w="1265"/>
        <w:gridCol w:w="1286"/>
        <w:gridCol w:w="1250"/>
      </w:tblGrid>
      <w:tr w:rsidR="0081662F" w:rsidRPr="00D0532A" w14:paraId="158327ED" w14:textId="77777777" w:rsidTr="00EB2357">
        <w:trPr>
          <w:jc w:val="center"/>
        </w:trPr>
        <w:tc>
          <w:tcPr>
            <w:tcW w:w="2224" w:type="dxa"/>
            <w:shd w:val="clear" w:color="auto" w:fill="auto"/>
          </w:tcPr>
          <w:p w14:paraId="3D04E812" w14:textId="77777777" w:rsidR="0081662F" w:rsidRPr="00D0532A" w:rsidRDefault="0081662F" w:rsidP="00EB2357">
            <w:pPr>
              <w:spacing w:after="0"/>
              <w:contextualSpacing/>
              <w:jc w:val="center"/>
              <w:rPr>
                <w:rFonts w:ascii="Times New Roman" w:hAnsi="Times New Roman" w:cs="Times New Roman"/>
                <w:b/>
              </w:rPr>
            </w:pPr>
            <w:r w:rsidRPr="00D0532A">
              <w:rPr>
                <w:rFonts w:ascii="Times New Roman" w:hAnsi="Times New Roman" w:cs="Times New Roman"/>
                <w:b/>
              </w:rPr>
              <w:t>Pokazatelj rezultata</w:t>
            </w:r>
          </w:p>
        </w:tc>
        <w:tc>
          <w:tcPr>
            <w:tcW w:w="2096" w:type="dxa"/>
            <w:shd w:val="clear" w:color="auto" w:fill="auto"/>
          </w:tcPr>
          <w:p w14:paraId="0047DD00" w14:textId="77777777" w:rsidR="0081662F" w:rsidRPr="00D0532A" w:rsidRDefault="0081662F" w:rsidP="00EB2357">
            <w:pPr>
              <w:spacing w:after="0"/>
              <w:contextualSpacing/>
              <w:jc w:val="center"/>
              <w:rPr>
                <w:rFonts w:ascii="Times New Roman" w:hAnsi="Times New Roman" w:cs="Times New Roman"/>
                <w:b/>
              </w:rPr>
            </w:pPr>
            <w:r w:rsidRPr="00D0532A">
              <w:rPr>
                <w:rFonts w:ascii="Times New Roman" w:hAnsi="Times New Roman" w:cs="Times New Roman"/>
                <w:b/>
              </w:rPr>
              <w:t>Definicija pokazatelja</w:t>
            </w:r>
          </w:p>
        </w:tc>
        <w:tc>
          <w:tcPr>
            <w:tcW w:w="1150" w:type="dxa"/>
            <w:shd w:val="clear" w:color="auto" w:fill="auto"/>
          </w:tcPr>
          <w:p w14:paraId="5FF5F009" w14:textId="77777777" w:rsidR="0081662F" w:rsidRPr="00D0532A" w:rsidRDefault="0081662F" w:rsidP="00EB2357">
            <w:pPr>
              <w:spacing w:after="0"/>
              <w:contextualSpacing/>
              <w:jc w:val="center"/>
              <w:rPr>
                <w:rFonts w:ascii="Times New Roman" w:hAnsi="Times New Roman" w:cs="Times New Roman"/>
                <w:b/>
              </w:rPr>
            </w:pPr>
            <w:r w:rsidRPr="00D0532A">
              <w:rPr>
                <w:rFonts w:ascii="Times New Roman" w:hAnsi="Times New Roman" w:cs="Times New Roman"/>
                <w:b/>
              </w:rPr>
              <w:t>Jedinica</w:t>
            </w:r>
          </w:p>
        </w:tc>
        <w:tc>
          <w:tcPr>
            <w:tcW w:w="1285" w:type="dxa"/>
            <w:shd w:val="clear" w:color="auto" w:fill="auto"/>
            <w:vAlign w:val="center"/>
          </w:tcPr>
          <w:p w14:paraId="79067B75" w14:textId="77777777" w:rsidR="0081662F" w:rsidRPr="00D0532A" w:rsidRDefault="0081662F" w:rsidP="00EB2357">
            <w:pPr>
              <w:spacing w:after="0"/>
              <w:jc w:val="center"/>
              <w:rPr>
                <w:rFonts w:ascii="Times New Roman" w:hAnsi="Times New Roman" w:cs="Times New Roman"/>
                <w:b/>
                <w:color w:val="000000"/>
                <w:lang w:eastAsia="hr-HR"/>
              </w:rPr>
            </w:pPr>
            <w:r w:rsidRPr="00D0532A">
              <w:rPr>
                <w:rFonts w:ascii="Times New Roman" w:hAnsi="Times New Roman" w:cs="Times New Roman"/>
                <w:b/>
                <w:color w:val="000000"/>
                <w:lang w:eastAsia="hr-HR"/>
              </w:rPr>
              <w:t>Rebalans 2024.</w:t>
            </w:r>
          </w:p>
        </w:tc>
        <w:tc>
          <w:tcPr>
            <w:tcW w:w="1309" w:type="dxa"/>
            <w:shd w:val="clear" w:color="auto" w:fill="auto"/>
            <w:vAlign w:val="center"/>
          </w:tcPr>
          <w:p w14:paraId="08BB3F34" w14:textId="77777777" w:rsidR="0081662F" w:rsidRPr="00D0532A" w:rsidRDefault="0081662F" w:rsidP="00EB2357">
            <w:pPr>
              <w:spacing w:after="0"/>
              <w:jc w:val="center"/>
              <w:rPr>
                <w:rFonts w:ascii="Times New Roman" w:hAnsi="Times New Roman" w:cs="Times New Roman"/>
                <w:b/>
                <w:color w:val="000000"/>
                <w:lang w:eastAsia="hr-HR"/>
              </w:rPr>
            </w:pPr>
            <w:r w:rsidRPr="00D0532A">
              <w:rPr>
                <w:rFonts w:ascii="Times New Roman" w:hAnsi="Times New Roman" w:cs="Times New Roman"/>
                <w:b/>
                <w:color w:val="000000"/>
                <w:lang w:eastAsia="hr-HR"/>
              </w:rPr>
              <w:t>Izvršenje 2024.</w:t>
            </w:r>
          </w:p>
        </w:tc>
        <w:tc>
          <w:tcPr>
            <w:tcW w:w="1279" w:type="dxa"/>
            <w:vAlign w:val="center"/>
          </w:tcPr>
          <w:p w14:paraId="12745F92" w14:textId="77777777" w:rsidR="0081662F" w:rsidRPr="00D0532A" w:rsidRDefault="0081662F" w:rsidP="00EB2357">
            <w:pPr>
              <w:spacing w:after="0"/>
              <w:jc w:val="center"/>
              <w:rPr>
                <w:rFonts w:ascii="Times New Roman" w:hAnsi="Times New Roman" w:cs="Times New Roman"/>
                <w:b/>
                <w:color w:val="000000"/>
                <w:lang w:eastAsia="hr-HR"/>
              </w:rPr>
            </w:pPr>
            <w:r w:rsidRPr="00D0532A">
              <w:rPr>
                <w:rFonts w:ascii="Times New Roman" w:hAnsi="Times New Roman" w:cs="Times New Roman"/>
                <w:b/>
                <w:color w:val="000000"/>
                <w:lang w:eastAsia="hr-HR"/>
              </w:rPr>
              <w:t>Indeks</w:t>
            </w:r>
          </w:p>
        </w:tc>
      </w:tr>
      <w:tr w:rsidR="0081662F" w:rsidRPr="00D0532A" w14:paraId="31A815AC" w14:textId="77777777" w:rsidTr="00EB2357">
        <w:trPr>
          <w:jc w:val="center"/>
        </w:trPr>
        <w:tc>
          <w:tcPr>
            <w:tcW w:w="2224" w:type="dxa"/>
            <w:shd w:val="clear" w:color="auto" w:fill="auto"/>
          </w:tcPr>
          <w:p w14:paraId="639F784D" w14:textId="77777777" w:rsidR="0081662F" w:rsidRPr="00D0532A" w:rsidRDefault="0081662F" w:rsidP="00EB2357">
            <w:pPr>
              <w:spacing w:after="0"/>
              <w:contextualSpacing/>
              <w:rPr>
                <w:rFonts w:ascii="Times New Roman" w:hAnsi="Times New Roman" w:cs="Times New Roman"/>
              </w:rPr>
            </w:pPr>
            <w:r w:rsidRPr="00D0532A">
              <w:rPr>
                <w:rFonts w:ascii="Times New Roman" w:hAnsi="Times New Roman" w:cs="Times New Roman"/>
              </w:rPr>
              <w:t>Planirana sredstva za provedbu aktivnosti</w:t>
            </w:r>
          </w:p>
        </w:tc>
        <w:tc>
          <w:tcPr>
            <w:tcW w:w="2096" w:type="dxa"/>
            <w:shd w:val="clear" w:color="auto" w:fill="auto"/>
          </w:tcPr>
          <w:p w14:paraId="77D70D91" w14:textId="77777777" w:rsidR="0081662F" w:rsidRPr="00D0532A" w:rsidRDefault="0081662F" w:rsidP="00EB2357">
            <w:pPr>
              <w:spacing w:after="0"/>
              <w:contextualSpacing/>
              <w:rPr>
                <w:rFonts w:ascii="Times New Roman" w:hAnsi="Times New Roman" w:cs="Times New Roman"/>
              </w:rPr>
            </w:pPr>
            <w:r w:rsidRPr="00D0532A">
              <w:rPr>
                <w:rFonts w:ascii="Times New Roman" w:hAnsi="Times New Roman" w:cs="Times New Roman"/>
              </w:rPr>
              <w:t>Sredstva za provedbu aktivnosti</w:t>
            </w:r>
          </w:p>
        </w:tc>
        <w:tc>
          <w:tcPr>
            <w:tcW w:w="1150" w:type="dxa"/>
            <w:shd w:val="clear" w:color="auto" w:fill="auto"/>
          </w:tcPr>
          <w:p w14:paraId="10306D96" w14:textId="77777777" w:rsidR="0081662F" w:rsidRPr="00D0532A" w:rsidRDefault="0081662F" w:rsidP="00EB2357">
            <w:pPr>
              <w:spacing w:after="0"/>
              <w:contextualSpacing/>
              <w:rPr>
                <w:rFonts w:ascii="Times New Roman" w:hAnsi="Times New Roman" w:cs="Times New Roman"/>
              </w:rPr>
            </w:pPr>
            <w:r w:rsidRPr="00D0532A">
              <w:rPr>
                <w:rFonts w:ascii="Times New Roman" w:hAnsi="Times New Roman" w:cs="Times New Roman"/>
              </w:rPr>
              <w:t>Iznos u EUR</w:t>
            </w:r>
          </w:p>
        </w:tc>
        <w:tc>
          <w:tcPr>
            <w:tcW w:w="1285" w:type="dxa"/>
            <w:shd w:val="clear" w:color="auto" w:fill="auto"/>
            <w:vAlign w:val="center"/>
          </w:tcPr>
          <w:p w14:paraId="2CE8DB5A" w14:textId="77777777" w:rsidR="0081662F" w:rsidRPr="00D0532A" w:rsidRDefault="0081662F" w:rsidP="00EB2357">
            <w:pPr>
              <w:spacing w:after="0" w:line="240" w:lineRule="auto"/>
              <w:jc w:val="right"/>
              <w:rPr>
                <w:rFonts w:ascii="Times New Roman" w:hAnsi="Times New Roman" w:cs="Times New Roman"/>
                <w:bCs/>
                <w:color w:val="000000"/>
              </w:rPr>
            </w:pPr>
            <w:r w:rsidRPr="00D0532A">
              <w:rPr>
                <w:rFonts w:ascii="Times New Roman" w:hAnsi="Times New Roman" w:cs="Times New Roman"/>
                <w:bCs/>
                <w:color w:val="000000"/>
              </w:rPr>
              <w:t>93.000,00</w:t>
            </w:r>
          </w:p>
        </w:tc>
        <w:tc>
          <w:tcPr>
            <w:tcW w:w="1309" w:type="dxa"/>
            <w:shd w:val="clear" w:color="auto" w:fill="auto"/>
            <w:vAlign w:val="center"/>
          </w:tcPr>
          <w:p w14:paraId="7C33C696" w14:textId="3FBB1DF4" w:rsidR="0081662F" w:rsidRPr="00D0532A" w:rsidRDefault="0096449D" w:rsidP="00EB2357">
            <w:pPr>
              <w:spacing w:after="0" w:line="240" w:lineRule="auto"/>
              <w:jc w:val="right"/>
              <w:rPr>
                <w:rFonts w:ascii="Times New Roman" w:hAnsi="Times New Roman" w:cs="Times New Roman"/>
                <w:bCs/>
                <w:color w:val="000000"/>
              </w:rPr>
            </w:pPr>
            <w:r>
              <w:rPr>
                <w:rFonts w:ascii="Times New Roman" w:hAnsi="Times New Roman" w:cs="Times New Roman"/>
                <w:bCs/>
                <w:color w:val="000000"/>
              </w:rPr>
              <w:t>97.445,98</w:t>
            </w:r>
          </w:p>
        </w:tc>
        <w:tc>
          <w:tcPr>
            <w:tcW w:w="1279" w:type="dxa"/>
            <w:vAlign w:val="center"/>
          </w:tcPr>
          <w:p w14:paraId="69565FDA" w14:textId="6A0CEE0F" w:rsidR="0081662F" w:rsidRPr="00D0532A" w:rsidRDefault="0081662F" w:rsidP="00EB2357">
            <w:pPr>
              <w:spacing w:after="0" w:line="240" w:lineRule="auto"/>
              <w:jc w:val="center"/>
              <w:rPr>
                <w:rFonts w:ascii="Times New Roman" w:hAnsi="Times New Roman" w:cs="Times New Roman"/>
                <w:bCs/>
                <w:color w:val="000000"/>
              </w:rPr>
            </w:pPr>
            <w:r w:rsidRPr="00D0532A">
              <w:rPr>
                <w:rFonts w:ascii="Times New Roman" w:hAnsi="Times New Roman" w:cs="Times New Roman"/>
                <w:bCs/>
                <w:color w:val="000000"/>
              </w:rPr>
              <w:t>1</w:t>
            </w:r>
            <w:r w:rsidR="0096449D">
              <w:rPr>
                <w:rFonts w:ascii="Times New Roman" w:hAnsi="Times New Roman" w:cs="Times New Roman"/>
                <w:bCs/>
                <w:color w:val="000000"/>
              </w:rPr>
              <w:t>04,78</w:t>
            </w:r>
            <w:r w:rsidRPr="00D0532A">
              <w:rPr>
                <w:rFonts w:ascii="Times New Roman" w:hAnsi="Times New Roman" w:cs="Times New Roman"/>
                <w:bCs/>
                <w:color w:val="000000"/>
              </w:rPr>
              <w:t>%</w:t>
            </w:r>
          </w:p>
        </w:tc>
      </w:tr>
    </w:tbl>
    <w:p w14:paraId="18543B68" w14:textId="77777777" w:rsidR="0081662F" w:rsidRPr="00D0532A" w:rsidRDefault="0081662F" w:rsidP="0081662F">
      <w:pPr>
        <w:contextualSpacing/>
        <w:rPr>
          <w:rFonts w:ascii="Times New Roman" w:hAnsi="Times New Roman" w:cs="Times New Roman"/>
          <w:b/>
        </w:rPr>
      </w:pPr>
    </w:p>
    <w:p w14:paraId="7277C90A" w14:textId="77777777" w:rsidR="0081662F" w:rsidRPr="00D0532A" w:rsidRDefault="0081662F" w:rsidP="0081662F">
      <w:pPr>
        <w:spacing w:after="0" w:line="240" w:lineRule="auto"/>
        <w:jc w:val="both"/>
        <w:rPr>
          <w:rFonts w:ascii="Times New Roman" w:hAnsi="Times New Roman" w:cs="Times New Roman"/>
        </w:rPr>
      </w:pPr>
    </w:p>
    <w:p w14:paraId="786870AD" w14:textId="77777777" w:rsidR="0081662F" w:rsidRPr="00D0532A" w:rsidRDefault="0081662F" w:rsidP="0081662F">
      <w:pPr>
        <w:spacing w:after="0" w:line="240" w:lineRule="auto"/>
        <w:jc w:val="both"/>
        <w:rPr>
          <w:rFonts w:ascii="Times New Roman" w:hAnsi="Times New Roman" w:cs="Times New Roman"/>
          <w:b/>
          <w:bCs/>
        </w:rPr>
      </w:pPr>
      <w:r w:rsidRPr="00D0532A">
        <w:rPr>
          <w:rFonts w:ascii="Times New Roman" w:hAnsi="Times New Roman" w:cs="Times New Roman"/>
          <w:b/>
          <w:bCs/>
        </w:rPr>
        <w:t xml:space="preserve">Aktivnost  Redovna djelatnost OŠ izvan </w:t>
      </w:r>
      <w:proofErr w:type="spellStart"/>
      <w:r w:rsidRPr="00D0532A">
        <w:rPr>
          <w:rFonts w:ascii="Times New Roman" w:hAnsi="Times New Roman" w:cs="Times New Roman"/>
          <w:b/>
          <w:bCs/>
        </w:rPr>
        <w:t>dec</w:t>
      </w:r>
      <w:proofErr w:type="spellEnd"/>
      <w:r w:rsidRPr="00D0532A">
        <w:rPr>
          <w:rFonts w:ascii="Times New Roman" w:hAnsi="Times New Roman" w:cs="Times New Roman"/>
          <w:b/>
          <w:bCs/>
        </w:rPr>
        <w:t>. sredstava</w:t>
      </w:r>
    </w:p>
    <w:p w14:paraId="59B79A5A" w14:textId="17755E7C" w:rsidR="0081662F" w:rsidRPr="00D0532A" w:rsidRDefault="0081662F" w:rsidP="0081662F">
      <w:pPr>
        <w:spacing w:after="0" w:line="240" w:lineRule="auto"/>
        <w:jc w:val="both"/>
        <w:rPr>
          <w:rFonts w:ascii="Times New Roman" w:hAnsi="Times New Roman" w:cs="Times New Roman"/>
        </w:rPr>
      </w:pPr>
      <w:r w:rsidRPr="00D0532A">
        <w:rPr>
          <w:rFonts w:ascii="Times New Roman" w:hAnsi="Times New Roman" w:cs="Times New Roman"/>
        </w:rPr>
        <w:t>Ukupni rashodi za navedenu aktivnost iznose 2.414.</w:t>
      </w:r>
      <w:r w:rsidR="0096449D">
        <w:rPr>
          <w:rFonts w:ascii="Times New Roman" w:hAnsi="Times New Roman" w:cs="Times New Roman"/>
        </w:rPr>
        <w:t>766,46</w:t>
      </w:r>
      <w:r w:rsidRPr="00D0532A">
        <w:rPr>
          <w:rFonts w:ascii="Times New Roman" w:hAnsi="Times New Roman" w:cs="Times New Roman"/>
        </w:rPr>
        <w:t xml:space="preserve"> eura, što je 99,5</w:t>
      </w:r>
      <w:r w:rsidR="0096449D">
        <w:rPr>
          <w:rFonts w:ascii="Times New Roman" w:hAnsi="Times New Roman" w:cs="Times New Roman"/>
        </w:rPr>
        <w:t>9</w:t>
      </w:r>
      <w:r w:rsidRPr="00D0532A">
        <w:rPr>
          <w:rFonts w:ascii="Times New Roman" w:hAnsi="Times New Roman" w:cs="Times New Roman"/>
        </w:rPr>
        <w:t>% plana. Aktivnost obuhvaća rashode za zaposlene, naknade za zaposlene, materijal i dijelove za tekuće i investicijsko održavanje, sitan inventar, usluge tekućeg i investicijskog održavanja, intelektualne, računalne i ostale usluge, ostale nespomenute rashode poslovanja.</w:t>
      </w:r>
    </w:p>
    <w:p w14:paraId="73A9521F" w14:textId="77777777" w:rsidR="0081662F" w:rsidRPr="00D0532A" w:rsidRDefault="0081662F" w:rsidP="0081662F">
      <w:pPr>
        <w:spacing w:after="0" w:line="240" w:lineRule="auto"/>
        <w:jc w:val="both"/>
        <w:rPr>
          <w:rFonts w:ascii="Times New Roman" w:hAnsi="Times New Roman" w:cs="Times New Roman"/>
        </w:rPr>
      </w:pPr>
      <w:r w:rsidRPr="00D0532A">
        <w:rPr>
          <w:rFonts w:ascii="Times New Roman" w:hAnsi="Times New Roman" w:cs="Times New Roman"/>
        </w:rPr>
        <w:t>Aktivnost se financira iz izvora: 1.1.1. Opći prihodi i primici . 3.1.2 Vlastiti prihodi , 5.2.2 Državni proračun, 511 Županijski proračun i 6.1.2 Donacije- proračunski  korisnik..</w:t>
      </w:r>
    </w:p>
    <w:p w14:paraId="41C070E3" w14:textId="77777777" w:rsidR="0081662F" w:rsidRPr="00D0532A" w:rsidRDefault="0081662F" w:rsidP="0081662F">
      <w:pPr>
        <w:spacing w:after="0" w:line="240" w:lineRule="auto"/>
        <w:jc w:val="both"/>
        <w:rPr>
          <w:rFonts w:ascii="Times New Roman" w:hAnsi="Times New Roman" w:cs="Times New Roman"/>
        </w:rPr>
      </w:pPr>
    </w:p>
    <w:p w14:paraId="0EB79799" w14:textId="77777777" w:rsidR="0081662F" w:rsidRPr="00D0532A" w:rsidRDefault="0081662F" w:rsidP="0081662F">
      <w:pPr>
        <w:spacing w:after="0" w:line="240" w:lineRule="auto"/>
        <w:jc w:val="both"/>
        <w:rPr>
          <w:rFonts w:ascii="Times New Roman" w:hAnsi="Times New Roman" w:cs="Times New Roman"/>
          <w:bCs/>
          <w:lang w:eastAsia="hr-HR"/>
        </w:rPr>
      </w:pP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3"/>
        <w:gridCol w:w="2036"/>
        <w:gridCol w:w="1175"/>
        <w:gridCol w:w="1371"/>
        <w:gridCol w:w="1371"/>
        <w:gridCol w:w="1274"/>
      </w:tblGrid>
      <w:tr w:rsidR="0081662F" w:rsidRPr="00D0532A" w14:paraId="34866E03" w14:textId="77777777" w:rsidTr="00EB2357">
        <w:trPr>
          <w:jc w:val="center"/>
        </w:trPr>
        <w:tc>
          <w:tcPr>
            <w:tcW w:w="2243" w:type="dxa"/>
            <w:shd w:val="clear" w:color="auto" w:fill="auto"/>
          </w:tcPr>
          <w:p w14:paraId="343F87F9" w14:textId="77777777" w:rsidR="0081662F" w:rsidRPr="00D0532A" w:rsidRDefault="0081662F" w:rsidP="00EB2357">
            <w:pPr>
              <w:spacing w:after="0" w:line="240" w:lineRule="auto"/>
              <w:contextualSpacing/>
              <w:jc w:val="center"/>
              <w:rPr>
                <w:rFonts w:ascii="Times New Roman" w:eastAsia="Calibri" w:hAnsi="Times New Roman" w:cs="Times New Roman"/>
                <w:b/>
              </w:rPr>
            </w:pPr>
            <w:r w:rsidRPr="00D0532A">
              <w:rPr>
                <w:rFonts w:ascii="Times New Roman" w:eastAsia="Calibri" w:hAnsi="Times New Roman" w:cs="Times New Roman"/>
                <w:b/>
              </w:rPr>
              <w:t>Pokazatelj rezultata</w:t>
            </w:r>
          </w:p>
        </w:tc>
        <w:tc>
          <w:tcPr>
            <w:tcW w:w="2036" w:type="dxa"/>
            <w:shd w:val="clear" w:color="auto" w:fill="auto"/>
          </w:tcPr>
          <w:p w14:paraId="04502890" w14:textId="77777777" w:rsidR="0081662F" w:rsidRPr="00D0532A" w:rsidRDefault="0081662F" w:rsidP="00EB2357">
            <w:pPr>
              <w:spacing w:after="0" w:line="240" w:lineRule="auto"/>
              <w:contextualSpacing/>
              <w:jc w:val="center"/>
              <w:rPr>
                <w:rFonts w:ascii="Times New Roman" w:eastAsia="Calibri" w:hAnsi="Times New Roman" w:cs="Times New Roman"/>
                <w:b/>
              </w:rPr>
            </w:pPr>
            <w:r w:rsidRPr="00D0532A">
              <w:rPr>
                <w:rFonts w:ascii="Times New Roman" w:eastAsia="Calibri" w:hAnsi="Times New Roman" w:cs="Times New Roman"/>
                <w:b/>
              </w:rPr>
              <w:t>Definicija pokazatelja</w:t>
            </w:r>
          </w:p>
        </w:tc>
        <w:tc>
          <w:tcPr>
            <w:tcW w:w="1175" w:type="dxa"/>
            <w:shd w:val="clear" w:color="auto" w:fill="auto"/>
          </w:tcPr>
          <w:p w14:paraId="1230CC45" w14:textId="77777777" w:rsidR="0081662F" w:rsidRPr="00D0532A" w:rsidRDefault="0081662F" w:rsidP="00EB2357">
            <w:pPr>
              <w:spacing w:after="0" w:line="240" w:lineRule="auto"/>
              <w:contextualSpacing/>
              <w:jc w:val="center"/>
              <w:rPr>
                <w:rFonts w:ascii="Times New Roman" w:eastAsia="Calibri" w:hAnsi="Times New Roman" w:cs="Times New Roman"/>
                <w:b/>
              </w:rPr>
            </w:pPr>
            <w:r w:rsidRPr="00D0532A">
              <w:rPr>
                <w:rFonts w:ascii="Times New Roman" w:eastAsia="Calibri" w:hAnsi="Times New Roman" w:cs="Times New Roman"/>
                <w:b/>
              </w:rPr>
              <w:t>Jedinica</w:t>
            </w:r>
          </w:p>
        </w:tc>
        <w:tc>
          <w:tcPr>
            <w:tcW w:w="1371" w:type="dxa"/>
          </w:tcPr>
          <w:p w14:paraId="75193021" w14:textId="77777777" w:rsidR="0081662F" w:rsidRPr="00D0532A" w:rsidRDefault="0081662F" w:rsidP="00EB2357">
            <w:pPr>
              <w:spacing w:after="0" w:line="240" w:lineRule="auto"/>
              <w:contextualSpacing/>
              <w:jc w:val="center"/>
              <w:rPr>
                <w:rFonts w:ascii="Times New Roman" w:eastAsia="Calibri" w:hAnsi="Times New Roman" w:cs="Times New Roman"/>
                <w:b/>
              </w:rPr>
            </w:pPr>
            <w:r w:rsidRPr="00D0532A">
              <w:rPr>
                <w:rFonts w:ascii="Times New Roman" w:eastAsia="Calibri" w:hAnsi="Times New Roman" w:cs="Times New Roman"/>
                <w:b/>
              </w:rPr>
              <w:t>Planirana vrijednost 2024.</w:t>
            </w:r>
          </w:p>
        </w:tc>
        <w:tc>
          <w:tcPr>
            <w:tcW w:w="1371" w:type="dxa"/>
            <w:vAlign w:val="center"/>
          </w:tcPr>
          <w:p w14:paraId="6258639D" w14:textId="77777777" w:rsidR="0081662F" w:rsidRPr="00D0532A" w:rsidRDefault="0081662F" w:rsidP="00EB2357">
            <w:pPr>
              <w:spacing w:after="0" w:line="240" w:lineRule="auto"/>
              <w:contextualSpacing/>
              <w:jc w:val="center"/>
              <w:rPr>
                <w:rFonts w:ascii="Times New Roman" w:eastAsia="Calibri" w:hAnsi="Times New Roman" w:cs="Times New Roman"/>
                <w:b/>
              </w:rPr>
            </w:pPr>
            <w:r w:rsidRPr="00D0532A">
              <w:rPr>
                <w:rFonts w:ascii="Times New Roman" w:hAnsi="Times New Roman" w:cs="Times New Roman"/>
                <w:b/>
                <w:color w:val="000000"/>
                <w:lang w:eastAsia="hr-HR"/>
              </w:rPr>
              <w:t>Izvršenje 2024.</w:t>
            </w:r>
          </w:p>
        </w:tc>
        <w:tc>
          <w:tcPr>
            <w:tcW w:w="1274" w:type="dxa"/>
            <w:vAlign w:val="center"/>
          </w:tcPr>
          <w:p w14:paraId="73F2612A" w14:textId="77777777" w:rsidR="0081662F" w:rsidRPr="00D0532A" w:rsidRDefault="0081662F" w:rsidP="00EB2357">
            <w:pPr>
              <w:spacing w:after="0" w:line="240" w:lineRule="auto"/>
              <w:contextualSpacing/>
              <w:jc w:val="center"/>
              <w:rPr>
                <w:rFonts w:ascii="Times New Roman" w:eastAsia="Calibri" w:hAnsi="Times New Roman" w:cs="Times New Roman"/>
                <w:b/>
              </w:rPr>
            </w:pPr>
            <w:r w:rsidRPr="00D0532A">
              <w:rPr>
                <w:rFonts w:ascii="Times New Roman" w:hAnsi="Times New Roman" w:cs="Times New Roman"/>
                <w:b/>
                <w:color w:val="000000"/>
                <w:lang w:eastAsia="hr-HR"/>
              </w:rPr>
              <w:t>Indeks</w:t>
            </w:r>
          </w:p>
        </w:tc>
      </w:tr>
      <w:tr w:rsidR="0081662F" w:rsidRPr="00D0532A" w14:paraId="46EE27BE" w14:textId="77777777" w:rsidTr="00EB2357">
        <w:trPr>
          <w:jc w:val="center"/>
        </w:trPr>
        <w:tc>
          <w:tcPr>
            <w:tcW w:w="2243" w:type="dxa"/>
            <w:shd w:val="clear" w:color="auto" w:fill="auto"/>
          </w:tcPr>
          <w:p w14:paraId="24373658" w14:textId="77777777" w:rsidR="0081662F" w:rsidRPr="00D0532A" w:rsidRDefault="0081662F" w:rsidP="00EB2357">
            <w:pPr>
              <w:spacing w:after="0"/>
              <w:contextualSpacing/>
              <w:rPr>
                <w:rFonts w:ascii="Times New Roman" w:eastAsia="Calibri" w:hAnsi="Times New Roman" w:cs="Times New Roman"/>
              </w:rPr>
            </w:pPr>
            <w:r w:rsidRPr="00D0532A">
              <w:rPr>
                <w:rFonts w:ascii="Times New Roman" w:eastAsia="Calibri" w:hAnsi="Times New Roman" w:cs="Times New Roman"/>
              </w:rPr>
              <w:t>Broj učenika za koje se provodi aktivnost</w:t>
            </w:r>
          </w:p>
        </w:tc>
        <w:tc>
          <w:tcPr>
            <w:tcW w:w="2036" w:type="dxa"/>
            <w:shd w:val="clear" w:color="auto" w:fill="auto"/>
          </w:tcPr>
          <w:p w14:paraId="752C8BDB" w14:textId="77777777" w:rsidR="0081662F" w:rsidRPr="00D0532A" w:rsidRDefault="0081662F" w:rsidP="00EB2357">
            <w:pPr>
              <w:spacing w:after="0"/>
              <w:contextualSpacing/>
              <w:rPr>
                <w:rFonts w:ascii="Times New Roman" w:eastAsia="Calibri" w:hAnsi="Times New Roman" w:cs="Times New Roman"/>
              </w:rPr>
            </w:pPr>
            <w:r w:rsidRPr="00D0532A">
              <w:rPr>
                <w:rFonts w:ascii="Times New Roman" w:eastAsia="Calibri" w:hAnsi="Times New Roman" w:cs="Times New Roman"/>
              </w:rPr>
              <w:t>Broj učenika koji su uključeni u program</w:t>
            </w:r>
          </w:p>
        </w:tc>
        <w:tc>
          <w:tcPr>
            <w:tcW w:w="1175" w:type="dxa"/>
            <w:shd w:val="clear" w:color="auto" w:fill="auto"/>
          </w:tcPr>
          <w:p w14:paraId="48FE521C" w14:textId="77777777" w:rsidR="0081662F" w:rsidRPr="00D0532A" w:rsidRDefault="0081662F" w:rsidP="00EB2357">
            <w:pPr>
              <w:spacing w:after="0"/>
              <w:contextualSpacing/>
              <w:rPr>
                <w:rFonts w:ascii="Times New Roman" w:eastAsia="Calibri" w:hAnsi="Times New Roman" w:cs="Times New Roman"/>
              </w:rPr>
            </w:pPr>
            <w:r w:rsidRPr="00D0532A">
              <w:rPr>
                <w:rFonts w:ascii="Times New Roman" w:eastAsia="Calibri" w:hAnsi="Times New Roman" w:cs="Times New Roman"/>
              </w:rPr>
              <w:t>Iznos u EUR</w:t>
            </w:r>
          </w:p>
        </w:tc>
        <w:tc>
          <w:tcPr>
            <w:tcW w:w="1371" w:type="dxa"/>
            <w:vAlign w:val="center"/>
          </w:tcPr>
          <w:p w14:paraId="5FA0D842" w14:textId="77777777" w:rsidR="0081662F" w:rsidRPr="00D0532A" w:rsidRDefault="0081662F" w:rsidP="00EB2357">
            <w:pPr>
              <w:spacing w:after="0" w:line="240" w:lineRule="auto"/>
              <w:contextualSpacing/>
              <w:jc w:val="center"/>
              <w:rPr>
                <w:rFonts w:ascii="Times New Roman" w:eastAsia="Calibri" w:hAnsi="Times New Roman" w:cs="Times New Roman"/>
              </w:rPr>
            </w:pPr>
            <w:r w:rsidRPr="00D0532A">
              <w:rPr>
                <w:rFonts w:ascii="Times New Roman" w:eastAsia="Calibri" w:hAnsi="Times New Roman" w:cs="Times New Roman"/>
              </w:rPr>
              <w:t>525</w:t>
            </w:r>
          </w:p>
        </w:tc>
        <w:tc>
          <w:tcPr>
            <w:tcW w:w="1371" w:type="dxa"/>
            <w:vAlign w:val="center"/>
          </w:tcPr>
          <w:p w14:paraId="38953EE2" w14:textId="77777777" w:rsidR="0081662F" w:rsidRPr="00D0532A" w:rsidRDefault="0081662F" w:rsidP="00EB2357">
            <w:pPr>
              <w:spacing w:after="0" w:line="240" w:lineRule="auto"/>
              <w:contextualSpacing/>
              <w:jc w:val="center"/>
              <w:rPr>
                <w:rFonts w:ascii="Times New Roman" w:eastAsia="Calibri" w:hAnsi="Times New Roman" w:cs="Times New Roman"/>
              </w:rPr>
            </w:pPr>
            <w:r w:rsidRPr="00D0532A">
              <w:rPr>
                <w:rFonts w:ascii="Times New Roman" w:eastAsia="Calibri" w:hAnsi="Times New Roman" w:cs="Times New Roman"/>
              </w:rPr>
              <w:t>525</w:t>
            </w:r>
          </w:p>
        </w:tc>
        <w:tc>
          <w:tcPr>
            <w:tcW w:w="1274" w:type="dxa"/>
            <w:vAlign w:val="center"/>
          </w:tcPr>
          <w:p w14:paraId="509A34F3" w14:textId="77777777" w:rsidR="0081662F" w:rsidRPr="00D0532A" w:rsidRDefault="0081662F" w:rsidP="00EB2357">
            <w:pPr>
              <w:spacing w:after="0" w:line="240" w:lineRule="auto"/>
              <w:contextualSpacing/>
              <w:jc w:val="center"/>
              <w:rPr>
                <w:rFonts w:ascii="Times New Roman" w:eastAsia="Calibri" w:hAnsi="Times New Roman" w:cs="Times New Roman"/>
              </w:rPr>
            </w:pPr>
            <w:r w:rsidRPr="00D0532A">
              <w:rPr>
                <w:rFonts w:ascii="Times New Roman" w:eastAsia="Calibri" w:hAnsi="Times New Roman" w:cs="Times New Roman"/>
              </w:rPr>
              <w:t>100%</w:t>
            </w:r>
          </w:p>
        </w:tc>
      </w:tr>
      <w:tr w:rsidR="0081662F" w:rsidRPr="00D0532A" w14:paraId="0F8C5941" w14:textId="77777777" w:rsidTr="00EB2357">
        <w:trPr>
          <w:jc w:val="center"/>
        </w:trPr>
        <w:tc>
          <w:tcPr>
            <w:tcW w:w="2243" w:type="dxa"/>
            <w:shd w:val="clear" w:color="auto" w:fill="auto"/>
          </w:tcPr>
          <w:p w14:paraId="39777938" w14:textId="77777777" w:rsidR="0081662F" w:rsidRPr="00D0532A" w:rsidRDefault="0081662F" w:rsidP="00EB2357">
            <w:pPr>
              <w:spacing w:after="0"/>
              <w:contextualSpacing/>
              <w:rPr>
                <w:rFonts w:ascii="Times New Roman" w:eastAsia="Calibri" w:hAnsi="Times New Roman" w:cs="Times New Roman"/>
              </w:rPr>
            </w:pPr>
            <w:r w:rsidRPr="00D0532A">
              <w:rPr>
                <w:rFonts w:ascii="Times New Roman" w:eastAsia="Calibri" w:hAnsi="Times New Roman" w:cs="Times New Roman"/>
              </w:rPr>
              <w:t>Planirana sredstva za provedbu aktivnosti</w:t>
            </w:r>
          </w:p>
        </w:tc>
        <w:tc>
          <w:tcPr>
            <w:tcW w:w="2036" w:type="dxa"/>
            <w:shd w:val="clear" w:color="auto" w:fill="auto"/>
          </w:tcPr>
          <w:p w14:paraId="377220FA" w14:textId="77777777" w:rsidR="0081662F" w:rsidRPr="00D0532A" w:rsidRDefault="0081662F" w:rsidP="00EB2357">
            <w:pPr>
              <w:spacing w:after="0"/>
              <w:contextualSpacing/>
              <w:rPr>
                <w:rFonts w:ascii="Times New Roman" w:eastAsia="Calibri" w:hAnsi="Times New Roman" w:cs="Times New Roman"/>
              </w:rPr>
            </w:pPr>
            <w:r w:rsidRPr="00D0532A">
              <w:rPr>
                <w:rFonts w:ascii="Times New Roman" w:eastAsia="Calibri" w:hAnsi="Times New Roman" w:cs="Times New Roman"/>
              </w:rPr>
              <w:t>Sredstva za provedbu aktivnosti</w:t>
            </w:r>
          </w:p>
        </w:tc>
        <w:tc>
          <w:tcPr>
            <w:tcW w:w="1175" w:type="dxa"/>
            <w:shd w:val="clear" w:color="auto" w:fill="auto"/>
          </w:tcPr>
          <w:p w14:paraId="3067E32C" w14:textId="77777777" w:rsidR="0081662F" w:rsidRPr="00D0532A" w:rsidRDefault="0081662F" w:rsidP="00EB2357">
            <w:pPr>
              <w:spacing w:after="0"/>
              <w:contextualSpacing/>
              <w:rPr>
                <w:rFonts w:ascii="Times New Roman" w:eastAsia="Calibri" w:hAnsi="Times New Roman" w:cs="Times New Roman"/>
              </w:rPr>
            </w:pPr>
            <w:r w:rsidRPr="00D0532A">
              <w:rPr>
                <w:rFonts w:ascii="Times New Roman" w:eastAsia="Calibri" w:hAnsi="Times New Roman" w:cs="Times New Roman"/>
              </w:rPr>
              <w:t>Iznos u EUR</w:t>
            </w:r>
          </w:p>
        </w:tc>
        <w:tc>
          <w:tcPr>
            <w:tcW w:w="1371" w:type="dxa"/>
            <w:vAlign w:val="center"/>
          </w:tcPr>
          <w:p w14:paraId="1C82EC59" w14:textId="77777777" w:rsidR="0081662F" w:rsidRPr="00D0532A" w:rsidRDefault="0081662F" w:rsidP="00EB2357">
            <w:pPr>
              <w:spacing w:after="0" w:line="240" w:lineRule="auto"/>
              <w:contextualSpacing/>
              <w:jc w:val="center"/>
              <w:rPr>
                <w:rFonts w:ascii="Times New Roman" w:eastAsia="Calibri" w:hAnsi="Times New Roman" w:cs="Times New Roman"/>
              </w:rPr>
            </w:pPr>
            <w:r w:rsidRPr="00D0532A">
              <w:rPr>
                <w:rFonts w:ascii="Times New Roman" w:eastAsia="Calibri" w:hAnsi="Times New Roman" w:cs="Times New Roman"/>
              </w:rPr>
              <w:t>2.424.615,55</w:t>
            </w:r>
          </w:p>
        </w:tc>
        <w:tc>
          <w:tcPr>
            <w:tcW w:w="1371" w:type="dxa"/>
            <w:vAlign w:val="center"/>
          </w:tcPr>
          <w:p w14:paraId="65B1D23E" w14:textId="77777777" w:rsidR="0081662F" w:rsidRPr="00D0532A" w:rsidRDefault="0081662F" w:rsidP="00EB2357">
            <w:pPr>
              <w:spacing w:after="0" w:line="240" w:lineRule="auto"/>
              <w:contextualSpacing/>
              <w:jc w:val="center"/>
              <w:rPr>
                <w:rFonts w:ascii="Times New Roman" w:eastAsia="Calibri" w:hAnsi="Times New Roman" w:cs="Times New Roman"/>
              </w:rPr>
            </w:pPr>
            <w:r w:rsidRPr="00D0532A">
              <w:rPr>
                <w:rFonts w:ascii="Times New Roman" w:eastAsia="Calibri" w:hAnsi="Times New Roman" w:cs="Times New Roman"/>
              </w:rPr>
              <w:t>2.414.084,48</w:t>
            </w:r>
          </w:p>
        </w:tc>
        <w:tc>
          <w:tcPr>
            <w:tcW w:w="1274" w:type="dxa"/>
            <w:vAlign w:val="center"/>
          </w:tcPr>
          <w:p w14:paraId="71DB9266" w14:textId="77777777" w:rsidR="0081662F" w:rsidRPr="00D0532A" w:rsidRDefault="0081662F" w:rsidP="00EB2357">
            <w:pPr>
              <w:spacing w:after="0" w:line="240" w:lineRule="auto"/>
              <w:contextualSpacing/>
              <w:jc w:val="center"/>
              <w:rPr>
                <w:rFonts w:ascii="Times New Roman" w:eastAsia="Calibri" w:hAnsi="Times New Roman" w:cs="Times New Roman"/>
              </w:rPr>
            </w:pPr>
            <w:r w:rsidRPr="00D0532A">
              <w:rPr>
                <w:rFonts w:ascii="Times New Roman" w:eastAsia="Calibri" w:hAnsi="Times New Roman" w:cs="Times New Roman"/>
              </w:rPr>
              <w:t>99,57%</w:t>
            </w:r>
          </w:p>
        </w:tc>
      </w:tr>
      <w:tr w:rsidR="0081662F" w:rsidRPr="00D0532A" w14:paraId="3DD69026" w14:textId="77777777" w:rsidTr="00EB2357">
        <w:trPr>
          <w:jc w:val="center"/>
        </w:trPr>
        <w:tc>
          <w:tcPr>
            <w:tcW w:w="2243" w:type="dxa"/>
            <w:shd w:val="clear" w:color="auto" w:fill="auto"/>
          </w:tcPr>
          <w:p w14:paraId="1648D261" w14:textId="77777777" w:rsidR="0081662F" w:rsidRPr="00D0532A" w:rsidRDefault="0081662F" w:rsidP="00EB2357">
            <w:pPr>
              <w:spacing w:after="0"/>
              <w:contextualSpacing/>
              <w:rPr>
                <w:rFonts w:ascii="Times New Roman" w:eastAsia="Calibri" w:hAnsi="Times New Roman" w:cs="Times New Roman"/>
              </w:rPr>
            </w:pPr>
            <w:r w:rsidRPr="00D0532A">
              <w:rPr>
                <w:rFonts w:ascii="Times New Roman" w:eastAsia="Calibri" w:hAnsi="Times New Roman" w:cs="Times New Roman"/>
              </w:rPr>
              <w:t>Broj učenika Glazbenog odjela</w:t>
            </w:r>
          </w:p>
        </w:tc>
        <w:tc>
          <w:tcPr>
            <w:tcW w:w="2036" w:type="dxa"/>
            <w:shd w:val="clear" w:color="auto" w:fill="auto"/>
          </w:tcPr>
          <w:p w14:paraId="02BB9CD2" w14:textId="77777777" w:rsidR="0081662F" w:rsidRPr="00D0532A" w:rsidRDefault="0081662F" w:rsidP="00EB2357">
            <w:pPr>
              <w:spacing w:after="0"/>
              <w:contextualSpacing/>
              <w:rPr>
                <w:rFonts w:ascii="Times New Roman" w:eastAsia="Calibri" w:hAnsi="Times New Roman" w:cs="Times New Roman"/>
              </w:rPr>
            </w:pPr>
            <w:r w:rsidRPr="00D0532A">
              <w:rPr>
                <w:rFonts w:ascii="Times New Roman" w:eastAsia="Calibri" w:hAnsi="Times New Roman" w:cs="Times New Roman"/>
              </w:rPr>
              <w:t>Broj učenika</w:t>
            </w:r>
          </w:p>
        </w:tc>
        <w:tc>
          <w:tcPr>
            <w:tcW w:w="1175" w:type="dxa"/>
            <w:shd w:val="clear" w:color="auto" w:fill="auto"/>
          </w:tcPr>
          <w:p w14:paraId="727BE600" w14:textId="77777777" w:rsidR="0081662F" w:rsidRPr="00D0532A" w:rsidRDefault="0081662F" w:rsidP="00EB2357">
            <w:pPr>
              <w:spacing w:after="0"/>
              <w:contextualSpacing/>
              <w:rPr>
                <w:rFonts w:ascii="Times New Roman" w:eastAsia="Calibri" w:hAnsi="Times New Roman" w:cs="Times New Roman"/>
              </w:rPr>
            </w:pPr>
            <w:r w:rsidRPr="00D0532A">
              <w:rPr>
                <w:rFonts w:ascii="Times New Roman" w:eastAsia="Calibri" w:hAnsi="Times New Roman" w:cs="Times New Roman"/>
              </w:rPr>
              <w:t>Broj učenika</w:t>
            </w:r>
          </w:p>
        </w:tc>
        <w:tc>
          <w:tcPr>
            <w:tcW w:w="1371" w:type="dxa"/>
            <w:vAlign w:val="center"/>
          </w:tcPr>
          <w:p w14:paraId="1633734F" w14:textId="77777777" w:rsidR="0081662F" w:rsidRPr="00D0532A" w:rsidRDefault="0081662F" w:rsidP="00EB2357">
            <w:pPr>
              <w:spacing w:after="0" w:line="240" w:lineRule="auto"/>
              <w:jc w:val="center"/>
              <w:rPr>
                <w:rFonts w:ascii="Times New Roman" w:hAnsi="Times New Roman" w:cs="Times New Roman"/>
                <w:bCs/>
                <w:color w:val="000000"/>
                <w:lang w:eastAsia="hr-HR"/>
              </w:rPr>
            </w:pPr>
            <w:r w:rsidRPr="00D0532A">
              <w:rPr>
                <w:rFonts w:ascii="Times New Roman" w:hAnsi="Times New Roman" w:cs="Times New Roman"/>
                <w:bCs/>
                <w:color w:val="000000"/>
                <w:lang w:eastAsia="hr-HR"/>
              </w:rPr>
              <w:t>31</w:t>
            </w:r>
          </w:p>
        </w:tc>
        <w:tc>
          <w:tcPr>
            <w:tcW w:w="1371" w:type="dxa"/>
            <w:vAlign w:val="center"/>
          </w:tcPr>
          <w:p w14:paraId="4EDB5811" w14:textId="77777777" w:rsidR="0081662F" w:rsidRPr="00D0532A" w:rsidRDefault="0081662F" w:rsidP="00EB2357">
            <w:pPr>
              <w:spacing w:after="0" w:line="240" w:lineRule="auto"/>
              <w:jc w:val="center"/>
              <w:rPr>
                <w:rFonts w:ascii="Times New Roman" w:hAnsi="Times New Roman" w:cs="Times New Roman"/>
                <w:bCs/>
                <w:color w:val="000000"/>
                <w:lang w:eastAsia="hr-HR"/>
              </w:rPr>
            </w:pPr>
            <w:r w:rsidRPr="00D0532A">
              <w:rPr>
                <w:rFonts w:ascii="Times New Roman" w:hAnsi="Times New Roman" w:cs="Times New Roman"/>
                <w:bCs/>
                <w:color w:val="000000"/>
                <w:lang w:eastAsia="hr-HR"/>
              </w:rPr>
              <w:t>30</w:t>
            </w:r>
          </w:p>
        </w:tc>
        <w:tc>
          <w:tcPr>
            <w:tcW w:w="1274" w:type="dxa"/>
            <w:vAlign w:val="center"/>
          </w:tcPr>
          <w:p w14:paraId="4FCE711F" w14:textId="77777777" w:rsidR="0081662F" w:rsidRPr="00D0532A" w:rsidRDefault="0081662F" w:rsidP="00EB2357">
            <w:pPr>
              <w:spacing w:after="0" w:line="240" w:lineRule="auto"/>
              <w:jc w:val="center"/>
              <w:rPr>
                <w:rFonts w:ascii="Times New Roman" w:hAnsi="Times New Roman" w:cs="Times New Roman"/>
                <w:bCs/>
                <w:color w:val="000000"/>
                <w:lang w:eastAsia="hr-HR"/>
              </w:rPr>
            </w:pPr>
            <w:r w:rsidRPr="00D0532A">
              <w:rPr>
                <w:rFonts w:ascii="Times New Roman" w:hAnsi="Times New Roman" w:cs="Times New Roman"/>
                <w:bCs/>
                <w:color w:val="000000"/>
                <w:lang w:eastAsia="hr-HR"/>
              </w:rPr>
              <w:t>96,77%</w:t>
            </w:r>
          </w:p>
        </w:tc>
      </w:tr>
      <w:tr w:rsidR="0081662F" w:rsidRPr="00D0532A" w14:paraId="34B502C2" w14:textId="77777777" w:rsidTr="00EB2357">
        <w:trPr>
          <w:jc w:val="center"/>
        </w:trPr>
        <w:tc>
          <w:tcPr>
            <w:tcW w:w="2243" w:type="dxa"/>
            <w:shd w:val="clear" w:color="auto" w:fill="auto"/>
          </w:tcPr>
          <w:p w14:paraId="6B64CC22" w14:textId="77777777" w:rsidR="0081662F" w:rsidRPr="00D0532A" w:rsidRDefault="0081662F" w:rsidP="00EB2357">
            <w:pPr>
              <w:spacing w:after="0"/>
              <w:contextualSpacing/>
              <w:rPr>
                <w:rFonts w:ascii="Times New Roman" w:eastAsia="Calibri" w:hAnsi="Times New Roman" w:cs="Times New Roman"/>
              </w:rPr>
            </w:pPr>
            <w:r w:rsidRPr="00D0532A">
              <w:rPr>
                <w:rFonts w:ascii="Times New Roman" w:eastAsia="Calibri" w:hAnsi="Times New Roman" w:cs="Times New Roman"/>
              </w:rPr>
              <w:t>Planirana sredstva za provedbu aktivnosti</w:t>
            </w:r>
          </w:p>
        </w:tc>
        <w:tc>
          <w:tcPr>
            <w:tcW w:w="2036" w:type="dxa"/>
            <w:shd w:val="clear" w:color="auto" w:fill="auto"/>
          </w:tcPr>
          <w:p w14:paraId="14F81563" w14:textId="77777777" w:rsidR="0081662F" w:rsidRPr="00D0532A" w:rsidRDefault="0081662F" w:rsidP="00EB2357">
            <w:pPr>
              <w:spacing w:after="0"/>
              <w:contextualSpacing/>
              <w:rPr>
                <w:rFonts w:ascii="Times New Roman" w:eastAsia="Calibri" w:hAnsi="Times New Roman" w:cs="Times New Roman"/>
              </w:rPr>
            </w:pPr>
            <w:r w:rsidRPr="00D0532A">
              <w:rPr>
                <w:rFonts w:ascii="Times New Roman" w:eastAsia="Calibri" w:hAnsi="Times New Roman" w:cs="Times New Roman"/>
              </w:rPr>
              <w:t>Sredstva za provedbu aktivnosti</w:t>
            </w:r>
          </w:p>
        </w:tc>
        <w:tc>
          <w:tcPr>
            <w:tcW w:w="1175" w:type="dxa"/>
            <w:shd w:val="clear" w:color="auto" w:fill="auto"/>
          </w:tcPr>
          <w:p w14:paraId="0C593323" w14:textId="77777777" w:rsidR="0081662F" w:rsidRPr="00D0532A" w:rsidRDefault="0081662F" w:rsidP="00EB2357">
            <w:pPr>
              <w:spacing w:after="0"/>
              <w:contextualSpacing/>
              <w:rPr>
                <w:rFonts w:ascii="Times New Roman" w:eastAsia="Calibri" w:hAnsi="Times New Roman" w:cs="Times New Roman"/>
              </w:rPr>
            </w:pPr>
            <w:r w:rsidRPr="00D0532A">
              <w:rPr>
                <w:rFonts w:ascii="Times New Roman" w:eastAsia="Calibri" w:hAnsi="Times New Roman" w:cs="Times New Roman"/>
              </w:rPr>
              <w:t>Iznos u EUR</w:t>
            </w:r>
          </w:p>
        </w:tc>
        <w:tc>
          <w:tcPr>
            <w:tcW w:w="1371" w:type="dxa"/>
            <w:vAlign w:val="center"/>
          </w:tcPr>
          <w:p w14:paraId="550B73B8" w14:textId="77777777" w:rsidR="0081662F" w:rsidRPr="00D0532A" w:rsidRDefault="0081662F" w:rsidP="00EB2357">
            <w:pPr>
              <w:spacing w:after="0" w:line="240" w:lineRule="auto"/>
              <w:jc w:val="center"/>
              <w:rPr>
                <w:rFonts w:ascii="Times New Roman" w:hAnsi="Times New Roman" w:cs="Times New Roman"/>
                <w:bCs/>
                <w:color w:val="000000"/>
                <w:lang w:eastAsia="hr-HR"/>
              </w:rPr>
            </w:pPr>
            <w:r w:rsidRPr="00D0532A">
              <w:rPr>
                <w:rFonts w:ascii="Times New Roman" w:hAnsi="Times New Roman" w:cs="Times New Roman"/>
                <w:bCs/>
                <w:color w:val="000000"/>
                <w:lang w:eastAsia="hr-HR"/>
              </w:rPr>
              <w:t>8.600,00</w:t>
            </w:r>
          </w:p>
        </w:tc>
        <w:tc>
          <w:tcPr>
            <w:tcW w:w="1371" w:type="dxa"/>
            <w:vAlign w:val="center"/>
          </w:tcPr>
          <w:p w14:paraId="336347EA" w14:textId="77777777" w:rsidR="0081662F" w:rsidRPr="00D0532A" w:rsidRDefault="0081662F" w:rsidP="00EB2357">
            <w:pPr>
              <w:spacing w:after="0" w:line="240" w:lineRule="auto"/>
              <w:jc w:val="center"/>
              <w:rPr>
                <w:rFonts w:ascii="Times New Roman" w:hAnsi="Times New Roman" w:cs="Times New Roman"/>
                <w:bCs/>
                <w:color w:val="000000"/>
                <w:lang w:eastAsia="hr-HR"/>
              </w:rPr>
            </w:pPr>
            <w:r w:rsidRPr="00D0532A">
              <w:rPr>
                <w:rFonts w:ascii="Times New Roman" w:hAnsi="Times New Roman" w:cs="Times New Roman"/>
                <w:bCs/>
                <w:color w:val="000000"/>
                <w:lang w:eastAsia="hr-HR"/>
              </w:rPr>
              <w:t>8.243,42</w:t>
            </w:r>
          </w:p>
        </w:tc>
        <w:tc>
          <w:tcPr>
            <w:tcW w:w="1274" w:type="dxa"/>
            <w:vAlign w:val="center"/>
          </w:tcPr>
          <w:p w14:paraId="02CAAF55" w14:textId="77777777" w:rsidR="0081662F" w:rsidRPr="00D0532A" w:rsidRDefault="0081662F" w:rsidP="00EB2357">
            <w:pPr>
              <w:spacing w:after="0" w:line="240" w:lineRule="auto"/>
              <w:jc w:val="center"/>
              <w:rPr>
                <w:rFonts w:ascii="Times New Roman" w:hAnsi="Times New Roman" w:cs="Times New Roman"/>
                <w:bCs/>
                <w:color w:val="000000"/>
                <w:lang w:eastAsia="hr-HR"/>
              </w:rPr>
            </w:pPr>
            <w:r w:rsidRPr="00D0532A">
              <w:rPr>
                <w:rFonts w:ascii="Times New Roman" w:hAnsi="Times New Roman" w:cs="Times New Roman"/>
                <w:bCs/>
                <w:color w:val="000000"/>
                <w:lang w:eastAsia="hr-HR"/>
              </w:rPr>
              <w:t>95,85%</w:t>
            </w:r>
          </w:p>
        </w:tc>
      </w:tr>
    </w:tbl>
    <w:p w14:paraId="1F378CC5" w14:textId="77777777" w:rsidR="0081662F" w:rsidRPr="00D0532A" w:rsidRDefault="0081662F" w:rsidP="0081662F">
      <w:pPr>
        <w:spacing w:after="0"/>
        <w:contextualSpacing/>
        <w:rPr>
          <w:rFonts w:ascii="Times New Roman" w:eastAsia="Calibri" w:hAnsi="Times New Roman" w:cs="Times New Roman"/>
          <w:b/>
        </w:rPr>
      </w:pPr>
    </w:p>
    <w:p w14:paraId="31202634" w14:textId="77777777" w:rsidR="0081662F" w:rsidRPr="00D0532A" w:rsidRDefault="0081662F" w:rsidP="0081662F">
      <w:pPr>
        <w:spacing w:after="0" w:line="240" w:lineRule="auto"/>
        <w:jc w:val="both"/>
        <w:rPr>
          <w:rFonts w:ascii="Times New Roman" w:hAnsi="Times New Roman" w:cs="Times New Roman"/>
          <w:b/>
          <w:bCs/>
        </w:rPr>
      </w:pPr>
      <w:r w:rsidRPr="00D0532A">
        <w:rPr>
          <w:rFonts w:ascii="Times New Roman" w:hAnsi="Times New Roman" w:cs="Times New Roman"/>
          <w:b/>
          <w:bCs/>
        </w:rPr>
        <w:t>Aktivnost Prehrana za učenike osnovnih škola</w:t>
      </w:r>
    </w:p>
    <w:p w14:paraId="39665B0E" w14:textId="77777777" w:rsidR="0081662F" w:rsidRPr="00D0532A" w:rsidRDefault="0081662F" w:rsidP="0081662F">
      <w:pPr>
        <w:spacing w:after="0" w:line="240" w:lineRule="auto"/>
        <w:jc w:val="both"/>
        <w:rPr>
          <w:rFonts w:ascii="Times New Roman" w:hAnsi="Times New Roman" w:cs="Times New Roman"/>
        </w:rPr>
      </w:pPr>
    </w:p>
    <w:p w14:paraId="26BFEA79" w14:textId="77777777" w:rsidR="0081662F" w:rsidRPr="00D0532A" w:rsidRDefault="0081662F" w:rsidP="0081662F">
      <w:pPr>
        <w:spacing w:after="0" w:line="240" w:lineRule="auto"/>
        <w:jc w:val="both"/>
        <w:rPr>
          <w:rFonts w:ascii="Times New Roman" w:hAnsi="Times New Roman" w:cs="Times New Roman"/>
        </w:rPr>
      </w:pPr>
      <w:r w:rsidRPr="00D0532A">
        <w:rPr>
          <w:rFonts w:ascii="Times New Roman" w:hAnsi="Times New Roman" w:cs="Times New Roman"/>
        </w:rPr>
        <w:t xml:space="preserve">Ukupni rashodi za navedenu aktivnost iznose 114.535,61 eura što je 94,45% od planiranog. Aktivnost  obuhvaća namirnice za prehranu učenika. Aktivnost se financira iz izvora: 5.2.2 Državni proračun- korisnici. </w:t>
      </w:r>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268"/>
        <w:gridCol w:w="1090"/>
        <w:gridCol w:w="1348"/>
        <w:gridCol w:w="1348"/>
        <w:gridCol w:w="1348"/>
      </w:tblGrid>
      <w:tr w:rsidR="0081662F" w:rsidRPr="00D0532A" w14:paraId="6D9E0BEA" w14:textId="77777777" w:rsidTr="00EB2357">
        <w:trPr>
          <w:jc w:val="center"/>
        </w:trPr>
        <w:tc>
          <w:tcPr>
            <w:tcW w:w="2122" w:type="dxa"/>
            <w:shd w:val="clear" w:color="auto" w:fill="auto"/>
          </w:tcPr>
          <w:p w14:paraId="2B92FB40" w14:textId="77777777" w:rsidR="0081662F" w:rsidRPr="00D0532A" w:rsidRDefault="0081662F" w:rsidP="00EB2357">
            <w:pPr>
              <w:spacing w:after="0" w:line="240" w:lineRule="auto"/>
              <w:contextualSpacing/>
              <w:jc w:val="center"/>
              <w:rPr>
                <w:rFonts w:ascii="Times New Roman" w:eastAsia="Calibri" w:hAnsi="Times New Roman" w:cs="Times New Roman"/>
                <w:b/>
              </w:rPr>
            </w:pPr>
            <w:r w:rsidRPr="00D0532A">
              <w:rPr>
                <w:rFonts w:ascii="Times New Roman" w:eastAsia="Calibri" w:hAnsi="Times New Roman" w:cs="Times New Roman"/>
                <w:b/>
              </w:rPr>
              <w:t>Pokazatelj rezultata</w:t>
            </w:r>
          </w:p>
        </w:tc>
        <w:tc>
          <w:tcPr>
            <w:tcW w:w="2268" w:type="dxa"/>
            <w:shd w:val="clear" w:color="auto" w:fill="auto"/>
          </w:tcPr>
          <w:p w14:paraId="40BD912E" w14:textId="77777777" w:rsidR="0081662F" w:rsidRPr="00D0532A" w:rsidRDefault="0081662F" w:rsidP="00EB2357">
            <w:pPr>
              <w:spacing w:after="0" w:line="240" w:lineRule="auto"/>
              <w:contextualSpacing/>
              <w:jc w:val="center"/>
              <w:rPr>
                <w:rFonts w:ascii="Times New Roman" w:eastAsia="Calibri" w:hAnsi="Times New Roman" w:cs="Times New Roman"/>
                <w:b/>
              </w:rPr>
            </w:pPr>
            <w:r w:rsidRPr="00D0532A">
              <w:rPr>
                <w:rFonts w:ascii="Times New Roman" w:eastAsia="Calibri" w:hAnsi="Times New Roman" w:cs="Times New Roman"/>
                <w:b/>
              </w:rPr>
              <w:t>Definicija pokazatelja</w:t>
            </w:r>
          </w:p>
        </w:tc>
        <w:tc>
          <w:tcPr>
            <w:tcW w:w="1090" w:type="dxa"/>
            <w:shd w:val="clear" w:color="auto" w:fill="auto"/>
          </w:tcPr>
          <w:p w14:paraId="43775DC3" w14:textId="77777777" w:rsidR="0081662F" w:rsidRPr="00D0532A" w:rsidRDefault="0081662F" w:rsidP="00EB2357">
            <w:pPr>
              <w:spacing w:after="0" w:line="240" w:lineRule="auto"/>
              <w:contextualSpacing/>
              <w:jc w:val="center"/>
              <w:rPr>
                <w:rFonts w:ascii="Times New Roman" w:eastAsia="Calibri" w:hAnsi="Times New Roman" w:cs="Times New Roman"/>
                <w:b/>
              </w:rPr>
            </w:pPr>
            <w:r w:rsidRPr="00D0532A">
              <w:rPr>
                <w:rFonts w:ascii="Times New Roman" w:eastAsia="Calibri" w:hAnsi="Times New Roman" w:cs="Times New Roman"/>
                <w:b/>
              </w:rPr>
              <w:t>Jedinica</w:t>
            </w:r>
          </w:p>
        </w:tc>
        <w:tc>
          <w:tcPr>
            <w:tcW w:w="1348" w:type="dxa"/>
          </w:tcPr>
          <w:p w14:paraId="5554E9B1" w14:textId="77777777" w:rsidR="0081662F" w:rsidRPr="00D0532A" w:rsidRDefault="0081662F" w:rsidP="00EB2357">
            <w:pPr>
              <w:spacing w:after="0" w:line="240" w:lineRule="auto"/>
              <w:contextualSpacing/>
              <w:jc w:val="center"/>
              <w:rPr>
                <w:rFonts w:ascii="Times New Roman" w:eastAsia="Calibri" w:hAnsi="Times New Roman" w:cs="Times New Roman"/>
                <w:b/>
              </w:rPr>
            </w:pPr>
            <w:r w:rsidRPr="00D0532A">
              <w:rPr>
                <w:rFonts w:ascii="Times New Roman" w:eastAsia="Calibri" w:hAnsi="Times New Roman" w:cs="Times New Roman"/>
                <w:b/>
              </w:rPr>
              <w:t>Planirana vrijednost 2024.</w:t>
            </w:r>
          </w:p>
        </w:tc>
        <w:tc>
          <w:tcPr>
            <w:tcW w:w="1348" w:type="dxa"/>
            <w:vAlign w:val="center"/>
          </w:tcPr>
          <w:p w14:paraId="3595FBB3" w14:textId="77777777" w:rsidR="0081662F" w:rsidRPr="00D0532A" w:rsidRDefault="0081662F" w:rsidP="00EB2357">
            <w:pPr>
              <w:spacing w:after="0" w:line="240" w:lineRule="auto"/>
              <w:contextualSpacing/>
              <w:jc w:val="center"/>
              <w:rPr>
                <w:rFonts w:ascii="Times New Roman" w:eastAsia="Calibri" w:hAnsi="Times New Roman" w:cs="Times New Roman"/>
                <w:b/>
              </w:rPr>
            </w:pPr>
            <w:r w:rsidRPr="00D0532A">
              <w:rPr>
                <w:rFonts w:ascii="Times New Roman" w:hAnsi="Times New Roman" w:cs="Times New Roman"/>
                <w:b/>
                <w:color w:val="000000"/>
                <w:lang w:eastAsia="hr-HR"/>
              </w:rPr>
              <w:t>Izvršenje 2024.</w:t>
            </w:r>
          </w:p>
        </w:tc>
        <w:tc>
          <w:tcPr>
            <w:tcW w:w="1348" w:type="dxa"/>
            <w:vAlign w:val="center"/>
          </w:tcPr>
          <w:p w14:paraId="55E5D80B" w14:textId="77777777" w:rsidR="0081662F" w:rsidRPr="00D0532A" w:rsidRDefault="0081662F" w:rsidP="00EB2357">
            <w:pPr>
              <w:spacing w:after="0" w:line="240" w:lineRule="auto"/>
              <w:contextualSpacing/>
              <w:jc w:val="center"/>
              <w:rPr>
                <w:rFonts w:ascii="Times New Roman" w:eastAsia="Calibri" w:hAnsi="Times New Roman" w:cs="Times New Roman"/>
                <w:b/>
              </w:rPr>
            </w:pPr>
            <w:r w:rsidRPr="00D0532A">
              <w:rPr>
                <w:rFonts w:ascii="Times New Roman" w:hAnsi="Times New Roman" w:cs="Times New Roman"/>
                <w:b/>
                <w:color w:val="000000"/>
                <w:lang w:eastAsia="hr-HR"/>
              </w:rPr>
              <w:t>Indeks</w:t>
            </w:r>
          </w:p>
        </w:tc>
      </w:tr>
      <w:tr w:rsidR="0081662F" w:rsidRPr="00D0532A" w14:paraId="6D96193D" w14:textId="77777777" w:rsidTr="00EB2357">
        <w:trPr>
          <w:jc w:val="center"/>
        </w:trPr>
        <w:tc>
          <w:tcPr>
            <w:tcW w:w="2122" w:type="dxa"/>
            <w:shd w:val="clear" w:color="auto" w:fill="auto"/>
          </w:tcPr>
          <w:p w14:paraId="633BFBC1" w14:textId="77777777" w:rsidR="0081662F" w:rsidRPr="00D0532A" w:rsidRDefault="0081662F" w:rsidP="00EB2357">
            <w:pPr>
              <w:spacing w:after="0"/>
              <w:contextualSpacing/>
              <w:rPr>
                <w:rFonts w:ascii="Times New Roman" w:eastAsia="Calibri" w:hAnsi="Times New Roman" w:cs="Times New Roman"/>
              </w:rPr>
            </w:pPr>
            <w:r w:rsidRPr="00D0532A">
              <w:rPr>
                <w:rFonts w:ascii="Times New Roman" w:eastAsia="Calibri" w:hAnsi="Times New Roman" w:cs="Times New Roman"/>
              </w:rPr>
              <w:t>Broj učenika za koje se provodi aktivnost</w:t>
            </w:r>
          </w:p>
        </w:tc>
        <w:tc>
          <w:tcPr>
            <w:tcW w:w="2268" w:type="dxa"/>
            <w:shd w:val="clear" w:color="auto" w:fill="auto"/>
          </w:tcPr>
          <w:p w14:paraId="0F35FCC0" w14:textId="77777777" w:rsidR="0081662F" w:rsidRPr="00D0532A" w:rsidRDefault="0081662F" w:rsidP="00EB2357">
            <w:pPr>
              <w:spacing w:after="0"/>
              <w:contextualSpacing/>
              <w:rPr>
                <w:rFonts w:ascii="Times New Roman" w:eastAsia="Calibri" w:hAnsi="Times New Roman" w:cs="Times New Roman"/>
              </w:rPr>
            </w:pPr>
            <w:r w:rsidRPr="00D0532A">
              <w:rPr>
                <w:rFonts w:ascii="Times New Roman" w:eastAsia="Calibri" w:hAnsi="Times New Roman" w:cs="Times New Roman"/>
              </w:rPr>
              <w:t>Broj učenika koji su uključeni u program</w:t>
            </w:r>
          </w:p>
        </w:tc>
        <w:tc>
          <w:tcPr>
            <w:tcW w:w="1090" w:type="dxa"/>
            <w:shd w:val="clear" w:color="auto" w:fill="auto"/>
          </w:tcPr>
          <w:p w14:paraId="252DF8DD" w14:textId="77777777" w:rsidR="0081662F" w:rsidRPr="00D0532A" w:rsidRDefault="0081662F" w:rsidP="00EB2357">
            <w:pPr>
              <w:spacing w:after="0"/>
              <w:contextualSpacing/>
              <w:rPr>
                <w:rFonts w:ascii="Times New Roman" w:eastAsia="Calibri" w:hAnsi="Times New Roman" w:cs="Times New Roman"/>
              </w:rPr>
            </w:pPr>
            <w:r w:rsidRPr="00D0532A">
              <w:rPr>
                <w:rFonts w:ascii="Times New Roman" w:eastAsia="Calibri" w:hAnsi="Times New Roman" w:cs="Times New Roman"/>
              </w:rPr>
              <w:t>Broj učenika</w:t>
            </w:r>
          </w:p>
        </w:tc>
        <w:tc>
          <w:tcPr>
            <w:tcW w:w="1348" w:type="dxa"/>
            <w:vAlign w:val="center"/>
          </w:tcPr>
          <w:p w14:paraId="6FB10914" w14:textId="77777777" w:rsidR="0081662F" w:rsidRPr="00D0532A" w:rsidRDefault="0081662F" w:rsidP="00EB2357">
            <w:pPr>
              <w:spacing w:after="0" w:line="240" w:lineRule="auto"/>
              <w:contextualSpacing/>
              <w:jc w:val="center"/>
              <w:rPr>
                <w:rFonts w:ascii="Times New Roman" w:eastAsia="Calibri" w:hAnsi="Times New Roman" w:cs="Times New Roman"/>
              </w:rPr>
            </w:pPr>
            <w:r w:rsidRPr="00D0532A">
              <w:rPr>
                <w:rFonts w:ascii="Times New Roman" w:eastAsia="Calibri" w:hAnsi="Times New Roman" w:cs="Times New Roman"/>
              </w:rPr>
              <w:t>525</w:t>
            </w:r>
          </w:p>
        </w:tc>
        <w:tc>
          <w:tcPr>
            <w:tcW w:w="1348" w:type="dxa"/>
            <w:vAlign w:val="center"/>
          </w:tcPr>
          <w:p w14:paraId="75B63973" w14:textId="77777777" w:rsidR="0081662F" w:rsidRPr="00D0532A" w:rsidRDefault="0081662F" w:rsidP="00EB2357">
            <w:pPr>
              <w:spacing w:after="0" w:line="240" w:lineRule="auto"/>
              <w:contextualSpacing/>
              <w:jc w:val="center"/>
              <w:rPr>
                <w:rFonts w:ascii="Times New Roman" w:eastAsia="Calibri" w:hAnsi="Times New Roman" w:cs="Times New Roman"/>
              </w:rPr>
            </w:pPr>
            <w:r w:rsidRPr="00D0532A">
              <w:rPr>
                <w:rFonts w:ascii="Times New Roman" w:eastAsia="Calibri" w:hAnsi="Times New Roman" w:cs="Times New Roman"/>
              </w:rPr>
              <w:t>525</w:t>
            </w:r>
          </w:p>
        </w:tc>
        <w:tc>
          <w:tcPr>
            <w:tcW w:w="1348" w:type="dxa"/>
            <w:vAlign w:val="center"/>
          </w:tcPr>
          <w:p w14:paraId="6AC6F446" w14:textId="77777777" w:rsidR="0081662F" w:rsidRPr="00D0532A" w:rsidRDefault="0081662F" w:rsidP="00EB2357">
            <w:pPr>
              <w:spacing w:after="0" w:line="240" w:lineRule="auto"/>
              <w:contextualSpacing/>
              <w:jc w:val="center"/>
              <w:rPr>
                <w:rFonts w:ascii="Times New Roman" w:eastAsia="Calibri" w:hAnsi="Times New Roman" w:cs="Times New Roman"/>
              </w:rPr>
            </w:pPr>
            <w:r w:rsidRPr="00D0532A">
              <w:rPr>
                <w:rFonts w:ascii="Times New Roman" w:eastAsia="Calibri" w:hAnsi="Times New Roman" w:cs="Times New Roman"/>
              </w:rPr>
              <w:t>100%</w:t>
            </w:r>
          </w:p>
        </w:tc>
      </w:tr>
      <w:tr w:rsidR="0081662F" w:rsidRPr="00D0532A" w14:paraId="5B414971" w14:textId="77777777" w:rsidTr="00EB2357">
        <w:trPr>
          <w:jc w:val="center"/>
        </w:trPr>
        <w:tc>
          <w:tcPr>
            <w:tcW w:w="2122" w:type="dxa"/>
            <w:shd w:val="clear" w:color="auto" w:fill="auto"/>
          </w:tcPr>
          <w:p w14:paraId="32532416" w14:textId="77777777" w:rsidR="0081662F" w:rsidRPr="00D0532A" w:rsidRDefault="0081662F" w:rsidP="00EB2357">
            <w:pPr>
              <w:spacing w:after="0"/>
              <w:contextualSpacing/>
              <w:rPr>
                <w:rFonts w:ascii="Times New Roman" w:eastAsia="Calibri" w:hAnsi="Times New Roman" w:cs="Times New Roman"/>
              </w:rPr>
            </w:pPr>
            <w:r w:rsidRPr="00D0532A">
              <w:rPr>
                <w:rFonts w:ascii="Times New Roman" w:eastAsia="Calibri" w:hAnsi="Times New Roman" w:cs="Times New Roman"/>
              </w:rPr>
              <w:t>Planirana sredstva za provedbu aktivnosti</w:t>
            </w:r>
          </w:p>
        </w:tc>
        <w:tc>
          <w:tcPr>
            <w:tcW w:w="2268" w:type="dxa"/>
            <w:shd w:val="clear" w:color="auto" w:fill="auto"/>
          </w:tcPr>
          <w:p w14:paraId="3A9C1B43" w14:textId="77777777" w:rsidR="0081662F" w:rsidRPr="00D0532A" w:rsidRDefault="0081662F" w:rsidP="00EB2357">
            <w:pPr>
              <w:spacing w:after="0"/>
              <w:contextualSpacing/>
              <w:rPr>
                <w:rFonts w:ascii="Times New Roman" w:eastAsia="Calibri" w:hAnsi="Times New Roman" w:cs="Times New Roman"/>
              </w:rPr>
            </w:pPr>
            <w:r w:rsidRPr="00D0532A">
              <w:rPr>
                <w:rFonts w:ascii="Times New Roman" w:eastAsia="Calibri" w:hAnsi="Times New Roman" w:cs="Times New Roman"/>
              </w:rPr>
              <w:t>Sredstva za provedbu aktivnosti</w:t>
            </w:r>
          </w:p>
        </w:tc>
        <w:tc>
          <w:tcPr>
            <w:tcW w:w="1090" w:type="dxa"/>
            <w:shd w:val="clear" w:color="auto" w:fill="auto"/>
          </w:tcPr>
          <w:p w14:paraId="11CEA6D2" w14:textId="77777777" w:rsidR="0081662F" w:rsidRPr="00D0532A" w:rsidRDefault="0081662F" w:rsidP="00EB2357">
            <w:pPr>
              <w:spacing w:after="0"/>
              <w:contextualSpacing/>
              <w:rPr>
                <w:rFonts w:ascii="Times New Roman" w:eastAsia="Calibri" w:hAnsi="Times New Roman" w:cs="Times New Roman"/>
              </w:rPr>
            </w:pPr>
            <w:r w:rsidRPr="00D0532A">
              <w:rPr>
                <w:rFonts w:ascii="Times New Roman" w:eastAsia="Calibri" w:hAnsi="Times New Roman" w:cs="Times New Roman"/>
              </w:rPr>
              <w:t>Iznos u EUR</w:t>
            </w:r>
          </w:p>
        </w:tc>
        <w:tc>
          <w:tcPr>
            <w:tcW w:w="1348" w:type="dxa"/>
            <w:vAlign w:val="center"/>
          </w:tcPr>
          <w:p w14:paraId="3FE272B9" w14:textId="77777777" w:rsidR="0081662F" w:rsidRPr="00D0532A" w:rsidRDefault="0081662F" w:rsidP="00EB2357">
            <w:pPr>
              <w:spacing w:after="0" w:line="240" w:lineRule="auto"/>
              <w:jc w:val="center"/>
              <w:rPr>
                <w:rFonts w:ascii="Times New Roman" w:hAnsi="Times New Roman" w:cs="Times New Roman"/>
                <w:bCs/>
                <w:color w:val="000000"/>
                <w:lang w:eastAsia="hr-HR"/>
              </w:rPr>
            </w:pPr>
            <w:r w:rsidRPr="00D0532A">
              <w:rPr>
                <w:rFonts w:ascii="Times New Roman" w:hAnsi="Times New Roman" w:cs="Times New Roman"/>
                <w:bCs/>
                <w:color w:val="000000"/>
                <w:lang w:eastAsia="hr-HR"/>
              </w:rPr>
              <w:t>120.000,00</w:t>
            </w:r>
          </w:p>
        </w:tc>
        <w:tc>
          <w:tcPr>
            <w:tcW w:w="1348" w:type="dxa"/>
            <w:vAlign w:val="center"/>
          </w:tcPr>
          <w:p w14:paraId="6D57F207" w14:textId="77777777" w:rsidR="0081662F" w:rsidRPr="00D0532A" w:rsidRDefault="0081662F" w:rsidP="00EB2357">
            <w:pPr>
              <w:spacing w:after="0" w:line="240" w:lineRule="auto"/>
              <w:jc w:val="center"/>
              <w:rPr>
                <w:rFonts w:ascii="Times New Roman" w:hAnsi="Times New Roman" w:cs="Times New Roman"/>
                <w:bCs/>
                <w:color w:val="000000"/>
                <w:lang w:eastAsia="hr-HR"/>
              </w:rPr>
            </w:pPr>
            <w:r w:rsidRPr="00D0532A">
              <w:rPr>
                <w:rFonts w:ascii="Times New Roman" w:hAnsi="Times New Roman" w:cs="Times New Roman"/>
                <w:bCs/>
                <w:color w:val="000000"/>
                <w:lang w:eastAsia="hr-HR"/>
              </w:rPr>
              <w:t>114.535,61</w:t>
            </w:r>
          </w:p>
        </w:tc>
        <w:tc>
          <w:tcPr>
            <w:tcW w:w="1348" w:type="dxa"/>
            <w:vAlign w:val="center"/>
          </w:tcPr>
          <w:p w14:paraId="61ECFA0A" w14:textId="77777777" w:rsidR="0081662F" w:rsidRPr="00D0532A" w:rsidRDefault="0081662F" w:rsidP="00EB2357">
            <w:pPr>
              <w:spacing w:after="0" w:line="240" w:lineRule="auto"/>
              <w:jc w:val="center"/>
              <w:rPr>
                <w:rFonts w:ascii="Times New Roman" w:hAnsi="Times New Roman" w:cs="Times New Roman"/>
                <w:bCs/>
                <w:color w:val="000000"/>
                <w:lang w:eastAsia="hr-HR"/>
              </w:rPr>
            </w:pPr>
            <w:r w:rsidRPr="00D0532A">
              <w:rPr>
                <w:rFonts w:ascii="Times New Roman" w:hAnsi="Times New Roman" w:cs="Times New Roman"/>
                <w:bCs/>
                <w:color w:val="000000"/>
                <w:lang w:eastAsia="hr-HR"/>
              </w:rPr>
              <w:t>94,45%</w:t>
            </w:r>
          </w:p>
        </w:tc>
      </w:tr>
    </w:tbl>
    <w:p w14:paraId="72AB5EE5" w14:textId="77777777" w:rsidR="0081662F" w:rsidRPr="00D0532A" w:rsidRDefault="0081662F" w:rsidP="0081662F">
      <w:pPr>
        <w:rPr>
          <w:rFonts w:ascii="Times New Roman" w:hAnsi="Times New Roman" w:cs="Times New Roman"/>
          <w:b/>
          <w:bCs/>
        </w:rPr>
      </w:pPr>
    </w:p>
    <w:p w14:paraId="12CAFAFD" w14:textId="77777777" w:rsidR="001D39EA" w:rsidRDefault="001D39EA" w:rsidP="0081662F">
      <w:pPr>
        <w:rPr>
          <w:rFonts w:ascii="Times New Roman" w:hAnsi="Times New Roman" w:cs="Times New Roman"/>
          <w:b/>
          <w:bCs/>
        </w:rPr>
      </w:pPr>
    </w:p>
    <w:p w14:paraId="33647825" w14:textId="42B0C6E4" w:rsidR="0081662F" w:rsidRPr="00D0532A" w:rsidRDefault="0081662F" w:rsidP="0081662F">
      <w:pPr>
        <w:rPr>
          <w:rFonts w:ascii="Times New Roman" w:hAnsi="Times New Roman" w:cs="Times New Roman"/>
          <w:b/>
          <w:bCs/>
        </w:rPr>
      </w:pPr>
      <w:r w:rsidRPr="00D0532A">
        <w:rPr>
          <w:rFonts w:ascii="Times New Roman" w:hAnsi="Times New Roman" w:cs="Times New Roman"/>
          <w:b/>
          <w:bCs/>
        </w:rPr>
        <w:lastRenderedPageBreak/>
        <w:t>Kapitalni projekt: Opremanje OŠ- dec</w:t>
      </w:r>
      <w:r w:rsidR="001D39EA">
        <w:rPr>
          <w:rFonts w:ascii="Times New Roman" w:hAnsi="Times New Roman" w:cs="Times New Roman"/>
          <w:b/>
          <w:bCs/>
        </w:rPr>
        <w:t>entralizirana sredstva</w:t>
      </w:r>
    </w:p>
    <w:p w14:paraId="3061EE25" w14:textId="77777777" w:rsidR="0081662F" w:rsidRPr="00D0532A" w:rsidRDefault="0081662F" w:rsidP="0081662F">
      <w:pPr>
        <w:spacing w:after="0" w:line="240" w:lineRule="auto"/>
        <w:jc w:val="both"/>
        <w:rPr>
          <w:rFonts w:ascii="Times New Roman" w:hAnsi="Times New Roman" w:cs="Times New Roman"/>
        </w:rPr>
      </w:pPr>
      <w:r w:rsidRPr="00D0532A">
        <w:rPr>
          <w:rFonts w:ascii="Times New Roman" w:hAnsi="Times New Roman" w:cs="Times New Roman"/>
        </w:rPr>
        <w:t xml:space="preserve">Rashodi za navedeni Kapitalni projekt iznose 6.915,30 eura što je 98,79% od planiranog. Aktivnost se financira iz izvora: 5.2.4 Državni proračun – </w:t>
      </w:r>
      <w:proofErr w:type="spellStart"/>
      <w:r w:rsidRPr="00D0532A">
        <w:rPr>
          <w:rFonts w:ascii="Times New Roman" w:hAnsi="Times New Roman" w:cs="Times New Roman"/>
        </w:rPr>
        <w:t>dec</w:t>
      </w:r>
      <w:proofErr w:type="spellEnd"/>
      <w:r w:rsidRPr="00D0532A">
        <w:rPr>
          <w:rFonts w:ascii="Times New Roman" w:hAnsi="Times New Roman" w:cs="Times New Roman"/>
        </w:rPr>
        <w:t xml:space="preserve">. sredstva. </w:t>
      </w:r>
    </w:p>
    <w:p w14:paraId="37F9DEF4" w14:textId="77777777" w:rsidR="0081662F" w:rsidRPr="00D0532A" w:rsidRDefault="0081662F" w:rsidP="0081662F">
      <w:pPr>
        <w:spacing w:after="0" w:line="240" w:lineRule="auto"/>
        <w:jc w:val="both"/>
        <w:rPr>
          <w:rFonts w:ascii="Times New Roman" w:hAnsi="Times New Roman" w:cs="Times New Roman"/>
          <w:bCs/>
          <w:lang w:eastAsia="hr-HR"/>
        </w:rPr>
      </w:pPr>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126"/>
        <w:gridCol w:w="1186"/>
        <w:gridCol w:w="1298"/>
        <w:gridCol w:w="1298"/>
        <w:gridCol w:w="1298"/>
      </w:tblGrid>
      <w:tr w:rsidR="0081662F" w:rsidRPr="00D0532A" w14:paraId="161D5B6B" w14:textId="77777777" w:rsidTr="00EB2357">
        <w:trPr>
          <w:jc w:val="center"/>
        </w:trPr>
        <w:tc>
          <w:tcPr>
            <w:tcW w:w="2122" w:type="dxa"/>
            <w:shd w:val="clear" w:color="auto" w:fill="auto"/>
          </w:tcPr>
          <w:p w14:paraId="07EB047F" w14:textId="77777777" w:rsidR="0081662F" w:rsidRPr="00D0532A" w:rsidRDefault="0081662F" w:rsidP="00EB2357">
            <w:pPr>
              <w:spacing w:after="0" w:line="240" w:lineRule="auto"/>
              <w:contextualSpacing/>
              <w:jc w:val="center"/>
              <w:rPr>
                <w:rFonts w:ascii="Times New Roman" w:eastAsia="Calibri" w:hAnsi="Times New Roman" w:cs="Times New Roman"/>
                <w:b/>
              </w:rPr>
            </w:pPr>
            <w:r w:rsidRPr="00D0532A">
              <w:rPr>
                <w:rFonts w:ascii="Times New Roman" w:eastAsia="Calibri" w:hAnsi="Times New Roman" w:cs="Times New Roman"/>
                <w:b/>
              </w:rPr>
              <w:t>Pokazatelj rezultata</w:t>
            </w:r>
          </w:p>
        </w:tc>
        <w:tc>
          <w:tcPr>
            <w:tcW w:w="2126" w:type="dxa"/>
            <w:shd w:val="clear" w:color="auto" w:fill="auto"/>
          </w:tcPr>
          <w:p w14:paraId="5E18250C" w14:textId="77777777" w:rsidR="0081662F" w:rsidRPr="00D0532A" w:rsidRDefault="0081662F" w:rsidP="00EB2357">
            <w:pPr>
              <w:spacing w:after="0" w:line="240" w:lineRule="auto"/>
              <w:contextualSpacing/>
              <w:jc w:val="center"/>
              <w:rPr>
                <w:rFonts w:ascii="Times New Roman" w:eastAsia="Calibri" w:hAnsi="Times New Roman" w:cs="Times New Roman"/>
                <w:b/>
              </w:rPr>
            </w:pPr>
            <w:r w:rsidRPr="00D0532A">
              <w:rPr>
                <w:rFonts w:ascii="Times New Roman" w:eastAsia="Calibri" w:hAnsi="Times New Roman" w:cs="Times New Roman"/>
                <w:b/>
              </w:rPr>
              <w:t>Definicija pokazatelja</w:t>
            </w:r>
          </w:p>
        </w:tc>
        <w:tc>
          <w:tcPr>
            <w:tcW w:w="1186" w:type="dxa"/>
            <w:shd w:val="clear" w:color="auto" w:fill="auto"/>
          </w:tcPr>
          <w:p w14:paraId="5F521DF1" w14:textId="77777777" w:rsidR="0081662F" w:rsidRPr="00D0532A" w:rsidRDefault="0081662F" w:rsidP="00EB2357">
            <w:pPr>
              <w:spacing w:after="0" w:line="240" w:lineRule="auto"/>
              <w:contextualSpacing/>
              <w:jc w:val="center"/>
              <w:rPr>
                <w:rFonts w:ascii="Times New Roman" w:eastAsia="Calibri" w:hAnsi="Times New Roman" w:cs="Times New Roman"/>
                <w:b/>
              </w:rPr>
            </w:pPr>
            <w:r w:rsidRPr="00D0532A">
              <w:rPr>
                <w:rFonts w:ascii="Times New Roman" w:eastAsia="Calibri" w:hAnsi="Times New Roman" w:cs="Times New Roman"/>
                <w:b/>
              </w:rPr>
              <w:t>Jedinica</w:t>
            </w:r>
          </w:p>
        </w:tc>
        <w:tc>
          <w:tcPr>
            <w:tcW w:w="1298" w:type="dxa"/>
          </w:tcPr>
          <w:p w14:paraId="6C53858F" w14:textId="77777777" w:rsidR="0081662F" w:rsidRPr="00D0532A" w:rsidRDefault="0081662F" w:rsidP="00EB2357">
            <w:pPr>
              <w:spacing w:after="0" w:line="240" w:lineRule="auto"/>
              <w:contextualSpacing/>
              <w:jc w:val="center"/>
              <w:rPr>
                <w:rFonts w:ascii="Times New Roman" w:eastAsia="Calibri" w:hAnsi="Times New Roman" w:cs="Times New Roman"/>
                <w:b/>
              </w:rPr>
            </w:pPr>
            <w:r w:rsidRPr="00D0532A">
              <w:rPr>
                <w:rFonts w:ascii="Times New Roman" w:eastAsia="Calibri" w:hAnsi="Times New Roman" w:cs="Times New Roman"/>
                <w:b/>
              </w:rPr>
              <w:t>Planirana vrijednost 2024.</w:t>
            </w:r>
          </w:p>
        </w:tc>
        <w:tc>
          <w:tcPr>
            <w:tcW w:w="1298" w:type="dxa"/>
            <w:vAlign w:val="center"/>
          </w:tcPr>
          <w:p w14:paraId="5B37A513" w14:textId="77777777" w:rsidR="0081662F" w:rsidRPr="00D0532A" w:rsidRDefault="0081662F" w:rsidP="00EB2357">
            <w:pPr>
              <w:spacing w:after="0" w:line="240" w:lineRule="auto"/>
              <w:contextualSpacing/>
              <w:jc w:val="center"/>
              <w:rPr>
                <w:rFonts w:ascii="Times New Roman" w:eastAsia="Calibri" w:hAnsi="Times New Roman" w:cs="Times New Roman"/>
                <w:b/>
              </w:rPr>
            </w:pPr>
            <w:r w:rsidRPr="00D0532A">
              <w:rPr>
                <w:rFonts w:ascii="Times New Roman" w:hAnsi="Times New Roman" w:cs="Times New Roman"/>
                <w:b/>
                <w:color w:val="000000"/>
                <w:lang w:eastAsia="hr-HR"/>
              </w:rPr>
              <w:t>Izvršenje 2024.</w:t>
            </w:r>
          </w:p>
        </w:tc>
        <w:tc>
          <w:tcPr>
            <w:tcW w:w="1298" w:type="dxa"/>
            <w:vAlign w:val="center"/>
          </w:tcPr>
          <w:p w14:paraId="00C4B9ED" w14:textId="77777777" w:rsidR="0081662F" w:rsidRPr="00D0532A" w:rsidRDefault="0081662F" w:rsidP="00EB2357">
            <w:pPr>
              <w:spacing w:after="0" w:line="240" w:lineRule="auto"/>
              <w:contextualSpacing/>
              <w:jc w:val="center"/>
              <w:rPr>
                <w:rFonts w:ascii="Times New Roman" w:eastAsia="Calibri" w:hAnsi="Times New Roman" w:cs="Times New Roman"/>
                <w:b/>
              </w:rPr>
            </w:pPr>
            <w:r w:rsidRPr="00D0532A">
              <w:rPr>
                <w:rFonts w:ascii="Times New Roman" w:hAnsi="Times New Roman" w:cs="Times New Roman"/>
                <w:b/>
                <w:color w:val="000000"/>
                <w:lang w:eastAsia="hr-HR"/>
              </w:rPr>
              <w:t>Indeks</w:t>
            </w:r>
          </w:p>
        </w:tc>
      </w:tr>
      <w:tr w:rsidR="0081662F" w:rsidRPr="00D0532A" w14:paraId="5AF74CE5" w14:textId="77777777" w:rsidTr="00EB2357">
        <w:trPr>
          <w:jc w:val="center"/>
        </w:trPr>
        <w:tc>
          <w:tcPr>
            <w:tcW w:w="2122" w:type="dxa"/>
            <w:shd w:val="clear" w:color="auto" w:fill="auto"/>
          </w:tcPr>
          <w:p w14:paraId="7F48D2B0" w14:textId="77777777" w:rsidR="0081662F" w:rsidRPr="00D0532A" w:rsidRDefault="0081662F" w:rsidP="00EB2357">
            <w:pPr>
              <w:spacing w:after="0"/>
              <w:contextualSpacing/>
              <w:rPr>
                <w:rFonts w:ascii="Times New Roman" w:eastAsia="Calibri" w:hAnsi="Times New Roman" w:cs="Times New Roman"/>
              </w:rPr>
            </w:pPr>
            <w:r w:rsidRPr="00D0532A">
              <w:rPr>
                <w:rFonts w:ascii="Times New Roman" w:eastAsia="Calibri" w:hAnsi="Times New Roman" w:cs="Times New Roman"/>
              </w:rPr>
              <w:t>Planirana sredstva za provedbu aktivnosti</w:t>
            </w:r>
          </w:p>
        </w:tc>
        <w:tc>
          <w:tcPr>
            <w:tcW w:w="2126" w:type="dxa"/>
            <w:shd w:val="clear" w:color="auto" w:fill="auto"/>
          </w:tcPr>
          <w:p w14:paraId="27C7A5D5" w14:textId="77777777" w:rsidR="0081662F" w:rsidRPr="00D0532A" w:rsidRDefault="0081662F" w:rsidP="00EB2357">
            <w:pPr>
              <w:spacing w:after="0"/>
              <w:contextualSpacing/>
              <w:rPr>
                <w:rFonts w:ascii="Times New Roman" w:eastAsia="Calibri" w:hAnsi="Times New Roman" w:cs="Times New Roman"/>
              </w:rPr>
            </w:pPr>
            <w:r w:rsidRPr="00D0532A">
              <w:rPr>
                <w:rFonts w:ascii="Times New Roman" w:eastAsia="Calibri" w:hAnsi="Times New Roman" w:cs="Times New Roman"/>
              </w:rPr>
              <w:t>Sredstva za provedbu aktivnosti</w:t>
            </w:r>
          </w:p>
        </w:tc>
        <w:tc>
          <w:tcPr>
            <w:tcW w:w="1186" w:type="dxa"/>
            <w:shd w:val="clear" w:color="auto" w:fill="auto"/>
          </w:tcPr>
          <w:p w14:paraId="3131B03A" w14:textId="77777777" w:rsidR="0081662F" w:rsidRPr="00D0532A" w:rsidRDefault="0081662F" w:rsidP="00EB2357">
            <w:pPr>
              <w:spacing w:after="0"/>
              <w:contextualSpacing/>
              <w:rPr>
                <w:rFonts w:ascii="Times New Roman" w:eastAsia="Calibri" w:hAnsi="Times New Roman" w:cs="Times New Roman"/>
              </w:rPr>
            </w:pPr>
            <w:r w:rsidRPr="00D0532A">
              <w:rPr>
                <w:rFonts w:ascii="Times New Roman" w:eastAsia="Calibri" w:hAnsi="Times New Roman" w:cs="Times New Roman"/>
              </w:rPr>
              <w:t>Iznos u EUR</w:t>
            </w:r>
          </w:p>
        </w:tc>
        <w:tc>
          <w:tcPr>
            <w:tcW w:w="1298" w:type="dxa"/>
            <w:vAlign w:val="center"/>
          </w:tcPr>
          <w:p w14:paraId="5A425E5C" w14:textId="77777777" w:rsidR="0081662F" w:rsidRPr="00D0532A" w:rsidRDefault="0081662F" w:rsidP="00EB2357">
            <w:pPr>
              <w:spacing w:after="0" w:line="240" w:lineRule="auto"/>
              <w:jc w:val="center"/>
              <w:rPr>
                <w:rFonts w:ascii="Times New Roman" w:hAnsi="Times New Roman" w:cs="Times New Roman"/>
                <w:bCs/>
                <w:color w:val="000000"/>
                <w:lang w:eastAsia="hr-HR"/>
              </w:rPr>
            </w:pPr>
            <w:r w:rsidRPr="00D0532A">
              <w:rPr>
                <w:rFonts w:ascii="Times New Roman" w:hAnsi="Times New Roman" w:cs="Times New Roman"/>
                <w:bCs/>
                <w:color w:val="000000"/>
                <w:lang w:eastAsia="hr-HR"/>
              </w:rPr>
              <w:t>7.000,00</w:t>
            </w:r>
          </w:p>
        </w:tc>
        <w:tc>
          <w:tcPr>
            <w:tcW w:w="1298" w:type="dxa"/>
            <w:vAlign w:val="center"/>
          </w:tcPr>
          <w:p w14:paraId="3F2ADF97" w14:textId="77777777" w:rsidR="0081662F" w:rsidRPr="00D0532A" w:rsidRDefault="0081662F" w:rsidP="00EB2357">
            <w:pPr>
              <w:spacing w:after="0" w:line="240" w:lineRule="auto"/>
              <w:jc w:val="center"/>
              <w:rPr>
                <w:rFonts w:ascii="Times New Roman" w:hAnsi="Times New Roman" w:cs="Times New Roman"/>
                <w:bCs/>
                <w:color w:val="000000"/>
                <w:lang w:eastAsia="hr-HR"/>
              </w:rPr>
            </w:pPr>
            <w:r w:rsidRPr="00D0532A">
              <w:rPr>
                <w:rFonts w:ascii="Times New Roman" w:hAnsi="Times New Roman" w:cs="Times New Roman"/>
                <w:bCs/>
                <w:color w:val="000000"/>
                <w:lang w:eastAsia="hr-HR"/>
              </w:rPr>
              <w:t>6.915,30</w:t>
            </w:r>
          </w:p>
        </w:tc>
        <w:tc>
          <w:tcPr>
            <w:tcW w:w="1298" w:type="dxa"/>
            <w:vAlign w:val="center"/>
          </w:tcPr>
          <w:p w14:paraId="6AD07A78" w14:textId="77777777" w:rsidR="0081662F" w:rsidRPr="00D0532A" w:rsidRDefault="0081662F" w:rsidP="00EB2357">
            <w:pPr>
              <w:spacing w:after="0" w:line="240" w:lineRule="auto"/>
              <w:jc w:val="center"/>
              <w:rPr>
                <w:rFonts w:ascii="Times New Roman" w:hAnsi="Times New Roman" w:cs="Times New Roman"/>
                <w:bCs/>
                <w:color w:val="000000"/>
                <w:lang w:eastAsia="hr-HR"/>
              </w:rPr>
            </w:pPr>
            <w:r w:rsidRPr="00D0532A">
              <w:rPr>
                <w:rFonts w:ascii="Times New Roman" w:hAnsi="Times New Roman" w:cs="Times New Roman"/>
                <w:bCs/>
                <w:color w:val="000000"/>
                <w:lang w:eastAsia="hr-HR"/>
              </w:rPr>
              <w:t>98,79%</w:t>
            </w:r>
          </w:p>
        </w:tc>
      </w:tr>
    </w:tbl>
    <w:p w14:paraId="5C4DDE68" w14:textId="77777777" w:rsidR="0081662F" w:rsidRPr="00D0532A" w:rsidRDefault="0081662F" w:rsidP="0081662F">
      <w:pPr>
        <w:spacing w:after="0"/>
        <w:contextualSpacing/>
        <w:rPr>
          <w:rFonts w:ascii="Times New Roman" w:eastAsia="Calibri" w:hAnsi="Times New Roman" w:cs="Times New Roman"/>
          <w:b/>
        </w:rPr>
      </w:pPr>
    </w:p>
    <w:p w14:paraId="325A273B" w14:textId="77777777" w:rsidR="0081662F" w:rsidRPr="00D0532A" w:rsidRDefault="0081662F" w:rsidP="0081662F">
      <w:pPr>
        <w:spacing w:after="0" w:line="240" w:lineRule="auto"/>
        <w:jc w:val="both"/>
        <w:rPr>
          <w:rFonts w:ascii="Times New Roman" w:hAnsi="Times New Roman" w:cs="Times New Roman"/>
        </w:rPr>
      </w:pPr>
    </w:p>
    <w:p w14:paraId="479FC80B" w14:textId="77777777" w:rsidR="0081662F" w:rsidRPr="00D0532A" w:rsidRDefault="0081662F" w:rsidP="0081662F">
      <w:pPr>
        <w:spacing w:after="0" w:line="240" w:lineRule="auto"/>
        <w:jc w:val="both"/>
        <w:rPr>
          <w:rFonts w:ascii="Times New Roman" w:hAnsi="Times New Roman" w:cs="Times New Roman"/>
          <w:b/>
          <w:bCs/>
        </w:rPr>
      </w:pPr>
      <w:r w:rsidRPr="00D0532A">
        <w:rPr>
          <w:rFonts w:ascii="Times New Roman" w:hAnsi="Times New Roman" w:cs="Times New Roman"/>
          <w:b/>
          <w:bCs/>
        </w:rPr>
        <w:t xml:space="preserve">Kapitalni projekt: Opremanje OŠ- izvan </w:t>
      </w:r>
      <w:proofErr w:type="spellStart"/>
      <w:r w:rsidRPr="00D0532A">
        <w:rPr>
          <w:rFonts w:ascii="Times New Roman" w:hAnsi="Times New Roman" w:cs="Times New Roman"/>
          <w:b/>
          <w:bCs/>
        </w:rPr>
        <w:t>deca</w:t>
      </w:r>
      <w:proofErr w:type="spellEnd"/>
    </w:p>
    <w:p w14:paraId="57CA1E05" w14:textId="77777777" w:rsidR="0081662F" w:rsidRPr="00D0532A" w:rsidRDefault="0081662F" w:rsidP="0081662F">
      <w:pPr>
        <w:spacing w:after="0" w:line="240" w:lineRule="auto"/>
        <w:jc w:val="both"/>
        <w:rPr>
          <w:rFonts w:ascii="Times New Roman" w:hAnsi="Times New Roman" w:cs="Times New Roman"/>
        </w:rPr>
      </w:pPr>
      <w:r w:rsidRPr="00D0532A">
        <w:rPr>
          <w:rFonts w:ascii="Times New Roman" w:hAnsi="Times New Roman" w:cs="Times New Roman"/>
        </w:rPr>
        <w:t xml:space="preserve">Ukupni rashodi za navedenu aktivnost iznose 32.392,81 eura što je 89,23% od planiranog.  Aktivnost se financira iz izvora: 5.2.2 Državni proračun- korisnici, 3.1.2 Vlastiti prihodi, 1.1.1. Opći prihodi i primici, Izvora 6.1.2 Donacije i 9.1.5 Viška prihoda iz prethodne godine. </w:t>
      </w:r>
    </w:p>
    <w:p w14:paraId="7FEE7F5A" w14:textId="77777777" w:rsidR="0081662F" w:rsidRPr="00D0532A" w:rsidRDefault="0081662F" w:rsidP="0081662F">
      <w:pPr>
        <w:spacing w:after="0" w:line="240" w:lineRule="auto"/>
        <w:jc w:val="both"/>
        <w:rPr>
          <w:rFonts w:ascii="Times New Roman" w:hAnsi="Times New Roman" w:cs="Times New Roman"/>
          <w:bCs/>
          <w:lang w:eastAsia="hr-HR"/>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984"/>
        <w:gridCol w:w="1432"/>
        <w:gridCol w:w="1609"/>
        <w:gridCol w:w="1353"/>
        <w:gridCol w:w="1276"/>
      </w:tblGrid>
      <w:tr w:rsidR="0081662F" w:rsidRPr="00D0532A" w14:paraId="191427AE" w14:textId="77777777" w:rsidTr="00EB2357">
        <w:trPr>
          <w:jc w:val="center"/>
        </w:trPr>
        <w:tc>
          <w:tcPr>
            <w:tcW w:w="2122" w:type="dxa"/>
            <w:shd w:val="clear" w:color="auto" w:fill="auto"/>
          </w:tcPr>
          <w:p w14:paraId="7B98A238" w14:textId="77777777" w:rsidR="0081662F" w:rsidRPr="00D0532A" w:rsidRDefault="0081662F" w:rsidP="00EB2357">
            <w:pPr>
              <w:spacing w:after="0" w:line="240" w:lineRule="auto"/>
              <w:contextualSpacing/>
              <w:jc w:val="center"/>
              <w:rPr>
                <w:rFonts w:ascii="Times New Roman" w:eastAsia="Calibri" w:hAnsi="Times New Roman" w:cs="Times New Roman"/>
                <w:b/>
              </w:rPr>
            </w:pPr>
            <w:r w:rsidRPr="00D0532A">
              <w:rPr>
                <w:rFonts w:ascii="Times New Roman" w:eastAsia="Calibri" w:hAnsi="Times New Roman" w:cs="Times New Roman"/>
                <w:b/>
              </w:rPr>
              <w:t>Pokazatelj rezultata</w:t>
            </w:r>
          </w:p>
        </w:tc>
        <w:tc>
          <w:tcPr>
            <w:tcW w:w="1984" w:type="dxa"/>
            <w:shd w:val="clear" w:color="auto" w:fill="auto"/>
          </w:tcPr>
          <w:p w14:paraId="2994285E" w14:textId="77777777" w:rsidR="0081662F" w:rsidRPr="00D0532A" w:rsidRDefault="0081662F" w:rsidP="00EB2357">
            <w:pPr>
              <w:spacing w:after="0" w:line="240" w:lineRule="auto"/>
              <w:contextualSpacing/>
              <w:jc w:val="center"/>
              <w:rPr>
                <w:rFonts w:ascii="Times New Roman" w:eastAsia="Calibri" w:hAnsi="Times New Roman" w:cs="Times New Roman"/>
                <w:b/>
              </w:rPr>
            </w:pPr>
            <w:r w:rsidRPr="00D0532A">
              <w:rPr>
                <w:rFonts w:ascii="Times New Roman" w:eastAsia="Calibri" w:hAnsi="Times New Roman" w:cs="Times New Roman"/>
                <w:b/>
              </w:rPr>
              <w:t>Definicija pokazatelja</w:t>
            </w:r>
          </w:p>
        </w:tc>
        <w:tc>
          <w:tcPr>
            <w:tcW w:w="1432" w:type="dxa"/>
            <w:shd w:val="clear" w:color="auto" w:fill="auto"/>
          </w:tcPr>
          <w:p w14:paraId="33DD78E3" w14:textId="77777777" w:rsidR="0081662F" w:rsidRPr="00D0532A" w:rsidRDefault="0081662F" w:rsidP="00EB2357">
            <w:pPr>
              <w:spacing w:after="0" w:line="240" w:lineRule="auto"/>
              <w:contextualSpacing/>
              <w:jc w:val="center"/>
              <w:rPr>
                <w:rFonts w:ascii="Times New Roman" w:eastAsia="Calibri" w:hAnsi="Times New Roman" w:cs="Times New Roman"/>
                <w:b/>
              </w:rPr>
            </w:pPr>
            <w:r w:rsidRPr="00D0532A">
              <w:rPr>
                <w:rFonts w:ascii="Times New Roman" w:eastAsia="Calibri" w:hAnsi="Times New Roman" w:cs="Times New Roman"/>
                <w:b/>
              </w:rPr>
              <w:t>Jedinica</w:t>
            </w:r>
          </w:p>
        </w:tc>
        <w:tc>
          <w:tcPr>
            <w:tcW w:w="1609" w:type="dxa"/>
          </w:tcPr>
          <w:p w14:paraId="52737507" w14:textId="77777777" w:rsidR="0081662F" w:rsidRPr="00D0532A" w:rsidRDefault="0081662F" w:rsidP="00EB2357">
            <w:pPr>
              <w:spacing w:after="0" w:line="240" w:lineRule="auto"/>
              <w:contextualSpacing/>
              <w:jc w:val="center"/>
              <w:rPr>
                <w:rFonts w:ascii="Times New Roman" w:eastAsia="Calibri" w:hAnsi="Times New Roman" w:cs="Times New Roman"/>
                <w:b/>
              </w:rPr>
            </w:pPr>
            <w:r w:rsidRPr="00D0532A">
              <w:rPr>
                <w:rFonts w:ascii="Times New Roman" w:eastAsia="Calibri" w:hAnsi="Times New Roman" w:cs="Times New Roman"/>
                <w:b/>
              </w:rPr>
              <w:t>Planirana vrijednost 2024.</w:t>
            </w:r>
          </w:p>
        </w:tc>
        <w:tc>
          <w:tcPr>
            <w:tcW w:w="1353" w:type="dxa"/>
            <w:vAlign w:val="center"/>
          </w:tcPr>
          <w:p w14:paraId="325D8235" w14:textId="77777777" w:rsidR="0081662F" w:rsidRPr="00D0532A" w:rsidRDefault="0081662F" w:rsidP="00EB2357">
            <w:pPr>
              <w:spacing w:after="0" w:line="240" w:lineRule="auto"/>
              <w:contextualSpacing/>
              <w:jc w:val="center"/>
              <w:rPr>
                <w:rFonts w:ascii="Times New Roman" w:eastAsia="Calibri" w:hAnsi="Times New Roman" w:cs="Times New Roman"/>
                <w:b/>
              </w:rPr>
            </w:pPr>
            <w:r w:rsidRPr="00D0532A">
              <w:rPr>
                <w:rFonts w:ascii="Times New Roman" w:hAnsi="Times New Roman" w:cs="Times New Roman"/>
                <w:b/>
                <w:lang w:eastAsia="hr-HR"/>
              </w:rPr>
              <w:t>Izvršenje</w:t>
            </w:r>
          </w:p>
        </w:tc>
        <w:tc>
          <w:tcPr>
            <w:tcW w:w="1276" w:type="dxa"/>
            <w:vAlign w:val="center"/>
          </w:tcPr>
          <w:p w14:paraId="4858FDF9" w14:textId="77777777" w:rsidR="0081662F" w:rsidRPr="00D0532A" w:rsidRDefault="0081662F" w:rsidP="00EB2357">
            <w:pPr>
              <w:spacing w:after="0" w:line="240" w:lineRule="auto"/>
              <w:contextualSpacing/>
              <w:jc w:val="center"/>
              <w:rPr>
                <w:rFonts w:ascii="Times New Roman" w:eastAsia="Calibri" w:hAnsi="Times New Roman" w:cs="Times New Roman"/>
                <w:b/>
              </w:rPr>
            </w:pPr>
            <w:r w:rsidRPr="00D0532A">
              <w:rPr>
                <w:rFonts w:ascii="Times New Roman" w:hAnsi="Times New Roman" w:cs="Times New Roman"/>
                <w:b/>
                <w:lang w:eastAsia="hr-HR"/>
              </w:rPr>
              <w:t>Indeks</w:t>
            </w:r>
          </w:p>
        </w:tc>
      </w:tr>
      <w:tr w:rsidR="0081662F" w:rsidRPr="00D0532A" w14:paraId="1B785B9E" w14:textId="77777777" w:rsidTr="00EB2357">
        <w:trPr>
          <w:jc w:val="center"/>
        </w:trPr>
        <w:tc>
          <w:tcPr>
            <w:tcW w:w="2122" w:type="dxa"/>
            <w:shd w:val="clear" w:color="auto" w:fill="auto"/>
          </w:tcPr>
          <w:p w14:paraId="3542F91B" w14:textId="77777777" w:rsidR="0081662F" w:rsidRPr="00D0532A" w:rsidRDefault="0081662F" w:rsidP="00EB2357">
            <w:pPr>
              <w:spacing w:after="0"/>
              <w:contextualSpacing/>
              <w:rPr>
                <w:rFonts w:ascii="Times New Roman" w:eastAsia="Calibri" w:hAnsi="Times New Roman" w:cs="Times New Roman"/>
              </w:rPr>
            </w:pPr>
            <w:r w:rsidRPr="00D0532A">
              <w:rPr>
                <w:rFonts w:ascii="Times New Roman" w:eastAsia="Calibri" w:hAnsi="Times New Roman" w:cs="Times New Roman"/>
              </w:rPr>
              <w:t>Planirana sredstva za provedbu aktivnosti</w:t>
            </w:r>
          </w:p>
        </w:tc>
        <w:tc>
          <w:tcPr>
            <w:tcW w:w="1984" w:type="dxa"/>
            <w:shd w:val="clear" w:color="auto" w:fill="auto"/>
          </w:tcPr>
          <w:p w14:paraId="655B51CE" w14:textId="77777777" w:rsidR="0081662F" w:rsidRPr="00D0532A" w:rsidRDefault="0081662F" w:rsidP="00EB2357">
            <w:pPr>
              <w:spacing w:after="0"/>
              <w:contextualSpacing/>
              <w:rPr>
                <w:rFonts w:ascii="Times New Roman" w:eastAsia="Calibri" w:hAnsi="Times New Roman" w:cs="Times New Roman"/>
              </w:rPr>
            </w:pPr>
            <w:r w:rsidRPr="00D0532A">
              <w:rPr>
                <w:rFonts w:ascii="Times New Roman" w:eastAsia="Calibri" w:hAnsi="Times New Roman" w:cs="Times New Roman"/>
              </w:rPr>
              <w:t>Sredstva za provedbu aktivnosti</w:t>
            </w:r>
          </w:p>
        </w:tc>
        <w:tc>
          <w:tcPr>
            <w:tcW w:w="1432" w:type="dxa"/>
            <w:shd w:val="clear" w:color="auto" w:fill="auto"/>
            <w:vAlign w:val="center"/>
          </w:tcPr>
          <w:p w14:paraId="7B5E333C" w14:textId="77777777" w:rsidR="0081662F" w:rsidRPr="00D0532A" w:rsidRDefault="0081662F" w:rsidP="00EB2357">
            <w:pPr>
              <w:spacing w:after="0"/>
              <w:contextualSpacing/>
              <w:jc w:val="center"/>
              <w:rPr>
                <w:rFonts w:ascii="Times New Roman" w:eastAsia="Calibri" w:hAnsi="Times New Roman" w:cs="Times New Roman"/>
              </w:rPr>
            </w:pPr>
            <w:r w:rsidRPr="00D0532A">
              <w:rPr>
                <w:rFonts w:ascii="Times New Roman" w:eastAsia="Calibri" w:hAnsi="Times New Roman" w:cs="Times New Roman"/>
              </w:rPr>
              <w:t>Iznos u EUR</w:t>
            </w:r>
          </w:p>
        </w:tc>
        <w:tc>
          <w:tcPr>
            <w:tcW w:w="1609" w:type="dxa"/>
            <w:vAlign w:val="center"/>
          </w:tcPr>
          <w:p w14:paraId="67E0781C"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34.050,00</w:t>
            </w:r>
          </w:p>
        </w:tc>
        <w:tc>
          <w:tcPr>
            <w:tcW w:w="1353" w:type="dxa"/>
            <w:vAlign w:val="center"/>
          </w:tcPr>
          <w:p w14:paraId="296CB8FE"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32.392,81</w:t>
            </w:r>
          </w:p>
        </w:tc>
        <w:tc>
          <w:tcPr>
            <w:tcW w:w="1276" w:type="dxa"/>
            <w:vAlign w:val="center"/>
          </w:tcPr>
          <w:p w14:paraId="4B01B48D" w14:textId="08168694" w:rsidR="0081662F" w:rsidRPr="00D0532A" w:rsidRDefault="0096449D" w:rsidP="00EB2357">
            <w:pPr>
              <w:spacing w:after="0" w:line="240" w:lineRule="auto"/>
              <w:jc w:val="center"/>
              <w:rPr>
                <w:rFonts w:ascii="Times New Roman" w:hAnsi="Times New Roman" w:cs="Times New Roman"/>
                <w:bCs/>
                <w:lang w:eastAsia="hr-HR"/>
              </w:rPr>
            </w:pPr>
            <w:r>
              <w:rPr>
                <w:rFonts w:ascii="Times New Roman" w:hAnsi="Times New Roman" w:cs="Times New Roman"/>
                <w:bCs/>
                <w:lang w:eastAsia="hr-HR"/>
              </w:rPr>
              <w:t>95,13</w:t>
            </w:r>
            <w:r w:rsidR="0081662F" w:rsidRPr="00D0532A">
              <w:rPr>
                <w:rFonts w:ascii="Times New Roman" w:hAnsi="Times New Roman" w:cs="Times New Roman"/>
                <w:bCs/>
                <w:lang w:eastAsia="hr-HR"/>
              </w:rPr>
              <w:t>%</w:t>
            </w:r>
          </w:p>
        </w:tc>
      </w:tr>
    </w:tbl>
    <w:p w14:paraId="735F806E" w14:textId="77777777" w:rsidR="0081662F" w:rsidRPr="00D0532A" w:rsidRDefault="0081662F" w:rsidP="0081662F">
      <w:pPr>
        <w:spacing w:after="0" w:line="240" w:lineRule="auto"/>
        <w:jc w:val="both"/>
        <w:rPr>
          <w:rFonts w:ascii="Times New Roman" w:hAnsi="Times New Roman" w:cs="Times New Roman"/>
          <w:b/>
          <w:bCs/>
        </w:rPr>
      </w:pPr>
    </w:p>
    <w:p w14:paraId="31CEF978" w14:textId="77777777" w:rsidR="0081662F" w:rsidRPr="00D0532A" w:rsidRDefault="0081662F" w:rsidP="0081662F">
      <w:pPr>
        <w:spacing w:after="0" w:line="240" w:lineRule="auto"/>
        <w:jc w:val="both"/>
        <w:rPr>
          <w:rFonts w:ascii="Times New Roman" w:hAnsi="Times New Roman" w:cs="Times New Roman"/>
          <w:b/>
          <w:bCs/>
        </w:rPr>
      </w:pPr>
      <w:r w:rsidRPr="00D0532A">
        <w:rPr>
          <w:rFonts w:ascii="Times New Roman" w:hAnsi="Times New Roman" w:cs="Times New Roman"/>
          <w:b/>
          <w:bCs/>
        </w:rPr>
        <w:t>Tekući projekt: „ Medni dan““</w:t>
      </w:r>
    </w:p>
    <w:p w14:paraId="6C452DA8" w14:textId="77777777" w:rsidR="0081662F" w:rsidRPr="00D0532A" w:rsidRDefault="0081662F" w:rsidP="0081662F">
      <w:pPr>
        <w:spacing w:after="0" w:line="240" w:lineRule="auto"/>
        <w:jc w:val="both"/>
        <w:rPr>
          <w:rFonts w:ascii="Times New Roman" w:hAnsi="Times New Roman" w:cs="Times New Roman"/>
        </w:rPr>
      </w:pPr>
      <w:r w:rsidRPr="00D0532A">
        <w:rPr>
          <w:rFonts w:ascii="Times New Roman" w:hAnsi="Times New Roman" w:cs="Times New Roman"/>
        </w:rPr>
        <w:t xml:space="preserve">Ukupni rashodi za navedenu aktivnost iznose 296,00 eura što je 98,67% od planiranog. Aktivnost  obuhvaća namirnice za prehranu učenika. Aktivnost se financira iz izvora: 5.2.2 Državni proračun- korisnici. </w:t>
      </w:r>
    </w:p>
    <w:p w14:paraId="34F587A9" w14:textId="77777777" w:rsidR="0081662F" w:rsidRPr="00D0532A" w:rsidRDefault="0081662F" w:rsidP="0081662F">
      <w:pPr>
        <w:spacing w:after="0" w:line="240" w:lineRule="auto"/>
        <w:jc w:val="both"/>
        <w:rPr>
          <w:rFonts w:ascii="Times New Roman" w:hAnsi="Times New Roman" w:cs="Times New Roman"/>
          <w:bCs/>
          <w:lang w:eastAsia="hr-H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2342"/>
        <w:gridCol w:w="999"/>
        <w:gridCol w:w="1171"/>
        <w:gridCol w:w="1171"/>
        <w:gridCol w:w="1171"/>
      </w:tblGrid>
      <w:tr w:rsidR="0081662F" w:rsidRPr="00D0532A" w14:paraId="38D40A2D" w14:textId="77777777" w:rsidTr="00EB2357">
        <w:trPr>
          <w:jc w:val="center"/>
        </w:trPr>
        <w:tc>
          <w:tcPr>
            <w:tcW w:w="1218" w:type="pct"/>
            <w:shd w:val="clear" w:color="auto" w:fill="auto"/>
          </w:tcPr>
          <w:p w14:paraId="4A621B29" w14:textId="77777777" w:rsidR="0081662F" w:rsidRPr="00D0532A" w:rsidRDefault="0081662F" w:rsidP="00EB2357">
            <w:pPr>
              <w:spacing w:after="0" w:line="240" w:lineRule="auto"/>
              <w:contextualSpacing/>
              <w:jc w:val="center"/>
              <w:rPr>
                <w:rFonts w:ascii="Times New Roman" w:eastAsia="Calibri" w:hAnsi="Times New Roman" w:cs="Times New Roman"/>
                <w:b/>
              </w:rPr>
            </w:pPr>
            <w:r w:rsidRPr="00D0532A">
              <w:rPr>
                <w:rFonts w:ascii="Times New Roman" w:eastAsia="Calibri" w:hAnsi="Times New Roman" w:cs="Times New Roman"/>
                <w:b/>
              </w:rPr>
              <w:t>Pokazatelj rezultata</w:t>
            </w:r>
          </w:p>
        </w:tc>
        <w:tc>
          <w:tcPr>
            <w:tcW w:w="1293" w:type="pct"/>
            <w:shd w:val="clear" w:color="auto" w:fill="auto"/>
          </w:tcPr>
          <w:p w14:paraId="30B8D9A6" w14:textId="77777777" w:rsidR="0081662F" w:rsidRPr="00D0532A" w:rsidRDefault="0081662F" w:rsidP="00EB2357">
            <w:pPr>
              <w:spacing w:after="0" w:line="240" w:lineRule="auto"/>
              <w:contextualSpacing/>
              <w:jc w:val="center"/>
              <w:rPr>
                <w:rFonts w:ascii="Times New Roman" w:eastAsia="Calibri" w:hAnsi="Times New Roman" w:cs="Times New Roman"/>
                <w:b/>
              </w:rPr>
            </w:pPr>
            <w:r w:rsidRPr="00D0532A">
              <w:rPr>
                <w:rFonts w:ascii="Times New Roman" w:eastAsia="Calibri" w:hAnsi="Times New Roman" w:cs="Times New Roman"/>
                <w:b/>
              </w:rPr>
              <w:t>Definicija pokazatelja</w:t>
            </w:r>
          </w:p>
        </w:tc>
        <w:tc>
          <w:tcPr>
            <w:tcW w:w="551" w:type="pct"/>
            <w:shd w:val="clear" w:color="auto" w:fill="auto"/>
          </w:tcPr>
          <w:p w14:paraId="3E828268" w14:textId="77777777" w:rsidR="0081662F" w:rsidRPr="00D0532A" w:rsidRDefault="0081662F" w:rsidP="00EB2357">
            <w:pPr>
              <w:spacing w:after="0" w:line="240" w:lineRule="auto"/>
              <w:contextualSpacing/>
              <w:jc w:val="center"/>
              <w:rPr>
                <w:rFonts w:ascii="Times New Roman" w:eastAsia="Calibri" w:hAnsi="Times New Roman" w:cs="Times New Roman"/>
                <w:b/>
              </w:rPr>
            </w:pPr>
            <w:r w:rsidRPr="00D0532A">
              <w:rPr>
                <w:rFonts w:ascii="Times New Roman" w:eastAsia="Calibri" w:hAnsi="Times New Roman" w:cs="Times New Roman"/>
                <w:b/>
              </w:rPr>
              <w:t>Jedinica</w:t>
            </w:r>
          </w:p>
        </w:tc>
        <w:tc>
          <w:tcPr>
            <w:tcW w:w="646" w:type="pct"/>
          </w:tcPr>
          <w:p w14:paraId="2FD1A61A" w14:textId="77777777" w:rsidR="0081662F" w:rsidRPr="00D0532A" w:rsidRDefault="0081662F" w:rsidP="00EB2357">
            <w:pPr>
              <w:spacing w:after="0" w:line="240" w:lineRule="auto"/>
              <w:contextualSpacing/>
              <w:jc w:val="center"/>
              <w:rPr>
                <w:rFonts w:ascii="Times New Roman" w:eastAsia="Calibri" w:hAnsi="Times New Roman" w:cs="Times New Roman"/>
                <w:b/>
              </w:rPr>
            </w:pPr>
            <w:r w:rsidRPr="00D0532A">
              <w:rPr>
                <w:rFonts w:ascii="Times New Roman" w:eastAsia="Calibri" w:hAnsi="Times New Roman" w:cs="Times New Roman"/>
                <w:b/>
              </w:rPr>
              <w:t>Planirana vrijednost 2024.</w:t>
            </w:r>
          </w:p>
        </w:tc>
        <w:tc>
          <w:tcPr>
            <w:tcW w:w="646" w:type="pct"/>
            <w:vAlign w:val="center"/>
          </w:tcPr>
          <w:p w14:paraId="18DDF084" w14:textId="77777777" w:rsidR="0081662F" w:rsidRPr="00D0532A" w:rsidRDefault="0081662F" w:rsidP="00EB2357">
            <w:pPr>
              <w:spacing w:after="0" w:line="240" w:lineRule="auto"/>
              <w:contextualSpacing/>
              <w:jc w:val="center"/>
              <w:rPr>
                <w:rFonts w:ascii="Times New Roman" w:eastAsia="Calibri" w:hAnsi="Times New Roman" w:cs="Times New Roman"/>
                <w:b/>
              </w:rPr>
            </w:pPr>
            <w:r w:rsidRPr="00D0532A">
              <w:rPr>
                <w:rFonts w:ascii="Times New Roman" w:hAnsi="Times New Roman" w:cs="Times New Roman"/>
                <w:b/>
                <w:lang w:eastAsia="hr-HR"/>
              </w:rPr>
              <w:t>Izvršenje 2024.</w:t>
            </w:r>
          </w:p>
        </w:tc>
        <w:tc>
          <w:tcPr>
            <w:tcW w:w="646" w:type="pct"/>
            <w:vAlign w:val="center"/>
          </w:tcPr>
          <w:p w14:paraId="1560ACDB" w14:textId="77777777" w:rsidR="0081662F" w:rsidRPr="00D0532A" w:rsidRDefault="0081662F" w:rsidP="00EB2357">
            <w:pPr>
              <w:spacing w:after="0" w:line="240" w:lineRule="auto"/>
              <w:contextualSpacing/>
              <w:jc w:val="center"/>
              <w:rPr>
                <w:rFonts w:ascii="Times New Roman" w:eastAsia="Calibri" w:hAnsi="Times New Roman" w:cs="Times New Roman"/>
                <w:b/>
              </w:rPr>
            </w:pPr>
            <w:r w:rsidRPr="00D0532A">
              <w:rPr>
                <w:rFonts w:ascii="Times New Roman" w:hAnsi="Times New Roman" w:cs="Times New Roman"/>
                <w:b/>
                <w:lang w:eastAsia="hr-HR"/>
              </w:rPr>
              <w:t>Indeks</w:t>
            </w:r>
          </w:p>
        </w:tc>
      </w:tr>
      <w:tr w:rsidR="0081662F" w:rsidRPr="00D0532A" w14:paraId="1F805CEF" w14:textId="77777777" w:rsidTr="00EB2357">
        <w:trPr>
          <w:jc w:val="center"/>
        </w:trPr>
        <w:tc>
          <w:tcPr>
            <w:tcW w:w="1218" w:type="pct"/>
            <w:shd w:val="clear" w:color="auto" w:fill="auto"/>
          </w:tcPr>
          <w:p w14:paraId="3997382A" w14:textId="77777777" w:rsidR="0081662F" w:rsidRPr="00D0532A" w:rsidRDefault="0081662F" w:rsidP="00EB2357">
            <w:pPr>
              <w:spacing w:after="0"/>
              <w:contextualSpacing/>
              <w:rPr>
                <w:rFonts w:ascii="Times New Roman" w:eastAsia="Calibri" w:hAnsi="Times New Roman" w:cs="Times New Roman"/>
              </w:rPr>
            </w:pPr>
            <w:r w:rsidRPr="00D0532A">
              <w:rPr>
                <w:rFonts w:ascii="Times New Roman" w:eastAsia="Calibri" w:hAnsi="Times New Roman" w:cs="Times New Roman"/>
              </w:rPr>
              <w:t>Broj učenika za koje se provodi aktivnost</w:t>
            </w:r>
          </w:p>
        </w:tc>
        <w:tc>
          <w:tcPr>
            <w:tcW w:w="1293" w:type="pct"/>
            <w:shd w:val="clear" w:color="auto" w:fill="auto"/>
          </w:tcPr>
          <w:p w14:paraId="79527899" w14:textId="77777777" w:rsidR="0081662F" w:rsidRPr="00D0532A" w:rsidRDefault="0081662F" w:rsidP="00EB2357">
            <w:pPr>
              <w:spacing w:after="0"/>
              <w:contextualSpacing/>
              <w:rPr>
                <w:rFonts w:ascii="Times New Roman" w:eastAsia="Calibri" w:hAnsi="Times New Roman" w:cs="Times New Roman"/>
              </w:rPr>
            </w:pPr>
            <w:r w:rsidRPr="00D0532A">
              <w:rPr>
                <w:rFonts w:ascii="Times New Roman" w:eastAsia="Calibri" w:hAnsi="Times New Roman" w:cs="Times New Roman"/>
              </w:rPr>
              <w:t>Broj učenika koji su uključeni u program</w:t>
            </w:r>
          </w:p>
        </w:tc>
        <w:tc>
          <w:tcPr>
            <w:tcW w:w="551" w:type="pct"/>
            <w:shd w:val="clear" w:color="auto" w:fill="auto"/>
          </w:tcPr>
          <w:p w14:paraId="6BE98183" w14:textId="77777777" w:rsidR="0081662F" w:rsidRPr="00D0532A" w:rsidRDefault="0081662F" w:rsidP="00EB2357">
            <w:pPr>
              <w:spacing w:after="0"/>
              <w:contextualSpacing/>
              <w:rPr>
                <w:rFonts w:ascii="Times New Roman" w:eastAsia="Calibri" w:hAnsi="Times New Roman" w:cs="Times New Roman"/>
              </w:rPr>
            </w:pPr>
            <w:r w:rsidRPr="00D0532A">
              <w:rPr>
                <w:rFonts w:ascii="Times New Roman" w:eastAsia="Calibri" w:hAnsi="Times New Roman" w:cs="Times New Roman"/>
              </w:rPr>
              <w:t>Broj učenika</w:t>
            </w:r>
          </w:p>
        </w:tc>
        <w:tc>
          <w:tcPr>
            <w:tcW w:w="646" w:type="pct"/>
            <w:vAlign w:val="center"/>
          </w:tcPr>
          <w:p w14:paraId="781A6936" w14:textId="77777777" w:rsidR="0081662F" w:rsidRPr="00D0532A" w:rsidRDefault="0081662F" w:rsidP="00EB2357">
            <w:pPr>
              <w:spacing w:after="0"/>
              <w:contextualSpacing/>
              <w:jc w:val="center"/>
              <w:rPr>
                <w:rFonts w:ascii="Times New Roman" w:eastAsia="Calibri" w:hAnsi="Times New Roman" w:cs="Times New Roman"/>
              </w:rPr>
            </w:pPr>
            <w:r w:rsidRPr="00D0532A">
              <w:rPr>
                <w:rFonts w:ascii="Times New Roman" w:eastAsia="Calibri" w:hAnsi="Times New Roman" w:cs="Times New Roman"/>
              </w:rPr>
              <w:t>74</w:t>
            </w:r>
          </w:p>
        </w:tc>
        <w:tc>
          <w:tcPr>
            <w:tcW w:w="646" w:type="pct"/>
            <w:vAlign w:val="center"/>
          </w:tcPr>
          <w:p w14:paraId="284328BE" w14:textId="77777777" w:rsidR="0081662F" w:rsidRPr="00D0532A" w:rsidRDefault="0081662F" w:rsidP="00EB2357">
            <w:pPr>
              <w:spacing w:after="0"/>
              <w:contextualSpacing/>
              <w:jc w:val="center"/>
              <w:rPr>
                <w:rFonts w:ascii="Times New Roman" w:eastAsia="Calibri" w:hAnsi="Times New Roman" w:cs="Times New Roman"/>
              </w:rPr>
            </w:pPr>
            <w:r w:rsidRPr="00D0532A">
              <w:rPr>
                <w:rFonts w:ascii="Times New Roman" w:eastAsia="Calibri" w:hAnsi="Times New Roman" w:cs="Times New Roman"/>
              </w:rPr>
              <w:t>74</w:t>
            </w:r>
          </w:p>
        </w:tc>
        <w:tc>
          <w:tcPr>
            <w:tcW w:w="646" w:type="pct"/>
            <w:vAlign w:val="center"/>
          </w:tcPr>
          <w:p w14:paraId="337EB8B2" w14:textId="77777777" w:rsidR="0081662F" w:rsidRPr="00D0532A" w:rsidRDefault="0081662F" w:rsidP="00EB2357">
            <w:pPr>
              <w:spacing w:after="0"/>
              <w:contextualSpacing/>
              <w:jc w:val="center"/>
              <w:rPr>
                <w:rFonts w:ascii="Times New Roman" w:eastAsia="Calibri" w:hAnsi="Times New Roman" w:cs="Times New Roman"/>
              </w:rPr>
            </w:pPr>
            <w:r w:rsidRPr="00D0532A">
              <w:rPr>
                <w:rFonts w:ascii="Times New Roman" w:eastAsia="Calibri" w:hAnsi="Times New Roman" w:cs="Times New Roman"/>
              </w:rPr>
              <w:t>100%</w:t>
            </w:r>
          </w:p>
        </w:tc>
      </w:tr>
      <w:tr w:rsidR="0081662F" w:rsidRPr="00D0532A" w14:paraId="4DD88D9A" w14:textId="77777777" w:rsidTr="00EB2357">
        <w:trPr>
          <w:jc w:val="center"/>
        </w:trPr>
        <w:tc>
          <w:tcPr>
            <w:tcW w:w="1218" w:type="pct"/>
            <w:shd w:val="clear" w:color="auto" w:fill="auto"/>
          </w:tcPr>
          <w:p w14:paraId="1A79EF41" w14:textId="77777777" w:rsidR="0081662F" w:rsidRPr="00D0532A" w:rsidRDefault="0081662F" w:rsidP="00EB2357">
            <w:pPr>
              <w:spacing w:after="0"/>
              <w:contextualSpacing/>
              <w:rPr>
                <w:rFonts w:ascii="Times New Roman" w:eastAsia="Calibri" w:hAnsi="Times New Roman" w:cs="Times New Roman"/>
              </w:rPr>
            </w:pPr>
            <w:r w:rsidRPr="00D0532A">
              <w:rPr>
                <w:rFonts w:ascii="Times New Roman" w:eastAsia="Calibri" w:hAnsi="Times New Roman" w:cs="Times New Roman"/>
              </w:rPr>
              <w:t>Planirana sredstva za provedbu aktivnosti</w:t>
            </w:r>
          </w:p>
        </w:tc>
        <w:tc>
          <w:tcPr>
            <w:tcW w:w="1293" w:type="pct"/>
            <w:shd w:val="clear" w:color="auto" w:fill="auto"/>
          </w:tcPr>
          <w:p w14:paraId="52DC4D74" w14:textId="77777777" w:rsidR="0081662F" w:rsidRPr="00D0532A" w:rsidRDefault="0081662F" w:rsidP="00EB2357">
            <w:pPr>
              <w:spacing w:after="0"/>
              <w:contextualSpacing/>
              <w:rPr>
                <w:rFonts w:ascii="Times New Roman" w:eastAsia="Calibri" w:hAnsi="Times New Roman" w:cs="Times New Roman"/>
              </w:rPr>
            </w:pPr>
            <w:r w:rsidRPr="00D0532A">
              <w:rPr>
                <w:rFonts w:ascii="Times New Roman" w:eastAsia="Calibri" w:hAnsi="Times New Roman" w:cs="Times New Roman"/>
              </w:rPr>
              <w:t>Sredstva za provedbu aktivnosti</w:t>
            </w:r>
          </w:p>
        </w:tc>
        <w:tc>
          <w:tcPr>
            <w:tcW w:w="551" w:type="pct"/>
            <w:shd w:val="clear" w:color="auto" w:fill="auto"/>
          </w:tcPr>
          <w:p w14:paraId="689447DC" w14:textId="77777777" w:rsidR="0081662F" w:rsidRPr="00D0532A" w:rsidRDefault="0081662F" w:rsidP="00EB2357">
            <w:pPr>
              <w:spacing w:after="0"/>
              <w:contextualSpacing/>
              <w:rPr>
                <w:rFonts w:ascii="Times New Roman" w:eastAsia="Calibri" w:hAnsi="Times New Roman" w:cs="Times New Roman"/>
              </w:rPr>
            </w:pPr>
            <w:r w:rsidRPr="00D0532A">
              <w:rPr>
                <w:rFonts w:ascii="Times New Roman" w:eastAsia="Calibri" w:hAnsi="Times New Roman" w:cs="Times New Roman"/>
              </w:rPr>
              <w:t>Iznos u EUR</w:t>
            </w:r>
          </w:p>
        </w:tc>
        <w:tc>
          <w:tcPr>
            <w:tcW w:w="646" w:type="pct"/>
            <w:vAlign w:val="center"/>
          </w:tcPr>
          <w:p w14:paraId="1B95B245"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300,00</w:t>
            </w:r>
          </w:p>
        </w:tc>
        <w:tc>
          <w:tcPr>
            <w:tcW w:w="646" w:type="pct"/>
            <w:vAlign w:val="center"/>
          </w:tcPr>
          <w:p w14:paraId="58E4B165"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296</w:t>
            </w:r>
          </w:p>
        </w:tc>
        <w:tc>
          <w:tcPr>
            <w:tcW w:w="646" w:type="pct"/>
            <w:vAlign w:val="center"/>
          </w:tcPr>
          <w:p w14:paraId="58764F99"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98,67%</w:t>
            </w:r>
          </w:p>
        </w:tc>
      </w:tr>
    </w:tbl>
    <w:p w14:paraId="07BD31CD" w14:textId="77777777" w:rsidR="0081662F" w:rsidRPr="00D0532A" w:rsidRDefault="0081662F" w:rsidP="0081662F">
      <w:pPr>
        <w:spacing w:after="0" w:line="240" w:lineRule="auto"/>
        <w:jc w:val="both"/>
        <w:rPr>
          <w:rFonts w:ascii="Times New Roman" w:hAnsi="Times New Roman" w:cs="Times New Roman"/>
          <w:b/>
          <w:bCs/>
        </w:rPr>
      </w:pPr>
    </w:p>
    <w:p w14:paraId="002C4BAF" w14:textId="77777777" w:rsidR="0081662F" w:rsidRPr="00D0532A" w:rsidRDefault="0081662F" w:rsidP="0081662F">
      <w:pPr>
        <w:spacing w:after="0" w:line="240" w:lineRule="auto"/>
        <w:jc w:val="both"/>
        <w:rPr>
          <w:rFonts w:ascii="Times New Roman" w:hAnsi="Times New Roman" w:cs="Times New Roman"/>
          <w:b/>
          <w:bCs/>
        </w:rPr>
      </w:pPr>
      <w:r w:rsidRPr="00D0532A">
        <w:rPr>
          <w:rFonts w:ascii="Times New Roman" w:hAnsi="Times New Roman" w:cs="Times New Roman"/>
          <w:b/>
          <w:bCs/>
        </w:rPr>
        <w:t xml:space="preserve">Tekući projekt: „Pomoćnici u nastavi – faza VI“ </w:t>
      </w:r>
    </w:p>
    <w:p w14:paraId="3E60339E" w14:textId="77777777" w:rsidR="0081662F" w:rsidRPr="00D0532A" w:rsidRDefault="0081662F" w:rsidP="0081662F">
      <w:pPr>
        <w:spacing w:after="0" w:line="240" w:lineRule="auto"/>
        <w:jc w:val="both"/>
        <w:rPr>
          <w:rFonts w:ascii="Times New Roman" w:hAnsi="Times New Roman" w:cs="Times New Roman"/>
        </w:rPr>
      </w:pPr>
      <w:r w:rsidRPr="00D0532A">
        <w:rPr>
          <w:rFonts w:ascii="Times New Roman" w:hAnsi="Times New Roman" w:cs="Times New Roman"/>
        </w:rPr>
        <w:t>Ukupni rashodi za navedenu aktivnost iznose 50.166,19 eura što je 99,95% od planiranog. Aktivnost  obuhvaća rashode za plaće i ostale rashode za zaposlene. Aktivnost se financira iz izvora: 5.2.1Državni proračun, 5.4.1 Pomoći institucija i pomoći EU i izvora 1.1.1 Opći prihodi i primici.</w:t>
      </w:r>
    </w:p>
    <w:p w14:paraId="0BA91356" w14:textId="77777777" w:rsidR="0081662F" w:rsidRPr="00D0532A" w:rsidRDefault="0081662F" w:rsidP="0081662F">
      <w:pPr>
        <w:spacing w:after="0" w:line="240" w:lineRule="auto"/>
        <w:jc w:val="both"/>
        <w:rPr>
          <w:rFonts w:ascii="Times New Roman" w:hAnsi="Times New Roman" w:cs="Times New Roman"/>
          <w:bCs/>
          <w:lang w:eastAsia="hr-HR"/>
        </w:rPr>
      </w:pP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226"/>
        <w:gridCol w:w="1082"/>
        <w:gridCol w:w="1271"/>
        <w:gridCol w:w="1271"/>
        <w:gridCol w:w="1271"/>
      </w:tblGrid>
      <w:tr w:rsidR="0081662F" w:rsidRPr="00D0532A" w14:paraId="4A6A2F2F" w14:textId="77777777" w:rsidTr="00EB2357">
        <w:trPr>
          <w:jc w:val="center"/>
        </w:trPr>
        <w:tc>
          <w:tcPr>
            <w:tcW w:w="2263" w:type="dxa"/>
            <w:shd w:val="clear" w:color="auto" w:fill="auto"/>
          </w:tcPr>
          <w:p w14:paraId="7057916C" w14:textId="77777777" w:rsidR="0081662F" w:rsidRPr="00D0532A" w:rsidRDefault="0081662F" w:rsidP="00EB2357">
            <w:pPr>
              <w:spacing w:after="0" w:line="240" w:lineRule="auto"/>
              <w:contextualSpacing/>
              <w:jc w:val="center"/>
              <w:rPr>
                <w:rFonts w:ascii="Times New Roman" w:eastAsia="Calibri" w:hAnsi="Times New Roman" w:cs="Times New Roman"/>
                <w:b/>
              </w:rPr>
            </w:pPr>
            <w:r w:rsidRPr="00D0532A">
              <w:rPr>
                <w:rFonts w:ascii="Times New Roman" w:eastAsia="Calibri" w:hAnsi="Times New Roman" w:cs="Times New Roman"/>
                <w:b/>
              </w:rPr>
              <w:t>Pokazatelj rezultata</w:t>
            </w:r>
          </w:p>
        </w:tc>
        <w:tc>
          <w:tcPr>
            <w:tcW w:w="2226" w:type="dxa"/>
            <w:shd w:val="clear" w:color="auto" w:fill="auto"/>
          </w:tcPr>
          <w:p w14:paraId="6A72CB80" w14:textId="77777777" w:rsidR="0081662F" w:rsidRPr="00D0532A" w:rsidRDefault="0081662F" w:rsidP="00EB2357">
            <w:pPr>
              <w:spacing w:after="0" w:line="240" w:lineRule="auto"/>
              <w:contextualSpacing/>
              <w:jc w:val="center"/>
              <w:rPr>
                <w:rFonts w:ascii="Times New Roman" w:eastAsia="Calibri" w:hAnsi="Times New Roman" w:cs="Times New Roman"/>
                <w:b/>
              </w:rPr>
            </w:pPr>
            <w:r w:rsidRPr="00D0532A">
              <w:rPr>
                <w:rFonts w:ascii="Times New Roman" w:eastAsia="Calibri" w:hAnsi="Times New Roman" w:cs="Times New Roman"/>
                <w:b/>
              </w:rPr>
              <w:t>Definicija pokazatelja</w:t>
            </w:r>
          </w:p>
        </w:tc>
        <w:tc>
          <w:tcPr>
            <w:tcW w:w="1082" w:type="dxa"/>
            <w:shd w:val="clear" w:color="auto" w:fill="auto"/>
          </w:tcPr>
          <w:p w14:paraId="50F5E3A9" w14:textId="77777777" w:rsidR="0081662F" w:rsidRPr="00D0532A" w:rsidRDefault="0081662F" w:rsidP="00EB2357">
            <w:pPr>
              <w:spacing w:after="0" w:line="240" w:lineRule="auto"/>
              <w:contextualSpacing/>
              <w:jc w:val="center"/>
              <w:rPr>
                <w:rFonts w:ascii="Times New Roman" w:eastAsia="Calibri" w:hAnsi="Times New Roman" w:cs="Times New Roman"/>
                <w:b/>
              </w:rPr>
            </w:pPr>
            <w:r w:rsidRPr="00D0532A">
              <w:rPr>
                <w:rFonts w:ascii="Times New Roman" w:eastAsia="Calibri" w:hAnsi="Times New Roman" w:cs="Times New Roman"/>
                <w:b/>
              </w:rPr>
              <w:t>Jedinica</w:t>
            </w:r>
          </w:p>
        </w:tc>
        <w:tc>
          <w:tcPr>
            <w:tcW w:w="1271" w:type="dxa"/>
          </w:tcPr>
          <w:p w14:paraId="042BB565" w14:textId="77777777" w:rsidR="0081662F" w:rsidRPr="00D0532A" w:rsidRDefault="0081662F" w:rsidP="00EB2357">
            <w:pPr>
              <w:spacing w:after="0" w:line="240" w:lineRule="auto"/>
              <w:contextualSpacing/>
              <w:jc w:val="center"/>
              <w:rPr>
                <w:rFonts w:ascii="Times New Roman" w:eastAsia="Calibri" w:hAnsi="Times New Roman" w:cs="Times New Roman"/>
                <w:b/>
              </w:rPr>
            </w:pPr>
            <w:r w:rsidRPr="00D0532A">
              <w:rPr>
                <w:rFonts w:ascii="Times New Roman" w:eastAsia="Calibri" w:hAnsi="Times New Roman" w:cs="Times New Roman"/>
                <w:b/>
              </w:rPr>
              <w:t>Planirana vrijednost 2024.</w:t>
            </w:r>
          </w:p>
        </w:tc>
        <w:tc>
          <w:tcPr>
            <w:tcW w:w="1271" w:type="dxa"/>
            <w:vAlign w:val="center"/>
          </w:tcPr>
          <w:p w14:paraId="1BDAA5DB" w14:textId="77777777" w:rsidR="0081662F" w:rsidRPr="00D0532A" w:rsidRDefault="0081662F" w:rsidP="00EB2357">
            <w:pPr>
              <w:spacing w:after="0" w:line="240" w:lineRule="auto"/>
              <w:contextualSpacing/>
              <w:jc w:val="center"/>
              <w:rPr>
                <w:rFonts w:ascii="Times New Roman" w:hAnsi="Times New Roman" w:cs="Times New Roman"/>
                <w:b/>
                <w:lang w:eastAsia="hr-HR"/>
              </w:rPr>
            </w:pPr>
            <w:r w:rsidRPr="00D0532A">
              <w:rPr>
                <w:rFonts w:ascii="Times New Roman" w:hAnsi="Times New Roman" w:cs="Times New Roman"/>
                <w:b/>
                <w:lang w:eastAsia="hr-HR"/>
              </w:rPr>
              <w:t>Izvršenje</w:t>
            </w:r>
          </w:p>
          <w:p w14:paraId="2E1984F2" w14:textId="77777777" w:rsidR="0081662F" w:rsidRPr="00D0532A" w:rsidRDefault="0081662F" w:rsidP="00EB2357">
            <w:pPr>
              <w:spacing w:after="0" w:line="240" w:lineRule="auto"/>
              <w:contextualSpacing/>
              <w:jc w:val="center"/>
              <w:rPr>
                <w:rFonts w:ascii="Times New Roman" w:eastAsia="Calibri" w:hAnsi="Times New Roman" w:cs="Times New Roman"/>
                <w:b/>
              </w:rPr>
            </w:pPr>
            <w:r w:rsidRPr="00D0532A">
              <w:rPr>
                <w:rFonts w:ascii="Times New Roman" w:eastAsia="Calibri" w:hAnsi="Times New Roman" w:cs="Times New Roman"/>
                <w:b/>
                <w:lang w:eastAsia="hr-HR"/>
              </w:rPr>
              <w:t>2024.</w:t>
            </w:r>
          </w:p>
        </w:tc>
        <w:tc>
          <w:tcPr>
            <w:tcW w:w="1271" w:type="dxa"/>
            <w:vAlign w:val="center"/>
          </w:tcPr>
          <w:p w14:paraId="240E0F35" w14:textId="77777777" w:rsidR="0081662F" w:rsidRPr="00D0532A" w:rsidRDefault="0081662F" w:rsidP="00EB2357">
            <w:pPr>
              <w:spacing w:after="0" w:line="240" w:lineRule="auto"/>
              <w:contextualSpacing/>
              <w:jc w:val="center"/>
              <w:rPr>
                <w:rFonts w:ascii="Times New Roman" w:eastAsia="Calibri" w:hAnsi="Times New Roman" w:cs="Times New Roman"/>
                <w:b/>
              </w:rPr>
            </w:pPr>
            <w:r w:rsidRPr="00D0532A">
              <w:rPr>
                <w:rFonts w:ascii="Times New Roman" w:hAnsi="Times New Roman" w:cs="Times New Roman"/>
                <w:b/>
                <w:lang w:eastAsia="hr-HR"/>
              </w:rPr>
              <w:t>Indeks</w:t>
            </w:r>
          </w:p>
        </w:tc>
      </w:tr>
      <w:tr w:rsidR="0081662F" w:rsidRPr="00D0532A" w14:paraId="48A141AD" w14:textId="77777777" w:rsidTr="00EB2357">
        <w:trPr>
          <w:jc w:val="center"/>
        </w:trPr>
        <w:tc>
          <w:tcPr>
            <w:tcW w:w="2263" w:type="dxa"/>
            <w:shd w:val="clear" w:color="auto" w:fill="auto"/>
          </w:tcPr>
          <w:p w14:paraId="66A0EA20" w14:textId="77777777" w:rsidR="0081662F" w:rsidRPr="00D0532A" w:rsidRDefault="0081662F" w:rsidP="00EB2357">
            <w:pPr>
              <w:spacing w:after="0"/>
              <w:contextualSpacing/>
              <w:rPr>
                <w:rFonts w:ascii="Times New Roman" w:eastAsia="Calibri" w:hAnsi="Times New Roman" w:cs="Times New Roman"/>
              </w:rPr>
            </w:pPr>
            <w:r w:rsidRPr="00D0532A">
              <w:rPr>
                <w:rFonts w:ascii="Times New Roman" w:eastAsia="Calibri" w:hAnsi="Times New Roman" w:cs="Times New Roman"/>
              </w:rPr>
              <w:t>Broj učenika za koje se provodi aktivnost</w:t>
            </w:r>
          </w:p>
        </w:tc>
        <w:tc>
          <w:tcPr>
            <w:tcW w:w="2226" w:type="dxa"/>
            <w:shd w:val="clear" w:color="auto" w:fill="auto"/>
          </w:tcPr>
          <w:p w14:paraId="4642B57A" w14:textId="77777777" w:rsidR="0081662F" w:rsidRPr="00D0532A" w:rsidRDefault="0081662F" w:rsidP="00EB2357">
            <w:pPr>
              <w:spacing w:after="0"/>
              <w:contextualSpacing/>
              <w:rPr>
                <w:rFonts w:ascii="Times New Roman" w:eastAsia="Calibri" w:hAnsi="Times New Roman" w:cs="Times New Roman"/>
              </w:rPr>
            </w:pPr>
            <w:r w:rsidRPr="00D0532A">
              <w:rPr>
                <w:rFonts w:ascii="Times New Roman" w:eastAsia="Calibri" w:hAnsi="Times New Roman" w:cs="Times New Roman"/>
              </w:rPr>
              <w:t>Broj učenika koji su uključeni u program</w:t>
            </w:r>
          </w:p>
        </w:tc>
        <w:tc>
          <w:tcPr>
            <w:tcW w:w="1082" w:type="dxa"/>
            <w:shd w:val="clear" w:color="auto" w:fill="auto"/>
          </w:tcPr>
          <w:p w14:paraId="0838D9B9" w14:textId="77777777" w:rsidR="0081662F" w:rsidRPr="00D0532A" w:rsidRDefault="0081662F" w:rsidP="00EB2357">
            <w:pPr>
              <w:spacing w:after="0"/>
              <w:contextualSpacing/>
              <w:rPr>
                <w:rFonts w:ascii="Times New Roman" w:eastAsia="Calibri" w:hAnsi="Times New Roman" w:cs="Times New Roman"/>
              </w:rPr>
            </w:pPr>
            <w:r w:rsidRPr="00D0532A">
              <w:rPr>
                <w:rFonts w:ascii="Times New Roman" w:eastAsia="Calibri" w:hAnsi="Times New Roman" w:cs="Times New Roman"/>
              </w:rPr>
              <w:t>Broj učenika</w:t>
            </w:r>
          </w:p>
        </w:tc>
        <w:tc>
          <w:tcPr>
            <w:tcW w:w="1271" w:type="dxa"/>
            <w:vAlign w:val="center"/>
          </w:tcPr>
          <w:p w14:paraId="08053DDD" w14:textId="77777777" w:rsidR="0081662F" w:rsidRPr="00D0532A" w:rsidRDefault="0081662F" w:rsidP="00EB2357">
            <w:pPr>
              <w:spacing w:after="0"/>
              <w:contextualSpacing/>
              <w:jc w:val="center"/>
              <w:rPr>
                <w:rFonts w:ascii="Times New Roman" w:eastAsia="Calibri" w:hAnsi="Times New Roman" w:cs="Times New Roman"/>
              </w:rPr>
            </w:pPr>
            <w:r w:rsidRPr="00D0532A">
              <w:rPr>
                <w:rFonts w:ascii="Times New Roman" w:eastAsia="Calibri" w:hAnsi="Times New Roman" w:cs="Times New Roman"/>
              </w:rPr>
              <w:t>9</w:t>
            </w:r>
          </w:p>
        </w:tc>
        <w:tc>
          <w:tcPr>
            <w:tcW w:w="1271" w:type="dxa"/>
            <w:vAlign w:val="center"/>
          </w:tcPr>
          <w:p w14:paraId="4C230ED7" w14:textId="77777777" w:rsidR="0081662F" w:rsidRPr="00D0532A" w:rsidRDefault="0081662F" w:rsidP="00EB2357">
            <w:pPr>
              <w:spacing w:after="0"/>
              <w:contextualSpacing/>
              <w:jc w:val="center"/>
              <w:rPr>
                <w:rFonts w:ascii="Times New Roman" w:eastAsia="Calibri" w:hAnsi="Times New Roman" w:cs="Times New Roman"/>
              </w:rPr>
            </w:pPr>
            <w:r w:rsidRPr="00D0532A">
              <w:rPr>
                <w:rFonts w:ascii="Times New Roman" w:eastAsia="Calibri" w:hAnsi="Times New Roman" w:cs="Times New Roman"/>
              </w:rPr>
              <w:t>9</w:t>
            </w:r>
          </w:p>
        </w:tc>
        <w:tc>
          <w:tcPr>
            <w:tcW w:w="1271" w:type="dxa"/>
            <w:vAlign w:val="center"/>
          </w:tcPr>
          <w:p w14:paraId="77FD39D9" w14:textId="77777777" w:rsidR="0081662F" w:rsidRPr="00D0532A" w:rsidRDefault="0081662F" w:rsidP="00EB2357">
            <w:pPr>
              <w:spacing w:after="0"/>
              <w:contextualSpacing/>
              <w:jc w:val="center"/>
              <w:rPr>
                <w:rFonts w:ascii="Times New Roman" w:eastAsia="Calibri" w:hAnsi="Times New Roman" w:cs="Times New Roman"/>
              </w:rPr>
            </w:pPr>
            <w:r w:rsidRPr="00D0532A">
              <w:rPr>
                <w:rFonts w:ascii="Times New Roman" w:eastAsia="Calibri" w:hAnsi="Times New Roman" w:cs="Times New Roman"/>
              </w:rPr>
              <w:t>100%</w:t>
            </w:r>
          </w:p>
        </w:tc>
      </w:tr>
      <w:tr w:rsidR="0081662F" w:rsidRPr="00D0532A" w14:paraId="68E65D74" w14:textId="77777777" w:rsidTr="00EB2357">
        <w:trPr>
          <w:jc w:val="center"/>
        </w:trPr>
        <w:tc>
          <w:tcPr>
            <w:tcW w:w="2263" w:type="dxa"/>
            <w:shd w:val="clear" w:color="auto" w:fill="auto"/>
          </w:tcPr>
          <w:p w14:paraId="6D616FD3" w14:textId="77777777" w:rsidR="0081662F" w:rsidRPr="00D0532A" w:rsidRDefault="0081662F" w:rsidP="00EB2357">
            <w:pPr>
              <w:spacing w:after="0"/>
              <w:contextualSpacing/>
              <w:rPr>
                <w:rFonts w:ascii="Times New Roman" w:eastAsia="Calibri" w:hAnsi="Times New Roman" w:cs="Times New Roman"/>
              </w:rPr>
            </w:pPr>
            <w:r w:rsidRPr="00D0532A">
              <w:rPr>
                <w:rFonts w:ascii="Times New Roman" w:eastAsia="Calibri" w:hAnsi="Times New Roman" w:cs="Times New Roman"/>
              </w:rPr>
              <w:t>Planirana sredstva za provedbu aktivnosti</w:t>
            </w:r>
          </w:p>
        </w:tc>
        <w:tc>
          <w:tcPr>
            <w:tcW w:w="2226" w:type="dxa"/>
            <w:shd w:val="clear" w:color="auto" w:fill="auto"/>
          </w:tcPr>
          <w:p w14:paraId="4E0BD3A8" w14:textId="77777777" w:rsidR="0081662F" w:rsidRPr="00D0532A" w:rsidRDefault="0081662F" w:rsidP="00EB2357">
            <w:pPr>
              <w:spacing w:after="0"/>
              <w:contextualSpacing/>
              <w:rPr>
                <w:rFonts w:ascii="Times New Roman" w:eastAsia="Calibri" w:hAnsi="Times New Roman" w:cs="Times New Roman"/>
              </w:rPr>
            </w:pPr>
            <w:r w:rsidRPr="00D0532A">
              <w:rPr>
                <w:rFonts w:ascii="Times New Roman" w:eastAsia="Calibri" w:hAnsi="Times New Roman" w:cs="Times New Roman"/>
              </w:rPr>
              <w:t>Sredstva za provedbu aktivnosti</w:t>
            </w:r>
          </w:p>
        </w:tc>
        <w:tc>
          <w:tcPr>
            <w:tcW w:w="1082" w:type="dxa"/>
            <w:shd w:val="clear" w:color="auto" w:fill="auto"/>
          </w:tcPr>
          <w:p w14:paraId="36C3C45A" w14:textId="77777777" w:rsidR="0081662F" w:rsidRPr="00D0532A" w:rsidRDefault="0081662F" w:rsidP="00EB2357">
            <w:pPr>
              <w:spacing w:after="0"/>
              <w:contextualSpacing/>
              <w:rPr>
                <w:rFonts w:ascii="Times New Roman" w:eastAsia="Calibri" w:hAnsi="Times New Roman" w:cs="Times New Roman"/>
              </w:rPr>
            </w:pPr>
            <w:r w:rsidRPr="00D0532A">
              <w:rPr>
                <w:rFonts w:ascii="Times New Roman" w:eastAsia="Calibri" w:hAnsi="Times New Roman" w:cs="Times New Roman"/>
              </w:rPr>
              <w:t>Iznos u EUR</w:t>
            </w:r>
          </w:p>
        </w:tc>
        <w:tc>
          <w:tcPr>
            <w:tcW w:w="1271" w:type="dxa"/>
            <w:vAlign w:val="center"/>
          </w:tcPr>
          <w:p w14:paraId="0F506EE4"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50.192,47</w:t>
            </w:r>
          </w:p>
        </w:tc>
        <w:tc>
          <w:tcPr>
            <w:tcW w:w="1271" w:type="dxa"/>
            <w:vAlign w:val="center"/>
          </w:tcPr>
          <w:p w14:paraId="1BBACB2A"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50.166,19</w:t>
            </w:r>
          </w:p>
        </w:tc>
        <w:tc>
          <w:tcPr>
            <w:tcW w:w="1271" w:type="dxa"/>
            <w:vAlign w:val="center"/>
          </w:tcPr>
          <w:p w14:paraId="6810D5C9"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99,95%</w:t>
            </w:r>
          </w:p>
        </w:tc>
      </w:tr>
    </w:tbl>
    <w:p w14:paraId="689C1862" w14:textId="77777777" w:rsidR="0081662F" w:rsidRPr="00D0532A" w:rsidRDefault="0081662F" w:rsidP="0081662F">
      <w:pPr>
        <w:spacing w:after="0" w:line="240" w:lineRule="auto"/>
        <w:jc w:val="both"/>
        <w:rPr>
          <w:rFonts w:ascii="Times New Roman" w:hAnsi="Times New Roman" w:cs="Times New Roman"/>
          <w:bCs/>
          <w:lang w:eastAsia="hr-HR"/>
        </w:rPr>
      </w:pPr>
    </w:p>
    <w:p w14:paraId="4760615C" w14:textId="77777777" w:rsidR="0081662F" w:rsidRPr="00D0532A" w:rsidRDefault="0081662F" w:rsidP="0081662F">
      <w:pPr>
        <w:spacing w:after="0" w:line="240" w:lineRule="auto"/>
        <w:jc w:val="both"/>
        <w:rPr>
          <w:rFonts w:ascii="Times New Roman" w:hAnsi="Times New Roman" w:cs="Times New Roman"/>
          <w:b/>
          <w:bCs/>
        </w:rPr>
      </w:pPr>
    </w:p>
    <w:p w14:paraId="21723E00" w14:textId="77777777" w:rsidR="001D39EA" w:rsidRDefault="001D39EA" w:rsidP="0081662F">
      <w:pPr>
        <w:spacing w:after="0" w:line="240" w:lineRule="auto"/>
        <w:jc w:val="both"/>
        <w:rPr>
          <w:rFonts w:ascii="Times New Roman" w:hAnsi="Times New Roman" w:cs="Times New Roman"/>
          <w:b/>
          <w:bCs/>
        </w:rPr>
      </w:pPr>
    </w:p>
    <w:p w14:paraId="32449B43" w14:textId="77777777" w:rsidR="001D39EA" w:rsidRDefault="001D39EA" w:rsidP="0081662F">
      <w:pPr>
        <w:spacing w:after="0" w:line="240" w:lineRule="auto"/>
        <w:jc w:val="both"/>
        <w:rPr>
          <w:rFonts w:ascii="Times New Roman" w:hAnsi="Times New Roman" w:cs="Times New Roman"/>
          <w:b/>
          <w:bCs/>
        </w:rPr>
      </w:pPr>
    </w:p>
    <w:p w14:paraId="5783E6A1" w14:textId="36C15773" w:rsidR="0081662F" w:rsidRPr="00D0532A" w:rsidRDefault="0081662F" w:rsidP="0081662F">
      <w:pPr>
        <w:spacing w:after="0" w:line="240" w:lineRule="auto"/>
        <w:jc w:val="both"/>
        <w:rPr>
          <w:rFonts w:ascii="Times New Roman" w:hAnsi="Times New Roman" w:cs="Times New Roman"/>
          <w:b/>
          <w:bCs/>
        </w:rPr>
      </w:pPr>
      <w:r w:rsidRPr="00D0532A">
        <w:rPr>
          <w:rFonts w:ascii="Times New Roman" w:hAnsi="Times New Roman" w:cs="Times New Roman"/>
          <w:b/>
          <w:bCs/>
        </w:rPr>
        <w:lastRenderedPageBreak/>
        <w:t xml:space="preserve">Tekući projekt: „Pomoćnici u nastavi – faza VII“ </w:t>
      </w:r>
    </w:p>
    <w:p w14:paraId="274F4130" w14:textId="672A23F0" w:rsidR="0081662F" w:rsidRPr="0010700E" w:rsidRDefault="0081662F" w:rsidP="0081662F">
      <w:pPr>
        <w:spacing w:after="0" w:line="240" w:lineRule="auto"/>
        <w:jc w:val="both"/>
        <w:rPr>
          <w:rFonts w:ascii="Times New Roman" w:hAnsi="Times New Roman" w:cs="Times New Roman"/>
        </w:rPr>
      </w:pPr>
      <w:r w:rsidRPr="00D0532A">
        <w:rPr>
          <w:rFonts w:ascii="Times New Roman" w:hAnsi="Times New Roman" w:cs="Times New Roman"/>
        </w:rPr>
        <w:t>Ukupni rashodi za navedenu aktivnost iznose 19.397,72 eura što je 96,03% od planiranog. Aktivnost  obuhvaća rashode za plaće i ostale rashode za zaposlene. Aktivnost se financira iz izvora: 5.2.1Državni proračun, 5.4.1 Pomoći institucija i pomoći EU i izvora 1.1.1 Opći prihodi i primici.</w:t>
      </w: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226"/>
        <w:gridCol w:w="1082"/>
        <w:gridCol w:w="1271"/>
        <w:gridCol w:w="1271"/>
        <w:gridCol w:w="1271"/>
      </w:tblGrid>
      <w:tr w:rsidR="0081662F" w:rsidRPr="00D0532A" w14:paraId="54F0021C" w14:textId="77777777" w:rsidTr="00EB2357">
        <w:trPr>
          <w:jc w:val="center"/>
        </w:trPr>
        <w:tc>
          <w:tcPr>
            <w:tcW w:w="2263" w:type="dxa"/>
            <w:shd w:val="clear" w:color="auto" w:fill="auto"/>
          </w:tcPr>
          <w:p w14:paraId="2684964C" w14:textId="77777777" w:rsidR="0081662F" w:rsidRPr="00D0532A" w:rsidRDefault="0081662F" w:rsidP="00EB2357">
            <w:pPr>
              <w:spacing w:after="0" w:line="240" w:lineRule="auto"/>
              <w:contextualSpacing/>
              <w:jc w:val="center"/>
              <w:rPr>
                <w:rFonts w:ascii="Times New Roman" w:eastAsia="Calibri" w:hAnsi="Times New Roman" w:cs="Times New Roman"/>
                <w:b/>
              </w:rPr>
            </w:pPr>
            <w:r w:rsidRPr="00D0532A">
              <w:rPr>
                <w:rFonts w:ascii="Times New Roman" w:eastAsia="Calibri" w:hAnsi="Times New Roman" w:cs="Times New Roman"/>
                <w:b/>
              </w:rPr>
              <w:t>Pokazatelj rezultata</w:t>
            </w:r>
          </w:p>
        </w:tc>
        <w:tc>
          <w:tcPr>
            <w:tcW w:w="2226" w:type="dxa"/>
            <w:shd w:val="clear" w:color="auto" w:fill="auto"/>
          </w:tcPr>
          <w:p w14:paraId="47869C81" w14:textId="77777777" w:rsidR="0081662F" w:rsidRPr="00D0532A" w:rsidRDefault="0081662F" w:rsidP="00EB2357">
            <w:pPr>
              <w:spacing w:after="0" w:line="240" w:lineRule="auto"/>
              <w:contextualSpacing/>
              <w:jc w:val="center"/>
              <w:rPr>
                <w:rFonts w:ascii="Times New Roman" w:eastAsia="Calibri" w:hAnsi="Times New Roman" w:cs="Times New Roman"/>
                <w:b/>
              </w:rPr>
            </w:pPr>
            <w:r w:rsidRPr="00D0532A">
              <w:rPr>
                <w:rFonts w:ascii="Times New Roman" w:eastAsia="Calibri" w:hAnsi="Times New Roman" w:cs="Times New Roman"/>
                <w:b/>
              </w:rPr>
              <w:t>Definicija pokazatelja</w:t>
            </w:r>
          </w:p>
        </w:tc>
        <w:tc>
          <w:tcPr>
            <w:tcW w:w="1082" w:type="dxa"/>
            <w:shd w:val="clear" w:color="auto" w:fill="auto"/>
          </w:tcPr>
          <w:p w14:paraId="122ED1DD" w14:textId="77777777" w:rsidR="0081662F" w:rsidRPr="00D0532A" w:rsidRDefault="0081662F" w:rsidP="00EB2357">
            <w:pPr>
              <w:spacing w:after="0" w:line="240" w:lineRule="auto"/>
              <w:contextualSpacing/>
              <w:jc w:val="center"/>
              <w:rPr>
                <w:rFonts w:ascii="Times New Roman" w:eastAsia="Calibri" w:hAnsi="Times New Roman" w:cs="Times New Roman"/>
                <w:b/>
              </w:rPr>
            </w:pPr>
            <w:r w:rsidRPr="00D0532A">
              <w:rPr>
                <w:rFonts w:ascii="Times New Roman" w:eastAsia="Calibri" w:hAnsi="Times New Roman" w:cs="Times New Roman"/>
                <w:b/>
              </w:rPr>
              <w:t>Jedinica</w:t>
            </w:r>
          </w:p>
        </w:tc>
        <w:tc>
          <w:tcPr>
            <w:tcW w:w="1271" w:type="dxa"/>
          </w:tcPr>
          <w:p w14:paraId="2935CC53" w14:textId="77777777" w:rsidR="0081662F" w:rsidRPr="00D0532A" w:rsidRDefault="0081662F" w:rsidP="00EB2357">
            <w:pPr>
              <w:spacing w:after="0" w:line="240" w:lineRule="auto"/>
              <w:contextualSpacing/>
              <w:jc w:val="center"/>
              <w:rPr>
                <w:rFonts w:ascii="Times New Roman" w:eastAsia="Calibri" w:hAnsi="Times New Roman" w:cs="Times New Roman"/>
                <w:b/>
              </w:rPr>
            </w:pPr>
            <w:r w:rsidRPr="00D0532A">
              <w:rPr>
                <w:rFonts w:ascii="Times New Roman" w:eastAsia="Calibri" w:hAnsi="Times New Roman" w:cs="Times New Roman"/>
                <w:b/>
              </w:rPr>
              <w:t>Planirana vrijednost 2024.</w:t>
            </w:r>
          </w:p>
        </w:tc>
        <w:tc>
          <w:tcPr>
            <w:tcW w:w="1271" w:type="dxa"/>
            <w:vAlign w:val="center"/>
          </w:tcPr>
          <w:p w14:paraId="0FEC591B" w14:textId="77777777" w:rsidR="0081662F" w:rsidRPr="00D0532A" w:rsidRDefault="0081662F" w:rsidP="00EB2357">
            <w:pPr>
              <w:spacing w:after="0" w:line="240" w:lineRule="auto"/>
              <w:contextualSpacing/>
              <w:jc w:val="center"/>
              <w:rPr>
                <w:rFonts w:ascii="Times New Roman" w:eastAsia="Calibri" w:hAnsi="Times New Roman" w:cs="Times New Roman"/>
                <w:b/>
              </w:rPr>
            </w:pPr>
            <w:r w:rsidRPr="00D0532A">
              <w:rPr>
                <w:rFonts w:ascii="Times New Roman" w:hAnsi="Times New Roman" w:cs="Times New Roman"/>
                <w:b/>
                <w:lang w:eastAsia="hr-HR"/>
              </w:rPr>
              <w:t>Izvršenje 2024.</w:t>
            </w:r>
          </w:p>
        </w:tc>
        <w:tc>
          <w:tcPr>
            <w:tcW w:w="1271" w:type="dxa"/>
            <w:vAlign w:val="center"/>
          </w:tcPr>
          <w:p w14:paraId="79232930" w14:textId="77777777" w:rsidR="0081662F" w:rsidRPr="00D0532A" w:rsidRDefault="0081662F" w:rsidP="00EB2357">
            <w:pPr>
              <w:spacing w:after="0" w:line="240" w:lineRule="auto"/>
              <w:contextualSpacing/>
              <w:jc w:val="center"/>
              <w:rPr>
                <w:rFonts w:ascii="Times New Roman" w:eastAsia="Calibri" w:hAnsi="Times New Roman" w:cs="Times New Roman"/>
                <w:b/>
              </w:rPr>
            </w:pPr>
            <w:r w:rsidRPr="00D0532A">
              <w:rPr>
                <w:rFonts w:ascii="Times New Roman" w:hAnsi="Times New Roman" w:cs="Times New Roman"/>
                <w:b/>
                <w:lang w:eastAsia="hr-HR"/>
              </w:rPr>
              <w:t>Indeks</w:t>
            </w:r>
          </w:p>
        </w:tc>
      </w:tr>
      <w:tr w:rsidR="0081662F" w:rsidRPr="00D0532A" w14:paraId="22EC6717" w14:textId="77777777" w:rsidTr="00EB2357">
        <w:trPr>
          <w:jc w:val="center"/>
        </w:trPr>
        <w:tc>
          <w:tcPr>
            <w:tcW w:w="2263" w:type="dxa"/>
            <w:shd w:val="clear" w:color="auto" w:fill="auto"/>
          </w:tcPr>
          <w:p w14:paraId="168DC6C3" w14:textId="77777777" w:rsidR="0081662F" w:rsidRPr="00D0532A" w:rsidRDefault="0081662F" w:rsidP="00EB2357">
            <w:pPr>
              <w:spacing w:after="0"/>
              <w:contextualSpacing/>
              <w:rPr>
                <w:rFonts w:ascii="Times New Roman" w:eastAsia="Calibri" w:hAnsi="Times New Roman" w:cs="Times New Roman"/>
              </w:rPr>
            </w:pPr>
            <w:r w:rsidRPr="00D0532A">
              <w:rPr>
                <w:rFonts w:ascii="Times New Roman" w:eastAsia="Calibri" w:hAnsi="Times New Roman" w:cs="Times New Roman"/>
              </w:rPr>
              <w:t>Broj učenika za koje se provodi aktivnost</w:t>
            </w:r>
          </w:p>
        </w:tc>
        <w:tc>
          <w:tcPr>
            <w:tcW w:w="2226" w:type="dxa"/>
            <w:shd w:val="clear" w:color="auto" w:fill="auto"/>
          </w:tcPr>
          <w:p w14:paraId="580EF178" w14:textId="77777777" w:rsidR="0081662F" w:rsidRPr="00D0532A" w:rsidRDefault="0081662F" w:rsidP="00EB2357">
            <w:pPr>
              <w:spacing w:after="0"/>
              <w:contextualSpacing/>
              <w:rPr>
                <w:rFonts w:ascii="Times New Roman" w:eastAsia="Calibri" w:hAnsi="Times New Roman" w:cs="Times New Roman"/>
              </w:rPr>
            </w:pPr>
            <w:r w:rsidRPr="00D0532A">
              <w:rPr>
                <w:rFonts w:ascii="Times New Roman" w:eastAsia="Calibri" w:hAnsi="Times New Roman" w:cs="Times New Roman"/>
              </w:rPr>
              <w:t>Broj učenika koji su uključeni u program</w:t>
            </w:r>
          </w:p>
        </w:tc>
        <w:tc>
          <w:tcPr>
            <w:tcW w:w="1082" w:type="dxa"/>
            <w:shd w:val="clear" w:color="auto" w:fill="auto"/>
          </w:tcPr>
          <w:p w14:paraId="50525F23" w14:textId="77777777" w:rsidR="0081662F" w:rsidRPr="00D0532A" w:rsidRDefault="0081662F" w:rsidP="00EB2357">
            <w:pPr>
              <w:spacing w:after="0"/>
              <w:contextualSpacing/>
              <w:rPr>
                <w:rFonts w:ascii="Times New Roman" w:eastAsia="Calibri" w:hAnsi="Times New Roman" w:cs="Times New Roman"/>
              </w:rPr>
            </w:pPr>
            <w:r w:rsidRPr="00D0532A">
              <w:rPr>
                <w:rFonts w:ascii="Times New Roman" w:eastAsia="Calibri" w:hAnsi="Times New Roman" w:cs="Times New Roman"/>
              </w:rPr>
              <w:t>Broj učenika</w:t>
            </w:r>
          </w:p>
        </w:tc>
        <w:tc>
          <w:tcPr>
            <w:tcW w:w="1271" w:type="dxa"/>
            <w:vAlign w:val="center"/>
          </w:tcPr>
          <w:p w14:paraId="031893B1" w14:textId="77777777" w:rsidR="0081662F" w:rsidRPr="00D0532A" w:rsidRDefault="0081662F" w:rsidP="00EB2357">
            <w:pPr>
              <w:spacing w:after="0"/>
              <w:contextualSpacing/>
              <w:jc w:val="center"/>
              <w:rPr>
                <w:rFonts w:ascii="Times New Roman" w:eastAsia="Calibri" w:hAnsi="Times New Roman" w:cs="Times New Roman"/>
              </w:rPr>
            </w:pPr>
            <w:r w:rsidRPr="00D0532A">
              <w:rPr>
                <w:rFonts w:ascii="Times New Roman" w:eastAsia="Calibri" w:hAnsi="Times New Roman" w:cs="Times New Roman"/>
              </w:rPr>
              <w:t>6</w:t>
            </w:r>
          </w:p>
        </w:tc>
        <w:tc>
          <w:tcPr>
            <w:tcW w:w="1271" w:type="dxa"/>
            <w:vAlign w:val="center"/>
          </w:tcPr>
          <w:p w14:paraId="60E695D6" w14:textId="77777777" w:rsidR="0081662F" w:rsidRPr="00D0532A" w:rsidRDefault="0081662F" w:rsidP="00EB2357">
            <w:pPr>
              <w:spacing w:after="0"/>
              <w:contextualSpacing/>
              <w:jc w:val="center"/>
              <w:rPr>
                <w:rFonts w:ascii="Times New Roman" w:eastAsia="Calibri" w:hAnsi="Times New Roman" w:cs="Times New Roman"/>
              </w:rPr>
            </w:pPr>
            <w:r w:rsidRPr="00D0532A">
              <w:rPr>
                <w:rFonts w:ascii="Times New Roman" w:eastAsia="Calibri" w:hAnsi="Times New Roman" w:cs="Times New Roman"/>
              </w:rPr>
              <w:t>6</w:t>
            </w:r>
          </w:p>
        </w:tc>
        <w:tc>
          <w:tcPr>
            <w:tcW w:w="1271" w:type="dxa"/>
            <w:vAlign w:val="center"/>
          </w:tcPr>
          <w:p w14:paraId="090F16DA" w14:textId="77777777" w:rsidR="0081662F" w:rsidRPr="00D0532A" w:rsidRDefault="0081662F" w:rsidP="00EB2357">
            <w:pPr>
              <w:spacing w:after="0"/>
              <w:contextualSpacing/>
              <w:jc w:val="center"/>
              <w:rPr>
                <w:rFonts w:ascii="Times New Roman" w:eastAsia="Calibri" w:hAnsi="Times New Roman" w:cs="Times New Roman"/>
              </w:rPr>
            </w:pPr>
            <w:r w:rsidRPr="00D0532A">
              <w:rPr>
                <w:rFonts w:ascii="Times New Roman" w:eastAsia="Calibri" w:hAnsi="Times New Roman" w:cs="Times New Roman"/>
              </w:rPr>
              <w:t>100%</w:t>
            </w:r>
          </w:p>
        </w:tc>
      </w:tr>
      <w:tr w:rsidR="0081662F" w:rsidRPr="00D0532A" w14:paraId="4B6FBFD4" w14:textId="77777777" w:rsidTr="00EB2357">
        <w:trPr>
          <w:trHeight w:val="259"/>
          <w:jc w:val="center"/>
        </w:trPr>
        <w:tc>
          <w:tcPr>
            <w:tcW w:w="2263" w:type="dxa"/>
            <w:shd w:val="clear" w:color="auto" w:fill="auto"/>
          </w:tcPr>
          <w:p w14:paraId="623B922E" w14:textId="77777777" w:rsidR="0081662F" w:rsidRPr="00D0532A" w:rsidRDefault="0081662F" w:rsidP="00EB2357">
            <w:pPr>
              <w:spacing w:after="0"/>
              <w:contextualSpacing/>
              <w:rPr>
                <w:rFonts w:ascii="Times New Roman" w:eastAsia="Calibri" w:hAnsi="Times New Roman" w:cs="Times New Roman"/>
              </w:rPr>
            </w:pPr>
            <w:r w:rsidRPr="00D0532A">
              <w:rPr>
                <w:rFonts w:ascii="Times New Roman" w:eastAsia="Calibri" w:hAnsi="Times New Roman" w:cs="Times New Roman"/>
              </w:rPr>
              <w:t>Planirana sredstva za provedbu aktivnosti</w:t>
            </w:r>
          </w:p>
        </w:tc>
        <w:tc>
          <w:tcPr>
            <w:tcW w:w="2226" w:type="dxa"/>
            <w:shd w:val="clear" w:color="auto" w:fill="auto"/>
          </w:tcPr>
          <w:p w14:paraId="2263CABA" w14:textId="77777777" w:rsidR="0081662F" w:rsidRPr="00D0532A" w:rsidRDefault="0081662F" w:rsidP="00EB2357">
            <w:pPr>
              <w:spacing w:after="0"/>
              <w:contextualSpacing/>
              <w:rPr>
                <w:rFonts w:ascii="Times New Roman" w:eastAsia="Calibri" w:hAnsi="Times New Roman" w:cs="Times New Roman"/>
              </w:rPr>
            </w:pPr>
            <w:r w:rsidRPr="00D0532A">
              <w:rPr>
                <w:rFonts w:ascii="Times New Roman" w:eastAsia="Calibri" w:hAnsi="Times New Roman" w:cs="Times New Roman"/>
              </w:rPr>
              <w:t>Sredstva za provedbu aktivnosti</w:t>
            </w:r>
          </w:p>
        </w:tc>
        <w:tc>
          <w:tcPr>
            <w:tcW w:w="1082" w:type="dxa"/>
            <w:shd w:val="clear" w:color="auto" w:fill="auto"/>
          </w:tcPr>
          <w:p w14:paraId="6964F724" w14:textId="77777777" w:rsidR="0081662F" w:rsidRPr="00D0532A" w:rsidRDefault="0081662F" w:rsidP="00EB2357">
            <w:pPr>
              <w:spacing w:after="0"/>
              <w:contextualSpacing/>
              <w:rPr>
                <w:rFonts w:ascii="Times New Roman" w:eastAsia="Calibri" w:hAnsi="Times New Roman" w:cs="Times New Roman"/>
              </w:rPr>
            </w:pPr>
            <w:r w:rsidRPr="00D0532A">
              <w:rPr>
                <w:rFonts w:ascii="Times New Roman" w:eastAsia="Calibri" w:hAnsi="Times New Roman" w:cs="Times New Roman"/>
              </w:rPr>
              <w:t>Iznos u EUR</w:t>
            </w:r>
          </w:p>
        </w:tc>
        <w:tc>
          <w:tcPr>
            <w:tcW w:w="1271" w:type="dxa"/>
            <w:vAlign w:val="center"/>
          </w:tcPr>
          <w:p w14:paraId="616A1B69"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20.200,00</w:t>
            </w:r>
          </w:p>
        </w:tc>
        <w:tc>
          <w:tcPr>
            <w:tcW w:w="1271" w:type="dxa"/>
            <w:vAlign w:val="center"/>
          </w:tcPr>
          <w:p w14:paraId="3EAA643C"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19.397,72</w:t>
            </w:r>
          </w:p>
        </w:tc>
        <w:tc>
          <w:tcPr>
            <w:tcW w:w="1271" w:type="dxa"/>
            <w:vAlign w:val="center"/>
          </w:tcPr>
          <w:p w14:paraId="29D42A83"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96,03%</w:t>
            </w:r>
          </w:p>
        </w:tc>
      </w:tr>
    </w:tbl>
    <w:p w14:paraId="191EF27F" w14:textId="77777777" w:rsidR="0081662F" w:rsidRPr="00D0532A" w:rsidRDefault="0081662F" w:rsidP="0081662F">
      <w:pPr>
        <w:spacing w:after="0" w:line="240" w:lineRule="auto"/>
        <w:jc w:val="both"/>
        <w:rPr>
          <w:rFonts w:ascii="Times New Roman" w:hAnsi="Times New Roman" w:cs="Times New Roman"/>
          <w:bCs/>
          <w:lang w:eastAsia="hr-HR"/>
        </w:rPr>
      </w:pPr>
    </w:p>
    <w:p w14:paraId="5349BABE" w14:textId="77777777" w:rsidR="0081662F" w:rsidRPr="00D0532A" w:rsidRDefault="0081662F" w:rsidP="0081662F">
      <w:pPr>
        <w:spacing w:after="0" w:line="240" w:lineRule="auto"/>
        <w:jc w:val="both"/>
        <w:rPr>
          <w:rFonts w:ascii="Times New Roman" w:hAnsi="Times New Roman" w:cs="Times New Roman"/>
          <w:b/>
          <w:bCs/>
        </w:rPr>
      </w:pPr>
    </w:p>
    <w:p w14:paraId="4E8DE53D" w14:textId="77777777" w:rsidR="0081662F" w:rsidRPr="00D0532A" w:rsidRDefault="0081662F" w:rsidP="0081662F">
      <w:pPr>
        <w:spacing w:after="0" w:line="240" w:lineRule="auto"/>
        <w:jc w:val="both"/>
        <w:rPr>
          <w:rFonts w:ascii="Times New Roman" w:hAnsi="Times New Roman" w:cs="Times New Roman"/>
          <w:b/>
          <w:bCs/>
        </w:rPr>
      </w:pPr>
      <w:r w:rsidRPr="00D0532A">
        <w:rPr>
          <w:rFonts w:ascii="Times New Roman" w:hAnsi="Times New Roman" w:cs="Times New Roman"/>
          <w:b/>
          <w:bCs/>
        </w:rPr>
        <w:t>Tekući projekt: Produženi boravak u osnovnoj školi</w:t>
      </w:r>
    </w:p>
    <w:p w14:paraId="34A02350" w14:textId="77777777" w:rsidR="0081662F" w:rsidRPr="00D0532A" w:rsidRDefault="0081662F" w:rsidP="0081662F">
      <w:pPr>
        <w:spacing w:after="0" w:line="240" w:lineRule="auto"/>
        <w:jc w:val="both"/>
        <w:rPr>
          <w:rFonts w:ascii="Times New Roman" w:hAnsi="Times New Roman" w:cs="Times New Roman"/>
        </w:rPr>
      </w:pPr>
      <w:r w:rsidRPr="00D0532A">
        <w:rPr>
          <w:rFonts w:ascii="Times New Roman" w:hAnsi="Times New Roman" w:cs="Times New Roman"/>
        </w:rPr>
        <w:t xml:space="preserve">Ukupni rashodi za navedenu aktivnost iznose 51.811,22 eura što je 87,97% od planiranog. Aktivnost  obuhvaća namirnice za prehranu učenika u produženom boravku, ostale mater. rashode,  mater. rashode za plaće  i ostale rashode za zaposlene.. Aktivnost se financira iz izvora: 1.1.1 Opći prihodi i primici i izvora  3.1.2 Vlastiti prihodi . </w:t>
      </w:r>
    </w:p>
    <w:p w14:paraId="7E7778D8" w14:textId="77777777" w:rsidR="0081662F" w:rsidRPr="00D0532A" w:rsidRDefault="0081662F" w:rsidP="0081662F">
      <w:pPr>
        <w:spacing w:after="0" w:line="240" w:lineRule="auto"/>
        <w:jc w:val="both"/>
        <w:rPr>
          <w:rFonts w:ascii="Times New Roman" w:hAnsi="Times New Roman" w:cs="Times New Roman"/>
          <w:bCs/>
          <w:lang w:eastAsia="hr-H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2344"/>
        <w:gridCol w:w="999"/>
        <w:gridCol w:w="1170"/>
        <w:gridCol w:w="1170"/>
        <w:gridCol w:w="1168"/>
      </w:tblGrid>
      <w:tr w:rsidR="0081662F" w:rsidRPr="00D0532A" w14:paraId="75404D9C" w14:textId="77777777" w:rsidTr="00EB2357">
        <w:trPr>
          <w:jc w:val="center"/>
        </w:trPr>
        <w:tc>
          <w:tcPr>
            <w:tcW w:w="1220" w:type="pct"/>
            <w:shd w:val="clear" w:color="auto" w:fill="auto"/>
          </w:tcPr>
          <w:p w14:paraId="4863ECEE" w14:textId="77777777" w:rsidR="0081662F" w:rsidRPr="00D0532A" w:rsidRDefault="0081662F" w:rsidP="00EB2357">
            <w:pPr>
              <w:spacing w:after="0" w:line="240" w:lineRule="auto"/>
              <w:contextualSpacing/>
              <w:jc w:val="center"/>
              <w:rPr>
                <w:rFonts w:ascii="Times New Roman" w:eastAsia="Calibri" w:hAnsi="Times New Roman" w:cs="Times New Roman"/>
                <w:b/>
              </w:rPr>
            </w:pPr>
            <w:r w:rsidRPr="00D0532A">
              <w:rPr>
                <w:rFonts w:ascii="Times New Roman" w:eastAsia="Calibri" w:hAnsi="Times New Roman" w:cs="Times New Roman"/>
                <w:b/>
              </w:rPr>
              <w:t>Pokazatelj rezultata</w:t>
            </w:r>
          </w:p>
        </w:tc>
        <w:tc>
          <w:tcPr>
            <w:tcW w:w="1294" w:type="pct"/>
            <w:shd w:val="clear" w:color="auto" w:fill="auto"/>
          </w:tcPr>
          <w:p w14:paraId="3C85470B" w14:textId="77777777" w:rsidR="0081662F" w:rsidRPr="00D0532A" w:rsidRDefault="0081662F" w:rsidP="00EB2357">
            <w:pPr>
              <w:spacing w:after="0" w:line="240" w:lineRule="auto"/>
              <w:contextualSpacing/>
              <w:jc w:val="center"/>
              <w:rPr>
                <w:rFonts w:ascii="Times New Roman" w:eastAsia="Calibri" w:hAnsi="Times New Roman" w:cs="Times New Roman"/>
                <w:b/>
              </w:rPr>
            </w:pPr>
            <w:r w:rsidRPr="00D0532A">
              <w:rPr>
                <w:rFonts w:ascii="Times New Roman" w:eastAsia="Calibri" w:hAnsi="Times New Roman" w:cs="Times New Roman"/>
                <w:b/>
              </w:rPr>
              <w:t>Definicija pokazatelja</w:t>
            </w:r>
          </w:p>
        </w:tc>
        <w:tc>
          <w:tcPr>
            <w:tcW w:w="549" w:type="pct"/>
            <w:shd w:val="clear" w:color="auto" w:fill="auto"/>
          </w:tcPr>
          <w:p w14:paraId="60035001" w14:textId="77777777" w:rsidR="0081662F" w:rsidRPr="00D0532A" w:rsidRDefault="0081662F" w:rsidP="00EB2357">
            <w:pPr>
              <w:spacing w:after="0" w:line="240" w:lineRule="auto"/>
              <w:contextualSpacing/>
              <w:jc w:val="center"/>
              <w:rPr>
                <w:rFonts w:ascii="Times New Roman" w:eastAsia="Calibri" w:hAnsi="Times New Roman" w:cs="Times New Roman"/>
                <w:b/>
              </w:rPr>
            </w:pPr>
            <w:r w:rsidRPr="00D0532A">
              <w:rPr>
                <w:rFonts w:ascii="Times New Roman" w:eastAsia="Calibri" w:hAnsi="Times New Roman" w:cs="Times New Roman"/>
                <w:b/>
              </w:rPr>
              <w:t>Jedinica</w:t>
            </w:r>
          </w:p>
        </w:tc>
        <w:tc>
          <w:tcPr>
            <w:tcW w:w="646" w:type="pct"/>
          </w:tcPr>
          <w:p w14:paraId="7A211C7D" w14:textId="77777777" w:rsidR="0081662F" w:rsidRPr="00D0532A" w:rsidRDefault="0081662F" w:rsidP="00EB2357">
            <w:pPr>
              <w:spacing w:after="0" w:line="240" w:lineRule="auto"/>
              <w:contextualSpacing/>
              <w:jc w:val="center"/>
              <w:rPr>
                <w:rFonts w:ascii="Times New Roman" w:eastAsia="Calibri" w:hAnsi="Times New Roman" w:cs="Times New Roman"/>
                <w:b/>
              </w:rPr>
            </w:pPr>
            <w:r w:rsidRPr="00D0532A">
              <w:rPr>
                <w:rFonts w:ascii="Times New Roman" w:eastAsia="Calibri" w:hAnsi="Times New Roman" w:cs="Times New Roman"/>
                <w:b/>
              </w:rPr>
              <w:t>Planirana vrijednost 2024.</w:t>
            </w:r>
          </w:p>
        </w:tc>
        <w:tc>
          <w:tcPr>
            <w:tcW w:w="646" w:type="pct"/>
            <w:vAlign w:val="center"/>
          </w:tcPr>
          <w:p w14:paraId="634ED75A" w14:textId="77777777" w:rsidR="0081662F" w:rsidRPr="00D0532A" w:rsidRDefault="0081662F" w:rsidP="00EB2357">
            <w:pPr>
              <w:spacing w:after="0" w:line="240" w:lineRule="auto"/>
              <w:contextualSpacing/>
              <w:jc w:val="center"/>
              <w:rPr>
                <w:rFonts w:ascii="Times New Roman" w:eastAsia="Calibri" w:hAnsi="Times New Roman" w:cs="Times New Roman"/>
                <w:b/>
              </w:rPr>
            </w:pPr>
            <w:r w:rsidRPr="00D0532A">
              <w:rPr>
                <w:rFonts w:ascii="Times New Roman" w:hAnsi="Times New Roman" w:cs="Times New Roman"/>
                <w:b/>
                <w:lang w:eastAsia="hr-HR"/>
              </w:rPr>
              <w:t>Izvršenje 2024.</w:t>
            </w:r>
          </w:p>
        </w:tc>
        <w:tc>
          <w:tcPr>
            <w:tcW w:w="646" w:type="pct"/>
            <w:vAlign w:val="center"/>
          </w:tcPr>
          <w:p w14:paraId="62A87FEB" w14:textId="77777777" w:rsidR="0081662F" w:rsidRPr="00D0532A" w:rsidRDefault="0081662F" w:rsidP="00EB2357">
            <w:pPr>
              <w:spacing w:after="0" w:line="240" w:lineRule="auto"/>
              <w:contextualSpacing/>
              <w:jc w:val="center"/>
              <w:rPr>
                <w:rFonts w:ascii="Times New Roman" w:eastAsia="Calibri" w:hAnsi="Times New Roman" w:cs="Times New Roman"/>
                <w:b/>
              </w:rPr>
            </w:pPr>
            <w:r w:rsidRPr="00D0532A">
              <w:rPr>
                <w:rFonts w:ascii="Times New Roman" w:hAnsi="Times New Roman" w:cs="Times New Roman"/>
                <w:b/>
                <w:lang w:eastAsia="hr-HR"/>
              </w:rPr>
              <w:t>Indeks</w:t>
            </w:r>
          </w:p>
        </w:tc>
      </w:tr>
      <w:tr w:rsidR="0081662F" w:rsidRPr="00D0532A" w14:paraId="37795FAD" w14:textId="77777777" w:rsidTr="00EB2357">
        <w:trPr>
          <w:jc w:val="center"/>
        </w:trPr>
        <w:tc>
          <w:tcPr>
            <w:tcW w:w="1220" w:type="pct"/>
            <w:shd w:val="clear" w:color="auto" w:fill="auto"/>
          </w:tcPr>
          <w:p w14:paraId="3EEE4173" w14:textId="77777777" w:rsidR="0081662F" w:rsidRPr="00D0532A" w:rsidRDefault="0081662F" w:rsidP="00EB2357">
            <w:pPr>
              <w:spacing w:after="0"/>
              <w:contextualSpacing/>
              <w:rPr>
                <w:rFonts w:ascii="Times New Roman" w:eastAsia="Calibri" w:hAnsi="Times New Roman" w:cs="Times New Roman"/>
              </w:rPr>
            </w:pPr>
            <w:r w:rsidRPr="00D0532A">
              <w:rPr>
                <w:rFonts w:ascii="Times New Roman" w:eastAsia="Calibri" w:hAnsi="Times New Roman" w:cs="Times New Roman"/>
              </w:rPr>
              <w:t>Broj učenika za koje se provodi aktivnost</w:t>
            </w:r>
          </w:p>
        </w:tc>
        <w:tc>
          <w:tcPr>
            <w:tcW w:w="1294" w:type="pct"/>
            <w:shd w:val="clear" w:color="auto" w:fill="auto"/>
          </w:tcPr>
          <w:p w14:paraId="5551A248" w14:textId="77777777" w:rsidR="0081662F" w:rsidRPr="00D0532A" w:rsidRDefault="0081662F" w:rsidP="00EB2357">
            <w:pPr>
              <w:spacing w:after="0"/>
              <w:contextualSpacing/>
              <w:rPr>
                <w:rFonts w:ascii="Times New Roman" w:eastAsia="Calibri" w:hAnsi="Times New Roman" w:cs="Times New Roman"/>
              </w:rPr>
            </w:pPr>
            <w:r w:rsidRPr="00D0532A">
              <w:rPr>
                <w:rFonts w:ascii="Times New Roman" w:eastAsia="Calibri" w:hAnsi="Times New Roman" w:cs="Times New Roman"/>
              </w:rPr>
              <w:t>Broj učenika koji su uključeni u program</w:t>
            </w:r>
          </w:p>
        </w:tc>
        <w:tc>
          <w:tcPr>
            <w:tcW w:w="549" w:type="pct"/>
            <w:shd w:val="clear" w:color="auto" w:fill="auto"/>
          </w:tcPr>
          <w:p w14:paraId="37CB8544" w14:textId="77777777" w:rsidR="0081662F" w:rsidRPr="00D0532A" w:rsidRDefault="0081662F" w:rsidP="00EB2357">
            <w:pPr>
              <w:spacing w:after="0"/>
              <w:contextualSpacing/>
              <w:rPr>
                <w:rFonts w:ascii="Times New Roman" w:eastAsia="Calibri" w:hAnsi="Times New Roman" w:cs="Times New Roman"/>
              </w:rPr>
            </w:pPr>
            <w:r w:rsidRPr="00D0532A">
              <w:rPr>
                <w:rFonts w:ascii="Times New Roman" w:eastAsia="Calibri" w:hAnsi="Times New Roman" w:cs="Times New Roman"/>
              </w:rPr>
              <w:t>Broj učenika</w:t>
            </w:r>
          </w:p>
        </w:tc>
        <w:tc>
          <w:tcPr>
            <w:tcW w:w="646" w:type="pct"/>
            <w:vAlign w:val="center"/>
          </w:tcPr>
          <w:p w14:paraId="15C444C4" w14:textId="77777777" w:rsidR="0081662F" w:rsidRPr="00D0532A" w:rsidRDefault="0081662F" w:rsidP="00EB2357">
            <w:pPr>
              <w:spacing w:after="0"/>
              <w:contextualSpacing/>
              <w:jc w:val="center"/>
              <w:rPr>
                <w:rFonts w:ascii="Times New Roman" w:eastAsia="Calibri" w:hAnsi="Times New Roman" w:cs="Times New Roman"/>
              </w:rPr>
            </w:pPr>
            <w:r w:rsidRPr="00D0532A">
              <w:rPr>
                <w:rFonts w:ascii="Times New Roman" w:eastAsia="Calibri" w:hAnsi="Times New Roman" w:cs="Times New Roman"/>
              </w:rPr>
              <w:t>30</w:t>
            </w:r>
          </w:p>
        </w:tc>
        <w:tc>
          <w:tcPr>
            <w:tcW w:w="646" w:type="pct"/>
            <w:vAlign w:val="center"/>
          </w:tcPr>
          <w:p w14:paraId="258EDC7C" w14:textId="77777777" w:rsidR="0081662F" w:rsidRPr="00D0532A" w:rsidRDefault="0081662F" w:rsidP="00EB2357">
            <w:pPr>
              <w:spacing w:after="0"/>
              <w:contextualSpacing/>
              <w:jc w:val="center"/>
              <w:rPr>
                <w:rFonts w:ascii="Times New Roman" w:eastAsia="Calibri" w:hAnsi="Times New Roman" w:cs="Times New Roman"/>
              </w:rPr>
            </w:pPr>
            <w:r w:rsidRPr="00D0532A">
              <w:rPr>
                <w:rFonts w:ascii="Times New Roman" w:eastAsia="Calibri" w:hAnsi="Times New Roman" w:cs="Times New Roman"/>
              </w:rPr>
              <w:t>30</w:t>
            </w:r>
          </w:p>
        </w:tc>
        <w:tc>
          <w:tcPr>
            <w:tcW w:w="646" w:type="pct"/>
            <w:vAlign w:val="center"/>
          </w:tcPr>
          <w:p w14:paraId="74AD4D3F" w14:textId="77777777" w:rsidR="0081662F" w:rsidRPr="00D0532A" w:rsidRDefault="0081662F" w:rsidP="00EB2357">
            <w:pPr>
              <w:spacing w:after="0"/>
              <w:contextualSpacing/>
              <w:jc w:val="center"/>
              <w:rPr>
                <w:rFonts w:ascii="Times New Roman" w:eastAsia="Calibri" w:hAnsi="Times New Roman" w:cs="Times New Roman"/>
              </w:rPr>
            </w:pPr>
            <w:r w:rsidRPr="00D0532A">
              <w:rPr>
                <w:rFonts w:ascii="Times New Roman" w:eastAsia="Calibri" w:hAnsi="Times New Roman" w:cs="Times New Roman"/>
              </w:rPr>
              <w:t>100%</w:t>
            </w:r>
          </w:p>
        </w:tc>
      </w:tr>
      <w:tr w:rsidR="0081662F" w:rsidRPr="00D0532A" w14:paraId="59595221" w14:textId="77777777" w:rsidTr="00EB2357">
        <w:trPr>
          <w:jc w:val="center"/>
        </w:trPr>
        <w:tc>
          <w:tcPr>
            <w:tcW w:w="1220" w:type="pct"/>
            <w:shd w:val="clear" w:color="auto" w:fill="auto"/>
          </w:tcPr>
          <w:p w14:paraId="46583801" w14:textId="77777777" w:rsidR="0081662F" w:rsidRPr="00D0532A" w:rsidRDefault="0081662F" w:rsidP="00EB2357">
            <w:pPr>
              <w:spacing w:after="0"/>
              <w:contextualSpacing/>
              <w:rPr>
                <w:rFonts w:ascii="Times New Roman" w:eastAsia="Calibri" w:hAnsi="Times New Roman" w:cs="Times New Roman"/>
              </w:rPr>
            </w:pPr>
            <w:r w:rsidRPr="00D0532A">
              <w:rPr>
                <w:rFonts w:ascii="Times New Roman" w:eastAsia="Calibri" w:hAnsi="Times New Roman" w:cs="Times New Roman"/>
              </w:rPr>
              <w:t>Planirana sredstva za provedbu aktivnosti</w:t>
            </w:r>
          </w:p>
        </w:tc>
        <w:tc>
          <w:tcPr>
            <w:tcW w:w="1294" w:type="pct"/>
            <w:shd w:val="clear" w:color="auto" w:fill="auto"/>
          </w:tcPr>
          <w:p w14:paraId="41695521" w14:textId="77777777" w:rsidR="0081662F" w:rsidRPr="00D0532A" w:rsidRDefault="0081662F" w:rsidP="00EB2357">
            <w:pPr>
              <w:spacing w:after="0"/>
              <w:contextualSpacing/>
              <w:rPr>
                <w:rFonts w:ascii="Times New Roman" w:eastAsia="Calibri" w:hAnsi="Times New Roman" w:cs="Times New Roman"/>
              </w:rPr>
            </w:pPr>
            <w:r w:rsidRPr="00D0532A">
              <w:rPr>
                <w:rFonts w:ascii="Times New Roman" w:eastAsia="Calibri" w:hAnsi="Times New Roman" w:cs="Times New Roman"/>
              </w:rPr>
              <w:t>Sredstva za provedbu aktivnosti</w:t>
            </w:r>
          </w:p>
        </w:tc>
        <w:tc>
          <w:tcPr>
            <w:tcW w:w="549" w:type="pct"/>
            <w:shd w:val="clear" w:color="auto" w:fill="auto"/>
          </w:tcPr>
          <w:p w14:paraId="00F3B9DE" w14:textId="77777777" w:rsidR="0081662F" w:rsidRPr="00D0532A" w:rsidRDefault="0081662F" w:rsidP="00EB2357">
            <w:pPr>
              <w:spacing w:after="0"/>
              <w:contextualSpacing/>
              <w:rPr>
                <w:rFonts w:ascii="Times New Roman" w:eastAsia="Calibri" w:hAnsi="Times New Roman" w:cs="Times New Roman"/>
              </w:rPr>
            </w:pPr>
            <w:r w:rsidRPr="00D0532A">
              <w:rPr>
                <w:rFonts w:ascii="Times New Roman" w:eastAsia="Calibri" w:hAnsi="Times New Roman" w:cs="Times New Roman"/>
              </w:rPr>
              <w:t>Iznos u EUR</w:t>
            </w:r>
          </w:p>
        </w:tc>
        <w:tc>
          <w:tcPr>
            <w:tcW w:w="646" w:type="pct"/>
            <w:vAlign w:val="center"/>
          </w:tcPr>
          <w:p w14:paraId="212E3C30"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58.893,99</w:t>
            </w:r>
          </w:p>
        </w:tc>
        <w:tc>
          <w:tcPr>
            <w:tcW w:w="646" w:type="pct"/>
            <w:vAlign w:val="center"/>
          </w:tcPr>
          <w:p w14:paraId="05C7BC4F"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51.811,22</w:t>
            </w:r>
          </w:p>
        </w:tc>
        <w:tc>
          <w:tcPr>
            <w:tcW w:w="646" w:type="pct"/>
            <w:vAlign w:val="center"/>
          </w:tcPr>
          <w:p w14:paraId="5A8FCA86" w14:textId="77777777" w:rsidR="0081662F" w:rsidRPr="00D0532A" w:rsidRDefault="0081662F" w:rsidP="00EB2357">
            <w:pPr>
              <w:spacing w:after="0" w:line="240" w:lineRule="auto"/>
              <w:jc w:val="center"/>
              <w:rPr>
                <w:rFonts w:ascii="Times New Roman" w:hAnsi="Times New Roman" w:cs="Times New Roman"/>
                <w:bCs/>
                <w:lang w:eastAsia="hr-HR"/>
              </w:rPr>
            </w:pPr>
            <w:r w:rsidRPr="00D0532A">
              <w:rPr>
                <w:rFonts w:ascii="Times New Roman" w:hAnsi="Times New Roman" w:cs="Times New Roman"/>
                <w:bCs/>
                <w:lang w:eastAsia="hr-HR"/>
              </w:rPr>
              <w:t>87,97%</w:t>
            </w:r>
          </w:p>
        </w:tc>
      </w:tr>
    </w:tbl>
    <w:p w14:paraId="52B09D3F" w14:textId="77777777" w:rsidR="0081662F" w:rsidRPr="00D0532A" w:rsidRDefault="0081662F" w:rsidP="0081662F">
      <w:pPr>
        <w:spacing w:after="0" w:line="240" w:lineRule="auto"/>
        <w:jc w:val="both"/>
        <w:rPr>
          <w:rFonts w:ascii="Times New Roman" w:hAnsi="Times New Roman" w:cs="Times New Roman"/>
          <w:bCs/>
          <w:lang w:eastAsia="hr-HR"/>
        </w:rPr>
      </w:pPr>
    </w:p>
    <w:p w14:paraId="5C8D4AE2" w14:textId="77777777" w:rsidR="0081662F" w:rsidRPr="00D0532A" w:rsidRDefault="0081662F" w:rsidP="0081662F">
      <w:pPr>
        <w:spacing w:after="0" w:line="240" w:lineRule="auto"/>
        <w:jc w:val="both"/>
        <w:rPr>
          <w:rFonts w:ascii="Times New Roman" w:hAnsi="Times New Roman" w:cs="Times New Roman"/>
          <w:b/>
          <w:bCs/>
          <w:i/>
          <w:lang w:eastAsia="hr-HR"/>
        </w:rPr>
      </w:pPr>
    </w:p>
    <w:p w14:paraId="337EA781" w14:textId="77777777" w:rsidR="0081662F" w:rsidRPr="00D0532A" w:rsidRDefault="0081662F" w:rsidP="0081662F">
      <w:pPr>
        <w:tabs>
          <w:tab w:val="left" w:pos="284"/>
        </w:tabs>
        <w:spacing w:after="0" w:line="240" w:lineRule="auto"/>
        <w:jc w:val="both"/>
        <w:rPr>
          <w:rFonts w:ascii="Times New Roman" w:hAnsi="Times New Roman" w:cs="Times New Roman"/>
          <w:bCs/>
          <w:lang w:eastAsia="hr-HR"/>
        </w:rPr>
      </w:pPr>
    </w:p>
    <w:p w14:paraId="1CECCCD1" w14:textId="77777777" w:rsidR="0081662F" w:rsidRPr="00D0532A" w:rsidRDefault="0081662F" w:rsidP="0081662F">
      <w:pPr>
        <w:spacing w:after="0" w:line="240" w:lineRule="auto"/>
        <w:ind w:firstLine="567"/>
        <w:jc w:val="both"/>
        <w:rPr>
          <w:rFonts w:ascii="Times New Roman" w:hAnsi="Times New Roman" w:cs="Times New Roman"/>
          <w:b/>
          <w:bCs/>
          <w:i/>
          <w:lang w:eastAsia="hr-HR"/>
        </w:rPr>
      </w:pPr>
      <w:r w:rsidRPr="00D0532A">
        <w:rPr>
          <w:rFonts w:ascii="Times New Roman" w:hAnsi="Times New Roman" w:cs="Times New Roman"/>
          <w:b/>
          <w:bCs/>
          <w:i/>
          <w:lang w:eastAsia="hr-HR"/>
        </w:rPr>
        <w:t xml:space="preserve">Proračunski korisnik 0020608457 Osnovna škola </w:t>
      </w:r>
      <w:proofErr w:type="spellStart"/>
      <w:r w:rsidRPr="00D0532A">
        <w:rPr>
          <w:rFonts w:ascii="Times New Roman" w:hAnsi="Times New Roman" w:cs="Times New Roman"/>
          <w:b/>
          <w:bCs/>
          <w:i/>
          <w:lang w:eastAsia="hr-HR"/>
        </w:rPr>
        <w:t>Trnovitički</w:t>
      </w:r>
      <w:proofErr w:type="spellEnd"/>
      <w:r w:rsidRPr="00D0532A">
        <w:rPr>
          <w:rFonts w:ascii="Times New Roman" w:hAnsi="Times New Roman" w:cs="Times New Roman"/>
          <w:b/>
          <w:bCs/>
          <w:i/>
          <w:lang w:eastAsia="hr-HR"/>
        </w:rPr>
        <w:t xml:space="preserve"> Popovac</w:t>
      </w:r>
    </w:p>
    <w:p w14:paraId="437A364E" w14:textId="77777777" w:rsidR="0081662F" w:rsidRPr="00D0532A" w:rsidRDefault="0081662F" w:rsidP="0081662F">
      <w:pPr>
        <w:spacing w:after="0" w:line="240" w:lineRule="auto"/>
        <w:jc w:val="both"/>
        <w:rPr>
          <w:rFonts w:ascii="Times New Roman" w:eastAsia="Calibri" w:hAnsi="Times New Roman" w:cs="Times New Roman"/>
        </w:rPr>
      </w:pPr>
    </w:p>
    <w:p w14:paraId="42823A02" w14:textId="77777777" w:rsidR="0081662F" w:rsidRPr="00D0532A" w:rsidRDefault="0081662F" w:rsidP="0081662F">
      <w:pPr>
        <w:spacing w:line="240" w:lineRule="auto"/>
        <w:jc w:val="both"/>
        <w:rPr>
          <w:rFonts w:ascii="Times New Roman" w:eastAsia="Calibri" w:hAnsi="Times New Roman" w:cs="Times New Roman"/>
        </w:rPr>
      </w:pPr>
      <w:r w:rsidRPr="00D0532A">
        <w:rPr>
          <w:rFonts w:ascii="Times New Roman" w:eastAsia="Calibri" w:hAnsi="Times New Roman" w:cs="Times New Roman"/>
        </w:rPr>
        <w:t>Posebni dio proračuna sadrži podatke izvršenja rashoda i izdataka po organizacijskoj klasifikaciji i programskoj klasifikaciji – rashodi i izdaci unutar razdjela i glava proračuna prikazuju se po programima, aktivnostima i računima računskog plana proračuna. U nastavku se daje obrazloženje realizacije rashoda i izdataka po navedenim proračunskim klasifikacijama.</w:t>
      </w:r>
    </w:p>
    <w:p w14:paraId="18F8393E" w14:textId="77777777" w:rsidR="0081662F" w:rsidRPr="00D0532A" w:rsidRDefault="0081662F" w:rsidP="0081662F">
      <w:pPr>
        <w:spacing w:line="240" w:lineRule="auto"/>
        <w:jc w:val="both"/>
        <w:rPr>
          <w:rFonts w:ascii="Times New Roman" w:eastAsia="Calibri" w:hAnsi="Times New Roman" w:cs="Times New Roman"/>
        </w:rPr>
      </w:pPr>
      <w:r w:rsidRPr="00D0532A">
        <w:rPr>
          <w:rFonts w:ascii="Times New Roman" w:eastAsia="Calibri" w:hAnsi="Times New Roman" w:cs="Times New Roman"/>
        </w:rPr>
        <w:t>U posebnom dijelu, za razliku od općeg dijela proračuna, ne prikazuju se usporedni podaci izvještajnog razdoblja prethodne godine.</w:t>
      </w:r>
    </w:p>
    <w:p w14:paraId="05B8C330" w14:textId="77777777" w:rsidR="0081662F" w:rsidRPr="00D0532A" w:rsidRDefault="0081662F" w:rsidP="0081662F">
      <w:pPr>
        <w:spacing w:line="240" w:lineRule="auto"/>
        <w:rPr>
          <w:rFonts w:ascii="Times New Roman" w:hAnsi="Times New Roman" w:cs="Times New Roman"/>
        </w:rPr>
      </w:pPr>
      <w:r w:rsidRPr="00D0532A">
        <w:rPr>
          <w:rFonts w:ascii="Times New Roman" w:hAnsi="Times New Roman" w:cs="Times New Roman"/>
        </w:rPr>
        <w:t>Svi rashodi i izdatci detaljno su vidljivi u posebnom dijelu izvještaja o izvršenju po programskoj i ekonomskoj klasifikaciji te izvorima financiranja gdje se oni prikazuju po programima i aktivnostima.</w:t>
      </w:r>
    </w:p>
    <w:tbl>
      <w:tblPr>
        <w:tblpPr w:leftFromText="180" w:rightFromText="180" w:vertAnchor="text" w:horzAnchor="margin" w:tblpY="21"/>
        <w:tblW w:w="5000" w:type="pct"/>
        <w:tblLook w:val="04A0" w:firstRow="1" w:lastRow="0" w:firstColumn="1" w:lastColumn="0" w:noHBand="0" w:noVBand="1"/>
      </w:tblPr>
      <w:tblGrid>
        <w:gridCol w:w="2859"/>
        <w:gridCol w:w="1533"/>
        <w:gridCol w:w="1805"/>
        <w:gridCol w:w="2863"/>
      </w:tblGrid>
      <w:tr w:rsidR="0081662F" w:rsidRPr="00D0532A" w14:paraId="24CEA49C" w14:textId="77777777" w:rsidTr="00EB2357">
        <w:trPr>
          <w:trHeight w:val="973"/>
        </w:trPr>
        <w:tc>
          <w:tcPr>
            <w:tcW w:w="1578" w:type="pct"/>
            <w:tcBorders>
              <w:top w:val="single" w:sz="4" w:space="0" w:color="auto"/>
              <w:left w:val="single" w:sz="4" w:space="0" w:color="auto"/>
              <w:bottom w:val="single" w:sz="4" w:space="0" w:color="auto"/>
              <w:right w:val="single" w:sz="4" w:space="0" w:color="auto"/>
            </w:tcBorders>
            <w:noWrap/>
            <w:vAlign w:val="center"/>
            <w:hideMark/>
          </w:tcPr>
          <w:p w14:paraId="1C24BCBD" w14:textId="77777777" w:rsidR="0081662F" w:rsidRPr="00D0532A" w:rsidRDefault="0081662F" w:rsidP="00EB2357">
            <w:pPr>
              <w:spacing w:after="0" w:line="240" w:lineRule="auto"/>
              <w:jc w:val="center"/>
              <w:rPr>
                <w:rFonts w:ascii="Times New Roman" w:hAnsi="Times New Roman" w:cs="Times New Roman"/>
                <w:b/>
                <w:lang w:eastAsia="hr-HR"/>
              </w:rPr>
            </w:pPr>
            <w:r w:rsidRPr="00D0532A">
              <w:rPr>
                <w:rFonts w:ascii="Times New Roman" w:hAnsi="Times New Roman" w:cs="Times New Roman"/>
                <w:b/>
                <w:lang w:eastAsia="hr-HR"/>
              </w:rPr>
              <w:t>PROGRAM</w:t>
            </w:r>
          </w:p>
        </w:tc>
        <w:tc>
          <w:tcPr>
            <w:tcW w:w="846" w:type="pct"/>
            <w:tcBorders>
              <w:top w:val="single" w:sz="4" w:space="0" w:color="auto"/>
              <w:left w:val="nil"/>
              <w:bottom w:val="single" w:sz="4" w:space="0" w:color="auto"/>
              <w:right w:val="single" w:sz="4" w:space="0" w:color="auto"/>
            </w:tcBorders>
            <w:vAlign w:val="center"/>
            <w:hideMark/>
          </w:tcPr>
          <w:p w14:paraId="48697042" w14:textId="77777777" w:rsidR="0081662F" w:rsidRPr="00D0532A" w:rsidRDefault="0081662F" w:rsidP="00EB2357">
            <w:pPr>
              <w:spacing w:after="0" w:line="240" w:lineRule="auto"/>
              <w:jc w:val="center"/>
              <w:rPr>
                <w:rFonts w:ascii="Times New Roman" w:hAnsi="Times New Roman" w:cs="Times New Roman"/>
                <w:b/>
                <w:lang w:eastAsia="hr-HR"/>
              </w:rPr>
            </w:pPr>
            <w:r w:rsidRPr="00D0532A">
              <w:rPr>
                <w:rFonts w:ascii="Times New Roman" w:hAnsi="Times New Roman" w:cs="Times New Roman"/>
                <w:b/>
                <w:lang w:eastAsia="hr-HR"/>
              </w:rPr>
              <w:t>Rebalans</w:t>
            </w:r>
          </w:p>
        </w:tc>
        <w:tc>
          <w:tcPr>
            <w:tcW w:w="996" w:type="pct"/>
            <w:tcBorders>
              <w:top w:val="single" w:sz="4" w:space="0" w:color="auto"/>
              <w:left w:val="nil"/>
              <w:bottom w:val="single" w:sz="4" w:space="0" w:color="auto"/>
              <w:right w:val="single" w:sz="4" w:space="0" w:color="auto"/>
            </w:tcBorders>
            <w:vAlign w:val="center"/>
          </w:tcPr>
          <w:p w14:paraId="10046667" w14:textId="77777777" w:rsidR="0081662F" w:rsidRPr="00D0532A" w:rsidRDefault="0081662F" w:rsidP="00EB2357">
            <w:pPr>
              <w:spacing w:after="0" w:line="240" w:lineRule="auto"/>
              <w:jc w:val="center"/>
              <w:rPr>
                <w:rFonts w:ascii="Times New Roman" w:hAnsi="Times New Roman" w:cs="Times New Roman"/>
                <w:b/>
                <w:lang w:eastAsia="hr-HR"/>
              </w:rPr>
            </w:pPr>
            <w:r w:rsidRPr="00D0532A">
              <w:rPr>
                <w:rFonts w:ascii="Times New Roman" w:hAnsi="Times New Roman" w:cs="Times New Roman"/>
                <w:b/>
                <w:lang w:eastAsia="hr-HR"/>
              </w:rPr>
              <w:t>Izvršeno</w:t>
            </w:r>
          </w:p>
          <w:p w14:paraId="13D92967" w14:textId="77777777" w:rsidR="0081662F" w:rsidRPr="00D0532A" w:rsidRDefault="0081662F" w:rsidP="00EB2357">
            <w:pPr>
              <w:spacing w:after="0" w:line="240" w:lineRule="auto"/>
              <w:jc w:val="center"/>
              <w:rPr>
                <w:rFonts w:ascii="Times New Roman" w:hAnsi="Times New Roman" w:cs="Times New Roman"/>
                <w:b/>
                <w:lang w:eastAsia="hr-HR"/>
              </w:rPr>
            </w:pPr>
            <w:r w:rsidRPr="00D0532A">
              <w:rPr>
                <w:rFonts w:ascii="Times New Roman" w:hAnsi="Times New Roman" w:cs="Times New Roman"/>
                <w:b/>
                <w:lang w:eastAsia="hr-HR"/>
              </w:rPr>
              <w:t>2024</w:t>
            </w:r>
          </w:p>
        </w:tc>
        <w:tc>
          <w:tcPr>
            <w:tcW w:w="1580" w:type="pct"/>
            <w:tcBorders>
              <w:top w:val="single" w:sz="4" w:space="0" w:color="auto"/>
              <w:left w:val="nil"/>
              <w:bottom w:val="single" w:sz="4" w:space="0" w:color="auto"/>
              <w:right w:val="single" w:sz="4" w:space="0" w:color="auto"/>
            </w:tcBorders>
            <w:vAlign w:val="center"/>
          </w:tcPr>
          <w:p w14:paraId="0D161FCD" w14:textId="77777777" w:rsidR="0081662F" w:rsidRPr="00D0532A" w:rsidRDefault="0081662F" w:rsidP="00EB2357">
            <w:pPr>
              <w:spacing w:after="0" w:line="240" w:lineRule="auto"/>
              <w:jc w:val="center"/>
              <w:rPr>
                <w:rFonts w:ascii="Times New Roman" w:hAnsi="Times New Roman" w:cs="Times New Roman"/>
                <w:b/>
                <w:lang w:eastAsia="hr-HR"/>
              </w:rPr>
            </w:pPr>
            <w:r w:rsidRPr="00D0532A">
              <w:rPr>
                <w:rFonts w:ascii="Times New Roman" w:hAnsi="Times New Roman" w:cs="Times New Roman"/>
                <w:b/>
                <w:lang w:eastAsia="hr-HR"/>
              </w:rPr>
              <w:t>Indeks</w:t>
            </w:r>
          </w:p>
        </w:tc>
      </w:tr>
      <w:tr w:rsidR="0081662F" w:rsidRPr="00D0532A" w14:paraId="4E384EE1" w14:textId="77777777" w:rsidTr="00EB2357">
        <w:trPr>
          <w:trHeight w:val="486"/>
        </w:trPr>
        <w:tc>
          <w:tcPr>
            <w:tcW w:w="1578" w:type="pct"/>
            <w:tcBorders>
              <w:top w:val="single" w:sz="4" w:space="0" w:color="auto"/>
              <w:left w:val="single" w:sz="4" w:space="0" w:color="auto"/>
              <w:bottom w:val="single" w:sz="4" w:space="0" w:color="auto"/>
              <w:right w:val="single" w:sz="4" w:space="0" w:color="auto"/>
            </w:tcBorders>
            <w:hideMark/>
          </w:tcPr>
          <w:p w14:paraId="268DC3CC" w14:textId="77777777" w:rsidR="0081662F" w:rsidRPr="00D0532A" w:rsidRDefault="0081662F" w:rsidP="00EB2357">
            <w:pPr>
              <w:spacing w:after="0" w:line="240" w:lineRule="auto"/>
              <w:rPr>
                <w:rFonts w:ascii="Times New Roman" w:hAnsi="Times New Roman" w:cs="Times New Roman"/>
                <w:lang w:eastAsia="hr-HR"/>
              </w:rPr>
            </w:pPr>
            <w:r w:rsidRPr="00D0532A">
              <w:rPr>
                <w:rFonts w:ascii="Times New Roman" w:hAnsi="Times New Roman" w:cs="Times New Roman"/>
                <w:lang w:eastAsia="hr-HR"/>
              </w:rPr>
              <w:t xml:space="preserve">Program 1020 Obrazovanje </w:t>
            </w:r>
          </w:p>
        </w:tc>
        <w:tc>
          <w:tcPr>
            <w:tcW w:w="846" w:type="pct"/>
            <w:tcBorders>
              <w:top w:val="nil"/>
              <w:left w:val="nil"/>
              <w:bottom w:val="single" w:sz="4" w:space="0" w:color="auto"/>
              <w:right w:val="single" w:sz="4" w:space="0" w:color="auto"/>
            </w:tcBorders>
            <w:vAlign w:val="center"/>
          </w:tcPr>
          <w:p w14:paraId="279D3BC2" w14:textId="77777777" w:rsidR="0081662F" w:rsidRPr="00D0532A" w:rsidRDefault="0081662F" w:rsidP="00EB2357">
            <w:pPr>
              <w:spacing w:after="0" w:line="240" w:lineRule="auto"/>
              <w:jc w:val="center"/>
              <w:rPr>
                <w:rFonts w:ascii="Times New Roman" w:hAnsi="Times New Roman" w:cs="Times New Roman"/>
                <w:lang w:eastAsia="hr-HR"/>
              </w:rPr>
            </w:pPr>
            <w:r w:rsidRPr="00D0532A">
              <w:rPr>
                <w:rFonts w:ascii="Times New Roman" w:eastAsia="Calibri" w:hAnsi="Times New Roman" w:cs="Times New Roman"/>
                <w:lang w:val="en-US"/>
              </w:rPr>
              <w:t>783.438,55</w:t>
            </w:r>
          </w:p>
        </w:tc>
        <w:tc>
          <w:tcPr>
            <w:tcW w:w="996" w:type="pct"/>
            <w:tcBorders>
              <w:top w:val="nil"/>
              <w:left w:val="nil"/>
              <w:bottom w:val="single" w:sz="4" w:space="0" w:color="auto"/>
              <w:right w:val="single" w:sz="4" w:space="0" w:color="auto"/>
            </w:tcBorders>
            <w:vAlign w:val="center"/>
          </w:tcPr>
          <w:p w14:paraId="560A425D" w14:textId="6BEF7E31" w:rsidR="0081662F" w:rsidRPr="00D0532A" w:rsidRDefault="0081662F" w:rsidP="00EB2357">
            <w:pPr>
              <w:spacing w:after="0" w:line="240" w:lineRule="auto"/>
              <w:jc w:val="center"/>
              <w:rPr>
                <w:rFonts w:ascii="Times New Roman" w:eastAsia="Calibri" w:hAnsi="Times New Roman" w:cs="Times New Roman"/>
                <w:lang w:val="en-US"/>
              </w:rPr>
            </w:pPr>
            <w:r w:rsidRPr="00D0532A">
              <w:rPr>
                <w:rFonts w:ascii="Times New Roman" w:eastAsia="Calibri" w:hAnsi="Times New Roman" w:cs="Times New Roman"/>
                <w:lang w:val="en-US"/>
              </w:rPr>
              <w:t>65</w:t>
            </w:r>
            <w:r w:rsidR="0096449D">
              <w:rPr>
                <w:rFonts w:ascii="Times New Roman" w:eastAsia="Calibri" w:hAnsi="Times New Roman" w:cs="Times New Roman"/>
                <w:lang w:val="en-US"/>
              </w:rPr>
              <w:t>6.130,99</w:t>
            </w:r>
          </w:p>
        </w:tc>
        <w:tc>
          <w:tcPr>
            <w:tcW w:w="1580" w:type="pct"/>
            <w:tcBorders>
              <w:top w:val="nil"/>
              <w:left w:val="nil"/>
              <w:bottom w:val="single" w:sz="4" w:space="0" w:color="auto"/>
              <w:right w:val="single" w:sz="4" w:space="0" w:color="auto"/>
            </w:tcBorders>
            <w:vAlign w:val="center"/>
          </w:tcPr>
          <w:p w14:paraId="62A0CF29" w14:textId="1A078523" w:rsidR="0081662F" w:rsidRPr="00D0532A" w:rsidRDefault="0081662F" w:rsidP="00EB2357">
            <w:pPr>
              <w:spacing w:after="0" w:line="240" w:lineRule="auto"/>
              <w:jc w:val="center"/>
              <w:rPr>
                <w:rFonts w:ascii="Times New Roman" w:eastAsia="Calibri" w:hAnsi="Times New Roman" w:cs="Times New Roman"/>
                <w:lang w:val="en-US"/>
              </w:rPr>
            </w:pPr>
            <w:r w:rsidRPr="00D0532A">
              <w:rPr>
                <w:rFonts w:ascii="Times New Roman" w:eastAsia="Calibri" w:hAnsi="Times New Roman" w:cs="Times New Roman"/>
                <w:lang w:val="en-US"/>
              </w:rPr>
              <w:t>83,</w:t>
            </w:r>
            <w:r w:rsidR="0096449D">
              <w:rPr>
                <w:rFonts w:ascii="Times New Roman" w:eastAsia="Calibri" w:hAnsi="Times New Roman" w:cs="Times New Roman"/>
                <w:lang w:val="en-US"/>
              </w:rPr>
              <w:t>75</w:t>
            </w:r>
            <w:r w:rsidRPr="00D0532A">
              <w:rPr>
                <w:rFonts w:ascii="Times New Roman" w:eastAsia="Calibri" w:hAnsi="Times New Roman" w:cs="Times New Roman"/>
                <w:lang w:val="en-US"/>
              </w:rPr>
              <w:t>%</w:t>
            </w:r>
          </w:p>
        </w:tc>
      </w:tr>
      <w:tr w:rsidR="0081662F" w:rsidRPr="00D0532A" w14:paraId="1913BAA9" w14:textId="77777777" w:rsidTr="00EB2357">
        <w:trPr>
          <w:trHeight w:val="486"/>
        </w:trPr>
        <w:tc>
          <w:tcPr>
            <w:tcW w:w="1578" w:type="pct"/>
            <w:tcBorders>
              <w:top w:val="single" w:sz="4" w:space="0" w:color="auto"/>
              <w:left w:val="single" w:sz="4" w:space="0" w:color="auto"/>
              <w:bottom w:val="single" w:sz="4" w:space="0" w:color="auto"/>
              <w:right w:val="single" w:sz="4" w:space="0" w:color="auto"/>
            </w:tcBorders>
            <w:noWrap/>
            <w:hideMark/>
          </w:tcPr>
          <w:p w14:paraId="6136F8A9" w14:textId="77777777" w:rsidR="0081662F" w:rsidRPr="00D0532A" w:rsidRDefault="0081662F" w:rsidP="00EB2357">
            <w:pPr>
              <w:spacing w:after="0" w:line="240" w:lineRule="auto"/>
              <w:rPr>
                <w:rFonts w:ascii="Times New Roman" w:hAnsi="Times New Roman" w:cs="Times New Roman"/>
                <w:b/>
                <w:lang w:eastAsia="hr-HR"/>
              </w:rPr>
            </w:pPr>
            <w:r w:rsidRPr="00D0532A">
              <w:rPr>
                <w:rFonts w:ascii="Times New Roman" w:hAnsi="Times New Roman" w:cs="Times New Roman"/>
                <w:b/>
                <w:lang w:eastAsia="hr-HR"/>
              </w:rPr>
              <w:t>Ukupno:</w:t>
            </w:r>
          </w:p>
        </w:tc>
        <w:tc>
          <w:tcPr>
            <w:tcW w:w="846" w:type="pct"/>
            <w:tcBorders>
              <w:top w:val="nil"/>
              <w:left w:val="nil"/>
              <w:bottom w:val="single" w:sz="4" w:space="0" w:color="auto"/>
              <w:right w:val="single" w:sz="4" w:space="0" w:color="auto"/>
            </w:tcBorders>
            <w:vAlign w:val="center"/>
          </w:tcPr>
          <w:p w14:paraId="14EE4CF4" w14:textId="77777777" w:rsidR="0081662F" w:rsidRPr="00D0532A" w:rsidRDefault="0081662F" w:rsidP="00EB2357">
            <w:pPr>
              <w:spacing w:after="0" w:line="240" w:lineRule="auto"/>
              <w:jc w:val="center"/>
              <w:rPr>
                <w:rFonts w:ascii="Times New Roman" w:hAnsi="Times New Roman" w:cs="Times New Roman"/>
                <w:b/>
                <w:bCs/>
                <w:lang w:eastAsia="hr-HR"/>
              </w:rPr>
            </w:pPr>
            <w:r w:rsidRPr="00D0532A">
              <w:rPr>
                <w:rFonts w:ascii="Times New Roman" w:eastAsia="Calibri" w:hAnsi="Times New Roman" w:cs="Times New Roman"/>
                <w:b/>
                <w:bCs/>
                <w:lang w:val="en-US"/>
              </w:rPr>
              <w:t>783.438,55</w:t>
            </w:r>
          </w:p>
        </w:tc>
        <w:tc>
          <w:tcPr>
            <w:tcW w:w="996" w:type="pct"/>
            <w:tcBorders>
              <w:top w:val="nil"/>
              <w:left w:val="nil"/>
              <w:bottom w:val="single" w:sz="4" w:space="0" w:color="auto"/>
              <w:right w:val="single" w:sz="4" w:space="0" w:color="auto"/>
            </w:tcBorders>
            <w:vAlign w:val="center"/>
          </w:tcPr>
          <w:p w14:paraId="150AF327" w14:textId="0145BC28" w:rsidR="0081662F" w:rsidRPr="00D0532A" w:rsidRDefault="0081662F" w:rsidP="00EB2357">
            <w:pPr>
              <w:spacing w:after="0" w:line="240" w:lineRule="auto"/>
              <w:jc w:val="center"/>
              <w:rPr>
                <w:rFonts w:ascii="Times New Roman" w:eastAsia="Calibri" w:hAnsi="Times New Roman" w:cs="Times New Roman"/>
                <w:b/>
                <w:bCs/>
                <w:lang w:val="en-US"/>
              </w:rPr>
            </w:pPr>
            <w:r w:rsidRPr="00D0532A">
              <w:rPr>
                <w:rFonts w:ascii="Times New Roman" w:eastAsia="Calibri" w:hAnsi="Times New Roman" w:cs="Times New Roman"/>
                <w:b/>
                <w:bCs/>
                <w:lang w:val="en-US"/>
              </w:rPr>
              <w:t>65</w:t>
            </w:r>
            <w:r w:rsidR="0096449D">
              <w:rPr>
                <w:rFonts w:ascii="Times New Roman" w:eastAsia="Calibri" w:hAnsi="Times New Roman" w:cs="Times New Roman"/>
                <w:b/>
                <w:bCs/>
                <w:lang w:val="en-US"/>
              </w:rPr>
              <w:t>6.130,99</w:t>
            </w:r>
          </w:p>
        </w:tc>
        <w:tc>
          <w:tcPr>
            <w:tcW w:w="1580" w:type="pct"/>
            <w:tcBorders>
              <w:top w:val="nil"/>
              <w:left w:val="nil"/>
              <w:bottom w:val="single" w:sz="4" w:space="0" w:color="auto"/>
              <w:right w:val="single" w:sz="4" w:space="0" w:color="auto"/>
            </w:tcBorders>
            <w:vAlign w:val="center"/>
          </w:tcPr>
          <w:p w14:paraId="601ECFB8" w14:textId="0E3AF102" w:rsidR="0081662F" w:rsidRPr="00D0532A" w:rsidRDefault="0081662F" w:rsidP="00EB2357">
            <w:pPr>
              <w:spacing w:after="0" w:line="240" w:lineRule="auto"/>
              <w:jc w:val="center"/>
              <w:rPr>
                <w:rFonts w:ascii="Times New Roman" w:eastAsia="Calibri" w:hAnsi="Times New Roman" w:cs="Times New Roman"/>
                <w:b/>
                <w:bCs/>
                <w:lang w:val="en-US"/>
              </w:rPr>
            </w:pPr>
            <w:r w:rsidRPr="00D0532A">
              <w:rPr>
                <w:rFonts w:ascii="Times New Roman" w:eastAsia="Calibri" w:hAnsi="Times New Roman" w:cs="Times New Roman"/>
                <w:b/>
                <w:bCs/>
                <w:lang w:val="en-US"/>
              </w:rPr>
              <w:t>83,</w:t>
            </w:r>
            <w:r w:rsidR="0096449D">
              <w:rPr>
                <w:rFonts w:ascii="Times New Roman" w:eastAsia="Calibri" w:hAnsi="Times New Roman" w:cs="Times New Roman"/>
                <w:b/>
                <w:bCs/>
                <w:lang w:val="en-US"/>
              </w:rPr>
              <w:t>75</w:t>
            </w:r>
            <w:r w:rsidRPr="00D0532A">
              <w:rPr>
                <w:rFonts w:ascii="Times New Roman" w:eastAsia="Calibri" w:hAnsi="Times New Roman" w:cs="Times New Roman"/>
                <w:b/>
                <w:bCs/>
                <w:lang w:val="en-US"/>
              </w:rPr>
              <w:t>%</w:t>
            </w:r>
          </w:p>
        </w:tc>
      </w:tr>
    </w:tbl>
    <w:p w14:paraId="24EC9FB1" w14:textId="77777777" w:rsidR="0081662F" w:rsidRDefault="0081662F" w:rsidP="0081662F">
      <w:pPr>
        <w:spacing w:after="0" w:line="240" w:lineRule="auto"/>
        <w:ind w:left="708"/>
        <w:jc w:val="both"/>
        <w:rPr>
          <w:rFonts w:ascii="Times New Roman" w:hAnsi="Times New Roman" w:cs="Times New Roman"/>
          <w:lang w:eastAsia="hr-HR"/>
        </w:rPr>
      </w:pPr>
    </w:p>
    <w:p w14:paraId="059A3A3A" w14:textId="77777777" w:rsidR="0010700E" w:rsidRDefault="0010700E" w:rsidP="0081662F">
      <w:pPr>
        <w:spacing w:after="0" w:line="240" w:lineRule="auto"/>
        <w:ind w:left="708"/>
        <w:jc w:val="both"/>
        <w:rPr>
          <w:rFonts w:ascii="Times New Roman" w:hAnsi="Times New Roman" w:cs="Times New Roman"/>
          <w:lang w:eastAsia="hr-HR"/>
        </w:rPr>
      </w:pPr>
    </w:p>
    <w:tbl>
      <w:tblPr>
        <w:tblpPr w:leftFromText="180" w:rightFromText="180" w:vertAnchor="text" w:horzAnchor="margin" w:tblpY="-30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454"/>
        <w:gridCol w:w="1205"/>
        <w:gridCol w:w="1205"/>
        <w:gridCol w:w="1196"/>
      </w:tblGrid>
      <w:tr w:rsidR="0010700E" w:rsidRPr="00D0532A" w14:paraId="37F08650" w14:textId="77777777" w:rsidTr="007F048D">
        <w:trPr>
          <w:trHeight w:val="460"/>
        </w:trPr>
        <w:tc>
          <w:tcPr>
            <w:tcW w:w="3010" w:type="pct"/>
            <w:shd w:val="clear" w:color="auto" w:fill="BFBFBF"/>
          </w:tcPr>
          <w:p w14:paraId="3973B68B" w14:textId="77777777" w:rsidR="0010700E" w:rsidRPr="00D0532A" w:rsidRDefault="0010700E" w:rsidP="007F048D">
            <w:pPr>
              <w:widowControl w:val="0"/>
              <w:autoSpaceDE w:val="0"/>
              <w:autoSpaceDN w:val="0"/>
              <w:spacing w:before="110" w:after="0" w:line="240" w:lineRule="auto"/>
              <w:ind w:left="-31" w:firstLine="138"/>
              <w:rPr>
                <w:rFonts w:ascii="Times New Roman" w:eastAsia="Arial MT" w:hAnsi="Times New Roman" w:cs="Times New Roman"/>
                <w:b/>
              </w:rPr>
            </w:pPr>
            <w:r w:rsidRPr="00D0532A">
              <w:rPr>
                <w:rFonts w:ascii="Times New Roman" w:eastAsia="Arial MT" w:hAnsi="Times New Roman" w:cs="Times New Roman"/>
                <w:b/>
              </w:rPr>
              <w:lastRenderedPageBreak/>
              <w:t>Naziv aktivnosti / projekta</w:t>
            </w:r>
          </w:p>
        </w:tc>
        <w:tc>
          <w:tcPr>
            <w:tcW w:w="665" w:type="pct"/>
            <w:shd w:val="clear" w:color="auto" w:fill="BFBFBF"/>
          </w:tcPr>
          <w:p w14:paraId="272ED0AF" w14:textId="77777777" w:rsidR="0010700E" w:rsidRPr="00D0532A" w:rsidRDefault="0010700E" w:rsidP="007F048D">
            <w:pPr>
              <w:widowControl w:val="0"/>
              <w:autoSpaceDE w:val="0"/>
              <w:autoSpaceDN w:val="0"/>
              <w:spacing w:after="0" w:line="215" w:lineRule="exact"/>
              <w:ind w:left="-31" w:right="140" w:firstLine="138"/>
              <w:jc w:val="center"/>
              <w:rPr>
                <w:rFonts w:ascii="Times New Roman" w:eastAsia="Arial MT" w:hAnsi="Times New Roman" w:cs="Times New Roman"/>
                <w:b/>
              </w:rPr>
            </w:pPr>
            <w:r w:rsidRPr="00D0532A">
              <w:rPr>
                <w:rFonts w:ascii="Times New Roman" w:eastAsia="Arial MT" w:hAnsi="Times New Roman" w:cs="Times New Roman"/>
                <w:b/>
              </w:rPr>
              <w:t>Rebalans</w:t>
            </w:r>
          </w:p>
          <w:p w14:paraId="4A08896A" w14:textId="77777777" w:rsidR="0010700E" w:rsidRPr="00D0532A" w:rsidRDefault="0010700E" w:rsidP="007F048D">
            <w:pPr>
              <w:widowControl w:val="0"/>
              <w:autoSpaceDE w:val="0"/>
              <w:autoSpaceDN w:val="0"/>
              <w:spacing w:after="0" w:line="215" w:lineRule="exact"/>
              <w:ind w:left="-31" w:right="140" w:firstLine="138"/>
              <w:jc w:val="center"/>
              <w:rPr>
                <w:rFonts w:ascii="Times New Roman" w:eastAsia="Arial MT" w:hAnsi="Times New Roman" w:cs="Times New Roman"/>
                <w:b/>
              </w:rPr>
            </w:pPr>
            <w:r w:rsidRPr="00D0532A">
              <w:rPr>
                <w:rFonts w:ascii="Times New Roman" w:eastAsia="Arial MT" w:hAnsi="Times New Roman" w:cs="Times New Roman"/>
                <w:b/>
              </w:rPr>
              <w:t>2024.</w:t>
            </w:r>
          </w:p>
        </w:tc>
        <w:tc>
          <w:tcPr>
            <w:tcW w:w="665" w:type="pct"/>
            <w:shd w:val="clear" w:color="auto" w:fill="BFBFBF"/>
          </w:tcPr>
          <w:p w14:paraId="448C780E" w14:textId="77777777" w:rsidR="0010700E" w:rsidRPr="00D0532A" w:rsidRDefault="0010700E" w:rsidP="007F048D">
            <w:pPr>
              <w:widowControl w:val="0"/>
              <w:autoSpaceDE w:val="0"/>
              <w:autoSpaceDN w:val="0"/>
              <w:spacing w:after="0" w:line="215" w:lineRule="exact"/>
              <w:ind w:left="-31" w:right="140" w:firstLine="138"/>
              <w:jc w:val="center"/>
              <w:rPr>
                <w:rFonts w:ascii="Times New Roman" w:eastAsia="Arial MT" w:hAnsi="Times New Roman" w:cs="Times New Roman"/>
                <w:b/>
              </w:rPr>
            </w:pPr>
            <w:r w:rsidRPr="00D0532A">
              <w:rPr>
                <w:rFonts w:ascii="Times New Roman" w:eastAsia="Arial MT" w:hAnsi="Times New Roman" w:cs="Times New Roman"/>
                <w:b/>
              </w:rPr>
              <w:t>Izvršeno 2024</w:t>
            </w:r>
          </w:p>
        </w:tc>
        <w:tc>
          <w:tcPr>
            <w:tcW w:w="660" w:type="pct"/>
            <w:shd w:val="clear" w:color="auto" w:fill="BFBFBF"/>
          </w:tcPr>
          <w:p w14:paraId="5BE6950A" w14:textId="77777777" w:rsidR="0010700E" w:rsidRPr="00D0532A" w:rsidRDefault="0010700E" w:rsidP="007F048D">
            <w:pPr>
              <w:widowControl w:val="0"/>
              <w:autoSpaceDE w:val="0"/>
              <w:autoSpaceDN w:val="0"/>
              <w:spacing w:after="0" w:line="215" w:lineRule="exact"/>
              <w:ind w:left="-31" w:right="140" w:firstLine="138"/>
              <w:jc w:val="center"/>
              <w:rPr>
                <w:rFonts w:ascii="Times New Roman" w:eastAsia="Arial MT" w:hAnsi="Times New Roman" w:cs="Times New Roman"/>
                <w:b/>
              </w:rPr>
            </w:pPr>
            <w:r w:rsidRPr="00D0532A">
              <w:rPr>
                <w:rFonts w:ascii="Times New Roman" w:eastAsia="Arial MT" w:hAnsi="Times New Roman" w:cs="Times New Roman"/>
                <w:b/>
              </w:rPr>
              <w:t>Indeks</w:t>
            </w:r>
          </w:p>
        </w:tc>
      </w:tr>
      <w:tr w:rsidR="0010700E" w:rsidRPr="00D0532A" w14:paraId="67497E51" w14:textId="77777777" w:rsidTr="007F048D">
        <w:trPr>
          <w:trHeight w:val="277"/>
        </w:trPr>
        <w:tc>
          <w:tcPr>
            <w:tcW w:w="3010" w:type="pct"/>
            <w:shd w:val="clear" w:color="auto" w:fill="auto"/>
          </w:tcPr>
          <w:p w14:paraId="215D7133" w14:textId="77777777" w:rsidR="0010700E" w:rsidRPr="00D0532A" w:rsidRDefault="0010700E" w:rsidP="007F048D">
            <w:pPr>
              <w:widowControl w:val="0"/>
              <w:autoSpaceDE w:val="0"/>
              <w:autoSpaceDN w:val="0"/>
              <w:spacing w:after="0" w:line="240" w:lineRule="auto"/>
              <w:ind w:left="8"/>
              <w:rPr>
                <w:rFonts w:ascii="Times New Roman" w:eastAsia="Calibri" w:hAnsi="Times New Roman" w:cs="Times New Roman"/>
              </w:rPr>
            </w:pPr>
            <w:r w:rsidRPr="00D0532A">
              <w:rPr>
                <w:rFonts w:ascii="Times New Roman" w:eastAsia="Calibri" w:hAnsi="Times New Roman" w:cs="Times New Roman"/>
                <w:w w:val="95"/>
              </w:rPr>
              <w:t>Aktivnost A102007 Redovna djelatnost OŠ  - decentralizirane funkcije</w:t>
            </w:r>
          </w:p>
        </w:tc>
        <w:tc>
          <w:tcPr>
            <w:tcW w:w="665" w:type="pct"/>
            <w:shd w:val="clear" w:color="auto" w:fill="auto"/>
            <w:vAlign w:val="center"/>
          </w:tcPr>
          <w:p w14:paraId="18CC659B" w14:textId="77777777" w:rsidR="0010700E" w:rsidRPr="00D0532A" w:rsidRDefault="0010700E" w:rsidP="007F048D">
            <w:pPr>
              <w:widowControl w:val="0"/>
              <w:autoSpaceDE w:val="0"/>
              <w:autoSpaceDN w:val="0"/>
              <w:spacing w:before="21" w:after="0" w:line="240" w:lineRule="auto"/>
              <w:ind w:left="-31" w:right="98" w:firstLine="138"/>
              <w:jc w:val="right"/>
              <w:rPr>
                <w:rFonts w:ascii="Times New Roman" w:eastAsia="Arial MT" w:hAnsi="Times New Roman" w:cs="Times New Roman"/>
              </w:rPr>
            </w:pPr>
            <w:r w:rsidRPr="00D0532A">
              <w:rPr>
                <w:rFonts w:ascii="Times New Roman" w:eastAsia="Arial MT" w:hAnsi="Times New Roman" w:cs="Times New Roman"/>
                <w:lang w:val="bs"/>
              </w:rPr>
              <w:t>30.700,00</w:t>
            </w:r>
          </w:p>
        </w:tc>
        <w:tc>
          <w:tcPr>
            <w:tcW w:w="665" w:type="pct"/>
            <w:vAlign w:val="center"/>
          </w:tcPr>
          <w:p w14:paraId="7462A7FF" w14:textId="77777777" w:rsidR="0010700E" w:rsidRPr="00D0532A" w:rsidRDefault="0010700E" w:rsidP="007F048D">
            <w:pPr>
              <w:widowControl w:val="0"/>
              <w:autoSpaceDE w:val="0"/>
              <w:autoSpaceDN w:val="0"/>
              <w:spacing w:before="21" w:after="0" w:line="240" w:lineRule="auto"/>
              <w:ind w:left="-31" w:right="98" w:firstLine="138"/>
              <w:jc w:val="right"/>
              <w:rPr>
                <w:rFonts w:ascii="Times New Roman" w:eastAsia="Arial MT" w:hAnsi="Times New Roman" w:cs="Times New Roman"/>
                <w:lang w:val="bs"/>
              </w:rPr>
            </w:pPr>
            <w:r>
              <w:rPr>
                <w:rFonts w:ascii="Times New Roman" w:eastAsia="Arial MT" w:hAnsi="Times New Roman" w:cs="Times New Roman"/>
                <w:lang w:val="bs"/>
              </w:rPr>
              <w:t>29.205,03</w:t>
            </w:r>
          </w:p>
        </w:tc>
        <w:tc>
          <w:tcPr>
            <w:tcW w:w="660" w:type="pct"/>
            <w:vAlign w:val="center"/>
          </w:tcPr>
          <w:p w14:paraId="07D3E6CA" w14:textId="77777777" w:rsidR="0010700E" w:rsidRPr="00D0532A" w:rsidRDefault="0010700E" w:rsidP="007F048D">
            <w:pPr>
              <w:widowControl w:val="0"/>
              <w:autoSpaceDE w:val="0"/>
              <w:autoSpaceDN w:val="0"/>
              <w:spacing w:before="21" w:after="0" w:line="240" w:lineRule="auto"/>
              <w:ind w:left="-31" w:right="98" w:firstLine="138"/>
              <w:jc w:val="center"/>
              <w:rPr>
                <w:rFonts w:ascii="Times New Roman" w:eastAsia="Arial MT" w:hAnsi="Times New Roman" w:cs="Times New Roman"/>
                <w:lang w:val="bs"/>
              </w:rPr>
            </w:pPr>
            <w:r w:rsidRPr="00D0532A">
              <w:rPr>
                <w:rFonts w:ascii="Times New Roman" w:eastAsia="Arial MT" w:hAnsi="Times New Roman" w:cs="Times New Roman"/>
                <w:lang w:val="bs"/>
              </w:rPr>
              <w:t>93,13%</w:t>
            </w:r>
          </w:p>
        </w:tc>
      </w:tr>
      <w:tr w:rsidR="0010700E" w:rsidRPr="00D0532A" w14:paraId="43759358" w14:textId="77777777" w:rsidTr="007F048D">
        <w:trPr>
          <w:trHeight w:val="277"/>
        </w:trPr>
        <w:tc>
          <w:tcPr>
            <w:tcW w:w="3010" w:type="pct"/>
            <w:shd w:val="clear" w:color="auto" w:fill="auto"/>
          </w:tcPr>
          <w:p w14:paraId="097FC657" w14:textId="77777777" w:rsidR="0010700E" w:rsidRPr="00D0532A" w:rsidRDefault="0010700E" w:rsidP="007F048D">
            <w:pPr>
              <w:widowControl w:val="0"/>
              <w:autoSpaceDE w:val="0"/>
              <w:autoSpaceDN w:val="0"/>
              <w:spacing w:after="0" w:line="240" w:lineRule="auto"/>
              <w:ind w:left="8"/>
              <w:rPr>
                <w:rFonts w:ascii="Times New Roman" w:eastAsia="Calibri" w:hAnsi="Times New Roman" w:cs="Times New Roman"/>
                <w:w w:val="95"/>
              </w:rPr>
            </w:pPr>
            <w:r w:rsidRPr="00D0532A">
              <w:rPr>
                <w:rFonts w:ascii="Times New Roman" w:eastAsia="Calibri" w:hAnsi="Times New Roman" w:cs="Times New Roman"/>
                <w:w w:val="95"/>
              </w:rPr>
              <w:t xml:space="preserve">Aktivnost A102008 Redovna djelatnost OŠ  - izvan </w:t>
            </w:r>
            <w:proofErr w:type="spellStart"/>
            <w:r w:rsidRPr="00D0532A">
              <w:rPr>
                <w:rFonts w:ascii="Times New Roman" w:eastAsia="Calibri" w:hAnsi="Times New Roman" w:cs="Times New Roman"/>
                <w:w w:val="95"/>
              </w:rPr>
              <w:t>dec</w:t>
            </w:r>
            <w:proofErr w:type="spellEnd"/>
            <w:r w:rsidRPr="00D0532A">
              <w:rPr>
                <w:rFonts w:ascii="Times New Roman" w:eastAsia="Calibri" w:hAnsi="Times New Roman" w:cs="Times New Roman"/>
                <w:w w:val="95"/>
              </w:rPr>
              <w:t>.  funkcija</w:t>
            </w:r>
          </w:p>
        </w:tc>
        <w:tc>
          <w:tcPr>
            <w:tcW w:w="665" w:type="pct"/>
            <w:shd w:val="clear" w:color="auto" w:fill="auto"/>
            <w:vAlign w:val="center"/>
          </w:tcPr>
          <w:p w14:paraId="05E8B414" w14:textId="77777777" w:rsidR="0010700E" w:rsidRPr="00D0532A" w:rsidRDefault="0010700E" w:rsidP="007F048D">
            <w:pPr>
              <w:widowControl w:val="0"/>
              <w:autoSpaceDE w:val="0"/>
              <w:autoSpaceDN w:val="0"/>
              <w:spacing w:before="21" w:after="0" w:line="240" w:lineRule="auto"/>
              <w:ind w:left="-31" w:right="98" w:firstLine="138"/>
              <w:jc w:val="right"/>
              <w:rPr>
                <w:rFonts w:ascii="Times New Roman" w:eastAsia="Arial MT" w:hAnsi="Times New Roman" w:cs="Times New Roman"/>
              </w:rPr>
            </w:pPr>
            <w:r w:rsidRPr="00D0532A">
              <w:rPr>
                <w:rFonts w:ascii="Times New Roman" w:eastAsia="Arial MT" w:hAnsi="Times New Roman" w:cs="Times New Roman"/>
                <w:lang w:val="bs"/>
              </w:rPr>
              <w:t>697.550,00</w:t>
            </w:r>
          </w:p>
        </w:tc>
        <w:tc>
          <w:tcPr>
            <w:tcW w:w="665" w:type="pct"/>
            <w:vAlign w:val="center"/>
          </w:tcPr>
          <w:p w14:paraId="4B5106C8" w14:textId="77777777" w:rsidR="0010700E" w:rsidRPr="00D0532A" w:rsidRDefault="0010700E" w:rsidP="007F048D">
            <w:pPr>
              <w:widowControl w:val="0"/>
              <w:autoSpaceDE w:val="0"/>
              <w:autoSpaceDN w:val="0"/>
              <w:spacing w:before="21" w:after="0" w:line="240" w:lineRule="auto"/>
              <w:ind w:left="-31" w:right="98" w:firstLine="138"/>
              <w:jc w:val="right"/>
              <w:rPr>
                <w:rFonts w:ascii="Times New Roman" w:eastAsia="Arial MT" w:hAnsi="Times New Roman" w:cs="Times New Roman"/>
                <w:lang w:val="bs"/>
              </w:rPr>
            </w:pPr>
            <w:r w:rsidRPr="00D0532A">
              <w:rPr>
                <w:rFonts w:ascii="Times New Roman" w:eastAsia="Arial MT" w:hAnsi="Times New Roman" w:cs="Times New Roman"/>
                <w:lang w:val="bs"/>
              </w:rPr>
              <w:t>586.879,22</w:t>
            </w:r>
          </w:p>
        </w:tc>
        <w:tc>
          <w:tcPr>
            <w:tcW w:w="660" w:type="pct"/>
            <w:vAlign w:val="center"/>
          </w:tcPr>
          <w:p w14:paraId="7E7E043D" w14:textId="77777777" w:rsidR="0010700E" w:rsidRPr="00D0532A" w:rsidRDefault="0010700E" w:rsidP="007F048D">
            <w:pPr>
              <w:widowControl w:val="0"/>
              <w:autoSpaceDE w:val="0"/>
              <w:autoSpaceDN w:val="0"/>
              <w:spacing w:before="21" w:after="0" w:line="240" w:lineRule="auto"/>
              <w:ind w:left="-31" w:right="98" w:firstLine="138"/>
              <w:jc w:val="center"/>
              <w:rPr>
                <w:rFonts w:ascii="Times New Roman" w:eastAsia="Arial MT" w:hAnsi="Times New Roman" w:cs="Times New Roman"/>
                <w:lang w:val="bs"/>
              </w:rPr>
            </w:pPr>
            <w:r w:rsidRPr="00D0532A">
              <w:rPr>
                <w:rFonts w:ascii="Times New Roman" w:eastAsia="Arial MT" w:hAnsi="Times New Roman" w:cs="Times New Roman"/>
                <w:lang w:val="bs"/>
              </w:rPr>
              <w:t>84,13%</w:t>
            </w:r>
          </w:p>
        </w:tc>
      </w:tr>
      <w:tr w:rsidR="0010700E" w:rsidRPr="00D0532A" w14:paraId="6690CC5E" w14:textId="77777777" w:rsidTr="007F048D">
        <w:trPr>
          <w:trHeight w:val="277"/>
        </w:trPr>
        <w:tc>
          <w:tcPr>
            <w:tcW w:w="3010" w:type="pct"/>
            <w:shd w:val="clear" w:color="auto" w:fill="auto"/>
          </w:tcPr>
          <w:p w14:paraId="10A26220" w14:textId="77777777" w:rsidR="0010700E" w:rsidRPr="00D0532A" w:rsidRDefault="0010700E" w:rsidP="007F048D">
            <w:pPr>
              <w:widowControl w:val="0"/>
              <w:autoSpaceDE w:val="0"/>
              <w:autoSpaceDN w:val="0"/>
              <w:spacing w:after="0" w:line="240" w:lineRule="auto"/>
              <w:ind w:left="8"/>
              <w:rPr>
                <w:rFonts w:ascii="Times New Roman" w:eastAsia="Calibri" w:hAnsi="Times New Roman" w:cs="Times New Roman"/>
                <w:w w:val="95"/>
              </w:rPr>
            </w:pPr>
            <w:r w:rsidRPr="00D0532A">
              <w:rPr>
                <w:rFonts w:ascii="Times New Roman" w:eastAsia="Calibri" w:hAnsi="Times New Roman" w:cs="Times New Roman"/>
                <w:w w:val="95"/>
              </w:rPr>
              <w:t xml:space="preserve">Aktivnost A102009 Prehrana za učenike osnovnih škola osiguranja iz </w:t>
            </w:r>
            <w:proofErr w:type="spellStart"/>
            <w:r w:rsidRPr="00D0532A">
              <w:rPr>
                <w:rFonts w:ascii="Times New Roman" w:eastAsia="Calibri" w:hAnsi="Times New Roman" w:cs="Times New Roman"/>
                <w:w w:val="95"/>
              </w:rPr>
              <w:t>sredst.DP</w:t>
            </w:r>
            <w:proofErr w:type="spellEnd"/>
          </w:p>
        </w:tc>
        <w:tc>
          <w:tcPr>
            <w:tcW w:w="665" w:type="pct"/>
            <w:shd w:val="clear" w:color="auto" w:fill="auto"/>
            <w:vAlign w:val="center"/>
          </w:tcPr>
          <w:p w14:paraId="409B2038" w14:textId="77777777" w:rsidR="0010700E" w:rsidRPr="00D0532A" w:rsidRDefault="0010700E" w:rsidP="007F048D">
            <w:pPr>
              <w:widowControl w:val="0"/>
              <w:autoSpaceDE w:val="0"/>
              <w:autoSpaceDN w:val="0"/>
              <w:spacing w:before="21" w:after="0" w:line="240" w:lineRule="auto"/>
              <w:ind w:left="-31" w:right="98" w:firstLine="138"/>
              <w:jc w:val="right"/>
              <w:rPr>
                <w:rFonts w:ascii="Times New Roman" w:eastAsia="Arial MT" w:hAnsi="Times New Roman" w:cs="Times New Roman"/>
              </w:rPr>
            </w:pPr>
            <w:r w:rsidRPr="00D0532A">
              <w:rPr>
                <w:rFonts w:ascii="Times New Roman" w:eastAsia="Arial MT" w:hAnsi="Times New Roman" w:cs="Times New Roman"/>
                <w:lang w:val="bs"/>
              </w:rPr>
              <w:t>18.000,00</w:t>
            </w:r>
          </w:p>
        </w:tc>
        <w:tc>
          <w:tcPr>
            <w:tcW w:w="665" w:type="pct"/>
            <w:vAlign w:val="center"/>
          </w:tcPr>
          <w:p w14:paraId="1A2FDFD5" w14:textId="77777777" w:rsidR="0010700E" w:rsidRPr="00D0532A" w:rsidRDefault="0010700E" w:rsidP="007F048D">
            <w:pPr>
              <w:widowControl w:val="0"/>
              <w:autoSpaceDE w:val="0"/>
              <w:autoSpaceDN w:val="0"/>
              <w:spacing w:before="21" w:after="0" w:line="240" w:lineRule="auto"/>
              <w:ind w:left="-31" w:right="98" w:firstLine="138"/>
              <w:jc w:val="right"/>
              <w:rPr>
                <w:rFonts w:ascii="Times New Roman" w:eastAsia="Arial MT" w:hAnsi="Times New Roman" w:cs="Times New Roman"/>
                <w:lang w:val="bs"/>
              </w:rPr>
            </w:pPr>
            <w:r w:rsidRPr="00D0532A">
              <w:rPr>
                <w:rFonts w:ascii="Times New Roman" w:eastAsia="Arial MT" w:hAnsi="Times New Roman" w:cs="Times New Roman"/>
                <w:lang w:val="bs"/>
              </w:rPr>
              <w:t>14.040,52</w:t>
            </w:r>
          </w:p>
        </w:tc>
        <w:tc>
          <w:tcPr>
            <w:tcW w:w="660" w:type="pct"/>
            <w:vAlign w:val="center"/>
          </w:tcPr>
          <w:p w14:paraId="39AABFE7" w14:textId="77777777" w:rsidR="0010700E" w:rsidRPr="00D0532A" w:rsidRDefault="0010700E" w:rsidP="007F048D">
            <w:pPr>
              <w:widowControl w:val="0"/>
              <w:autoSpaceDE w:val="0"/>
              <w:autoSpaceDN w:val="0"/>
              <w:spacing w:before="21" w:after="0" w:line="240" w:lineRule="auto"/>
              <w:ind w:left="-31" w:right="98" w:firstLine="138"/>
              <w:jc w:val="center"/>
              <w:rPr>
                <w:rFonts w:ascii="Times New Roman" w:eastAsia="Arial MT" w:hAnsi="Times New Roman" w:cs="Times New Roman"/>
                <w:lang w:val="bs"/>
              </w:rPr>
            </w:pPr>
            <w:r w:rsidRPr="00D0532A">
              <w:rPr>
                <w:rFonts w:ascii="Times New Roman" w:eastAsia="Arial MT" w:hAnsi="Times New Roman" w:cs="Times New Roman"/>
                <w:lang w:val="bs"/>
              </w:rPr>
              <w:t>78,00%</w:t>
            </w:r>
          </w:p>
        </w:tc>
      </w:tr>
      <w:tr w:rsidR="0010700E" w:rsidRPr="00D0532A" w14:paraId="5746C4A5" w14:textId="77777777" w:rsidTr="007F048D">
        <w:trPr>
          <w:trHeight w:val="277"/>
        </w:trPr>
        <w:tc>
          <w:tcPr>
            <w:tcW w:w="3010" w:type="pct"/>
            <w:shd w:val="clear" w:color="auto" w:fill="auto"/>
          </w:tcPr>
          <w:p w14:paraId="5BFD2EFA" w14:textId="77777777" w:rsidR="0010700E" w:rsidRPr="00D0532A" w:rsidRDefault="0010700E" w:rsidP="007F048D">
            <w:pPr>
              <w:widowControl w:val="0"/>
              <w:autoSpaceDE w:val="0"/>
              <w:autoSpaceDN w:val="0"/>
              <w:spacing w:after="0" w:line="240" w:lineRule="auto"/>
              <w:ind w:left="8"/>
              <w:rPr>
                <w:rFonts w:ascii="Times New Roman" w:eastAsia="Calibri" w:hAnsi="Times New Roman" w:cs="Times New Roman"/>
                <w:w w:val="95"/>
              </w:rPr>
            </w:pPr>
          </w:p>
        </w:tc>
        <w:tc>
          <w:tcPr>
            <w:tcW w:w="665" w:type="pct"/>
            <w:shd w:val="clear" w:color="auto" w:fill="auto"/>
            <w:vAlign w:val="center"/>
          </w:tcPr>
          <w:p w14:paraId="1B001E30" w14:textId="77777777" w:rsidR="0010700E" w:rsidRPr="00D0532A" w:rsidRDefault="0010700E" w:rsidP="007F048D">
            <w:pPr>
              <w:widowControl w:val="0"/>
              <w:autoSpaceDE w:val="0"/>
              <w:autoSpaceDN w:val="0"/>
              <w:spacing w:before="21" w:after="0" w:line="240" w:lineRule="auto"/>
              <w:ind w:left="-31" w:right="98" w:firstLine="138"/>
              <w:jc w:val="right"/>
              <w:rPr>
                <w:rFonts w:ascii="Times New Roman" w:eastAsia="Arial MT" w:hAnsi="Times New Roman" w:cs="Times New Roman"/>
                <w:lang w:val="bs"/>
              </w:rPr>
            </w:pPr>
          </w:p>
        </w:tc>
        <w:tc>
          <w:tcPr>
            <w:tcW w:w="665" w:type="pct"/>
            <w:vAlign w:val="center"/>
          </w:tcPr>
          <w:p w14:paraId="6E92EA75" w14:textId="77777777" w:rsidR="0010700E" w:rsidRPr="00D0532A" w:rsidRDefault="0010700E" w:rsidP="007F048D">
            <w:pPr>
              <w:widowControl w:val="0"/>
              <w:autoSpaceDE w:val="0"/>
              <w:autoSpaceDN w:val="0"/>
              <w:spacing w:before="21" w:after="0" w:line="240" w:lineRule="auto"/>
              <w:ind w:left="-31" w:right="98" w:firstLine="138"/>
              <w:jc w:val="right"/>
              <w:rPr>
                <w:rFonts w:ascii="Times New Roman" w:eastAsia="Arial MT" w:hAnsi="Times New Roman" w:cs="Times New Roman"/>
                <w:lang w:val="bs"/>
              </w:rPr>
            </w:pPr>
          </w:p>
        </w:tc>
        <w:tc>
          <w:tcPr>
            <w:tcW w:w="660" w:type="pct"/>
            <w:vAlign w:val="center"/>
          </w:tcPr>
          <w:p w14:paraId="15396E3D" w14:textId="77777777" w:rsidR="0010700E" w:rsidRPr="00D0532A" w:rsidRDefault="0010700E" w:rsidP="007F048D">
            <w:pPr>
              <w:widowControl w:val="0"/>
              <w:autoSpaceDE w:val="0"/>
              <w:autoSpaceDN w:val="0"/>
              <w:spacing w:before="21" w:after="0" w:line="240" w:lineRule="auto"/>
              <w:ind w:left="-31" w:right="98" w:firstLine="138"/>
              <w:jc w:val="center"/>
              <w:rPr>
                <w:rFonts w:ascii="Times New Roman" w:eastAsia="Arial MT" w:hAnsi="Times New Roman" w:cs="Times New Roman"/>
                <w:lang w:val="bs"/>
              </w:rPr>
            </w:pPr>
          </w:p>
        </w:tc>
      </w:tr>
      <w:tr w:rsidR="0010700E" w:rsidRPr="00D0532A" w14:paraId="60C6AC35" w14:textId="77777777" w:rsidTr="007F048D">
        <w:trPr>
          <w:trHeight w:val="277"/>
        </w:trPr>
        <w:tc>
          <w:tcPr>
            <w:tcW w:w="3010" w:type="pct"/>
            <w:shd w:val="clear" w:color="auto" w:fill="auto"/>
          </w:tcPr>
          <w:p w14:paraId="50F2C768" w14:textId="77777777" w:rsidR="0010700E" w:rsidRPr="00D0532A" w:rsidRDefault="0010700E" w:rsidP="007F048D">
            <w:pPr>
              <w:widowControl w:val="0"/>
              <w:autoSpaceDE w:val="0"/>
              <w:autoSpaceDN w:val="0"/>
              <w:spacing w:after="0" w:line="240" w:lineRule="auto"/>
              <w:ind w:left="8"/>
              <w:rPr>
                <w:rFonts w:ascii="Times New Roman" w:eastAsia="Calibri" w:hAnsi="Times New Roman" w:cs="Times New Roman"/>
                <w:w w:val="95"/>
              </w:rPr>
            </w:pPr>
            <w:r w:rsidRPr="00D0532A">
              <w:rPr>
                <w:rFonts w:ascii="Times New Roman" w:eastAsia="Calibri" w:hAnsi="Times New Roman" w:cs="Times New Roman"/>
                <w:w w:val="95"/>
              </w:rPr>
              <w:t xml:space="preserve">Kapitalni projekt K102004 – opremanje OŠ – </w:t>
            </w:r>
            <w:proofErr w:type="spellStart"/>
            <w:r w:rsidRPr="00D0532A">
              <w:rPr>
                <w:rFonts w:ascii="Times New Roman" w:eastAsia="Calibri" w:hAnsi="Times New Roman" w:cs="Times New Roman"/>
                <w:w w:val="95"/>
              </w:rPr>
              <w:t>dec.sredstva</w:t>
            </w:r>
            <w:proofErr w:type="spellEnd"/>
          </w:p>
        </w:tc>
        <w:tc>
          <w:tcPr>
            <w:tcW w:w="665" w:type="pct"/>
            <w:shd w:val="clear" w:color="auto" w:fill="auto"/>
            <w:vAlign w:val="center"/>
          </w:tcPr>
          <w:p w14:paraId="0CD8B5FA" w14:textId="77777777" w:rsidR="0010700E" w:rsidRPr="00D0532A" w:rsidRDefault="0010700E" w:rsidP="007F048D">
            <w:pPr>
              <w:widowControl w:val="0"/>
              <w:autoSpaceDE w:val="0"/>
              <w:autoSpaceDN w:val="0"/>
              <w:spacing w:before="21" w:after="0" w:line="240" w:lineRule="auto"/>
              <w:ind w:left="-31" w:right="98" w:firstLine="138"/>
              <w:jc w:val="right"/>
              <w:rPr>
                <w:rFonts w:ascii="Times New Roman" w:eastAsia="Arial MT" w:hAnsi="Times New Roman" w:cs="Times New Roman"/>
              </w:rPr>
            </w:pPr>
            <w:r w:rsidRPr="00D0532A">
              <w:rPr>
                <w:rFonts w:ascii="Times New Roman" w:eastAsia="Arial MT" w:hAnsi="Times New Roman" w:cs="Times New Roman"/>
                <w:lang w:val="bs"/>
              </w:rPr>
              <w:t>200,00</w:t>
            </w:r>
          </w:p>
        </w:tc>
        <w:tc>
          <w:tcPr>
            <w:tcW w:w="665" w:type="pct"/>
            <w:vAlign w:val="center"/>
          </w:tcPr>
          <w:p w14:paraId="70C9FF73" w14:textId="77777777" w:rsidR="0010700E" w:rsidRPr="00D0532A" w:rsidRDefault="0010700E" w:rsidP="007F048D">
            <w:pPr>
              <w:widowControl w:val="0"/>
              <w:autoSpaceDE w:val="0"/>
              <w:autoSpaceDN w:val="0"/>
              <w:spacing w:before="21" w:after="0" w:line="240" w:lineRule="auto"/>
              <w:ind w:left="-31" w:right="98" w:firstLine="138"/>
              <w:jc w:val="right"/>
              <w:rPr>
                <w:rFonts w:ascii="Times New Roman" w:eastAsia="Arial MT" w:hAnsi="Times New Roman" w:cs="Times New Roman"/>
                <w:lang w:val="bs"/>
              </w:rPr>
            </w:pPr>
            <w:r w:rsidRPr="00D0532A">
              <w:rPr>
                <w:rFonts w:ascii="Times New Roman" w:eastAsia="Arial MT" w:hAnsi="Times New Roman" w:cs="Times New Roman"/>
                <w:lang w:val="bs"/>
              </w:rPr>
              <w:t>0,00</w:t>
            </w:r>
          </w:p>
        </w:tc>
        <w:tc>
          <w:tcPr>
            <w:tcW w:w="660" w:type="pct"/>
            <w:vAlign w:val="center"/>
          </w:tcPr>
          <w:p w14:paraId="1059D17F" w14:textId="77777777" w:rsidR="0010700E" w:rsidRPr="00D0532A" w:rsidRDefault="0010700E" w:rsidP="007F048D">
            <w:pPr>
              <w:widowControl w:val="0"/>
              <w:autoSpaceDE w:val="0"/>
              <w:autoSpaceDN w:val="0"/>
              <w:spacing w:before="21" w:after="0" w:line="240" w:lineRule="auto"/>
              <w:ind w:left="-31" w:right="98" w:firstLine="138"/>
              <w:jc w:val="center"/>
              <w:rPr>
                <w:rFonts w:ascii="Times New Roman" w:eastAsia="Arial MT" w:hAnsi="Times New Roman" w:cs="Times New Roman"/>
                <w:lang w:val="bs"/>
              </w:rPr>
            </w:pPr>
            <w:r w:rsidRPr="00D0532A">
              <w:rPr>
                <w:rFonts w:ascii="Times New Roman" w:eastAsia="Arial MT" w:hAnsi="Times New Roman" w:cs="Times New Roman"/>
                <w:lang w:val="bs"/>
              </w:rPr>
              <w:t>0,00%</w:t>
            </w:r>
          </w:p>
        </w:tc>
      </w:tr>
      <w:tr w:rsidR="0010700E" w:rsidRPr="00D0532A" w14:paraId="63FBE5DC" w14:textId="77777777" w:rsidTr="007F048D">
        <w:trPr>
          <w:trHeight w:val="277"/>
        </w:trPr>
        <w:tc>
          <w:tcPr>
            <w:tcW w:w="3010" w:type="pct"/>
            <w:shd w:val="clear" w:color="auto" w:fill="auto"/>
          </w:tcPr>
          <w:p w14:paraId="40C95A80" w14:textId="77777777" w:rsidR="0010700E" w:rsidRPr="00D0532A" w:rsidRDefault="0010700E" w:rsidP="007F048D">
            <w:pPr>
              <w:widowControl w:val="0"/>
              <w:autoSpaceDE w:val="0"/>
              <w:autoSpaceDN w:val="0"/>
              <w:spacing w:after="0" w:line="240" w:lineRule="auto"/>
              <w:ind w:left="8"/>
              <w:rPr>
                <w:rFonts w:ascii="Times New Roman" w:eastAsia="Calibri" w:hAnsi="Times New Roman" w:cs="Times New Roman"/>
                <w:w w:val="95"/>
              </w:rPr>
            </w:pPr>
            <w:r w:rsidRPr="00D0532A">
              <w:rPr>
                <w:rFonts w:ascii="Times New Roman" w:eastAsia="Calibri" w:hAnsi="Times New Roman" w:cs="Times New Roman"/>
                <w:w w:val="95"/>
              </w:rPr>
              <w:t xml:space="preserve">Kapitalni projekt K102005 – opremanje OŠ – izvan </w:t>
            </w:r>
            <w:proofErr w:type="spellStart"/>
            <w:r w:rsidRPr="00D0532A">
              <w:rPr>
                <w:rFonts w:ascii="Times New Roman" w:eastAsia="Calibri" w:hAnsi="Times New Roman" w:cs="Times New Roman"/>
                <w:w w:val="95"/>
              </w:rPr>
              <w:t>dec.sredstva</w:t>
            </w:r>
            <w:proofErr w:type="spellEnd"/>
          </w:p>
        </w:tc>
        <w:tc>
          <w:tcPr>
            <w:tcW w:w="665" w:type="pct"/>
            <w:shd w:val="clear" w:color="auto" w:fill="auto"/>
            <w:vAlign w:val="center"/>
          </w:tcPr>
          <w:p w14:paraId="07A1B3E6" w14:textId="77777777" w:rsidR="0010700E" w:rsidRPr="00D0532A" w:rsidRDefault="0010700E" w:rsidP="007F048D">
            <w:pPr>
              <w:widowControl w:val="0"/>
              <w:autoSpaceDE w:val="0"/>
              <w:autoSpaceDN w:val="0"/>
              <w:spacing w:before="21" w:after="0" w:line="240" w:lineRule="auto"/>
              <w:ind w:left="-31" w:right="98" w:firstLine="138"/>
              <w:jc w:val="right"/>
              <w:rPr>
                <w:rFonts w:ascii="Times New Roman" w:eastAsia="Arial MT" w:hAnsi="Times New Roman" w:cs="Times New Roman"/>
              </w:rPr>
            </w:pPr>
            <w:r w:rsidRPr="00D0532A">
              <w:rPr>
                <w:rFonts w:ascii="Times New Roman" w:eastAsia="Arial MT" w:hAnsi="Times New Roman" w:cs="Times New Roman"/>
                <w:lang w:val="bs"/>
              </w:rPr>
              <w:t>16.440,00</w:t>
            </w:r>
          </w:p>
        </w:tc>
        <w:tc>
          <w:tcPr>
            <w:tcW w:w="665" w:type="pct"/>
            <w:vAlign w:val="center"/>
          </w:tcPr>
          <w:p w14:paraId="617F3866" w14:textId="77777777" w:rsidR="0010700E" w:rsidRPr="00D0532A" w:rsidRDefault="0010700E" w:rsidP="007F048D">
            <w:pPr>
              <w:widowControl w:val="0"/>
              <w:autoSpaceDE w:val="0"/>
              <w:autoSpaceDN w:val="0"/>
              <w:spacing w:before="21" w:after="0" w:line="240" w:lineRule="auto"/>
              <w:ind w:left="-31" w:right="98" w:firstLine="138"/>
              <w:jc w:val="right"/>
              <w:rPr>
                <w:rFonts w:ascii="Times New Roman" w:eastAsia="Arial MT" w:hAnsi="Times New Roman" w:cs="Times New Roman"/>
                <w:lang w:val="bs"/>
              </w:rPr>
            </w:pPr>
            <w:r w:rsidRPr="00D0532A">
              <w:rPr>
                <w:rFonts w:ascii="Times New Roman" w:eastAsia="Arial MT" w:hAnsi="Times New Roman" w:cs="Times New Roman"/>
                <w:lang w:val="bs"/>
              </w:rPr>
              <w:t>6.419,36</w:t>
            </w:r>
          </w:p>
        </w:tc>
        <w:tc>
          <w:tcPr>
            <w:tcW w:w="660" w:type="pct"/>
            <w:vAlign w:val="center"/>
          </w:tcPr>
          <w:p w14:paraId="68A38395" w14:textId="77777777" w:rsidR="0010700E" w:rsidRPr="00D0532A" w:rsidRDefault="0010700E" w:rsidP="007F048D">
            <w:pPr>
              <w:widowControl w:val="0"/>
              <w:autoSpaceDE w:val="0"/>
              <w:autoSpaceDN w:val="0"/>
              <w:spacing w:before="21" w:after="0" w:line="240" w:lineRule="auto"/>
              <w:ind w:left="-31" w:right="98" w:firstLine="138"/>
              <w:jc w:val="center"/>
              <w:rPr>
                <w:rFonts w:ascii="Times New Roman" w:eastAsia="Arial MT" w:hAnsi="Times New Roman" w:cs="Times New Roman"/>
                <w:lang w:val="bs"/>
              </w:rPr>
            </w:pPr>
            <w:r w:rsidRPr="00D0532A">
              <w:rPr>
                <w:rFonts w:ascii="Times New Roman" w:eastAsia="Arial MT" w:hAnsi="Times New Roman" w:cs="Times New Roman"/>
                <w:lang w:val="bs"/>
              </w:rPr>
              <w:t>39,05%</w:t>
            </w:r>
          </w:p>
        </w:tc>
      </w:tr>
      <w:tr w:rsidR="0010700E" w:rsidRPr="00D0532A" w14:paraId="52042A86" w14:textId="77777777" w:rsidTr="007F048D">
        <w:trPr>
          <w:trHeight w:val="277"/>
        </w:trPr>
        <w:tc>
          <w:tcPr>
            <w:tcW w:w="3010" w:type="pct"/>
            <w:shd w:val="clear" w:color="auto" w:fill="auto"/>
          </w:tcPr>
          <w:p w14:paraId="51AE16FE" w14:textId="77777777" w:rsidR="0010700E" w:rsidRPr="00D0532A" w:rsidRDefault="0010700E" w:rsidP="007F048D">
            <w:pPr>
              <w:widowControl w:val="0"/>
              <w:autoSpaceDE w:val="0"/>
              <w:autoSpaceDN w:val="0"/>
              <w:spacing w:after="0" w:line="240" w:lineRule="auto"/>
              <w:ind w:left="8"/>
              <w:rPr>
                <w:rFonts w:ascii="Times New Roman" w:eastAsia="Calibri" w:hAnsi="Times New Roman" w:cs="Times New Roman"/>
                <w:w w:val="95"/>
              </w:rPr>
            </w:pPr>
            <w:r w:rsidRPr="00D0532A">
              <w:rPr>
                <w:rFonts w:ascii="Times New Roman" w:eastAsia="Calibri" w:hAnsi="Times New Roman" w:cs="Times New Roman"/>
                <w:w w:val="95"/>
              </w:rPr>
              <w:t>Tekući projekt T102004 „Medni dan“</w:t>
            </w:r>
          </w:p>
        </w:tc>
        <w:tc>
          <w:tcPr>
            <w:tcW w:w="665" w:type="pct"/>
            <w:shd w:val="clear" w:color="auto" w:fill="auto"/>
            <w:vAlign w:val="center"/>
          </w:tcPr>
          <w:p w14:paraId="1EB4E199" w14:textId="77777777" w:rsidR="0010700E" w:rsidRPr="00D0532A" w:rsidRDefault="0010700E" w:rsidP="007F048D">
            <w:pPr>
              <w:widowControl w:val="0"/>
              <w:autoSpaceDE w:val="0"/>
              <w:autoSpaceDN w:val="0"/>
              <w:spacing w:before="21" w:after="0" w:line="240" w:lineRule="auto"/>
              <w:ind w:left="-31" w:right="98" w:firstLine="138"/>
              <w:jc w:val="right"/>
              <w:rPr>
                <w:rFonts w:ascii="Times New Roman" w:eastAsia="Arial MT" w:hAnsi="Times New Roman" w:cs="Times New Roman"/>
              </w:rPr>
            </w:pPr>
            <w:r w:rsidRPr="00D0532A">
              <w:rPr>
                <w:rFonts w:ascii="Times New Roman" w:eastAsia="Arial MT" w:hAnsi="Times New Roman" w:cs="Times New Roman"/>
                <w:lang w:val="bs"/>
              </w:rPr>
              <w:t>100,00</w:t>
            </w:r>
          </w:p>
        </w:tc>
        <w:tc>
          <w:tcPr>
            <w:tcW w:w="665" w:type="pct"/>
            <w:vAlign w:val="center"/>
          </w:tcPr>
          <w:p w14:paraId="1C3F5D76" w14:textId="77777777" w:rsidR="0010700E" w:rsidRPr="00D0532A" w:rsidRDefault="0010700E" w:rsidP="007F048D">
            <w:pPr>
              <w:widowControl w:val="0"/>
              <w:autoSpaceDE w:val="0"/>
              <w:autoSpaceDN w:val="0"/>
              <w:spacing w:before="21" w:after="0" w:line="240" w:lineRule="auto"/>
              <w:ind w:left="-31" w:right="98" w:firstLine="138"/>
              <w:jc w:val="right"/>
              <w:rPr>
                <w:rFonts w:ascii="Times New Roman" w:eastAsia="Arial MT" w:hAnsi="Times New Roman" w:cs="Times New Roman"/>
                <w:lang w:val="bs"/>
              </w:rPr>
            </w:pPr>
            <w:r w:rsidRPr="00D0532A">
              <w:rPr>
                <w:rFonts w:ascii="Times New Roman" w:eastAsia="Arial MT" w:hAnsi="Times New Roman" w:cs="Times New Roman"/>
                <w:lang w:val="bs"/>
              </w:rPr>
              <w:t>28,00</w:t>
            </w:r>
          </w:p>
        </w:tc>
        <w:tc>
          <w:tcPr>
            <w:tcW w:w="660" w:type="pct"/>
            <w:vAlign w:val="center"/>
          </w:tcPr>
          <w:p w14:paraId="45F13828" w14:textId="77777777" w:rsidR="0010700E" w:rsidRPr="00D0532A" w:rsidRDefault="0010700E" w:rsidP="007F048D">
            <w:pPr>
              <w:widowControl w:val="0"/>
              <w:autoSpaceDE w:val="0"/>
              <w:autoSpaceDN w:val="0"/>
              <w:spacing w:before="21" w:after="0" w:line="240" w:lineRule="auto"/>
              <w:ind w:left="-31" w:right="98" w:firstLine="138"/>
              <w:jc w:val="center"/>
              <w:rPr>
                <w:rFonts w:ascii="Times New Roman" w:eastAsia="Arial MT" w:hAnsi="Times New Roman" w:cs="Times New Roman"/>
                <w:lang w:val="bs"/>
              </w:rPr>
            </w:pPr>
            <w:r w:rsidRPr="00D0532A">
              <w:rPr>
                <w:rFonts w:ascii="Times New Roman" w:eastAsia="Arial MT" w:hAnsi="Times New Roman" w:cs="Times New Roman"/>
                <w:lang w:val="bs"/>
              </w:rPr>
              <w:t>28,00%</w:t>
            </w:r>
          </w:p>
        </w:tc>
      </w:tr>
      <w:tr w:rsidR="0010700E" w:rsidRPr="00D0532A" w14:paraId="4F2C1E40" w14:textId="77777777" w:rsidTr="007F048D">
        <w:trPr>
          <w:trHeight w:val="277"/>
        </w:trPr>
        <w:tc>
          <w:tcPr>
            <w:tcW w:w="3010" w:type="pct"/>
            <w:shd w:val="clear" w:color="auto" w:fill="auto"/>
          </w:tcPr>
          <w:p w14:paraId="04E04846" w14:textId="77777777" w:rsidR="0010700E" w:rsidRPr="00D0532A" w:rsidRDefault="0010700E" w:rsidP="007F048D">
            <w:pPr>
              <w:widowControl w:val="0"/>
              <w:autoSpaceDE w:val="0"/>
              <w:autoSpaceDN w:val="0"/>
              <w:spacing w:after="0" w:line="240" w:lineRule="auto"/>
              <w:ind w:left="8"/>
              <w:rPr>
                <w:rFonts w:ascii="Times New Roman" w:eastAsia="Calibri" w:hAnsi="Times New Roman" w:cs="Times New Roman"/>
                <w:w w:val="95"/>
              </w:rPr>
            </w:pPr>
            <w:r w:rsidRPr="00D0532A">
              <w:rPr>
                <w:rFonts w:ascii="Times New Roman" w:eastAsia="Calibri" w:hAnsi="Times New Roman" w:cs="Times New Roman"/>
                <w:w w:val="95"/>
              </w:rPr>
              <w:t>Tekući projekt T102007 „Mala škola“</w:t>
            </w:r>
          </w:p>
        </w:tc>
        <w:tc>
          <w:tcPr>
            <w:tcW w:w="665" w:type="pct"/>
            <w:shd w:val="clear" w:color="auto" w:fill="auto"/>
            <w:vAlign w:val="center"/>
          </w:tcPr>
          <w:p w14:paraId="2B4166FE" w14:textId="77777777" w:rsidR="0010700E" w:rsidRPr="00D0532A" w:rsidRDefault="0010700E" w:rsidP="007F048D">
            <w:pPr>
              <w:widowControl w:val="0"/>
              <w:autoSpaceDE w:val="0"/>
              <w:autoSpaceDN w:val="0"/>
              <w:spacing w:before="21" w:after="0" w:line="240" w:lineRule="auto"/>
              <w:ind w:left="-31" w:right="98" w:firstLine="138"/>
              <w:jc w:val="right"/>
              <w:rPr>
                <w:rFonts w:ascii="Times New Roman" w:eastAsia="Arial MT" w:hAnsi="Times New Roman" w:cs="Times New Roman"/>
              </w:rPr>
            </w:pPr>
            <w:r w:rsidRPr="00D0532A">
              <w:rPr>
                <w:rFonts w:ascii="Times New Roman" w:eastAsia="Arial MT" w:hAnsi="Times New Roman" w:cs="Times New Roman"/>
                <w:lang w:val="bs"/>
              </w:rPr>
              <w:t>2.920,00</w:t>
            </w:r>
          </w:p>
        </w:tc>
        <w:tc>
          <w:tcPr>
            <w:tcW w:w="665" w:type="pct"/>
            <w:vAlign w:val="center"/>
          </w:tcPr>
          <w:p w14:paraId="0718F5A5" w14:textId="77777777" w:rsidR="0010700E" w:rsidRPr="00D0532A" w:rsidRDefault="0010700E" w:rsidP="007F048D">
            <w:pPr>
              <w:widowControl w:val="0"/>
              <w:autoSpaceDE w:val="0"/>
              <w:autoSpaceDN w:val="0"/>
              <w:spacing w:before="21" w:after="0" w:line="240" w:lineRule="auto"/>
              <w:ind w:left="-31" w:right="98" w:firstLine="138"/>
              <w:jc w:val="right"/>
              <w:rPr>
                <w:rFonts w:ascii="Times New Roman" w:eastAsia="Arial MT" w:hAnsi="Times New Roman" w:cs="Times New Roman"/>
                <w:lang w:val="bs"/>
              </w:rPr>
            </w:pPr>
            <w:r w:rsidRPr="00D0532A">
              <w:rPr>
                <w:rFonts w:ascii="Times New Roman" w:eastAsia="Arial MT" w:hAnsi="Times New Roman" w:cs="Times New Roman"/>
                <w:lang w:val="bs"/>
              </w:rPr>
              <w:t>2.619,99</w:t>
            </w:r>
          </w:p>
        </w:tc>
        <w:tc>
          <w:tcPr>
            <w:tcW w:w="660" w:type="pct"/>
            <w:vAlign w:val="center"/>
          </w:tcPr>
          <w:p w14:paraId="63946679" w14:textId="77777777" w:rsidR="0010700E" w:rsidRPr="00D0532A" w:rsidRDefault="0010700E" w:rsidP="007F048D">
            <w:pPr>
              <w:widowControl w:val="0"/>
              <w:autoSpaceDE w:val="0"/>
              <w:autoSpaceDN w:val="0"/>
              <w:spacing w:before="21" w:after="0" w:line="240" w:lineRule="auto"/>
              <w:ind w:left="-31" w:right="98" w:firstLine="138"/>
              <w:jc w:val="center"/>
              <w:rPr>
                <w:rFonts w:ascii="Times New Roman" w:eastAsia="Arial MT" w:hAnsi="Times New Roman" w:cs="Times New Roman"/>
                <w:lang w:val="bs"/>
              </w:rPr>
            </w:pPr>
            <w:r w:rsidRPr="00D0532A">
              <w:rPr>
                <w:rFonts w:ascii="Times New Roman" w:eastAsia="Arial MT" w:hAnsi="Times New Roman" w:cs="Times New Roman"/>
                <w:lang w:val="bs"/>
              </w:rPr>
              <w:t>89,73%</w:t>
            </w:r>
          </w:p>
        </w:tc>
      </w:tr>
      <w:tr w:rsidR="0010700E" w:rsidRPr="00D0532A" w14:paraId="2A083053" w14:textId="77777777" w:rsidTr="007F048D">
        <w:trPr>
          <w:trHeight w:val="277"/>
        </w:trPr>
        <w:tc>
          <w:tcPr>
            <w:tcW w:w="3010" w:type="pct"/>
            <w:shd w:val="clear" w:color="auto" w:fill="auto"/>
          </w:tcPr>
          <w:p w14:paraId="6A916579" w14:textId="77777777" w:rsidR="0010700E" w:rsidRPr="00D0532A" w:rsidRDefault="0010700E" w:rsidP="007F048D">
            <w:pPr>
              <w:widowControl w:val="0"/>
              <w:autoSpaceDE w:val="0"/>
              <w:autoSpaceDN w:val="0"/>
              <w:spacing w:after="0" w:line="240" w:lineRule="auto"/>
              <w:ind w:left="8"/>
              <w:rPr>
                <w:rFonts w:ascii="Times New Roman" w:eastAsia="Calibri" w:hAnsi="Times New Roman" w:cs="Times New Roman"/>
                <w:w w:val="95"/>
              </w:rPr>
            </w:pPr>
            <w:r w:rsidRPr="00D0532A">
              <w:rPr>
                <w:rFonts w:ascii="Times New Roman" w:eastAsia="Calibri" w:hAnsi="Times New Roman" w:cs="Times New Roman"/>
                <w:w w:val="95"/>
              </w:rPr>
              <w:t>Tekući projekt T102008 Školska shema</w:t>
            </w:r>
          </w:p>
        </w:tc>
        <w:tc>
          <w:tcPr>
            <w:tcW w:w="665" w:type="pct"/>
            <w:shd w:val="clear" w:color="auto" w:fill="auto"/>
            <w:vAlign w:val="center"/>
          </w:tcPr>
          <w:p w14:paraId="66EEC632" w14:textId="77777777" w:rsidR="0010700E" w:rsidRPr="00D0532A" w:rsidRDefault="0010700E" w:rsidP="007F048D">
            <w:pPr>
              <w:widowControl w:val="0"/>
              <w:autoSpaceDE w:val="0"/>
              <w:autoSpaceDN w:val="0"/>
              <w:spacing w:before="21" w:after="0" w:line="240" w:lineRule="auto"/>
              <w:ind w:left="-31" w:right="98" w:firstLine="138"/>
              <w:jc w:val="right"/>
              <w:rPr>
                <w:rFonts w:ascii="Times New Roman" w:eastAsia="Arial MT" w:hAnsi="Times New Roman" w:cs="Times New Roman"/>
              </w:rPr>
            </w:pPr>
            <w:r w:rsidRPr="00D0532A">
              <w:rPr>
                <w:rFonts w:ascii="Times New Roman" w:eastAsia="Arial MT" w:hAnsi="Times New Roman" w:cs="Times New Roman"/>
                <w:lang w:val="bs"/>
              </w:rPr>
              <w:t>1.064,55</w:t>
            </w:r>
          </w:p>
        </w:tc>
        <w:tc>
          <w:tcPr>
            <w:tcW w:w="665" w:type="pct"/>
            <w:vAlign w:val="center"/>
          </w:tcPr>
          <w:p w14:paraId="713653F0" w14:textId="77777777" w:rsidR="0010700E" w:rsidRPr="00D0532A" w:rsidRDefault="0010700E" w:rsidP="007F048D">
            <w:pPr>
              <w:widowControl w:val="0"/>
              <w:autoSpaceDE w:val="0"/>
              <w:autoSpaceDN w:val="0"/>
              <w:spacing w:before="21" w:after="0" w:line="240" w:lineRule="auto"/>
              <w:ind w:left="-31" w:right="98" w:firstLine="138"/>
              <w:jc w:val="right"/>
              <w:rPr>
                <w:rFonts w:ascii="Times New Roman" w:eastAsia="Arial MT" w:hAnsi="Times New Roman" w:cs="Times New Roman"/>
                <w:lang w:val="bs"/>
              </w:rPr>
            </w:pPr>
            <w:r w:rsidRPr="00D0532A">
              <w:rPr>
                <w:rFonts w:ascii="Times New Roman" w:eastAsia="Arial MT" w:hAnsi="Times New Roman" w:cs="Times New Roman"/>
                <w:lang w:val="bs"/>
              </w:rPr>
              <w:t>843,18</w:t>
            </w:r>
          </w:p>
        </w:tc>
        <w:tc>
          <w:tcPr>
            <w:tcW w:w="660" w:type="pct"/>
            <w:vAlign w:val="center"/>
          </w:tcPr>
          <w:p w14:paraId="4C3F0DFB" w14:textId="77777777" w:rsidR="0010700E" w:rsidRPr="00D0532A" w:rsidRDefault="0010700E" w:rsidP="007F048D">
            <w:pPr>
              <w:widowControl w:val="0"/>
              <w:autoSpaceDE w:val="0"/>
              <w:autoSpaceDN w:val="0"/>
              <w:spacing w:before="21" w:after="0" w:line="240" w:lineRule="auto"/>
              <w:ind w:left="-31" w:right="98" w:firstLine="138"/>
              <w:jc w:val="center"/>
              <w:rPr>
                <w:rFonts w:ascii="Times New Roman" w:eastAsia="Arial MT" w:hAnsi="Times New Roman" w:cs="Times New Roman"/>
                <w:lang w:val="bs"/>
              </w:rPr>
            </w:pPr>
            <w:r w:rsidRPr="00D0532A">
              <w:rPr>
                <w:rFonts w:ascii="Times New Roman" w:eastAsia="Arial MT" w:hAnsi="Times New Roman" w:cs="Times New Roman"/>
                <w:lang w:val="bs"/>
              </w:rPr>
              <w:t>79,12%</w:t>
            </w:r>
          </w:p>
        </w:tc>
      </w:tr>
      <w:tr w:rsidR="0010700E" w:rsidRPr="00D0532A" w14:paraId="15E1DE43" w14:textId="77777777" w:rsidTr="007F048D">
        <w:trPr>
          <w:trHeight w:val="277"/>
        </w:trPr>
        <w:tc>
          <w:tcPr>
            <w:tcW w:w="3010" w:type="pct"/>
            <w:shd w:val="clear" w:color="auto" w:fill="auto"/>
          </w:tcPr>
          <w:p w14:paraId="1732A756" w14:textId="77777777" w:rsidR="0010700E" w:rsidRPr="00D0532A" w:rsidRDefault="0010700E" w:rsidP="007F048D">
            <w:pPr>
              <w:widowControl w:val="0"/>
              <w:autoSpaceDE w:val="0"/>
              <w:autoSpaceDN w:val="0"/>
              <w:spacing w:after="0" w:line="240" w:lineRule="auto"/>
              <w:ind w:left="8"/>
              <w:rPr>
                <w:rFonts w:ascii="Times New Roman" w:eastAsia="Calibri" w:hAnsi="Times New Roman" w:cs="Times New Roman"/>
                <w:w w:val="95"/>
              </w:rPr>
            </w:pPr>
            <w:r w:rsidRPr="00D0532A">
              <w:rPr>
                <w:rFonts w:ascii="Times New Roman" w:eastAsia="Calibri" w:hAnsi="Times New Roman" w:cs="Times New Roman"/>
                <w:w w:val="95"/>
              </w:rPr>
              <w:t xml:space="preserve">Tekući projekt T102009 „Pomoćnici u nastavi“ </w:t>
            </w:r>
          </w:p>
        </w:tc>
        <w:tc>
          <w:tcPr>
            <w:tcW w:w="665" w:type="pct"/>
            <w:shd w:val="clear" w:color="auto" w:fill="auto"/>
            <w:vAlign w:val="center"/>
          </w:tcPr>
          <w:p w14:paraId="0D4A5727" w14:textId="77777777" w:rsidR="0010700E" w:rsidRPr="00D0532A" w:rsidRDefault="0010700E" w:rsidP="007F048D">
            <w:pPr>
              <w:widowControl w:val="0"/>
              <w:autoSpaceDE w:val="0"/>
              <w:autoSpaceDN w:val="0"/>
              <w:spacing w:before="21" w:after="0" w:line="240" w:lineRule="auto"/>
              <w:ind w:left="-31" w:right="98" w:firstLine="138"/>
              <w:jc w:val="right"/>
              <w:rPr>
                <w:rFonts w:ascii="Times New Roman" w:eastAsia="Arial MT" w:hAnsi="Times New Roman" w:cs="Times New Roman"/>
              </w:rPr>
            </w:pPr>
            <w:r w:rsidRPr="00D0532A">
              <w:rPr>
                <w:rFonts w:ascii="Times New Roman" w:eastAsia="Arial MT" w:hAnsi="Times New Roman" w:cs="Times New Roman"/>
                <w:lang w:val="bs"/>
              </w:rPr>
              <w:t>3.000,00</w:t>
            </w:r>
          </w:p>
        </w:tc>
        <w:tc>
          <w:tcPr>
            <w:tcW w:w="665" w:type="pct"/>
            <w:vAlign w:val="center"/>
          </w:tcPr>
          <w:p w14:paraId="77FE1C86" w14:textId="77777777" w:rsidR="0010700E" w:rsidRPr="00D0532A" w:rsidRDefault="0010700E" w:rsidP="007F048D">
            <w:pPr>
              <w:widowControl w:val="0"/>
              <w:autoSpaceDE w:val="0"/>
              <w:autoSpaceDN w:val="0"/>
              <w:spacing w:before="21" w:after="0" w:line="240" w:lineRule="auto"/>
              <w:ind w:left="-31" w:right="98" w:firstLine="138"/>
              <w:jc w:val="right"/>
              <w:rPr>
                <w:rFonts w:ascii="Times New Roman" w:eastAsia="Arial MT" w:hAnsi="Times New Roman" w:cs="Times New Roman"/>
                <w:lang w:val="bs"/>
              </w:rPr>
            </w:pPr>
            <w:r w:rsidRPr="00D0532A">
              <w:rPr>
                <w:rFonts w:ascii="Times New Roman" w:eastAsia="Arial MT" w:hAnsi="Times New Roman" w:cs="Times New Roman"/>
                <w:lang w:val="bs"/>
              </w:rPr>
              <w:t>2.912,35</w:t>
            </w:r>
          </w:p>
        </w:tc>
        <w:tc>
          <w:tcPr>
            <w:tcW w:w="660" w:type="pct"/>
            <w:vAlign w:val="center"/>
          </w:tcPr>
          <w:p w14:paraId="6A994B12" w14:textId="77777777" w:rsidR="0010700E" w:rsidRPr="00D0532A" w:rsidRDefault="0010700E" w:rsidP="007F048D">
            <w:pPr>
              <w:widowControl w:val="0"/>
              <w:autoSpaceDE w:val="0"/>
              <w:autoSpaceDN w:val="0"/>
              <w:spacing w:before="21" w:after="0" w:line="240" w:lineRule="auto"/>
              <w:ind w:left="-31" w:right="98" w:firstLine="138"/>
              <w:jc w:val="center"/>
              <w:rPr>
                <w:rFonts w:ascii="Times New Roman" w:eastAsia="Arial MT" w:hAnsi="Times New Roman" w:cs="Times New Roman"/>
                <w:lang w:val="bs"/>
              </w:rPr>
            </w:pPr>
            <w:r w:rsidRPr="00D0532A">
              <w:rPr>
                <w:rFonts w:ascii="Times New Roman" w:eastAsia="Arial MT" w:hAnsi="Times New Roman" w:cs="Times New Roman"/>
                <w:lang w:val="bs"/>
              </w:rPr>
              <w:t>97,08%</w:t>
            </w:r>
          </w:p>
        </w:tc>
      </w:tr>
      <w:tr w:rsidR="0010700E" w:rsidRPr="00D0532A" w14:paraId="1258563B" w14:textId="77777777" w:rsidTr="007F048D">
        <w:trPr>
          <w:trHeight w:val="277"/>
        </w:trPr>
        <w:tc>
          <w:tcPr>
            <w:tcW w:w="3010" w:type="pct"/>
            <w:shd w:val="clear" w:color="auto" w:fill="auto"/>
          </w:tcPr>
          <w:p w14:paraId="15187953" w14:textId="77777777" w:rsidR="0010700E" w:rsidRPr="00D0532A" w:rsidRDefault="0010700E" w:rsidP="007F048D">
            <w:pPr>
              <w:widowControl w:val="0"/>
              <w:autoSpaceDE w:val="0"/>
              <w:autoSpaceDN w:val="0"/>
              <w:spacing w:after="0" w:line="240" w:lineRule="auto"/>
              <w:ind w:left="-31" w:firstLine="39"/>
              <w:rPr>
                <w:rFonts w:ascii="Times New Roman" w:eastAsia="Calibri" w:hAnsi="Times New Roman" w:cs="Times New Roman"/>
                <w:w w:val="95"/>
              </w:rPr>
            </w:pPr>
            <w:r w:rsidRPr="00D0532A">
              <w:rPr>
                <w:rFonts w:ascii="Times New Roman" w:eastAsia="Calibri" w:hAnsi="Times New Roman" w:cs="Times New Roman"/>
                <w:w w:val="95"/>
              </w:rPr>
              <w:t xml:space="preserve">Tekući projekt T102010 „Pomoćnici u nastavi – faza VII“ </w:t>
            </w:r>
          </w:p>
        </w:tc>
        <w:tc>
          <w:tcPr>
            <w:tcW w:w="665" w:type="pct"/>
            <w:shd w:val="clear" w:color="auto" w:fill="auto"/>
            <w:vAlign w:val="center"/>
          </w:tcPr>
          <w:p w14:paraId="66F3157B" w14:textId="77777777" w:rsidR="0010700E" w:rsidRPr="00D0532A" w:rsidRDefault="0010700E" w:rsidP="007F048D">
            <w:pPr>
              <w:widowControl w:val="0"/>
              <w:autoSpaceDE w:val="0"/>
              <w:autoSpaceDN w:val="0"/>
              <w:spacing w:before="21" w:after="0" w:line="240" w:lineRule="auto"/>
              <w:ind w:left="-31" w:right="98" w:firstLine="138"/>
              <w:jc w:val="right"/>
              <w:rPr>
                <w:rFonts w:ascii="Times New Roman" w:eastAsia="Arial MT" w:hAnsi="Times New Roman" w:cs="Times New Roman"/>
              </w:rPr>
            </w:pPr>
            <w:r w:rsidRPr="00D0532A">
              <w:rPr>
                <w:rFonts w:ascii="Times New Roman" w:eastAsia="Arial MT" w:hAnsi="Times New Roman" w:cs="Times New Roman"/>
                <w:lang w:val="bs"/>
              </w:rPr>
              <w:t>13.464,00</w:t>
            </w:r>
          </w:p>
        </w:tc>
        <w:tc>
          <w:tcPr>
            <w:tcW w:w="665" w:type="pct"/>
            <w:vAlign w:val="center"/>
          </w:tcPr>
          <w:p w14:paraId="168BEF98" w14:textId="77777777" w:rsidR="0010700E" w:rsidRPr="00D0532A" w:rsidRDefault="0010700E" w:rsidP="007F048D">
            <w:pPr>
              <w:widowControl w:val="0"/>
              <w:autoSpaceDE w:val="0"/>
              <w:autoSpaceDN w:val="0"/>
              <w:spacing w:before="21" w:after="0" w:line="240" w:lineRule="auto"/>
              <w:ind w:left="-31" w:right="98" w:firstLine="138"/>
              <w:jc w:val="right"/>
              <w:rPr>
                <w:rFonts w:ascii="Times New Roman" w:eastAsia="Arial MT" w:hAnsi="Times New Roman" w:cs="Times New Roman"/>
                <w:lang w:val="bs"/>
              </w:rPr>
            </w:pPr>
            <w:r w:rsidRPr="00D0532A">
              <w:rPr>
                <w:rFonts w:ascii="Times New Roman" w:eastAsia="Arial MT" w:hAnsi="Times New Roman" w:cs="Times New Roman"/>
                <w:lang w:val="bs"/>
              </w:rPr>
              <w:t>13.184,21</w:t>
            </w:r>
          </w:p>
        </w:tc>
        <w:tc>
          <w:tcPr>
            <w:tcW w:w="660" w:type="pct"/>
            <w:vAlign w:val="center"/>
          </w:tcPr>
          <w:p w14:paraId="117360E1" w14:textId="77777777" w:rsidR="0010700E" w:rsidRPr="00D0532A" w:rsidRDefault="0010700E" w:rsidP="007F048D">
            <w:pPr>
              <w:widowControl w:val="0"/>
              <w:autoSpaceDE w:val="0"/>
              <w:autoSpaceDN w:val="0"/>
              <w:spacing w:before="21" w:after="0" w:line="240" w:lineRule="auto"/>
              <w:ind w:left="-31" w:right="98" w:firstLine="138"/>
              <w:jc w:val="center"/>
              <w:rPr>
                <w:rFonts w:ascii="Times New Roman" w:eastAsia="Arial MT" w:hAnsi="Times New Roman" w:cs="Times New Roman"/>
                <w:lang w:val="bs"/>
              </w:rPr>
            </w:pPr>
            <w:r w:rsidRPr="00D0532A">
              <w:rPr>
                <w:rFonts w:ascii="Times New Roman" w:eastAsia="Arial MT" w:hAnsi="Times New Roman" w:cs="Times New Roman"/>
                <w:lang w:val="bs"/>
              </w:rPr>
              <w:t>97,92%</w:t>
            </w:r>
          </w:p>
        </w:tc>
      </w:tr>
    </w:tbl>
    <w:p w14:paraId="25C2E064" w14:textId="77777777" w:rsidR="0010700E" w:rsidRDefault="0010700E" w:rsidP="0081662F">
      <w:pPr>
        <w:spacing w:after="0" w:line="240" w:lineRule="auto"/>
        <w:ind w:left="708"/>
        <w:jc w:val="both"/>
        <w:rPr>
          <w:rFonts w:ascii="Times New Roman" w:hAnsi="Times New Roman" w:cs="Times New Roman"/>
          <w:lang w:eastAsia="hr-HR"/>
        </w:rPr>
      </w:pPr>
    </w:p>
    <w:p w14:paraId="3667FA11" w14:textId="77777777" w:rsidR="0010700E" w:rsidRDefault="0010700E" w:rsidP="0081662F">
      <w:pPr>
        <w:spacing w:after="0" w:line="240" w:lineRule="auto"/>
        <w:ind w:left="708"/>
        <w:jc w:val="both"/>
        <w:rPr>
          <w:rFonts w:ascii="Times New Roman" w:hAnsi="Times New Roman" w:cs="Times New Roman"/>
          <w:lang w:eastAsia="hr-HR"/>
        </w:rPr>
      </w:pPr>
    </w:p>
    <w:p w14:paraId="3AD6596D" w14:textId="77777777" w:rsidR="0010700E" w:rsidRDefault="0010700E" w:rsidP="0081662F">
      <w:pPr>
        <w:spacing w:after="0" w:line="240" w:lineRule="auto"/>
        <w:ind w:left="708"/>
        <w:jc w:val="both"/>
        <w:rPr>
          <w:rFonts w:ascii="Times New Roman" w:hAnsi="Times New Roman" w:cs="Times New Roman"/>
          <w:lang w:eastAsia="hr-HR"/>
        </w:rPr>
      </w:pPr>
    </w:p>
    <w:p w14:paraId="224DF2E3" w14:textId="77777777" w:rsidR="0010700E" w:rsidRDefault="0010700E" w:rsidP="0081662F">
      <w:pPr>
        <w:spacing w:after="0" w:line="240" w:lineRule="auto"/>
        <w:ind w:left="708"/>
        <w:jc w:val="both"/>
        <w:rPr>
          <w:rFonts w:ascii="Times New Roman" w:hAnsi="Times New Roman" w:cs="Times New Roman"/>
          <w:lang w:eastAsia="hr-HR"/>
        </w:rPr>
      </w:pPr>
    </w:p>
    <w:p w14:paraId="777D5AB0" w14:textId="77777777" w:rsidR="0010700E" w:rsidRDefault="0010700E" w:rsidP="0081662F">
      <w:pPr>
        <w:spacing w:after="0" w:line="240" w:lineRule="auto"/>
        <w:ind w:left="708"/>
        <w:jc w:val="both"/>
        <w:rPr>
          <w:rFonts w:ascii="Times New Roman" w:hAnsi="Times New Roman" w:cs="Times New Roman"/>
          <w:lang w:eastAsia="hr-HR"/>
        </w:rPr>
      </w:pPr>
    </w:p>
    <w:tbl>
      <w:tblPr>
        <w:tblpPr w:leftFromText="180" w:rightFromText="180" w:vertAnchor="page" w:horzAnchor="margin" w:tblpY="629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325"/>
        <w:gridCol w:w="1605"/>
        <w:gridCol w:w="897"/>
        <w:gridCol w:w="1068"/>
        <w:gridCol w:w="995"/>
        <w:gridCol w:w="1068"/>
        <w:gridCol w:w="1093"/>
        <w:gridCol w:w="1009"/>
      </w:tblGrid>
      <w:tr w:rsidR="0096449D" w:rsidRPr="00D0532A" w14:paraId="7AEB6D09" w14:textId="77777777" w:rsidTr="0010700E">
        <w:trPr>
          <w:cantSplit/>
        </w:trPr>
        <w:tc>
          <w:tcPr>
            <w:tcW w:w="731" w:type="pct"/>
            <w:shd w:val="clear" w:color="auto" w:fill="BFBFBF" w:themeFill="background1" w:themeFillShade="BF"/>
            <w:vAlign w:val="center"/>
          </w:tcPr>
          <w:p w14:paraId="3A435C39" w14:textId="77777777" w:rsidR="0096449D" w:rsidRPr="00D0532A" w:rsidRDefault="0096449D" w:rsidP="0010700E">
            <w:pPr>
              <w:spacing w:after="0" w:line="240" w:lineRule="auto"/>
              <w:jc w:val="both"/>
              <w:rPr>
                <w:rFonts w:ascii="Times New Roman" w:eastAsia="Calibri" w:hAnsi="Times New Roman" w:cs="Times New Roman"/>
                <w:b/>
              </w:rPr>
            </w:pPr>
            <w:r w:rsidRPr="00D0532A">
              <w:rPr>
                <w:rFonts w:ascii="Times New Roman" w:eastAsia="Calibri" w:hAnsi="Times New Roman" w:cs="Times New Roman"/>
                <w:b/>
              </w:rPr>
              <w:t>Pokazatelj učinka</w:t>
            </w:r>
          </w:p>
        </w:tc>
        <w:tc>
          <w:tcPr>
            <w:tcW w:w="886" w:type="pct"/>
            <w:shd w:val="clear" w:color="auto" w:fill="BFBFBF" w:themeFill="background1" w:themeFillShade="BF"/>
            <w:vAlign w:val="center"/>
          </w:tcPr>
          <w:p w14:paraId="4535D27F" w14:textId="77777777" w:rsidR="0096449D" w:rsidRPr="00D0532A" w:rsidRDefault="0096449D" w:rsidP="0010700E">
            <w:pPr>
              <w:overflowPunct w:val="0"/>
              <w:autoSpaceDE w:val="0"/>
              <w:autoSpaceDN w:val="0"/>
              <w:adjustRightInd w:val="0"/>
              <w:spacing w:after="0" w:line="240" w:lineRule="auto"/>
              <w:jc w:val="both"/>
              <w:textAlignment w:val="baseline"/>
              <w:rPr>
                <w:rFonts w:ascii="Times New Roman" w:eastAsia="Calibri" w:hAnsi="Times New Roman" w:cs="Times New Roman"/>
                <w:b/>
              </w:rPr>
            </w:pPr>
            <w:r w:rsidRPr="00D0532A">
              <w:rPr>
                <w:rFonts w:ascii="Times New Roman" w:eastAsia="Calibri" w:hAnsi="Times New Roman" w:cs="Times New Roman"/>
                <w:b/>
              </w:rPr>
              <w:t>Definicija</w:t>
            </w:r>
          </w:p>
        </w:tc>
        <w:tc>
          <w:tcPr>
            <w:tcW w:w="495" w:type="pct"/>
            <w:shd w:val="clear" w:color="auto" w:fill="BFBFBF" w:themeFill="background1" w:themeFillShade="BF"/>
            <w:vAlign w:val="center"/>
          </w:tcPr>
          <w:p w14:paraId="3CD9192B" w14:textId="77777777" w:rsidR="0096449D" w:rsidRPr="00D0532A" w:rsidRDefault="0096449D" w:rsidP="0010700E">
            <w:pPr>
              <w:overflowPunct w:val="0"/>
              <w:autoSpaceDE w:val="0"/>
              <w:autoSpaceDN w:val="0"/>
              <w:adjustRightInd w:val="0"/>
              <w:spacing w:after="0" w:line="240" w:lineRule="auto"/>
              <w:jc w:val="both"/>
              <w:textAlignment w:val="baseline"/>
              <w:rPr>
                <w:rFonts w:ascii="Times New Roman" w:eastAsia="Calibri" w:hAnsi="Times New Roman" w:cs="Times New Roman"/>
                <w:b/>
              </w:rPr>
            </w:pPr>
            <w:r w:rsidRPr="00D0532A">
              <w:rPr>
                <w:rFonts w:ascii="Times New Roman" w:eastAsia="Calibri" w:hAnsi="Times New Roman" w:cs="Times New Roman"/>
                <w:b/>
              </w:rPr>
              <w:t>Jedinica</w:t>
            </w:r>
          </w:p>
        </w:tc>
        <w:tc>
          <w:tcPr>
            <w:tcW w:w="589" w:type="pct"/>
            <w:shd w:val="clear" w:color="auto" w:fill="BFBFBF" w:themeFill="background1" w:themeFillShade="BF"/>
            <w:vAlign w:val="center"/>
          </w:tcPr>
          <w:p w14:paraId="6FA767F3" w14:textId="77777777" w:rsidR="0096449D" w:rsidRPr="00D0532A" w:rsidRDefault="0096449D" w:rsidP="0010700E">
            <w:pPr>
              <w:overflowPunct w:val="0"/>
              <w:autoSpaceDE w:val="0"/>
              <w:autoSpaceDN w:val="0"/>
              <w:adjustRightInd w:val="0"/>
              <w:spacing w:after="0" w:line="240" w:lineRule="auto"/>
              <w:jc w:val="both"/>
              <w:textAlignment w:val="baseline"/>
              <w:rPr>
                <w:rFonts w:ascii="Times New Roman" w:eastAsia="Calibri" w:hAnsi="Times New Roman" w:cs="Times New Roman"/>
                <w:b/>
              </w:rPr>
            </w:pPr>
            <w:r w:rsidRPr="00D0532A">
              <w:rPr>
                <w:rFonts w:ascii="Times New Roman" w:eastAsia="Calibri" w:hAnsi="Times New Roman" w:cs="Times New Roman"/>
                <w:b/>
              </w:rPr>
              <w:t>Polazna vrijednost</w:t>
            </w:r>
          </w:p>
        </w:tc>
        <w:tc>
          <w:tcPr>
            <w:tcW w:w="549" w:type="pct"/>
            <w:shd w:val="clear" w:color="auto" w:fill="BFBFBF" w:themeFill="background1" w:themeFillShade="BF"/>
            <w:vAlign w:val="center"/>
          </w:tcPr>
          <w:p w14:paraId="044BD39C" w14:textId="77777777" w:rsidR="0096449D" w:rsidRPr="00D0532A" w:rsidRDefault="0096449D" w:rsidP="0010700E">
            <w:pPr>
              <w:overflowPunct w:val="0"/>
              <w:autoSpaceDE w:val="0"/>
              <w:autoSpaceDN w:val="0"/>
              <w:adjustRightInd w:val="0"/>
              <w:spacing w:after="0" w:line="240" w:lineRule="auto"/>
              <w:jc w:val="both"/>
              <w:textAlignment w:val="baseline"/>
              <w:rPr>
                <w:rFonts w:ascii="Times New Roman" w:eastAsia="Calibri" w:hAnsi="Times New Roman" w:cs="Times New Roman"/>
                <w:b/>
              </w:rPr>
            </w:pPr>
            <w:r w:rsidRPr="00D0532A">
              <w:rPr>
                <w:rFonts w:ascii="Times New Roman" w:eastAsia="Calibri" w:hAnsi="Times New Roman" w:cs="Times New Roman"/>
                <w:b/>
              </w:rPr>
              <w:t>Izvor podataka</w:t>
            </w:r>
          </w:p>
        </w:tc>
        <w:tc>
          <w:tcPr>
            <w:tcW w:w="589" w:type="pct"/>
            <w:shd w:val="clear" w:color="auto" w:fill="BFBFBF" w:themeFill="background1" w:themeFillShade="BF"/>
            <w:vAlign w:val="center"/>
          </w:tcPr>
          <w:p w14:paraId="6C01C4BC" w14:textId="77777777" w:rsidR="0096449D" w:rsidRPr="00D0532A" w:rsidRDefault="0096449D" w:rsidP="0010700E">
            <w:pPr>
              <w:overflowPunct w:val="0"/>
              <w:autoSpaceDE w:val="0"/>
              <w:autoSpaceDN w:val="0"/>
              <w:adjustRightInd w:val="0"/>
              <w:spacing w:after="0" w:line="240" w:lineRule="auto"/>
              <w:jc w:val="both"/>
              <w:textAlignment w:val="baseline"/>
              <w:rPr>
                <w:rFonts w:ascii="Times New Roman" w:eastAsia="Calibri" w:hAnsi="Times New Roman" w:cs="Times New Roman"/>
                <w:b/>
              </w:rPr>
            </w:pPr>
            <w:r w:rsidRPr="00D0532A">
              <w:rPr>
                <w:rFonts w:ascii="Times New Roman" w:eastAsia="Calibri" w:hAnsi="Times New Roman" w:cs="Times New Roman"/>
                <w:b/>
              </w:rPr>
              <w:t>Ciljana vrijednost (2024.)</w:t>
            </w:r>
          </w:p>
        </w:tc>
        <w:tc>
          <w:tcPr>
            <w:tcW w:w="603" w:type="pct"/>
            <w:shd w:val="clear" w:color="auto" w:fill="BFBFBF" w:themeFill="background1" w:themeFillShade="BF"/>
            <w:vAlign w:val="center"/>
          </w:tcPr>
          <w:p w14:paraId="1AE561ED" w14:textId="77777777" w:rsidR="0096449D" w:rsidRPr="00D0532A" w:rsidRDefault="0096449D" w:rsidP="0010700E">
            <w:pPr>
              <w:overflowPunct w:val="0"/>
              <w:autoSpaceDE w:val="0"/>
              <w:autoSpaceDN w:val="0"/>
              <w:adjustRightInd w:val="0"/>
              <w:spacing w:after="0" w:line="240" w:lineRule="auto"/>
              <w:jc w:val="both"/>
              <w:textAlignment w:val="baseline"/>
              <w:rPr>
                <w:rFonts w:ascii="Times New Roman" w:eastAsia="Calibri" w:hAnsi="Times New Roman" w:cs="Times New Roman"/>
                <w:b/>
              </w:rPr>
            </w:pPr>
            <w:r w:rsidRPr="00D0532A">
              <w:rPr>
                <w:rFonts w:ascii="Times New Roman" w:eastAsia="Calibri" w:hAnsi="Times New Roman" w:cs="Times New Roman"/>
                <w:b/>
              </w:rPr>
              <w:t>Ostvareno u 2024.</w:t>
            </w:r>
          </w:p>
        </w:tc>
        <w:tc>
          <w:tcPr>
            <w:tcW w:w="557" w:type="pct"/>
            <w:shd w:val="clear" w:color="auto" w:fill="BFBFBF" w:themeFill="background1" w:themeFillShade="BF"/>
            <w:vAlign w:val="center"/>
          </w:tcPr>
          <w:p w14:paraId="6CEA7DDD" w14:textId="77777777" w:rsidR="0096449D" w:rsidRPr="00D0532A" w:rsidRDefault="0096449D" w:rsidP="0010700E">
            <w:pPr>
              <w:overflowPunct w:val="0"/>
              <w:autoSpaceDE w:val="0"/>
              <w:autoSpaceDN w:val="0"/>
              <w:adjustRightInd w:val="0"/>
              <w:spacing w:after="0" w:line="240" w:lineRule="auto"/>
              <w:jc w:val="both"/>
              <w:textAlignment w:val="baseline"/>
              <w:rPr>
                <w:rFonts w:ascii="Times New Roman" w:eastAsia="Calibri" w:hAnsi="Times New Roman" w:cs="Times New Roman"/>
                <w:b/>
              </w:rPr>
            </w:pPr>
            <w:r w:rsidRPr="00D0532A">
              <w:rPr>
                <w:rFonts w:ascii="Times New Roman" w:eastAsia="Calibri" w:hAnsi="Times New Roman" w:cs="Times New Roman"/>
                <w:b/>
              </w:rPr>
              <w:t>Indeks</w:t>
            </w:r>
          </w:p>
        </w:tc>
      </w:tr>
      <w:tr w:rsidR="0096449D" w:rsidRPr="00D0532A" w14:paraId="5A653969" w14:textId="77777777" w:rsidTr="0010700E">
        <w:trPr>
          <w:cantSplit/>
        </w:trPr>
        <w:tc>
          <w:tcPr>
            <w:tcW w:w="731" w:type="pct"/>
            <w:shd w:val="clear" w:color="auto" w:fill="auto"/>
            <w:vAlign w:val="center"/>
          </w:tcPr>
          <w:p w14:paraId="34C2E5E3" w14:textId="77777777" w:rsidR="0096449D" w:rsidRPr="00D0532A" w:rsidRDefault="0096449D" w:rsidP="0010700E">
            <w:pPr>
              <w:spacing w:after="120" w:line="240" w:lineRule="auto"/>
              <w:jc w:val="both"/>
              <w:rPr>
                <w:rFonts w:ascii="Times New Roman" w:eastAsia="Calibri" w:hAnsi="Times New Roman" w:cs="Times New Roman"/>
              </w:rPr>
            </w:pPr>
            <w:r w:rsidRPr="00D0532A">
              <w:rPr>
                <w:rFonts w:ascii="Times New Roman" w:eastAsia="Calibri" w:hAnsi="Times New Roman" w:cs="Times New Roman"/>
              </w:rPr>
              <w:t>Broj učenika za koje se financira prehrana</w:t>
            </w:r>
          </w:p>
        </w:tc>
        <w:tc>
          <w:tcPr>
            <w:tcW w:w="886" w:type="pct"/>
            <w:shd w:val="clear" w:color="auto" w:fill="auto"/>
            <w:vAlign w:val="center"/>
          </w:tcPr>
          <w:p w14:paraId="33F9F36E" w14:textId="77777777" w:rsidR="0096449D" w:rsidRPr="00D0532A" w:rsidRDefault="0096449D" w:rsidP="0010700E">
            <w:pPr>
              <w:spacing w:after="120" w:line="240" w:lineRule="auto"/>
              <w:jc w:val="both"/>
              <w:rPr>
                <w:rFonts w:ascii="Times New Roman" w:eastAsia="Calibri" w:hAnsi="Times New Roman" w:cs="Times New Roman"/>
              </w:rPr>
            </w:pPr>
            <w:r w:rsidRPr="00D0532A">
              <w:rPr>
                <w:rFonts w:ascii="Times New Roman" w:eastAsia="Calibri" w:hAnsi="Times New Roman" w:cs="Times New Roman"/>
              </w:rPr>
              <w:t>Broj učenika koji su uključeni u program besplatne prehrane</w:t>
            </w:r>
          </w:p>
        </w:tc>
        <w:tc>
          <w:tcPr>
            <w:tcW w:w="495" w:type="pct"/>
            <w:shd w:val="clear" w:color="auto" w:fill="auto"/>
            <w:vAlign w:val="center"/>
          </w:tcPr>
          <w:p w14:paraId="16FCA51F" w14:textId="77777777" w:rsidR="0096449D" w:rsidRPr="00D0532A" w:rsidRDefault="0096449D" w:rsidP="0010700E">
            <w:pPr>
              <w:spacing w:after="120" w:line="240" w:lineRule="auto"/>
              <w:jc w:val="both"/>
              <w:rPr>
                <w:rFonts w:ascii="Times New Roman" w:eastAsia="Calibri" w:hAnsi="Times New Roman" w:cs="Times New Roman"/>
              </w:rPr>
            </w:pPr>
            <w:r w:rsidRPr="00D0532A">
              <w:rPr>
                <w:rFonts w:ascii="Times New Roman" w:eastAsia="Calibri" w:hAnsi="Times New Roman" w:cs="Times New Roman"/>
              </w:rPr>
              <w:t>Broj učenika</w:t>
            </w:r>
          </w:p>
        </w:tc>
        <w:tc>
          <w:tcPr>
            <w:tcW w:w="589" w:type="pct"/>
            <w:shd w:val="clear" w:color="auto" w:fill="auto"/>
            <w:vAlign w:val="center"/>
          </w:tcPr>
          <w:p w14:paraId="755747C9" w14:textId="77777777" w:rsidR="0096449D" w:rsidRPr="00D0532A" w:rsidRDefault="0096449D" w:rsidP="0010700E">
            <w:pPr>
              <w:spacing w:after="120" w:line="240" w:lineRule="auto"/>
              <w:jc w:val="both"/>
              <w:rPr>
                <w:rFonts w:ascii="Times New Roman" w:eastAsia="Calibri" w:hAnsi="Times New Roman" w:cs="Times New Roman"/>
              </w:rPr>
            </w:pPr>
            <w:r w:rsidRPr="00D0532A">
              <w:rPr>
                <w:rFonts w:ascii="Times New Roman" w:eastAsia="Calibri" w:hAnsi="Times New Roman" w:cs="Times New Roman"/>
              </w:rPr>
              <w:t xml:space="preserve">     72</w:t>
            </w:r>
          </w:p>
        </w:tc>
        <w:tc>
          <w:tcPr>
            <w:tcW w:w="549" w:type="pct"/>
            <w:shd w:val="clear" w:color="auto" w:fill="auto"/>
            <w:vAlign w:val="center"/>
          </w:tcPr>
          <w:p w14:paraId="3069ECB2" w14:textId="77777777" w:rsidR="0096449D" w:rsidRPr="00D0532A" w:rsidRDefault="0096449D" w:rsidP="0010700E">
            <w:pPr>
              <w:spacing w:after="120" w:line="240" w:lineRule="auto"/>
              <w:jc w:val="both"/>
              <w:rPr>
                <w:rFonts w:ascii="Times New Roman" w:eastAsia="Calibri" w:hAnsi="Times New Roman" w:cs="Times New Roman"/>
              </w:rPr>
            </w:pPr>
          </w:p>
        </w:tc>
        <w:tc>
          <w:tcPr>
            <w:tcW w:w="589" w:type="pct"/>
            <w:shd w:val="clear" w:color="auto" w:fill="auto"/>
            <w:vAlign w:val="center"/>
          </w:tcPr>
          <w:p w14:paraId="6AAA3A1C" w14:textId="77777777" w:rsidR="0096449D" w:rsidRPr="00D0532A" w:rsidRDefault="0096449D" w:rsidP="0010700E">
            <w:pPr>
              <w:spacing w:after="120" w:line="240" w:lineRule="auto"/>
              <w:jc w:val="both"/>
              <w:rPr>
                <w:rFonts w:ascii="Times New Roman" w:eastAsia="Calibri" w:hAnsi="Times New Roman" w:cs="Times New Roman"/>
              </w:rPr>
            </w:pPr>
            <w:r w:rsidRPr="00D0532A">
              <w:rPr>
                <w:rFonts w:ascii="Times New Roman" w:eastAsia="Calibri" w:hAnsi="Times New Roman" w:cs="Times New Roman"/>
              </w:rPr>
              <w:t xml:space="preserve">     72</w:t>
            </w:r>
          </w:p>
        </w:tc>
        <w:tc>
          <w:tcPr>
            <w:tcW w:w="603" w:type="pct"/>
            <w:shd w:val="clear" w:color="auto" w:fill="auto"/>
            <w:vAlign w:val="center"/>
          </w:tcPr>
          <w:p w14:paraId="1F842F06" w14:textId="77777777" w:rsidR="0096449D" w:rsidRPr="00D0532A" w:rsidRDefault="0096449D" w:rsidP="0010700E">
            <w:pPr>
              <w:spacing w:after="120" w:line="240" w:lineRule="auto"/>
              <w:jc w:val="center"/>
              <w:rPr>
                <w:rFonts w:ascii="Times New Roman" w:eastAsia="Calibri" w:hAnsi="Times New Roman" w:cs="Times New Roman"/>
              </w:rPr>
            </w:pPr>
            <w:r w:rsidRPr="00D0532A">
              <w:rPr>
                <w:rFonts w:ascii="Times New Roman" w:eastAsia="Calibri" w:hAnsi="Times New Roman" w:cs="Times New Roman"/>
              </w:rPr>
              <w:t>72</w:t>
            </w:r>
          </w:p>
        </w:tc>
        <w:tc>
          <w:tcPr>
            <w:tcW w:w="557" w:type="pct"/>
            <w:shd w:val="clear" w:color="auto" w:fill="auto"/>
            <w:vAlign w:val="center"/>
          </w:tcPr>
          <w:p w14:paraId="2D0CAD68" w14:textId="77777777" w:rsidR="0096449D" w:rsidRPr="00D0532A" w:rsidRDefault="0096449D" w:rsidP="0010700E">
            <w:pPr>
              <w:spacing w:after="120" w:line="240" w:lineRule="auto"/>
              <w:jc w:val="both"/>
              <w:rPr>
                <w:rFonts w:ascii="Times New Roman" w:eastAsia="Calibri" w:hAnsi="Times New Roman" w:cs="Times New Roman"/>
              </w:rPr>
            </w:pPr>
            <w:r w:rsidRPr="00D0532A">
              <w:rPr>
                <w:rFonts w:ascii="Times New Roman" w:eastAsia="Calibri" w:hAnsi="Times New Roman" w:cs="Times New Roman"/>
              </w:rPr>
              <w:t>100,00%</w:t>
            </w:r>
          </w:p>
        </w:tc>
      </w:tr>
      <w:tr w:rsidR="0096449D" w:rsidRPr="00D0532A" w14:paraId="47ABA863" w14:textId="77777777" w:rsidTr="0010700E">
        <w:trPr>
          <w:cantSplit/>
        </w:trPr>
        <w:tc>
          <w:tcPr>
            <w:tcW w:w="731" w:type="pct"/>
            <w:shd w:val="clear" w:color="auto" w:fill="auto"/>
            <w:vAlign w:val="center"/>
          </w:tcPr>
          <w:p w14:paraId="785847AF" w14:textId="77777777" w:rsidR="0096449D" w:rsidRPr="00D0532A" w:rsidRDefault="0096449D" w:rsidP="0010700E">
            <w:pPr>
              <w:spacing w:after="120" w:line="240" w:lineRule="auto"/>
              <w:jc w:val="both"/>
              <w:rPr>
                <w:rFonts w:ascii="Times New Roman" w:eastAsia="Calibri" w:hAnsi="Times New Roman" w:cs="Times New Roman"/>
              </w:rPr>
            </w:pPr>
            <w:r w:rsidRPr="00D0532A">
              <w:rPr>
                <w:rFonts w:ascii="Times New Roman" w:eastAsia="Calibri" w:hAnsi="Times New Roman" w:cs="Times New Roman"/>
              </w:rPr>
              <w:t>Planirana sredstva iz proračuna za besplatnu prehranu</w:t>
            </w:r>
          </w:p>
        </w:tc>
        <w:tc>
          <w:tcPr>
            <w:tcW w:w="886" w:type="pct"/>
            <w:shd w:val="clear" w:color="auto" w:fill="auto"/>
            <w:vAlign w:val="center"/>
          </w:tcPr>
          <w:p w14:paraId="6DC2FCE8" w14:textId="77777777" w:rsidR="0096449D" w:rsidRPr="00D0532A" w:rsidRDefault="0096449D" w:rsidP="0010700E">
            <w:pPr>
              <w:spacing w:after="120" w:line="240" w:lineRule="auto"/>
              <w:jc w:val="both"/>
              <w:rPr>
                <w:rFonts w:ascii="Times New Roman" w:eastAsia="Calibri" w:hAnsi="Times New Roman" w:cs="Times New Roman"/>
              </w:rPr>
            </w:pPr>
            <w:r w:rsidRPr="00D0532A">
              <w:rPr>
                <w:rFonts w:ascii="Times New Roman" w:eastAsia="Calibri" w:hAnsi="Times New Roman" w:cs="Times New Roman"/>
              </w:rPr>
              <w:t>Sredstva za prehranu kojima se financiraju troškovi namirnica iz proračuna</w:t>
            </w:r>
          </w:p>
        </w:tc>
        <w:tc>
          <w:tcPr>
            <w:tcW w:w="495" w:type="pct"/>
            <w:shd w:val="clear" w:color="auto" w:fill="auto"/>
            <w:vAlign w:val="center"/>
          </w:tcPr>
          <w:p w14:paraId="6C6D45B1" w14:textId="77777777" w:rsidR="0096449D" w:rsidRPr="00D0532A" w:rsidRDefault="0096449D" w:rsidP="0010700E">
            <w:pPr>
              <w:spacing w:after="120" w:line="240" w:lineRule="auto"/>
              <w:jc w:val="both"/>
              <w:rPr>
                <w:rFonts w:ascii="Times New Roman" w:eastAsia="Calibri" w:hAnsi="Times New Roman" w:cs="Times New Roman"/>
              </w:rPr>
            </w:pPr>
            <w:r w:rsidRPr="00D0532A">
              <w:rPr>
                <w:rFonts w:ascii="Times New Roman" w:eastAsia="Calibri" w:hAnsi="Times New Roman" w:cs="Times New Roman"/>
              </w:rPr>
              <w:t>Iznos u EUR</w:t>
            </w:r>
          </w:p>
        </w:tc>
        <w:tc>
          <w:tcPr>
            <w:tcW w:w="589" w:type="pct"/>
            <w:shd w:val="clear" w:color="auto" w:fill="auto"/>
            <w:vAlign w:val="center"/>
          </w:tcPr>
          <w:p w14:paraId="3717896B" w14:textId="77777777" w:rsidR="0096449D" w:rsidRPr="00D0532A" w:rsidRDefault="0096449D" w:rsidP="0010700E">
            <w:pPr>
              <w:spacing w:after="120" w:line="240" w:lineRule="auto"/>
              <w:jc w:val="both"/>
              <w:rPr>
                <w:rFonts w:ascii="Times New Roman" w:eastAsia="Calibri" w:hAnsi="Times New Roman" w:cs="Times New Roman"/>
              </w:rPr>
            </w:pPr>
            <w:r w:rsidRPr="00D0532A">
              <w:rPr>
                <w:rFonts w:ascii="Times New Roman" w:eastAsia="Calibri" w:hAnsi="Times New Roman" w:cs="Times New Roman"/>
              </w:rPr>
              <w:t>18.000,00</w:t>
            </w:r>
          </w:p>
        </w:tc>
        <w:tc>
          <w:tcPr>
            <w:tcW w:w="549" w:type="pct"/>
            <w:shd w:val="clear" w:color="auto" w:fill="auto"/>
            <w:vAlign w:val="center"/>
          </w:tcPr>
          <w:p w14:paraId="1CFF99ED" w14:textId="77777777" w:rsidR="0096449D" w:rsidRPr="00D0532A" w:rsidRDefault="0096449D" w:rsidP="0010700E">
            <w:pPr>
              <w:spacing w:after="120" w:line="240" w:lineRule="auto"/>
              <w:jc w:val="both"/>
              <w:rPr>
                <w:rFonts w:ascii="Times New Roman" w:eastAsia="Calibri" w:hAnsi="Times New Roman" w:cs="Times New Roman"/>
              </w:rPr>
            </w:pPr>
          </w:p>
        </w:tc>
        <w:tc>
          <w:tcPr>
            <w:tcW w:w="589" w:type="pct"/>
            <w:shd w:val="clear" w:color="auto" w:fill="auto"/>
            <w:vAlign w:val="center"/>
          </w:tcPr>
          <w:p w14:paraId="14C0DA97" w14:textId="77777777" w:rsidR="0096449D" w:rsidRPr="00D0532A" w:rsidRDefault="0096449D" w:rsidP="0010700E">
            <w:pPr>
              <w:spacing w:after="120" w:line="240" w:lineRule="auto"/>
              <w:jc w:val="both"/>
              <w:rPr>
                <w:rFonts w:ascii="Times New Roman" w:eastAsia="Calibri" w:hAnsi="Times New Roman" w:cs="Times New Roman"/>
              </w:rPr>
            </w:pPr>
            <w:r w:rsidRPr="00D0532A">
              <w:rPr>
                <w:rFonts w:ascii="Times New Roman" w:eastAsia="Calibri" w:hAnsi="Times New Roman" w:cs="Times New Roman"/>
              </w:rPr>
              <w:t>18.000,00</w:t>
            </w:r>
          </w:p>
        </w:tc>
        <w:tc>
          <w:tcPr>
            <w:tcW w:w="603" w:type="pct"/>
            <w:shd w:val="clear" w:color="auto" w:fill="auto"/>
            <w:vAlign w:val="center"/>
          </w:tcPr>
          <w:p w14:paraId="458E7CE4" w14:textId="77777777" w:rsidR="0096449D" w:rsidRPr="00D0532A" w:rsidRDefault="0096449D" w:rsidP="0010700E">
            <w:pPr>
              <w:spacing w:after="120" w:line="240" w:lineRule="auto"/>
              <w:jc w:val="both"/>
              <w:rPr>
                <w:rFonts w:ascii="Times New Roman" w:eastAsia="Calibri" w:hAnsi="Times New Roman" w:cs="Times New Roman"/>
              </w:rPr>
            </w:pPr>
            <w:r w:rsidRPr="00D0532A">
              <w:rPr>
                <w:rFonts w:ascii="Times New Roman" w:eastAsia="Calibri" w:hAnsi="Times New Roman" w:cs="Times New Roman"/>
              </w:rPr>
              <w:t>14.040,52</w:t>
            </w:r>
          </w:p>
        </w:tc>
        <w:tc>
          <w:tcPr>
            <w:tcW w:w="557" w:type="pct"/>
            <w:shd w:val="clear" w:color="auto" w:fill="auto"/>
            <w:vAlign w:val="center"/>
          </w:tcPr>
          <w:p w14:paraId="065A0CDA" w14:textId="77777777" w:rsidR="0096449D" w:rsidRPr="00D0532A" w:rsidRDefault="0096449D" w:rsidP="0010700E">
            <w:pPr>
              <w:spacing w:after="120" w:line="240" w:lineRule="auto"/>
              <w:jc w:val="both"/>
              <w:rPr>
                <w:rFonts w:ascii="Times New Roman" w:eastAsia="Calibri" w:hAnsi="Times New Roman" w:cs="Times New Roman"/>
              </w:rPr>
            </w:pPr>
            <w:r w:rsidRPr="00D0532A">
              <w:rPr>
                <w:rFonts w:ascii="Times New Roman" w:eastAsia="Calibri" w:hAnsi="Times New Roman" w:cs="Times New Roman"/>
              </w:rPr>
              <w:t>78,00%</w:t>
            </w:r>
          </w:p>
        </w:tc>
      </w:tr>
    </w:tbl>
    <w:p w14:paraId="156582BB" w14:textId="77777777" w:rsidR="0010700E" w:rsidRPr="00D0532A" w:rsidRDefault="0010700E" w:rsidP="0081662F">
      <w:pPr>
        <w:rPr>
          <w:rFonts w:ascii="Times New Roman" w:hAnsi="Times New Roman" w:cs="Times New Roman"/>
          <w:b/>
          <w:bCs/>
        </w:rPr>
      </w:pPr>
    </w:p>
    <w:p w14:paraId="600BCF93" w14:textId="77777777" w:rsidR="0081662F" w:rsidRPr="00D0532A" w:rsidRDefault="0081662F" w:rsidP="0081662F">
      <w:pPr>
        <w:rPr>
          <w:rFonts w:ascii="Times New Roman" w:hAnsi="Times New Roman" w:cs="Times New Roman"/>
          <w:b/>
          <w:bCs/>
        </w:rPr>
      </w:pPr>
      <w:r w:rsidRPr="00D0532A">
        <w:rPr>
          <w:rFonts w:ascii="Times New Roman" w:hAnsi="Times New Roman" w:cs="Times New Roman"/>
          <w:b/>
          <w:bCs/>
        </w:rPr>
        <w:t xml:space="preserve"> MEDNI DAN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327"/>
        <w:gridCol w:w="1598"/>
        <w:gridCol w:w="897"/>
        <w:gridCol w:w="1068"/>
        <w:gridCol w:w="995"/>
        <w:gridCol w:w="1068"/>
        <w:gridCol w:w="1092"/>
        <w:gridCol w:w="1015"/>
      </w:tblGrid>
      <w:tr w:rsidR="0081662F" w:rsidRPr="00D0532A" w14:paraId="5BA871ED" w14:textId="77777777" w:rsidTr="00EB2357">
        <w:trPr>
          <w:cantSplit/>
        </w:trPr>
        <w:tc>
          <w:tcPr>
            <w:tcW w:w="748" w:type="pct"/>
            <w:shd w:val="clear" w:color="auto" w:fill="BFBFBF" w:themeFill="background1" w:themeFillShade="BF"/>
            <w:vAlign w:val="center"/>
          </w:tcPr>
          <w:p w14:paraId="4027355C" w14:textId="77777777" w:rsidR="0081662F" w:rsidRPr="00D0532A" w:rsidRDefault="0081662F" w:rsidP="00EB2357">
            <w:pPr>
              <w:spacing w:after="0" w:line="240" w:lineRule="auto"/>
              <w:jc w:val="both"/>
              <w:rPr>
                <w:rFonts w:ascii="Times New Roman" w:eastAsia="Calibri" w:hAnsi="Times New Roman" w:cs="Times New Roman"/>
                <w:b/>
              </w:rPr>
            </w:pPr>
            <w:r w:rsidRPr="00D0532A">
              <w:rPr>
                <w:rFonts w:ascii="Times New Roman" w:eastAsia="Calibri" w:hAnsi="Times New Roman" w:cs="Times New Roman"/>
                <w:b/>
              </w:rPr>
              <w:t>Pokazatelj učinka</w:t>
            </w:r>
          </w:p>
        </w:tc>
        <w:tc>
          <w:tcPr>
            <w:tcW w:w="897" w:type="pct"/>
            <w:shd w:val="clear" w:color="auto" w:fill="BFBFBF" w:themeFill="background1" w:themeFillShade="BF"/>
            <w:vAlign w:val="center"/>
          </w:tcPr>
          <w:p w14:paraId="3B36E709" w14:textId="77777777" w:rsidR="0081662F" w:rsidRPr="00D0532A" w:rsidRDefault="0081662F" w:rsidP="00EB2357">
            <w:pPr>
              <w:overflowPunct w:val="0"/>
              <w:autoSpaceDE w:val="0"/>
              <w:autoSpaceDN w:val="0"/>
              <w:adjustRightInd w:val="0"/>
              <w:spacing w:after="0" w:line="240" w:lineRule="auto"/>
              <w:jc w:val="both"/>
              <w:textAlignment w:val="baseline"/>
              <w:rPr>
                <w:rFonts w:ascii="Times New Roman" w:eastAsia="Calibri" w:hAnsi="Times New Roman" w:cs="Times New Roman"/>
                <w:b/>
              </w:rPr>
            </w:pPr>
            <w:r w:rsidRPr="00D0532A">
              <w:rPr>
                <w:rFonts w:ascii="Times New Roman" w:eastAsia="Calibri" w:hAnsi="Times New Roman" w:cs="Times New Roman"/>
                <w:b/>
              </w:rPr>
              <w:t>Definicija</w:t>
            </w:r>
          </w:p>
        </w:tc>
        <w:tc>
          <w:tcPr>
            <w:tcW w:w="486" w:type="pct"/>
            <w:shd w:val="clear" w:color="auto" w:fill="BFBFBF" w:themeFill="background1" w:themeFillShade="BF"/>
            <w:vAlign w:val="center"/>
          </w:tcPr>
          <w:p w14:paraId="444A0B3A" w14:textId="77777777" w:rsidR="0081662F" w:rsidRPr="00D0532A" w:rsidRDefault="0081662F" w:rsidP="00EB2357">
            <w:pPr>
              <w:overflowPunct w:val="0"/>
              <w:autoSpaceDE w:val="0"/>
              <w:autoSpaceDN w:val="0"/>
              <w:adjustRightInd w:val="0"/>
              <w:spacing w:after="0" w:line="240" w:lineRule="auto"/>
              <w:jc w:val="both"/>
              <w:textAlignment w:val="baseline"/>
              <w:rPr>
                <w:rFonts w:ascii="Times New Roman" w:eastAsia="Calibri" w:hAnsi="Times New Roman" w:cs="Times New Roman"/>
                <w:b/>
              </w:rPr>
            </w:pPr>
            <w:r w:rsidRPr="00D0532A">
              <w:rPr>
                <w:rFonts w:ascii="Times New Roman" w:eastAsia="Calibri" w:hAnsi="Times New Roman" w:cs="Times New Roman"/>
                <w:b/>
              </w:rPr>
              <w:t>Jedinica</w:t>
            </w:r>
          </w:p>
        </w:tc>
        <w:tc>
          <w:tcPr>
            <w:tcW w:w="577" w:type="pct"/>
            <w:shd w:val="clear" w:color="auto" w:fill="BFBFBF" w:themeFill="background1" w:themeFillShade="BF"/>
            <w:vAlign w:val="center"/>
          </w:tcPr>
          <w:p w14:paraId="679D8A6F" w14:textId="77777777" w:rsidR="0081662F" w:rsidRPr="00D0532A" w:rsidRDefault="0081662F" w:rsidP="00EB2357">
            <w:pPr>
              <w:overflowPunct w:val="0"/>
              <w:autoSpaceDE w:val="0"/>
              <w:autoSpaceDN w:val="0"/>
              <w:adjustRightInd w:val="0"/>
              <w:spacing w:after="0" w:line="240" w:lineRule="auto"/>
              <w:jc w:val="both"/>
              <w:textAlignment w:val="baseline"/>
              <w:rPr>
                <w:rFonts w:ascii="Times New Roman" w:eastAsia="Calibri" w:hAnsi="Times New Roman" w:cs="Times New Roman"/>
                <w:b/>
              </w:rPr>
            </w:pPr>
            <w:r w:rsidRPr="00D0532A">
              <w:rPr>
                <w:rFonts w:ascii="Times New Roman" w:eastAsia="Calibri" w:hAnsi="Times New Roman" w:cs="Times New Roman"/>
                <w:b/>
              </w:rPr>
              <w:t>Polazna vrijednost</w:t>
            </w:r>
          </w:p>
        </w:tc>
        <w:tc>
          <w:tcPr>
            <w:tcW w:w="538" w:type="pct"/>
            <w:shd w:val="clear" w:color="auto" w:fill="BFBFBF" w:themeFill="background1" w:themeFillShade="BF"/>
            <w:vAlign w:val="center"/>
          </w:tcPr>
          <w:p w14:paraId="21D4A06A" w14:textId="77777777" w:rsidR="0081662F" w:rsidRPr="00D0532A" w:rsidRDefault="0081662F" w:rsidP="00EB2357">
            <w:pPr>
              <w:overflowPunct w:val="0"/>
              <w:autoSpaceDE w:val="0"/>
              <w:autoSpaceDN w:val="0"/>
              <w:adjustRightInd w:val="0"/>
              <w:spacing w:after="0" w:line="240" w:lineRule="auto"/>
              <w:jc w:val="both"/>
              <w:textAlignment w:val="baseline"/>
              <w:rPr>
                <w:rFonts w:ascii="Times New Roman" w:eastAsia="Calibri" w:hAnsi="Times New Roman" w:cs="Times New Roman"/>
                <w:b/>
              </w:rPr>
            </w:pPr>
            <w:r w:rsidRPr="00D0532A">
              <w:rPr>
                <w:rFonts w:ascii="Times New Roman" w:eastAsia="Calibri" w:hAnsi="Times New Roman" w:cs="Times New Roman"/>
                <w:b/>
              </w:rPr>
              <w:t>Izvor podataka</w:t>
            </w:r>
          </w:p>
        </w:tc>
        <w:tc>
          <w:tcPr>
            <w:tcW w:w="577" w:type="pct"/>
            <w:shd w:val="clear" w:color="auto" w:fill="BFBFBF" w:themeFill="background1" w:themeFillShade="BF"/>
            <w:vAlign w:val="center"/>
          </w:tcPr>
          <w:p w14:paraId="751ABF0C" w14:textId="77777777" w:rsidR="0081662F" w:rsidRPr="00D0532A" w:rsidRDefault="0081662F" w:rsidP="00EB2357">
            <w:pPr>
              <w:overflowPunct w:val="0"/>
              <w:autoSpaceDE w:val="0"/>
              <w:autoSpaceDN w:val="0"/>
              <w:adjustRightInd w:val="0"/>
              <w:spacing w:after="0" w:line="240" w:lineRule="auto"/>
              <w:jc w:val="both"/>
              <w:textAlignment w:val="baseline"/>
              <w:rPr>
                <w:rFonts w:ascii="Times New Roman" w:eastAsia="Calibri" w:hAnsi="Times New Roman" w:cs="Times New Roman"/>
                <w:b/>
              </w:rPr>
            </w:pPr>
            <w:r w:rsidRPr="00D0532A">
              <w:rPr>
                <w:rFonts w:ascii="Times New Roman" w:eastAsia="Calibri" w:hAnsi="Times New Roman" w:cs="Times New Roman"/>
                <w:b/>
              </w:rPr>
              <w:t>Ciljana vrijednost (2024.)</w:t>
            </w:r>
          </w:p>
        </w:tc>
        <w:tc>
          <w:tcPr>
            <w:tcW w:w="602" w:type="pct"/>
            <w:shd w:val="clear" w:color="auto" w:fill="BFBFBF" w:themeFill="background1" w:themeFillShade="BF"/>
            <w:vAlign w:val="center"/>
          </w:tcPr>
          <w:p w14:paraId="1E202693" w14:textId="77777777" w:rsidR="0081662F" w:rsidRPr="00D0532A" w:rsidRDefault="0081662F" w:rsidP="00EB2357">
            <w:pPr>
              <w:overflowPunct w:val="0"/>
              <w:autoSpaceDE w:val="0"/>
              <w:autoSpaceDN w:val="0"/>
              <w:adjustRightInd w:val="0"/>
              <w:spacing w:after="0" w:line="240" w:lineRule="auto"/>
              <w:jc w:val="both"/>
              <w:textAlignment w:val="baseline"/>
              <w:rPr>
                <w:rFonts w:ascii="Times New Roman" w:eastAsia="Calibri" w:hAnsi="Times New Roman" w:cs="Times New Roman"/>
                <w:b/>
              </w:rPr>
            </w:pPr>
            <w:r w:rsidRPr="00D0532A">
              <w:rPr>
                <w:rFonts w:ascii="Times New Roman" w:eastAsia="Calibri" w:hAnsi="Times New Roman" w:cs="Times New Roman"/>
                <w:b/>
              </w:rPr>
              <w:t>Ostvareno u 2024.</w:t>
            </w:r>
          </w:p>
        </w:tc>
        <w:tc>
          <w:tcPr>
            <w:tcW w:w="575" w:type="pct"/>
            <w:shd w:val="clear" w:color="auto" w:fill="BFBFBF" w:themeFill="background1" w:themeFillShade="BF"/>
            <w:vAlign w:val="center"/>
          </w:tcPr>
          <w:p w14:paraId="52748894" w14:textId="77777777" w:rsidR="0081662F" w:rsidRPr="00D0532A" w:rsidRDefault="0081662F" w:rsidP="00EB2357">
            <w:pPr>
              <w:overflowPunct w:val="0"/>
              <w:autoSpaceDE w:val="0"/>
              <w:autoSpaceDN w:val="0"/>
              <w:adjustRightInd w:val="0"/>
              <w:spacing w:after="0" w:line="240" w:lineRule="auto"/>
              <w:jc w:val="both"/>
              <w:textAlignment w:val="baseline"/>
              <w:rPr>
                <w:rFonts w:ascii="Times New Roman" w:eastAsia="Calibri" w:hAnsi="Times New Roman" w:cs="Times New Roman"/>
                <w:b/>
              </w:rPr>
            </w:pPr>
            <w:r w:rsidRPr="00D0532A">
              <w:rPr>
                <w:rFonts w:ascii="Times New Roman" w:eastAsia="Calibri" w:hAnsi="Times New Roman" w:cs="Times New Roman"/>
                <w:b/>
              </w:rPr>
              <w:t>Indeks</w:t>
            </w:r>
          </w:p>
        </w:tc>
      </w:tr>
      <w:tr w:rsidR="0081662F" w:rsidRPr="00D0532A" w14:paraId="4C279E19" w14:textId="77777777" w:rsidTr="00EB2357">
        <w:trPr>
          <w:cantSplit/>
        </w:trPr>
        <w:tc>
          <w:tcPr>
            <w:tcW w:w="748" w:type="pct"/>
            <w:shd w:val="clear" w:color="auto" w:fill="auto"/>
            <w:vAlign w:val="center"/>
          </w:tcPr>
          <w:p w14:paraId="68277AF8" w14:textId="77777777" w:rsidR="0081662F" w:rsidRPr="00D0532A" w:rsidRDefault="0081662F" w:rsidP="00EB2357">
            <w:pPr>
              <w:spacing w:after="120" w:line="240" w:lineRule="auto"/>
              <w:jc w:val="both"/>
              <w:rPr>
                <w:rFonts w:ascii="Times New Roman" w:eastAsia="Calibri" w:hAnsi="Times New Roman" w:cs="Times New Roman"/>
              </w:rPr>
            </w:pPr>
            <w:r w:rsidRPr="00D0532A">
              <w:rPr>
                <w:rFonts w:ascii="Times New Roman" w:eastAsia="Calibri" w:hAnsi="Times New Roman" w:cs="Times New Roman"/>
              </w:rPr>
              <w:t>Broj učenika za koje se provodi program</w:t>
            </w:r>
          </w:p>
        </w:tc>
        <w:tc>
          <w:tcPr>
            <w:tcW w:w="897" w:type="pct"/>
            <w:shd w:val="clear" w:color="auto" w:fill="auto"/>
            <w:vAlign w:val="center"/>
          </w:tcPr>
          <w:p w14:paraId="4DA56F2F" w14:textId="77777777" w:rsidR="0081662F" w:rsidRPr="00D0532A" w:rsidRDefault="0081662F" w:rsidP="00EB2357">
            <w:pPr>
              <w:spacing w:after="120" w:line="240" w:lineRule="auto"/>
              <w:jc w:val="both"/>
              <w:rPr>
                <w:rFonts w:ascii="Times New Roman" w:eastAsia="Calibri" w:hAnsi="Times New Roman" w:cs="Times New Roman"/>
              </w:rPr>
            </w:pPr>
            <w:r w:rsidRPr="00D0532A">
              <w:rPr>
                <w:rFonts w:ascii="Times New Roman" w:eastAsia="Calibri" w:hAnsi="Times New Roman" w:cs="Times New Roman"/>
              </w:rPr>
              <w:t>Broj učenika koji su uključeni u program Mednog dana</w:t>
            </w:r>
          </w:p>
        </w:tc>
        <w:tc>
          <w:tcPr>
            <w:tcW w:w="486" w:type="pct"/>
            <w:shd w:val="clear" w:color="auto" w:fill="auto"/>
            <w:vAlign w:val="center"/>
          </w:tcPr>
          <w:p w14:paraId="5EA737E9" w14:textId="77777777" w:rsidR="0081662F" w:rsidRPr="00D0532A" w:rsidRDefault="0081662F" w:rsidP="00EB2357">
            <w:pPr>
              <w:spacing w:after="120" w:line="240" w:lineRule="auto"/>
              <w:jc w:val="both"/>
              <w:rPr>
                <w:rFonts w:ascii="Times New Roman" w:eastAsia="Calibri" w:hAnsi="Times New Roman" w:cs="Times New Roman"/>
              </w:rPr>
            </w:pPr>
            <w:r w:rsidRPr="00D0532A">
              <w:rPr>
                <w:rFonts w:ascii="Times New Roman" w:eastAsia="Calibri" w:hAnsi="Times New Roman" w:cs="Times New Roman"/>
              </w:rPr>
              <w:t>Broj učenika</w:t>
            </w:r>
          </w:p>
        </w:tc>
        <w:tc>
          <w:tcPr>
            <w:tcW w:w="577" w:type="pct"/>
            <w:shd w:val="clear" w:color="auto" w:fill="auto"/>
            <w:vAlign w:val="center"/>
          </w:tcPr>
          <w:p w14:paraId="5018DDAE" w14:textId="77777777" w:rsidR="0081662F" w:rsidRPr="00D0532A" w:rsidRDefault="0081662F" w:rsidP="00EB2357">
            <w:pPr>
              <w:spacing w:after="120" w:line="240" w:lineRule="auto"/>
              <w:jc w:val="both"/>
              <w:rPr>
                <w:rFonts w:ascii="Times New Roman" w:eastAsia="Calibri" w:hAnsi="Times New Roman" w:cs="Times New Roman"/>
              </w:rPr>
            </w:pPr>
            <w:r w:rsidRPr="00D0532A">
              <w:rPr>
                <w:rFonts w:ascii="Times New Roman" w:eastAsia="Calibri" w:hAnsi="Times New Roman" w:cs="Times New Roman"/>
              </w:rPr>
              <w:t xml:space="preserve">       7</w:t>
            </w:r>
          </w:p>
        </w:tc>
        <w:tc>
          <w:tcPr>
            <w:tcW w:w="538" w:type="pct"/>
            <w:shd w:val="clear" w:color="auto" w:fill="auto"/>
            <w:vAlign w:val="center"/>
          </w:tcPr>
          <w:p w14:paraId="64FD3599" w14:textId="77777777" w:rsidR="0081662F" w:rsidRPr="00D0532A" w:rsidRDefault="0081662F" w:rsidP="00EB2357">
            <w:pPr>
              <w:spacing w:after="120" w:line="240" w:lineRule="auto"/>
              <w:jc w:val="both"/>
              <w:rPr>
                <w:rFonts w:ascii="Times New Roman" w:eastAsia="Calibri" w:hAnsi="Times New Roman" w:cs="Times New Roman"/>
              </w:rPr>
            </w:pPr>
          </w:p>
        </w:tc>
        <w:tc>
          <w:tcPr>
            <w:tcW w:w="577" w:type="pct"/>
            <w:shd w:val="clear" w:color="auto" w:fill="auto"/>
            <w:vAlign w:val="center"/>
          </w:tcPr>
          <w:p w14:paraId="60FE232B" w14:textId="77777777" w:rsidR="0081662F" w:rsidRPr="00D0532A" w:rsidRDefault="0081662F" w:rsidP="00EB2357">
            <w:pPr>
              <w:spacing w:after="120" w:line="240" w:lineRule="auto"/>
              <w:jc w:val="both"/>
              <w:rPr>
                <w:rFonts w:ascii="Times New Roman" w:eastAsia="Calibri" w:hAnsi="Times New Roman" w:cs="Times New Roman"/>
              </w:rPr>
            </w:pPr>
            <w:r w:rsidRPr="00D0532A">
              <w:rPr>
                <w:rFonts w:ascii="Times New Roman" w:eastAsia="Calibri" w:hAnsi="Times New Roman" w:cs="Times New Roman"/>
              </w:rPr>
              <w:t xml:space="preserve">        7</w:t>
            </w:r>
          </w:p>
        </w:tc>
        <w:tc>
          <w:tcPr>
            <w:tcW w:w="602" w:type="pct"/>
            <w:shd w:val="clear" w:color="auto" w:fill="auto"/>
            <w:vAlign w:val="center"/>
          </w:tcPr>
          <w:p w14:paraId="10981ABD" w14:textId="77777777" w:rsidR="0081662F" w:rsidRPr="00D0532A" w:rsidRDefault="0081662F" w:rsidP="00EB2357">
            <w:pPr>
              <w:spacing w:after="120" w:line="240" w:lineRule="auto"/>
              <w:jc w:val="center"/>
              <w:rPr>
                <w:rFonts w:ascii="Times New Roman" w:eastAsia="Calibri" w:hAnsi="Times New Roman" w:cs="Times New Roman"/>
              </w:rPr>
            </w:pPr>
            <w:r w:rsidRPr="00D0532A">
              <w:rPr>
                <w:rFonts w:ascii="Times New Roman" w:eastAsia="Calibri" w:hAnsi="Times New Roman" w:cs="Times New Roman"/>
              </w:rPr>
              <w:t>7</w:t>
            </w:r>
          </w:p>
        </w:tc>
        <w:tc>
          <w:tcPr>
            <w:tcW w:w="575" w:type="pct"/>
            <w:shd w:val="clear" w:color="auto" w:fill="auto"/>
            <w:vAlign w:val="center"/>
          </w:tcPr>
          <w:p w14:paraId="364690A3" w14:textId="77777777" w:rsidR="0081662F" w:rsidRPr="00D0532A" w:rsidRDefault="0081662F" w:rsidP="00EB2357">
            <w:pPr>
              <w:spacing w:after="120" w:line="240" w:lineRule="auto"/>
              <w:jc w:val="both"/>
              <w:rPr>
                <w:rFonts w:ascii="Times New Roman" w:eastAsia="Calibri" w:hAnsi="Times New Roman" w:cs="Times New Roman"/>
              </w:rPr>
            </w:pPr>
            <w:r w:rsidRPr="00D0532A">
              <w:rPr>
                <w:rFonts w:ascii="Times New Roman" w:eastAsia="Calibri" w:hAnsi="Times New Roman" w:cs="Times New Roman"/>
              </w:rPr>
              <w:t>100,00%</w:t>
            </w:r>
          </w:p>
        </w:tc>
      </w:tr>
      <w:tr w:rsidR="0081662F" w:rsidRPr="00D0532A" w14:paraId="6FF27B33" w14:textId="77777777" w:rsidTr="00EB2357">
        <w:trPr>
          <w:cantSplit/>
        </w:trPr>
        <w:tc>
          <w:tcPr>
            <w:tcW w:w="748" w:type="pct"/>
            <w:shd w:val="clear" w:color="auto" w:fill="auto"/>
            <w:vAlign w:val="center"/>
          </w:tcPr>
          <w:p w14:paraId="26E8F99A" w14:textId="77777777" w:rsidR="0081662F" w:rsidRPr="00D0532A" w:rsidRDefault="0081662F" w:rsidP="00EB2357">
            <w:pPr>
              <w:spacing w:after="120" w:line="240" w:lineRule="auto"/>
              <w:jc w:val="both"/>
              <w:rPr>
                <w:rFonts w:ascii="Times New Roman" w:eastAsia="Calibri" w:hAnsi="Times New Roman" w:cs="Times New Roman"/>
              </w:rPr>
            </w:pPr>
            <w:r w:rsidRPr="00D0532A">
              <w:rPr>
                <w:rFonts w:ascii="Times New Roman" w:eastAsia="Calibri" w:hAnsi="Times New Roman" w:cs="Times New Roman"/>
              </w:rPr>
              <w:t>Planirana sredstva za provedbu Mednog dana</w:t>
            </w:r>
          </w:p>
        </w:tc>
        <w:tc>
          <w:tcPr>
            <w:tcW w:w="897" w:type="pct"/>
            <w:shd w:val="clear" w:color="auto" w:fill="auto"/>
            <w:vAlign w:val="center"/>
          </w:tcPr>
          <w:p w14:paraId="52BC5E96" w14:textId="77777777" w:rsidR="0081662F" w:rsidRPr="00D0532A" w:rsidRDefault="0081662F" w:rsidP="00EB2357">
            <w:pPr>
              <w:spacing w:after="120" w:line="240" w:lineRule="auto"/>
              <w:jc w:val="both"/>
              <w:rPr>
                <w:rFonts w:ascii="Times New Roman" w:eastAsia="Calibri" w:hAnsi="Times New Roman" w:cs="Times New Roman"/>
              </w:rPr>
            </w:pPr>
            <w:r w:rsidRPr="00D0532A">
              <w:rPr>
                <w:rFonts w:ascii="Times New Roman" w:eastAsia="Calibri" w:hAnsi="Times New Roman" w:cs="Times New Roman"/>
              </w:rPr>
              <w:t>Sredstva za provedbu Mednog dana</w:t>
            </w:r>
          </w:p>
        </w:tc>
        <w:tc>
          <w:tcPr>
            <w:tcW w:w="486" w:type="pct"/>
            <w:shd w:val="clear" w:color="auto" w:fill="auto"/>
            <w:vAlign w:val="center"/>
          </w:tcPr>
          <w:p w14:paraId="1F8591F0" w14:textId="77777777" w:rsidR="0081662F" w:rsidRPr="00D0532A" w:rsidRDefault="0081662F" w:rsidP="00EB2357">
            <w:pPr>
              <w:spacing w:after="120" w:line="240" w:lineRule="auto"/>
              <w:jc w:val="both"/>
              <w:rPr>
                <w:rFonts w:ascii="Times New Roman" w:eastAsia="Calibri" w:hAnsi="Times New Roman" w:cs="Times New Roman"/>
              </w:rPr>
            </w:pPr>
            <w:r w:rsidRPr="00D0532A">
              <w:rPr>
                <w:rFonts w:ascii="Times New Roman" w:eastAsia="Calibri" w:hAnsi="Times New Roman" w:cs="Times New Roman"/>
              </w:rPr>
              <w:t>Iznos u EUR</w:t>
            </w:r>
          </w:p>
        </w:tc>
        <w:tc>
          <w:tcPr>
            <w:tcW w:w="577" w:type="pct"/>
            <w:shd w:val="clear" w:color="auto" w:fill="auto"/>
            <w:vAlign w:val="center"/>
          </w:tcPr>
          <w:p w14:paraId="623C57D0" w14:textId="77777777" w:rsidR="0081662F" w:rsidRPr="00D0532A" w:rsidRDefault="0081662F" w:rsidP="00EB2357">
            <w:pPr>
              <w:spacing w:after="120" w:line="240" w:lineRule="auto"/>
              <w:jc w:val="both"/>
              <w:rPr>
                <w:rFonts w:ascii="Times New Roman" w:eastAsia="Calibri" w:hAnsi="Times New Roman" w:cs="Times New Roman"/>
              </w:rPr>
            </w:pPr>
            <w:r w:rsidRPr="00D0532A">
              <w:rPr>
                <w:rFonts w:ascii="Times New Roman" w:eastAsia="Calibri" w:hAnsi="Times New Roman" w:cs="Times New Roman"/>
              </w:rPr>
              <w:t xml:space="preserve">      100,00</w:t>
            </w:r>
          </w:p>
        </w:tc>
        <w:tc>
          <w:tcPr>
            <w:tcW w:w="538" w:type="pct"/>
            <w:shd w:val="clear" w:color="auto" w:fill="auto"/>
            <w:vAlign w:val="center"/>
          </w:tcPr>
          <w:p w14:paraId="4001A62C" w14:textId="77777777" w:rsidR="0081662F" w:rsidRPr="00D0532A" w:rsidRDefault="0081662F" w:rsidP="00EB2357">
            <w:pPr>
              <w:spacing w:after="120" w:line="240" w:lineRule="auto"/>
              <w:jc w:val="both"/>
              <w:rPr>
                <w:rFonts w:ascii="Times New Roman" w:eastAsia="Calibri" w:hAnsi="Times New Roman" w:cs="Times New Roman"/>
              </w:rPr>
            </w:pPr>
          </w:p>
        </w:tc>
        <w:tc>
          <w:tcPr>
            <w:tcW w:w="577" w:type="pct"/>
            <w:shd w:val="clear" w:color="auto" w:fill="auto"/>
            <w:vAlign w:val="center"/>
          </w:tcPr>
          <w:p w14:paraId="1A50B722" w14:textId="77777777" w:rsidR="0081662F" w:rsidRPr="00D0532A" w:rsidRDefault="0081662F" w:rsidP="00EB2357">
            <w:pPr>
              <w:spacing w:after="120" w:line="240" w:lineRule="auto"/>
              <w:jc w:val="both"/>
              <w:rPr>
                <w:rFonts w:ascii="Times New Roman" w:eastAsia="Calibri" w:hAnsi="Times New Roman" w:cs="Times New Roman"/>
              </w:rPr>
            </w:pPr>
            <w:r w:rsidRPr="00D0532A">
              <w:rPr>
                <w:rFonts w:ascii="Times New Roman" w:eastAsia="Calibri" w:hAnsi="Times New Roman" w:cs="Times New Roman"/>
              </w:rPr>
              <w:t>100,00</w:t>
            </w:r>
          </w:p>
        </w:tc>
        <w:tc>
          <w:tcPr>
            <w:tcW w:w="602" w:type="pct"/>
            <w:shd w:val="clear" w:color="auto" w:fill="auto"/>
            <w:vAlign w:val="center"/>
          </w:tcPr>
          <w:p w14:paraId="258E6254" w14:textId="77777777" w:rsidR="0081662F" w:rsidRPr="00D0532A" w:rsidRDefault="0081662F" w:rsidP="00EB2357">
            <w:pPr>
              <w:spacing w:after="120" w:line="240" w:lineRule="auto"/>
              <w:jc w:val="center"/>
              <w:rPr>
                <w:rFonts w:ascii="Times New Roman" w:eastAsia="Calibri" w:hAnsi="Times New Roman" w:cs="Times New Roman"/>
              </w:rPr>
            </w:pPr>
            <w:r w:rsidRPr="00D0532A">
              <w:rPr>
                <w:rFonts w:ascii="Times New Roman" w:eastAsia="Calibri" w:hAnsi="Times New Roman" w:cs="Times New Roman"/>
              </w:rPr>
              <w:t>28,00</w:t>
            </w:r>
          </w:p>
        </w:tc>
        <w:tc>
          <w:tcPr>
            <w:tcW w:w="575" w:type="pct"/>
            <w:shd w:val="clear" w:color="auto" w:fill="auto"/>
            <w:vAlign w:val="center"/>
          </w:tcPr>
          <w:p w14:paraId="625EF539" w14:textId="77777777" w:rsidR="0081662F" w:rsidRPr="00D0532A" w:rsidRDefault="0081662F" w:rsidP="00EB2357">
            <w:pPr>
              <w:spacing w:after="120" w:line="240" w:lineRule="auto"/>
              <w:jc w:val="center"/>
              <w:rPr>
                <w:rFonts w:ascii="Times New Roman" w:eastAsia="Calibri" w:hAnsi="Times New Roman" w:cs="Times New Roman"/>
              </w:rPr>
            </w:pPr>
            <w:r w:rsidRPr="00D0532A">
              <w:rPr>
                <w:rFonts w:ascii="Times New Roman" w:eastAsia="Calibri" w:hAnsi="Times New Roman" w:cs="Times New Roman"/>
              </w:rPr>
              <w:t>28,00%</w:t>
            </w:r>
          </w:p>
        </w:tc>
      </w:tr>
    </w:tbl>
    <w:p w14:paraId="2D102E46" w14:textId="77777777" w:rsidR="0081662F" w:rsidRPr="00D0532A" w:rsidRDefault="0081662F" w:rsidP="0081662F">
      <w:pPr>
        <w:rPr>
          <w:rFonts w:ascii="Times New Roman" w:hAnsi="Times New Roman" w:cs="Times New Roman"/>
          <w:b/>
          <w:bCs/>
        </w:rPr>
      </w:pPr>
      <w:r w:rsidRPr="00D0532A">
        <w:rPr>
          <w:rFonts w:ascii="Times New Roman" w:hAnsi="Times New Roman" w:cs="Times New Roman"/>
          <w:b/>
          <w:bCs/>
        </w:rPr>
        <w:lastRenderedPageBreak/>
        <w:t>ŠKOLSKA SHEMA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326"/>
        <w:gridCol w:w="1605"/>
        <w:gridCol w:w="897"/>
        <w:gridCol w:w="1068"/>
        <w:gridCol w:w="995"/>
        <w:gridCol w:w="1068"/>
        <w:gridCol w:w="1092"/>
        <w:gridCol w:w="1009"/>
      </w:tblGrid>
      <w:tr w:rsidR="0081662F" w:rsidRPr="00D0532A" w14:paraId="6208FDC0" w14:textId="77777777" w:rsidTr="00EB2357">
        <w:trPr>
          <w:cantSplit/>
        </w:trPr>
        <w:tc>
          <w:tcPr>
            <w:tcW w:w="752" w:type="pct"/>
            <w:shd w:val="clear" w:color="auto" w:fill="BFBFBF" w:themeFill="background1" w:themeFillShade="BF"/>
            <w:vAlign w:val="center"/>
          </w:tcPr>
          <w:p w14:paraId="60CC01CE" w14:textId="77777777" w:rsidR="0081662F" w:rsidRPr="00D0532A" w:rsidRDefault="0081662F" w:rsidP="00EB2357">
            <w:pPr>
              <w:spacing w:after="0" w:line="240" w:lineRule="auto"/>
              <w:jc w:val="both"/>
              <w:rPr>
                <w:rFonts w:ascii="Times New Roman" w:eastAsia="Calibri" w:hAnsi="Times New Roman" w:cs="Times New Roman"/>
                <w:b/>
              </w:rPr>
            </w:pPr>
            <w:r w:rsidRPr="00D0532A">
              <w:rPr>
                <w:rFonts w:ascii="Times New Roman" w:eastAsia="Calibri" w:hAnsi="Times New Roman" w:cs="Times New Roman"/>
                <w:b/>
              </w:rPr>
              <w:t>Pokazatelj učinka</w:t>
            </w:r>
          </w:p>
        </w:tc>
        <w:tc>
          <w:tcPr>
            <w:tcW w:w="906" w:type="pct"/>
            <w:shd w:val="clear" w:color="auto" w:fill="BFBFBF" w:themeFill="background1" w:themeFillShade="BF"/>
            <w:vAlign w:val="center"/>
          </w:tcPr>
          <w:p w14:paraId="0D6E1587" w14:textId="77777777" w:rsidR="0081662F" w:rsidRPr="00D0532A" w:rsidRDefault="0081662F" w:rsidP="00EB2357">
            <w:pPr>
              <w:overflowPunct w:val="0"/>
              <w:autoSpaceDE w:val="0"/>
              <w:autoSpaceDN w:val="0"/>
              <w:adjustRightInd w:val="0"/>
              <w:spacing w:after="0" w:line="240" w:lineRule="auto"/>
              <w:jc w:val="both"/>
              <w:textAlignment w:val="baseline"/>
              <w:rPr>
                <w:rFonts w:ascii="Times New Roman" w:eastAsia="Calibri" w:hAnsi="Times New Roman" w:cs="Times New Roman"/>
                <w:b/>
              </w:rPr>
            </w:pPr>
            <w:r w:rsidRPr="00D0532A">
              <w:rPr>
                <w:rFonts w:ascii="Times New Roman" w:eastAsia="Calibri" w:hAnsi="Times New Roman" w:cs="Times New Roman"/>
                <w:b/>
              </w:rPr>
              <w:t>Definicija</w:t>
            </w:r>
          </w:p>
        </w:tc>
        <w:tc>
          <w:tcPr>
            <w:tcW w:w="486" w:type="pct"/>
            <w:shd w:val="clear" w:color="auto" w:fill="BFBFBF" w:themeFill="background1" w:themeFillShade="BF"/>
            <w:vAlign w:val="center"/>
          </w:tcPr>
          <w:p w14:paraId="533C9FC7" w14:textId="77777777" w:rsidR="0081662F" w:rsidRPr="00D0532A" w:rsidRDefault="0081662F" w:rsidP="00EB2357">
            <w:pPr>
              <w:overflowPunct w:val="0"/>
              <w:autoSpaceDE w:val="0"/>
              <w:autoSpaceDN w:val="0"/>
              <w:adjustRightInd w:val="0"/>
              <w:spacing w:after="0" w:line="240" w:lineRule="auto"/>
              <w:jc w:val="both"/>
              <w:textAlignment w:val="baseline"/>
              <w:rPr>
                <w:rFonts w:ascii="Times New Roman" w:eastAsia="Calibri" w:hAnsi="Times New Roman" w:cs="Times New Roman"/>
                <w:b/>
              </w:rPr>
            </w:pPr>
            <w:r w:rsidRPr="00D0532A">
              <w:rPr>
                <w:rFonts w:ascii="Times New Roman" w:eastAsia="Calibri" w:hAnsi="Times New Roman" w:cs="Times New Roman"/>
                <w:b/>
              </w:rPr>
              <w:t>Jedinica</w:t>
            </w:r>
          </w:p>
        </w:tc>
        <w:tc>
          <w:tcPr>
            <w:tcW w:w="577" w:type="pct"/>
            <w:shd w:val="clear" w:color="auto" w:fill="BFBFBF" w:themeFill="background1" w:themeFillShade="BF"/>
            <w:vAlign w:val="center"/>
          </w:tcPr>
          <w:p w14:paraId="57CA76EC" w14:textId="77777777" w:rsidR="0081662F" w:rsidRPr="00D0532A" w:rsidRDefault="0081662F" w:rsidP="00EB2357">
            <w:pPr>
              <w:overflowPunct w:val="0"/>
              <w:autoSpaceDE w:val="0"/>
              <w:autoSpaceDN w:val="0"/>
              <w:adjustRightInd w:val="0"/>
              <w:spacing w:after="0" w:line="240" w:lineRule="auto"/>
              <w:jc w:val="both"/>
              <w:textAlignment w:val="baseline"/>
              <w:rPr>
                <w:rFonts w:ascii="Times New Roman" w:eastAsia="Calibri" w:hAnsi="Times New Roman" w:cs="Times New Roman"/>
                <w:b/>
              </w:rPr>
            </w:pPr>
            <w:r w:rsidRPr="00D0532A">
              <w:rPr>
                <w:rFonts w:ascii="Times New Roman" w:eastAsia="Calibri" w:hAnsi="Times New Roman" w:cs="Times New Roman"/>
                <w:b/>
              </w:rPr>
              <w:t>Polazna vrijednost</w:t>
            </w:r>
          </w:p>
        </w:tc>
        <w:tc>
          <w:tcPr>
            <w:tcW w:w="538" w:type="pct"/>
            <w:shd w:val="clear" w:color="auto" w:fill="BFBFBF" w:themeFill="background1" w:themeFillShade="BF"/>
            <w:vAlign w:val="center"/>
          </w:tcPr>
          <w:p w14:paraId="0D412F94" w14:textId="77777777" w:rsidR="0081662F" w:rsidRPr="00D0532A" w:rsidRDefault="0081662F" w:rsidP="00EB2357">
            <w:pPr>
              <w:overflowPunct w:val="0"/>
              <w:autoSpaceDE w:val="0"/>
              <w:autoSpaceDN w:val="0"/>
              <w:adjustRightInd w:val="0"/>
              <w:spacing w:after="0" w:line="240" w:lineRule="auto"/>
              <w:jc w:val="both"/>
              <w:textAlignment w:val="baseline"/>
              <w:rPr>
                <w:rFonts w:ascii="Times New Roman" w:eastAsia="Calibri" w:hAnsi="Times New Roman" w:cs="Times New Roman"/>
                <w:b/>
              </w:rPr>
            </w:pPr>
            <w:r w:rsidRPr="00D0532A">
              <w:rPr>
                <w:rFonts w:ascii="Times New Roman" w:eastAsia="Calibri" w:hAnsi="Times New Roman" w:cs="Times New Roman"/>
                <w:b/>
              </w:rPr>
              <w:t>Izvor podataka</w:t>
            </w:r>
          </w:p>
        </w:tc>
        <w:tc>
          <w:tcPr>
            <w:tcW w:w="577" w:type="pct"/>
            <w:shd w:val="clear" w:color="auto" w:fill="BFBFBF" w:themeFill="background1" w:themeFillShade="BF"/>
            <w:vAlign w:val="center"/>
          </w:tcPr>
          <w:p w14:paraId="18CAED33" w14:textId="77777777" w:rsidR="0081662F" w:rsidRPr="00D0532A" w:rsidRDefault="0081662F" w:rsidP="00EB2357">
            <w:pPr>
              <w:overflowPunct w:val="0"/>
              <w:autoSpaceDE w:val="0"/>
              <w:autoSpaceDN w:val="0"/>
              <w:adjustRightInd w:val="0"/>
              <w:spacing w:after="0" w:line="240" w:lineRule="auto"/>
              <w:jc w:val="both"/>
              <w:textAlignment w:val="baseline"/>
              <w:rPr>
                <w:rFonts w:ascii="Times New Roman" w:eastAsia="Calibri" w:hAnsi="Times New Roman" w:cs="Times New Roman"/>
                <w:b/>
              </w:rPr>
            </w:pPr>
            <w:r w:rsidRPr="00D0532A">
              <w:rPr>
                <w:rFonts w:ascii="Times New Roman" w:eastAsia="Calibri" w:hAnsi="Times New Roman" w:cs="Times New Roman"/>
                <w:b/>
              </w:rPr>
              <w:t>Ciljana vrijednost (2024.)</w:t>
            </w:r>
          </w:p>
        </w:tc>
        <w:tc>
          <w:tcPr>
            <w:tcW w:w="587" w:type="pct"/>
            <w:shd w:val="clear" w:color="auto" w:fill="BFBFBF" w:themeFill="background1" w:themeFillShade="BF"/>
            <w:vAlign w:val="center"/>
          </w:tcPr>
          <w:p w14:paraId="3BFA8C5A" w14:textId="77777777" w:rsidR="0081662F" w:rsidRPr="00D0532A" w:rsidRDefault="0081662F" w:rsidP="00EB2357">
            <w:pPr>
              <w:overflowPunct w:val="0"/>
              <w:autoSpaceDE w:val="0"/>
              <w:autoSpaceDN w:val="0"/>
              <w:adjustRightInd w:val="0"/>
              <w:spacing w:after="0" w:line="240" w:lineRule="auto"/>
              <w:jc w:val="both"/>
              <w:textAlignment w:val="baseline"/>
              <w:rPr>
                <w:rFonts w:ascii="Times New Roman" w:eastAsia="Calibri" w:hAnsi="Times New Roman" w:cs="Times New Roman"/>
                <w:b/>
              </w:rPr>
            </w:pPr>
            <w:r w:rsidRPr="00D0532A">
              <w:rPr>
                <w:rFonts w:ascii="Times New Roman" w:eastAsia="Calibri" w:hAnsi="Times New Roman" w:cs="Times New Roman"/>
                <w:b/>
              </w:rPr>
              <w:t>Ostvareno u 2024.</w:t>
            </w:r>
          </w:p>
        </w:tc>
        <w:tc>
          <w:tcPr>
            <w:tcW w:w="577" w:type="pct"/>
            <w:shd w:val="clear" w:color="auto" w:fill="BFBFBF" w:themeFill="background1" w:themeFillShade="BF"/>
            <w:vAlign w:val="center"/>
          </w:tcPr>
          <w:p w14:paraId="15E735D6" w14:textId="77777777" w:rsidR="0081662F" w:rsidRPr="00D0532A" w:rsidRDefault="0081662F" w:rsidP="00EB2357">
            <w:pPr>
              <w:overflowPunct w:val="0"/>
              <w:autoSpaceDE w:val="0"/>
              <w:autoSpaceDN w:val="0"/>
              <w:adjustRightInd w:val="0"/>
              <w:spacing w:after="0" w:line="240" w:lineRule="auto"/>
              <w:jc w:val="both"/>
              <w:textAlignment w:val="baseline"/>
              <w:rPr>
                <w:rFonts w:ascii="Times New Roman" w:eastAsia="Calibri" w:hAnsi="Times New Roman" w:cs="Times New Roman"/>
                <w:b/>
              </w:rPr>
            </w:pPr>
            <w:r w:rsidRPr="00D0532A">
              <w:rPr>
                <w:rFonts w:ascii="Times New Roman" w:eastAsia="Calibri" w:hAnsi="Times New Roman" w:cs="Times New Roman"/>
                <w:b/>
              </w:rPr>
              <w:t>Indeks</w:t>
            </w:r>
          </w:p>
        </w:tc>
      </w:tr>
      <w:tr w:rsidR="0081662F" w:rsidRPr="00D0532A" w14:paraId="62AFA591" w14:textId="77777777" w:rsidTr="00EB2357">
        <w:trPr>
          <w:cantSplit/>
        </w:trPr>
        <w:tc>
          <w:tcPr>
            <w:tcW w:w="752" w:type="pct"/>
            <w:shd w:val="clear" w:color="auto" w:fill="auto"/>
            <w:vAlign w:val="center"/>
          </w:tcPr>
          <w:p w14:paraId="0DFB92A2" w14:textId="77777777" w:rsidR="0081662F" w:rsidRPr="00D0532A" w:rsidRDefault="0081662F" w:rsidP="00EB2357">
            <w:pPr>
              <w:spacing w:after="120" w:line="240" w:lineRule="auto"/>
              <w:rPr>
                <w:rFonts w:ascii="Times New Roman" w:eastAsia="Calibri" w:hAnsi="Times New Roman" w:cs="Times New Roman"/>
              </w:rPr>
            </w:pPr>
            <w:r w:rsidRPr="00D0532A">
              <w:rPr>
                <w:rFonts w:ascii="Times New Roman" w:eastAsia="Calibri" w:hAnsi="Times New Roman" w:cs="Times New Roman"/>
              </w:rPr>
              <w:t>Broj učenika za koje se provodi program</w:t>
            </w:r>
          </w:p>
        </w:tc>
        <w:tc>
          <w:tcPr>
            <w:tcW w:w="906" w:type="pct"/>
            <w:shd w:val="clear" w:color="auto" w:fill="auto"/>
            <w:vAlign w:val="center"/>
          </w:tcPr>
          <w:p w14:paraId="07350934" w14:textId="77777777" w:rsidR="0081662F" w:rsidRPr="00D0532A" w:rsidRDefault="0081662F" w:rsidP="00EB2357">
            <w:pPr>
              <w:spacing w:after="120" w:line="240" w:lineRule="auto"/>
              <w:rPr>
                <w:rFonts w:ascii="Times New Roman" w:eastAsia="Calibri" w:hAnsi="Times New Roman" w:cs="Times New Roman"/>
              </w:rPr>
            </w:pPr>
            <w:r w:rsidRPr="00D0532A">
              <w:rPr>
                <w:rFonts w:ascii="Times New Roman" w:eastAsia="Calibri" w:hAnsi="Times New Roman" w:cs="Times New Roman"/>
              </w:rPr>
              <w:t>Broj učenika koji su uključeni u program Školske sheme</w:t>
            </w:r>
          </w:p>
        </w:tc>
        <w:tc>
          <w:tcPr>
            <w:tcW w:w="486" w:type="pct"/>
            <w:shd w:val="clear" w:color="auto" w:fill="auto"/>
            <w:vAlign w:val="center"/>
          </w:tcPr>
          <w:p w14:paraId="18AEB3C9" w14:textId="77777777" w:rsidR="0081662F" w:rsidRPr="00D0532A" w:rsidRDefault="0081662F" w:rsidP="00EB2357">
            <w:pPr>
              <w:spacing w:after="120" w:line="240" w:lineRule="auto"/>
              <w:rPr>
                <w:rFonts w:ascii="Times New Roman" w:eastAsia="Calibri" w:hAnsi="Times New Roman" w:cs="Times New Roman"/>
              </w:rPr>
            </w:pPr>
            <w:r w:rsidRPr="00D0532A">
              <w:rPr>
                <w:rFonts w:ascii="Times New Roman" w:eastAsia="Calibri" w:hAnsi="Times New Roman" w:cs="Times New Roman"/>
              </w:rPr>
              <w:t>Broj učenika</w:t>
            </w:r>
          </w:p>
        </w:tc>
        <w:tc>
          <w:tcPr>
            <w:tcW w:w="577" w:type="pct"/>
            <w:shd w:val="clear" w:color="auto" w:fill="auto"/>
            <w:vAlign w:val="center"/>
          </w:tcPr>
          <w:p w14:paraId="0133D9B9" w14:textId="77777777" w:rsidR="0081662F" w:rsidRPr="00D0532A" w:rsidRDefault="0081662F" w:rsidP="00EB2357">
            <w:pPr>
              <w:spacing w:after="120" w:line="240" w:lineRule="auto"/>
              <w:jc w:val="center"/>
              <w:rPr>
                <w:rFonts w:ascii="Times New Roman" w:eastAsia="Calibri" w:hAnsi="Times New Roman" w:cs="Times New Roman"/>
              </w:rPr>
            </w:pPr>
            <w:r w:rsidRPr="00D0532A">
              <w:rPr>
                <w:rFonts w:ascii="Times New Roman" w:eastAsia="Calibri" w:hAnsi="Times New Roman" w:cs="Times New Roman"/>
              </w:rPr>
              <w:t>72</w:t>
            </w:r>
          </w:p>
        </w:tc>
        <w:tc>
          <w:tcPr>
            <w:tcW w:w="538" w:type="pct"/>
            <w:shd w:val="clear" w:color="auto" w:fill="auto"/>
            <w:vAlign w:val="center"/>
          </w:tcPr>
          <w:p w14:paraId="3D344E6C" w14:textId="77777777" w:rsidR="0081662F" w:rsidRPr="00D0532A" w:rsidRDefault="0081662F" w:rsidP="00EB2357">
            <w:pPr>
              <w:spacing w:after="120" w:line="240" w:lineRule="auto"/>
              <w:jc w:val="center"/>
              <w:rPr>
                <w:rFonts w:ascii="Times New Roman" w:eastAsia="Calibri" w:hAnsi="Times New Roman" w:cs="Times New Roman"/>
              </w:rPr>
            </w:pPr>
          </w:p>
        </w:tc>
        <w:tc>
          <w:tcPr>
            <w:tcW w:w="577" w:type="pct"/>
            <w:shd w:val="clear" w:color="auto" w:fill="auto"/>
            <w:vAlign w:val="center"/>
          </w:tcPr>
          <w:p w14:paraId="1AB15244" w14:textId="77777777" w:rsidR="0081662F" w:rsidRPr="00D0532A" w:rsidRDefault="0081662F" w:rsidP="00EB2357">
            <w:pPr>
              <w:spacing w:after="120" w:line="240" w:lineRule="auto"/>
              <w:jc w:val="center"/>
              <w:rPr>
                <w:rFonts w:ascii="Times New Roman" w:eastAsia="Calibri" w:hAnsi="Times New Roman" w:cs="Times New Roman"/>
              </w:rPr>
            </w:pPr>
            <w:r w:rsidRPr="00D0532A">
              <w:rPr>
                <w:rFonts w:ascii="Times New Roman" w:eastAsia="Calibri" w:hAnsi="Times New Roman" w:cs="Times New Roman"/>
              </w:rPr>
              <w:t>72</w:t>
            </w:r>
          </w:p>
        </w:tc>
        <w:tc>
          <w:tcPr>
            <w:tcW w:w="587" w:type="pct"/>
            <w:shd w:val="clear" w:color="auto" w:fill="auto"/>
            <w:vAlign w:val="center"/>
          </w:tcPr>
          <w:p w14:paraId="1FADAF28" w14:textId="77777777" w:rsidR="0081662F" w:rsidRPr="00D0532A" w:rsidRDefault="0081662F" w:rsidP="00EB2357">
            <w:pPr>
              <w:spacing w:after="120" w:line="240" w:lineRule="auto"/>
              <w:jc w:val="center"/>
              <w:rPr>
                <w:rFonts w:ascii="Times New Roman" w:eastAsia="Calibri" w:hAnsi="Times New Roman" w:cs="Times New Roman"/>
              </w:rPr>
            </w:pPr>
            <w:r w:rsidRPr="00D0532A">
              <w:rPr>
                <w:rFonts w:ascii="Times New Roman" w:eastAsia="Calibri" w:hAnsi="Times New Roman" w:cs="Times New Roman"/>
              </w:rPr>
              <w:t>72</w:t>
            </w:r>
          </w:p>
        </w:tc>
        <w:tc>
          <w:tcPr>
            <w:tcW w:w="577" w:type="pct"/>
            <w:shd w:val="clear" w:color="auto" w:fill="auto"/>
            <w:vAlign w:val="center"/>
          </w:tcPr>
          <w:p w14:paraId="65254AB3" w14:textId="77777777" w:rsidR="0081662F" w:rsidRPr="00D0532A" w:rsidRDefault="0081662F" w:rsidP="00EB2357">
            <w:pPr>
              <w:spacing w:after="120" w:line="240" w:lineRule="auto"/>
              <w:jc w:val="center"/>
              <w:rPr>
                <w:rFonts w:ascii="Times New Roman" w:eastAsia="Calibri" w:hAnsi="Times New Roman" w:cs="Times New Roman"/>
              </w:rPr>
            </w:pPr>
            <w:r w:rsidRPr="00D0532A">
              <w:rPr>
                <w:rFonts w:ascii="Times New Roman" w:eastAsia="Calibri" w:hAnsi="Times New Roman" w:cs="Times New Roman"/>
              </w:rPr>
              <w:t>100,00%</w:t>
            </w:r>
          </w:p>
        </w:tc>
      </w:tr>
      <w:tr w:rsidR="0081662F" w:rsidRPr="00D0532A" w14:paraId="511D99DC" w14:textId="77777777" w:rsidTr="00EB2357">
        <w:trPr>
          <w:cantSplit/>
        </w:trPr>
        <w:tc>
          <w:tcPr>
            <w:tcW w:w="752" w:type="pct"/>
            <w:shd w:val="clear" w:color="auto" w:fill="auto"/>
            <w:vAlign w:val="center"/>
          </w:tcPr>
          <w:p w14:paraId="076FA523" w14:textId="77777777" w:rsidR="0081662F" w:rsidRPr="00D0532A" w:rsidRDefault="0081662F" w:rsidP="00EB2357">
            <w:pPr>
              <w:spacing w:after="120" w:line="240" w:lineRule="auto"/>
              <w:rPr>
                <w:rFonts w:ascii="Times New Roman" w:eastAsia="Calibri" w:hAnsi="Times New Roman" w:cs="Times New Roman"/>
              </w:rPr>
            </w:pPr>
            <w:r w:rsidRPr="00D0532A">
              <w:rPr>
                <w:rFonts w:ascii="Times New Roman" w:eastAsia="Calibri" w:hAnsi="Times New Roman" w:cs="Times New Roman"/>
              </w:rPr>
              <w:t>Planirana sredstva za provedbu Školske sheme</w:t>
            </w:r>
          </w:p>
        </w:tc>
        <w:tc>
          <w:tcPr>
            <w:tcW w:w="906" w:type="pct"/>
            <w:shd w:val="clear" w:color="auto" w:fill="auto"/>
            <w:vAlign w:val="center"/>
          </w:tcPr>
          <w:p w14:paraId="611EF40C" w14:textId="77777777" w:rsidR="0081662F" w:rsidRPr="00D0532A" w:rsidRDefault="0081662F" w:rsidP="00EB2357">
            <w:pPr>
              <w:spacing w:after="120" w:line="240" w:lineRule="auto"/>
              <w:rPr>
                <w:rFonts w:ascii="Times New Roman" w:eastAsia="Calibri" w:hAnsi="Times New Roman" w:cs="Times New Roman"/>
              </w:rPr>
            </w:pPr>
            <w:r w:rsidRPr="00D0532A">
              <w:rPr>
                <w:rFonts w:ascii="Times New Roman" w:eastAsia="Calibri" w:hAnsi="Times New Roman" w:cs="Times New Roman"/>
              </w:rPr>
              <w:t>Sredstva za provedbu Školske sheme</w:t>
            </w:r>
          </w:p>
        </w:tc>
        <w:tc>
          <w:tcPr>
            <w:tcW w:w="486" w:type="pct"/>
            <w:shd w:val="clear" w:color="auto" w:fill="auto"/>
            <w:vAlign w:val="center"/>
          </w:tcPr>
          <w:p w14:paraId="7B85635F" w14:textId="77777777" w:rsidR="0081662F" w:rsidRPr="00D0532A" w:rsidRDefault="0081662F" w:rsidP="00EB2357">
            <w:pPr>
              <w:spacing w:after="120" w:line="240" w:lineRule="auto"/>
              <w:rPr>
                <w:rFonts w:ascii="Times New Roman" w:eastAsia="Calibri" w:hAnsi="Times New Roman" w:cs="Times New Roman"/>
              </w:rPr>
            </w:pPr>
            <w:r w:rsidRPr="00D0532A">
              <w:rPr>
                <w:rFonts w:ascii="Times New Roman" w:eastAsia="Calibri" w:hAnsi="Times New Roman" w:cs="Times New Roman"/>
              </w:rPr>
              <w:t>Iznos u EUR</w:t>
            </w:r>
          </w:p>
        </w:tc>
        <w:tc>
          <w:tcPr>
            <w:tcW w:w="577" w:type="pct"/>
            <w:shd w:val="clear" w:color="auto" w:fill="auto"/>
            <w:vAlign w:val="center"/>
          </w:tcPr>
          <w:p w14:paraId="47422CBF" w14:textId="77777777" w:rsidR="0081662F" w:rsidRPr="00D0532A" w:rsidRDefault="0081662F" w:rsidP="00EB2357">
            <w:pPr>
              <w:spacing w:after="120" w:line="240" w:lineRule="auto"/>
              <w:jc w:val="center"/>
              <w:rPr>
                <w:rFonts w:ascii="Times New Roman" w:eastAsia="Calibri" w:hAnsi="Times New Roman" w:cs="Times New Roman"/>
              </w:rPr>
            </w:pPr>
            <w:r w:rsidRPr="00D0532A">
              <w:rPr>
                <w:rFonts w:ascii="Times New Roman" w:eastAsia="Calibri" w:hAnsi="Times New Roman" w:cs="Times New Roman"/>
              </w:rPr>
              <w:t>1.064,55</w:t>
            </w:r>
          </w:p>
        </w:tc>
        <w:tc>
          <w:tcPr>
            <w:tcW w:w="538" w:type="pct"/>
            <w:shd w:val="clear" w:color="auto" w:fill="auto"/>
            <w:vAlign w:val="center"/>
          </w:tcPr>
          <w:p w14:paraId="50BB7154" w14:textId="77777777" w:rsidR="0081662F" w:rsidRPr="00D0532A" w:rsidRDefault="0081662F" w:rsidP="00EB2357">
            <w:pPr>
              <w:spacing w:after="120" w:line="240" w:lineRule="auto"/>
              <w:jc w:val="center"/>
              <w:rPr>
                <w:rFonts w:ascii="Times New Roman" w:eastAsia="Calibri" w:hAnsi="Times New Roman" w:cs="Times New Roman"/>
              </w:rPr>
            </w:pPr>
          </w:p>
        </w:tc>
        <w:tc>
          <w:tcPr>
            <w:tcW w:w="577" w:type="pct"/>
            <w:shd w:val="clear" w:color="auto" w:fill="auto"/>
            <w:vAlign w:val="center"/>
          </w:tcPr>
          <w:p w14:paraId="41F78A78" w14:textId="77777777" w:rsidR="0081662F" w:rsidRPr="00D0532A" w:rsidRDefault="0081662F" w:rsidP="00EB2357">
            <w:pPr>
              <w:spacing w:after="120" w:line="240" w:lineRule="auto"/>
              <w:jc w:val="center"/>
              <w:rPr>
                <w:rFonts w:ascii="Times New Roman" w:eastAsia="Calibri" w:hAnsi="Times New Roman" w:cs="Times New Roman"/>
              </w:rPr>
            </w:pPr>
            <w:r w:rsidRPr="00D0532A">
              <w:rPr>
                <w:rFonts w:ascii="Times New Roman" w:eastAsia="Calibri" w:hAnsi="Times New Roman" w:cs="Times New Roman"/>
              </w:rPr>
              <w:t>1.064,55</w:t>
            </w:r>
          </w:p>
        </w:tc>
        <w:tc>
          <w:tcPr>
            <w:tcW w:w="587" w:type="pct"/>
            <w:shd w:val="clear" w:color="auto" w:fill="auto"/>
            <w:vAlign w:val="center"/>
          </w:tcPr>
          <w:p w14:paraId="5087E719" w14:textId="77777777" w:rsidR="0081662F" w:rsidRPr="00D0532A" w:rsidRDefault="0081662F" w:rsidP="00EB2357">
            <w:pPr>
              <w:spacing w:after="120" w:line="240" w:lineRule="auto"/>
              <w:jc w:val="center"/>
              <w:rPr>
                <w:rFonts w:ascii="Times New Roman" w:eastAsia="Calibri" w:hAnsi="Times New Roman" w:cs="Times New Roman"/>
              </w:rPr>
            </w:pPr>
            <w:r w:rsidRPr="00D0532A">
              <w:rPr>
                <w:rFonts w:ascii="Times New Roman" w:eastAsia="Calibri" w:hAnsi="Times New Roman" w:cs="Times New Roman"/>
              </w:rPr>
              <w:t>843,18</w:t>
            </w:r>
          </w:p>
        </w:tc>
        <w:tc>
          <w:tcPr>
            <w:tcW w:w="577" w:type="pct"/>
            <w:shd w:val="clear" w:color="auto" w:fill="auto"/>
            <w:vAlign w:val="center"/>
          </w:tcPr>
          <w:p w14:paraId="08B98B31" w14:textId="77777777" w:rsidR="0081662F" w:rsidRPr="00D0532A" w:rsidRDefault="0081662F" w:rsidP="00EB2357">
            <w:pPr>
              <w:spacing w:after="120" w:line="240" w:lineRule="auto"/>
              <w:jc w:val="center"/>
              <w:rPr>
                <w:rFonts w:ascii="Times New Roman" w:eastAsia="Calibri" w:hAnsi="Times New Roman" w:cs="Times New Roman"/>
              </w:rPr>
            </w:pPr>
            <w:r w:rsidRPr="00D0532A">
              <w:rPr>
                <w:rFonts w:ascii="Times New Roman" w:eastAsia="Calibri" w:hAnsi="Times New Roman" w:cs="Times New Roman"/>
              </w:rPr>
              <w:t>79,21%</w:t>
            </w:r>
          </w:p>
        </w:tc>
      </w:tr>
    </w:tbl>
    <w:p w14:paraId="259D2572" w14:textId="77777777" w:rsidR="0071603B" w:rsidRDefault="0071603B" w:rsidP="00FF2FB8">
      <w:pPr>
        <w:pStyle w:val="Naslov"/>
        <w:jc w:val="both"/>
        <w:rPr>
          <w:rFonts w:ascii="Times New Roman" w:hAnsi="Times New Roman" w:cs="Times New Roman"/>
          <w:i/>
          <w:sz w:val="22"/>
          <w:lang w:val="hr-HR"/>
        </w:rPr>
      </w:pPr>
    </w:p>
    <w:p w14:paraId="2A4DD216" w14:textId="77777777" w:rsidR="00FF2FB8" w:rsidRPr="00FF2FB8" w:rsidRDefault="00FF2FB8" w:rsidP="00FF2FB8">
      <w:pPr>
        <w:pStyle w:val="Podnaslov"/>
        <w:rPr>
          <w:lang w:eastAsia="ar-SA"/>
        </w:rPr>
      </w:pPr>
    </w:p>
    <w:p w14:paraId="7908F768" w14:textId="77777777" w:rsidR="00722358" w:rsidRPr="00722358" w:rsidRDefault="00722358" w:rsidP="00E40FD3">
      <w:pPr>
        <w:spacing w:after="0" w:line="240" w:lineRule="auto"/>
        <w:ind w:firstLine="567"/>
        <w:jc w:val="both"/>
        <w:rPr>
          <w:rFonts w:ascii="Times New Roman" w:hAnsi="Times New Roman" w:cs="Times New Roman"/>
          <w:bCs/>
          <w:lang w:eastAsia="hr-HR"/>
        </w:rPr>
      </w:pPr>
    </w:p>
    <w:p w14:paraId="680842E5" w14:textId="77777777" w:rsidR="00722358" w:rsidRPr="00722358" w:rsidRDefault="00722358" w:rsidP="00E40FD3">
      <w:pPr>
        <w:spacing w:after="0" w:line="240" w:lineRule="auto"/>
        <w:ind w:firstLine="567"/>
        <w:jc w:val="both"/>
        <w:rPr>
          <w:rFonts w:ascii="Times New Roman" w:hAnsi="Times New Roman" w:cs="Times New Roman"/>
          <w:b/>
          <w:bCs/>
          <w:i/>
          <w:lang w:eastAsia="hr-HR"/>
        </w:rPr>
      </w:pPr>
      <w:r w:rsidRPr="00722358">
        <w:rPr>
          <w:rFonts w:ascii="Times New Roman" w:hAnsi="Times New Roman" w:cs="Times New Roman"/>
          <w:b/>
          <w:bCs/>
          <w:i/>
          <w:lang w:eastAsia="hr-HR"/>
        </w:rPr>
        <w:t>RAZDJEL 003 UPRAVNI ODJEL ZA FINANCIJE</w:t>
      </w:r>
    </w:p>
    <w:p w14:paraId="1FFB3D9C" w14:textId="77777777" w:rsidR="00722358" w:rsidRPr="00722358" w:rsidRDefault="00722358" w:rsidP="00E40FD3">
      <w:pPr>
        <w:spacing w:after="0" w:line="240" w:lineRule="auto"/>
        <w:ind w:firstLine="567"/>
        <w:jc w:val="both"/>
        <w:rPr>
          <w:rFonts w:ascii="Times New Roman" w:hAnsi="Times New Roman" w:cs="Times New Roman"/>
          <w:b/>
          <w:bCs/>
          <w:i/>
          <w:lang w:eastAsia="hr-HR"/>
        </w:rPr>
      </w:pPr>
      <w:r w:rsidRPr="00722358">
        <w:rPr>
          <w:rFonts w:ascii="Times New Roman" w:hAnsi="Times New Roman" w:cs="Times New Roman"/>
          <w:b/>
          <w:bCs/>
          <w:i/>
          <w:lang w:eastAsia="hr-HR"/>
        </w:rPr>
        <w:t>GLAVA 00301 Upravni odjel za financije</w:t>
      </w:r>
    </w:p>
    <w:p w14:paraId="04774B2A" w14:textId="77777777" w:rsidR="00722358" w:rsidRPr="00722358" w:rsidRDefault="00722358" w:rsidP="00E40FD3">
      <w:pPr>
        <w:pStyle w:val="Naslov"/>
        <w:jc w:val="both"/>
        <w:rPr>
          <w:rFonts w:ascii="Times New Roman" w:hAnsi="Times New Roman" w:cs="Times New Roman"/>
          <w:b w:val="0"/>
          <w:sz w:val="22"/>
          <w:lang w:val="hr-HR"/>
        </w:rPr>
      </w:pPr>
    </w:p>
    <w:p w14:paraId="6F8B344A" w14:textId="18BD3457" w:rsidR="00722358" w:rsidRPr="00722358" w:rsidRDefault="00722358" w:rsidP="00E40FD3">
      <w:pPr>
        <w:pStyle w:val="Naslov"/>
        <w:jc w:val="both"/>
        <w:rPr>
          <w:rFonts w:ascii="Times New Roman" w:hAnsi="Times New Roman" w:cs="Times New Roman"/>
          <w:b w:val="0"/>
          <w:sz w:val="22"/>
          <w:lang w:val="hr-HR"/>
        </w:rPr>
      </w:pPr>
      <w:r w:rsidRPr="00722358">
        <w:rPr>
          <w:rFonts w:ascii="Times New Roman" w:hAnsi="Times New Roman" w:cs="Times New Roman"/>
          <w:b w:val="0"/>
          <w:sz w:val="22"/>
          <w:lang w:val="hr-HR"/>
        </w:rPr>
        <w:t>Upravni odjel za financije obavlja poslove sukladno članku 11. Odluke o ustrojstvu i djelokrugu upravnih tijela Grada Grešnice (Službeni glasnik Grada Garešnice broj 10/22) i</w:t>
      </w:r>
      <w:r w:rsidRPr="00722358">
        <w:rPr>
          <w:rFonts w:ascii="Times New Roman" w:hAnsi="Times New Roman" w:cs="Times New Roman"/>
          <w:lang w:val="hr-HR"/>
        </w:rPr>
        <w:t xml:space="preserve"> </w:t>
      </w:r>
      <w:r w:rsidRPr="00722358">
        <w:rPr>
          <w:rFonts w:ascii="Times New Roman" w:hAnsi="Times New Roman" w:cs="Times New Roman"/>
          <w:b w:val="0"/>
          <w:sz w:val="22"/>
          <w:lang w:val="hr-HR"/>
        </w:rPr>
        <w:t>Pravilnika o unutarnjem redu upravnih tijela Grada Garešnice. Unutar upravnog odjela</w:t>
      </w:r>
      <w:r w:rsidR="00A94207">
        <w:rPr>
          <w:rFonts w:ascii="Times New Roman" w:hAnsi="Times New Roman" w:cs="Times New Roman"/>
          <w:b w:val="0"/>
          <w:sz w:val="22"/>
          <w:lang w:val="hr-HR"/>
        </w:rPr>
        <w:t xml:space="preserve"> u 2024. godini</w:t>
      </w:r>
      <w:r w:rsidRPr="00722358">
        <w:rPr>
          <w:rFonts w:ascii="Times New Roman" w:hAnsi="Times New Roman" w:cs="Times New Roman"/>
          <w:b w:val="0"/>
          <w:sz w:val="22"/>
          <w:lang w:val="hr-HR"/>
        </w:rPr>
        <w:t xml:space="preserve"> zaposleno je </w:t>
      </w:r>
      <w:r w:rsidR="00A94207">
        <w:rPr>
          <w:rFonts w:ascii="Times New Roman" w:hAnsi="Times New Roman" w:cs="Times New Roman"/>
          <w:b w:val="0"/>
          <w:sz w:val="22"/>
          <w:lang w:val="hr-HR"/>
        </w:rPr>
        <w:t>sedam</w:t>
      </w:r>
      <w:r w:rsidRPr="00722358">
        <w:rPr>
          <w:rFonts w:ascii="Times New Roman" w:hAnsi="Times New Roman" w:cs="Times New Roman"/>
          <w:b w:val="0"/>
          <w:sz w:val="22"/>
          <w:lang w:val="hr-HR"/>
        </w:rPr>
        <w:t xml:space="preserve"> djelatnika.</w:t>
      </w:r>
    </w:p>
    <w:p w14:paraId="1EDAC7CA" w14:textId="77777777" w:rsidR="001F519A" w:rsidRDefault="001F519A" w:rsidP="00E40FD3">
      <w:pPr>
        <w:spacing w:after="0" w:line="240" w:lineRule="auto"/>
        <w:ind w:firstLine="567"/>
        <w:jc w:val="both"/>
        <w:rPr>
          <w:rFonts w:ascii="Times New Roman" w:hAnsi="Times New Roman" w:cs="Times New Roman"/>
          <w:b/>
          <w:bCs/>
          <w:lang w:eastAsia="hr-HR"/>
        </w:rPr>
      </w:pPr>
    </w:p>
    <w:p w14:paraId="4A61F743" w14:textId="61BCB0E2" w:rsidR="00722358" w:rsidRDefault="00722358" w:rsidP="00E40FD3">
      <w:pPr>
        <w:spacing w:after="0" w:line="240" w:lineRule="auto"/>
        <w:ind w:firstLine="567"/>
        <w:jc w:val="both"/>
        <w:rPr>
          <w:rFonts w:ascii="Times New Roman" w:hAnsi="Times New Roman" w:cs="Times New Roman"/>
          <w:bCs/>
          <w:lang w:eastAsia="hr-HR"/>
        </w:rPr>
      </w:pPr>
      <w:r w:rsidRPr="00722358">
        <w:rPr>
          <w:rFonts w:ascii="Times New Roman" w:hAnsi="Times New Roman" w:cs="Times New Roman"/>
          <w:b/>
          <w:bCs/>
          <w:lang w:eastAsia="hr-HR"/>
        </w:rPr>
        <w:t xml:space="preserve">Program 1021 – </w:t>
      </w:r>
      <w:r w:rsidRPr="00722358">
        <w:rPr>
          <w:rFonts w:ascii="Times New Roman" w:hAnsi="Times New Roman" w:cs="Times New Roman"/>
          <w:bCs/>
          <w:lang w:eastAsia="hr-HR"/>
        </w:rPr>
        <w:t>Priprema i donošenje akata iz djelokruga tijela</w:t>
      </w:r>
    </w:p>
    <w:p w14:paraId="7EC2BC66" w14:textId="77777777" w:rsidR="00B67EFB" w:rsidRDefault="00B67EFB" w:rsidP="00B67EFB">
      <w:pPr>
        <w:pStyle w:val="Tijeloteksta"/>
        <w:tabs>
          <w:tab w:val="left" w:pos="9923"/>
        </w:tabs>
        <w:spacing w:before="1"/>
        <w:rPr>
          <w:rFonts w:ascii="Times New Roman" w:eastAsiaTheme="minorHAnsi" w:hAnsi="Times New Roman"/>
          <w:sz w:val="22"/>
          <w:szCs w:val="22"/>
          <w:lang w:eastAsia="ar-SA"/>
        </w:rPr>
      </w:pPr>
      <w:r w:rsidRPr="00B67EFB">
        <w:rPr>
          <w:rFonts w:ascii="Times New Roman" w:eastAsiaTheme="minorHAnsi" w:hAnsi="Times New Roman"/>
          <w:sz w:val="22"/>
          <w:szCs w:val="22"/>
          <w:lang w:eastAsia="ar-SA"/>
        </w:rPr>
        <w:t>Program obuhvaća aktivnosti kojima se osiguravaju sredstva za redovno financiranje prava zaposlenika iz radnog odnosa, aktivnosti za podmirivanje materijalnih rashoda koji uključuju naknade za prijevoz zaposlenika, stručno usavršavanje zaposlenika, aktivnosti za podmirenje financijskih rashoda za računalne, bankarske usluge, usluge platnog prometa i ostale financijske rashode, otplate zajmova i kredita te ulaganje u razvoj sustava lokalne riznice.</w:t>
      </w:r>
    </w:p>
    <w:p w14:paraId="0FC6DA75" w14:textId="77777777" w:rsidR="00E95D8E" w:rsidRDefault="00E95D8E" w:rsidP="00B67EFB">
      <w:pPr>
        <w:pStyle w:val="Tijeloteksta"/>
        <w:tabs>
          <w:tab w:val="left" w:pos="9923"/>
        </w:tabs>
        <w:spacing w:before="1"/>
        <w:rPr>
          <w:rFonts w:ascii="Times New Roman" w:eastAsiaTheme="minorHAnsi" w:hAnsi="Times New Roman"/>
          <w:sz w:val="22"/>
          <w:szCs w:val="22"/>
          <w:lang w:eastAsia="ar-SA"/>
        </w:rPr>
      </w:pPr>
    </w:p>
    <w:p w14:paraId="10DCB970" w14:textId="5AB762E4" w:rsidR="00B67EFB" w:rsidRPr="00E95D8E" w:rsidRDefault="00E95D8E" w:rsidP="00E95D8E">
      <w:pPr>
        <w:pStyle w:val="Tijeloteksta"/>
        <w:tabs>
          <w:tab w:val="left" w:pos="9923"/>
        </w:tabs>
        <w:spacing w:before="1"/>
        <w:rPr>
          <w:rFonts w:ascii="Times New Roman" w:eastAsiaTheme="minorHAnsi" w:hAnsi="Times New Roman"/>
          <w:sz w:val="22"/>
          <w:szCs w:val="22"/>
          <w:lang w:eastAsia="ar-SA"/>
        </w:rPr>
      </w:pPr>
      <w:r>
        <w:rPr>
          <w:rFonts w:ascii="Times New Roman" w:eastAsiaTheme="minorHAnsi" w:hAnsi="Times New Roman"/>
          <w:sz w:val="22"/>
          <w:szCs w:val="22"/>
          <w:lang w:eastAsia="ar-SA"/>
        </w:rPr>
        <w:t>Program se sastoji od aktivnosti i projekata:</w:t>
      </w:r>
    </w:p>
    <w:tbl>
      <w:tblPr>
        <w:tblpPr w:leftFromText="180" w:rightFromText="180" w:vertAnchor="text" w:horzAnchor="margin" w:tblpY="12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32"/>
        <w:gridCol w:w="1696"/>
        <w:gridCol w:w="1558"/>
        <w:gridCol w:w="1274"/>
      </w:tblGrid>
      <w:tr w:rsidR="00E95D8E" w:rsidRPr="00DE7806" w14:paraId="11E9C658" w14:textId="77777777" w:rsidTr="00E95D8E">
        <w:trPr>
          <w:trHeight w:val="460"/>
        </w:trPr>
        <w:tc>
          <w:tcPr>
            <w:tcW w:w="2501" w:type="pct"/>
            <w:shd w:val="clear" w:color="auto" w:fill="BFBFBF"/>
          </w:tcPr>
          <w:p w14:paraId="48D208EA" w14:textId="77777777" w:rsidR="00E95D8E" w:rsidRPr="00AC3963" w:rsidRDefault="00E95D8E" w:rsidP="00B903CA">
            <w:pPr>
              <w:pStyle w:val="TableParagraph"/>
              <w:spacing w:before="110" w:line="240" w:lineRule="exact"/>
              <w:ind w:left="107"/>
              <w:jc w:val="left"/>
              <w:rPr>
                <w:rFonts w:ascii="Times New Roman" w:hAnsi="Times New Roman" w:cs="Times New Roman"/>
                <w:b/>
                <w:lang w:val="hr-HR"/>
              </w:rPr>
            </w:pPr>
            <w:r w:rsidRPr="00AC3963">
              <w:rPr>
                <w:rFonts w:ascii="Times New Roman" w:hAnsi="Times New Roman" w:cs="Times New Roman"/>
                <w:b/>
                <w:lang w:val="hr-HR"/>
              </w:rPr>
              <w:t>Naziv aktivnosti / projekta unutar programa</w:t>
            </w:r>
          </w:p>
        </w:tc>
        <w:tc>
          <w:tcPr>
            <w:tcW w:w="936" w:type="pct"/>
            <w:shd w:val="clear" w:color="auto" w:fill="BFBFBF"/>
          </w:tcPr>
          <w:p w14:paraId="4DE80E95" w14:textId="2EB41C6F" w:rsidR="00E95D8E" w:rsidRPr="00AC3963" w:rsidRDefault="00E95D8E" w:rsidP="00B903CA">
            <w:pPr>
              <w:pStyle w:val="TableParagraph"/>
              <w:spacing w:line="240" w:lineRule="exact"/>
              <w:ind w:left="197" w:right="192"/>
              <w:jc w:val="center"/>
              <w:rPr>
                <w:rFonts w:ascii="Times New Roman" w:hAnsi="Times New Roman" w:cs="Times New Roman"/>
                <w:b/>
                <w:lang w:val="hr-HR"/>
              </w:rPr>
            </w:pPr>
            <w:r w:rsidRPr="00AC3963">
              <w:rPr>
                <w:rFonts w:ascii="Times New Roman" w:hAnsi="Times New Roman" w:cs="Times New Roman"/>
                <w:b/>
                <w:lang w:val="hr-HR"/>
              </w:rPr>
              <w:t>Rebalans 202</w:t>
            </w:r>
            <w:r w:rsidR="00A94207">
              <w:rPr>
                <w:rFonts w:ascii="Times New Roman" w:hAnsi="Times New Roman" w:cs="Times New Roman"/>
                <w:b/>
                <w:lang w:val="hr-HR"/>
              </w:rPr>
              <w:t>4</w:t>
            </w:r>
            <w:r w:rsidRPr="00AC3963">
              <w:rPr>
                <w:rFonts w:ascii="Times New Roman" w:hAnsi="Times New Roman" w:cs="Times New Roman"/>
                <w:b/>
                <w:lang w:val="hr-HR"/>
              </w:rPr>
              <w:t>.</w:t>
            </w:r>
          </w:p>
        </w:tc>
        <w:tc>
          <w:tcPr>
            <w:tcW w:w="860" w:type="pct"/>
            <w:shd w:val="clear" w:color="auto" w:fill="BFBFBF"/>
          </w:tcPr>
          <w:p w14:paraId="21247C44" w14:textId="59D1CCC3" w:rsidR="00E95D8E" w:rsidRPr="00AC3963" w:rsidRDefault="00E95D8E" w:rsidP="00B903CA">
            <w:pPr>
              <w:pStyle w:val="TableParagraph"/>
              <w:spacing w:line="240" w:lineRule="exact"/>
              <w:ind w:left="197" w:right="192"/>
              <w:jc w:val="center"/>
              <w:rPr>
                <w:rFonts w:ascii="Times New Roman" w:hAnsi="Times New Roman" w:cs="Times New Roman"/>
                <w:b/>
                <w:lang w:val="hr-HR"/>
              </w:rPr>
            </w:pPr>
            <w:r w:rsidRPr="00AC3963">
              <w:rPr>
                <w:rFonts w:ascii="Times New Roman" w:hAnsi="Times New Roman" w:cs="Times New Roman"/>
                <w:b/>
                <w:lang w:val="hr-HR"/>
              </w:rPr>
              <w:t>Izvršenje 202</w:t>
            </w:r>
            <w:r w:rsidR="00A94207">
              <w:rPr>
                <w:rFonts w:ascii="Times New Roman" w:hAnsi="Times New Roman" w:cs="Times New Roman"/>
                <w:b/>
                <w:lang w:val="hr-HR"/>
              </w:rPr>
              <w:t>4</w:t>
            </w:r>
            <w:r w:rsidRPr="00AC3963">
              <w:rPr>
                <w:rFonts w:ascii="Times New Roman" w:hAnsi="Times New Roman" w:cs="Times New Roman"/>
                <w:b/>
                <w:lang w:val="hr-HR"/>
              </w:rPr>
              <w:t>.</w:t>
            </w:r>
          </w:p>
        </w:tc>
        <w:tc>
          <w:tcPr>
            <w:tcW w:w="703" w:type="pct"/>
            <w:shd w:val="clear" w:color="auto" w:fill="BFBFBF"/>
          </w:tcPr>
          <w:p w14:paraId="5322D2B9" w14:textId="5498ACC6" w:rsidR="00E95D8E" w:rsidRPr="00AC3963" w:rsidRDefault="00E95D8E" w:rsidP="00B903CA">
            <w:pPr>
              <w:pStyle w:val="TableParagraph"/>
              <w:spacing w:line="240" w:lineRule="exact"/>
              <w:ind w:left="140" w:right="135"/>
              <w:jc w:val="center"/>
              <w:rPr>
                <w:rFonts w:ascii="Times New Roman" w:hAnsi="Times New Roman" w:cs="Times New Roman"/>
                <w:b/>
                <w:lang w:val="hr-HR"/>
              </w:rPr>
            </w:pPr>
            <w:r w:rsidRPr="00AC3963">
              <w:rPr>
                <w:rFonts w:ascii="Times New Roman" w:hAnsi="Times New Roman" w:cs="Times New Roman"/>
                <w:b/>
                <w:lang w:val="hr-HR"/>
              </w:rPr>
              <w:t>Indeks</w:t>
            </w:r>
          </w:p>
        </w:tc>
      </w:tr>
      <w:tr w:rsidR="00E95D8E" w:rsidRPr="00DE7806" w14:paraId="472550A3" w14:textId="77777777" w:rsidTr="00E95D8E">
        <w:trPr>
          <w:trHeight w:val="277"/>
        </w:trPr>
        <w:tc>
          <w:tcPr>
            <w:tcW w:w="2501" w:type="pct"/>
            <w:shd w:val="clear" w:color="auto" w:fill="auto"/>
          </w:tcPr>
          <w:p w14:paraId="506AD15E" w14:textId="77777777" w:rsidR="00E95D8E" w:rsidRPr="00DE7806" w:rsidRDefault="00E95D8E" w:rsidP="00B903CA">
            <w:pPr>
              <w:widowControl w:val="0"/>
              <w:autoSpaceDE w:val="0"/>
              <w:autoSpaceDN w:val="0"/>
              <w:spacing w:after="0" w:line="240" w:lineRule="exact"/>
              <w:rPr>
                <w:rFonts w:ascii="Times New Roman" w:hAnsi="Times New Roman"/>
              </w:rPr>
            </w:pPr>
            <w:r w:rsidRPr="00DE7806">
              <w:rPr>
                <w:rFonts w:ascii="Times New Roman" w:hAnsi="Times New Roman"/>
                <w:w w:val="95"/>
              </w:rPr>
              <w:t>Aktivnost A102101 Redovan rad upravnog tijela</w:t>
            </w:r>
          </w:p>
        </w:tc>
        <w:tc>
          <w:tcPr>
            <w:tcW w:w="936" w:type="pct"/>
            <w:shd w:val="clear" w:color="auto" w:fill="auto"/>
          </w:tcPr>
          <w:p w14:paraId="2CEEF437" w14:textId="417B2A13" w:rsidR="00E95D8E" w:rsidRPr="00DE7806" w:rsidRDefault="00A94207" w:rsidP="00B903CA">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243.556,86</w:t>
            </w:r>
          </w:p>
        </w:tc>
        <w:tc>
          <w:tcPr>
            <w:tcW w:w="860" w:type="pct"/>
            <w:shd w:val="clear" w:color="auto" w:fill="auto"/>
          </w:tcPr>
          <w:p w14:paraId="661BBF7D" w14:textId="31DF83A9" w:rsidR="00E95D8E" w:rsidRPr="00DE7806" w:rsidRDefault="00A94207" w:rsidP="00B903CA">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224.839,11</w:t>
            </w:r>
          </w:p>
        </w:tc>
        <w:tc>
          <w:tcPr>
            <w:tcW w:w="703" w:type="pct"/>
            <w:shd w:val="clear" w:color="auto" w:fill="auto"/>
          </w:tcPr>
          <w:p w14:paraId="518E12A0" w14:textId="1CD4A65B" w:rsidR="00E95D8E" w:rsidRPr="00DE7806" w:rsidRDefault="00A94207" w:rsidP="00B903CA">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92,31</w:t>
            </w:r>
          </w:p>
        </w:tc>
      </w:tr>
      <w:tr w:rsidR="00E95D8E" w:rsidRPr="00DE7806" w14:paraId="13122DB7" w14:textId="77777777" w:rsidTr="00E95D8E">
        <w:trPr>
          <w:trHeight w:val="277"/>
        </w:trPr>
        <w:tc>
          <w:tcPr>
            <w:tcW w:w="2501" w:type="pct"/>
            <w:shd w:val="clear" w:color="auto" w:fill="auto"/>
          </w:tcPr>
          <w:p w14:paraId="7D935C38" w14:textId="77777777" w:rsidR="00E95D8E" w:rsidRPr="00DE7806" w:rsidRDefault="00E95D8E" w:rsidP="00B903CA">
            <w:pPr>
              <w:widowControl w:val="0"/>
              <w:autoSpaceDE w:val="0"/>
              <w:autoSpaceDN w:val="0"/>
              <w:spacing w:after="0" w:line="240" w:lineRule="exact"/>
              <w:rPr>
                <w:rFonts w:ascii="Times New Roman" w:hAnsi="Times New Roman"/>
                <w:w w:val="95"/>
              </w:rPr>
            </w:pPr>
            <w:r w:rsidRPr="00DE7806">
              <w:rPr>
                <w:rFonts w:ascii="Times New Roman" w:hAnsi="Times New Roman"/>
                <w:w w:val="95"/>
              </w:rPr>
              <w:t>Aktivnost A102102 Zaduživanje</w:t>
            </w:r>
          </w:p>
        </w:tc>
        <w:tc>
          <w:tcPr>
            <w:tcW w:w="936" w:type="pct"/>
            <w:shd w:val="clear" w:color="auto" w:fill="auto"/>
          </w:tcPr>
          <w:p w14:paraId="1945DCD6" w14:textId="5D733359" w:rsidR="00E95D8E" w:rsidRPr="00DE7806" w:rsidRDefault="00A94207" w:rsidP="00B903CA">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27.000,00</w:t>
            </w:r>
          </w:p>
        </w:tc>
        <w:tc>
          <w:tcPr>
            <w:tcW w:w="860" w:type="pct"/>
            <w:shd w:val="clear" w:color="auto" w:fill="auto"/>
          </w:tcPr>
          <w:p w14:paraId="2835C766" w14:textId="06DFC31F" w:rsidR="00E95D8E" w:rsidRPr="00DE7806" w:rsidRDefault="00A94207" w:rsidP="00B903CA">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22.290,31</w:t>
            </w:r>
          </w:p>
        </w:tc>
        <w:tc>
          <w:tcPr>
            <w:tcW w:w="703" w:type="pct"/>
            <w:shd w:val="clear" w:color="auto" w:fill="auto"/>
          </w:tcPr>
          <w:p w14:paraId="322F5CBC" w14:textId="7897835C" w:rsidR="00E95D8E" w:rsidRPr="00DE7806" w:rsidRDefault="00A94207" w:rsidP="00B903CA">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82,56</w:t>
            </w:r>
          </w:p>
        </w:tc>
      </w:tr>
      <w:tr w:rsidR="00E95D8E" w:rsidRPr="00DE7806" w14:paraId="271B89BE" w14:textId="77777777" w:rsidTr="00E95D8E">
        <w:trPr>
          <w:trHeight w:val="630"/>
        </w:trPr>
        <w:tc>
          <w:tcPr>
            <w:tcW w:w="2501" w:type="pct"/>
            <w:shd w:val="clear" w:color="auto" w:fill="auto"/>
          </w:tcPr>
          <w:p w14:paraId="3B708AA4" w14:textId="77777777" w:rsidR="00E95D8E" w:rsidRPr="00DE7806" w:rsidRDefault="00E95D8E" w:rsidP="00B903CA">
            <w:pPr>
              <w:widowControl w:val="0"/>
              <w:autoSpaceDE w:val="0"/>
              <w:autoSpaceDN w:val="0"/>
              <w:spacing w:after="0" w:line="240" w:lineRule="atLeast"/>
              <w:rPr>
                <w:rFonts w:ascii="Times New Roman" w:hAnsi="Times New Roman"/>
                <w:w w:val="95"/>
              </w:rPr>
            </w:pPr>
            <w:r w:rsidRPr="00DE7806">
              <w:rPr>
                <w:rFonts w:ascii="Times New Roman" w:hAnsi="Times New Roman"/>
                <w:w w:val="95"/>
              </w:rPr>
              <w:t>Kapitalni projekt K102101 Razvoj sustava lokalne riznice</w:t>
            </w:r>
          </w:p>
        </w:tc>
        <w:tc>
          <w:tcPr>
            <w:tcW w:w="936" w:type="pct"/>
            <w:shd w:val="clear" w:color="auto" w:fill="auto"/>
          </w:tcPr>
          <w:p w14:paraId="67838227" w14:textId="011C3638" w:rsidR="00E95D8E" w:rsidRPr="00DE7806" w:rsidRDefault="00A94207" w:rsidP="00B903CA">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2.000,00</w:t>
            </w:r>
          </w:p>
        </w:tc>
        <w:tc>
          <w:tcPr>
            <w:tcW w:w="860" w:type="pct"/>
            <w:shd w:val="clear" w:color="auto" w:fill="auto"/>
          </w:tcPr>
          <w:p w14:paraId="3B25046F" w14:textId="21F79477" w:rsidR="00E95D8E" w:rsidRPr="00DE7806" w:rsidRDefault="00A94207" w:rsidP="00B903CA">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150,58</w:t>
            </w:r>
          </w:p>
        </w:tc>
        <w:tc>
          <w:tcPr>
            <w:tcW w:w="703" w:type="pct"/>
            <w:shd w:val="clear" w:color="auto" w:fill="auto"/>
          </w:tcPr>
          <w:p w14:paraId="1627F03E" w14:textId="3B9EE6C7" w:rsidR="00E95D8E" w:rsidRPr="00DE7806" w:rsidRDefault="00A94207" w:rsidP="00B903CA">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7,53</w:t>
            </w:r>
          </w:p>
        </w:tc>
      </w:tr>
      <w:tr w:rsidR="00E95D8E" w:rsidRPr="00DE7806" w14:paraId="097174E7" w14:textId="77777777" w:rsidTr="00E95D8E">
        <w:trPr>
          <w:trHeight w:val="277"/>
        </w:trPr>
        <w:tc>
          <w:tcPr>
            <w:tcW w:w="2501" w:type="pct"/>
            <w:shd w:val="clear" w:color="auto" w:fill="auto"/>
          </w:tcPr>
          <w:p w14:paraId="6E806B3F" w14:textId="09275F01" w:rsidR="00E95D8E" w:rsidRPr="00E95D8E" w:rsidRDefault="00E95D8E" w:rsidP="00B903CA">
            <w:pPr>
              <w:widowControl w:val="0"/>
              <w:autoSpaceDE w:val="0"/>
              <w:autoSpaceDN w:val="0"/>
              <w:spacing w:after="0" w:line="240" w:lineRule="exact"/>
              <w:rPr>
                <w:rFonts w:ascii="Times New Roman" w:hAnsi="Times New Roman"/>
                <w:b/>
                <w:bCs/>
                <w:w w:val="95"/>
              </w:rPr>
            </w:pPr>
            <w:r w:rsidRPr="00E95D8E">
              <w:rPr>
                <w:rFonts w:ascii="Times New Roman" w:hAnsi="Times New Roman"/>
                <w:b/>
                <w:bCs/>
                <w:w w:val="95"/>
              </w:rPr>
              <w:t>Ukupno program</w:t>
            </w:r>
          </w:p>
        </w:tc>
        <w:tc>
          <w:tcPr>
            <w:tcW w:w="936" w:type="pct"/>
            <w:shd w:val="clear" w:color="auto" w:fill="auto"/>
          </w:tcPr>
          <w:p w14:paraId="4F9F3171" w14:textId="6FB8DD91" w:rsidR="00E95D8E" w:rsidRPr="00E95D8E" w:rsidRDefault="00A94207" w:rsidP="00B903CA">
            <w:pPr>
              <w:pStyle w:val="TableParagraph"/>
              <w:spacing w:before="21" w:line="240" w:lineRule="exact"/>
              <w:ind w:right="98"/>
              <w:rPr>
                <w:rFonts w:ascii="Times New Roman" w:hAnsi="Times New Roman" w:cs="Times New Roman"/>
                <w:b/>
                <w:bCs/>
                <w:lang w:val="hr-HR"/>
              </w:rPr>
            </w:pPr>
            <w:r>
              <w:rPr>
                <w:rFonts w:ascii="Times New Roman" w:hAnsi="Times New Roman" w:cs="Times New Roman"/>
                <w:b/>
                <w:bCs/>
                <w:lang w:val="hr-HR"/>
              </w:rPr>
              <w:t>272.556,86</w:t>
            </w:r>
          </w:p>
        </w:tc>
        <w:tc>
          <w:tcPr>
            <w:tcW w:w="860" w:type="pct"/>
            <w:shd w:val="clear" w:color="auto" w:fill="auto"/>
          </w:tcPr>
          <w:p w14:paraId="2938A913" w14:textId="62A773D4" w:rsidR="00E95D8E" w:rsidRPr="00E95D8E" w:rsidRDefault="00A94207" w:rsidP="00B903CA">
            <w:pPr>
              <w:pStyle w:val="TableParagraph"/>
              <w:spacing w:before="21" w:line="240" w:lineRule="exact"/>
              <w:ind w:right="98"/>
              <w:rPr>
                <w:rFonts w:ascii="Times New Roman" w:hAnsi="Times New Roman" w:cs="Times New Roman"/>
                <w:b/>
                <w:bCs/>
                <w:lang w:val="hr-HR"/>
              </w:rPr>
            </w:pPr>
            <w:r>
              <w:rPr>
                <w:rFonts w:ascii="Times New Roman" w:hAnsi="Times New Roman" w:cs="Times New Roman"/>
                <w:b/>
                <w:bCs/>
                <w:lang w:val="hr-HR"/>
              </w:rPr>
              <w:t>247.280,00</w:t>
            </w:r>
          </w:p>
        </w:tc>
        <w:tc>
          <w:tcPr>
            <w:tcW w:w="703" w:type="pct"/>
            <w:shd w:val="clear" w:color="auto" w:fill="auto"/>
          </w:tcPr>
          <w:p w14:paraId="7DBAFC64" w14:textId="50D48C50" w:rsidR="00E95D8E" w:rsidRPr="00E95D8E" w:rsidRDefault="00A94207" w:rsidP="00B903CA">
            <w:pPr>
              <w:pStyle w:val="TableParagraph"/>
              <w:spacing w:before="21" w:line="240" w:lineRule="exact"/>
              <w:ind w:right="98"/>
              <w:rPr>
                <w:rFonts w:ascii="Times New Roman" w:hAnsi="Times New Roman" w:cs="Times New Roman"/>
                <w:b/>
                <w:bCs/>
                <w:lang w:val="hr-HR"/>
              </w:rPr>
            </w:pPr>
            <w:r>
              <w:rPr>
                <w:rFonts w:ascii="Times New Roman" w:hAnsi="Times New Roman" w:cs="Times New Roman"/>
                <w:b/>
                <w:bCs/>
                <w:lang w:val="hr-HR"/>
              </w:rPr>
              <w:t>90,73</w:t>
            </w:r>
          </w:p>
        </w:tc>
      </w:tr>
    </w:tbl>
    <w:p w14:paraId="0335FA5A" w14:textId="77777777" w:rsidR="00E95D8E" w:rsidRDefault="00E95D8E" w:rsidP="00B67EFB">
      <w:pPr>
        <w:spacing w:after="0" w:line="240" w:lineRule="auto"/>
        <w:jc w:val="both"/>
        <w:rPr>
          <w:rFonts w:ascii="Times New Roman" w:hAnsi="Times New Roman" w:cs="Times New Roman"/>
          <w:bCs/>
          <w:lang w:eastAsia="hr-HR"/>
        </w:rPr>
      </w:pPr>
    </w:p>
    <w:p w14:paraId="5F0052EC" w14:textId="77777777" w:rsidR="00A94207" w:rsidRPr="00F64569" w:rsidRDefault="00A94207" w:rsidP="00A94207">
      <w:pPr>
        <w:spacing w:after="0" w:line="240" w:lineRule="auto"/>
        <w:jc w:val="both"/>
        <w:rPr>
          <w:rFonts w:ascii="Times New Roman" w:eastAsia="Calibri" w:hAnsi="Times New Roman" w:cs="Times New Roman"/>
          <w:b/>
          <w:bCs/>
          <w:w w:val="95"/>
        </w:rPr>
      </w:pPr>
      <w:r w:rsidRPr="00F64569">
        <w:rPr>
          <w:rFonts w:ascii="Times New Roman" w:eastAsia="Calibri" w:hAnsi="Times New Roman" w:cs="Times New Roman"/>
          <w:b/>
          <w:bCs/>
          <w:w w:val="95"/>
        </w:rPr>
        <w:t>Aktivnost A102101 Redovan rad upravnog tijela</w:t>
      </w:r>
    </w:p>
    <w:p w14:paraId="2A7A04DF" w14:textId="0FB80598" w:rsidR="00A94207" w:rsidRPr="00F64569" w:rsidRDefault="00A94207" w:rsidP="00A94207">
      <w:pPr>
        <w:spacing w:after="0" w:line="240" w:lineRule="auto"/>
        <w:jc w:val="both"/>
        <w:rPr>
          <w:rFonts w:ascii="Times New Roman" w:hAnsi="Times New Roman" w:cs="Times New Roman"/>
          <w:lang w:eastAsia="hr-HR"/>
        </w:rPr>
      </w:pPr>
      <w:r w:rsidRPr="00F64569">
        <w:rPr>
          <w:rFonts w:ascii="Times New Roman" w:hAnsi="Times New Roman" w:cs="Times New Roman"/>
          <w:lang w:eastAsia="hr-HR"/>
        </w:rPr>
        <w:t xml:space="preserve">Ista aktivnost obuhvaća troškove plaća i naknada zaposlenih u Upravnom odjelu, troškove računalnih usluga i zakupa servera za računalne programe te financijske rashode za bankarske usluge i zatezne kamate.  </w:t>
      </w:r>
    </w:p>
    <w:p w14:paraId="2619B063" w14:textId="77777777" w:rsidR="00A94207" w:rsidRPr="00F64569" w:rsidRDefault="00A94207" w:rsidP="00A94207">
      <w:pPr>
        <w:spacing w:after="0" w:line="240" w:lineRule="auto"/>
        <w:jc w:val="both"/>
        <w:rPr>
          <w:rFonts w:ascii="Times New Roman" w:hAnsi="Times New Roman" w:cs="Times New Roman"/>
          <w:lang w:eastAsia="hr-HR"/>
        </w:rPr>
      </w:pPr>
    </w:p>
    <w:p w14:paraId="4290837B" w14:textId="77777777" w:rsidR="00A94207" w:rsidRPr="00F64569" w:rsidRDefault="00A94207" w:rsidP="00A94207">
      <w:pPr>
        <w:spacing w:after="0" w:line="240" w:lineRule="auto"/>
        <w:jc w:val="both"/>
        <w:rPr>
          <w:rFonts w:ascii="Times New Roman" w:hAnsi="Times New Roman" w:cs="Times New Roman"/>
          <w:b/>
          <w:bCs/>
          <w:lang w:eastAsia="hr-HR"/>
        </w:rPr>
      </w:pPr>
      <w:r w:rsidRPr="00F64569">
        <w:rPr>
          <w:rFonts w:ascii="Times New Roman" w:eastAsia="Calibri" w:hAnsi="Times New Roman" w:cs="Times New Roman"/>
          <w:b/>
          <w:bCs/>
          <w:w w:val="95"/>
        </w:rPr>
        <w:t>Aktivnost A102102 Zaduživanje</w:t>
      </w:r>
    </w:p>
    <w:p w14:paraId="3D10E465" w14:textId="0921DB58" w:rsidR="00A94207" w:rsidRPr="00F64569" w:rsidRDefault="00A94207" w:rsidP="00A94207">
      <w:pPr>
        <w:spacing w:after="0" w:line="240" w:lineRule="auto"/>
        <w:jc w:val="both"/>
        <w:rPr>
          <w:rFonts w:ascii="Times New Roman" w:hAnsi="Times New Roman" w:cs="Times New Roman"/>
          <w:lang w:eastAsia="hr-HR"/>
        </w:rPr>
      </w:pPr>
      <w:r w:rsidRPr="00F64569">
        <w:rPr>
          <w:rFonts w:ascii="Times New Roman" w:hAnsi="Times New Roman" w:cs="Times New Roman"/>
          <w:lang w:eastAsia="hr-HR"/>
        </w:rPr>
        <w:t>Aktivnost obuhvaća troškove bankarskih usluga za obrade kredita</w:t>
      </w:r>
      <w:r w:rsidR="00FF2FB8">
        <w:rPr>
          <w:rFonts w:ascii="Times New Roman" w:hAnsi="Times New Roman" w:cs="Times New Roman"/>
          <w:lang w:eastAsia="hr-HR"/>
        </w:rPr>
        <w:t xml:space="preserve"> u iznosu od 2.290,31 eura</w:t>
      </w:r>
      <w:r w:rsidRPr="00F64569">
        <w:rPr>
          <w:rFonts w:ascii="Times New Roman" w:hAnsi="Times New Roman" w:cs="Times New Roman"/>
          <w:lang w:eastAsia="hr-HR"/>
        </w:rPr>
        <w:t xml:space="preserve">, te izdatke za otplatu glavnice beskamatnog zajma iz Državnog proračuna </w:t>
      </w:r>
      <w:r w:rsidRPr="00F64569">
        <w:rPr>
          <w:rFonts w:ascii="Times New Roman" w:hAnsi="Times New Roman" w:cs="Times New Roman"/>
          <w:bCs/>
          <w:lang w:eastAsia="hr-HR"/>
        </w:rPr>
        <w:t xml:space="preserve">koji je uzet 2020. godine radi premošćivanja situacije nastale zbog različite dinamike priljeva sredstava i dospijeća obveza uslijed </w:t>
      </w:r>
      <w:r w:rsidRPr="00F64569">
        <w:rPr>
          <w:rFonts w:ascii="Times New Roman" w:hAnsi="Times New Roman" w:cs="Times New Roman"/>
          <w:bCs/>
          <w:lang w:eastAsia="hr-HR"/>
        </w:rPr>
        <w:lastRenderedPageBreak/>
        <w:t>odgode plaćanje i/ili obročne otplate poreza na dohodak i prireza porezu na dohodak</w:t>
      </w:r>
      <w:r w:rsidR="00FF2FB8">
        <w:rPr>
          <w:rFonts w:ascii="Times New Roman" w:hAnsi="Times New Roman" w:cs="Times New Roman"/>
          <w:bCs/>
          <w:lang w:eastAsia="hr-HR"/>
        </w:rPr>
        <w:t xml:space="preserve"> u iznosu od 20.000,00 eura.</w:t>
      </w:r>
    </w:p>
    <w:p w14:paraId="4C16C0F2" w14:textId="77777777" w:rsidR="00A94207" w:rsidRPr="00F64569" w:rsidRDefault="00A94207" w:rsidP="00A94207">
      <w:pPr>
        <w:spacing w:after="0" w:line="240" w:lineRule="auto"/>
        <w:jc w:val="both"/>
        <w:rPr>
          <w:rFonts w:ascii="Times New Roman" w:hAnsi="Times New Roman" w:cs="Times New Roman"/>
          <w:b/>
          <w:bCs/>
          <w:lang w:eastAsia="hr-HR"/>
        </w:rPr>
      </w:pPr>
    </w:p>
    <w:p w14:paraId="1FF4DDFB" w14:textId="77777777" w:rsidR="00A94207" w:rsidRPr="00F64569" w:rsidRDefault="00A94207" w:rsidP="00A94207">
      <w:pPr>
        <w:spacing w:after="0" w:line="240" w:lineRule="auto"/>
        <w:jc w:val="both"/>
        <w:rPr>
          <w:rFonts w:ascii="Times New Roman" w:hAnsi="Times New Roman" w:cs="Times New Roman"/>
          <w:b/>
          <w:bCs/>
          <w:lang w:eastAsia="hr-HR"/>
        </w:rPr>
      </w:pPr>
      <w:r w:rsidRPr="00F64569">
        <w:rPr>
          <w:rFonts w:ascii="Times New Roman" w:eastAsia="Calibri" w:hAnsi="Times New Roman" w:cs="Times New Roman"/>
          <w:b/>
          <w:bCs/>
          <w:w w:val="95"/>
        </w:rPr>
        <w:t>Kapitalni projekt K102101 Razvoj sustava lokalne riznice</w:t>
      </w:r>
    </w:p>
    <w:p w14:paraId="0FF4A667" w14:textId="7F8A4725" w:rsidR="00A94207" w:rsidRPr="00F64569" w:rsidRDefault="00A94207" w:rsidP="00A94207">
      <w:pPr>
        <w:spacing w:after="0" w:line="240" w:lineRule="auto"/>
        <w:jc w:val="both"/>
        <w:rPr>
          <w:rFonts w:ascii="Times New Roman" w:hAnsi="Times New Roman" w:cs="Times New Roman"/>
          <w:lang w:eastAsia="hr-HR"/>
        </w:rPr>
      </w:pPr>
      <w:r w:rsidRPr="00F64569">
        <w:rPr>
          <w:rFonts w:ascii="Times New Roman" w:hAnsi="Times New Roman" w:cs="Times New Roman"/>
          <w:lang w:eastAsia="hr-HR"/>
        </w:rPr>
        <w:t>Projektom su planirani</w:t>
      </w:r>
      <w:r w:rsidR="0010700E">
        <w:rPr>
          <w:rFonts w:ascii="Times New Roman" w:hAnsi="Times New Roman" w:cs="Times New Roman"/>
          <w:lang w:eastAsia="hr-HR"/>
        </w:rPr>
        <w:t xml:space="preserve">  i izvršeni</w:t>
      </w:r>
      <w:r w:rsidRPr="00F64569">
        <w:rPr>
          <w:rFonts w:ascii="Times New Roman" w:hAnsi="Times New Roman" w:cs="Times New Roman"/>
          <w:lang w:eastAsia="hr-HR"/>
        </w:rPr>
        <w:t xml:space="preserve"> troškovi nabave računalnih programa kojima bi se povećala kvaliteta i brzina obrade poslovnih podataka te financijskih izvještaja.</w:t>
      </w:r>
    </w:p>
    <w:p w14:paraId="37A06415" w14:textId="77777777" w:rsidR="00A94207" w:rsidRPr="00F64569" w:rsidRDefault="00A94207" w:rsidP="00A94207">
      <w:pPr>
        <w:spacing w:after="0" w:line="240" w:lineRule="auto"/>
        <w:jc w:val="both"/>
        <w:rPr>
          <w:rFonts w:ascii="Times New Roman" w:hAnsi="Times New Roman" w:cs="Times New Roman"/>
          <w:b/>
          <w:bCs/>
          <w:lang w:eastAsia="hr-HR"/>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01"/>
        <w:gridCol w:w="2991"/>
        <w:gridCol w:w="978"/>
        <w:gridCol w:w="1122"/>
        <w:gridCol w:w="1100"/>
        <w:gridCol w:w="968"/>
      </w:tblGrid>
      <w:tr w:rsidR="00FF2FB8" w:rsidRPr="00F64569" w14:paraId="3A3876E8" w14:textId="4160ABD9" w:rsidTr="00FF2FB8">
        <w:trPr>
          <w:trHeight w:val="633"/>
          <w:jc w:val="center"/>
        </w:trPr>
        <w:tc>
          <w:tcPr>
            <w:tcW w:w="1061" w:type="pct"/>
            <w:shd w:val="clear" w:color="auto" w:fill="BFBFBF"/>
          </w:tcPr>
          <w:p w14:paraId="1F2C48FB" w14:textId="77777777" w:rsidR="00FF2FB8" w:rsidRPr="00F64569" w:rsidRDefault="00FF2FB8" w:rsidP="00EB2357">
            <w:pPr>
              <w:widowControl w:val="0"/>
              <w:autoSpaceDE w:val="0"/>
              <w:autoSpaceDN w:val="0"/>
              <w:spacing w:before="104" w:after="0" w:line="240" w:lineRule="auto"/>
              <w:ind w:left="136" w:right="110" w:firstLine="59"/>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Pokazatelj</w:t>
            </w:r>
            <w:r w:rsidRPr="00F64569">
              <w:rPr>
                <w:rFonts w:ascii="Times New Roman" w:eastAsia="Arial MT" w:hAnsi="Times New Roman" w:cs="Times New Roman"/>
                <w:b/>
                <w:spacing w:val="1"/>
                <w:sz w:val="20"/>
                <w:szCs w:val="20"/>
              </w:rPr>
              <w:t xml:space="preserve"> </w:t>
            </w:r>
            <w:r w:rsidRPr="00F64569">
              <w:rPr>
                <w:rFonts w:ascii="Times New Roman" w:eastAsia="Arial MT" w:hAnsi="Times New Roman" w:cs="Times New Roman"/>
                <w:b/>
                <w:sz w:val="20"/>
                <w:szCs w:val="20"/>
              </w:rPr>
              <w:t>uspješnosti</w:t>
            </w:r>
          </w:p>
        </w:tc>
        <w:tc>
          <w:tcPr>
            <w:tcW w:w="1663" w:type="pct"/>
            <w:shd w:val="clear" w:color="auto" w:fill="BFBFBF"/>
          </w:tcPr>
          <w:p w14:paraId="00F88660" w14:textId="77777777" w:rsidR="00FF2FB8" w:rsidRPr="00F64569" w:rsidRDefault="00FF2FB8" w:rsidP="00EB2357">
            <w:pPr>
              <w:widowControl w:val="0"/>
              <w:autoSpaceDE w:val="0"/>
              <w:autoSpaceDN w:val="0"/>
              <w:spacing w:after="0" w:line="240" w:lineRule="auto"/>
              <w:jc w:val="both"/>
              <w:rPr>
                <w:rFonts w:ascii="Times New Roman" w:eastAsia="Arial MT" w:hAnsi="Times New Roman" w:cs="Times New Roman"/>
                <w:b/>
                <w:sz w:val="20"/>
                <w:szCs w:val="20"/>
              </w:rPr>
            </w:pPr>
          </w:p>
          <w:p w14:paraId="5947C566" w14:textId="77777777" w:rsidR="00FF2FB8" w:rsidRPr="00F64569" w:rsidRDefault="00FF2FB8" w:rsidP="00EB2357">
            <w:pPr>
              <w:widowControl w:val="0"/>
              <w:autoSpaceDE w:val="0"/>
              <w:autoSpaceDN w:val="0"/>
              <w:spacing w:before="1" w:after="0" w:line="240" w:lineRule="auto"/>
              <w:ind w:left="1136" w:right="832"/>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Definicija</w:t>
            </w:r>
          </w:p>
        </w:tc>
        <w:tc>
          <w:tcPr>
            <w:tcW w:w="540" w:type="pct"/>
            <w:shd w:val="clear" w:color="auto" w:fill="BFBFBF"/>
          </w:tcPr>
          <w:p w14:paraId="316CC08F" w14:textId="77777777" w:rsidR="00FF2FB8" w:rsidRPr="00F64569" w:rsidRDefault="00FF2FB8" w:rsidP="00EB2357">
            <w:pPr>
              <w:widowControl w:val="0"/>
              <w:autoSpaceDE w:val="0"/>
              <w:autoSpaceDN w:val="0"/>
              <w:spacing w:after="0" w:line="240" w:lineRule="auto"/>
              <w:jc w:val="both"/>
              <w:rPr>
                <w:rFonts w:ascii="Times New Roman" w:eastAsia="Arial MT" w:hAnsi="Times New Roman" w:cs="Times New Roman"/>
                <w:b/>
                <w:sz w:val="20"/>
                <w:szCs w:val="20"/>
              </w:rPr>
            </w:pPr>
          </w:p>
          <w:p w14:paraId="3423FF79" w14:textId="77777777" w:rsidR="00FF2FB8" w:rsidRPr="00F64569" w:rsidRDefault="00FF2FB8" w:rsidP="00EB2357">
            <w:pPr>
              <w:widowControl w:val="0"/>
              <w:autoSpaceDE w:val="0"/>
              <w:autoSpaceDN w:val="0"/>
              <w:spacing w:before="1" w:after="0" w:line="240" w:lineRule="auto"/>
              <w:ind w:left="112" w:right="105"/>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Jedinica</w:t>
            </w:r>
          </w:p>
        </w:tc>
        <w:tc>
          <w:tcPr>
            <w:tcW w:w="619" w:type="pct"/>
            <w:shd w:val="clear" w:color="auto" w:fill="BFBFBF"/>
          </w:tcPr>
          <w:p w14:paraId="510CE29C" w14:textId="77777777" w:rsidR="00FF2FB8" w:rsidRPr="00F64569" w:rsidRDefault="00FF2FB8" w:rsidP="00EB2357">
            <w:pPr>
              <w:widowControl w:val="0"/>
              <w:autoSpaceDE w:val="0"/>
              <w:autoSpaceDN w:val="0"/>
              <w:spacing w:after="0" w:line="206" w:lineRule="exact"/>
              <w:ind w:left="122" w:right="121"/>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Ciljana</w:t>
            </w:r>
          </w:p>
          <w:p w14:paraId="765E6C09" w14:textId="77777777" w:rsidR="00FF2FB8" w:rsidRPr="00F64569" w:rsidRDefault="00FF2FB8" w:rsidP="00EB2357">
            <w:pPr>
              <w:widowControl w:val="0"/>
              <w:autoSpaceDE w:val="0"/>
              <w:autoSpaceDN w:val="0"/>
              <w:spacing w:after="0" w:line="206" w:lineRule="exact"/>
              <w:ind w:left="124" w:right="121"/>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vrijednost</w:t>
            </w:r>
            <w:r w:rsidRPr="00F64569">
              <w:rPr>
                <w:rFonts w:ascii="Times New Roman" w:eastAsia="Arial MT" w:hAnsi="Times New Roman" w:cs="Times New Roman"/>
                <w:b/>
                <w:spacing w:val="-47"/>
                <w:sz w:val="20"/>
                <w:szCs w:val="20"/>
              </w:rPr>
              <w:t xml:space="preserve">   </w:t>
            </w:r>
            <w:r w:rsidRPr="00F64569">
              <w:rPr>
                <w:rFonts w:ascii="Times New Roman" w:eastAsia="Arial MT" w:hAnsi="Times New Roman" w:cs="Times New Roman"/>
                <w:b/>
                <w:sz w:val="20"/>
                <w:szCs w:val="20"/>
              </w:rPr>
              <w:t>2024.</w:t>
            </w:r>
          </w:p>
        </w:tc>
        <w:tc>
          <w:tcPr>
            <w:tcW w:w="619" w:type="pct"/>
            <w:shd w:val="clear" w:color="auto" w:fill="BFBFBF"/>
          </w:tcPr>
          <w:p w14:paraId="49648066" w14:textId="1B63C4BF" w:rsidR="00FF2FB8" w:rsidRPr="00F64569" w:rsidRDefault="00C574BE" w:rsidP="00C574BE">
            <w:pPr>
              <w:widowControl w:val="0"/>
              <w:autoSpaceDE w:val="0"/>
              <w:autoSpaceDN w:val="0"/>
              <w:spacing w:after="0" w:line="205" w:lineRule="exact"/>
              <w:ind w:left="89"/>
              <w:jc w:val="both"/>
              <w:rPr>
                <w:rFonts w:ascii="Times New Roman" w:eastAsia="Arial MT" w:hAnsi="Times New Roman" w:cs="Times New Roman"/>
                <w:b/>
                <w:sz w:val="20"/>
                <w:szCs w:val="20"/>
              </w:rPr>
            </w:pPr>
            <w:r>
              <w:rPr>
                <w:rFonts w:ascii="Times New Roman" w:eastAsia="Arial MT" w:hAnsi="Times New Roman" w:cs="Times New Roman"/>
                <w:b/>
                <w:sz w:val="20"/>
                <w:szCs w:val="20"/>
              </w:rPr>
              <w:t>Izvršenje</w:t>
            </w:r>
          </w:p>
        </w:tc>
        <w:tc>
          <w:tcPr>
            <w:tcW w:w="498" w:type="pct"/>
            <w:shd w:val="clear" w:color="auto" w:fill="BFBFBF"/>
          </w:tcPr>
          <w:p w14:paraId="34AD6CAA" w14:textId="4CEEF5F8" w:rsidR="00FF2FB8" w:rsidRPr="00F64569" w:rsidRDefault="00FF2FB8" w:rsidP="00EB2357">
            <w:pPr>
              <w:widowControl w:val="0"/>
              <w:autoSpaceDE w:val="0"/>
              <w:autoSpaceDN w:val="0"/>
              <w:spacing w:after="0" w:line="240" w:lineRule="auto"/>
              <w:ind w:left="130" w:right="115" w:firstLine="134"/>
              <w:jc w:val="both"/>
              <w:rPr>
                <w:rFonts w:ascii="Times New Roman" w:eastAsia="Arial MT" w:hAnsi="Times New Roman" w:cs="Times New Roman"/>
                <w:b/>
                <w:sz w:val="20"/>
                <w:szCs w:val="20"/>
              </w:rPr>
            </w:pPr>
            <w:r>
              <w:rPr>
                <w:rFonts w:ascii="Times New Roman" w:eastAsia="Arial MT" w:hAnsi="Times New Roman" w:cs="Times New Roman"/>
                <w:b/>
                <w:sz w:val="20"/>
                <w:szCs w:val="20"/>
              </w:rPr>
              <w:t>Indeks</w:t>
            </w:r>
          </w:p>
        </w:tc>
      </w:tr>
      <w:tr w:rsidR="00FF2FB8" w:rsidRPr="00F64569" w14:paraId="690437E5" w14:textId="7C2E7E83" w:rsidTr="00FF2FB8">
        <w:trPr>
          <w:trHeight w:val="1240"/>
          <w:jc w:val="center"/>
        </w:trPr>
        <w:tc>
          <w:tcPr>
            <w:tcW w:w="1061" w:type="pct"/>
            <w:shd w:val="clear" w:color="auto" w:fill="auto"/>
          </w:tcPr>
          <w:p w14:paraId="2336698A" w14:textId="77777777" w:rsidR="00FF2FB8" w:rsidRPr="00F64569" w:rsidRDefault="00FF2FB8" w:rsidP="00EB2357">
            <w:pPr>
              <w:widowControl w:val="0"/>
              <w:autoSpaceDE w:val="0"/>
              <w:autoSpaceDN w:val="0"/>
              <w:spacing w:before="1" w:after="0" w:line="240" w:lineRule="auto"/>
              <w:ind w:right="109"/>
              <w:rPr>
                <w:rFonts w:ascii="Times New Roman" w:eastAsia="Arial MT" w:hAnsi="Times New Roman" w:cs="Times New Roman"/>
              </w:rPr>
            </w:pPr>
            <w:r w:rsidRPr="00F64569">
              <w:rPr>
                <w:rFonts w:ascii="Times New Roman" w:eastAsia="Arial MT" w:hAnsi="Times New Roman" w:cs="Times New Roman"/>
              </w:rPr>
              <w:t>Pravovremeno izvršenje financijskih obveza i dostave izvještaja.</w:t>
            </w:r>
          </w:p>
        </w:tc>
        <w:tc>
          <w:tcPr>
            <w:tcW w:w="1663" w:type="pct"/>
            <w:shd w:val="clear" w:color="auto" w:fill="auto"/>
          </w:tcPr>
          <w:p w14:paraId="797BA301" w14:textId="77777777" w:rsidR="00FF2FB8" w:rsidRPr="00F64569" w:rsidRDefault="00FF2FB8" w:rsidP="00EB2357">
            <w:pPr>
              <w:widowControl w:val="0"/>
              <w:autoSpaceDE w:val="0"/>
              <w:autoSpaceDN w:val="0"/>
              <w:spacing w:after="0" w:line="187" w:lineRule="exact"/>
              <w:ind w:left="105"/>
              <w:rPr>
                <w:rFonts w:ascii="Times New Roman" w:eastAsia="Arial MT" w:hAnsi="Times New Roman" w:cs="Times New Roman"/>
              </w:rPr>
            </w:pPr>
            <w:r w:rsidRPr="00F64569">
              <w:rPr>
                <w:rFonts w:ascii="Times New Roman" w:eastAsia="Arial MT" w:hAnsi="Times New Roman" w:cs="Times New Roman"/>
              </w:rPr>
              <w:t xml:space="preserve">Pravovremeno izvršenje svih financijskih obveza prema zaposlenima i bankama. Dostavljanje svih zakonski propisanih financijskih  izvještaja u rokovima koji su propisani Zakonom i pravilnicima. </w:t>
            </w:r>
          </w:p>
        </w:tc>
        <w:tc>
          <w:tcPr>
            <w:tcW w:w="540" w:type="pct"/>
            <w:shd w:val="clear" w:color="auto" w:fill="auto"/>
          </w:tcPr>
          <w:p w14:paraId="17294F55" w14:textId="77777777" w:rsidR="00FF2FB8" w:rsidRPr="00F64569" w:rsidRDefault="00FF2FB8" w:rsidP="00EB2357">
            <w:pPr>
              <w:widowControl w:val="0"/>
              <w:autoSpaceDE w:val="0"/>
              <w:autoSpaceDN w:val="0"/>
              <w:spacing w:before="1" w:after="0" w:line="240" w:lineRule="auto"/>
              <w:ind w:right="137"/>
              <w:jc w:val="both"/>
              <w:rPr>
                <w:rFonts w:ascii="Times New Roman" w:eastAsia="Arial MT" w:hAnsi="Times New Roman" w:cs="Times New Roman"/>
              </w:rPr>
            </w:pPr>
            <w:r w:rsidRPr="00F64569">
              <w:rPr>
                <w:rFonts w:ascii="Times New Roman" w:eastAsia="Arial MT" w:hAnsi="Times New Roman" w:cs="Times New Roman"/>
              </w:rPr>
              <w:t>Broj dana kašnjenja</w:t>
            </w:r>
          </w:p>
        </w:tc>
        <w:tc>
          <w:tcPr>
            <w:tcW w:w="619" w:type="pct"/>
            <w:shd w:val="clear" w:color="auto" w:fill="auto"/>
          </w:tcPr>
          <w:p w14:paraId="584B812B" w14:textId="77777777" w:rsidR="00FF2FB8" w:rsidRPr="00F64569" w:rsidRDefault="00FF2FB8" w:rsidP="00EB2357">
            <w:pPr>
              <w:widowControl w:val="0"/>
              <w:autoSpaceDE w:val="0"/>
              <w:autoSpaceDN w:val="0"/>
              <w:spacing w:after="0" w:line="240" w:lineRule="auto"/>
              <w:jc w:val="center"/>
              <w:rPr>
                <w:rFonts w:ascii="Times New Roman" w:eastAsia="Arial MT" w:hAnsi="Times New Roman" w:cs="Times New Roman"/>
              </w:rPr>
            </w:pPr>
          </w:p>
          <w:p w14:paraId="63A73F63" w14:textId="77777777" w:rsidR="00FF2FB8" w:rsidRPr="00F64569" w:rsidRDefault="00FF2FB8" w:rsidP="00EB2357">
            <w:pPr>
              <w:widowControl w:val="0"/>
              <w:autoSpaceDE w:val="0"/>
              <w:autoSpaceDN w:val="0"/>
              <w:spacing w:after="0" w:line="240" w:lineRule="auto"/>
              <w:jc w:val="center"/>
              <w:rPr>
                <w:rFonts w:ascii="Times New Roman" w:eastAsia="Arial MT" w:hAnsi="Times New Roman" w:cs="Times New Roman"/>
              </w:rPr>
            </w:pPr>
          </w:p>
          <w:p w14:paraId="2237AC6E" w14:textId="77777777" w:rsidR="00FF2FB8" w:rsidRPr="00F64569" w:rsidRDefault="00FF2FB8" w:rsidP="00EB2357">
            <w:pPr>
              <w:widowControl w:val="0"/>
              <w:autoSpaceDE w:val="0"/>
              <w:autoSpaceDN w:val="0"/>
              <w:spacing w:after="0" w:line="240" w:lineRule="auto"/>
              <w:ind w:left="125" w:right="121"/>
              <w:jc w:val="center"/>
              <w:rPr>
                <w:rFonts w:ascii="Times New Roman" w:eastAsia="Arial MT" w:hAnsi="Times New Roman" w:cs="Times New Roman"/>
              </w:rPr>
            </w:pPr>
            <w:r w:rsidRPr="00F64569">
              <w:rPr>
                <w:rFonts w:ascii="Times New Roman" w:eastAsia="Arial MT" w:hAnsi="Times New Roman" w:cs="Times New Roman"/>
              </w:rPr>
              <w:t>0</w:t>
            </w:r>
          </w:p>
        </w:tc>
        <w:tc>
          <w:tcPr>
            <w:tcW w:w="619" w:type="pct"/>
            <w:shd w:val="clear" w:color="auto" w:fill="auto"/>
          </w:tcPr>
          <w:p w14:paraId="4CDECE47" w14:textId="77777777" w:rsidR="00FF2FB8" w:rsidRPr="00F64569" w:rsidRDefault="00FF2FB8" w:rsidP="00EB2357">
            <w:pPr>
              <w:widowControl w:val="0"/>
              <w:autoSpaceDE w:val="0"/>
              <w:autoSpaceDN w:val="0"/>
              <w:spacing w:after="0" w:line="240" w:lineRule="auto"/>
              <w:jc w:val="center"/>
              <w:rPr>
                <w:rFonts w:ascii="Times New Roman" w:eastAsia="Arial MT" w:hAnsi="Times New Roman" w:cs="Times New Roman"/>
              </w:rPr>
            </w:pPr>
          </w:p>
          <w:p w14:paraId="1A9C5D3A" w14:textId="77777777" w:rsidR="00FF2FB8" w:rsidRPr="00F64569" w:rsidRDefault="00FF2FB8" w:rsidP="00EB2357">
            <w:pPr>
              <w:widowControl w:val="0"/>
              <w:autoSpaceDE w:val="0"/>
              <w:autoSpaceDN w:val="0"/>
              <w:spacing w:after="0" w:line="240" w:lineRule="auto"/>
              <w:jc w:val="center"/>
              <w:rPr>
                <w:rFonts w:ascii="Times New Roman" w:eastAsia="Arial MT" w:hAnsi="Times New Roman" w:cs="Times New Roman"/>
              </w:rPr>
            </w:pPr>
          </w:p>
          <w:p w14:paraId="7BB12EF7" w14:textId="10049169" w:rsidR="00FF2FB8" w:rsidRPr="00F64569" w:rsidRDefault="00C574BE" w:rsidP="00EB2357">
            <w:pPr>
              <w:widowControl w:val="0"/>
              <w:autoSpaceDE w:val="0"/>
              <w:autoSpaceDN w:val="0"/>
              <w:spacing w:after="0" w:line="240" w:lineRule="auto"/>
              <w:ind w:right="460"/>
              <w:jc w:val="center"/>
              <w:rPr>
                <w:rFonts w:ascii="Times New Roman" w:eastAsia="Arial MT" w:hAnsi="Times New Roman" w:cs="Times New Roman"/>
              </w:rPr>
            </w:pPr>
            <w:r>
              <w:rPr>
                <w:rFonts w:ascii="Times New Roman" w:eastAsia="Arial MT" w:hAnsi="Times New Roman" w:cs="Times New Roman"/>
              </w:rPr>
              <w:t xml:space="preserve">       </w:t>
            </w:r>
            <w:r w:rsidR="00FF2FB8" w:rsidRPr="00F64569">
              <w:rPr>
                <w:rFonts w:ascii="Times New Roman" w:eastAsia="Arial MT" w:hAnsi="Times New Roman" w:cs="Times New Roman"/>
              </w:rPr>
              <w:t>0</w:t>
            </w:r>
          </w:p>
        </w:tc>
        <w:tc>
          <w:tcPr>
            <w:tcW w:w="498" w:type="pct"/>
          </w:tcPr>
          <w:p w14:paraId="7E299476" w14:textId="77777777" w:rsidR="00FF2FB8" w:rsidRDefault="00FF2FB8" w:rsidP="00EB2357">
            <w:pPr>
              <w:widowControl w:val="0"/>
              <w:autoSpaceDE w:val="0"/>
              <w:autoSpaceDN w:val="0"/>
              <w:spacing w:after="0" w:line="240" w:lineRule="auto"/>
              <w:jc w:val="center"/>
              <w:rPr>
                <w:rFonts w:ascii="Times New Roman" w:eastAsia="Arial MT" w:hAnsi="Times New Roman" w:cs="Times New Roman"/>
              </w:rPr>
            </w:pPr>
          </w:p>
          <w:p w14:paraId="2FD34E64" w14:textId="77777777" w:rsidR="00FF2FB8" w:rsidRDefault="00FF2FB8" w:rsidP="00EB2357">
            <w:pPr>
              <w:widowControl w:val="0"/>
              <w:autoSpaceDE w:val="0"/>
              <w:autoSpaceDN w:val="0"/>
              <w:spacing w:after="0" w:line="240" w:lineRule="auto"/>
              <w:jc w:val="center"/>
              <w:rPr>
                <w:rFonts w:ascii="Times New Roman" w:eastAsia="Arial MT" w:hAnsi="Times New Roman" w:cs="Times New Roman"/>
              </w:rPr>
            </w:pPr>
          </w:p>
          <w:p w14:paraId="1EB84FBE" w14:textId="16FA8AD2" w:rsidR="00FF2FB8" w:rsidRPr="00F64569" w:rsidRDefault="00C574BE" w:rsidP="00EB2357">
            <w:pPr>
              <w:widowControl w:val="0"/>
              <w:autoSpaceDE w:val="0"/>
              <w:autoSpaceDN w:val="0"/>
              <w:spacing w:after="0" w:line="240" w:lineRule="auto"/>
              <w:jc w:val="center"/>
              <w:rPr>
                <w:rFonts w:ascii="Times New Roman" w:eastAsia="Arial MT" w:hAnsi="Times New Roman" w:cs="Times New Roman"/>
              </w:rPr>
            </w:pPr>
            <w:r>
              <w:rPr>
                <w:rFonts w:ascii="Times New Roman" w:eastAsia="Arial MT" w:hAnsi="Times New Roman" w:cs="Times New Roman"/>
              </w:rPr>
              <w:t>100</w:t>
            </w:r>
            <w:r w:rsidR="00FF2FB8">
              <w:rPr>
                <w:rFonts w:ascii="Times New Roman" w:eastAsia="Arial MT" w:hAnsi="Times New Roman" w:cs="Times New Roman"/>
              </w:rPr>
              <w:t>,00</w:t>
            </w:r>
          </w:p>
        </w:tc>
      </w:tr>
      <w:tr w:rsidR="00FF2FB8" w:rsidRPr="00F64569" w14:paraId="370B199B" w14:textId="1FD7F215" w:rsidTr="00FF2FB8">
        <w:trPr>
          <w:trHeight w:val="916"/>
          <w:jc w:val="center"/>
        </w:trPr>
        <w:tc>
          <w:tcPr>
            <w:tcW w:w="1061" w:type="pct"/>
            <w:shd w:val="clear" w:color="auto" w:fill="auto"/>
          </w:tcPr>
          <w:p w14:paraId="61E1370A" w14:textId="77777777" w:rsidR="00FF2FB8" w:rsidRPr="00F64569" w:rsidRDefault="00FF2FB8" w:rsidP="00EB2357">
            <w:pPr>
              <w:widowControl w:val="0"/>
              <w:autoSpaceDE w:val="0"/>
              <w:autoSpaceDN w:val="0"/>
              <w:spacing w:before="1" w:after="0" w:line="240" w:lineRule="auto"/>
              <w:ind w:right="109"/>
              <w:rPr>
                <w:rFonts w:ascii="Times New Roman" w:eastAsia="Arial MT" w:hAnsi="Times New Roman" w:cs="Times New Roman"/>
              </w:rPr>
            </w:pPr>
            <w:r w:rsidRPr="00F64569">
              <w:rPr>
                <w:rFonts w:ascii="Times New Roman" w:eastAsia="Arial MT" w:hAnsi="Times New Roman" w:cs="Times New Roman"/>
              </w:rPr>
              <w:t>Povećanje kvalitete i brzine izrade financijskih izvještaja</w:t>
            </w:r>
          </w:p>
        </w:tc>
        <w:tc>
          <w:tcPr>
            <w:tcW w:w="1663" w:type="pct"/>
            <w:shd w:val="clear" w:color="auto" w:fill="auto"/>
          </w:tcPr>
          <w:p w14:paraId="18095539" w14:textId="77777777" w:rsidR="00FF2FB8" w:rsidRPr="00F64569" w:rsidRDefault="00FF2FB8" w:rsidP="00EB2357">
            <w:pPr>
              <w:widowControl w:val="0"/>
              <w:autoSpaceDE w:val="0"/>
              <w:autoSpaceDN w:val="0"/>
              <w:spacing w:after="0" w:line="187" w:lineRule="exact"/>
              <w:ind w:left="105"/>
              <w:rPr>
                <w:rFonts w:ascii="Times New Roman" w:eastAsia="Arial MT" w:hAnsi="Times New Roman" w:cs="Times New Roman"/>
              </w:rPr>
            </w:pPr>
            <w:r w:rsidRPr="00F64569">
              <w:rPr>
                <w:rFonts w:ascii="Times New Roman" w:eastAsia="Arial MT" w:hAnsi="Times New Roman" w:cs="Times New Roman"/>
              </w:rPr>
              <w:t>Povećanje kvalitete i brzine izrade financijskih izvještaja ulaganjem u računalne programe i održavanje istih.</w:t>
            </w:r>
          </w:p>
        </w:tc>
        <w:tc>
          <w:tcPr>
            <w:tcW w:w="540" w:type="pct"/>
            <w:shd w:val="clear" w:color="auto" w:fill="auto"/>
          </w:tcPr>
          <w:p w14:paraId="39173656" w14:textId="77777777" w:rsidR="00FF2FB8" w:rsidRPr="00F64569" w:rsidRDefault="00FF2FB8" w:rsidP="00EB2357">
            <w:pPr>
              <w:widowControl w:val="0"/>
              <w:autoSpaceDE w:val="0"/>
              <w:autoSpaceDN w:val="0"/>
              <w:spacing w:before="1" w:after="0" w:line="240" w:lineRule="auto"/>
              <w:ind w:right="137"/>
              <w:jc w:val="both"/>
              <w:rPr>
                <w:rFonts w:ascii="Times New Roman" w:eastAsia="Arial MT" w:hAnsi="Times New Roman" w:cs="Times New Roman"/>
              </w:rPr>
            </w:pPr>
            <w:r w:rsidRPr="00F64569">
              <w:rPr>
                <w:rFonts w:ascii="Times New Roman" w:eastAsia="Arial MT" w:hAnsi="Times New Roman" w:cs="Times New Roman"/>
              </w:rPr>
              <w:t>postotak</w:t>
            </w:r>
          </w:p>
        </w:tc>
        <w:tc>
          <w:tcPr>
            <w:tcW w:w="619" w:type="pct"/>
            <w:shd w:val="clear" w:color="auto" w:fill="auto"/>
          </w:tcPr>
          <w:p w14:paraId="05108BFF" w14:textId="77777777" w:rsidR="00FF2FB8" w:rsidRPr="00F64569" w:rsidRDefault="00FF2FB8" w:rsidP="00EB2357">
            <w:pPr>
              <w:widowControl w:val="0"/>
              <w:autoSpaceDE w:val="0"/>
              <w:autoSpaceDN w:val="0"/>
              <w:spacing w:after="0" w:line="240" w:lineRule="auto"/>
              <w:jc w:val="center"/>
              <w:rPr>
                <w:rFonts w:ascii="Times New Roman" w:eastAsia="Arial MT" w:hAnsi="Times New Roman" w:cs="Times New Roman"/>
              </w:rPr>
            </w:pPr>
            <w:r w:rsidRPr="00F64569">
              <w:rPr>
                <w:rFonts w:ascii="Times New Roman" w:eastAsia="Arial MT" w:hAnsi="Times New Roman" w:cs="Times New Roman"/>
              </w:rPr>
              <w:t>5%</w:t>
            </w:r>
          </w:p>
        </w:tc>
        <w:tc>
          <w:tcPr>
            <w:tcW w:w="619" w:type="pct"/>
            <w:shd w:val="clear" w:color="auto" w:fill="auto"/>
          </w:tcPr>
          <w:p w14:paraId="66D75E2C" w14:textId="093EC8F6" w:rsidR="00FF2FB8" w:rsidRPr="00F64569" w:rsidRDefault="00FF2FB8" w:rsidP="00EB2357">
            <w:pPr>
              <w:widowControl w:val="0"/>
              <w:autoSpaceDE w:val="0"/>
              <w:autoSpaceDN w:val="0"/>
              <w:spacing w:after="0" w:line="240" w:lineRule="auto"/>
              <w:jc w:val="center"/>
              <w:rPr>
                <w:rFonts w:ascii="Times New Roman" w:eastAsia="Arial MT" w:hAnsi="Times New Roman" w:cs="Times New Roman"/>
              </w:rPr>
            </w:pPr>
            <w:r>
              <w:rPr>
                <w:rFonts w:ascii="Times New Roman" w:eastAsia="Arial MT" w:hAnsi="Times New Roman" w:cs="Times New Roman"/>
              </w:rPr>
              <w:t>4%</w:t>
            </w:r>
          </w:p>
        </w:tc>
        <w:tc>
          <w:tcPr>
            <w:tcW w:w="498" w:type="pct"/>
          </w:tcPr>
          <w:p w14:paraId="3A6EE31A" w14:textId="14772DE1" w:rsidR="00FF2FB8" w:rsidRDefault="00FF2FB8" w:rsidP="00EB2357">
            <w:pPr>
              <w:widowControl w:val="0"/>
              <w:autoSpaceDE w:val="0"/>
              <w:autoSpaceDN w:val="0"/>
              <w:spacing w:after="0" w:line="240" w:lineRule="auto"/>
              <w:jc w:val="center"/>
              <w:rPr>
                <w:rFonts w:ascii="Times New Roman" w:eastAsia="Arial MT" w:hAnsi="Times New Roman" w:cs="Times New Roman"/>
              </w:rPr>
            </w:pPr>
            <w:r>
              <w:rPr>
                <w:rFonts w:ascii="Times New Roman" w:eastAsia="Arial MT" w:hAnsi="Times New Roman" w:cs="Times New Roman"/>
              </w:rPr>
              <w:t>80,00</w:t>
            </w:r>
          </w:p>
        </w:tc>
      </w:tr>
    </w:tbl>
    <w:p w14:paraId="3FE233A3" w14:textId="77777777" w:rsidR="00A94207" w:rsidRPr="00F64569" w:rsidRDefault="00A94207" w:rsidP="00A94207">
      <w:pPr>
        <w:spacing w:after="0" w:line="240" w:lineRule="auto"/>
        <w:jc w:val="both"/>
        <w:rPr>
          <w:rFonts w:ascii="Times New Roman" w:hAnsi="Times New Roman" w:cs="Times New Roman"/>
          <w:bCs/>
          <w:lang w:eastAsia="hr-HR"/>
        </w:rPr>
      </w:pPr>
    </w:p>
    <w:p w14:paraId="608EC251" w14:textId="77777777" w:rsidR="00E95D8E" w:rsidRDefault="00E95D8E" w:rsidP="00B67EFB">
      <w:pPr>
        <w:spacing w:after="0" w:line="240" w:lineRule="auto"/>
        <w:jc w:val="both"/>
        <w:rPr>
          <w:rFonts w:ascii="Times New Roman" w:hAnsi="Times New Roman" w:cs="Times New Roman"/>
          <w:bCs/>
          <w:lang w:eastAsia="hr-HR"/>
        </w:rPr>
      </w:pPr>
    </w:p>
    <w:p w14:paraId="2B57B343" w14:textId="77777777" w:rsidR="00722358" w:rsidRPr="00722358" w:rsidRDefault="00722358" w:rsidP="00E40FD3">
      <w:pPr>
        <w:spacing w:after="0" w:line="240" w:lineRule="auto"/>
        <w:jc w:val="both"/>
        <w:rPr>
          <w:rFonts w:ascii="Times New Roman" w:hAnsi="Times New Roman" w:cs="Times New Roman"/>
          <w:bCs/>
          <w:i/>
          <w:sz w:val="16"/>
          <w:szCs w:val="16"/>
          <w:lang w:eastAsia="hr-HR"/>
        </w:rPr>
      </w:pPr>
    </w:p>
    <w:p w14:paraId="472D7E98" w14:textId="77777777" w:rsidR="00AC3963" w:rsidRDefault="00AC3963" w:rsidP="00E40FD3">
      <w:pPr>
        <w:spacing w:after="0" w:line="240" w:lineRule="auto"/>
        <w:rPr>
          <w:rFonts w:ascii="Times New Roman" w:hAnsi="Times New Roman" w:cs="Times New Roman"/>
          <w:bCs/>
          <w:lang w:eastAsia="hr-HR"/>
        </w:rPr>
      </w:pPr>
    </w:p>
    <w:p w14:paraId="3D73474D" w14:textId="77777777" w:rsidR="00AC3963" w:rsidRPr="00722358" w:rsidRDefault="00AC3963" w:rsidP="00E40FD3">
      <w:pPr>
        <w:spacing w:after="0" w:line="240" w:lineRule="auto"/>
        <w:rPr>
          <w:rFonts w:ascii="Times New Roman" w:hAnsi="Times New Roman" w:cs="Times New Roman"/>
          <w:bCs/>
          <w:lang w:eastAsia="hr-HR"/>
        </w:rPr>
      </w:pPr>
    </w:p>
    <w:p w14:paraId="6B2559DB" w14:textId="77777777" w:rsidR="00722358" w:rsidRPr="001A3512" w:rsidRDefault="00722358" w:rsidP="00E40FD3">
      <w:pPr>
        <w:pStyle w:val="Naslov"/>
        <w:ind w:firstLine="567"/>
        <w:jc w:val="both"/>
        <w:rPr>
          <w:rFonts w:ascii="Times New Roman" w:hAnsi="Times New Roman" w:cs="Times New Roman"/>
          <w:i/>
          <w:sz w:val="22"/>
          <w:lang w:val="hr-HR"/>
        </w:rPr>
      </w:pPr>
      <w:r w:rsidRPr="001A3512">
        <w:rPr>
          <w:rFonts w:ascii="Times New Roman" w:hAnsi="Times New Roman" w:cs="Times New Roman"/>
          <w:i/>
          <w:sz w:val="22"/>
          <w:lang w:val="hr-HR"/>
        </w:rPr>
        <w:t>RAZDJEL 004 – Upravni odjel za gospodarstvo i komunalni sustav</w:t>
      </w:r>
    </w:p>
    <w:p w14:paraId="12F51994" w14:textId="77777777" w:rsidR="00722358" w:rsidRPr="001A3512" w:rsidRDefault="00722358" w:rsidP="00E40FD3">
      <w:pPr>
        <w:pStyle w:val="Naslov"/>
        <w:ind w:firstLine="567"/>
        <w:jc w:val="both"/>
        <w:rPr>
          <w:rFonts w:ascii="Times New Roman" w:hAnsi="Times New Roman" w:cs="Times New Roman"/>
          <w:i/>
          <w:sz w:val="22"/>
          <w:lang w:val="hr-HR"/>
        </w:rPr>
      </w:pPr>
      <w:r w:rsidRPr="001A3512">
        <w:rPr>
          <w:rFonts w:ascii="Times New Roman" w:hAnsi="Times New Roman" w:cs="Times New Roman"/>
          <w:i/>
          <w:sz w:val="22"/>
          <w:lang w:val="hr-HR"/>
        </w:rPr>
        <w:t>GLAVA 00201 – Upravni odjel za gospodarstvo i komunalni sustav</w:t>
      </w:r>
    </w:p>
    <w:p w14:paraId="5FE2EF59" w14:textId="01E8EB84" w:rsidR="00722358" w:rsidRDefault="00722358" w:rsidP="00DD293F">
      <w:pPr>
        <w:pStyle w:val="Naslov"/>
        <w:spacing w:after="120"/>
        <w:jc w:val="both"/>
        <w:rPr>
          <w:rFonts w:ascii="Times New Roman" w:hAnsi="Times New Roman" w:cs="Times New Roman"/>
          <w:b w:val="0"/>
          <w:sz w:val="22"/>
          <w:lang w:val="hr-HR"/>
        </w:rPr>
      </w:pPr>
      <w:r w:rsidRPr="00B25C74">
        <w:rPr>
          <w:rFonts w:ascii="Times New Roman" w:hAnsi="Times New Roman" w:cs="Times New Roman"/>
          <w:b w:val="0"/>
          <w:sz w:val="22"/>
          <w:lang w:val="hr-HR"/>
        </w:rPr>
        <w:t xml:space="preserve">Upravni odjel za gospodarstvo i komunalni sustav poslove obavlja poslove sukladno članku 10. Odluke o ustrojstvu i djelokrugu upravnih tijela Grada Grešnice (Službeni glasnik </w:t>
      </w:r>
      <w:r w:rsidRPr="00722358">
        <w:rPr>
          <w:rFonts w:ascii="Times New Roman" w:hAnsi="Times New Roman" w:cs="Times New Roman"/>
          <w:b w:val="0"/>
          <w:sz w:val="22"/>
          <w:lang w:val="hr-HR"/>
        </w:rPr>
        <w:t>Grada Garešnice broj 10/22) i</w:t>
      </w:r>
      <w:r w:rsidRPr="00722358">
        <w:rPr>
          <w:rFonts w:ascii="Times New Roman" w:hAnsi="Times New Roman" w:cs="Times New Roman"/>
          <w:lang w:val="hr-HR"/>
        </w:rPr>
        <w:t xml:space="preserve"> </w:t>
      </w:r>
      <w:r w:rsidRPr="00722358">
        <w:rPr>
          <w:rFonts w:ascii="Times New Roman" w:hAnsi="Times New Roman" w:cs="Times New Roman"/>
          <w:b w:val="0"/>
          <w:sz w:val="22"/>
          <w:lang w:val="hr-HR"/>
        </w:rPr>
        <w:t xml:space="preserve">Pravilnika o unutarnjem redu upravnih tijela Grada Garešnice. Upravni odjel zapošljava </w:t>
      </w:r>
      <w:r w:rsidR="00B25C74">
        <w:rPr>
          <w:rFonts w:ascii="Times New Roman" w:hAnsi="Times New Roman" w:cs="Times New Roman"/>
          <w:b w:val="0"/>
          <w:sz w:val="22"/>
          <w:lang w:val="hr-HR"/>
        </w:rPr>
        <w:t>osam</w:t>
      </w:r>
      <w:r w:rsidRPr="00722358">
        <w:rPr>
          <w:rFonts w:ascii="Times New Roman" w:hAnsi="Times New Roman" w:cs="Times New Roman"/>
          <w:b w:val="0"/>
          <w:sz w:val="22"/>
          <w:lang w:val="hr-HR"/>
        </w:rPr>
        <w:t xml:space="preserve"> djelatnika</w:t>
      </w:r>
      <w:r w:rsidR="00516690">
        <w:rPr>
          <w:rFonts w:ascii="Times New Roman" w:hAnsi="Times New Roman" w:cs="Times New Roman"/>
          <w:b w:val="0"/>
          <w:sz w:val="22"/>
          <w:lang w:val="hr-HR"/>
        </w:rPr>
        <w:t>.</w:t>
      </w:r>
    </w:p>
    <w:p w14:paraId="1E4D71B8" w14:textId="27435B2C" w:rsidR="00D239ED" w:rsidRPr="00D239ED" w:rsidRDefault="00D239ED" w:rsidP="00D239ED">
      <w:pPr>
        <w:pStyle w:val="Podnaslov"/>
        <w:jc w:val="left"/>
        <w:rPr>
          <w:rFonts w:ascii="Times New Roman" w:eastAsiaTheme="minorHAnsi" w:hAnsi="Times New Roman"/>
          <w:sz w:val="22"/>
          <w:szCs w:val="22"/>
          <w:lang w:eastAsia="ar-SA"/>
        </w:rPr>
      </w:pPr>
      <w:r w:rsidRPr="00D239ED">
        <w:rPr>
          <w:rFonts w:ascii="Times New Roman" w:eastAsiaTheme="minorHAnsi" w:hAnsi="Times New Roman"/>
          <w:sz w:val="22"/>
          <w:szCs w:val="22"/>
          <w:lang w:eastAsia="ar-SA"/>
        </w:rPr>
        <w:t>Programi Upravnog odjela: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2"/>
        <w:gridCol w:w="1041"/>
        <w:gridCol w:w="2926"/>
        <w:gridCol w:w="1643"/>
        <w:gridCol w:w="1643"/>
        <w:gridCol w:w="1055"/>
      </w:tblGrid>
      <w:tr w:rsidR="0029671A" w:rsidRPr="00B25C74" w14:paraId="07894207" w14:textId="6B03D4A0" w:rsidTr="00831280">
        <w:trPr>
          <w:trHeight w:val="624"/>
        </w:trPr>
        <w:tc>
          <w:tcPr>
            <w:tcW w:w="414" w:type="pct"/>
            <w:shd w:val="clear" w:color="auto" w:fill="BFBFBF"/>
          </w:tcPr>
          <w:p w14:paraId="15981804" w14:textId="77777777" w:rsidR="00D239ED" w:rsidRPr="00B25C74" w:rsidRDefault="00D239ED" w:rsidP="00D239ED">
            <w:pPr>
              <w:rPr>
                <w:rFonts w:ascii="Times New Roman" w:hAnsi="Times New Roman"/>
                <w:b/>
                <w:bCs/>
                <w:w w:val="95"/>
              </w:rPr>
            </w:pPr>
            <w:r w:rsidRPr="00B25C74">
              <w:rPr>
                <w:rFonts w:ascii="Times New Roman" w:hAnsi="Times New Roman"/>
                <w:b/>
                <w:bCs/>
                <w:w w:val="95"/>
              </w:rPr>
              <w:t>Redni broj</w:t>
            </w:r>
          </w:p>
        </w:tc>
        <w:tc>
          <w:tcPr>
            <w:tcW w:w="574" w:type="pct"/>
            <w:shd w:val="clear" w:color="auto" w:fill="BFBFBF"/>
          </w:tcPr>
          <w:p w14:paraId="06DDFE0A" w14:textId="6023D40A" w:rsidR="00D239ED" w:rsidRPr="00B25C74" w:rsidRDefault="00D239ED" w:rsidP="00263B45">
            <w:pPr>
              <w:jc w:val="center"/>
              <w:rPr>
                <w:rFonts w:ascii="Times New Roman" w:hAnsi="Times New Roman"/>
                <w:b/>
                <w:bCs/>
                <w:w w:val="95"/>
              </w:rPr>
            </w:pPr>
            <w:r w:rsidRPr="00B25C74">
              <w:rPr>
                <w:rFonts w:ascii="Times New Roman" w:hAnsi="Times New Roman"/>
                <w:b/>
                <w:bCs/>
                <w:w w:val="95"/>
              </w:rPr>
              <w:t xml:space="preserve">Brojčana oznaka </w:t>
            </w:r>
          </w:p>
        </w:tc>
        <w:tc>
          <w:tcPr>
            <w:tcW w:w="1615" w:type="pct"/>
            <w:shd w:val="clear" w:color="auto" w:fill="BFBFBF"/>
          </w:tcPr>
          <w:p w14:paraId="560E13CD" w14:textId="77777777" w:rsidR="00D239ED" w:rsidRPr="00B25C74" w:rsidRDefault="00D239ED" w:rsidP="00D239ED">
            <w:pPr>
              <w:rPr>
                <w:rFonts w:ascii="Times New Roman" w:hAnsi="Times New Roman"/>
                <w:b/>
                <w:bCs/>
                <w:w w:val="95"/>
              </w:rPr>
            </w:pPr>
            <w:r w:rsidRPr="00B25C74">
              <w:rPr>
                <w:rFonts w:ascii="Times New Roman" w:hAnsi="Times New Roman"/>
                <w:b/>
                <w:bCs/>
                <w:w w:val="95"/>
              </w:rPr>
              <w:t>Naziv programa</w:t>
            </w:r>
          </w:p>
        </w:tc>
        <w:tc>
          <w:tcPr>
            <w:tcW w:w="907" w:type="pct"/>
            <w:shd w:val="clear" w:color="auto" w:fill="BFBFBF"/>
          </w:tcPr>
          <w:p w14:paraId="3E91B214" w14:textId="0AEC99AE" w:rsidR="00D239ED" w:rsidRPr="00B25C74" w:rsidRDefault="00D239ED" w:rsidP="00D239ED">
            <w:pPr>
              <w:jc w:val="center"/>
              <w:rPr>
                <w:rFonts w:ascii="Times New Roman" w:hAnsi="Times New Roman"/>
                <w:b/>
                <w:bCs/>
                <w:w w:val="95"/>
              </w:rPr>
            </w:pPr>
            <w:r w:rsidRPr="00B25C74">
              <w:rPr>
                <w:rFonts w:ascii="Times New Roman" w:hAnsi="Times New Roman"/>
                <w:b/>
                <w:bCs/>
                <w:w w:val="95"/>
              </w:rPr>
              <w:t>Rebalans 202</w:t>
            </w:r>
            <w:r w:rsidR="00B25C74" w:rsidRPr="00B25C74">
              <w:rPr>
                <w:rFonts w:ascii="Times New Roman" w:hAnsi="Times New Roman"/>
                <w:b/>
                <w:bCs/>
                <w:w w:val="95"/>
              </w:rPr>
              <w:t>4</w:t>
            </w:r>
            <w:r w:rsidRPr="00B25C74">
              <w:rPr>
                <w:rFonts w:ascii="Times New Roman" w:hAnsi="Times New Roman"/>
                <w:b/>
                <w:bCs/>
                <w:w w:val="95"/>
              </w:rPr>
              <w:t>.</w:t>
            </w:r>
          </w:p>
        </w:tc>
        <w:tc>
          <w:tcPr>
            <w:tcW w:w="907" w:type="pct"/>
            <w:shd w:val="clear" w:color="auto" w:fill="BFBFBF"/>
          </w:tcPr>
          <w:p w14:paraId="1284B10F" w14:textId="141E850A" w:rsidR="00D239ED" w:rsidRPr="00B25C74" w:rsidRDefault="00D239ED" w:rsidP="00D239ED">
            <w:pPr>
              <w:jc w:val="center"/>
              <w:rPr>
                <w:rFonts w:ascii="Times New Roman" w:hAnsi="Times New Roman"/>
                <w:b/>
                <w:bCs/>
                <w:w w:val="95"/>
              </w:rPr>
            </w:pPr>
            <w:r w:rsidRPr="00B25C74">
              <w:rPr>
                <w:rFonts w:ascii="Times New Roman" w:hAnsi="Times New Roman"/>
                <w:b/>
                <w:bCs/>
                <w:w w:val="95"/>
              </w:rPr>
              <w:t>Izvršenje 202</w:t>
            </w:r>
            <w:r w:rsidR="00B25C74" w:rsidRPr="00B25C74">
              <w:rPr>
                <w:rFonts w:ascii="Times New Roman" w:hAnsi="Times New Roman"/>
                <w:b/>
                <w:bCs/>
                <w:w w:val="95"/>
              </w:rPr>
              <w:t>4</w:t>
            </w:r>
            <w:r w:rsidRPr="00B25C74">
              <w:rPr>
                <w:rFonts w:ascii="Times New Roman" w:hAnsi="Times New Roman"/>
                <w:b/>
                <w:bCs/>
                <w:w w:val="95"/>
              </w:rPr>
              <w:t>.</w:t>
            </w:r>
          </w:p>
        </w:tc>
        <w:tc>
          <w:tcPr>
            <w:tcW w:w="582" w:type="pct"/>
            <w:shd w:val="clear" w:color="auto" w:fill="BFBFBF"/>
          </w:tcPr>
          <w:p w14:paraId="0D00FE68" w14:textId="4DE7AD3D" w:rsidR="00D239ED" w:rsidRPr="00B25C74" w:rsidRDefault="00D239ED" w:rsidP="00D239ED">
            <w:pPr>
              <w:jc w:val="center"/>
              <w:rPr>
                <w:rFonts w:ascii="Times New Roman" w:hAnsi="Times New Roman"/>
                <w:b/>
                <w:bCs/>
                <w:w w:val="95"/>
              </w:rPr>
            </w:pPr>
            <w:r w:rsidRPr="00B25C74">
              <w:rPr>
                <w:rFonts w:ascii="Times New Roman" w:hAnsi="Times New Roman"/>
                <w:b/>
                <w:bCs/>
                <w:w w:val="95"/>
              </w:rPr>
              <w:t>Indeks</w:t>
            </w:r>
          </w:p>
        </w:tc>
      </w:tr>
      <w:tr w:rsidR="00D239ED" w:rsidRPr="0029671A" w14:paraId="2DA380CC" w14:textId="7A2C8E0E" w:rsidTr="00831280">
        <w:trPr>
          <w:trHeight w:val="454"/>
        </w:trPr>
        <w:tc>
          <w:tcPr>
            <w:tcW w:w="414" w:type="pct"/>
            <w:shd w:val="clear" w:color="auto" w:fill="auto"/>
          </w:tcPr>
          <w:p w14:paraId="37B6B526" w14:textId="77777777" w:rsidR="00D239ED" w:rsidRPr="009A3EF2" w:rsidRDefault="00D239ED" w:rsidP="00263B45">
            <w:pPr>
              <w:jc w:val="center"/>
              <w:rPr>
                <w:rFonts w:ascii="Times New Roman" w:hAnsi="Times New Roman"/>
                <w:w w:val="95"/>
              </w:rPr>
            </w:pPr>
            <w:r w:rsidRPr="009A3EF2">
              <w:rPr>
                <w:rFonts w:ascii="Times New Roman" w:hAnsi="Times New Roman"/>
                <w:w w:val="95"/>
              </w:rPr>
              <w:t>1.</w:t>
            </w:r>
          </w:p>
        </w:tc>
        <w:tc>
          <w:tcPr>
            <w:tcW w:w="574" w:type="pct"/>
            <w:shd w:val="clear" w:color="auto" w:fill="auto"/>
          </w:tcPr>
          <w:p w14:paraId="77504BE4" w14:textId="77777777" w:rsidR="00D239ED" w:rsidRPr="009A3EF2" w:rsidRDefault="00D239ED" w:rsidP="00263B45">
            <w:pPr>
              <w:jc w:val="center"/>
              <w:rPr>
                <w:rFonts w:ascii="Times New Roman" w:hAnsi="Times New Roman"/>
                <w:w w:val="95"/>
              </w:rPr>
            </w:pPr>
            <w:r w:rsidRPr="009A3EF2">
              <w:rPr>
                <w:rFonts w:ascii="Times New Roman" w:hAnsi="Times New Roman"/>
                <w:w w:val="95"/>
              </w:rPr>
              <w:t>1003</w:t>
            </w:r>
          </w:p>
        </w:tc>
        <w:tc>
          <w:tcPr>
            <w:tcW w:w="1615" w:type="pct"/>
            <w:shd w:val="clear" w:color="auto" w:fill="auto"/>
          </w:tcPr>
          <w:p w14:paraId="5E7C68E8" w14:textId="77777777" w:rsidR="00D239ED" w:rsidRPr="009A3EF2" w:rsidRDefault="00D239ED" w:rsidP="00263B45">
            <w:pPr>
              <w:rPr>
                <w:rFonts w:ascii="Times New Roman" w:hAnsi="Times New Roman"/>
                <w:w w:val="95"/>
              </w:rPr>
            </w:pPr>
            <w:r w:rsidRPr="009A3EF2">
              <w:rPr>
                <w:rFonts w:ascii="Times New Roman" w:hAnsi="Times New Roman"/>
                <w:w w:val="95"/>
              </w:rPr>
              <w:t>Priprema i donošenje akata iz djelokruga tijela</w:t>
            </w:r>
          </w:p>
        </w:tc>
        <w:tc>
          <w:tcPr>
            <w:tcW w:w="907" w:type="pct"/>
          </w:tcPr>
          <w:p w14:paraId="45B8586F" w14:textId="22841C7D" w:rsidR="00D239ED" w:rsidRPr="009A3EF2" w:rsidRDefault="00B25C74" w:rsidP="00263B45">
            <w:pPr>
              <w:jc w:val="right"/>
              <w:rPr>
                <w:rFonts w:ascii="Times New Roman" w:hAnsi="Times New Roman"/>
                <w:w w:val="95"/>
              </w:rPr>
            </w:pPr>
            <w:r>
              <w:rPr>
                <w:rFonts w:ascii="Times New Roman" w:hAnsi="Times New Roman"/>
                <w:w w:val="95"/>
              </w:rPr>
              <w:t>1.203.560,00</w:t>
            </w:r>
          </w:p>
        </w:tc>
        <w:tc>
          <w:tcPr>
            <w:tcW w:w="907" w:type="pct"/>
            <w:shd w:val="clear" w:color="auto" w:fill="FFFFFF"/>
          </w:tcPr>
          <w:p w14:paraId="65D16884" w14:textId="5503667C" w:rsidR="00D239ED" w:rsidRPr="009A3EF2" w:rsidRDefault="00B25C74" w:rsidP="00263B45">
            <w:pPr>
              <w:jc w:val="right"/>
              <w:rPr>
                <w:rFonts w:ascii="Times New Roman" w:hAnsi="Times New Roman"/>
                <w:w w:val="95"/>
              </w:rPr>
            </w:pPr>
            <w:r>
              <w:rPr>
                <w:rFonts w:ascii="Times New Roman" w:hAnsi="Times New Roman"/>
                <w:w w:val="95"/>
              </w:rPr>
              <w:t>943.705,45</w:t>
            </w:r>
          </w:p>
        </w:tc>
        <w:tc>
          <w:tcPr>
            <w:tcW w:w="582" w:type="pct"/>
            <w:shd w:val="clear" w:color="auto" w:fill="FFFFFF"/>
          </w:tcPr>
          <w:p w14:paraId="1A52AAB8" w14:textId="6CE93A6F" w:rsidR="00D239ED" w:rsidRPr="009A3EF2" w:rsidRDefault="00B25C74" w:rsidP="00263B45">
            <w:pPr>
              <w:jc w:val="right"/>
              <w:rPr>
                <w:rFonts w:ascii="Times New Roman" w:hAnsi="Times New Roman"/>
                <w:w w:val="95"/>
              </w:rPr>
            </w:pPr>
            <w:r>
              <w:rPr>
                <w:rFonts w:ascii="Times New Roman" w:hAnsi="Times New Roman"/>
                <w:w w:val="95"/>
              </w:rPr>
              <w:t>78.41</w:t>
            </w:r>
          </w:p>
        </w:tc>
      </w:tr>
      <w:tr w:rsidR="00D239ED" w:rsidRPr="0029671A" w14:paraId="64F51616" w14:textId="706C2397" w:rsidTr="00831280">
        <w:tc>
          <w:tcPr>
            <w:tcW w:w="414" w:type="pct"/>
            <w:shd w:val="clear" w:color="auto" w:fill="auto"/>
          </w:tcPr>
          <w:p w14:paraId="7490DAB6" w14:textId="77777777" w:rsidR="00D239ED" w:rsidRPr="009A3EF2" w:rsidRDefault="00D239ED" w:rsidP="00263B45">
            <w:pPr>
              <w:jc w:val="center"/>
              <w:rPr>
                <w:rFonts w:ascii="Times New Roman" w:hAnsi="Times New Roman"/>
                <w:w w:val="95"/>
              </w:rPr>
            </w:pPr>
            <w:r w:rsidRPr="009A3EF2">
              <w:rPr>
                <w:rFonts w:ascii="Times New Roman" w:hAnsi="Times New Roman"/>
                <w:w w:val="95"/>
              </w:rPr>
              <w:t>2.</w:t>
            </w:r>
          </w:p>
        </w:tc>
        <w:tc>
          <w:tcPr>
            <w:tcW w:w="574" w:type="pct"/>
            <w:shd w:val="clear" w:color="auto" w:fill="auto"/>
          </w:tcPr>
          <w:p w14:paraId="742378B1" w14:textId="77777777" w:rsidR="00D239ED" w:rsidRPr="009A3EF2" w:rsidRDefault="00D239ED" w:rsidP="00263B45">
            <w:pPr>
              <w:jc w:val="center"/>
              <w:rPr>
                <w:rFonts w:ascii="Times New Roman" w:hAnsi="Times New Roman"/>
                <w:w w:val="95"/>
              </w:rPr>
            </w:pPr>
            <w:r w:rsidRPr="009A3EF2">
              <w:rPr>
                <w:rFonts w:ascii="Times New Roman" w:hAnsi="Times New Roman"/>
                <w:w w:val="95"/>
              </w:rPr>
              <w:t>1004</w:t>
            </w:r>
          </w:p>
        </w:tc>
        <w:tc>
          <w:tcPr>
            <w:tcW w:w="1615" w:type="pct"/>
            <w:shd w:val="clear" w:color="auto" w:fill="auto"/>
          </w:tcPr>
          <w:p w14:paraId="0FDA12D1" w14:textId="77777777" w:rsidR="00D239ED" w:rsidRPr="009A3EF2" w:rsidRDefault="00D239ED" w:rsidP="00263B45">
            <w:pPr>
              <w:rPr>
                <w:rFonts w:ascii="Times New Roman" w:hAnsi="Times New Roman"/>
                <w:w w:val="95"/>
              </w:rPr>
            </w:pPr>
            <w:r w:rsidRPr="009A3EF2">
              <w:rPr>
                <w:rFonts w:ascii="Times New Roman" w:hAnsi="Times New Roman"/>
                <w:w w:val="95"/>
              </w:rPr>
              <w:t>Zaštita okoliša i prirode</w:t>
            </w:r>
          </w:p>
        </w:tc>
        <w:tc>
          <w:tcPr>
            <w:tcW w:w="907" w:type="pct"/>
          </w:tcPr>
          <w:p w14:paraId="530BCAC2" w14:textId="65248390" w:rsidR="00D239ED" w:rsidRPr="009A3EF2" w:rsidRDefault="00B25C74" w:rsidP="00263B45">
            <w:pPr>
              <w:jc w:val="right"/>
              <w:rPr>
                <w:rFonts w:ascii="Times New Roman" w:hAnsi="Times New Roman"/>
                <w:w w:val="95"/>
              </w:rPr>
            </w:pPr>
            <w:r>
              <w:rPr>
                <w:rFonts w:ascii="Times New Roman" w:hAnsi="Times New Roman"/>
                <w:w w:val="95"/>
              </w:rPr>
              <w:t>1.549.538,00</w:t>
            </w:r>
          </w:p>
        </w:tc>
        <w:tc>
          <w:tcPr>
            <w:tcW w:w="907" w:type="pct"/>
            <w:shd w:val="clear" w:color="auto" w:fill="FFFFFF"/>
          </w:tcPr>
          <w:p w14:paraId="3C10A0C9" w14:textId="6481A015" w:rsidR="00D239ED" w:rsidRPr="009A3EF2" w:rsidRDefault="00B25C74" w:rsidP="00263B45">
            <w:pPr>
              <w:jc w:val="right"/>
              <w:rPr>
                <w:rFonts w:ascii="Times New Roman" w:hAnsi="Times New Roman"/>
                <w:w w:val="95"/>
              </w:rPr>
            </w:pPr>
            <w:r>
              <w:rPr>
                <w:rFonts w:ascii="Times New Roman" w:hAnsi="Times New Roman"/>
                <w:w w:val="95"/>
              </w:rPr>
              <w:t>1.485.074,90</w:t>
            </w:r>
          </w:p>
        </w:tc>
        <w:tc>
          <w:tcPr>
            <w:tcW w:w="582" w:type="pct"/>
            <w:shd w:val="clear" w:color="auto" w:fill="FFFFFF"/>
          </w:tcPr>
          <w:p w14:paraId="7F9E5462" w14:textId="20A417D8" w:rsidR="00D239ED" w:rsidRPr="009A3EF2" w:rsidRDefault="00B25C74" w:rsidP="00263B45">
            <w:pPr>
              <w:jc w:val="right"/>
              <w:rPr>
                <w:rFonts w:ascii="Times New Roman" w:hAnsi="Times New Roman"/>
                <w:w w:val="95"/>
              </w:rPr>
            </w:pPr>
            <w:r>
              <w:rPr>
                <w:rFonts w:ascii="Times New Roman" w:hAnsi="Times New Roman"/>
                <w:w w:val="95"/>
              </w:rPr>
              <w:t>95,84</w:t>
            </w:r>
          </w:p>
        </w:tc>
      </w:tr>
      <w:tr w:rsidR="00D239ED" w:rsidRPr="0029671A" w14:paraId="1D48BD03" w14:textId="78182F9B" w:rsidTr="00831280">
        <w:tc>
          <w:tcPr>
            <w:tcW w:w="414" w:type="pct"/>
            <w:shd w:val="clear" w:color="auto" w:fill="auto"/>
          </w:tcPr>
          <w:p w14:paraId="295D2661" w14:textId="77777777" w:rsidR="00D239ED" w:rsidRPr="009A3EF2" w:rsidRDefault="00D239ED" w:rsidP="00263B45">
            <w:pPr>
              <w:jc w:val="center"/>
              <w:rPr>
                <w:rFonts w:ascii="Times New Roman" w:hAnsi="Times New Roman"/>
                <w:w w:val="95"/>
              </w:rPr>
            </w:pPr>
            <w:r w:rsidRPr="009A3EF2">
              <w:rPr>
                <w:rFonts w:ascii="Times New Roman" w:hAnsi="Times New Roman"/>
                <w:w w:val="95"/>
              </w:rPr>
              <w:t>3.</w:t>
            </w:r>
          </w:p>
        </w:tc>
        <w:tc>
          <w:tcPr>
            <w:tcW w:w="574" w:type="pct"/>
            <w:shd w:val="clear" w:color="auto" w:fill="auto"/>
          </w:tcPr>
          <w:p w14:paraId="75962FA7" w14:textId="77777777" w:rsidR="00D239ED" w:rsidRPr="009A3EF2" w:rsidRDefault="00D239ED" w:rsidP="00263B45">
            <w:pPr>
              <w:jc w:val="center"/>
              <w:rPr>
                <w:rFonts w:ascii="Times New Roman" w:hAnsi="Times New Roman"/>
                <w:w w:val="95"/>
              </w:rPr>
            </w:pPr>
            <w:r w:rsidRPr="009A3EF2">
              <w:rPr>
                <w:rFonts w:ascii="Times New Roman" w:hAnsi="Times New Roman"/>
                <w:w w:val="95"/>
              </w:rPr>
              <w:t>1009</w:t>
            </w:r>
          </w:p>
        </w:tc>
        <w:tc>
          <w:tcPr>
            <w:tcW w:w="1615" w:type="pct"/>
            <w:shd w:val="clear" w:color="auto" w:fill="auto"/>
          </w:tcPr>
          <w:p w14:paraId="1DAF0066" w14:textId="77777777" w:rsidR="00D239ED" w:rsidRPr="009A3EF2" w:rsidRDefault="00D239ED" w:rsidP="00263B45">
            <w:pPr>
              <w:rPr>
                <w:rFonts w:ascii="Times New Roman" w:hAnsi="Times New Roman"/>
                <w:w w:val="95"/>
              </w:rPr>
            </w:pPr>
            <w:r w:rsidRPr="009A3EF2">
              <w:rPr>
                <w:rFonts w:ascii="Times New Roman" w:hAnsi="Times New Roman"/>
                <w:w w:val="95"/>
              </w:rPr>
              <w:t>Poticanje razvoja gospodarstva</w:t>
            </w:r>
          </w:p>
        </w:tc>
        <w:tc>
          <w:tcPr>
            <w:tcW w:w="907" w:type="pct"/>
          </w:tcPr>
          <w:p w14:paraId="519F8102" w14:textId="191D11FB" w:rsidR="00D239ED" w:rsidRPr="009A3EF2" w:rsidRDefault="00B25C74" w:rsidP="00263B45">
            <w:pPr>
              <w:jc w:val="right"/>
              <w:rPr>
                <w:rFonts w:ascii="Times New Roman" w:hAnsi="Times New Roman"/>
                <w:w w:val="95"/>
              </w:rPr>
            </w:pPr>
            <w:r>
              <w:rPr>
                <w:rFonts w:ascii="Times New Roman" w:hAnsi="Times New Roman"/>
                <w:w w:val="95"/>
              </w:rPr>
              <w:t>255.220,00</w:t>
            </w:r>
          </w:p>
        </w:tc>
        <w:tc>
          <w:tcPr>
            <w:tcW w:w="907" w:type="pct"/>
            <w:shd w:val="clear" w:color="auto" w:fill="FFFFFF"/>
          </w:tcPr>
          <w:p w14:paraId="5DAEFDBA" w14:textId="10C673FE" w:rsidR="00D239ED" w:rsidRPr="009A3EF2" w:rsidRDefault="00B25C74" w:rsidP="00263B45">
            <w:pPr>
              <w:jc w:val="right"/>
              <w:rPr>
                <w:rFonts w:ascii="Times New Roman" w:hAnsi="Times New Roman"/>
                <w:w w:val="95"/>
              </w:rPr>
            </w:pPr>
            <w:r>
              <w:rPr>
                <w:rFonts w:ascii="Times New Roman" w:hAnsi="Times New Roman"/>
                <w:w w:val="95"/>
              </w:rPr>
              <w:t>223.925,02</w:t>
            </w:r>
          </w:p>
        </w:tc>
        <w:tc>
          <w:tcPr>
            <w:tcW w:w="582" w:type="pct"/>
            <w:shd w:val="clear" w:color="auto" w:fill="FFFFFF"/>
          </w:tcPr>
          <w:p w14:paraId="52E73ED3" w14:textId="345CD7F6" w:rsidR="00D239ED" w:rsidRPr="009A3EF2" w:rsidRDefault="00B25C74" w:rsidP="00263B45">
            <w:pPr>
              <w:jc w:val="right"/>
              <w:rPr>
                <w:rFonts w:ascii="Times New Roman" w:hAnsi="Times New Roman"/>
                <w:w w:val="95"/>
              </w:rPr>
            </w:pPr>
            <w:r>
              <w:rPr>
                <w:rFonts w:ascii="Times New Roman" w:hAnsi="Times New Roman"/>
                <w:w w:val="95"/>
              </w:rPr>
              <w:t>87,74</w:t>
            </w:r>
          </w:p>
        </w:tc>
      </w:tr>
      <w:tr w:rsidR="00D239ED" w:rsidRPr="0029671A" w14:paraId="430C3400" w14:textId="0C6205B0" w:rsidTr="00831280">
        <w:trPr>
          <w:trHeight w:val="494"/>
        </w:trPr>
        <w:tc>
          <w:tcPr>
            <w:tcW w:w="414" w:type="pct"/>
            <w:shd w:val="clear" w:color="auto" w:fill="auto"/>
          </w:tcPr>
          <w:p w14:paraId="0A87D9E9" w14:textId="77777777" w:rsidR="00D239ED" w:rsidRPr="009A3EF2" w:rsidRDefault="00D239ED" w:rsidP="00263B45">
            <w:pPr>
              <w:jc w:val="center"/>
              <w:rPr>
                <w:rFonts w:ascii="Times New Roman" w:hAnsi="Times New Roman"/>
                <w:w w:val="95"/>
              </w:rPr>
            </w:pPr>
            <w:r w:rsidRPr="009A3EF2">
              <w:rPr>
                <w:rFonts w:ascii="Times New Roman" w:hAnsi="Times New Roman"/>
                <w:w w:val="95"/>
              </w:rPr>
              <w:t>4.</w:t>
            </w:r>
          </w:p>
        </w:tc>
        <w:tc>
          <w:tcPr>
            <w:tcW w:w="574" w:type="pct"/>
            <w:shd w:val="clear" w:color="auto" w:fill="auto"/>
          </w:tcPr>
          <w:p w14:paraId="18BF6D81" w14:textId="77777777" w:rsidR="00D239ED" w:rsidRPr="009A3EF2" w:rsidRDefault="00D239ED" w:rsidP="00263B45">
            <w:pPr>
              <w:jc w:val="center"/>
              <w:rPr>
                <w:rFonts w:ascii="Times New Roman" w:hAnsi="Times New Roman"/>
                <w:w w:val="95"/>
              </w:rPr>
            </w:pPr>
            <w:r w:rsidRPr="009A3EF2">
              <w:rPr>
                <w:rFonts w:ascii="Times New Roman" w:hAnsi="Times New Roman"/>
                <w:w w:val="95"/>
              </w:rPr>
              <w:t>1010</w:t>
            </w:r>
          </w:p>
        </w:tc>
        <w:tc>
          <w:tcPr>
            <w:tcW w:w="1615" w:type="pct"/>
            <w:shd w:val="clear" w:color="auto" w:fill="auto"/>
          </w:tcPr>
          <w:p w14:paraId="02D8A7A3" w14:textId="77777777" w:rsidR="00D239ED" w:rsidRPr="009A3EF2" w:rsidRDefault="00D239ED" w:rsidP="00263B45">
            <w:pPr>
              <w:rPr>
                <w:rFonts w:ascii="Times New Roman" w:hAnsi="Times New Roman"/>
                <w:w w:val="95"/>
              </w:rPr>
            </w:pPr>
            <w:r w:rsidRPr="009A3EF2">
              <w:rPr>
                <w:rFonts w:ascii="Times New Roman" w:hAnsi="Times New Roman"/>
                <w:w w:val="95"/>
              </w:rPr>
              <w:t>Održavanje komunalne infrastrukture</w:t>
            </w:r>
          </w:p>
        </w:tc>
        <w:tc>
          <w:tcPr>
            <w:tcW w:w="907" w:type="pct"/>
          </w:tcPr>
          <w:p w14:paraId="7D877AFF" w14:textId="1164D929" w:rsidR="00D239ED" w:rsidRPr="009A3EF2" w:rsidRDefault="00B25C74" w:rsidP="00263B45">
            <w:pPr>
              <w:jc w:val="right"/>
              <w:rPr>
                <w:rFonts w:ascii="Times New Roman" w:hAnsi="Times New Roman"/>
                <w:w w:val="95"/>
              </w:rPr>
            </w:pPr>
            <w:r>
              <w:rPr>
                <w:rFonts w:ascii="Times New Roman" w:hAnsi="Times New Roman"/>
                <w:w w:val="95"/>
              </w:rPr>
              <w:t>904.980,00</w:t>
            </w:r>
          </w:p>
        </w:tc>
        <w:tc>
          <w:tcPr>
            <w:tcW w:w="907" w:type="pct"/>
            <w:shd w:val="clear" w:color="auto" w:fill="FFFFFF"/>
          </w:tcPr>
          <w:p w14:paraId="4CA3CD6A" w14:textId="4DC85C5D" w:rsidR="00D239ED" w:rsidRPr="009A3EF2" w:rsidRDefault="00B25C74" w:rsidP="00263B45">
            <w:pPr>
              <w:jc w:val="right"/>
              <w:rPr>
                <w:rFonts w:ascii="Times New Roman" w:hAnsi="Times New Roman"/>
                <w:w w:val="95"/>
              </w:rPr>
            </w:pPr>
            <w:r>
              <w:rPr>
                <w:rFonts w:ascii="Times New Roman" w:hAnsi="Times New Roman"/>
                <w:w w:val="95"/>
              </w:rPr>
              <w:t>768.127,41</w:t>
            </w:r>
          </w:p>
        </w:tc>
        <w:tc>
          <w:tcPr>
            <w:tcW w:w="582" w:type="pct"/>
            <w:shd w:val="clear" w:color="auto" w:fill="FFFFFF"/>
          </w:tcPr>
          <w:p w14:paraId="2780ED08" w14:textId="08137724" w:rsidR="00D239ED" w:rsidRPr="009A3EF2" w:rsidRDefault="00B25C74" w:rsidP="00263B45">
            <w:pPr>
              <w:jc w:val="right"/>
              <w:rPr>
                <w:rFonts w:ascii="Times New Roman" w:hAnsi="Times New Roman"/>
                <w:w w:val="95"/>
              </w:rPr>
            </w:pPr>
            <w:r>
              <w:rPr>
                <w:rFonts w:ascii="Times New Roman" w:hAnsi="Times New Roman"/>
                <w:w w:val="95"/>
              </w:rPr>
              <w:t>84,88</w:t>
            </w:r>
          </w:p>
        </w:tc>
      </w:tr>
      <w:tr w:rsidR="00D239ED" w:rsidRPr="0029671A" w14:paraId="1E06465E" w14:textId="1812194F" w:rsidTr="00831280">
        <w:trPr>
          <w:trHeight w:val="354"/>
        </w:trPr>
        <w:tc>
          <w:tcPr>
            <w:tcW w:w="414" w:type="pct"/>
            <w:shd w:val="clear" w:color="auto" w:fill="auto"/>
          </w:tcPr>
          <w:p w14:paraId="4633C256" w14:textId="77777777" w:rsidR="00D239ED" w:rsidRPr="009A3EF2" w:rsidRDefault="00D239ED" w:rsidP="00263B45">
            <w:pPr>
              <w:jc w:val="center"/>
              <w:rPr>
                <w:rFonts w:ascii="Times New Roman" w:hAnsi="Times New Roman"/>
                <w:w w:val="95"/>
              </w:rPr>
            </w:pPr>
            <w:r w:rsidRPr="009A3EF2">
              <w:rPr>
                <w:rFonts w:ascii="Times New Roman" w:hAnsi="Times New Roman"/>
                <w:w w:val="95"/>
              </w:rPr>
              <w:t>5.</w:t>
            </w:r>
          </w:p>
        </w:tc>
        <w:tc>
          <w:tcPr>
            <w:tcW w:w="574" w:type="pct"/>
            <w:shd w:val="clear" w:color="auto" w:fill="auto"/>
          </w:tcPr>
          <w:p w14:paraId="4AB32B04" w14:textId="77777777" w:rsidR="00D239ED" w:rsidRPr="009A3EF2" w:rsidRDefault="00D239ED" w:rsidP="00263B45">
            <w:pPr>
              <w:jc w:val="center"/>
              <w:rPr>
                <w:rFonts w:ascii="Times New Roman" w:hAnsi="Times New Roman"/>
                <w:w w:val="95"/>
              </w:rPr>
            </w:pPr>
            <w:r w:rsidRPr="009A3EF2">
              <w:rPr>
                <w:rFonts w:ascii="Times New Roman" w:hAnsi="Times New Roman"/>
                <w:w w:val="95"/>
              </w:rPr>
              <w:t>1011</w:t>
            </w:r>
          </w:p>
        </w:tc>
        <w:tc>
          <w:tcPr>
            <w:tcW w:w="1615" w:type="pct"/>
            <w:shd w:val="clear" w:color="auto" w:fill="auto"/>
          </w:tcPr>
          <w:p w14:paraId="5686271F" w14:textId="77777777" w:rsidR="00D239ED" w:rsidRPr="009A3EF2" w:rsidRDefault="00D239ED" w:rsidP="00263B45">
            <w:pPr>
              <w:rPr>
                <w:rFonts w:ascii="Times New Roman" w:hAnsi="Times New Roman"/>
                <w:w w:val="95"/>
              </w:rPr>
            </w:pPr>
            <w:r w:rsidRPr="009A3EF2">
              <w:rPr>
                <w:rFonts w:ascii="Times New Roman" w:hAnsi="Times New Roman"/>
                <w:w w:val="95"/>
              </w:rPr>
              <w:t>Izgradnja komunalne infrastrukture</w:t>
            </w:r>
          </w:p>
        </w:tc>
        <w:tc>
          <w:tcPr>
            <w:tcW w:w="907" w:type="pct"/>
          </w:tcPr>
          <w:p w14:paraId="2E3A1483" w14:textId="034878A0" w:rsidR="00D239ED" w:rsidRPr="009A3EF2" w:rsidRDefault="00B25C74" w:rsidP="00263B45">
            <w:pPr>
              <w:jc w:val="right"/>
              <w:rPr>
                <w:rFonts w:ascii="Times New Roman" w:hAnsi="Times New Roman"/>
                <w:w w:val="95"/>
              </w:rPr>
            </w:pPr>
            <w:r>
              <w:rPr>
                <w:rFonts w:ascii="Times New Roman" w:hAnsi="Times New Roman"/>
                <w:w w:val="95"/>
              </w:rPr>
              <w:t>374.477,28</w:t>
            </w:r>
          </w:p>
        </w:tc>
        <w:tc>
          <w:tcPr>
            <w:tcW w:w="907" w:type="pct"/>
            <w:shd w:val="clear" w:color="auto" w:fill="auto"/>
          </w:tcPr>
          <w:p w14:paraId="7397B4F6" w14:textId="3FAF4B9C" w:rsidR="00D239ED" w:rsidRPr="009A3EF2" w:rsidRDefault="00B25C74" w:rsidP="00263B45">
            <w:pPr>
              <w:jc w:val="right"/>
              <w:rPr>
                <w:rFonts w:ascii="Times New Roman" w:hAnsi="Times New Roman"/>
                <w:w w:val="95"/>
              </w:rPr>
            </w:pPr>
            <w:r>
              <w:rPr>
                <w:rFonts w:ascii="Times New Roman" w:hAnsi="Times New Roman"/>
                <w:w w:val="95"/>
              </w:rPr>
              <w:t>335.276,69</w:t>
            </w:r>
          </w:p>
        </w:tc>
        <w:tc>
          <w:tcPr>
            <w:tcW w:w="582" w:type="pct"/>
          </w:tcPr>
          <w:p w14:paraId="0961B788" w14:textId="0FC54180" w:rsidR="00D239ED" w:rsidRPr="009A3EF2" w:rsidRDefault="00B25C74" w:rsidP="00263B45">
            <w:pPr>
              <w:jc w:val="right"/>
              <w:rPr>
                <w:rFonts w:ascii="Times New Roman" w:hAnsi="Times New Roman"/>
                <w:w w:val="95"/>
              </w:rPr>
            </w:pPr>
            <w:r>
              <w:rPr>
                <w:rFonts w:ascii="Times New Roman" w:hAnsi="Times New Roman"/>
                <w:w w:val="95"/>
              </w:rPr>
              <w:t>89,53</w:t>
            </w:r>
          </w:p>
        </w:tc>
      </w:tr>
      <w:tr w:rsidR="00D239ED" w:rsidRPr="0029671A" w14:paraId="6148467B" w14:textId="04CA88FE" w:rsidTr="00831280">
        <w:tc>
          <w:tcPr>
            <w:tcW w:w="414" w:type="pct"/>
            <w:shd w:val="clear" w:color="auto" w:fill="auto"/>
          </w:tcPr>
          <w:p w14:paraId="71C64782" w14:textId="77777777" w:rsidR="00D239ED" w:rsidRPr="009A3EF2" w:rsidRDefault="00D239ED" w:rsidP="00263B45">
            <w:pPr>
              <w:jc w:val="center"/>
              <w:rPr>
                <w:rFonts w:ascii="Times New Roman" w:hAnsi="Times New Roman"/>
                <w:w w:val="95"/>
              </w:rPr>
            </w:pPr>
            <w:r w:rsidRPr="009A3EF2">
              <w:rPr>
                <w:rFonts w:ascii="Times New Roman" w:hAnsi="Times New Roman"/>
                <w:w w:val="95"/>
              </w:rPr>
              <w:t>6.</w:t>
            </w:r>
          </w:p>
        </w:tc>
        <w:tc>
          <w:tcPr>
            <w:tcW w:w="574" w:type="pct"/>
            <w:shd w:val="clear" w:color="auto" w:fill="auto"/>
          </w:tcPr>
          <w:p w14:paraId="5EB22B61" w14:textId="77777777" w:rsidR="00D239ED" w:rsidRPr="009A3EF2" w:rsidRDefault="00D239ED" w:rsidP="00263B45">
            <w:pPr>
              <w:jc w:val="center"/>
              <w:rPr>
                <w:rFonts w:ascii="Times New Roman" w:hAnsi="Times New Roman"/>
                <w:w w:val="95"/>
              </w:rPr>
            </w:pPr>
            <w:r w:rsidRPr="009A3EF2">
              <w:rPr>
                <w:rFonts w:ascii="Times New Roman" w:hAnsi="Times New Roman"/>
                <w:w w:val="95"/>
              </w:rPr>
              <w:t>1012</w:t>
            </w:r>
          </w:p>
        </w:tc>
        <w:tc>
          <w:tcPr>
            <w:tcW w:w="1615" w:type="pct"/>
            <w:shd w:val="clear" w:color="auto" w:fill="auto"/>
          </w:tcPr>
          <w:p w14:paraId="74370A77" w14:textId="77777777" w:rsidR="00D239ED" w:rsidRPr="009A3EF2" w:rsidRDefault="00D239ED" w:rsidP="00263B45">
            <w:pPr>
              <w:rPr>
                <w:rFonts w:ascii="Times New Roman" w:hAnsi="Times New Roman"/>
                <w:w w:val="95"/>
              </w:rPr>
            </w:pPr>
            <w:r w:rsidRPr="009A3EF2">
              <w:rPr>
                <w:rFonts w:ascii="Times New Roman" w:hAnsi="Times New Roman"/>
                <w:w w:val="95"/>
              </w:rPr>
              <w:t>Sufinanciranje izrade projektne dokumentacije i izgradnje vodnih građevina</w:t>
            </w:r>
          </w:p>
        </w:tc>
        <w:tc>
          <w:tcPr>
            <w:tcW w:w="907" w:type="pct"/>
          </w:tcPr>
          <w:p w14:paraId="604D5359" w14:textId="626AAEA2" w:rsidR="00D239ED" w:rsidRPr="009A3EF2" w:rsidRDefault="00B25C74" w:rsidP="00263B45">
            <w:pPr>
              <w:jc w:val="right"/>
              <w:rPr>
                <w:rFonts w:ascii="Times New Roman" w:hAnsi="Times New Roman"/>
                <w:w w:val="95"/>
              </w:rPr>
            </w:pPr>
            <w:r>
              <w:rPr>
                <w:rFonts w:ascii="Times New Roman" w:hAnsi="Times New Roman"/>
                <w:w w:val="95"/>
              </w:rPr>
              <w:t>64.000,00</w:t>
            </w:r>
          </w:p>
        </w:tc>
        <w:tc>
          <w:tcPr>
            <w:tcW w:w="907" w:type="pct"/>
            <w:shd w:val="clear" w:color="auto" w:fill="auto"/>
          </w:tcPr>
          <w:p w14:paraId="7E997C73" w14:textId="2DE70E43" w:rsidR="00D239ED" w:rsidRPr="009A3EF2" w:rsidRDefault="00B25C74" w:rsidP="00263B45">
            <w:pPr>
              <w:jc w:val="right"/>
              <w:rPr>
                <w:rFonts w:ascii="Times New Roman" w:hAnsi="Times New Roman"/>
                <w:w w:val="95"/>
              </w:rPr>
            </w:pPr>
            <w:r>
              <w:rPr>
                <w:rFonts w:ascii="Times New Roman" w:hAnsi="Times New Roman"/>
                <w:w w:val="95"/>
              </w:rPr>
              <w:t>61.205,87</w:t>
            </w:r>
          </w:p>
        </w:tc>
        <w:tc>
          <w:tcPr>
            <w:tcW w:w="582" w:type="pct"/>
          </w:tcPr>
          <w:p w14:paraId="68F62EAB" w14:textId="4C5A1AB3" w:rsidR="00D239ED" w:rsidRPr="009A3EF2" w:rsidRDefault="00B25C74" w:rsidP="00263B45">
            <w:pPr>
              <w:jc w:val="right"/>
              <w:rPr>
                <w:rFonts w:ascii="Times New Roman" w:hAnsi="Times New Roman"/>
                <w:w w:val="95"/>
              </w:rPr>
            </w:pPr>
            <w:r>
              <w:rPr>
                <w:rFonts w:ascii="Times New Roman" w:hAnsi="Times New Roman"/>
                <w:w w:val="95"/>
              </w:rPr>
              <w:t>95,63</w:t>
            </w:r>
          </w:p>
        </w:tc>
      </w:tr>
      <w:tr w:rsidR="0029671A" w:rsidRPr="0029671A" w14:paraId="0BC633E7" w14:textId="450A4E42" w:rsidTr="00831280">
        <w:trPr>
          <w:trHeight w:val="464"/>
        </w:trPr>
        <w:tc>
          <w:tcPr>
            <w:tcW w:w="414" w:type="pct"/>
            <w:shd w:val="clear" w:color="auto" w:fill="BFBFBF"/>
          </w:tcPr>
          <w:p w14:paraId="7A8C3F92" w14:textId="77777777" w:rsidR="00D239ED" w:rsidRPr="0029671A" w:rsidRDefault="00D239ED" w:rsidP="00263B45">
            <w:pPr>
              <w:rPr>
                <w:rFonts w:ascii="Times New Roman" w:hAnsi="Times New Roman"/>
                <w:sz w:val="20"/>
                <w:szCs w:val="20"/>
              </w:rPr>
            </w:pPr>
          </w:p>
        </w:tc>
        <w:tc>
          <w:tcPr>
            <w:tcW w:w="574" w:type="pct"/>
            <w:shd w:val="clear" w:color="auto" w:fill="BFBFBF"/>
          </w:tcPr>
          <w:p w14:paraId="716FC7AF" w14:textId="39594ABD" w:rsidR="00D239ED" w:rsidRPr="0029671A" w:rsidRDefault="00D239ED" w:rsidP="00263B45">
            <w:pPr>
              <w:jc w:val="center"/>
              <w:rPr>
                <w:rFonts w:ascii="Times New Roman" w:hAnsi="Times New Roman"/>
                <w:b/>
                <w:sz w:val="20"/>
                <w:szCs w:val="20"/>
              </w:rPr>
            </w:pPr>
          </w:p>
        </w:tc>
        <w:tc>
          <w:tcPr>
            <w:tcW w:w="1615" w:type="pct"/>
            <w:shd w:val="clear" w:color="auto" w:fill="BFBFBF"/>
          </w:tcPr>
          <w:p w14:paraId="684C8A52" w14:textId="77777777" w:rsidR="00D239ED" w:rsidRPr="009A3EF2" w:rsidRDefault="00D239ED" w:rsidP="00263B45">
            <w:pPr>
              <w:jc w:val="right"/>
              <w:rPr>
                <w:rFonts w:ascii="Times New Roman" w:hAnsi="Times New Roman"/>
                <w:w w:val="95"/>
              </w:rPr>
            </w:pPr>
            <w:r w:rsidRPr="009A3EF2">
              <w:rPr>
                <w:rFonts w:ascii="Times New Roman" w:hAnsi="Times New Roman"/>
                <w:w w:val="95"/>
              </w:rPr>
              <w:t>Ukupno:</w:t>
            </w:r>
          </w:p>
        </w:tc>
        <w:tc>
          <w:tcPr>
            <w:tcW w:w="907" w:type="pct"/>
            <w:shd w:val="clear" w:color="auto" w:fill="BFBFBF"/>
          </w:tcPr>
          <w:p w14:paraId="4F5F78F4" w14:textId="18C5BBF9" w:rsidR="00D239ED" w:rsidRPr="009A3EF2" w:rsidRDefault="00831280" w:rsidP="00263B45">
            <w:pPr>
              <w:jc w:val="right"/>
              <w:rPr>
                <w:rFonts w:ascii="Times New Roman" w:hAnsi="Times New Roman"/>
                <w:w w:val="95"/>
              </w:rPr>
            </w:pPr>
            <w:r>
              <w:rPr>
                <w:rFonts w:ascii="Times New Roman" w:hAnsi="Times New Roman"/>
                <w:w w:val="95"/>
              </w:rPr>
              <w:t>4.351.775,28</w:t>
            </w:r>
          </w:p>
        </w:tc>
        <w:tc>
          <w:tcPr>
            <w:tcW w:w="907" w:type="pct"/>
            <w:shd w:val="clear" w:color="auto" w:fill="BFBFBF"/>
          </w:tcPr>
          <w:p w14:paraId="5B634E78" w14:textId="40D078DC" w:rsidR="00D239ED" w:rsidRPr="009A3EF2" w:rsidRDefault="00831280" w:rsidP="00263B45">
            <w:pPr>
              <w:jc w:val="right"/>
              <w:rPr>
                <w:rFonts w:ascii="Times New Roman" w:hAnsi="Times New Roman"/>
                <w:w w:val="95"/>
              </w:rPr>
            </w:pPr>
            <w:r>
              <w:rPr>
                <w:rFonts w:ascii="Times New Roman" w:hAnsi="Times New Roman"/>
                <w:w w:val="95"/>
              </w:rPr>
              <w:t>3.817.315,34</w:t>
            </w:r>
          </w:p>
        </w:tc>
        <w:tc>
          <w:tcPr>
            <w:tcW w:w="582" w:type="pct"/>
            <w:shd w:val="clear" w:color="auto" w:fill="BFBFBF"/>
          </w:tcPr>
          <w:p w14:paraId="376915D7" w14:textId="04342CB2" w:rsidR="00D239ED" w:rsidRPr="009A3EF2" w:rsidRDefault="00831280" w:rsidP="00263B45">
            <w:pPr>
              <w:jc w:val="right"/>
              <w:rPr>
                <w:rFonts w:ascii="Times New Roman" w:hAnsi="Times New Roman"/>
                <w:w w:val="95"/>
              </w:rPr>
            </w:pPr>
            <w:r>
              <w:rPr>
                <w:rFonts w:ascii="Times New Roman" w:hAnsi="Times New Roman"/>
                <w:w w:val="95"/>
              </w:rPr>
              <w:t>87,72</w:t>
            </w:r>
          </w:p>
        </w:tc>
      </w:tr>
    </w:tbl>
    <w:p w14:paraId="3EBED7A4" w14:textId="77777777" w:rsidR="00AC3963" w:rsidRPr="00AC3963" w:rsidRDefault="00AC3963" w:rsidP="00AC3963">
      <w:pPr>
        <w:pStyle w:val="Podnaslov"/>
        <w:jc w:val="left"/>
        <w:rPr>
          <w:lang w:eastAsia="ar-SA"/>
        </w:rPr>
      </w:pPr>
    </w:p>
    <w:p w14:paraId="0F48C709" w14:textId="77777777" w:rsidR="00DD293F" w:rsidRDefault="00722358" w:rsidP="00E40FD3">
      <w:pPr>
        <w:pStyle w:val="Naslov"/>
        <w:ind w:firstLine="567"/>
        <w:jc w:val="both"/>
        <w:rPr>
          <w:rFonts w:ascii="Times New Roman" w:hAnsi="Times New Roman" w:cs="Times New Roman"/>
          <w:b w:val="0"/>
          <w:sz w:val="22"/>
          <w:lang w:val="hr-HR"/>
        </w:rPr>
      </w:pPr>
      <w:r w:rsidRPr="00722358">
        <w:rPr>
          <w:rFonts w:ascii="Times New Roman" w:hAnsi="Times New Roman" w:cs="Times New Roman"/>
          <w:sz w:val="22"/>
          <w:lang w:val="hr-HR"/>
        </w:rPr>
        <w:t>Program 1003</w:t>
      </w:r>
      <w:r w:rsidRPr="00722358">
        <w:rPr>
          <w:rFonts w:ascii="Times New Roman" w:hAnsi="Times New Roman" w:cs="Times New Roman"/>
          <w:b w:val="0"/>
          <w:sz w:val="22"/>
          <w:lang w:val="hr-HR"/>
        </w:rPr>
        <w:t xml:space="preserve"> – Priprema i donošenje akata iz djelokruga tijela</w:t>
      </w:r>
      <w:r w:rsidR="00DD293F">
        <w:rPr>
          <w:rFonts w:ascii="Times New Roman" w:hAnsi="Times New Roman" w:cs="Times New Roman"/>
          <w:b w:val="0"/>
          <w:sz w:val="22"/>
          <w:lang w:val="hr-HR"/>
        </w:rPr>
        <w:t xml:space="preserve">. </w:t>
      </w:r>
    </w:p>
    <w:p w14:paraId="5AB59C8E" w14:textId="700AAD3D" w:rsidR="00CF455B" w:rsidRPr="00CF455B" w:rsidRDefault="00CF455B" w:rsidP="00CF455B">
      <w:pPr>
        <w:spacing w:after="0" w:line="240" w:lineRule="atLeast"/>
        <w:jc w:val="both"/>
        <w:rPr>
          <w:rFonts w:ascii="Times New Roman" w:eastAsiaTheme="minorHAnsi" w:hAnsi="Times New Roman" w:cs="Times New Roman"/>
          <w:lang w:eastAsia="ar-SA"/>
        </w:rPr>
      </w:pPr>
      <w:r w:rsidRPr="00CF455B">
        <w:rPr>
          <w:rFonts w:ascii="Times New Roman" w:eastAsiaTheme="minorHAnsi" w:hAnsi="Times New Roman" w:cs="Times New Roman"/>
          <w:lang w:eastAsia="ar-SA"/>
        </w:rPr>
        <w:t>Ciljevi  programa su:</w:t>
      </w:r>
    </w:p>
    <w:p w14:paraId="0443D6CC" w14:textId="77777777" w:rsidR="00CF455B" w:rsidRPr="00CF455B" w:rsidRDefault="00CF455B" w:rsidP="003734CB">
      <w:pPr>
        <w:pStyle w:val="Odlomakpopisa"/>
        <w:numPr>
          <w:ilvl w:val="0"/>
          <w:numId w:val="8"/>
        </w:numPr>
        <w:spacing w:line="240" w:lineRule="atLeast"/>
        <w:jc w:val="both"/>
        <w:rPr>
          <w:rFonts w:eastAsiaTheme="minorHAnsi"/>
          <w:sz w:val="22"/>
          <w:szCs w:val="22"/>
          <w:lang w:eastAsia="ar-SA"/>
        </w:rPr>
      </w:pPr>
      <w:r w:rsidRPr="00CF455B">
        <w:rPr>
          <w:rFonts w:eastAsiaTheme="minorHAnsi"/>
          <w:sz w:val="22"/>
          <w:szCs w:val="22"/>
          <w:lang w:eastAsia="ar-SA"/>
        </w:rPr>
        <w:t xml:space="preserve">osigurati  materijalne i druge uvjete za redovno funkcioniranje upravnog odjela na provođenju i realizaciji svih planiranih  programa, odnosno svih projekata i aktivnosti unutar pojedinog programa iz nadležnosti odjela (osiguranje sredstava za isplatu plaća službenicima i namještenicima te drugih materijalna prava, osiguranje sredstava za isplate naknada plaća dužnosnicima), </w:t>
      </w:r>
    </w:p>
    <w:p w14:paraId="3993F01B" w14:textId="77777777" w:rsidR="00CF455B" w:rsidRPr="00CF455B" w:rsidRDefault="00CF455B" w:rsidP="003734CB">
      <w:pPr>
        <w:pStyle w:val="Odlomakpopisa"/>
        <w:numPr>
          <w:ilvl w:val="0"/>
          <w:numId w:val="8"/>
        </w:numPr>
        <w:spacing w:line="240" w:lineRule="atLeast"/>
        <w:jc w:val="both"/>
        <w:rPr>
          <w:rFonts w:eastAsiaTheme="minorHAnsi"/>
          <w:sz w:val="22"/>
          <w:szCs w:val="22"/>
          <w:lang w:eastAsia="ar-SA"/>
        </w:rPr>
      </w:pPr>
      <w:r w:rsidRPr="00CF455B">
        <w:rPr>
          <w:rFonts w:eastAsiaTheme="minorHAnsi"/>
          <w:sz w:val="22"/>
          <w:szCs w:val="22"/>
          <w:lang w:eastAsia="ar-SA"/>
        </w:rPr>
        <w:t xml:space="preserve">nabava potrebnih sredstava rada, roba  i  usluga za nesmetan rad svih upravnih tijela, </w:t>
      </w:r>
    </w:p>
    <w:p w14:paraId="7B6F04C9" w14:textId="77777777" w:rsidR="00CF455B" w:rsidRPr="00CF455B" w:rsidRDefault="00CF455B" w:rsidP="003734CB">
      <w:pPr>
        <w:pStyle w:val="Odlomakpopisa"/>
        <w:numPr>
          <w:ilvl w:val="0"/>
          <w:numId w:val="8"/>
        </w:numPr>
        <w:spacing w:line="240" w:lineRule="atLeast"/>
        <w:jc w:val="both"/>
        <w:rPr>
          <w:rFonts w:eastAsiaTheme="minorHAnsi"/>
          <w:sz w:val="22"/>
          <w:szCs w:val="22"/>
          <w:lang w:eastAsia="ar-SA"/>
        </w:rPr>
      </w:pPr>
      <w:r w:rsidRPr="00CF455B">
        <w:rPr>
          <w:rFonts w:eastAsiaTheme="minorHAnsi"/>
          <w:sz w:val="22"/>
          <w:szCs w:val="22"/>
          <w:lang w:eastAsia="ar-SA"/>
        </w:rPr>
        <w:t>sređivanje zemljišnih knjiga</w:t>
      </w:r>
    </w:p>
    <w:p w14:paraId="6D179013" w14:textId="77777777" w:rsidR="00CF455B" w:rsidRPr="00CF455B" w:rsidRDefault="00CF455B" w:rsidP="003734CB">
      <w:pPr>
        <w:pStyle w:val="Odlomakpopisa"/>
        <w:numPr>
          <w:ilvl w:val="0"/>
          <w:numId w:val="8"/>
        </w:numPr>
        <w:spacing w:line="240" w:lineRule="atLeast"/>
        <w:jc w:val="both"/>
        <w:rPr>
          <w:rFonts w:eastAsiaTheme="minorHAnsi"/>
          <w:sz w:val="22"/>
          <w:szCs w:val="22"/>
          <w:lang w:eastAsia="ar-SA"/>
        </w:rPr>
      </w:pPr>
      <w:r w:rsidRPr="00CF455B">
        <w:rPr>
          <w:rFonts w:eastAsiaTheme="minorHAnsi"/>
          <w:sz w:val="22"/>
          <w:szCs w:val="22"/>
          <w:lang w:eastAsia="ar-SA"/>
        </w:rPr>
        <w:t>osiguranje sredstava za higijeničarsku službu</w:t>
      </w:r>
    </w:p>
    <w:p w14:paraId="3BFF08E3" w14:textId="77777777" w:rsidR="00CF455B" w:rsidRPr="00CF455B" w:rsidRDefault="00CF455B" w:rsidP="003734CB">
      <w:pPr>
        <w:pStyle w:val="Odlomakpopisa"/>
        <w:numPr>
          <w:ilvl w:val="0"/>
          <w:numId w:val="8"/>
        </w:numPr>
        <w:spacing w:line="240" w:lineRule="atLeast"/>
        <w:jc w:val="both"/>
        <w:rPr>
          <w:rFonts w:eastAsiaTheme="minorHAnsi"/>
          <w:sz w:val="22"/>
          <w:szCs w:val="22"/>
          <w:lang w:eastAsia="ar-SA"/>
        </w:rPr>
      </w:pPr>
      <w:r w:rsidRPr="00CF455B">
        <w:rPr>
          <w:rFonts w:eastAsiaTheme="minorHAnsi"/>
          <w:sz w:val="22"/>
          <w:szCs w:val="22"/>
          <w:lang w:eastAsia="ar-SA"/>
        </w:rPr>
        <w:t>osiguranje sredstava za zimsku službu</w:t>
      </w:r>
    </w:p>
    <w:p w14:paraId="4204BA2A" w14:textId="77777777" w:rsidR="00CF455B" w:rsidRPr="00CF455B" w:rsidRDefault="00CF455B" w:rsidP="003734CB">
      <w:pPr>
        <w:pStyle w:val="Odlomakpopisa"/>
        <w:numPr>
          <w:ilvl w:val="0"/>
          <w:numId w:val="8"/>
        </w:numPr>
        <w:spacing w:line="240" w:lineRule="atLeast"/>
        <w:jc w:val="both"/>
        <w:rPr>
          <w:rFonts w:eastAsiaTheme="minorHAnsi"/>
          <w:sz w:val="22"/>
          <w:szCs w:val="22"/>
          <w:lang w:eastAsia="ar-SA"/>
        </w:rPr>
      </w:pPr>
      <w:r w:rsidRPr="00CF455B">
        <w:rPr>
          <w:rFonts w:eastAsiaTheme="minorHAnsi"/>
          <w:sz w:val="22"/>
          <w:szCs w:val="22"/>
          <w:lang w:eastAsia="ar-SA"/>
        </w:rPr>
        <w:t>osiguranje sredstava za funkcioniranje javne rasvjete</w:t>
      </w:r>
    </w:p>
    <w:p w14:paraId="4A66C4F5" w14:textId="77777777" w:rsidR="00CF455B" w:rsidRPr="00CF455B" w:rsidRDefault="00CF455B" w:rsidP="003734CB">
      <w:pPr>
        <w:pStyle w:val="Odlomakpopisa"/>
        <w:numPr>
          <w:ilvl w:val="0"/>
          <w:numId w:val="8"/>
        </w:numPr>
        <w:spacing w:line="240" w:lineRule="atLeast"/>
        <w:jc w:val="both"/>
        <w:rPr>
          <w:rFonts w:eastAsiaTheme="minorHAnsi"/>
          <w:sz w:val="22"/>
          <w:szCs w:val="22"/>
          <w:lang w:eastAsia="ar-SA"/>
        </w:rPr>
      </w:pPr>
      <w:r w:rsidRPr="00CF455B">
        <w:rPr>
          <w:rFonts w:eastAsiaTheme="minorHAnsi"/>
          <w:sz w:val="22"/>
          <w:szCs w:val="22"/>
          <w:lang w:eastAsia="ar-SA"/>
        </w:rPr>
        <w:t>osiguranje sredstava za održavanje opreme i građevinskih objekata vlasništvu grada</w:t>
      </w:r>
    </w:p>
    <w:p w14:paraId="639ED3D4" w14:textId="77777777" w:rsidR="00CF455B" w:rsidRPr="00CF455B" w:rsidRDefault="00CF455B" w:rsidP="003734CB">
      <w:pPr>
        <w:pStyle w:val="Odlomakpopisa"/>
        <w:numPr>
          <w:ilvl w:val="0"/>
          <w:numId w:val="8"/>
        </w:numPr>
        <w:spacing w:line="240" w:lineRule="atLeast"/>
        <w:jc w:val="both"/>
        <w:rPr>
          <w:rFonts w:eastAsiaTheme="minorHAnsi"/>
          <w:sz w:val="22"/>
          <w:szCs w:val="22"/>
          <w:lang w:eastAsia="ar-SA"/>
        </w:rPr>
      </w:pPr>
      <w:r w:rsidRPr="00CF455B">
        <w:rPr>
          <w:rFonts w:eastAsiaTheme="minorHAnsi"/>
          <w:sz w:val="22"/>
          <w:szCs w:val="22"/>
          <w:lang w:eastAsia="ar-SA"/>
        </w:rPr>
        <w:t>provođenje postupaka javne nabave</w:t>
      </w:r>
    </w:p>
    <w:p w14:paraId="5F314A46" w14:textId="77777777" w:rsidR="00CF455B" w:rsidRPr="00CF455B" w:rsidRDefault="00CF455B" w:rsidP="003734CB">
      <w:pPr>
        <w:pStyle w:val="Odlomakpopisa"/>
        <w:numPr>
          <w:ilvl w:val="0"/>
          <w:numId w:val="8"/>
        </w:numPr>
        <w:spacing w:line="240" w:lineRule="atLeast"/>
        <w:jc w:val="both"/>
        <w:rPr>
          <w:rFonts w:eastAsiaTheme="minorHAnsi"/>
          <w:sz w:val="22"/>
          <w:szCs w:val="22"/>
          <w:lang w:eastAsia="ar-SA"/>
        </w:rPr>
      </w:pPr>
      <w:r w:rsidRPr="00CF455B">
        <w:rPr>
          <w:rFonts w:eastAsiaTheme="minorHAnsi"/>
          <w:sz w:val="22"/>
          <w:szCs w:val="22"/>
          <w:lang w:eastAsia="ar-SA"/>
        </w:rPr>
        <w:t>izgradnja i dodatna ulaganja na građevinskim objektima</w:t>
      </w:r>
    </w:p>
    <w:p w14:paraId="51160524" w14:textId="2FB27035" w:rsidR="00CF455B" w:rsidRDefault="00CF455B" w:rsidP="003734CB">
      <w:pPr>
        <w:pStyle w:val="Odlomakpopisa"/>
        <w:numPr>
          <w:ilvl w:val="0"/>
          <w:numId w:val="8"/>
        </w:numPr>
        <w:spacing w:line="240" w:lineRule="atLeast"/>
        <w:jc w:val="both"/>
        <w:rPr>
          <w:rFonts w:eastAsiaTheme="minorHAnsi"/>
          <w:sz w:val="22"/>
          <w:szCs w:val="22"/>
          <w:lang w:eastAsia="ar-SA"/>
        </w:rPr>
      </w:pPr>
      <w:r w:rsidRPr="00CF455B">
        <w:rPr>
          <w:rFonts w:eastAsiaTheme="minorHAnsi"/>
          <w:sz w:val="22"/>
          <w:szCs w:val="22"/>
          <w:lang w:eastAsia="ar-SA"/>
        </w:rPr>
        <w:t>izrada kapitalnih projekata i projektne dokumentacije,</w:t>
      </w:r>
    </w:p>
    <w:p w14:paraId="448D7BCB" w14:textId="77777777" w:rsidR="00CF455B" w:rsidRPr="00CF455B" w:rsidRDefault="00CF455B" w:rsidP="00CF455B">
      <w:pPr>
        <w:pStyle w:val="Odlomakpopisa"/>
        <w:spacing w:line="240" w:lineRule="atLeast"/>
        <w:jc w:val="both"/>
        <w:rPr>
          <w:rFonts w:eastAsiaTheme="minorHAnsi"/>
          <w:sz w:val="22"/>
          <w:szCs w:val="22"/>
          <w:lang w:eastAsia="ar-SA"/>
        </w:rPr>
      </w:pPr>
    </w:p>
    <w:p w14:paraId="5D181659" w14:textId="703D1C1C" w:rsidR="00CF455B" w:rsidRPr="00CF455B" w:rsidRDefault="00CF455B" w:rsidP="00CF455B">
      <w:pPr>
        <w:pStyle w:val="Podnaslov"/>
        <w:jc w:val="left"/>
        <w:rPr>
          <w:rFonts w:ascii="Times New Roman" w:eastAsiaTheme="minorHAnsi" w:hAnsi="Times New Roman"/>
          <w:sz w:val="22"/>
          <w:szCs w:val="22"/>
          <w:lang w:eastAsia="ar-SA"/>
        </w:rPr>
      </w:pPr>
      <w:r w:rsidRPr="00AB7C31">
        <w:rPr>
          <w:rFonts w:ascii="Times New Roman" w:eastAsiaTheme="minorHAnsi" w:hAnsi="Times New Roman"/>
          <w:sz w:val="22"/>
          <w:szCs w:val="22"/>
          <w:lang w:eastAsia="ar-SA"/>
        </w:rPr>
        <w:t>Unutar programa provođene s</w:t>
      </w:r>
      <w:r>
        <w:rPr>
          <w:rFonts w:ascii="Times New Roman" w:eastAsiaTheme="minorHAnsi" w:hAnsi="Times New Roman"/>
          <w:sz w:val="22"/>
          <w:szCs w:val="22"/>
          <w:lang w:eastAsia="ar-SA"/>
        </w:rPr>
        <w:t>u slijedeće aktivnosti:</w:t>
      </w:r>
    </w:p>
    <w:tbl>
      <w:tblPr>
        <w:tblpPr w:leftFromText="180" w:rightFromText="180" w:vertAnchor="text" w:horzAnchor="margin" w:tblpY="12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32"/>
        <w:gridCol w:w="1696"/>
        <w:gridCol w:w="1558"/>
        <w:gridCol w:w="1274"/>
      </w:tblGrid>
      <w:tr w:rsidR="00CF455B" w:rsidRPr="00DE7806" w14:paraId="673C45FC" w14:textId="77777777" w:rsidTr="009F737C">
        <w:trPr>
          <w:trHeight w:val="460"/>
        </w:trPr>
        <w:tc>
          <w:tcPr>
            <w:tcW w:w="2501" w:type="pct"/>
            <w:shd w:val="clear" w:color="auto" w:fill="BFBFBF"/>
          </w:tcPr>
          <w:p w14:paraId="6B989F35" w14:textId="77777777" w:rsidR="00CF455B" w:rsidRPr="00AC3963" w:rsidRDefault="00CF455B" w:rsidP="009F737C">
            <w:pPr>
              <w:pStyle w:val="TableParagraph"/>
              <w:spacing w:before="110" w:line="240" w:lineRule="exact"/>
              <w:ind w:left="107"/>
              <w:jc w:val="left"/>
              <w:rPr>
                <w:rFonts w:ascii="Times New Roman" w:hAnsi="Times New Roman" w:cs="Times New Roman"/>
                <w:b/>
                <w:lang w:val="hr-HR"/>
              </w:rPr>
            </w:pPr>
            <w:r w:rsidRPr="00AC3963">
              <w:rPr>
                <w:rFonts w:ascii="Times New Roman" w:hAnsi="Times New Roman" w:cs="Times New Roman"/>
                <w:b/>
                <w:lang w:val="hr-HR"/>
              </w:rPr>
              <w:t>Naziv aktivnosti / projekta unutar programa</w:t>
            </w:r>
          </w:p>
        </w:tc>
        <w:tc>
          <w:tcPr>
            <w:tcW w:w="936" w:type="pct"/>
            <w:shd w:val="clear" w:color="auto" w:fill="BFBFBF"/>
          </w:tcPr>
          <w:p w14:paraId="5920AF5C" w14:textId="776013BF" w:rsidR="00CF455B" w:rsidRPr="00AC3963" w:rsidRDefault="00CF455B" w:rsidP="009F737C">
            <w:pPr>
              <w:pStyle w:val="TableParagraph"/>
              <w:spacing w:line="240" w:lineRule="exact"/>
              <w:ind w:left="197" w:right="192"/>
              <w:jc w:val="center"/>
              <w:rPr>
                <w:rFonts w:ascii="Times New Roman" w:hAnsi="Times New Roman" w:cs="Times New Roman"/>
                <w:b/>
                <w:lang w:val="hr-HR"/>
              </w:rPr>
            </w:pPr>
            <w:r w:rsidRPr="00AC3963">
              <w:rPr>
                <w:rFonts w:ascii="Times New Roman" w:hAnsi="Times New Roman" w:cs="Times New Roman"/>
                <w:b/>
                <w:lang w:val="hr-HR"/>
              </w:rPr>
              <w:t>Rebalans 202</w:t>
            </w:r>
            <w:r w:rsidR="00831280">
              <w:rPr>
                <w:rFonts w:ascii="Times New Roman" w:hAnsi="Times New Roman" w:cs="Times New Roman"/>
                <w:b/>
                <w:lang w:val="hr-HR"/>
              </w:rPr>
              <w:t>4</w:t>
            </w:r>
            <w:r w:rsidRPr="00AC3963">
              <w:rPr>
                <w:rFonts w:ascii="Times New Roman" w:hAnsi="Times New Roman" w:cs="Times New Roman"/>
                <w:b/>
                <w:lang w:val="hr-HR"/>
              </w:rPr>
              <w:t>.</w:t>
            </w:r>
          </w:p>
        </w:tc>
        <w:tc>
          <w:tcPr>
            <w:tcW w:w="860" w:type="pct"/>
            <w:shd w:val="clear" w:color="auto" w:fill="BFBFBF"/>
          </w:tcPr>
          <w:p w14:paraId="55F4470B" w14:textId="799A7FE5" w:rsidR="00CF455B" w:rsidRPr="00AC3963" w:rsidRDefault="00CF455B" w:rsidP="009F737C">
            <w:pPr>
              <w:pStyle w:val="TableParagraph"/>
              <w:spacing w:line="240" w:lineRule="exact"/>
              <w:ind w:left="197" w:right="192"/>
              <w:jc w:val="center"/>
              <w:rPr>
                <w:rFonts w:ascii="Times New Roman" w:hAnsi="Times New Roman" w:cs="Times New Roman"/>
                <w:b/>
                <w:lang w:val="hr-HR"/>
              </w:rPr>
            </w:pPr>
            <w:r w:rsidRPr="00AC3963">
              <w:rPr>
                <w:rFonts w:ascii="Times New Roman" w:hAnsi="Times New Roman" w:cs="Times New Roman"/>
                <w:b/>
                <w:lang w:val="hr-HR"/>
              </w:rPr>
              <w:t>Izvršenje 202</w:t>
            </w:r>
            <w:r w:rsidR="00831280">
              <w:rPr>
                <w:rFonts w:ascii="Times New Roman" w:hAnsi="Times New Roman" w:cs="Times New Roman"/>
                <w:b/>
                <w:lang w:val="hr-HR"/>
              </w:rPr>
              <w:t>4</w:t>
            </w:r>
            <w:r w:rsidRPr="00AC3963">
              <w:rPr>
                <w:rFonts w:ascii="Times New Roman" w:hAnsi="Times New Roman" w:cs="Times New Roman"/>
                <w:b/>
                <w:lang w:val="hr-HR"/>
              </w:rPr>
              <w:t>.</w:t>
            </w:r>
          </w:p>
        </w:tc>
        <w:tc>
          <w:tcPr>
            <w:tcW w:w="703" w:type="pct"/>
            <w:shd w:val="clear" w:color="auto" w:fill="BFBFBF"/>
          </w:tcPr>
          <w:p w14:paraId="17565D0C" w14:textId="77777777" w:rsidR="00CF455B" w:rsidRPr="00AC3963" w:rsidRDefault="00CF455B" w:rsidP="009F737C">
            <w:pPr>
              <w:pStyle w:val="TableParagraph"/>
              <w:spacing w:line="240" w:lineRule="exact"/>
              <w:ind w:left="140" w:right="135"/>
              <w:jc w:val="center"/>
              <w:rPr>
                <w:rFonts w:ascii="Times New Roman" w:hAnsi="Times New Roman" w:cs="Times New Roman"/>
                <w:b/>
                <w:lang w:val="hr-HR"/>
              </w:rPr>
            </w:pPr>
            <w:r w:rsidRPr="00AC3963">
              <w:rPr>
                <w:rFonts w:ascii="Times New Roman" w:hAnsi="Times New Roman" w:cs="Times New Roman"/>
                <w:b/>
                <w:lang w:val="hr-HR"/>
              </w:rPr>
              <w:t>Indeks</w:t>
            </w:r>
          </w:p>
        </w:tc>
      </w:tr>
      <w:tr w:rsidR="00CF455B" w:rsidRPr="00DE7806" w14:paraId="4DEE9CAD" w14:textId="77777777" w:rsidTr="009F737C">
        <w:trPr>
          <w:trHeight w:val="277"/>
        </w:trPr>
        <w:tc>
          <w:tcPr>
            <w:tcW w:w="2501" w:type="pct"/>
            <w:shd w:val="clear" w:color="auto" w:fill="auto"/>
          </w:tcPr>
          <w:p w14:paraId="0E55D055" w14:textId="2CB8E14B" w:rsidR="00CF455B" w:rsidRPr="00DE7806" w:rsidRDefault="00CF455B" w:rsidP="009F737C">
            <w:pPr>
              <w:widowControl w:val="0"/>
              <w:autoSpaceDE w:val="0"/>
              <w:autoSpaceDN w:val="0"/>
              <w:spacing w:after="0" w:line="240" w:lineRule="exact"/>
              <w:rPr>
                <w:rFonts w:ascii="Times New Roman" w:hAnsi="Times New Roman"/>
              </w:rPr>
            </w:pPr>
            <w:r w:rsidRPr="00DE7806">
              <w:rPr>
                <w:rFonts w:ascii="Times New Roman" w:hAnsi="Times New Roman"/>
                <w:w w:val="95"/>
              </w:rPr>
              <w:t>Aktivnost A1</w:t>
            </w:r>
            <w:r>
              <w:rPr>
                <w:rFonts w:ascii="Times New Roman" w:hAnsi="Times New Roman"/>
                <w:w w:val="95"/>
              </w:rPr>
              <w:t>00301</w:t>
            </w:r>
            <w:r w:rsidRPr="00DE7806">
              <w:rPr>
                <w:rFonts w:ascii="Times New Roman" w:hAnsi="Times New Roman"/>
                <w:w w:val="95"/>
              </w:rPr>
              <w:t xml:space="preserve"> Redovan rad upravnog tijela</w:t>
            </w:r>
          </w:p>
        </w:tc>
        <w:tc>
          <w:tcPr>
            <w:tcW w:w="936" w:type="pct"/>
            <w:shd w:val="clear" w:color="auto" w:fill="auto"/>
          </w:tcPr>
          <w:p w14:paraId="0D26030E" w14:textId="292474C9" w:rsidR="00CF455B" w:rsidRPr="00DE7806" w:rsidRDefault="00831280" w:rsidP="009F737C">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638.700,00</w:t>
            </w:r>
          </w:p>
        </w:tc>
        <w:tc>
          <w:tcPr>
            <w:tcW w:w="860" w:type="pct"/>
            <w:shd w:val="clear" w:color="auto" w:fill="auto"/>
          </w:tcPr>
          <w:p w14:paraId="064FF014" w14:textId="13C41857" w:rsidR="00CF455B" w:rsidRPr="00DE7806" w:rsidRDefault="00831280" w:rsidP="009F737C">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576.741,23</w:t>
            </w:r>
          </w:p>
        </w:tc>
        <w:tc>
          <w:tcPr>
            <w:tcW w:w="703" w:type="pct"/>
            <w:shd w:val="clear" w:color="auto" w:fill="auto"/>
          </w:tcPr>
          <w:p w14:paraId="43B9E763" w14:textId="7C760A66" w:rsidR="00CF455B" w:rsidRPr="00DE7806" w:rsidRDefault="00831280" w:rsidP="009F737C">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90,30</w:t>
            </w:r>
          </w:p>
        </w:tc>
      </w:tr>
      <w:tr w:rsidR="00CF455B" w:rsidRPr="00DE7806" w14:paraId="54F3F63F" w14:textId="77777777" w:rsidTr="009F737C">
        <w:trPr>
          <w:trHeight w:val="277"/>
        </w:trPr>
        <w:tc>
          <w:tcPr>
            <w:tcW w:w="2501" w:type="pct"/>
            <w:shd w:val="clear" w:color="auto" w:fill="auto"/>
          </w:tcPr>
          <w:p w14:paraId="55FD7F46" w14:textId="3DCD7E25" w:rsidR="00CF455B" w:rsidRPr="00DE7806" w:rsidRDefault="00CF455B" w:rsidP="009F737C">
            <w:pPr>
              <w:widowControl w:val="0"/>
              <w:autoSpaceDE w:val="0"/>
              <w:autoSpaceDN w:val="0"/>
              <w:spacing w:after="0" w:line="240" w:lineRule="exact"/>
              <w:rPr>
                <w:rFonts w:ascii="Times New Roman" w:hAnsi="Times New Roman"/>
                <w:w w:val="95"/>
              </w:rPr>
            </w:pPr>
            <w:r w:rsidRPr="00DE7806">
              <w:rPr>
                <w:rFonts w:ascii="Times New Roman" w:hAnsi="Times New Roman"/>
                <w:w w:val="95"/>
              </w:rPr>
              <w:t>Aktivnost A10</w:t>
            </w:r>
            <w:r>
              <w:rPr>
                <w:rFonts w:ascii="Times New Roman" w:hAnsi="Times New Roman"/>
                <w:w w:val="95"/>
              </w:rPr>
              <w:t>0302 Održavanje građevinskih objekata za redovno korištenje</w:t>
            </w:r>
          </w:p>
        </w:tc>
        <w:tc>
          <w:tcPr>
            <w:tcW w:w="936" w:type="pct"/>
            <w:shd w:val="clear" w:color="auto" w:fill="auto"/>
          </w:tcPr>
          <w:p w14:paraId="790885E1" w14:textId="5CF6109A" w:rsidR="00CF455B" w:rsidRPr="00DE7806" w:rsidRDefault="00831280" w:rsidP="009F737C">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211.700,00</w:t>
            </w:r>
          </w:p>
        </w:tc>
        <w:tc>
          <w:tcPr>
            <w:tcW w:w="860" w:type="pct"/>
            <w:shd w:val="clear" w:color="auto" w:fill="auto"/>
          </w:tcPr>
          <w:p w14:paraId="570506B1" w14:textId="0450A0CA" w:rsidR="00CF455B" w:rsidRPr="00DE7806" w:rsidRDefault="00831280" w:rsidP="009F737C">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148.764,80</w:t>
            </w:r>
          </w:p>
        </w:tc>
        <w:tc>
          <w:tcPr>
            <w:tcW w:w="703" w:type="pct"/>
            <w:shd w:val="clear" w:color="auto" w:fill="auto"/>
          </w:tcPr>
          <w:p w14:paraId="76DE9B2D" w14:textId="3B22601B" w:rsidR="00CF455B" w:rsidRPr="00DE7806" w:rsidRDefault="00831280" w:rsidP="009F737C">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46,52</w:t>
            </w:r>
          </w:p>
        </w:tc>
      </w:tr>
      <w:tr w:rsidR="00CF455B" w:rsidRPr="00DE7806" w14:paraId="4BDAC4A3" w14:textId="77777777" w:rsidTr="009A3EF2">
        <w:trPr>
          <w:trHeight w:val="429"/>
        </w:trPr>
        <w:tc>
          <w:tcPr>
            <w:tcW w:w="2501" w:type="pct"/>
            <w:shd w:val="clear" w:color="auto" w:fill="auto"/>
          </w:tcPr>
          <w:p w14:paraId="2E3AB41E" w14:textId="17B4B72D" w:rsidR="00CF455B" w:rsidRPr="00DE7806" w:rsidRDefault="00AB7C31" w:rsidP="009F737C">
            <w:pPr>
              <w:widowControl w:val="0"/>
              <w:autoSpaceDE w:val="0"/>
              <w:autoSpaceDN w:val="0"/>
              <w:spacing w:after="0" w:line="240" w:lineRule="atLeast"/>
              <w:rPr>
                <w:rFonts w:ascii="Times New Roman" w:hAnsi="Times New Roman"/>
                <w:w w:val="95"/>
              </w:rPr>
            </w:pPr>
            <w:r w:rsidRPr="00DE7806">
              <w:rPr>
                <w:rFonts w:ascii="Times New Roman" w:hAnsi="Times New Roman"/>
                <w:w w:val="95"/>
              </w:rPr>
              <w:t>Aktivnost A10</w:t>
            </w:r>
            <w:r>
              <w:rPr>
                <w:rFonts w:ascii="Times New Roman" w:hAnsi="Times New Roman"/>
                <w:w w:val="95"/>
              </w:rPr>
              <w:t>0303 Održavanje opreme za redovno korištenje</w:t>
            </w:r>
          </w:p>
        </w:tc>
        <w:tc>
          <w:tcPr>
            <w:tcW w:w="936" w:type="pct"/>
            <w:shd w:val="clear" w:color="auto" w:fill="auto"/>
          </w:tcPr>
          <w:p w14:paraId="1D1CA596" w14:textId="662AF022" w:rsidR="00CF455B" w:rsidRPr="00DE7806" w:rsidRDefault="00831280" w:rsidP="009F737C">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33.000,00</w:t>
            </w:r>
          </w:p>
        </w:tc>
        <w:tc>
          <w:tcPr>
            <w:tcW w:w="860" w:type="pct"/>
            <w:shd w:val="clear" w:color="auto" w:fill="auto"/>
          </w:tcPr>
          <w:p w14:paraId="6F09384B" w14:textId="4929F129" w:rsidR="00CF455B" w:rsidRPr="00DE7806" w:rsidRDefault="00831280" w:rsidP="009F737C">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26.925,92</w:t>
            </w:r>
          </w:p>
        </w:tc>
        <w:tc>
          <w:tcPr>
            <w:tcW w:w="703" w:type="pct"/>
            <w:shd w:val="clear" w:color="auto" w:fill="auto"/>
          </w:tcPr>
          <w:p w14:paraId="4FC1760E" w14:textId="52A8A39A" w:rsidR="00CF455B" w:rsidRPr="00DE7806" w:rsidRDefault="00831280" w:rsidP="009F737C">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81,59</w:t>
            </w:r>
          </w:p>
        </w:tc>
      </w:tr>
      <w:tr w:rsidR="00AB7C31" w:rsidRPr="00DE7806" w14:paraId="58F5C14A" w14:textId="77777777" w:rsidTr="009A3EF2">
        <w:trPr>
          <w:trHeight w:val="338"/>
        </w:trPr>
        <w:tc>
          <w:tcPr>
            <w:tcW w:w="2501" w:type="pct"/>
            <w:shd w:val="clear" w:color="auto" w:fill="auto"/>
          </w:tcPr>
          <w:p w14:paraId="48D893DC" w14:textId="1710B694" w:rsidR="00AB7C31" w:rsidRPr="00DE7806" w:rsidRDefault="00AB7C31" w:rsidP="009F737C">
            <w:pPr>
              <w:widowControl w:val="0"/>
              <w:autoSpaceDE w:val="0"/>
              <w:autoSpaceDN w:val="0"/>
              <w:spacing w:after="0" w:line="240" w:lineRule="atLeast"/>
              <w:rPr>
                <w:rFonts w:ascii="Times New Roman" w:hAnsi="Times New Roman"/>
                <w:w w:val="95"/>
              </w:rPr>
            </w:pPr>
            <w:r w:rsidRPr="00DE7806">
              <w:rPr>
                <w:rFonts w:ascii="Times New Roman" w:hAnsi="Times New Roman"/>
                <w:w w:val="95"/>
              </w:rPr>
              <w:t>Aktivnost A10</w:t>
            </w:r>
            <w:r>
              <w:rPr>
                <w:rFonts w:ascii="Times New Roman" w:hAnsi="Times New Roman"/>
                <w:w w:val="95"/>
              </w:rPr>
              <w:t>0305 Higijeničarska služba</w:t>
            </w:r>
          </w:p>
        </w:tc>
        <w:tc>
          <w:tcPr>
            <w:tcW w:w="936" w:type="pct"/>
            <w:shd w:val="clear" w:color="auto" w:fill="auto"/>
          </w:tcPr>
          <w:p w14:paraId="37AD4B32" w14:textId="7A695237" w:rsidR="00AB7C31" w:rsidRDefault="00AB7C31" w:rsidP="009F737C">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27.</w:t>
            </w:r>
            <w:r w:rsidR="00831280">
              <w:rPr>
                <w:rFonts w:ascii="Times New Roman" w:hAnsi="Times New Roman" w:cs="Times New Roman"/>
                <w:lang w:val="hr-HR"/>
              </w:rPr>
              <w:t>50</w:t>
            </w:r>
            <w:r>
              <w:rPr>
                <w:rFonts w:ascii="Times New Roman" w:hAnsi="Times New Roman" w:cs="Times New Roman"/>
                <w:lang w:val="hr-HR"/>
              </w:rPr>
              <w:t>0,00</w:t>
            </w:r>
          </w:p>
        </w:tc>
        <w:tc>
          <w:tcPr>
            <w:tcW w:w="860" w:type="pct"/>
            <w:shd w:val="clear" w:color="auto" w:fill="auto"/>
          </w:tcPr>
          <w:p w14:paraId="0E2A82B3" w14:textId="75A4C963" w:rsidR="00AB7C31" w:rsidRDefault="00831280" w:rsidP="009F737C">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24.058,07</w:t>
            </w:r>
          </w:p>
        </w:tc>
        <w:tc>
          <w:tcPr>
            <w:tcW w:w="703" w:type="pct"/>
            <w:shd w:val="clear" w:color="auto" w:fill="auto"/>
          </w:tcPr>
          <w:p w14:paraId="0FE4D616" w14:textId="74B0A753" w:rsidR="00AB7C31" w:rsidRDefault="00831280" w:rsidP="009F737C">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87,48</w:t>
            </w:r>
          </w:p>
        </w:tc>
      </w:tr>
      <w:tr w:rsidR="00AB7C31" w:rsidRPr="00DE7806" w14:paraId="24ABB6B2" w14:textId="77777777" w:rsidTr="009F737C">
        <w:trPr>
          <w:trHeight w:val="630"/>
        </w:trPr>
        <w:tc>
          <w:tcPr>
            <w:tcW w:w="2501" w:type="pct"/>
            <w:shd w:val="clear" w:color="auto" w:fill="auto"/>
          </w:tcPr>
          <w:p w14:paraId="5BEFD154" w14:textId="01DF6E69" w:rsidR="00AB7C31" w:rsidRPr="00DE7806" w:rsidRDefault="00AB7C31" w:rsidP="009F737C">
            <w:pPr>
              <w:widowControl w:val="0"/>
              <w:autoSpaceDE w:val="0"/>
              <w:autoSpaceDN w:val="0"/>
              <w:spacing w:after="0" w:line="240" w:lineRule="atLeast"/>
              <w:rPr>
                <w:rFonts w:ascii="Times New Roman" w:hAnsi="Times New Roman"/>
                <w:w w:val="95"/>
              </w:rPr>
            </w:pPr>
            <w:r w:rsidRPr="00DE7806">
              <w:rPr>
                <w:rFonts w:ascii="Times New Roman" w:hAnsi="Times New Roman"/>
                <w:w w:val="95"/>
              </w:rPr>
              <w:t>Aktivnost A10</w:t>
            </w:r>
            <w:r>
              <w:rPr>
                <w:rFonts w:ascii="Times New Roman" w:hAnsi="Times New Roman"/>
                <w:w w:val="95"/>
              </w:rPr>
              <w:t>0306 Izmjera poljoprivrednog zemljišta i sređivanje zemljišnih knjiga</w:t>
            </w:r>
          </w:p>
        </w:tc>
        <w:tc>
          <w:tcPr>
            <w:tcW w:w="936" w:type="pct"/>
            <w:shd w:val="clear" w:color="auto" w:fill="auto"/>
          </w:tcPr>
          <w:p w14:paraId="1A3E5C59" w14:textId="3CBFB764" w:rsidR="00AB7C31" w:rsidRDefault="00831280" w:rsidP="009F737C">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3.110,00</w:t>
            </w:r>
          </w:p>
        </w:tc>
        <w:tc>
          <w:tcPr>
            <w:tcW w:w="860" w:type="pct"/>
            <w:shd w:val="clear" w:color="auto" w:fill="auto"/>
          </w:tcPr>
          <w:p w14:paraId="65696F70" w14:textId="325FF7EC" w:rsidR="00AB7C31" w:rsidRDefault="00831280" w:rsidP="009F737C">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1.407,19</w:t>
            </w:r>
          </w:p>
        </w:tc>
        <w:tc>
          <w:tcPr>
            <w:tcW w:w="703" w:type="pct"/>
            <w:shd w:val="clear" w:color="auto" w:fill="auto"/>
          </w:tcPr>
          <w:p w14:paraId="18E502DE" w14:textId="299421DF" w:rsidR="00AB7C31" w:rsidRDefault="00831280" w:rsidP="009F737C">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45,25</w:t>
            </w:r>
          </w:p>
        </w:tc>
      </w:tr>
      <w:tr w:rsidR="00AB7C31" w:rsidRPr="00DE7806" w14:paraId="7277074C" w14:textId="77777777" w:rsidTr="009A3EF2">
        <w:trPr>
          <w:trHeight w:val="338"/>
        </w:trPr>
        <w:tc>
          <w:tcPr>
            <w:tcW w:w="2501" w:type="pct"/>
            <w:shd w:val="clear" w:color="auto" w:fill="auto"/>
          </w:tcPr>
          <w:p w14:paraId="593D4DEC" w14:textId="35D8E0A1" w:rsidR="00AB7C31" w:rsidRPr="00DE7806" w:rsidRDefault="00AB7C31" w:rsidP="009F737C">
            <w:pPr>
              <w:widowControl w:val="0"/>
              <w:autoSpaceDE w:val="0"/>
              <w:autoSpaceDN w:val="0"/>
              <w:spacing w:after="0" w:line="240" w:lineRule="atLeast"/>
              <w:rPr>
                <w:rFonts w:ascii="Times New Roman" w:hAnsi="Times New Roman"/>
                <w:w w:val="95"/>
              </w:rPr>
            </w:pPr>
            <w:r w:rsidRPr="00DE7806">
              <w:rPr>
                <w:rFonts w:ascii="Times New Roman" w:hAnsi="Times New Roman"/>
                <w:w w:val="95"/>
              </w:rPr>
              <w:t>Aktivnost A10</w:t>
            </w:r>
            <w:r>
              <w:rPr>
                <w:rFonts w:ascii="Times New Roman" w:hAnsi="Times New Roman"/>
                <w:w w:val="95"/>
              </w:rPr>
              <w:t>0308 Zimska služba</w:t>
            </w:r>
          </w:p>
        </w:tc>
        <w:tc>
          <w:tcPr>
            <w:tcW w:w="936" w:type="pct"/>
            <w:shd w:val="clear" w:color="auto" w:fill="auto"/>
          </w:tcPr>
          <w:p w14:paraId="1FE336CB" w14:textId="43335F6B" w:rsidR="00AB7C31" w:rsidRDefault="00831280" w:rsidP="009F737C">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16.300,00</w:t>
            </w:r>
          </w:p>
        </w:tc>
        <w:tc>
          <w:tcPr>
            <w:tcW w:w="860" w:type="pct"/>
            <w:shd w:val="clear" w:color="auto" w:fill="auto"/>
          </w:tcPr>
          <w:p w14:paraId="6AB9DE56" w14:textId="0C422067" w:rsidR="00AB7C31" w:rsidRDefault="00831280" w:rsidP="009F737C">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10.308,46</w:t>
            </w:r>
          </w:p>
        </w:tc>
        <w:tc>
          <w:tcPr>
            <w:tcW w:w="703" w:type="pct"/>
            <w:shd w:val="clear" w:color="auto" w:fill="auto"/>
          </w:tcPr>
          <w:p w14:paraId="77938C37" w14:textId="0BF7B4F8" w:rsidR="00AB7C31" w:rsidRDefault="00831280" w:rsidP="009F737C">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63,24</w:t>
            </w:r>
          </w:p>
        </w:tc>
      </w:tr>
      <w:tr w:rsidR="00AB7C31" w:rsidRPr="00DE7806" w14:paraId="1B26509F" w14:textId="77777777" w:rsidTr="009A3EF2">
        <w:trPr>
          <w:trHeight w:val="413"/>
        </w:trPr>
        <w:tc>
          <w:tcPr>
            <w:tcW w:w="2501" w:type="pct"/>
            <w:shd w:val="clear" w:color="auto" w:fill="auto"/>
          </w:tcPr>
          <w:p w14:paraId="4D0F01AA" w14:textId="6828A5C7" w:rsidR="00AB7C31" w:rsidRPr="00DE7806" w:rsidRDefault="00AB7C31" w:rsidP="009F737C">
            <w:pPr>
              <w:widowControl w:val="0"/>
              <w:autoSpaceDE w:val="0"/>
              <w:autoSpaceDN w:val="0"/>
              <w:spacing w:after="0" w:line="240" w:lineRule="atLeast"/>
              <w:rPr>
                <w:rFonts w:ascii="Times New Roman" w:hAnsi="Times New Roman"/>
                <w:w w:val="95"/>
              </w:rPr>
            </w:pPr>
            <w:r>
              <w:rPr>
                <w:rFonts w:ascii="Times New Roman" w:hAnsi="Times New Roman"/>
                <w:w w:val="95"/>
              </w:rPr>
              <w:t>Kapitalni projekt 100301 Nabava opreme i vozila</w:t>
            </w:r>
          </w:p>
        </w:tc>
        <w:tc>
          <w:tcPr>
            <w:tcW w:w="936" w:type="pct"/>
            <w:shd w:val="clear" w:color="auto" w:fill="auto"/>
          </w:tcPr>
          <w:p w14:paraId="53BFBA30" w14:textId="5D492646" w:rsidR="00AB7C31" w:rsidRDefault="00831280" w:rsidP="009F737C">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95.400,00</w:t>
            </w:r>
          </w:p>
        </w:tc>
        <w:tc>
          <w:tcPr>
            <w:tcW w:w="860" w:type="pct"/>
            <w:shd w:val="clear" w:color="auto" w:fill="auto"/>
          </w:tcPr>
          <w:p w14:paraId="7D569EB2" w14:textId="415CA7A3" w:rsidR="00AB7C31" w:rsidRDefault="00831280" w:rsidP="009F737C">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41.484,64</w:t>
            </w:r>
          </w:p>
        </w:tc>
        <w:tc>
          <w:tcPr>
            <w:tcW w:w="703" w:type="pct"/>
            <w:shd w:val="clear" w:color="auto" w:fill="auto"/>
          </w:tcPr>
          <w:p w14:paraId="7F131C01" w14:textId="53DB1A89" w:rsidR="00AB7C31" w:rsidRDefault="00831280" w:rsidP="009F737C">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43,48</w:t>
            </w:r>
          </w:p>
        </w:tc>
      </w:tr>
      <w:tr w:rsidR="00AB7C31" w:rsidRPr="00DE7806" w14:paraId="4255E135" w14:textId="77777777" w:rsidTr="009F737C">
        <w:trPr>
          <w:trHeight w:val="630"/>
        </w:trPr>
        <w:tc>
          <w:tcPr>
            <w:tcW w:w="2501" w:type="pct"/>
            <w:shd w:val="clear" w:color="auto" w:fill="auto"/>
          </w:tcPr>
          <w:p w14:paraId="3F8629DB" w14:textId="0FB4AD99" w:rsidR="00AB7C31" w:rsidRDefault="00AB7C31" w:rsidP="009F737C">
            <w:pPr>
              <w:widowControl w:val="0"/>
              <w:autoSpaceDE w:val="0"/>
              <w:autoSpaceDN w:val="0"/>
              <w:spacing w:after="0" w:line="240" w:lineRule="atLeast"/>
              <w:rPr>
                <w:rFonts w:ascii="Times New Roman" w:hAnsi="Times New Roman"/>
                <w:w w:val="95"/>
              </w:rPr>
            </w:pPr>
            <w:r>
              <w:rPr>
                <w:rFonts w:ascii="Times New Roman" w:hAnsi="Times New Roman"/>
                <w:w w:val="95"/>
              </w:rPr>
              <w:t>Kapitalni projekt 100302 Izgradnja i dodatna ulaganja na građevinskim objektima</w:t>
            </w:r>
          </w:p>
        </w:tc>
        <w:tc>
          <w:tcPr>
            <w:tcW w:w="936" w:type="pct"/>
            <w:shd w:val="clear" w:color="auto" w:fill="auto"/>
          </w:tcPr>
          <w:p w14:paraId="190085E9" w14:textId="5CCB6D04" w:rsidR="00AB7C31" w:rsidRDefault="00831280" w:rsidP="009F737C">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41.000,00</w:t>
            </w:r>
          </w:p>
        </w:tc>
        <w:tc>
          <w:tcPr>
            <w:tcW w:w="860" w:type="pct"/>
            <w:shd w:val="clear" w:color="auto" w:fill="auto"/>
          </w:tcPr>
          <w:p w14:paraId="441DFCD5" w14:textId="05D333A1" w:rsidR="00AB7C31" w:rsidRDefault="00831280" w:rsidP="009F737C">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28.940,39</w:t>
            </w:r>
          </w:p>
        </w:tc>
        <w:tc>
          <w:tcPr>
            <w:tcW w:w="703" w:type="pct"/>
            <w:shd w:val="clear" w:color="auto" w:fill="auto"/>
          </w:tcPr>
          <w:p w14:paraId="4D795244" w14:textId="015B7AF5" w:rsidR="00AB7C31" w:rsidRDefault="00831280" w:rsidP="009F737C">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70,59</w:t>
            </w:r>
          </w:p>
        </w:tc>
      </w:tr>
      <w:tr w:rsidR="00AB7C31" w:rsidRPr="00DE7806" w14:paraId="0B246BA9" w14:textId="77777777" w:rsidTr="009F737C">
        <w:trPr>
          <w:trHeight w:val="630"/>
        </w:trPr>
        <w:tc>
          <w:tcPr>
            <w:tcW w:w="2501" w:type="pct"/>
            <w:shd w:val="clear" w:color="auto" w:fill="auto"/>
          </w:tcPr>
          <w:p w14:paraId="19311FE7" w14:textId="296EB6A5" w:rsidR="00AB7C31" w:rsidRDefault="00AB7C31" w:rsidP="009F737C">
            <w:pPr>
              <w:widowControl w:val="0"/>
              <w:autoSpaceDE w:val="0"/>
              <w:autoSpaceDN w:val="0"/>
              <w:spacing w:after="0" w:line="240" w:lineRule="atLeast"/>
              <w:rPr>
                <w:rFonts w:ascii="Times New Roman" w:hAnsi="Times New Roman"/>
                <w:w w:val="95"/>
              </w:rPr>
            </w:pPr>
            <w:r>
              <w:rPr>
                <w:rFonts w:ascii="Times New Roman" w:hAnsi="Times New Roman"/>
                <w:w w:val="95"/>
              </w:rPr>
              <w:t>Kapitalni projekt 100305 Izrada ostale projektne dokumentacije</w:t>
            </w:r>
          </w:p>
        </w:tc>
        <w:tc>
          <w:tcPr>
            <w:tcW w:w="936" w:type="pct"/>
            <w:shd w:val="clear" w:color="auto" w:fill="auto"/>
          </w:tcPr>
          <w:p w14:paraId="0CA1A6E8" w14:textId="1D621616" w:rsidR="00AB7C31" w:rsidRDefault="00831280" w:rsidP="009F737C">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8.100,00</w:t>
            </w:r>
          </w:p>
        </w:tc>
        <w:tc>
          <w:tcPr>
            <w:tcW w:w="860" w:type="pct"/>
            <w:shd w:val="clear" w:color="auto" w:fill="auto"/>
          </w:tcPr>
          <w:p w14:paraId="308CB86C" w14:textId="27EC5AAA" w:rsidR="00AB7C31" w:rsidRDefault="00831280" w:rsidP="009F737C">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1.806,25</w:t>
            </w:r>
          </w:p>
        </w:tc>
        <w:tc>
          <w:tcPr>
            <w:tcW w:w="703" w:type="pct"/>
            <w:shd w:val="clear" w:color="auto" w:fill="auto"/>
          </w:tcPr>
          <w:p w14:paraId="218BCC2C" w14:textId="53B0752A" w:rsidR="00AB7C31" w:rsidRDefault="00831280" w:rsidP="009F737C">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22,30</w:t>
            </w:r>
          </w:p>
        </w:tc>
      </w:tr>
      <w:tr w:rsidR="00831280" w:rsidRPr="00DE7806" w14:paraId="1090D3C0" w14:textId="77777777" w:rsidTr="009F737C">
        <w:trPr>
          <w:trHeight w:val="630"/>
        </w:trPr>
        <w:tc>
          <w:tcPr>
            <w:tcW w:w="2501" w:type="pct"/>
            <w:shd w:val="clear" w:color="auto" w:fill="auto"/>
          </w:tcPr>
          <w:p w14:paraId="64D4912B" w14:textId="42D2D26C" w:rsidR="00831280" w:rsidRDefault="005B1193" w:rsidP="009F737C">
            <w:pPr>
              <w:widowControl w:val="0"/>
              <w:autoSpaceDE w:val="0"/>
              <w:autoSpaceDN w:val="0"/>
              <w:spacing w:after="0" w:line="240" w:lineRule="atLeast"/>
              <w:rPr>
                <w:rFonts w:ascii="Times New Roman" w:hAnsi="Times New Roman"/>
                <w:w w:val="95"/>
              </w:rPr>
            </w:pPr>
            <w:r>
              <w:rPr>
                <w:rFonts w:ascii="Times New Roman" w:hAnsi="Times New Roman"/>
                <w:w w:val="95"/>
              </w:rPr>
              <w:t xml:space="preserve">Kapitalni projekt K100306 </w:t>
            </w:r>
            <w:r w:rsidR="00831280">
              <w:rPr>
                <w:rFonts w:ascii="Times New Roman" w:hAnsi="Times New Roman"/>
                <w:w w:val="95"/>
              </w:rPr>
              <w:t>Izrada prostornih planova nove generacije – „</w:t>
            </w:r>
            <w:proofErr w:type="spellStart"/>
            <w:r w:rsidR="00831280">
              <w:rPr>
                <w:rFonts w:ascii="Times New Roman" w:hAnsi="Times New Roman"/>
                <w:w w:val="95"/>
              </w:rPr>
              <w:t>ePlanovi</w:t>
            </w:r>
            <w:proofErr w:type="spellEnd"/>
            <w:r w:rsidR="00831280">
              <w:rPr>
                <w:rFonts w:ascii="Times New Roman" w:hAnsi="Times New Roman"/>
                <w:w w:val="95"/>
              </w:rPr>
              <w:t>“</w:t>
            </w:r>
          </w:p>
        </w:tc>
        <w:tc>
          <w:tcPr>
            <w:tcW w:w="936" w:type="pct"/>
            <w:shd w:val="clear" w:color="auto" w:fill="auto"/>
          </w:tcPr>
          <w:p w14:paraId="49D20F50" w14:textId="768AE424" w:rsidR="00831280" w:rsidRDefault="00831280" w:rsidP="009F737C">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6.000,00</w:t>
            </w:r>
          </w:p>
        </w:tc>
        <w:tc>
          <w:tcPr>
            <w:tcW w:w="860" w:type="pct"/>
            <w:shd w:val="clear" w:color="auto" w:fill="auto"/>
          </w:tcPr>
          <w:p w14:paraId="1AA25119" w14:textId="632D0724" w:rsidR="00831280" w:rsidRDefault="00831280" w:rsidP="009F737C">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0,00</w:t>
            </w:r>
          </w:p>
        </w:tc>
        <w:tc>
          <w:tcPr>
            <w:tcW w:w="703" w:type="pct"/>
            <w:shd w:val="clear" w:color="auto" w:fill="auto"/>
          </w:tcPr>
          <w:p w14:paraId="600DE82C" w14:textId="197CA764" w:rsidR="00831280" w:rsidRDefault="00831280" w:rsidP="009F737C">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0,00</w:t>
            </w:r>
          </w:p>
        </w:tc>
      </w:tr>
      <w:tr w:rsidR="00831280" w:rsidRPr="00DE7806" w14:paraId="72532BF9" w14:textId="77777777" w:rsidTr="009F737C">
        <w:trPr>
          <w:trHeight w:val="630"/>
        </w:trPr>
        <w:tc>
          <w:tcPr>
            <w:tcW w:w="2501" w:type="pct"/>
            <w:shd w:val="clear" w:color="auto" w:fill="auto"/>
          </w:tcPr>
          <w:p w14:paraId="17FCA2DC" w14:textId="2FAC99D4" w:rsidR="00831280" w:rsidRDefault="005B1193" w:rsidP="009F737C">
            <w:pPr>
              <w:widowControl w:val="0"/>
              <w:autoSpaceDE w:val="0"/>
              <w:autoSpaceDN w:val="0"/>
              <w:spacing w:after="0" w:line="240" w:lineRule="atLeast"/>
              <w:rPr>
                <w:rFonts w:ascii="Times New Roman" w:hAnsi="Times New Roman"/>
                <w:w w:val="95"/>
              </w:rPr>
            </w:pPr>
            <w:r>
              <w:rPr>
                <w:rFonts w:ascii="Times New Roman" w:hAnsi="Times New Roman"/>
                <w:w w:val="95"/>
              </w:rPr>
              <w:t>Kapitalni projekt K100319 Izgradnja Parka za pse</w:t>
            </w:r>
          </w:p>
        </w:tc>
        <w:tc>
          <w:tcPr>
            <w:tcW w:w="936" w:type="pct"/>
            <w:shd w:val="clear" w:color="auto" w:fill="auto"/>
          </w:tcPr>
          <w:p w14:paraId="5200932F" w14:textId="175322F9" w:rsidR="00831280" w:rsidRDefault="005B1193" w:rsidP="009F737C">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122.750,00</w:t>
            </w:r>
          </w:p>
        </w:tc>
        <w:tc>
          <w:tcPr>
            <w:tcW w:w="860" w:type="pct"/>
            <w:shd w:val="clear" w:color="auto" w:fill="auto"/>
          </w:tcPr>
          <w:p w14:paraId="7B1B53ED" w14:textId="05EDA30C" w:rsidR="00831280" w:rsidRDefault="005B1193" w:rsidP="009F737C">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83.268,50</w:t>
            </w:r>
          </w:p>
        </w:tc>
        <w:tc>
          <w:tcPr>
            <w:tcW w:w="703" w:type="pct"/>
            <w:shd w:val="clear" w:color="auto" w:fill="auto"/>
          </w:tcPr>
          <w:p w14:paraId="626FB3D7" w14:textId="7260F890" w:rsidR="00831280" w:rsidRDefault="005B1193" w:rsidP="009F737C">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67,84</w:t>
            </w:r>
          </w:p>
        </w:tc>
      </w:tr>
      <w:tr w:rsidR="00CF455B" w:rsidRPr="00DE7806" w14:paraId="14F08FD6" w14:textId="77777777" w:rsidTr="009F737C">
        <w:trPr>
          <w:trHeight w:val="277"/>
        </w:trPr>
        <w:tc>
          <w:tcPr>
            <w:tcW w:w="2501" w:type="pct"/>
            <w:shd w:val="clear" w:color="auto" w:fill="auto"/>
          </w:tcPr>
          <w:p w14:paraId="22B67AFB" w14:textId="77777777" w:rsidR="00CF455B" w:rsidRPr="00E95D8E" w:rsidRDefault="00CF455B" w:rsidP="009F737C">
            <w:pPr>
              <w:widowControl w:val="0"/>
              <w:autoSpaceDE w:val="0"/>
              <w:autoSpaceDN w:val="0"/>
              <w:spacing w:after="0" w:line="240" w:lineRule="exact"/>
              <w:rPr>
                <w:rFonts w:ascii="Times New Roman" w:hAnsi="Times New Roman"/>
                <w:b/>
                <w:bCs/>
                <w:w w:val="95"/>
              </w:rPr>
            </w:pPr>
            <w:r w:rsidRPr="00E95D8E">
              <w:rPr>
                <w:rFonts w:ascii="Times New Roman" w:hAnsi="Times New Roman"/>
                <w:b/>
                <w:bCs/>
                <w:w w:val="95"/>
              </w:rPr>
              <w:t>Ukupno program</w:t>
            </w:r>
          </w:p>
        </w:tc>
        <w:tc>
          <w:tcPr>
            <w:tcW w:w="936" w:type="pct"/>
            <w:shd w:val="clear" w:color="auto" w:fill="auto"/>
          </w:tcPr>
          <w:p w14:paraId="4D98B9E3" w14:textId="153BD1B9" w:rsidR="00CF455B" w:rsidRPr="00E95D8E" w:rsidRDefault="00831280" w:rsidP="009F737C">
            <w:pPr>
              <w:pStyle w:val="TableParagraph"/>
              <w:spacing w:before="21" w:line="240" w:lineRule="exact"/>
              <w:ind w:right="98"/>
              <w:rPr>
                <w:rFonts w:ascii="Times New Roman" w:hAnsi="Times New Roman" w:cs="Times New Roman"/>
                <w:b/>
                <w:bCs/>
                <w:lang w:val="hr-HR"/>
              </w:rPr>
            </w:pPr>
            <w:r>
              <w:rPr>
                <w:rFonts w:ascii="Times New Roman" w:hAnsi="Times New Roman" w:cs="Times New Roman"/>
                <w:b/>
                <w:bCs/>
                <w:lang w:val="hr-HR"/>
              </w:rPr>
              <w:t>1.203.560,00</w:t>
            </w:r>
          </w:p>
        </w:tc>
        <w:tc>
          <w:tcPr>
            <w:tcW w:w="860" w:type="pct"/>
            <w:shd w:val="clear" w:color="auto" w:fill="auto"/>
          </w:tcPr>
          <w:p w14:paraId="772016F9" w14:textId="32AC6191" w:rsidR="00CF455B" w:rsidRPr="00E95D8E" w:rsidRDefault="00831280" w:rsidP="009F737C">
            <w:pPr>
              <w:pStyle w:val="TableParagraph"/>
              <w:spacing w:before="21" w:line="240" w:lineRule="exact"/>
              <w:ind w:right="98"/>
              <w:rPr>
                <w:rFonts w:ascii="Times New Roman" w:hAnsi="Times New Roman" w:cs="Times New Roman"/>
                <w:b/>
                <w:bCs/>
                <w:lang w:val="hr-HR"/>
              </w:rPr>
            </w:pPr>
            <w:r>
              <w:rPr>
                <w:rFonts w:ascii="Times New Roman" w:hAnsi="Times New Roman" w:cs="Times New Roman"/>
                <w:b/>
                <w:bCs/>
                <w:lang w:val="hr-HR"/>
              </w:rPr>
              <w:t>943.705,45</w:t>
            </w:r>
          </w:p>
        </w:tc>
        <w:tc>
          <w:tcPr>
            <w:tcW w:w="703" w:type="pct"/>
            <w:shd w:val="clear" w:color="auto" w:fill="auto"/>
          </w:tcPr>
          <w:p w14:paraId="251E42AC" w14:textId="202D38CE" w:rsidR="00CF455B" w:rsidRPr="00E95D8E" w:rsidRDefault="00831280" w:rsidP="009F737C">
            <w:pPr>
              <w:pStyle w:val="TableParagraph"/>
              <w:spacing w:before="21" w:line="240" w:lineRule="exact"/>
              <w:ind w:right="98"/>
              <w:rPr>
                <w:rFonts w:ascii="Times New Roman" w:hAnsi="Times New Roman" w:cs="Times New Roman"/>
                <w:b/>
                <w:bCs/>
                <w:lang w:val="hr-HR"/>
              </w:rPr>
            </w:pPr>
            <w:r>
              <w:rPr>
                <w:rFonts w:ascii="Times New Roman" w:hAnsi="Times New Roman" w:cs="Times New Roman"/>
                <w:b/>
                <w:bCs/>
                <w:lang w:val="hr-HR"/>
              </w:rPr>
              <w:t>78,41</w:t>
            </w:r>
          </w:p>
        </w:tc>
      </w:tr>
    </w:tbl>
    <w:p w14:paraId="265D7D32" w14:textId="77777777" w:rsidR="00CF455B" w:rsidRPr="00CF455B" w:rsidRDefault="00CF455B" w:rsidP="00CF455B">
      <w:pPr>
        <w:rPr>
          <w:lang w:eastAsia="ar-SA"/>
        </w:rPr>
      </w:pPr>
    </w:p>
    <w:p w14:paraId="7BC79B9C" w14:textId="77777777" w:rsidR="00722358" w:rsidRPr="00722358" w:rsidRDefault="00722358" w:rsidP="00E40FD3">
      <w:pPr>
        <w:pStyle w:val="Naslov"/>
        <w:ind w:firstLine="567"/>
        <w:jc w:val="both"/>
        <w:rPr>
          <w:rFonts w:ascii="Times New Roman" w:hAnsi="Times New Roman" w:cs="Times New Roman"/>
          <w:b w:val="0"/>
          <w:sz w:val="22"/>
          <w:lang w:val="hr-HR"/>
        </w:rPr>
      </w:pPr>
      <w:r w:rsidRPr="00722358">
        <w:rPr>
          <w:rFonts w:ascii="Times New Roman" w:hAnsi="Times New Roman" w:cs="Times New Roman"/>
          <w:b w:val="0"/>
          <w:i/>
          <w:sz w:val="22"/>
          <w:lang w:val="hr-HR"/>
        </w:rPr>
        <w:t>Aktivnost A100301</w:t>
      </w:r>
      <w:r w:rsidRPr="00722358">
        <w:rPr>
          <w:rFonts w:ascii="Times New Roman" w:hAnsi="Times New Roman" w:cs="Times New Roman"/>
          <w:b w:val="0"/>
          <w:sz w:val="22"/>
          <w:lang w:val="hr-HR"/>
        </w:rPr>
        <w:t xml:space="preserve"> – Redovan rad upravnog tijela</w:t>
      </w:r>
    </w:p>
    <w:p w14:paraId="61FAAC04" w14:textId="1713A6AB" w:rsidR="00AB7C31" w:rsidRPr="00B775B6" w:rsidRDefault="00AB7C31" w:rsidP="00AB7C31">
      <w:pPr>
        <w:spacing w:after="0" w:line="240" w:lineRule="atLeast"/>
        <w:jc w:val="both"/>
        <w:rPr>
          <w:rFonts w:ascii="Times New Roman" w:hAnsi="Times New Roman"/>
        </w:rPr>
      </w:pPr>
      <w:r w:rsidRPr="00B775B6">
        <w:rPr>
          <w:rFonts w:ascii="Times New Roman" w:hAnsi="Times New Roman"/>
        </w:rPr>
        <w:t xml:space="preserve">Ova aktivnost  odnosi se na plaće i doprinose na plaće za redovan rad </w:t>
      </w:r>
      <w:r>
        <w:rPr>
          <w:rFonts w:ascii="Times New Roman" w:hAnsi="Times New Roman"/>
        </w:rPr>
        <w:t>8</w:t>
      </w:r>
      <w:r w:rsidRPr="00B775B6">
        <w:rPr>
          <w:rFonts w:ascii="Times New Roman" w:hAnsi="Times New Roman"/>
        </w:rPr>
        <w:t xml:space="preserve"> stalno zaposlenih službenika</w:t>
      </w:r>
      <w:r>
        <w:rPr>
          <w:rFonts w:ascii="Times New Roman" w:hAnsi="Times New Roman"/>
        </w:rPr>
        <w:t>.</w:t>
      </w:r>
    </w:p>
    <w:p w14:paraId="68A60C96" w14:textId="77777777" w:rsidR="00AB7C31" w:rsidRDefault="00AB7C31" w:rsidP="00AB7C31">
      <w:pPr>
        <w:spacing w:after="0" w:line="240" w:lineRule="atLeast"/>
        <w:jc w:val="both"/>
        <w:rPr>
          <w:rFonts w:ascii="Times New Roman" w:hAnsi="Times New Roman"/>
        </w:rPr>
      </w:pPr>
      <w:r w:rsidRPr="00B775B6">
        <w:rPr>
          <w:rFonts w:ascii="Times New Roman" w:hAnsi="Times New Roman"/>
        </w:rPr>
        <w:lastRenderedPageBreak/>
        <w:t>Rashodi se odnose i  na troškove redovnog poslovanja – naknada za prijevoz zaposlenika,  službenih putovanja, stručnog usavršavanja zaposlenika,</w:t>
      </w:r>
      <w:r>
        <w:rPr>
          <w:rFonts w:ascii="Times New Roman" w:hAnsi="Times New Roman"/>
        </w:rPr>
        <w:t xml:space="preserve"> energije (struja i plin),</w:t>
      </w:r>
      <w:r w:rsidRPr="00B775B6">
        <w:rPr>
          <w:rFonts w:ascii="Times New Roman" w:hAnsi="Times New Roman"/>
        </w:rPr>
        <w:t xml:space="preserve"> nabave zaštitne odjeće i obuće, goriva, materijala i dijelova za redovno održavanje, materijala i sredstava za čišćenje, sitnog inventara, tonera, uredskog papira i drugih uredskih potrepština, stručne literature i časopisa,</w:t>
      </w:r>
      <w:r>
        <w:rPr>
          <w:rFonts w:ascii="Times New Roman" w:hAnsi="Times New Roman"/>
        </w:rPr>
        <w:t xml:space="preserve"> energije(struja i plin)</w:t>
      </w:r>
      <w:r w:rsidRPr="00B775B6">
        <w:rPr>
          <w:rFonts w:ascii="Times New Roman" w:hAnsi="Times New Roman"/>
        </w:rPr>
        <w:t xml:space="preserve">, </w:t>
      </w:r>
      <w:r>
        <w:rPr>
          <w:rFonts w:ascii="Times New Roman" w:hAnsi="Times New Roman"/>
        </w:rPr>
        <w:t xml:space="preserve">komunalnih usluga(odvoz otpada, opskrba vodom, deratizacija i dezinsekcija, dimnjačarstvo i sl.), operativnog leasinga, nabavu intelektualnih usluga, </w:t>
      </w:r>
      <w:r w:rsidRPr="00B775B6">
        <w:rPr>
          <w:rFonts w:ascii="Times New Roman" w:hAnsi="Times New Roman"/>
        </w:rPr>
        <w:t xml:space="preserve">troškova reprezentacije (poslovnih ručkova, poklona i redovne reprezentacije) te ostalih nespomenutih rashoda poslovanja. </w:t>
      </w:r>
    </w:p>
    <w:p w14:paraId="6165CC4F" w14:textId="77777777" w:rsidR="00096A44" w:rsidRDefault="00096A44" w:rsidP="00AB7C31">
      <w:pPr>
        <w:spacing w:after="0" w:line="240" w:lineRule="atLeast"/>
        <w:jc w:val="both"/>
        <w:rPr>
          <w:rFonts w:ascii="Times New Roman" w:hAnsi="Times New Roman"/>
        </w:rPr>
      </w:pPr>
    </w:p>
    <w:p w14:paraId="10D327B4" w14:textId="77777777" w:rsidR="00722358" w:rsidRPr="00722358" w:rsidRDefault="00722358" w:rsidP="00E40FD3">
      <w:pPr>
        <w:pStyle w:val="Naslov"/>
        <w:jc w:val="both"/>
        <w:rPr>
          <w:rFonts w:ascii="Times New Roman" w:hAnsi="Times New Roman" w:cs="Times New Roman"/>
          <w:b w:val="0"/>
          <w:iCs/>
          <w:sz w:val="22"/>
          <w:lang w:val="hr-HR"/>
        </w:rPr>
      </w:pPr>
    </w:p>
    <w:p w14:paraId="0FA6EB33" w14:textId="77777777" w:rsidR="00722358" w:rsidRDefault="00722358" w:rsidP="00E40FD3">
      <w:pPr>
        <w:pStyle w:val="Naslov"/>
        <w:ind w:firstLine="567"/>
        <w:jc w:val="both"/>
        <w:rPr>
          <w:rFonts w:ascii="Times New Roman" w:hAnsi="Times New Roman" w:cs="Times New Roman"/>
          <w:b w:val="0"/>
          <w:sz w:val="22"/>
          <w:lang w:val="hr-HR"/>
        </w:rPr>
      </w:pPr>
      <w:r w:rsidRPr="00722358">
        <w:rPr>
          <w:rFonts w:ascii="Times New Roman" w:hAnsi="Times New Roman" w:cs="Times New Roman"/>
          <w:b w:val="0"/>
          <w:i/>
          <w:sz w:val="22"/>
          <w:lang w:val="hr-HR"/>
        </w:rPr>
        <w:t xml:space="preserve">Aktivnost A100302 – </w:t>
      </w:r>
      <w:r w:rsidRPr="00722358">
        <w:rPr>
          <w:rFonts w:ascii="Times New Roman" w:hAnsi="Times New Roman" w:cs="Times New Roman"/>
          <w:b w:val="0"/>
          <w:sz w:val="22"/>
          <w:lang w:val="hr-HR"/>
        </w:rPr>
        <w:t>Održavanje građevinskih objekata za redovno korištenje</w:t>
      </w:r>
    </w:p>
    <w:p w14:paraId="6C549A6C" w14:textId="4AE77B41" w:rsidR="00AB7C31" w:rsidRPr="004B5E40" w:rsidRDefault="00AB7C31" w:rsidP="004B5E40">
      <w:pPr>
        <w:jc w:val="both"/>
        <w:rPr>
          <w:rFonts w:ascii="Times New Roman" w:hAnsi="Times New Roman"/>
        </w:rPr>
      </w:pPr>
      <w:r>
        <w:rPr>
          <w:rFonts w:ascii="Times New Roman" w:hAnsi="Times New Roman"/>
        </w:rPr>
        <w:t xml:space="preserve">Ova aktivnost odnosi se na održavanje postojećih građevinskih objekata u vlasništvu Grada Garešnica. U ovu skupinu spada nabavka raznih materijala i dijelova za tekuće i investicijsko održavanje objekata kako funkcionalnost objekata ne bi bila narušena. Usluge se odnose na radove kod održavanja objekata. Spomenuti objekti se mogu svrstati na nekoliko glavnih skupina, a to su domovi u mjesnim odborima, </w:t>
      </w:r>
      <w:r w:rsidR="004B5E40">
        <w:rPr>
          <w:rFonts w:ascii="Times New Roman" w:hAnsi="Times New Roman"/>
        </w:rPr>
        <w:t>te ostali poslovni objekti u vlasništvu Grada.</w:t>
      </w:r>
    </w:p>
    <w:p w14:paraId="7BC1D875" w14:textId="77777777" w:rsidR="004B5E40" w:rsidRDefault="00722358" w:rsidP="004B5E40">
      <w:pPr>
        <w:spacing w:after="0" w:line="240" w:lineRule="atLeast"/>
        <w:ind w:firstLine="567"/>
        <w:jc w:val="both"/>
        <w:rPr>
          <w:rFonts w:ascii="Times New Roman" w:hAnsi="Times New Roman" w:cs="Times New Roman"/>
        </w:rPr>
      </w:pPr>
      <w:r w:rsidRPr="00722358">
        <w:rPr>
          <w:rFonts w:ascii="Times New Roman" w:hAnsi="Times New Roman" w:cs="Times New Roman"/>
          <w:i/>
        </w:rPr>
        <w:t xml:space="preserve">Aktivnost A100303 – </w:t>
      </w:r>
      <w:r w:rsidRPr="00722358">
        <w:rPr>
          <w:rFonts w:ascii="Times New Roman" w:hAnsi="Times New Roman" w:cs="Times New Roman"/>
        </w:rPr>
        <w:t>Održavanje opreme za redovno korištenje</w:t>
      </w:r>
      <w:r w:rsidR="00C11E6D">
        <w:rPr>
          <w:rFonts w:ascii="Times New Roman" w:hAnsi="Times New Roman" w:cs="Times New Roman"/>
        </w:rPr>
        <w:t xml:space="preserve"> - </w:t>
      </w:r>
      <w:r w:rsidRPr="00722358">
        <w:rPr>
          <w:rFonts w:ascii="Times New Roman" w:hAnsi="Times New Roman" w:cs="Times New Roman"/>
        </w:rPr>
        <w:t xml:space="preserve"> </w:t>
      </w:r>
    </w:p>
    <w:p w14:paraId="0F9608A0" w14:textId="2EACBFC0" w:rsidR="00722358" w:rsidRPr="004B5E40" w:rsidRDefault="004B5E40" w:rsidP="004B5E40">
      <w:pPr>
        <w:spacing w:after="0" w:line="240" w:lineRule="atLeast"/>
        <w:jc w:val="both"/>
        <w:rPr>
          <w:rFonts w:ascii="Times New Roman" w:hAnsi="Times New Roman" w:cs="Times New Roman"/>
        </w:rPr>
      </w:pPr>
      <w:r w:rsidRPr="00B775B6">
        <w:rPr>
          <w:rFonts w:ascii="Times New Roman" w:hAnsi="Times New Roman"/>
        </w:rPr>
        <w:t xml:space="preserve">Ova aktivnost obuhvaća osiguranje sredstava za </w:t>
      </w:r>
      <w:r>
        <w:rPr>
          <w:rFonts w:ascii="Times New Roman" w:hAnsi="Times New Roman"/>
        </w:rPr>
        <w:t>nabavku sitnog inventara, auto guma, materijala i dijelova za održavanje opreme u vlasništvu Grada Garešnica. Oprema u vlasništvu grada su motorna vozila, ostala prijevozna sredstva i oprema za redovno funkcioniranje odjela.</w:t>
      </w:r>
    </w:p>
    <w:p w14:paraId="48D84FF7" w14:textId="77777777" w:rsidR="004B5E40" w:rsidRDefault="004B5E40" w:rsidP="00E40FD3">
      <w:pPr>
        <w:pStyle w:val="Naslov"/>
        <w:ind w:firstLine="567"/>
        <w:jc w:val="both"/>
        <w:rPr>
          <w:rFonts w:ascii="Times New Roman" w:hAnsi="Times New Roman" w:cs="Times New Roman"/>
          <w:b w:val="0"/>
          <w:i/>
          <w:sz w:val="22"/>
          <w:lang w:val="hr-HR"/>
        </w:rPr>
      </w:pPr>
    </w:p>
    <w:p w14:paraId="7115C24C" w14:textId="283D5B01" w:rsidR="004B5E40" w:rsidRDefault="00722358" w:rsidP="00E40FD3">
      <w:pPr>
        <w:pStyle w:val="Naslov"/>
        <w:ind w:firstLine="567"/>
        <w:jc w:val="both"/>
        <w:rPr>
          <w:rFonts w:ascii="Times New Roman" w:hAnsi="Times New Roman" w:cs="Times New Roman"/>
          <w:b w:val="0"/>
          <w:sz w:val="22"/>
          <w:lang w:val="hr-HR"/>
        </w:rPr>
      </w:pPr>
      <w:r w:rsidRPr="00722358">
        <w:rPr>
          <w:rFonts w:ascii="Times New Roman" w:hAnsi="Times New Roman" w:cs="Times New Roman"/>
          <w:b w:val="0"/>
          <w:i/>
          <w:sz w:val="22"/>
          <w:lang w:val="hr-HR"/>
        </w:rPr>
        <w:t xml:space="preserve">Aktivnost A100305 </w:t>
      </w:r>
      <w:r w:rsidRPr="00722358">
        <w:rPr>
          <w:rFonts w:ascii="Times New Roman" w:hAnsi="Times New Roman" w:cs="Times New Roman"/>
          <w:b w:val="0"/>
          <w:sz w:val="22"/>
          <w:lang w:val="hr-HR"/>
        </w:rPr>
        <w:t xml:space="preserve">– Higijeničarska služba </w:t>
      </w:r>
      <w:r w:rsidR="004B5E40">
        <w:rPr>
          <w:rFonts w:ascii="Times New Roman" w:hAnsi="Times New Roman" w:cs="Times New Roman"/>
          <w:b w:val="0"/>
          <w:sz w:val="22"/>
          <w:lang w:val="hr-HR"/>
        </w:rPr>
        <w:t>–</w:t>
      </w:r>
      <w:r w:rsidRPr="00722358">
        <w:rPr>
          <w:rFonts w:ascii="Times New Roman" w:hAnsi="Times New Roman" w:cs="Times New Roman"/>
          <w:b w:val="0"/>
          <w:sz w:val="22"/>
          <w:lang w:val="hr-HR"/>
        </w:rPr>
        <w:t xml:space="preserve"> </w:t>
      </w:r>
    </w:p>
    <w:p w14:paraId="532B72F0" w14:textId="402A6F87" w:rsidR="004B5E40" w:rsidRDefault="004B5E40" w:rsidP="004B5E40">
      <w:pPr>
        <w:jc w:val="both"/>
        <w:rPr>
          <w:rFonts w:ascii="Times New Roman" w:hAnsi="Times New Roman"/>
        </w:rPr>
      </w:pPr>
      <w:r w:rsidRPr="002B3B02">
        <w:rPr>
          <w:rFonts w:ascii="Times New Roman" w:hAnsi="Times New Roman"/>
        </w:rPr>
        <w:t>Ova</w:t>
      </w:r>
      <w:r>
        <w:rPr>
          <w:rFonts w:ascii="Times New Roman" w:hAnsi="Times New Roman"/>
        </w:rPr>
        <w:t xml:space="preserve"> aktivnost obuhvaća veterinarske usluge u smislu hvatanja, zbrinjavanja i sterilizacije pasa i mačaka te sufinanciranje </w:t>
      </w:r>
      <w:proofErr w:type="spellStart"/>
      <w:r>
        <w:rPr>
          <w:rFonts w:ascii="Times New Roman" w:hAnsi="Times New Roman"/>
        </w:rPr>
        <w:t>čipiranja</w:t>
      </w:r>
      <w:proofErr w:type="spellEnd"/>
      <w:r>
        <w:rPr>
          <w:rFonts w:ascii="Times New Roman" w:hAnsi="Times New Roman"/>
        </w:rPr>
        <w:t xml:space="preserve"> pasa.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07"/>
        <w:gridCol w:w="2996"/>
        <w:gridCol w:w="962"/>
        <w:gridCol w:w="1122"/>
        <w:gridCol w:w="1105"/>
        <w:gridCol w:w="968"/>
      </w:tblGrid>
      <w:tr w:rsidR="00585AC3" w:rsidRPr="00F64569" w14:paraId="5D781E3B" w14:textId="77777777" w:rsidTr="00585AC3">
        <w:trPr>
          <w:trHeight w:val="633"/>
          <w:jc w:val="center"/>
        </w:trPr>
        <w:tc>
          <w:tcPr>
            <w:tcW w:w="1052" w:type="pct"/>
            <w:shd w:val="clear" w:color="auto" w:fill="BFBFBF"/>
          </w:tcPr>
          <w:p w14:paraId="6612CD9B" w14:textId="6CD4ED46" w:rsidR="00585AC3" w:rsidRPr="00F64569" w:rsidRDefault="00585AC3" w:rsidP="00E347ED">
            <w:pPr>
              <w:widowControl w:val="0"/>
              <w:autoSpaceDE w:val="0"/>
              <w:autoSpaceDN w:val="0"/>
              <w:spacing w:before="104" w:after="0" w:line="240" w:lineRule="auto"/>
              <w:ind w:left="136" w:right="110" w:firstLine="59"/>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Pokazatelj</w:t>
            </w:r>
            <w:r w:rsidRPr="00F64569">
              <w:rPr>
                <w:rFonts w:ascii="Times New Roman" w:eastAsia="Arial MT" w:hAnsi="Times New Roman" w:cs="Times New Roman"/>
                <w:b/>
                <w:spacing w:val="1"/>
                <w:sz w:val="20"/>
                <w:szCs w:val="20"/>
              </w:rPr>
              <w:t xml:space="preserve"> </w:t>
            </w:r>
            <w:r>
              <w:rPr>
                <w:rFonts w:ascii="Times New Roman" w:eastAsia="Arial MT" w:hAnsi="Times New Roman" w:cs="Times New Roman"/>
                <w:b/>
                <w:sz w:val="20"/>
                <w:szCs w:val="20"/>
              </w:rPr>
              <w:t>rezultata</w:t>
            </w:r>
          </w:p>
        </w:tc>
        <w:tc>
          <w:tcPr>
            <w:tcW w:w="1653" w:type="pct"/>
            <w:shd w:val="clear" w:color="auto" w:fill="BFBFBF"/>
          </w:tcPr>
          <w:p w14:paraId="7A66B12F" w14:textId="77777777" w:rsidR="00585AC3" w:rsidRPr="00F64569" w:rsidRDefault="00585AC3" w:rsidP="00E347ED">
            <w:pPr>
              <w:widowControl w:val="0"/>
              <w:autoSpaceDE w:val="0"/>
              <w:autoSpaceDN w:val="0"/>
              <w:spacing w:after="0" w:line="240" w:lineRule="auto"/>
              <w:jc w:val="both"/>
              <w:rPr>
                <w:rFonts w:ascii="Times New Roman" w:eastAsia="Arial MT" w:hAnsi="Times New Roman" w:cs="Times New Roman"/>
                <w:b/>
                <w:sz w:val="20"/>
                <w:szCs w:val="20"/>
              </w:rPr>
            </w:pPr>
          </w:p>
          <w:p w14:paraId="50A85E45" w14:textId="77777777" w:rsidR="00585AC3" w:rsidRPr="00F64569" w:rsidRDefault="00585AC3" w:rsidP="00E347ED">
            <w:pPr>
              <w:widowControl w:val="0"/>
              <w:autoSpaceDE w:val="0"/>
              <w:autoSpaceDN w:val="0"/>
              <w:spacing w:before="1" w:after="0" w:line="240" w:lineRule="auto"/>
              <w:ind w:left="1136" w:right="832"/>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Definicija</w:t>
            </w:r>
          </w:p>
        </w:tc>
        <w:tc>
          <w:tcPr>
            <w:tcW w:w="531" w:type="pct"/>
            <w:shd w:val="clear" w:color="auto" w:fill="BFBFBF"/>
          </w:tcPr>
          <w:p w14:paraId="66356331" w14:textId="77777777" w:rsidR="00585AC3" w:rsidRPr="00F64569" w:rsidRDefault="00585AC3" w:rsidP="00E347ED">
            <w:pPr>
              <w:widowControl w:val="0"/>
              <w:autoSpaceDE w:val="0"/>
              <w:autoSpaceDN w:val="0"/>
              <w:spacing w:after="0" w:line="240" w:lineRule="auto"/>
              <w:jc w:val="both"/>
              <w:rPr>
                <w:rFonts w:ascii="Times New Roman" w:eastAsia="Arial MT" w:hAnsi="Times New Roman" w:cs="Times New Roman"/>
                <w:b/>
                <w:sz w:val="20"/>
                <w:szCs w:val="20"/>
              </w:rPr>
            </w:pPr>
          </w:p>
          <w:p w14:paraId="292B3EBF" w14:textId="77777777" w:rsidR="00585AC3" w:rsidRPr="00F64569" w:rsidRDefault="00585AC3" w:rsidP="00E347ED">
            <w:pPr>
              <w:widowControl w:val="0"/>
              <w:autoSpaceDE w:val="0"/>
              <w:autoSpaceDN w:val="0"/>
              <w:spacing w:before="1" w:after="0" w:line="240" w:lineRule="auto"/>
              <w:ind w:left="112" w:right="105"/>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Jedinica</w:t>
            </w:r>
          </w:p>
        </w:tc>
        <w:tc>
          <w:tcPr>
            <w:tcW w:w="619" w:type="pct"/>
            <w:shd w:val="clear" w:color="auto" w:fill="BFBFBF"/>
          </w:tcPr>
          <w:p w14:paraId="7B12E718" w14:textId="77777777" w:rsidR="00585AC3" w:rsidRPr="00F64569" w:rsidRDefault="00585AC3" w:rsidP="00E347ED">
            <w:pPr>
              <w:widowControl w:val="0"/>
              <w:autoSpaceDE w:val="0"/>
              <w:autoSpaceDN w:val="0"/>
              <w:spacing w:after="0" w:line="206" w:lineRule="exact"/>
              <w:ind w:left="122" w:right="121"/>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Ciljana</w:t>
            </w:r>
          </w:p>
          <w:p w14:paraId="1F388F63" w14:textId="77777777" w:rsidR="00585AC3" w:rsidRPr="00F64569" w:rsidRDefault="00585AC3" w:rsidP="00E347ED">
            <w:pPr>
              <w:widowControl w:val="0"/>
              <w:autoSpaceDE w:val="0"/>
              <w:autoSpaceDN w:val="0"/>
              <w:spacing w:after="0" w:line="206" w:lineRule="exact"/>
              <w:ind w:left="124" w:right="121"/>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vrijednost</w:t>
            </w:r>
            <w:r w:rsidRPr="00F64569">
              <w:rPr>
                <w:rFonts w:ascii="Times New Roman" w:eastAsia="Arial MT" w:hAnsi="Times New Roman" w:cs="Times New Roman"/>
                <w:b/>
                <w:spacing w:val="-47"/>
                <w:sz w:val="20"/>
                <w:szCs w:val="20"/>
              </w:rPr>
              <w:t xml:space="preserve">   </w:t>
            </w:r>
            <w:r w:rsidRPr="00F64569">
              <w:rPr>
                <w:rFonts w:ascii="Times New Roman" w:eastAsia="Arial MT" w:hAnsi="Times New Roman" w:cs="Times New Roman"/>
                <w:b/>
                <w:sz w:val="20"/>
                <w:szCs w:val="20"/>
              </w:rPr>
              <w:t>2024.</w:t>
            </w:r>
          </w:p>
        </w:tc>
        <w:tc>
          <w:tcPr>
            <w:tcW w:w="610" w:type="pct"/>
            <w:shd w:val="clear" w:color="auto" w:fill="BFBFBF"/>
          </w:tcPr>
          <w:p w14:paraId="57E1929E" w14:textId="77777777" w:rsidR="00585AC3" w:rsidRPr="00F64569" w:rsidRDefault="00585AC3" w:rsidP="00E347ED">
            <w:pPr>
              <w:widowControl w:val="0"/>
              <w:autoSpaceDE w:val="0"/>
              <w:autoSpaceDN w:val="0"/>
              <w:spacing w:after="0" w:line="205" w:lineRule="exact"/>
              <w:ind w:left="89"/>
              <w:jc w:val="both"/>
              <w:rPr>
                <w:rFonts w:ascii="Times New Roman" w:eastAsia="Arial MT" w:hAnsi="Times New Roman" w:cs="Times New Roman"/>
                <w:b/>
                <w:sz w:val="20"/>
                <w:szCs w:val="20"/>
              </w:rPr>
            </w:pPr>
            <w:r>
              <w:rPr>
                <w:rFonts w:ascii="Times New Roman" w:eastAsia="Arial MT" w:hAnsi="Times New Roman" w:cs="Times New Roman"/>
                <w:b/>
                <w:sz w:val="20"/>
                <w:szCs w:val="20"/>
              </w:rPr>
              <w:t>Izvršenje</w:t>
            </w:r>
          </w:p>
        </w:tc>
        <w:tc>
          <w:tcPr>
            <w:tcW w:w="534" w:type="pct"/>
            <w:shd w:val="clear" w:color="auto" w:fill="BFBFBF"/>
          </w:tcPr>
          <w:p w14:paraId="03C2A672" w14:textId="77777777" w:rsidR="00585AC3" w:rsidRPr="00F64569" w:rsidRDefault="00585AC3" w:rsidP="00E347ED">
            <w:pPr>
              <w:widowControl w:val="0"/>
              <w:autoSpaceDE w:val="0"/>
              <w:autoSpaceDN w:val="0"/>
              <w:spacing w:after="0" w:line="240" w:lineRule="auto"/>
              <w:ind w:left="130" w:right="115" w:firstLine="134"/>
              <w:jc w:val="both"/>
              <w:rPr>
                <w:rFonts w:ascii="Times New Roman" w:eastAsia="Arial MT" w:hAnsi="Times New Roman" w:cs="Times New Roman"/>
                <w:b/>
                <w:sz w:val="20"/>
                <w:szCs w:val="20"/>
              </w:rPr>
            </w:pPr>
            <w:r>
              <w:rPr>
                <w:rFonts w:ascii="Times New Roman" w:eastAsia="Arial MT" w:hAnsi="Times New Roman" w:cs="Times New Roman"/>
                <w:b/>
                <w:sz w:val="20"/>
                <w:szCs w:val="20"/>
              </w:rPr>
              <w:t>Indeks</w:t>
            </w:r>
          </w:p>
        </w:tc>
      </w:tr>
      <w:tr w:rsidR="00585AC3" w:rsidRPr="00F64569" w14:paraId="01620B71" w14:textId="77777777" w:rsidTr="00585AC3">
        <w:trPr>
          <w:trHeight w:val="620"/>
          <w:jc w:val="center"/>
        </w:trPr>
        <w:tc>
          <w:tcPr>
            <w:tcW w:w="1052" w:type="pct"/>
            <w:shd w:val="clear" w:color="auto" w:fill="auto"/>
          </w:tcPr>
          <w:p w14:paraId="642CADD3" w14:textId="6AE31082" w:rsidR="00585AC3" w:rsidRPr="00F64569" w:rsidRDefault="00585AC3" w:rsidP="00585AC3">
            <w:pPr>
              <w:widowControl w:val="0"/>
              <w:autoSpaceDE w:val="0"/>
              <w:autoSpaceDN w:val="0"/>
              <w:spacing w:before="1" w:after="0" w:line="240" w:lineRule="auto"/>
              <w:ind w:right="109"/>
              <w:jc w:val="center"/>
              <w:rPr>
                <w:rFonts w:ascii="Times New Roman" w:eastAsia="Arial MT" w:hAnsi="Times New Roman" w:cs="Times New Roman"/>
              </w:rPr>
            </w:pPr>
            <w:r>
              <w:rPr>
                <w:rFonts w:ascii="Times New Roman" w:eastAsia="Arial MT" w:hAnsi="Times New Roman" w:cs="Times New Roman"/>
              </w:rPr>
              <w:t>Broj zbrinutih pasa i mačaka</w:t>
            </w:r>
          </w:p>
        </w:tc>
        <w:tc>
          <w:tcPr>
            <w:tcW w:w="1653" w:type="pct"/>
            <w:shd w:val="clear" w:color="auto" w:fill="auto"/>
          </w:tcPr>
          <w:p w14:paraId="2115632D" w14:textId="690552AC" w:rsidR="00585AC3" w:rsidRPr="00F64569" w:rsidRDefault="00585AC3" w:rsidP="00585AC3">
            <w:pPr>
              <w:widowControl w:val="0"/>
              <w:autoSpaceDE w:val="0"/>
              <w:autoSpaceDN w:val="0"/>
              <w:spacing w:after="0" w:line="187" w:lineRule="exact"/>
              <w:ind w:left="105"/>
              <w:jc w:val="center"/>
              <w:rPr>
                <w:rFonts w:ascii="Times New Roman" w:eastAsia="Arial MT" w:hAnsi="Times New Roman" w:cs="Times New Roman"/>
              </w:rPr>
            </w:pPr>
            <w:r>
              <w:rPr>
                <w:rFonts w:ascii="Times New Roman" w:eastAsia="Arial MT" w:hAnsi="Times New Roman" w:cs="Times New Roman"/>
              </w:rPr>
              <w:t>Povećanje svijesti o napuštanju kućnih ljubimaca te smanjenja broja napuštenih pasa i mačaka</w:t>
            </w:r>
          </w:p>
        </w:tc>
        <w:tc>
          <w:tcPr>
            <w:tcW w:w="531" w:type="pct"/>
            <w:shd w:val="clear" w:color="auto" w:fill="auto"/>
          </w:tcPr>
          <w:p w14:paraId="4C8A81ED" w14:textId="6272D11B" w:rsidR="00585AC3" w:rsidRPr="00F64569" w:rsidRDefault="00585AC3" w:rsidP="00585AC3">
            <w:pPr>
              <w:widowControl w:val="0"/>
              <w:autoSpaceDE w:val="0"/>
              <w:autoSpaceDN w:val="0"/>
              <w:spacing w:before="1" w:after="0" w:line="240" w:lineRule="auto"/>
              <w:ind w:right="137"/>
              <w:jc w:val="center"/>
              <w:rPr>
                <w:rFonts w:ascii="Times New Roman" w:eastAsia="Arial MT" w:hAnsi="Times New Roman" w:cs="Times New Roman"/>
              </w:rPr>
            </w:pPr>
            <w:r>
              <w:rPr>
                <w:rFonts w:ascii="Times New Roman" w:eastAsia="Arial MT" w:hAnsi="Times New Roman" w:cs="Times New Roman"/>
              </w:rPr>
              <w:t>Komad</w:t>
            </w:r>
          </w:p>
        </w:tc>
        <w:tc>
          <w:tcPr>
            <w:tcW w:w="619" w:type="pct"/>
            <w:shd w:val="clear" w:color="auto" w:fill="auto"/>
          </w:tcPr>
          <w:p w14:paraId="118C13A7" w14:textId="1A3F8AF3" w:rsidR="00585AC3" w:rsidRPr="00F64569" w:rsidRDefault="00585AC3" w:rsidP="00585AC3">
            <w:pPr>
              <w:widowControl w:val="0"/>
              <w:autoSpaceDE w:val="0"/>
              <w:autoSpaceDN w:val="0"/>
              <w:spacing w:after="0" w:line="240" w:lineRule="auto"/>
              <w:ind w:right="121"/>
              <w:jc w:val="center"/>
              <w:rPr>
                <w:rFonts w:ascii="Times New Roman" w:eastAsia="Arial MT" w:hAnsi="Times New Roman" w:cs="Times New Roman"/>
              </w:rPr>
            </w:pPr>
            <w:r>
              <w:rPr>
                <w:rFonts w:ascii="Times New Roman" w:eastAsia="Arial MT" w:hAnsi="Times New Roman" w:cs="Times New Roman"/>
              </w:rPr>
              <w:t>33</w:t>
            </w:r>
          </w:p>
        </w:tc>
        <w:tc>
          <w:tcPr>
            <w:tcW w:w="610" w:type="pct"/>
            <w:shd w:val="clear" w:color="auto" w:fill="auto"/>
          </w:tcPr>
          <w:p w14:paraId="44492898" w14:textId="1FD9E397" w:rsidR="00585AC3" w:rsidRPr="00F64569" w:rsidRDefault="00585AC3" w:rsidP="00585AC3">
            <w:pPr>
              <w:widowControl w:val="0"/>
              <w:autoSpaceDE w:val="0"/>
              <w:autoSpaceDN w:val="0"/>
              <w:spacing w:after="0" w:line="240" w:lineRule="auto"/>
              <w:ind w:right="460"/>
              <w:jc w:val="center"/>
              <w:rPr>
                <w:rFonts w:ascii="Times New Roman" w:eastAsia="Arial MT" w:hAnsi="Times New Roman" w:cs="Times New Roman"/>
              </w:rPr>
            </w:pPr>
            <w:r>
              <w:rPr>
                <w:rFonts w:ascii="Times New Roman" w:eastAsia="Arial MT" w:hAnsi="Times New Roman" w:cs="Times New Roman"/>
              </w:rPr>
              <w:t>29</w:t>
            </w:r>
          </w:p>
        </w:tc>
        <w:tc>
          <w:tcPr>
            <w:tcW w:w="534" w:type="pct"/>
          </w:tcPr>
          <w:p w14:paraId="42E25EF7" w14:textId="5B5121D4" w:rsidR="00585AC3" w:rsidRPr="00F64569" w:rsidRDefault="00585AC3" w:rsidP="00585AC3">
            <w:pPr>
              <w:widowControl w:val="0"/>
              <w:autoSpaceDE w:val="0"/>
              <w:autoSpaceDN w:val="0"/>
              <w:spacing w:after="0" w:line="240" w:lineRule="auto"/>
              <w:jc w:val="center"/>
              <w:rPr>
                <w:rFonts w:ascii="Times New Roman" w:eastAsia="Arial MT" w:hAnsi="Times New Roman" w:cs="Times New Roman"/>
              </w:rPr>
            </w:pPr>
            <w:r>
              <w:rPr>
                <w:rFonts w:ascii="Times New Roman" w:eastAsia="Arial MT" w:hAnsi="Times New Roman" w:cs="Times New Roman"/>
              </w:rPr>
              <w:t>87,87</w:t>
            </w:r>
          </w:p>
        </w:tc>
      </w:tr>
    </w:tbl>
    <w:p w14:paraId="6A492380" w14:textId="77777777" w:rsidR="00585AC3" w:rsidRPr="004B5E40" w:rsidRDefault="00585AC3" w:rsidP="004B5E40">
      <w:pPr>
        <w:jc w:val="both"/>
        <w:rPr>
          <w:rFonts w:ascii="Times New Roman" w:hAnsi="Times New Roman"/>
        </w:rPr>
      </w:pPr>
    </w:p>
    <w:p w14:paraId="570773E5" w14:textId="77777777" w:rsidR="00722358" w:rsidRDefault="00722358" w:rsidP="00E40FD3">
      <w:pPr>
        <w:pStyle w:val="Naslov"/>
        <w:ind w:firstLine="567"/>
        <w:jc w:val="both"/>
        <w:rPr>
          <w:rFonts w:ascii="Times New Roman" w:hAnsi="Times New Roman" w:cs="Times New Roman"/>
          <w:b w:val="0"/>
          <w:sz w:val="22"/>
          <w:lang w:val="hr-HR"/>
        </w:rPr>
      </w:pPr>
      <w:r w:rsidRPr="00722358">
        <w:rPr>
          <w:rFonts w:ascii="Times New Roman" w:hAnsi="Times New Roman" w:cs="Times New Roman"/>
          <w:b w:val="0"/>
          <w:i/>
          <w:sz w:val="22"/>
          <w:lang w:val="hr-HR"/>
        </w:rPr>
        <w:t xml:space="preserve">Aktivnost A100306 </w:t>
      </w:r>
      <w:r w:rsidRPr="00722358">
        <w:rPr>
          <w:rFonts w:ascii="Times New Roman" w:hAnsi="Times New Roman" w:cs="Times New Roman"/>
          <w:b w:val="0"/>
          <w:sz w:val="22"/>
          <w:lang w:val="hr-HR"/>
        </w:rPr>
        <w:t>– Izmjera poljoprivrednog zemljišta i sređivanje zemljišnih knjiga</w:t>
      </w:r>
    </w:p>
    <w:p w14:paraId="353402C2" w14:textId="2CBBAADB" w:rsidR="00D627BF" w:rsidRDefault="00D627BF" w:rsidP="00D627BF">
      <w:pPr>
        <w:jc w:val="both"/>
        <w:rPr>
          <w:rFonts w:ascii="Times New Roman" w:hAnsi="Times New Roman"/>
        </w:rPr>
      </w:pPr>
      <w:r w:rsidRPr="00B775B6">
        <w:rPr>
          <w:rFonts w:ascii="Times New Roman" w:hAnsi="Times New Roman"/>
        </w:rPr>
        <w:t>Ov</w:t>
      </w:r>
      <w:r>
        <w:rPr>
          <w:rFonts w:ascii="Times New Roman" w:hAnsi="Times New Roman"/>
        </w:rPr>
        <w:t>om</w:t>
      </w:r>
      <w:r w:rsidRPr="00B775B6">
        <w:rPr>
          <w:rFonts w:ascii="Times New Roman" w:hAnsi="Times New Roman"/>
        </w:rPr>
        <w:t xml:space="preserve"> aktivnost</w:t>
      </w:r>
      <w:r>
        <w:rPr>
          <w:rFonts w:ascii="Times New Roman" w:hAnsi="Times New Roman"/>
        </w:rPr>
        <w:t>i</w:t>
      </w:r>
      <w:r w:rsidRPr="00B775B6">
        <w:rPr>
          <w:rFonts w:ascii="Times New Roman" w:hAnsi="Times New Roman"/>
        </w:rPr>
        <w:t xml:space="preserve"> </w:t>
      </w:r>
      <w:r>
        <w:rPr>
          <w:rFonts w:ascii="Times New Roman" w:hAnsi="Times New Roman"/>
        </w:rPr>
        <w:t>se provodilo sređivanje i usklađivanje zemljišnih knjiga, odnosno čestica u vlasništvu grada i RH. Većinom su to čestice koje se komasacijom trebaju svesti u blokove kako bi se pojednostavnio proces davanja u zakup i prodaje poljoprivrednog zemljišta.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07"/>
        <w:gridCol w:w="2996"/>
        <w:gridCol w:w="962"/>
        <w:gridCol w:w="1122"/>
        <w:gridCol w:w="1105"/>
        <w:gridCol w:w="968"/>
      </w:tblGrid>
      <w:tr w:rsidR="00585AC3" w:rsidRPr="00F64569" w14:paraId="6522C7F8" w14:textId="77777777" w:rsidTr="00E347ED">
        <w:trPr>
          <w:trHeight w:val="633"/>
          <w:jc w:val="center"/>
        </w:trPr>
        <w:tc>
          <w:tcPr>
            <w:tcW w:w="1052" w:type="pct"/>
            <w:shd w:val="clear" w:color="auto" w:fill="BFBFBF"/>
          </w:tcPr>
          <w:p w14:paraId="7738DA05" w14:textId="77777777" w:rsidR="00585AC3" w:rsidRPr="00F64569" w:rsidRDefault="00585AC3" w:rsidP="00E347ED">
            <w:pPr>
              <w:widowControl w:val="0"/>
              <w:autoSpaceDE w:val="0"/>
              <w:autoSpaceDN w:val="0"/>
              <w:spacing w:before="104" w:after="0" w:line="240" w:lineRule="auto"/>
              <w:ind w:left="136" w:right="110" w:firstLine="59"/>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Pokazatelj</w:t>
            </w:r>
            <w:r w:rsidRPr="00F64569">
              <w:rPr>
                <w:rFonts w:ascii="Times New Roman" w:eastAsia="Arial MT" w:hAnsi="Times New Roman" w:cs="Times New Roman"/>
                <w:b/>
                <w:spacing w:val="1"/>
                <w:sz w:val="20"/>
                <w:szCs w:val="20"/>
              </w:rPr>
              <w:t xml:space="preserve"> </w:t>
            </w:r>
            <w:r>
              <w:rPr>
                <w:rFonts w:ascii="Times New Roman" w:eastAsia="Arial MT" w:hAnsi="Times New Roman" w:cs="Times New Roman"/>
                <w:b/>
                <w:sz w:val="20"/>
                <w:szCs w:val="20"/>
              </w:rPr>
              <w:t>rezultata</w:t>
            </w:r>
          </w:p>
        </w:tc>
        <w:tc>
          <w:tcPr>
            <w:tcW w:w="1653" w:type="pct"/>
            <w:shd w:val="clear" w:color="auto" w:fill="BFBFBF"/>
          </w:tcPr>
          <w:p w14:paraId="5B10E6DA" w14:textId="77777777" w:rsidR="00585AC3" w:rsidRPr="00F64569" w:rsidRDefault="00585AC3" w:rsidP="00E347ED">
            <w:pPr>
              <w:widowControl w:val="0"/>
              <w:autoSpaceDE w:val="0"/>
              <w:autoSpaceDN w:val="0"/>
              <w:spacing w:after="0" w:line="240" w:lineRule="auto"/>
              <w:jc w:val="both"/>
              <w:rPr>
                <w:rFonts w:ascii="Times New Roman" w:eastAsia="Arial MT" w:hAnsi="Times New Roman" w:cs="Times New Roman"/>
                <w:b/>
                <w:sz w:val="20"/>
                <w:szCs w:val="20"/>
              </w:rPr>
            </w:pPr>
          </w:p>
          <w:p w14:paraId="32752EE9" w14:textId="77777777" w:rsidR="00585AC3" w:rsidRPr="00F64569" w:rsidRDefault="00585AC3" w:rsidP="00E347ED">
            <w:pPr>
              <w:widowControl w:val="0"/>
              <w:autoSpaceDE w:val="0"/>
              <w:autoSpaceDN w:val="0"/>
              <w:spacing w:before="1" w:after="0" w:line="240" w:lineRule="auto"/>
              <w:ind w:left="1136" w:right="832"/>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Definicija</w:t>
            </w:r>
          </w:p>
        </w:tc>
        <w:tc>
          <w:tcPr>
            <w:tcW w:w="531" w:type="pct"/>
            <w:shd w:val="clear" w:color="auto" w:fill="BFBFBF"/>
          </w:tcPr>
          <w:p w14:paraId="549561D5" w14:textId="77777777" w:rsidR="00585AC3" w:rsidRPr="00F64569" w:rsidRDefault="00585AC3" w:rsidP="00E347ED">
            <w:pPr>
              <w:widowControl w:val="0"/>
              <w:autoSpaceDE w:val="0"/>
              <w:autoSpaceDN w:val="0"/>
              <w:spacing w:after="0" w:line="240" w:lineRule="auto"/>
              <w:jc w:val="both"/>
              <w:rPr>
                <w:rFonts w:ascii="Times New Roman" w:eastAsia="Arial MT" w:hAnsi="Times New Roman" w:cs="Times New Roman"/>
                <w:b/>
                <w:sz w:val="20"/>
                <w:szCs w:val="20"/>
              </w:rPr>
            </w:pPr>
          </w:p>
          <w:p w14:paraId="01D70345" w14:textId="77777777" w:rsidR="00585AC3" w:rsidRPr="00F64569" w:rsidRDefault="00585AC3" w:rsidP="00E347ED">
            <w:pPr>
              <w:widowControl w:val="0"/>
              <w:autoSpaceDE w:val="0"/>
              <w:autoSpaceDN w:val="0"/>
              <w:spacing w:before="1" w:after="0" w:line="240" w:lineRule="auto"/>
              <w:ind w:left="112" w:right="105"/>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Jedinica</w:t>
            </w:r>
          </w:p>
        </w:tc>
        <w:tc>
          <w:tcPr>
            <w:tcW w:w="619" w:type="pct"/>
            <w:shd w:val="clear" w:color="auto" w:fill="BFBFBF"/>
          </w:tcPr>
          <w:p w14:paraId="30A52E35" w14:textId="77777777" w:rsidR="00585AC3" w:rsidRPr="00F64569" w:rsidRDefault="00585AC3" w:rsidP="00E347ED">
            <w:pPr>
              <w:widowControl w:val="0"/>
              <w:autoSpaceDE w:val="0"/>
              <w:autoSpaceDN w:val="0"/>
              <w:spacing w:after="0" w:line="206" w:lineRule="exact"/>
              <w:ind w:left="122" w:right="121"/>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Ciljana</w:t>
            </w:r>
          </w:p>
          <w:p w14:paraId="4BEA6D50" w14:textId="77777777" w:rsidR="00585AC3" w:rsidRPr="00F64569" w:rsidRDefault="00585AC3" w:rsidP="00E347ED">
            <w:pPr>
              <w:widowControl w:val="0"/>
              <w:autoSpaceDE w:val="0"/>
              <w:autoSpaceDN w:val="0"/>
              <w:spacing w:after="0" w:line="206" w:lineRule="exact"/>
              <w:ind w:left="124" w:right="121"/>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vrijednost</w:t>
            </w:r>
            <w:r w:rsidRPr="00F64569">
              <w:rPr>
                <w:rFonts w:ascii="Times New Roman" w:eastAsia="Arial MT" w:hAnsi="Times New Roman" w:cs="Times New Roman"/>
                <w:b/>
                <w:spacing w:val="-47"/>
                <w:sz w:val="20"/>
                <w:szCs w:val="20"/>
              </w:rPr>
              <w:t xml:space="preserve">   </w:t>
            </w:r>
            <w:r w:rsidRPr="00F64569">
              <w:rPr>
                <w:rFonts w:ascii="Times New Roman" w:eastAsia="Arial MT" w:hAnsi="Times New Roman" w:cs="Times New Roman"/>
                <w:b/>
                <w:sz w:val="20"/>
                <w:szCs w:val="20"/>
              </w:rPr>
              <w:t>2024.</w:t>
            </w:r>
          </w:p>
        </w:tc>
        <w:tc>
          <w:tcPr>
            <w:tcW w:w="610" w:type="pct"/>
            <w:shd w:val="clear" w:color="auto" w:fill="BFBFBF"/>
          </w:tcPr>
          <w:p w14:paraId="7B708088" w14:textId="77777777" w:rsidR="00585AC3" w:rsidRPr="00F64569" w:rsidRDefault="00585AC3" w:rsidP="00E347ED">
            <w:pPr>
              <w:widowControl w:val="0"/>
              <w:autoSpaceDE w:val="0"/>
              <w:autoSpaceDN w:val="0"/>
              <w:spacing w:after="0" w:line="205" w:lineRule="exact"/>
              <w:ind w:left="89"/>
              <w:jc w:val="both"/>
              <w:rPr>
                <w:rFonts w:ascii="Times New Roman" w:eastAsia="Arial MT" w:hAnsi="Times New Roman" w:cs="Times New Roman"/>
                <w:b/>
                <w:sz w:val="20"/>
                <w:szCs w:val="20"/>
              </w:rPr>
            </w:pPr>
            <w:r>
              <w:rPr>
                <w:rFonts w:ascii="Times New Roman" w:eastAsia="Arial MT" w:hAnsi="Times New Roman" w:cs="Times New Roman"/>
                <w:b/>
                <w:sz w:val="20"/>
                <w:szCs w:val="20"/>
              </w:rPr>
              <w:t>Izvršenje</w:t>
            </w:r>
          </w:p>
        </w:tc>
        <w:tc>
          <w:tcPr>
            <w:tcW w:w="534" w:type="pct"/>
            <w:shd w:val="clear" w:color="auto" w:fill="BFBFBF"/>
          </w:tcPr>
          <w:p w14:paraId="25FFE5E2" w14:textId="77777777" w:rsidR="00585AC3" w:rsidRPr="00F64569" w:rsidRDefault="00585AC3" w:rsidP="00E347ED">
            <w:pPr>
              <w:widowControl w:val="0"/>
              <w:autoSpaceDE w:val="0"/>
              <w:autoSpaceDN w:val="0"/>
              <w:spacing w:after="0" w:line="240" w:lineRule="auto"/>
              <w:ind w:left="130" w:right="115" w:firstLine="134"/>
              <w:jc w:val="both"/>
              <w:rPr>
                <w:rFonts w:ascii="Times New Roman" w:eastAsia="Arial MT" w:hAnsi="Times New Roman" w:cs="Times New Roman"/>
                <w:b/>
                <w:sz w:val="20"/>
                <w:szCs w:val="20"/>
              </w:rPr>
            </w:pPr>
            <w:r>
              <w:rPr>
                <w:rFonts w:ascii="Times New Roman" w:eastAsia="Arial MT" w:hAnsi="Times New Roman" w:cs="Times New Roman"/>
                <w:b/>
                <w:sz w:val="20"/>
                <w:szCs w:val="20"/>
              </w:rPr>
              <w:t>Indeks</w:t>
            </w:r>
          </w:p>
        </w:tc>
      </w:tr>
      <w:tr w:rsidR="00585AC3" w:rsidRPr="00F64569" w14:paraId="720EF076" w14:textId="77777777" w:rsidTr="00E347ED">
        <w:trPr>
          <w:trHeight w:val="620"/>
          <w:jc w:val="center"/>
        </w:trPr>
        <w:tc>
          <w:tcPr>
            <w:tcW w:w="1052" w:type="pct"/>
            <w:shd w:val="clear" w:color="auto" w:fill="auto"/>
          </w:tcPr>
          <w:p w14:paraId="025E7021" w14:textId="4A64A7E6" w:rsidR="00585AC3" w:rsidRPr="00F64569" w:rsidRDefault="00585AC3" w:rsidP="00E347ED">
            <w:pPr>
              <w:widowControl w:val="0"/>
              <w:autoSpaceDE w:val="0"/>
              <w:autoSpaceDN w:val="0"/>
              <w:spacing w:before="1" w:after="0" w:line="240" w:lineRule="auto"/>
              <w:ind w:right="109"/>
              <w:jc w:val="center"/>
              <w:rPr>
                <w:rFonts w:ascii="Times New Roman" w:eastAsia="Arial MT" w:hAnsi="Times New Roman" w:cs="Times New Roman"/>
              </w:rPr>
            </w:pPr>
            <w:r>
              <w:rPr>
                <w:rFonts w:ascii="Times New Roman" w:eastAsia="Arial MT" w:hAnsi="Times New Roman" w:cs="Times New Roman"/>
              </w:rPr>
              <w:t>Broj uređenih čestica</w:t>
            </w:r>
          </w:p>
        </w:tc>
        <w:tc>
          <w:tcPr>
            <w:tcW w:w="1653" w:type="pct"/>
            <w:shd w:val="clear" w:color="auto" w:fill="auto"/>
          </w:tcPr>
          <w:p w14:paraId="7C005F34" w14:textId="35943F90" w:rsidR="00585AC3" w:rsidRPr="00F64569" w:rsidRDefault="00585AC3" w:rsidP="00E347ED">
            <w:pPr>
              <w:widowControl w:val="0"/>
              <w:autoSpaceDE w:val="0"/>
              <w:autoSpaceDN w:val="0"/>
              <w:spacing w:after="0" w:line="187" w:lineRule="exact"/>
              <w:ind w:left="105"/>
              <w:jc w:val="center"/>
              <w:rPr>
                <w:rFonts w:ascii="Times New Roman" w:eastAsia="Arial MT" w:hAnsi="Times New Roman" w:cs="Times New Roman"/>
              </w:rPr>
            </w:pPr>
            <w:r>
              <w:rPr>
                <w:rFonts w:ascii="Times New Roman" w:eastAsia="Arial MT" w:hAnsi="Times New Roman" w:cs="Times New Roman"/>
              </w:rPr>
              <w:t>Smanjenje broja čestica</w:t>
            </w:r>
          </w:p>
        </w:tc>
        <w:tc>
          <w:tcPr>
            <w:tcW w:w="531" w:type="pct"/>
            <w:shd w:val="clear" w:color="auto" w:fill="auto"/>
          </w:tcPr>
          <w:p w14:paraId="35513718" w14:textId="77777777" w:rsidR="00585AC3" w:rsidRPr="00F64569" w:rsidRDefault="00585AC3" w:rsidP="00E347ED">
            <w:pPr>
              <w:widowControl w:val="0"/>
              <w:autoSpaceDE w:val="0"/>
              <w:autoSpaceDN w:val="0"/>
              <w:spacing w:before="1" w:after="0" w:line="240" w:lineRule="auto"/>
              <w:ind w:right="137"/>
              <w:jc w:val="center"/>
              <w:rPr>
                <w:rFonts w:ascii="Times New Roman" w:eastAsia="Arial MT" w:hAnsi="Times New Roman" w:cs="Times New Roman"/>
              </w:rPr>
            </w:pPr>
            <w:r>
              <w:rPr>
                <w:rFonts w:ascii="Times New Roman" w:eastAsia="Arial MT" w:hAnsi="Times New Roman" w:cs="Times New Roman"/>
              </w:rPr>
              <w:t>Komad</w:t>
            </w:r>
          </w:p>
        </w:tc>
        <w:tc>
          <w:tcPr>
            <w:tcW w:w="619" w:type="pct"/>
            <w:shd w:val="clear" w:color="auto" w:fill="auto"/>
          </w:tcPr>
          <w:p w14:paraId="07BB5F2D" w14:textId="7D246072" w:rsidR="00585AC3" w:rsidRPr="00F64569" w:rsidRDefault="00585AC3" w:rsidP="00E347ED">
            <w:pPr>
              <w:widowControl w:val="0"/>
              <w:autoSpaceDE w:val="0"/>
              <w:autoSpaceDN w:val="0"/>
              <w:spacing w:after="0" w:line="240" w:lineRule="auto"/>
              <w:ind w:right="121"/>
              <w:jc w:val="center"/>
              <w:rPr>
                <w:rFonts w:ascii="Times New Roman" w:eastAsia="Arial MT" w:hAnsi="Times New Roman" w:cs="Times New Roman"/>
              </w:rPr>
            </w:pPr>
            <w:r>
              <w:rPr>
                <w:rFonts w:ascii="Times New Roman" w:eastAsia="Arial MT" w:hAnsi="Times New Roman" w:cs="Times New Roman"/>
              </w:rPr>
              <w:t>4800</w:t>
            </w:r>
          </w:p>
        </w:tc>
        <w:tc>
          <w:tcPr>
            <w:tcW w:w="610" w:type="pct"/>
            <w:shd w:val="clear" w:color="auto" w:fill="auto"/>
          </w:tcPr>
          <w:p w14:paraId="3A3EF174" w14:textId="5B743944" w:rsidR="00585AC3" w:rsidRPr="00F64569" w:rsidRDefault="00096A44" w:rsidP="00E347ED">
            <w:pPr>
              <w:widowControl w:val="0"/>
              <w:autoSpaceDE w:val="0"/>
              <w:autoSpaceDN w:val="0"/>
              <w:spacing w:after="0" w:line="240" w:lineRule="auto"/>
              <w:ind w:right="460"/>
              <w:jc w:val="center"/>
              <w:rPr>
                <w:rFonts w:ascii="Times New Roman" w:eastAsia="Arial MT" w:hAnsi="Times New Roman" w:cs="Times New Roman"/>
              </w:rPr>
            </w:pPr>
            <w:r>
              <w:rPr>
                <w:rFonts w:ascii="Times New Roman" w:eastAsia="Arial MT" w:hAnsi="Times New Roman" w:cs="Times New Roman"/>
              </w:rPr>
              <w:t>800</w:t>
            </w:r>
          </w:p>
        </w:tc>
        <w:tc>
          <w:tcPr>
            <w:tcW w:w="534" w:type="pct"/>
          </w:tcPr>
          <w:p w14:paraId="1BC1BA25" w14:textId="62CA8D35" w:rsidR="00585AC3" w:rsidRPr="00F64569" w:rsidRDefault="00096A44" w:rsidP="00E347ED">
            <w:pPr>
              <w:widowControl w:val="0"/>
              <w:autoSpaceDE w:val="0"/>
              <w:autoSpaceDN w:val="0"/>
              <w:spacing w:after="0" w:line="240" w:lineRule="auto"/>
              <w:jc w:val="center"/>
              <w:rPr>
                <w:rFonts w:ascii="Times New Roman" w:eastAsia="Arial MT" w:hAnsi="Times New Roman" w:cs="Times New Roman"/>
              </w:rPr>
            </w:pPr>
            <w:r>
              <w:rPr>
                <w:rFonts w:ascii="Times New Roman" w:eastAsia="Arial MT" w:hAnsi="Times New Roman" w:cs="Times New Roman"/>
              </w:rPr>
              <w:t>0,16</w:t>
            </w:r>
          </w:p>
        </w:tc>
      </w:tr>
    </w:tbl>
    <w:p w14:paraId="1A061AA5" w14:textId="77777777" w:rsidR="00585AC3" w:rsidRPr="00D627BF" w:rsidRDefault="00585AC3" w:rsidP="00D627BF">
      <w:pPr>
        <w:jc w:val="both"/>
        <w:rPr>
          <w:rFonts w:ascii="Times New Roman" w:hAnsi="Times New Roman"/>
        </w:rPr>
      </w:pPr>
    </w:p>
    <w:p w14:paraId="790A8166" w14:textId="77777777" w:rsidR="00D627BF" w:rsidRDefault="00722358" w:rsidP="00D627BF">
      <w:pPr>
        <w:spacing w:after="0" w:line="240" w:lineRule="atLeast"/>
        <w:ind w:firstLine="567"/>
        <w:jc w:val="both"/>
        <w:rPr>
          <w:rFonts w:ascii="Times New Roman" w:hAnsi="Times New Roman" w:cs="Times New Roman"/>
        </w:rPr>
      </w:pPr>
      <w:r w:rsidRPr="00722358">
        <w:rPr>
          <w:rFonts w:ascii="Times New Roman" w:hAnsi="Times New Roman" w:cs="Times New Roman"/>
          <w:i/>
        </w:rPr>
        <w:t xml:space="preserve">Aktivnost A100308 </w:t>
      </w:r>
      <w:r w:rsidRPr="00722358">
        <w:rPr>
          <w:rFonts w:ascii="Times New Roman" w:hAnsi="Times New Roman" w:cs="Times New Roman"/>
        </w:rPr>
        <w:t xml:space="preserve">– Zimska služba </w:t>
      </w:r>
    </w:p>
    <w:p w14:paraId="79873ED0" w14:textId="0498E80A" w:rsidR="00D627BF" w:rsidRPr="00D627BF" w:rsidRDefault="00D627BF" w:rsidP="00D627BF">
      <w:pPr>
        <w:spacing w:after="0" w:line="240" w:lineRule="atLeast"/>
        <w:jc w:val="both"/>
        <w:rPr>
          <w:rFonts w:ascii="Times New Roman" w:hAnsi="Times New Roman" w:cs="Times New Roman"/>
        </w:rPr>
      </w:pPr>
      <w:r w:rsidRPr="001D4AC0">
        <w:rPr>
          <w:rFonts w:ascii="Times New Roman" w:hAnsi="Times New Roman"/>
        </w:rPr>
        <w:t>Ova</w:t>
      </w:r>
      <w:r>
        <w:rPr>
          <w:rFonts w:ascii="Times New Roman" w:hAnsi="Times New Roman"/>
        </w:rPr>
        <w:t xml:space="preserve"> aktivnost odnosi se na čišćenje kolnika, nerazvrstanih cesta, prilaznih puteva i slično od snijega. Odgovornom brigom za naše stanovnike moraju se prilikom vremenskih nepogoda kao što je snijeg urediti kolnici, ceste, prilazi javnim ustanovama kako bi se izbjegle moguće ozljede koje ipak mogu nastati kod takvih uvjeta.</w:t>
      </w:r>
    </w:p>
    <w:p w14:paraId="210DDEA7" w14:textId="77777777" w:rsidR="00D627BF" w:rsidRPr="00D627BF" w:rsidRDefault="00D627BF" w:rsidP="00D627BF">
      <w:pPr>
        <w:pStyle w:val="Podnaslov"/>
        <w:spacing w:after="0" w:line="240" w:lineRule="atLeast"/>
        <w:jc w:val="left"/>
        <w:rPr>
          <w:lang w:eastAsia="ar-SA"/>
        </w:rPr>
      </w:pPr>
    </w:p>
    <w:p w14:paraId="6E87F0FF" w14:textId="722D1BC0" w:rsidR="00D627BF" w:rsidRDefault="00722358" w:rsidP="00D627BF">
      <w:pPr>
        <w:pStyle w:val="Naslov"/>
        <w:ind w:firstLine="567"/>
        <w:jc w:val="both"/>
        <w:rPr>
          <w:rFonts w:ascii="Times New Roman" w:hAnsi="Times New Roman" w:cs="Times New Roman"/>
          <w:b w:val="0"/>
          <w:sz w:val="22"/>
          <w:lang w:val="hr-HR"/>
        </w:rPr>
      </w:pPr>
      <w:r w:rsidRPr="00722358">
        <w:rPr>
          <w:rFonts w:ascii="Times New Roman" w:hAnsi="Times New Roman" w:cs="Times New Roman"/>
          <w:b w:val="0"/>
          <w:i/>
          <w:sz w:val="22"/>
          <w:lang w:val="hr-HR"/>
        </w:rPr>
        <w:t xml:space="preserve">Kapitalni projekt K100301 - </w:t>
      </w:r>
      <w:r w:rsidRPr="00722358">
        <w:rPr>
          <w:rFonts w:ascii="Times New Roman" w:hAnsi="Times New Roman" w:cs="Times New Roman"/>
          <w:b w:val="0"/>
          <w:sz w:val="22"/>
          <w:lang w:val="hr-HR"/>
        </w:rPr>
        <w:t xml:space="preserve">Nabava opreme i vozila obuhvaća kupnju uredske opreme </w:t>
      </w:r>
      <w:r w:rsidR="00D627BF">
        <w:rPr>
          <w:rFonts w:ascii="Times New Roman" w:hAnsi="Times New Roman" w:cs="Times New Roman"/>
          <w:b w:val="0"/>
          <w:sz w:val="22"/>
          <w:lang w:val="hr-HR"/>
        </w:rPr>
        <w:t xml:space="preserve">i sitnog inventara </w:t>
      </w:r>
      <w:r w:rsidRPr="00722358">
        <w:rPr>
          <w:rFonts w:ascii="Times New Roman" w:hAnsi="Times New Roman" w:cs="Times New Roman"/>
          <w:b w:val="0"/>
          <w:sz w:val="22"/>
          <w:lang w:val="hr-HR"/>
        </w:rPr>
        <w:t>sa ciljem stvaranja neophodnih uvjeta rada.</w:t>
      </w:r>
      <w:r w:rsidR="00C11E6D">
        <w:rPr>
          <w:rFonts w:ascii="Times New Roman" w:hAnsi="Times New Roman" w:cs="Times New Roman"/>
          <w:b w:val="0"/>
          <w:sz w:val="22"/>
          <w:lang w:val="hr-HR"/>
        </w:rPr>
        <w:t xml:space="preserve"> </w:t>
      </w:r>
    </w:p>
    <w:p w14:paraId="43EF66A5" w14:textId="77777777" w:rsidR="00D627BF" w:rsidRPr="00D627BF" w:rsidRDefault="00D627BF" w:rsidP="00D627BF">
      <w:pPr>
        <w:pStyle w:val="Podnaslov"/>
        <w:spacing w:after="0" w:line="240" w:lineRule="atLeast"/>
        <w:rPr>
          <w:sz w:val="16"/>
          <w:szCs w:val="16"/>
          <w:lang w:eastAsia="ar-SA"/>
        </w:rPr>
      </w:pPr>
    </w:p>
    <w:p w14:paraId="067BB55C" w14:textId="7341E213" w:rsidR="00722358" w:rsidRDefault="00722358" w:rsidP="00D627BF">
      <w:pPr>
        <w:spacing w:after="0" w:line="240" w:lineRule="auto"/>
        <w:ind w:firstLine="567"/>
        <w:jc w:val="both"/>
        <w:rPr>
          <w:rFonts w:ascii="Times New Roman" w:hAnsi="Times New Roman" w:cs="Times New Roman"/>
          <w:bCs/>
          <w:lang w:eastAsia="hr-HR"/>
        </w:rPr>
      </w:pPr>
      <w:r w:rsidRPr="00722358">
        <w:rPr>
          <w:rFonts w:ascii="Times New Roman" w:hAnsi="Times New Roman" w:cs="Times New Roman"/>
          <w:bCs/>
          <w:i/>
          <w:lang w:eastAsia="hr-HR"/>
        </w:rPr>
        <w:lastRenderedPageBreak/>
        <w:t xml:space="preserve">Kapitalni projekt K100302 – </w:t>
      </w:r>
      <w:r w:rsidRPr="00722358">
        <w:rPr>
          <w:rFonts w:ascii="Times New Roman" w:hAnsi="Times New Roman" w:cs="Times New Roman"/>
          <w:bCs/>
          <w:lang w:eastAsia="hr-HR"/>
        </w:rPr>
        <w:t>Izgradnja i dodatna ulaganja na građevinskim objektima u vlasništvu Grada  obuhvaća uređivanje društvenih i vatrogasnih domova i ostalih objekata na području grada sa ciljem modernizacije i stvaranje boljih uvjeta života lokalnog stanovništva.</w:t>
      </w:r>
      <w:r w:rsidR="00E47EF6">
        <w:rPr>
          <w:rFonts w:ascii="Times New Roman" w:hAnsi="Times New Roman" w:cs="Times New Roman"/>
          <w:bCs/>
          <w:lang w:eastAsia="hr-HR"/>
        </w:rPr>
        <w:t xml:space="preserve"> </w:t>
      </w:r>
      <w:r w:rsidR="00D627BF">
        <w:rPr>
          <w:rFonts w:ascii="Times New Roman" w:hAnsi="Times New Roman" w:cs="Times New Roman"/>
          <w:bCs/>
          <w:lang w:eastAsia="hr-HR"/>
        </w:rPr>
        <w:t xml:space="preserve">Dodatna ulaganja izvršena su u </w:t>
      </w:r>
      <w:r w:rsidR="00356B37">
        <w:rPr>
          <w:rFonts w:ascii="Times New Roman" w:hAnsi="Times New Roman" w:cs="Times New Roman"/>
          <w:bCs/>
          <w:lang w:eastAsia="hr-HR"/>
        </w:rPr>
        <w:t>kući za oproštaj u Uljaniku.</w:t>
      </w:r>
    </w:p>
    <w:p w14:paraId="53D2E140" w14:textId="77777777" w:rsidR="00356B37" w:rsidRDefault="00356B37" w:rsidP="00356B37">
      <w:pPr>
        <w:spacing w:after="0" w:line="240" w:lineRule="auto"/>
        <w:jc w:val="both"/>
        <w:rPr>
          <w:rFonts w:ascii="Times New Roman" w:hAnsi="Times New Roman" w:cs="Times New Roman"/>
          <w:bCs/>
          <w:lang w:eastAsia="hr-HR"/>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07"/>
        <w:gridCol w:w="2996"/>
        <w:gridCol w:w="962"/>
        <w:gridCol w:w="1122"/>
        <w:gridCol w:w="1105"/>
        <w:gridCol w:w="968"/>
      </w:tblGrid>
      <w:tr w:rsidR="00356B37" w:rsidRPr="00F64569" w14:paraId="5C863DEA" w14:textId="77777777" w:rsidTr="00E347ED">
        <w:trPr>
          <w:trHeight w:val="633"/>
          <w:jc w:val="center"/>
        </w:trPr>
        <w:tc>
          <w:tcPr>
            <w:tcW w:w="1052" w:type="pct"/>
            <w:shd w:val="clear" w:color="auto" w:fill="BFBFBF"/>
          </w:tcPr>
          <w:p w14:paraId="5EE08392" w14:textId="77777777" w:rsidR="00356B37" w:rsidRPr="00F64569" w:rsidRDefault="00356B37" w:rsidP="00E347ED">
            <w:pPr>
              <w:widowControl w:val="0"/>
              <w:autoSpaceDE w:val="0"/>
              <w:autoSpaceDN w:val="0"/>
              <w:spacing w:before="104" w:after="0" w:line="240" w:lineRule="auto"/>
              <w:ind w:left="136" w:right="110" w:firstLine="59"/>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Pokazatelj</w:t>
            </w:r>
            <w:r w:rsidRPr="00F64569">
              <w:rPr>
                <w:rFonts w:ascii="Times New Roman" w:eastAsia="Arial MT" w:hAnsi="Times New Roman" w:cs="Times New Roman"/>
                <w:b/>
                <w:spacing w:val="1"/>
                <w:sz w:val="20"/>
                <w:szCs w:val="20"/>
              </w:rPr>
              <w:t xml:space="preserve"> </w:t>
            </w:r>
            <w:r>
              <w:rPr>
                <w:rFonts w:ascii="Times New Roman" w:eastAsia="Arial MT" w:hAnsi="Times New Roman" w:cs="Times New Roman"/>
                <w:b/>
                <w:sz w:val="20"/>
                <w:szCs w:val="20"/>
              </w:rPr>
              <w:t>rezultata</w:t>
            </w:r>
          </w:p>
        </w:tc>
        <w:tc>
          <w:tcPr>
            <w:tcW w:w="1653" w:type="pct"/>
            <w:shd w:val="clear" w:color="auto" w:fill="BFBFBF"/>
          </w:tcPr>
          <w:p w14:paraId="66246701" w14:textId="77777777" w:rsidR="00356B37" w:rsidRPr="00F64569" w:rsidRDefault="00356B37" w:rsidP="00E347ED">
            <w:pPr>
              <w:widowControl w:val="0"/>
              <w:autoSpaceDE w:val="0"/>
              <w:autoSpaceDN w:val="0"/>
              <w:spacing w:after="0" w:line="240" w:lineRule="auto"/>
              <w:jc w:val="both"/>
              <w:rPr>
                <w:rFonts w:ascii="Times New Roman" w:eastAsia="Arial MT" w:hAnsi="Times New Roman" w:cs="Times New Roman"/>
                <w:b/>
                <w:sz w:val="20"/>
                <w:szCs w:val="20"/>
              </w:rPr>
            </w:pPr>
          </w:p>
          <w:p w14:paraId="1D9091F1" w14:textId="77777777" w:rsidR="00356B37" w:rsidRPr="00F64569" w:rsidRDefault="00356B37" w:rsidP="00E347ED">
            <w:pPr>
              <w:widowControl w:val="0"/>
              <w:autoSpaceDE w:val="0"/>
              <w:autoSpaceDN w:val="0"/>
              <w:spacing w:before="1" w:after="0" w:line="240" w:lineRule="auto"/>
              <w:ind w:left="1136" w:right="832"/>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Definicija</w:t>
            </w:r>
          </w:p>
        </w:tc>
        <w:tc>
          <w:tcPr>
            <w:tcW w:w="531" w:type="pct"/>
            <w:shd w:val="clear" w:color="auto" w:fill="BFBFBF"/>
          </w:tcPr>
          <w:p w14:paraId="4E3B98B3" w14:textId="77777777" w:rsidR="00356B37" w:rsidRPr="00F64569" w:rsidRDefault="00356B37" w:rsidP="00E347ED">
            <w:pPr>
              <w:widowControl w:val="0"/>
              <w:autoSpaceDE w:val="0"/>
              <w:autoSpaceDN w:val="0"/>
              <w:spacing w:after="0" w:line="240" w:lineRule="auto"/>
              <w:jc w:val="both"/>
              <w:rPr>
                <w:rFonts w:ascii="Times New Roman" w:eastAsia="Arial MT" w:hAnsi="Times New Roman" w:cs="Times New Roman"/>
                <w:b/>
                <w:sz w:val="20"/>
                <w:szCs w:val="20"/>
              </w:rPr>
            </w:pPr>
          </w:p>
          <w:p w14:paraId="5F5DF62C" w14:textId="77777777" w:rsidR="00356B37" w:rsidRPr="00F64569" w:rsidRDefault="00356B37" w:rsidP="00E347ED">
            <w:pPr>
              <w:widowControl w:val="0"/>
              <w:autoSpaceDE w:val="0"/>
              <w:autoSpaceDN w:val="0"/>
              <w:spacing w:before="1" w:after="0" w:line="240" w:lineRule="auto"/>
              <w:ind w:left="112" w:right="105"/>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Jedinica</w:t>
            </w:r>
          </w:p>
        </w:tc>
        <w:tc>
          <w:tcPr>
            <w:tcW w:w="619" w:type="pct"/>
            <w:shd w:val="clear" w:color="auto" w:fill="BFBFBF"/>
          </w:tcPr>
          <w:p w14:paraId="32B9EC72" w14:textId="77777777" w:rsidR="00356B37" w:rsidRPr="00F64569" w:rsidRDefault="00356B37" w:rsidP="00E347ED">
            <w:pPr>
              <w:widowControl w:val="0"/>
              <w:autoSpaceDE w:val="0"/>
              <w:autoSpaceDN w:val="0"/>
              <w:spacing w:after="0" w:line="206" w:lineRule="exact"/>
              <w:ind w:left="122" w:right="121"/>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Ciljana</w:t>
            </w:r>
          </w:p>
          <w:p w14:paraId="21B0B1ED" w14:textId="77777777" w:rsidR="00356B37" w:rsidRPr="00F64569" w:rsidRDefault="00356B37" w:rsidP="00E347ED">
            <w:pPr>
              <w:widowControl w:val="0"/>
              <w:autoSpaceDE w:val="0"/>
              <w:autoSpaceDN w:val="0"/>
              <w:spacing w:after="0" w:line="206" w:lineRule="exact"/>
              <w:ind w:left="124" w:right="121"/>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vrijednost</w:t>
            </w:r>
            <w:r w:rsidRPr="00F64569">
              <w:rPr>
                <w:rFonts w:ascii="Times New Roman" w:eastAsia="Arial MT" w:hAnsi="Times New Roman" w:cs="Times New Roman"/>
                <w:b/>
                <w:spacing w:val="-47"/>
                <w:sz w:val="20"/>
                <w:szCs w:val="20"/>
              </w:rPr>
              <w:t xml:space="preserve">   </w:t>
            </w:r>
            <w:r w:rsidRPr="00F64569">
              <w:rPr>
                <w:rFonts w:ascii="Times New Roman" w:eastAsia="Arial MT" w:hAnsi="Times New Roman" w:cs="Times New Roman"/>
                <w:b/>
                <w:sz w:val="20"/>
                <w:szCs w:val="20"/>
              </w:rPr>
              <w:t>2024.</w:t>
            </w:r>
          </w:p>
        </w:tc>
        <w:tc>
          <w:tcPr>
            <w:tcW w:w="610" w:type="pct"/>
            <w:shd w:val="clear" w:color="auto" w:fill="BFBFBF"/>
          </w:tcPr>
          <w:p w14:paraId="12A682C7" w14:textId="77777777" w:rsidR="00356B37" w:rsidRPr="00F64569" w:rsidRDefault="00356B37" w:rsidP="00E347ED">
            <w:pPr>
              <w:widowControl w:val="0"/>
              <w:autoSpaceDE w:val="0"/>
              <w:autoSpaceDN w:val="0"/>
              <w:spacing w:after="0" w:line="205" w:lineRule="exact"/>
              <w:ind w:left="89"/>
              <w:jc w:val="both"/>
              <w:rPr>
                <w:rFonts w:ascii="Times New Roman" w:eastAsia="Arial MT" w:hAnsi="Times New Roman" w:cs="Times New Roman"/>
                <w:b/>
                <w:sz w:val="20"/>
                <w:szCs w:val="20"/>
              </w:rPr>
            </w:pPr>
            <w:r>
              <w:rPr>
                <w:rFonts w:ascii="Times New Roman" w:eastAsia="Arial MT" w:hAnsi="Times New Roman" w:cs="Times New Roman"/>
                <w:b/>
                <w:sz w:val="20"/>
                <w:szCs w:val="20"/>
              </w:rPr>
              <w:t>Izvršenje</w:t>
            </w:r>
          </w:p>
        </w:tc>
        <w:tc>
          <w:tcPr>
            <w:tcW w:w="534" w:type="pct"/>
            <w:shd w:val="clear" w:color="auto" w:fill="BFBFBF"/>
          </w:tcPr>
          <w:p w14:paraId="18F3D02E" w14:textId="77777777" w:rsidR="00356B37" w:rsidRPr="00F64569" w:rsidRDefault="00356B37" w:rsidP="00E347ED">
            <w:pPr>
              <w:widowControl w:val="0"/>
              <w:autoSpaceDE w:val="0"/>
              <w:autoSpaceDN w:val="0"/>
              <w:spacing w:after="0" w:line="240" w:lineRule="auto"/>
              <w:ind w:left="130" w:right="115" w:firstLine="134"/>
              <w:jc w:val="both"/>
              <w:rPr>
                <w:rFonts w:ascii="Times New Roman" w:eastAsia="Arial MT" w:hAnsi="Times New Roman" w:cs="Times New Roman"/>
                <w:b/>
                <w:sz w:val="20"/>
                <w:szCs w:val="20"/>
              </w:rPr>
            </w:pPr>
            <w:r>
              <w:rPr>
                <w:rFonts w:ascii="Times New Roman" w:eastAsia="Arial MT" w:hAnsi="Times New Roman" w:cs="Times New Roman"/>
                <w:b/>
                <w:sz w:val="20"/>
                <w:szCs w:val="20"/>
              </w:rPr>
              <w:t>Indeks</w:t>
            </w:r>
          </w:p>
        </w:tc>
      </w:tr>
      <w:tr w:rsidR="00356B37" w:rsidRPr="00F64569" w14:paraId="271A2D0C" w14:textId="77777777" w:rsidTr="00E347ED">
        <w:trPr>
          <w:trHeight w:val="620"/>
          <w:jc w:val="center"/>
        </w:trPr>
        <w:tc>
          <w:tcPr>
            <w:tcW w:w="1052" w:type="pct"/>
            <w:shd w:val="clear" w:color="auto" w:fill="auto"/>
          </w:tcPr>
          <w:p w14:paraId="2502259B" w14:textId="77777777" w:rsidR="00356B37" w:rsidRPr="00F64569" w:rsidRDefault="00356B37" w:rsidP="00E347ED">
            <w:pPr>
              <w:widowControl w:val="0"/>
              <w:autoSpaceDE w:val="0"/>
              <w:autoSpaceDN w:val="0"/>
              <w:spacing w:before="1" w:after="0" w:line="240" w:lineRule="auto"/>
              <w:ind w:right="109"/>
              <w:jc w:val="center"/>
              <w:rPr>
                <w:rFonts w:ascii="Times New Roman" w:eastAsia="Arial MT" w:hAnsi="Times New Roman" w:cs="Times New Roman"/>
              </w:rPr>
            </w:pPr>
            <w:r>
              <w:rPr>
                <w:rFonts w:ascii="Times New Roman" w:eastAsia="Arial MT" w:hAnsi="Times New Roman" w:cs="Times New Roman"/>
              </w:rPr>
              <w:t>Broj dodatnih ulaganja na kućama za oproštaj i mjesne domove</w:t>
            </w:r>
          </w:p>
        </w:tc>
        <w:tc>
          <w:tcPr>
            <w:tcW w:w="1653" w:type="pct"/>
            <w:shd w:val="clear" w:color="auto" w:fill="auto"/>
          </w:tcPr>
          <w:p w14:paraId="5E697EDA" w14:textId="77777777" w:rsidR="00356B37" w:rsidRPr="00F64569" w:rsidRDefault="00356B37" w:rsidP="00E347ED">
            <w:pPr>
              <w:widowControl w:val="0"/>
              <w:autoSpaceDE w:val="0"/>
              <w:autoSpaceDN w:val="0"/>
              <w:spacing w:after="0" w:line="187" w:lineRule="exact"/>
              <w:ind w:left="105"/>
              <w:jc w:val="center"/>
              <w:rPr>
                <w:rFonts w:ascii="Times New Roman" w:eastAsia="Arial MT" w:hAnsi="Times New Roman" w:cs="Times New Roman"/>
              </w:rPr>
            </w:pPr>
            <w:r>
              <w:rPr>
                <w:rFonts w:ascii="Times New Roman" w:eastAsia="Arial MT" w:hAnsi="Times New Roman" w:cs="Times New Roman"/>
              </w:rPr>
              <w:t>Veći broj dodatnih ulaganja u kuće za oproštaj i mjesne domove</w:t>
            </w:r>
          </w:p>
        </w:tc>
        <w:tc>
          <w:tcPr>
            <w:tcW w:w="531" w:type="pct"/>
            <w:shd w:val="clear" w:color="auto" w:fill="auto"/>
          </w:tcPr>
          <w:p w14:paraId="10345F58" w14:textId="77777777" w:rsidR="00356B37" w:rsidRPr="00F64569" w:rsidRDefault="00356B37" w:rsidP="00E347ED">
            <w:pPr>
              <w:widowControl w:val="0"/>
              <w:autoSpaceDE w:val="0"/>
              <w:autoSpaceDN w:val="0"/>
              <w:spacing w:before="1" w:after="0" w:line="240" w:lineRule="auto"/>
              <w:ind w:right="137"/>
              <w:jc w:val="center"/>
              <w:rPr>
                <w:rFonts w:ascii="Times New Roman" w:eastAsia="Arial MT" w:hAnsi="Times New Roman" w:cs="Times New Roman"/>
              </w:rPr>
            </w:pPr>
            <w:r>
              <w:rPr>
                <w:rFonts w:ascii="Times New Roman" w:eastAsia="Arial MT" w:hAnsi="Times New Roman" w:cs="Times New Roman"/>
              </w:rPr>
              <w:t>Komad</w:t>
            </w:r>
          </w:p>
        </w:tc>
        <w:tc>
          <w:tcPr>
            <w:tcW w:w="619" w:type="pct"/>
            <w:shd w:val="clear" w:color="auto" w:fill="auto"/>
          </w:tcPr>
          <w:p w14:paraId="443A66E5" w14:textId="77777777" w:rsidR="00356B37" w:rsidRPr="00F64569" w:rsidRDefault="00356B37" w:rsidP="00E347ED">
            <w:pPr>
              <w:widowControl w:val="0"/>
              <w:autoSpaceDE w:val="0"/>
              <w:autoSpaceDN w:val="0"/>
              <w:spacing w:after="0" w:line="240" w:lineRule="auto"/>
              <w:ind w:right="121"/>
              <w:jc w:val="center"/>
              <w:rPr>
                <w:rFonts w:ascii="Times New Roman" w:eastAsia="Arial MT" w:hAnsi="Times New Roman" w:cs="Times New Roman"/>
              </w:rPr>
            </w:pPr>
            <w:r>
              <w:rPr>
                <w:rFonts w:ascii="Times New Roman" w:eastAsia="Arial MT" w:hAnsi="Times New Roman" w:cs="Times New Roman"/>
              </w:rPr>
              <w:t>1</w:t>
            </w:r>
          </w:p>
        </w:tc>
        <w:tc>
          <w:tcPr>
            <w:tcW w:w="610" w:type="pct"/>
            <w:shd w:val="clear" w:color="auto" w:fill="auto"/>
          </w:tcPr>
          <w:p w14:paraId="0F8A3450" w14:textId="77777777" w:rsidR="00356B37" w:rsidRPr="00F64569" w:rsidRDefault="00356B37" w:rsidP="00E347ED">
            <w:pPr>
              <w:widowControl w:val="0"/>
              <w:autoSpaceDE w:val="0"/>
              <w:autoSpaceDN w:val="0"/>
              <w:spacing w:after="0" w:line="240" w:lineRule="auto"/>
              <w:ind w:right="460"/>
              <w:jc w:val="center"/>
              <w:rPr>
                <w:rFonts w:ascii="Times New Roman" w:eastAsia="Arial MT" w:hAnsi="Times New Roman" w:cs="Times New Roman"/>
              </w:rPr>
            </w:pPr>
            <w:r>
              <w:rPr>
                <w:rFonts w:ascii="Times New Roman" w:eastAsia="Arial MT" w:hAnsi="Times New Roman" w:cs="Times New Roman"/>
              </w:rPr>
              <w:t>1</w:t>
            </w:r>
          </w:p>
        </w:tc>
        <w:tc>
          <w:tcPr>
            <w:tcW w:w="534" w:type="pct"/>
          </w:tcPr>
          <w:p w14:paraId="4405A1BA" w14:textId="77777777" w:rsidR="00356B37" w:rsidRPr="00F64569" w:rsidRDefault="00356B37" w:rsidP="00E347ED">
            <w:pPr>
              <w:widowControl w:val="0"/>
              <w:autoSpaceDE w:val="0"/>
              <w:autoSpaceDN w:val="0"/>
              <w:spacing w:after="0" w:line="240" w:lineRule="auto"/>
              <w:jc w:val="center"/>
              <w:rPr>
                <w:rFonts w:ascii="Times New Roman" w:eastAsia="Arial MT" w:hAnsi="Times New Roman" w:cs="Times New Roman"/>
              </w:rPr>
            </w:pPr>
            <w:r>
              <w:rPr>
                <w:rFonts w:ascii="Times New Roman" w:eastAsia="Arial MT" w:hAnsi="Times New Roman" w:cs="Times New Roman"/>
              </w:rPr>
              <w:t>100,00</w:t>
            </w:r>
          </w:p>
        </w:tc>
      </w:tr>
    </w:tbl>
    <w:p w14:paraId="2681DBF8" w14:textId="77777777" w:rsidR="00356B37" w:rsidRDefault="00356B37" w:rsidP="00356B37">
      <w:pPr>
        <w:spacing w:after="0" w:line="240" w:lineRule="auto"/>
        <w:jc w:val="both"/>
        <w:rPr>
          <w:rFonts w:ascii="Times New Roman" w:hAnsi="Times New Roman" w:cs="Times New Roman"/>
          <w:bCs/>
          <w:lang w:eastAsia="hr-HR"/>
        </w:rPr>
      </w:pPr>
    </w:p>
    <w:p w14:paraId="66673B66" w14:textId="77777777" w:rsidR="00D627BF" w:rsidRPr="00722358" w:rsidRDefault="00D627BF" w:rsidP="00356B37">
      <w:pPr>
        <w:spacing w:after="0" w:line="240" w:lineRule="auto"/>
        <w:jc w:val="both"/>
        <w:rPr>
          <w:rFonts w:ascii="Times New Roman" w:hAnsi="Times New Roman" w:cs="Times New Roman"/>
          <w:bCs/>
          <w:lang w:eastAsia="hr-HR"/>
        </w:rPr>
      </w:pPr>
    </w:p>
    <w:p w14:paraId="1A9236B0" w14:textId="77777777" w:rsidR="00F74343" w:rsidRDefault="00722358" w:rsidP="00F74343">
      <w:pPr>
        <w:widowControl w:val="0"/>
        <w:autoSpaceDN w:val="0"/>
        <w:adjustRightInd w:val="0"/>
        <w:ind w:firstLine="567"/>
        <w:contextualSpacing/>
        <w:jc w:val="both"/>
        <w:rPr>
          <w:rFonts w:ascii="Times New Roman" w:hAnsi="Times New Roman" w:cs="Times New Roman"/>
          <w:bCs/>
          <w:lang w:eastAsia="hr-HR"/>
        </w:rPr>
      </w:pPr>
      <w:r w:rsidRPr="00722358">
        <w:rPr>
          <w:rFonts w:ascii="Times New Roman" w:hAnsi="Times New Roman" w:cs="Times New Roman"/>
          <w:bCs/>
          <w:i/>
          <w:lang w:eastAsia="hr-HR"/>
        </w:rPr>
        <w:t xml:space="preserve">Kapitalni projekt K100305 </w:t>
      </w:r>
      <w:r w:rsidRPr="00722358">
        <w:rPr>
          <w:rFonts w:ascii="Times New Roman" w:hAnsi="Times New Roman" w:cs="Times New Roman"/>
          <w:bCs/>
          <w:lang w:eastAsia="hr-HR"/>
        </w:rPr>
        <w:t xml:space="preserve">– Izrada ostale projektne dokumentacije iznosi </w:t>
      </w:r>
    </w:p>
    <w:p w14:paraId="010F8FC4" w14:textId="2B52A9D3" w:rsidR="00F74343" w:rsidRDefault="005B1193" w:rsidP="00F74343">
      <w:pPr>
        <w:widowControl w:val="0"/>
        <w:autoSpaceDN w:val="0"/>
        <w:adjustRightInd w:val="0"/>
        <w:contextualSpacing/>
        <w:jc w:val="both"/>
        <w:rPr>
          <w:rFonts w:ascii="Times New Roman" w:hAnsi="Times New Roman" w:cs="Times New Roman"/>
          <w:bCs/>
          <w:lang w:eastAsia="hr-HR"/>
        </w:rPr>
      </w:pPr>
      <w:r>
        <w:rPr>
          <w:rFonts w:ascii="Times New Roman" w:hAnsi="Times New Roman" w:cs="Times New Roman"/>
          <w:bCs/>
          <w:lang w:eastAsia="hr-HR"/>
        </w:rPr>
        <w:t>Izrađena je</w:t>
      </w:r>
      <w:r w:rsidR="00356B37">
        <w:rPr>
          <w:rFonts w:ascii="Times New Roman" w:hAnsi="Times New Roman" w:cs="Times New Roman"/>
          <w:bCs/>
          <w:lang w:eastAsia="hr-HR"/>
        </w:rPr>
        <w:t xml:space="preserve"> projektna dokumentacija za dogradnju dječjeg vrtića Maslačak u Petra Svačića</w:t>
      </w:r>
      <w:r>
        <w:rPr>
          <w:rFonts w:ascii="Times New Roman" w:hAnsi="Times New Roman" w:cs="Times New Roman"/>
          <w:bCs/>
          <w:lang w:eastAsia="hr-HR"/>
        </w:rPr>
        <w:t xml:space="preserve"> te dokumentacija za uređenje Trga hrvatskih branitelja i ulice Vladimira Nazora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07"/>
        <w:gridCol w:w="2996"/>
        <w:gridCol w:w="962"/>
        <w:gridCol w:w="1122"/>
        <w:gridCol w:w="1105"/>
        <w:gridCol w:w="968"/>
      </w:tblGrid>
      <w:tr w:rsidR="00356B37" w:rsidRPr="00F64569" w14:paraId="7CB7F674" w14:textId="77777777" w:rsidTr="00E347ED">
        <w:trPr>
          <w:trHeight w:val="633"/>
          <w:jc w:val="center"/>
        </w:trPr>
        <w:tc>
          <w:tcPr>
            <w:tcW w:w="1052" w:type="pct"/>
            <w:shd w:val="clear" w:color="auto" w:fill="BFBFBF"/>
          </w:tcPr>
          <w:p w14:paraId="41C78737" w14:textId="77777777" w:rsidR="00356B37" w:rsidRPr="00F64569" w:rsidRDefault="00356B37" w:rsidP="00E347ED">
            <w:pPr>
              <w:widowControl w:val="0"/>
              <w:autoSpaceDE w:val="0"/>
              <w:autoSpaceDN w:val="0"/>
              <w:spacing w:before="104" w:after="0" w:line="240" w:lineRule="auto"/>
              <w:ind w:left="136" w:right="110" w:firstLine="59"/>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Pokazatelj</w:t>
            </w:r>
            <w:r w:rsidRPr="00F64569">
              <w:rPr>
                <w:rFonts w:ascii="Times New Roman" w:eastAsia="Arial MT" w:hAnsi="Times New Roman" w:cs="Times New Roman"/>
                <w:b/>
                <w:spacing w:val="1"/>
                <w:sz w:val="20"/>
                <w:szCs w:val="20"/>
              </w:rPr>
              <w:t xml:space="preserve"> </w:t>
            </w:r>
            <w:r>
              <w:rPr>
                <w:rFonts w:ascii="Times New Roman" w:eastAsia="Arial MT" w:hAnsi="Times New Roman" w:cs="Times New Roman"/>
                <w:b/>
                <w:sz w:val="20"/>
                <w:szCs w:val="20"/>
              </w:rPr>
              <w:t>rezultata</w:t>
            </w:r>
          </w:p>
        </w:tc>
        <w:tc>
          <w:tcPr>
            <w:tcW w:w="1653" w:type="pct"/>
            <w:shd w:val="clear" w:color="auto" w:fill="BFBFBF"/>
          </w:tcPr>
          <w:p w14:paraId="1E9B2ED9" w14:textId="77777777" w:rsidR="00356B37" w:rsidRPr="00F64569" w:rsidRDefault="00356B37" w:rsidP="00E347ED">
            <w:pPr>
              <w:widowControl w:val="0"/>
              <w:autoSpaceDE w:val="0"/>
              <w:autoSpaceDN w:val="0"/>
              <w:spacing w:after="0" w:line="240" w:lineRule="auto"/>
              <w:jc w:val="both"/>
              <w:rPr>
                <w:rFonts w:ascii="Times New Roman" w:eastAsia="Arial MT" w:hAnsi="Times New Roman" w:cs="Times New Roman"/>
                <w:b/>
                <w:sz w:val="20"/>
                <w:szCs w:val="20"/>
              </w:rPr>
            </w:pPr>
          </w:p>
          <w:p w14:paraId="4260FF2B" w14:textId="77777777" w:rsidR="00356B37" w:rsidRPr="00F64569" w:rsidRDefault="00356B37" w:rsidP="00E347ED">
            <w:pPr>
              <w:widowControl w:val="0"/>
              <w:autoSpaceDE w:val="0"/>
              <w:autoSpaceDN w:val="0"/>
              <w:spacing w:before="1" w:after="0" w:line="240" w:lineRule="auto"/>
              <w:ind w:left="1136" w:right="832"/>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Definicija</w:t>
            </w:r>
          </w:p>
        </w:tc>
        <w:tc>
          <w:tcPr>
            <w:tcW w:w="531" w:type="pct"/>
            <w:shd w:val="clear" w:color="auto" w:fill="BFBFBF"/>
          </w:tcPr>
          <w:p w14:paraId="1E29E146" w14:textId="77777777" w:rsidR="00356B37" w:rsidRPr="00F64569" w:rsidRDefault="00356B37" w:rsidP="00E347ED">
            <w:pPr>
              <w:widowControl w:val="0"/>
              <w:autoSpaceDE w:val="0"/>
              <w:autoSpaceDN w:val="0"/>
              <w:spacing w:after="0" w:line="240" w:lineRule="auto"/>
              <w:jc w:val="both"/>
              <w:rPr>
                <w:rFonts w:ascii="Times New Roman" w:eastAsia="Arial MT" w:hAnsi="Times New Roman" w:cs="Times New Roman"/>
                <w:b/>
                <w:sz w:val="20"/>
                <w:szCs w:val="20"/>
              </w:rPr>
            </w:pPr>
          </w:p>
          <w:p w14:paraId="47B40D4D" w14:textId="77777777" w:rsidR="00356B37" w:rsidRPr="00F64569" w:rsidRDefault="00356B37" w:rsidP="00E347ED">
            <w:pPr>
              <w:widowControl w:val="0"/>
              <w:autoSpaceDE w:val="0"/>
              <w:autoSpaceDN w:val="0"/>
              <w:spacing w:before="1" w:after="0" w:line="240" w:lineRule="auto"/>
              <w:ind w:left="112" w:right="105"/>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Jedinica</w:t>
            </w:r>
          </w:p>
        </w:tc>
        <w:tc>
          <w:tcPr>
            <w:tcW w:w="619" w:type="pct"/>
            <w:shd w:val="clear" w:color="auto" w:fill="BFBFBF"/>
          </w:tcPr>
          <w:p w14:paraId="616F18C4" w14:textId="77777777" w:rsidR="00356B37" w:rsidRPr="00F64569" w:rsidRDefault="00356B37" w:rsidP="00E347ED">
            <w:pPr>
              <w:widowControl w:val="0"/>
              <w:autoSpaceDE w:val="0"/>
              <w:autoSpaceDN w:val="0"/>
              <w:spacing w:after="0" w:line="206" w:lineRule="exact"/>
              <w:ind w:left="122" w:right="121"/>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Ciljana</w:t>
            </w:r>
          </w:p>
          <w:p w14:paraId="7E15F037" w14:textId="77777777" w:rsidR="00356B37" w:rsidRPr="00F64569" w:rsidRDefault="00356B37" w:rsidP="00E347ED">
            <w:pPr>
              <w:widowControl w:val="0"/>
              <w:autoSpaceDE w:val="0"/>
              <w:autoSpaceDN w:val="0"/>
              <w:spacing w:after="0" w:line="206" w:lineRule="exact"/>
              <w:ind w:left="124" w:right="121"/>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vrijednost</w:t>
            </w:r>
            <w:r w:rsidRPr="00F64569">
              <w:rPr>
                <w:rFonts w:ascii="Times New Roman" w:eastAsia="Arial MT" w:hAnsi="Times New Roman" w:cs="Times New Roman"/>
                <w:b/>
                <w:spacing w:val="-47"/>
                <w:sz w:val="20"/>
                <w:szCs w:val="20"/>
              </w:rPr>
              <w:t xml:space="preserve">   </w:t>
            </w:r>
            <w:r w:rsidRPr="00F64569">
              <w:rPr>
                <w:rFonts w:ascii="Times New Roman" w:eastAsia="Arial MT" w:hAnsi="Times New Roman" w:cs="Times New Roman"/>
                <w:b/>
                <w:sz w:val="20"/>
                <w:szCs w:val="20"/>
              </w:rPr>
              <w:t>2024.</w:t>
            </w:r>
          </w:p>
        </w:tc>
        <w:tc>
          <w:tcPr>
            <w:tcW w:w="610" w:type="pct"/>
            <w:shd w:val="clear" w:color="auto" w:fill="BFBFBF"/>
          </w:tcPr>
          <w:p w14:paraId="2AAD6618" w14:textId="77777777" w:rsidR="00356B37" w:rsidRPr="00F64569" w:rsidRDefault="00356B37" w:rsidP="00E347ED">
            <w:pPr>
              <w:widowControl w:val="0"/>
              <w:autoSpaceDE w:val="0"/>
              <w:autoSpaceDN w:val="0"/>
              <w:spacing w:after="0" w:line="205" w:lineRule="exact"/>
              <w:ind w:left="89"/>
              <w:jc w:val="both"/>
              <w:rPr>
                <w:rFonts w:ascii="Times New Roman" w:eastAsia="Arial MT" w:hAnsi="Times New Roman" w:cs="Times New Roman"/>
                <w:b/>
                <w:sz w:val="20"/>
                <w:szCs w:val="20"/>
              </w:rPr>
            </w:pPr>
            <w:r>
              <w:rPr>
                <w:rFonts w:ascii="Times New Roman" w:eastAsia="Arial MT" w:hAnsi="Times New Roman" w:cs="Times New Roman"/>
                <w:b/>
                <w:sz w:val="20"/>
                <w:szCs w:val="20"/>
              </w:rPr>
              <w:t>Izvršenje</w:t>
            </w:r>
          </w:p>
        </w:tc>
        <w:tc>
          <w:tcPr>
            <w:tcW w:w="534" w:type="pct"/>
            <w:shd w:val="clear" w:color="auto" w:fill="BFBFBF"/>
          </w:tcPr>
          <w:p w14:paraId="593260C9" w14:textId="77777777" w:rsidR="00356B37" w:rsidRPr="00F64569" w:rsidRDefault="00356B37" w:rsidP="00E347ED">
            <w:pPr>
              <w:widowControl w:val="0"/>
              <w:autoSpaceDE w:val="0"/>
              <w:autoSpaceDN w:val="0"/>
              <w:spacing w:after="0" w:line="240" w:lineRule="auto"/>
              <w:ind w:left="130" w:right="115" w:firstLine="134"/>
              <w:jc w:val="both"/>
              <w:rPr>
                <w:rFonts w:ascii="Times New Roman" w:eastAsia="Arial MT" w:hAnsi="Times New Roman" w:cs="Times New Roman"/>
                <w:b/>
                <w:sz w:val="20"/>
                <w:szCs w:val="20"/>
              </w:rPr>
            </w:pPr>
            <w:r>
              <w:rPr>
                <w:rFonts w:ascii="Times New Roman" w:eastAsia="Arial MT" w:hAnsi="Times New Roman" w:cs="Times New Roman"/>
                <w:b/>
                <w:sz w:val="20"/>
                <w:szCs w:val="20"/>
              </w:rPr>
              <w:t>Indeks</w:t>
            </w:r>
          </w:p>
        </w:tc>
      </w:tr>
      <w:tr w:rsidR="00356B37" w:rsidRPr="00F64569" w14:paraId="1486EEFD" w14:textId="77777777" w:rsidTr="00E347ED">
        <w:trPr>
          <w:trHeight w:val="620"/>
          <w:jc w:val="center"/>
        </w:trPr>
        <w:tc>
          <w:tcPr>
            <w:tcW w:w="1052" w:type="pct"/>
            <w:shd w:val="clear" w:color="auto" w:fill="auto"/>
          </w:tcPr>
          <w:p w14:paraId="3876AE83" w14:textId="1ECBFB86" w:rsidR="00356B37" w:rsidRPr="00F64569" w:rsidRDefault="00356B37" w:rsidP="00E347ED">
            <w:pPr>
              <w:widowControl w:val="0"/>
              <w:autoSpaceDE w:val="0"/>
              <w:autoSpaceDN w:val="0"/>
              <w:spacing w:before="1" w:after="0" w:line="240" w:lineRule="auto"/>
              <w:ind w:right="109"/>
              <w:jc w:val="center"/>
              <w:rPr>
                <w:rFonts w:ascii="Times New Roman" w:eastAsia="Arial MT" w:hAnsi="Times New Roman" w:cs="Times New Roman"/>
              </w:rPr>
            </w:pPr>
            <w:r>
              <w:rPr>
                <w:rFonts w:ascii="Times New Roman" w:eastAsia="Arial MT" w:hAnsi="Times New Roman" w:cs="Times New Roman"/>
              </w:rPr>
              <w:t>Broj novih projektnih dokumentacija</w:t>
            </w:r>
          </w:p>
        </w:tc>
        <w:tc>
          <w:tcPr>
            <w:tcW w:w="1653" w:type="pct"/>
            <w:shd w:val="clear" w:color="auto" w:fill="auto"/>
          </w:tcPr>
          <w:p w14:paraId="3C11A07F" w14:textId="52704C42" w:rsidR="00356B37" w:rsidRPr="00F64569" w:rsidRDefault="00356B37" w:rsidP="00E347ED">
            <w:pPr>
              <w:widowControl w:val="0"/>
              <w:autoSpaceDE w:val="0"/>
              <w:autoSpaceDN w:val="0"/>
              <w:spacing w:after="0" w:line="187" w:lineRule="exact"/>
              <w:ind w:left="105"/>
              <w:jc w:val="center"/>
              <w:rPr>
                <w:rFonts w:ascii="Times New Roman" w:eastAsia="Arial MT" w:hAnsi="Times New Roman" w:cs="Times New Roman"/>
              </w:rPr>
            </w:pPr>
            <w:r>
              <w:rPr>
                <w:rFonts w:ascii="Times New Roman" w:eastAsia="Arial MT" w:hAnsi="Times New Roman" w:cs="Times New Roman"/>
              </w:rPr>
              <w:t>Izrada novih projektnih dokumentacija</w:t>
            </w:r>
          </w:p>
        </w:tc>
        <w:tc>
          <w:tcPr>
            <w:tcW w:w="531" w:type="pct"/>
            <w:shd w:val="clear" w:color="auto" w:fill="auto"/>
          </w:tcPr>
          <w:p w14:paraId="0B46F7DD" w14:textId="77777777" w:rsidR="00356B37" w:rsidRPr="00F64569" w:rsidRDefault="00356B37" w:rsidP="00E347ED">
            <w:pPr>
              <w:widowControl w:val="0"/>
              <w:autoSpaceDE w:val="0"/>
              <w:autoSpaceDN w:val="0"/>
              <w:spacing w:before="1" w:after="0" w:line="240" w:lineRule="auto"/>
              <w:ind w:right="137"/>
              <w:jc w:val="center"/>
              <w:rPr>
                <w:rFonts w:ascii="Times New Roman" w:eastAsia="Arial MT" w:hAnsi="Times New Roman" w:cs="Times New Roman"/>
              </w:rPr>
            </w:pPr>
            <w:r>
              <w:rPr>
                <w:rFonts w:ascii="Times New Roman" w:eastAsia="Arial MT" w:hAnsi="Times New Roman" w:cs="Times New Roman"/>
              </w:rPr>
              <w:t>Komad</w:t>
            </w:r>
          </w:p>
        </w:tc>
        <w:tc>
          <w:tcPr>
            <w:tcW w:w="619" w:type="pct"/>
            <w:shd w:val="clear" w:color="auto" w:fill="auto"/>
          </w:tcPr>
          <w:p w14:paraId="3C9F96F4" w14:textId="2B53DB1D" w:rsidR="00356B37" w:rsidRPr="00F64569" w:rsidRDefault="00356B37" w:rsidP="00E347ED">
            <w:pPr>
              <w:widowControl w:val="0"/>
              <w:autoSpaceDE w:val="0"/>
              <w:autoSpaceDN w:val="0"/>
              <w:spacing w:after="0" w:line="240" w:lineRule="auto"/>
              <w:ind w:right="121"/>
              <w:jc w:val="center"/>
              <w:rPr>
                <w:rFonts w:ascii="Times New Roman" w:eastAsia="Arial MT" w:hAnsi="Times New Roman" w:cs="Times New Roman"/>
              </w:rPr>
            </w:pPr>
            <w:r>
              <w:rPr>
                <w:rFonts w:ascii="Times New Roman" w:eastAsia="Arial MT" w:hAnsi="Times New Roman" w:cs="Times New Roman"/>
              </w:rPr>
              <w:t>2</w:t>
            </w:r>
          </w:p>
        </w:tc>
        <w:tc>
          <w:tcPr>
            <w:tcW w:w="610" w:type="pct"/>
            <w:shd w:val="clear" w:color="auto" w:fill="auto"/>
          </w:tcPr>
          <w:p w14:paraId="516ED4EC" w14:textId="72C72866" w:rsidR="00356B37" w:rsidRPr="00F64569" w:rsidRDefault="00356B37" w:rsidP="00E347ED">
            <w:pPr>
              <w:widowControl w:val="0"/>
              <w:autoSpaceDE w:val="0"/>
              <w:autoSpaceDN w:val="0"/>
              <w:spacing w:after="0" w:line="240" w:lineRule="auto"/>
              <w:ind w:right="460"/>
              <w:jc w:val="center"/>
              <w:rPr>
                <w:rFonts w:ascii="Times New Roman" w:eastAsia="Arial MT" w:hAnsi="Times New Roman" w:cs="Times New Roman"/>
              </w:rPr>
            </w:pPr>
            <w:r>
              <w:rPr>
                <w:rFonts w:ascii="Times New Roman" w:eastAsia="Arial MT" w:hAnsi="Times New Roman" w:cs="Times New Roman"/>
              </w:rPr>
              <w:t>2</w:t>
            </w:r>
          </w:p>
        </w:tc>
        <w:tc>
          <w:tcPr>
            <w:tcW w:w="534" w:type="pct"/>
          </w:tcPr>
          <w:p w14:paraId="23EB4A1D" w14:textId="77777777" w:rsidR="00356B37" w:rsidRPr="00F64569" w:rsidRDefault="00356B37" w:rsidP="00E347ED">
            <w:pPr>
              <w:widowControl w:val="0"/>
              <w:autoSpaceDE w:val="0"/>
              <w:autoSpaceDN w:val="0"/>
              <w:spacing w:after="0" w:line="240" w:lineRule="auto"/>
              <w:jc w:val="center"/>
              <w:rPr>
                <w:rFonts w:ascii="Times New Roman" w:eastAsia="Arial MT" w:hAnsi="Times New Roman" w:cs="Times New Roman"/>
              </w:rPr>
            </w:pPr>
            <w:r>
              <w:rPr>
                <w:rFonts w:ascii="Times New Roman" w:eastAsia="Arial MT" w:hAnsi="Times New Roman" w:cs="Times New Roman"/>
              </w:rPr>
              <w:t>100,00</w:t>
            </w:r>
          </w:p>
        </w:tc>
      </w:tr>
    </w:tbl>
    <w:p w14:paraId="330A9D96" w14:textId="77777777" w:rsidR="00356B37" w:rsidRDefault="00356B37" w:rsidP="00F74343">
      <w:pPr>
        <w:widowControl w:val="0"/>
        <w:autoSpaceDN w:val="0"/>
        <w:adjustRightInd w:val="0"/>
        <w:contextualSpacing/>
        <w:jc w:val="both"/>
        <w:rPr>
          <w:rFonts w:ascii="Times New Roman" w:hAnsi="Times New Roman" w:cs="Times New Roman"/>
          <w:lang w:eastAsia="hr-HR"/>
        </w:rPr>
      </w:pPr>
    </w:p>
    <w:p w14:paraId="1130D8F4" w14:textId="77777777" w:rsidR="005B1193" w:rsidRDefault="005B1193" w:rsidP="005B1193">
      <w:pPr>
        <w:widowControl w:val="0"/>
        <w:autoSpaceDN w:val="0"/>
        <w:adjustRightInd w:val="0"/>
        <w:ind w:firstLine="567"/>
        <w:contextualSpacing/>
        <w:jc w:val="both"/>
        <w:rPr>
          <w:rFonts w:ascii="Times New Roman" w:hAnsi="Times New Roman" w:cs="Times New Roman"/>
          <w:bCs/>
          <w:lang w:eastAsia="hr-HR"/>
        </w:rPr>
      </w:pPr>
      <w:r w:rsidRPr="00722358">
        <w:rPr>
          <w:rFonts w:ascii="Times New Roman" w:hAnsi="Times New Roman" w:cs="Times New Roman"/>
          <w:bCs/>
          <w:i/>
          <w:lang w:eastAsia="hr-HR"/>
        </w:rPr>
        <w:t>Kapitalni projekt K10030</w:t>
      </w:r>
      <w:r>
        <w:rPr>
          <w:rFonts w:ascii="Times New Roman" w:hAnsi="Times New Roman" w:cs="Times New Roman"/>
          <w:bCs/>
          <w:i/>
          <w:lang w:eastAsia="hr-HR"/>
        </w:rPr>
        <w:t>6</w:t>
      </w:r>
      <w:r w:rsidRPr="00722358">
        <w:rPr>
          <w:rFonts w:ascii="Times New Roman" w:hAnsi="Times New Roman" w:cs="Times New Roman"/>
          <w:bCs/>
          <w:i/>
          <w:lang w:eastAsia="hr-HR"/>
        </w:rPr>
        <w:t xml:space="preserve"> </w:t>
      </w:r>
      <w:r w:rsidRPr="00722358">
        <w:rPr>
          <w:rFonts w:ascii="Times New Roman" w:hAnsi="Times New Roman" w:cs="Times New Roman"/>
          <w:bCs/>
          <w:lang w:eastAsia="hr-HR"/>
        </w:rPr>
        <w:t xml:space="preserve">– Izrada </w:t>
      </w:r>
      <w:r>
        <w:rPr>
          <w:rFonts w:ascii="Times New Roman" w:hAnsi="Times New Roman" w:cs="Times New Roman"/>
          <w:bCs/>
          <w:lang w:eastAsia="hr-HR"/>
        </w:rPr>
        <w:t>prostornih planova nove generacije – „</w:t>
      </w:r>
      <w:proofErr w:type="spellStart"/>
      <w:r>
        <w:rPr>
          <w:rFonts w:ascii="Times New Roman" w:hAnsi="Times New Roman" w:cs="Times New Roman"/>
          <w:bCs/>
          <w:lang w:eastAsia="hr-HR"/>
        </w:rPr>
        <w:t>ePlanovi</w:t>
      </w:r>
      <w:proofErr w:type="spellEnd"/>
      <w:r>
        <w:rPr>
          <w:rFonts w:ascii="Times New Roman" w:hAnsi="Times New Roman" w:cs="Times New Roman"/>
          <w:bCs/>
          <w:lang w:eastAsia="hr-HR"/>
        </w:rPr>
        <w:t>“</w:t>
      </w:r>
    </w:p>
    <w:p w14:paraId="25419535" w14:textId="7CE0E1E3" w:rsidR="005B1193" w:rsidRDefault="005B1193" w:rsidP="005B1193">
      <w:pPr>
        <w:widowControl w:val="0"/>
        <w:autoSpaceDN w:val="0"/>
        <w:adjustRightInd w:val="0"/>
        <w:contextualSpacing/>
        <w:jc w:val="both"/>
        <w:rPr>
          <w:rFonts w:ascii="Times New Roman" w:hAnsi="Times New Roman" w:cs="Times New Roman"/>
          <w:bCs/>
          <w:lang w:eastAsia="hr-HR"/>
        </w:rPr>
      </w:pPr>
      <w:r w:rsidRPr="00722358">
        <w:rPr>
          <w:rFonts w:ascii="Times New Roman" w:hAnsi="Times New Roman" w:cs="Times New Roman"/>
          <w:bCs/>
          <w:lang w:eastAsia="hr-HR"/>
        </w:rPr>
        <w:t xml:space="preserve"> </w:t>
      </w:r>
      <w:r>
        <w:rPr>
          <w:rFonts w:ascii="Times New Roman" w:hAnsi="Times New Roman" w:cs="Times New Roman"/>
          <w:bCs/>
          <w:lang w:eastAsia="hr-HR"/>
        </w:rPr>
        <w:t>Pokrenute su VII. izmjene i dopune prostornog plana uređenja Grada Garešnice.</w:t>
      </w:r>
    </w:p>
    <w:p w14:paraId="5E7E103B" w14:textId="77777777" w:rsidR="005B1193" w:rsidRDefault="005B1193" w:rsidP="00F74343">
      <w:pPr>
        <w:widowControl w:val="0"/>
        <w:autoSpaceDN w:val="0"/>
        <w:adjustRightInd w:val="0"/>
        <w:contextualSpacing/>
        <w:jc w:val="both"/>
        <w:rPr>
          <w:rFonts w:ascii="Times New Roman" w:hAnsi="Times New Roman" w:cs="Times New Roman"/>
          <w:lang w:eastAsia="hr-HR"/>
        </w:rPr>
      </w:pPr>
    </w:p>
    <w:p w14:paraId="6CD6112F" w14:textId="77777777" w:rsidR="005B1193" w:rsidRDefault="005B1193" w:rsidP="005B1193">
      <w:pPr>
        <w:widowControl w:val="0"/>
        <w:autoSpaceDN w:val="0"/>
        <w:adjustRightInd w:val="0"/>
        <w:ind w:firstLine="567"/>
        <w:contextualSpacing/>
        <w:jc w:val="both"/>
        <w:rPr>
          <w:rFonts w:ascii="Times New Roman" w:hAnsi="Times New Roman" w:cs="Times New Roman"/>
          <w:bCs/>
          <w:lang w:eastAsia="hr-HR"/>
        </w:rPr>
      </w:pPr>
      <w:r w:rsidRPr="00722358">
        <w:rPr>
          <w:rFonts w:ascii="Times New Roman" w:hAnsi="Times New Roman" w:cs="Times New Roman"/>
          <w:bCs/>
          <w:i/>
          <w:lang w:eastAsia="hr-HR"/>
        </w:rPr>
        <w:t>Kapitalni projekt K1003</w:t>
      </w:r>
      <w:r>
        <w:rPr>
          <w:rFonts w:ascii="Times New Roman" w:hAnsi="Times New Roman" w:cs="Times New Roman"/>
          <w:bCs/>
          <w:i/>
          <w:lang w:eastAsia="hr-HR"/>
        </w:rPr>
        <w:t>19</w:t>
      </w:r>
      <w:r w:rsidRPr="00722358">
        <w:rPr>
          <w:rFonts w:ascii="Times New Roman" w:hAnsi="Times New Roman" w:cs="Times New Roman"/>
          <w:bCs/>
          <w:i/>
          <w:lang w:eastAsia="hr-HR"/>
        </w:rPr>
        <w:t xml:space="preserve"> </w:t>
      </w:r>
      <w:r w:rsidRPr="00722358">
        <w:rPr>
          <w:rFonts w:ascii="Times New Roman" w:hAnsi="Times New Roman" w:cs="Times New Roman"/>
          <w:bCs/>
          <w:lang w:eastAsia="hr-HR"/>
        </w:rPr>
        <w:t xml:space="preserve">– </w:t>
      </w:r>
      <w:r>
        <w:rPr>
          <w:rFonts w:ascii="Times New Roman" w:hAnsi="Times New Roman" w:cs="Times New Roman"/>
          <w:bCs/>
          <w:lang w:eastAsia="hr-HR"/>
        </w:rPr>
        <w:t>Izgradnja Parka za pse</w:t>
      </w:r>
    </w:p>
    <w:p w14:paraId="23401ADB" w14:textId="77777777" w:rsidR="005B1193" w:rsidRDefault="005B1193" w:rsidP="005B1193">
      <w:pPr>
        <w:widowControl w:val="0"/>
        <w:autoSpaceDN w:val="0"/>
        <w:adjustRightInd w:val="0"/>
        <w:contextualSpacing/>
        <w:jc w:val="both"/>
        <w:rPr>
          <w:rFonts w:ascii="Times New Roman" w:hAnsi="Times New Roman" w:cs="Times New Roman"/>
          <w:bCs/>
          <w:lang w:eastAsia="hr-HR"/>
        </w:rPr>
      </w:pPr>
      <w:r>
        <w:rPr>
          <w:rFonts w:ascii="Times New Roman" w:hAnsi="Times New Roman" w:cs="Times New Roman"/>
          <w:bCs/>
          <w:lang w:eastAsia="hr-HR"/>
        </w:rPr>
        <w:t xml:space="preserve">U listopadu 2024. godine započeli su radovi na izgradnji Parka za pse na „livadama“ prema naselju </w:t>
      </w:r>
      <w:proofErr w:type="spellStart"/>
      <w:r>
        <w:rPr>
          <w:rFonts w:ascii="Times New Roman" w:hAnsi="Times New Roman" w:cs="Times New Roman"/>
          <w:bCs/>
          <w:lang w:eastAsia="hr-HR"/>
        </w:rPr>
        <w:t>Gaine</w:t>
      </w:r>
      <w:proofErr w:type="spellEnd"/>
      <w:r>
        <w:rPr>
          <w:rFonts w:ascii="Times New Roman" w:hAnsi="Times New Roman" w:cs="Times New Roman"/>
          <w:bCs/>
          <w:lang w:eastAsia="hr-HR"/>
        </w:rPr>
        <w:t>.</w:t>
      </w:r>
    </w:p>
    <w:p w14:paraId="1E7FD0FA" w14:textId="77777777" w:rsidR="005B1193" w:rsidRDefault="005B1193" w:rsidP="005B1193">
      <w:pPr>
        <w:widowControl w:val="0"/>
        <w:autoSpaceDN w:val="0"/>
        <w:adjustRightInd w:val="0"/>
        <w:contextualSpacing/>
        <w:jc w:val="both"/>
        <w:rPr>
          <w:rFonts w:ascii="Times New Roman" w:hAnsi="Times New Roman" w:cs="Times New Roman"/>
          <w:bCs/>
          <w:lang w:eastAsia="hr-HR"/>
        </w:rPr>
      </w:pPr>
      <w:r w:rsidRPr="00722358">
        <w:rPr>
          <w:rFonts w:ascii="Times New Roman" w:hAnsi="Times New Roman" w:cs="Times New Roman"/>
          <w:bCs/>
          <w:lang w:eastAsia="hr-HR"/>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07"/>
        <w:gridCol w:w="2996"/>
        <w:gridCol w:w="962"/>
        <w:gridCol w:w="1122"/>
        <w:gridCol w:w="1105"/>
        <w:gridCol w:w="968"/>
      </w:tblGrid>
      <w:tr w:rsidR="005B1193" w:rsidRPr="00F64569" w14:paraId="08A6EB07" w14:textId="77777777" w:rsidTr="00E347ED">
        <w:trPr>
          <w:trHeight w:val="633"/>
          <w:jc w:val="center"/>
        </w:trPr>
        <w:tc>
          <w:tcPr>
            <w:tcW w:w="1052" w:type="pct"/>
            <w:shd w:val="clear" w:color="auto" w:fill="BFBFBF"/>
          </w:tcPr>
          <w:p w14:paraId="2880C949" w14:textId="77777777" w:rsidR="005B1193" w:rsidRPr="00F64569" w:rsidRDefault="005B1193" w:rsidP="00E347ED">
            <w:pPr>
              <w:widowControl w:val="0"/>
              <w:autoSpaceDE w:val="0"/>
              <w:autoSpaceDN w:val="0"/>
              <w:spacing w:before="104" w:after="0" w:line="240" w:lineRule="auto"/>
              <w:ind w:left="136" w:right="110" w:firstLine="59"/>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Pokazatelj</w:t>
            </w:r>
            <w:r w:rsidRPr="00F64569">
              <w:rPr>
                <w:rFonts w:ascii="Times New Roman" w:eastAsia="Arial MT" w:hAnsi="Times New Roman" w:cs="Times New Roman"/>
                <w:b/>
                <w:spacing w:val="1"/>
                <w:sz w:val="20"/>
                <w:szCs w:val="20"/>
              </w:rPr>
              <w:t xml:space="preserve"> </w:t>
            </w:r>
            <w:r>
              <w:rPr>
                <w:rFonts w:ascii="Times New Roman" w:eastAsia="Arial MT" w:hAnsi="Times New Roman" w:cs="Times New Roman"/>
                <w:b/>
                <w:sz w:val="20"/>
                <w:szCs w:val="20"/>
              </w:rPr>
              <w:t>rezultata</w:t>
            </w:r>
          </w:p>
        </w:tc>
        <w:tc>
          <w:tcPr>
            <w:tcW w:w="1653" w:type="pct"/>
            <w:shd w:val="clear" w:color="auto" w:fill="BFBFBF"/>
          </w:tcPr>
          <w:p w14:paraId="6FB6AD6A" w14:textId="77777777" w:rsidR="005B1193" w:rsidRPr="00F64569" w:rsidRDefault="005B1193" w:rsidP="00E347ED">
            <w:pPr>
              <w:widowControl w:val="0"/>
              <w:autoSpaceDE w:val="0"/>
              <w:autoSpaceDN w:val="0"/>
              <w:spacing w:after="0" w:line="240" w:lineRule="auto"/>
              <w:jc w:val="both"/>
              <w:rPr>
                <w:rFonts w:ascii="Times New Roman" w:eastAsia="Arial MT" w:hAnsi="Times New Roman" w:cs="Times New Roman"/>
                <w:b/>
                <w:sz w:val="20"/>
                <w:szCs w:val="20"/>
              </w:rPr>
            </w:pPr>
          </w:p>
          <w:p w14:paraId="4E27A8AE" w14:textId="77777777" w:rsidR="005B1193" w:rsidRPr="00F64569" w:rsidRDefault="005B1193" w:rsidP="00E347ED">
            <w:pPr>
              <w:widowControl w:val="0"/>
              <w:autoSpaceDE w:val="0"/>
              <w:autoSpaceDN w:val="0"/>
              <w:spacing w:before="1" w:after="0" w:line="240" w:lineRule="auto"/>
              <w:ind w:left="1136" w:right="832"/>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Definicija</w:t>
            </w:r>
          </w:p>
        </w:tc>
        <w:tc>
          <w:tcPr>
            <w:tcW w:w="531" w:type="pct"/>
            <w:shd w:val="clear" w:color="auto" w:fill="BFBFBF"/>
          </w:tcPr>
          <w:p w14:paraId="627EE7B6" w14:textId="77777777" w:rsidR="005B1193" w:rsidRPr="00F64569" w:rsidRDefault="005B1193" w:rsidP="00E347ED">
            <w:pPr>
              <w:widowControl w:val="0"/>
              <w:autoSpaceDE w:val="0"/>
              <w:autoSpaceDN w:val="0"/>
              <w:spacing w:after="0" w:line="240" w:lineRule="auto"/>
              <w:jc w:val="both"/>
              <w:rPr>
                <w:rFonts w:ascii="Times New Roman" w:eastAsia="Arial MT" w:hAnsi="Times New Roman" w:cs="Times New Roman"/>
                <w:b/>
                <w:sz w:val="20"/>
                <w:szCs w:val="20"/>
              </w:rPr>
            </w:pPr>
          </w:p>
          <w:p w14:paraId="398C1C6A" w14:textId="77777777" w:rsidR="005B1193" w:rsidRPr="00F64569" w:rsidRDefault="005B1193" w:rsidP="00E347ED">
            <w:pPr>
              <w:widowControl w:val="0"/>
              <w:autoSpaceDE w:val="0"/>
              <w:autoSpaceDN w:val="0"/>
              <w:spacing w:before="1" w:after="0" w:line="240" w:lineRule="auto"/>
              <w:ind w:left="112" w:right="105"/>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Jedinica</w:t>
            </w:r>
          </w:p>
        </w:tc>
        <w:tc>
          <w:tcPr>
            <w:tcW w:w="619" w:type="pct"/>
            <w:shd w:val="clear" w:color="auto" w:fill="BFBFBF"/>
          </w:tcPr>
          <w:p w14:paraId="4F2AEC8B" w14:textId="77777777" w:rsidR="005B1193" w:rsidRPr="00F64569" w:rsidRDefault="005B1193" w:rsidP="00E347ED">
            <w:pPr>
              <w:widowControl w:val="0"/>
              <w:autoSpaceDE w:val="0"/>
              <w:autoSpaceDN w:val="0"/>
              <w:spacing w:after="0" w:line="206" w:lineRule="exact"/>
              <w:ind w:left="122" w:right="121"/>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Ciljana</w:t>
            </w:r>
          </w:p>
          <w:p w14:paraId="3CC168C3" w14:textId="77777777" w:rsidR="005B1193" w:rsidRPr="00F64569" w:rsidRDefault="005B1193" w:rsidP="00E347ED">
            <w:pPr>
              <w:widowControl w:val="0"/>
              <w:autoSpaceDE w:val="0"/>
              <w:autoSpaceDN w:val="0"/>
              <w:spacing w:after="0" w:line="206" w:lineRule="exact"/>
              <w:ind w:left="124" w:right="121"/>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vrijednost</w:t>
            </w:r>
            <w:r w:rsidRPr="00F64569">
              <w:rPr>
                <w:rFonts w:ascii="Times New Roman" w:eastAsia="Arial MT" w:hAnsi="Times New Roman" w:cs="Times New Roman"/>
                <w:b/>
                <w:spacing w:val="-47"/>
                <w:sz w:val="20"/>
                <w:szCs w:val="20"/>
              </w:rPr>
              <w:t xml:space="preserve">   </w:t>
            </w:r>
            <w:r w:rsidRPr="00F64569">
              <w:rPr>
                <w:rFonts w:ascii="Times New Roman" w:eastAsia="Arial MT" w:hAnsi="Times New Roman" w:cs="Times New Roman"/>
                <w:b/>
                <w:sz w:val="20"/>
                <w:szCs w:val="20"/>
              </w:rPr>
              <w:t>2024.</w:t>
            </w:r>
          </w:p>
        </w:tc>
        <w:tc>
          <w:tcPr>
            <w:tcW w:w="610" w:type="pct"/>
            <w:shd w:val="clear" w:color="auto" w:fill="BFBFBF"/>
          </w:tcPr>
          <w:p w14:paraId="62DCD9A1" w14:textId="77777777" w:rsidR="005B1193" w:rsidRPr="00F64569" w:rsidRDefault="005B1193" w:rsidP="00E347ED">
            <w:pPr>
              <w:widowControl w:val="0"/>
              <w:autoSpaceDE w:val="0"/>
              <w:autoSpaceDN w:val="0"/>
              <w:spacing w:after="0" w:line="205" w:lineRule="exact"/>
              <w:ind w:left="89"/>
              <w:jc w:val="both"/>
              <w:rPr>
                <w:rFonts w:ascii="Times New Roman" w:eastAsia="Arial MT" w:hAnsi="Times New Roman" w:cs="Times New Roman"/>
                <w:b/>
                <w:sz w:val="20"/>
                <w:szCs w:val="20"/>
              </w:rPr>
            </w:pPr>
            <w:r>
              <w:rPr>
                <w:rFonts w:ascii="Times New Roman" w:eastAsia="Arial MT" w:hAnsi="Times New Roman" w:cs="Times New Roman"/>
                <w:b/>
                <w:sz w:val="20"/>
                <w:szCs w:val="20"/>
              </w:rPr>
              <w:t>Izvršenje</w:t>
            </w:r>
          </w:p>
        </w:tc>
        <w:tc>
          <w:tcPr>
            <w:tcW w:w="534" w:type="pct"/>
            <w:shd w:val="clear" w:color="auto" w:fill="BFBFBF"/>
          </w:tcPr>
          <w:p w14:paraId="4D95D8B1" w14:textId="77777777" w:rsidR="005B1193" w:rsidRPr="00F64569" w:rsidRDefault="005B1193" w:rsidP="00E347ED">
            <w:pPr>
              <w:widowControl w:val="0"/>
              <w:autoSpaceDE w:val="0"/>
              <w:autoSpaceDN w:val="0"/>
              <w:spacing w:after="0" w:line="240" w:lineRule="auto"/>
              <w:ind w:left="130" w:right="115" w:firstLine="134"/>
              <w:jc w:val="both"/>
              <w:rPr>
                <w:rFonts w:ascii="Times New Roman" w:eastAsia="Arial MT" w:hAnsi="Times New Roman" w:cs="Times New Roman"/>
                <w:b/>
                <w:sz w:val="20"/>
                <w:szCs w:val="20"/>
              </w:rPr>
            </w:pPr>
            <w:r>
              <w:rPr>
                <w:rFonts w:ascii="Times New Roman" w:eastAsia="Arial MT" w:hAnsi="Times New Roman" w:cs="Times New Roman"/>
                <w:b/>
                <w:sz w:val="20"/>
                <w:szCs w:val="20"/>
              </w:rPr>
              <w:t>Indeks</w:t>
            </w:r>
          </w:p>
        </w:tc>
      </w:tr>
      <w:tr w:rsidR="005B1193" w:rsidRPr="00F64569" w14:paraId="3407A6DF" w14:textId="77777777" w:rsidTr="00E347ED">
        <w:trPr>
          <w:trHeight w:val="620"/>
          <w:jc w:val="center"/>
        </w:trPr>
        <w:tc>
          <w:tcPr>
            <w:tcW w:w="1052" w:type="pct"/>
            <w:shd w:val="clear" w:color="auto" w:fill="auto"/>
          </w:tcPr>
          <w:p w14:paraId="06930E2A" w14:textId="4429807B" w:rsidR="005B1193" w:rsidRPr="00F64569" w:rsidRDefault="005B1193" w:rsidP="00E347ED">
            <w:pPr>
              <w:widowControl w:val="0"/>
              <w:autoSpaceDE w:val="0"/>
              <w:autoSpaceDN w:val="0"/>
              <w:spacing w:before="1" w:after="0" w:line="240" w:lineRule="auto"/>
              <w:ind w:right="109"/>
              <w:jc w:val="center"/>
              <w:rPr>
                <w:rFonts w:ascii="Times New Roman" w:eastAsia="Arial MT" w:hAnsi="Times New Roman" w:cs="Times New Roman"/>
              </w:rPr>
            </w:pPr>
            <w:r>
              <w:rPr>
                <w:rFonts w:ascii="Times New Roman" w:eastAsia="Arial MT" w:hAnsi="Times New Roman" w:cs="Times New Roman"/>
              </w:rPr>
              <w:t>Broj novih parkova za pse</w:t>
            </w:r>
          </w:p>
        </w:tc>
        <w:tc>
          <w:tcPr>
            <w:tcW w:w="1653" w:type="pct"/>
            <w:shd w:val="clear" w:color="auto" w:fill="auto"/>
          </w:tcPr>
          <w:p w14:paraId="52931196" w14:textId="6BBC0ABD" w:rsidR="005B1193" w:rsidRPr="00F64569" w:rsidRDefault="005B1193" w:rsidP="00E347ED">
            <w:pPr>
              <w:widowControl w:val="0"/>
              <w:autoSpaceDE w:val="0"/>
              <w:autoSpaceDN w:val="0"/>
              <w:spacing w:after="0" w:line="187" w:lineRule="exact"/>
              <w:ind w:left="105"/>
              <w:jc w:val="center"/>
              <w:rPr>
                <w:rFonts w:ascii="Times New Roman" w:eastAsia="Arial MT" w:hAnsi="Times New Roman" w:cs="Times New Roman"/>
              </w:rPr>
            </w:pPr>
            <w:r>
              <w:rPr>
                <w:rFonts w:ascii="Times New Roman" w:eastAsia="Arial MT" w:hAnsi="Times New Roman" w:cs="Times New Roman"/>
              </w:rPr>
              <w:t>Količina parkova</w:t>
            </w:r>
          </w:p>
        </w:tc>
        <w:tc>
          <w:tcPr>
            <w:tcW w:w="531" w:type="pct"/>
            <w:shd w:val="clear" w:color="auto" w:fill="auto"/>
          </w:tcPr>
          <w:p w14:paraId="6F168766" w14:textId="77777777" w:rsidR="005B1193" w:rsidRPr="00F64569" w:rsidRDefault="005B1193" w:rsidP="00E347ED">
            <w:pPr>
              <w:widowControl w:val="0"/>
              <w:autoSpaceDE w:val="0"/>
              <w:autoSpaceDN w:val="0"/>
              <w:spacing w:before="1" w:after="0" w:line="240" w:lineRule="auto"/>
              <w:ind w:right="137"/>
              <w:jc w:val="center"/>
              <w:rPr>
                <w:rFonts w:ascii="Times New Roman" w:eastAsia="Arial MT" w:hAnsi="Times New Roman" w:cs="Times New Roman"/>
              </w:rPr>
            </w:pPr>
            <w:r>
              <w:rPr>
                <w:rFonts w:ascii="Times New Roman" w:eastAsia="Arial MT" w:hAnsi="Times New Roman" w:cs="Times New Roman"/>
              </w:rPr>
              <w:t>Komad</w:t>
            </w:r>
          </w:p>
        </w:tc>
        <w:tc>
          <w:tcPr>
            <w:tcW w:w="619" w:type="pct"/>
            <w:shd w:val="clear" w:color="auto" w:fill="auto"/>
          </w:tcPr>
          <w:p w14:paraId="4E554113" w14:textId="7B5434C0" w:rsidR="005B1193" w:rsidRPr="00F64569" w:rsidRDefault="005B1193" w:rsidP="00E347ED">
            <w:pPr>
              <w:widowControl w:val="0"/>
              <w:autoSpaceDE w:val="0"/>
              <w:autoSpaceDN w:val="0"/>
              <w:spacing w:after="0" w:line="240" w:lineRule="auto"/>
              <w:ind w:right="121"/>
              <w:jc w:val="center"/>
              <w:rPr>
                <w:rFonts w:ascii="Times New Roman" w:eastAsia="Arial MT" w:hAnsi="Times New Roman" w:cs="Times New Roman"/>
              </w:rPr>
            </w:pPr>
            <w:r>
              <w:rPr>
                <w:rFonts w:ascii="Times New Roman" w:eastAsia="Arial MT" w:hAnsi="Times New Roman" w:cs="Times New Roman"/>
              </w:rPr>
              <w:t>1</w:t>
            </w:r>
          </w:p>
        </w:tc>
        <w:tc>
          <w:tcPr>
            <w:tcW w:w="610" w:type="pct"/>
            <w:shd w:val="clear" w:color="auto" w:fill="auto"/>
          </w:tcPr>
          <w:p w14:paraId="37AE5AD5" w14:textId="3534099C" w:rsidR="005B1193" w:rsidRPr="00F64569" w:rsidRDefault="005C0A0E" w:rsidP="00E347ED">
            <w:pPr>
              <w:widowControl w:val="0"/>
              <w:autoSpaceDE w:val="0"/>
              <w:autoSpaceDN w:val="0"/>
              <w:spacing w:after="0" w:line="240" w:lineRule="auto"/>
              <w:ind w:right="460"/>
              <w:jc w:val="center"/>
              <w:rPr>
                <w:rFonts w:ascii="Times New Roman" w:eastAsia="Arial MT" w:hAnsi="Times New Roman" w:cs="Times New Roman"/>
              </w:rPr>
            </w:pPr>
            <w:r>
              <w:rPr>
                <w:rFonts w:ascii="Times New Roman" w:eastAsia="Arial MT" w:hAnsi="Times New Roman" w:cs="Times New Roman"/>
              </w:rPr>
              <w:t>0</w:t>
            </w:r>
          </w:p>
        </w:tc>
        <w:tc>
          <w:tcPr>
            <w:tcW w:w="534" w:type="pct"/>
          </w:tcPr>
          <w:p w14:paraId="36DF6A8E" w14:textId="15437A5A" w:rsidR="005B1193" w:rsidRPr="00F64569" w:rsidRDefault="005C0A0E" w:rsidP="00E347ED">
            <w:pPr>
              <w:widowControl w:val="0"/>
              <w:autoSpaceDE w:val="0"/>
              <w:autoSpaceDN w:val="0"/>
              <w:spacing w:after="0" w:line="240" w:lineRule="auto"/>
              <w:jc w:val="center"/>
              <w:rPr>
                <w:rFonts w:ascii="Times New Roman" w:eastAsia="Arial MT" w:hAnsi="Times New Roman" w:cs="Times New Roman"/>
              </w:rPr>
            </w:pPr>
            <w:r>
              <w:rPr>
                <w:rFonts w:ascii="Times New Roman" w:eastAsia="Arial MT" w:hAnsi="Times New Roman" w:cs="Times New Roman"/>
              </w:rPr>
              <w:t>0,00</w:t>
            </w:r>
          </w:p>
        </w:tc>
      </w:tr>
    </w:tbl>
    <w:p w14:paraId="32C892CA" w14:textId="38E0ADFF" w:rsidR="005B1193" w:rsidRDefault="005B1193" w:rsidP="005B1193">
      <w:pPr>
        <w:widowControl w:val="0"/>
        <w:autoSpaceDN w:val="0"/>
        <w:adjustRightInd w:val="0"/>
        <w:contextualSpacing/>
        <w:jc w:val="both"/>
        <w:rPr>
          <w:rFonts w:ascii="Times New Roman" w:hAnsi="Times New Roman" w:cs="Times New Roman"/>
          <w:bCs/>
          <w:lang w:eastAsia="hr-HR"/>
        </w:rPr>
      </w:pPr>
    </w:p>
    <w:p w14:paraId="27008EBD" w14:textId="4D0AF831" w:rsidR="00722358" w:rsidRPr="00722358" w:rsidRDefault="00722358" w:rsidP="00C44382">
      <w:pPr>
        <w:spacing w:after="0" w:line="240" w:lineRule="auto"/>
        <w:jc w:val="both"/>
        <w:rPr>
          <w:rFonts w:ascii="Times New Roman" w:hAnsi="Times New Roman" w:cs="Times New Roman"/>
          <w:bCs/>
          <w:lang w:eastAsia="hr-HR"/>
        </w:rPr>
      </w:pPr>
    </w:p>
    <w:p w14:paraId="461C234C" w14:textId="74FCC6FD" w:rsidR="00722358" w:rsidRPr="00C44382" w:rsidRDefault="00722358" w:rsidP="00E40FD3">
      <w:pPr>
        <w:pStyle w:val="Naslov"/>
        <w:ind w:firstLine="567"/>
        <w:jc w:val="both"/>
        <w:rPr>
          <w:rFonts w:ascii="Times New Roman" w:hAnsi="Times New Roman" w:cs="Times New Roman"/>
          <w:sz w:val="22"/>
          <w:lang w:val="hr-HR"/>
        </w:rPr>
      </w:pPr>
      <w:r w:rsidRPr="00C44382">
        <w:rPr>
          <w:rFonts w:ascii="Times New Roman" w:hAnsi="Times New Roman" w:cs="Times New Roman"/>
          <w:sz w:val="22"/>
          <w:lang w:val="hr-HR"/>
        </w:rPr>
        <w:t>Program 1004 – Zaštita okoliša</w:t>
      </w:r>
      <w:r w:rsidR="00C44382" w:rsidRPr="00C44382">
        <w:rPr>
          <w:rFonts w:ascii="Times New Roman" w:hAnsi="Times New Roman" w:cs="Times New Roman"/>
          <w:sz w:val="22"/>
          <w:lang w:val="hr-HR"/>
        </w:rPr>
        <w:t xml:space="preserve"> i prirode</w:t>
      </w:r>
      <w:r w:rsidR="00E97AD9" w:rsidRPr="00C44382">
        <w:rPr>
          <w:rFonts w:ascii="Times New Roman" w:hAnsi="Times New Roman" w:cs="Times New Roman"/>
          <w:sz w:val="22"/>
          <w:lang w:val="hr-HR"/>
        </w:rPr>
        <w:t xml:space="preserve"> </w:t>
      </w:r>
    </w:p>
    <w:p w14:paraId="692A2281" w14:textId="77777777" w:rsidR="00DA61D7" w:rsidRPr="00DA61D7" w:rsidRDefault="00F74343" w:rsidP="00DA61D7">
      <w:pPr>
        <w:pStyle w:val="Odlomakpopisa"/>
        <w:spacing w:after="200" w:line="276" w:lineRule="auto"/>
        <w:jc w:val="both"/>
        <w:rPr>
          <w:bCs/>
          <w:sz w:val="22"/>
          <w:szCs w:val="22"/>
        </w:rPr>
      </w:pPr>
      <w:r w:rsidRPr="00DA61D7">
        <w:rPr>
          <w:bCs/>
          <w:sz w:val="22"/>
          <w:szCs w:val="22"/>
        </w:rPr>
        <w:t xml:space="preserve">Ciljevi programa su: </w:t>
      </w:r>
    </w:p>
    <w:p w14:paraId="0F557456" w14:textId="4D7B5245" w:rsidR="00F74343" w:rsidRPr="00DA61D7" w:rsidRDefault="00F74343" w:rsidP="003734CB">
      <w:pPr>
        <w:pStyle w:val="Odlomakpopisa"/>
        <w:numPr>
          <w:ilvl w:val="0"/>
          <w:numId w:val="8"/>
        </w:numPr>
        <w:spacing w:after="200" w:line="276" w:lineRule="auto"/>
        <w:jc w:val="both"/>
        <w:rPr>
          <w:bCs/>
          <w:sz w:val="22"/>
          <w:szCs w:val="22"/>
        </w:rPr>
      </w:pPr>
      <w:r w:rsidRPr="00DA61D7">
        <w:rPr>
          <w:bCs/>
          <w:sz w:val="22"/>
          <w:szCs w:val="22"/>
        </w:rPr>
        <w:t>osigurati izradu energetskih certifikata gradskih objekata</w:t>
      </w:r>
    </w:p>
    <w:p w14:paraId="5C5CC488" w14:textId="77777777" w:rsidR="00F74343" w:rsidRPr="00DA61D7" w:rsidRDefault="00F74343" w:rsidP="003734CB">
      <w:pPr>
        <w:pStyle w:val="Odlomakpopisa"/>
        <w:numPr>
          <w:ilvl w:val="0"/>
          <w:numId w:val="8"/>
        </w:numPr>
        <w:spacing w:after="200" w:line="276" w:lineRule="auto"/>
        <w:jc w:val="both"/>
        <w:rPr>
          <w:bCs/>
          <w:sz w:val="22"/>
          <w:szCs w:val="22"/>
        </w:rPr>
      </w:pPr>
      <w:r w:rsidRPr="00DA61D7">
        <w:rPr>
          <w:bCs/>
          <w:sz w:val="22"/>
          <w:szCs w:val="22"/>
        </w:rPr>
        <w:t>sanirati divlja odlagališta i zapuštene okućnice</w:t>
      </w:r>
    </w:p>
    <w:p w14:paraId="6DEC8592" w14:textId="77777777" w:rsidR="00F74343" w:rsidRPr="00DA61D7" w:rsidRDefault="00F74343" w:rsidP="003734CB">
      <w:pPr>
        <w:pStyle w:val="Odlomakpopisa"/>
        <w:numPr>
          <w:ilvl w:val="0"/>
          <w:numId w:val="8"/>
        </w:numPr>
        <w:spacing w:after="200" w:line="276" w:lineRule="auto"/>
        <w:jc w:val="both"/>
        <w:rPr>
          <w:bCs/>
          <w:sz w:val="22"/>
          <w:szCs w:val="22"/>
        </w:rPr>
      </w:pPr>
      <w:r w:rsidRPr="00DA61D7">
        <w:rPr>
          <w:bCs/>
          <w:sz w:val="22"/>
          <w:szCs w:val="22"/>
        </w:rPr>
        <w:t>sustavna deratizacija i dezinsekcija na području grada</w:t>
      </w:r>
    </w:p>
    <w:p w14:paraId="4B91ABC2" w14:textId="77777777" w:rsidR="00F74343" w:rsidRPr="00DA61D7" w:rsidRDefault="00F74343" w:rsidP="003734CB">
      <w:pPr>
        <w:pStyle w:val="Odlomakpopisa"/>
        <w:numPr>
          <w:ilvl w:val="0"/>
          <w:numId w:val="8"/>
        </w:numPr>
        <w:spacing w:after="200" w:line="276" w:lineRule="auto"/>
        <w:jc w:val="both"/>
        <w:rPr>
          <w:bCs/>
          <w:sz w:val="22"/>
          <w:szCs w:val="22"/>
        </w:rPr>
      </w:pPr>
      <w:r w:rsidRPr="00DA61D7">
        <w:rPr>
          <w:bCs/>
          <w:sz w:val="22"/>
          <w:szCs w:val="22"/>
        </w:rPr>
        <w:t xml:space="preserve">sanirati odlagalište otpada </w:t>
      </w:r>
      <w:proofErr w:type="spellStart"/>
      <w:r w:rsidRPr="00DA61D7">
        <w:rPr>
          <w:bCs/>
          <w:sz w:val="22"/>
          <w:szCs w:val="22"/>
        </w:rPr>
        <w:t>Johovača</w:t>
      </w:r>
      <w:proofErr w:type="spellEnd"/>
    </w:p>
    <w:tbl>
      <w:tblPr>
        <w:tblpPr w:leftFromText="180" w:rightFromText="180" w:vertAnchor="text" w:horzAnchor="margin" w:tblpY="12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32"/>
        <w:gridCol w:w="1696"/>
        <w:gridCol w:w="1558"/>
        <w:gridCol w:w="1274"/>
      </w:tblGrid>
      <w:tr w:rsidR="00DA61D7" w:rsidRPr="006D7391" w14:paraId="2DC74448" w14:textId="77777777" w:rsidTr="00B9382D">
        <w:trPr>
          <w:trHeight w:val="460"/>
        </w:trPr>
        <w:tc>
          <w:tcPr>
            <w:tcW w:w="2501" w:type="pct"/>
            <w:shd w:val="clear" w:color="auto" w:fill="BFBFBF"/>
          </w:tcPr>
          <w:p w14:paraId="61BEAFFC" w14:textId="77777777" w:rsidR="00DA61D7" w:rsidRPr="006D7391" w:rsidRDefault="00DA61D7" w:rsidP="00B9382D">
            <w:pPr>
              <w:pStyle w:val="TableParagraph"/>
              <w:spacing w:before="110" w:line="240" w:lineRule="exact"/>
              <w:ind w:left="107"/>
              <w:jc w:val="left"/>
              <w:rPr>
                <w:rFonts w:ascii="Times New Roman" w:hAnsi="Times New Roman" w:cs="Times New Roman"/>
                <w:b/>
                <w:lang w:val="hr-HR"/>
              </w:rPr>
            </w:pPr>
            <w:r w:rsidRPr="006D7391">
              <w:rPr>
                <w:rFonts w:ascii="Times New Roman" w:hAnsi="Times New Roman" w:cs="Times New Roman"/>
                <w:b/>
                <w:lang w:val="hr-HR"/>
              </w:rPr>
              <w:t>Naziv aktivnosti / projekta unutar programa</w:t>
            </w:r>
          </w:p>
        </w:tc>
        <w:tc>
          <w:tcPr>
            <w:tcW w:w="936" w:type="pct"/>
            <w:shd w:val="clear" w:color="auto" w:fill="BFBFBF"/>
          </w:tcPr>
          <w:p w14:paraId="6B724D88" w14:textId="3E255FF4" w:rsidR="00DA61D7" w:rsidRPr="006D7391" w:rsidRDefault="00DA61D7" w:rsidP="00B9382D">
            <w:pPr>
              <w:pStyle w:val="TableParagraph"/>
              <w:spacing w:line="240" w:lineRule="exact"/>
              <w:ind w:left="197" w:right="192"/>
              <w:jc w:val="center"/>
              <w:rPr>
                <w:rFonts w:ascii="Times New Roman" w:hAnsi="Times New Roman" w:cs="Times New Roman"/>
                <w:b/>
                <w:lang w:val="hr-HR"/>
              </w:rPr>
            </w:pPr>
            <w:r w:rsidRPr="006D7391">
              <w:rPr>
                <w:rFonts w:ascii="Times New Roman" w:hAnsi="Times New Roman" w:cs="Times New Roman"/>
                <w:b/>
                <w:lang w:val="hr-HR"/>
              </w:rPr>
              <w:t>Rebalans 202</w:t>
            </w:r>
            <w:r w:rsidR="00C44382" w:rsidRPr="006D7391">
              <w:rPr>
                <w:rFonts w:ascii="Times New Roman" w:hAnsi="Times New Roman" w:cs="Times New Roman"/>
                <w:b/>
                <w:lang w:val="hr-HR"/>
              </w:rPr>
              <w:t>4</w:t>
            </w:r>
            <w:r w:rsidRPr="006D7391">
              <w:rPr>
                <w:rFonts w:ascii="Times New Roman" w:hAnsi="Times New Roman" w:cs="Times New Roman"/>
                <w:b/>
                <w:lang w:val="hr-HR"/>
              </w:rPr>
              <w:t>.</w:t>
            </w:r>
          </w:p>
        </w:tc>
        <w:tc>
          <w:tcPr>
            <w:tcW w:w="860" w:type="pct"/>
            <w:shd w:val="clear" w:color="auto" w:fill="BFBFBF"/>
          </w:tcPr>
          <w:p w14:paraId="1B154555" w14:textId="16A529B6" w:rsidR="00DA61D7" w:rsidRPr="006D7391" w:rsidRDefault="00DA61D7" w:rsidP="00B9382D">
            <w:pPr>
              <w:pStyle w:val="TableParagraph"/>
              <w:spacing w:line="240" w:lineRule="exact"/>
              <w:ind w:left="197" w:right="192"/>
              <w:jc w:val="center"/>
              <w:rPr>
                <w:rFonts w:ascii="Times New Roman" w:hAnsi="Times New Roman" w:cs="Times New Roman"/>
                <w:b/>
                <w:lang w:val="hr-HR"/>
              </w:rPr>
            </w:pPr>
            <w:r w:rsidRPr="006D7391">
              <w:rPr>
                <w:rFonts w:ascii="Times New Roman" w:hAnsi="Times New Roman" w:cs="Times New Roman"/>
                <w:b/>
                <w:lang w:val="hr-HR"/>
              </w:rPr>
              <w:t>Izvršenje 202</w:t>
            </w:r>
            <w:r w:rsidR="00C44382" w:rsidRPr="006D7391">
              <w:rPr>
                <w:rFonts w:ascii="Times New Roman" w:hAnsi="Times New Roman" w:cs="Times New Roman"/>
                <w:b/>
                <w:lang w:val="hr-HR"/>
              </w:rPr>
              <w:t>4</w:t>
            </w:r>
            <w:r w:rsidRPr="006D7391">
              <w:rPr>
                <w:rFonts w:ascii="Times New Roman" w:hAnsi="Times New Roman" w:cs="Times New Roman"/>
                <w:b/>
                <w:lang w:val="hr-HR"/>
              </w:rPr>
              <w:t>.</w:t>
            </w:r>
          </w:p>
        </w:tc>
        <w:tc>
          <w:tcPr>
            <w:tcW w:w="703" w:type="pct"/>
            <w:shd w:val="clear" w:color="auto" w:fill="BFBFBF"/>
          </w:tcPr>
          <w:p w14:paraId="1A118926" w14:textId="77777777" w:rsidR="00DA61D7" w:rsidRPr="006D7391" w:rsidRDefault="00DA61D7" w:rsidP="00B9382D">
            <w:pPr>
              <w:pStyle w:val="TableParagraph"/>
              <w:spacing w:line="240" w:lineRule="exact"/>
              <w:ind w:left="140" w:right="135"/>
              <w:jc w:val="center"/>
              <w:rPr>
                <w:rFonts w:ascii="Times New Roman" w:hAnsi="Times New Roman" w:cs="Times New Roman"/>
                <w:b/>
                <w:lang w:val="hr-HR"/>
              </w:rPr>
            </w:pPr>
            <w:r w:rsidRPr="006D7391">
              <w:rPr>
                <w:rFonts w:ascii="Times New Roman" w:hAnsi="Times New Roman" w:cs="Times New Roman"/>
                <w:b/>
                <w:lang w:val="hr-HR"/>
              </w:rPr>
              <w:t>Indeks</w:t>
            </w:r>
          </w:p>
        </w:tc>
      </w:tr>
      <w:tr w:rsidR="00DA61D7" w:rsidRPr="006D7391" w14:paraId="2957AA33" w14:textId="77777777" w:rsidTr="00B9382D">
        <w:trPr>
          <w:trHeight w:val="277"/>
        </w:trPr>
        <w:tc>
          <w:tcPr>
            <w:tcW w:w="2501" w:type="pct"/>
            <w:shd w:val="clear" w:color="auto" w:fill="auto"/>
          </w:tcPr>
          <w:p w14:paraId="509350F4" w14:textId="5E4165BF" w:rsidR="00DA61D7" w:rsidRPr="006D7391" w:rsidRDefault="00DA61D7" w:rsidP="00B9382D">
            <w:pPr>
              <w:widowControl w:val="0"/>
              <w:autoSpaceDE w:val="0"/>
              <w:autoSpaceDN w:val="0"/>
              <w:spacing w:after="0" w:line="240" w:lineRule="exact"/>
              <w:rPr>
                <w:rFonts w:ascii="Times New Roman" w:hAnsi="Times New Roman"/>
              </w:rPr>
            </w:pPr>
            <w:r w:rsidRPr="006D7391">
              <w:rPr>
                <w:rFonts w:ascii="Times New Roman" w:hAnsi="Times New Roman"/>
                <w:w w:val="95"/>
              </w:rPr>
              <w:t>Aktivnost A100402 Energetski certifikat gradskih objekata</w:t>
            </w:r>
          </w:p>
        </w:tc>
        <w:tc>
          <w:tcPr>
            <w:tcW w:w="936" w:type="pct"/>
            <w:shd w:val="clear" w:color="auto" w:fill="auto"/>
          </w:tcPr>
          <w:p w14:paraId="3E956F77" w14:textId="3D3CDD05" w:rsidR="00DA61D7" w:rsidRPr="006D7391" w:rsidRDefault="006D7391" w:rsidP="00B9382D">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2.0</w:t>
            </w:r>
            <w:r w:rsidR="00DA61D7" w:rsidRPr="006D7391">
              <w:rPr>
                <w:rFonts w:ascii="Times New Roman" w:hAnsi="Times New Roman" w:cs="Times New Roman"/>
                <w:lang w:val="hr-HR"/>
              </w:rPr>
              <w:t>00,00</w:t>
            </w:r>
          </w:p>
        </w:tc>
        <w:tc>
          <w:tcPr>
            <w:tcW w:w="860" w:type="pct"/>
            <w:shd w:val="clear" w:color="auto" w:fill="auto"/>
          </w:tcPr>
          <w:p w14:paraId="05E2055F" w14:textId="16B6D8AA" w:rsidR="00DA61D7" w:rsidRPr="006D7391" w:rsidRDefault="00DA61D7" w:rsidP="00B9382D">
            <w:pPr>
              <w:pStyle w:val="TableParagraph"/>
              <w:spacing w:before="21" w:line="240" w:lineRule="exact"/>
              <w:ind w:right="98"/>
              <w:rPr>
                <w:rFonts w:ascii="Times New Roman" w:hAnsi="Times New Roman" w:cs="Times New Roman"/>
                <w:lang w:val="hr-HR"/>
              </w:rPr>
            </w:pPr>
            <w:r w:rsidRPr="006D7391">
              <w:rPr>
                <w:rFonts w:ascii="Times New Roman" w:hAnsi="Times New Roman" w:cs="Times New Roman"/>
                <w:lang w:val="hr-HR"/>
              </w:rPr>
              <w:t>0,00</w:t>
            </w:r>
          </w:p>
        </w:tc>
        <w:tc>
          <w:tcPr>
            <w:tcW w:w="703" w:type="pct"/>
            <w:shd w:val="clear" w:color="auto" w:fill="auto"/>
          </w:tcPr>
          <w:p w14:paraId="4AF4B885" w14:textId="766A09E4" w:rsidR="00DA61D7" w:rsidRPr="006D7391" w:rsidRDefault="006D7391" w:rsidP="00B9382D">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0,00</w:t>
            </w:r>
          </w:p>
        </w:tc>
      </w:tr>
      <w:tr w:rsidR="00DA61D7" w:rsidRPr="006D7391" w14:paraId="65D55F3D" w14:textId="77777777" w:rsidTr="00B9382D">
        <w:trPr>
          <w:trHeight w:val="277"/>
        </w:trPr>
        <w:tc>
          <w:tcPr>
            <w:tcW w:w="2501" w:type="pct"/>
            <w:shd w:val="clear" w:color="auto" w:fill="auto"/>
          </w:tcPr>
          <w:p w14:paraId="23291EE0" w14:textId="1FFABFEA" w:rsidR="00DA61D7" w:rsidRPr="006D7391" w:rsidRDefault="00DA61D7" w:rsidP="00B9382D">
            <w:pPr>
              <w:widowControl w:val="0"/>
              <w:autoSpaceDE w:val="0"/>
              <w:autoSpaceDN w:val="0"/>
              <w:spacing w:after="0" w:line="240" w:lineRule="exact"/>
              <w:rPr>
                <w:rFonts w:ascii="Times New Roman" w:hAnsi="Times New Roman"/>
                <w:w w:val="95"/>
              </w:rPr>
            </w:pPr>
            <w:r w:rsidRPr="006D7391">
              <w:rPr>
                <w:rFonts w:ascii="Times New Roman" w:hAnsi="Times New Roman"/>
                <w:w w:val="95"/>
              </w:rPr>
              <w:t>Aktivnost A100405 Sanacija divljih odlagališta i zapuštenih okućnica</w:t>
            </w:r>
          </w:p>
        </w:tc>
        <w:tc>
          <w:tcPr>
            <w:tcW w:w="936" w:type="pct"/>
            <w:shd w:val="clear" w:color="auto" w:fill="auto"/>
          </w:tcPr>
          <w:p w14:paraId="7B9241A0" w14:textId="1FB12D6B" w:rsidR="00DA61D7" w:rsidRPr="006D7391" w:rsidRDefault="006D7391" w:rsidP="00B9382D">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12.000</w:t>
            </w:r>
            <w:r w:rsidR="00DA61D7" w:rsidRPr="006D7391">
              <w:rPr>
                <w:rFonts w:ascii="Times New Roman" w:hAnsi="Times New Roman" w:cs="Times New Roman"/>
                <w:lang w:val="hr-HR"/>
              </w:rPr>
              <w:t>,00</w:t>
            </w:r>
          </w:p>
        </w:tc>
        <w:tc>
          <w:tcPr>
            <w:tcW w:w="860" w:type="pct"/>
            <w:shd w:val="clear" w:color="auto" w:fill="auto"/>
          </w:tcPr>
          <w:p w14:paraId="34EC978E" w14:textId="1D157884" w:rsidR="00DA61D7" w:rsidRPr="006D7391" w:rsidRDefault="006D7391" w:rsidP="00B9382D">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7.125,00</w:t>
            </w:r>
          </w:p>
        </w:tc>
        <w:tc>
          <w:tcPr>
            <w:tcW w:w="703" w:type="pct"/>
            <w:shd w:val="clear" w:color="auto" w:fill="auto"/>
          </w:tcPr>
          <w:p w14:paraId="737EE2F2" w14:textId="32390AE4" w:rsidR="00DA61D7" w:rsidRPr="006D7391" w:rsidRDefault="006D7391" w:rsidP="00B9382D">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59,38</w:t>
            </w:r>
          </w:p>
        </w:tc>
      </w:tr>
      <w:tr w:rsidR="00DA61D7" w:rsidRPr="006D7391" w14:paraId="36A5B91D" w14:textId="77777777" w:rsidTr="00B9382D">
        <w:trPr>
          <w:trHeight w:val="630"/>
        </w:trPr>
        <w:tc>
          <w:tcPr>
            <w:tcW w:w="2501" w:type="pct"/>
            <w:shd w:val="clear" w:color="auto" w:fill="auto"/>
          </w:tcPr>
          <w:p w14:paraId="45B394C8" w14:textId="03A3E1F3" w:rsidR="00DA61D7" w:rsidRPr="006D7391" w:rsidRDefault="00DA61D7" w:rsidP="00B9382D">
            <w:pPr>
              <w:widowControl w:val="0"/>
              <w:autoSpaceDE w:val="0"/>
              <w:autoSpaceDN w:val="0"/>
              <w:spacing w:after="0" w:line="240" w:lineRule="atLeast"/>
              <w:rPr>
                <w:rFonts w:ascii="Times New Roman" w:hAnsi="Times New Roman"/>
                <w:w w:val="95"/>
              </w:rPr>
            </w:pPr>
            <w:r w:rsidRPr="006D7391">
              <w:rPr>
                <w:rFonts w:ascii="Times New Roman" w:hAnsi="Times New Roman"/>
                <w:w w:val="95"/>
              </w:rPr>
              <w:lastRenderedPageBreak/>
              <w:t>Aktivnost A100406 Deratizacija i dezinsekcija javnih površina i napuštenih okućnica</w:t>
            </w:r>
          </w:p>
        </w:tc>
        <w:tc>
          <w:tcPr>
            <w:tcW w:w="936" w:type="pct"/>
            <w:shd w:val="clear" w:color="auto" w:fill="auto"/>
          </w:tcPr>
          <w:p w14:paraId="155F8C88" w14:textId="3170AD28" w:rsidR="00DA61D7" w:rsidRPr="006D7391" w:rsidRDefault="006D7391" w:rsidP="00B9382D">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32.500,00</w:t>
            </w:r>
          </w:p>
        </w:tc>
        <w:tc>
          <w:tcPr>
            <w:tcW w:w="860" w:type="pct"/>
            <w:shd w:val="clear" w:color="auto" w:fill="auto"/>
          </w:tcPr>
          <w:p w14:paraId="0D9F0903" w14:textId="3178A3D4" w:rsidR="00DA61D7" w:rsidRPr="006D7391" w:rsidRDefault="006D7391" w:rsidP="00B9382D">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32.381,06</w:t>
            </w:r>
          </w:p>
        </w:tc>
        <w:tc>
          <w:tcPr>
            <w:tcW w:w="703" w:type="pct"/>
            <w:shd w:val="clear" w:color="auto" w:fill="auto"/>
          </w:tcPr>
          <w:p w14:paraId="29297622" w14:textId="4544E35E" w:rsidR="00DA61D7" w:rsidRPr="006D7391" w:rsidRDefault="006D7391" w:rsidP="00B9382D">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99,63</w:t>
            </w:r>
          </w:p>
        </w:tc>
      </w:tr>
      <w:tr w:rsidR="00DA61D7" w:rsidRPr="006D7391" w14:paraId="11072F30" w14:textId="77777777" w:rsidTr="00B9382D">
        <w:trPr>
          <w:trHeight w:val="630"/>
        </w:trPr>
        <w:tc>
          <w:tcPr>
            <w:tcW w:w="2501" w:type="pct"/>
            <w:shd w:val="clear" w:color="auto" w:fill="auto"/>
          </w:tcPr>
          <w:p w14:paraId="0EBB614F" w14:textId="2C566AB4" w:rsidR="00DA61D7" w:rsidRPr="006D7391" w:rsidRDefault="00DA61D7" w:rsidP="00B9382D">
            <w:pPr>
              <w:widowControl w:val="0"/>
              <w:autoSpaceDE w:val="0"/>
              <w:autoSpaceDN w:val="0"/>
              <w:spacing w:after="0" w:line="240" w:lineRule="atLeast"/>
              <w:rPr>
                <w:rFonts w:ascii="Times New Roman" w:hAnsi="Times New Roman"/>
                <w:w w:val="95"/>
              </w:rPr>
            </w:pPr>
            <w:r w:rsidRPr="006D7391">
              <w:rPr>
                <w:rFonts w:ascii="Times New Roman" w:hAnsi="Times New Roman"/>
                <w:w w:val="95"/>
              </w:rPr>
              <w:t xml:space="preserve">Aktivnost A100407 Ekološka renta Općini Velika </w:t>
            </w:r>
            <w:proofErr w:type="spellStart"/>
            <w:r w:rsidRPr="006D7391">
              <w:rPr>
                <w:rFonts w:ascii="Times New Roman" w:hAnsi="Times New Roman"/>
                <w:w w:val="95"/>
              </w:rPr>
              <w:t>Trnovitica</w:t>
            </w:r>
            <w:proofErr w:type="spellEnd"/>
          </w:p>
        </w:tc>
        <w:tc>
          <w:tcPr>
            <w:tcW w:w="936" w:type="pct"/>
            <w:shd w:val="clear" w:color="auto" w:fill="auto"/>
          </w:tcPr>
          <w:p w14:paraId="4590CA06" w14:textId="6170AFD9" w:rsidR="00DA61D7" w:rsidRPr="006D7391" w:rsidRDefault="006D7391" w:rsidP="00B9382D">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12.000,00</w:t>
            </w:r>
          </w:p>
        </w:tc>
        <w:tc>
          <w:tcPr>
            <w:tcW w:w="860" w:type="pct"/>
            <w:shd w:val="clear" w:color="auto" w:fill="auto"/>
          </w:tcPr>
          <w:p w14:paraId="5EA3161B" w14:textId="1D943B2B" w:rsidR="00DA61D7" w:rsidRPr="006D7391" w:rsidRDefault="006D7391" w:rsidP="00B9382D">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10.913,04</w:t>
            </w:r>
          </w:p>
        </w:tc>
        <w:tc>
          <w:tcPr>
            <w:tcW w:w="703" w:type="pct"/>
            <w:shd w:val="clear" w:color="auto" w:fill="auto"/>
          </w:tcPr>
          <w:p w14:paraId="3193E00D" w14:textId="4AFF483E" w:rsidR="00DA61D7" w:rsidRPr="006D7391" w:rsidRDefault="006D7391" w:rsidP="00B9382D">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90,94</w:t>
            </w:r>
          </w:p>
        </w:tc>
      </w:tr>
      <w:tr w:rsidR="006D7391" w:rsidRPr="006D7391" w14:paraId="76111E74" w14:textId="77777777" w:rsidTr="00B9382D">
        <w:trPr>
          <w:trHeight w:val="630"/>
        </w:trPr>
        <w:tc>
          <w:tcPr>
            <w:tcW w:w="2501" w:type="pct"/>
            <w:shd w:val="clear" w:color="auto" w:fill="auto"/>
          </w:tcPr>
          <w:p w14:paraId="3346B3E7" w14:textId="4C1D2E46" w:rsidR="006D7391" w:rsidRPr="006D7391" w:rsidRDefault="006D7391" w:rsidP="00B9382D">
            <w:pPr>
              <w:widowControl w:val="0"/>
              <w:autoSpaceDE w:val="0"/>
              <w:autoSpaceDN w:val="0"/>
              <w:spacing w:after="0" w:line="240" w:lineRule="atLeast"/>
              <w:rPr>
                <w:rFonts w:ascii="Times New Roman" w:hAnsi="Times New Roman"/>
                <w:w w:val="95"/>
              </w:rPr>
            </w:pPr>
            <w:r>
              <w:rPr>
                <w:rFonts w:ascii="Times New Roman" w:hAnsi="Times New Roman"/>
                <w:w w:val="95"/>
              </w:rPr>
              <w:t>Aktivnost A100411 SECAP – Izrada akcijskih planova</w:t>
            </w:r>
          </w:p>
        </w:tc>
        <w:tc>
          <w:tcPr>
            <w:tcW w:w="936" w:type="pct"/>
            <w:shd w:val="clear" w:color="auto" w:fill="auto"/>
          </w:tcPr>
          <w:p w14:paraId="3A70705F" w14:textId="6A0C9EA7" w:rsidR="006D7391" w:rsidRPr="006D7391" w:rsidRDefault="006D7391" w:rsidP="00B9382D">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8.700,00</w:t>
            </w:r>
          </w:p>
        </w:tc>
        <w:tc>
          <w:tcPr>
            <w:tcW w:w="860" w:type="pct"/>
            <w:shd w:val="clear" w:color="auto" w:fill="auto"/>
          </w:tcPr>
          <w:p w14:paraId="0693C2FC" w14:textId="2FBA7B8D" w:rsidR="006D7391" w:rsidRPr="006D7391" w:rsidRDefault="006D7391" w:rsidP="00B9382D">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8.625,00</w:t>
            </w:r>
          </w:p>
        </w:tc>
        <w:tc>
          <w:tcPr>
            <w:tcW w:w="703" w:type="pct"/>
            <w:shd w:val="clear" w:color="auto" w:fill="auto"/>
          </w:tcPr>
          <w:p w14:paraId="6DABE22F" w14:textId="47737958" w:rsidR="006D7391" w:rsidRPr="006D7391" w:rsidRDefault="006D7391" w:rsidP="00B9382D">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99,14</w:t>
            </w:r>
          </w:p>
        </w:tc>
      </w:tr>
      <w:tr w:rsidR="00DA61D7" w:rsidRPr="006D7391" w14:paraId="2CB5A0EE" w14:textId="77777777" w:rsidTr="00B9382D">
        <w:trPr>
          <w:trHeight w:val="630"/>
        </w:trPr>
        <w:tc>
          <w:tcPr>
            <w:tcW w:w="2501" w:type="pct"/>
            <w:shd w:val="clear" w:color="auto" w:fill="auto"/>
          </w:tcPr>
          <w:p w14:paraId="1977B224" w14:textId="789377B0" w:rsidR="00DA61D7" w:rsidRPr="006D7391" w:rsidRDefault="00DA61D7" w:rsidP="00B9382D">
            <w:pPr>
              <w:widowControl w:val="0"/>
              <w:autoSpaceDE w:val="0"/>
              <w:autoSpaceDN w:val="0"/>
              <w:spacing w:after="0" w:line="240" w:lineRule="atLeast"/>
              <w:rPr>
                <w:rFonts w:ascii="Times New Roman" w:hAnsi="Times New Roman"/>
                <w:w w:val="95"/>
              </w:rPr>
            </w:pPr>
            <w:r w:rsidRPr="006D7391">
              <w:rPr>
                <w:rFonts w:ascii="Times New Roman" w:hAnsi="Times New Roman"/>
                <w:w w:val="95"/>
              </w:rPr>
              <w:t xml:space="preserve">Kapitalni projekt 100404 Sanacija odlagališta </w:t>
            </w:r>
            <w:proofErr w:type="spellStart"/>
            <w:r w:rsidRPr="006D7391">
              <w:rPr>
                <w:rFonts w:ascii="Times New Roman" w:hAnsi="Times New Roman"/>
                <w:w w:val="95"/>
              </w:rPr>
              <w:t>Johovača</w:t>
            </w:r>
            <w:proofErr w:type="spellEnd"/>
          </w:p>
        </w:tc>
        <w:tc>
          <w:tcPr>
            <w:tcW w:w="936" w:type="pct"/>
            <w:shd w:val="clear" w:color="auto" w:fill="auto"/>
          </w:tcPr>
          <w:p w14:paraId="1FF9D18B" w14:textId="22BF0E02" w:rsidR="00DA61D7" w:rsidRPr="006D7391" w:rsidRDefault="006D7391" w:rsidP="00B9382D">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1.482.338,00</w:t>
            </w:r>
          </w:p>
        </w:tc>
        <w:tc>
          <w:tcPr>
            <w:tcW w:w="860" w:type="pct"/>
            <w:shd w:val="clear" w:color="auto" w:fill="auto"/>
          </w:tcPr>
          <w:p w14:paraId="4DE87964" w14:textId="641C6D80" w:rsidR="00DA61D7" w:rsidRPr="006D7391" w:rsidRDefault="006D7391" w:rsidP="00B9382D">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1.426.030,80</w:t>
            </w:r>
          </w:p>
        </w:tc>
        <w:tc>
          <w:tcPr>
            <w:tcW w:w="703" w:type="pct"/>
            <w:shd w:val="clear" w:color="auto" w:fill="auto"/>
          </w:tcPr>
          <w:p w14:paraId="6A85DE7F" w14:textId="722DA206" w:rsidR="00DA61D7" w:rsidRPr="006D7391" w:rsidRDefault="006D7391" w:rsidP="00B9382D">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98,57</w:t>
            </w:r>
          </w:p>
        </w:tc>
      </w:tr>
      <w:tr w:rsidR="00DA61D7" w:rsidRPr="006D7391" w14:paraId="31544DA1" w14:textId="77777777" w:rsidTr="00B9382D">
        <w:trPr>
          <w:trHeight w:val="277"/>
        </w:trPr>
        <w:tc>
          <w:tcPr>
            <w:tcW w:w="2501" w:type="pct"/>
            <w:shd w:val="clear" w:color="auto" w:fill="auto"/>
          </w:tcPr>
          <w:p w14:paraId="0DA5BF6A" w14:textId="77777777" w:rsidR="00DA61D7" w:rsidRPr="006D7391" w:rsidRDefault="00DA61D7" w:rsidP="00B9382D">
            <w:pPr>
              <w:widowControl w:val="0"/>
              <w:autoSpaceDE w:val="0"/>
              <w:autoSpaceDN w:val="0"/>
              <w:spacing w:after="0" w:line="240" w:lineRule="exact"/>
              <w:rPr>
                <w:rFonts w:ascii="Times New Roman" w:hAnsi="Times New Roman"/>
                <w:b/>
                <w:bCs/>
                <w:w w:val="95"/>
              </w:rPr>
            </w:pPr>
            <w:r w:rsidRPr="006D7391">
              <w:rPr>
                <w:rFonts w:ascii="Times New Roman" w:hAnsi="Times New Roman"/>
                <w:b/>
                <w:bCs/>
                <w:w w:val="95"/>
              </w:rPr>
              <w:t>Ukupno program</w:t>
            </w:r>
          </w:p>
        </w:tc>
        <w:tc>
          <w:tcPr>
            <w:tcW w:w="936" w:type="pct"/>
            <w:shd w:val="clear" w:color="auto" w:fill="auto"/>
          </w:tcPr>
          <w:p w14:paraId="2AAD06B2" w14:textId="5689D98F" w:rsidR="00DA61D7" w:rsidRPr="006D7391" w:rsidRDefault="006D7391" w:rsidP="00B9382D">
            <w:pPr>
              <w:pStyle w:val="TableParagraph"/>
              <w:spacing w:before="21" w:line="240" w:lineRule="exact"/>
              <w:ind w:right="98"/>
              <w:rPr>
                <w:rFonts w:ascii="Times New Roman" w:hAnsi="Times New Roman" w:cs="Times New Roman"/>
                <w:b/>
                <w:bCs/>
                <w:lang w:val="hr-HR"/>
              </w:rPr>
            </w:pPr>
            <w:r>
              <w:rPr>
                <w:rFonts w:ascii="Times New Roman" w:hAnsi="Times New Roman" w:cs="Times New Roman"/>
                <w:b/>
                <w:bCs/>
                <w:lang w:val="hr-HR"/>
              </w:rPr>
              <w:t>1.549.538,00</w:t>
            </w:r>
          </w:p>
        </w:tc>
        <w:tc>
          <w:tcPr>
            <w:tcW w:w="860" w:type="pct"/>
            <w:shd w:val="clear" w:color="auto" w:fill="auto"/>
          </w:tcPr>
          <w:p w14:paraId="4AE6B58D" w14:textId="26EA57FF" w:rsidR="00DA61D7" w:rsidRPr="006D7391" w:rsidRDefault="006D7391" w:rsidP="00B9382D">
            <w:pPr>
              <w:pStyle w:val="TableParagraph"/>
              <w:spacing w:before="21" w:line="240" w:lineRule="exact"/>
              <w:ind w:right="98"/>
              <w:rPr>
                <w:rFonts w:ascii="Times New Roman" w:hAnsi="Times New Roman" w:cs="Times New Roman"/>
                <w:b/>
                <w:bCs/>
                <w:lang w:val="hr-HR"/>
              </w:rPr>
            </w:pPr>
            <w:r>
              <w:rPr>
                <w:rFonts w:ascii="Times New Roman" w:hAnsi="Times New Roman" w:cs="Times New Roman"/>
                <w:b/>
                <w:bCs/>
                <w:lang w:val="hr-HR"/>
              </w:rPr>
              <w:t>1.485.074,90</w:t>
            </w:r>
          </w:p>
        </w:tc>
        <w:tc>
          <w:tcPr>
            <w:tcW w:w="703" w:type="pct"/>
            <w:shd w:val="clear" w:color="auto" w:fill="auto"/>
          </w:tcPr>
          <w:p w14:paraId="0FCFC8BA" w14:textId="4AF3ED90" w:rsidR="00DA61D7" w:rsidRPr="006D7391" w:rsidRDefault="006D7391" w:rsidP="00B9382D">
            <w:pPr>
              <w:pStyle w:val="TableParagraph"/>
              <w:spacing w:before="21" w:line="240" w:lineRule="exact"/>
              <w:ind w:right="98"/>
              <w:rPr>
                <w:rFonts w:ascii="Times New Roman" w:hAnsi="Times New Roman" w:cs="Times New Roman"/>
                <w:b/>
                <w:bCs/>
                <w:lang w:val="hr-HR"/>
              </w:rPr>
            </w:pPr>
            <w:r>
              <w:rPr>
                <w:rFonts w:ascii="Times New Roman" w:hAnsi="Times New Roman" w:cs="Times New Roman"/>
                <w:b/>
                <w:bCs/>
                <w:lang w:val="hr-HR"/>
              </w:rPr>
              <w:t>95,84</w:t>
            </w:r>
          </w:p>
        </w:tc>
      </w:tr>
    </w:tbl>
    <w:p w14:paraId="15BD138A" w14:textId="2E76FC42" w:rsidR="00F74343" w:rsidRPr="00F74343" w:rsidRDefault="00F74343" w:rsidP="00F74343">
      <w:pPr>
        <w:pStyle w:val="Podnaslov"/>
        <w:jc w:val="left"/>
        <w:rPr>
          <w:lang w:eastAsia="ar-SA"/>
        </w:rPr>
      </w:pPr>
    </w:p>
    <w:p w14:paraId="4082FBB7" w14:textId="77777777" w:rsidR="00722358" w:rsidRDefault="00722358" w:rsidP="00E40FD3">
      <w:pPr>
        <w:pStyle w:val="Naslov"/>
        <w:ind w:firstLine="567"/>
        <w:jc w:val="both"/>
        <w:rPr>
          <w:rFonts w:ascii="Times New Roman" w:hAnsi="Times New Roman" w:cs="Times New Roman"/>
          <w:b w:val="0"/>
          <w:sz w:val="22"/>
          <w:lang w:val="hr-HR"/>
        </w:rPr>
      </w:pPr>
      <w:r w:rsidRPr="00722358">
        <w:rPr>
          <w:rFonts w:ascii="Times New Roman" w:hAnsi="Times New Roman" w:cs="Times New Roman"/>
          <w:b w:val="0"/>
          <w:i/>
          <w:sz w:val="22"/>
          <w:lang w:val="hr-HR"/>
        </w:rPr>
        <w:t>Aktivnost A100402</w:t>
      </w:r>
      <w:r w:rsidRPr="00722358">
        <w:rPr>
          <w:rFonts w:ascii="Times New Roman" w:hAnsi="Times New Roman" w:cs="Times New Roman"/>
          <w:b w:val="0"/>
          <w:sz w:val="22"/>
          <w:lang w:val="hr-HR"/>
        </w:rPr>
        <w:t xml:space="preserve"> – Energetski certifikati gradskih objekata</w:t>
      </w:r>
    </w:p>
    <w:p w14:paraId="0146EE0D" w14:textId="0A30C8A8" w:rsidR="00DA61D7" w:rsidRPr="00DA61D7" w:rsidRDefault="006D7391" w:rsidP="00DA61D7">
      <w:pPr>
        <w:pStyle w:val="Podnaslov"/>
        <w:jc w:val="left"/>
        <w:rPr>
          <w:rFonts w:ascii="Times New Roman" w:eastAsiaTheme="minorHAnsi" w:hAnsi="Times New Roman"/>
          <w:sz w:val="22"/>
          <w:szCs w:val="22"/>
          <w:lang w:eastAsia="ar-SA"/>
        </w:rPr>
      </w:pPr>
      <w:r>
        <w:rPr>
          <w:rFonts w:ascii="Times New Roman" w:eastAsiaTheme="minorHAnsi" w:hAnsi="Times New Roman"/>
          <w:sz w:val="22"/>
          <w:szCs w:val="22"/>
          <w:lang w:eastAsia="ar-SA"/>
        </w:rPr>
        <w:t>U 2024. godini nije bilo ishođenih novih certifikata</w:t>
      </w:r>
    </w:p>
    <w:p w14:paraId="0E6F801F" w14:textId="77777777" w:rsidR="00722358" w:rsidRPr="00722358" w:rsidRDefault="00722358" w:rsidP="00E40FD3">
      <w:pPr>
        <w:pStyle w:val="Naslov"/>
        <w:tabs>
          <w:tab w:val="left" w:pos="0"/>
        </w:tabs>
        <w:jc w:val="both"/>
        <w:rPr>
          <w:rFonts w:ascii="Times New Roman" w:hAnsi="Times New Roman" w:cs="Times New Roman"/>
          <w:b w:val="0"/>
          <w:sz w:val="22"/>
          <w:lang w:val="hr-HR"/>
        </w:rPr>
      </w:pPr>
      <w:r w:rsidRPr="00722358">
        <w:rPr>
          <w:rFonts w:ascii="Times New Roman" w:hAnsi="Times New Roman" w:cs="Times New Roman"/>
          <w:b w:val="0"/>
          <w:i/>
          <w:sz w:val="22"/>
          <w:lang w:val="hr-HR"/>
        </w:rPr>
        <w:t xml:space="preserve">          Aktivnost A100405 – </w:t>
      </w:r>
      <w:r w:rsidRPr="00722358">
        <w:rPr>
          <w:rFonts w:ascii="Times New Roman" w:hAnsi="Times New Roman" w:cs="Times New Roman"/>
          <w:b w:val="0"/>
          <w:sz w:val="22"/>
          <w:lang w:val="hr-HR"/>
        </w:rPr>
        <w:t>Sanacija divljih odlagališta i zapuštenih okućnica.</w:t>
      </w:r>
    </w:p>
    <w:p w14:paraId="30CFEC1F" w14:textId="295C1A55" w:rsidR="00722358" w:rsidRPr="00E97AD9" w:rsidRDefault="006D7391" w:rsidP="00E27A6F">
      <w:pPr>
        <w:pStyle w:val="Naslov"/>
        <w:widowControl/>
        <w:tabs>
          <w:tab w:val="clear" w:pos="-720"/>
        </w:tabs>
        <w:suppressAutoHyphens w:val="0"/>
        <w:spacing w:after="120"/>
        <w:jc w:val="both"/>
        <w:rPr>
          <w:rFonts w:ascii="Times New Roman" w:hAnsi="Times New Roman" w:cs="Times New Roman"/>
          <w:b w:val="0"/>
          <w:iCs/>
          <w:sz w:val="22"/>
          <w:lang w:val="hr-HR"/>
        </w:rPr>
      </w:pPr>
      <w:r>
        <w:rPr>
          <w:rFonts w:ascii="Times New Roman" w:hAnsi="Times New Roman" w:cs="Times New Roman"/>
          <w:b w:val="0"/>
          <w:iCs/>
          <w:sz w:val="22"/>
          <w:lang w:val="hr-HR"/>
        </w:rPr>
        <w:t>Sanirano je 5 lokacija u vlasništvu Grada koje su nasljeđivanjem pokojnih osoba koje nisu imale nasljednika pripale gradu a iste su bile neuređene i u ruševnom stanju.</w:t>
      </w:r>
    </w:p>
    <w:p w14:paraId="33A220F4" w14:textId="77777777" w:rsidR="00722358" w:rsidRDefault="00722358" w:rsidP="00E40FD3">
      <w:pPr>
        <w:pStyle w:val="Naslov"/>
        <w:tabs>
          <w:tab w:val="left" w:pos="0"/>
        </w:tabs>
        <w:ind w:left="567"/>
        <w:jc w:val="both"/>
        <w:rPr>
          <w:rFonts w:ascii="Times New Roman" w:hAnsi="Times New Roman" w:cs="Times New Roman"/>
          <w:b w:val="0"/>
          <w:sz w:val="22"/>
          <w:lang w:val="hr-HR"/>
        </w:rPr>
      </w:pPr>
      <w:r w:rsidRPr="00722358">
        <w:rPr>
          <w:rFonts w:ascii="Times New Roman" w:hAnsi="Times New Roman" w:cs="Times New Roman"/>
          <w:b w:val="0"/>
          <w:i/>
          <w:sz w:val="22"/>
          <w:lang w:val="hr-HR"/>
        </w:rPr>
        <w:t xml:space="preserve">Aktivnost A100406 – </w:t>
      </w:r>
      <w:r w:rsidRPr="00722358">
        <w:rPr>
          <w:rFonts w:ascii="Times New Roman" w:hAnsi="Times New Roman" w:cs="Times New Roman"/>
          <w:b w:val="0"/>
          <w:sz w:val="22"/>
          <w:lang w:val="hr-HR"/>
        </w:rPr>
        <w:t>Deratizacija i dezinsekcija javnih površina i napuštenih okućnica</w:t>
      </w:r>
    </w:p>
    <w:p w14:paraId="1CE04AAF" w14:textId="4F7A4D9E" w:rsidR="00E27A6F" w:rsidRDefault="00E27A6F" w:rsidP="00E27A6F">
      <w:pPr>
        <w:pStyle w:val="Podnaslov"/>
        <w:jc w:val="left"/>
        <w:rPr>
          <w:rFonts w:ascii="Times New Roman" w:eastAsiaTheme="minorHAnsi" w:hAnsi="Times New Roman"/>
          <w:iCs/>
          <w:sz w:val="22"/>
          <w:szCs w:val="22"/>
          <w:lang w:eastAsia="ar-SA"/>
        </w:rPr>
      </w:pPr>
      <w:r>
        <w:rPr>
          <w:rFonts w:ascii="Times New Roman" w:eastAsiaTheme="minorHAnsi" w:hAnsi="Times New Roman"/>
          <w:iCs/>
          <w:sz w:val="22"/>
          <w:szCs w:val="22"/>
          <w:lang w:eastAsia="ar-SA"/>
        </w:rPr>
        <w:t>Izvršena je sustavna deratizacija na području Grada Garešnice.</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07"/>
        <w:gridCol w:w="2996"/>
        <w:gridCol w:w="962"/>
        <w:gridCol w:w="1122"/>
        <w:gridCol w:w="1105"/>
        <w:gridCol w:w="968"/>
      </w:tblGrid>
      <w:tr w:rsidR="006D7391" w:rsidRPr="00F64569" w14:paraId="5684FC02" w14:textId="77777777" w:rsidTr="00E347ED">
        <w:trPr>
          <w:trHeight w:val="633"/>
          <w:jc w:val="center"/>
        </w:trPr>
        <w:tc>
          <w:tcPr>
            <w:tcW w:w="1052" w:type="pct"/>
            <w:shd w:val="clear" w:color="auto" w:fill="BFBFBF"/>
          </w:tcPr>
          <w:p w14:paraId="4269FEF8" w14:textId="77777777" w:rsidR="006D7391" w:rsidRPr="00F64569" w:rsidRDefault="006D7391" w:rsidP="00E347ED">
            <w:pPr>
              <w:widowControl w:val="0"/>
              <w:autoSpaceDE w:val="0"/>
              <w:autoSpaceDN w:val="0"/>
              <w:spacing w:before="104" w:after="0" w:line="240" w:lineRule="auto"/>
              <w:ind w:left="136" w:right="110" w:firstLine="59"/>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Pokazatelj</w:t>
            </w:r>
            <w:r w:rsidRPr="00F64569">
              <w:rPr>
                <w:rFonts w:ascii="Times New Roman" w:eastAsia="Arial MT" w:hAnsi="Times New Roman" w:cs="Times New Roman"/>
                <w:b/>
                <w:spacing w:val="1"/>
                <w:sz w:val="20"/>
                <w:szCs w:val="20"/>
              </w:rPr>
              <w:t xml:space="preserve"> </w:t>
            </w:r>
            <w:r>
              <w:rPr>
                <w:rFonts w:ascii="Times New Roman" w:eastAsia="Arial MT" w:hAnsi="Times New Roman" w:cs="Times New Roman"/>
                <w:b/>
                <w:sz w:val="20"/>
                <w:szCs w:val="20"/>
              </w:rPr>
              <w:t>rezultata</w:t>
            </w:r>
          </w:p>
        </w:tc>
        <w:tc>
          <w:tcPr>
            <w:tcW w:w="1653" w:type="pct"/>
            <w:shd w:val="clear" w:color="auto" w:fill="BFBFBF"/>
          </w:tcPr>
          <w:p w14:paraId="77674E47" w14:textId="77777777" w:rsidR="006D7391" w:rsidRPr="00F64569" w:rsidRDefault="006D7391" w:rsidP="00E347ED">
            <w:pPr>
              <w:widowControl w:val="0"/>
              <w:autoSpaceDE w:val="0"/>
              <w:autoSpaceDN w:val="0"/>
              <w:spacing w:after="0" w:line="240" w:lineRule="auto"/>
              <w:jc w:val="both"/>
              <w:rPr>
                <w:rFonts w:ascii="Times New Roman" w:eastAsia="Arial MT" w:hAnsi="Times New Roman" w:cs="Times New Roman"/>
                <w:b/>
                <w:sz w:val="20"/>
                <w:szCs w:val="20"/>
              </w:rPr>
            </w:pPr>
          </w:p>
          <w:p w14:paraId="5132DFFF" w14:textId="77777777" w:rsidR="006D7391" w:rsidRPr="00F64569" w:rsidRDefault="006D7391" w:rsidP="00E347ED">
            <w:pPr>
              <w:widowControl w:val="0"/>
              <w:autoSpaceDE w:val="0"/>
              <w:autoSpaceDN w:val="0"/>
              <w:spacing w:before="1" w:after="0" w:line="240" w:lineRule="auto"/>
              <w:ind w:left="1136" w:right="832"/>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Definicija</w:t>
            </w:r>
          </w:p>
        </w:tc>
        <w:tc>
          <w:tcPr>
            <w:tcW w:w="531" w:type="pct"/>
            <w:shd w:val="clear" w:color="auto" w:fill="BFBFBF"/>
          </w:tcPr>
          <w:p w14:paraId="27C80A30" w14:textId="77777777" w:rsidR="006D7391" w:rsidRPr="00F64569" w:rsidRDefault="006D7391" w:rsidP="00E347ED">
            <w:pPr>
              <w:widowControl w:val="0"/>
              <w:autoSpaceDE w:val="0"/>
              <w:autoSpaceDN w:val="0"/>
              <w:spacing w:after="0" w:line="240" w:lineRule="auto"/>
              <w:jc w:val="both"/>
              <w:rPr>
                <w:rFonts w:ascii="Times New Roman" w:eastAsia="Arial MT" w:hAnsi="Times New Roman" w:cs="Times New Roman"/>
                <w:b/>
                <w:sz w:val="20"/>
                <w:szCs w:val="20"/>
              </w:rPr>
            </w:pPr>
          </w:p>
          <w:p w14:paraId="403B9107" w14:textId="77777777" w:rsidR="006D7391" w:rsidRPr="00F64569" w:rsidRDefault="006D7391" w:rsidP="00E347ED">
            <w:pPr>
              <w:widowControl w:val="0"/>
              <w:autoSpaceDE w:val="0"/>
              <w:autoSpaceDN w:val="0"/>
              <w:spacing w:before="1" w:after="0" w:line="240" w:lineRule="auto"/>
              <w:ind w:left="112" w:right="105"/>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Jedinica</w:t>
            </w:r>
          </w:p>
        </w:tc>
        <w:tc>
          <w:tcPr>
            <w:tcW w:w="619" w:type="pct"/>
            <w:shd w:val="clear" w:color="auto" w:fill="BFBFBF"/>
          </w:tcPr>
          <w:p w14:paraId="48379F38" w14:textId="77777777" w:rsidR="006D7391" w:rsidRPr="00F64569" w:rsidRDefault="006D7391" w:rsidP="00E347ED">
            <w:pPr>
              <w:widowControl w:val="0"/>
              <w:autoSpaceDE w:val="0"/>
              <w:autoSpaceDN w:val="0"/>
              <w:spacing w:after="0" w:line="206" w:lineRule="exact"/>
              <w:ind w:left="122" w:right="121"/>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Ciljana</w:t>
            </w:r>
          </w:p>
          <w:p w14:paraId="18E413D8" w14:textId="77777777" w:rsidR="006D7391" w:rsidRPr="00F64569" w:rsidRDefault="006D7391" w:rsidP="00E347ED">
            <w:pPr>
              <w:widowControl w:val="0"/>
              <w:autoSpaceDE w:val="0"/>
              <w:autoSpaceDN w:val="0"/>
              <w:spacing w:after="0" w:line="206" w:lineRule="exact"/>
              <w:ind w:left="124" w:right="121"/>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vrijednost</w:t>
            </w:r>
            <w:r w:rsidRPr="00F64569">
              <w:rPr>
                <w:rFonts w:ascii="Times New Roman" w:eastAsia="Arial MT" w:hAnsi="Times New Roman" w:cs="Times New Roman"/>
                <w:b/>
                <w:spacing w:val="-47"/>
                <w:sz w:val="20"/>
                <w:szCs w:val="20"/>
              </w:rPr>
              <w:t xml:space="preserve">   </w:t>
            </w:r>
            <w:r w:rsidRPr="00F64569">
              <w:rPr>
                <w:rFonts w:ascii="Times New Roman" w:eastAsia="Arial MT" w:hAnsi="Times New Roman" w:cs="Times New Roman"/>
                <w:b/>
                <w:sz w:val="20"/>
                <w:szCs w:val="20"/>
              </w:rPr>
              <w:t>2024.</w:t>
            </w:r>
          </w:p>
        </w:tc>
        <w:tc>
          <w:tcPr>
            <w:tcW w:w="610" w:type="pct"/>
            <w:shd w:val="clear" w:color="auto" w:fill="BFBFBF"/>
          </w:tcPr>
          <w:p w14:paraId="00D9F98C" w14:textId="77777777" w:rsidR="006D7391" w:rsidRPr="00F64569" w:rsidRDefault="006D7391" w:rsidP="00E347ED">
            <w:pPr>
              <w:widowControl w:val="0"/>
              <w:autoSpaceDE w:val="0"/>
              <w:autoSpaceDN w:val="0"/>
              <w:spacing w:after="0" w:line="205" w:lineRule="exact"/>
              <w:ind w:left="89"/>
              <w:jc w:val="both"/>
              <w:rPr>
                <w:rFonts w:ascii="Times New Roman" w:eastAsia="Arial MT" w:hAnsi="Times New Roman" w:cs="Times New Roman"/>
                <w:b/>
                <w:sz w:val="20"/>
                <w:szCs w:val="20"/>
              </w:rPr>
            </w:pPr>
            <w:r>
              <w:rPr>
                <w:rFonts w:ascii="Times New Roman" w:eastAsia="Arial MT" w:hAnsi="Times New Roman" w:cs="Times New Roman"/>
                <w:b/>
                <w:sz w:val="20"/>
                <w:szCs w:val="20"/>
              </w:rPr>
              <w:t>Izvršenje</w:t>
            </w:r>
          </w:p>
        </w:tc>
        <w:tc>
          <w:tcPr>
            <w:tcW w:w="534" w:type="pct"/>
            <w:shd w:val="clear" w:color="auto" w:fill="BFBFBF"/>
          </w:tcPr>
          <w:p w14:paraId="45472C8D" w14:textId="77777777" w:rsidR="006D7391" w:rsidRPr="00F64569" w:rsidRDefault="006D7391" w:rsidP="00E347ED">
            <w:pPr>
              <w:widowControl w:val="0"/>
              <w:autoSpaceDE w:val="0"/>
              <w:autoSpaceDN w:val="0"/>
              <w:spacing w:after="0" w:line="240" w:lineRule="auto"/>
              <w:ind w:left="130" w:right="115" w:firstLine="134"/>
              <w:jc w:val="both"/>
              <w:rPr>
                <w:rFonts w:ascii="Times New Roman" w:eastAsia="Arial MT" w:hAnsi="Times New Roman" w:cs="Times New Roman"/>
                <w:b/>
                <w:sz w:val="20"/>
                <w:szCs w:val="20"/>
              </w:rPr>
            </w:pPr>
            <w:r>
              <w:rPr>
                <w:rFonts w:ascii="Times New Roman" w:eastAsia="Arial MT" w:hAnsi="Times New Roman" w:cs="Times New Roman"/>
                <w:b/>
                <w:sz w:val="20"/>
                <w:szCs w:val="20"/>
              </w:rPr>
              <w:t>Indeks</w:t>
            </w:r>
          </w:p>
        </w:tc>
      </w:tr>
      <w:tr w:rsidR="006D7391" w:rsidRPr="00F64569" w14:paraId="7C87CE46" w14:textId="77777777" w:rsidTr="00E347ED">
        <w:trPr>
          <w:trHeight w:val="620"/>
          <w:jc w:val="center"/>
        </w:trPr>
        <w:tc>
          <w:tcPr>
            <w:tcW w:w="1052" w:type="pct"/>
            <w:shd w:val="clear" w:color="auto" w:fill="auto"/>
          </w:tcPr>
          <w:p w14:paraId="46C4B56A" w14:textId="48CADA3A" w:rsidR="006D7391" w:rsidRPr="00F64569" w:rsidRDefault="006D7391" w:rsidP="00E347ED">
            <w:pPr>
              <w:widowControl w:val="0"/>
              <w:autoSpaceDE w:val="0"/>
              <w:autoSpaceDN w:val="0"/>
              <w:spacing w:before="1" w:after="0" w:line="240" w:lineRule="auto"/>
              <w:ind w:right="109"/>
              <w:jc w:val="center"/>
              <w:rPr>
                <w:rFonts w:ascii="Times New Roman" w:eastAsia="Arial MT" w:hAnsi="Times New Roman" w:cs="Times New Roman"/>
              </w:rPr>
            </w:pPr>
            <w:r>
              <w:rPr>
                <w:rFonts w:ascii="Times New Roman" w:eastAsia="Arial MT" w:hAnsi="Times New Roman" w:cs="Times New Roman"/>
              </w:rPr>
              <w:t>Godišnji broj sustavnih deratizacija i dezinsekcija</w:t>
            </w:r>
          </w:p>
        </w:tc>
        <w:tc>
          <w:tcPr>
            <w:tcW w:w="1653" w:type="pct"/>
            <w:shd w:val="clear" w:color="auto" w:fill="auto"/>
          </w:tcPr>
          <w:p w14:paraId="03707170" w14:textId="113E8973" w:rsidR="006D7391" w:rsidRPr="00F64569" w:rsidRDefault="006D7391" w:rsidP="00E347ED">
            <w:pPr>
              <w:widowControl w:val="0"/>
              <w:autoSpaceDE w:val="0"/>
              <w:autoSpaceDN w:val="0"/>
              <w:spacing w:after="0" w:line="187" w:lineRule="exact"/>
              <w:ind w:left="105"/>
              <w:jc w:val="center"/>
              <w:rPr>
                <w:rFonts w:ascii="Times New Roman" w:eastAsia="Arial MT" w:hAnsi="Times New Roman" w:cs="Times New Roman"/>
              </w:rPr>
            </w:pPr>
            <w:r>
              <w:rPr>
                <w:rFonts w:ascii="Times New Roman" w:eastAsia="Arial MT" w:hAnsi="Times New Roman" w:cs="Times New Roman"/>
              </w:rPr>
              <w:t>Sustavna deratizacija i dezinsekcija kako bi se smanjio broj štetnih glodavaca(štakora, miševa i sličnih glodavaca) i uništavanje kukaca kao što su npr. Komarci</w:t>
            </w:r>
          </w:p>
        </w:tc>
        <w:tc>
          <w:tcPr>
            <w:tcW w:w="531" w:type="pct"/>
            <w:shd w:val="clear" w:color="auto" w:fill="auto"/>
          </w:tcPr>
          <w:p w14:paraId="0BBC8592" w14:textId="77777777" w:rsidR="006D7391" w:rsidRPr="00F64569" w:rsidRDefault="006D7391" w:rsidP="00E347ED">
            <w:pPr>
              <w:widowControl w:val="0"/>
              <w:autoSpaceDE w:val="0"/>
              <w:autoSpaceDN w:val="0"/>
              <w:spacing w:before="1" w:after="0" w:line="240" w:lineRule="auto"/>
              <w:ind w:right="137"/>
              <w:jc w:val="center"/>
              <w:rPr>
                <w:rFonts w:ascii="Times New Roman" w:eastAsia="Arial MT" w:hAnsi="Times New Roman" w:cs="Times New Roman"/>
              </w:rPr>
            </w:pPr>
            <w:r>
              <w:rPr>
                <w:rFonts w:ascii="Times New Roman" w:eastAsia="Arial MT" w:hAnsi="Times New Roman" w:cs="Times New Roman"/>
              </w:rPr>
              <w:t>Komad</w:t>
            </w:r>
          </w:p>
        </w:tc>
        <w:tc>
          <w:tcPr>
            <w:tcW w:w="619" w:type="pct"/>
            <w:shd w:val="clear" w:color="auto" w:fill="auto"/>
          </w:tcPr>
          <w:p w14:paraId="5A5CE823" w14:textId="552D1693" w:rsidR="006D7391" w:rsidRPr="00F64569" w:rsidRDefault="006D7391" w:rsidP="00E347ED">
            <w:pPr>
              <w:widowControl w:val="0"/>
              <w:autoSpaceDE w:val="0"/>
              <w:autoSpaceDN w:val="0"/>
              <w:spacing w:after="0" w:line="240" w:lineRule="auto"/>
              <w:ind w:right="121"/>
              <w:jc w:val="center"/>
              <w:rPr>
                <w:rFonts w:ascii="Times New Roman" w:eastAsia="Arial MT" w:hAnsi="Times New Roman" w:cs="Times New Roman"/>
              </w:rPr>
            </w:pPr>
            <w:r>
              <w:rPr>
                <w:rFonts w:ascii="Times New Roman" w:eastAsia="Arial MT" w:hAnsi="Times New Roman" w:cs="Times New Roman"/>
              </w:rPr>
              <w:t>2</w:t>
            </w:r>
          </w:p>
        </w:tc>
        <w:tc>
          <w:tcPr>
            <w:tcW w:w="610" w:type="pct"/>
            <w:shd w:val="clear" w:color="auto" w:fill="auto"/>
          </w:tcPr>
          <w:p w14:paraId="39426619" w14:textId="389B15E2" w:rsidR="006D7391" w:rsidRPr="00F64569" w:rsidRDefault="006D7391" w:rsidP="00E347ED">
            <w:pPr>
              <w:widowControl w:val="0"/>
              <w:autoSpaceDE w:val="0"/>
              <w:autoSpaceDN w:val="0"/>
              <w:spacing w:after="0" w:line="240" w:lineRule="auto"/>
              <w:ind w:right="460"/>
              <w:jc w:val="center"/>
              <w:rPr>
                <w:rFonts w:ascii="Times New Roman" w:eastAsia="Arial MT" w:hAnsi="Times New Roman" w:cs="Times New Roman"/>
              </w:rPr>
            </w:pPr>
            <w:r>
              <w:rPr>
                <w:rFonts w:ascii="Times New Roman" w:eastAsia="Arial MT" w:hAnsi="Times New Roman" w:cs="Times New Roman"/>
              </w:rPr>
              <w:t>2</w:t>
            </w:r>
          </w:p>
        </w:tc>
        <w:tc>
          <w:tcPr>
            <w:tcW w:w="534" w:type="pct"/>
          </w:tcPr>
          <w:p w14:paraId="4353AFB0" w14:textId="77777777" w:rsidR="006D7391" w:rsidRPr="00F64569" w:rsidRDefault="006D7391" w:rsidP="00E347ED">
            <w:pPr>
              <w:widowControl w:val="0"/>
              <w:autoSpaceDE w:val="0"/>
              <w:autoSpaceDN w:val="0"/>
              <w:spacing w:after="0" w:line="240" w:lineRule="auto"/>
              <w:jc w:val="center"/>
              <w:rPr>
                <w:rFonts w:ascii="Times New Roman" w:eastAsia="Arial MT" w:hAnsi="Times New Roman" w:cs="Times New Roman"/>
              </w:rPr>
            </w:pPr>
            <w:r>
              <w:rPr>
                <w:rFonts w:ascii="Times New Roman" w:eastAsia="Arial MT" w:hAnsi="Times New Roman" w:cs="Times New Roman"/>
              </w:rPr>
              <w:t>100,00</w:t>
            </w:r>
          </w:p>
        </w:tc>
      </w:tr>
    </w:tbl>
    <w:p w14:paraId="5A8F317A" w14:textId="77777777" w:rsidR="006D7391" w:rsidRPr="006D7391" w:rsidRDefault="006D7391" w:rsidP="006D7391">
      <w:pPr>
        <w:rPr>
          <w:lang w:eastAsia="ar-SA"/>
        </w:rPr>
      </w:pPr>
    </w:p>
    <w:p w14:paraId="64886925" w14:textId="77777777" w:rsidR="00722358" w:rsidRPr="00722358" w:rsidRDefault="00722358" w:rsidP="00E40FD3">
      <w:pPr>
        <w:pStyle w:val="Naslov"/>
        <w:tabs>
          <w:tab w:val="left" w:pos="0"/>
        </w:tabs>
        <w:ind w:left="567"/>
        <w:jc w:val="both"/>
        <w:rPr>
          <w:rFonts w:ascii="Times New Roman" w:hAnsi="Times New Roman" w:cs="Times New Roman"/>
          <w:b w:val="0"/>
          <w:sz w:val="22"/>
          <w:lang w:val="hr-HR"/>
        </w:rPr>
      </w:pPr>
      <w:r w:rsidRPr="00722358">
        <w:rPr>
          <w:rFonts w:ascii="Times New Roman" w:hAnsi="Times New Roman" w:cs="Times New Roman"/>
          <w:b w:val="0"/>
          <w:i/>
          <w:sz w:val="22"/>
          <w:lang w:val="hr-HR"/>
        </w:rPr>
        <w:t xml:space="preserve">Aktivnost A100407 – </w:t>
      </w:r>
      <w:r w:rsidRPr="00722358">
        <w:rPr>
          <w:rFonts w:ascii="Times New Roman" w:hAnsi="Times New Roman" w:cs="Times New Roman"/>
          <w:b w:val="0"/>
          <w:sz w:val="22"/>
          <w:lang w:val="hr-HR"/>
        </w:rPr>
        <w:t xml:space="preserve">Ekološka renta Općini Velika </w:t>
      </w:r>
      <w:proofErr w:type="spellStart"/>
      <w:r w:rsidRPr="00722358">
        <w:rPr>
          <w:rFonts w:ascii="Times New Roman" w:hAnsi="Times New Roman" w:cs="Times New Roman"/>
          <w:b w:val="0"/>
          <w:sz w:val="22"/>
          <w:lang w:val="hr-HR"/>
        </w:rPr>
        <w:t>Trnovitica</w:t>
      </w:r>
      <w:proofErr w:type="spellEnd"/>
    </w:p>
    <w:p w14:paraId="36A39062" w14:textId="30384B2E" w:rsidR="00722358" w:rsidRDefault="00E27A6F" w:rsidP="00E27A6F">
      <w:pPr>
        <w:pStyle w:val="Naslov"/>
        <w:widowControl/>
        <w:tabs>
          <w:tab w:val="clear" w:pos="-720"/>
          <w:tab w:val="left" w:pos="0"/>
        </w:tabs>
        <w:suppressAutoHyphens w:val="0"/>
        <w:spacing w:after="120"/>
        <w:jc w:val="both"/>
        <w:rPr>
          <w:rFonts w:ascii="Times New Roman" w:hAnsi="Times New Roman" w:cs="Times New Roman"/>
          <w:b w:val="0"/>
          <w:sz w:val="22"/>
          <w:lang w:val="hr-HR"/>
        </w:rPr>
      </w:pPr>
      <w:r>
        <w:rPr>
          <w:rFonts w:ascii="Times New Roman" w:hAnsi="Times New Roman" w:cs="Times New Roman"/>
          <w:b w:val="0"/>
          <w:iCs/>
          <w:sz w:val="22"/>
          <w:lang w:val="hr-HR"/>
        </w:rPr>
        <w:t>Izvršenje aktivnosti predstavlja n</w:t>
      </w:r>
      <w:r w:rsidR="00722358" w:rsidRPr="00722358">
        <w:rPr>
          <w:rFonts w:ascii="Times New Roman" w:hAnsi="Times New Roman" w:cs="Times New Roman"/>
          <w:b w:val="0"/>
          <w:sz w:val="22"/>
          <w:lang w:val="hr-HR"/>
        </w:rPr>
        <w:t>aknad</w:t>
      </w:r>
      <w:r>
        <w:rPr>
          <w:rFonts w:ascii="Times New Roman" w:hAnsi="Times New Roman" w:cs="Times New Roman"/>
          <w:b w:val="0"/>
          <w:sz w:val="22"/>
          <w:lang w:val="hr-HR"/>
        </w:rPr>
        <w:t>u</w:t>
      </w:r>
      <w:r w:rsidR="00722358" w:rsidRPr="00722358">
        <w:rPr>
          <w:rFonts w:ascii="Times New Roman" w:hAnsi="Times New Roman" w:cs="Times New Roman"/>
          <w:b w:val="0"/>
          <w:sz w:val="22"/>
          <w:lang w:val="hr-HR"/>
        </w:rPr>
        <w:t xml:space="preserve"> šteta temeljem Ugovora sa Općinom Velika </w:t>
      </w:r>
      <w:proofErr w:type="spellStart"/>
      <w:r w:rsidR="00722358" w:rsidRPr="00722358">
        <w:rPr>
          <w:rFonts w:ascii="Times New Roman" w:hAnsi="Times New Roman" w:cs="Times New Roman"/>
          <w:b w:val="0"/>
          <w:sz w:val="22"/>
          <w:lang w:val="hr-HR"/>
        </w:rPr>
        <w:t>Trnovitica</w:t>
      </w:r>
      <w:proofErr w:type="spellEnd"/>
      <w:r w:rsidR="00722358" w:rsidRPr="00722358">
        <w:rPr>
          <w:rFonts w:ascii="Times New Roman" w:hAnsi="Times New Roman" w:cs="Times New Roman"/>
          <w:b w:val="0"/>
          <w:sz w:val="22"/>
          <w:lang w:val="hr-HR"/>
        </w:rPr>
        <w:t xml:space="preserve"> iz razloga što se na njihovom području nalazi odlagalište otpada </w:t>
      </w:r>
      <w:proofErr w:type="spellStart"/>
      <w:r w:rsidR="00722358" w:rsidRPr="00722358">
        <w:rPr>
          <w:rFonts w:ascii="Times New Roman" w:hAnsi="Times New Roman" w:cs="Times New Roman"/>
          <w:b w:val="0"/>
          <w:sz w:val="22"/>
          <w:lang w:val="hr-HR"/>
        </w:rPr>
        <w:t>Johovača</w:t>
      </w:r>
      <w:proofErr w:type="spellEnd"/>
      <w:r>
        <w:rPr>
          <w:rFonts w:ascii="Times New Roman" w:hAnsi="Times New Roman" w:cs="Times New Roman"/>
          <w:b w:val="0"/>
          <w:sz w:val="22"/>
          <w:lang w:val="hr-HR"/>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07"/>
        <w:gridCol w:w="2996"/>
        <w:gridCol w:w="962"/>
        <w:gridCol w:w="1122"/>
        <w:gridCol w:w="1105"/>
        <w:gridCol w:w="968"/>
      </w:tblGrid>
      <w:tr w:rsidR="003D1AC6" w:rsidRPr="00F64569" w14:paraId="0BA61141" w14:textId="77777777" w:rsidTr="00E347ED">
        <w:trPr>
          <w:trHeight w:val="633"/>
          <w:jc w:val="center"/>
        </w:trPr>
        <w:tc>
          <w:tcPr>
            <w:tcW w:w="1052" w:type="pct"/>
            <w:shd w:val="clear" w:color="auto" w:fill="BFBFBF"/>
          </w:tcPr>
          <w:p w14:paraId="49F950AB" w14:textId="77777777" w:rsidR="003D1AC6" w:rsidRPr="00F64569" w:rsidRDefault="003D1AC6" w:rsidP="00E347ED">
            <w:pPr>
              <w:widowControl w:val="0"/>
              <w:autoSpaceDE w:val="0"/>
              <w:autoSpaceDN w:val="0"/>
              <w:spacing w:before="104" w:after="0" w:line="240" w:lineRule="auto"/>
              <w:ind w:left="136" w:right="110" w:firstLine="59"/>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Pokazatelj</w:t>
            </w:r>
            <w:r w:rsidRPr="00F64569">
              <w:rPr>
                <w:rFonts w:ascii="Times New Roman" w:eastAsia="Arial MT" w:hAnsi="Times New Roman" w:cs="Times New Roman"/>
                <w:b/>
                <w:spacing w:val="1"/>
                <w:sz w:val="20"/>
                <w:szCs w:val="20"/>
              </w:rPr>
              <w:t xml:space="preserve"> </w:t>
            </w:r>
            <w:r>
              <w:rPr>
                <w:rFonts w:ascii="Times New Roman" w:eastAsia="Arial MT" w:hAnsi="Times New Roman" w:cs="Times New Roman"/>
                <w:b/>
                <w:sz w:val="20"/>
                <w:szCs w:val="20"/>
              </w:rPr>
              <w:t>rezultata</w:t>
            </w:r>
          </w:p>
        </w:tc>
        <w:tc>
          <w:tcPr>
            <w:tcW w:w="1653" w:type="pct"/>
            <w:shd w:val="clear" w:color="auto" w:fill="BFBFBF"/>
          </w:tcPr>
          <w:p w14:paraId="7C98992B" w14:textId="77777777" w:rsidR="003D1AC6" w:rsidRPr="00F64569" w:rsidRDefault="003D1AC6" w:rsidP="00E347ED">
            <w:pPr>
              <w:widowControl w:val="0"/>
              <w:autoSpaceDE w:val="0"/>
              <w:autoSpaceDN w:val="0"/>
              <w:spacing w:after="0" w:line="240" w:lineRule="auto"/>
              <w:jc w:val="both"/>
              <w:rPr>
                <w:rFonts w:ascii="Times New Roman" w:eastAsia="Arial MT" w:hAnsi="Times New Roman" w:cs="Times New Roman"/>
                <w:b/>
                <w:sz w:val="20"/>
                <w:szCs w:val="20"/>
              </w:rPr>
            </w:pPr>
          </w:p>
          <w:p w14:paraId="0538F9CA" w14:textId="77777777" w:rsidR="003D1AC6" w:rsidRPr="00F64569" w:rsidRDefault="003D1AC6" w:rsidP="00E347ED">
            <w:pPr>
              <w:widowControl w:val="0"/>
              <w:autoSpaceDE w:val="0"/>
              <w:autoSpaceDN w:val="0"/>
              <w:spacing w:before="1" w:after="0" w:line="240" w:lineRule="auto"/>
              <w:ind w:left="1136" w:right="832"/>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Definicija</w:t>
            </w:r>
          </w:p>
        </w:tc>
        <w:tc>
          <w:tcPr>
            <w:tcW w:w="531" w:type="pct"/>
            <w:shd w:val="clear" w:color="auto" w:fill="BFBFBF"/>
          </w:tcPr>
          <w:p w14:paraId="75D374E6" w14:textId="77777777" w:rsidR="003D1AC6" w:rsidRPr="00F64569" w:rsidRDefault="003D1AC6" w:rsidP="00E347ED">
            <w:pPr>
              <w:widowControl w:val="0"/>
              <w:autoSpaceDE w:val="0"/>
              <w:autoSpaceDN w:val="0"/>
              <w:spacing w:after="0" w:line="240" w:lineRule="auto"/>
              <w:jc w:val="both"/>
              <w:rPr>
                <w:rFonts w:ascii="Times New Roman" w:eastAsia="Arial MT" w:hAnsi="Times New Roman" w:cs="Times New Roman"/>
                <w:b/>
                <w:sz w:val="20"/>
                <w:szCs w:val="20"/>
              </w:rPr>
            </w:pPr>
          </w:p>
          <w:p w14:paraId="4C389670" w14:textId="77777777" w:rsidR="003D1AC6" w:rsidRPr="00F64569" w:rsidRDefault="003D1AC6" w:rsidP="00E347ED">
            <w:pPr>
              <w:widowControl w:val="0"/>
              <w:autoSpaceDE w:val="0"/>
              <w:autoSpaceDN w:val="0"/>
              <w:spacing w:before="1" w:after="0" w:line="240" w:lineRule="auto"/>
              <w:ind w:left="112" w:right="105"/>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Jedinica</w:t>
            </w:r>
          </w:p>
        </w:tc>
        <w:tc>
          <w:tcPr>
            <w:tcW w:w="619" w:type="pct"/>
            <w:shd w:val="clear" w:color="auto" w:fill="BFBFBF"/>
          </w:tcPr>
          <w:p w14:paraId="31F01C55" w14:textId="77777777" w:rsidR="003D1AC6" w:rsidRPr="00F64569" w:rsidRDefault="003D1AC6" w:rsidP="00E347ED">
            <w:pPr>
              <w:widowControl w:val="0"/>
              <w:autoSpaceDE w:val="0"/>
              <w:autoSpaceDN w:val="0"/>
              <w:spacing w:after="0" w:line="206" w:lineRule="exact"/>
              <w:ind w:left="122" w:right="121"/>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Ciljana</w:t>
            </w:r>
          </w:p>
          <w:p w14:paraId="637BB3F5" w14:textId="77777777" w:rsidR="003D1AC6" w:rsidRPr="00F64569" w:rsidRDefault="003D1AC6" w:rsidP="00E347ED">
            <w:pPr>
              <w:widowControl w:val="0"/>
              <w:autoSpaceDE w:val="0"/>
              <w:autoSpaceDN w:val="0"/>
              <w:spacing w:after="0" w:line="206" w:lineRule="exact"/>
              <w:ind w:left="124" w:right="121"/>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vrijednost</w:t>
            </w:r>
            <w:r w:rsidRPr="00F64569">
              <w:rPr>
                <w:rFonts w:ascii="Times New Roman" w:eastAsia="Arial MT" w:hAnsi="Times New Roman" w:cs="Times New Roman"/>
                <w:b/>
                <w:spacing w:val="-47"/>
                <w:sz w:val="20"/>
                <w:szCs w:val="20"/>
              </w:rPr>
              <w:t xml:space="preserve">   </w:t>
            </w:r>
            <w:r w:rsidRPr="00F64569">
              <w:rPr>
                <w:rFonts w:ascii="Times New Roman" w:eastAsia="Arial MT" w:hAnsi="Times New Roman" w:cs="Times New Roman"/>
                <w:b/>
                <w:sz w:val="20"/>
                <w:szCs w:val="20"/>
              </w:rPr>
              <w:t>2024.</w:t>
            </w:r>
          </w:p>
        </w:tc>
        <w:tc>
          <w:tcPr>
            <w:tcW w:w="610" w:type="pct"/>
            <w:shd w:val="clear" w:color="auto" w:fill="BFBFBF"/>
          </w:tcPr>
          <w:p w14:paraId="1BB397FF" w14:textId="77777777" w:rsidR="003D1AC6" w:rsidRPr="00F64569" w:rsidRDefault="003D1AC6" w:rsidP="00E347ED">
            <w:pPr>
              <w:widowControl w:val="0"/>
              <w:autoSpaceDE w:val="0"/>
              <w:autoSpaceDN w:val="0"/>
              <w:spacing w:after="0" w:line="205" w:lineRule="exact"/>
              <w:ind w:left="89"/>
              <w:jc w:val="both"/>
              <w:rPr>
                <w:rFonts w:ascii="Times New Roman" w:eastAsia="Arial MT" w:hAnsi="Times New Roman" w:cs="Times New Roman"/>
                <w:b/>
                <w:sz w:val="20"/>
                <w:szCs w:val="20"/>
              </w:rPr>
            </w:pPr>
            <w:r>
              <w:rPr>
                <w:rFonts w:ascii="Times New Roman" w:eastAsia="Arial MT" w:hAnsi="Times New Roman" w:cs="Times New Roman"/>
                <w:b/>
                <w:sz w:val="20"/>
                <w:szCs w:val="20"/>
              </w:rPr>
              <w:t>Izvršenje</w:t>
            </w:r>
          </w:p>
        </w:tc>
        <w:tc>
          <w:tcPr>
            <w:tcW w:w="534" w:type="pct"/>
            <w:shd w:val="clear" w:color="auto" w:fill="BFBFBF"/>
          </w:tcPr>
          <w:p w14:paraId="53DACAE2" w14:textId="77777777" w:rsidR="003D1AC6" w:rsidRPr="00F64569" w:rsidRDefault="003D1AC6" w:rsidP="00E347ED">
            <w:pPr>
              <w:widowControl w:val="0"/>
              <w:autoSpaceDE w:val="0"/>
              <w:autoSpaceDN w:val="0"/>
              <w:spacing w:after="0" w:line="240" w:lineRule="auto"/>
              <w:ind w:left="130" w:right="115" w:firstLine="134"/>
              <w:jc w:val="both"/>
              <w:rPr>
                <w:rFonts w:ascii="Times New Roman" w:eastAsia="Arial MT" w:hAnsi="Times New Roman" w:cs="Times New Roman"/>
                <w:b/>
                <w:sz w:val="20"/>
                <w:szCs w:val="20"/>
              </w:rPr>
            </w:pPr>
            <w:r>
              <w:rPr>
                <w:rFonts w:ascii="Times New Roman" w:eastAsia="Arial MT" w:hAnsi="Times New Roman" w:cs="Times New Roman"/>
                <w:b/>
                <w:sz w:val="20"/>
                <w:szCs w:val="20"/>
              </w:rPr>
              <w:t>Indeks</w:t>
            </w:r>
          </w:p>
        </w:tc>
      </w:tr>
      <w:tr w:rsidR="003D1AC6" w:rsidRPr="00F64569" w14:paraId="25982977" w14:textId="77777777" w:rsidTr="00E347ED">
        <w:trPr>
          <w:trHeight w:val="620"/>
          <w:jc w:val="center"/>
        </w:trPr>
        <w:tc>
          <w:tcPr>
            <w:tcW w:w="1052" w:type="pct"/>
            <w:shd w:val="clear" w:color="auto" w:fill="auto"/>
          </w:tcPr>
          <w:p w14:paraId="7CF09339" w14:textId="0E0F4382" w:rsidR="003D1AC6" w:rsidRPr="00F64569" w:rsidRDefault="003D1AC6" w:rsidP="00E347ED">
            <w:pPr>
              <w:widowControl w:val="0"/>
              <w:autoSpaceDE w:val="0"/>
              <w:autoSpaceDN w:val="0"/>
              <w:spacing w:before="1" w:after="0" w:line="240" w:lineRule="auto"/>
              <w:ind w:right="109"/>
              <w:jc w:val="center"/>
              <w:rPr>
                <w:rFonts w:ascii="Times New Roman" w:eastAsia="Arial MT" w:hAnsi="Times New Roman" w:cs="Times New Roman"/>
              </w:rPr>
            </w:pPr>
            <w:r>
              <w:rPr>
                <w:rFonts w:ascii="Times New Roman" w:eastAsia="Arial MT" w:hAnsi="Times New Roman" w:cs="Times New Roman"/>
              </w:rPr>
              <w:t xml:space="preserve">Ukupan broj tona koji se godišnje deponira na odlagalištu </w:t>
            </w:r>
            <w:proofErr w:type="spellStart"/>
            <w:r>
              <w:rPr>
                <w:rFonts w:ascii="Times New Roman" w:eastAsia="Arial MT" w:hAnsi="Times New Roman" w:cs="Times New Roman"/>
              </w:rPr>
              <w:t>Johovača</w:t>
            </w:r>
            <w:proofErr w:type="spellEnd"/>
          </w:p>
        </w:tc>
        <w:tc>
          <w:tcPr>
            <w:tcW w:w="1653" w:type="pct"/>
            <w:shd w:val="clear" w:color="auto" w:fill="auto"/>
          </w:tcPr>
          <w:p w14:paraId="344CDCC8" w14:textId="36AABBBE" w:rsidR="003D1AC6" w:rsidRPr="00F64569" w:rsidRDefault="003D1AC6" w:rsidP="00E347ED">
            <w:pPr>
              <w:widowControl w:val="0"/>
              <w:autoSpaceDE w:val="0"/>
              <w:autoSpaceDN w:val="0"/>
              <w:spacing w:after="0" w:line="187" w:lineRule="exact"/>
              <w:ind w:left="105"/>
              <w:jc w:val="center"/>
              <w:rPr>
                <w:rFonts w:ascii="Times New Roman" w:eastAsia="Arial MT" w:hAnsi="Times New Roman" w:cs="Times New Roman"/>
              </w:rPr>
            </w:pPr>
            <w:r>
              <w:rPr>
                <w:rFonts w:ascii="Times New Roman" w:eastAsia="Arial MT" w:hAnsi="Times New Roman" w:cs="Times New Roman"/>
              </w:rPr>
              <w:t>Povećanje broja tona koji se reciklira</w:t>
            </w:r>
          </w:p>
        </w:tc>
        <w:tc>
          <w:tcPr>
            <w:tcW w:w="531" w:type="pct"/>
            <w:shd w:val="clear" w:color="auto" w:fill="auto"/>
          </w:tcPr>
          <w:p w14:paraId="03BEADDD" w14:textId="2DCE7489" w:rsidR="003D1AC6" w:rsidRPr="00F64569" w:rsidRDefault="003D1AC6" w:rsidP="00E347ED">
            <w:pPr>
              <w:widowControl w:val="0"/>
              <w:autoSpaceDE w:val="0"/>
              <w:autoSpaceDN w:val="0"/>
              <w:spacing w:before="1" w:after="0" w:line="240" w:lineRule="auto"/>
              <w:ind w:right="137"/>
              <w:jc w:val="center"/>
              <w:rPr>
                <w:rFonts w:ascii="Times New Roman" w:eastAsia="Arial MT" w:hAnsi="Times New Roman" w:cs="Times New Roman"/>
              </w:rPr>
            </w:pPr>
            <w:r>
              <w:rPr>
                <w:rFonts w:ascii="Times New Roman" w:eastAsia="Arial MT" w:hAnsi="Times New Roman" w:cs="Times New Roman"/>
              </w:rPr>
              <w:t>Tona</w:t>
            </w:r>
          </w:p>
        </w:tc>
        <w:tc>
          <w:tcPr>
            <w:tcW w:w="619" w:type="pct"/>
            <w:shd w:val="clear" w:color="auto" w:fill="auto"/>
          </w:tcPr>
          <w:p w14:paraId="4520BC85" w14:textId="0E8571B7" w:rsidR="003D1AC6" w:rsidRPr="00F64569" w:rsidRDefault="003D1AC6" w:rsidP="00E347ED">
            <w:pPr>
              <w:widowControl w:val="0"/>
              <w:autoSpaceDE w:val="0"/>
              <w:autoSpaceDN w:val="0"/>
              <w:spacing w:after="0" w:line="240" w:lineRule="auto"/>
              <w:ind w:right="121"/>
              <w:jc w:val="center"/>
              <w:rPr>
                <w:rFonts w:ascii="Times New Roman" w:eastAsia="Arial MT" w:hAnsi="Times New Roman" w:cs="Times New Roman"/>
              </w:rPr>
            </w:pPr>
            <w:r>
              <w:rPr>
                <w:rFonts w:ascii="Times New Roman" w:eastAsia="Arial MT" w:hAnsi="Times New Roman" w:cs="Times New Roman"/>
              </w:rPr>
              <w:t>160</w:t>
            </w:r>
          </w:p>
        </w:tc>
        <w:tc>
          <w:tcPr>
            <w:tcW w:w="610" w:type="pct"/>
            <w:shd w:val="clear" w:color="auto" w:fill="auto"/>
          </w:tcPr>
          <w:p w14:paraId="13ED0DDD" w14:textId="7B27508C" w:rsidR="003D1AC6" w:rsidRPr="00F64569" w:rsidRDefault="003D1AC6" w:rsidP="00E347ED">
            <w:pPr>
              <w:widowControl w:val="0"/>
              <w:autoSpaceDE w:val="0"/>
              <w:autoSpaceDN w:val="0"/>
              <w:spacing w:after="0" w:line="240" w:lineRule="auto"/>
              <w:ind w:right="460"/>
              <w:jc w:val="center"/>
              <w:rPr>
                <w:rFonts w:ascii="Times New Roman" w:eastAsia="Arial MT" w:hAnsi="Times New Roman" w:cs="Times New Roman"/>
              </w:rPr>
            </w:pPr>
            <w:r>
              <w:rPr>
                <w:rFonts w:ascii="Times New Roman" w:eastAsia="Arial MT" w:hAnsi="Times New Roman" w:cs="Times New Roman"/>
              </w:rPr>
              <w:t>145</w:t>
            </w:r>
          </w:p>
        </w:tc>
        <w:tc>
          <w:tcPr>
            <w:tcW w:w="534" w:type="pct"/>
          </w:tcPr>
          <w:p w14:paraId="08399F12" w14:textId="4D1C6412" w:rsidR="003D1AC6" w:rsidRPr="00F64569" w:rsidRDefault="003D1AC6" w:rsidP="00E347ED">
            <w:pPr>
              <w:widowControl w:val="0"/>
              <w:autoSpaceDE w:val="0"/>
              <w:autoSpaceDN w:val="0"/>
              <w:spacing w:after="0" w:line="240" w:lineRule="auto"/>
              <w:jc w:val="center"/>
              <w:rPr>
                <w:rFonts w:ascii="Times New Roman" w:eastAsia="Arial MT" w:hAnsi="Times New Roman" w:cs="Times New Roman"/>
              </w:rPr>
            </w:pPr>
            <w:r>
              <w:rPr>
                <w:rFonts w:ascii="Times New Roman" w:eastAsia="Arial MT" w:hAnsi="Times New Roman" w:cs="Times New Roman"/>
              </w:rPr>
              <w:t>90,63</w:t>
            </w:r>
          </w:p>
        </w:tc>
      </w:tr>
    </w:tbl>
    <w:p w14:paraId="65C91BDC" w14:textId="77777777" w:rsidR="003D1AC6" w:rsidRPr="003D1AC6" w:rsidRDefault="003D1AC6" w:rsidP="003D1AC6">
      <w:pPr>
        <w:pStyle w:val="Podnaslov"/>
        <w:jc w:val="left"/>
        <w:rPr>
          <w:lang w:eastAsia="ar-SA"/>
        </w:rPr>
      </w:pPr>
    </w:p>
    <w:p w14:paraId="17DDC42E" w14:textId="77777777" w:rsidR="00E27A6F" w:rsidRDefault="00722358" w:rsidP="00E40FD3">
      <w:pPr>
        <w:pStyle w:val="Naslov"/>
        <w:tabs>
          <w:tab w:val="left" w:pos="0"/>
        </w:tabs>
        <w:ind w:firstLine="567"/>
        <w:jc w:val="both"/>
        <w:rPr>
          <w:rFonts w:ascii="Times New Roman" w:hAnsi="Times New Roman" w:cs="Times New Roman"/>
          <w:b w:val="0"/>
          <w:iCs/>
          <w:sz w:val="22"/>
          <w:lang w:val="hr-HR"/>
        </w:rPr>
      </w:pPr>
      <w:r w:rsidRPr="00722358">
        <w:rPr>
          <w:rFonts w:ascii="Times New Roman" w:hAnsi="Times New Roman" w:cs="Times New Roman"/>
          <w:b w:val="0"/>
          <w:i/>
          <w:sz w:val="22"/>
          <w:lang w:val="hr-HR"/>
        </w:rPr>
        <w:t xml:space="preserve">Kapitalni projekt K100404 </w:t>
      </w:r>
      <w:r w:rsidRPr="00722358">
        <w:rPr>
          <w:rFonts w:ascii="Times New Roman" w:hAnsi="Times New Roman" w:cs="Times New Roman"/>
          <w:b w:val="0"/>
          <w:iCs/>
          <w:sz w:val="22"/>
          <w:lang w:val="hr-HR"/>
        </w:rPr>
        <w:t xml:space="preserve">- Sanacija odlagališta </w:t>
      </w:r>
      <w:proofErr w:type="spellStart"/>
      <w:r w:rsidRPr="00722358">
        <w:rPr>
          <w:rFonts w:ascii="Times New Roman" w:hAnsi="Times New Roman" w:cs="Times New Roman"/>
          <w:b w:val="0"/>
          <w:iCs/>
          <w:sz w:val="22"/>
          <w:lang w:val="hr-HR"/>
        </w:rPr>
        <w:t>Johovača</w:t>
      </w:r>
      <w:proofErr w:type="spellEnd"/>
      <w:r w:rsidRPr="00722358">
        <w:rPr>
          <w:rFonts w:ascii="Times New Roman" w:hAnsi="Times New Roman" w:cs="Times New Roman"/>
          <w:b w:val="0"/>
          <w:iCs/>
          <w:sz w:val="22"/>
          <w:lang w:val="hr-HR"/>
        </w:rPr>
        <w:t xml:space="preserve"> </w:t>
      </w:r>
    </w:p>
    <w:p w14:paraId="3BE6CFC7" w14:textId="5810AA17" w:rsidR="00722358" w:rsidRDefault="00B62084" w:rsidP="00E27A6F">
      <w:pPr>
        <w:pStyle w:val="Naslov"/>
        <w:tabs>
          <w:tab w:val="left" w:pos="0"/>
        </w:tabs>
        <w:jc w:val="both"/>
        <w:rPr>
          <w:rFonts w:ascii="Times New Roman" w:hAnsi="Times New Roman" w:cs="Times New Roman"/>
          <w:b w:val="0"/>
          <w:iCs/>
          <w:sz w:val="22"/>
          <w:lang w:val="hr-HR"/>
        </w:rPr>
      </w:pPr>
      <w:r>
        <w:rPr>
          <w:rFonts w:ascii="Times New Roman" w:hAnsi="Times New Roman" w:cs="Times New Roman"/>
          <w:b w:val="0"/>
          <w:iCs/>
          <w:sz w:val="22"/>
          <w:lang w:val="hr-HR"/>
        </w:rPr>
        <w:t xml:space="preserve">Sredstva su utrošena za izradu troškovnika za navedeni projekt. </w:t>
      </w:r>
      <w:r w:rsidR="00722358" w:rsidRPr="00722358">
        <w:rPr>
          <w:rFonts w:ascii="Times New Roman" w:hAnsi="Times New Roman" w:cs="Times New Roman"/>
          <w:b w:val="0"/>
          <w:iCs/>
          <w:sz w:val="22"/>
          <w:lang w:val="hr-HR"/>
        </w:rPr>
        <w:t xml:space="preserve">Isto </w:t>
      </w:r>
      <w:r w:rsidR="00E27A6F">
        <w:rPr>
          <w:rFonts w:ascii="Times New Roman" w:hAnsi="Times New Roman" w:cs="Times New Roman"/>
          <w:b w:val="0"/>
          <w:iCs/>
          <w:sz w:val="22"/>
          <w:lang w:val="hr-HR"/>
        </w:rPr>
        <w:t>je izvršeno</w:t>
      </w:r>
      <w:r w:rsidR="00722358" w:rsidRPr="00722358">
        <w:rPr>
          <w:rFonts w:ascii="Times New Roman" w:hAnsi="Times New Roman" w:cs="Times New Roman"/>
          <w:b w:val="0"/>
          <w:iCs/>
          <w:sz w:val="22"/>
          <w:lang w:val="hr-HR"/>
        </w:rPr>
        <w:t xml:space="preserve"> u skladu sa Ugovorom sa Fondom za zaštitu okoliša i energetsku učinkovitost u svrhu rekonstrukcije. Cilj je poboljšavanje ekoloških standarda na obuhvaćenom području.</w:t>
      </w:r>
    </w:p>
    <w:p w14:paraId="600848DF" w14:textId="77777777" w:rsidR="0016110D" w:rsidRPr="0016110D" w:rsidRDefault="0016110D" w:rsidP="0016110D">
      <w:pPr>
        <w:pStyle w:val="Podnaslov"/>
        <w:rPr>
          <w:lang w:eastAsia="ar-SA"/>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07"/>
        <w:gridCol w:w="2996"/>
        <w:gridCol w:w="962"/>
        <w:gridCol w:w="1122"/>
        <w:gridCol w:w="1105"/>
        <w:gridCol w:w="968"/>
      </w:tblGrid>
      <w:tr w:rsidR="0016110D" w:rsidRPr="00F64569" w14:paraId="53140153" w14:textId="77777777" w:rsidTr="00E347ED">
        <w:trPr>
          <w:trHeight w:val="633"/>
          <w:jc w:val="center"/>
        </w:trPr>
        <w:tc>
          <w:tcPr>
            <w:tcW w:w="1052" w:type="pct"/>
            <w:shd w:val="clear" w:color="auto" w:fill="BFBFBF"/>
          </w:tcPr>
          <w:p w14:paraId="0F42A5E6" w14:textId="77777777" w:rsidR="0016110D" w:rsidRPr="00F64569" w:rsidRDefault="0016110D" w:rsidP="00E347ED">
            <w:pPr>
              <w:widowControl w:val="0"/>
              <w:autoSpaceDE w:val="0"/>
              <w:autoSpaceDN w:val="0"/>
              <w:spacing w:before="104" w:after="0" w:line="240" w:lineRule="auto"/>
              <w:ind w:left="136" w:right="110" w:firstLine="59"/>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lastRenderedPageBreak/>
              <w:t>Pokazatelj</w:t>
            </w:r>
            <w:r w:rsidRPr="00F64569">
              <w:rPr>
                <w:rFonts w:ascii="Times New Roman" w:eastAsia="Arial MT" w:hAnsi="Times New Roman" w:cs="Times New Roman"/>
                <w:b/>
                <w:spacing w:val="1"/>
                <w:sz w:val="20"/>
                <w:szCs w:val="20"/>
              </w:rPr>
              <w:t xml:space="preserve"> </w:t>
            </w:r>
            <w:r>
              <w:rPr>
                <w:rFonts w:ascii="Times New Roman" w:eastAsia="Arial MT" w:hAnsi="Times New Roman" w:cs="Times New Roman"/>
                <w:b/>
                <w:sz w:val="20"/>
                <w:szCs w:val="20"/>
              </w:rPr>
              <w:t>rezultata</w:t>
            </w:r>
          </w:p>
        </w:tc>
        <w:tc>
          <w:tcPr>
            <w:tcW w:w="1653" w:type="pct"/>
            <w:shd w:val="clear" w:color="auto" w:fill="BFBFBF"/>
          </w:tcPr>
          <w:p w14:paraId="0AE32088" w14:textId="77777777" w:rsidR="0016110D" w:rsidRPr="00F64569" w:rsidRDefault="0016110D" w:rsidP="00E347ED">
            <w:pPr>
              <w:widowControl w:val="0"/>
              <w:autoSpaceDE w:val="0"/>
              <w:autoSpaceDN w:val="0"/>
              <w:spacing w:after="0" w:line="240" w:lineRule="auto"/>
              <w:jc w:val="both"/>
              <w:rPr>
                <w:rFonts w:ascii="Times New Roman" w:eastAsia="Arial MT" w:hAnsi="Times New Roman" w:cs="Times New Roman"/>
                <w:b/>
                <w:sz w:val="20"/>
                <w:szCs w:val="20"/>
              </w:rPr>
            </w:pPr>
          </w:p>
          <w:p w14:paraId="4663A8D2" w14:textId="77777777" w:rsidR="0016110D" w:rsidRPr="00F64569" w:rsidRDefault="0016110D" w:rsidP="00E347ED">
            <w:pPr>
              <w:widowControl w:val="0"/>
              <w:autoSpaceDE w:val="0"/>
              <w:autoSpaceDN w:val="0"/>
              <w:spacing w:before="1" w:after="0" w:line="240" w:lineRule="auto"/>
              <w:ind w:left="1136" w:right="832"/>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Definicija</w:t>
            </w:r>
          </w:p>
        </w:tc>
        <w:tc>
          <w:tcPr>
            <w:tcW w:w="531" w:type="pct"/>
            <w:shd w:val="clear" w:color="auto" w:fill="BFBFBF"/>
          </w:tcPr>
          <w:p w14:paraId="78504897" w14:textId="77777777" w:rsidR="0016110D" w:rsidRPr="00F64569" w:rsidRDefault="0016110D" w:rsidP="00E347ED">
            <w:pPr>
              <w:widowControl w:val="0"/>
              <w:autoSpaceDE w:val="0"/>
              <w:autoSpaceDN w:val="0"/>
              <w:spacing w:after="0" w:line="240" w:lineRule="auto"/>
              <w:jc w:val="both"/>
              <w:rPr>
                <w:rFonts w:ascii="Times New Roman" w:eastAsia="Arial MT" w:hAnsi="Times New Roman" w:cs="Times New Roman"/>
                <w:b/>
                <w:sz w:val="20"/>
                <w:szCs w:val="20"/>
              </w:rPr>
            </w:pPr>
          </w:p>
          <w:p w14:paraId="3AFDD3EC" w14:textId="77777777" w:rsidR="0016110D" w:rsidRPr="00F64569" w:rsidRDefault="0016110D" w:rsidP="00E347ED">
            <w:pPr>
              <w:widowControl w:val="0"/>
              <w:autoSpaceDE w:val="0"/>
              <w:autoSpaceDN w:val="0"/>
              <w:spacing w:before="1" w:after="0" w:line="240" w:lineRule="auto"/>
              <w:ind w:left="112" w:right="105"/>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Jedinica</w:t>
            </w:r>
          </w:p>
        </w:tc>
        <w:tc>
          <w:tcPr>
            <w:tcW w:w="619" w:type="pct"/>
            <w:shd w:val="clear" w:color="auto" w:fill="BFBFBF"/>
          </w:tcPr>
          <w:p w14:paraId="36B7E35F" w14:textId="77777777" w:rsidR="0016110D" w:rsidRPr="00F64569" w:rsidRDefault="0016110D" w:rsidP="00E347ED">
            <w:pPr>
              <w:widowControl w:val="0"/>
              <w:autoSpaceDE w:val="0"/>
              <w:autoSpaceDN w:val="0"/>
              <w:spacing w:after="0" w:line="206" w:lineRule="exact"/>
              <w:ind w:left="122" w:right="121"/>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Ciljana</w:t>
            </w:r>
          </w:p>
          <w:p w14:paraId="479A76CC" w14:textId="77777777" w:rsidR="0016110D" w:rsidRPr="00F64569" w:rsidRDefault="0016110D" w:rsidP="00E347ED">
            <w:pPr>
              <w:widowControl w:val="0"/>
              <w:autoSpaceDE w:val="0"/>
              <w:autoSpaceDN w:val="0"/>
              <w:spacing w:after="0" w:line="206" w:lineRule="exact"/>
              <w:ind w:left="124" w:right="121"/>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vrijednost</w:t>
            </w:r>
            <w:r w:rsidRPr="00F64569">
              <w:rPr>
                <w:rFonts w:ascii="Times New Roman" w:eastAsia="Arial MT" w:hAnsi="Times New Roman" w:cs="Times New Roman"/>
                <w:b/>
                <w:spacing w:val="-47"/>
                <w:sz w:val="20"/>
                <w:szCs w:val="20"/>
              </w:rPr>
              <w:t xml:space="preserve">   </w:t>
            </w:r>
            <w:r w:rsidRPr="00F64569">
              <w:rPr>
                <w:rFonts w:ascii="Times New Roman" w:eastAsia="Arial MT" w:hAnsi="Times New Roman" w:cs="Times New Roman"/>
                <w:b/>
                <w:sz w:val="20"/>
                <w:szCs w:val="20"/>
              </w:rPr>
              <w:t>2024.</w:t>
            </w:r>
          </w:p>
        </w:tc>
        <w:tc>
          <w:tcPr>
            <w:tcW w:w="610" w:type="pct"/>
            <w:shd w:val="clear" w:color="auto" w:fill="BFBFBF"/>
          </w:tcPr>
          <w:p w14:paraId="0BCC4E4C" w14:textId="77777777" w:rsidR="0016110D" w:rsidRPr="00F64569" w:rsidRDefault="0016110D" w:rsidP="00E347ED">
            <w:pPr>
              <w:widowControl w:val="0"/>
              <w:autoSpaceDE w:val="0"/>
              <w:autoSpaceDN w:val="0"/>
              <w:spacing w:after="0" w:line="205" w:lineRule="exact"/>
              <w:ind w:left="89"/>
              <w:jc w:val="both"/>
              <w:rPr>
                <w:rFonts w:ascii="Times New Roman" w:eastAsia="Arial MT" w:hAnsi="Times New Roman" w:cs="Times New Roman"/>
                <w:b/>
                <w:sz w:val="20"/>
                <w:szCs w:val="20"/>
              </w:rPr>
            </w:pPr>
            <w:r>
              <w:rPr>
                <w:rFonts w:ascii="Times New Roman" w:eastAsia="Arial MT" w:hAnsi="Times New Roman" w:cs="Times New Roman"/>
                <w:b/>
                <w:sz w:val="20"/>
                <w:szCs w:val="20"/>
              </w:rPr>
              <w:t>Izvršenje</w:t>
            </w:r>
          </w:p>
        </w:tc>
        <w:tc>
          <w:tcPr>
            <w:tcW w:w="534" w:type="pct"/>
            <w:shd w:val="clear" w:color="auto" w:fill="BFBFBF"/>
          </w:tcPr>
          <w:p w14:paraId="37E47973" w14:textId="77777777" w:rsidR="0016110D" w:rsidRPr="00F64569" w:rsidRDefault="0016110D" w:rsidP="00E347ED">
            <w:pPr>
              <w:widowControl w:val="0"/>
              <w:autoSpaceDE w:val="0"/>
              <w:autoSpaceDN w:val="0"/>
              <w:spacing w:after="0" w:line="240" w:lineRule="auto"/>
              <w:ind w:left="130" w:right="115" w:firstLine="134"/>
              <w:jc w:val="both"/>
              <w:rPr>
                <w:rFonts w:ascii="Times New Roman" w:eastAsia="Arial MT" w:hAnsi="Times New Roman" w:cs="Times New Roman"/>
                <w:b/>
                <w:sz w:val="20"/>
                <w:szCs w:val="20"/>
              </w:rPr>
            </w:pPr>
            <w:r>
              <w:rPr>
                <w:rFonts w:ascii="Times New Roman" w:eastAsia="Arial MT" w:hAnsi="Times New Roman" w:cs="Times New Roman"/>
                <w:b/>
                <w:sz w:val="20"/>
                <w:szCs w:val="20"/>
              </w:rPr>
              <w:t>Indeks</w:t>
            </w:r>
          </w:p>
        </w:tc>
      </w:tr>
      <w:tr w:rsidR="0016110D" w:rsidRPr="00F64569" w14:paraId="1B440BE8" w14:textId="77777777" w:rsidTr="00E347ED">
        <w:trPr>
          <w:trHeight w:val="620"/>
          <w:jc w:val="center"/>
        </w:trPr>
        <w:tc>
          <w:tcPr>
            <w:tcW w:w="1052" w:type="pct"/>
            <w:shd w:val="clear" w:color="auto" w:fill="auto"/>
          </w:tcPr>
          <w:p w14:paraId="4183B11B" w14:textId="77777777" w:rsidR="0016110D" w:rsidRPr="00F64569" w:rsidRDefault="0016110D" w:rsidP="00E347ED">
            <w:pPr>
              <w:widowControl w:val="0"/>
              <w:autoSpaceDE w:val="0"/>
              <w:autoSpaceDN w:val="0"/>
              <w:spacing w:before="1" w:after="0" w:line="240" w:lineRule="auto"/>
              <w:ind w:right="109"/>
              <w:jc w:val="center"/>
              <w:rPr>
                <w:rFonts w:ascii="Times New Roman" w:eastAsia="Arial MT" w:hAnsi="Times New Roman" w:cs="Times New Roman"/>
              </w:rPr>
            </w:pPr>
            <w:r>
              <w:rPr>
                <w:rFonts w:ascii="Times New Roman" w:eastAsia="Arial MT" w:hAnsi="Times New Roman" w:cs="Times New Roman"/>
              </w:rPr>
              <w:t xml:space="preserve">Ukupan broj tona koji se godišnje deponira na odlagalištu </w:t>
            </w:r>
            <w:proofErr w:type="spellStart"/>
            <w:r>
              <w:rPr>
                <w:rFonts w:ascii="Times New Roman" w:eastAsia="Arial MT" w:hAnsi="Times New Roman" w:cs="Times New Roman"/>
              </w:rPr>
              <w:t>Johovača</w:t>
            </w:r>
            <w:proofErr w:type="spellEnd"/>
          </w:p>
        </w:tc>
        <w:tc>
          <w:tcPr>
            <w:tcW w:w="1653" w:type="pct"/>
            <w:shd w:val="clear" w:color="auto" w:fill="auto"/>
          </w:tcPr>
          <w:p w14:paraId="742E3E7C" w14:textId="44785141" w:rsidR="0016110D" w:rsidRPr="00F64569" w:rsidRDefault="0016110D" w:rsidP="00E347ED">
            <w:pPr>
              <w:widowControl w:val="0"/>
              <w:autoSpaceDE w:val="0"/>
              <w:autoSpaceDN w:val="0"/>
              <w:spacing w:after="0" w:line="187" w:lineRule="exact"/>
              <w:ind w:left="105"/>
              <w:jc w:val="center"/>
              <w:rPr>
                <w:rFonts w:ascii="Times New Roman" w:eastAsia="Arial MT" w:hAnsi="Times New Roman" w:cs="Times New Roman"/>
              </w:rPr>
            </w:pPr>
            <w:r>
              <w:rPr>
                <w:rFonts w:ascii="Times New Roman" w:eastAsia="Arial MT" w:hAnsi="Times New Roman" w:cs="Times New Roman"/>
              </w:rPr>
              <w:t>Rekonstrukcija i dogradnja postojećeg odlagališta otpada kako bi se povećao kapacitet odlaganja komunalnog otpada</w:t>
            </w:r>
          </w:p>
        </w:tc>
        <w:tc>
          <w:tcPr>
            <w:tcW w:w="531" w:type="pct"/>
            <w:shd w:val="clear" w:color="auto" w:fill="auto"/>
          </w:tcPr>
          <w:p w14:paraId="2D20078B" w14:textId="77777777" w:rsidR="0016110D" w:rsidRPr="00F64569" w:rsidRDefault="0016110D" w:rsidP="00E347ED">
            <w:pPr>
              <w:widowControl w:val="0"/>
              <w:autoSpaceDE w:val="0"/>
              <w:autoSpaceDN w:val="0"/>
              <w:spacing w:before="1" w:after="0" w:line="240" w:lineRule="auto"/>
              <w:ind w:right="137"/>
              <w:jc w:val="center"/>
              <w:rPr>
                <w:rFonts w:ascii="Times New Roman" w:eastAsia="Arial MT" w:hAnsi="Times New Roman" w:cs="Times New Roman"/>
              </w:rPr>
            </w:pPr>
            <w:r>
              <w:rPr>
                <w:rFonts w:ascii="Times New Roman" w:eastAsia="Arial MT" w:hAnsi="Times New Roman" w:cs="Times New Roman"/>
              </w:rPr>
              <w:t>Tona</w:t>
            </w:r>
          </w:p>
        </w:tc>
        <w:tc>
          <w:tcPr>
            <w:tcW w:w="619" w:type="pct"/>
            <w:shd w:val="clear" w:color="auto" w:fill="auto"/>
          </w:tcPr>
          <w:p w14:paraId="40CE39EF" w14:textId="5537FC5A" w:rsidR="0016110D" w:rsidRPr="00F64569" w:rsidRDefault="0016110D" w:rsidP="00E347ED">
            <w:pPr>
              <w:widowControl w:val="0"/>
              <w:autoSpaceDE w:val="0"/>
              <w:autoSpaceDN w:val="0"/>
              <w:spacing w:after="0" w:line="240" w:lineRule="auto"/>
              <w:ind w:right="121"/>
              <w:jc w:val="center"/>
              <w:rPr>
                <w:rFonts w:ascii="Times New Roman" w:eastAsia="Arial MT" w:hAnsi="Times New Roman" w:cs="Times New Roman"/>
              </w:rPr>
            </w:pPr>
            <w:r>
              <w:rPr>
                <w:rFonts w:ascii="Times New Roman" w:eastAsia="Arial MT" w:hAnsi="Times New Roman" w:cs="Times New Roman"/>
              </w:rPr>
              <w:t>400</w:t>
            </w:r>
          </w:p>
        </w:tc>
        <w:tc>
          <w:tcPr>
            <w:tcW w:w="610" w:type="pct"/>
            <w:shd w:val="clear" w:color="auto" w:fill="auto"/>
          </w:tcPr>
          <w:p w14:paraId="429168E1" w14:textId="5B82B059" w:rsidR="0016110D" w:rsidRPr="00F64569" w:rsidRDefault="0016110D" w:rsidP="00E347ED">
            <w:pPr>
              <w:widowControl w:val="0"/>
              <w:autoSpaceDE w:val="0"/>
              <w:autoSpaceDN w:val="0"/>
              <w:spacing w:after="0" w:line="240" w:lineRule="auto"/>
              <w:ind w:right="460"/>
              <w:jc w:val="center"/>
              <w:rPr>
                <w:rFonts w:ascii="Times New Roman" w:eastAsia="Arial MT" w:hAnsi="Times New Roman" w:cs="Times New Roman"/>
              </w:rPr>
            </w:pPr>
            <w:r>
              <w:rPr>
                <w:rFonts w:ascii="Times New Roman" w:eastAsia="Arial MT" w:hAnsi="Times New Roman" w:cs="Times New Roman"/>
              </w:rPr>
              <w:t>160</w:t>
            </w:r>
          </w:p>
        </w:tc>
        <w:tc>
          <w:tcPr>
            <w:tcW w:w="534" w:type="pct"/>
          </w:tcPr>
          <w:p w14:paraId="5F715E85" w14:textId="16C019B2" w:rsidR="0016110D" w:rsidRPr="00F64569" w:rsidRDefault="0016110D" w:rsidP="00E347ED">
            <w:pPr>
              <w:widowControl w:val="0"/>
              <w:autoSpaceDE w:val="0"/>
              <w:autoSpaceDN w:val="0"/>
              <w:spacing w:after="0" w:line="240" w:lineRule="auto"/>
              <w:jc w:val="center"/>
              <w:rPr>
                <w:rFonts w:ascii="Times New Roman" w:eastAsia="Arial MT" w:hAnsi="Times New Roman" w:cs="Times New Roman"/>
              </w:rPr>
            </w:pPr>
            <w:r>
              <w:rPr>
                <w:rFonts w:ascii="Times New Roman" w:eastAsia="Arial MT" w:hAnsi="Times New Roman" w:cs="Times New Roman"/>
              </w:rPr>
              <w:t>40,00</w:t>
            </w:r>
          </w:p>
        </w:tc>
      </w:tr>
    </w:tbl>
    <w:p w14:paraId="3AB4A979" w14:textId="77777777" w:rsidR="00E27A6F" w:rsidRDefault="00E27A6F" w:rsidP="0016110D">
      <w:pPr>
        <w:pStyle w:val="Naslov"/>
        <w:tabs>
          <w:tab w:val="left" w:pos="7903"/>
        </w:tabs>
        <w:jc w:val="both"/>
        <w:rPr>
          <w:rFonts w:ascii="Times New Roman" w:hAnsi="Times New Roman" w:cs="Times New Roman"/>
          <w:sz w:val="22"/>
          <w:lang w:val="hr-HR"/>
        </w:rPr>
      </w:pPr>
    </w:p>
    <w:p w14:paraId="27969FED" w14:textId="77777777" w:rsidR="0016110D" w:rsidRPr="0016110D" w:rsidRDefault="0016110D" w:rsidP="0016110D">
      <w:pPr>
        <w:pStyle w:val="Podnaslov"/>
        <w:rPr>
          <w:lang w:eastAsia="ar-SA"/>
        </w:rPr>
      </w:pPr>
    </w:p>
    <w:p w14:paraId="144A405C" w14:textId="125A110B" w:rsidR="00722358" w:rsidRPr="0016110D" w:rsidRDefault="00722358" w:rsidP="00E40FD3">
      <w:pPr>
        <w:pStyle w:val="Naslov"/>
        <w:tabs>
          <w:tab w:val="left" w:pos="7903"/>
        </w:tabs>
        <w:ind w:firstLine="567"/>
        <w:jc w:val="both"/>
        <w:rPr>
          <w:rFonts w:ascii="Times New Roman" w:hAnsi="Times New Roman" w:cs="Times New Roman"/>
          <w:b w:val="0"/>
          <w:sz w:val="22"/>
          <w:lang w:val="hr-HR"/>
        </w:rPr>
      </w:pPr>
      <w:r w:rsidRPr="0016110D">
        <w:rPr>
          <w:rFonts w:ascii="Times New Roman" w:hAnsi="Times New Roman" w:cs="Times New Roman"/>
          <w:sz w:val="22"/>
          <w:lang w:val="hr-HR"/>
        </w:rPr>
        <w:t>Program 1009 – Poticanje razvoja gospodarstva –</w:t>
      </w:r>
      <w:r w:rsidRPr="0016110D">
        <w:rPr>
          <w:rFonts w:ascii="Times New Roman" w:hAnsi="Times New Roman" w:cs="Times New Roman"/>
          <w:b w:val="0"/>
          <w:sz w:val="22"/>
          <w:lang w:val="hr-HR"/>
        </w:rPr>
        <w:t xml:space="preserve"> </w:t>
      </w:r>
    </w:p>
    <w:p w14:paraId="7F93BF97" w14:textId="014B4064" w:rsidR="00722358" w:rsidRDefault="00184ADF" w:rsidP="00184ADF">
      <w:pPr>
        <w:pStyle w:val="Naslov"/>
        <w:tabs>
          <w:tab w:val="left" w:pos="7903"/>
        </w:tabs>
        <w:spacing w:after="120"/>
        <w:jc w:val="both"/>
        <w:rPr>
          <w:rFonts w:ascii="Times New Roman" w:hAnsi="Times New Roman" w:cs="Times New Roman"/>
          <w:b w:val="0"/>
          <w:sz w:val="22"/>
          <w:lang w:val="hr-HR"/>
        </w:rPr>
      </w:pPr>
      <w:r>
        <w:rPr>
          <w:rFonts w:ascii="Times New Roman" w:hAnsi="Times New Roman" w:cs="Times New Roman"/>
          <w:b w:val="0"/>
          <w:sz w:val="22"/>
          <w:lang w:val="hr-HR"/>
        </w:rPr>
        <w:t xml:space="preserve">Grad Garešnica u cilju razvoja poduzetništva i poduzetničke infrastrukture te razvoja lokalnog poljoprivrednog sektora izradio je </w:t>
      </w:r>
      <w:r w:rsidR="00722358" w:rsidRPr="00722358">
        <w:rPr>
          <w:rFonts w:ascii="Times New Roman" w:hAnsi="Times New Roman" w:cs="Times New Roman"/>
          <w:b w:val="0"/>
          <w:sz w:val="22"/>
          <w:lang w:val="hr-HR"/>
        </w:rPr>
        <w:t xml:space="preserve"> Program mjera za poticanje razvoja poduzetništva i obrtništva na području Grada Garešnice i Program mjera razvoja poljoprivrede na području Grada Garešnice</w:t>
      </w:r>
      <w:r w:rsidR="00B62084">
        <w:rPr>
          <w:rFonts w:ascii="Times New Roman" w:hAnsi="Times New Roman" w:cs="Times New Roman"/>
          <w:b w:val="0"/>
          <w:sz w:val="22"/>
          <w:lang w:val="hr-HR"/>
        </w:rPr>
        <w:t xml:space="preserve"> te se isti sastoji od slijedećih aktivnosti:</w:t>
      </w:r>
    </w:p>
    <w:tbl>
      <w:tblPr>
        <w:tblpPr w:leftFromText="180" w:rightFromText="180" w:vertAnchor="text" w:horzAnchor="margin" w:tblpY="12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32"/>
        <w:gridCol w:w="1696"/>
        <w:gridCol w:w="1558"/>
        <w:gridCol w:w="1274"/>
      </w:tblGrid>
      <w:tr w:rsidR="00B62084" w:rsidRPr="0016110D" w14:paraId="73C068B9" w14:textId="77777777" w:rsidTr="00B9382D">
        <w:trPr>
          <w:trHeight w:val="460"/>
        </w:trPr>
        <w:tc>
          <w:tcPr>
            <w:tcW w:w="2501" w:type="pct"/>
            <w:shd w:val="clear" w:color="auto" w:fill="BFBFBF"/>
          </w:tcPr>
          <w:p w14:paraId="2EE06313" w14:textId="77777777" w:rsidR="00B62084" w:rsidRPr="0016110D" w:rsidRDefault="00B62084" w:rsidP="00B9382D">
            <w:pPr>
              <w:pStyle w:val="TableParagraph"/>
              <w:spacing w:before="110" w:line="240" w:lineRule="exact"/>
              <w:ind w:left="107"/>
              <w:jc w:val="left"/>
              <w:rPr>
                <w:rFonts w:ascii="Times New Roman" w:hAnsi="Times New Roman" w:cs="Times New Roman"/>
                <w:b/>
                <w:lang w:val="hr-HR"/>
              </w:rPr>
            </w:pPr>
            <w:r w:rsidRPr="0016110D">
              <w:rPr>
                <w:rFonts w:ascii="Times New Roman" w:hAnsi="Times New Roman" w:cs="Times New Roman"/>
                <w:b/>
                <w:lang w:val="hr-HR"/>
              </w:rPr>
              <w:t>Naziv aktivnosti / projekta unutar programa</w:t>
            </w:r>
          </w:p>
        </w:tc>
        <w:tc>
          <w:tcPr>
            <w:tcW w:w="936" w:type="pct"/>
            <w:shd w:val="clear" w:color="auto" w:fill="BFBFBF"/>
          </w:tcPr>
          <w:p w14:paraId="71458C38" w14:textId="0A355CDD" w:rsidR="00B62084" w:rsidRPr="0016110D" w:rsidRDefault="00B62084" w:rsidP="00B9382D">
            <w:pPr>
              <w:pStyle w:val="TableParagraph"/>
              <w:spacing w:line="240" w:lineRule="exact"/>
              <w:ind w:left="197" w:right="192"/>
              <w:jc w:val="center"/>
              <w:rPr>
                <w:rFonts w:ascii="Times New Roman" w:hAnsi="Times New Roman" w:cs="Times New Roman"/>
                <w:b/>
                <w:lang w:val="hr-HR"/>
              </w:rPr>
            </w:pPr>
            <w:r w:rsidRPr="0016110D">
              <w:rPr>
                <w:rFonts w:ascii="Times New Roman" w:hAnsi="Times New Roman" w:cs="Times New Roman"/>
                <w:b/>
                <w:lang w:val="hr-HR"/>
              </w:rPr>
              <w:t>Rebalans 202</w:t>
            </w:r>
            <w:r w:rsidR="00311188">
              <w:rPr>
                <w:rFonts w:ascii="Times New Roman" w:hAnsi="Times New Roman" w:cs="Times New Roman"/>
                <w:b/>
                <w:lang w:val="hr-HR"/>
              </w:rPr>
              <w:t>4</w:t>
            </w:r>
            <w:r w:rsidRPr="0016110D">
              <w:rPr>
                <w:rFonts w:ascii="Times New Roman" w:hAnsi="Times New Roman" w:cs="Times New Roman"/>
                <w:b/>
                <w:lang w:val="hr-HR"/>
              </w:rPr>
              <w:t>.</w:t>
            </w:r>
          </w:p>
        </w:tc>
        <w:tc>
          <w:tcPr>
            <w:tcW w:w="860" w:type="pct"/>
            <w:shd w:val="clear" w:color="auto" w:fill="BFBFBF"/>
          </w:tcPr>
          <w:p w14:paraId="142139A8" w14:textId="5344A36B" w:rsidR="00B62084" w:rsidRPr="0016110D" w:rsidRDefault="00B62084" w:rsidP="00B9382D">
            <w:pPr>
              <w:pStyle w:val="TableParagraph"/>
              <w:spacing w:line="240" w:lineRule="exact"/>
              <w:ind w:left="197" w:right="192"/>
              <w:jc w:val="center"/>
              <w:rPr>
                <w:rFonts w:ascii="Times New Roman" w:hAnsi="Times New Roman" w:cs="Times New Roman"/>
                <w:b/>
                <w:lang w:val="hr-HR"/>
              </w:rPr>
            </w:pPr>
            <w:r w:rsidRPr="0016110D">
              <w:rPr>
                <w:rFonts w:ascii="Times New Roman" w:hAnsi="Times New Roman" w:cs="Times New Roman"/>
                <w:b/>
                <w:lang w:val="hr-HR"/>
              </w:rPr>
              <w:t>Izvršenje 202</w:t>
            </w:r>
            <w:r w:rsidR="00311188">
              <w:rPr>
                <w:rFonts w:ascii="Times New Roman" w:hAnsi="Times New Roman" w:cs="Times New Roman"/>
                <w:b/>
                <w:lang w:val="hr-HR"/>
              </w:rPr>
              <w:t>4</w:t>
            </w:r>
            <w:r w:rsidRPr="0016110D">
              <w:rPr>
                <w:rFonts w:ascii="Times New Roman" w:hAnsi="Times New Roman" w:cs="Times New Roman"/>
                <w:b/>
                <w:lang w:val="hr-HR"/>
              </w:rPr>
              <w:t>.</w:t>
            </w:r>
          </w:p>
        </w:tc>
        <w:tc>
          <w:tcPr>
            <w:tcW w:w="703" w:type="pct"/>
            <w:shd w:val="clear" w:color="auto" w:fill="BFBFBF"/>
          </w:tcPr>
          <w:p w14:paraId="59AD9881" w14:textId="77777777" w:rsidR="00B62084" w:rsidRPr="0016110D" w:rsidRDefault="00B62084" w:rsidP="00B9382D">
            <w:pPr>
              <w:pStyle w:val="TableParagraph"/>
              <w:spacing w:line="240" w:lineRule="exact"/>
              <w:ind w:left="140" w:right="135"/>
              <w:jc w:val="center"/>
              <w:rPr>
                <w:rFonts w:ascii="Times New Roman" w:hAnsi="Times New Roman" w:cs="Times New Roman"/>
                <w:b/>
                <w:lang w:val="hr-HR"/>
              </w:rPr>
            </w:pPr>
            <w:r w:rsidRPr="0016110D">
              <w:rPr>
                <w:rFonts w:ascii="Times New Roman" w:hAnsi="Times New Roman" w:cs="Times New Roman"/>
                <w:b/>
                <w:lang w:val="hr-HR"/>
              </w:rPr>
              <w:t>Indeks</w:t>
            </w:r>
          </w:p>
        </w:tc>
      </w:tr>
      <w:tr w:rsidR="00B62084" w:rsidRPr="0016110D" w14:paraId="7A549852" w14:textId="77777777" w:rsidTr="00B9382D">
        <w:trPr>
          <w:trHeight w:val="277"/>
        </w:trPr>
        <w:tc>
          <w:tcPr>
            <w:tcW w:w="2501" w:type="pct"/>
            <w:shd w:val="clear" w:color="auto" w:fill="auto"/>
          </w:tcPr>
          <w:p w14:paraId="377E7592" w14:textId="16D62D4B" w:rsidR="00B62084" w:rsidRPr="0016110D" w:rsidRDefault="00B62084" w:rsidP="00B9382D">
            <w:pPr>
              <w:widowControl w:val="0"/>
              <w:autoSpaceDE w:val="0"/>
              <w:autoSpaceDN w:val="0"/>
              <w:spacing w:after="0" w:line="240" w:lineRule="exact"/>
              <w:rPr>
                <w:rFonts w:ascii="Times New Roman" w:hAnsi="Times New Roman"/>
              </w:rPr>
            </w:pPr>
            <w:r w:rsidRPr="0016110D">
              <w:rPr>
                <w:rFonts w:ascii="Times New Roman" w:hAnsi="Times New Roman"/>
                <w:w w:val="95"/>
              </w:rPr>
              <w:t xml:space="preserve">Aktivnost A100902 </w:t>
            </w:r>
            <w:r w:rsidR="00311188">
              <w:rPr>
                <w:rFonts w:ascii="Times New Roman" w:hAnsi="Times New Roman"/>
                <w:w w:val="95"/>
              </w:rPr>
              <w:t>O</w:t>
            </w:r>
            <w:r w:rsidRPr="0016110D">
              <w:rPr>
                <w:rFonts w:ascii="Times New Roman" w:hAnsi="Times New Roman"/>
                <w:w w:val="95"/>
              </w:rPr>
              <w:t>državanje poljskih puteva</w:t>
            </w:r>
          </w:p>
        </w:tc>
        <w:tc>
          <w:tcPr>
            <w:tcW w:w="936" w:type="pct"/>
            <w:shd w:val="clear" w:color="auto" w:fill="auto"/>
          </w:tcPr>
          <w:p w14:paraId="09713F54" w14:textId="47C675B6" w:rsidR="00B62084" w:rsidRPr="0016110D" w:rsidRDefault="00311188" w:rsidP="00B9382D">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105.520,00</w:t>
            </w:r>
          </w:p>
        </w:tc>
        <w:tc>
          <w:tcPr>
            <w:tcW w:w="860" w:type="pct"/>
            <w:shd w:val="clear" w:color="auto" w:fill="auto"/>
          </w:tcPr>
          <w:p w14:paraId="58973276" w14:textId="37BE159A" w:rsidR="00B62084" w:rsidRPr="0016110D" w:rsidRDefault="00311188" w:rsidP="00B9382D">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99.236,67</w:t>
            </w:r>
          </w:p>
        </w:tc>
        <w:tc>
          <w:tcPr>
            <w:tcW w:w="703" w:type="pct"/>
            <w:shd w:val="clear" w:color="auto" w:fill="auto"/>
          </w:tcPr>
          <w:p w14:paraId="3B77B481" w14:textId="3C072A52" w:rsidR="00B62084" w:rsidRPr="0016110D" w:rsidRDefault="00311188" w:rsidP="00B9382D">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94,05</w:t>
            </w:r>
          </w:p>
        </w:tc>
      </w:tr>
      <w:tr w:rsidR="00B62084" w:rsidRPr="0016110D" w14:paraId="5CFDDFD4" w14:textId="77777777" w:rsidTr="00B9382D">
        <w:trPr>
          <w:trHeight w:val="277"/>
        </w:trPr>
        <w:tc>
          <w:tcPr>
            <w:tcW w:w="2501" w:type="pct"/>
            <w:shd w:val="clear" w:color="auto" w:fill="auto"/>
          </w:tcPr>
          <w:p w14:paraId="1A646B5E" w14:textId="56A07E1B" w:rsidR="00B62084" w:rsidRPr="0016110D" w:rsidRDefault="00B62084" w:rsidP="00B9382D">
            <w:pPr>
              <w:widowControl w:val="0"/>
              <w:autoSpaceDE w:val="0"/>
              <w:autoSpaceDN w:val="0"/>
              <w:spacing w:after="0" w:line="240" w:lineRule="exact"/>
              <w:rPr>
                <w:rFonts w:ascii="Times New Roman" w:hAnsi="Times New Roman"/>
                <w:w w:val="95"/>
              </w:rPr>
            </w:pPr>
            <w:r w:rsidRPr="0016110D">
              <w:rPr>
                <w:rFonts w:ascii="Times New Roman" w:hAnsi="Times New Roman"/>
                <w:w w:val="95"/>
              </w:rPr>
              <w:t>Aktivnost A100904 Subvencija nabave i ugradnje novih strojeva i opreme</w:t>
            </w:r>
          </w:p>
        </w:tc>
        <w:tc>
          <w:tcPr>
            <w:tcW w:w="936" w:type="pct"/>
            <w:shd w:val="clear" w:color="auto" w:fill="auto"/>
          </w:tcPr>
          <w:p w14:paraId="1977A614" w14:textId="4836D5C4" w:rsidR="00B62084" w:rsidRPr="0016110D" w:rsidRDefault="00311188" w:rsidP="00B9382D">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37.400,00</w:t>
            </w:r>
          </w:p>
        </w:tc>
        <w:tc>
          <w:tcPr>
            <w:tcW w:w="860" w:type="pct"/>
            <w:shd w:val="clear" w:color="auto" w:fill="auto"/>
          </w:tcPr>
          <w:p w14:paraId="1E2B1832" w14:textId="0129C980" w:rsidR="00B62084" w:rsidRPr="0016110D" w:rsidRDefault="00311188" w:rsidP="00B9382D">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37.222,85</w:t>
            </w:r>
          </w:p>
        </w:tc>
        <w:tc>
          <w:tcPr>
            <w:tcW w:w="703" w:type="pct"/>
            <w:shd w:val="clear" w:color="auto" w:fill="auto"/>
          </w:tcPr>
          <w:p w14:paraId="764C0237" w14:textId="665DD7FA" w:rsidR="00B62084" w:rsidRPr="0016110D" w:rsidRDefault="00311188" w:rsidP="00B9382D">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99,53</w:t>
            </w:r>
          </w:p>
        </w:tc>
      </w:tr>
      <w:tr w:rsidR="00B62084" w:rsidRPr="0016110D" w14:paraId="3920DA89" w14:textId="77777777" w:rsidTr="00B9382D">
        <w:trPr>
          <w:trHeight w:val="630"/>
        </w:trPr>
        <w:tc>
          <w:tcPr>
            <w:tcW w:w="2501" w:type="pct"/>
            <w:shd w:val="clear" w:color="auto" w:fill="auto"/>
          </w:tcPr>
          <w:p w14:paraId="1280BEEE" w14:textId="01E0F4AC" w:rsidR="00B62084" w:rsidRPr="0016110D" w:rsidRDefault="00B62084" w:rsidP="00B9382D">
            <w:pPr>
              <w:widowControl w:val="0"/>
              <w:autoSpaceDE w:val="0"/>
              <w:autoSpaceDN w:val="0"/>
              <w:spacing w:after="0" w:line="240" w:lineRule="atLeast"/>
              <w:rPr>
                <w:rFonts w:ascii="Times New Roman" w:hAnsi="Times New Roman"/>
                <w:w w:val="95"/>
              </w:rPr>
            </w:pPr>
            <w:r w:rsidRPr="0016110D">
              <w:rPr>
                <w:rFonts w:ascii="Times New Roman" w:hAnsi="Times New Roman"/>
                <w:w w:val="95"/>
              </w:rPr>
              <w:t>Aktivnost A100905 Subvencioniranje korištenja poslovnog prostora u Poduzetničkom inkubatoru</w:t>
            </w:r>
          </w:p>
        </w:tc>
        <w:tc>
          <w:tcPr>
            <w:tcW w:w="936" w:type="pct"/>
            <w:shd w:val="clear" w:color="auto" w:fill="auto"/>
          </w:tcPr>
          <w:p w14:paraId="70296E0D" w14:textId="5CCEF834" w:rsidR="00B62084" w:rsidRPr="0016110D" w:rsidRDefault="00311188" w:rsidP="00B9382D">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3.000,00</w:t>
            </w:r>
          </w:p>
        </w:tc>
        <w:tc>
          <w:tcPr>
            <w:tcW w:w="860" w:type="pct"/>
            <w:shd w:val="clear" w:color="auto" w:fill="auto"/>
          </w:tcPr>
          <w:p w14:paraId="006FCE68" w14:textId="7ACD0025" w:rsidR="00B62084" w:rsidRPr="0016110D" w:rsidRDefault="00311188" w:rsidP="00B9382D">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633,90</w:t>
            </w:r>
          </w:p>
        </w:tc>
        <w:tc>
          <w:tcPr>
            <w:tcW w:w="703" w:type="pct"/>
            <w:shd w:val="clear" w:color="auto" w:fill="auto"/>
          </w:tcPr>
          <w:p w14:paraId="5C4E0BA0" w14:textId="078E9FF7" w:rsidR="00B62084" w:rsidRPr="0016110D" w:rsidRDefault="00311188" w:rsidP="00B9382D">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21,13</w:t>
            </w:r>
          </w:p>
        </w:tc>
      </w:tr>
      <w:tr w:rsidR="00B62084" w:rsidRPr="0016110D" w14:paraId="7D07C4AD" w14:textId="77777777" w:rsidTr="00B9382D">
        <w:trPr>
          <w:trHeight w:val="630"/>
        </w:trPr>
        <w:tc>
          <w:tcPr>
            <w:tcW w:w="2501" w:type="pct"/>
            <w:shd w:val="clear" w:color="auto" w:fill="auto"/>
          </w:tcPr>
          <w:p w14:paraId="3C6C7DCE" w14:textId="1BB0138C" w:rsidR="00B62084" w:rsidRPr="0016110D" w:rsidRDefault="00B62084" w:rsidP="00B9382D">
            <w:pPr>
              <w:widowControl w:val="0"/>
              <w:autoSpaceDE w:val="0"/>
              <w:autoSpaceDN w:val="0"/>
              <w:spacing w:after="0" w:line="240" w:lineRule="atLeast"/>
              <w:rPr>
                <w:rFonts w:ascii="Times New Roman" w:hAnsi="Times New Roman"/>
                <w:w w:val="95"/>
              </w:rPr>
            </w:pPr>
            <w:r w:rsidRPr="0016110D">
              <w:rPr>
                <w:rFonts w:ascii="Times New Roman" w:hAnsi="Times New Roman"/>
                <w:w w:val="95"/>
              </w:rPr>
              <w:t>Aktivnost A100912 Poticanje osnivanja novih poduzeća / obrta</w:t>
            </w:r>
          </w:p>
        </w:tc>
        <w:tc>
          <w:tcPr>
            <w:tcW w:w="936" w:type="pct"/>
            <w:shd w:val="clear" w:color="auto" w:fill="auto"/>
          </w:tcPr>
          <w:p w14:paraId="29231EFB" w14:textId="694F3874" w:rsidR="00B62084" w:rsidRPr="0016110D" w:rsidRDefault="00311188" w:rsidP="00B9382D">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13.100,00</w:t>
            </w:r>
          </w:p>
        </w:tc>
        <w:tc>
          <w:tcPr>
            <w:tcW w:w="860" w:type="pct"/>
            <w:shd w:val="clear" w:color="auto" w:fill="auto"/>
          </w:tcPr>
          <w:p w14:paraId="4368402D" w14:textId="1A311BFF" w:rsidR="00B62084" w:rsidRPr="0016110D" w:rsidRDefault="00311188" w:rsidP="00B9382D">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12.276,01</w:t>
            </w:r>
          </w:p>
        </w:tc>
        <w:tc>
          <w:tcPr>
            <w:tcW w:w="703" w:type="pct"/>
            <w:shd w:val="clear" w:color="auto" w:fill="auto"/>
          </w:tcPr>
          <w:p w14:paraId="1172D2A5" w14:textId="2753519F" w:rsidR="00B62084" w:rsidRPr="0016110D" w:rsidRDefault="00311188" w:rsidP="00B9382D">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93,71</w:t>
            </w:r>
          </w:p>
        </w:tc>
      </w:tr>
      <w:tr w:rsidR="00B62084" w:rsidRPr="0016110D" w14:paraId="4DACD447" w14:textId="77777777" w:rsidTr="00B9382D">
        <w:trPr>
          <w:trHeight w:val="630"/>
        </w:trPr>
        <w:tc>
          <w:tcPr>
            <w:tcW w:w="2501" w:type="pct"/>
            <w:shd w:val="clear" w:color="auto" w:fill="auto"/>
          </w:tcPr>
          <w:p w14:paraId="25F79CDA" w14:textId="19BC901F" w:rsidR="00B62084" w:rsidRPr="0016110D" w:rsidRDefault="00B62084" w:rsidP="00B9382D">
            <w:pPr>
              <w:widowControl w:val="0"/>
              <w:autoSpaceDE w:val="0"/>
              <w:autoSpaceDN w:val="0"/>
              <w:spacing w:after="0" w:line="240" w:lineRule="atLeast"/>
              <w:rPr>
                <w:rFonts w:ascii="Times New Roman" w:hAnsi="Times New Roman"/>
                <w:w w:val="95"/>
              </w:rPr>
            </w:pPr>
            <w:r w:rsidRPr="0016110D">
              <w:rPr>
                <w:rFonts w:ascii="Times New Roman" w:hAnsi="Times New Roman"/>
                <w:w w:val="95"/>
              </w:rPr>
              <w:t>Aktivnost A100915 Potpora za razvoj voćarstva, vinogradarstva i povrtlarstva</w:t>
            </w:r>
          </w:p>
        </w:tc>
        <w:tc>
          <w:tcPr>
            <w:tcW w:w="936" w:type="pct"/>
            <w:shd w:val="clear" w:color="auto" w:fill="auto"/>
          </w:tcPr>
          <w:p w14:paraId="2749238D" w14:textId="125456DE" w:rsidR="00B62084" w:rsidRPr="0016110D" w:rsidRDefault="00311188" w:rsidP="00B9382D">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8.000,00</w:t>
            </w:r>
          </w:p>
        </w:tc>
        <w:tc>
          <w:tcPr>
            <w:tcW w:w="860" w:type="pct"/>
            <w:shd w:val="clear" w:color="auto" w:fill="auto"/>
          </w:tcPr>
          <w:p w14:paraId="3BE58F38" w14:textId="705927BB" w:rsidR="00B62084" w:rsidRPr="0016110D" w:rsidRDefault="00311188" w:rsidP="00B9382D">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5.554,08</w:t>
            </w:r>
          </w:p>
        </w:tc>
        <w:tc>
          <w:tcPr>
            <w:tcW w:w="703" w:type="pct"/>
            <w:shd w:val="clear" w:color="auto" w:fill="auto"/>
          </w:tcPr>
          <w:p w14:paraId="70B43D9E" w14:textId="1A069E91" w:rsidR="00B62084" w:rsidRPr="0016110D" w:rsidRDefault="00311188" w:rsidP="00B9382D">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69,43</w:t>
            </w:r>
          </w:p>
        </w:tc>
      </w:tr>
      <w:tr w:rsidR="00B62084" w:rsidRPr="0016110D" w14:paraId="49031B47" w14:textId="77777777" w:rsidTr="00B9382D">
        <w:trPr>
          <w:trHeight w:val="630"/>
        </w:trPr>
        <w:tc>
          <w:tcPr>
            <w:tcW w:w="2501" w:type="pct"/>
            <w:shd w:val="clear" w:color="auto" w:fill="auto"/>
          </w:tcPr>
          <w:p w14:paraId="6EC20B64" w14:textId="6C4ABFBD" w:rsidR="00B62084" w:rsidRPr="0016110D" w:rsidRDefault="00B62084" w:rsidP="00B9382D">
            <w:pPr>
              <w:widowControl w:val="0"/>
              <w:autoSpaceDE w:val="0"/>
              <w:autoSpaceDN w:val="0"/>
              <w:spacing w:after="0" w:line="240" w:lineRule="atLeast"/>
              <w:rPr>
                <w:rFonts w:ascii="Times New Roman" w:hAnsi="Times New Roman"/>
                <w:w w:val="95"/>
              </w:rPr>
            </w:pPr>
            <w:r w:rsidRPr="0016110D">
              <w:rPr>
                <w:rFonts w:ascii="Times New Roman" w:hAnsi="Times New Roman"/>
                <w:w w:val="95"/>
              </w:rPr>
              <w:t>Aktivnost A100917 Subvencioniranje korištenje uredskih prostora u Tehno parku Garešnica</w:t>
            </w:r>
          </w:p>
        </w:tc>
        <w:tc>
          <w:tcPr>
            <w:tcW w:w="936" w:type="pct"/>
            <w:shd w:val="clear" w:color="auto" w:fill="auto"/>
          </w:tcPr>
          <w:p w14:paraId="253BF430" w14:textId="09155EAE" w:rsidR="00B62084" w:rsidRPr="0016110D" w:rsidRDefault="00311188" w:rsidP="00B9382D">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29.000,00</w:t>
            </w:r>
          </w:p>
        </w:tc>
        <w:tc>
          <w:tcPr>
            <w:tcW w:w="860" w:type="pct"/>
            <w:shd w:val="clear" w:color="auto" w:fill="auto"/>
          </w:tcPr>
          <w:p w14:paraId="0813AED5" w14:textId="212A3891" w:rsidR="00B62084" w:rsidRPr="0016110D" w:rsidRDefault="00311188" w:rsidP="00B9382D">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22.832,83</w:t>
            </w:r>
          </w:p>
        </w:tc>
        <w:tc>
          <w:tcPr>
            <w:tcW w:w="703" w:type="pct"/>
            <w:shd w:val="clear" w:color="auto" w:fill="auto"/>
          </w:tcPr>
          <w:p w14:paraId="7626C93D" w14:textId="3A9FAC81" w:rsidR="00B62084" w:rsidRPr="0016110D" w:rsidRDefault="00311188" w:rsidP="00B9382D">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78,73</w:t>
            </w:r>
          </w:p>
        </w:tc>
      </w:tr>
      <w:tr w:rsidR="009E7A1C" w:rsidRPr="0016110D" w14:paraId="0CE49ED9" w14:textId="77777777" w:rsidTr="00B9382D">
        <w:trPr>
          <w:trHeight w:val="630"/>
        </w:trPr>
        <w:tc>
          <w:tcPr>
            <w:tcW w:w="2501" w:type="pct"/>
            <w:shd w:val="clear" w:color="auto" w:fill="auto"/>
          </w:tcPr>
          <w:p w14:paraId="4FFB355F" w14:textId="094CD069" w:rsidR="009E7A1C" w:rsidRPr="0016110D" w:rsidRDefault="009E7A1C" w:rsidP="00B9382D">
            <w:pPr>
              <w:widowControl w:val="0"/>
              <w:autoSpaceDE w:val="0"/>
              <w:autoSpaceDN w:val="0"/>
              <w:spacing w:after="0" w:line="240" w:lineRule="atLeast"/>
              <w:rPr>
                <w:rFonts w:ascii="Times New Roman" w:hAnsi="Times New Roman"/>
                <w:w w:val="95"/>
              </w:rPr>
            </w:pPr>
            <w:r w:rsidRPr="0016110D">
              <w:rPr>
                <w:rFonts w:ascii="Times New Roman" w:hAnsi="Times New Roman"/>
                <w:w w:val="95"/>
              </w:rPr>
              <w:t>Aktivnost A100919 Subvencija kupovne cijene zemljišta u Poduzetničkoj zoni Kapelica</w:t>
            </w:r>
          </w:p>
        </w:tc>
        <w:tc>
          <w:tcPr>
            <w:tcW w:w="936" w:type="pct"/>
            <w:shd w:val="clear" w:color="auto" w:fill="auto"/>
          </w:tcPr>
          <w:p w14:paraId="733B4B0F" w14:textId="7BEEA24B" w:rsidR="009E7A1C" w:rsidRPr="0016110D" w:rsidRDefault="00311188" w:rsidP="00B9382D">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54.200,00</w:t>
            </w:r>
          </w:p>
        </w:tc>
        <w:tc>
          <w:tcPr>
            <w:tcW w:w="860" w:type="pct"/>
            <w:shd w:val="clear" w:color="auto" w:fill="auto"/>
          </w:tcPr>
          <w:p w14:paraId="44BB7E94" w14:textId="77DDD362" w:rsidR="009E7A1C" w:rsidRPr="0016110D" w:rsidRDefault="00311188" w:rsidP="00B9382D">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44.117,92</w:t>
            </w:r>
          </w:p>
        </w:tc>
        <w:tc>
          <w:tcPr>
            <w:tcW w:w="703" w:type="pct"/>
            <w:shd w:val="clear" w:color="auto" w:fill="auto"/>
          </w:tcPr>
          <w:p w14:paraId="67F3BE9E" w14:textId="032AFA64" w:rsidR="009E7A1C" w:rsidRPr="0016110D" w:rsidRDefault="00311188" w:rsidP="00B9382D">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81,40</w:t>
            </w:r>
          </w:p>
        </w:tc>
      </w:tr>
      <w:tr w:rsidR="00311188" w:rsidRPr="0016110D" w14:paraId="0D73BC80" w14:textId="77777777" w:rsidTr="00B9382D">
        <w:trPr>
          <w:trHeight w:val="630"/>
        </w:trPr>
        <w:tc>
          <w:tcPr>
            <w:tcW w:w="2501" w:type="pct"/>
            <w:shd w:val="clear" w:color="auto" w:fill="auto"/>
          </w:tcPr>
          <w:p w14:paraId="5892169A" w14:textId="647FBED8" w:rsidR="00311188" w:rsidRPr="0016110D" w:rsidRDefault="00311188" w:rsidP="00B9382D">
            <w:pPr>
              <w:widowControl w:val="0"/>
              <w:autoSpaceDE w:val="0"/>
              <w:autoSpaceDN w:val="0"/>
              <w:spacing w:after="0" w:line="240" w:lineRule="atLeast"/>
              <w:rPr>
                <w:rFonts w:ascii="Times New Roman" w:hAnsi="Times New Roman"/>
                <w:w w:val="95"/>
              </w:rPr>
            </w:pPr>
            <w:r>
              <w:rPr>
                <w:rFonts w:ascii="Times New Roman" w:hAnsi="Times New Roman"/>
                <w:w w:val="95"/>
              </w:rPr>
              <w:t xml:space="preserve">Aktivnost A100920 Potpora za </w:t>
            </w:r>
            <w:proofErr w:type="spellStart"/>
            <w:r>
              <w:rPr>
                <w:rFonts w:ascii="Times New Roman" w:hAnsi="Times New Roman"/>
                <w:w w:val="95"/>
              </w:rPr>
              <w:t>osjemenjivanje</w:t>
            </w:r>
            <w:proofErr w:type="spellEnd"/>
            <w:r>
              <w:rPr>
                <w:rFonts w:ascii="Times New Roman" w:hAnsi="Times New Roman"/>
                <w:w w:val="95"/>
              </w:rPr>
              <w:t xml:space="preserve"> stoke</w:t>
            </w:r>
          </w:p>
        </w:tc>
        <w:tc>
          <w:tcPr>
            <w:tcW w:w="936" w:type="pct"/>
            <w:shd w:val="clear" w:color="auto" w:fill="auto"/>
          </w:tcPr>
          <w:p w14:paraId="7779EB08" w14:textId="72299342" w:rsidR="00311188" w:rsidRDefault="00311188" w:rsidP="00B9382D">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1.000,00</w:t>
            </w:r>
          </w:p>
        </w:tc>
        <w:tc>
          <w:tcPr>
            <w:tcW w:w="860" w:type="pct"/>
            <w:shd w:val="clear" w:color="auto" w:fill="auto"/>
          </w:tcPr>
          <w:p w14:paraId="1B3A90FD" w14:textId="34ED981D" w:rsidR="00311188" w:rsidRDefault="00311188" w:rsidP="00B9382D">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790,78</w:t>
            </w:r>
          </w:p>
        </w:tc>
        <w:tc>
          <w:tcPr>
            <w:tcW w:w="703" w:type="pct"/>
            <w:shd w:val="clear" w:color="auto" w:fill="auto"/>
          </w:tcPr>
          <w:p w14:paraId="30D8EFC9" w14:textId="713A65DA" w:rsidR="00311188" w:rsidRDefault="00311188" w:rsidP="00B9382D">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79,08</w:t>
            </w:r>
          </w:p>
        </w:tc>
      </w:tr>
      <w:tr w:rsidR="00311188" w:rsidRPr="0016110D" w14:paraId="603111EE" w14:textId="77777777" w:rsidTr="00B9382D">
        <w:trPr>
          <w:trHeight w:val="630"/>
        </w:trPr>
        <w:tc>
          <w:tcPr>
            <w:tcW w:w="2501" w:type="pct"/>
            <w:shd w:val="clear" w:color="auto" w:fill="auto"/>
          </w:tcPr>
          <w:p w14:paraId="575E4CED" w14:textId="17780291" w:rsidR="00311188" w:rsidRDefault="00311188" w:rsidP="00B9382D">
            <w:pPr>
              <w:widowControl w:val="0"/>
              <w:autoSpaceDE w:val="0"/>
              <w:autoSpaceDN w:val="0"/>
              <w:spacing w:after="0" w:line="240" w:lineRule="atLeast"/>
              <w:rPr>
                <w:rFonts w:ascii="Times New Roman" w:hAnsi="Times New Roman"/>
                <w:w w:val="95"/>
              </w:rPr>
            </w:pPr>
            <w:r>
              <w:rPr>
                <w:rFonts w:ascii="Times New Roman" w:hAnsi="Times New Roman"/>
                <w:w w:val="95"/>
              </w:rPr>
              <w:t>Aktivnost A100921 Potpora za sufinanciranje troškova godišnjeg zakupa prodajnog mjesta na tržnici u Garešnici</w:t>
            </w:r>
          </w:p>
        </w:tc>
        <w:tc>
          <w:tcPr>
            <w:tcW w:w="936" w:type="pct"/>
            <w:shd w:val="clear" w:color="auto" w:fill="auto"/>
          </w:tcPr>
          <w:p w14:paraId="57B9F5BD" w14:textId="2F29C725" w:rsidR="00311188" w:rsidRDefault="004E2B27" w:rsidP="00B9382D">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1.000,00</w:t>
            </w:r>
          </w:p>
        </w:tc>
        <w:tc>
          <w:tcPr>
            <w:tcW w:w="860" w:type="pct"/>
            <w:shd w:val="clear" w:color="auto" w:fill="auto"/>
          </w:tcPr>
          <w:p w14:paraId="1415451B" w14:textId="393D7ABB" w:rsidR="00311188" w:rsidRDefault="004E2B27" w:rsidP="00B9382D">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222,98</w:t>
            </w:r>
          </w:p>
        </w:tc>
        <w:tc>
          <w:tcPr>
            <w:tcW w:w="703" w:type="pct"/>
            <w:shd w:val="clear" w:color="auto" w:fill="auto"/>
          </w:tcPr>
          <w:p w14:paraId="0F08D070" w14:textId="4FCC306C" w:rsidR="00311188" w:rsidRDefault="004E2B27" w:rsidP="00B9382D">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22,30</w:t>
            </w:r>
          </w:p>
        </w:tc>
      </w:tr>
      <w:tr w:rsidR="004E2B27" w:rsidRPr="0016110D" w14:paraId="24801F09" w14:textId="77777777" w:rsidTr="00B9382D">
        <w:trPr>
          <w:trHeight w:val="630"/>
        </w:trPr>
        <w:tc>
          <w:tcPr>
            <w:tcW w:w="2501" w:type="pct"/>
            <w:shd w:val="clear" w:color="auto" w:fill="auto"/>
          </w:tcPr>
          <w:p w14:paraId="2FA8370E" w14:textId="5FBD3C09" w:rsidR="004E2B27" w:rsidRDefault="004E2B27" w:rsidP="00B9382D">
            <w:pPr>
              <w:widowControl w:val="0"/>
              <w:autoSpaceDE w:val="0"/>
              <w:autoSpaceDN w:val="0"/>
              <w:spacing w:after="0" w:line="240" w:lineRule="atLeast"/>
              <w:rPr>
                <w:rFonts w:ascii="Times New Roman" w:hAnsi="Times New Roman"/>
                <w:w w:val="95"/>
              </w:rPr>
            </w:pPr>
            <w:r>
              <w:rPr>
                <w:rFonts w:ascii="Times New Roman" w:hAnsi="Times New Roman"/>
                <w:w w:val="95"/>
              </w:rPr>
              <w:t>Aktivnost A100922 Potpora za očuvanje pčelinjeg fonda</w:t>
            </w:r>
          </w:p>
        </w:tc>
        <w:tc>
          <w:tcPr>
            <w:tcW w:w="936" w:type="pct"/>
            <w:shd w:val="clear" w:color="auto" w:fill="auto"/>
          </w:tcPr>
          <w:p w14:paraId="6354D86B" w14:textId="1385A9B0" w:rsidR="004E2B27" w:rsidRDefault="004E2B27" w:rsidP="00B9382D">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2.000,00</w:t>
            </w:r>
          </w:p>
        </w:tc>
        <w:tc>
          <w:tcPr>
            <w:tcW w:w="860" w:type="pct"/>
            <w:shd w:val="clear" w:color="auto" w:fill="auto"/>
          </w:tcPr>
          <w:p w14:paraId="48FF73E3" w14:textId="780B32F7" w:rsidR="004E2B27" w:rsidRDefault="004E2B27" w:rsidP="00B9382D">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637,00</w:t>
            </w:r>
          </w:p>
        </w:tc>
        <w:tc>
          <w:tcPr>
            <w:tcW w:w="703" w:type="pct"/>
            <w:shd w:val="clear" w:color="auto" w:fill="auto"/>
          </w:tcPr>
          <w:p w14:paraId="0B0D9E57" w14:textId="1BAFEADE" w:rsidR="004E2B27" w:rsidRDefault="004E2B27" w:rsidP="00B9382D">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31,85</w:t>
            </w:r>
          </w:p>
        </w:tc>
      </w:tr>
      <w:tr w:rsidR="004E2B27" w:rsidRPr="0016110D" w14:paraId="30D2B204" w14:textId="77777777" w:rsidTr="00B9382D">
        <w:trPr>
          <w:trHeight w:val="630"/>
        </w:trPr>
        <w:tc>
          <w:tcPr>
            <w:tcW w:w="2501" w:type="pct"/>
            <w:shd w:val="clear" w:color="auto" w:fill="auto"/>
          </w:tcPr>
          <w:p w14:paraId="3A0600AC" w14:textId="01B7B21A" w:rsidR="004E2B27" w:rsidRDefault="004E2B27" w:rsidP="00B9382D">
            <w:pPr>
              <w:widowControl w:val="0"/>
              <w:autoSpaceDE w:val="0"/>
              <w:autoSpaceDN w:val="0"/>
              <w:spacing w:after="0" w:line="240" w:lineRule="atLeast"/>
              <w:rPr>
                <w:rFonts w:ascii="Times New Roman" w:hAnsi="Times New Roman"/>
                <w:w w:val="95"/>
              </w:rPr>
            </w:pPr>
            <w:r>
              <w:rPr>
                <w:rFonts w:ascii="Times New Roman" w:hAnsi="Times New Roman"/>
                <w:w w:val="95"/>
              </w:rPr>
              <w:t>Aktivnost A100923 Potpora za ekološku proizvodnju</w:t>
            </w:r>
          </w:p>
        </w:tc>
        <w:tc>
          <w:tcPr>
            <w:tcW w:w="936" w:type="pct"/>
            <w:shd w:val="clear" w:color="auto" w:fill="auto"/>
          </w:tcPr>
          <w:p w14:paraId="1354AAF7" w14:textId="0CB5341B" w:rsidR="004E2B27" w:rsidRDefault="004E2B27" w:rsidP="00B9382D">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1.000,00</w:t>
            </w:r>
          </w:p>
        </w:tc>
        <w:tc>
          <w:tcPr>
            <w:tcW w:w="860" w:type="pct"/>
            <w:shd w:val="clear" w:color="auto" w:fill="auto"/>
          </w:tcPr>
          <w:p w14:paraId="322F8F76" w14:textId="30A4EAA6" w:rsidR="004E2B27" w:rsidRDefault="004E2B27" w:rsidP="00B9382D">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400,00</w:t>
            </w:r>
          </w:p>
        </w:tc>
        <w:tc>
          <w:tcPr>
            <w:tcW w:w="703" w:type="pct"/>
            <w:shd w:val="clear" w:color="auto" w:fill="auto"/>
          </w:tcPr>
          <w:p w14:paraId="659F7184" w14:textId="64391146" w:rsidR="004E2B27" w:rsidRDefault="004E2B27" w:rsidP="00B9382D">
            <w:pPr>
              <w:pStyle w:val="TableParagraph"/>
              <w:spacing w:before="21" w:line="240" w:lineRule="exact"/>
              <w:ind w:right="98"/>
              <w:rPr>
                <w:rFonts w:ascii="Times New Roman" w:hAnsi="Times New Roman" w:cs="Times New Roman"/>
                <w:lang w:val="hr-HR"/>
              </w:rPr>
            </w:pPr>
            <w:r>
              <w:rPr>
                <w:rFonts w:ascii="Times New Roman" w:hAnsi="Times New Roman" w:cs="Times New Roman"/>
                <w:lang w:val="hr-HR"/>
              </w:rPr>
              <w:t>40,00</w:t>
            </w:r>
          </w:p>
        </w:tc>
      </w:tr>
      <w:tr w:rsidR="00B62084" w:rsidRPr="0016110D" w14:paraId="0F4D869D" w14:textId="77777777" w:rsidTr="00B9382D">
        <w:trPr>
          <w:trHeight w:val="277"/>
        </w:trPr>
        <w:tc>
          <w:tcPr>
            <w:tcW w:w="2501" w:type="pct"/>
            <w:shd w:val="clear" w:color="auto" w:fill="auto"/>
          </w:tcPr>
          <w:p w14:paraId="552B9467" w14:textId="77777777" w:rsidR="00B62084" w:rsidRPr="0016110D" w:rsidRDefault="00B62084" w:rsidP="00B9382D">
            <w:pPr>
              <w:widowControl w:val="0"/>
              <w:autoSpaceDE w:val="0"/>
              <w:autoSpaceDN w:val="0"/>
              <w:spacing w:after="0" w:line="240" w:lineRule="exact"/>
              <w:rPr>
                <w:rFonts w:ascii="Times New Roman" w:hAnsi="Times New Roman"/>
                <w:b/>
                <w:bCs/>
                <w:w w:val="95"/>
              </w:rPr>
            </w:pPr>
            <w:r w:rsidRPr="0016110D">
              <w:rPr>
                <w:rFonts w:ascii="Times New Roman" w:hAnsi="Times New Roman"/>
                <w:b/>
                <w:bCs/>
                <w:w w:val="95"/>
              </w:rPr>
              <w:t>Ukupno program</w:t>
            </w:r>
          </w:p>
        </w:tc>
        <w:tc>
          <w:tcPr>
            <w:tcW w:w="936" w:type="pct"/>
            <w:shd w:val="clear" w:color="auto" w:fill="auto"/>
          </w:tcPr>
          <w:p w14:paraId="03E9107C" w14:textId="02A714E5" w:rsidR="00B62084" w:rsidRPr="0016110D" w:rsidRDefault="004E2B27" w:rsidP="00B9382D">
            <w:pPr>
              <w:pStyle w:val="TableParagraph"/>
              <w:spacing w:before="21" w:line="240" w:lineRule="exact"/>
              <w:ind w:right="98"/>
              <w:rPr>
                <w:rFonts w:ascii="Times New Roman" w:hAnsi="Times New Roman" w:cs="Times New Roman"/>
                <w:b/>
                <w:bCs/>
                <w:lang w:val="hr-HR"/>
              </w:rPr>
            </w:pPr>
            <w:r>
              <w:rPr>
                <w:rFonts w:ascii="Times New Roman" w:hAnsi="Times New Roman" w:cs="Times New Roman"/>
                <w:b/>
                <w:bCs/>
                <w:lang w:val="hr-HR"/>
              </w:rPr>
              <w:t>255.220,00</w:t>
            </w:r>
          </w:p>
        </w:tc>
        <w:tc>
          <w:tcPr>
            <w:tcW w:w="860" w:type="pct"/>
            <w:shd w:val="clear" w:color="auto" w:fill="auto"/>
          </w:tcPr>
          <w:p w14:paraId="1F2A0917" w14:textId="7BB23413" w:rsidR="00B62084" w:rsidRPr="0016110D" w:rsidRDefault="004E2B27" w:rsidP="00B9382D">
            <w:pPr>
              <w:pStyle w:val="TableParagraph"/>
              <w:spacing w:before="21" w:line="240" w:lineRule="exact"/>
              <w:ind w:right="98"/>
              <w:rPr>
                <w:rFonts w:ascii="Times New Roman" w:hAnsi="Times New Roman" w:cs="Times New Roman"/>
                <w:b/>
                <w:bCs/>
                <w:lang w:val="hr-HR"/>
              </w:rPr>
            </w:pPr>
            <w:r>
              <w:rPr>
                <w:rFonts w:ascii="Times New Roman" w:hAnsi="Times New Roman" w:cs="Times New Roman"/>
                <w:b/>
                <w:bCs/>
                <w:lang w:val="hr-HR"/>
              </w:rPr>
              <w:t>223.925,02</w:t>
            </w:r>
          </w:p>
        </w:tc>
        <w:tc>
          <w:tcPr>
            <w:tcW w:w="703" w:type="pct"/>
            <w:shd w:val="clear" w:color="auto" w:fill="auto"/>
          </w:tcPr>
          <w:p w14:paraId="2AAB78FF" w14:textId="54DD9A3F" w:rsidR="00B62084" w:rsidRPr="0016110D" w:rsidRDefault="004E2B27" w:rsidP="00B9382D">
            <w:pPr>
              <w:pStyle w:val="TableParagraph"/>
              <w:spacing w:before="21" w:line="240" w:lineRule="exact"/>
              <w:ind w:right="98"/>
              <w:rPr>
                <w:rFonts w:ascii="Times New Roman" w:hAnsi="Times New Roman" w:cs="Times New Roman"/>
                <w:b/>
                <w:bCs/>
                <w:lang w:val="hr-HR"/>
              </w:rPr>
            </w:pPr>
            <w:r>
              <w:rPr>
                <w:rFonts w:ascii="Times New Roman" w:hAnsi="Times New Roman" w:cs="Times New Roman"/>
                <w:b/>
                <w:bCs/>
                <w:lang w:val="hr-HR"/>
              </w:rPr>
              <w:t>87,74</w:t>
            </w:r>
          </w:p>
        </w:tc>
      </w:tr>
    </w:tbl>
    <w:p w14:paraId="613354B7" w14:textId="77777777" w:rsidR="00B62084" w:rsidRPr="00B62084" w:rsidRDefault="00B62084" w:rsidP="00B62084">
      <w:pPr>
        <w:rPr>
          <w:lang w:eastAsia="ar-SA"/>
        </w:rPr>
      </w:pPr>
    </w:p>
    <w:p w14:paraId="75D8874D" w14:textId="7EE8E8C0" w:rsidR="00722358" w:rsidRDefault="00722358" w:rsidP="009E7A1C">
      <w:pPr>
        <w:spacing w:after="0" w:line="240" w:lineRule="auto"/>
        <w:ind w:left="567"/>
        <w:rPr>
          <w:rFonts w:ascii="Times New Roman" w:hAnsi="Times New Roman" w:cs="Times New Roman"/>
        </w:rPr>
      </w:pPr>
      <w:r w:rsidRPr="00722358">
        <w:rPr>
          <w:rFonts w:ascii="Times New Roman" w:hAnsi="Times New Roman" w:cs="Times New Roman"/>
          <w:i/>
        </w:rPr>
        <w:t xml:space="preserve">Aktivnost A100902- </w:t>
      </w:r>
      <w:r w:rsidR="004E2B27">
        <w:rPr>
          <w:rFonts w:ascii="Times New Roman" w:hAnsi="Times New Roman" w:cs="Times New Roman"/>
          <w:i/>
        </w:rPr>
        <w:t>O</w:t>
      </w:r>
      <w:r w:rsidRPr="00722358">
        <w:rPr>
          <w:rFonts w:ascii="Times New Roman" w:hAnsi="Times New Roman" w:cs="Times New Roman"/>
        </w:rPr>
        <w:t>državanje poljskih puteva</w:t>
      </w:r>
      <w:r w:rsidR="00184ADF">
        <w:rPr>
          <w:rFonts w:ascii="Times New Roman" w:hAnsi="Times New Roman" w:cs="Times New Roman"/>
        </w:rPr>
        <w:t xml:space="preserve"> </w:t>
      </w:r>
    </w:p>
    <w:p w14:paraId="5143C601" w14:textId="12FB7053" w:rsidR="009E7A1C" w:rsidRDefault="009E7A1C" w:rsidP="009E7A1C">
      <w:pPr>
        <w:jc w:val="both"/>
        <w:rPr>
          <w:rFonts w:ascii="Times New Roman" w:hAnsi="Times New Roman"/>
        </w:rPr>
      </w:pPr>
      <w:r>
        <w:rPr>
          <w:rFonts w:ascii="Times New Roman" w:hAnsi="Times New Roman"/>
        </w:rPr>
        <w:t>Ovom aktivnošću  poljoprivrednicima na području Grada održavaju poljski putevi kako bi prohodnost na svim poljskih putevima bila uredna.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81"/>
        <w:gridCol w:w="2970"/>
        <w:gridCol w:w="1039"/>
        <w:gridCol w:w="1122"/>
        <w:gridCol w:w="1080"/>
        <w:gridCol w:w="968"/>
      </w:tblGrid>
      <w:tr w:rsidR="004E2B27" w:rsidRPr="00F64569" w14:paraId="69DEFD17" w14:textId="77777777" w:rsidTr="00E347ED">
        <w:trPr>
          <w:trHeight w:val="633"/>
          <w:jc w:val="center"/>
        </w:trPr>
        <w:tc>
          <w:tcPr>
            <w:tcW w:w="1052" w:type="pct"/>
            <w:shd w:val="clear" w:color="auto" w:fill="BFBFBF"/>
          </w:tcPr>
          <w:p w14:paraId="2A01DC4E" w14:textId="77777777" w:rsidR="004E2B27" w:rsidRPr="00F64569" w:rsidRDefault="004E2B27" w:rsidP="00E347ED">
            <w:pPr>
              <w:widowControl w:val="0"/>
              <w:autoSpaceDE w:val="0"/>
              <w:autoSpaceDN w:val="0"/>
              <w:spacing w:before="104" w:after="0" w:line="240" w:lineRule="auto"/>
              <w:ind w:left="136" w:right="110" w:firstLine="59"/>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Pokazatelj</w:t>
            </w:r>
            <w:r w:rsidRPr="00F64569">
              <w:rPr>
                <w:rFonts w:ascii="Times New Roman" w:eastAsia="Arial MT" w:hAnsi="Times New Roman" w:cs="Times New Roman"/>
                <w:b/>
                <w:spacing w:val="1"/>
                <w:sz w:val="20"/>
                <w:szCs w:val="20"/>
              </w:rPr>
              <w:t xml:space="preserve"> </w:t>
            </w:r>
            <w:r>
              <w:rPr>
                <w:rFonts w:ascii="Times New Roman" w:eastAsia="Arial MT" w:hAnsi="Times New Roman" w:cs="Times New Roman"/>
                <w:b/>
                <w:sz w:val="20"/>
                <w:szCs w:val="20"/>
              </w:rPr>
              <w:t>rezultata</w:t>
            </w:r>
          </w:p>
        </w:tc>
        <w:tc>
          <w:tcPr>
            <w:tcW w:w="1653" w:type="pct"/>
            <w:shd w:val="clear" w:color="auto" w:fill="BFBFBF"/>
          </w:tcPr>
          <w:p w14:paraId="246D5AC1" w14:textId="77777777" w:rsidR="004E2B27" w:rsidRPr="00F64569" w:rsidRDefault="004E2B27" w:rsidP="00E347ED">
            <w:pPr>
              <w:widowControl w:val="0"/>
              <w:autoSpaceDE w:val="0"/>
              <w:autoSpaceDN w:val="0"/>
              <w:spacing w:after="0" w:line="240" w:lineRule="auto"/>
              <w:jc w:val="both"/>
              <w:rPr>
                <w:rFonts w:ascii="Times New Roman" w:eastAsia="Arial MT" w:hAnsi="Times New Roman" w:cs="Times New Roman"/>
                <w:b/>
                <w:sz w:val="20"/>
                <w:szCs w:val="20"/>
              </w:rPr>
            </w:pPr>
          </w:p>
          <w:p w14:paraId="123F5D5B" w14:textId="77777777" w:rsidR="004E2B27" w:rsidRPr="00F64569" w:rsidRDefault="004E2B27" w:rsidP="00E347ED">
            <w:pPr>
              <w:widowControl w:val="0"/>
              <w:autoSpaceDE w:val="0"/>
              <w:autoSpaceDN w:val="0"/>
              <w:spacing w:before="1" w:after="0" w:line="240" w:lineRule="auto"/>
              <w:ind w:left="1136" w:right="832"/>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Definicija</w:t>
            </w:r>
          </w:p>
        </w:tc>
        <w:tc>
          <w:tcPr>
            <w:tcW w:w="531" w:type="pct"/>
            <w:shd w:val="clear" w:color="auto" w:fill="BFBFBF"/>
          </w:tcPr>
          <w:p w14:paraId="23ED2B3A" w14:textId="77777777" w:rsidR="004E2B27" w:rsidRPr="00F64569" w:rsidRDefault="004E2B27" w:rsidP="00E347ED">
            <w:pPr>
              <w:widowControl w:val="0"/>
              <w:autoSpaceDE w:val="0"/>
              <w:autoSpaceDN w:val="0"/>
              <w:spacing w:after="0" w:line="240" w:lineRule="auto"/>
              <w:jc w:val="both"/>
              <w:rPr>
                <w:rFonts w:ascii="Times New Roman" w:eastAsia="Arial MT" w:hAnsi="Times New Roman" w:cs="Times New Roman"/>
                <w:b/>
                <w:sz w:val="20"/>
                <w:szCs w:val="20"/>
              </w:rPr>
            </w:pPr>
          </w:p>
          <w:p w14:paraId="5CA00844" w14:textId="77777777" w:rsidR="004E2B27" w:rsidRPr="00F64569" w:rsidRDefault="004E2B27" w:rsidP="00E347ED">
            <w:pPr>
              <w:widowControl w:val="0"/>
              <w:autoSpaceDE w:val="0"/>
              <w:autoSpaceDN w:val="0"/>
              <w:spacing w:before="1" w:after="0" w:line="240" w:lineRule="auto"/>
              <w:ind w:left="112" w:right="105"/>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Jedinica</w:t>
            </w:r>
          </w:p>
        </w:tc>
        <w:tc>
          <w:tcPr>
            <w:tcW w:w="619" w:type="pct"/>
            <w:shd w:val="clear" w:color="auto" w:fill="BFBFBF"/>
          </w:tcPr>
          <w:p w14:paraId="0269FB63" w14:textId="77777777" w:rsidR="004E2B27" w:rsidRPr="00F64569" w:rsidRDefault="004E2B27" w:rsidP="00E347ED">
            <w:pPr>
              <w:widowControl w:val="0"/>
              <w:autoSpaceDE w:val="0"/>
              <w:autoSpaceDN w:val="0"/>
              <w:spacing w:after="0" w:line="206" w:lineRule="exact"/>
              <w:ind w:left="122" w:right="121"/>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Ciljana</w:t>
            </w:r>
          </w:p>
          <w:p w14:paraId="36DDC0E9" w14:textId="77777777" w:rsidR="004E2B27" w:rsidRPr="00F64569" w:rsidRDefault="004E2B27" w:rsidP="00E347ED">
            <w:pPr>
              <w:widowControl w:val="0"/>
              <w:autoSpaceDE w:val="0"/>
              <w:autoSpaceDN w:val="0"/>
              <w:spacing w:after="0" w:line="206" w:lineRule="exact"/>
              <w:ind w:left="124" w:right="121"/>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vrijednost</w:t>
            </w:r>
            <w:r w:rsidRPr="00F64569">
              <w:rPr>
                <w:rFonts w:ascii="Times New Roman" w:eastAsia="Arial MT" w:hAnsi="Times New Roman" w:cs="Times New Roman"/>
                <w:b/>
                <w:spacing w:val="-47"/>
                <w:sz w:val="20"/>
                <w:szCs w:val="20"/>
              </w:rPr>
              <w:t xml:space="preserve">   </w:t>
            </w:r>
            <w:r w:rsidRPr="00F64569">
              <w:rPr>
                <w:rFonts w:ascii="Times New Roman" w:eastAsia="Arial MT" w:hAnsi="Times New Roman" w:cs="Times New Roman"/>
                <w:b/>
                <w:sz w:val="20"/>
                <w:szCs w:val="20"/>
              </w:rPr>
              <w:t>2024.</w:t>
            </w:r>
          </w:p>
        </w:tc>
        <w:tc>
          <w:tcPr>
            <w:tcW w:w="610" w:type="pct"/>
            <w:shd w:val="clear" w:color="auto" w:fill="BFBFBF"/>
          </w:tcPr>
          <w:p w14:paraId="743E6A1C" w14:textId="77777777" w:rsidR="004E2B27" w:rsidRPr="00F64569" w:rsidRDefault="004E2B27" w:rsidP="00E347ED">
            <w:pPr>
              <w:widowControl w:val="0"/>
              <w:autoSpaceDE w:val="0"/>
              <w:autoSpaceDN w:val="0"/>
              <w:spacing w:after="0" w:line="205" w:lineRule="exact"/>
              <w:ind w:left="89"/>
              <w:jc w:val="both"/>
              <w:rPr>
                <w:rFonts w:ascii="Times New Roman" w:eastAsia="Arial MT" w:hAnsi="Times New Roman" w:cs="Times New Roman"/>
                <w:b/>
                <w:sz w:val="20"/>
                <w:szCs w:val="20"/>
              </w:rPr>
            </w:pPr>
            <w:r>
              <w:rPr>
                <w:rFonts w:ascii="Times New Roman" w:eastAsia="Arial MT" w:hAnsi="Times New Roman" w:cs="Times New Roman"/>
                <w:b/>
                <w:sz w:val="20"/>
                <w:szCs w:val="20"/>
              </w:rPr>
              <w:t>Izvršenje</w:t>
            </w:r>
          </w:p>
        </w:tc>
        <w:tc>
          <w:tcPr>
            <w:tcW w:w="534" w:type="pct"/>
            <w:shd w:val="clear" w:color="auto" w:fill="BFBFBF"/>
          </w:tcPr>
          <w:p w14:paraId="19799F3F" w14:textId="77777777" w:rsidR="004E2B27" w:rsidRPr="00F64569" w:rsidRDefault="004E2B27" w:rsidP="00E347ED">
            <w:pPr>
              <w:widowControl w:val="0"/>
              <w:autoSpaceDE w:val="0"/>
              <w:autoSpaceDN w:val="0"/>
              <w:spacing w:after="0" w:line="240" w:lineRule="auto"/>
              <w:ind w:left="130" w:right="115" w:firstLine="134"/>
              <w:jc w:val="both"/>
              <w:rPr>
                <w:rFonts w:ascii="Times New Roman" w:eastAsia="Arial MT" w:hAnsi="Times New Roman" w:cs="Times New Roman"/>
                <w:b/>
                <w:sz w:val="20"/>
                <w:szCs w:val="20"/>
              </w:rPr>
            </w:pPr>
            <w:r>
              <w:rPr>
                <w:rFonts w:ascii="Times New Roman" w:eastAsia="Arial MT" w:hAnsi="Times New Roman" w:cs="Times New Roman"/>
                <w:b/>
                <w:sz w:val="20"/>
                <w:szCs w:val="20"/>
              </w:rPr>
              <w:t>Indeks</w:t>
            </w:r>
          </w:p>
        </w:tc>
      </w:tr>
      <w:tr w:rsidR="004E2B27" w:rsidRPr="00F64569" w14:paraId="6DE0BECF" w14:textId="77777777" w:rsidTr="00E347ED">
        <w:trPr>
          <w:trHeight w:val="620"/>
          <w:jc w:val="center"/>
        </w:trPr>
        <w:tc>
          <w:tcPr>
            <w:tcW w:w="1052" w:type="pct"/>
            <w:shd w:val="clear" w:color="auto" w:fill="auto"/>
          </w:tcPr>
          <w:p w14:paraId="2AA046F4" w14:textId="3121E76F" w:rsidR="004E2B27" w:rsidRPr="00F64569" w:rsidRDefault="004E2B27" w:rsidP="00E347ED">
            <w:pPr>
              <w:widowControl w:val="0"/>
              <w:autoSpaceDE w:val="0"/>
              <w:autoSpaceDN w:val="0"/>
              <w:spacing w:before="1" w:after="0" w:line="240" w:lineRule="auto"/>
              <w:ind w:right="109"/>
              <w:jc w:val="center"/>
              <w:rPr>
                <w:rFonts w:ascii="Times New Roman" w:eastAsia="Arial MT" w:hAnsi="Times New Roman" w:cs="Times New Roman"/>
              </w:rPr>
            </w:pPr>
            <w:r>
              <w:rPr>
                <w:rFonts w:ascii="Times New Roman" w:eastAsia="Arial MT" w:hAnsi="Times New Roman" w:cs="Times New Roman"/>
              </w:rPr>
              <w:lastRenderedPageBreak/>
              <w:t>Ukupan broj kilometara poljskih puteva</w:t>
            </w:r>
          </w:p>
        </w:tc>
        <w:tc>
          <w:tcPr>
            <w:tcW w:w="1653" w:type="pct"/>
            <w:shd w:val="clear" w:color="auto" w:fill="auto"/>
          </w:tcPr>
          <w:p w14:paraId="61CED22F" w14:textId="0A38CC84" w:rsidR="004E2B27" w:rsidRPr="00F64569" w:rsidRDefault="004E2B27" w:rsidP="00E347ED">
            <w:pPr>
              <w:widowControl w:val="0"/>
              <w:autoSpaceDE w:val="0"/>
              <w:autoSpaceDN w:val="0"/>
              <w:spacing w:after="0" w:line="187" w:lineRule="exact"/>
              <w:ind w:left="105"/>
              <w:jc w:val="center"/>
              <w:rPr>
                <w:rFonts w:ascii="Times New Roman" w:eastAsia="Arial MT" w:hAnsi="Times New Roman" w:cs="Times New Roman"/>
              </w:rPr>
            </w:pPr>
            <w:r>
              <w:rPr>
                <w:rFonts w:ascii="Times New Roman" w:eastAsia="Arial MT" w:hAnsi="Times New Roman" w:cs="Times New Roman"/>
              </w:rPr>
              <w:t>Uređenje i nasipavanje kamenom poljske puteve</w:t>
            </w:r>
          </w:p>
        </w:tc>
        <w:tc>
          <w:tcPr>
            <w:tcW w:w="531" w:type="pct"/>
            <w:shd w:val="clear" w:color="auto" w:fill="auto"/>
          </w:tcPr>
          <w:p w14:paraId="56624338" w14:textId="50D55CEA" w:rsidR="004E2B27" w:rsidRPr="00F64569" w:rsidRDefault="004E2B27" w:rsidP="00E347ED">
            <w:pPr>
              <w:widowControl w:val="0"/>
              <w:autoSpaceDE w:val="0"/>
              <w:autoSpaceDN w:val="0"/>
              <w:spacing w:before="1" w:after="0" w:line="240" w:lineRule="auto"/>
              <w:ind w:right="137"/>
              <w:jc w:val="center"/>
              <w:rPr>
                <w:rFonts w:ascii="Times New Roman" w:eastAsia="Arial MT" w:hAnsi="Times New Roman" w:cs="Times New Roman"/>
              </w:rPr>
            </w:pPr>
            <w:r>
              <w:rPr>
                <w:rFonts w:ascii="Times New Roman" w:eastAsia="Arial MT" w:hAnsi="Times New Roman" w:cs="Times New Roman"/>
              </w:rPr>
              <w:t>Kilometar</w:t>
            </w:r>
          </w:p>
        </w:tc>
        <w:tc>
          <w:tcPr>
            <w:tcW w:w="619" w:type="pct"/>
            <w:shd w:val="clear" w:color="auto" w:fill="auto"/>
          </w:tcPr>
          <w:p w14:paraId="12B995A3" w14:textId="006CCAB9" w:rsidR="004E2B27" w:rsidRPr="00F64569" w:rsidRDefault="004E2B27" w:rsidP="00E347ED">
            <w:pPr>
              <w:widowControl w:val="0"/>
              <w:autoSpaceDE w:val="0"/>
              <w:autoSpaceDN w:val="0"/>
              <w:spacing w:after="0" w:line="240" w:lineRule="auto"/>
              <w:ind w:right="121"/>
              <w:jc w:val="center"/>
              <w:rPr>
                <w:rFonts w:ascii="Times New Roman" w:eastAsia="Arial MT" w:hAnsi="Times New Roman" w:cs="Times New Roman"/>
              </w:rPr>
            </w:pPr>
            <w:r>
              <w:rPr>
                <w:rFonts w:ascii="Times New Roman" w:eastAsia="Arial MT" w:hAnsi="Times New Roman" w:cs="Times New Roman"/>
              </w:rPr>
              <w:t>95</w:t>
            </w:r>
          </w:p>
        </w:tc>
        <w:tc>
          <w:tcPr>
            <w:tcW w:w="610" w:type="pct"/>
            <w:shd w:val="clear" w:color="auto" w:fill="auto"/>
          </w:tcPr>
          <w:p w14:paraId="74AE3CF8" w14:textId="3F1E3DE5" w:rsidR="004E2B27" w:rsidRPr="00F64569" w:rsidRDefault="004E2B27" w:rsidP="00E347ED">
            <w:pPr>
              <w:widowControl w:val="0"/>
              <w:autoSpaceDE w:val="0"/>
              <w:autoSpaceDN w:val="0"/>
              <w:spacing w:after="0" w:line="240" w:lineRule="auto"/>
              <w:ind w:right="460"/>
              <w:jc w:val="center"/>
              <w:rPr>
                <w:rFonts w:ascii="Times New Roman" w:eastAsia="Arial MT" w:hAnsi="Times New Roman" w:cs="Times New Roman"/>
              </w:rPr>
            </w:pPr>
            <w:r>
              <w:rPr>
                <w:rFonts w:ascii="Times New Roman" w:eastAsia="Arial MT" w:hAnsi="Times New Roman" w:cs="Times New Roman"/>
              </w:rPr>
              <w:t>85</w:t>
            </w:r>
          </w:p>
        </w:tc>
        <w:tc>
          <w:tcPr>
            <w:tcW w:w="534" w:type="pct"/>
          </w:tcPr>
          <w:p w14:paraId="5B65DD1E" w14:textId="568B89C2" w:rsidR="004E2B27" w:rsidRPr="00F64569" w:rsidRDefault="004E2B27" w:rsidP="00E347ED">
            <w:pPr>
              <w:widowControl w:val="0"/>
              <w:autoSpaceDE w:val="0"/>
              <w:autoSpaceDN w:val="0"/>
              <w:spacing w:after="0" w:line="240" w:lineRule="auto"/>
              <w:jc w:val="center"/>
              <w:rPr>
                <w:rFonts w:ascii="Times New Roman" w:eastAsia="Arial MT" w:hAnsi="Times New Roman" w:cs="Times New Roman"/>
              </w:rPr>
            </w:pPr>
            <w:r>
              <w:rPr>
                <w:rFonts w:ascii="Times New Roman" w:eastAsia="Arial MT" w:hAnsi="Times New Roman" w:cs="Times New Roman"/>
              </w:rPr>
              <w:t>89,47</w:t>
            </w:r>
          </w:p>
        </w:tc>
      </w:tr>
    </w:tbl>
    <w:p w14:paraId="484B90E2" w14:textId="77777777" w:rsidR="004E2B27" w:rsidRPr="009E7A1C" w:rsidRDefault="004E2B27" w:rsidP="009E7A1C">
      <w:pPr>
        <w:jc w:val="both"/>
        <w:rPr>
          <w:rFonts w:ascii="Times New Roman" w:hAnsi="Times New Roman"/>
        </w:rPr>
      </w:pPr>
    </w:p>
    <w:p w14:paraId="0ECB79E8" w14:textId="70436D36" w:rsidR="00722358" w:rsidRPr="00722358" w:rsidRDefault="00722358" w:rsidP="00E40FD3">
      <w:pPr>
        <w:spacing w:after="0" w:line="240" w:lineRule="auto"/>
        <w:ind w:firstLine="567"/>
        <w:jc w:val="both"/>
        <w:rPr>
          <w:rFonts w:ascii="Times New Roman" w:hAnsi="Times New Roman" w:cs="Times New Roman"/>
        </w:rPr>
      </w:pPr>
      <w:r w:rsidRPr="00722358">
        <w:rPr>
          <w:rFonts w:ascii="Times New Roman" w:hAnsi="Times New Roman" w:cs="Times New Roman"/>
          <w:i/>
        </w:rPr>
        <w:t>Aktivnost A100904</w:t>
      </w:r>
      <w:r w:rsidRPr="00722358">
        <w:rPr>
          <w:rFonts w:ascii="Times New Roman" w:hAnsi="Times New Roman" w:cs="Times New Roman"/>
        </w:rPr>
        <w:t xml:space="preserve"> – Subvencija nabave i ugradnje strojeva i opreme</w:t>
      </w:r>
      <w:r w:rsidR="000C15F2">
        <w:rPr>
          <w:rFonts w:ascii="Times New Roman" w:hAnsi="Times New Roman" w:cs="Times New Roman"/>
        </w:rPr>
        <w:t xml:space="preserve"> </w:t>
      </w:r>
    </w:p>
    <w:p w14:paraId="22C4E6B5" w14:textId="7985E561" w:rsidR="009E7A1C" w:rsidRDefault="009E7A1C" w:rsidP="00411E21">
      <w:pPr>
        <w:jc w:val="both"/>
        <w:rPr>
          <w:rFonts w:ascii="Times New Roman" w:hAnsi="Times New Roman"/>
        </w:rPr>
      </w:pPr>
      <w:r>
        <w:rPr>
          <w:rFonts w:ascii="Times New Roman" w:hAnsi="Times New Roman"/>
        </w:rPr>
        <w:t>Ovom aktivnošću subvencioniraju se poduzetnici i obrtnici s područja Grada Garešnica za nabavku nove opreme</w:t>
      </w:r>
      <w:r w:rsidR="00411E21">
        <w:rPr>
          <w:rFonts w:ascii="Times New Roman" w:hAnsi="Times New Roman"/>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07"/>
        <w:gridCol w:w="2996"/>
        <w:gridCol w:w="962"/>
        <w:gridCol w:w="1122"/>
        <w:gridCol w:w="1105"/>
        <w:gridCol w:w="968"/>
      </w:tblGrid>
      <w:tr w:rsidR="004E2B27" w:rsidRPr="00F64569" w14:paraId="6B8789D9" w14:textId="77777777" w:rsidTr="00E347ED">
        <w:trPr>
          <w:trHeight w:val="633"/>
          <w:jc w:val="center"/>
        </w:trPr>
        <w:tc>
          <w:tcPr>
            <w:tcW w:w="1052" w:type="pct"/>
            <w:shd w:val="clear" w:color="auto" w:fill="BFBFBF"/>
          </w:tcPr>
          <w:p w14:paraId="1C5A6FB7" w14:textId="77777777" w:rsidR="004E2B27" w:rsidRPr="00F64569" w:rsidRDefault="004E2B27" w:rsidP="00E347ED">
            <w:pPr>
              <w:widowControl w:val="0"/>
              <w:autoSpaceDE w:val="0"/>
              <w:autoSpaceDN w:val="0"/>
              <w:spacing w:before="104" w:after="0" w:line="240" w:lineRule="auto"/>
              <w:ind w:left="136" w:right="110" w:firstLine="59"/>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Pokazatelj</w:t>
            </w:r>
            <w:r w:rsidRPr="00F64569">
              <w:rPr>
                <w:rFonts w:ascii="Times New Roman" w:eastAsia="Arial MT" w:hAnsi="Times New Roman" w:cs="Times New Roman"/>
                <w:b/>
                <w:spacing w:val="1"/>
                <w:sz w:val="20"/>
                <w:szCs w:val="20"/>
              </w:rPr>
              <w:t xml:space="preserve"> </w:t>
            </w:r>
            <w:r>
              <w:rPr>
                <w:rFonts w:ascii="Times New Roman" w:eastAsia="Arial MT" w:hAnsi="Times New Roman" w:cs="Times New Roman"/>
                <w:b/>
                <w:sz w:val="20"/>
                <w:szCs w:val="20"/>
              </w:rPr>
              <w:t>rezultata</w:t>
            </w:r>
          </w:p>
        </w:tc>
        <w:tc>
          <w:tcPr>
            <w:tcW w:w="1653" w:type="pct"/>
            <w:shd w:val="clear" w:color="auto" w:fill="BFBFBF"/>
          </w:tcPr>
          <w:p w14:paraId="547C6E03" w14:textId="77777777" w:rsidR="004E2B27" w:rsidRPr="00F64569" w:rsidRDefault="004E2B27" w:rsidP="00E347ED">
            <w:pPr>
              <w:widowControl w:val="0"/>
              <w:autoSpaceDE w:val="0"/>
              <w:autoSpaceDN w:val="0"/>
              <w:spacing w:after="0" w:line="240" w:lineRule="auto"/>
              <w:jc w:val="both"/>
              <w:rPr>
                <w:rFonts w:ascii="Times New Roman" w:eastAsia="Arial MT" w:hAnsi="Times New Roman" w:cs="Times New Roman"/>
                <w:b/>
                <w:sz w:val="20"/>
                <w:szCs w:val="20"/>
              </w:rPr>
            </w:pPr>
          </w:p>
          <w:p w14:paraId="44953B36" w14:textId="77777777" w:rsidR="004E2B27" w:rsidRPr="00F64569" w:rsidRDefault="004E2B27" w:rsidP="00E347ED">
            <w:pPr>
              <w:widowControl w:val="0"/>
              <w:autoSpaceDE w:val="0"/>
              <w:autoSpaceDN w:val="0"/>
              <w:spacing w:before="1" w:after="0" w:line="240" w:lineRule="auto"/>
              <w:ind w:left="1136" w:right="832"/>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Definicija</w:t>
            </w:r>
          </w:p>
        </w:tc>
        <w:tc>
          <w:tcPr>
            <w:tcW w:w="531" w:type="pct"/>
            <w:shd w:val="clear" w:color="auto" w:fill="BFBFBF"/>
          </w:tcPr>
          <w:p w14:paraId="2C0D6374" w14:textId="77777777" w:rsidR="004E2B27" w:rsidRPr="00F64569" w:rsidRDefault="004E2B27" w:rsidP="00E347ED">
            <w:pPr>
              <w:widowControl w:val="0"/>
              <w:autoSpaceDE w:val="0"/>
              <w:autoSpaceDN w:val="0"/>
              <w:spacing w:after="0" w:line="240" w:lineRule="auto"/>
              <w:jc w:val="both"/>
              <w:rPr>
                <w:rFonts w:ascii="Times New Roman" w:eastAsia="Arial MT" w:hAnsi="Times New Roman" w:cs="Times New Roman"/>
                <w:b/>
                <w:sz w:val="20"/>
                <w:szCs w:val="20"/>
              </w:rPr>
            </w:pPr>
          </w:p>
          <w:p w14:paraId="18AD3501" w14:textId="77777777" w:rsidR="004E2B27" w:rsidRPr="00F64569" w:rsidRDefault="004E2B27" w:rsidP="00E347ED">
            <w:pPr>
              <w:widowControl w:val="0"/>
              <w:autoSpaceDE w:val="0"/>
              <w:autoSpaceDN w:val="0"/>
              <w:spacing w:before="1" w:after="0" w:line="240" w:lineRule="auto"/>
              <w:ind w:left="112" w:right="105"/>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Jedinica</w:t>
            </w:r>
          </w:p>
        </w:tc>
        <w:tc>
          <w:tcPr>
            <w:tcW w:w="619" w:type="pct"/>
            <w:shd w:val="clear" w:color="auto" w:fill="BFBFBF"/>
          </w:tcPr>
          <w:p w14:paraId="47D7355D" w14:textId="77777777" w:rsidR="004E2B27" w:rsidRPr="00F64569" w:rsidRDefault="004E2B27" w:rsidP="00E347ED">
            <w:pPr>
              <w:widowControl w:val="0"/>
              <w:autoSpaceDE w:val="0"/>
              <w:autoSpaceDN w:val="0"/>
              <w:spacing w:after="0" w:line="206" w:lineRule="exact"/>
              <w:ind w:left="122" w:right="121"/>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Ciljana</w:t>
            </w:r>
          </w:p>
          <w:p w14:paraId="26270DFF" w14:textId="77777777" w:rsidR="004E2B27" w:rsidRPr="00F64569" w:rsidRDefault="004E2B27" w:rsidP="00E347ED">
            <w:pPr>
              <w:widowControl w:val="0"/>
              <w:autoSpaceDE w:val="0"/>
              <w:autoSpaceDN w:val="0"/>
              <w:spacing w:after="0" w:line="206" w:lineRule="exact"/>
              <w:ind w:left="124" w:right="121"/>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vrijednost</w:t>
            </w:r>
            <w:r w:rsidRPr="00F64569">
              <w:rPr>
                <w:rFonts w:ascii="Times New Roman" w:eastAsia="Arial MT" w:hAnsi="Times New Roman" w:cs="Times New Roman"/>
                <w:b/>
                <w:spacing w:val="-47"/>
                <w:sz w:val="20"/>
                <w:szCs w:val="20"/>
              </w:rPr>
              <w:t xml:space="preserve">   </w:t>
            </w:r>
            <w:r w:rsidRPr="00F64569">
              <w:rPr>
                <w:rFonts w:ascii="Times New Roman" w:eastAsia="Arial MT" w:hAnsi="Times New Roman" w:cs="Times New Roman"/>
                <w:b/>
                <w:sz w:val="20"/>
                <w:szCs w:val="20"/>
              </w:rPr>
              <w:t>2024.</w:t>
            </w:r>
          </w:p>
        </w:tc>
        <w:tc>
          <w:tcPr>
            <w:tcW w:w="610" w:type="pct"/>
            <w:shd w:val="clear" w:color="auto" w:fill="BFBFBF"/>
          </w:tcPr>
          <w:p w14:paraId="4350C7FA" w14:textId="77777777" w:rsidR="004E2B27" w:rsidRPr="00F64569" w:rsidRDefault="004E2B27" w:rsidP="00E347ED">
            <w:pPr>
              <w:widowControl w:val="0"/>
              <w:autoSpaceDE w:val="0"/>
              <w:autoSpaceDN w:val="0"/>
              <w:spacing w:after="0" w:line="205" w:lineRule="exact"/>
              <w:ind w:left="89"/>
              <w:jc w:val="both"/>
              <w:rPr>
                <w:rFonts w:ascii="Times New Roman" w:eastAsia="Arial MT" w:hAnsi="Times New Roman" w:cs="Times New Roman"/>
                <w:b/>
                <w:sz w:val="20"/>
                <w:szCs w:val="20"/>
              </w:rPr>
            </w:pPr>
            <w:r>
              <w:rPr>
                <w:rFonts w:ascii="Times New Roman" w:eastAsia="Arial MT" w:hAnsi="Times New Roman" w:cs="Times New Roman"/>
                <w:b/>
                <w:sz w:val="20"/>
                <w:szCs w:val="20"/>
              </w:rPr>
              <w:t>Izvršenje</w:t>
            </w:r>
          </w:p>
        </w:tc>
        <w:tc>
          <w:tcPr>
            <w:tcW w:w="534" w:type="pct"/>
            <w:shd w:val="clear" w:color="auto" w:fill="BFBFBF"/>
          </w:tcPr>
          <w:p w14:paraId="0D14A195" w14:textId="77777777" w:rsidR="004E2B27" w:rsidRPr="00F64569" w:rsidRDefault="004E2B27" w:rsidP="00E347ED">
            <w:pPr>
              <w:widowControl w:val="0"/>
              <w:autoSpaceDE w:val="0"/>
              <w:autoSpaceDN w:val="0"/>
              <w:spacing w:after="0" w:line="240" w:lineRule="auto"/>
              <w:ind w:left="130" w:right="115" w:firstLine="134"/>
              <w:jc w:val="both"/>
              <w:rPr>
                <w:rFonts w:ascii="Times New Roman" w:eastAsia="Arial MT" w:hAnsi="Times New Roman" w:cs="Times New Roman"/>
                <w:b/>
                <w:sz w:val="20"/>
                <w:szCs w:val="20"/>
              </w:rPr>
            </w:pPr>
            <w:r>
              <w:rPr>
                <w:rFonts w:ascii="Times New Roman" w:eastAsia="Arial MT" w:hAnsi="Times New Roman" w:cs="Times New Roman"/>
                <w:b/>
                <w:sz w:val="20"/>
                <w:szCs w:val="20"/>
              </w:rPr>
              <w:t>Indeks</w:t>
            </w:r>
          </w:p>
        </w:tc>
      </w:tr>
      <w:tr w:rsidR="004E2B27" w:rsidRPr="00F64569" w14:paraId="2B5BCC25" w14:textId="77777777" w:rsidTr="00E347ED">
        <w:trPr>
          <w:trHeight w:val="620"/>
          <w:jc w:val="center"/>
        </w:trPr>
        <w:tc>
          <w:tcPr>
            <w:tcW w:w="1052" w:type="pct"/>
            <w:shd w:val="clear" w:color="auto" w:fill="auto"/>
          </w:tcPr>
          <w:p w14:paraId="49C036ED" w14:textId="53DF34AB" w:rsidR="004E2B27" w:rsidRPr="00F64569" w:rsidRDefault="004E2B27" w:rsidP="00E347ED">
            <w:pPr>
              <w:widowControl w:val="0"/>
              <w:autoSpaceDE w:val="0"/>
              <w:autoSpaceDN w:val="0"/>
              <w:spacing w:before="1" w:after="0" w:line="240" w:lineRule="auto"/>
              <w:ind w:right="109"/>
              <w:jc w:val="center"/>
              <w:rPr>
                <w:rFonts w:ascii="Times New Roman" w:eastAsia="Arial MT" w:hAnsi="Times New Roman" w:cs="Times New Roman"/>
              </w:rPr>
            </w:pPr>
            <w:r>
              <w:rPr>
                <w:rFonts w:ascii="Times New Roman" w:eastAsia="Arial MT" w:hAnsi="Times New Roman" w:cs="Times New Roman"/>
              </w:rPr>
              <w:t>Broj poduzetnika i obrtnika prema prijavi na Javni poziv</w:t>
            </w:r>
          </w:p>
        </w:tc>
        <w:tc>
          <w:tcPr>
            <w:tcW w:w="1653" w:type="pct"/>
            <w:shd w:val="clear" w:color="auto" w:fill="auto"/>
          </w:tcPr>
          <w:p w14:paraId="6E080DEB" w14:textId="3BF60D2C" w:rsidR="004E2B27" w:rsidRPr="00F64569" w:rsidRDefault="004E2B27" w:rsidP="00E347ED">
            <w:pPr>
              <w:widowControl w:val="0"/>
              <w:autoSpaceDE w:val="0"/>
              <w:autoSpaceDN w:val="0"/>
              <w:spacing w:after="0" w:line="187" w:lineRule="exact"/>
              <w:ind w:left="105"/>
              <w:jc w:val="center"/>
              <w:rPr>
                <w:rFonts w:ascii="Times New Roman" w:eastAsia="Arial MT" w:hAnsi="Times New Roman" w:cs="Times New Roman"/>
              </w:rPr>
            </w:pPr>
            <w:r>
              <w:rPr>
                <w:rFonts w:ascii="Times New Roman" w:eastAsia="Arial MT" w:hAnsi="Times New Roman" w:cs="Times New Roman"/>
              </w:rPr>
              <w:t>Povećanje konkurentnosti poduzeća s područja Grada</w:t>
            </w:r>
          </w:p>
        </w:tc>
        <w:tc>
          <w:tcPr>
            <w:tcW w:w="531" w:type="pct"/>
            <w:shd w:val="clear" w:color="auto" w:fill="auto"/>
          </w:tcPr>
          <w:p w14:paraId="460AD8D2" w14:textId="50878139" w:rsidR="004E2B27" w:rsidRPr="00F64569" w:rsidRDefault="004E2B27" w:rsidP="00E347ED">
            <w:pPr>
              <w:widowControl w:val="0"/>
              <w:autoSpaceDE w:val="0"/>
              <w:autoSpaceDN w:val="0"/>
              <w:spacing w:before="1" w:after="0" w:line="240" w:lineRule="auto"/>
              <w:ind w:right="137"/>
              <w:jc w:val="center"/>
              <w:rPr>
                <w:rFonts w:ascii="Times New Roman" w:eastAsia="Arial MT" w:hAnsi="Times New Roman" w:cs="Times New Roman"/>
              </w:rPr>
            </w:pPr>
            <w:r>
              <w:rPr>
                <w:rFonts w:ascii="Times New Roman" w:eastAsia="Arial MT" w:hAnsi="Times New Roman" w:cs="Times New Roman"/>
              </w:rPr>
              <w:t>Kom</w:t>
            </w:r>
          </w:p>
        </w:tc>
        <w:tc>
          <w:tcPr>
            <w:tcW w:w="619" w:type="pct"/>
            <w:shd w:val="clear" w:color="auto" w:fill="auto"/>
          </w:tcPr>
          <w:p w14:paraId="292CD239" w14:textId="7625ABBD" w:rsidR="004E2B27" w:rsidRPr="00F64569" w:rsidRDefault="004E2B27" w:rsidP="00E347ED">
            <w:pPr>
              <w:widowControl w:val="0"/>
              <w:autoSpaceDE w:val="0"/>
              <w:autoSpaceDN w:val="0"/>
              <w:spacing w:after="0" w:line="240" w:lineRule="auto"/>
              <w:ind w:right="121"/>
              <w:jc w:val="center"/>
              <w:rPr>
                <w:rFonts w:ascii="Times New Roman" w:eastAsia="Arial MT" w:hAnsi="Times New Roman" w:cs="Times New Roman"/>
              </w:rPr>
            </w:pPr>
            <w:r>
              <w:rPr>
                <w:rFonts w:ascii="Times New Roman" w:eastAsia="Arial MT" w:hAnsi="Times New Roman" w:cs="Times New Roman"/>
              </w:rPr>
              <w:t>135</w:t>
            </w:r>
          </w:p>
        </w:tc>
        <w:tc>
          <w:tcPr>
            <w:tcW w:w="610" w:type="pct"/>
            <w:shd w:val="clear" w:color="auto" w:fill="auto"/>
          </w:tcPr>
          <w:p w14:paraId="378997B2" w14:textId="1EB6B8D9" w:rsidR="004E2B27" w:rsidRPr="00F64569" w:rsidRDefault="004E2B27" w:rsidP="00E347ED">
            <w:pPr>
              <w:widowControl w:val="0"/>
              <w:autoSpaceDE w:val="0"/>
              <w:autoSpaceDN w:val="0"/>
              <w:spacing w:after="0" w:line="240" w:lineRule="auto"/>
              <w:ind w:right="460"/>
              <w:jc w:val="center"/>
              <w:rPr>
                <w:rFonts w:ascii="Times New Roman" w:eastAsia="Arial MT" w:hAnsi="Times New Roman" w:cs="Times New Roman"/>
              </w:rPr>
            </w:pPr>
            <w:r>
              <w:rPr>
                <w:rFonts w:ascii="Times New Roman" w:eastAsia="Arial MT" w:hAnsi="Times New Roman" w:cs="Times New Roman"/>
              </w:rPr>
              <w:t>54</w:t>
            </w:r>
          </w:p>
        </w:tc>
        <w:tc>
          <w:tcPr>
            <w:tcW w:w="534" w:type="pct"/>
          </w:tcPr>
          <w:p w14:paraId="348D49FA" w14:textId="0AABE5FF" w:rsidR="004E2B27" w:rsidRPr="00F64569" w:rsidRDefault="004E2B27" w:rsidP="00E347ED">
            <w:pPr>
              <w:widowControl w:val="0"/>
              <w:autoSpaceDE w:val="0"/>
              <w:autoSpaceDN w:val="0"/>
              <w:spacing w:after="0" w:line="240" w:lineRule="auto"/>
              <w:jc w:val="center"/>
              <w:rPr>
                <w:rFonts w:ascii="Times New Roman" w:eastAsia="Arial MT" w:hAnsi="Times New Roman" w:cs="Times New Roman"/>
              </w:rPr>
            </w:pPr>
            <w:r>
              <w:rPr>
                <w:rFonts w:ascii="Times New Roman" w:eastAsia="Arial MT" w:hAnsi="Times New Roman" w:cs="Times New Roman"/>
              </w:rPr>
              <w:t>40,00</w:t>
            </w:r>
          </w:p>
        </w:tc>
      </w:tr>
    </w:tbl>
    <w:p w14:paraId="27AC6990" w14:textId="77777777" w:rsidR="004E2B27" w:rsidRPr="00411E21" w:rsidRDefault="004E2B27" w:rsidP="00411E21">
      <w:pPr>
        <w:jc w:val="both"/>
        <w:rPr>
          <w:rFonts w:ascii="Times New Roman" w:hAnsi="Times New Roman"/>
        </w:rPr>
      </w:pPr>
    </w:p>
    <w:p w14:paraId="28484954" w14:textId="17F4BB5F" w:rsidR="00722358" w:rsidRDefault="00722358" w:rsidP="00E40FD3">
      <w:pPr>
        <w:spacing w:after="0" w:line="240" w:lineRule="auto"/>
        <w:ind w:firstLine="567"/>
        <w:jc w:val="both"/>
        <w:rPr>
          <w:rFonts w:ascii="Times New Roman" w:hAnsi="Times New Roman" w:cs="Times New Roman"/>
        </w:rPr>
      </w:pPr>
      <w:r w:rsidRPr="00722358">
        <w:rPr>
          <w:rFonts w:ascii="Times New Roman" w:hAnsi="Times New Roman" w:cs="Times New Roman"/>
          <w:i/>
        </w:rPr>
        <w:t>Aktivnost A100905</w:t>
      </w:r>
      <w:r w:rsidRPr="00722358">
        <w:rPr>
          <w:rFonts w:ascii="Times New Roman" w:hAnsi="Times New Roman" w:cs="Times New Roman"/>
        </w:rPr>
        <w:t xml:space="preserve"> – Subvencija korištenja poslovnog prostora u Poduzetničkom inkubatoru</w:t>
      </w:r>
    </w:p>
    <w:p w14:paraId="7361A9F4" w14:textId="2814A303" w:rsidR="00411E21" w:rsidRPr="00411E21" w:rsidRDefault="00411E21" w:rsidP="00411E21">
      <w:pPr>
        <w:jc w:val="both"/>
        <w:rPr>
          <w:rFonts w:ascii="Times New Roman" w:hAnsi="Times New Roman"/>
        </w:rPr>
      </w:pPr>
      <w:r>
        <w:rPr>
          <w:rFonts w:ascii="Times New Roman" w:hAnsi="Times New Roman"/>
        </w:rPr>
        <w:t xml:space="preserve">Ovom aktivnošću potiče se razvoj gospodarstva na području Grada na način da se novoosnovanim poduzećima omogućuje korištenje poslovnog prostora uz svu infrastrukturu u Poduzetničkom inkubatoru Garešnica. </w:t>
      </w:r>
    </w:p>
    <w:p w14:paraId="78953BFA" w14:textId="77777777" w:rsidR="00722358" w:rsidRPr="00722358" w:rsidRDefault="00722358" w:rsidP="00E40FD3">
      <w:pPr>
        <w:spacing w:after="0" w:line="240" w:lineRule="auto"/>
        <w:ind w:firstLine="567"/>
        <w:jc w:val="both"/>
        <w:rPr>
          <w:rFonts w:ascii="Times New Roman" w:hAnsi="Times New Roman" w:cs="Times New Roman"/>
        </w:rPr>
      </w:pPr>
      <w:r w:rsidRPr="00722358">
        <w:rPr>
          <w:rFonts w:ascii="Times New Roman" w:hAnsi="Times New Roman" w:cs="Times New Roman"/>
          <w:i/>
        </w:rPr>
        <w:t>Aktivnost A100912</w:t>
      </w:r>
      <w:r w:rsidRPr="00722358">
        <w:rPr>
          <w:rFonts w:ascii="Times New Roman" w:hAnsi="Times New Roman" w:cs="Times New Roman"/>
        </w:rPr>
        <w:t>– Poticanje osnivanja novih poduzeća / obrta</w:t>
      </w:r>
    </w:p>
    <w:p w14:paraId="32EB05C4" w14:textId="0C0BBBD2" w:rsidR="00722358" w:rsidRDefault="00411E21" w:rsidP="00411E21">
      <w:pPr>
        <w:jc w:val="both"/>
        <w:rPr>
          <w:rFonts w:ascii="Times New Roman" w:hAnsi="Times New Roman"/>
        </w:rPr>
      </w:pPr>
      <w:r>
        <w:rPr>
          <w:rFonts w:ascii="Times New Roman" w:hAnsi="Times New Roman"/>
        </w:rPr>
        <w:t xml:space="preserve">Ovom aktivnošću potiče se razvoj gospodarstva na području grada na način da se novoosnovanim poduzećima sufinanciraju svi prihvatljivi troškovi prilikom otvaranja poduzeća/obrta.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07"/>
        <w:gridCol w:w="2996"/>
        <w:gridCol w:w="962"/>
        <w:gridCol w:w="1122"/>
        <w:gridCol w:w="1105"/>
        <w:gridCol w:w="968"/>
      </w:tblGrid>
      <w:tr w:rsidR="001C0647" w:rsidRPr="00F64569" w14:paraId="3D8754FE" w14:textId="77777777" w:rsidTr="00E347ED">
        <w:trPr>
          <w:trHeight w:val="633"/>
          <w:jc w:val="center"/>
        </w:trPr>
        <w:tc>
          <w:tcPr>
            <w:tcW w:w="1052" w:type="pct"/>
            <w:shd w:val="clear" w:color="auto" w:fill="BFBFBF"/>
          </w:tcPr>
          <w:p w14:paraId="51789258" w14:textId="77777777" w:rsidR="001C0647" w:rsidRPr="00F64569" w:rsidRDefault="001C0647" w:rsidP="00E347ED">
            <w:pPr>
              <w:widowControl w:val="0"/>
              <w:autoSpaceDE w:val="0"/>
              <w:autoSpaceDN w:val="0"/>
              <w:spacing w:before="104" w:after="0" w:line="240" w:lineRule="auto"/>
              <w:ind w:left="136" w:right="110" w:firstLine="59"/>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Pokazatelj</w:t>
            </w:r>
            <w:r w:rsidRPr="00F64569">
              <w:rPr>
                <w:rFonts w:ascii="Times New Roman" w:eastAsia="Arial MT" w:hAnsi="Times New Roman" w:cs="Times New Roman"/>
                <w:b/>
                <w:spacing w:val="1"/>
                <w:sz w:val="20"/>
                <w:szCs w:val="20"/>
              </w:rPr>
              <w:t xml:space="preserve"> </w:t>
            </w:r>
            <w:r>
              <w:rPr>
                <w:rFonts w:ascii="Times New Roman" w:eastAsia="Arial MT" w:hAnsi="Times New Roman" w:cs="Times New Roman"/>
                <w:b/>
                <w:sz w:val="20"/>
                <w:szCs w:val="20"/>
              </w:rPr>
              <w:t>rezultata</w:t>
            </w:r>
          </w:p>
        </w:tc>
        <w:tc>
          <w:tcPr>
            <w:tcW w:w="1653" w:type="pct"/>
            <w:shd w:val="clear" w:color="auto" w:fill="BFBFBF"/>
          </w:tcPr>
          <w:p w14:paraId="1993221F" w14:textId="77777777" w:rsidR="001C0647" w:rsidRPr="00F64569" w:rsidRDefault="001C0647" w:rsidP="00E347ED">
            <w:pPr>
              <w:widowControl w:val="0"/>
              <w:autoSpaceDE w:val="0"/>
              <w:autoSpaceDN w:val="0"/>
              <w:spacing w:after="0" w:line="240" w:lineRule="auto"/>
              <w:jc w:val="both"/>
              <w:rPr>
                <w:rFonts w:ascii="Times New Roman" w:eastAsia="Arial MT" w:hAnsi="Times New Roman" w:cs="Times New Roman"/>
                <w:b/>
                <w:sz w:val="20"/>
                <w:szCs w:val="20"/>
              </w:rPr>
            </w:pPr>
          </w:p>
          <w:p w14:paraId="3C90C52C" w14:textId="77777777" w:rsidR="001C0647" w:rsidRPr="00F64569" w:rsidRDefault="001C0647" w:rsidP="00E347ED">
            <w:pPr>
              <w:widowControl w:val="0"/>
              <w:autoSpaceDE w:val="0"/>
              <w:autoSpaceDN w:val="0"/>
              <w:spacing w:before="1" w:after="0" w:line="240" w:lineRule="auto"/>
              <w:ind w:left="1136" w:right="832"/>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Definicija</w:t>
            </w:r>
          </w:p>
        </w:tc>
        <w:tc>
          <w:tcPr>
            <w:tcW w:w="531" w:type="pct"/>
            <w:shd w:val="clear" w:color="auto" w:fill="BFBFBF"/>
          </w:tcPr>
          <w:p w14:paraId="18E8EE85" w14:textId="77777777" w:rsidR="001C0647" w:rsidRPr="00F64569" w:rsidRDefault="001C0647" w:rsidP="00E347ED">
            <w:pPr>
              <w:widowControl w:val="0"/>
              <w:autoSpaceDE w:val="0"/>
              <w:autoSpaceDN w:val="0"/>
              <w:spacing w:after="0" w:line="240" w:lineRule="auto"/>
              <w:jc w:val="both"/>
              <w:rPr>
                <w:rFonts w:ascii="Times New Roman" w:eastAsia="Arial MT" w:hAnsi="Times New Roman" w:cs="Times New Roman"/>
                <w:b/>
                <w:sz w:val="20"/>
                <w:szCs w:val="20"/>
              </w:rPr>
            </w:pPr>
          </w:p>
          <w:p w14:paraId="3B132D5F" w14:textId="77777777" w:rsidR="001C0647" w:rsidRPr="00F64569" w:rsidRDefault="001C0647" w:rsidP="00E347ED">
            <w:pPr>
              <w:widowControl w:val="0"/>
              <w:autoSpaceDE w:val="0"/>
              <w:autoSpaceDN w:val="0"/>
              <w:spacing w:before="1" w:after="0" w:line="240" w:lineRule="auto"/>
              <w:ind w:left="112" w:right="105"/>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Jedinica</w:t>
            </w:r>
          </w:p>
        </w:tc>
        <w:tc>
          <w:tcPr>
            <w:tcW w:w="619" w:type="pct"/>
            <w:shd w:val="clear" w:color="auto" w:fill="BFBFBF"/>
          </w:tcPr>
          <w:p w14:paraId="69C0732B" w14:textId="77777777" w:rsidR="001C0647" w:rsidRPr="00F64569" w:rsidRDefault="001C0647" w:rsidP="00E347ED">
            <w:pPr>
              <w:widowControl w:val="0"/>
              <w:autoSpaceDE w:val="0"/>
              <w:autoSpaceDN w:val="0"/>
              <w:spacing w:after="0" w:line="206" w:lineRule="exact"/>
              <w:ind w:left="122" w:right="121"/>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Ciljana</w:t>
            </w:r>
          </w:p>
          <w:p w14:paraId="170F3AC6" w14:textId="77777777" w:rsidR="001C0647" w:rsidRPr="00F64569" w:rsidRDefault="001C0647" w:rsidP="00E347ED">
            <w:pPr>
              <w:widowControl w:val="0"/>
              <w:autoSpaceDE w:val="0"/>
              <w:autoSpaceDN w:val="0"/>
              <w:spacing w:after="0" w:line="206" w:lineRule="exact"/>
              <w:ind w:left="124" w:right="121"/>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vrijednost</w:t>
            </w:r>
            <w:r w:rsidRPr="00F64569">
              <w:rPr>
                <w:rFonts w:ascii="Times New Roman" w:eastAsia="Arial MT" w:hAnsi="Times New Roman" w:cs="Times New Roman"/>
                <w:b/>
                <w:spacing w:val="-47"/>
                <w:sz w:val="20"/>
                <w:szCs w:val="20"/>
              </w:rPr>
              <w:t xml:space="preserve">   </w:t>
            </w:r>
            <w:r w:rsidRPr="00F64569">
              <w:rPr>
                <w:rFonts w:ascii="Times New Roman" w:eastAsia="Arial MT" w:hAnsi="Times New Roman" w:cs="Times New Roman"/>
                <w:b/>
                <w:sz w:val="20"/>
                <w:szCs w:val="20"/>
              </w:rPr>
              <w:t>2024.</w:t>
            </w:r>
          </w:p>
        </w:tc>
        <w:tc>
          <w:tcPr>
            <w:tcW w:w="610" w:type="pct"/>
            <w:shd w:val="clear" w:color="auto" w:fill="BFBFBF"/>
          </w:tcPr>
          <w:p w14:paraId="3E4E84F6" w14:textId="77777777" w:rsidR="001C0647" w:rsidRPr="00F64569" w:rsidRDefault="001C0647" w:rsidP="00E347ED">
            <w:pPr>
              <w:widowControl w:val="0"/>
              <w:autoSpaceDE w:val="0"/>
              <w:autoSpaceDN w:val="0"/>
              <w:spacing w:after="0" w:line="205" w:lineRule="exact"/>
              <w:ind w:left="89"/>
              <w:jc w:val="both"/>
              <w:rPr>
                <w:rFonts w:ascii="Times New Roman" w:eastAsia="Arial MT" w:hAnsi="Times New Roman" w:cs="Times New Roman"/>
                <w:b/>
                <w:sz w:val="20"/>
                <w:szCs w:val="20"/>
              </w:rPr>
            </w:pPr>
            <w:r>
              <w:rPr>
                <w:rFonts w:ascii="Times New Roman" w:eastAsia="Arial MT" w:hAnsi="Times New Roman" w:cs="Times New Roman"/>
                <w:b/>
                <w:sz w:val="20"/>
                <w:szCs w:val="20"/>
              </w:rPr>
              <w:t>Izvršenje</w:t>
            </w:r>
          </w:p>
        </w:tc>
        <w:tc>
          <w:tcPr>
            <w:tcW w:w="534" w:type="pct"/>
            <w:shd w:val="clear" w:color="auto" w:fill="BFBFBF"/>
          </w:tcPr>
          <w:p w14:paraId="654FB2B2" w14:textId="77777777" w:rsidR="001C0647" w:rsidRPr="00F64569" w:rsidRDefault="001C0647" w:rsidP="00E347ED">
            <w:pPr>
              <w:widowControl w:val="0"/>
              <w:autoSpaceDE w:val="0"/>
              <w:autoSpaceDN w:val="0"/>
              <w:spacing w:after="0" w:line="240" w:lineRule="auto"/>
              <w:ind w:left="130" w:right="115" w:firstLine="134"/>
              <w:jc w:val="both"/>
              <w:rPr>
                <w:rFonts w:ascii="Times New Roman" w:eastAsia="Arial MT" w:hAnsi="Times New Roman" w:cs="Times New Roman"/>
                <w:b/>
                <w:sz w:val="20"/>
                <w:szCs w:val="20"/>
              </w:rPr>
            </w:pPr>
            <w:r>
              <w:rPr>
                <w:rFonts w:ascii="Times New Roman" w:eastAsia="Arial MT" w:hAnsi="Times New Roman" w:cs="Times New Roman"/>
                <w:b/>
                <w:sz w:val="20"/>
                <w:szCs w:val="20"/>
              </w:rPr>
              <w:t>Indeks</w:t>
            </w:r>
          </w:p>
        </w:tc>
      </w:tr>
      <w:tr w:rsidR="001C0647" w:rsidRPr="00F64569" w14:paraId="43E3A6A2" w14:textId="77777777" w:rsidTr="00E347ED">
        <w:trPr>
          <w:trHeight w:val="620"/>
          <w:jc w:val="center"/>
        </w:trPr>
        <w:tc>
          <w:tcPr>
            <w:tcW w:w="1052" w:type="pct"/>
            <w:shd w:val="clear" w:color="auto" w:fill="auto"/>
          </w:tcPr>
          <w:p w14:paraId="0BD4778F" w14:textId="6DC27068" w:rsidR="001C0647" w:rsidRPr="00F64569" w:rsidRDefault="001C0647" w:rsidP="00E347ED">
            <w:pPr>
              <w:widowControl w:val="0"/>
              <w:autoSpaceDE w:val="0"/>
              <w:autoSpaceDN w:val="0"/>
              <w:spacing w:before="1" w:after="0" w:line="240" w:lineRule="auto"/>
              <w:ind w:right="109"/>
              <w:jc w:val="center"/>
              <w:rPr>
                <w:rFonts w:ascii="Times New Roman" w:eastAsia="Arial MT" w:hAnsi="Times New Roman" w:cs="Times New Roman"/>
              </w:rPr>
            </w:pPr>
            <w:r>
              <w:rPr>
                <w:rFonts w:ascii="Times New Roman" w:eastAsia="Arial MT" w:hAnsi="Times New Roman" w:cs="Times New Roman"/>
              </w:rPr>
              <w:t>Broj novootvorenih poduzeća/obrta</w:t>
            </w:r>
          </w:p>
        </w:tc>
        <w:tc>
          <w:tcPr>
            <w:tcW w:w="1653" w:type="pct"/>
            <w:shd w:val="clear" w:color="auto" w:fill="auto"/>
          </w:tcPr>
          <w:p w14:paraId="70FB4FE9" w14:textId="5C660765" w:rsidR="001C0647" w:rsidRPr="00F64569" w:rsidRDefault="001C0647" w:rsidP="00E347ED">
            <w:pPr>
              <w:widowControl w:val="0"/>
              <w:autoSpaceDE w:val="0"/>
              <w:autoSpaceDN w:val="0"/>
              <w:spacing w:after="0" w:line="187" w:lineRule="exact"/>
              <w:ind w:left="105"/>
              <w:jc w:val="center"/>
              <w:rPr>
                <w:rFonts w:ascii="Times New Roman" w:eastAsia="Arial MT" w:hAnsi="Times New Roman" w:cs="Times New Roman"/>
              </w:rPr>
            </w:pPr>
            <w:r>
              <w:rPr>
                <w:rFonts w:ascii="Times New Roman" w:eastAsia="Arial MT" w:hAnsi="Times New Roman" w:cs="Times New Roman"/>
              </w:rPr>
              <w:t>Povećanje konkurentnosti poduzeća s područja Grada</w:t>
            </w:r>
          </w:p>
        </w:tc>
        <w:tc>
          <w:tcPr>
            <w:tcW w:w="531" w:type="pct"/>
            <w:shd w:val="clear" w:color="auto" w:fill="auto"/>
          </w:tcPr>
          <w:p w14:paraId="743588DD" w14:textId="77777777" w:rsidR="001C0647" w:rsidRPr="00F64569" w:rsidRDefault="001C0647" w:rsidP="00E347ED">
            <w:pPr>
              <w:widowControl w:val="0"/>
              <w:autoSpaceDE w:val="0"/>
              <w:autoSpaceDN w:val="0"/>
              <w:spacing w:before="1" w:after="0" w:line="240" w:lineRule="auto"/>
              <w:ind w:right="137"/>
              <w:jc w:val="center"/>
              <w:rPr>
                <w:rFonts w:ascii="Times New Roman" w:eastAsia="Arial MT" w:hAnsi="Times New Roman" w:cs="Times New Roman"/>
              </w:rPr>
            </w:pPr>
            <w:r>
              <w:rPr>
                <w:rFonts w:ascii="Times New Roman" w:eastAsia="Arial MT" w:hAnsi="Times New Roman" w:cs="Times New Roman"/>
              </w:rPr>
              <w:t>Kom</w:t>
            </w:r>
          </w:p>
        </w:tc>
        <w:tc>
          <w:tcPr>
            <w:tcW w:w="619" w:type="pct"/>
            <w:shd w:val="clear" w:color="auto" w:fill="auto"/>
          </w:tcPr>
          <w:p w14:paraId="44D083CA" w14:textId="4EA58AC4" w:rsidR="001C0647" w:rsidRPr="00F64569" w:rsidRDefault="001C0647" w:rsidP="00E347ED">
            <w:pPr>
              <w:widowControl w:val="0"/>
              <w:autoSpaceDE w:val="0"/>
              <w:autoSpaceDN w:val="0"/>
              <w:spacing w:after="0" w:line="240" w:lineRule="auto"/>
              <w:ind w:right="121"/>
              <w:jc w:val="center"/>
              <w:rPr>
                <w:rFonts w:ascii="Times New Roman" w:eastAsia="Arial MT" w:hAnsi="Times New Roman" w:cs="Times New Roman"/>
              </w:rPr>
            </w:pPr>
            <w:r>
              <w:rPr>
                <w:rFonts w:ascii="Times New Roman" w:eastAsia="Arial MT" w:hAnsi="Times New Roman" w:cs="Times New Roman"/>
              </w:rPr>
              <w:t>15</w:t>
            </w:r>
          </w:p>
        </w:tc>
        <w:tc>
          <w:tcPr>
            <w:tcW w:w="610" w:type="pct"/>
            <w:shd w:val="clear" w:color="auto" w:fill="auto"/>
          </w:tcPr>
          <w:p w14:paraId="0E5CBFD1" w14:textId="48E9EC67" w:rsidR="001C0647" w:rsidRPr="00F64569" w:rsidRDefault="001C0647" w:rsidP="00E347ED">
            <w:pPr>
              <w:widowControl w:val="0"/>
              <w:autoSpaceDE w:val="0"/>
              <w:autoSpaceDN w:val="0"/>
              <w:spacing w:after="0" w:line="240" w:lineRule="auto"/>
              <w:ind w:right="460"/>
              <w:jc w:val="center"/>
              <w:rPr>
                <w:rFonts w:ascii="Times New Roman" w:eastAsia="Arial MT" w:hAnsi="Times New Roman" w:cs="Times New Roman"/>
              </w:rPr>
            </w:pPr>
            <w:r>
              <w:rPr>
                <w:rFonts w:ascii="Times New Roman" w:eastAsia="Arial MT" w:hAnsi="Times New Roman" w:cs="Times New Roman"/>
              </w:rPr>
              <w:t>6</w:t>
            </w:r>
          </w:p>
        </w:tc>
        <w:tc>
          <w:tcPr>
            <w:tcW w:w="534" w:type="pct"/>
          </w:tcPr>
          <w:p w14:paraId="173769D4" w14:textId="77777777" w:rsidR="001C0647" w:rsidRPr="00F64569" w:rsidRDefault="001C0647" w:rsidP="00E347ED">
            <w:pPr>
              <w:widowControl w:val="0"/>
              <w:autoSpaceDE w:val="0"/>
              <w:autoSpaceDN w:val="0"/>
              <w:spacing w:after="0" w:line="240" w:lineRule="auto"/>
              <w:jc w:val="center"/>
              <w:rPr>
                <w:rFonts w:ascii="Times New Roman" w:eastAsia="Arial MT" w:hAnsi="Times New Roman" w:cs="Times New Roman"/>
              </w:rPr>
            </w:pPr>
            <w:r>
              <w:rPr>
                <w:rFonts w:ascii="Times New Roman" w:eastAsia="Arial MT" w:hAnsi="Times New Roman" w:cs="Times New Roman"/>
              </w:rPr>
              <w:t>40,00</w:t>
            </w:r>
          </w:p>
        </w:tc>
      </w:tr>
    </w:tbl>
    <w:p w14:paraId="44E64883" w14:textId="77777777" w:rsidR="001C0647" w:rsidRPr="00411E21" w:rsidRDefault="001C0647" w:rsidP="00411E21">
      <w:pPr>
        <w:jc w:val="both"/>
        <w:rPr>
          <w:rFonts w:ascii="Times New Roman" w:hAnsi="Times New Roman"/>
        </w:rPr>
      </w:pPr>
    </w:p>
    <w:p w14:paraId="743FCAFA" w14:textId="77777777" w:rsidR="00654B9E" w:rsidRDefault="00722358" w:rsidP="00654B9E">
      <w:pPr>
        <w:spacing w:after="0" w:line="240" w:lineRule="auto"/>
        <w:ind w:firstLine="567"/>
        <w:jc w:val="both"/>
        <w:rPr>
          <w:rFonts w:ascii="Times New Roman" w:hAnsi="Times New Roman" w:cs="Times New Roman"/>
        </w:rPr>
      </w:pPr>
      <w:r w:rsidRPr="00722358">
        <w:rPr>
          <w:rFonts w:ascii="Times New Roman" w:hAnsi="Times New Roman" w:cs="Times New Roman"/>
          <w:i/>
        </w:rPr>
        <w:t>Aktivnost A100915</w:t>
      </w:r>
      <w:r w:rsidRPr="00722358">
        <w:rPr>
          <w:rFonts w:ascii="Times New Roman" w:hAnsi="Times New Roman" w:cs="Times New Roman"/>
        </w:rPr>
        <w:t xml:space="preserve"> – Potpora za razvoj voćarstva, vinogradarstva i povrtlarstva</w:t>
      </w:r>
    </w:p>
    <w:p w14:paraId="48D85E8F" w14:textId="2D2525C1" w:rsidR="00411E21" w:rsidRPr="00654B9E" w:rsidRDefault="00411E21" w:rsidP="00654B9E">
      <w:pPr>
        <w:spacing w:after="0" w:line="240" w:lineRule="auto"/>
        <w:jc w:val="both"/>
        <w:rPr>
          <w:rFonts w:ascii="Times New Roman" w:hAnsi="Times New Roman" w:cs="Times New Roman"/>
        </w:rPr>
      </w:pPr>
      <w:r>
        <w:rPr>
          <w:rFonts w:ascii="Times New Roman" w:hAnsi="Times New Roman"/>
        </w:rPr>
        <w:t xml:space="preserve">Ovom aktivnošću sufinanciranju se voćari, vinogradari i povrtlari s područja </w:t>
      </w:r>
      <w:r w:rsidR="00654B9E">
        <w:rPr>
          <w:rFonts w:ascii="Times New Roman" w:hAnsi="Times New Roman"/>
        </w:rPr>
        <w:t>G</w:t>
      </w:r>
      <w:r>
        <w:rPr>
          <w:rFonts w:ascii="Times New Roman" w:hAnsi="Times New Roman"/>
        </w:rPr>
        <w:t xml:space="preserve">rada </w:t>
      </w:r>
      <w:r w:rsidR="00654B9E">
        <w:rPr>
          <w:rFonts w:ascii="Times New Roman" w:hAnsi="Times New Roman"/>
        </w:rPr>
        <w:t>temeljem</w:t>
      </w:r>
      <w:r>
        <w:rPr>
          <w:rFonts w:ascii="Times New Roman" w:hAnsi="Times New Roman"/>
        </w:rPr>
        <w:t xml:space="preserve"> ulaganja u vlastitu infrastrukturu na OPG-ovima. </w:t>
      </w:r>
      <w:r w:rsidR="00654B9E">
        <w:rPr>
          <w:rFonts w:ascii="Times New Roman" w:hAnsi="Times New Roman"/>
        </w:rPr>
        <w:t>U 202</w:t>
      </w:r>
      <w:r w:rsidR="000D1591">
        <w:rPr>
          <w:rFonts w:ascii="Times New Roman" w:hAnsi="Times New Roman"/>
        </w:rPr>
        <w:t>4</w:t>
      </w:r>
      <w:r w:rsidR="00654B9E">
        <w:rPr>
          <w:rFonts w:ascii="Times New Roman" w:hAnsi="Times New Roman"/>
        </w:rPr>
        <w:t xml:space="preserve">. godini temeljem Javnog poziva dodijeljeno je </w:t>
      </w:r>
      <w:r w:rsidR="000D1591">
        <w:rPr>
          <w:rFonts w:ascii="Times New Roman" w:hAnsi="Times New Roman"/>
        </w:rPr>
        <w:t>šest</w:t>
      </w:r>
      <w:r w:rsidR="00654B9E">
        <w:rPr>
          <w:rFonts w:ascii="Times New Roman" w:hAnsi="Times New Roman"/>
        </w:rPr>
        <w:t xml:space="preserve"> subvencija</w:t>
      </w:r>
      <w:r w:rsidR="000D1591">
        <w:rPr>
          <w:rFonts w:ascii="Times New Roman" w:hAnsi="Times New Roman"/>
        </w:rPr>
        <w:t>.</w:t>
      </w:r>
    </w:p>
    <w:p w14:paraId="0F588084" w14:textId="77777777" w:rsidR="00654B9E" w:rsidRPr="00722358" w:rsidRDefault="00654B9E" w:rsidP="00654B9E">
      <w:pPr>
        <w:spacing w:after="0" w:line="240" w:lineRule="auto"/>
        <w:jc w:val="both"/>
        <w:rPr>
          <w:rFonts w:ascii="Times New Roman" w:hAnsi="Times New Roman" w:cs="Times New Roman"/>
        </w:rPr>
      </w:pPr>
    </w:p>
    <w:p w14:paraId="6921108B" w14:textId="77777777" w:rsidR="00722358" w:rsidRDefault="00722358" w:rsidP="00E40FD3">
      <w:pPr>
        <w:spacing w:after="0" w:line="240" w:lineRule="auto"/>
        <w:ind w:firstLine="567"/>
        <w:jc w:val="both"/>
        <w:rPr>
          <w:rFonts w:ascii="Times New Roman" w:hAnsi="Times New Roman" w:cs="Times New Roman"/>
        </w:rPr>
      </w:pPr>
      <w:r w:rsidRPr="00722358">
        <w:rPr>
          <w:rFonts w:ascii="Times New Roman" w:hAnsi="Times New Roman" w:cs="Times New Roman"/>
          <w:i/>
        </w:rPr>
        <w:t xml:space="preserve">Aktivnost A100917 </w:t>
      </w:r>
      <w:r w:rsidRPr="00722358">
        <w:rPr>
          <w:rFonts w:ascii="Times New Roman" w:hAnsi="Times New Roman" w:cs="Times New Roman"/>
        </w:rPr>
        <w:t>– Subvencioniranje korištenja uredskih prostora u Tehno parku Garešnica</w:t>
      </w:r>
    </w:p>
    <w:p w14:paraId="1A542643" w14:textId="6535D0FC" w:rsidR="00BA51C0" w:rsidRPr="00BA51C0" w:rsidRDefault="00BA51C0" w:rsidP="00BA51C0">
      <w:pPr>
        <w:widowControl w:val="0"/>
        <w:autoSpaceDE w:val="0"/>
        <w:autoSpaceDN w:val="0"/>
        <w:adjustRightInd w:val="0"/>
        <w:spacing w:after="0" w:line="240" w:lineRule="auto"/>
        <w:jc w:val="both"/>
        <w:rPr>
          <w:rFonts w:ascii="Times New Roman" w:hAnsi="Times New Roman"/>
        </w:rPr>
      </w:pPr>
      <w:r w:rsidRPr="00BA51C0">
        <w:rPr>
          <w:rFonts w:ascii="Times New Roman" w:hAnsi="Times New Roman"/>
        </w:rPr>
        <w:t>Osnovni cilj Tehno parka je osigurati pomoć poduzetnicima početnicima, mladim poduzetnicima te ženama poduzetnicama na području Grada Garešnice subvencioniranim zakupom poslovnih prostora, potrebnom informatičkom i uredskom opremom te pružanjem poslovnih i savjetodavnih usluga u prvim godinama njihova poslovanja.</w:t>
      </w:r>
      <w:r>
        <w:rPr>
          <w:rFonts w:ascii="Times New Roman" w:hAnsi="Times New Roman"/>
        </w:rPr>
        <w:t xml:space="preserve"> U 202</w:t>
      </w:r>
      <w:r w:rsidR="000D1591">
        <w:rPr>
          <w:rFonts w:ascii="Times New Roman" w:hAnsi="Times New Roman"/>
        </w:rPr>
        <w:t>4</w:t>
      </w:r>
      <w:r>
        <w:rPr>
          <w:rFonts w:ascii="Times New Roman" w:hAnsi="Times New Roman"/>
        </w:rPr>
        <w:t xml:space="preserve">. godini </w:t>
      </w:r>
      <w:r w:rsidR="000D1591">
        <w:rPr>
          <w:rFonts w:ascii="Times New Roman" w:hAnsi="Times New Roman"/>
        </w:rPr>
        <w:t>koristilo je 8 poduzetnika prostore u Tehno parku Garešnica.</w:t>
      </w:r>
    </w:p>
    <w:p w14:paraId="3106459F" w14:textId="77777777" w:rsidR="00BA51C0" w:rsidRPr="00722358" w:rsidRDefault="00BA51C0" w:rsidP="00BA51C0">
      <w:pPr>
        <w:spacing w:after="0" w:line="240" w:lineRule="auto"/>
        <w:jc w:val="both"/>
        <w:rPr>
          <w:rFonts w:ascii="Times New Roman" w:hAnsi="Times New Roman" w:cs="Times New Roman"/>
        </w:rPr>
      </w:pPr>
    </w:p>
    <w:p w14:paraId="2EE826F9" w14:textId="77777777" w:rsidR="00722358" w:rsidRPr="00722358" w:rsidRDefault="00722358" w:rsidP="00E40FD3">
      <w:pPr>
        <w:spacing w:after="0" w:line="240" w:lineRule="auto"/>
        <w:ind w:firstLine="567"/>
        <w:jc w:val="both"/>
        <w:rPr>
          <w:rFonts w:ascii="Times New Roman" w:hAnsi="Times New Roman" w:cs="Times New Roman"/>
        </w:rPr>
      </w:pPr>
      <w:r w:rsidRPr="00722358">
        <w:rPr>
          <w:rFonts w:ascii="Times New Roman" w:hAnsi="Times New Roman" w:cs="Times New Roman"/>
          <w:i/>
        </w:rPr>
        <w:t xml:space="preserve">Aktivnost A100919 </w:t>
      </w:r>
      <w:r w:rsidRPr="00722358">
        <w:rPr>
          <w:rFonts w:ascii="Times New Roman" w:hAnsi="Times New Roman" w:cs="Times New Roman"/>
        </w:rPr>
        <w:t>– Subvencija kupovne cijene zemljišta u Poduzetničkoj zoni Kapelica</w:t>
      </w:r>
    </w:p>
    <w:p w14:paraId="033A95D5" w14:textId="78C491A7" w:rsidR="00BA51C0" w:rsidRDefault="00BA51C0" w:rsidP="00BA51C0">
      <w:pPr>
        <w:autoSpaceDE w:val="0"/>
        <w:autoSpaceDN w:val="0"/>
        <w:adjustRightInd w:val="0"/>
        <w:spacing w:after="0" w:line="240" w:lineRule="auto"/>
        <w:rPr>
          <w:rFonts w:ascii="Times New Roman" w:hAnsi="Times New Roman" w:cs="Times New Roman"/>
        </w:rPr>
      </w:pPr>
      <w:r>
        <w:rPr>
          <w:rFonts w:ascii="Times New Roman" w:hAnsi="Times New Roman" w:cs="Times New Roman"/>
        </w:rPr>
        <w:t>Ovom aktivnošću nastoji se poticati</w:t>
      </w:r>
      <w:r w:rsidRPr="00BA51C0">
        <w:rPr>
          <w:rFonts w:ascii="Times New Roman" w:hAnsi="Times New Roman" w:cs="Times New Roman"/>
        </w:rPr>
        <w:t xml:space="preserve"> gospodarskog razvoja i poduzetničkih aktivnosti radi privlačenja ulaganja</w:t>
      </w:r>
      <w:r>
        <w:rPr>
          <w:rFonts w:ascii="Times New Roman" w:hAnsi="Times New Roman" w:cs="Times New Roman"/>
        </w:rPr>
        <w:t xml:space="preserve"> </w:t>
      </w:r>
      <w:r w:rsidRPr="00BA51C0">
        <w:rPr>
          <w:rFonts w:ascii="Times New Roman" w:hAnsi="Times New Roman" w:cs="Times New Roman"/>
        </w:rPr>
        <w:t>i otvaranja novih radnih mjesta na području Grada Garešnice</w:t>
      </w:r>
      <w:r>
        <w:rPr>
          <w:rFonts w:ascii="Times New Roman" w:hAnsi="Times New Roman" w:cs="Times New Roman"/>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07"/>
        <w:gridCol w:w="2996"/>
        <w:gridCol w:w="962"/>
        <w:gridCol w:w="1122"/>
        <w:gridCol w:w="1105"/>
        <w:gridCol w:w="968"/>
      </w:tblGrid>
      <w:tr w:rsidR="00B1442E" w:rsidRPr="00F64569" w14:paraId="5DCAAF1D" w14:textId="77777777" w:rsidTr="00E347ED">
        <w:trPr>
          <w:trHeight w:val="633"/>
          <w:jc w:val="center"/>
        </w:trPr>
        <w:tc>
          <w:tcPr>
            <w:tcW w:w="1052" w:type="pct"/>
            <w:shd w:val="clear" w:color="auto" w:fill="BFBFBF"/>
          </w:tcPr>
          <w:p w14:paraId="37418D70" w14:textId="77777777" w:rsidR="00B1442E" w:rsidRPr="00F64569" w:rsidRDefault="00B1442E" w:rsidP="00E347ED">
            <w:pPr>
              <w:widowControl w:val="0"/>
              <w:autoSpaceDE w:val="0"/>
              <w:autoSpaceDN w:val="0"/>
              <w:spacing w:before="104" w:after="0" w:line="240" w:lineRule="auto"/>
              <w:ind w:left="136" w:right="110" w:firstLine="59"/>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Pokazatelj</w:t>
            </w:r>
            <w:r w:rsidRPr="00F64569">
              <w:rPr>
                <w:rFonts w:ascii="Times New Roman" w:eastAsia="Arial MT" w:hAnsi="Times New Roman" w:cs="Times New Roman"/>
                <w:b/>
                <w:spacing w:val="1"/>
                <w:sz w:val="20"/>
                <w:szCs w:val="20"/>
              </w:rPr>
              <w:t xml:space="preserve"> </w:t>
            </w:r>
            <w:r>
              <w:rPr>
                <w:rFonts w:ascii="Times New Roman" w:eastAsia="Arial MT" w:hAnsi="Times New Roman" w:cs="Times New Roman"/>
                <w:b/>
                <w:sz w:val="20"/>
                <w:szCs w:val="20"/>
              </w:rPr>
              <w:t>rezultata</w:t>
            </w:r>
          </w:p>
        </w:tc>
        <w:tc>
          <w:tcPr>
            <w:tcW w:w="1653" w:type="pct"/>
            <w:shd w:val="clear" w:color="auto" w:fill="BFBFBF"/>
          </w:tcPr>
          <w:p w14:paraId="68DBC74B" w14:textId="77777777" w:rsidR="00B1442E" w:rsidRPr="00F64569" w:rsidRDefault="00B1442E" w:rsidP="00E347ED">
            <w:pPr>
              <w:widowControl w:val="0"/>
              <w:autoSpaceDE w:val="0"/>
              <w:autoSpaceDN w:val="0"/>
              <w:spacing w:after="0" w:line="240" w:lineRule="auto"/>
              <w:jc w:val="both"/>
              <w:rPr>
                <w:rFonts w:ascii="Times New Roman" w:eastAsia="Arial MT" w:hAnsi="Times New Roman" w:cs="Times New Roman"/>
                <w:b/>
                <w:sz w:val="20"/>
                <w:szCs w:val="20"/>
              </w:rPr>
            </w:pPr>
          </w:p>
          <w:p w14:paraId="52797EA2" w14:textId="77777777" w:rsidR="00B1442E" w:rsidRPr="00F64569" w:rsidRDefault="00B1442E" w:rsidP="00E347ED">
            <w:pPr>
              <w:widowControl w:val="0"/>
              <w:autoSpaceDE w:val="0"/>
              <w:autoSpaceDN w:val="0"/>
              <w:spacing w:before="1" w:after="0" w:line="240" w:lineRule="auto"/>
              <w:ind w:left="1136" w:right="832"/>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Definicija</w:t>
            </w:r>
          </w:p>
        </w:tc>
        <w:tc>
          <w:tcPr>
            <w:tcW w:w="531" w:type="pct"/>
            <w:shd w:val="clear" w:color="auto" w:fill="BFBFBF"/>
          </w:tcPr>
          <w:p w14:paraId="19FBE665" w14:textId="77777777" w:rsidR="00B1442E" w:rsidRPr="00F64569" w:rsidRDefault="00B1442E" w:rsidP="00E347ED">
            <w:pPr>
              <w:widowControl w:val="0"/>
              <w:autoSpaceDE w:val="0"/>
              <w:autoSpaceDN w:val="0"/>
              <w:spacing w:after="0" w:line="240" w:lineRule="auto"/>
              <w:jc w:val="both"/>
              <w:rPr>
                <w:rFonts w:ascii="Times New Roman" w:eastAsia="Arial MT" w:hAnsi="Times New Roman" w:cs="Times New Roman"/>
                <w:b/>
                <w:sz w:val="20"/>
                <w:szCs w:val="20"/>
              </w:rPr>
            </w:pPr>
          </w:p>
          <w:p w14:paraId="6FC2667D" w14:textId="77777777" w:rsidR="00B1442E" w:rsidRPr="00F64569" w:rsidRDefault="00B1442E" w:rsidP="00E347ED">
            <w:pPr>
              <w:widowControl w:val="0"/>
              <w:autoSpaceDE w:val="0"/>
              <w:autoSpaceDN w:val="0"/>
              <w:spacing w:before="1" w:after="0" w:line="240" w:lineRule="auto"/>
              <w:ind w:left="112" w:right="105"/>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Jedinica</w:t>
            </w:r>
          </w:p>
        </w:tc>
        <w:tc>
          <w:tcPr>
            <w:tcW w:w="619" w:type="pct"/>
            <w:shd w:val="clear" w:color="auto" w:fill="BFBFBF"/>
          </w:tcPr>
          <w:p w14:paraId="0FE2B349" w14:textId="77777777" w:rsidR="00B1442E" w:rsidRPr="00F64569" w:rsidRDefault="00B1442E" w:rsidP="00E347ED">
            <w:pPr>
              <w:widowControl w:val="0"/>
              <w:autoSpaceDE w:val="0"/>
              <w:autoSpaceDN w:val="0"/>
              <w:spacing w:after="0" w:line="206" w:lineRule="exact"/>
              <w:ind w:left="122" w:right="121"/>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Ciljana</w:t>
            </w:r>
          </w:p>
          <w:p w14:paraId="0704C453" w14:textId="77777777" w:rsidR="00B1442E" w:rsidRPr="00F64569" w:rsidRDefault="00B1442E" w:rsidP="00E347ED">
            <w:pPr>
              <w:widowControl w:val="0"/>
              <w:autoSpaceDE w:val="0"/>
              <w:autoSpaceDN w:val="0"/>
              <w:spacing w:after="0" w:line="206" w:lineRule="exact"/>
              <w:ind w:left="124" w:right="121"/>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vrijednost</w:t>
            </w:r>
            <w:r w:rsidRPr="00F64569">
              <w:rPr>
                <w:rFonts w:ascii="Times New Roman" w:eastAsia="Arial MT" w:hAnsi="Times New Roman" w:cs="Times New Roman"/>
                <w:b/>
                <w:spacing w:val="-47"/>
                <w:sz w:val="20"/>
                <w:szCs w:val="20"/>
              </w:rPr>
              <w:t xml:space="preserve">   </w:t>
            </w:r>
            <w:r w:rsidRPr="00F64569">
              <w:rPr>
                <w:rFonts w:ascii="Times New Roman" w:eastAsia="Arial MT" w:hAnsi="Times New Roman" w:cs="Times New Roman"/>
                <w:b/>
                <w:sz w:val="20"/>
                <w:szCs w:val="20"/>
              </w:rPr>
              <w:t>2024.</w:t>
            </w:r>
          </w:p>
        </w:tc>
        <w:tc>
          <w:tcPr>
            <w:tcW w:w="610" w:type="pct"/>
            <w:shd w:val="clear" w:color="auto" w:fill="BFBFBF"/>
          </w:tcPr>
          <w:p w14:paraId="5CEC5E98" w14:textId="77777777" w:rsidR="00B1442E" w:rsidRPr="00F64569" w:rsidRDefault="00B1442E" w:rsidP="00E347ED">
            <w:pPr>
              <w:widowControl w:val="0"/>
              <w:autoSpaceDE w:val="0"/>
              <w:autoSpaceDN w:val="0"/>
              <w:spacing w:after="0" w:line="205" w:lineRule="exact"/>
              <w:ind w:left="89"/>
              <w:jc w:val="both"/>
              <w:rPr>
                <w:rFonts w:ascii="Times New Roman" w:eastAsia="Arial MT" w:hAnsi="Times New Roman" w:cs="Times New Roman"/>
                <w:b/>
                <w:sz w:val="20"/>
                <w:szCs w:val="20"/>
              </w:rPr>
            </w:pPr>
            <w:r>
              <w:rPr>
                <w:rFonts w:ascii="Times New Roman" w:eastAsia="Arial MT" w:hAnsi="Times New Roman" w:cs="Times New Roman"/>
                <w:b/>
                <w:sz w:val="20"/>
                <w:szCs w:val="20"/>
              </w:rPr>
              <w:t>Izvršenje</w:t>
            </w:r>
          </w:p>
        </w:tc>
        <w:tc>
          <w:tcPr>
            <w:tcW w:w="534" w:type="pct"/>
            <w:shd w:val="clear" w:color="auto" w:fill="BFBFBF"/>
          </w:tcPr>
          <w:p w14:paraId="72F5E121" w14:textId="77777777" w:rsidR="00B1442E" w:rsidRPr="00F64569" w:rsidRDefault="00B1442E" w:rsidP="00E347ED">
            <w:pPr>
              <w:widowControl w:val="0"/>
              <w:autoSpaceDE w:val="0"/>
              <w:autoSpaceDN w:val="0"/>
              <w:spacing w:after="0" w:line="240" w:lineRule="auto"/>
              <w:ind w:left="130" w:right="115" w:firstLine="134"/>
              <w:jc w:val="both"/>
              <w:rPr>
                <w:rFonts w:ascii="Times New Roman" w:eastAsia="Arial MT" w:hAnsi="Times New Roman" w:cs="Times New Roman"/>
                <w:b/>
                <w:sz w:val="20"/>
                <w:szCs w:val="20"/>
              </w:rPr>
            </w:pPr>
            <w:r>
              <w:rPr>
                <w:rFonts w:ascii="Times New Roman" w:eastAsia="Arial MT" w:hAnsi="Times New Roman" w:cs="Times New Roman"/>
                <w:b/>
                <w:sz w:val="20"/>
                <w:szCs w:val="20"/>
              </w:rPr>
              <w:t>Indeks</w:t>
            </w:r>
          </w:p>
        </w:tc>
      </w:tr>
      <w:tr w:rsidR="00B1442E" w:rsidRPr="00F64569" w14:paraId="343A7ED0" w14:textId="77777777" w:rsidTr="00E347ED">
        <w:trPr>
          <w:trHeight w:val="620"/>
          <w:jc w:val="center"/>
        </w:trPr>
        <w:tc>
          <w:tcPr>
            <w:tcW w:w="1052" w:type="pct"/>
            <w:shd w:val="clear" w:color="auto" w:fill="auto"/>
          </w:tcPr>
          <w:p w14:paraId="43ACDCC0" w14:textId="26D25307" w:rsidR="00B1442E" w:rsidRPr="00F64569" w:rsidRDefault="00B1442E" w:rsidP="00E347ED">
            <w:pPr>
              <w:widowControl w:val="0"/>
              <w:autoSpaceDE w:val="0"/>
              <w:autoSpaceDN w:val="0"/>
              <w:spacing w:before="1" w:after="0" w:line="240" w:lineRule="auto"/>
              <w:ind w:right="109"/>
              <w:jc w:val="center"/>
              <w:rPr>
                <w:rFonts w:ascii="Times New Roman" w:eastAsia="Arial MT" w:hAnsi="Times New Roman" w:cs="Times New Roman"/>
              </w:rPr>
            </w:pPr>
            <w:r>
              <w:rPr>
                <w:rFonts w:ascii="Times New Roman" w:eastAsia="Arial MT" w:hAnsi="Times New Roman" w:cs="Times New Roman"/>
              </w:rPr>
              <w:t>Broj poduzetnika koji se sufinanciraju</w:t>
            </w:r>
          </w:p>
        </w:tc>
        <w:tc>
          <w:tcPr>
            <w:tcW w:w="1653" w:type="pct"/>
            <w:shd w:val="clear" w:color="auto" w:fill="auto"/>
          </w:tcPr>
          <w:p w14:paraId="599D9D32" w14:textId="64863A07" w:rsidR="00B1442E" w:rsidRPr="00F64569" w:rsidRDefault="00B1442E" w:rsidP="00E347ED">
            <w:pPr>
              <w:widowControl w:val="0"/>
              <w:autoSpaceDE w:val="0"/>
              <w:autoSpaceDN w:val="0"/>
              <w:spacing w:after="0" w:line="187" w:lineRule="exact"/>
              <w:ind w:left="105"/>
              <w:jc w:val="center"/>
              <w:rPr>
                <w:rFonts w:ascii="Times New Roman" w:eastAsia="Arial MT" w:hAnsi="Times New Roman" w:cs="Times New Roman"/>
              </w:rPr>
            </w:pPr>
            <w:r>
              <w:rPr>
                <w:rFonts w:ascii="Times New Roman" w:eastAsia="Arial MT" w:hAnsi="Times New Roman" w:cs="Times New Roman"/>
              </w:rPr>
              <w:t>Povećanje konkurentnosti poduzeća s obzirom da se djelomično trošak kupnje zemljišta prebacuje na grad</w:t>
            </w:r>
          </w:p>
        </w:tc>
        <w:tc>
          <w:tcPr>
            <w:tcW w:w="531" w:type="pct"/>
            <w:shd w:val="clear" w:color="auto" w:fill="auto"/>
          </w:tcPr>
          <w:p w14:paraId="0EA47324" w14:textId="77777777" w:rsidR="00B1442E" w:rsidRPr="00F64569" w:rsidRDefault="00B1442E" w:rsidP="00E347ED">
            <w:pPr>
              <w:widowControl w:val="0"/>
              <w:autoSpaceDE w:val="0"/>
              <w:autoSpaceDN w:val="0"/>
              <w:spacing w:before="1" w:after="0" w:line="240" w:lineRule="auto"/>
              <w:ind w:right="137"/>
              <w:jc w:val="center"/>
              <w:rPr>
                <w:rFonts w:ascii="Times New Roman" w:eastAsia="Arial MT" w:hAnsi="Times New Roman" w:cs="Times New Roman"/>
              </w:rPr>
            </w:pPr>
            <w:r>
              <w:rPr>
                <w:rFonts w:ascii="Times New Roman" w:eastAsia="Arial MT" w:hAnsi="Times New Roman" w:cs="Times New Roman"/>
              </w:rPr>
              <w:t>Kom</w:t>
            </w:r>
          </w:p>
        </w:tc>
        <w:tc>
          <w:tcPr>
            <w:tcW w:w="619" w:type="pct"/>
            <w:shd w:val="clear" w:color="auto" w:fill="auto"/>
          </w:tcPr>
          <w:p w14:paraId="55E1D5BD" w14:textId="4D9B2117" w:rsidR="00B1442E" w:rsidRPr="00F64569" w:rsidRDefault="00B1442E" w:rsidP="00E347ED">
            <w:pPr>
              <w:widowControl w:val="0"/>
              <w:autoSpaceDE w:val="0"/>
              <w:autoSpaceDN w:val="0"/>
              <w:spacing w:after="0" w:line="240" w:lineRule="auto"/>
              <w:ind w:right="121"/>
              <w:jc w:val="center"/>
              <w:rPr>
                <w:rFonts w:ascii="Times New Roman" w:eastAsia="Arial MT" w:hAnsi="Times New Roman" w:cs="Times New Roman"/>
              </w:rPr>
            </w:pPr>
            <w:r>
              <w:rPr>
                <w:rFonts w:ascii="Times New Roman" w:eastAsia="Arial MT" w:hAnsi="Times New Roman" w:cs="Times New Roman"/>
              </w:rPr>
              <w:t>3</w:t>
            </w:r>
          </w:p>
        </w:tc>
        <w:tc>
          <w:tcPr>
            <w:tcW w:w="610" w:type="pct"/>
            <w:shd w:val="clear" w:color="auto" w:fill="auto"/>
          </w:tcPr>
          <w:p w14:paraId="53D18D33" w14:textId="6FDF3B6E" w:rsidR="00B1442E" w:rsidRPr="00F64569" w:rsidRDefault="00B1442E" w:rsidP="00E347ED">
            <w:pPr>
              <w:widowControl w:val="0"/>
              <w:autoSpaceDE w:val="0"/>
              <w:autoSpaceDN w:val="0"/>
              <w:spacing w:after="0" w:line="240" w:lineRule="auto"/>
              <w:ind w:right="460"/>
              <w:jc w:val="center"/>
              <w:rPr>
                <w:rFonts w:ascii="Times New Roman" w:eastAsia="Arial MT" w:hAnsi="Times New Roman" w:cs="Times New Roman"/>
              </w:rPr>
            </w:pPr>
            <w:r>
              <w:rPr>
                <w:rFonts w:ascii="Times New Roman" w:eastAsia="Arial MT" w:hAnsi="Times New Roman" w:cs="Times New Roman"/>
              </w:rPr>
              <w:t>1</w:t>
            </w:r>
          </w:p>
        </w:tc>
        <w:tc>
          <w:tcPr>
            <w:tcW w:w="534" w:type="pct"/>
          </w:tcPr>
          <w:p w14:paraId="2922B9B1" w14:textId="55E38BD1" w:rsidR="00B1442E" w:rsidRPr="00F64569" w:rsidRDefault="00B1442E" w:rsidP="00E347ED">
            <w:pPr>
              <w:widowControl w:val="0"/>
              <w:autoSpaceDE w:val="0"/>
              <w:autoSpaceDN w:val="0"/>
              <w:spacing w:after="0" w:line="240" w:lineRule="auto"/>
              <w:jc w:val="center"/>
              <w:rPr>
                <w:rFonts w:ascii="Times New Roman" w:eastAsia="Arial MT" w:hAnsi="Times New Roman" w:cs="Times New Roman"/>
              </w:rPr>
            </w:pPr>
            <w:r>
              <w:rPr>
                <w:rFonts w:ascii="Times New Roman" w:eastAsia="Arial MT" w:hAnsi="Times New Roman" w:cs="Times New Roman"/>
              </w:rPr>
              <w:t>33,33</w:t>
            </w:r>
          </w:p>
        </w:tc>
      </w:tr>
    </w:tbl>
    <w:p w14:paraId="58013B24" w14:textId="77777777" w:rsidR="00FF11A5" w:rsidRDefault="00FF11A5" w:rsidP="00CF2E17">
      <w:pPr>
        <w:spacing w:after="0" w:line="240" w:lineRule="auto"/>
        <w:ind w:left="452" w:firstLine="113"/>
        <w:jc w:val="both"/>
        <w:rPr>
          <w:rFonts w:ascii="Times New Roman" w:hAnsi="Times New Roman" w:cs="Times New Roman"/>
          <w:bCs/>
          <w:lang w:eastAsia="hr-HR"/>
        </w:rPr>
      </w:pPr>
      <w:r w:rsidRPr="00722358">
        <w:rPr>
          <w:rFonts w:ascii="Times New Roman" w:hAnsi="Times New Roman" w:cs="Times New Roman"/>
          <w:i/>
        </w:rPr>
        <w:lastRenderedPageBreak/>
        <w:t>Aktivnost A1009</w:t>
      </w:r>
      <w:r>
        <w:rPr>
          <w:rFonts w:ascii="Times New Roman" w:hAnsi="Times New Roman" w:cs="Times New Roman"/>
          <w:i/>
        </w:rPr>
        <w:t>20</w:t>
      </w:r>
      <w:r w:rsidRPr="00FF11A5">
        <w:rPr>
          <w:rFonts w:ascii="Times New Roman" w:hAnsi="Times New Roman" w:cs="Times New Roman"/>
          <w:iCs/>
        </w:rPr>
        <w:t xml:space="preserve"> </w:t>
      </w:r>
      <w:r>
        <w:rPr>
          <w:rFonts w:ascii="Times New Roman" w:hAnsi="Times New Roman" w:cs="Times New Roman"/>
          <w:iCs/>
        </w:rPr>
        <w:t>–</w:t>
      </w:r>
      <w:r>
        <w:rPr>
          <w:rFonts w:ascii="Times New Roman" w:hAnsi="Times New Roman" w:cs="Times New Roman"/>
          <w:bCs/>
          <w:lang w:eastAsia="hr-HR"/>
        </w:rPr>
        <w:t xml:space="preserve"> Potpora za </w:t>
      </w:r>
      <w:proofErr w:type="spellStart"/>
      <w:r>
        <w:rPr>
          <w:rFonts w:ascii="Times New Roman" w:hAnsi="Times New Roman" w:cs="Times New Roman"/>
          <w:bCs/>
          <w:lang w:eastAsia="hr-HR"/>
        </w:rPr>
        <w:t>osjemenjivanje</w:t>
      </w:r>
      <w:proofErr w:type="spellEnd"/>
      <w:r>
        <w:rPr>
          <w:rFonts w:ascii="Times New Roman" w:hAnsi="Times New Roman" w:cs="Times New Roman"/>
          <w:bCs/>
          <w:lang w:eastAsia="hr-HR"/>
        </w:rPr>
        <w:t xml:space="preserve"> stoke</w:t>
      </w:r>
    </w:p>
    <w:p w14:paraId="1726B012" w14:textId="77777777" w:rsidR="00FF11A5" w:rsidRDefault="00FF11A5" w:rsidP="00E40FD3">
      <w:pPr>
        <w:spacing w:after="0" w:line="240" w:lineRule="auto"/>
        <w:jc w:val="both"/>
        <w:rPr>
          <w:rFonts w:ascii="Times New Roman" w:hAnsi="Times New Roman" w:cs="Times New Roman"/>
          <w:bCs/>
          <w:lang w:eastAsia="hr-HR"/>
        </w:rPr>
      </w:pPr>
      <w:r>
        <w:rPr>
          <w:rFonts w:ascii="Times New Roman" w:hAnsi="Times New Roman" w:cs="Times New Roman"/>
          <w:bCs/>
          <w:lang w:eastAsia="hr-HR"/>
        </w:rPr>
        <w:t xml:space="preserve">Ovom aktivnošću subvencionira se </w:t>
      </w:r>
      <w:proofErr w:type="spellStart"/>
      <w:r>
        <w:rPr>
          <w:rFonts w:ascii="Times New Roman" w:hAnsi="Times New Roman" w:cs="Times New Roman"/>
          <w:bCs/>
          <w:lang w:eastAsia="hr-HR"/>
        </w:rPr>
        <w:t>osjemenjivanje</w:t>
      </w:r>
      <w:proofErr w:type="spellEnd"/>
      <w:r>
        <w:rPr>
          <w:rFonts w:ascii="Times New Roman" w:hAnsi="Times New Roman" w:cs="Times New Roman"/>
          <w:bCs/>
          <w:lang w:eastAsia="hr-HR"/>
        </w:rPr>
        <w:t xml:space="preserve"> krava poljoprivrednicima na području grada.</w:t>
      </w:r>
    </w:p>
    <w:p w14:paraId="30E09FCA" w14:textId="77777777" w:rsidR="00FF11A5" w:rsidRDefault="00FF11A5" w:rsidP="00E40FD3">
      <w:pPr>
        <w:spacing w:after="0" w:line="240" w:lineRule="auto"/>
        <w:jc w:val="both"/>
        <w:rPr>
          <w:rFonts w:ascii="Times New Roman" w:hAnsi="Times New Roman" w:cs="Times New Roman"/>
          <w:bCs/>
          <w:lang w:eastAsia="hr-HR"/>
        </w:rPr>
      </w:pPr>
      <w:r w:rsidRPr="00FF11A5">
        <w:rPr>
          <w:rFonts w:ascii="Times New Roman" w:hAnsi="Times New Roman" w:cs="Times New Roman"/>
          <w:bCs/>
          <w:lang w:eastAsia="hr-HR"/>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07"/>
        <w:gridCol w:w="2996"/>
        <w:gridCol w:w="962"/>
        <w:gridCol w:w="1122"/>
        <w:gridCol w:w="1105"/>
        <w:gridCol w:w="968"/>
      </w:tblGrid>
      <w:tr w:rsidR="00FF11A5" w:rsidRPr="00F64569" w14:paraId="38F98AC9" w14:textId="77777777" w:rsidTr="00E347ED">
        <w:trPr>
          <w:trHeight w:val="633"/>
          <w:jc w:val="center"/>
        </w:trPr>
        <w:tc>
          <w:tcPr>
            <w:tcW w:w="1052" w:type="pct"/>
            <w:shd w:val="clear" w:color="auto" w:fill="BFBFBF"/>
          </w:tcPr>
          <w:p w14:paraId="345EC454" w14:textId="77777777" w:rsidR="00FF11A5" w:rsidRPr="00F64569" w:rsidRDefault="00FF11A5" w:rsidP="00E347ED">
            <w:pPr>
              <w:widowControl w:val="0"/>
              <w:autoSpaceDE w:val="0"/>
              <w:autoSpaceDN w:val="0"/>
              <w:spacing w:before="104" w:after="0" w:line="240" w:lineRule="auto"/>
              <w:ind w:left="136" w:right="110" w:firstLine="59"/>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Pokazatelj</w:t>
            </w:r>
            <w:r w:rsidRPr="00F64569">
              <w:rPr>
                <w:rFonts w:ascii="Times New Roman" w:eastAsia="Arial MT" w:hAnsi="Times New Roman" w:cs="Times New Roman"/>
                <w:b/>
                <w:spacing w:val="1"/>
                <w:sz w:val="20"/>
                <w:szCs w:val="20"/>
              </w:rPr>
              <w:t xml:space="preserve"> </w:t>
            </w:r>
            <w:r>
              <w:rPr>
                <w:rFonts w:ascii="Times New Roman" w:eastAsia="Arial MT" w:hAnsi="Times New Roman" w:cs="Times New Roman"/>
                <w:b/>
                <w:sz w:val="20"/>
                <w:szCs w:val="20"/>
              </w:rPr>
              <w:t>rezultata</w:t>
            </w:r>
          </w:p>
        </w:tc>
        <w:tc>
          <w:tcPr>
            <w:tcW w:w="1653" w:type="pct"/>
            <w:shd w:val="clear" w:color="auto" w:fill="BFBFBF"/>
          </w:tcPr>
          <w:p w14:paraId="329E89FB" w14:textId="77777777" w:rsidR="00FF11A5" w:rsidRPr="00F64569" w:rsidRDefault="00FF11A5" w:rsidP="00E347ED">
            <w:pPr>
              <w:widowControl w:val="0"/>
              <w:autoSpaceDE w:val="0"/>
              <w:autoSpaceDN w:val="0"/>
              <w:spacing w:after="0" w:line="240" w:lineRule="auto"/>
              <w:jc w:val="both"/>
              <w:rPr>
                <w:rFonts w:ascii="Times New Roman" w:eastAsia="Arial MT" w:hAnsi="Times New Roman" w:cs="Times New Roman"/>
                <w:b/>
                <w:sz w:val="20"/>
                <w:szCs w:val="20"/>
              </w:rPr>
            </w:pPr>
          </w:p>
          <w:p w14:paraId="07203642" w14:textId="77777777" w:rsidR="00FF11A5" w:rsidRPr="00F64569" w:rsidRDefault="00FF11A5" w:rsidP="00E347ED">
            <w:pPr>
              <w:widowControl w:val="0"/>
              <w:autoSpaceDE w:val="0"/>
              <w:autoSpaceDN w:val="0"/>
              <w:spacing w:before="1" w:after="0" w:line="240" w:lineRule="auto"/>
              <w:ind w:left="1136" w:right="832"/>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Definicija</w:t>
            </w:r>
          </w:p>
        </w:tc>
        <w:tc>
          <w:tcPr>
            <w:tcW w:w="531" w:type="pct"/>
            <w:shd w:val="clear" w:color="auto" w:fill="BFBFBF"/>
          </w:tcPr>
          <w:p w14:paraId="79CE2DCE" w14:textId="77777777" w:rsidR="00FF11A5" w:rsidRPr="00F64569" w:rsidRDefault="00FF11A5" w:rsidP="00E347ED">
            <w:pPr>
              <w:widowControl w:val="0"/>
              <w:autoSpaceDE w:val="0"/>
              <w:autoSpaceDN w:val="0"/>
              <w:spacing w:after="0" w:line="240" w:lineRule="auto"/>
              <w:jc w:val="both"/>
              <w:rPr>
                <w:rFonts w:ascii="Times New Roman" w:eastAsia="Arial MT" w:hAnsi="Times New Roman" w:cs="Times New Roman"/>
                <w:b/>
                <w:sz w:val="20"/>
                <w:szCs w:val="20"/>
              </w:rPr>
            </w:pPr>
          </w:p>
          <w:p w14:paraId="75C04200" w14:textId="77777777" w:rsidR="00FF11A5" w:rsidRPr="00F64569" w:rsidRDefault="00FF11A5" w:rsidP="00E347ED">
            <w:pPr>
              <w:widowControl w:val="0"/>
              <w:autoSpaceDE w:val="0"/>
              <w:autoSpaceDN w:val="0"/>
              <w:spacing w:before="1" w:after="0" w:line="240" w:lineRule="auto"/>
              <w:ind w:left="112" w:right="105"/>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Jedinica</w:t>
            </w:r>
          </w:p>
        </w:tc>
        <w:tc>
          <w:tcPr>
            <w:tcW w:w="619" w:type="pct"/>
            <w:shd w:val="clear" w:color="auto" w:fill="BFBFBF"/>
          </w:tcPr>
          <w:p w14:paraId="6BB0F81A" w14:textId="77777777" w:rsidR="00FF11A5" w:rsidRPr="00F64569" w:rsidRDefault="00FF11A5" w:rsidP="00E347ED">
            <w:pPr>
              <w:widowControl w:val="0"/>
              <w:autoSpaceDE w:val="0"/>
              <w:autoSpaceDN w:val="0"/>
              <w:spacing w:after="0" w:line="206" w:lineRule="exact"/>
              <w:ind w:left="122" w:right="121"/>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Ciljana</w:t>
            </w:r>
          </w:p>
          <w:p w14:paraId="7F2AF241" w14:textId="77777777" w:rsidR="00FF11A5" w:rsidRPr="00F64569" w:rsidRDefault="00FF11A5" w:rsidP="00E347ED">
            <w:pPr>
              <w:widowControl w:val="0"/>
              <w:autoSpaceDE w:val="0"/>
              <w:autoSpaceDN w:val="0"/>
              <w:spacing w:after="0" w:line="206" w:lineRule="exact"/>
              <w:ind w:left="124" w:right="121"/>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vrijednost</w:t>
            </w:r>
            <w:r w:rsidRPr="00F64569">
              <w:rPr>
                <w:rFonts w:ascii="Times New Roman" w:eastAsia="Arial MT" w:hAnsi="Times New Roman" w:cs="Times New Roman"/>
                <w:b/>
                <w:spacing w:val="-47"/>
                <w:sz w:val="20"/>
                <w:szCs w:val="20"/>
              </w:rPr>
              <w:t xml:space="preserve">   </w:t>
            </w:r>
            <w:r w:rsidRPr="00F64569">
              <w:rPr>
                <w:rFonts w:ascii="Times New Roman" w:eastAsia="Arial MT" w:hAnsi="Times New Roman" w:cs="Times New Roman"/>
                <w:b/>
                <w:sz w:val="20"/>
                <w:szCs w:val="20"/>
              </w:rPr>
              <w:t>2024.</w:t>
            </w:r>
          </w:p>
        </w:tc>
        <w:tc>
          <w:tcPr>
            <w:tcW w:w="610" w:type="pct"/>
            <w:shd w:val="clear" w:color="auto" w:fill="BFBFBF"/>
          </w:tcPr>
          <w:p w14:paraId="2D9CAEB6" w14:textId="77777777" w:rsidR="00FF11A5" w:rsidRPr="00F64569" w:rsidRDefault="00FF11A5" w:rsidP="00E347ED">
            <w:pPr>
              <w:widowControl w:val="0"/>
              <w:autoSpaceDE w:val="0"/>
              <w:autoSpaceDN w:val="0"/>
              <w:spacing w:after="0" w:line="205" w:lineRule="exact"/>
              <w:ind w:left="89"/>
              <w:jc w:val="both"/>
              <w:rPr>
                <w:rFonts w:ascii="Times New Roman" w:eastAsia="Arial MT" w:hAnsi="Times New Roman" w:cs="Times New Roman"/>
                <w:b/>
                <w:sz w:val="20"/>
                <w:szCs w:val="20"/>
              </w:rPr>
            </w:pPr>
            <w:r>
              <w:rPr>
                <w:rFonts w:ascii="Times New Roman" w:eastAsia="Arial MT" w:hAnsi="Times New Roman" w:cs="Times New Roman"/>
                <w:b/>
                <w:sz w:val="20"/>
                <w:szCs w:val="20"/>
              </w:rPr>
              <w:t>Izvršenje</w:t>
            </w:r>
          </w:p>
        </w:tc>
        <w:tc>
          <w:tcPr>
            <w:tcW w:w="534" w:type="pct"/>
            <w:shd w:val="clear" w:color="auto" w:fill="BFBFBF"/>
          </w:tcPr>
          <w:p w14:paraId="6EE742C6" w14:textId="77777777" w:rsidR="00FF11A5" w:rsidRPr="00F64569" w:rsidRDefault="00FF11A5" w:rsidP="00E347ED">
            <w:pPr>
              <w:widowControl w:val="0"/>
              <w:autoSpaceDE w:val="0"/>
              <w:autoSpaceDN w:val="0"/>
              <w:spacing w:after="0" w:line="240" w:lineRule="auto"/>
              <w:ind w:left="130" w:right="115" w:firstLine="134"/>
              <w:jc w:val="both"/>
              <w:rPr>
                <w:rFonts w:ascii="Times New Roman" w:eastAsia="Arial MT" w:hAnsi="Times New Roman" w:cs="Times New Roman"/>
                <w:b/>
                <w:sz w:val="20"/>
                <w:szCs w:val="20"/>
              </w:rPr>
            </w:pPr>
            <w:r>
              <w:rPr>
                <w:rFonts w:ascii="Times New Roman" w:eastAsia="Arial MT" w:hAnsi="Times New Roman" w:cs="Times New Roman"/>
                <w:b/>
                <w:sz w:val="20"/>
                <w:szCs w:val="20"/>
              </w:rPr>
              <w:t>Indeks</w:t>
            </w:r>
          </w:p>
        </w:tc>
      </w:tr>
      <w:tr w:rsidR="00FF11A5" w:rsidRPr="00F64569" w14:paraId="047F3F93" w14:textId="77777777" w:rsidTr="00E347ED">
        <w:trPr>
          <w:trHeight w:val="620"/>
          <w:jc w:val="center"/>
        </w:trPr>
        <w:tc>
          <w:tcPr>
            <w:tcW w:w="1052" w:type="pct"/>
            <w:shd w:val="clear" w:color="auto" w:fill="auto"/>
          </w:tcPr>
          <w:p w14:paraId="584E0760" w14:textId="533C4F0A" w:rsidR="00FF11A5" w:rsidRPr="00F64569" w:rsidRDefault="00FF11A5" w:rsidP="00E347ED">
            <w:pPr>
              <w:widowControl w:val="0"/>
              <w:autoSpaceDE w:val="0"/>
              <w:autoSpaceDN w:val="0"/>
              <w:spacing w:before="1" w:after="0" w:line="240" w:lineRule="auto"/>
              <w:ind w:right="109"/>
              <w:jc w:val="center"/>
              <w:rPr>
                <w:rFonts w:ascii="Times New Roman" w:eastAsia="Arial MT" w:hAnsi="Times New Roman" w:cs="Times New Roman"/>
              </w:rPr>
            </w:pPr>
            <w:r>
              <w:rPr>
                <w:rFonts w:ascii="Times New Roman" w:eastAsia="Arial MT" w:hAnsi="Times New Roman" w:cs="Times New Roman"/>
              </w:rPr>
              <w:t xml:space="preserve">Broj subvencioniranih </w:t>
            </w:r>
            <w:proofErr w:type="spellStart"/>
            <w:r>
              <w:rPr>
                <w:rFonts w:ascii="Times New Roman" w:eastAsia="Arial MT" w:hAnsi="Times New Roman" w:cs="Times New Roman"/>
              </w:rPr>
              <w:t>osjemenjivanja</w:t>
            </w:r>
            <w:proofErr w:type="spellEnd"/>
            <w:r>
              <w:rPr>
                <w:rFonts w:ascii="Times New Roman" w:eastAsia="Arial MT" w:hAnsi="Times New Roman" w:cs="Times New Roman"/>
              </w:rPr>
              <w:t xml:space="preserve"> krava</w:t>
            </w:r>
          </w:p>
        </w:tc>
        <w:tc>
          <w:tcPr>
            <w:tcW w:w="1653" w:type="pct"/>
            <w:shd w:val="clear" w:color="auto" w:fill="auto"/>
          </w:tcPr>
          <w:p w14:paraId="447DDD38" w14:textId="5F0BABEE" w:rsidR="00FF11A5" w:rsidRPr="00F64569" w:rsidRDefault="00FF11A5" w:rsidP="00E347ED">
            <w:pPr>
              <w:widowControl w:val="0"/>
              <w:autoSpaceDE w:val="0"/>
              <w:autoSpaceDN w:val="0"/>
              <w:spacing w:after="0" w:line="187" w:lineRule="exact"/>
              <w:ind w:left="105"/>
              <w:jc w:val="center"/>
              <w:rPr>
                <w:rFonts w:ascii="Times New Roman" w:eastAsia="Arial MT" w:hAnsi="Times New Roman" w:cs="Times New Roman"/>
              </w:rPr>
            </w:pPr>
            <w:r>
              <w:rPr>
                <w:rFonts w:ascii="Times New Roman" w:eastAsia="Arial MT" w:hAnsi="Times New Roman" w:cs="Times New Roman"/>
              </w:rPr>
              <w:t>Subvencioniran</w:t>
            </w:r>
            <w:r w:rsidR="005C0A0E">
              <w:rPr>
                <w:rFonts w:ascii="Times New Roman" w:eastAsia="Arial MT" w:hAnsi="Times New Roman" w:cs="Times New Roman"/>
              </w:rPr>
              <w:t>i</w:t>
            </w:r>
            <w:r>
              <w:rPr>
                <w:rFonts w:ascii="Times New Roman" w:eastAsia="Arial MT" w:hAnsi="Times New Roman" w:cs="Times New Roman"/>
              </w:rPr>
              <w:t xml:space="preserve">m </w:t>
            </w:r>
            <w:proofErr w:type="spellStart"/>
            <w:r>
              <w:rPr>
                <w:rFonts w:ascii="Times New Roman" w:eastAsia="Arial MT" w:hAnsi="Times New Roman" w:cs="Times New Roman"/>
              </w:rPr>
              <w:t>osjemenjivanja</w:t>
            </w:r>
            <w:proofErr w:type="spellEnd"/>
            <w:r>
              <w:rPr>
                <w:rFonts w:ascii="Times New Roman" w:eastAsia="Arial MT" w:hAnsi="Times New Roman" w:cs="Times New Roman"/>
              </w:rPr>
              <w:t xml:space="preserve"> krava poljoprivrednicima omogućujemo dugoročnu pomoć za razvoj poljoprivrednih gospodarstava i razmnožavanje stoke</w:t>
            </w:r>
          </w:p>
        </w:tc>
        <w:tc>
          <w:tcPr>
            <w:tcW w:w="531" w:type="pct"/>
            <w:shd w:val="clear" w:color="auto" w:fill="auto"/>
          </w:tcPr>
          <w:p w14:paraId="2B9C840A" w14:textId="77777777" w:rsidR="00FF11A5" w:rsidRPr="00F64569" w:rsidRDefault="00FF11A5" w:rsidP="00E347ED">
            <w:pPr>
              <w:widowControl w:val="0"/>
              <w:autoSpaceDE w:val="0"/>
              <w:autoSpaceDN w:val="0"/>
              <w:spacing w:before="1" w:after="0" w:line="240" w:lineRule="auto"/>
              <w:ind w:right="137"/>
              <w:jc w:val="center"/>
              <w:rPr>
                <w:rFonts w:ascii="Times New Roman" w:eastAsia="Arial MT" w:hAnsi="Times New Roman" w:cs="Times New Roman"/>
              </w:rPr>
            </w:pPr>
            <w:r>
              <w:rPr>
                <w:rFonts w:ascii="Times New Roman" w:eastAsia="Arial MT" w:hAnsi="Times New Roman" w:cs="Times New Roman"/>
              </w:rPr>
              <w:t>Kom</w:t>
            </w:r>
          </w:p>
        </w:tc>
        <w:tc>
          <w:tcPr>
            <w:tcW w:w="619" w:type="pct"/>
            <w:shd w:val="clear" w:color="auto" w:fill="auto"/>
          </w:tcPr>
          <w:p w14:paraId="2E822D2E" w14:textId="70F921CF" w:rsidR="00FF11A5" w:rsidRPr="00F64569" w:rsidRDefault="00FF11A5" w:rsidP="00E347ED">
            <w:pPr>
              <w:widowControl w:val="0"/>
              <w:autoSpaceDE w:val="0"/>
              <w:autoSpaceDN w:val="0"/>
              <w:spacing w:after="0" w:line="240" w:lineRule="auto"/>
              <w:ind w:right="121"/>
              <w:jc w:val="center"/>
              <w:rPr>
                <w:rFonts w:ascii="Times New Roman" w:eastAsia="Arial MT" w:hAnsi="Times New Roman" w:cs="Times New Roman"/>
              </w:rPr>
            </w:pPr>
            <w:r>
              <w:rPr>
                <w:rFonts w:ascii="Times New Roman" w:eastAsia="Arial MT" w:hAnsi="Times New Roman" w:cs="Times New Roman"/>
              </w:rPr>
              <w:t>50</w:t>
            </w:r>
          </w:p>
        </w:tc>
        <w:tc>
          <w:tcPr>
            <w:tcW w:w="610" w:type="pct"/>
            <w:shd w:val="clear" w:color="auto" w:fill="auto"/>
          </w:tcPr>
          <w:p w14:paraId="530C045E" w14:textId="2E26E4A3" w:rsidR="00FF11A5" w:rsidRPr="00F64569" w:rsidRDefault="00FF11A5" w:rsidP="00E347ED">
            <w:pPr>
              <w:widowControl w:val="0"/>
              <w:autoSpaceDE w:val="0"/>
              <w:autoSpaceDN w:val="0"/>
              <w:spacing w:after="0" w:line="240" w:lineRule="auto"/>
              <w:ind w:right="460"/>
              <w:jc w:val="center"/>
              <w:rPr>
                <w:rFonts w:ascii="Times New Roman" w:eastAsia="Arial MT" w:hAnsi="Times New Roman" w:cs="Times New Roman"/>
              </w:rPr>
            </w:pPr>
            <w:r>
              <w:rPr>
                <w:rFonts w:ascii="Times New Roman" w:eastAsia="Arial MT" w:hAnsi="Times New Roman" w:cs="Times New Roman"/>
              </w:rPr>
              <w:t>38</w:t>
            </w:r>
          </w:p>
        </w:tc>
        <w:tc>
          <w:tcPr>
            <w:tcW w:w="534" w:type="pct"/>
          </w:tcPr>
          <w:p w14:paraId="0F106F01" w14:textId="5BB21500" w:rsidR="00FF11A5" w:rsidRPr="00F64569" w:rsidRDefault="00FF11A5" w:rsidP="00E347ED">
            <w:pPr>
              <w:widowControl w:val="0"/>
              <w:autoSpaceDE w:val="0"/>
              <w:autoSpaceDN w:val="0"/>
              <w:spacing w:after="0" w:line="240" w:lineRule="auto"/>
              <w:jc w:val="center"/>
              <w:rPr>
                <w:rFonts w:ascii="Times New Roman" w:eastAsia="Arial MT" w:hAnsi="Times New Roman" w:cs="Times New Roman"/>
              </w:rPr>
            </w:pPr>
            <w:r>
              <w:rPr>
                <w:rFonts w:ascii="Times New Roman" w:eastAsia="Arial MT" w:hAnsi="Times New Roman" w:cs="Times New Roman"/>
              </w:rPr>
              <w:t>76,00</w:t>
            </w:r>
          </w:p>
        </w:tc>
      </w:tr>
    </w:tbl>
    <w:p w14:paraId="64B8B066" w14:textId="239F49D8" w:rsidR="00421B57" w:rsidRDefault="00421B57" w:rsidP="00E40FD3">
      <w:pPr>
        <w:spacing w:after="0" w:line="240" w:lineRule="auto"/>
        <w:jc w:val="both"/>
        <w:rPr>
          <w:rFonts w:ascii="Times New Roman" w:hAnsi="Times New Roman" w:cs="Times New Roman"/>
          <w:bCs/>
          <w:lang w:eastAsia="hr-HR"/>
        </w:rPr>
      </w:pPr>
    </w:p>
    <w:p w14:paraId="1F553910" w14:textId="77777777" w:rsidR="00FF11A5" w:rsidRDefault="00FF11A5" w:rsidP="00E40FD3">
      <w:pPr>
        <w:spacing w:after="0" w:line="240" w:lineRule="auto"/>
        <w:jc w:val="both"/>
        <w:rPr>
          <w:rFonts w:ascii="Times New Roman" w:hAnsi="Times New Roman" w:cs="Times New Roman"/>
          <w:bCs/>
          <w:lang w:eastAsia="hr-HR"/>
        </w:rPr>
      </w:pPr>
    </w:p>
    <w:p w14:paraId="3D320B47" w14:textId="1EF8E9B4" w:rsidR="00FF11A5" w:rsidRDefault="00FF11A5" w:rsidP="00CF2E17">
      <w:pPr>
        <w:spacing w:after="0" w:line="240" w:lineRule="auto"/>
        <w:ind w:left="452" w:firstLine="113"/>
        <w:jc w:val="both"/>
        <w:rPr>
          <w:rFonts w:ascii="Times New Roman" w:hAnsi="Times New Roman" w:cs="Times New Roman"/>
          <w:bCs/>
          <w:lang w:eastAsia="hr-HR"/>
        </w:rPr>
      </w:pPr>
      <w:r w:rsidRPr="00722358">
        <w:rPr>
          <w:rFonts w:ascii="Times New Roman" w:hAnsi="Times New Roman" w:cs="Times New Roman"/>
          <w:i/>
        </w:rPr>
        <w:t>Aktivnost A1009</w:t>
      </w:r>
      <w:r>
        <w:rPr>
          <w:rFonts w:ascii="Times New Roman" w:hAnsi="Times New Roman" w:cs="Times New Roman"/>
          <w:i/>
        </w:rPr>
        <w:t>21</w:t>
      </w:r>
      <w:r w:rsidRPr="00FF11A5">
        <w:rPr>
          <w:rFonts w:ascii="Times New Roman" w:hAnsi="Times New Roman" w:cs="Times New Roman"/>
          <w:iCs/>
        </w:rPr>
        <w:t xml:space="preserve"> </w:t>
      </w:r>
      <w:r>
        <w:rPr>
          <w:rFonts w:ascii="Times New Roman" w:hAnsi="Times New Roman" w:cs="Times New Roman"/>
          <w:iCs/>
        </w:rPr>
        <w:t>–</w:t>
      </w:r>
      <w:r>
        <w:rPr>
          <w:rFonts w:ascii="Times New Roman" w:hAnsi="Times New Roman" w:cs="Times New Roman"/>
          <w:bCs/>
          <w:lang w:eastAsia="hr-HR"/>
        </w:rPr>
        <w:t xml:space="preserve"> Potpora za sufinanciranje troškova godišnjeg zakupa prodajnog mjesta na</w:t>
      </w:r>
      <w:r w:rsidR="00CF2E17">
        <w:rPr>
          <w:rFonts w:ascii="Times New Roman" w:hAnsi="Times New Roman" w:cs="Times New Roman"/>
          <w:bCs/>
          <w:lang w:eastAsia="hr-HR"/>
        </w:rPr>
        <w:t xml:space="preserve"> </w:t>
      </w:r>
      <w:r>
        <w:rPr>
          <w:rFonts w:ascii="Times New Roman" w:hAnsi="Times New Roman" w:cs="Times New Roman"/>
          <w:bCs/>
          <w:lang w:eastAsia="hr-HR"/>
        </w:rPr>
        <w:t>tržnici u Garešnici</w:t>
      </w:r>
    </w:p>
    <w:p w14:paraId="563C59E1" w14:textId="76235E38" w:rsidR="00CF2E17" w:rsidRDefault="00CF2E17" w:rsidP="00FF11A5">
      <w:pPr>
        <w:spacing w:after="0" w:line="240" w:lineRule="auto"/>
        <w:jc w:val="both"/>
        <w:rPr>
          <w:rFonts w:ascii="Times New Roman" w:hAnsi="Times New Roman" w:cs="Times New Roman"/>
          <w:bCs/>
          <w:lang w:eastAsia="hr-HR"/>
        </w:rPr>
      </w:pPr>
      <w:r>
        <w:rPr>
          <w:rFonts w:ascii="Times New Roman" w:hAnsi="Times New Roman" w:cs="Times New Roman"/>
          <w:bCs/>
          <w:lang w:eastAsia="hr-HR"/>
        </w:rPr>
        <w:t>Ovom aktivnošću subvencioniranu potporu za zakup prodajnog mjesta na tržnici u Garešnici u 2024. godini ostvarila su dva OPG-a.</w:t>
      </w:r>
    </w:p>
    <w:p w14:paraId="79926516" w14:textId="77777777" w:rsidR="00FF11A5" w:rsidRDefault="00FF11A5" w:rsidP="00E40FD3">
      <w:pPr>
        <w:spacing w:after="0" w:line="240" w:lineRule="auto"/>
        <w:jc w:val="both"/>
        <w:rPr>
          <w:rFonts w:ascii="Times New Roman" w:hAnsi="Times New Roman" w:cs="Times New Roman"/>
          <w:bCs/>
          <w:lang w:eastAsia="hr-HR"/>
        </w:rPr>
      </w:pPr>
    </w:p>
    <w:p w14:paraId="5662C5C2" w14:textId="51321294" w:rsidR="00CF2E17" w:rsidRDefault="00CF2E17" w:rsidP="00CF2E17">
      <w:pPr>
        <w:spacing w:after="0" w:line="240" w:lineRule="auto"/>
        <w:ind w:left="452" w:firstLine="113"/>
        <w:jc w:val="both"/>
        <w:rPr>
          <w:rFonts w:ascii="Times New Roman" w:hAnsi="Times New Roman" w:cs="Times New Roman"/>
          <w:bCs/>
          <w:lang w:eastAsia="hr-HR"/>
        </w:rPr>
      </w:pPr>
      <w:r w:rsidRPr="00722358">
        <w:rPr>
          <w:rFonts w:ascii="Times New Roman" w:hAnsi="Times New Roman" w:cs="Times New Roman"/>
          <w:i/>
        </w:rPr>
        <w:t>Aktivnost A1009</w:t>
      </w:r>
      <w:r>
        <w:rPr>
          <w:rFonts w:ascii="Times New Roman" w:hAnsi="Times New Roman" w:cs="Times New Roman"/>
          <w:i/>
        </w:rPr>
        <w:t>22</w:t>
      </w:r>
      <w:r w:rsidRPr="00FF11A5">
        <w:rPr>
          <w:rFonts w:ascii="Times New Roman" w:hAnsi="Times New Roman" w:cs="Times New Roman"/>
          <w:iCs/>
        </w:rPr>
        <w:t xml:space="preserve"> </w:t>
      </w:r>
      <w:r>
        <w:rPr>
          <w:rFonts w:ascii="Times New Roman" w:hAnsi="Times New Roman" w:cs="Times New Roman"/>
          <w:iCs/>
        </w:rPr>
        <w:t>–</w:t>
      </w:r>
      <w:r>
        <w:rPr>
          <w:rFonts w:ascii="Times New Roman" w:hAnsi="Times New Roman" w:cs="Times New Roman"/>
          <w:bCs/>
          <w:lang w:eastAsia="hr-HR"/>
        </w:rPr>
        <w:t xml:space="preserve"> Potpora za očuvanje pčelinjeg fonda</w:t>
      </w:r>
    </w:p>
    <w:p w14:paraId="4EA742CF" w14:textId="5803F7B0" w:rsidR="00CF2E17" w:rsidRDefault="00CF2E17" w:rsidP="00E40FD3">
      <w:pPr>
        <w:spacing w:after="0" w:line="240" w:lineRule="auto"/>
        <w:jc w:val="both"/>
        <w:rPr>
          <w:rFonts w:ascii="Times New Roman" w:hAnsi="Times New Roman" w:cs="Times New Roman"/>
          <w:bCs/>
          <w:lang w:eastAsia="hr-HR"/>
        </w:rPr>
      </w:pPr>
      <w:r>
        <w:rPr>
          <w:rFonts w:ascii="Times New Roman" w:hAnsi="Times New Roman" w:cs="Times New Roman"/>
          <w:bCs/>
          <w:lang w:eastAsia="hr-HR"/>
        </w:rPr>
        <w:t xml:space="preserve">Ovom aktivnošću potiče se razvoj očuvanja pčelinjeg fonda. </w:t>
      </w:r>
    </w:p>
    <w:p w14:paraId="7126D2AA" w14:textId="77777777" w:rsidR="00CF2E17" w:rsidRDefault="00CF2E17" w:rsidP="00E40FD3">
      <w:pPr>
        <w:spacing w:after="0" w:line="240" w:lineRule="auto"/>
        <w:jc w:val="both"/>
        <w:rPr>
          <w:rFonts w:ascii="Times New Roman" w:hAnsi="Times New Roman" w:cs="Times New Roman"/>
          <w:bCs/>
          <w:lang w:eastAsia="hr-HR"/>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07"/>
        <w:gridCol w:w="2996"/>
        <w:gridCol w:w="962"/>
        <w:gridCol w:w="1122"/>
        <w:gridCol w:w="1105"/>
        <w:gridCol w:w="968"/>
      </w:tblGrid>
      <w:tr w:rsidR="00CF2E17" w:rsidRPr="00F64569" w14:paraId="334C9F0D" w14:textId="77777777" w:rsidTr="00E347ED">
        <w:trPr>
          <w:trHeight w:val="633"/>
          <w:jc w:val="center"/>
        </w:trPr>
        <w:tc>
          <w:tcPr>
            <w:tcW w:w="1052" w:type="pct"/>
            <w:shd w:val="clear" w:color="auto" w:fill="BFBFBF"/>
          </w:tcPr>
          <w:p w14:paraId="56A71C56" w14:textId="77777777" w:rsidR="00CF2E17" w:rsidRPr="00F64569" w:rsidRDefault="00CF2E17" w:rsidP="00E347ED">
            <w:pPr>
              <w:widowControl w:val="0"/>
              <w:autoSpaceDE w:val="0"/>
              <w:autoSpaceDN w:val="0"/>
              <w:spacing w:before="104" w:after="0" w:line="240" w:lineRule="auto"/>
              <w:ind w:left="136" w:right="110" w:firstLine="59"/>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Pokazatelj</w:t>
            </w:r>
            <w:r w:rsidRPr="00F64569">
              <w:rPr>
                <w:rFonts w:ascii="Times New Roman" w:eastAsia="Arial MT" w:hAnsi="Times New Roman" w:cs="Times New Roman"/>
                <w:b/>
                <w:spacing w:val="1"/>
                <w:sz w:val="20"/>
                <w:szCs w:val="20"/>
              </w:rPr>
              <w:t xml:space="preserve"> </w:t>
            </w:r>
            <w:r>
              <w:rPr>
                <w:rFonts w:ascii="Times New Roman" w:eastAsia="Arial MT" w:hAnsi="Times New Roman" w:cs="Times New Roman"/>
                <w:b/>
                <w:sz w:val="20"/>
                <w:szCs w:val="20"/>
              </w:rPr>
              <w:t>rezultata</w:t>
            </w:r>
          </w:p>
        </w:tc>
        <w:tc>
          <w:tcPr>
            <w:tcW w:w="1653" w:type="pct"/>
            <w:shd w:val="clear" w:color="auto" w:fill="BFBFBF"/>
          </w:tcPr>
          <w:p w14:paraId="63F6E196" w14:textId="77777777" w:rsidR="00CF2E17" w:rsidRPr="00F64569" w:rsidRDefault="00CF2E17" w:rsidP="00E347ED">
            <w:pPr>
              <w:widowControl w:val="0"/>
              <w:autoSpaceDE w:val="0"/>
              <w:autoSpaceDN w:val="0"/>
              <w:spacing w:after="0" w:line="240" w:lineRule="auto"/>
              <w:jc w:val="both"/>
              <w:rPr>
                <w:rFonts w:ascii="Times New Roman" w:eastAsia="Arial MT" w:hAnsi="Times New Roman" w:cs="Times New Roman"/>
                <w:b/>
                <w:sz w:val="20"/>
                <w:szCs w:val="20"/>
              </w:rPr>
            </w:pPr>
          </w:p>
          <w:p w14:paraId="1139293D" w14:textId="77777777" w:rsidR="00CF2E17" w:rsidRPr="00F64569" w:rsidRDefault="00CF2E17" w:rsidP="00E347ED">
            <w:pPr>
              <w:widowControl w:val="0"/>
              <w:autoSpaceDE w:val="0"/>
              <w:autoSpaceDN w:val="0"/>
              <w:spacing w:before="1" w:after="0" w:line="240" w:lineRule="auto"/>
              <w:ind w:left="1136" w:right="832"/>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Definicija</w:t>
            </w:r>
          </w:p>
        </w:tc>
        <w:tc>
          <w:tcPr>
            <w:tcW w:w="531" w:type="pct"/>
            <w:shd w:val="clear" w:color="auto" w:fill="BFBFBF"/>
          </w:tcPr>
          <w:p w14:paraId="58EFB24B" w14:textId="77777777" w:rsidR="00CF2E17" w:rsidRPr="00F64569" w:rsidRDefault="00CF2E17" w:rsidP="00E347ED">
            <w:pPr>
              <w:widowControl w:val="0"/>
              <w:autoSpaceDE w:val="0"/>
              <w:autoSpaceDN w:val="0"/>
              <w:spacing w:after="0" w:line="240" w:lineRule="auto"/>
              <w:jc w:val="both"/>
              <w:rPr>
                <w:rFonts w:ascii="Times New Roman" w:eastAsia="Arial MT" w:hAnsi="Times New Roman" w:cs="Times New Roman"/>
                <w:b/>
                <w:sz w:val="20"/>
                <w:szCs w:val="20"/>
              </w:rPr>
            </w:pPr>
          </w:p>
          <w:p w14:paraId="7E97DCBB" w14:textId="77777777" w:rsidR="00CF2E17" w:rsidRPr="00F64569" w:rsidRDefault="00CF2E17" w:rsidP="00E347ED">
            <w:pPr>
              <w:widowControl w:val="0"/>
              <w:autoSpaceDE w:val="0"/>
              <w:autoSpaceDN w:val="0"/>
              <w:spacing w:before="1" w:after="0" w:line="240" w:lineRule="auto"/>
              <w:ind w:left="112" w:right="105"/>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Jedinica</w:t>
            </w:r>
          </w:p>
        </w:tc>
        <w:tc>
          <w:tcPr>
            <w:tcW w:w="619" w:type="pct"/>
            <w:shd w:val="clear" w:color="auto" w:fill="BFBFBF"/>
          </w:tcPr>
          <w:p w14:paraId="22FBEAF2" w14:textId="77777777" w:rsidR="00CF2E17" w:rsidRPr="00F64569" w:rsidRDefault="00CF2E17" w:rsidP="00E347ED">
            <w:pPr>
              <w:widowControl w:val="0"/>
              <w:autoSpaceDE w:val="0"/>
              <w:autoSpaceDN w:val="0"/>
              <w:spacing w:after="0" w:line="206" w:lineRule="exact"/>
              <w:ind w:left="122" w:right="121"/>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Ciljana</w:t>
            </w:r>
          </w:p>
          <w:p w14:paraId="357106E1" w14:textId="77777777" w:rsidR="00CF2E17" w:rsidRPr="00F64569" w:rsidRDefault="00CF2E17" w:rsidP="00E347ED">
            <w:pPr>
              <w:widowControl w:val="0"/>
              <w:autoSpaceDE w:val="0"/>
              <w:autoSpaceDN w:val="0"/>
              <w:spacing w:after="0" w:line="206" w:lineRule="exact"/>
              <w:ind w:left="124" w:right="121"/>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vrijednost</w:t>
            </w:r>
            <w:r w:rsidRPr="00F64569">
              <w:rPr>
                <w:rFonts w:ascii="Times New Roman" w:eastAsia="Arial MT" w:hAnsi="Times New Roman" w:cs="Times New Roman"/>
                <w:b/>
                <w:spacing w:val="-47"/>
                <w:sz w:val="20"/>
                <w:szCs w:val="20"/>
              </w:rPr>
              <w:t xml:space="preserve">   </w:t>
            </w:r>
            <w:r w:rsidRPr="00F64569">
              <w:rPr>
                <w:rFonts w:ascii="Times New Roman" w:eastAsia="Arial MT" w:hAnsi="Times New Roman" w:cs="Times New Roman"/>
                <w:b/>
                <w:sz w:val="20"/>
                <w:szCs w:val="20"/>
              </w:rPr>
              <w:t>2024.</w:t>
            </w:r>
          </w:p>
        </w:tc>
        <w:tc>
          <w:tcPr>
            <w:tcW w:w="610" w:type="pct"/>
            <w:shd w:val="clear" w:color="auto" w:fill="BFBFBF"/>
          </w:tcPr>
          <w:p w14:paraId="4C21ABB9" w14:textId="77777777" w:rsidR="00CF2E17" w:rsidRPr="00F64569" w:rsidRDefault="00CF2E17" w:rsidP="00E347ED">
            <w:pPr>
              <w:widowControl w:val="0"/>
              <w:autoSpaceDE w:val="0"/>
              <w:autoSpaceDN w:val="0"/>
              <w:spacing w:after="0" w:line="205" w:lineRule="exact"/>
              <w:ind w:left="89"/>
              <w:jc w:val="both"/>
              <w:rPr>
                <w:rFonts w:ascii="Times New Roman" w:eastAsia="Arial MT" w:hAnsi="Times New Roman" w:cs="Times New Roman"/>
                <w:b/>
                <w:sz w:val="20"/>
                <w:szCs w:val="20"/>
              </w:rPr>
            </w:pPr>
            <w:r>
              <w:rPr>
                <w:rFonts w:ascii="Times New Roman" w:eastAsia="Arial MT" w:hAnsi="Times New Roman" w:cs="Times New Roman"/>
                <w:b/>
                <w:sz w:val="20"/>
                <w:szCs w:val="20"/>
              </w:rPr>
              <w:t>Izvršenje</w:t>
            </w:r>
          </w:p>
        </w:tc>
        <w:tc>
          <w:tcPr>
            <w:tcW w:w="534" w:type="pct"/>
            <w:shd w:val="clear" w:color="auto" w:fill="BFBFBF"/>
          </w:tcPr>
          <w:p w14:paraId="42C5A4B5" w14:textId="77777777" w:rsidR="00CF2E17" w:rsidRPr="00F64569" w:rsidRDefault="00CF2E17" w:rsidP="00E347ED">
            <w:pPr>
              <w:widowControl w:val="0"/>
              <w:autoSpaceDE w:val="0"/>
              <w:autoSpaceDN w:val="0"/>
              <w:spacing w:after="0" w:line="240" w:lineRule="auto"/>
              <w:ind w:left="130" w:right="115" w:firstLine="134"/>
              <w:jc w:val="both"/>
              <w:rPr>
                <w:rFonts w:ascii="Times New Roman" w:eastAsia="Arial MT" w:hAnsi="Times New Roman" w:cs="Times New Roman"/>
                <w:b/>
                <w:sz w:val="20"/>
                <w:szCs w:val="20"/>
              </w:rPr>
            </w:pPr>
            <w:r>
              <w:rPr>
                <w:rFonts w:ascii="Times New Roman" w:eastAsia="Arial MT" w:hAnsi="Times New Roman" w:cs="Times New Roman"/>
                <w:b/>
                <w:sz w:val="20"/>
                <w:szCs w:val="20"/>
              </w:rPr>
              <w:t>Indeks</w:t>
            </w:r>
          </w:p>
        </w:tc>
      </w:tr>
      <w:tr w:rsidR="00CF2E17" w:rsidRPr="00F64569" w14:paraId="242E15F6" w14:textId="77777777" w:rsidTr="00E347ED">
        <w:trPr>
          <w:trHeight w:val="620"/>
          <w:jc w:val="center"/>
        </w:trPr>
        <w:tc>
          <w:tcPr>
            <w:tcW w:w="1052" w:type="pct"/>
            <w:shd w:val="clear" w:color="auto" w:fill="auto"/>
          </w:tcPr>
          <w:p w14:paraId="1D7E93C3" w14:textId="7A8B60DD" w:rsidR="00CF2E17" w:rsidRPr="00F64569" w:rsidRDefault="00CF2E17" w:rsidP="00E347ED">
            <w:pPr>
              <w:widowControl w:val="0"/>
              <w:autoSpaceDE w:val="0"/>
              <w:autoSpaceDN w:val="0"/>
              <w:spacing w:before="1" w:after="0" w:line="240" w:lineRule="auto"/>
              <w:ind w:right="109"/>
              <w:jc w:val="center"/>
              <w:rPr>
                <w:rFonts w:ascii="Times New Roman" w:eastAsia="Arial MT" w:hAnsi="Times New Roman" w:cs="Times New Roman"/>
              </w:rPr>
            </w:pPr>
            <w:r>
              <w:rPr>
                <w:rFonts w:ascii="Times New Roman" w:eastAsia="Arial MT" w:hAnsi="Times New Roman" w:cs="Times New Roman"/>
              </w:rPr>
              <w:t>Broj subvencioniranih pčelara</w:t>
            </w:r>
          </w:p>
        </w:tc>
        <w:tc>
          <w:tcPr>
            <w:tcW w:w="1653" w:type="pct"/>
            <w:shd w:val="clear" w:color="auto" w:fill="auto"/>
          </w:tcPr>
          <w:p w14:paraId="1BF751BF" w14:textId="63D6C0F2" w:rsidR="00CF2E17" w:rsidRPr="00F64569" w:rsidRDefault="00CF2E17" w:rsidP="00E347ED">
            <w:pPr>
              <w:widowControl w:val="0"/>
              <w:autoSpaceDE w:val="0"/>
              <w:autoSpaceDN w:val="0"/>
              <w:spacing w:after="0" w:line="187" w:lineRule="exact"/>
              <w:ind w:left="105"/>
              <w:jc w:val="center"/>
              <w:rPr>
                <w:rFonts w:ascii="Times New Roman" w:eastAsia="Arial MT" w:hAnsi="Times New Roman" w:cs="Times New Roman"/>
              </w:rPr>
            </w:pPr>
            <w:r>
              <w:rPr>
                <w:rFonts w:ascii="Times New Roman" w:eastAsia="Arial MT" w:hAnsi="Times New Roman" w:cs="Times New Roman"/>
              </w:rPr>
              <w:t>Povećanje broja matičnog pčelinjeg fonda</w:t>
            </w:r>
          </w:p>
        </w:tc>
        <w:tc>
          <w:tcPr>
            <w:tcW w:w="531" w:type="pct"/>
            <w:shd w:val="clear" w:color="auto" w:fill="auto"/>
          </w:tcPr>
          <w:p w14:paraId="7A07BECF" w14:textId="77777777" w:rsidR="00CF2E17" w:rsidRPr="00F64569" w:rsidRDefault="00CF2E17" w:rsidP="00E347ED">
            <w:pPr>
              <w:widowControl w:val="0"/>
              <w:autoSpaceDE w:val="0"/>
              <w:autoSpaceDN w:val="0"/>
              <w:spacing w:before="1" w:after="0" w:line="240" w:lineRule="auto"/>
              <w:ind w:right="137"/>
              <w:jc w:val="center"/>
              <w:rPr>
                <w:rFonts w:ascii="Times New Roman" w:eastAsia="Arial MT" w:hAnsi="Times New Roman" w:cs="Times New Roman"/>
              </w:rPr>
            </w:pPr>
            <w:r>
              <w:rPr>
                <w:rFonts w:ascii="Times New Roman" w:eastAsia="Arial MT" w:hAnsi="Times New Roman" w:cs="Times New Roman"/>
              </w:rPr>
              <w:t>Kom</w:t>
            </w:r>
          </w:p>
        </w:tc>
        <w:tc>
          <w:tcPr>
            <w:tcW w:w="619" w:type="pct"/>
            <w:shd w:val="clear" w:color="auto" w:fill="auto"/>
          </w:tcPr>
          <w:p w14:paraId="163014C5" w14:textId="72C446EB" w:rsidR="00CF2E17" w:rsidRPr="00F64569" w:rsidRDefault="00CF2E17" w:rsidP="00E347ED">
            <w:pPr>
              <w:widowControl w:val="0"/>
              <w:autoSpaceDE w:val="0"/>
              <w:autoSpaceDN w:val="0"/>
              <w:spacing w:after="0" w:line="240" w:lineRule="auto"/>
              <w:ind w:right="121"/>
              <w:jc w:val="center"/>
              <w:rPr>
                <w:rFonts w:ascii="Times New Roman" w:eastAsia="Arial MT" w:hAnsi="Times New Roman" w:cs="Times New Roman"/>
              </w:rPr>
            </w:pPr>
            <w:r>
              <w:rPr>
                <w:rFonts w:ascii="Times New Roman" w:eastAsia="Arial MT" w:hAnsi="Times New Roman" w:cs="Times New Roman"/>
              </w:rPr>
              <w:t>10</w:t>
            </w:r>
          </w:p>
        </w:tc>
        <w:tc>
          <w:tcPr>
            <w:tcW w:w="610" w:type="pct"/>
            <w:shd w:val="clear" w:color="auto" w:fill="auto"/>
          </w:tcPr>
          <w:p w14:paraId="4D998FEC" w14:textId="5ECB2A7B" w:rsidR="00CF2E17" w:rsidRPr="00F64569" w:rsidRDefault="00CF2E17" w:rsidP="00E347ED">
            <w:pPr>
              <w:widowControl w:val="0"/>
              <w:autoSpaceDE w:val="0"/>
              <w:autoSpaceDN w:val="0"/>
              <w:spacing w:after="0" w:line="240" w:lineRule="auto"/>
              <w:ind w:right="460"/>
              <w:jc w:val="center"/>
              <w:rPr>
                <w:rFonts w:ascii="Times New Roman" w:eastAsia="Arial MT" w:hAnsi="Times New Roman" w:cs="Times New Roman"/>
              </w:rPr>
            </w:pPr>
            <w:r>
              <w:rPr>
                <w:rFonts w:ascii="Times New Roman" w:eastAsia="Arial MT" w:hAnsi="Times New Roman" w:cs="Times New Roman"/>
              </w:rPr>
              <w:t>8</w:t>
            </w:r>
          </w:p>
        </w:tc>
        <w:tc>
          <w:tcPr>
            <w:tcW w:w="534" w:type="pct"/>
          </w:tcPr>
          <w:p w14:paraId="17334015" w14:textId="5F3743D3" w:rsidR="00CF2E17" w:rsidRPr="00F64569" w:rsidRDefault="00CF2E17" w:rsidP="00E347ED">
            <w:pPr>
              <w:widowControl w:val="0"/>
              <w:autoSpaceDE w:val="0"/>
              <w:autoSpaceDN w:val="0"/>
              <w:spacing w:after="0" w:line="240" w:lineRule="auto"/>
              <w:jc w:val="center"/>
              <w:rPr>
                <w:rFonts w:ascii="Times New Roman" w:eastAsia="Arial MT" w:hAnsi="Times New Roman" w:cs="Times New Roman"/>
              </w:rPr>
            </w:pPr>
            <w:r>
              <w:rPr>
                <w:rFonts w:ascii="Times New Roman" w:eastAsia="Arial MT" w:hAnsi="Times New Roman" w:cs="Times New Roman"/>
              </w:rPr>
              <w:t>80,00</w:t>
            </w:r>
          </w:p>
        </w:tc>
      </w:tr>
    </w:tbl>
    <w:p w14:paraId="1121BEF3" w14:textId="77777777" w:rsidR="00CF2E17" w:rsidRDefault="00CF2E17" w:rsidP="00E40FD3">
      <w:pPr>
        <w:spacing w:after="0" w:line="240" w:lineRule="auto"/>
        <w:jc w:val="both"/>
        <w:rPr>
          <w:rFonts w:ascii="Times New Roman" w:hAnsi="Times New Roman" w:cs="Times New Roman"/>
          <w:bCs/>
          <w:lang w:eastAsia="hr-HR"/>
        </w:rPr>
      </w:pPr>
    </w:p>
    <w:p w14:paraId="3DEF6ECA" w14:textId="2FC988C5" w:rsidR="00CF2E17" w:rsidRDefault="00CF2E17" w:rsidP="00CF2E17">
      <w:pPr>
        <w:spacing w:after="0" w:line="240" w:lineRule="auto"/>
        <w:ind w:left="452" w:firstLine="113"/>
        <w:jc w:val="both"/>
        <w:rPr>
          <w:rFonts w:ascii="Times New Roman" w:hAnsi="Times New Roman" w:cs="Times New Roman"/>
          <w:bCs/>
          <w:lang w:eastAsia="hr-HR"/>
        </w:rPr>
      </w:pPr>
      <w:r w:rsidRPr="00722358">
        <w:rPr>
          <w:rFonts w:ascii="Times New Roman" w:hAnsi="Times New Roman" w:cs="Times New Roman"/>
          <w:i/>
        </w:rPr>
        <w:t>Aktivnost A1009</w:t>
      </w:r>
      <w:r>
        <w:rPr>
          <w:rFonts w:ascii="Times New Roman" w:hAnsi="Times New Roman" w:cs="Times New Roman"/>
          <w:i/>
        </w:rPr>
        <w:t>23</w:t>
      </w:r>
      <w:r w:rsidRPr="00FF11A5">
        <w:rPr>
          <w:rFonts w:ascii="Times New Roman" w:hAnsi="Times New Roman" w:cs="Times New Roman"/>
          <w:iCs/>
        </w:rPr>
        <w:t xml:space="preserve"> </w:t>
      </w:r>
      <w:r>
        <w:rPr>
          <w:rFonts w:ascii="Times New Roman" w:hAnsi="Times New Roman" w:cs="Times New Roman"/>
          <w:iCs/>
        </w:rPr>
        <w:t>–</w:t>
      </w:r>
      <w:r>
        <w:rPr>
          <w:rFonts w:ascii="Times New Roman" w:hAnsi="Times New Roman" w:cs="Times New Roman"/>
          <w:bCs/>
          <w:lang w:eastAsia="hr-HR"/>
        </w:rPr>
        <w:t xml:space="preserve"> Potpora za ekološku proizvodnju</w:t>
      </w:r>
    </w:p>
    <w:p w14:paraId="257A1D51" w14:textId="30B394DC" w:rsidR="00CF2E17" w:rsidRDefault="00CF2E17" w:rsidP="00CF2E17">
      <w:pPr>
        <w:spacing w:after="0" w:line="240" w:lineRule="auto"/>
        <w:jc w:val="both"/>
        <w:rPr>
          <w:rFonts w:ascii="Times New Roman" w:hAnsi="Times New Roman" w:cs="Times New Roman"/>
          <w:bCs/>
          <w:lang w:eastAsia="hr-HR"/>
        </w:rPr>
      </w:pPr>
      <w:r>
        <w:rPr>
          <w:rFonts w:ascii="Times New Roman" w:hAnsi="Times New Roman" w:cs="Times New Roman"/>
          <w:bCs/>
          <w:lang w:eastAsia="hr-HR"/>
        </w:rPr>
        <w:t xml:space="preserve">Ovom aktivnošću potiče se razvoj ekološke proizvodnje. U 2024. godini potporu su dobila dva OPG-a. </w:t>
      </w:r>
    </w:p>
    <w:p w14:paraId="7E8E8E20" w14:textId="77777777" w:rsidR="00CF2E17" w:rsidRDefault="00CF2E17" w:rsidP="00E40FD3">
      <w:pPr>
        <w:spacing w:after="0" w:line="240" w:lineRule="auto"/>
        <w:jc w:val="both"/>
        <w:rPr>
          <w:rFonts w:ascii="Times New Roman" w:hAnsi="Times New Roman" w:cs="Times New Roman"/>
          <w:bCs/>
          <w:lang w:eastAsia="hr-HR"/>
        </w:rPr>
      </w:pPr>
    </w:p>
    <w:p w14:paraId="160A7C48" w14:textId="77777777" w:rsidR="00FF11A5" w:rsidRPr="00722358" w:rsidRDefault="00FF11A5" w:rsidP="00E40FD3">
      <w:pPr>
        <w:spacing w:after="0" w:line="240" w:lineRule="auto"/>
        <w:jc w:val="both"/>
        <w:rPr>
          <w:rFonts w:ascii="Times New Roman" w:hAnsi="Times New Roman" w:cs="Times New Roman"/>
          <w:bCs/>
          <w:lang w:eastAsia="hr-HR"/>
        </w:rPr>
      </w:pPr>
    </w:p>
    <w:p w14:paraId="5EF256F9" w14:textId="77777777" w:rsidR="00722358" w:rsidRPr="00722358" w:rsidRDefault="00722358" w:rsidP="00E40FD3">
      <w:pPr>
        <w:pStyle w:val="Naslov"/>
        <w:ind w:firstLine="567"/>
        <w:jc w:val="both"/>
        <w:rPr>
          <w:rFonts w:ascii="Times New Roman" w:hAnsi="Times New Roman" w:cs="Times New Roman"/>
          <w:b w:val="0"/>
          <w:sz w:val="22"/>
          <w:lang w:val="hr-HR"/>
        </w:rPr>
      </w:pPr>
      <w:r w:rsidRPr="00722358">
        <w:rPr>
          <w:rFonts w:ascii="Times New Roman" w:hAnsi="Times New Roman" w:cs="Times New Roman"/>
          <w:sz w:val="22"/>
          <w:lang w:val="hr-HR"/>
        </w:rPr>
        <w:t>Program 1010</w:t>
      </w:r>
      <w:r w:rsidRPr="00722358">
        <w:rPr>
          <w:rFonts w:ascii="Times New Roman" w:hAnsi="Times New Roman" w:cs="Times New Roman"/>
          <w:b w:val="0"/>
          <w:sz w:val="22"/>
          <w:lang w:val="hr-HR"/>
        </w:rPr>
        <w:t xml:space="preserve"> </w:t>
      </w:r>
      <w:r w:rsidRPr="00CF2E17">
        <w:rPr>
          <w:rFonts w:ascii="Times New Roman" w:hAnsi="Times New Roman" w:cs="Times New Roman"/>
          <w:bCs/>
          <w:sz w:val="22"/>
          <w:lang w:val="hr-HR"/>
        </w:rPr>
        <w:t>– Održavanje komunalne infrastrukture</w:t>
      </w:r>
      <w:r w:rsidRPr="00722358">
        <w:rPr>
          <w:rFonts w:ascii="Times New Roman" w:hAnsi="Times New Roman" w:cs="Times New Roman"/>
          <w:b w:val="0"/>
          <w:sz w:val="22"/>
          <w:lang w:val="hr-HR"/>
        </w:rPr>
        <w:t xml:space="preserve"> </w:t>
      </w:r>
    </w:p>
    <w:p w14:paraId="56BCA2E2" w14:textId="564B5F7A" w:rsidR="00421B57" w:rsidRPr="00421B57" w:rsidRDefault="00722358" w:rsidP="00421B57">
      <w:pPr>
        <w:spacing w:after="0" w:line="240" w:lineRule="atLeast"/>
        <w:jc w:val="both"/>
        <w:rPr>
          <w:rFonts w:ascii="Times New Roman" w:hAnsi="Times New Roman" w:cs="Times New Roman"/>
        </w:rPr>
      </w:pPr>
      <w:r w:rsidRPr="00722358">
        <w:rPr>
          <w:rFonts w:ascii="Times New Roman" w:hAnsi="Times New Roman" w:cs="Times New Roman"/>
        </w:rPr>
        <w:t xml:space="preserve">Temeljem Zakona o komunalnom gospodarstvu i  Programu održavanja komunalne infrastrukture Grada Garešnice  </w:t>
      </w:r>
      <w:r w:rsidR="00421B57">
        <w:rPr>
          <w:rFonts w:ascii="Times New Roman" w:hAnsi="Times New Roman" w:cs="Times New Roman"/>
        </w:rPr>
        <w:t>c</w:t>
      </w:r>
      <w:r w:rsidR="00421B57" w:rsidRPr="00421B57">
        <w:rPr>
          <w:rFonts w:ascii="Times New Roman" w:hAnsi="Times New Roman" w:cs="Times New Roman"/>
        </w:rPr>
        <w:t>iljevi  program</w:t>
      </w:r>
      <w:r w:rsidR="00421B57">
        <w:rPr>
          <w:rFonts w:ascii="Times New Roman" w:hAnsi="Times New Roman" w:cs="Times New Roman"/>
        </w:rPr>
        <w:t>a su:</w:t>
      </w:r>
    </w:p>
    <w:p w14:paraId="1DC1AF2A" w14:textId="77777777" w:rsidR="00421B57" w:rsidRPr="00421B57" w:rsidRDefault="00421B57" w:rsidP="003734CB">
      <w:pPr>
        <w:pStyle w:val="Odlomakpopisa"/>
        <w:numPr>
          <w:ilvl w:val="0"/>
          <w:numId w:val="8"/>
        </w:numPr>
        <w:spacing w:line="240" w:lineRule="atLeast"/>
        <w:jc w:val="both"/>
        <w:rPr>
          <w:sz w:val="22"/>
          <w:szCs w:val="22"/>
          <w:lang w:eastAsia="en-US"/>
        </w:rPr>
      </w:pPr>
      <w:r w:rsidRPr="00421B57">
        <w:rPr>
          <w:sz w:val="22"/>
          <w:szCs w:val="22"/>
          <w:lang w:eastAsia="en-US"/>
        </w:rPr>
        <w:t>javna rasvjeta</w:t>
      </w:r>
    </w:p>
    <w:p w14:paraId="2A69A9CA" w14:textId="77777777" w:rsidR="00421B57" w:rsidRPr="00421B57" w:rsidRDefault="00421B57" w:rsidP="003734CB">
      <w:pPr>
        <w:pStyle w:val="Odlomakpopisa"/>
        <w:numPr>
          <w:ilvl w:val="0"/>
          <w:numId w:val="8"/>
        </w:numPr>
        <w:spacing w:line="240" w:lineRule="atLeast"/>
        <w:jc w:val="both"/>
        <w:rPr>
          <w:sz w:val="22"/>
          <w:szCs w:val="22"/>
          <w:lang w:eastAsia="en-US"/>
        </w:rPr>
      </w:pPr>
      <w:r w:rsidRPr="00421B57">
        <w:rPr>
          <w:sz w:val="22"/>
          <w:szCs w:val="22"/>
          <w:lang w:eastAsia="en-US"/>
        </w:rPr>
        <w:t>održavanje i upravljanje nerazvrstanim cestama</w:t>
      </w:r>
    </w:p>
    <w:p w14:paraId="32A36175" w14:textId="77777777" w:rsidR="00421B57" w:rsidRPr="00421B57" w:rsidRDefault="00421B57" w:rsidP="003734CB">
      <w:pPr>
        <w:pStyle w:val="Odlomakpopisa"/>
        <w:numPr>
          <w:ilvl w:val="0"/>
          <w:numId w:val="8"/>
        </w:numPr>
        <w:spacing w:line="240" w:lineRule="atLeast"/>
        <w:jc w:val="both"/>
        <w:rPr>
          <w:sz w:val="22"/>
          <w:szCs w:val="22"/>
          <w:lang w:eastAsia="en-US"/>
        </w:rPr>
      </w:pPr>
      <w:r w:rsidRPr="00421B57">
        <w:rPr>
          <w:sz w:val="22"/>
          <w:szCs w:val="22"/>
          <w:lang w:eastAsia="en-US"/>
        </w:rPr>
        <w:t>održavanje javnih površina</w:t>
      </w:r>
    </w:p>
    <w:p w14:paraId="40DE8C63" w14:textId="77777777" w:rsidR="00421B57" w:rsidRPr="00421B57" w:rsidRDefault="00421B57" w:rsidP="003734CB">
      <w:pPr>
        <w:pStyle w:val="Odlomakpopisa"/>
        <w:numPr>
          <w:ilvl w:val="0"/>
          <w:numId w:val="8"/>
        </w:numPr>
        <w:spacing w:line="240" w:lineRule="atLeast"/>
        <w:jc w:val="both"/>
        <w:rPr>
          <w:sz w:val="22"/>
          <w:szCs w:val="22"/>
          <w:lang w:eastAsia="en-US"/>
        </w:rPr>
      </w:pPr>
      <w:r w:rsidRPr="00421B57">
        <w:rPr>
          <w:sz w:val="22"/>
          <w:szCs w:val="22"/>
          <w:lang w:eastAsia="en-US"/>
        </w:rPr>
        <w:t>održavanje građevina, uređaja i predmeta javne namjene</w:t>
      </w:r>
    </w:p>
    <w:p w14:paraId="34BC855C" w14:textId="77777777" w:rsidR="00421B57" w:rsidRPr="00421B57" w:rsidRDefault="00421B57" w:rsidP="003734CB">
      <w:pPr>
        <w:pStyle w:val="Odlomakpopisa"/>
        <w:numPr>
          <w:ilvl w:val="0"/>
          <w:numId w:val="8"/>
        </w:numPr>
        <w:spacing w:line="240" w:lineRule="atLeast"/>
        <w:jc w:val="both"/>
        <w:rPr>
          <w:sz w:val="22"/>
          <w:szCs w:val="22"/>
          <w:lang w:eastAsia="en-US"/>
        </w:rPr>
      </w:pPr>
      <w:r w:rsidRPr="00421B57">
        <w:rPr>
          <w:sz w:val="22"/>
          <w:szCs w:val="22"/>
          <w:lang w:eastAsia="en-US"/>
        </w:rPr>
        <w:t>održavanje građevina javne odvodnje oborinskih voda</w:t>
      </w:r>
    </w:p>
    <w:p w14:paraId="3F54FAA1" w14:textId="77777777" w:rsidR="00421B57" w:rsidRPr="00421B57" w:rsidRDefault="00421B57" w:rsidP="003734CB">
      <w:pPr>
        <w:pStyle w:val="Odlomakpopisa"/>
        <w:numPr>
          <w:ilvl w:val="0"/>
          <w:numId w:val="8"/>
        </w:numPr>
        <w:spacing w:line="240" w:lineRule="atLeast"/>
        <w:jc w:val="both"/>
        <w:rPr>
          <w:sz w:val="22"/>
          <w:szCs w:val="22"/>
          <w:lang w:eastAsia="en-US"/>
        </w:rPr>
      </w:pPr>
      <w:r w:rsidRPr="00421B57">
        <w:rPr>
          <w:sz w:val="22"/>
          <w:szCs w:val="22"/>
          <w:lang w:eastAsia="en-US"/>
        </w:rPr>
        <w:t>održavanje groblja</w:t>
      </w:r>
    </w:p>
    <w:p w14:paraId="45D8348F" w14:textId="77777777" w:rsidR="00421B57" w:rsidRDefault="00421B57" w:rsidP="00BC63A1">
      <w:pPr>
        <w:pStyle w:val="Naslov"/>
        <w:spacing w:after="120"/>
        <w:jc w:val="both"/>
        <w:rPr>
          <w:rFonts w:ascii="Times New Roman" w:hAnsi="Times New Roman" w:cs="Times New Roman"/>
          <w:b w:val="0"/>
          <w:sz w:val="22"/>
          <w:lang w:val="hr-HR"/>
        </w:rPr>
      </w:pPr>
    </w:p>
    <w:p w14:paraId="0F2E5354" w14:textId="3B3E6204" w:rsidR="00722358" w:rsidRDefault="00421B57" w:rsidP="009A3EF2">
      <w:pPr>
        <w:pStyle w:val="Naslov"/>
        <w:spacing w:line="240" w:lineRule="atLeast"/>
        <w:jc w:val="both"/>
        <w:rPr>
          <w:rFonts w:ascii="Times New Roman" w:hAnsi="Times New Roman" w:cs="Times New Roman"/>
          <w:b w:val="0"/>
          <w:sz w:val="22"/>
          <w:lang w:val="hr-HR"/>
        </w:rPr>
      </w:pPr>
      <w:r>
        <w:rPr>
          <w:rFonts w:ascii="Times New Roman" w:hAnsi="Times New Roman" w:cs="Times New Roman"/>
          <w:b w:val="0"/>
          <w:sz w:val="22"/>
          <w:lang w:val="hr-HR"/>
        </w:rPr>
        <w:t xml:space="preserve">U sklopu programa planirane su i izvršene </w:t>
      </w:r>
      <w:r w:rsidR="00722358" w:rsidRPr="00722358">
        <w:rPr>
          <w:rFonts w:ascii="Times New Roman" w:hAnsi="Times New Roman" w:cs="Times New Roman"/>
          <w:b w:val="0"/>
          <w:sz w:val="22"/>
          <w:lang w:val="hr-HR"/>
        </w:rPr>
        <w:t>slijedeće aktivnosti:</w:t>
      </w:r>
    </w:p>
    <w:tbl>
      <w:tblPr>
        <w:tblpPr w:leftFromText="180" w:rightFromText="180" w:vertAnchor="text" w:horzAnchor="margin" w:tblpY="12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32"/>
        <w:gridCol w:w="1696"/>
        <w:gridCol w:w="1558"/>
        <w:gridCol w:w="1274"/>
      </w:tblGrid>
      <w:tr w:rsidR="00421B57" w:rsidRPr="00FF11A5" w14:paraId="17270EEB" w14:textId="77777777" w:rsidTr="00B9382D">
        <w:trPr>
          <w:trHeight w:val="460"/>
        </w:trPr>
        <w:tc>
          <w:tcPr>
            <w:tcW w:w="2501" w:type="pct"/>
            <w:shd w:val="clear" w:color="auto" w:fill="BFBFBF"/>
          </w:tcPr>
          <w:p w14:paraId="6349ED28" w14:textId="77777777" w:rsidR="00421B57" w:rsidRPr="00FF11A5" w:rsidRDefault="00421B57" w:rsidP="009A3EF2">
            <w:pPr>
              <w:pStyle w:val="TableParagraph"/>
              <w:spacing w:before="110" w:line="240" w:lineRule="atLeast"/>
              <w:ind w:left="107"/>
              <w:jc w:val="left"/>
              <w:rPr>
                <w:rFonts w:ascii="Times New Roman" w:hAnsi="Times New Roman" w:cs="Times New Roman"/>
                <w:b/>
                <w:lang w:val="hr-HR"/>
              </w:rPr>
            </w:pPr>
            <w:r w:rsidRPr="00FF11A5">
              <w:rPr>
                <w:rFonts w:ascii="Times New Roman" w:hAnsi="Times New Roman" w:cs="Times New Roman"/>
                <w:b/>
                <w:lang w:val="hr-HR"/>
              </w:rPr>
              <w:t>Naziv aktivnosti / projekta unutar programa</w:t>
            </w:r>
          </w:p>
        </w:tc>
        <w:tc>
          <w:tcPr>
            <w:tcW w:w="936" w:type="pct"/>
            <w:shd w:val="clear" w:color="auto" w:fill="BFBFBF"/>
          </w:tcPr>
          <w:p w14:paraId="261BF305" w14:textId="018EB441" w:rsidR="00421B57" w:rsidRPr="00FF11A5" w:rsidRDefault="00421B57" w:rsidP="009A3EF2">
            <w:pPr>
              <w:pStyle w:val="TableParagraph"/>
              <w:spacing w:line="240" w:lineRule="atLeast"/>
              <w:ind w:left="197" w:right="192"/>
              <w:jc w:val="center"/>
              <w:rPr>
                <w:rFonts w:ascii="Times New Roman" w:hAnsi="Times New Roman" w:cs="Times New Roman"/>
                <w:b/>
                <w:lang w:val="hr-HR"/>
              </w:rPr>
            </w:pPr>
            <w:r w:rsidRPr="00FF11A5">
              <w:rPr>
                <w:rFonts w:ascii="Times New Roman" w:hAnsi="Times New Roman" w:cs="Times New Roman"/>
                <w:b/>
                <w:lang w:val="hr-HR"/>
              </w:rPr>
              <w:t>Rebalans 202</w:t>
            </w:r>
            <w:r w:rsidR="00CF2E17">
              <w:rPr>
                <w:rFonts w:ascii="Times New Roman" w:hAnsi="Times New Roman" w:cs="Times New Roman"/>
                <w:b/>
                <w:lang w:val="hr-HR"/>
              </w:rPr>
              <w:t>4</w:t>
            </w:r>
            <w:r w:rsidRPr="00FF11A5">
              <w:rPr>
                <w:rFonts w:ascii="Times New Roman" w:hAnsi="Times New Roman" w:cs="Times New Roman"/>
                <w:b/>
                <w:lang w:val="hr-HR"/>
              </w:rPr>
              <w:t>.</w:t>
            </w:r>
          </w:p>
        </w:tc>
        <w:tc>
          <w:tcPr>
            <w:tcW w:w="860" w:type="pct"/>
            <w:shd w:val="clear" w:color="auto" w:fill="BFBFBF"/>
          </w:tcPr>
          <w:p w14:paraId="1946D857" w14:textId="25EFB069" w:rsidR="00421B57" w:rsidRPr="00FF11A5" w:rsidRDefault="00421B57" w:rsidP="009A3EF2">
            <w:pPr>
              <w:pStyle w:val="TableParagraph"/>
              <w:spacing w:line="240" w:lineRule="atLeast"/>
              <w:ind w:left="197" w:right="192"/>
              <w:jc w:val="center"/>
              <w:rPr>
                <w:rFonts w:ascii="Times New Roman" w:hAnsi="Times New Roman" w:cs="Times New Roman"/>
                <w:b/>
                <w:lang w:val="hr-HR"/>
              </w:rPr>
            </w:pPr>
            <w:r w:rsidRPr="00FF11A5">
              <w:rPr>
                <w:rFonts w:ascii="Times New Roman" w:hAnsi="Times New Roman" w:cs="Times New Roman"/>
                <w:b/>
                <w:lang w:val="hr-HR"/>
              </w:rPr>
              <w:t>Izvršenje 202</w:t>
            </w:r>
            <w:r w:rsidR="00CF2E17">
              <w:rPr>
                <w:rFonts w:ascii="Times New Roman" w:hAnsi="Times New Roman" w:cs="Times New Roman"/>
                <w:b/>
                <w:lang w:val="hr-HR"/>
              </w:rPr>
              <w:t>4</w:t>
            </w:r>
            <w:r w:rsidRPr="00FF11A5">
              <w:rPr>
                <w:rFonts w:ascii="Times New Roman" w:hAnsi="Times New Roman" w:cs="Times New Roman"/>
                <w:b/>
                <w:lang w:val="hr-HR"/>
              </w:rPr>
              <w:t>.</w:t>
            </w:r>
          </w:p>
        </w:tc>
        <w:tc>
          <w:tcPr>
            <w:tcW w:w="703" w:type="pct"/>
            <w:shd w:val="clear" w:color="auto" w:fill="BFBFBF"/>
          </w:tcPr>
          <w:p w14:paraId="4DE64D0F" w14:textId="77777777" w:rsidR="00421B57" w:rsidRPr="00FF11A5" w:rsidRDefault="00421B57" w:rsidP="009A3EF2">
            <w:pPr>
              <w:pStyle w:val="TableParagraph"/>
              <w:spacing w:line="240" w:lineRule="atLeast"/>
              <w:ind w:left="140" w:right="135"/>
              <w:jc w:val="center"/>
              <w:rPr>
                <w:rFonts w:ascii="Times New Roman" w:hAnsi="Times New Roman" w:cs="Times New Roman"/>
                <w:b/>
                <w:lang w:val="hr-HR"/>
              </w:rPr>
            </w:pPr>
            <w:r w:rsidRPr="00FF11A5">
              <w:rPr>
                <w:rFonts w:ascii="Times New Roman" w:hAnsi="Times New Roman" w:cs="Times New Roman"/>
                <w:b/>
                <w:lang w:val="hr-HR"/>
              </w:rPr>
              <w:t>Indeks</w:t>
            </w:r>
          </w:p>
        </w:tc>
      </w:tr>
      <w:tr w:rsidR="00421B57" w:rsidRPr="00FF11A5" w14:paraId="7C4878B8" w14:textId="77777777" w:rsidTr="00B9382D">
        <w:trPr>
          <w:trHeight w:val="277"/>
        </w:trPr>
        <w:tc>
          <w:tcPr>
            <w:tcW w:w="2501" w:type="pct"/>
            <w:shd w:val="clear" w:color="auto" w:fill="auto"/>
          </w:tcPr>
          <w:p w14:paraId="50741860" w14:textId="1D00B9F2" w:rsidR="00421B57" w:rsidRPr="00FF11A5" w:rsidRDefault="00421B57" w:rsidP="009A3EF2">
            <w:pPr>
              <w:widowControl w:val="0"/>
              <w:autoSpaceDE w:val="0"/>
              <w:autoSpaceDN w:val="0"/>
              <w:spacing w:after="0" w:line="240" w:lineRule="atLeast"/>
              <w:rPr>
                <w:rFonts w:ascii="Times New Roman" w:hAnsi="Times New Roman"/>
              </w:rPr>
            </w:pPr>
            <w:r w:rsidRPr="00FF11A5">
              <w:rPr>
                <w:rFonts w:ascii="Times New Roman" w:hAnsi="Times New Roman"/>
                <w:w w:val="95"/>
              </w:rPr>
              <w:t>Aktivnost A10</w:t>
            </w:r>
            <w:r w:rsidR="009A3EF2" w:rsidRPr="00FF11A5">
              <w:rPr>
                <w:rFonts w:ascii="Times New Roman" w:hAnsi="Times New Roman"/>
                <w:w w:val="95"/>
              </w:rPr>
              <w:t>1001 Javna rasvjeta</w:t>
            </w:r>
          </w:p>
        </w:tc>
        <w:tc>
          <w:tcPr>
            <w:tcW w:w="936" w:type="pct"/>
            <w:shd w:val="clear" w:color="auto" w:fill="auto"/>
          </w:tcPr>
          <w:p w14:paraId="10D7EDE6" w14:textId="6D23EB3F" w:rsidR="00421B57" w:rsidRPr="00FF11A5" w:rsidRDefault="00CF2E17" w:rsidP="009A3EF2">
            <w:pPr>
              <w:pStyle w:val="TableParagraph"/>
              <w:spacing w:before="21" w:line="240" w:lineRule="atLeast"/>
              <w:ind w:right="98"/>
              <w:rPr>
                <w:rFonts w:ascii="Times New Roman" w:hAnsi="Times New Roman" w:cs="Times New Roman"/>
                <w:lang w:val="hr-HR"/>
              </w:rPr>
            </w:pPr>
            <w:r>
              <w:rPr>
                <w:rFonts w:ascii="Times New Roman" w:hAnsi="Times New Roman" w:cs="Times New Roman"/>
                <w:lang w:val="hr-HR"/>
              </w:rPr>
              <w:t>170.400,00</w:t>
            </w:r>
          </w:p>
        </w:tc>
        <w:tc>
          <w:tcPr>
            <w:tcW w:w="860" w:type="pct"/>
            <w:shd w:val="clear" w:color="auto" w:fill="auto"/>
          </w:tcPr>
          <w:p w14:paraId="46CE4DEC" w14:textId="13AE0DF1" w:rsidR="00421B57" w:rsidRPr="00FF11A5" w:rsidRDefault="00CF2E17" w:rsidP="009A3EF2">
            <w:pPr>
              <w:pStyle w:val="TableParagraph"/>
              <w:spacing w:before="21" w:line="240" w:lineRule="atLeast"/>
              <w:ind w:right="98"/>
              <w:rPr>
                <w:rFonts w:ascii="Times New Roman" w:hAnsi="Times New Roman" w:cs="Times New Roman"/>
                <w:lang w:val="hr-HR"/>
              </w:rPr>
            </w:pPr>
            <w:r>
              <w:rPr>
                <w:rFonts w:ascii="Times New Roman" w:hAnsi="Times New Roman" w:cs="Times New Roman"/>
                <w:lang w:val="hr-HR"/>
              </w:rPr>
              <w:t>156.677,95</w:t>
            </w:r>
          </w:p>
        </w:tc>
        <w:tc>
          <w:tcPr>
            <w:tcW w:w="703" w:type="pct"/>
            <w:shd w:val="clear" w:color="auto" w:fill="auto"/>
          </w:tcPr>
          <w:p w14:paraId="73902781" w14:textId="11016C4C" w:rsidR="00421B57" w:rsidRPr="00FF11A5" w:rsidRDefault="00CF2E17" w:rsidP="009A3EF2">
            <w:pPr>
              <w:pStyle w:val="TableParagraph"/>
              <w:spacing w:before="21" w:line="240" w:lineRule="atLeast"/>
              <w:ind w:right="98"/>
              <w:rPr>
                <w:rFonts w:ascii="Times New Roman" w:hAnsi="Times New Roman" w:cs="Times New Roman"/>
                <w:lang w:val="hr-HR"/>
              </w:rPr>
            </w:pPr>
            <w:r>
              <w:rPr>
                <w:rFonts w:ascii="Times New Roman" w:hAnsi="Times New Roman" w:cs="Times New Roman"/>
                <w:lang w:val="hr-HR"/>
              </w:rPr>
              <w:t>91,95</w:t>
            </w:r>
          </w:p>
        </w:tc>
      </w:tr>
      <w:tr w:rsidR="00421B57" w:rsidRPr="00FF11A5" w14:paraId="5D4F03EE" w14:textId="77777777" w:rsidTr="00B9382D">
        <w:trPr>
          <w:trHeight w:val="277"/>
        </w:trPr>
        <w:tc>
          <w:tcPr>
            <w:tcW w:w="2501" w:type="pct"/>
            <w:shd w:val="clear" w:color="auto" w:fill="auto"/>
          </w:tcPr>
          <w:p w14:paraId="034C2A9A" w14:textId="26D1F9AA" w:rsidR="00421B57" w:rsidRPr="00FF11A5" w:rsidRDefault="009A3EF2" w:rsidP="009A3EF2">
            <w:pPr>
              <w:widowControl w:val="0"/>
              <w:autoSpaceDE w:val="0"/>
              <w:autoSpaceDN w:val="0"/>
              <w:spacing w:after="0" w:line="240" w:lineRule="atLeast"/>
              <w:rPr>
                <w:rFonts w:ascii="Times New Roman" w:hAnsi="Times New Roman"/>
                <w:w w:val="95"/>
              </w:rPr>
            </w:pPr>
            <w:r w:rsidRPr="00FF11A5">
              <w:rPr>
                <w:rFonts w:ascii="Times New Roman" w:hAnsi="Times New Roman"/>
                <w:w w:val="95"/>
              </w:rPr>
              <w:t>Aktivnost A101005 Održavanje i upravljanje nerazvrstanim cestama</w:t>
            </w:r>
          </w:p>
        </w:tc>
        <w:tc>
          <w:tcPr>
            <w:tcW w:w="936" w:type="pct"/>
            <w:shd w:val="clear" w:color="auto" w:fill="auto"/>
          </w:tcPr>
          <w:p w14:paraId="1C0AFDE2" w14:textId="7539166B" w:rsidR="00421B57" w:rsidRPr="00FF11A5" w:rsidRDefault="009A3EF2" w:rsidP="009A3EF2">
            <w:pPr>
              <w:pStyle w:val="TableParagraph"/>
              <w:spacing w:before="21" w:line="240" w:lineRule="atLeast"/>
              <w:ind w:right="98"/>
              <w:rPr>
                <w:rFonts w:ascii="Times New Roman" w:hAnsi="Times New Roman" w:cs="Times New Roman"/>
                <w:lang w:val="hr-HR"/>
              </w:rPr>
            </w:pPr>
            <w:r w:rsidRPr="00FF11A5">
              <w:rPr>
                <w:rFonts w:ascii="Times New Roman" w:hAnsi="Times New Roman" w:cs="Times New Roman"/>
                <w:lang w:val="hr-HR"/>
              </w:rPr>
              <w:t>217.</w:t>
            </w:r>
            <w:r w:rsidR="00CF2E17">
              <w:rPr>
                <w:rFonts w:ascii="Times New Roman" w:hAnsi="Times New Roman" w:cs="Times New Roman"/>
                <w:lang w:val="hr-HR"/>
              </w:rPr>
              <w:t>640</w:t>
            </w:r>
            <w:r w:rsidRPr="00FF11A5">
              <w:rPr>
                <w:rFonts w:ascii="Times New Roman" w:hAnsi="Times New Roman" w:cs="Times New Roman"/>
                <w:lang w:val="hr-HR"/>
              </w:rPr>
              <w:t>,00</w:t>
            </w:r>
          </w:p>
        </w:tc>
        <w:tc>
          <w:tcPr>
            <w:tcW w:w="860" w:type="pct"/>
            <w:shd w:val="clear" w:color="auto" w:fill="auto"/>
          </w:tcPr>
          <w:p w14:paraId="6CBA99D3" w14:textId="249AF112" w:rsidR="00421B57" w:rsidRPr="00FF11A5" w:rsidRDefault="00CF2E17" w:rsidP="009A3EF2">
            <w:pPr>
              <w:pStyle w:val="TableParagraph"/>
              <w:spacing w:before="21" w:line="240" w:lineRule="atLeast"/>
              <w:ind w:right="98"/>
              <w:rPr>
                <w:rFonts w:ascii="Times New Roman" w:hAnsi="Times New Roman" w:cs="Times New Roman"/>
                <w:lang w:val="hr-HR"/>
              </w:rPr>
            </w:pPr>
            <w:r>
              <w:rPr>
                <w:rFonts w:ascii="Times New Roman" w:hAnsi="Times New Roman" w:cs="Times New Roman"/>
                <w:lang w:val="hr-HR"/>
              </w:rPr>
              <w:t>196.293,79</w:t>
            </w:r>
          </w:p>
        </w:tc>
        <w:tc>
          <w:tcPr>
            <w:tcW w:w="703" w:type="pct"/>
            <w:shd w:val="clear" w:color="auto" w:fill="auto"/>
          </w:tcPr>
          <w:p w14:paraId="4DAC1283" w14:textId="567A537F" w:rsidR="00421B57" w:rsidRPr="00FF11A5" w:rsidRDefault="00CF2E17" w:rsidP="009A3EF2">
            <w:pPr>
              <w:pStyle w:val="TableParagraph"/>
              <w:spacing w:before="21" w:line="240" w:lineRule="atLeast"/>
              <w:ind w:right="98"/>
              <w:rPr>
                <w:rFonts w:ascii="Times New Roman" w:hAnsi="Times New Roman" w:cs="Times New Roman"/>
                <w:lang w:val="hr-HR"/>
              </w:rPr>
            </w:pPr>
            <w:r>
              <w:rPr>
                <w:rFonts w:ascii="Times New Roman" w:hAnsi="Times New Roman" w:cs="Times New Roman"/>
                <w:lang w:val="hr-HR"/>
              </w:rPr>
              <w:t>72,26</w:t>
            </w:r>
          </w:p>
        </w:tc>
      </w:tr>
      <w:tr w:rsidR="00421B57" w:rsidRPr="00FF11A5" w14:paraId="3E4789B6" w14:textId="77777777" w:rsidTr="009A3EF2">
        <w:trPr>
          <w:trHeight w:val="376"/>
        </w:trPr>
        <w:tc>
          <w:tcPr>
            <w:tcW w:w="2501" w:type="pct"/>
            <w:shd w:val="clear" w:color="auto" w:fill="auto"/>
          </w:tcPr>
          <w:p w14:paraId="3B56A138" w14:textId="66967146" w:rsidR="00421B57" w:rsidRPr="00FF11A5" w:rsidRDefault="009A3EF2" w:rsidP="009A3EF2">
            <w:pPr>
              <w:widowControl w:val="0"/>
              <w:autoSpaceDE w:val="0"/>
              <w:autoSpaceDN w:val="0"/>
              <w:spacing w:after="0" w:line="240" w:lineRule="atLeast"/>
              <w:rPr>
                <w:rFonts w:ascii="Times New Roman" w:hAnsi="Times New Roman"/>
                <w:w w:val="95"/>
              </w:rPr>
            </w:pPr>
            <w:r w:rsidRPr="00FF11A5">
              <w:rPr>
                <w:rFonts w:ascii="Times New Roman" w:hAnsi="Times New Roman"/>
                <w:w w:val="95"/>
              </w:rPr>
              <w:t>Aktivnost A101007 Održavanje javnih površina</w:t>
            </w:r>
          </w:p>
        </w:tc>
        <w:tc>
          <w:tcPr>
            <w:tcW w:w="936" w:type="pct"/>
            <w:shd w:val="clear" w:color="auto" w:fill="auto"/>
          </w:tcPr>
          <w:p w14:paraId="0573C06F" w14:textId="027BCFFC" w:rsidR="00421B57" w:rsidRPr="00FF11A5" w:rsidRDefault="00CF2E17" w:rsidP="009A3EF2">
            <w:pPr>
              <w:pStyle w:val="TableParagraph"/>
              <w:spacing w:before="21" w:line="240" w:lineRule="atLeast"/>
              <w:ind w:right="98"/>
              <w:rPr>
                <w:rFonts w:ascii="Times New Roman" w:hAnsi="Times New Roman" w:cs="Times New Roman"/>
                <w:lang w:val="hr-HR"/>
              </w:rPr>
            </w:pPr>
            <w:r>
              <w:rPr>
                <w:rFonts w:ascii="Times New Roman" w:hAnsi="Times New Roman" w:cs="Times New Roman"/>
                <w:lang w:val="hr-HR"/>
              </w:rPr>
              <w:t>317.900,00</w:t>
            </w:r>
          </w:p>
        </w:tc>
        <w:tc>
          <w:tcPr>
            <w:tcW w:w="860" w:type="pct"/>
            <w:shd w:val="clear" w:color="auto" w:fill="auto"/>
          </w:tcPr>
          <w:p w14:paraId="44AA02B1" w14:textId="3693DB40" w:rsidR="00421B57" w:rsidRPr="00FF11A5" w:rsidRDefault="00CF2E17" w:rsidP="009A3EF2">
            <w:pPr>
              <w:pStyle w:val="TableParagraph"/>
              <w:spacing w:before="21" w:line="240" w:lineRule="atLeast"/>
              <w:ind w:right="98"/>
              <w:rPr>
                <w:rFonts w:ascii="Times New Roman" w:hAnsi="Times New Roman" w:cs="Times New Roman"/>
                <w:lang w:val="hr-HR"/>
              </w:rPr>
            </w:pPr>
            <w:r>
              <w:rPr>
                <w:rFonts w:ascii="Times New Roman" w:hAnsi="Times New Roman" w:cs="Times New Roman"/>
                <w:lang w:val="hr-HR"/>
              </w:rPr>
              <w:t>279.952,09</w:t>
            </w:r>
          </w:p>
        </w:tc>
        <w:tc>
          <w:tcPr>
            <w:tcW w:w="703" w:type="pct"/>
            <w:shd w:val="clear" w:color="auto" w:fill="auto"/>
          </w:tcPr>
          <w:p w14:paraId="49362C1F" w14:textId="66F6227F" w:rsidR="00421B57" w:rsidRPr="00FF11A5" w:rsidRDefault="00CF2E17" w:rsidP="009A3EF2">
            <w:pPr>
              <w:pStyle w:val="TableParagraph"/>
              <w:spacing w:before="21" w:line="240" w:lineRule="atLeast"/>
              <w:ind w:right="98"/>
              <w:rPr>
                <w:rFonts w:ascii="Times New Roman" w:hAnsi="Times New Roman" w:cs="Times New Roman"/>
                <w:lang w:val="hr-HR"/>
              </w:rPr>
            </w:pPr>
            <w:r>
              <w:rPr>
                <w:rFonts w:ascii="Times New Roman" w:hAnsi="Times New Roman" w:cs="Times New Roman"/>
                <w:lang w:val="hr-HR"/>
              </w:rPr>
              <w:t>88,06</w:t>
            </w:r>
          </w:p>
        </w:tc>
      </w:tr>
      <w:tr w:rsidR="00421B57" w:rsidRPr="00FF11A5" w14:paraId="6F80FAD4" w14:textId="77777777" w:rsidTr="00B9382D">
        <w:trPr>
          <w:trHeight w:val="630"/>
        </w:trPr>
        <w:tc>
          <w:tcPr>
            <w:tcW w:w="2501" w:type="pct"/>
            <w:shd w:val="clear" w:color="auto" w:fill="auto"/>
          </w:tcPr>
          <w:p w14:paraId="597AECE6" w14:textId="045C1B33" w:rsidR="00421B57" w:rsidRPr="00FF11A5" w:rsidRDefault="009A3EF2" w:rsidP="009A3EF2">
            <w:pPr>
              <w:widowControl w:val="0"/>
              <w:autoSpaceDE w:val="0"/>
              <w:autoSpaceDN w:val="0"/>
              <w:spacing w:after="0" w:line="240" w:lineRule="atLeast"/>
              <w:rPr>
                <w:rFonts w:ascii="Times New Roman" w:hAnsi="Times New Roman"/>
                <w:w w:val="95"/>
              </w:rPr>
            </w:pPr>
            <w:r w:rsidRPr="00FF11A5">
              <w:rPr>
                <w:rFonts w:ascii="Times New Roman" w:hAnsi="Times New Roman"/>
                <w:w w:val="95"/>
              </w:rPr>
              <w:t>Aktivnost A101010 Održavanje građevna, uređaja i predmeta javne namjene</w:t>
            </w:r>
          </w:p>
        </w:tc>
        <w:tc>
          <w:tcPr>
            <w:tcW w:w="936" w:type="pct"/>
            <w:shd w:val="clear" w:color="auto" w:fill="auto"/>
          </w:tcPr>
          <w:p w14:paraId="5BDF0EF7" w14:textId="1EBE2987" w:rsidR="00421B57" w:rsidRPr="00FF11A5" w:rsidRDefault="009A3EF2" w:rsidP="009A3EF2">
            <w:pPr>
              <w:pStyle w:val="TableParagraph"/>
              <w:spacing w:before="21" w:line="240" w:lineRule="atLeast"/>
              <w:ind w:right="98"/>
              <w:rPr>
                <w:rFonts w:ascii="Times New Roman" w:hAnsi="Times New Roman" w:cs="Times New Roman"/>
                <w:lang w:val="hr-HR"/>
              </w:rPr>
            </w:pPr>
            <w:r w:rsidRPr="00FF11A5">
              <w:rPr>
                <w:rFonts w:ascii="Times New Roman" w:hAnsi="Times New Roman" w:cs="Times New Roman"/>
                <w:lang w:val="hr-HR"/>
              </w:rPr>
              <w:t>1</w:t>
            </w:r>
            <w:r w:rsidR="00CF2E17">
              <w:rPr>
                <w:rFonts w:ascii="Times New Roman" w:hAnsi="Times New Roman" w:cs="Times New Roman"/>
                <w:lang w:val="hr-HR"/>
              </w:rPr>
              <w:t>1</w:t>
            </w:r>
            <w:r w:rsidRPr="00FF11A5">
              <w:rPr>
                <w:rFonts w:ascii="Times New Roman" w:hAnsi="Times New Roman" w:cs="Times New Roman"/>
                <w:lang w:val="hr-HR"/>
              </w:rPr>
              <w:t>.000,00</w:t>
            </w:r>
          </w:p>
        </w:tc>
        <w:tc>
          <w:tcPr>
            <w:tcW w:w="860" w:type="pct"/>
            <w:shd w:val="clear" w:color="auto" w:fill="auto"/>
          </w:tcPr>
          <w:p w14:paraId="174E0AA6" w14:textId="36D7988F" w:rsidR="00421B57" w:rsidRPr="00FF11A5" w:rsidRDefault="00CF2E17" w:rsidP="009A3EF2">
            <w:pPr>
              <w:pStyle w:val="TableParagraph"/>
              <w:spacing w:before="21" w:line="240" w:lineRule="atLeast"/>
              <w:ind w:right="98"/>
              <w:rPr>
                <w:rFonts w:ascii="Times New Roman" w:hAnsi="Times New Roman" w:cs="Times New Roman"/>
                <w:lang w:val="hr-HR"/>
              </w:rPr>
            </w:pPr>
            <w:r>
              <w:rPr>
                <w:rFonts w:ascii="Times New Roman" w:hAnsi="Times New Roman" w:cs="Times New Roman"/>
                <w:lang w:val="hr-HR"/>
              </w:rPr>
              <w:t>11.420,98</w:t>
            </w:r>
          </w:p>
        </w:tc>
        <w:tc>
          <w:tcPr>
            <w:tcW w:w="703" w:type="pct"/>
            <w:shd w:val="clear" w:color="auto" w:fill="auto"/>
          </w:tcPr>
          <w:p w14:paraId="27FB51E1" w14:textId="381764FB" w:rsidR="00421B57" w:rsidRPr="00FF11A5" w:rsidRDefault="00CF2E17" w:rsidP="009A3EF2">
            <w:pPr>
              <w:pStyle w:val="TableParagraph"/>
              <w:spacing w:before="21" w:line="240" w:lineRule="atLeast"/>
              <w:ind w:right="98"/>
              <w:rPr>
                <w:rFonts w:ascii="Times New Roman" w:hAnsi="Times New Roman" w:cs="Times New Roman"/>
                <w:lang w:val="hr-HR"/>
              </w:rPr>
            </w:pPr>
            <w:r>
              <w:rPr>
                <w:rFonts w:ascii="Times New Roman" w:hAnsi="Times New Roman" w:cs="Times New Roman"/>
                <w:lang w:val="hr-HR"/>
              </w:rPr>
              <w:t>103,83</w:t>
            </w:r>
          </w:p>
        </w:tc>
      </w:tr>
      <w:tr w:rsidR="009A3EF2" w:rsidRPr="00FF11A5" w14:paraId="254C7D3B" w14:textId="77777777" w:rsidTr="00B9382D">
        <w:trPr>
          <w:trHeight w:val="630"/>
        </w:trPr>
        <w:tc>
          <w:tcPr>
            <w:tcW w:w="2501" w:type="pct"/>
            <w:shd w:val="clear" w:color="auto" w:fill="auto"/>
          </w:tcPr>
          <w:p w14:paraId="72A18243" w14:textId="06B4BEC4" w:rsidR="009A3EF2" w:rsidRPr="00FF11A5" w:rsidRDefault="009A3EF2" w:rsidP="009A3EF2">
            <w:pPr>
              <w:widowControl w:val="0"/>
              <w:autoSpaceDE w:val="0"/>
              <w:autoSpaceDN w:val="0"/>
              <w:spacing w:after="0" w:line="240" w:lineRule="atLeast"/>
              <w:rPr>
                <w:rFonts w:ascii="Times New Roman" w:hAnsi="Times New Roman"/>
                <w:w w:val="95"/>
              </w:rPr>
            </w:pPr>
            <w:r w:rsidRPr="00FF11A5">
              <w:rPr>
                <w:rFonts w:ascii="Times New Roman" w:hAnsi="Times New Roman"/>
                <w:w w:val="95"/>
              </w:rPr>
              <w:lastRenderedPageBreak/>
              <w:t>Aktivnost A101011 Održavanje građevina javne odvodnje oborinskih voda</w:t>
            </w:r>
          </w:p>
        </w:tc>
        <w:tc>
          <w:tcPr>
            <w:tcW w:w="936" w:type="pct"/>
            <w:shd w:val="clear" w:color="auto" w:fill="auto"/>
          </w:tcPr>
          <w:p w14:paraId="390F327C" w14:textId="64A33DD5" w:rsidR="009A3EF2" w:rsidRPr="00FF11A5" w:rsidRDefault="00CF2E17" w:rsidP="009A3EF2">
            <w:pPr>
              <w:pStyle w:val="TableParagraph"/>
              <w:spacing w:before="21" w:line="240" w:lineRule="atLeast"/>
              <w:ind w:right="98"/>
              <w:rPr>
                <w:rFonts w:ascii="Times New Roman" w:hAnsi="Times New Roman" w:cs="Times New Roman"/>
                <w:lang w:val="hr-HR"/>
              </w:rPr>
            </w:pPr>
            <w:r>
              <w:rPr>
                <w:rFonts w:ascii="Times New Roman" w:hAnsi="Times New Roman" w:cs="Times New Roman"/>
                <w:lang w:val="hr-HR"/>
              </w:rPr>
              <w:t>1</w:t>
            </w:r>
            <w:r w:rsidR="009A3EF2" w:rsidRPr="00FF11A5">
              <w:rPr>
                <w:rFonts w:ascii="Times New Roman" w:hAnsi="Times New Roman" w:cs="Times New Roman"/>
                <w:lang w:val="hr-HR"/>
              </w:rPr>
              <w:t>.000,00</w:t>
            </w:r>
          </w:p>
        </w:tc>
        <w:tc>
          <w:tcPr>
            <w:tcW w:w="860" w:type="pct"/>
            <w:shd w:val="clear" w:color="auto" w:fill="auto"/>
          </w:tcPr>
          <w:p w14:paraId="1710997D" w14:textId="277E0A1E" w:rsidR="009A3EF2" w:rsidRPr="00FF11A5" w:rsidRDefault="00CF2E17" w:rsidP="009A3EF2">
            <w:pPr>
              <w:pStyle w:val="TableParagraph"/>
              <w:spacing w:before="21" w:line="240" w:lineRule="atLeast"/>
              <w:ind w:right="98"/>
              <w:rPr>
                <w:rFonts w:ascii="Times New Roman" w:hAnsi="Times New Roman" w:cs="Times New Roman"/>
                <w:lang w:val="hr-HR"/>
              </w:rPr>
            </w:pPr>
            <w:r>
              <w:rPr>
                <w:rFonts w:ascii="Times New Roman" w:hAnsi="Times New Roman" w:cs="Times New Roman"/>
                <w:lang w:val="hr-HR"/>
              </w:rPr>
              <w:t>142,30</w:t>
            </w:r>
          </w:p>
        </w:tc>
        <w:tc>
          <w:tcPr>
            <w:tcW w:w="703" w:type="pct"/>
            <w:shd w:val="clear" w:color="auto" w:fill="auto"/>
          </w:tcPr>
          <w:p w14:paraId="72DD0D19" w14:textId="203FB413" w:rsidR="009A3EF2" w:rsidRPr="00FF11A5" w:rsidRDefault="00CF2E17" w:rsidP="009A3EF2">
            <w:pPr>
              <w:pStyle w:val="TableParagraph"/>
              <w:spacing w:before="21" w:line="240" w:lineRule="atLeast"/>
              <w:ind w:right="98"/>
              <w:rPr>
                <w:rFonts w:ascii="Times New Roman" w:hAnsi="Times New Roman" w:cs="Times New Roman"/>
                <w:lang w:val="hr-HR"/>
              </w:rPr>
            </w:pPr>
            <w:r>
              <w:rPr>
                <w:rFonts w:ascii="Times New Roman" w:hAnsi="Times New Roman" w:cs="Times New Roman"/>
                <w:lang w:val="hr-HR"/>
              </w:rPr>
              <w:t>14,23</w:t>
            </w:r>
          </w:p>
        </w:tc>
      </w:tr>
      <w:tr w:rsidR="009A3EF2" w:rsidRPr="00FF11A5" w14:paraId="67B3439A" w14:textId="77777777" w:rsidTr="009A3EF2">
        <w:trPr>
          <w:trHeight w:val="346"/>
        </w:trPr>
        <w:tc>
          <w:tcPr>
            <w:tcW w:w="2501" w:type="pct"/>
            <w:shd w:val="clear" w:color="auto" w:fill="auto"/>
          </w:tcPr>
          <w:p w14:paraId="1EF1FBD3" w14:textId="4044DC5A" w:rsidR="009A3EF2" w:rsidRPr="00FF11A5" w:rsidRDefault="009A3EF2" w:rsidP="009A3EF2">
            <w:pPr>
              <w:widowControl w:val="0"/>
              <w:autoSpaceDE w:val="0"/>
              <w:autoSpaceDN w:val="0"/>
              <w:spacing w:after="0" w:line="240" w:lineRule="atLeast"/>
              <w:rPr>
                <w:rFonts w:ascii="Times New Roman" w:hAnsi="Times New Roman"/>
                <w:w w:val="95"/>
              </w:rPr>
            </w:pPr>
            <w:r w:rsidRPr="00FF11A5">
              <w:rPr>
                <w:rFonts w:ascii="Times New Roman" w:hAnsi="Times New Roman"/>
                <w:w w:val="95"/>
              </w:rPr>
              <w:t>Aktivnost A101012 Održavanje groblja</w:t>
            </w:r>
          </w:p>
        </w:tc>
        <w:tc>
          <w:tcPr>
            <w:tcW w:w="936" w:type="pct"/>
            <w:shd w:val="clear" w:color="auto" w:fill="auto"/>
          </w:tcPr>
          <w:p w14:paraId="44568ADE" w14:textId="696DD17D" w:rsidR="009A3EF2" w:rsidRPr="00FF11A5" w:rsidRDefault="009A3EF2" w:rsidP="009A3EF2">
            <w:pPr>
              <w:pStyle w:val="TableParagraph"/>
              <w:spacing w:before="21" w:line="240" w:lineRule="atLeast"/>
              <w:ind w:right="98"/>
              <w:rPr>
                <w:rFonts w:ascii="Times New Roman" w:hAnsi="Times New Roman" w:cs="Times New Roman"/>
                <w:lang w:val="hr-HR"/>
              </w:rPr>
            </w:pPr>
            <w:r w:rsidRPr="00FF11A5">
              <w:rPr>
                <w:rFonts w:ascii="Times New Roman" w:hAnsi="Times New Roman" w:cs="Times New Roman"/>
                <w:lang w:val="hr-HR"/>
              </w:rPr>
              <w:t>1</w:t>
            </w:r>
            <w:r w:rsidR="00CF2E17">
              <w:rPr>
                <w:rFonts w:ascii="Times New Roman" w:hAnsi="Times New Roman" w:cs="Times New Roman"/>
                <w:lang w:val="hr-HR"/>
              </w:rPr>
              <w:t>5</w:t>
            </w:r>
            <w:r w:rsidRPr="00FF11A5">
              <w:rPr>
                <w:rFonts w:ascii="Times New Roman" w:hAnsi="Times New Roman" w:cs="Times New Roman"/>
                <w:lang w:val="hr-HR"/>
              </w:rPr>
              <w:t>.000,00</w:t>
            </w:r>
          </w:p>
        </w:tc>
        <w:tc>
          <w:tcPr>
            <w:tcW w:w="860" w:type="pct"/>
            <w:shd w:val="clear" w:color="auto" w:fill="auto"/>
          </w:tcPr>
          <w:p w14:paraId="471A4FD9" w14:textId="2CE80126" w:rsidR="009A3EF2" w:rsidRPr="00FF11A5" w:rsidRDefault="00CF2E17" w:rsidP="009A3EF2">
            <w:pPr>
              <w:pStyle w:val="TableParagraph"/>
              <w:spacing w:before="21" w:line="240" w:lineRule="atLeast"/>
              <w:ind w:right="98"/>
              <w:rPr>
                <w:rFonts w:ascii="Times New Roman" w:hAnsi="Times New Roman" w:cs="Times New Roman"/>
                <w:lang w:val="hr-HR"/>
              </w:rPr>
            </w:pPr>
            <w:r>
              <w:rPr>
                <w:rFonts w:ascii="Times New Roman" w:hAnsi="Times New Roman" w:cs="Times New Roman"/>
                <w:lang w:val="hr-HR"/>
              </w:rPr>
              <w:t>4.946,92</w:t>
            </w:r>
          </w:p>
        </w:tc>
        <w:tc>
          <w:tcPr>
            <w:tcW w:w="703" w:type="pct"/>
            <w:shd w:val="clear" w:color="auto" w:fill="auto"/>
          </w:tcPr>
          <w:p w14:paraId="57761292" w14:textId="2B7E2889" w:rsidR="009A3EF2" w:rsidRPr="00FF11A5" w:rsidRDefault="00CF2E17" w:rsidP="009A3EF2">
            <w:pPr>
              <w:pStyle w:val="TableParagraph"/>
              <w:spacing w:before="21" w:line="240" w:lineRule="atLeast"/>
              <w:ind w:right="98"/>
              <w:rPr>
                <w:rFonts w:ascii="Times New Roman" w:hAnsi="Times New Roman" w:cs="Times New Roman"/>
                <w:lang w:val="hr-HR"/>
              </w:rPr>
            </w:pPr>
            <w:r>
              <w:rPr>
                <w:rFonts w:ascii="Times New Roman" w:hAnsi="Times New Roman" w:cs="Times New Roman"/>
                <w:lang w:val="hr-HR"/>
              </w:rPr>
              <w:t>32,98</w:t>
            </w:r>
          </w:p>
        </w:tc>
      </w:tr>
      <w:tr w:rsidR="00CF2E17" w:rsidRPr="00FF11A5" w14:paraId="3D9A8B6D" w14:textId="77777777" w:rsidTr="009A3EF2">
        <w:trPr>
          <w:trHeight w:val="346"/>
        </w:trPr>
        <w:tc>
          <w:tcPr>
            <w:tcW w:w="2501" w:type="pct"/>
            <w:shd w:val="clear" w:color="auto" w:fill="auto"/>
          </w:tcPr>
          <w:p w14:paraId="0EE6D24C" w14:textId="3B9C88F4" w:rsidR="00CF2E17" w:rsidRPr="00FF11A5" w:rsidRDefault="00CF2E17" w:rsidP="009A3EF2">
            <w:pPr>
              <w:widowControl w:val="0"/>
              <w:autoSpaceDE w:val="0"/>
              <w:autoSpaceDN w:val="0"/>
              <w:spacing w:after="0" w:line="240" w:lineRule="atLeast"/>
              <w:rPr>
                <w:rFonts w:ascii="Times New Roman" w:hAnsi="Times New Roman"/>
                <w:w w:val="95"/>
              </w:rPr>
            </w:pPr>
            <w:r>
              <w:rPr>
                <w:rFonts w:ascii="Times New Roman" w:hAnsi="Times New Roman"/>
                <w:w w:val="95"/>
              </w:rPr>
              <w:t>Aktivnost A101013 Sanacija klizišta</w:t>
            </w:r>
          </w:p>
        </w:tc>
        <w:tc>
          <w:tcPr>
            <w:tcW w:w="936" w:type="pct"/>
            <w:shd w:val="clear" w:color="auto" w:fill="auto"/>
          </w:tcPr>
          <w:p w14:paraId="481E76AA" w14:textId="74593F93" w:rsidR="00CF2E17" w:rsidRPr="00FF11A5" w:rsidRDefault="00CF2E17" w:rsidP="009A3EF2">
            <w:pPr>
              <w:pStyle w:val="TableParagraph"/>
              <w:spacing w:before="21" w:line="240" w:lineRule="atLeast"/>
              <w:ind w:right="98"/>
              <w:rPr>
                <w:rFonts w:ascii="Times New Roman" w:hAnsi="Times New Roman" w:cs="Times New Roman"/>
                <w:lang w:val="hr-HR"/>
              </w:rPr>
            </w:pPr>
            <w:r>
              <w:rPr>
                <w:rFonts w:ascii="Times New Roman" w:hAnsi="Times New Roman" w:cs="Times New Roman"/>
                <w:lang w:val="hr-HR"/>
              </w:rPr>
              <w:t>118.040,00</w:t>
            </w:r>
          </w:p>
        </w:tc>
        <w:tc>
          <w:tcPr>
            <w:tcW w:w="860" w:type="pct"/>
            <w:shd w:val="clear" w:color="auto" w:fill="auto"/>
          </w:tcPr>
          <w:p w14:paraId="53BB356B" w14:textId="4AEDCDD3" w:rsidR="00CF2E17" w:rsidRDefault="00CF2E17" w:rsidP="009A3EF2">
            <w:pPr>
              <w:pStyle w:val="TableParagraph"/>
              <w:spacing w:before="21" w:line="240" w:lineRule="atLeast"/>
              <w:ind w:right="98"/>
              <w:rPr>
                <w:rFonts w:ascii="Times New Roman" w:hAnsi="Times New Roman" w:cs="Times New Roman"/>
                <w:lang w:val="hr-HR"/>
              </w:rPr>
            </w:pPr>
            <w:r>
              <w:rPr>
                <w:rFonts w:ascii="Times New Roman" w:hAnsi="Times New Roman" w:cs="Times New Roman"/>
                <w:lang w:val="hr-HR"/>
              </w:rPr>
              <w:t>118.693,38</w:t>
            </w:r>
          </w:p>
        </w:tc>
        <w:tc>
          <w:tcPr>
            <w:tcW w:w="703" w:type="pct"/>
            <w:shd w:val="clear" w:color="auto" w:fill="auto"/>
          </w:tcPr>
          <w:p w14:paraId="4FFD25A8" w14:textId="1885295F" w:rsidR="00CF2E17" w:rsidRDefault="00CF2E17" w:rsidP="009A3EF2">
            <w:pPr>
              <w:pStyle w:val="TableParagraph"/>
              <w:spacing w:before="21" w:line="240" w:lineRule="atLeast"/>
              <w:ind w:right="98"/>
              <w:rPr>
                <w:rFonts w:ascii="Times New Roman" w:hAnsi="Times New Roman" w:cs="Times New Roman"/>
                <w:lang w:val="hr-HR"/>
              </w:rPr>
            </w:pPr>
            <w:r>
              <w:rPr>
                <w:rFonts w:ascii="Times New Roman" w:hAnsi="Times New Roman" w:cs="Times New Roman"/>
                <w:lang w:val="hr-HR"/>
              </w:rPr>
              <w:t>100,55</w:t>
            </w:r>
          </w:p>
        </w:tc>
      </w:tr>
      <w:tr w:rsidR="00421B57" w:rsidRPr="00FF11A5" w14:paraId="560ACF3B" w14:textId="77777777" w:rsidTr="00B9382D">
        <w:trPr>
          <w:trHeight w:val="277"/>
        </w:trPr>
        <w:tc>
          <w:tcPr>
            <w:tcW w:w="2501" w:type="pct"/>
            <w:shd w:val="clear" w:color="auto" w:fill="auto"/>
          </w:tcPr>
          <w:p w14:paraId="071A9CFB" w14:textId="77777777" w:rsidR="00421B57" w:rsidRPr="00FF11A5" w:rsidRDefault="00421B57" w:rsidP="00B9382D">
            <w:pPr>
              <w:widowControl w:val="0"/>
              <w:autoSpaceDE w:val="0"/>
              <w:autoSpaceDN w:val="0"/>
              <w:spacing w:after="0" w:line="240" w:lineRule="exact"/>
              <w:rPr>
                <w:rFonts w:ascii="Times New Roman" w:hAnsi="Times New Roman"/>
                <w:b/>
                <w:bCs/>
                <w:w w:val="95"/>
              </w:rPr>
            </w:pPr>
            <w:r w:rsidRPr="00FF11A5">
              <w:rPr>
                <w:rFonts w:ascii="Times New Roman" w:hAnsi="Times New Roman"/>
                <w:b/>
                <w:bCs/>
                <w:w w:val="95"/>
              </w:rPr>
              <w:t>Ukupno program</w:t>
            </w:r>
          </w:p>
        </w:tc>
        <w:tc>
          <w:tcPr>
            <w:tcW w:w="936" w:type="pct"/>
            <w:shd w:val="clear" w:color="auto" w:fill="auto"/>
          </w:tcPr>
          <w:p w14:paraId="2304F565" w14:textId="1ED13063" w:rsidR="00421B57" w:rsidRPr="00FF11A5" w:rsidRDefault="00CF2E17" w:rsidP="00B9382D">
            <w:pPr>
              <w:pStyle w:val="TableParagraph"/>
              <w:spacing w:before="21" w:line="240" w:lineRule="exact"/>
              <w:ind w:right="98"/>
              <w:rPr>
                <w:rFonts w:ascii="Times New Roman" w:hAnsi="Times New Roman" w:cs="Times New Roman"/>
                <w:b/>
                <w:bCs/>
                <w:lang w:val="hr-HR"/>
              </w:rPr>
            </w:pPr>
            <w:r>
              <w:rPr>
                <w:rFonts w:ascii="Times New Roman" w:hAnsi="Times New Roman" w:cs="Times New Roman"/>
                <w:b/>
                <w:bCs/>
                <w:lang w:val="hr-HR"/>
              </w:rPr>
              <w:t>904.980,00</w:t>
            </w:r>
          </w:p>
        </w:tc>
        <w:tc>
          <w:tcPr>
            <w:tcW w:w="860" w:type="pct"/>
            <w:shd w:val="clear" w:color="auto" w:fill="auto"/>
          </w:tcPr>
          <w:p w14:paraId="1046DD9D" w14:textId="1D0216C6" w:rsidR="00421B57" w:rsidRPr="00FF11A5" w:rsidRDefault="00CF2E17" w:rsidP="00B9382D">
            <w:pPr>
              <w:pStyle w:val="TableParagraph"/>
              <w:spacing w:before="21" w:line="240" w:lineRule="exact"/>
              <w:ind w:right="98"/>
              <w:rPr>
                <w:rFonts w:ascii="Times New Roman" w:hAnsi="Times New Roman" w:cs="Times New Roman"/>
                <w:b/>
                <w:bCs/>
                <w:lang w:val="hr-HR"/>
              </w:rPr>
            </w:pPr>
            <w:r>
              <w:rPr>
                <w:rFonts w:ascii="Times New Roman" w:hAnsi="Times New Roman" w:cs="Times New Roman"/>
                <w:b/>
                <w:bCs/>
                <w:lang w:val="hr-HR"/>
              </w:rPr>
              <w:t>768.127,41</w:t>
            </w:r>
          </w:p>
        </w:tc>
        <w:tc>
          <w:tcPr>
            <w:tcW w:w="703" w:type="pct"/>
            <w:shd w:val="clear" w:color="auto" w:fill="auto"/>
          </w:tcPr>
          <w:p w14:paraId="09B0932D" w14:textId="609BC794" w:rsidR="00421B57" w:rsidRPr="00FF11A5" w:rsidRDefault="00CF2E17" w:rsidP="00B9382D">
            <w:pPr>
              <w:pStyle w:val="TableParagraph"/>
              <w:spacing w:before="21" w:line="240" w:lineRule="exact"/>
              <w:ind w:right="98"/>
              <w:rPr>
                <w:rFonts w:ascii="Times New Roman" w:hAnsi="Times New Roman" w:cs="Times New Roman"/>
                <w:b/>
                <w:bCs/>
                <w:lang w:val="hr-HR"/>
              </w:rPr>
            </w:pPr>
            <w:r>
              <w:rPr>
                <w:rFonts w:ascii="Times New Roman" w:hAnsi="Times New Roman" w:cs="Times New Roman"/>
                <w:b/>
                <w:bCs/>
                <w:lang w:val="hr-HR"/>
              </w:rPr>
              <w:t>84,88</w:t>
            </w:r>
          </w:p>
        </w:tc>
      </w:tr>
    </w:tbl>
    <w:p w14:paraId="5DE4B252" w14:textId="77777777" w:rsidR="00421B57" w:rsidRPr="00421B57" w:rsidRDefault="00421B57" w:rsidP="00421B57">
      <w:pPr>
        <w:pStyle w:val="Podnaslov"/>
        <w:rPr>
          <w:lang w:eastAsia="ar-SA"/>
        </w:rPr>
      </w:pPr>
    </w:p>
    <w:p w14:paraId="7F3F6620" w14:textId="2B92A2DA" w:rsidR="00722358" w:rsidRDefault="00722358" w:rsidP="00BC63A1">
      <w:pPr>
        <w:pStyle w:val="Naslov"/>
        <w:ind w:firstLine="567"/>
        <w:jc w:val="both"/>
        <w:rPr>
          <w:rFonts w:ascii="Times New Roman" w:hAnsi="Times New Roman" w:cs="Times New Roman"/>
          <w:b w:val="0"/>
          <w:sz w:val="22"/>
          <w:lang w:val="hr-HR"/>
        </w:rPr>
      </w:pPr>
      <w:r w:rsidRPr="00722358">
        <w:rPr>
          <w:rFonts w:ascii="Times New Roman" w:hAnsi="Times New Roman" w:cs="Times New Roman"/>
          <w:b w:val="0"/>
          <w:i/>
          <w:sz w:val="22"/>
          <w:lang w:val="hr-HR"/>
        </w:rPr>
        <w:t xml:space="preserve">Aktivnost A101001 </w:t>
      </w:r>
      <w:r w:rsidRPr="00722358">
        <w:rPr>
          <w:rFonts w:ascii="Times New Roman" w:hAnsi="Times New Roman" w:cs="Times New Roman"/>
          <w:b w:val="0"/>
          <w:sz w:val="22"/>
          <w:lang w:val="hr-HR"/>
        </w:rPr>
        <w:t xml:space="preserve">– Javna rasvjeta </w:t>
      </w:r>
    </w:p>
    <w:p w14:paraId="3DDF9B18" w14:textId="337E3E38" w:rsidR="00C11B9B" w:rsidRDefault="00C11B9B" w:rsidP="00685EEF">
      <w:pPr>
        <w:jc w:val="both"/>
        <w:rPr>
          <w:rFonts w:ascii="Times New Roman" w:hAnsi="Times New Roman" w:cs="Times New Roman"/>
        </w:rPr>
      </w:pPr>
      <w:r w:rsidRPr="00A967ED">
        <w:rPr>
          <w:rFonts w:ascii="Times New Roman" w:hAnsi="Times New Roman"/>
        </w:rPr>
        <w:t>Ovom</w:t>
      </w:r>
      <w:r>
        <w:rPr>
          <w:rFonts w:ascii="Times New Roman" w:hAnsi="Times New Roman"/>
        </w:rPr>
        <w:t xml:space="preserve"> aktivnošću financira</w:t>
      </w:r>
      <w:r w:rsidR="00685EEF">
        <w:rPr>
          <w:rFonts w:ascii="Times New Roman" w:hAnsi="Times New Roman"/>
        </w:rPr>
        <w:t>ju se troškovi javne rasvjete, usluge održavanja javne rasvjete te</w:t>
      </w:r>
      <w:r>
        <w:rPr>
          <w:rFonts w:ascii="Times New Roman" w:hAnsi="Times New Roman"/>
        </w:rPr>
        <w:t xml:space="preserve"> </w:t>
      </w:r>
      <w:r w:rsidR="00685EEF">
        <w:rPr>
          <w:rFonts w:ascii="Times New Roman" w:hAnsi="Times New Roman"/>
        </w:rPr>
        <w:t xml:space="preserve"> naknada za</w:t>
      </w:r>
      <w:r>
        <w:rPr>
          <w:rFonts w:ascii="Times New Roman" w:hAnsi="Times New Roman"/>
        </w:rPr>
        <w:t xml:space="preserve"> energetsk</w:t>
      </w:r>
      <w:r w:rsidR="00685EEF">
        <w:rPr>
          <w:rFonts w:ascii="Times New Roman" w:hAnsi="Times New Roman"/>
        </w:rPr>
        <w:t>u</w:t>
      </w:r>
      <w:r>
        <w:rPr>
          <w:rFonts w:ascii="Times New Roman" w:hAnsi="Times New Roman"/>
        </w:rPr>
        <w:t xml:space="preserve"> uslug</w:t>
      </w:r>
      <w:r w:rsidR="00685EEF">
        <w:rPr>
          <w:rFonts w:ascii="Times New Roman" w:hAnsi="Times New Roman"/>
        </w:rPr>
        <w:t>u</w:t>
      </w:r>
      <w:r>
        <w:rPr>
          <w:rFonts w:ascii="Times New Roman" w:hAnsi="Times New Roman"/>
        </w:rPr>
        <w:t xml:space="preserve">, odnosno nove lampe koje su postavljene u naseljima Grada Garešnica temeljem </w:t>
      </w:r>
      <w:r w:rsidRPr="00722358">
        <w:rPr>
          <w:rFonts w:ascii="Times New Roman" w:hAnsi="Times New Roman" w:cs="Times New Roman"/>
        </w:rPr>
        <w:t xml:space="preserve">Ugovora o energetskom učinku sklopljenom sa Zajednicom ponuditelja RASVJETA GRAD </w:t>
      </w:r>
      <w:proofErr w:type="spellStart"/>
      <w:r w:rsidRPr="00722358">
        <w:rPr>
          <w:rFonts w:ascii="Times New Roman" w:hAnsi="Times New Roman" w:cs="Times New Roman"/>
        </w:rPr>
        <w:t>j.d.o.o</w:t>
      </w:r>
      <w:proofErr w:type="spellEnd"/>
      <w:r w:rsidRPr="00722358">
        <w:rPr>
          <w:rFonts w:ascii="Times New Roman" w:hAnsi="Times New Roman" w:cs="Times New Roman"/>
        </w:rPr>
        <w:t xml:space="preserve">. i ENERGY PLUS d.o.o.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07"/>
        <w:gridCol w:w="2996"/>
        <w:gridCol w:w="962"/>
        <w:gridCol w:w="1122"/>
        <w:gridCol w:w="1105"/>
        <w:gridCol w:w="968"/>
      </w:tblGrid>
      <w:tr w:rsidR="009F1BAF" w:rsidRPr="00F64569" w14:paraId="28FB0BEC" w14:textId="77777777" w:rsidTr="00E347ED">
        <w:trPr>
          <w:trHeight w:val="633"/>
          <w:jc w:val="center"/>
        </w:trPr>
        <w:tc>
          <w:tcPr>
            <w:tcW w:w="1052" w:type="pct"/>
            <w:shd w:val="clear" w:color="auto" w:fill="BFBFBF"/>
          </w:tcPr>
          <w:p w14:paraId="3A29B7FD" w14:textId="77777777" w:rsidR="009F1BAF" w:rsidRPr="00F64569" w:rsidRDefault="009F1BAF" w:rsidP="00E347ED">
            <w:pPr>
              <w:widowControl w:val="0"/>
              <w:autoSpaceDE w:val="0"/>
              <w:autoSpaceDN w:val="0"/>
              <w:spacing w:before="104" w:after="0" w:line="240" w:lineRule="auto"/>
              <w:ind w:left="136" w:right="110" w:firstLine="59"/>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Pokazatelj</w:t>
            </w:r>
            <w:r w:rsidRPr="00F64569">
              <w:rPr>
                <w:rFonts w:ascii="Times New Roman" w:eastAsia="Arial MT" w:hAnsi="Times New Roman" w:cs="Times New Roman"/>
                <w:b/>
                <w:spacing w:val="1"/>
                <w:sz w:val="20"/>
                <w:szCs w:val="20"/>
              </w:rPr>
              <w:t xml:space="preserve"> </w:t>
            </w:r>
            <w:r>
              <w:rPr>
                <w:rFonts w:ascii="Times New Roman" w:eastAsia="Arial MT" w:hAnsi="Times New Roman" w:cs="Times New Roman"/>
                <w:b/>
                <w:sz w:val="20"/>
                <w:szCs w:val="20"/>
              </w:rPr>
              <w:t>rezultata</w:t>
            </w:r>
          </w:p>
        </w:tc>
        <w:tc>
          <w:tcPr>
            <w:tcW w:w="1653" w:type="pct"/>
            <w:shd w:val="clear" w:color="auto" w:fill="BFBFBF"/>
          </w:tcPr>
          <w:p w14:paraId="6D842FFC" w14:textId="77777777" w:rsidR="009F1BAF" w:rsidRPr="00F64569" w:rsidRDefault="009F1BAF" w:rsidP="00E347ED">
            <w:pPr>
              <w:widowControl w:val="0"/>
              <w:autoSpaceDE w:val="0"/>
              <w:autoSpaceDN w:val="0"/>
              <w:spacing w:after="0" w:line="240" w:lineRule="auto"/>
              <w:jc w:val="both"/>
              <w:rPr>
                <w:rFonts w:ascii="Times New Roman" w:eastAsia="Arial MT" w:hAnsi="Times New Roman" w:cs="Times New Roman"/>
                <w:b/>
                <w:sz w:val="20"/>
                <w:szCs w:val="20"/>
              </w:rPr>
            </w:pPr>
          </w:p>
          <w:p w14:paraId="0331D6E7" w14:textId="77777777" w:rsidR="009F1BAF" w:rsidRPr="00F64569" w:rsidRDefault="009F1BAF" w:rsidP="00E347ED">
            <w:pPr>
              <w:widowControl w:val="0"/>
              <w:autoSpaceDE w:val="0"/>
              <w:autoSpaceDN w:val="0"/>
              <w:spacing w:before="1" w:after="0" w:line="240" w:lineRule="auto"/>
              <w:ind w:left="1136" w:right="832"/>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Definicija</w:t>
            </w:r>
          </w:p>
        </w:tc>
        <w:tc>
          <w:tcPr>
            <w:tcW w:w="531" w:type="pct"/>
            <w:shd w:val="clear" w:color="auto" w:fill="BFBFBF"/>
          </w:tcPr>
          <w:p w14:paraId="2A0E153D" w14:textId="77777777" w:rsidR="009F1BAF" w:rsidRPr="00F64569" w:rsidRDefault="009F1BAF" w:rsidP="00E347ED">
            <w:pPr>
              <w:widowControl w:val="0"/>
              <w:autoSpaceDE w:val="0"/>
              <w:autoSpaceDN w:val="0"/>
              <w:spacing w:after="0" w:line="240" w:lineRule="auto"/>
              <w:jc w:val="both"/>
              <w:rPr>
                <w:rFonts w:ascii="Times New Roman" w:eastAsia="Arial MT" w:hAnsi="Times New Roman" w:cs="Times New Roman"/>
                <w:b/>
                <w:sz w:val="20"/>
                <w:szCs w:val="20"/>
              </w:rPr>
            </w:pPr>
          </w:p>
          <w:p w14:paraId="79519D46" w14:textId="77777777" w:rsidR="009F1BAF" w:rsidRPr="00F64569" w:rsidRDefault="009F1BAF" w:rsidP="00E347ED">
            <w:pPr>
              <w:widowControl w:val="0"/>
              <w:autoSpaceDE w:val="0"/>
              <w:autoSpaceDN w:val="0"/>
              <w:spacing w:before="1" w:after="0" w:line="240" w:lineRule="auto"/>
              <w:ind w:left="112" w:right="105"/>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Jedinica</w:t>
            </w:r>
          </w:p>
        </w:tc>
        <w:tc>
          <w:tcPr>
            <w:tcW w:w="619" w:type="pct"/>
            <w:shd w:val="clear" w:color="auto" w:fill="BFBFBF"/>
          </w:tcPr>
          <w:p w14:paraId="4B0B8EA6" w14:textId="77777777" w:rsidR="009F1BAF" w:rsidRPr="00F64569" w:rsidRDefault="009F1BAF" w:rsidP="00E347ED">
            <w:pPr>
              <w:widowControl w:val="0"/>
              <w:autoSpaceDE w:val="0"/>
              <w:autoSpaceDN w:val="0"/>
              <w:spacing w:after="0" w:line="206" w:lineRule="exact"/>
              <w:ind w:left="122" w:right="121"/>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Ciljana</w:t>
            </w:r>
          </w:p>
          <w:p w14:paraId="156C58D7" w14:textId="77777777" w:rsidR="009F1BAF" w:rsidRPr="00F64569" w:rsidRDefault="009F1BAF" w:rsidP="00E347ED">
            <w:pPr>
              <w:widowControl w:val="0"/>
              <w:autoSpaceDE w:val="0"/>
              <w:autoSpaceDN w:val="0"/>
              <w:spacing w:after="0" w:line="206" w:lineRule="exact"/>
              <w:ind w:left="124" w:right="121"/>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vrijednost</w:t>
            </w:r>
            <w:r w:rsidRPr="00F64569">
              <w:rPr>
                <w:rFonts w:ascii="Times New Roman" w:eastAsia="Arial MT" w:hAnsi="Times New Roman" w:cs="Times New Roman"/>
                <w:b/>
                <w:spacing w:val="-47"/>
                <w:sz w:val="20"/>
                <w:szCs w:val="20"/>
              </w:rPr>
              <w:t xml:space="preserve">   </w:t>
            </w:r>
            <w:r w:rsidRPr="00F64569">
              <w:rPr>
                <w:rFonts w:ascii="Times New Roman" w:eastAsia="Arial MT" w:hAnsi="Times New Roman" w:cs="Times New Roman"/>
                <w:b/>
                <w:sz w:val="20"/>
                <w:szCs w:val="20"/>
              </w:rPr>
              <w:t>2024.</w:t>
            </w:r>
          </w:p>
        </w:tc>
        <w:tc>
          <w:tcPr>
            <w:tcW w:w="610" w:type="pct"/>
            <w:shd w:val="clear" w:color="auto" w:fill="BFBFBF"/>
          </w:tcPr>
          <w:p w14:paraId="7898DE1C" w14:textId="77777777" w:rsidR="009F1BAF" w:rsidRPr="00F64569" w:rsidRDefault="009F1BAF" w:rsidP="00E347ED">
            <w:pPr>
              <w:widowControl w:val="0"/>
              <w:autoSpaceDE w:val="0"/>
              <w:autoSpaceDN w:val="0"/>
              <w:spacing w:after="0" w:line="205" w:lineRule="exact"/>
              <w:ind w:left="89"/>
              <w:jc w:val="both"/>
              <w:rPr>
                <w:rFonts w:ascii="Times New Roman" w:eastAsia="Arial MT" w:hAnsi="Times New Roman" w:cs="Times New Roman"/>
                <w:b/>
                <w:sz w:val="20"/>
                <w:szCs w:val="20"/>
              </w:rPr>
            </w:pPr>
            <w:r>
              <w:rPr>
                <w:rFonts w:ascii="Times New Roman" w:eastAsia="Arial MT" w:hAnsi="Times New Roman" w:cs="Times New Roman"/>
                <w:b/>
                <w:sz w:val="20"/>
                <w:szCs w:val="20"/>
              </w:rPr>
              <w:t>Izvršenje</w:t>
            </w:r>
          </w:p>
        </w:tc>
        <w:tc>
          <w:tcPr>
            <w:tcW w:w="534" w:type="pct"/>
            <w:shd w:val="clear" w:color="auto" w:fill="BFBFBF"/>
          </w:tcPr>
          <w:p w14:paraId="1B8DC63E" w14:textId="77777777" w:rsidR="009F1BAF" w:rsidRPr="00F64569" w:rsidRDefault="009F1BAF" w:rsidP="00E347ED">
            <w:pPr>
              <w:widowControl w:val="0"/>
              <w:autoSpaceDE w:val="0"/>
              <w:autoSpaceDN w:val="0"/>
              <w:spacing w:after="0" w:line="240" w:lineRule="auto"/>
              <w:ind w:left="130" w:right="115" w:firstLine="134"/>
              <w:jc w:val="both"/>
              <w:rPr>
                <w:rFonts w:ascii="Times New Roman" w:eastAsia="Arial MT" w:hAnsi="Times New Roman" w:cs="Times New Roman"/>
                <w:b/>
                <w:sz w:val="20"/>
                <w:szCs w:val="20"/>
              </w:rPr>
            </w:pPr>
            <w:r>
              <w:rPr>
                <w:rFonts w:ascii="Times New Roman" w:eastAsia="Arial MT" w:hAnsi="Times New Roman" w:cs="Times New Roman"/>
                <w:b/>
                <w:sz w:val="20"/>
                <w:szCs w:val="20"/>
              </w:rPr>
              <w:t>Indeks</w:t>
            </w:r>
          </w:p>
        </w:tc>
      </w:tr>
      <w:tr w:rsidR="009F1BAF" w:rsidRPr="00F64569" w14:paraId="0D6F4ABA" w14:textId="77777777" w:rsidTr="00E347ED">
        <w:trPr>
          <w:trHeight w:val="620"/>
          <w:jc w:val="center"/>
        </w:trPr>
        <w:tc>
          <w:tcPr>
            <w:tcW w:w="1052" w:type="pct"/>
            <w:shd w:val="clear" w:color="auto" w:fill="auto"/>
          </w:tcPr>
          <w:p w14:paraId="42051694" w14:textId="1B0ED732" w:rsidR="009F1BAF" w:rsidRPr="00F64569" w:rsidRDefault="009F1BAF" w:rsidP="00E347ED">
            <w:pPr>
              <w:widowControl w:val="0"/>
              <w:autoSpaceDE w:val="0"/>
              <w:autoSpaceDN w:val="0"/>
              <w:spacing w:before="1" w:after="0" w:line="240" w:lineRule="auto"/>
              <w:ind w:right="109"/>
              <w:jc w:val="center"/>
              <w:rPr>
                <w:rFonts w:ascii="Times New Roman" w:eastAsia="Arial MT" w:hAnsi="Times New Roman" w:cs="Times New Roman"/>
              </w:rPr>
            </w:pPr>
            <w:r>
              <w:rPr>
                <w:rFonts w:ascii="Times New Roman" w:eastAsia="Arial MT" w:hAnsi="Times New Roman" w:cs="Times New Roman"/>
              </w:rPr>
              <w:t>Broj lampi javne rasvjete na području grada</w:t>
            </w:r>
          </w:p>
        </w:tc>
        <w:tc>
          <w:tcPr>
            <w:tcW w:w="1653" w:type="pct"/>
            <w:shd w:val="clear" w:color="auto" w:fill="auto"/>
          </w:tcPr>
          <w:p w14:paraId="58400E4C" w14:textId="08D04472" w:rsidR="009F1BAF" w:rsidRPr="00F64569" w:rsidRDefault="009F1BAF" w:rsidP="00E347ED">
            <w:pPr>
              <w:widowControl w:val="0"/>
              <w:autoSpaceDE w:val="0"/>
              <w:autoSpaceDN w:val="0"/>
              <w:spacing w:after="0" w:line="187" w:lineRule="exact"/>
              <w:ind w:left="105"/>
              <w:jc w:val="center"/>
              <w:rPr>
                <w:rFonts w:ascii="Times New Roman" w:eastAsia="Arial MT" w:hAnsi="Times New Roman" w:cs="Times New Roman"/>
              </w:rPr>
            </w:pPr>
            <w:r>
              <w:rPr>
                <w:rFonts w:ascii="Times New Roman" w:eastAsia="Arial MT" w:hAnsi="Times New Roman" w:cs="Times New Roman"/>
              </w:rPr>
              <w:t>Održavanje postojećeg broja lampi na području grada</w:t>
            </w:r>
          </w:p>
        </w:tc>
        <w:tc>
          <w:tcPr>
            <w:tcW w:w="531" w:type="pct"/>
            <w:shd w:val="clear" w:color="auto" w:fill="auto"/>
          </w:tcPr>
          <w:p w14:paraId="2C714DFB" w14:textId="77777777" w:rsidR="009F1BAF" w:rsidRPr="00F64569" w:rsidRDefault="009F1BAF" w:rsidP="00E347ED">
            <w:pPr>
              <w:widowControl w:val="0"/>
              <w:autoSpaceDE w:val="0"/>
              <w:autoSpaceDN w:val="0"/>
              <w:spacing w:before="1" w:after="0" w:line="240" w:lineRule="auto"/>
              <w:ind w:right="137"/>
              <w:jc w:val="center"/>
              <w:rPr>
                <w:rFonts w:ascii="Times New Roman" w:eastAsia="Arial MT" w:hAnsi="Times New Roman" w:cs="Times New Roman"/>
              </w:rPr>
            </w:pPr>
            <w:r>
              <w:rPr>
                <w:rFonts w:ascii="Times New Roman" w:eastAsia="Arial MT" w:hAnsi="Times New Roman" w:cs="Times New Roman"/>
              </w:rPr>
              <w:t>Kom</w:t>
            </w:r>
          </w:p>
        </w:tc>
        <w:tc>
          <w:tcPr>
            <w:tcW w:w="619" w:type="pct"/>
            <w:shd w:val="clear" w:color="auto" w:fill="auto"/>
          </w:tcPr>
          <w:p w14:paraId="11C95DE5" w14:textId="5AB6223B" w:rsidR="009F1BAF" w:rsidRPr="00F64569" w:rsidRDefault="009F1BAF" w:rsidP="00E347ED">
            <w:pPr>
              <w:widowControl w:val="0"/>
              <w:autoSpaceDE w:val="0"/>
              <w:autoSpaceDN w:val="0"/>
              <w:spacing w:after="0" w:line="240" w:lineRule="auto"/>
              <w:ind w:right="121"/>
              <w:jc w:val="center"/>
              <w:rPr>
                <w:rFonts w:ascii="Times New Roman" w:eastAsia="Arial MT" w:hAnsi="Times New Roman" w:cs="Times New Roman"/>
              </w:rPr>
            </w:pPr>
            <w:r>
              <w:rPr>
                <w:rFonts w:ascii="Times New Roman" w:eastAsia="Arial MT" w:hAnsi="Times New Roman" w:cs="Times New Roman"/>
              </w:rPr>
              <w:t>1800</w:t>
            </w:r>
          </w:p>
        </w:tc>
        <w:tc>
          <w:tcPr>
            <w:tcW w:w="610" w:type="pct"/>
            <w:shd w:val="clear" w:color="auto" w:fill="auto"/>
          </w:tcPr>
          <w:p w14:paraId="7523C725" w14:textId="01BF3373" w:rsidR="009F1BAF" w:rsidRPr="00F64569" w:rsidRDefault="009F1BAF" w:rsidP="00E347ED">
            <w:pPr>
              <w:widowControl w:val="0"/>
              <w:autoSpaceDE w:val="0"/>
              <w:autoSpaceDN w:val="0"/>
              <w:spacing w:after="0" w:line="240" w:lineRule="auto"/>
              <w:ind w:right="460"/>
              <w:jc w:val="center"/>
              <w:rPr>
                <w:rFonts w:ascii="Times New Roman" w:eastAsia="Arial MT" w:hAnsi="Times New Roman" w:cs="Times New Roman"/>
              </w:rPr>
            </w:pPr>
            <w:r>
              <w:rPr>
                <w:rFonts w:ascii="Times New Roman" w:eastAsia="Arial MT" w:hAnsi="Times New Roman" w:cs="Times New Roman"/>
              </w:rPr>
              <w:t>1800</w:t>
            </w:r>
          </w:p>
        </w:tc>
        <w:tc>
          <w:tcPr>
            <w:tcW w:w="534" w:type="pct"/>
          </w:tcPr>
          <w:p w14:paraId="789BD60B" w14:textId="4E153091" w:rsidR="009F1BAF" w:rsidRPr="00F64569" w:rsidRDefault="009F1BAF" w:rsidP="00E347ED">
            <w:pPr>
              <w:widowControl w:val="0"/>
              <w:autoSpaceDE w:val="0"/>
              <w:autoSpaceDN w:val="0"/>
              <w:spacing w:after="0" w:line="240" w:lineRule="auto"/>
              <w:jc w:val="center"/>
              <w:rPr>
                <w:rFonts w:ascii="Times New Roman" w:eastAsia="Arial MT" w:hAnsi="Times New Roman" w:cs="Times New Roman"/>
              </w:rPr>
            </w:pPr>
            <w:r>
              <w:rPr>
                <w:rFonts w:ascii="Times New Roman" w:eastAsia="Arial MT" w:hAnsi="Times New Roman" w:cs="Times New Roman"/>
              </w:rPr>
              <w:t>100,00</w:t>
            </w:r>
          </w:p>
        </w:tc>
      </w:tr>
    </w:tbl>
    <w:p w14:paraId="41F96CE3" w14:textId="77777777" w:rsidR="009F1BAF" w:rsidRPr="00685EEF" w:rsidRDefault="009F1BAF" w:rsidP="00685EEF">
      <w:pPr>
        <w:jc w:val="both"/>
        <w:rPr>
          <w:rFonts w:ascii="Times New Roman" w:hAnsi="Times New Roman"/>
        </w:rPr>
      </w:pPr>
    </w:p>
    <w:p w14:paraId="2F60BE45" w14:textId="77777777" w:rsidR="00685EEF" w:rsidRDefault="00722358" w:rsidP="00685EEF">
      <w:pPr>
        <w:spacing w:after="0" w:line="240" w:lineRule="atLeast"/>
        <w:ind w:firstLine="567"/>
        <w:jc w:val="both"/>
        <w:rPr>
          <w:rFonts w:ascii="Times New Roman" w:hAnsi="Times New Roman" w:cs="Times New Roman"/>
          <w:color w:val="FF0000"/>
        </w:rPr>
      </w:pPr>
      <w:r w:rsidRPr="00722358">
        <w:rPr>
          <w:rFonts w:ascii="Times New Roman" w:hAnsi="Times New Roman" w:cs="Times New Roman"/>
          <w:i/>
        </w:rPr>
        <w:t>Aktivnost A101005</w:t>
      </w:r>
      <w:r w:rsidRPr="00722358">
        <w:rPr>
          <w:rFonts w:ascii="Times New Roman" w:hAnsi="Times New Roman" w:cs="Times New Roman"/>
        </w:rPr>
        <w:t xml:space="preserve"> – Održavanje i upravljanje nerazvrstanim cestama.</w:t>
      </w:r>
      <w:r w:rsidRPr="00722358">
        <w:rPr>
          <w:rFonts w:ascii="Times New Roman" w:hAnsi="Times New Roman" w:cs="Times New Roman"/>
          <w:color w:val="FF0000"/>
        </w:rPr>
        <w:t xml:space="preserve"> </w:t>
      </w:r>
    </w:p>
    <w:p w14:paraId="1A1E29C8" w14:textId="594B0DE4" w:rsidR="00685EEF" w:rsidRDefault="00685EEF" w:rsidP="00685EEF">
      <w:pPr>
        <w:spacing w:after="0" w:line="240" w:lineRule="atLeast"/>
        <w:jc w:val="both"/>
        <w:rPr>
          <w:rFonts w:ascii="Times New Roman" w:hAnsi="Times New Roman"/>
        </w:rPr>
      </w:pPr>
      <w:r>
        <w:rPr>
          <w:rFonts w:ascii="Times New Roman" w:hAnsi="Times New Roman"/>
        </w:rPr>
        <w:t>Ovom aktivnošću održavaju se ceste koje su pod jurisdikcijom Grada Garešnica, odnosno nerazvrstane ceste. Predviđeno je održavanje svih nerazvrstanih cesta, košnje uz prometnice, nadziranje i pregledi objekata, uređenje bankina, udarnih rupa i slično.</w:t>
      </w:r>
    </w:p>
    <w:p w14:paraId="7D45FBD2" w14:textId="77777777" w:rsidR="009F1BAF" w:rsidRDefault="009F1BAF" w:rsidP="00685EEF">
      <w:pPr>
        <w:spacing w:after="0" w:line="240" w:lineRule="atLeast"/>
        <w:jc w:val="both"/>
        <w:rPr>
          <w:rFonts w:ascii="Times New Roman" w:hAnsi="Times New Roman"/>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07"/>
        <w:gridCol w:w="2996"/>
        <w:gridCol w:w="962"/>
        <w:gridCol w:w="1122"/>
        <w:gridCol w:w="1105"/>
        <w:gridCol w:w="968"/>
      </w:tblGrid>
      <w:tr w:rsidR="009F1BAF" w:rsidRPr="00F64569" w14:paraId="648E1B7B" w14:textId="77777777" w:rsidTr="00E347ED">
        <w:trPr>
          <w:trHeight w:val="633"/>
          <w:jc w:val="center"/>
        </w:trPr>
        <w:tc>
          <w:tcPr>
            <w:tcW w:w="1052" w:type="pct"/>
            <w:shd w:val="clear" w:color="auto" w:fill="BFBFBF"/>
          </w:tcPr>
          <w:p w14:paraId="2DDBB408" w14:textId="77777777" w:rsidR="009F1BAF" w:rsidRPr="00F64569" w:rsidRDefault="009F1BAF" w:rsidP="00E347ED">
            <w:pPr>
              <w:widowControl w:val="0"/>
              <w:autoSpaceDE w:val="0"/>
              <w:autoSpaceDN w:val="0"/>
              <w:spacing w:before="104" w:after="0" w:line="240" w:lineRule="auto"/>
              <w:ind w:left="136" w:right="110" w:firstLine="59"/>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Pokazatelj</w:t>
            </w:r>
            <w:r w:rsidRPr="00F64569">
              <w:rPr>
                <w:rFonts w:ascii="Times New Roman" w:eastAsia="Arial MT" w:hAnsi="Times New Roman" w:cs="Times New Roman"/>
                <w:b/>
                <w:spacing w:val="1"/>
                <w:sz w:val="20"/>
                <w:szCs w:val="20"/>
              </w:rPr>
              <w:t xml:space="preserve"> </w:t>
            </w:r>
            <w:r>
              <w:rPr>
                <w:rFonts w:ascii="Times New Roman" w:eastAsia="Arial MT" w:hAnsi="Times New Roman" w:cs="Times New Roman"/>
                <w:b/>
                <w:sz w:val="20"/>
                <w:szCs w:val="20"/>
              </w:rPr>
              <w:t>rezultata</w:t>
            </w:r>
          </w:p>
        </w:tc>
        <w:tc>
          <w:tcPr>
            <w:tcW w:w="1653" w:type="pct"/>
            <w:shd w:val="clear" w:color="auto" w:fill="BFBFBF"/>
          </w:tcPr>
          <w:p w14:paraId="60966102" w14:textId="77777777" w:rsidR="009F1BAF" w:rsidRPr="00F64569" w:rsidRDefault="009F1BAF" w:rsidP="00E347ED">
            <w:pPr>
              <w:widowControl w:val="0"/>
              <w:autoSpaceDE w:val="0"/>
              <w:autoSpaceDN w:val="0"/>
              <w:spacing w:after="0" w:line="240" w:lineRule="auto"/>
              <w:jc w:val="both"/>
              <w:rPr>
                <w:rFonts w:ascii="Times New Roman" w:eastAsia="Arial MT" w:hAnsi="Times New Roman" w:cs="Times New Roman"/>
                <w:b/>
                <w:sz w:val="20"/>
                <w:szCs w:val="20"/>
              </w:rPr>
            </w:pPr>
          </w:p>
          <w:p w14:paraId="04147C39" w14:textId="77777777" w:rsidR="009F1BAF" w:rsidRPr="00F64569" w:rsidRDefault="009F1BAF" w:rsidP="00E347ED">
            <w:pPr>
              <w:widowControl w:val="0"/>
              <w:autoSpaceDE w:val="0"/>
              <w:autoSpaceDN w:val="0"/>
              <w:spacing w:before="1" w:after="0" w:line="240" w:lineRule="auto"/>
              <w:ind w:left="1136" w:right="832"/>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Definicija</w:t>
            </w:r>
          </w:p>
        </w:tc>
        <w:tc>
          <w:tcPr>
            <w:tcW w:w="531" w:type="pct"/>
            <w:shd w:val="clear" w:color="auto" w:fill="BFBFBF"/>
          </w:tcPr>
          <w:p w14:paraId="20EE38CD" w14:textId="77777777" w:rsidR="009F1BAF" w:rsidRPr="00F64569" w:rsidRDefault="009F1BAF" w:rsidP="00E347ED">
            <w:pPr>
              <w:widowControl w:val="0"/>
              <w:autoSpaceDE w:val="0"/>
              <w:autoSpaceDN w:val="0"/>
              <w:spacing w:after="0" w:line="240" w:lineRule="auto"/>
              <w:jc w:val="both"/>
              <w:rPr>
                <w:rFonts w:ascii="Times New Roman" w:eastAsia="Arial MT" w:hAnsi="Times New Roman" w:cs="Times New Roman"/>
                <w:b/>
                <w:sz w:val="20"/>
                <w:szCs w:val="20"/>
              </w:rPr>
            </w:pPr>
          </w:p>
          <w:p w14:paraId="6E05DCBF" w14:textId="77777777" w:rsidR="009F1BAF" w:rsidRPr="00F64569" w:rsidRDefault="009F1BAF" w:rsidP="00E347ED">
            <w:pPr>
              <w:widowControl w:val="0"/>
              <w:autoSpaceDE w:val="0"/>
              <w:autoSpaceDN w:val="0"/>
              <w:spacing w:before="1" w:after="0" w:line="240" w:lineRule="auto"/>
              <w:ind w:left="112" w:right="105"/>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Jedinica</w:t>
            </w:r>
          </w:p>
        </w:tc>
        <w:tc>
          <w:tcPr>
            <w:tcW w:w="619" w:type="pct"/>
            <w:shd w:val="clear" w:color="auto" w:fill="BFBFBF"/>
          </w:tcPr>
          <w:p w14:paraId="71F28824" w14:textId="77777777" w:rsidR="009F1BAF" w:rsidRPr="00F64569" w:rsidRDefault="009F1BAF" w:rsidP="00E347ED">
            <w:pPr>
              <w:widowControl w:val="0"/>
              <w:autoSpaceDE w:val="0"/>
              <w:autoSpaceDN w:val="0"/>
              <w:spacing w:after="0" w:line="206" w:lineRule="exact"/>
              <w:ind w:left="122" w:right="121"/>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Ciljana</w:t>
            </w:r>
          </w:p>
          <w:p w14:paraId="005DB78E" w14:textId="77777777" w:rsidR="009F1BAF" w:rsidRPr="00F64569" w:rsidRDefault="009F1BAF" w:rsidP="00E347ED">
            <w:pPr>
              <w:widowControl w:val="0"/>
              <w:autoSpaceDE w:val="0"/>
              <w:autoSpaceDN w:val="0"/>
              <w:spacing w:after="0" w:line="206" w:lineRule="exact"/>
              <w:ind w:left="124" w:right="121"/>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vrijednost</w:t>
            </w:r>
            <w:r w:rsidRPr="00F64569">
              <w:rPr>
                <w:rFonts w:ascii="Times New Roman" w:eastAsia="Arial MT" w:hAnsi="Times New Roman" w:cs="Times New Roman"/>
                <w:b/>
                <w:spacing w:val="-47"/>
                <w:sz w:val="20"/>
                <w:szCs w:val="20"/>
              </w:rPr>
              <w:t xml:space="preserve">   </w:t>
            </w:r>
            <w:r w:rsidRPr="00F64569">
              <w:rPr>
                <w:rFonts w:ascii="Times New Roman" w:eastAsia="Arial MT" w:hAnsi="Times New Roman" w:cs="Times New Roman"/>
                <w:b/>
                <w:sz w:val="20"/>
                <w:szCs w:val="20"/>
              </w:rPr>
              <w:t>2024.</w:t>
            </w:r>
          </w:p>
        </w:tc>
        <w:tc>
          <w:tcPr>
            <w:tcW w:w="610" w:type="pct"/>
            <w:shd w:val="clear" w:color="auto" w:fill="BFBFBF"/>
          </w:tcPr>
          <w:p w14:paraId="26577A69" w14:textId="77777777" w:rsidR="009F1BAF" w:rsidRPr="00F64569" w:rsidRDefault="009F1BAF" w:rsidP="00E347ED">
            <w:pPr>
              <w:widowControl w:val="0"/>
              <w:autoSpaceDE w:val="0"/>
              <w:autoSpaceDN w:val="0"/>
              <w:spacing w:after="0" w:line="205" w:lineRule="exact"/>
              <w:ind w:left="89"/>
              <w:jc w:val="both"/>
              <w:rPr>
                <w:rFonts w:ascii="Times New Roman" w:eastAsia="Arial MT" w:hAnsi="Times New Roman" w:cs="Times New Roman"/>
                <w:b/>
                <w:sz w:val="20"/>
                <w:szCs w:val="20"/>
              </w:rPr>
            </w:pPr>
            <w:r>
              <w:rPr>
                <w:rFonts w:ascii="Times New Roman" w:eastAsia="Arial MT" w:hAnsi="Times New Roman" w:cs="Times New Roman"/>
                <w:b/>
                <w:sz w:val="20"/>
                <w:szCs w:val="20"/>
              </w:rPr>
              <w:t>Izvršenje</w:t>
            </w:r>
          </w:p>
        </w:tc>
        <w:tc>
          <w:tcPr>
            <w:tcW w:w="534" w:type="pct"/>
            <w:shd w:val="clear" w:color="auto" w:fill="BFBFBF"/>
          </w:tcPr>
          <w:p w14:paraId="04FFCDFD" w14:textId="77777777" w:rsidR="009F1BAF" w:rsidRPr="00F64569" w:rsidRDefault="009F1BAF" w:rsidP="00E347ED">
            <w:pPr>
              <w:widowControl w:val="0"/>
              <w:autoSpaceDE w:val="0"/>
              <w:autoSpaceDN w:val="0"/>
              <w:spacing w:after="0" w:line="240" w:lineRule="auto"/>
              <w:ind w:left="130" w:right="115" w:firstLine="134"/>
              <w:jc w:val="both"/>
              <w:rPr>
                <w:rFonts w:ascii="Times New Roman" w:eastAsia="Arial MT" w:hAnsi="Times New Roman" w:cs="Times New Roman"/>
                <w:b/>
                <w:sz w:val="20"/>
                <w:szCs w:val="20"/>
              </w:rPr>
            </w:pPr>
            <w:r>
              <w:rPr>
                <w:rFonts w:ascii="Times New Roman" w:eastAsia="Arial MT" w:hAnsi="Times New Roman" w:cs="Times New Roman"/>
                <w:b/>
                <w:sz w:val="20"/>
                <w:szCs w:val="20"/>
              </w:rPr>
              <w:t>Indeks</w:t>
            </w:r>
          </w:p>
        </w:tc>
      </w:tr>
      <w:tr w:rsidR="009F1BAF" w:rsidRPr="00F64569" w14:paraId="6F303F09" w14:textId="77777777" w:rsidTr="00E347ED">
        <w:trPr>
          <w:trHeight w:val="620"/>
          <w:jc w:val="center"/>
        </w:trPr>
        <w:tc>
          <w:tcPr>
            <w:tcW w:w="1052" w:type="pct"/>
            <w:shd w:val="clear" w:color="auto" w:fill="auto"/>
          </w:tcPr>
          <w:p w14:paraId="3AC11CD8" w14:textId="2F2B3123" w:rsidR="009F1BAF" w:rsidRPr="00F64569" w:rsidRDefault="009F1BAF" w:rsidP="00E347ED">
            <w:pPr>
              <w:widowControl w:val="0"/>
              <w:autoSpaceDE w:val="0"/>
              <w:autoSpaceDN w:val="0"/>
              <w:spacing w:before="1" w:after="0" w:line="240" w:lineRule="auto"/>
              <w:ind w:right="109"/>
              <w:jc w:val="center"/>
              <w:rPr>
                <w:rFonts w:ascii="Times New Roman" w:eastAsia="Arial MT" w:hAnsi="Times New Roman" w:cs="Times New Roman"/>
              </w:rPr>
            </w:pPr>
            <w:r>
              <w:rPr>
                <w:rFonts w:ascii="Times New Roman" w:eastAsia="Arial MT" w:hAnsi="Times New Roman" w:cs="Times New Roman"/>
              </w:rPr>
              <w:t>Broj kilometara nerazvrstanih cesta</w:t>
            </w:r>
          </w:p>
        </w:tc>
        <w:tc>
          <w:tcPr>
            <w:tcW w:w="1653" w:type="pct"/>
            <w:shd w:val="clear" w:color="auto" w:fill="auto"/>
          </w:tcPr>
          <w:p w14:paraId="1D7C582C" w14:textId="674AC65D" w:rsidR="009F1BAF" w:rsidRPr="00F64569" w:rsidRDefault="009F1BAF" w:rsidP="00E347ED">
            <w:pPr>
              <w:widowControl w:val="0"/>
              <w:autoSpaceDE w:val="0"/>
              <w:autoSpaceDN w:val="0"/>
              <w:spacing w:after="0" w:line="187" w:lineRule="exact"/>
              <w:ind w:left="105"/>
              <w:jc w:val="center"/>
              <w:rPr>
                <w:rFonts w:ascii="Times New Roman" w:eastAsia="Arial MT" w:hAnsi="Times New Roman" w:cs="Times New Roman"/>
              </w:rPr>
            </w:pPr>
            <w:r>
              <w:rPr>
                <w:rFonts w:ascii="Times New Roman" w:eastAsia="Arial MT" w:hAnsi="Times New Roman" w:cs="Times New Roman"/>
              </w:rPr>
              <w:t>Održavanje nerazvrstanih cesta</w:t>
            </w:r>
          </w:p>
        </w:tc>
        <w:tc>
          <w:tcPr>
            <w:tcW w:w="531" w:type="pct"/>
            <w:shd w:val="clear" w:color="auto" w:fill="auto"/>
          </w:tcPr>
          <w:p w14:paraId="464F5152" w14:textId="2B2FA760" w:rsidR="009F1BAF" w:rsidRPr="00F64569" w:rsidRDefault="009F1BAF" w:rsidP="00E347ED">
            <w:pPr>
              <w:widowControl w:val="0"/>
              <w:autoSpaceDE w:val="0"/>
              <w:autoSpaceDN w:val="0"/>
              <w:spacing w:before="1" w:after="0" w:line="240" w:lineRule="auto"/>
              <w:ind w:right="137"/>
              <w:jc w:val="center"/>
              <w:rPr>
                <w:rFonts w:ascii="Times New Roman" w:eastAsia="Arial MT" w:hAnsi="Times New Roman" w:cs="Times New Roman"/>
              </w:rPr>
            </w:pPr>
            <w:r>
              <w:rPr>
                <w:rFonts w:ascii="Times New Roman" w:eastAsia="Arial MT" w:hAnsi="Times New Roman" w:cs="Times New Roman"/>
              </w:rPr>
              <w:t>KM</w:t>
            </w:r>
          </w:p>
        </w:tc>
        <w:tc>
          <w:tcPr>
            <w:tcW w:w="619" w:type="pct"/>
            <w:shd w:val="clear" w:color="auto" w:fill="auto"/>
          </w:tcPr>
          <w:p w14:paraId="6BEF9F9D" w14:textId="545E6F8E" w:rsidR="009F1BAF" w:rsidRPr="00F64569" w:rsidRDefault="009F1BAF" w:rsidP="00E347ED">
            <w:pPr>
              <w:widowControl w:val="0"/>
              <w:autoSpaceDE w:val="0"/>
              <w:autoSpaceDN w:val="0"/>
              <w:spacing w:after="0" w:line="240" w:lineRule="auto"/>
              <w:ind w:right="121"/>
              <w:jc w:val="center"/>
              <w:rPr>
                <w:rFonts w:ascii="Times New Roman" w:eastAsia="Arial MT" w:hAnsi="Times New Roman" w:cs="Times New Roman"/>
              </w:rPr>
            </w:pPr>
            <w:r>
              <w:rPr>
                <w:rFonts w:ascii="Times New Roman" w:eastAsia="Arial MT" w:hAnsi="Times New Roman" w:cs="Times New Roman"/>
              </w:rPr>
              <w:t>101</w:t>
            </w:r>
          </w:p>
        </w:tc>
        <w:tc>
          <w:tcPr>
            <w:tcW w:w="610" w:type="pct"/>
            <w:shd w:val="clear" w:color="auto" w:fill="auto"/>
          </w:tcPr>
          <w:p w14:paraId="62CB284B" w14:textId="442117A3" w:rsidR="009F1BAF" w:rsidRPr="00F64569" w:rsidRDefault="009F1BAF" w:rsidP="00E347ED">
            <w:pPr>
              <w:widowControl w:val="0"/>
              <w:autoSpaceDE w:val="0"/>
              <w:autoSpaceDN w:val="0"/>
              <w:spacing w:after="0" w:line="240" w:lineRule="auto"/>
              <w:ind w:right="460"/>
              <w:jc w:val="center"/>
              <w:rPr>
                <w:rFonts w:ascii="Times New Roman" w:eastAsia="Arial MT" w:hAnsi="Times New Roman" w:cs="Times New Roman"/>
              </w:rPr>
            </w:pPr>
            <w:r>
              <w:rPr>
                <w:rFonts w:ascii="Times New Roman" w:eastAsia="Arial MT" w:hAnsi="Times New Roman" w:cs="Times New Roman"/>
              </w:rPr>
              <w:t>86</w:t>
            </w:r>
          </w:p>
        </w:tc>
        <w:tc>
          <w:tcPr>
            <w:tcW w:w="534" w:type="pct"/>
          </w:tcPr>
          <w:p w14:paraId="26D5B291" w14:textId="09E81EDC" w:rsidR="009F1BAF" w:rsidRPr="00F64569" w:rsidRDefault="009F1BAF" w:rsidP="00E347ED">
            <w:pPr>
              <w:widowControl w:val="0"/>
              <w:autoSpaceDE w:val="0"/>
              <w:autoSpaceDN w:val="0"/>
              <w:spacing w:after="0" w:line="240" w:lineRule="auto"/>
              <w:jc w:val="center"/>
              <w:rPr>
                <w:rFonts w:ascii="Times New Roman" w:eastAsia="Arial MT" w:hAnsi="Times New Roman" w:cs="Times New Roman"/>
              </w:rPr>
            </w:pPr>
            <w:r>
              <w:rPr>
                <w:rFonts w:ascii="Times New Roman" w:eastAsia="Arial MT" w:hAnsi="Times New Roman" w:cs="Times New Roman"/>
              </w:rPr>
              <w:t>85,15</w:t>
            </w:r>
          </w:p>
        </w:tc>
      </w:tr>
    </w:tbl>
    <w:p w14:paraId="5AD80F9C" w14:textId="77777777" w:rsidR="009F1BAF" w:rsidRPr="00685EEF" w:rsidRDefault="009F1BAF" w:rsidP="00685EEF">
      <w:pPr>
        <w:spacing w:after="0" w:line="240" w:lineRule="atLeast"/>
        <w:jc w:val="both"/>
        <w:rPr>
          <w:rFonts w:ascii="Times New Roman" w:hAnsi="Times New Roman" w:cs="Times New Roman"/>
          <w:color w:val="FF0000"/>
        </w:rPr>
      </w:pPr>
    </w:p>
    <w:p w14:paraId="3010397B" w14:textId="77777777" w:rsidR="00685EEF" w:rsidRDefault="00685EEF" w:rsidP="00685EEF">
      <w:pPr>
        <w:pStyle w:val="Naslov"/>
        <w:tabs>
          <w:tab w:val="left" w:pos="142"/>
        </w:tabs>
        <w:jc w:val="both"/>
        <w:rPr>
          <w:rFonts w:ascii="Times New Roman" w:hAnsi="Times New Roman" w:cs="Times New Roman"/>
          <w:b w:val="0"/>
          <w:i/>
          <w:sz w:val="22"/>
          <w:lang w:val="hr-HR"/>
        </w:rPr>
      </w:pPr>
    </w:p>
    <w:p w14:paraId="18C0E915" w14:textId="6F94871C" w:rsidR="00722358" w:rsidRPr="00722358" w:rsidRDefault="00722358" w:rsidP="00685EEF">
      <w:pPr>
        <w:pStyle w:val="Naslov"/>
        <w:tabs>
          <w:tab w:val="left" w:pos="142"/>
        </w:tabs>
        <w:ind w:firstLine="426"/>
        <w:jc w:val="both"/>
        <w:rPr>
          <w:rFonts w:ascii="Times New Roman" w:hAnsi="Times New Roman" w:cs="Times New Roman"/>
          <w:b w:val="0"/>
          <w:sz w:val="22"/>
          <w:lang w:val="hr-HR"/>
        </w:rPr>
      </w:pPr>
      <w:r w:rsidRPr="00722358">
        <w:rPr>
          <w:rFonts w:ascii="Times New Roman" w:hAnsi="Times New Roman" w:cs="Times New Roman"/>
          <w:b w:val="0"/>
          <w:i/>
          <w:sz w:val="22"/>
          <w:lang w:val="hr-HR"/>
        </w:rPr>
        <w:t>Aktivnost A101007</w:t>
      </w:r>
      <w:r w:rsidRPr="00722358">
        <w:rPr>
          <w:rFonts w:ascii="Times New Roman" w:hAnsi="Times New Roman" w:cs="Times New Roman"/>
          <w:b w:val="0"/>
          <w:sz w:val="22"/>
          <w:lang w:val="hr-HR"/>
        </w:rPr>
        <w:t xml:space="preserve"> – Održavanje javnih površina</w:t>
      </w:r>
    </w:p>
    <w:p w14:paraId="3BBA7C88" w14:textId="69A61786" w:rsidR="00722358" w:rsidRDefault="00632B4B" w:rsidP="00685EEF">
      <w:pPr>
        <w:pStyle w:val="Naslov"/>
        <w:widowControl/>
        <w:tabs>
          <w:tab w:val="clear" w:pos="-720"/>
          <w:tab w:val="left" w:pos="142"/>
        </w:tabs>
        <w:suppressAutoHyphens w:val="0"/>
        <w:spacing w:after="120"/>
        <w:jc w:val="both"/>
        <w:rPr>
          <w:rFonts w:ascii="Times New Roman" w:hAnsi="Times New Roman" w:cs="Times New Roman"/>
          <w:b w:val="0"/>
          <w:sz w:val="22"/>
          <w:lang w:val="hr-HR"/>
        </w:rPr>
      </w:pPr>
      <w:r>
        <w:rPr>
          <w:rFonts w:ascii="Times New Roman" w:hAnsi="Times New Roman" w:cs="Times New Roman"/>
          <w:b w:val="0"/>
          <w:sz w:val="22"/>
          <w:lang w:val="hr-HR"/>
        </w:rPr>
        <w:t xml:space="preserve">Aktivnošću se </w:t>
      </w:r>
      <w:r w:rsidR="00722358" w:rsidRPr="00722358">
        <w:rPr>
          <w:rFonts w:ascii="Times New Roman" w:hAnsi="Times New Roman" w:cs="Times New Roman"/>
          <w:b w:val="0"/>
          <w:sz w:val="22"/>
          <w:lang w:val="hr-HR"/>
        </w:rPr>
        <w:t>održava</w:t>
      </w:r>
      <w:r>
        <w:rPr>
          <w:rFonts w:ascii="Times New Roman" w:hAnsi="Times New Roman" w:cs="Times New Roman"/>
          <w:b w:val="0"/>
          <w:sz w:val="22"/>
          <w:lang w:val="hr-HR"/>
        </w:rPr>
        <w:t>ju</w:t>
      </w:r>
      <w:r w:rsidR="00722358" w:rsidRPr="00722358">
        <w:rPr>
          <w:rFonts w:ascii="Times New Roman" w:hAnsi="Times New Roman" w:cs="Times New Roman"/>
          <w:b w:val="0"/>
          <w:sz w:val="22"/>
          <w:lang w:val="hr-HR"/>
        </w:rPr>
        <w:t xml:space="preserve"> javn</w:t>
      </w:r>
      <w:r>
        <w:rPr>
          <w:rFonts w:ascii="Times New Roman" w:hAnsi="Times New Roman" w:cs="Times New Roman"/>
          <w:b w:val="0"/>
          <w:sz w:val="22"/>
          <w:lang w:val="hr-HR"/>
        </w:rPr>
        <w:t>e</w:t>
      </w:r>
      <w:r w:rsidR="00722358" w:rsidRPr="00722358">
        <w:rPr>
          <w:rFonts w:ascii="Times New Roman" w:hAnsi="Times New Roman" w:cs="Times New Roman"/>
          <w:b w:val="0"/>
          <w:sz w:val="22"/>
          <w:lang w:val="hr-HR"/>
        </w:rPr>
        <w:t xml:space="preserve"> površin</w:t>
      </w:r>
      <w:r w:rsidR="00475D18">
        <w:rPr>
          <w:rFonts w:ascii="Times New Roman" w:hAnsi="Times New Roman" w:cs="Times New Roman"/>
          <w:b w:val="0"/>
          <w:sz w:val="22"/>
          <w:lang w:val="hr-HR"/>
        </w:rPr>
        <w:t>e Grada Garešnice</w:t>
      </w:r>
      <w:r w:rsidR="00722358" w:rsidRPr="00722358">
        <w:rPr>
          <w:rFonts w:ascii="Times New Roman" w:hAnsi="Times New Roman" w:cs="Times New Roman"/>
          <w:b w:val="0"/>
          <w:sz w:val="22"/>
          <w:lang w:val="hr-HR"/>
        </w:rPr>
        <w:t xml:space="preserve"> na kojima nije dopušten promet motornim vozilima</w:t>
      </w:r>
      <w:r w:rsidR="00475D18">
        <w:rPr>
          <w:rFonts w:ascii="Times New Roman" w:hAnsi="Times New Roman" w:cs="Times New Roman"/>
          <w:b w:val="0"/>
          <w:sz w:val="22"/>
          <w:lang w:val="hr-HR"/>
        </w:rPr>
        <w:t xml:space="preserve"> i</w:t>
      </w:r>
      <w:r w:rsidR="00722358" w:rsidRPr="00722358">
        <w:rPr>
          <w:rFonts w:ascii="Times New Roman" w:hAnsi="Times New Roman" w:cs="Times New Roman"/>
          <w:b w:val="0"/>
          <w:sz w:val="22"/>
          <w:lang w:val="hr-HR"/>
        </w:rPr>
        <w:t xml:space="preserve"> zelen</w:t>
      </w:r>
      <w:r w:rsidR="00475D18">
        <w:rPr>
          <w:rFonts w:ascii="Times New Roman" w:hAnsi="Times New Roman" w:cs="Times New Roman"/>
          <w:b w:val="0"/>
          <w:sz w:val="22"/>
          <w:lang w:val="hr-HR"/>
        </w:rPr>
        <w:t>e</w:t>
      </w:r>
      <w:r w:rsidR="00722358" w:rsidRPr="00722358">
        <w:rPr>
          <w:rFonts w:ascii="Times New Roman" w:hAnsi="Times New Roman" w:cs="Times New Roman"/>
          <w:b w:val="0"/>
          <w:sz w:val="22"/>
          <w:lang w:val="hr-HR"/>
        </w:rPr>
        <w:t xml:space="preserve"> površin</w:t>
      </w:r>
      <w:r w:rsidR="00475D18">
        <w:rPr>
          <w:rFonts w:ascii="Times New Roman" w:hAnsi="Times New Roman" w:cs="Times New Roman"/>
          <w:b w:val="0"/>
          <w:sz w:val="22"/>
          <w:lang w:val="hr-HR"/>
        </w:rPr>
        <w:t>e.</w:t>
      </w:r>
      <w:r w:rsidR="00722358" w:rsidRPr="00722358">
        <w:rPr>
          <w:rFonts w:ascii="Times New Roman" w:hAnsi="Times New Roman" w:cs="Times New Roman"/>
          <w:b w:val="0"/>
          <w:sz w:val="22"/>
          <w:lang w:val="hr-HR"/>
        </w:rPr>
        <w:t xml:space="preserve"> </w:t>
      </w:r>
      <w:r w:rsidR="00475D18">
        <w:rPr>
          <w:rFonts w:ascii="Times New Roman" w:hAnsi="Times New Roman" w:cs="Times New Roman"/>
          <w:b w:val="0"/>
          <w:sz w:val="22"/>
          <w:lang w:val="hr-HR"/>
        </w:rPr>
        <w:t>Održavanje podrazumijeva usluge čišćenja, košnje i tekućeg održavanja.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07"/>
        <w:gridCol w:w="2996"/>
        <w:gridCol w:w="962"/>
        <w:gridCol w:w="1122"/>
        <w:gridCol w:w="1105"/>
        <w:gridCol w:w="968"/>
      </w:tblGrid>
      <w:tr w:rsidR="009F1BAF" w:rsidRPr="00F64569" w14:paraId="3FB0ACB0" w14:textId="77777777" w:rsidTr="00E347ED">
        <w:trPr>
          <w:trHeight w:val="633"/>
          <w:jc w:val="center"/>
        </w:trPr>
        <w:tc>
          <w:tcPr>
            <w:tcW w:w="1052" w:type="pct"/>
            <w:shd w:val="clear" w:color="auto" w:fill="BFBFBF"/>
          </w:tcPr>
          <w:p w14:paraId="1BC81166" w14:textId="77777777" w:rsidR="009F1BAF" w:rsidRPr="00F64569" w:rsidRDefault="009F1BAF" w:rsidP="00E347ED">
            <w:pPr>
              <w:widowControl w:val="0"/>
              <w:autoSpaceDE w:val="0"/>
              <w:autoSpaceDN w:val="0"/>
              <w:spacing w:before="104" w:after="0" w:line="240" w:lineRule="auto"/>
              <w:ind w:left="136" w:right="110" w:firstLine="59"/>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Pokazatelj</w:t>
            </w:r>
            <w:r w:rsidRPr="00F64569">
              <w:rPr>
                <w:rFonts w:ascii="Times New Roman" w:eastAsia="Arial MT" w:hAnsi="Times New Roman" w:cs="Times New Roman"/>
                <w:b/>
                <w:spacing w:val="1"/>
                <w:sz w:val="20"/>
                <w:szCs w:val="20"/>
              </w:rPr>
              <w:t xml:space="preserve"> </w:t>
            </w:r>
            <w:r>
              <w:rPr>
                <w:rFonts w:ascii="Times New Roman" w:eastAsia="Arial MT" w:hAnsi="Times New Roman" w:cs="Times New Roman"/>
                <w:b/>
                <w:sz w:val="20"/>
                <w:szCs w:val="20"/>
              </w:rPr>
              <w:t>rezultata</w:t>
            </w:r>
          </w:p>
        </w:tc>
        <w:tc>
          <w:tcPr>
            <w:tcW w:w="1653" w:type="pct"/>
            <w:shd w:val="clear" w:color="auto" w:fill="BFBFBF"/>
          </w:tcPr>
          <w:p w14:paraId="65502BED" w14:textId="77777777" w:rsidR="009F1BAF" w:rsidRPr="00F64569" w:rsidRDefault="009F1BAF" w:rsidP="00E347ED">
            <w:pPr>
              <w:widowControl w:val="0"/>
              <w:autoSpaceDE w:val="0"/>
              <w:autoSpaceDN w:val="0"/>
              <w:spacing w:after="0" w:line="240" w:lineRule="auto"/>
              <w:jc w:val="both"/>
              <w:rPr>
                <w:rFonts w:ascii="Times New Roman" w:eastAsia="Arial MT" w:hAnsi="Times New Roman" w:cs="Times New Roman"/>
                <w:b/>
                <w:sz w:val="20"/>
                <w:szCs w:val="20"/>
              </w:rPr>
            </w:pPr>
          </w:p>
          <w:p w14:paraId="4FB213F0" w14:textId="77777777" w:rsidR="009F1BAF" w:rsidRPr="00F64569" w:rsidRDefault="009F1BAF" w:rsidP="00E347ED">
            <w:pPr>
              <w:widowControl w:val="0"/>
              <w:autoSpaceDE w:val="0"/>
              <w:autoSpaceDN w:val="0"/>
              <w:spacing w:before="1" w:after="0" w:line="240" w:lineRule="auto"/>
              <w:ind w:left="1136" w:right="832"/>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Definicija</w:t>
            </w:r>
          </w:p>
        </w:tc>
        <w:tc>
          <w:tcPr>
            <w:tcW w:w="531" w:type="pct"/>
            <w:shd w:val="clear" w:color="auto" w:fill="BFBFBF"/>
          </w:tcPr>
          <w:p w14:paraId="7DB3CD27" w14:textId="77777777" w:rsidR="009F1BAF" w:rsidRPr="00F64569" w:rsidRDefault="009F1BAF" w:rsidP="00E347ED">
            <w:pPr>
              <w:widowControl w:val="0"/>
              <w:autoSpaceDE w:val="0"/>
              <w:autoSpaceDN w:val="0"/>
              <w:spacing w:after="0" w:line="240" w:lineRule="auto"/>
              <w:jc w:val="both"/>
              <w:rPr>
                <w:rFonts w:ascii="Times New Roman" w:eastAsia="Arial MT" w:hAnsi="Times New Roman" w:cs="Times New Roman"/>
                <w:b/>
                <w:sz w:val="20"/>
                <w:szCs w:val="20"/>
              </w:rPr>
            </w:pPr>
          </w:p>
          <w:p w14:paraId="75D251BE" w14:textId="77777777" w:rsidR="009F1BAF" w:rsidRPr="00F64569" w:rsidRDefault="009F1BAF" w:rsidP="00E347ED">
            <w:pPr>
              <w:widowControl w:val="0"/>
              <w:autoSpaceDE w:val="0"/>
              <w:autoSpaceDN w:val="0"/>
              <w:spacing w:before="1" w:after="0" w:line="240" w:lineRule="auto"/>
              <w:ind w:left="112" w:right="105"/>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Jedinica</w:t>
            </w:r>
          </w:p>
        </w:tc>
        <w:tc>
          <w:tcPr>
            <w:tcW w:w="619" w:type="pct"/>
            <w:shd w:val="clear" w:color="auto" w:fill="BFBFBF"/>
          </w:tcPr>
          <w:p w14:paraId="2096DA8A" w14:textId="77777777" w:rsidR="009F1BAF" w:rsidRPr="00F64569" w:rsidRDefault="009F1BAF" w:rsidP="00E347ED">
            <w:pPr>
              <w:widowControl w:val="0"/>
              <w:autoSpaceDE w:val="0"/>
              <w:autoSpaceDN w:val="0"/>
              <w:spacing w:after="0" w:line="206" w:lineRule="exact"/>
              <w:ind w:left="122" w:right="121"/>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Ciljana</w:t>
            </w:r>
          </w:p>
          <w:p w14:paraId="564AA4FE" w14:textId="77777777" w:rsidR="009F1BAF" w:rsidRPr="00F64569" w:rsidRDefault="009F1BAF" w:rsidP="00E347ED">
            <w:pPr>
              <w:widowControl w:val="0"/>
              <w:autoSpaceDE w:val="0"/>
              <w:autoSpaceDN w:val="0"/>
              <w:spacing w:after="0" w:line="206" w:lineRule="exact"/>
              <w:ind w:left="124" w:right="121"/>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vrijednost</w:t>
            </w:r>
            <w:r w:rsidRPr="00F64569">
              <w:rPr>
                <w:rFonts w:ascii="Times New Roman" w:eastAsia="Arial MT" w:hAnsi="Times New Roman" w:cs="Times New Roman"/>
                <w:b/>
                <w:spacing w:val="-47"/>
                <w:sz w:val="20"/>
                <w:szCs w:val="20"/>
              </w:rPr>
              <w:t xml:space="preserve">   </w:t>
            </w:r>
            <w:r w:rsidRPr="00F64569">
              <w:rPr>
                <w:rFonts w:ascii="Times New Roman" w:eastAsia="Arial MT" w:hAnsi="Times New Roman" w:cs="Times New Roman"/>
                <w:b/>
                <w:sz w:val="20"/>
                <w:szCs w:val="20"/>
              </w:rPr>
              <w:t>2024.</w:t>
            </w:r>
          </w:p>
        </w:tc>
        <w:tc>
          <w:tcPr>
            <w:tcW w:w="610" w:type="pct"/>
            <w:shd w:val="clear" w:color="auto" w:fill="BFBFBF"/>
          </w:tcPr>
          <w:p w14:paraId="08A87B58" w14:textId="77777777" w:rsidR="009F1BAF" w:rsidRPr="00F64569" w:rsidRDefault="009F1BAF" w:rsidP="00E347ED">
            <w:pPr>
              <w:widowControl w:val="0"/>
              <w:autoSpaceDE w:val="0"/>
              <w:autoSpaceDN w:val="0"/>
              <w:spacing w:after="0" w:line="205" w:lineRule="exact"/>
              <w:ind w:left="89"/>
              <w:jc w:val="both"/>
              <w:rPr>
                <w:rFonts w:ascii="Times New Roman" w:eastAsia="Arial MT" w:hAnsi="Times New Roman" w:cs="Times New Roman"/>
                <w:b/>
                <w:sz w:val="20"/>
                <w:szCs w:val="20"/>
              </w:rPr>
            </w:pPr>
            <w:r>
              <w:rPr>
                <w:rFonts w:ascii="Times New Roman" w:eastAsia="Arial MT" w:hAnsi="Times New Roman" w:cs="Times New Roman"/>
                <w:b/>
                <w:sz w:val="20"/>
                <w:szCs w:val="20"/>
              </w:rPr>
              <w:t>Izvršenje</w:t>
            </w:r>
          </w:p>
        </w:tc>
        <w:tc>
          <w:tcPr>
            <w:tcW w:w="534" w:type="pct"/>
            <w:shd w:val="clear" w:color="auto" w:fill="BFBFBF"/>
          </w:tcPr>
          <w:p w14:paraId="429094FE" w14:textId="77777777" w:rsidR="009F1BAF" w:rsidRPr="00F64569" w:rsidRDefault="009F1BAF" w:rsidP="00E347ED">
            <w:pPr>
              <w:widowControl w:val="0"/>
              <w:autoSpaceDE w:val="0"/>
              <w:autoSpaceDN w:val="0"/>
              <w:spacing w:after="0" w:line="240" w:lineRule="auto"/>
              <w:ind w:left="130" w:right="115" w:firstLine="134"/>
              <w:jc w:val="both"/>
              <w:rPr>
                <w:rFonts w:ascii="Times New Roman" w:eastAsia="Arial MT" w:hAnsi="Times New Roman" w:cs="Times New Roman"/>
                <w:b/>
                <w:sz w:val="20"/>
                <w:szCs w:val="20"/>
              </w:rPr>
            </w:pPr>
            <w:r>
              <w:rPr>
                <w:rFonts w:ascii="Times New Roman" w:eastAsia="Arial MT" w:hAnsi="Times New Roman" w:cs="Times New Roman"/>
                <w:b/>
                <w:sz w:val="20"/>
                <w:szCs w:val="20"/>
              </w:rPr>
              <w:t>Indeks</w:t>
            </w:r>
          </w:p>
        </w:tc>
      </w:tr>
      <w:tr w:rsidR="009F1BAF" w:rsidRPr="00F64569" w14:paraId="47C141FC" w14:textId="77777777" w:rsidTr="00E347ED">
        <w:trPr>
          <w:trHeight w:val="620"/>
          <w:jc w:val="center"/>
        </w:trPr>
        <w:tc>
          <w:tcPr>
            <w:tcW w:w="1052" w:type="pct"/>
            <w:shd w:val="clear" w:color="auto" w:fill="auto"/>
          </w:tcPr>
          <w:p w14:paraId="77DDC2A9" w14:textId="57F53821" w:rsidR="009F1BAF" w:rsidRPr="00F64569" w:rsidRDefault="009F1BAF" w:rsidP="00E347ED">
            <w:pPr>
              <w:widowControl w:val="0"/>
              <w:autoSpaceDE w:val="0"/>
              <w:autoSpaceDN w:val="0"/>
              <w:spacing w:before="1" w:after="0" w:line="240" w:lineRule="auto"/>
              <w:ind w:right="109"/>
              <w:jc w:val="center"/>
              <w:rPr>
                <w:rFonts w:ascii="Times New Roman" w:eastAsia="Arial MT" w:hAnsi="Times New Roman" w:cs="Times New Roman"/>
              </w:rPr>
            </w:pPr>
            <w:r>
              <w:rPr>
                <w:rFonts w:ascii="Times New Roman" w:eastAsia="Arial MT" w:hAnsi="Times New Roman" w:cs="Times New Roman"/>
              </w:rPr>
              <w:t>Povećanje broja kvadratnih metara za košnju i održavanje javnih površina</w:t>
            </w:r>
          </w:p>
        </w:tc>
        <w:tc>
          <w:tcPr>
            <w:tcW w:w="1653" w:type="pct"/>
            <w:shd w:val="clear" w:color="auto" w:fill="auto"/>
          </w:tcPr>
          <w:p w14:paraId="1181CEB9" w14:textId="191C4179" w:rsidR="009F1BAF" w:rsidRPr="00F64569" w:rsidRDefault="009F1BAF" w:rsidP="00E347ED">
            <w:pPr>
              <w:widowControl w:val="0"/>
              <w:autoSpaceDE w:val="0"/>
              <w:autoSpaceDN w:val="0"/>
              <w:spacing w:after="0" w:line="187" w:lineRule="exact"/>
              <w:ind w:left="105"/>
              <w:jc w:val="center"/>
              <w:rPr>
                <w:rFonts w:ascii="Times New Roman" w:eastAsia="Arial MT" w:hAnsi="Times New Roman" w:cs="Times New Roman"/>
              </w:rPr>
            </w:pPr>
            <w:r>
              <w:rPr>
                <w:rFonts w:ascii="Times New Roman" w:eastAsia="Arial MT" w:hAnsi="Times New Roman" w:cs="Times New Roman"/>
              </w:rPr>
              <w:t>Košnja parkova, ulica te ostalih javnih površina koje su u vlasništvu grada</w:t>
            </w:r>
          </w:p>
        </w:tc>
        <w:tc>
          <w:tcPr>
            <w:tcW w:w="531" w:type="pct"/>
            <w:shd w:val="clear" w:color="auto" w:fill="auto"/>
          </w:tcPr>
          <w:p w14:paraId="3BE45677" w14:textId="702265CC" w:rsidR="009F1BAF" w:rsidRPr="00F64569" w:rsidRDefault="009F1BAF" w:rsidP="00E347ED">
            <w:pPr>
              <w:widowControl w:val="0"/>
              <w:autoSpaceDE w:val="0"/>
              <w:autoSpaceDN w:val="0"/>
              <w:spacing w:before="1" w:after="0" w:line="240" w:lineRule="auto"/>
              <w:ind w:right="137"/>
              <w:jc w:val="center"/>
              <w:rPr>
                <w:rFonts w:ascii="Times New Roman" w:eastAsia="Arial MT" w:hAnsi="Times New Roman" w:cs="Times New Roman"/>
              </w:rPr>
            </w:pPr>
            <w:r>
              <w:rPr>
                <w:rFonts w:ascii="Times New Roman" w:eastAsia="Arial MT" w:hAnsi="Times New Roman" w:cs="Times New Roman"/>
              </w:rPr>
              <w:t>M2</w:t>
            </w:r>
          </w:p>
        </w:tc>
        <w:tc>
          <w:tcPr>
            <w:tcW w:w="619" w:type="pct"/>
            <w:shd w:val="clear" w:color="auto" w:fill="auto"/>
          </w:tcPr>
          <w:p w14:paraId="41D5E31B" w14:textId="6A7D16C0" w:rsidR="009F1BAF" w:rsidRPr="00F64569" w:rsidRDefault="009F1BAF" w:rsidP="00E347ED">
            <w:pPr>
              <w:widowControl w:val="0"/>
              <w:autoSpaceDE w:val="0"/>
              <w:autoSpaceDN w:val="0"/>
              <w:spacing w:after="0" w:line="240" w:lineRule="auto"/>
              <w:ind w:right="121"/>
              <w:jc w:val="center"/>
              <w:rPr>
                <w:rFonts w:ascii="Times New Roman" w:eastAsia="Arial MT" w:hAnsi="Times New Roman" w:cs="Times New Roman"/>
              </w:rPr>
            </w:pPr>
            <w:r>
              <w:rPr>
                <w:rFonts w:ascii="Times New Roman" w:eastAsia="Arial MT" w:hAnsi="Times New Roman" w:cs="Times New Roman"/>
              </w:rPr>
              <w:t>37.000</w:t>
            </w:r>
          </w:p>
        </w:tc>
        <w:tc>
          <w:tcPr>
            <w:tcW w:w="610" w:type="pct"/>
            <w:shd w:val="clear" w:color="auto" w:fill="auto"/>
          </w:tcPr>
          <w:p w14:paraId="45764E69" w14:textId="3D82EFEB" w:rsidR="009F1BAF" w:rsidRPr="00F64569" w:rsidRDefault="009F1BAF" w:rsidP="00E347ED">
            <w:pPr>
              <w:widowControl w:val="0"/>
              <w:autoSpaceDE w:val="0"/>
              <w:autoSpaceDN w:val="0"/>
              <w:spacing w:after="0" w:line="240" w:lineRule="auto"/>
              <w:ind w:right="460"/>
              <w:jc w:val="center"/>
              <w:rPr>
                <w:rFonts w:ascii="Times New Roman" w:eastAsia="Arial MT" w:hAnsi="Times New Roman" w:cs="Times New Roman"/>
              </w:rPr>
            </w:pPr>
            <w:r>
              <w:rPr>
                <w:rFonts w:ascii="Times New Roman" w:eastAsia="Arial MT" w:hAnsi="Times New Roman" w:cs="Times New Roman"/>
              </w:rPr>
              <w:t>37.000</w:t>
            </w:r>
          </w:p>
        </w:tc>
        <w:tc>
          <w:tcPr>
            <w:tcW w:w="534" w:type="pct"/>
          </w:tcPr>
          <w:p w14:paraId="66AAF68C" w14:textId="399F9607" w:rsidR="009F1BAF" w:rsidRPr="00F64569" w:rsidRDefault="009F1BAF" w:rsidP="00E347ED">
            <w:pPr>
              <w:widowControl w:val="0"/>
              <w:autoSpaceDE w:val="0"/>
              <w:autoSpaceDN w:val="0"/>
              <w:spacing w:after="0" w:line="240" w:lineRule="auto"/>
              <w:jc w:val="center"/>
              <w:rPr>
                <w:rFonts w:ascii="Times New Roman" w:eastAsia="Arial MT" w:hAnsi="Times New Roman" w:cs="Times New Roman"/>
              </w:rPr>
            </w:pPr>
            <w:r>
              <w:rPr>
                <w:rFonts w:ascii="Times New Roman" w:eastAsia="Arial MT" w:hAnsi="Times New Roman" w:cs="Times New Roman"/>
              </w:rPr>
              <w:t>100,00</w:t>
            </w:r>
          </w:p>
        </w:tc>
      </w:tr>
    </w:tbl>
    <w:p w14:paraId="49B72503" w14:textId="77777777" w:rsidR="009F1BAF" w:rsidRPr="009F1BAF" w:rsidRDefault="009F1BAF" w:rsidP="009F1BAF">
      <w:pPr>
        <w:pStyle w:val="Podnaslov"/>
        <w:jc w:val="left"/>
        <w:rPr>
          <w:lang w:eastAsia="ar-SA"/>
        </w:rPr>
      </w:pPr>
    </w:p>
    <w:p w14:paraId="79AF3613" w14:textId="77777777" w:rsidR="00722358" w:rsidRPr="00722358" w:rsidRDefault="00722358" w:rsidP="00E40FD3">
      <w:pPr>
        <w:pStyle w:val="Naslov"/>
        <w:tabs>
          <w:tab w:val="left" w:pos="142"/>
        </w:tabs>
        <w:ind w:left="567"/>
        <w:jc w:val="both"/>
        <w:rPr>
          <w:rFonts w:ascii="Times New Roman" w:hAnsi="Times New Roman" w:cs="Times New Roman"/>
          <w:b w:val="0"/>
          <w:sz w:val="22"/>
          <w:lang w:val="hr-HR"/>
        </w:rPr>
      </w:pPr>
      <w:r w:rsidRPr="00722358">
        <w:rPr>
          <w:rFonts w:ascii="Times New Roman" w:hAnsi="Times New Roman" w:cs="Times New Roman"/>
          <w:b w:val="0"/>
          <w:i/>
          <w:sz w:val="22"/>
          <w:lang w:val="hr-HR"/>
        </w:rPr>
        <w:t>Aktivnost A101010 –</w:t>
      </w:r>
      <w:r w:rsidRPr="00722358">
        <w:rPr>
          <w:rFonts w:ascii="Times New Roman" w:hAnsi="Times New Roman" w:cs="Times New Roman"/>
          <w:b w:val="0"/>
          <w:sz w:val="22"/>
          <w:lang w:val="hr-HR"/>
        </w:rPr>
        <w:t xml:space="preserve"> Održavanje građevina, uređaja i predmeta javne namjene  </w:t>
      </w:r>
    </w:p>
    <w:p w14:paraId="7B9348A9" w14:textId="5D195A56" w:rsidR="00722358" w:rsidRDefault="00475D18" w:rsidP="00475D18">
      <w:pPr>
        <w:pStyle w:val="Naslov"/>
        <w:widowControl/>
        <w:tabs>
          <w:tab w:val="clear" w:pos="-720"/>
          <w:tab w:val="left" w:pos="142"/>
        </w:tabs>
        <w:suppressAutoHyphens w:val="0"/>
        <w:spacing w:after="120"/>
        <w:jc w:val="both"/>
        <w:rPr>
          <w:rFonts w:ascii="Times New Roman" w:hAnsi="Times New Roman" w:cs="Times New Roman"/>
          <w:b w:val="0"/>
          <w:sz w:val="22"/>
          <w:lang w:val="hr-HR"/>
        </w:rPr>
      </w:pPr>
      <w:r w:rsidRPr="00475D18">
        <w:rPr>
          <w:rFonts w:ascii="Times New Roman" w:hAnsi="Times New Roman" w:cs="Times New Roman"/>
          <w:b w:val="0"/>
          <w:sz w:val="22"/>
          <w:lang w:val="hr-HR"/>
        </w:rPr>
        <w:t>Ovom aktivnošću održavaju se građevinski i ostali objekti koji se nalaze na javnim površinama, kao npr. fontane, autobusne stanice i slično</w:t>
      </w:r>
      <w:r w:rsidR="00722358" w:rsidRPr="00722358">
        <w:rPr>
          <w:rFonts w:ascii="Times New Roman" w:hAnsi="Times New Roman" w:cs="Times New Roman"/>
          <w:b w:val="0"/>
          <w:sz w:val="22"/>
          <w:lang w:val="hr-HR"/>
        </w:rPr>
        <w:t xml:space="preserve"> radi poboljšanja kvalitete života lokalnog stanovništva</w:t>
      </w:r>
      <w:r>
        <w:rPr>
          <w:rFonts w:ascii="Times New Roman" w:hAnsi="Times New Roman" w:cs="Times New Roman"/>
          <w:b w:val="0"/>
          <w:sz w:val="22"/>
          <w:lang w:val="hr-HR"/>
        </w:rPr>
        <w:t>.</w:t>
      </w:r>
    </w:p>
    <w:p w14:paraId="2ECDA36C" w14:textId="77777777" w:rsidR="00112DCA" w:rsidRDefault="00112DCA" w:rsidP="00112DCA">
      <w:pPr>
        <w:pStyle w:val="Podnaslov"/>
        <w:jc w:val="left"/>
        <w:rPr>
          <w:lang w:eastAsia="ar-SA"/>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07"/>
        <w:gridCol w:w="2996"/>
        <w:gridCol w:w="962"/>
        <w:gridCol w:w="1122"/>
        <w:gridCol w:w="1105"/>
        <w:gridCol w:w="968"/>
      </w:tblGrid>
      <w:tr w:rsidR="00112DCA" w:rsidRPr="00F64569" w14:paraId="6BC94254" w14:textId="77777777" w:rsidTr="00E347ED">
        <w:trPr>
          <w:trHeight w:val="633"/>
          <w:jc w:val="center"/>
        </w:trPr>
        <w:tc>
          <w:tcPr>
            <w:tcW w:w="1052" w:type="pct"/>
            <w:shd w:val="clear" w:color="auto" w:fill="BFBFBF"/>
          </w:tcPr>
          <w:p w14:paraId="579AECAE" w14:textId="77777777" w:rsidR="00112DCA" w:rsidRPr="00F64569" w:rsidRDefault="00112DCA" w:rsidP="00E347ED">
            <w:pPr>
              <w:widowControl w:val="0"/>
              <w:autoSpaceDE w:val="0"/>
              <w:autoSpaceDN w:val="0"/>
              <w:spacing w:before="104" w:after="0" w:line="240" w:lineRule="auto"/>
              <w:ind w:left="136" w:right="110" w:firstLine="59"/>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lastRenderedPageBreak/>
              <w:t>Pokazatelj</w:t>
            </w:r>
            <w:r w:rsidRPr="00F64569">
              <w:rPr>
                <w:rFonts w:ascii="Times New Roman" w:eastAsia="Arial MT" w:hAnsi="Times New Roman" w:cs="Times New Roman"/>
                <w:b/>
                <w:spacing w:val="1"/>
                <w:sz w:val="20"/>
                <w:szCs w:val="20"/>
              </w:rPr>
              <w:t xml:space="preserve"> </w:t>
            </w:r>
            <w:r>
              <w:rPr>
                <w:rFonts w:ascii="Times New Roman" w:eastAsia="Arial MT" w:hAnsi="Times New Roman" w:cs="Times New Roman"/>
                <w:b/>
                <w:sz w:val="20"/>
                <w:szCs w:val="20"/>
              </w:rPr>
              <w:t>rezultata</w:t>
            </w:r>
          </w:p>
        </w:tc>
        <w:tc>
          <w:tcPr>
            <w:tcW w:w="1653" w:type="pct"/>
            <w:shd w:val="clear" w:color="auto" w:fill="BFBFBF"/>
          </w:tcPr>
          <w:p w14:paraId="6D76C6F2" w14:textId="77777777" w:rsidR="00112DCA" w:rsidRPr="00F64569" w:rsidRDefault="00112DCA" w:rsidP="00E347ED">
            <w:pPr>
              <w:widowControl w:val="0"/>
              <w:autoSpaceDE w:val="0"/>
              <w:autoSpaceDN w:val="0"/>
              <w:spacing w:after="0" w:line="240" w:lineRule="auto"/>
              <w:jc w:val="both"/>
              <w:rPr>
                <w:rFonts w:ascii="Times New Roman" w:eastAsia="Arial MT" w:hAnsi="Times New Roman" w:cs="Times New Roman"/>
                <w:b/>
                <w:sz w:val="20"/>
                <w:szCs w:val="20"/>
              </w:rPr>
            </w:pPr>
          </w:p>
          <w:p w14:paraId="00BB15CC" w14:textId="77777777" w:rsidR="00112DCA" w:rsidRPr="00F64569" w:rsidRDefault="00112DCA" w:rsidP="00E347ED">
            <w:pPr>
              <w:widowControl w:val="0"/>
              <w:autoSpaceDE w:val="0"/>
              <w:autoSpaceDN w:val="0"/>
              <w:spacing w:before="1" w:after="0" w:line="240" w:lineRule="auto"/>
              <w:ind w:left="1136" w:right="832"/>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Definicija</w:t>
            </w:r>
          </w:p>
        </w:tc>
        <w:tc>
          <w:tcPr>
            <w:tcW w:w="531" w:type="pct"/>
            <w:shd w:val="clear" w:color="auto" w:fill="BFBFBF"/>
          </w:tcPr>
          <w:p w14:paraId="243FEB88" w14:textId="77777777" w:rsidR="00112DCA" w:rsidRPr="00F64569" w:rsidRDefault="00112DCA" w:rsidP="00E347ED">
            <w:pPr>
              <w:widowControl w:val="0"/>
              <w:autoSpaceDE w:val="0"/>
              <w:autoSpaceDN w:val="0"/>
              <w:spacing w:after="0" w:line="240" w:lineRule="auto"/>
              <w:jc w:val="both"/>
              <w:rPr>
                <w:rFonts w:ascii="Times New Roman" w:eastAsia="Arial MT" w:hAnsi="Times New Roman" w:cs="Times New Roman"/>
                <w:b/>
                <w:sz w:val="20"/>
                <w:szCs w:val="20"/>
              </w:rPr>
            </w:pPr>
          </w:p>
          <w:p w14:paraId="433B91A1" w14:textId="77777777" w:rsidR="00112DCA" w:rsidRPr="00F64569" w:rsidRDefault="00112DCA" w:rsidP="00E347ED">
            <w:pPr>
              <w:widowControl w:val="0"/>
              <w:autoSpaceDE w:val="0"/>
              <w:autoSpaceDN w:val="0"/>
              <w:spacing w:before="1" w:after="0" w:line="240" w:lineRule="auto"/>
              <w:ind w:left="112" w:right="105"/>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Jedinica</w:t>
            </w:r>
          </w:p>
        </w:tc>
        <w:tc>
          <w:tcPr>
            <w:tcW w:w="619" w:type="pct"/>
            <w:shd w:val="clear" w:color="auto" w:fill="BFBFBF"/>
          </w:tcPr>
          <w:p w14:paraId="5F4EAEEE" w14:textId="77777777" w:rsidR="00112DCA" w:rsidRPr="00F64569" w:rsidRDefault="00112DCA" w:rsidP="00E347ED">
            <w:pPr>
              <w:widowControl w:val="0"/>
              <w:autoSpaceDE w:val="0"/>
              <w:autoSpaceDN w:val="0"/>
              <w:spacing w:after="0" w:line="206" w:lineRule="exact"/>
              <w:ind w:left="122" w:right="121"/>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Ciljana</w:t>
            </w:r>
          </w:p>
          <w:p w14:paraId="6899D619" w14:textId="77777777" w:rsidR="00112DCA" w:rsidRPr="00F64569" w:rsidRDefault="00112DCA" w:rsidP="00E347ED">
            <w:pPr>
              <w:widowControl w:val="0"/>
              <w:autoSpaceDE w:val="0"/>
              <w:autoSpaceDN w:val="0"/>
              <w:spacing w:after="0" w:line="206" w:lineRule="exact"/>
              <w:ind w:left="124" w:right="121"/>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vrijednost</w:t>
            </w:r>
            <w:r w:rsidRPr="00F64569">
              <w:rPr>
                <w:rFonts w:ascii="Times New Roman" w:eastAsia="Arial MT" w:hAnsi="Times New Roman" w:cs="Times New Roman"/>
                <w:b/>
                <w:spacing w:val="-47"/>
                <w:sz w:val="20"/>
                <w:szCs w:val="20"/>
              </w:rPr>
              <w:t xml:space="preserve">   </w:t>
            </w:r>
            <w:r w:rsidRPr="00F64569">
              <w:rPr>
                <w:rFonts w:ascii="Times New Roman" w:eastAsia="Arial MT" w:hAnsi="Times New Roman" w:cs="Times New Roman"/>
                <w:b/>
                <w:sz w:val="20"/>
                <w:szCs w:val="20"/>
              </w:rPr>
              <w:t>2024.</w:t>
            </w:r>
          </w:p>
        </w:tc>
        <w:tc>
          <w:tcPr>
            <w:tcW w:w="610" w:type="pct"/>
            <w:shd w:val="clear" w:color="auto" w:fill="BFBFBF"/>
          </w:tcPr>
          <w:p w14:paraId="70B75DA9" w14:textId="77777777" w:rsidR="00112DCA" w:rsidRPr="00F64569" w:rsidRDefault="00112DCA" w:rsidP="00E347ED">
            <w:pPr>
              <w:widowControl w:val="0"/>
              <w:autoSpaceDE w:val="0"/>
              <w:autoSpaceDN w:val="0"/>
              <w:spacing w:after="0" w:line="205" w:lineRule="exact"/>
              <w:ind w:left="89"/>
              <w:jc w:val="both"/>
              <w:rPr>
                <w:rFonts w:ascii="Times New Roman" w:eastAsia="Arial MT" w:hAnsi="Times New Roman" w:cs="Times New Roman"/>
                <w:b/>
                <w:sz w:val="20"/>
                <w:szCs w:val="20"/>
              </w:rPr>
            </w:pPr>
            <w:r>
              <w:rPr>
                <w:rFonts w:ascii="Times New Roman" w:eastAsia="Arial MT" w:hAnsi="Times New Roman" w:cs="Times New Roman"/>
                <w:b/>
                <w:sz w:val="20"/>
                <w:szCs w:val="20"/>
              </w:rPr>
              <w:t>Izvršenje</w:t>
            </w:r>
          </w:p>
        </w:tc>
        <w:tc>
          <w:tcPr>
            <w:tcW w:w="534" w:type="pct"/>
            <w:shd w:val="clear" w:color="auto" w:fill="BFBFBF"/>
          </w:tcPr>
          <w:p w14:paraId="459121C4" w14:textId="77777777" w:rsidR="00112DCA" w:rsidRPr="00F64569" w:rsidRDefault="00112DCA" w:rsidP="00E347ED">
            <w:pPr>
              <w:widowControl w:val="0"/>
              <w:autoSpaceDE w:val="0"/>
              <w:autoSpaceDN w:val="0"/>
              <w:spacing w:after="0" w:line="240" w:lineRule="auto"/>
              <w:ind w:left="130" w:right="115" w:firstLine="134"/>
              <w:jc w:val="both"/>
              <w:rPr>
                <w:rFonts w:ascii="Times New Roman" w:eastAsia="Arial MT" w:hAnsi="Times New Roman" w:cs="Times New Roman"/>
                <w:b/>
                <w:sz w:val="20"/>
                <w:szCs w:val="20"/>
              </w:rPr>
            </w:pPr>
            <w:r>
              <w:rPr>
                <w:rFonts w:ascii="Times New Roman" w:eastAsia="Arial MT" w:hAnsi="Times New Roman" w:cs="Times New Roman"/>
                <w:b/>
                <w:sz w:val="20"/>
                <w:szCs w:val="20"/>
              </w:rPr>
              <w:t>Indeks</w:t>
            </w:r>
          </w:p>
        </w:tc>
      </w:tr>
      <w:tr w:rsidR="00112DCA" w:rsidRPr="00F64569" w14:paraId="38764E83" w14:textId="77777777" w:rsidTr="00E347ED">
        <w:trPr>
          <w:trHeight w:val="620"/>
          <w:jc w:val="center"/>
        </w:trPr>
        <w:tc>
          <w:tcPr>
            <w:tcW w:w="1052" w:type="pct"/>
            <w:shd w:val="clear" w:color="auto" w:fill="auto"/>
          </w:tcPr>
          <w:p w14:paraId="23028076" w14:textId="5C98C2D9" w:rsidR="00112DCA" w:rsidRPr="00F64569" w:rsidRDefault="00112DCA" w:rsidP="00E347ED">
            <w:pPr>
              <w:widowControl w:val="0"/>
              <w:autoSpaceDE w:val="0"/>
              <w:autoSpaceDN w:val="0"/>
              <w:spacing w:before="1" w:after="0" w:line="240" w:lineRule="auto"/>
              <w:ind w:right="109"/>
              <w:jc w:val="center"/>
              <w:rPr>
                <w:rFonts w:ascii="Times New Roman" w:eastAsia="Arial MT" w:hAnsi="Times New Roman" w:cs="Times New Roman"/>
              </w:rPr>
            </w:pPr>
            <w:r>
              <w:rPr>
                <w:rFonts w:ascii="Times New Roman" w:eastAsia="Arial MT" w:hAnsi="Times New Roman" w:cs="Times New Roman"/>
              </w:rPr>
              <w:t>Broj objekata za održavanje</w:t>
            </w:r>
          </w:p>
        </w:tc>
        <w:tc>
          <w:tcPr>
            <w:tcW w:w="1653" w:type="pct"/>
            <w:shd w:val="clear" w:color="auto" w:fill="auto"/>
          </w:tcPr>
          <w:p w14:paraId="3206F0BB" w14:textId="227203A8" w:rsidR="00112DCA" w:rsidRPr="00F64569" w:rsidRDefault="00112DCA" w:rsidP="00E347ED">
            <w:pPr>
              <w:widowControl w:val="0"/>
              <w:autoSpaceDE w:val="0"/>
              <w:autoSpaceDN w:val="0"/>
              <w:spacing w:after="0" w:line="187" w:lineRule="exact"/>
              <w:ind w:left="105"/>
              <w:jc w:val="center"/>
              <w:rPr>
                <w:rFonts w:ascii="Times New Roman" w:eastAsia="Arial MT" w:hAnsi="Times New Roman" w:cs="Times New Roman"/>
              </w:rPr>
            </w:pPr>
            <w:r>
              <w:rPr>
                <w:rFonts w:ascii="Times New Roman" w:eastAsia="Arial MT" w:hAnsi="Times New Roman" w:cs="Times New Roman"/>
              </w:rPr>
              <w:t>Uređenje objekata za javne površine</w:t>
            </w:r>
          </w:p>
        </w:tc>
        <w:tc>
          <w:tcPr>
            <w:tcW w:w="531" w:type="pct"/>
            <w:shd w:val="clear" w:color="auto" w:fill="auto"/>
          </w:tcPr>
          <w:p w14:paraId="4F4E02CF" w14:textId="67827FF0" w:rsidR="00112DCA" w:rsidRPr="00F64569" w:rsidRDefault="00112DCA" w:rsidP="00E347ED">
            <w:pPr>
              <w:widowControl w:val="0"/>
              <w:autoSpaceDE w:val="0"/>
              <w:autoSpaceDN w:val="0"/>
              <w:spacing w:before="1" w:after="0" w:line="240" w:lineRule="auto"/>
              <w:ind w:right="137"/>
              <w:jc w:val="center"/>
              <w:rPr>
                <w:rFonts w:ascii="Times New Roman" w:eastAsia="Arial MT" w:hAnsi="Times New Roman" w:cs="Times New Roman"/>
              </w:rPr>
            </w:pPr>
            <w:r>
              <w:rPr>
                <w:rFonts w:ascii="Times New Roman" w:eastAsia="Arial MT" w:hAnsi="Times New Roman" w:cs="Times New Roman"/>
              </w:rPr>
              <w:t>Kom</w:t>
            </w:r>
          </w:p>
        </w:tc>
        <w:tc>
          <w:tcPr>
            <w:tcW w:w="619" w:type="pct"/>
            <w:shd w:val="clear" w:color="auto" w:fill="auto"/>
          </w:tcPr>
          <w:p w14:paraId="7ECEA6F9" w14:textId="6FAB9F37" w:rsidR="00112DCA" w:rsidRPr="00F64569" w:rsidRDefault="00112DCA" w:rsidP="00E347ED">
            <w:pPr>
              <w:widowControl w:val="0"/>
              <w:autoSpaceDE w:val="0"/>
              <w:autoSpaceDN w:val="0"/>
              <w:spacing w:after="0" w:line="240" w:lineRule="auto"/>
              <w:ind w:right="121"/>
              <w:jc w:val="center"/>
              <w:rPr>
                <w:rFonts w:ascii="Times New Roman" w:eastAsia="Arial MT" w:hAnsi="Times New Roman" w:cs="Times New Roman"/>
              </w:rPr>
            </w:pPr>
            <w:r>
              <w:rPr>
                <w:rFonts w:ascii="Times New Roman" w:eastAsia="Arial MT" w:hAnsi="Times New Roman" w:cs="Times New Roman"/>
              </w:rPr>
              <w:t>21</w:t>
            </w:r>
          </w:p>
        </w:tc>
        <w:tc>
          <w:tcPr>
            <w:tcW w:w="610" w:type="pct"/>
            <w:shd w:val="clear" w:color="auto" w:fill="auto"/>
          </w:tcPr>
          <w:p w14:paraId="58E88E40" w14:textId="2F7F494C" w:rsidR="00112DCA" w:rsidRPr="00F64569" w:rsidRDefault="009F6D86" w:rsidP="00E347ED">
            <w:pPr>
              <w:widowControl w:val="0"/>
              <w:autoSpaceDE w:val="0"/>
              <w:autoSpaceDN w:val="0"/>
              <w:spacing w:after="0" w:line="240" w:lineRule="auto"/>
              <w:ind w:right="460"/>
              <w:jc w:val="center"/>
              <w:rPr>
                <w:rFonts w:ascii="Times New Roman" w:eastAsia="Arial MT" w:hAnsi="Times New Roman" w:cs="Times New Roman"/>
              </w:rPr>
            </w:pPr>
            <w:r>
              <w:rPr>
                <w:rFonts w:ascii="Times New Roman" w:eastAsia="Arial MT" w:hAnsi="Times New Roman" w:cs="Times New Roman"/>
              </w:rPr>
              <w:t>19</w:t>
            </w:r>
          </w:p>
        </w:tc>
        <w:tc>
          <w:tcPr>
            <w:tcW w:w="534" w:type="pct"/>
          </w:tcPr>
          <w:p w14:paraId="6CA60763" w14:textId="7C6BB338" w:rsidR="00112DCA" w:rsidRPr="00F64569" w:rsidRDefault="009F6D86" w:rsidP="00E347ED">
            <w:pPr>
              <w:widowControl w:val="0"/>
              <w:autoSpaceDE w:val="0"/>
              <w:autoSpaceDN w:val="0"/>
              <w:spacing w:after="0" w:line="240" w:lineRule="auto"/>
              <w:jc w:val="center"/>
              <w:rPr>
                <w:rFonts w:ascii="Times New Roman" w:eastAsia="Arial MT" w:hAnsi="Times New Roman" w:cs="Times New Roman"/>
              </w:rPr>
            </w:pPr>
            <w:r>
              <w:rPr>
                <w:rFonts w:ascii="Times New Roman" w:eastAsia="Arial MT" w:hAnsi="Times New Roman" w:cs="Times New Roman"/>
              </w:rPr>
              <w:t>90,48</w:t>
            </w:r>
          </w:p>
        </w:tc>
      </w:tr>
    </w:tbl>
    <w:p w14:paraId="6F56C63F" w14:textId="77777777" w:rsidR="00112DCA" w:rsidRPr="00112DCA" w:rsidRDefault="00112DCA" w:rsidP="00112DCA">
      <w:pPr>
        <w:rPr>
          <w:lang w:eastAsia="ar-SA"/>
        </w:rPr>
      </w:pPr>
    </w:p>
    <w:p w14:paraId="5C57771A" w14:textId="77777777" w:rsidR="00722358" w:rsidRPr="00722358" w:rsidRDefault="00722358" w:rsidP="00E40FD3">
      <w:pPr>
        <w:pStyle w:val="Naslov"/>
        <w:tabs>
          <w:tab w:val="left" w:pos="142"/>
        </w:tabs>
        <w:ind w:left="567"/>
        <w:jc w:val="both"/>
        <w:rPr>
          <w:rFonts w:ascii="Times New Roman" w:hAnsi="Times New Roman" w:cs="Times New Roman"/>
          <w:b w:val="0"/>
          <w:sz w:val="22"/>
          <w:lang w:val="hr-HR"/>
        </w:rPr>
      </w:pPr>
      <w:r w:rsidRPr="00722358">
        <w:rPr>
          <w:rFonts w:ascii="Times New Roman" w:hAnsi="Times New Roman" w:cs="Times New Roman"/>
          <w:b w:val="0"/>
          <w:i/>
          <w:sz w:val="22"/>
          <w:lang w:val="hr-HR"/>
        </w:rPr>
        <w:t>Aktivnost A101011</w:t>
      </w:r>
      <w:r w:rsidRPr="00722358">
        <w:rPr>
          <w:rFonts w:ascii="Times New Roman" w:hAnsi="Times New Roman" w:cs="Times New Roman"/>
          <w:b w:val="0"/>
          <w:sz w:val="22"/>
          <w:lang w:val="hr-HR"/>
        </w:rPr>
        <w:t xml:space="preserve"> – Održavanje građevina javne odvodnje oborinskih voda</w:t>
      </w:r>
    </w:p>
    <w:p w14:paraId="1F20E379" w14:textId="1FCDBF30" w:rsidR="009F6D86" w:rsidRPr="009F6D86" w:rsidRDefault="00043D28" w:rsidP="009F6D86">
      <w:pPr>
        <w:pStyle w:val="Naslov"/>
        <w:widowControl/>
        <w:tabs>
          <w:tab w:val="clear" w:pos="-720"/>
          <w:tab w:val="left" w:pos="142"/>
        </w:tabs>
        <w:suppressAutoHyphens w:val="0"/>
        <w:jc w:val="both"/>
        <w:rPr>
          <w:rFonts w:ascii="Times New Roman" w:hAnsi="Times New Roman" w:cs="Times New Roman"/>
          <w:b w:val="0"/>
          <w:sz w:val="22"/>
          <w:lang w:val="hr-HR"/>
        </w:rPr>
      </w:pPr>
      <w:r>
        <w:rPr>
          <w:rFonts w:ascii="Times New Roman" w:hAnsi="Times New Roman" w:cs="Times New Roman"/>
          <w:b w:val="0"/>
          <w:sz w:val="22"/>
          <w:lang w:val="hr-HR"/>
        </w:rPr>
        <w:t>Aktivnost podrazumijeva</w:t>
      </w:r>
      <w:r w:rsidR="00B34DD8">
        <w:rPr>
          <w:rFonts w:ascii="Times New Roman" w:hAnsi="Times New Roman" w:cs="Times New Roman"/>
          <w:b w:val="0"/>
          <w:sz w:val="22"/>
          <w:lang w:val="hr-HR"/>
        </w:rPr>
        <w:t xml:space="preserve"> troškove</w:t>
      </w:r>
      <w:r w:rsidR="00722358" w:rsidRPr="00722358">
        <w:rPr>
          <w:rFonts w:ascii="Times New Roman" w:hAnsi="Times New Roman" w:cs="Times New Roman"/>
          <w:b w:val="0"/>
          <w:sz w:val="22"/>
          <w:lang w:val="hr-HR"/>
        </w:rPr>
        <w:t xml:space="preserve"> čišćenj</w:t>
      </w:r>
      <w:r w:rsidR="00B34DD8">
        <w:rPr>
          <w:rFonts w:ascii="Times New Roman" w:hAnsi="Times New Roman" w:cs="Times New Roman"/>
          <w:b w:val="0"/>
          <w:sz w:val="22"/>
          <w:lang w:val="hr-HR"/>
        </w:rPr>
        <w:t>a</w:t>
      </w:r>
      <w:r w:rsidR="00722358" w:rsidRPr="00722358">
        <w:rPr>
          <w:rFonts w:ascii="Times New Roman" w:hAnsi="Times New Roman" w:cs="Times New Roman"/>
          <w:b w:val="0"/>
          <w:sz w:val="22"/>
          <w:lang w:val="hr-HR"/>
        </w:rPr>
        <w:t xml:space="preserve"> slivnika na nerazvrstanim cestama u svrhu sigurnosti prometa.</w:t>
      </w:r>
      <w:r w:rsidR="009F6D86">
        <w:rPr>
          <w:rFonts w:ascii="Times New Roman" w:hAnsi="Times New Roman" w:cs="Times New Roman"/>
          <w:b w:val="0"/>
          <w:sz w:val="22"/>
          <w:lang w:val="hr-HR"/>
        </w:rPr>
        <w:br/>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07"/>
        <w:gridCol w:w="2996"/>
        <w:gridCol w:w="962"/>
        <w:gridCol w:w="1122"/>
        <w:gridCol w:w="1105"/>
        <w:gridCol w:w="968"/>
      </w:tblGrid>
      <w:tr w:rsidR="009F6D86" w:rsidRPr="00F64569" w14:paraId="7C18E62C" w14:textId="77777777" w:rsidTr="00E347ED">
        <w:trPr>
          <w:trHeight w:val="633"/>
          <w:jc w:val="center"/>
        </w:trPr>
        <w:tc>
          <w:tcPr>
            <w:tcW w:w="1052" w:type="pct"/>
            <w:shd w:val="clear" w:color="auto" w:fill="BFBFBF"/>
          </w:tcPr>
          <w:p w14:paraId="1F423A55" w14:textId="77777777" w:rsidR="009F6D86" w:rsidRPr="00F64569" w:rsidRDefault="009F6D86" w:rsidP="00E347ED">
            <w:pPr>
              <w:widowControl w:val="0"/>
              <w:autoSpaceDE w:val="0"/>
              <w:autoSpaceDN w:val="0"/>
              <w:spacing w:before="104" w:after="0" w:line="240" w:lineRule="auto"/>
              <w:ind w:left="136" w:right="110" w:firstLine="59"/>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Pokazatelj</w:t>
            </w:r>
            <w:r w:rsidRPr="00F64569">
              <w:rPr>
                <w:rFonts w:ascii="Times New Roman" w:eastAsia="Arial MT" w:hAnsi="Times New Roman" w:cs="Times New Roman"/>
                <w:b/>
                <w:spacing w:val="1"/>
                <w:sz w:val="20"/>
                <w:szCs w:val="20"/>
              </w:rPr>
              <w:t xml:space="preserve"> </w:t>
            </w:r>
            <w:r>
              <w:rPr>
                <w:rFonts w:ascii="Times New Roman" w:eastAsia="Arial MT" w:hAnsi="Times New Roman" w:cs="Times New Roman"/>
                <w:b/>
                <w:sz w:val="20"/>
                <w:szCs w:val="20"/>
              </w:rPr>
              <w:t>rezultata</w:t>
            </w:r>
          </w:p>
        </w:tc>
        <w:tc>
          <w:tcPr>
            <w:tcW w:w="1653" w:type="pct"/>
            <w:shd w:val="clear" w:color="auto" w:fill="BFBFBF"/>
          </w:tcPr>
          <w:p w14:paraId="4AC4898C" w14:textId="77777777" w:rsidR="009F6D86" w:rsidRPr="00F64569" w:rsidRDefault="009F6D86" w:rsidP="00E347ED">
            <w:pPr>
              <w:widowControl w:val="0"/>
              <w:autoSpaceDE w:val="0"/>
              <w:autoSpaceDN w:val="0"/>
              <w:spacing w:after="0" w:line="240" w:lineRule="auto"/>
              <w:jc w:val="both"/>
              <w:rPr>
                <w:rFonts w:ascii="Times New Roman" w:eastAsia="Arial MT" w:hAnsi="Times New Roman" w:cs="Times New Roman"/>
                <w:b/>
                <w:sz w:val="20"/>
                <w:szCs w:val="20"/>
              </w:rPr>
            </w:pPr>
          </w:p>
          <w:p w14:paraId="70DDA250" w14:textId="77777777" w:rsidR="009F6D86" w:rsidRPr="00F64569" w:rsidRDefault="009F6D86" w:rsidP="00E347ED">
            <w:pPr>
              <w:widowControl w:val="0"/>
              <w:autoSpaceDE w:val="0"/>
              <w:autoSpaceDN w:val="0"/>
              <w:spacing w:before="1" w:after="0" w:line="240" w:lineRule="auto"/>
              <w:ind w:left="1136" w:right="832"/>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Definicija</w:t>
            </w:r>
          </w:p>
        </w:tc>
        <w:tc>
          <w:tcPr>
            <w:tcW w:w="531" w:type="pct"/>
            <w:shd w:val="clear" w:color="auto" w:fill="BFBFBF"/>
          </w:tcPr>
          <w:p w14:paraId="01A8CAD5" w14:textId="77777777" w:rsidR="009F6D86" w:rsidRPr="00F64569" w:rsidRDefault="009F6D86" w:rsidP="00E347ED">
            <w:pPr>
              <w:widowControl w:val="0"/>
              <w:autoSpaceDE w:val="0"/>
              <w:autoSpaceDN w:val="0"/>
              <w:spacing w:after="0" w:line="240" w:lineRule="auto"/>
              <w:jc w:val="both"/>
              <w:rPr>
                <w:rFonts w:ascii="Times New Roman" w:eastAsia="Arial MT" w:hAnsi="Times New Roman" w:cs="Times New Roman"/>
                <w:b/>
                <w:sz w:val="20"/>
                <w:szCs w:val="20"/>
              </w:rPr>
            </w:pPr>
          </w:p>
          <w:p w14:paraId="4379F2EB" w14:textId="77777777" w:rsidR="009F6D86" w:rsidRPr="00F64569" w:rsidRDefault="009F6D86" w:rsidP="00E347ED">
            <w:pPr>
              <w:widowControl w:val="0"/>
              <w:autoSpaceDE w:val="0"/>
              <w:autoSpaceDN w:val="0"/>
              <w:spacing w:before="1" w:after="0" w:line="240" w:lineRule="auto"/>
              <w:ind w:left="112" w:right="105"/>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Jedinica</w:t>
            </w:r>
          </w:p>
        </w:tc>
        <w:tc>
          <w:tcPr>
            <w:tcW w:w="619" w:type="pct"/>
            <w:shd w:val="clear" w:color="auto" w:fill="BFBFBF"/>
          </w:tcPr>
          <w:p w14:paraId="3868FB49" w14:textId="77777777" w:rsidR="009F6D86" w:rsidRPr="00F64569" w:rsidRDefault="009F6D86" w:rsidP="00E347ED">
            <w:pPr>
              <w:widowControl w:val="0"/>
              <w:autoSpaceDE w:val="0"/>
              <w:autoSpaceDN w:val="0"/>
              <w:spacing w:after="0" w:line="206" w:lineRule="exact"/>
              <w:ind w:left="122" w:right="121"/>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Ciljana</w:t>
            </w:r>
          </w:p>
          <w:p w14:paraId="2E7D03A0" w14:textId="77777777" w:rsidR="009F6D86" w:rsidRPr="00F64569" w:rsidRDefault="009F6D86" w:rsidP="00E347ED">
            <w:pPr>
              <w:widowControl w:val="0"/>
              <w:autoSpaceDE w:val="0"/>
              <w:autoSpaceDN w:val="0"/>
              <w:spacing w:after="0" w:line="206" w:lineRule="exact"/>
              <w:ind w:left="124" w:right="121"/>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vrijednost</w:t>
            </w:r>
            <w:r w:rsidRPr="00F64569">
              <w:rPr>
                <w:rFonts w:ascii="Times New Roman" w:eastAsia="Arial MT" w:hAnsi="Times New Roman" w:cs="Times New Roman"/>
                <w:b/>
                <w:spacing w:val="-47"/>
                <w:sz w:val="20"/>
                <w:szCs w:val="20"/>
              </w:rPr>
              <w:t xml:space="preserve">   </w:t>
            </w:r>
            <w:r w:rsidRPr="00F64569">
              <w:rPr>
                <w:rFonts w:ascii="Times New Roman" w:eastAsia="Arial MT" w:hAnsi="Times New Roman" w:cs="Times New Roman"/>
                <w:b/>
                <w:sz w:val="20"/>
                <w:szCs w:val="20"/>
              </w:rPr>
              <w:t>2024.</w:t>
            </w:r>
          </w:p>
        </w:tc>
        <w:tc>
          <w:tcPr>
            <w:tcW w:w="610" w:type="pct"/>
            <w:shd w:val="clear" w:color="auto" w:fill="BFBFBF"/>
          </w:tcPr>
          <w:p w14:paraId="0D00DE61" w14:textId="77777777" w:rsidR="009F6D86" w:rsidRPr="00F64569" w:rsidRDefault="009F6D86" w:rsidP="00E347ED">
            <w:pPr>
              <w:widowControl w:val="0"/>
              <w:autoSpaceDE w:val="0"/>
              <w:autoSpaceDN w:val="0"/>
              <w:spacing w:after="0" w:line="205" w:lineRule="exact"/>
              <w:ind w:left="89"/>
              <w:jc w:val="both"/>
              <w:rPr>
                <w:rFonts w:ascii="Times New Roman" w:eastAsia="Arial MT" w:hAnsi="Times New Roman" w:cs="Times New Roman"/>
                <w:b/>
                <w:sz w:val="20"/>
                <w:szCs w:val="20"/>
              </w:rPr>
            </w:pPr>
            <w:r>
              <w:rPr>
                <w:rFonts w:ascii="Times New Roman" w:eastAsia="Arial MT" w:hAnsi="Times New Roman" w:cs="Times New Roman"/>
                <w:b/>
                <w:sz w:val="20"/>
                <w:szCs w:val="20"/>
              </w:rPr>
              <w:t>Izvršenje</w:t>
            </w:r>
          </w:p>
        </w:tc>
        <w:tc>
          <w:tcPr>
            <w:tcW w:w="534" w:type="pct"/>
            <w:shd w:val="clear" w:color="auto" w:fill="BFBFBF"/>
          </w:tcPr>
          <w:p w14:paraId="755FED20" w14:textId="77777777" w:rsidR="009F6D86" w:rsidRPr="00F64569" w:rsidRDefault="009F6D86" w:rsidP="00E347ED">
            <w:pPr>
              <w:widowControl w:val="0"/>
              <w:autoSpaceDE w:val="0"/>
              <w:autoSpaceDN w:val="0"/>
              <w:spacing w:after="0" w:line="240" w:lineRule="auto"/>
              <w:ind w:left="130" w:right="115" w:firstLine="134"/>
              <w:jc w:val="both"/>
              <w:rPr>
                <w:rFonts w:ascii="Times New Roman" w:eastAsia="Arial MT" w:hAnsi="Times New Roman" w:cs="Times New Roman"/>
                <w:b/>
                <w:sz w:val="20"/>
                <w:szCs w:val="20"/>
              </w:rPr>
            </w:pPr>
            <w:r>
              <w:rPr>
                <w:rFonts w:ascii="Times New Roman" w:eastAsia="Arial MT" w:hAnsi="Times New Roman" w:cs="Times New Roman"/>
                <w:b/>
                <w:sz w:val="20"/>
                <w:szCs w:val="20"/>
              </w:rPr>
              <w:t>Indeks</w:t>
            </w:r>
          </w:p>
        </w:tc>
      </w:tr>
      <w:tr w:rsidR="009F6D86" w:rsidRPr="00F64569" w14:paraId="1F2D8A7A" w14:textId="77777777" w:rsidTr="00E347ED">
        <w:trPr>
          <w:trHeight w:val="620"/>
          <w:jc w:val="center"/>
        </w:trPr>
        <w:tc>
          <w:tcPr>
            <w:tcW w:w="1052" w:type="pct"/>
            <w:shd w:val="clear" w:color="auto" w:fill="auto"/>
          </w:tcPr>
          <w:p w14:paraId="6243286F" w14:textId="5860ADDC" w:rsidR="009F6D86" w:rsidRPr="00F64569" w:rsidRDefault="009F6D86" w:rsidP="00E347ED">
            <w:pPr>
              <w:widowControl w:val="0"/>
              <w:autoSpaceDE w:val="0"/>
              <w:autoSpaceDN w:val="0"/>
              <w:spacing w:before="1" w:after="0" w:line="240" w:lineRule="auto"/>
              <w:ind w:right="109"/>
              <w:jc w:val="center"/>
              <w:rPr>
                <w:rFonts w:ascii="Times New Roman" w:eastAsia="Arial MT" w:hAnsi="Times New Roman" w:cs="Times New Roman"/>
              </w:rPr>
            </w:pPr>
            <w:r>
              <w:rPr>
                <w:rFonts w:ascii="Times New Roman" w:eastAsia="Arial MT" w:hAnsi="Times New Roman" w:cs="Times New Roman"/>
              </w:rPr>
              <w:t>Broj objekata za održavanje</w:t>
            </w:r>
          </w:p>
        </w:tc>
        <w:tc>
          <w:tcPr>
            <w:tcW w:w="1653" w:type="pct"/>
            <w:shd w:val="clear" w:color="auto" w:fill="auto"/>
          </w:tcPr>
          <w:p w14:paraId="45730D4E" w14:textId="1272E763" w:rsidR="009F6D86" w:rsidRPr="00F64569" w:rsidRDefault="009F6D86" w:rsidP="00E347ED">
            <w:pPr>
              <w:widowControl w:val="0"/>
              <w:autoSpaceDE w:val="0"/>
              <w:autoSpaceDN w:val="0"/>
              <w:spacing w:after="0" w:line="187" w:lineRule="exact"/>
              <w:ind w:left="105"/>
              <w:jc w:val="center"/>
              <w:rPr>
                <w:rFonts w:ascii="Times New Roman" w:eastAsia="Arial MT" w:hAnsi="Times New Roman" w:cs="Times New Roman"/>
              </w:rPr>
            </w:pPr>
            <w:r>
              <w:rPr>
                <w:rFonts w:ascii="Times New Roman" w:eastAsia="Arial MT" w:hAnsi="Times New Roman" w:cs="Times New Roman"/>
              </w:rPr>
              <w:t>Uređenje slivnika</w:t>
            </w:r>
          </w:p>
        </w:tc>
        <w:tc>
          <w:tcPr>
            <w:tcW w:w="531" w:type="pct"/>
            <w:shd w:val="clear" w:color="auto" w:fill="auto"/>
          </w:tcPr>
          <w:p w14:paraId="69D24126" w14:textId="77777777" w:rsidR="009F6D86" w:rsidRPr="00F64569" w:rsidRDefault="009F6D86" w:rsidP="00E347ED">
            <w:pPr>
              <w:widowControl w:val="0"/>
              <w:autoSpaceDE w:val="0"/>
              <w:autoSpaceDN w:val="0"/>
              <w:spacing w:before="1" w:after="0" w:line="240" w:lineRule="auto"/>
              <w:ind w:right="137"/>
              <w:jc w:val="center"/>
              <w:rPr>
                <w:rFonts w:ascii="Times New Roman" w:eastAsia="Arial MT" w:hAnsi="Times New Roman" w:cs="Times New Roman"/>
              </w:rPr>
            </w:pPr>
            <w:r>
              <w:rPr>
                <w:rFonts w:ascii="Times New Roman" w:eastAsia="Arial MT" w:hAnsi="Times New Roman" w:cs="Times New Roman"/>
              </w:rPr>
              <w:t>Kom</w:t>
            </w:r>
          </w:p>
        </w:tc>
        <w:tc>
          <w:tcPr>
            <w:tcW w:w="619" w:type="pct"/>
            <w:shd w:val="clear" w:color="auto" w:fill="auto"/>
          </w:tcPr>
          <w:p w14:paraId="421A4A83" w14:textId="309B27B3" w:rsidR="009F6D86" w:rsidRPr="00F64569" w:rsidRDefault="009F6D86" w:rsidP="00E347ED">
            <w:pPr>
              <w:widowControl w:val="0"/>
              <w:autoSpaceDE w:val="0"/>
              <w:autoSpaceDN w:val="0"/>
              <w:spacing w:after="0" w:line="240" w:lineRule="auto"/>
              <w:ind w:right="121"/>
              <w:jc w:val="center"/>
              <w:rPr>
                <w:rFonts w:ascii="Times New Roman" w:eastAsia="Arial MT" w:hAnsi="Times New Roman" w:cs="Times New Roman"/>
              </w:rPr>
            </w:pPr>
            <w:r>
              <w:rPr>
                <w:rFonts w:ascii="Times New Roman" w:eastAsia="Arial MT" w:hAnsi="Times New Roman" w:cs="Times New Roman"/>
              </w:rPr>
              <w:t>25</w:t>
            </w:r>
          </w:p>
        </w:tc>
        <w:tc>
          <w:tcPr>
            <w:tcW w:w="610" w:type="pct"/>
            <w:shd w:val="clear" w:color="auto" w:fill="auto"/>
          </w:tcPr>
          <w:p w14:paraId="05A95929" w14:textId="7F2429C1" w:rsidR="009F6D86" w:rsidRPr="00F64569" w:rsidRDefault="009F6D86" w:rsidP="00E347ED">
            <w:pPr>
              <w:widowControl w:val="0"/>
              <w:autoSpaceDE w:val="0"/>
              <w:autoSpaceDN w:val="0"/>
              <w:spacing w:after="0" w:line="240" w:lineRule="auto"/>
              <w:ind w:right="460"/>
              <w:jc w:val="center"/>
              <w:rPr>
                <w:rFonts w:ascii="Times New Roman" w:eastAsia="Arial MT" w:hAnsi="Times New Roman" w:cs="Times New Roman"/>
              </w:rPr>
            </w:pPr>
            <w:r>
              <w:rPr>
                <w:rFonts w:ascii="Times New Roman" w:eastAsia="Arial MT" w:hAnsi="Times New Roman" w:cs="Times New Roman"/>
              </w:rPr>
              <w:t>6</w:t>
            </w:r>
          </w:p>
        </w:tc>
        <w:tc>
          <w:tcPr>
            <w:tcW w:w="534" w:type="pct"/>
          </w:tcPr>
          <w:p w14:paraId="4CCE3E01" w14:textId="5AE7939E" w:rsidR="009F6D86" w:rsidRPr="00F64569" w:rsidRDefault="009F6D86" w:rsidP="00E347ED">
            <w:pPr>
              <w:widowControl w:val="0"/>
              <w:autoSpaceDE w:val="0"/>
              <w:autoSpaceDN w:val="0"/>
              <w:spacing w:after="0" w:line="240" w:lineRule="auto"/>
              <w:jc w:val="center"/>
              <w:rPr>
                <w:rFonts w:ascii="Times New Roman" w:eastAsia="Arial MT" w:hAnsi="Times New Roman" w:cs="Times New Roman"/>
              </w:rPr>
            </w:pPr>
            <w:r>
              <w:rPr>
                <w:rFonts w:ascii="Times New Roman" w:eastAsia="Arial MT" w:hAnsi="Times New Roman" w:cs="Times New Roman"/>
              </w:rPr>
              <w:t>24,00</w:t>
            </w:r>
          </w:p>
        </w:tc>
      </w:tr>
    </w:tbl>
    <w:p w14:paraId="43B49BAC" w14:textId="77777777" w:rsidR="00722358" w:rsidRPr="00722358" w:rsidRDefault="00722358" w:rsidP="00027A8C">
      <w:pPr>
        <w:pStyle w:val="Naslov"/>
        <w:tabs>
          <w:tab w:val="left" w:pos="142"/>
        </w:tabs>
        <w:jc w:val="both"/>
        <w:rPr>
          <w:rFonts w:ascii="Times New Roman" w:hAnsi="Times New Roman" w:cs="Times New Roman"/>
          <w:b w:val="0"/>
          <w:i/>
          <w:sz w:val="22"/>
          <w:lang w:val="hr-HR"/>
        </w:rPr>
      </w:pPr>
    </w:p>
    <w:p w14:paraId="02C4E6A3" w14:textId="77777777" w:rsidR="00722358" w:rsidRPr="00722358" w:rsidRDefault="00722358" w:rsidP="00E40FD3">
      <w:pPr>
        <w:pStyle w:val="Naslov"/>
        <w:tabs>
          <w:tab w:val="left" w:pos="142"/>
        </w:tabs>
        <w:ind w:left="567"/>
        <w:jc w:val="both"/>
        <w:rPr>
          <w:rFonts w:ascii="Times New Roman" w:hAnsi="Times New Roman" w:cs="Times New Roman"/>
          <w:b w:val="0"/>
          <w:sz w:val="22"/>
          <w:lang w:val="hr-HR"/>
        </w:rPr>
      </w:pPr>
      <w:r w:rsidRPr="00722358">
        <w:rPr>
          <w:rFonts w:ascii="Times New Roman" w:hAnsi="Times New Roman" w:cs="Times New Roman"/>
          <w:b w:val="0"/>
          <w:i/>
          <w:sz w:val="22"/>
          <w:lang w:val="hr-HR"/>
        </w:rPr>
        <w:t>Aktivnost A101012</w:t>
      </w:r>
      <w:r w:rsidRPr="00722358">
        <w:rPr>
          <w:rFonts w:ascii="Times New Roman" w:hAnsi="Times New Roman" w:cs="Times New Roman"/>
          <w:b w:val="0"/>
          <w:sz w:val="22"/>
          <w:lang w:val="hr-HR"/>
        </w:rPr>
        <w:t xml:space="preserve"> – Održavanje groblja</w:t>
      </w:r>
    </w:p>
    <w:p w14:paraId="244FBA00" w14:textId="219F4CF9" w:rsidR="00027A8C" w:rsidRDefault="00B34DD8" w:rsidP="00027A8C">
      <w:pPr>
        <w:pStyle w:val="Naslov"/>
        <w:widowControl/>
        <w:tabs>
          <w:tab w:val="clear" w:pos="-720"/>
          <w:tab w:val="left" w:pos="142"/>
        </w:tabs>
        <w:suppressAutoHyphens w:val="0"/>
        <w:jc w:val="both"/>
        <w:rPr>
          <w:rFonts w:ascii="Times New Roman" w:hAnsi="Times New Roman" w:cs="Times New Roman"/>
          <w:b w:val="0"/>
          <w:sz w:val="22"/>
          <w:lang w:val="hr-HR"/>
        </w:rPr>
      </w:pPr>
      <w:r>
        <w:rPr>
          <w:rFonts w:ascii="Times New Roman" w:hAnsi="Times New Roman" w:cs="Times New Roman"/>
          <w:b w:val="0"/>
          <w:sz w:val="22"/>
          <w:lang w:val="hr-HR"/>
        </w:rPr>
        <w:t>U okviru navedene aktivnosti izvršeno je</w:t>
      </w:r>
      <w:r w:rsidR="00722358" w:rsidRPr="00722358">
        <w:rPr>
          <w:rFonts w:ascii="Times New Roman" w:hAnsi="Times New Roman" w:cs="Times New Roman"/>
          <w:b w:val="0"/>
          <w:sz w:val="22"/>
          <w:lang w:val="hr-HR"/>
        </w:rPr>
        <w:t xml:space="preserve"> uređenje ograda i staza na grobljima, uređivanje hortikulture te održavanje kuća za ispraćaj</w:t>
      </w:r>
      <w:r>
        <w:rPr>
          <w:rFonts w:ascii="Times New Roman" w:hAnsi="Times New Roman" w:cs="Times New Roman"/>
          <w:b w:val="0"/>
          <w:sz w:val="22"/>
          <w:lang w:val="hr-HR"/>
        </w:rPr>
        <w:t>.</w:t>
      </w:r>
    </w:p>
    <w:p w14:paraId="68D250F1" w14:textId="77777777" w:rsidR="00027A8C" w:rsidRDefault="00027A8C" w:rsidP="00027A8C">
      <w:pPr>
        <w:pStyle w:val="Naslov"/>
        <w:tabs>
          <w:tab w:val="left" w:pos="142"/>
        </w:tabs>
        <w:jc w:val="both"/>
        <w:rPr>
          <w:rFonts w:ascii="Times New Roman" w:hAnsi="Times New Roman" w:cs="Times New Roman"/>
          <w:b w:val="0"/>
          <w:i/>
          <w:sz w:val="22"/>
          <w:lang w:val="hr-HR"/>
        </w:rPr>
      </w:pPr>
    </w:p>
    <w:p w14:paraId="1F20D06E" w14:textId="7BAA96FE" w:rsidR="00027A8C" w:rsidRPr="00027A8C" w:rsidRDefault="00027A8C" w:rsidP="00027A8C">
      <w:pPr>
        <w:pStyle w:val="Naslov"/>
        <w:tabs>
          <w:tab w:val="left" w:pos="142"/>
        </w:tabs>
        <w:jc w:val="both"/>
        <w:rPr>
          <w:rFonts w:ascii="Times New Roman" w:hAnsi="Times New Roman" w:cs="Times New Roman"/>
          <w:b w:val="0"/>
          <w:sz w:val="22"/>
          <w:lang w:val="hr-HR"/>
        </w:rPr>
      </w:pPr>
      <w:r>
        <w:rPr>
          <w:rFonts w:ascii="Times New Roman" w:hAnsi="Times New Roman" w:cs="Times New Roman"/>
          <w:b w:val="0"/>
          <w:i/>
          <w:sz w:val="22"/>
          <w:lang w:val="hr-HR"/>
        </w:rPr>
        <w:tab/>
      </w:r>
      <w:r>
        <w:rPr>
          <w:rFonts w:ascii="Times New Roman" w:hAnsi="Times New Roman" w:cs="Times New Roman"/>
          <w:b w:val="0"/>
          <w:i/>
          <w:sz w:val="22"/>
          <w:lang w:val="hr-HR"/>
        </w:rPr>
        <w:tab/>
      </w:r>
      <w:r>
        <w:rPr>
          <w:rFonts w:ascii="Times New Roman" w:hAnsi="Times New Roman" w:cs="Times New Roman"/>
          <w:b w:val="0"/>
          <w:i/>
          <w:sz w:val="22"/>
          <w:lang w:val="hr-HR"/>
        </w:rPr>
        <w:tab/>
      </w:r>
      <w:r>
        <w:rPr>
          <w:rFonts w:ascii="Times New Roman" w:hAnsi="Times New Roman" w:cs="Times New Roman"/>
          <w:b w:val="0"/>
          <w:i/>
          <w:sz w:val="22"/>
          <w:lang w:val="hr-HR"/>
        </w:rPr>
        <w:tab/>
      </w:r>
      <w:r w:rsidRPr="00027A8C">
        <w:rPr>
          <w:rFonts w:ascii="Times New Roman" w:hAnsi="Times New Roman" w:cs="Times New Roman"/>
          <w:b w:val="0"/>
          <w:i/>
          <w:sz w:val="22"/>
          <w:lang w:val="hr-HR"/>
        </w:rPr>
        <w:t>Aktivnost A101013</w:t>
      </w:r>
      <w:r w:rsidRPr="00027A8C">
        <w:rPr>
          <w:rFonts w:ascii="Times New Roman" w:hAnsi="Times New Roman" w:cs="Times New Roman"/>
          <w:b w:val="0"/>
          <w:sz w:val="22"/>
          <w:lang w:val="hr-HR"/>
        </w:rPr>
        <w:t xml:space="preserve"> – Sanacija klizišta</w:t>
      </w:r>
    </w:p>
    <w:p w14:paraId="3E27C29A" w14:textId="1A1E5D05" w:rsidR="00027A8C" w:rsidRDefault="00027A8C" w:rsidP="00027A8C">
      <w:pPr>
        <w:pStyle w:val="Podnaslov"/>
        <w:spacing w:line="240" w:lineRule="auto"/>
        <w:jc w:val="left"/>
        <w:rPr>
          <w:rFonts w:ascii="Times New Roman" w:hAnsi="Times New Roman"/>
          <w:sz w:val="22"/>
          <w:szCs w:val="22"/>
          <w:lang w:eastAsia="ar-SA"/>
        </w:rPr>
      </w:pPr>
      <w:r w:rsidRPr="00027A8C">
        <w:rPr>
          <w:rFonts w:ascii="Times New Roman" w:hAnsi="Times New Roman"/>
          <w:sz w:val="22"/>
          <w:szCs w:val="22"/>
          <w:lang w:eastAsia="ar-SA"/>
        </w:rPr>
        <w:t>Sanirano je kli</w:t>
      </w:r>
      <w:r>
        <w:rPr>
          <w:rFonts w:ascii="Times New Roman" w:hAnsi="Times New Roman"/>
          <w:sz w:val="22"/>
          <w:szCs w:val="22"/>
          <w:lang w:eastAsia="ar-SA"/>
        </w:rPr>
        <w:t xml:space="preserve">zište u </w:t>
      </w:r>
      <w:proofErr w:type="spellStart"/>
      <w:r>
        <w:rPr>
          <w:rFonts w:ascii="Times New Roman" w:hAnsi="Times New Roman"/>
          <w:sz w:val="22"/>
          <w:szCs w:val="22"/>
          <w:lang w:eastAsia="ar-SA"/>
        </w:rPr>
        <w:t>Trnovitičkom</w:t>
      </w:r>
      <w:proofErr w:type="spellEnd"/>
      <w:r>
        <w:rPr>
          <w:rFonts w:ascii="Times New Roman" w:hAnsi="Times New Roman"/>
          <w:sz w:val="22"/>
          <w:szCs w:val="22"/>
          <w:lang w:eastAsia="ar-SA"/>
        </w:rPr>
        <w:t xml:space="preserve"> Popovcu koje je predstavljalo opasnost odrona na nerazvrstanu cestu te potencijalnog klizanja kuće uz nerazvrstanu cestu.</w:t>
      </w:r>
      <w:r>
        <w:rPr>
          <w:rFonts w:ascii="Times New Roman" w:hAnsi="Times New Roman"/>
          <w:sz w:val="22"/>
          <w:szCs w:val="22"/>
          <w:lang w:eastAsia="ar-SA"/>
        </w:rPr>
        <w:br/>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07"/>
        <w:gridCol w:w="2996"/>
        <w:gridCol w:w="962"/>
        <w:gridCol w:w="1122"/>
        <w:gridCol w:w="1105"/>
        <w:gridCol w:w="968"/>
      </w:tblGrid>
      <w:tr w:rsidR="00027A8C" w:rsidRPr="00F64569" w14:paraId="46CAFFC7" w14:textId="77777777" w:rsidTr="00E347ED">
        <w:trPr>
          <w:trHeight w:val="633"/>
          <w:jc w:val="center"/>
        </w:trPr>
        <w:tc>
          <w:tcPr>
            <w:tcW w:w="1052" w:type="pct"/>
            <w:shd w:val="clear" w:color="auto" w:fill="BFBFBF"/>
          </w:tcPr>
          <w:p w14:paraId="38D9EE96" w14:textId="77777777" w:rsidR="00027A8C" w:rsidRPr="00F64569" w:rsidRDefault="00027A8C" w:rsidP="00E347ED">
            <w:pPr>
              <w:widowControl w:val="0"/>
              <w:autoSpaceDE w:val="0"/>
              <w:autoSpaceDN w:val="0"/>
              <w:spacing w:before="104" w:after="0" w:line="240" w:lineRule="auto"/>
              <w:ind w:left="136" w:right="110" w:firstLine="59"/>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Pokazatelj</w:t>
            </w:r>
            <w:r w:rsidRPr="00F64569">
              <w:rPr>
                <w:rFonts w:ascii="Times New Roman" w:eastAsia="Arial MT" w:hAnsi="Times New Roman" w:cs="Times New Roman"/>
                <w:b/>
                <w:spacing w:val="1"/>
                <w:sz w:val="20"/>
                <w:szCs w:val="20"/>
              </w:rPr>
              <w:t xml:space="preserve"> </w:t>
            </w:r>
            <w:r>
              <w:rPr>
                <w:rFonts w:ascii="Times New Roman" w:eastAsia="Arial MT" w:hAnsi="Times New Roman" w:cs="Times New Roman"/>
                <w:b/>
                <w:sz w:val="20"/>
                <w:szCs w:val="20"/>
              </w:rPr>
              <w:t>rezultata</w:t>
            </w:r>
          </w:p>
        </w:tc>
        <w:tc>
          <w:tcPr>
            <w:tcW w:w="1653" w:type="pct"/>
            <w:shd w:val="clear" w:color="auto" w:fill="BFBFBF"/>
          </w:tcPr>
          <w:p w14:paraId="1BA2B055" w14:textId="77777777" w:rsidR="00027A8C" w:rsidRPr="00F64569" w:rsidRDefault="00027A8C" w:rsidP="00E347ED">
            <w:pPr>
              <w:widowControl w:val="0"/>
              <w:autoSpaceDE w:val="0"/>
              <w:autoSpaceDN w:val="0"/>
              <w:spacing w:after="0" w:line="240" w:lineRule="auto"/>
              <w:jc w:val="both"/>
              <w:rPr>
                <w:rFonts w:ascii="Times New Roman" w:eastAsia="Arial MT" w:hAnsi="Times New Roman" w:cs="Times New Roman"/>
                <w:b/>
                <w:sz w:val="20"/>
                <w:szCs w:val="20"/>
              </w:rPr>
            </w:pPr>
          </w:p>
          <w:p w14:paraId="4B537D6D" w14:textId="77777777" w:rsidR="00027A8C" w:rsidRPr="00F64569" w:rsidRDefault="00027A8C" w:rsidP="00E347ED">
            <w:pPr>
              <w:widowControl w:val="0"/>
              <w:autoSpaceDE w:val="0"/>
              <w:autoSpaceDN w:val="0"/>
              <w:spacing w:before="1" w:after="0" w:line="240" w:lineRule="auto"/>
              <w:ind w:left="1136" w:right="832"/>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Definicija</w:t>
            </w:r>
          </w:p>
        </w:tc>
        <w:tc>
          <w:tcPr>
            <w:tcW w:w="531" w:type="pct"/>
            <w:shd w:val="clear" w:color="auto" w:fill="BFBFBF"/>
          </w:tcPr>
          <w:p w14:paraId="5CFFA28D" w14:textId="77777777" w:rsidR="00027A8C" w:rsidRPr="00F64569" w:rsidRDefault="00027A8C" w:rsidP="00E347ED">
            <w:pPr>
              <w:widowControl w:val="0"/>
              <w:autoSpaceDE w:val="0"/>
              <w:autoSpaceDN w:val="0"/>
              <w:spacing w:after="0" w:line="240" w:lineRule="auto"/>
              <w:jc w:val="both"/>
              <w:rPr>
                <w:rFonts w:ascii="Times New Roman" w:eastAsia="Arial MT" w:hAnsi="Times New Roman" w:cs="Times New Roman"/>
                <w:b/>
                <w:sz w:val="20"/>
                <w:szCs w:val="20"/>
              </w:rPr>
            </w:pPr>
          </w:p>
          <w:p w14:paraId="560BE0E6" w14:textId="77777777" w:rsidR="00027A8C" w:rsidRPr="00F64569" w:rsidRDefault="00027A8C" w:rsidP="00E347ED">
            <w:pPr>
              <w:widowControl w:val="0"/>
              <w:autoSpaceDE w:val="0"/>
              <w:autoSpaceDN w:val="0"/>
              <w:spacing w:before="1" w:after="0" w:line="240" w:lineRule="auto"/>
              <w:ind w:left="112" w:right="105"/>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Jedinica</w:t>
            </w:r>
          </w:p>
        </w:tc>
        <w:tc>
          <w:tcPr>
            <w:tcW w:w="619" w:type="pct"/>
            <w:shd w:val="clear" w:color="auto" w:fill="BFBFBF"/>
          </w:tcPr>
          <w:p w14:paraId="20BFC40E" w14:textId="77777777" w:rsidR="00027A8C" w:rsidRPr="00F64569" w:rsidRDefault="00027A8C" w:rsidP="00E347ED">
            <w:pPr>
              <w:widowControl w:val="0"/>
              <w:autoSpaceDE w:val="0"/>
              <w:autoSpaceDN w:val="0"/>
              <w:spacing w:after="0" w:line="206" w:lineRule="exact"/>
              <w:ind w:left="122" w:right="121"/>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Ciljana</w:t>
            </w:r>
          </w:p>
          <w:p w14:paraId="77D10128" w14:textId="77777777" w:rsidR="00027A8C" w:rsidRPr="00F64569" w:rsidRDefault="00027A8C" w:rsidP="00E347ED">
            <w:pPr>
              <w:widowControl w:val="0"/>
              <w:autoSpaceDE w:val="0"/>
              <w:autoSpaceDN w:val="0"/>
              <w:spacing w:after="0" w:line="206" w:lineRule="exact"/>
              <w:ind w:left="124" w:right="121"/>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vrijednost</w:t>
            </w:r>
            <w:r w:rsidRPr="00F64569">
              <w:rPr>
                <w:rFonts w:ascii="Times New Roman" w:eastAsia="Arial MT" w:hAnsi="Times New Roman" w:cs="Times New Roman"/>
                <w:b/>
                <w:spacing w:val="-47"/>
                <w:sz w:val="20"/>
                <w:szCs w:val="20"/>
              </w:rPr>
              <w:t xml:space="preserve">   </w:t>
            </w:r>
            <w:r w:rsidRPr="00F64569">
              <w:rPr>
                <w:rFonts w:ascii="Times New Roman" w:eastAsia="Arial MT" w:hAnsi="Times New Roman" w:cs="Times New Roman"/>
                <w:b/>
                <w:sz w:val="20"/>
                <w:szCs w:val="20"/>
              </w:rPr>
              <w:t>2024.</w:t>
            </w:r>
          </w:p>
        </w:tc>
        <w:tc>
          <w:tcPr>
            <w:tcW w:w="610" w:type="pct"/>
            <w:shd w:val="clear" w:color="auto" w:fill="BFBFBF"/>
          </w:tcPr>
          <w:p w14:paraId="282664F4" w14:textId="77777777" w:rsidR="00027A8C" w:rsidRPr="00F64569" w:rsidRDefault="00027A8C" w:rsidP="00E347ED">
            <w:pPr>
              <w:widowControl w:val="0"/>
              <w:autoSpaceDE w:val="0"/>
              <w:autoSpaceDN w:val="0"/>
              <w:spacing w:after="0" w:line="205" w:lineRule="exact"/>
              <w:ind w:left="89"/>
              <w:jc w:val="both"/>
              <w:rPr>
                <w:rFonts w:ascii="Times New Roman" w:eastAsia="Arial MT" w:hAnsi="Times New Roman" w:cs="Times New Roman"/>
                <w:b/>
                <w:sz w:val="20"/>
                <w:szCs w:val="20"/>
              </w:rPr>
            </w:pPr>
            <w:r>
              <w:rPr>
                <w:rFonts w:ascii="Times New Roman" w:eastAsia="Arial MT" w:hAnsi="Times New Roman" w:cs="Times New Roman"/>
                <w:b/>
                <w:sz w:val="20"/>
                <w:szCs w:val="20"/>
              </w:rPr>
              <w:t>Izvršenje</w:t>
            </w:r>
          </w:p>
        </w:tc>
        <w:tc>
          <w:tcPr>
            <w:tcW w:w="534" w:type="pct"/>
            <w:shd w:val="clear" w:color="auto" w:fill="BFBFBF"/>
          </w:tcPr>
          <w:p w14:paraId="63FB9D36" w14:textId="77777777" w:rsidR="00027A8C" w:rsidRPr="00F64569" w:rsidRDefault="00027A8C" w:rsidP="00E347ED">
            <w:pPr>
              <w:widowControl w:val="0"/>
              <w:autoSpaceDE w:val="0"/>
              <w:autoSpaceDN w:val="0"/>
              <w:spacing w:after="0" w:line="240" w:lineRule="auto"/>
              <w:ind w:left="130" w:right="115" w:firstLine="134"/>
              <w:jc w:val="both"/>
              <w:rPr>
                <w:rFonts w:ascii="Times New Roman" w:eastAsia="Arial MT" w:hAnsi="Times New Roman" w:cs="Times New Roman"/>
                <w:b/>
                <w:sz w:val="20"/>
                <w:szCs w:val="20"/>
              </w:rPr>
            </w:pPr>
            <w:r>
              <w:rPr>
                <w:rFonts w:ascii="Times New Roman" w:eastAsia="Arial MT" w:hAnsi="Times New Roman" w:cs="Times New Roman"/>
                <w:b/>
                <w:sz w:val="20"/>
                <w:szCs w:val="20"/>
              </w:rPr>
              <w:t>Indeks</w:t>
            </w:r>
          </w:p>
        </w:tc>
      </w:tr>
      <w:tr w:rsidR="00027A8C" w:rsidRPr="00F64569" w14:paraId="532AC60D" w14:textId="77777777" w:rsidTr="00E347ED">
        <w:trPr>
          <w:trHeight w:val="620"/>
          <w:jc w:val="center"/>
        </w:trPr>
        <w:tc>
          <w:tcPr>
            <w:tcW w:w="1052" w:type="pct"/>
            <w:shd w:val="clear" w:color="auto" w:fill="auto"/>
          </w:tcPr>
          <w:p w14:paraId="74C342FE" w14:textId="57A85119" w:rsidR="00027A8C" w:rsidRPr="00F64569" w:rsidRDefault="00027A8C" w:rsidP="00E347ED">
            <w:pPr>
              <w:widowControl w:val="0"/>
              <w:autoSpaceDE w:val="0"/>
              <w:autoSpaceDN w:val="0"/>
              <w:spacing w:before="1" w:after="0" w:line="240" w:lineRule="auto"/>
              <w:ind w:right="109"/>
              <w:jc w:val="center"/>
              <w:rPr>
                <w:rFonts w:ascii="Times New Roman" w:eastAsia="Arial MT" w:hAnsi="Times New Roman" w:cs="Times New Roman"/>
              </w:rPr>
            </w:pPr>
            <w:r>
              <w:rPr>
                <w:rFonts w:ascii="Times New Roman" w:eastAsia="Arial MT" w:hAnsi="Times New Roman" w:cs="Times New Roman"/>
              </w:rPr>
              <w:t>Broj klizišta</w:t>
            </w:r>
          </w:p>
        </w:tc>
        <w:tc>
          <w:tcPr>
            <w:tcW w:w="1653" w:type="pct"/>
            <w:shd w:val="clear" w:color="auto" w:fill="auto"/>
          </w:tcPr>
          <w:p w14:paraId="01EDF1FA" w14:textId="02958C8F" w:rsidR="00027A8C" w:rsidRPr="00F64569" w:rsidRDefault="00027A8C" w:rsidP="00E347ED">
            <w:pPr>
              <w:widowControl w:val="0"/>
              <w:autoSpaceDE w:val="0"/>
              <w:autoSpaceDN w:val="0"/>
              <w:spacing w:after="0" w:line="187" w:lineRule="exact"/>
              <w:ind w:left="105"/>
              <w:jc w:val="center"/>
              <w:rPr>
                <w:rFonts w:ascii="Times New Roman" w:eastAsia="Arial MT" w:hAnsi="Times New Roman" w:cs="Times New Roman"/>
              </w:rPr>
            </w:pPr>
            <w:r>
              <w:rPr>
                <w:rFonts w:ascii="Times New Roman" w:eastAsia="Arial MT" w:hAnsi="Times New Roman" w:cs="Times New Roman"/>
              </w:rPr>
              <w:t>Uređenje klizišta</w:t>
            </w:r>
          </w:p>
        </w:tc>
        <w:tc>
          <w:tcPr>
            <w:tcW w:w="531" w:type="pct"/>
            <w:shd w:val="clear" w:color="auto" w:fill="auto"/>
          </w:tcPr>
          <w:p w14:paraId="2068C649" w14:textId="77777777" w:rsidR="00027A8C" w:rsidRPr="00F64569" w:rsidRDefault="00027A8C" w:rsidP="00E347ED">
            <w:pPr>
              <w:widowControl w:val="0"/>
              <w:autoSpaceDE w:val="0"/>
              <w:autoSpaceDN w:val="0"/>
              <w:spacing w:before="1" w:after="0" w:line="240" w:lineRule="auto"/>
              <w:ind w:right="137"/>
              <w:jc w:val="center"/>
              <w:rPr>
                <w:rFonts w:ascii="Times New Roman" w:eastAsia="Arial MT" w:hAnsi="Times New Roman" w:cs="Times New Roman"/>
              </w:rPr>
            </w:pPr>
            <w:r>
              <w:rPr>
                <w:rFonts w:ascii="Times New Roman" w:eastAsia="Arial MT" w:hAnsi="Times New Roman" w:cs="Times New Roman"/>
              </w:rPr>
              <w:t>Kom</w:t>
            </w:r>
          </w:p>
        </w:tc>
        <w:tc>
          <w:tcPr>
            <w:tcW w:w="619" w:type="pct"/>
            <w:shd w:val="clear" w:color="auto" w:fill="auto"/>
          </w:tcPr>
          <w:p w14:paraId="6E8B966A" w14:textId="6810F439" w:rsidR="00027A8C" w:rsidRPr="00F64569" w:rsidRDefault="00027A8C" w:rsidP="00E347ED">
            <w:pPr>
              <w:widowControl w:val="0"/>
              <w:autoSpaceDE w:val="0"/>
              <w:autoSpaceDN w:val="0"/>
              <w:spacing w:after="0" w:line="240" w:lineRule="auto"/>
              <w:ind w:right="121"/>
              <w:jc w:val="center"/>
              <w:rPr>
                <w:rFonts w:ascii="Times New Roman" w:eastAsia="Arial MT" w:hAnsi="Times New Roman" w:cs="Times New Roman"/>
              </w:rPr>
            </w:pPr>
            <w:r>
              <w:rPr>
                <w:rFonts w:ascii="Times New Roman" w:eastAsia="Arial MT" w:hAnsi="Times New Roman" w:cs="Times New Roman"/>
              </w:rPr>
              <w:t>1</w:t>
            </w:r>
          </w:p>
        </w:tc>
        <w:tc>
          <w:tcPr>
            <w:tcW w:w="610" w:type="pct"/>
            <w:shd w:val="clear" w:color="auto" w:fill="auto"/>
          </w:tcPr>
          <w:p w14:paraId="7C1664AE" w14:textId="66CAB6A8" w:rsidR="00027A8C" w:rsidRPr="00F64569" w:rsidRDefault="00027A8C" w:rsidP="00E347ED">
            <w:pPr>
              <w:widowControl w:val="0"/>
              <w:autoSpaceDE w:val="0"/>
              <w:autoSpaceDN w:val="0"/>
              <w:spacing w:after="0" w:line="240" w:lineRule="auto"/>
              <w:ind w:right="460"/>
              <w:jc w:val="center"/>
              <w:rPr>
                <w:rFonts w:ascii="Times New Roman" w:eastAsia="Arial MT" w:hAnsi="Times New Roman" w:cs="Times New Roman"/>
              </w:rPr>
            </w:pPr>
            <w:r>
              <w:rPr>
                <w:rFonts w:ascii="Times New Roman" w:eastAsia="Arial MT" w:hAnsi="Times New Roman" w:cs="Times New Roman"/>
              </w:rPr>
              <w:t>1</w:t>
            </w:r>
          </w:p>
        </w:tc>
        <w:tc>
          <w:tcPr>
            <w:tcW w:w="534" w:type="pct"/>
          </w:tcPr>
          <w:p w14:paraId="022150F0" w14:textId="40105FED" w:rsidR="00027A8C" w:rsidRPr="00F64569" w:rsidRDefault="00027A8C" w:rsidP="00E347ED">
            <w:pPr>
              <w:widowControl w:val="0"/>
              <w:autoSpaceDE w:val="0"/>
              <w:autoSpaceDN w:val="0"/>
              <w:spacing w:after="0" w:line="240" w:lineRule="auto"/>
              <w:jc w:val="center"/>
              <w:rPr>
                <w:rFonts w:ascii="Times New Roman" w:eastAsia="Arial MT" w:hAnsi="Times New Roman" w:cs="Times New Roman"/>
              </w:rPr>
            </w:pPr>
            <w:r>
              <w:rPr>
                <w:rFonts w:ascii="Times New Roman" w:eastAsia="Arial MT" w:hAnsi="Times New Roman" w:cs="Times New Roman"/>
              </w:rPr>
              <w:t>100,00</w:t>
            </w:r>
          </w:p>
        </w:tc>
      </w:tr>
    </w:tbl>
    <w:p w14:paraId="3AF32422" w14:textId="77777777" w:rsidR="00722358" w:rsidRDefault="00722358" w:rsidP="00E40FD3">
      <w:pPr>
        <w:pStyle w:val="Naslov"/>
        <w:tabs>
          <w:tab w:val="left" w:pos="142"/>
        </w:tabs>
        <w:jc w:val="both"/>
        <w:rPr>
          <w:rFonts w:ascii="Times New Roman" w:hAnsi="Times New Roman" w:cs="Times New Roman"/>
          <w:b w:val="0"/>
          <w:sz w:val="22"/>
          <w:lang w:val="hr-HR"/>
        </w:rPr>
      </w:pPr>
    </w:p>
    <w:p w14:paraId="6AFEC658" w14:textId="77777777" w:rsidR="00027A8C" w:rsidRPr="00027A8C" w:rsidRDefault="00027A8C" w:rsidP="00027A8C">
      <w:pPr>
        <w:pStyle w:val="Podnaslov"/>
        <w:rPr>
          <w:lang w:eastAsia="ar-SA"/>
        </w:rPr>
      </w:pPr>
    </w:p>
    <w:p w14:paraId="1CBDF3C3" w14:textId="77777777" w:rsidR="00722358" w:rsidRPr="00722358" w:rsidRDefault="00722358" w:rsidP="00E40FD3">
      <w:pPr>
        <w:pStyle w:val="Naslov"/>
        <w:tabs>
          <w:tab w:val="left" w:pos="142"/>
        </w:tabs>
        <w:ind w:left="567"/>
        <w:jc w:val="both"/>
        <w:rPr>
          <w:rFonts w:ascii="Times New Roman" w:hAnsi="Times New Roman" w:cs="Times New Roman"/>
          <w:b w:val="0"/>
          <w:sz w:val="22"/>
          <w:lang w:val="hr-HR"/>
        </w:rPr>
      </w:pPr>
      <w:r w:rsidRPr="00722358">
        <w:rPr>
          <w:rFonts w:ascii="Times New Roman" w:hAnsi="Times New Roman" w:cs="Times New Roman"/>
          <w:sz w:val="22"/>
          <w:lang w:val="hr-HR"/>
        </w:rPr>
        <w:t xml:space="preserve">Program 1011 </w:t>
      </w:r>
      <w:r w:rsidRPr="003A6108">
        <w:rPr>
          <w:rFonts w:ascii="Times New Roman" w:hAnsi="Times New Roman" w:cs="Times New Roman"/>
          <w:bCs/>
          <w:sz w:val="22"/>
          <w:lang w:val="hr-HR"/>
        </w:rPr>
        <w:t>– Izgradnja komunalne infrastrukture</w:t>
      </w:r>
      <w:r w:rsidRPr="00722358">
        <w:rPr>
          <w:rFonts w:ascii="Times New Roman" w:hAnsi="Times New Roman" w:cs="Times New Roman"/>
          <w:b w:val="0"/>
          <w:sz w:val="22"/>
          <w:lang w:val="hr-HR"/>
        </w:rPr>
        <w:t xml:space="preserve"> </w:t>
      </w:r>
    </w:p>
    <w:p w14:paraId="5FA895CB" w14:textId="0B16CB9D" w:rsidR="00B34DD8" w:rsidRPr="00B34DD8" w:rsidRDefault="00722358" w:rsidP="00B34DD8">
      <w:pPr>
        <w:spacing w:after="0" w:line="240" w:lineRule="atLeast"/>
        <w:jc w:val="both"/>
        <w:rPr>
          <w:rFonts w:ascii="Times New Roman" w:hAnsi="Times New Roman" w:cs="Times New Roman"/>
        </w:rPr>
      </w:pPr>
      <w:r w:rsidRPr="00722358">
        <w:rPr>
          <w:rFonts w:ascii="Times New Roman" w:hAnsi="Times New Roman" w:cs="Times New Roman"/>
        </w:rPr>
        <w:t xml:space="preserve">Temeljem Zakona o komunalnom gospodarstvu i Programu izgradnje komunalne infrastrukture Grada Garešnice  </w:t>
      </w:r>
      <w:r w:rsidR="00B34DD8" w:rsidRPr="00B34DD8">
        <w:rPr>
          <w:rFonts w:ascii="Times New Roman" w:hAnsi="Times New Roman" w:cs="Times New Roman"/>
        </w:rPr>
        <w:t>ciljevi  programa su:</w:t>
      </w:r>
    </w:p>
    <w:p w14:paraId="618786A7" w14:textId="77777777" w:rsidR="00B34DD8" w:rsidRPr="00B34DD8" w:rsidRDefault="00B34DD8" w:rsidP="003734CB">
      <w:pPr>
        <w:pStyle w:val="Odlomakpopisa"/>
        <w:numPr>
          <w:ilvl w:val="0"/>
          <w:numId w:val="8"/>
        </w:numPr>
        <w:spacing w:line="240" w:lineRule="atLeast"/>
        <w:jc w:val="both"/>
        <w:rPr>
          <w:sz w:val="22"/>
          <w:szCs w:val="22"/>
          <w:lang w:eastAsia="en-US"/>
        </w:rPr>
      </w:pPr>
      <w:r w:rsidRPr="00B34DD8">
        <w:rPr>
          <w:sz w:val="22"/>
          <w:szCs w:val="22"/>
          <w:lang w:eastAsia="en-US"/>
        </w:rPr>
        <w:t>izgradnja građevina i uređaja javne namjene</w:t>
      </w:r>
    </w:p>
    <w:p w14:paraId="2745A2D0" w14:textId="77777777" w:rsidR="00B34DD8" w:rsidRPr="00B34DD8" w:rsidRDefault="00B34DD8" w:rsidP="003734CB">
      <w:pPr>
        <w:pStyle w:val="Odlomakpopisa"/>
        <w:numPr>
          <w:ilvl w:val="0"/>
          <w:numId w:val="8"/>
        </w:numPr>
        <w:spacing w:line="240" w:lineRule="atLeast"/>
        <w:jc w:val="both"/>
        <w:rPr>
          <w:sz w:val="22"/>
          <w:szCs w:val="22"/>
          <w:lang w:eastAsia="en-US"/>
        </w:rPr>
      </w:pPr>
      <w:r w:rsidRPr="00B34DD8">
        <w:rPr>
          <w:sz w:val="22"/>
          <w:szCs w:val="22"/>
          <w:lang w:eastAsia="en-US"/>
        </w:rPr>
        <w:t>modernizacija javne rasvjete</w:t>
      </w:r>
    </w:p>
    <w:p w14:paraId="3583DFDA" w14:textId="77777777" w:rsidR="00B34DD8" w:rsidRPr="00B34DD8" w:rsidRDefault="00B34DD8" w:rsidP="003734CB">
      <w:pPr>
        <w:pStyle w:val="Odlomakpopisa"/>
        <w:numPr>
          <w:ilvl w:val="0"/>
          <w:numId w:val="8"/>
        </w:numPr>
        <w:spacing w:line="240" w:lineRule="atLeast"/>
        <w:jc w:val="both"/>
        <w:rPr>
          <w:sz w:val="22"/>
          <w:szCs w:val="22"/>
          <w:lang w:eastAsia="en-US"/>
        </w:rPr>
      </w:pPr>
      <w:r w:rsidRPr="00B34DD8">
        <w:rPr>
          <w:sz w:val="22"/>
          <w:szCs w:val="22"/>
          <w:lang w:eastAsia="en-US"/>
        </w:rPr>
        <w:t>izgradnja objekata na grobljima</w:t>
      </w:r>
    </w:p>
    <w:p w14:paraId="1F2F8351" w14:textId="77777777" w:rsidR="00B34DD8" w:rsidRPr="00B34DD8" w:rsidRDefault="00B34DD8" w:rsidP="003734CB">
      <w:pPr>
        <w:pStyle w:val="Odlomakpopisa"/>
        <w:numPr>
          <w:ilvl w:val="0"/>
          <w:numId w:val="8"/>
        </w:numPr>
        <w:spacing w:line="240" w:lineRule="atLeast"/>
        <w:jc w:val="both"/>
        <w:rPr>
          <w:sz w:val="22"/>
          <w:szCs w:val="22"/>
          <w:lang w:eastAsia="en-US"/>
        </w:rPr>
      </w:pPr>
      <w:r w:rsidRPr="00B34DD8">
        <w:rPr>
          <w:sz w:val="22"/>
          <w:szCs w:val="22"/>
          <w:lang w:eastAsia="en-US"/>
        </w:rPr>
        <w:t>izgradnja parkirališta</w:t>
      </w:r>
    </w:p>
    <w:p w14:paraId="7CCD7B16" w14:textId="77777777" w:rsidR="00B34DD8" w:rsidRPr="00B34DD8" w:rsidRDefault="00B34DD8" w:rsidP="003734CB">
      <w:pPr>
        <w:pStyle w:val="Odlomakpopisa"/>
        <w:numPr>
          <w:ilvl w:val="0"/>
          <w:numId w:val="8"/>
        </w:numPr>
        <w:spacing w:line="240" w:lineRule="atLeast"/>
        <w:jc w:val="both"/>
        <w:rPr>
          <w:sz w:val="22"/>
          <w:szCs w:val="22"/>
          <w:lang w:eastAsia="en-US"/>
        </w:rPr>
      </w:pPr>
      <w:r w:rsidRPr="00B34DD8">
        <w:rPr>
          <w:sz w:val="22"/>
          <w:szCs w:val="22"/>
          <w:lang w:eastAsia="en-US"/>
        </w:rPr>
        <w:t>izgradnja nerazvrstanih cesta</w:t>
      </w:r>
    </w:p>
    <w:tbl>
      <w:tblPr>
        <w:tblpPr w:leftFromText="180" w:rightFromText="180" w:vertAnchor="text" w:horzAnchor="margin" w:tblpY="12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32"/>
        <w:gridCol w:w="1696"/>
        <w:gridCol w:w="1558"/>
        <w:gridCol w:w="1274"/>
      </w:tblGrid>
      <w:tr w:rsidR="00B34DD8" w:rsidRPr="00492A18" w14:paraId="3AF646F0" w14:textId="77777777" w:rsidTr="00484918">
        <w:trPr>
          <w:trHeight w:val="460"/>
        </w:trPr>
        <w:tc>
          <w:tcPr>
            <w:tcW w:w="2501" w:type="pct"/>
            <w:shd w:val="clear" w:color="auto" w:fill="BFBFBF"/>
          </w:tcPr>
          <w:p w14:paraId="5F8CC2D3" w14:textId="7B43C318" w:rsidR="00B34DD8" w:rsidRPr="00492A18" w:rsidRDefault="00B34DD8" w:rsidP="00B34DD8">
            <w:pPr>
              <w:pStyle w:val="TableParagraph"/>
              <w:spacing w:before="110" w:line="240" w:lineRule="atLeast"/>
              <w:jc w:val="left"/>
              <w:rPr>
                <w:rFonts w:ascii="Times New Roman" w:hAnsi="Times New Roman" w:cs="Times New Roman"/>
                <w:b/>
                <w:sz w:val="20"/>
                <w:szCs w:val="20"/>
                <w:lang w:val="hr-HR"/>
              </w:rPr>
            </w:pPr>
            <w:r w:rsidRPr="00492A18">
              <w:rPr>
                <w:rFonts w:ascii="Times New Roman" w:hAnsi="Times New Roman" w:cs="Times New Roman"/>
                <w:b/>
                <w:sz w:val="20"/>
                <w:szCs w:val="20"/>
                <w:lang w:val="hr-HR"/>
              </w:rPr>
              <w:t>Naziv aktivnosti / projekta unutar programa</w:t>
            </w:r>
          </w:p>
        </w:tc>
        <w:tc>
          <w:tcPr>
            <w:tcW w:w="936" w:type="pct"/>
            <w:shd w:val="clear" w:color="auto" w:fill="BFBFBF"/>
          </w:tcPr>
          <w:p w14:paraId="361B0FA4" w14:textId="04C0BFE2" w:rsidR="00B34DD8" w:rsidRPr="00492A18" w:rsidRDefault="00B34DD8" w:rsidP="00484918">
            <w:pPr>
              <w:pStyle w:val="TableParagraph"/>
              <w:spacing w:line="240" w:lineRule="atLeast"/>
              <w:ind w:left="197" w:right="192"/>
              <w:jc w:val="center"/>
              <w:rPr>
                <w:rFonts w:ascii="Times New Roman" w:hAnsi="Times New Roman" w:cs="Times New Roman"/>
                <w:b/>
                <w:sz w:val="20"/>
                <w:szCs w:val="20"/>
                <w:lang w:val="hr-HR"/>
              </w:rPr>
            </w:pPr>
            <w:r w:rsidRPr="00492A18">
              <w:rPr>
                <w:rFonts w:ascii="Times New Roman" w:hAnsi="Times New Roman" w:cs="Times New Roman"/>
                <w:b/>
                <w:sz w:val="20"/>
                <w:szCs w:val="20"/>
                <w:lang w:val="hr-HR"/>
              </w:rPr>
              <w:t>Rebalans 202</w:t>
            </w:r>
            <w:r w:rsidR="003A6108">
              <w:rPr>
                <w:rFonts w:ascii="Times New Roman" w:hAnsi="Times New Roman" w:cs="Times New Roman"/>
                <w:b/>
                <w:sz w:val="20"/>
                <w:szCs w:val="20"/>
                <w:lang w:val="hr-HR"/>
              </w:rPr>
              <w:t>4</w:t>
            </w:r>
            <w:r w:rsidRPr="00492A18">
              <w:rPr>
                <w:rFonts w:ascii="Times New Roman" w:hAnsi="Times New Roman" w:cs="Times New Roman"/>
                <w:b/>
                <w:sz w:val="20"/>
                <w:szCs w:val="20"/>
                <w:lang w:val="hr-HR"/>
              </w:rPr>
              <w:t>.</w:t>
            </w:r>
          </w:p>
        </w:tc>
        <w:tc>
          <w:tcPr>
            <w:tcW w:w="860" w:type="pct"/>
            <w:shd w:val="clear" w:color="auto" w:fill="BFBFBF"/>
          </w:tcPr>
          <w:p w14:paraId="4733CB23" w14:textId="6C6E54A3" w:rsidR="00B34DD8" w:rsidRPr="00492A18" w:rsidRDefault="00B34DD8" w:rsidP="00484918">
            <w:pPr>
              <w:pStyle w:val="TableParagraph"/>
              <w:spacing w:line="240" w:lineRule="atLeast"/>
              <w:ind w:left="197" w:right="192"/>
              <w:jc w:val="center"/>
              <w:rPr>
                <w:rFonts w:ascii="Times New Roman" w:hAnsi="Times New Roman" w:cs="Times New Roman"/>
                <w:b/>
                <w:sz w:val="20"/>
                <w:szCs w:val="20"/>
                <w:lang w:val="hr-HR"/>
              </w:rPr>
            </w:pPr>
            <w:r w:rsidRPr="00492A18">
              <w:rPr>
                <w:rFonts w:ascii="Times New Roman" w:hAnsi="Times New Roman" w:cs="Times New Roman"/>
                <w:b/>
                <w:sz w:val="20"/>
                <w:szCs w:val="20"/>
                <w:lang w:val="hr-HR"/>
              </w:rPr>
              <w:t>Izvršenje 202</w:t>
            </w:r>
            <w:r w:rsidR="003A6108">
              <w:rPr>
                <w:rFonts w:ascii="Times New Roman" w:hAnsi="Times New Roman" w:cs="Times New Roman"/>
                <w:b/>
                <w:sz w:val="20"/>
                <w:szCs w:val="20"/>
                <w:lang w:val="hr-HR"/>
              </w:rPr>
              <w:t>4</w:t>
            </w:r>
            <w:r w:rsidRPr="00492A18">
              <w:rPr>
                <w:rFonts w:ascii="Times New Roman" w:hAnsi="Times New Roman" w:cs="Times New Roman"/>
                <w:b/>
                <w:sz w:val="20"/>
                <w:szCs w:val="20"/>
                <w:lang w:val="hr-HR"/>
              </w:rPr>
              <w:t>.</w:t>
            </w:r>
          </w:p>
        </w:tc>
        <w:tc>
          <w:tcPr>
            <w:tcW w:w="703" w:type="pct"/>
            <w:shd w:val="clear" w:color="auto" w:fill="BFBFBF"/>
          </w:tcPr>
          <w:p w14:paraId="2904DF46" w14:textId="77777777" w:rsidR="00B34DD8" w:rsidRPr="00492A18" w:rsidRDefault="00B34DD8" w:rsidP="00484918">
            <w:pPr>
              <w:pStyle w:val="TableParagraph"/>
              <w:spacing w:line="240" w:lineRule="atLeast"/>
              <w:ind w:left="140" w:right="135"/>
              <w:jc w:val="center"/>
              <w:rPr>
                <w:rFonts w:ascii="Times New Roman" w:hAnsi="Times New Roman" w:cs="Times New Roman"/>
                <w:b/>
                <w:sz w:val="20"/>
                <w:szCs w:val="20"/>
                <w:lang w:val="hr-HR"/>
              </w:rPr>
            </w:pPr>
            <w:r w:rsidRPr="00492A18">
              <w:rPr>
                <w:rFonts w:ascii="Times New Roman" w:hAnsi="Times New Roman" w:cs="Times New Roman"/>
                <w:b/>
                <w:sz w:val="20"/>
                <w:szCs w:val="20"/>
                <w:lang w:val="hr-HR"/>
              </w:rPr>
              <w:t>Indeks</w:t>
            </w:r>
          </w:p>
        </w:tc>
      </w:tr>
      <w:tr w:rsidR="003A6108" w:rsidRPr="00492A18" w14:paraId="61C9696B" w14:textId="77777777" w:rsidTr="00484918">
        <w:trPr>
          <w:trHeight w:val="277"/>
        </w:trPr>
        <w:tc>
          <w:tcPr>
            <w:tcW w:w="2501" w:type="pct"/>
            <w:shd w:val="clear" w:color="auto" w:fill="auto"/>
          </w:tcPr>
          <w:p w14:paraId="5C37E267" w14:textId="7A512FA1" w:rsidR="003A6108" w:rsidRDefault="003A6108" w:rsidP="00484918">
            <w:pPr>
              <w:widowControl w:val="0"/>
              <w:autoSpaceDE w:val="0"/>
              <w:autoSpaceDN w:val="0"/>
              <w:spacing w:after="0" w:line="240" w:lineRule="atLeast"/>
              <w:rPr>
                <w:rFonts w:ascii="Times New Roman" w:hAnsi="Times New Roman"/>
                <w:sz w:val="20"/>
                <w:szCs w:val="20"/>
              </w:rPr>
            </w:pPr>
            <w:r>
              <w:rPr>
                <w:rFonts w:ascii="Times New Roman" w:hAnsi="Times New Roman"/>
                <w:sz w:val="20"/>
                <w:szCs w:val="20"/>
              </w:rPr>
              <w:t>Kapitalni projekt 101104 Izgradnja nogostupa</w:t>
            </w:r>
          </w:p>
        </w:tc>
        <w:tc>
          <w:tcPr>
            <w:tcW w:w="936" w:type="pct"/>
            <w:shd w:val="clear" w:color="auto" w:fill="auto"/>
          </w:tcPr>
          <w:p w14:paraId="66F57FE1" w14:textId="38A46C72" w:rsidR="003A6108" w:rsidRDefault="003A6108" w:rsidP="00484918">
            <w:pPr>
              <w:pStyle w:val="TableParagraph"/>
              <w:spacing w:before="21" w:line="240" w:lineRule="atLeast"/>
              <w:ind w:right="98"/>
              <w:rPr>
                <w:rFonts w:ascii="Times New Roman" w:hAnsi="Times New Roman" w:cs="Times New Roman"/>
                <w:sz w:val="20"/>
                <w:szCs w:val="20"/>
                <w:lang w:val="hr-HR"/>
              </w:rPr>
            </w:pPr>
            <w:r>
              <w:rPr>
                <w:rFonts w:ascii="Times New Roman" w:hAnsi="Times New Roman" w:cs="Times New Roman"/>
                <w:sz w:val="20"/>
                <w:szCs w:val="20"/>
                <w:lang w:val="hr-HR"/>
              </w:rPr>
              <w:t>20.000,00</w:t>
            </w:r>
          </w:p>
        </w:tc>
        <w:tc>
          <w:tcPr>
            <w:tcW w:w="860" w:type="pct"/>
            <w:shd w:val="clear" w:color="auto" w:fill="auto"/>
          </w:tcPr>
          <w:p w14:paraId="7337BB3E" w14:textId="4CB7B18C" w:rsidR="003A6108" w:rsidRDefault="003A6108" w:rsidP="00484918">
            <w:pPr>
              <w:pStyle w:val="TableParagraph"/>
              <w:spacing w:before="21" w:line="240" w:lineRule="atLeast"/>
              <w:ind w:right="98"/>
              <w:rPr>
                <w:rFonts w:ascii="Times New Roman" w:hAnsi="Times New Roman" w:cs="Times New Roman"/>
                <w:sz w:val="20"/>
                <w:szCs w:val="20"/>
                <w:lang w:val="hr-HR"/>
              </w:rPr>
            </w:pPr>
            <w:r>
              <w:rPr>
                <w:rFonts w:ascii="Times New Roman" w:hAnsi="Times New Roman" w:cs="Times New Roman"/>
                <w:sz w:val="20"/>
                <w:szCs w:val="20"/>
                <w:lang w:val="hr-HR"/>
              </w:rPr>
              <w:t>12.513,34</w:t>
            </w:r>
          </w:p>
        </w:tc>
        <w:tc>
          <w:tcPr>
            <w:tcW w:w="703" w:type="pct"/>
            <w:shd w:val="clear" w:color="auto" w:fill="auto"/>
          </w:tcPr>
          <w:p w14:paraId="3C1737EE" w14:textId="59211369" w:rsidR="003A6108" w:rsidRDefault="003A6108" w:rsidP="00484918">
            <w:pPr>
              <w:pStyle w:val="TableParagraph"/>
              <w:spacing w:before="21" w:line="240" w:lineRule="atLeast"/>
              <w:ind w:right="98"/>
              <w:rPr>
                <w:rFonts w:ascii="Times New Roman" w:hAnsi="Times New Roman" w:cs="Times New Roman"/>
                <w:sz w:val="20"/>
                <w:szCs w:val="20"/>
                <w:lang w:val="hr-HR"/>
              </w:rPr>
            </w:pPr>
            <w:r>
              <w:rPr>
                <w:rFonts w:ascii="Times New Roman" w:hAnsi="Times New Roman" w:cs="Times New Roman"/>
                <w:sz w:val="20"/>
                <w:szCs w:val="20"/>
                <w:lang w:val="hr-HR"/>
              </w:rPr>
              <w:t>62,57</w:t>
            </w:r>
          </w:p>
        </w:tc>
      </w:tr>
      <w:tr w:rsidR="00B34DD8" w:rsidRPr="00492A18" w14:paraId="468EC506" w14:textId="77777777" w:rsidTr="00484918">
        <w:trPr>
          <w:trHeight w:val="277"/>
        </w:trPr>
        <w:tc>
          <w:tcPr>
            <w:tcW w:w="2501" w:type="pct"/>
            <w:shd w:val="clear" w:color="auto" w:fill="auto"/>
          </w:tcPr>
          <w:p w14:paraId="150C3C1B" w14:textId="7D930356" w:rsidR="00B34DD8" w:rsidRPr="00492A18" w:rsidRDefault="00B34DD8" w:rsidP="00484918">
            <w:pPr>
              <w:widowControl w:val="0"/>
              <w:autoSpaceDE w:val="0"/>
              <w:autoSpaceDN w:val="0"/>
              <w:spacing w:after="0" w:line="240" w:lineRule="atLeast"/>
              <w:rPr>
                <w:rFonts w:ascii="Times New Roman" w:hAnsi="Times New Roman"/>
                <w:sz w:val="20"/>
                <w:szCs w:val="20"/>
              </w:rPr>
            </w:pPr>
            <w:r>
              <w:rPr>
                <w:rFonts w:ascii="Times New Roman" w:hAnsi="Times New Roman"/>
                <w:sz w:val="20"/>
                <w:szCs w:val="20"/>
              </w:rPr>
              <w:t>Kapitalni projekt 101107 Građevine u uređaji javne namjene</w:t>
            </w:r>
          </w:p>
        </w:tc>
        <w:tc>
          <w:tcPr>
            <w:tcW w:w="936" w:type="pct"/>
            <w:shd w:val="clear" w:color="auto" w:fill="auto"/>
          </w:tcPr>
          <w:p w14:paraId="116AA643" w14:textId="427AE489" w:rsidR="00B34DD8" w:rsidRPr="00492A18" w:rsidRDefault="003A6108" w:rsidP="00484918">
            <w:pPr>
              <w:pStyle w:val="TableParagraph"/>
              <w:spacing w:before="21" w:line="240" w:lineRule="atLeast"/>
              <w:ind w:right="98"/>
              <w:rPr>
                <w:rFonts w:ascii="Times New Roman" w:hAnsi="Times New Roman" w:cs="Times New Roman"/>
                <w:sz w:val="20"/>
                <w:szCs w:val="20"/>
                <w:lang w:val="hr-HR"/>
              </w:rPr>
            </w:pPr>
            <w:r>
              <w:rPr>
                <w:rFonts w:ascii="Times New Roman" w:hAnsi="Times New Roman" w:cs="Times New Roman"/>
                <w:sz w:val="20"/>
                <w:szCs w:val="20"/>
                <w:lang w:val="hr-HR"/>
              </w:rPr>
              <w:t>17.900,00</w:t>
            </w:r>
          </w:p>
        </w:tc>
        <w:tc>
          <w:tcPr>
            <w:tcW w:w="860" w:type="pct"/>
            <w:shd w:val="clear" w:color="auto" w:fill="auto"/>
          </w:tcPr>
          <w:p w14:paraId="437912A2" w14:textId="7A689D90" w:rsidR="00B34DD8" w:rsidRPr="00492A18" w:rsidRDefault="003A6108" w:rsidP="00484918">
            <w:pPr>
              <w:pStyle w:val="TableParagraph"/>
              <w:spacing w:before="21" w:line="240" w:lineRule="atLeast"/>
              <w:ind w:right="98"/>
              <w:rPr>
                <w:rFonts w:ascii="Times New Roman" w:hAnsi="Times New Roman" w:cs="Times New Roman"/>
                <w:sz w:val="20"/>
                <w:szCs w:val="20"/>
                <w:lang w:val="hr-HR"/>
              </w:rPr>
            </w:pPr>
            <w:r>
              <w:rPr>
                <w:rFonts w:ascii="Times New Roman" w:hAnsi="Times New Roman" w:cs="Times New Roman"/>
                <w:sz w:val="20"/>
                <w:szCs w:val="20"/>
                <w:lang w:val="hr-HR"/>
              </w:rPr>
              <w:t>2.900,00</w:t>
            </w:r>
          </w:p>
        </w:tc>
        <w:tc>
          <w:tcPr>
            <w:tcW w:w="703" w:type="pct"/>
            <w:shd w:val="clear" w:color="auto" w:fill="auto"/>
          </w:tcPr>
          <w:p w14:paraId="16CCB6D5" w14:textId="1F8AD644" w:rsidR="00B34DD8" w:rsidRPr="00492A18" w:rsidRDefault="003A6108" w:rsidP="00484918">
            <w:pPr>
              <w:pStyle w:val="TableParagraph"/>
              <w:spacing w:before="21" w:line="240" w:lineRule="atLeast"/>
              <w:ind w:right="98"/>
              <w:rPr>
                <w:rFonts w:ascii="Times New Roman" w:hAnsi="Times New Roman" w:cs="Times New Roman"/>
                <w:sz w:val="20"/>
                <w:szCs w:val="20"/>
                <w:lang w:val="hr-HR"/>
              </w:rPr>
            </w:pPr>
            <w:r>
              <w:rPr>
                <w:rFonts w:ascii="Times New Roman" w:hAnsi="Times New Roman" w:cs="Times New Roman"/>
                <w:sz w:val="20"/>
                <w:szCs w:val="20"/>
                <w:lang w:val="hr-HR"/>
              </w:rPr>
              <w:t>16,20</w:t>
            </w:r>
          </w:p>
        </w:tc>
      </w:tr>
      <w:tr w:rsidR="00B34DD8" w:rsidRPr="00492A18" w14:paraId="2A22F056" w14:textId="77777777" w:rsidTr="00484918">
        <w:trPr>
          <w:trHeight w:val="277"/>
        </w:trPr>
        <w:tc>
          <w:tcPr>
            <w:tcW w:w="2501" w:type="pct"/>
            <w:shd w:val="clear" w:color="auto" w:fill="auto"/>
          </w:tcPr>
          <w:p w14:paraId="6E294122" w14:textId="0F0B3A9D" w:rsidR="00B34DD8" w:rsidRPr="00492A18" w:rsidRDefault="00B34DD8" w:rsidP="00484918">
            <w:pPr>
              <w:widowControl w:val="0"/>
              <w:autoSpaceDE w:val="0"/>
              <w:autoSpaceDN w:val="0"/>
              <w:spacing w:after="0" w:line="240" w:lineRule="atLeast"/>
              <w:rPr>
                <w:rFonts w:ascii="Times New Roman" w:hAnsi="Times New Roman"/>
                <w:w w:val="95"/>
                <w:sz w:val="20"/>
                <w:szCs w:val="20"/>
              </w:rPr>
            </w:pPr>
            <w:r>
              <w:rPr>
                <w:rFonts w:ascii="Times New Roman" w:hAnsi="Times New Roman"/>
                <w:sz w:val="20"/>
                <w:szCs w:val="20"/>
              </w:rPr>
              <w:t>Kapitalni projekt 101109 Modernizacija javne rasvjete</w:t>
            </w:r>
          </w:p>
        </w:tc>
        <w:tc>
          <w:tcPr>
            <w:tcW w:w="936" w:type="pct"/>
            <w:shd w:val="clear" w:color="auto" w:fill="auto"/>
          </w:tcPr>
          <w:p w14:paraId="3FB499E8" w14:textId="79A3E432" w:rsidR="00B34DD8" w:rsidRPr="00492A18" w:rsidRDefault="003A6108" w:rsidP="00484918">
            <w:pPr>
              <w:pStyle w:val="TableParagraph"/>
              <w:spacing w:before="21" w:line="240" w:lineRule="atLeast"/>
              <w:ind w:right="98"/>
              <w:rPr>
                <w:rFonts w:ascii="Times New Roman" w:hAnsi="Times New Roman" w:cs="Times New Roman"/>
                <w:sz w:val="20"/>
                <w:szCs w:val="20"/>
                <w:lang w:val="hr-HR"/>
              </w:rPr>
            </w:pPr>
            <w:r>
              <w:rPr>
                <w:rFonts w:ascii="Times New Roman" w:hAnsi="Times New Roman" w:cs="Times New Roman"/>
                <w:sz w:val="20"/>
                <w:szCs w:val="20"/>
                <w:lang w:val="hr-HR"/>
              </w:rPr>
              <w:t>7.200,00</w:t>
            </w:r>
          </w:p>
        </w:tc>
        <w:tc>
          <w:tcPr>
            <w:tcW w:w="860" w:type="pct"/>
            <w:shd w:val="clear" w:color="auto" w:fill="auto"/>
          </w:tcPr>
          <w:p w14:paraId="0E812A22" w14:textId="7A7BC1C8" w:rsidR="00B34DD8" w:rsidRPr="00492A18" w:rsidRDefault="003A6108" w:rsidP="00484918">
            <w:pPr>
              <w:pStyle w:val="TableParagraph"/>
              <w:spacing w:before="21" w:line="240" w:lineRule="atLeast"/>
              <w:ind w:right="98"/>
              <w:rPr>
                <w:rFonts w:ascii="Times New Roman" w:hAnsi="Times New Roman" w:cs="Times New Roman"/>
                <w:sz w:val="20"/>
                <w:szCs w:val="20"/>
                <w:lang w:val="hr-HR"/>
              </w:rPr>
            </w:pPr>
            <w:r>
              <w:rPr>
                <w:rFonts w:ascii="Times New Roman" w:hAnsi="Times New Roman" w:cs="Times New Roman"/>
                <w:sz w:val="20"/>
                <w:szCs w:val="20"/>
                <w:lang w:val="hr-HR"/>
              </w:rPr>
              <w:t>7.153,75</w:t>
            </w:r>
          </w:p>
        </w:tc>
        <w:tc>
          <w:tcPr>
            <w:tcW w:w="703" w:type="pct"/>
            <w:shd w:val="clear" w:color="auto" w:fill="auto"/>
          </w:tcPr>
          <w:p w14:paraId="0C3A0D75" w14:textId="21A22649" w:rsidR="00B34DD8" w:rsidRPr="00492A18" w:rsidRDefault="003A6108" w:rsidP="00484918">
            <w:pPr>
              <w:pStyle w:val="TableParagraph"/>
              <w:spacing w:before="21" w:line="240" w:lineRule="atLeast"/>
              <w:ind w:right="98"/>
              <w:rPr>
                <w:rFonts w:ascii="Times New Roman" w:hAnsi="Times New Roman" w:cs="Times New Roman"/>
                <w:sz w:val="20"/>
                <w:szCs w:val="20"/>
                <w:lang w:val="hr-HR"/>
              </w:rPr>
            </w:pPr>
            <w:r>
              <w:rPr>
                <w:rFonts w:ascii="Times New Roman" w:hAnsi="Times New Roman" w:cs="Times New Roman"/>
                <w:sz w:val="20"/>
                <w:szCs w:val="20"/>
                <w:lang w:val="hr-HR"/>
              </w:rPr>
              <w:t>99,36</w:t>
            </w:r>
          </w:p>
        </w:tc>
      </w:tr>
      <w:tr w:rsidR="00B34DD8" w:rsidRPr="00492A18" w14:paraId="4076E12D" w14:textId="77777777" w:rsidTr="00484918">
        <w:trPr>
          <w:trHeight w:val="376"/>
        </w:trPr>
        <w:tc>
          <w:tcPr>
            <w:tcW w:w="2501" w:type="pct"/>
            <w:shd w:val="clear" w:color="auto" w:fill="auto"/>
          </w:tcPr>
          <w:p w14:paraId="196ADAE0" w14:textId="1AA98F00" w:rsidR="00B34DD8" w:rsidRPr="00492A18" w:rsidRDefault="00B34DD8" w:rsidP="00484918">
            <w:pPr>
              <w:widowControl w:val="0"/>
              <w:autoSpaceDE w:val="0"/>
              <w:autoSpaceDN w:val="0"/>
              <w:spacing w:after="0" w:line="240" w:lineRule="atLeast"/>
              <w:rPr>
                <w:rFonts w:ascii="Times New Roman" w:hAnsi="Times New Roman"/>
                <w:w w:val="95"/>
                <w:sz w:val="20"/>
                <w:szCs w:val="20"/>
              </w:rPr>
            </w:pPr>
            <w:r>
              <w:rPr>
                <w:rFonts w:ascii="Times New Roman" w:hAnsi="Times New Roman"/>
                <w:sz w:val="20"/>
                <w:szCs w:val="20"/>
              </w:rPr>
              <w:t>Kapitalni projekt 101112 Izgradnja objekata na grobljima</w:t>
            </w:r>
          </w:p>
        </w:tc>
        <w:tc>
          <w:tcPr>
            <w:tcW w:w="936" w:type="pct"/>
            <w:shd w:val="clear" w:color="auto" w:fill="auto"/>
          </w:tcPr>
          <w:p w14:paraId="335B8FBA" w14:textId="3FE296D9" w:rsidR="00B34DD8" w:rsidRPr="00492A18" w:rsidRDefault="003A6108" w:rsidP="00484918">
            <w:pPr>
              <w:pStyle w:val="TableParagraph"/>
              <w:spacing w:before="21" w:line="240" w:lineRule="atLeast"/>
              <w:ind w:right="98"/>
              <w:rPr>
                <w:rFonts w:ascii="Times New Roman" w:hAnsi="Times New Roman" w:cs="Times New Roman"/>
                <w:sz w:val="20"/>
                <w:szCs w:val="20"/>
                <w:lang w:val="hr-HR"/>
              </w:rPr>
            </w:pPr>
            <w:r>
              <w:rPr>
                <w:rFonts w:ascii="Times New Roman" w:hAnsi="Times New Roman" w:cs="Times New Roman"/>
                <w:sz w:val="20"/>
                <w:szCs w:val="20"/>
                <w:lang w:val="hr-HR"/>
              </w:rPr>
              <w:t>103.677,28</w:t>
            </w:r>
          </w:p>
        </w:tc>
        <w:tc>
          <w:tcPr>
            <w:tcW w:w="860" w:type="pct"/>
            <w:shd w:val="clear" w:color="auto" w:fill="auto"/>
          </w:tcPr>
          <w:p w14:paraId="5AA5AFEE" w14:textId="079E93A1" w:rsidR="00B34DD8" w:rsidRPr="00492A18" w:rsidRDefault="003A6108" w:rsidP="00484918">
            <w:pPr>
              <w:pStyle w:val="TableParagraph"/>
              <w:spacing w:before="21" w:line="240" w:lineRule="atLeast"/>
              <w:ind w:right="98"/>
              <w:rPr>
                <w:rFonts w:ascii="Times New Roman" w:hAnsi="Times New Roman" w:cs="Times New Roman"/>
                <w:sz w:val="20"/>
                <w:szCs w:val="20"/>
                <w:lang w:val="hr-HR"/>
              </w:rPr>
            </w:pPr>
            <w:r>
              <w:rPr>
                <w:rFonts w:ascii="Times New Roman" w:hAnsi="Times New Roman" w:cs="Times New Roman"/>
                <w:sz w:val="20"/>
                <w:szCs w:val="20"/>
                <w:lang w:val="hr-HR"/>
              </w:rPr>
              <w:t>90.899,34</w:t>
            </w:r>
          </w:p>
        </w:tc>
        <w:tc>
          <w:tcPr>
            <w:tcW w:w="703" w:type="pct"/>
            <w:shd w:val="clear" w:color="auto" w:fill="auto"/>
          </w:tcPr>
          <w:p w14:paraId="215B23BE" w14:textId="445BE747" w:rsidR="00B34DD8" w:rsidRPr="00492A18" w:rsidRDefault="003A6108" w:rsidP="00484918">
            <w:pPr>
              <w:pStyle w:val="TableParagraph"/>
              <w:spacing w:before="21" w:line="240" w:lineRule="atLeast"/>
              <w:ind w:right="98"/>
              <w:rPr>
                <w:rFonts w:ascii="Times New Roman" w:hAnsi="Times New Roman" w:cs="Times New Roman"/>
                <w:sz w:val="20"/>
                <w:szCs w:val="20"/>
                <w:lang w:val="hr-HR"/>
              </w:rPr>
            </w:pPr>
            <w:r>
              <w:rPr>
                <w:rFonts w:ascii="Times New Roman" w:hAnsi="Times New Roman" w:cs="Times New Roman"/>
                <w:sz w:val="20"/>
                <w:szCs w:val="20"/>
                <w:lang w:val="hr-HR"/>
              </w:rPr>
              <w:t>87,68</w:t>
            </w:r>
          </w:p>
        </w:tc>
      </w:tr>
      <w:tr w:rsidR="00B34DD8" w:rsidRPr="00492A18" w14:paraId="371C7868" w14:textId="77777777" w:rsidTr="001C6148">
        <w:trPr>
          <w:trHeight w:val="219"/>
        </w:trPr>
        <w:tc>
          <w:tcPr>
            <w:tcW w:w="2501" w:type="pct"/>
            <w:shd w:val="clear" w:color="auto" w:fill="auto"/>
          </w:tcPr>
          <w:p w14:paraId="2BA95B2F" w14:textId="06C87E4B" w:rsidR="00B34DD8" w:rsidRPr="00492A18" w:rsidRDefault="00B34DD8" w:rsidP="00484918">
            <w:pPr>
              <w:widowControl w:val="0"/>
              <w:autoSpaceDE w:val="0"/>
              <w:autoSpaceDN w:val="0"/>
              <w:spacing w:after="0" w:line="240" w:lineRule="atLeast"/>
              <w:rPr>
                <w:rFonts w:ascii="Times New Roman" w:hAnsi="Times New Roman"/>
                <w:w w:val="95"/>
                <w:sz w:val="20"/>
                <w:szCs w:val="20"/>
              </w:rPr>
            </w:pPr>
            <w:r>
              <w:rPr>
                <w:rFonts w:ascii="Times New Roman" w:hAnsi="Times New Roman"/>
                <w:sz w:val="20"/>
                <w:szCs w:val="20"/>
              </w:rPr>
              <w:t>Kapitalni projekt 101114 Javna parkirališta</w:t>
            </w:r>
          </w:p>
        </w:tc>
        <w:tc>
          <w:tcPr>
            <w:tcW w:w="936" w:type="pct"/>
            <w:shd w:val="clear" w:color="auto" w:fill="auto"/>
          </w:tcPr>
          <w:p w14:paraId="1B1BD9C4" w14:textId="0B8AA21C" w:rsidR="00B34DD8" w:rsidRPr="00492A18" w:rsidRDefault="003A6108" w:rsidP="00484918">
            <w:pPr>
              <w:pStyle w:val="TableParagraph"/>
              <w:spacing w:before="21" w:line="240" w:lineRule="atLeast"/>
              <w:ind w:right="98"/>
              <w:rPr>
                <w:rFonts w:ascii="Times New Roman" w:hAnsi="Times New Roman" w:cs="Times New Roman"/>
                <w:sz w:val="20"/>
                <w:szCs w:val="20"/>
                <w:lang w:val="hr-HR"/>
              </w:rPr>
            </w:pPr>
            <w:r>
              <w:rPr>
                <w:rFonts w:ascii="Times New Roman" w:hAnsi="Times New Roman" w:cs="Times New Roman"/>
                <w:sz w:val="20"/>
                <w:szCs w:val="20"/>
                <w:lang w:val="hr-HR"/>
              </w:rPr>
              <w:t>60.000,00</w:t>
            </w:r>
          </w:p>
        </w:tc>
        <w:tc>
          <w:tcPr>
            <w:tcW w:w="860" w:type="pct"/>
            <w:shd w:val="clear" w:color="auto" w:fill="auto"/>
          </w:tcPr>
          <w:p w14:paraId="167DF6D1" w14:textId="51D4E2F5" w:rsidR="00B34DD8" w:rsidRPr="00492A18" w:rsidRDefault="003A6108" w:rsidP="00484918">
            <w:pPr>
              <w:pStyle w:val="TableParagraph"/>
              <w:spacing w:before="21" w:line="240" w:lineRule="atLeast"/>
              <w:ind w:right="98"/>
              <w:rPr>
                <w:rFonts w:ascii="Times New Roman" w:hAnsi="Times New Roman" w:cs="Times New Roman"/>
                <w:sz w:val="20"/>
                <w:szCs w:val="20"/>
                <w:lang w:val="hr-HR"/>
              </w:rPr>
            </w:pPr>
            <w:r>
              <w:rPr>
                <w:rFonts w:ascii="Times New Roman" w:hAnsi="Times New Roman" w:cs="Times New Roman"/>
                <w:sz w:val="20"/>
                <w:szCs w:val="20"/>
                <w:lang w:val="hr-HR"/>
              </w:rPr>
              <w:t>59.878,41</w:t>
            </w:r>
          </w:p>
        </w:tc>
        <w:tc>
          <w:tcPr>
            <w:tcW w:w="703" w:type="pct"/>
            <w:shd w:val="clear" w:color="auto" w:fill="auto"/>
          </w:tcPr>
          <w:p w14:paraId="797275C1" w14:textId="073B1D43" w:rsidR="00B34DD8" w:rsidRPr="00492A18" w:rsidRDefault="003A6108" w:rsidP="00484918">
            <w:pPr>
              <w:pStyle w:val="TableParagraph"/>
              <w:spacing w:before="21" w:line="240" w:lineRule="atLeast"/>
              <w:ind w:right="98"/>
              <w:rPr>
                <w:rFonts w:ascii="Times New Roman" w:hAnsi="Times New Roman" w:cs="Times New Roman"/>
                <w:sz w:val="20"/>
                <w:szCs w:val="20"/>
                <w:lang w:val="hr-HR"/>
              </w:rPr>
            </w:pPr>
            <w:r>
              <w:rPr>
                <w:rFonts w:ascii="Times New Roman" w:hAnsi="Times New Roman" w:cs="Times New Roman"/>
                <w:sz w:val="20"/>
                <w:szCs w:val="20"/>
                <w:lang w:val="hr-HR"/>
              </w:rPr>
              <w:t>99,80</w:t>
            </w:r>
          </w:p>
        </w:tc>
      </w:tr>
      <w:tr w:rsidR="00B34DD8" w:rsidRPr="00492A18" w14:paraId="02C50A64" w14:textId="77777777" w:rsidTr="001C6148">
        <w:trPr>
          <w:trHeight w:val="236"/>
        </w:trPr>
        <w:tc>
          <w:tcPr>
            <w:tcW w:w="2501" w:type="pct"/>
            <w:shd w:val="clear" w:color="auto" w:fill="auto"/>
          </w:tcPr>
          <w:p w14:paraId="5A43FB08" w14:textId="60A15E63" w:rsidR="00B34DD8" w:rsidRPr="00492A18" w:rsidRDefault="00B34DD8" w:rsidP="00484918">
            <w:pPr>
              <w:widowControl w:val="0"/>
              <w:autoSpaceDE w:val="0"/>
              <w:autoSpaceDN w:val="0"/>
              <w:spacing w:after="0" w:line="240" w:lineRule="atLeast"/>
              <w:rPr>
                <w:rFonts w:ascii="Times New Roman" w:hAnsi="Times New Roman"/>
                <w:w w:val="95"/>
                <w:sz w:val="20"/>
                <w:szCs w:val="20"/>
              </w:rPr>
            </w:pPr>
            <w:r>
              <w:rPr>
                <w:rFonts w:ascii="Times New Roman" w:hAnsi="Times New Roman"/>
                <w:sz w:val="20"/>
                <w:szCs w:val="20"/>
              </w:rPr>
              <w:t>Kapitalni projekt 10111</w:t>
            </w:r>
            <w:r w:rsidR="001C6148">
              <w:rPr>
                <w:rFonts w:ascii="Times New Roman" w:hAnsi="Times New Roman"/>
                <w:sz w:val="20"/>
                <w:szCs w:val="20"/>
              </w:rPr>
              <w:t>5 Nerazvrstane ceste</w:t>
            </w:r>
          </w:p>
        </w:tc>
        <w:tc>
          <w:tcPr>
            <w:tcW w:w="936" w:type="pct"/>
            <w:shd w:val="clear" w:color="auto" w:fill="auto"/>
          </w:tcPr>
          <w:p w14:paraId="7D024628" w14:textId="62EBE6BE" w:rsidR="00B34DD8" w:rsidRPr="00492A18" w:rsidRDefault="003A6108" w:rsidP="00484918">
            <w:pPr>
              <w:pStyle w:val="TableParagraph"/>
              <w:spacing w:before="21" w:line="240" w:lineRule="atLeast"/>
              <w:ind w:right="98"/>
              <w:rPr>
                <w:rFonts w:ascii="Times New Roman" w:hAnsi="Times New Roman" w:cs="Times New Roman"/>
                <w:sz w:val="20"/>
                <w:szCs w:val="20"/>
                <w:lang w:val="hr-HR"/>
              </w:rPr>
            </w:pPr>
            <w:r>
              <w:rPr>
                <w:rFonts w:ascii="Times New Roman" w:hAnsi="Times New Roman" w:cs="Times New Roman"/>
                <w:sz w:val="20"/>
                <w:szCs w:val="20"/>
                <w:lang w:val="hr-HR"/>
              </w:rPr>
              <w:t>165.700,00</w:t>
            </w:r>
          </w:p>
        </w:tc>
        <w:tc>
          <w:tcPr>
            <w:tcW w:w="860" w:type="pct"/>
            <w:shd w:val="clear" w:color="auto" w:fill="auto"/>
          </w:tcPr>
          <w:p w14:paraId="5B4A6E15" w14:textId="1E8FB3B3" w:rsidR="00B34DD8" w:rsidRPr="00492A18" w:rsidRDefault="003A6108" w:rsidP="00484918">
            <w:pPr>
              <w:pStyle w:val="TableParagraph"/>
              <w:spacing w:before="21" w:line="240" w:lineRule="atLeast"/>
              <w:ind w:right="98"/>
              <w:rPr>
                <w:rFonts w:ascii="Times New Roman" w:hAnsi="Times New Roman" w:cs="Times New Roman"/>
                <w:sz w:val="20"/>
                <w:szCs w:val="20"/>
                <w:lang w:val="hr-HR"/>
              </w:rPr>
            </w:pPr>
            <w:r>
              <w:rPr>
                <w:rFonts w:ascii="Times New Roman" w:hAnsi="Times New Roman" w:cs="Times New Roman"/>
                <w:sz w:val="20"/>
                <w:szCs w:val="20"/>
                <w:lang w:val="hr-HR"/>
              </w:rPr>
              <w:t>161.931,85</w:t>
            </w:r>
          </w:p>
        </w:tc>
        <w:tc>
          <w:tcPr>
            <w:tcW w:w="703" w:type="pct"/>
            <w:shd w:val="clear" w:color="auto" w:fill="auto"/>
          </w:tcPr>
          <w:p w14:paraId="516DF7B7" w14:textId="51767DF0" w:rsidR="00B34DD8" w:rsidRPr="00492A18" w:rsidRDefault="003A6108" w:rsidP="00484918">
            <w:pPr>
              <w:pStyle w:val="TableParagraph"/>
              <w:spacing w:before="21" w:line="240" w:lineRule="atLeast"/>
              <w:ind w:right="98"/>
              <w:rPr>
                <w:rFonts w:ascii="Times New Roman" w:hAnsi="Times New Roman" w:cs="Times New Roman"/>
                <w:sz w:val="20"/>
                <w:szCs w:val="20"/>
                <w:lang w:val="hr-HR"/>
              </w:rPr>
            </w:pPr>
            <w:r>
              <w:rPr>
                <w:rFonts w:ascii="Times New Roman" w:hAnsi="Times New Roman" w:cs="Times New Roman"/>
                <w:sz w:val="20"/>
                <w:szCs w:val="20"/>
                <w:lang w:val="hr-HR"/>
              </w:rPr>
              <w:t>97,73</w:t>
            </w:r>
          </w:p>
        </w:tc>
      </w:tr>
      <w:tr w:rsidR="00B34DD8" w:rsidRPr="00492A18" w14:paraId="71731C9A" w14:textId="77777777" w:rsidTr="00484918">
        <w:trPr>
          <w:trHeight w:val="277"/>
        </w:trPr>
        <w:tc>
          <w:tcPr>
            <w:tcW w:w="2501" w:type="pct"/>
            <w:shd w:val="clear" w:color="auto" w:fill="auto"/>
          </w:tcPr>
          <w:p w14:paraId="2B0FCA32" w14:textId="77777777" w:rsidR="00B34DD8" w:rsidRPr="00492A18" w:rsidRDefault="00B34DD8" w:rsidP="00484918">
            <w:pPr>
              <w:widowControl w:val="0"/>
              <w:autoSpaceDE w:val="0"/>
              <w:autoSpaceDN w:val="0"/>
              <w:spacing w:after="0" w:line="240" w:lineRule="exact"/>
              <w:rPr>
                <w:rFonts w:ascii="Times New Roman" w:hAnsi="Times New Roman"/>
                <w:b/>
                <w:bCs/>
                <w:w w:val="95"/>
                <w:sz w:val="20"/>
                <w:szCs w:val="20"/>
              </w:rPr>
            </w:pPr>
            <w:r w:rsidRPr="00492A18">
              <w:rPr>
                <w:rFonts w:ascii="Times New Roman" w:hAnsi="Times New Roman"/>
                <w:b/>
                <w:bCs/>
                <w:w w:val="95"/>
                <w:sz w:val="20"/>
                <w:szCs w:val="20"/>
              </w:rPr>
              <w:t>Ukupno program</w:t>
            </w:r>
          </w:p>
        </w:tc>
        <w:tc>
          <w:tcPr>
            <w:tcW w:w="936" w:type="pct"/>
            <w:shd w:val="clear" w:color="auto" w:fill="auto"/>
          </w:tcPr>
          <w:p w14:paraId="17CC991D" w14:textId="7A717128" w:rsidR="00B34DD8" w:rsidRPr="00492A18" w:rsidRDefault="003A6108" w:rsidP="00484918">
            <w:pPr>
              <w:pStyle w:val="TableParagraph"/>
              <w:spacing w:before="21" w:line="240" w:lineRule="exact"/>
              <w:ind w:right="98"/>
              <w:rPr>
                <w:rFonts w:ascii="Times New Roman" w:hAnsi="Times New Roman" w:cs="Times New Roman"/>
                <w:b/>
                <w:bCs/>
                <w:sz w:val="20"/>
                <w:szCs w:val="20"/>
                <w:lang w:val="hr-HR"/>
              </w:rPr>
            </w:pPr>
            <w:r>
              <w:rPr>
                <w:rFonts w:ascii="Times New Roman" w:hAnsi="Times New Roman" w:cs="Times New Roman"/>
                <w:b/>
                <w:bCs/>
                <w:sz w:val="20"/>
                <w:szCs w:val="20"/>
                <w:lang w:val="hr-HR"/>
              </w:rPr>
              <w:t>374.477,28</w:t>
            </w:r>
          </w:p>
        </w:tc>
        <w:tc>
          <w:tcPr>
            <w:tcW w:w="860" w:type="pct"/>
            <w:shd w:val="clear" w:color="auto" w:fill="auto"/>
          </w:tcPr>
          <w:p w14:paraId="1F1AA2D0" w14:textId="2CB5C8D1" w:rsidR="00B34DD8" w:rsidRPr="00492A18" w:rsidRDefault="003A6108" w:rsidP="00484918">
            <w:pPr>
              <w:pStyle w:val="TableParagraph"/>
              <w:spacing w:before="21" w:line="240" w:lineRule="exact"/>
              <w:ind w:right="98"/>
              <w:rPr>
                <w:rFonts w:ascii="Times New Roman" w:hAnsi="Times New Roman" w:cs="Times New Roman"/>
                <w:b/>
                <w:bCs/>
                <w:sz w:val="20"/>
                <w:szCs w:val="20"/>
                <w:lang w:val="hr-HR"/>
              </w:rPr>
            </w:pPr>
            <w:r>
              <w:rPr>
                <w:rFonts w:ascii="Times New Roman" w:hAnsi="Times New Roman" w:cs="Times New Roman"/>
                <w:b/>
                <w:bCs/>
                <w:sz w:val="20"/>
                <w:szCs w:val="20"/>
                <w:lang w:val="hr-HR"/>
              </w:rPr>
              <w:t>335.276,69</w:t>
            </w:r>
          </w:p>
        </w:tc>
        <w:tc>
          <w:tcPr>
            <w:tcW w:w="703" w:type="pct"/>
            <w:shd w:val="clear" w:color="auto" w:fill="auto"/>
          </w:tcPr>
          <w:p w14:paraId="5BE4BEA8" w14:textId="10425554" w:rsidR="00B34DD8" w:rsidRPr="00492A18" w:rsidRDefault="003A6108" w:rsidP="00484918">
            <w:pPr>
              <w:pStyle w:val="TableParagraph"/>
              <w:spacing w:before="21" w:line="240" w:lineRule="exact"/>
              <w:ind w:right="98"/>
              <w:rPr>
                <w:rFonts w:ascii="Times New Roman" w:hAnsi="Times New Roman" w:cs="Times New Roman"/>
                <w:b/>
                <w:bCs/>
                <w:sz w:val="20"/>
                <w:szCs w:val="20"/>
                <w:lang w:val="hr-HR"/>
              </w:rPr>
            </w:pPr>
            <w:r>
              <w:rPr>
                <w:rFonts w:ascii="Times New Roman" w:hAnsi="Times New Roman" w:cs="Times New Roman"/>
                <w:b/>
                <w:bCs/>
                <w:sz w:val="20"/>
                <w:szCs w:val="20"/>
                <w:lang w:val="hr-HR"/>
              </w:rPr>
              <w:t>89,53</w:t>
            </w:r>
          </w:p>
        </w:tc>
      </w:tr>
    </w:tbl>
    <w:p w14:paraId="3E3D374A" w14:textId="50052F27" w:rsidR="00722358" w:rsidRPr="00722358" w:rsidRDefault="00722358" w:rsidP="00E40FD3">
      <w:pPr>
        <w:pStyle w:val="Naslov"/>
        <w:jc w:val="both"/>
        <w:rPr>
          <w:rFonts w:ascii="Times New Roman" w:hAnsi="Times New Roman" w:cs="Times New Roman"/>
          <w:b w:val="0"/>
          <w:sz w:val="22"/>
          <w:lang w:val="hr-HR"/>
        </w:rPr>
      </w:pPr>
    </w:p>
    <w:p w14:paraId="4D7ED53E" w14:textId="77777777" w:rsidR="00722358" w:rsidRPr="00722358" w:rsidRDefault="00722358" w:rsidP="00E40FD3">
      <w:pPr>
        <w:pStyle w:val="Naslov"/>
        <w:tabs>
          <w:tab w:val="left" w:pos="0"/>
        </w:tabs>
        <w:jc w:val="both"/>
        <w:rPr>
          <w:rFonts w:ascii="Times New Roman" w:hAnsi="Times New Roman" w:cs="Times New Roman"/>
          <w:b w:val="0"/>
          <w:i/>
          <w:sz w:val="22"/>
          <w:lang w:val="hr-HR"/>
        </w:rPr>
      </w:pPr>
    </w:p>
    <w:p w14:paraId="0521A315" w14:textId="312AF3C6" w:rsidR="00AF40AD" w:rsidRPr="00AF40AD" w:rsidRDefault="00AF40AD" w:rsidP="00E40FD3">
      <w:pPr>
        <w:pStyle w:val="Naslov"/>
        <w:tabs>
          <w:tab w:val="left" w:pos="0"/>
        </w:tabs>
        <w:ind w:firstLine="567"/>
        <w:jc w:val="both"/>
        <w:rPr>
          <w:rFonts w:ascii="Times New Roman" w:hAnsi="Times New Roman" w:cs="Times New Roman"/>
          <w:b w:val="0"/>
          <w:iCs/>
          <w:sz w:val="22"/>
          <w:lang w:val="hr-HR"/>
        </w:rPr>
      </w:pPr>
      <w:r w:rsidRPr="00AF40AD">
        <w:rPr>
          <w:rFonts w:ascii="Times New Roman" w:hAnsi="Times New Roman" w:cs="Times New Roman"/>
          <w:b w:val="0"/>
          <w:i/>
          <w:sz w:val="22"/>
          <w:lang w:val="hr-HR"/>
        </w:rPr>
        <w:t xml:space="preserve">Kapitalni projekt K101104 </w:t>
      </w:r>
      <w:r w:rsidRPr="00AF40AD">
        <w:rPr>
          <w:rFonts w:ascii="Times New Roman" w:hAnsi="Times New Roman" w:cs="Times New Roman"/>
          <w:b w:val="0"/>
          <w:iCs/>
          <w:sz w:val="22"/>
          <w:lang w:val="hr-HR"/>
        </w:rPr>
        <w:t>– Izgradnja nogostupa</w:t>
      </w:r>
    </w:p>
    <w:p w14:paraId="10098B58" w14:textId="4A35CEB7" w:rsidR="00AF40AD" w:rsidRPr="00AF40AD" w:rsidRDefault="00AF40AD" w:rsidP="00AF40AD">
      <w:pPr>
        <w:pStyle w:val="Podnaslov"/>
        <w:jc w:val="left"/>
        <w:rPr>
          <w:rFonts w:ascii="Times New Roman" w:hAnsi="Times New Roman"/>
          <w:sz w:val="22"/>
          <w:szCs w:val="22"/>
          <w:lang w:eastAsia="ar-SA"/>
        </w:rPr>
      </w:pPr>
      <w:r w:rsidRPr="00AF40AD">
        <w:rPr>
          <w:rFonts w:ascii="Times New Roman" w:hAnsi="Times New Roman"/>
          <w:sz w:val="22"/>
          <w:szCs w:val="22"/>
          <w:lang w:eastAsia="ar-SA"/>
        </w:rPr>
        <w:t>Ovim kapitalnim</w:t>
      </w:r>
      <w:r>
        <w:rPr>
          <w:rFonts w:ascii="Times New Roman" w:hAnsi="Times New Roman"/>
          <w:sz w:val="22"/>
          <w:szCs w:val="22"/>
          <w:lang w:eastAsia="ar-SA"/>
        </w:rPr>
        <w:t xml:space="preserve"> projektom izgrađen je nogostup na spoju Ulice kralja Tomislava do </w:t>
      </w:r>
      <w:proofErr w:type="spellStart"/>
      <w:r>
        <w:rPr>
          <w:rFonts w:ascii="Times New Roman" w:hAnsi="Times New Roman"/>
          <w:sz w:val="22"/>
          <w:szCs w:val="22"/>
          <w:lang w:eastAsia="ar-SA"/>
        </w:rPr>
        <w:t>Garićke</w:t>
      </w:r>
      <w:proofErr w:type="spellEnd"/>
      <w:r>
        <w:rPr>
          <w:rFonts w:ascii="Times New Roman" w:hAnsi="Times New Roman"/>
          <w:sz w:val="22"/>
          <w:szCs w:val="22"/>
          <w:lang w:eastAsia="ar-SA"/>
        </w:rPr>
        <w:t xml:space="preserve"> ulice. </w:t>
      </w:r>
      <w:r w:rsidRPr="00AF40AD">
        <w:rPr>
          <w:rFonts w:ascii="Times New Roman" w:hAnsi="Times New Roman"/>
          <w:sz w:val="22"/>
          <w:szCs w:val="22"/>
          <w:lang w:eastAsia="ar-SA"/>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07"/>
        <w:gridCol w:w="2996"/>
        <w:gridCol w:w="962"/>
        <w:gridCol w:w="1122"/>
        <w:gridCol w:w="1105"/>
        <w:gridCol w:w="968"/>
      </w:tblGrid>
      <w:tr w:rsidR="00AF40AD" w:rsidRPr="00F64569" w14:paraId="36A2B50A" w14:textId="77777777" w:rsidTr="00E347ED">
        <w:trPr>
          <w:trHeight w:val="633"/>
          <w:jc w:val="center"/>
        </w:trPr>
        <w:tc>
          <w:tcPr>
            <w:tcW w:w="1052" w:type="pct"/>
            <w:shd w:val="clear" w:color="auto" w:fill="BFBFBF"/>
          </w:tcPr>
          <w:p w14:paraId="593378EC" w14:textId="77777777" w:rsidR="00AF40AD" w:rsidRPr="00F64569" w:rsidRDefault="00AF40AD" w:rsidP="00E347ED">
            <w:pPr>
              <w:widowControl w:val="0"/>
              <w:autoSpaceDE w:val="0"/>
              <w:autoSpaceDN w:val="0"/>
              <w:spacing w:before="104" w:after="0" w:line="240" w:lineRule="auto"/>
              <w:ind w:left="136" w:right="110" w:firstLine="59"/>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Pokazatelj</w:t>
            </w:r>
            <w:r w:rsidRPr="00F64569">
              <w:rPr>
                <w:rFonts w:ascii="Times New Roman" w:eastAsia="Arial MT" w:hAnsi="Times New Roman" w:cs="Times New Roman"/>
                <w:b/>
                <w:spacing w:val="1"/>
                <w:sz w:val="20"/>
                <w:szCs w:val="20"/>
              </w:rPr>
              <w:t xml:space="preserve"> </w:t>
            </w:r>
            <w:r>
              <w:rPr>
                <w:rFonts w:ascii="Times New Roman" w:eastAsia="Arial MT" w:hAnsi="Times New Roman" w:cs="Times New Roman"/>
                <w:b/>
                <w:sz w:val="20"/>
                <w:szCs w:val="20"/>
              </w:rPr>
              <w:t>rezultata</w:t>
            </w:r>
          </w:p>
        </w:tc>
        <w:tc>
          <w:tcPr>
            <w:tcW w:w="1653" w:type="pct"/>
            <w:shd w:val="clear" w:color="auto" w:fill="BFBFBF"/>
          </w:tcPr>
          <w:p w14:paraId="26B2DA4A" w14:textId="77777777" w:rsidR="00AF40AD" w:rsidRPr="00F64569" w:rsidRDefault="00AF40AD" w:rsidP="00E347ED">
            <w:pPr>
              <w:widowControl w:val="0"/>
              <w:autoSpaceDE w:val="0"/>
              <w:autoSpaceDN w:val="0"/>
              <w:spacing w:after="0" w:line="240" w:lineRule="auto"/>
              <w:jc w:val="both"/>
              <w:rPr>
                <w:rFonts w:ascii="Times New Roman" w:eastAsia="Arial MT" w:hAnsi="Times New Roman" w:cs="Times New Roman"/>
                <w:b/>
                <w:sz w:val="20"/>
                <w:szCs w:val="20"/>
              </w:rPr>
            </w:pPr>
          </w:p>
          <w:p w14:paraId="366D1995" w14:textId="77777777" w:rsidR="00AF40AD" w:rsidRPr="00F64569" w:rsidRDefault="00AF40AD" w:rsidP="00E347ED">
            <w:pPr>
              <w:widowControl w:val="0"/>
              <w:autoSpaceDE w:val="0"/>
              <w:autoSpaceDN w:val="0"/>
              <w:spacing w:before="1" w:after="0" w:line="240" w:lineRule="auto"/>
              <w:ind w:left="1136" w:right="832"/>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Definicija</w:t>
            </w:r>
          </w:p>
        </w:tc>
        <w:tc>
          <w:tcPr>
            <w:tcW w:w="531" w:type="pct"/>
            <w:shd w:val="clear" w:color="auto" w:fill="BFBFBF"/>
          </w:tcPr>
          <w:p w14:paraId="127B34A9" w14:textId="77777777" w:rsidR="00AF40AD" w:rsidRPr="00F64569" w:rsidRDefault="00AF40AD" w:rsidP="00E347ED">
            <w:pPr>
              <w:widowControl w:val="0"/>
              <w:autoSpaceDE w:val="0"/>
              <w:autoSpaceDN w:val="0"/>
              <w:spacing w:after="0" w:line="240" w:lineRule="auto"/>
              <w:jc w:val="both"/>
              <w:rPr>
                <w:rFonts w:ascii="Times New Roman" w:eastAsia="Arial MT" w:hAnsi="Times New Roman" w:cs="Times New Roman"/>
                <w:b/>
                <w:sz w:val="20"/>
                <w:szCs w:val="20"/>
              </w:rPr>
            </w:pPr>
          </w:p>
          <w:p w14:paraId="1B9FEE78" w14:textId="77777777" w:rsidR="00AF40AD" w:rsidRPr="00F64569" w:rsidRDefault="00AF40AD" w:rsidP="00E347ED">
            <w:pPr>
              <w:widowControl w:val="0"/>
              <w:autoSpaceDE w:val="0"/>
              <w:autoSpaceDN w:val="0"/>
              <w:spacing w:before="1" w:after="0" w:line="240" w:lineRule="auto"/>
              <w:ind w:left="112" w:right="105"/>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Jedinica</w:t>
            </w:r>
          </w:p>
        </w:tc>
        <w:tc>
          <w:tcPr>
            <w:tcW w:w="619" w:type="pct"/>
            <w:shd w:val="clear" w:color="auto" w:fill="BFBFBF"/>
          </w:tcPr>
          <w:p w14:paraId="618C3879" w14:textId="77777777" w:rsidR="00AF40AD" w:rsidRPr="00F64569" w:rsidRDefault="00AF40AD" w:rsidP="00E347ED">
            <w:pPr>
              <w:widowControl w:val="0"/>
              <w:autoSpaceDE w:val="0"/>
              <w:autoSpaceDN w:val="0"/>
              <w:spacing w:after="0" w:line="206" w:lineRule="exact"/>
              <w:ind w:left="122" w:right="121"/>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Ciljana</w:t>
            </w:r>
          </w:p>
          <w:p w14:paraId="5B5F73B7" w14:textId="77777777" w:rsidR="00AF40AD" w:rsidRPr="00F64569" w:rsidRDefault="00AF40AD" w:rsidP="00E347ED">
            <w:pPr>
              <w:widowControl w:val="0"/>
              <w:autoSpaceDE w:val="0"/>
              <w:autoSpaceDN w:val="0"/>
              <w:spacing w:after="0" w:line="206" w:lineRule="exact"/>
              <w:ind w:left="124" w:right="121"/>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vrijednost</w:t>
            </w:r>
            <w:r w:rsidRPr="00F64569">
              <w:rPr>
                <w:rFonts w:ascii="Times New Roman" w:eastAsia="Arial MT" w:hAnsi="Times New Roman" w:cs="Times New Roman"/>
                <w:b/>
                <w:spacing w:val="-47"/>
                <w:sz w:val="20"/>
                <w:szCs w:val="20"/>
              </w:rPr>
              <w:t xml:space="preserve">   </w:t>
            </w:r>
            <w:r w:rsidRPr="00F64569">
              <w:rPr>
                <w:rFonts w:ascii="Times New Roman" w:eastAsia="Arial MT" w:hAnsi="Times New Roman" w:cs="Times New Roman"/>
                <w:b/>
                <w:sz w:val="20"/>
                <w:szCs w:val="20"/>
              </w:rPr>
              <w:t>2024.</w:t>
            </w:r>
          </w:p>
        </w:tc>
        <w:tc>
          <w:tcPr>
            <w:tcW w:w="610" w:type="pct"/>
            <w:shd w:val="clear" w:color="auto" w:fill="BFBFBF"/>
          </w:tcPr>
          <w:p w14:paraId="77E713AF" w14:textId="77777777" w:rsidR="00AF40AD" w:rsidRPr="00F64569" w:rsidRDefault="00AF40AD" w:rsidP="00E347ED">
            <w:pPr>
              <w:widowControl w:val="0"/>
              <w:autoSpaceDE w:val="0"/>
              <w:autoSpaceDN w:val="0"/>
              <w:spacing w:after="0" w:line="205" w:lineRule="exact"/>
              <w:ind w:left="89"/>
              <w:jc w:val="both"/>
              <w:rPr>
                <w:rFonts w:ascii="Times New Roman" w:eastAsia="Arial MT" w:hAnsi="Times New Roman" w:cs="Times New Roman"/>
                <w:b/>
                <w:sz w:val="20"/>
                <w:szCs w:val="20"/>
              </w:rPr>
            </w:pPr>
            <w:r>
              <w:rPr>
                <w:rFonts w:ascii="Times New Roman" w:eastAsia="Arial MT" w:hAnsi="Times New Roman" w:cs="Times New Roman"/>
                <w:b/>
                <w:sz w:val="20"/>
                <w:szCs w:val="20"/>
              </w:rPr>
              <w:t>Izvršenje</w:t>
            </w:r>
          </w:p>
        </w:tc>
        <w:tc>
          <w:tcPr>
            <w:tcW w:w="534" w:type="pct"/>
            <w:shd w:val="clear" w:color="auto" w:fill="BFBFBF"/>
          </w:tcPr>
          <w:p w14:paraId="76EB2977" w14:textId="77777777" w:rsidR="00AF40AD" w:rsidRPr="00F64569" w:rsidRDefault="00AF40AD" w:rsidP="00E347ED">
            <w:pPr>
              <w:widowControl w:val="0"/>
              <w:autoSpaceDE w:val="0"/>
              <w:autoSpaceDN w:val="0"/>
              <w:spacing w:after="0" w:line="240" w:lineRule="auto"/>
              <w:ind w:left="130" w:right="115" w:firstLine="134"/>
              <w:jc w:val="both"/>
              <w:rPr>
                <w:rFonts w:ascii="Times New Roman" w:eastAsia="Arial MT" w:hAnsi="Times New Roman" w:cs="Times New Roman"/>
                <w:b/>
                <w:sz w:val="20"/>
                <w:szCs w:val="20"/>
              </w:rPr>
            </w:pPr>
            <w:r>
              <w:rPr>
                <w:rFonts w:ascii="Times New Roman" w:eastAsia="Arial MT" w:hAnsi="Times New Roman" w:cs="Times New Roman"/>
                <w:b/>
                <w:sz w:val="20"/>
                <w:szCs w:val="20"/>
              </w:rPr>
              <w:t>Indeks</w:t>
            </w:r>
          </w:p>
        </w:tc>
      </w:tr>
      <w:tr w:rsidR="00AF40AD" w:rsidRPr="00F64569" w14:paraId="69FDD734" w14:textId="77777777" w:rsidTr="00E347ED">
        <w:trPr>
          <w:trHeight w:val="620"/>
          <w:jc w:val="center"/>
        </w:trPr>
        <w:tc>
          <w:tcPr>
            <w:tcW w:w="1052" w:type="pct"/>
            <w:shd w:val="clear" w:color="auto" w:fill="auto"/>
          </w:tcPr>
          <w:p w14:paraId="1B080F63" w14:textId="41848679" w:rsidR="00AF40AD" w:rsidRPr="00F64569" w:rsidRDefault="00AF40AD" w:rsidP="00E347ED">
            <w:pPr>
              <w:widowControl w:val="0"/>
              <w:autoSpaceDE w:val="0"/>
              <w:autoSpaceDN w:val="0"/>
              <w:spacing w:before="1" w:after="0" w:line="240" w:lineRule="auto"/>
              <w:ind w:right="109"/>
              <w:jc w:val="center"/>
              <w:rPr>
                <w:rFonts w:ascii="Times New Roman" w:eastAsia="Arial MT" w:hAnsi="Times New Roman" w:cs="Times New Roman"/>
              </w:rPr>
            </w:pPr>
            <w:r>
              <w:rPr>
                <w:rFonts w:ascii="Times New Roman" w:eastAsia="Arial MT" w:hAnsi="Times New Roman" w:cs="Times New Roman"/>
              </w:rPr>
              <w:t>Broj novih nogostupa</w:t>
            </w:r>
          </w:p>
        </w:tc>
        <w:tc>
          <w:tcPr>
            <w:tcW w:w="1653" w:type="pct"/>
            <w:shd w:val="clear" w:color="auto" w:fill="auto"/>
          </w:tcPr>
          <w:p w14:paraId="1F42F8C5" w14:textId="4CFAD724" w:rsidR="00AF40AD" w:rsidRPr="00F64569" w:rsidRDefault="00AF40AD" w:rsidP="00E347ED">
            <w:pPr>
              <w:widowControl w:val="0"/>
              <w:autoSpaceDE w:val="0"/>
              <w:autoSpaceDN w:val="0"/>
              <w:spacing w:after="0" w:line="187" w:lineRule="exact"/>
              <w:ind w:left="105"/>
              <w:jc w:val="center"/>
              <w:rPr>
                <w:rFonts w:ascii="Times New Roman" w:eastAsia="Arial MT" w:hAnsi="Times New Roman" w:cs="Times New Roman"/>
              </w:rPr>
            </w:pPr>
            <w:r>
              <w:rPr>
                <w:rFonts w:ascii="Times New Roman" w:eastAsia="Arial MT" w:hAnsi="Times New Roman" w:cs="Times New Roman"/>
              </w:rPr>
              <w:t>Dužina nogostupa</w:t>
            </w:r>
          </w:p>
        </w:tc>
        <w:tc>
          <w:tcPr>
            <w:tcW w:w="531" w:type="pct"/>
            <w:shd w:val="clear" w:color="auto" w:fill="auto"/>
          </w:tcPr>
          <w:p w14:paraId="674E730F" w14:textId="426D4752" w:rsidR="00AF40AD" w:rsidRPr="00F64569" w:rsidRDefault="00AF40AD" w:rsidP="00E347ED">
            <w:pPr>
              <w:widowControl w:val="0"/>
              <w:autoSpaceDE w:val="0"/>
              <w:autoSpaceDN w:val="0"/>
              <w:spacing w:before="1" w:after="0" w:line="240" w:lineRule="auto"/>
              <w:ind w:right="137"/>
              <w:jc w:val="center"/>
              <w:rPr>
                <w:rFonts w:ascii="Times New Roman" w:eastAsia="Arial MT" w:hAnsi="Times New Roman" w:cs="Times New Roman"/>
              </w:rPr>
            </w:pPr>
            <w:r>
              <w:rPr>
                <w:rFonts w:ascii="Times New Roman" w:eastAsia="Arial MT" w:hAnsi="Times New Roman" w:cs="Times New Roman"/>
              </w:rPr>
              <w:t>Metar dužni</w:t>
            </w:r>
          </w:p>
        </w:tc>
        <w:tc>
          <w:tcPr>
            <w:tcW w:w="619" w:type="pct"/>
            <w:shd w:val="clear" w:color="auto" w:fill="auto"/>
          </w:tcPr>
          <w:p w14:paraId="47A0E9F4" w14:textId="7B79F620" w:rsidR="00AF40AD" w:rsidRPr="00F64569" w:rsidRDefault="00AF40AD" w:rsidP="00E347ED">
            <w:pPr>
              <w:widowControl w:val="0"/>
              <w:autoSpaceDE w:val="0"/>
              <w:autoSpaceDN w:val="0"/>
              <w:spacing w:after="0" w:line="240" w:lineRule="auto"/>
              <w:ind w:right="121"/>
              <w:jc w:val="center"/>
              <w:rPr>
                <w:rFonts w:ascii="Times New Roman" w:eastAsia="Arial MT" w:hAnsi="Times New Roman" w:cs="Times New Roman"/>
              </w:rPr>
            </w:pPr>
            <w:r>
              <w:rPr>
                <w:rFonts w:ascii="Times New Roman" w:eastAsia="Arial MT" w:hAnsi="Times New Roman" w:cs="Times New Roman"/>
              </w:rPr>
              <w:t>1</w:t>
            </w:r>
          </w:p>
        </w:tc>
        <w:tc>
          <w:tcPr>
            <w:tcW w:w="610" w:type="pct"/>
            <w:shd w:val="clear" w:color="auto" w:fill="auto"/>
          </w:tcPr>
          <w:p w14:paraId="033C17E0" w14:textId="19CF96AA" w:rsidR="00AF40AD" w:rsidRPr="00F64569" w:rsidRDefault="00AF40AD" w:rsidP="00E347ED">
            <w:pPr>
              <w:widowControl w:val="0"/>
              <w:autoSpaceDE w:val="0"/>
              <w:autoSpaceDN w:val="0"/>
              <w:spacing w:after="0" w:line="240" w:lineRule="auto"/>
              <w:ind w:right="460"/>
              <w:jc w:val="center"/>
              <w:rPr>
                <w:rFonts w:ascii="Times New Roman" w:eastAsia="Arial MT" w:hAnsi="Times New Roman" w:cs="Times New Roman"/>
              </w:rPr>
            </w:pPr>
            <w:r>
              <w:rPr>
                <w:rFonts w:ascii="Times New Roman" w:eastAsia="Arial MT" w:hAnsi="Times New Roman" w:cs="Times New Roman"/>
              </w:rPr>
              <w:t>1</w:t>
            </w:r>
          </w:p>
        </w:tc>
        <w:tc>
          <w:tcPr>
            <w:tcW w:w="534" w:type="pct"/>
          </w:tcPr>
          <w:p w14:paraId="336CA4DF" w14:textId="09F040FF" w:rsidR="00AF40AD" w:rsidRPr="00F64569" w:rsidRDefault="00AF40AD" w:rsidP="00E347ED">
            <w:pPr>
              <w:widowControl w:val="0"/>
              <w:autoSpaceDE w:val="0"/>
              <w:autoSpaceDN w:val="0"/>
              <w:spacing w:after="0" w:line="240" w:lineRule="auto"/>
              <w:jc w:val="center"/>
              <w:rPr>
                <w:rFonts w:ascii="Times New Roman" w:eastAsia="Arial MT" w:hAnsi="Times New Roman" w:cs="Times New Roman"/>
              </w:rPr>
            </w:pPr>
            <w:r>
              <w:rPr>
                <w:rFonts w:ascii="Times New Roman" w:eastAsia="Arial MT" w:hAnsi="Times New Roman" w:cs="Times New Roman"/>
              </w:rPr>
              <w:t>100,00</w:t>
            </w:r>
          </w:p>
        </w:tc>
      </w:tr>
    </w:tbl>
    <w:p w14:paraId="55CF0FAA" w14:textId="77777777" w:rsidR="00AF40AD" w:rsidRDefault="00AF40AD" w:rsidP="00F70716">
      <w:pPr>
        <w:pStyle w:val="Naslov"/>
        <w:tabs>
          <w:tab w:val="left" w:pos="0"/>
        </w:tabs>
        <w:jc w:val="both"/>
        <w:rPr>
          <w:rFonts w:ascii="Times New Roman" w:hAnsi="Times New Roman" w:cs="Times New Roman"/>
          <w:b w:val="0"/>
          <w:i/>
          <w:sz w:val="22"/>
          <w:lang w:val="hr-HR"/>
        </w:rPr>
      </w:pPr>
    </w:p>
    <w:p w14:paraId="15C790AE" w14:textId="101D799C" w:rsidR="00722358" w:rsidRDefault="00722358" w:rsidP="00E40FD3">
      <w:pPr>
        <w:pStyle w:val="Naslov"/>
        <w:tabs>
          <w:tab w:val="left" w:pos="0"/>
        </w:tabs>
        <w:ind w:firstLine="567"/>
        <w:jc w:val="both"/>
        <w:rPr>
          <w:rFonts w:ascii="Times New Roman" w:hAnsi="Times New Roman" w:cs="Times New Roman"/>
          <w:b w:val="0"/>
          <w:sz w:val="22"/>
          <w:lang w:val="hr-HR"/>
        </w:rPr>
      </w:pPr>
      <w:r w:rsidRPr="00722358">
        <w:rPr>
          <w:rFonts w:ascii="Times New Roman" w:hAnsi="Times New Roman" w:cs="Times New Roman"/>
          <w:b w:val="0"/>
          <w:i/>
          <w:sz w:val="22"/>
          <w:lang w:val="hr-HR"/>
        </w:rPr>
        <w:t>Kapitalni projekt K101107</w:t>
      </w:r>
      <w:r w:rsidRPr="00722358">
        <w:rPr>
          <w:rFonts w:ascii="Times New Roman" w:hAnsi="Times New Roman" w:cs="Times New Roman"/>
          <w:b w:val="0"/>
          <w:sz w:val="22"/>
          <w:lang w:val="hr-HR"/>
        </w:rPr>
        <w:t xml:space="preserve"> – Građevine i uređaji javne namjene</w:t>
      </w:r>
    </w:p>
    <w:p w14:paraId="6BD84CE4" w14:textId="08DBEC61" w:rsidR="000F512B" w:rsidRDefault="00C2078E" w:rsidP="000F512B">
      <w:pPr>
        <w:pStyle w:val="Podnaslov"/>
        <w:spacing w:after="120" w:line="240" w:lineRule="atLeast"/>
        <w:jc w:val="both"/>
        <w:rPr>
          <w:rFonts w:ascii="Times New Roman" w:eastAsiaTheme="minorHAnsi" w:hAnsi="Times New Roman"/>
          <w:sz w:val="22"/>
          <w:szCs w:val="22"/>
          <w:lang w:eastAsia="ar-SA"/>
        </w:rPr>
      </w:pPr>
      <w:r w:rsidRPr="00C2078E">
        <w:rPr>
          <w:rFonts w:ascii="Times New Roman" w:eastAsiaTheme="minorHAnsi" w:hAnsi="Times New Roman"/>
          <w:sz w:val="22"/>
          <w:szCs w:val="22"/>
          <w:lang w:eastAsia="ar-SA"/>
        </w:rPr>
        <w:t>Istim projektom planirana je izgradnja autobusnih stanica i dječjih igrališta na području Grada Garešnice</w:t>
      </w:r>
      <w:r>
        <w:rPr>
          <w:rFonts w:ascii="Times New Roman" w:eastAsiaTheme="minorHAnsi" w:hAnsi="Times New Roman"/>
          <w:sz w:val="22"/>
          <w:szCs w:val="22"/>
          <w:lang w:eastAsia="ar-SA"/>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07"/>
        <w:gridCol w:w="2996"/>
        <w:gridCol w:w="962"/>
        <w:gridCol w:w="1122"/>
        <w:gridCol w:w="1105"/>
        <w:gridCol w:w="968"/>
      </w:tblGrid>
      <w:tr w:rsidR="00F70716" w:rsidRPr="00F64569" w14:paraId="15BF58B2" w14:textId="77777777" w:rsidTr="00E347ED">
        <w:trPr>
          <w:trHeight w:val="633"/>
          <w:jc w:val="center"/>
        </w:trPr>
        <w:tc>
          <w:tcPr>
            <w:tcW w:w="1052" w:type="pct"/>
            <w:shd w:val="clear" w:color="auto" w:fill="BFBFBF"/>
          </w:tcPr>
          <w:p w14:paraId="081C070D" w14:textId="77777777" w:rsidR="00F70716" w:rsidRPr="00F64569" w:rsidRDefault="00F70716" w:rsidP="00E347ED">
            <w:pPr>
              <w:widowControl w:val="0"/>
              <w:autoSpaceDE w:val="0"/>
              <w:autoSpaceDN w:val="0"/>
              <w:spacing w:before="104" w:after="0" w:line="240" w:lineRule="auto"/>
              <w:ind w:left="136" w:right="110" w:firstLine="59"/>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Pokazatelj</w:t>
            </w:r>
            <w:r w:rsidRPr="00F64569">
              <w:rPr>
                <w:rFonts w:ascii="Times New Roman" w:eastAsia="Arial MT" w:hAnsi="Times New Roman" w:cs="Times New Roman"/>
                <w:b/>
                <w:spacing w:val="1"/>
                <w:sz w:val="20"/>
                <w:szCs w:val="20"/>
              </w:rPr>
              <w:t xml:space="preserve"> </w:t>
            </w:r>
            <w:r>
              <w:rPr>
                <w:rFonts w:ascii="Times New Roman" w:eastAsia="Arial MT" w:hAnsi="Times New Roman" w:cs="Times New Roman"/>
                <w:b/>
                <w:sz w:val="20"/>
                <w:szCs w:val="20"/>
              </w:rPr>
              <w:t>rezultata</w:t>
            </w:r>
          </w:p>
        </w:tc>
        <w:tc>
          <w:tcPr>
            <w:tcW w:w="1653" w:type="pct"/>
            <w:shd w:val="clear" w:color="auto" w:fill="BFBFBF"/>
          </w:tcPr>
          <w:p w14:paraId="36472D01" w14:textId="77777777" w:rsidR="00F70716" w:rsidRPr="00F64569" w:rsidRDefault="00F70716" w:rsidP="00E347ED">
            <w:pPr>
              <w:widowControl w:val="0"/>
              <w:autoSpaceDE w:val="0"/>
              <w:autoSpaceDN w:val="0"/>
              <w:spacing w:after="0" w:line="240" w:lineRule="auto"/>
              <w:jc w:val="both"/>
              <w:rPr>
                <w:rFonts w:ascii="Times New Roman" w:eastAsia="Arial MT" w:hAnsi="Times New Roman" w:cs="Times New Roman"/>
                <w:b/>
                <w:sz w:val="20"/>
                <w:szCs w:val="20"/>
              </w:rPr>
            </w:pPr>
          </w:p>
          <w:p w14:paraId="63964A71" w14:textId="77777777" w:rsidR="00F70716" w:rsidRPr="00F64569" w:rsidRDefault="00F70716" w:rsidP="00E347ED">
            <w:pPr>
              <w:widowControl w:val="0"/>
              <w:autoSpaceDE w:val="0"/>
              <w:autoSpaceDN w:val="0"/>
              <w:spacing w:before="1" w:after="0" w:line="240" w:lineRule="auto"/>
              <w:ind w:left="1136" w:right="832"/>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Definicija</w:t>
            </w:r>
          </w:p>
        </w:tc>
        <w:tc>
          <w:tcPr>
            <w:tcW w:w="531" w:type="pct"/>
            <w:shd w:val="clear" w:color="auto" w:fill="BFBFBF"/>
          </w:tcPr>
          <w:p w14:paraId="17B2AB0B" w14:textId="77777777" w:rsidR="00F70716" w:rsidRPr="00F64569" w:rsidRDefault="00F70716" w:rsidP="00E347ED">
            <w:pPr>
              <w:widowControl w:val="0"/>
              <w:autoSpaceDE w:val="0"/>
              <w:autoSpaceDN w:val="0"/>
              <w:spacing w:after="0" w:line="240" w:lineRule="auto"/>
              <w:jc w:val="both"/>
              <w:rPr>
                <w:rFonts w:ascii="Times New Roman" w:eastAsia="Arial MT" w:hAnsi="Times New Roman" w:cs="Times New Roman"/>
                <w:b/>
                <w:sz w:val="20"/>
                <w:szCs w:val="20"/>
              </w:rPr>
            </w:pPr>
          </w:p>
          <w:p w14:paraId="3C587E3E" w14:textId="77777777" w:rsidR="00F70716" w:rsidRPr="00F64569" w:rsidRDefault="00F70716" w:rsidP="00E347ED">
            <w:pPr>
              <w:widowControl w:val="0"/>
              <w:autoSpaceDE w:val="0"/>
              <w:autoSpaceDN w:val="0"/>
              <w:spacing w:before="1" w:after="0" w:line="240" w:lineRule="auto"/>
              <w:ind w:left="112" w:right="105"/>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Jedinica</w:t>
            </w:r>
          </w:p>
        </w:tc>
        <w:tc>
          <w:tcPr>
            <w:tcW w:w="619" w:type="pct"/>
            <w:shd w:val="clear" w:color="auto" w:fill="BFBFBF"/>
          </w:tcPr>
          <w:p w14:paraId="29EFE1AC" w14:textId="77777777" w:rsidR="00F70716" w:rsidRPr="00F64569" w:rsidRDefault="00F70716" w:rsidP="00E347ED">
            <w:pPr>
              <w:widowControl w:val="0"/>
              <w:autoSpaceDE w:val="0"/>
              <w:autoSpaceDN w:val="0"/>
              <w:spacing w:after="0" w:line="206" w:lineRule="exact"/>
              <w:ind w:left="122" w:right="121"/>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Ciljana</w:t>
            </w:r>
          </w:p>
          <w:p w14:paraId="72B15275" w14:textId="77777777" w:rsidR="00F70716" w:rsidRPr="00F64569" w:rsidRDefault="00F70716" w:rsidP="00E347ED">
            <w:pPr>
              <w:widowControl w:val="0"/>
              <w:autoSpaceDE w:val="0"/>
              <w:autoSpaceDN w:val="0"/>
              <w:spacing w:after="0" w:line="206" w:lineRule="exact"/>
              <w:ind w:left="124" w:right="121"/>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vrijednost</w:t>
            </w:r>
            <w:r w:rsidRPr="00F64569">
              <w:rPr>
                <w:rFonts w:ascii="Times New Roman" w:eastAsia="Arial MT" w:hAnsi="Times New Roman" w:cs="Times New Roman"/>
                <w:b/>
                <w:spacing w:val="-47"/>
                <w:sz w:val="20"/>
                <w:szCs w:val="20"/>
              </w:rPr>
              <w:t xml:space="preserve">   </w:t>
            </w:r>
            <w:r w:rsidRPr="00F64569">
              <w:rPr>
                <w:rFonts w:ascii="Times New Roman" w:eastAsia="Arial MT" w:hAnsi="Times New Roman" w:cs="Times New Roman"/>
                <w:b/>
                <w:sz w:val="20"/>
                <w:szCs w:val="20"/>
              </w:rPr>
              <w:t>2024.</w:t>
            </w:r>
          </w:p>
        </w:tc>
        <w:tc>
          <w:tcPr>
            <w:tcW w:w="610" w:type="pct"/>
            <w:shd w:val="clear" w:color="auto" w:fill="BFBFBF"/>
          </w:tcPr>
          <w:p w14:paraId="17B53D94" w14:textId="77777777" w:rsidR="00F70716" w:rsidRPr="00F64569" w:rsidRDefault="00F70716" w:rsidP="00E347ED">
            <w:pPr>
              <w:widowControl w:val="0"/>
              <w:autoSpaceDE w:val="0"/>
              <w:autoSpaceDN w:val="0"/>
              <w:spacing w:after="0" w:line="205" w:lineRule="exact"/>
              <w:ind w:left="89"/>
              <w:jc w:val="both"/>
              <w:rPr>
                <w:rFonts w:ascii="Times New Roman" w:eastAsia="Arial MT" w:hAnsi="Times New Roman" w:cs="Times New Roman"/>
                <w:b/>
                <w:sz w:val="20"/>
                <w:szCs w:val="20"/>
              </w:rPr>
            </w:pPr>
            <w:r>
              <w:rPr>
                <w:rFonts w:ascii="Times New Roman" w:eastAsia="Arial MT" w:hAnsi="Times New Roman" w:cs="Times New Roman"/>
                <w:b/>
                <w:sz w:val="20"/>
                <w:szCs w:val="20"/>
              </w:rPr>
              <w:t>Izvršenje</w:t>
            </w:r>
          </w:p>
        </w:tc>
        <w:tc>
          <w:tcPr>
            <w:tcW w:w="534" w:type="pct"/>
            <w:shd w:val="clear" w:color="auto" w:fill="BFBFBF"/>
          </w:tcPr>
          <w:p w14:paraId="1F081FF9" w14:textId="77777777" w:rsidR="00F70716" w:rsidRPr="00F64569" w:rsidRDefault="00F70716" w:rsidP="00E347ED">
            <w:pPr>
              <w:widowControl w:val="0"/>
              <w:autoSpaceDE w:val="0"/>
              <w:autoSpaceDN w:val="0"/>
              <w:spacing w:after="0" w:line="240" w:lineRule="auto"/>
              <w:ind w:left="130" w:right="115" w:firstLine="134"/>
              <w:jc w:val="both"/>
              <w:rPr>
                <w:rFonts w:ascii="Times New Roman" w:eastAsia="Arial MT" w:hAnsi="Times New Roman" w:cs="Times New Roman"/>
                <w:b/>
                <w:sz w:val="20"/>
                <w:szCs w:val="20"/>
              </w:rPr>
            </w:pPr>
            <w:r>
              <w:rPr>
                <w:rFonts w:ascii="Times New Roman" w:eastAsia="Arial MT" w:hAnsi="Times New Roman" w:cs="Times New Roman"/>
                <w:b/>
                <w:sz w:val="20"/>
                <w:szCs w:val="20"/>
              </w:rPr>
              <w:t>Indeks</w:t>
            </w:r>
          </w:p>
        </w:tc>
      </w:tr>
      <w:tr w:rsidR="00F70716" w:rsidRPr="00F64569" w14:paraId="6587D6C9" w14:textId="77777777" w:rsidTr="00E347ED">
        <w:trPr>
          <w:trHeight w:val="620"/>
          <w:jc w:val="center"/>
        </w:trPr>
        <w:tc>
          <w:tcPr>
            <w:tcW w:w="1052" w:type="pct"/>
            <w:shd w:val="clear" w:color="auto" w:fill="auto"/>
          </w:tcPr>
          <w:p w14:paraId="68BA51D8" w14:textId="200D3E68" w:rsidR="00F70716" w:rsidRPr="00F64569" w:rsidRDefault="00F70716" w:rsidP="00E347ED">
            <w:pPr>
              <w:widowControl w:val="0"/>
              <w:autoSpaceDE w:val="0"/>
              <w:autoSpaceDN w:val="0"/>
              <w:spacing w:before="1" w:after="0" w:line="240" w:lineRule="auto"/>
              <w:ind w:right="109"/>
              <w:jc w:val="center"/>
              <w:rPr>
                <w:rFonts w:ascii="Times New Roman" w:eastAsia="Arial MT" w:hAnsi="Times New Roman" w:cs="Times New Roman"/>
              </w:rPr>
            </w:pPr>
            <w:r>
              <w:rPr>
                <w:rFonts w:ascii="Times New Roman" w:eastAsia="Arial MT" w:hAnsi="Times New Roman" w:cs="Times New Roman"/>
              </w:rPr>
              <w:t>Broj novih autobusnih stanica i dječjih igrališta</w:t>
            </w:r>
          </w:p>
        </w:tc>
        <w:tc>
          <w:tcPr>
            <w:tcW w:w="1653" w:type="pct"/>
            <w:shd w:val="clear" w:color="auto" w:fill="auto"/>
          </w:tcPr>
          <w:p w14:paraId="4EE2B99D" w14:textId="46F0B83D" w:rsidR="00F70716" w:rsidRPr="00F64569" w:rsidRDefault="00F70716" w:rsidP="00E347ED">
            <w:pPr>
              <w:widowControl w:val="0"/>
              <w:autoSpaceDE w:val="0"/>
              <w:autoSpaceDN w:val="0"/>
              <w:spacing w:after="0" w:line="187" w:lineRule="exact"/>
              <w:ind w:left="105"/>
              <w:jc w:val="center"/>
              <w:rPr>
                <w:rFonts w:ascii="Times New Roman" w:eastAsia="Arial MT" w:hAnsi="Times New Roman" w:cs="Times New Roman"/>
              </w:rPr>
            </w:pPr>
            <w:r>
              <w:rPr>
                <w:rFonts w:ascii="Times New Roman" w:eastAsia="Arial MT" w:hAnsi="Times New Roman" w:cs="Times New Roman"/>
              </w:rPr>
              <w:t xml:space="preserve">Izgradnja i montaža autobusnih stanica za korisnike autobusnih linija i novih dječjih </w:t>
            </w:r>
            <w:proofErr w:type="spellStart"/>
            <w:r>
              <w:rPr>
                <w:rFonts w:ascii="Times New Roman" w:eastAsia="Arial MT" w:hAnsi="Times New Roman" w:cs="Times New Roman"/>
              </w:rPr>
              <w:t>igrlišta</w:t>
            </w:r>
            <w:proofErr w:type="spellEnd"/>
          </w:p>
        </w:tc>
        <w:tc>
          <w:tcPr>
            <w:tcW w:w="531" w:type="pct"/>
            <w:shd w:val="clear" w:color="auto" w:fill="auto"/>
          </w:tcPr>
          <w:p w14:paraId="6AF79652" w14:textId="6F66FE9C" w:rsidR="00F70716" w:rsidRPr="00F64569" w:rsidRDefault="00F70716" w:rsidP="00E347ED">
            <w:pPr>
              <w:widowControl w:val="0"/>
              <w:autoSpaceDE w:val="0"/>
              <w:autoSpaceDN w:val="0"/>
              <w:spacing w:before="1" w:after="0" w:line="240" w:lineRule="auto"/>
              <w:ind w:right="137"/>
              <w:jc w:val="center"/>
              <w:rPr>
                <w:rFonts w:ascii="Times New Roman" w:eastAsia="Arial MT" w:hAnsi="Times New Roman" w:cs="Times New Roman"/>
              </w:rPr>
            </w:pPr>
            <w:r>
              <w:rPr>
                <w:rFonts w:ascii="Times New Roman" w:eastAsia="Arial MT" w:hAnsi="Times New Roman" w:cs="Times New Roman"/>
              </w:rPr>
              <w:t>Kom</w:t>
            </w:r>
          </w:p>
        </w:tc>
        <w:tc>
          <w:tcPr>
            <w:tcW w:w="619" w:type="pct"/>
            <w:shd w:val="clear" w:color="auto" w:fill="auto"/>
          </w:tcPr>
          <w:p w14:paraId="374EC346" w14:textId="6192AAEA" w:rsidR="00F70716" w:rsidRPr="00F64569" w:rsidRDefault="00F70716" w:rsidP="00E347ED">
            <w:pPr>
              <w:widowControl w:val="0"/>
              <w:autoSpaceDE w:val="0"/>
              <w:autoSpaceDN w:val="0"/>
              <w:spacing w:after="0" w:line="240" w:lineRule="auto"/>
              <w:ind w:right="121"/>
              <w:jc w:val="center"/>
              <w:rPr>
                <w:rFonts w:ascii="Times New Roman" w:eastAsia="Arial MT" w:hAnsi="Times New Roman" w:cs="Times New Roman"/>
              </w:rPr>
            </w:pPr>
            <w:r>
              <w:rPr>
                <w:rFonts w:ascii="Times New Roman" w:eastAsia="Arial MT" w:hAnsi="Times New Roman" w:cs="Times New Roman"/>
              </w:rPr>
              <w:t>5</w:t>
            </w:r>
          </w:p>
        </w:tc>
        <w:tc>
          <w:tcPr>
            <w:tcW w:w="610" w:type="pct"/>
            <w:shd w:val="clear" w:color="auto" w:fill="auto"/>
          </w:tcPr>
          <w:p w14:paraId="63A61517" w14:textId="520EF199" w:rsidR="00F70716" w:rsidRPr="00F64569" w:rsidRDefault="00F70716" w:rsidP="00E347ED">
            <w:pPr>
              <w:widowControl w:val="0"/>
              <w:autoSpaceDE w:val="0"/>
              <w:autoSpaceDN w:val="0"/>
              <w:spacing w:after="0" w:line="240" w:lineRule="auto"/>
              <w:ind w:right="460"/>
              <w:jc w:val="center"/>
              <w:rPr>
                <w:rFonts w:ascii="Times New Roman" w:eastAsia="Arial MT" w:hAnsi="Times New Roman" w:cs="Times New Roman"/>
              </w:rPr>
            </w:pPr>
            <w:r>
              <w:rPr>
                <w:rFonts w:ascii="Times New Roman" w:eastAsia="Arial MT" w:hAnsi="Times New Roman" w:cs="Times New Roman"/>
              </w:rPr>
              <w:t>2</w:t>
            </w:r>
          </w:p>
        </w:tc>
        <w:tc>
          <w:tcPr>
            <w:tcW w:w="534" w:type="pct"/>
          </w:tcPr>
          <w:p w14:paraId="75840A30" w14:textId="4FF4EC9D" w:rsidR="00F70716" w:rsidRPr="00F64569" w:rsidRDefault="00F70716" w:rsidP="00E347ED">
            <w:pPr>
              <w:widowControl w:val="0"/>
              <w:autoSpaceDE w:val="0"/>
              <w:autoSpaceDN w:val="0"/>
              <w:spacing w:after="0" w:line="240" w:lineRule="auto"/>
              <w:jc w:val="center"/>
              <w:rPr>
                <w:rFonts w:ascii="Times New Roman" w:eastAsia="Arial MT" w:hAnsi="Times New Roman" w:cs="Times New Roman"/>
              </w:rPr>
            </w:pPr>
            <w:r>
              <w:rPr>
                <w:rFonts w:ascii="Times New Roman" w:eastAsia="Arial MT" w:hAnsi="Times New Roman" w:cs="Times New Roman"/>
              </w:rPr>
              <w:t>40,00</w:t>
            </w:r>
          </w:p>
        </w:tc>
      </w:tr>
    </w:tbl>
    <w:p w14:paraId="644ABCBF" w14:textId="77777777" w:rsidR="00F70716" w:rsidRPr="00F70716" w:rsidRDefault="00F70716" w:rsidP="00F70716">
      <w:pPr>
        <w:rPr>
          <w:rFonts w:eastAsiaTheme="minorHAnsi"/>
          <w:lang w:eastAsia="ar-SA"/>
        </w:rPr>
      </w:pPr>
    </w:p>
    <w:p w14:paraId="6738F5A6" w14:textId="77777777" w:rsidR="00722358" w:rsidRPr="00722358" w:rsidRDefault="00722358" w:rsidP="000F512B">
      <w:pPr>
        <w:pStyle w:val="Naslov"/>
        <w:tabs>
          <w:tab w:val="left" w:pos="0"/>
        </w:tabs>
        <w:spacing w:line="240" w:lineRule="atLeast"/>
        <w:ind w:left="567"/>
        <w:jc w:val="both"/>
        <w:outlineLvl w:val="0"/>
        <w:rPr>
          <w:rFonts w:ascii="Times New Roman" w:hAnsi="Times New Roman" w:cs="Times New Roman"/>
          <w:b w:val="0"/>
          <w:sz w:val="22"/>
          <w:lang w:val="hr-HR"/>
        </w:rPr>
      </w:pPr>
      <w:r w:rsidRPr="00722358">
        <w:rPr>
          <w:rFonts w:ascii="Times New Roman" w:hAnsi="Times New Roman" w:cs="Times New Roman"/>
          <w:b w:val="0"/>
          <w:i/>
          <w:sz w:val="22"/>
          <w:lang w:val="hr-HR"/>
        </w:rPr>
        <w:t>Kapitalni projekt K101109</w:t>
      </w:r>
      <w:r w:rsidRPr="00722358">
        <w:rPr>
          <w:rFonts w:ascii="Times New Roman" w:hAnsi="Times New Roman" w:cs="Times New Roman"/>
          <w:b w:val="0"/>
          <w:sz w:val="22"/>
          <w:lang w:val="hr-HR"/>
        </w:rPr>
        <w:t xml:space="preserve"> – Modernizacija javne rasvjete</w:t>
      </w:r>
    </w:p>
    <w:p w14:paraId="6593D35E" w14:textId="45612D2B" w:rsidR="007179E8" w:rsidRPr="007179E8" w:rsidRDefault="000F512B" w:rsidP="007179E8">
      <w:pPr>
        <w:pStyle w:val="Naslov"/>
        <w:widowControl/>
        <w:tabs>
          <w:tab w:val="clear" w:pos="-720"/>
          <w:tab w:val="left" w:pos="0"/>
        </w:tabs>
        <w:suppressAutoHyphens w:val="0"/>
        <w:spacing w:line="240" w:lineRule="atLeast"/>
        <w:jc w:val="both"/>
        <w:outlineLvl w:val="0"/>
        <w:rPr>
          <w:rFonts w:ascii="Times New Roman" w:hAnsi="Times New Roman" w:cs="Times New Roman"/>
          <w:b w:val="0"/>
          <w:sz w:val="22"/>
          <w:lang w:val="hr-HR"/>
        </w:rPr>
      </w:pPr>
      <w:r>
        <w:rPr>
          <w:rFonts w:ascii="Times New Roman" w:hAnsi="Times New Roman" w:cs="Times New Roman"/>
          <w:b w:val="0"/>
          <w:sz w:val="22"/>
          <w:lang w:val="hr-HR"/>
        </w:rPr>
        <w:t xml:space="preserve">Planirano je </w:t>
      </w:r>
      <w:r w:rsidR="00722358" w:rsidRPr="00722358">
        <w:rPr>
          <w:rFonts w:ascii="Times New Roman" w:hAnsi="Times New Roman" w:cs="Times New Roman"/>
          <w:b w:val="0"/>
          <w:sz w:val="22"/>
          <w:lang w:val="hr-HR"/>
        </w:rPr>
        <w:t xml:space="preserve">proširenje javne rasvjete na području </w:t>
      </w:r>
      <w:r>
        <w:rPr>
          <w:rFonts w:ascii="Times New Roman" w:hAnsi="Times New Roman" w:cs="Times New Roman"/>
          <w:b w:val="0"/>
          <w:sz w:val="22"/>
          <w:lang w:val="hr-HR"/>
        </w:rPr>
        <w:t>G</w:t>
      </w:r>
      <w:r w:rsidR="00722358" w:rsidRPr="00722358">
        <w:rPr>
          <w:rFonts w:ascii="Times New Roman" w:hAnsi="Times New Roman" w:cs="Times New Roman"/>
          <w:b w:val="0"/>
          <w:sz w:val="22"/>
          <w:lang w:val="hr-HR"/>
        </w:rPr>
        <w:t xml:space="preserve">rada na kojima ne postoje rasvjetna tijela. </w:t>
      </w:r>
      <w:r w:rsidR="007179E8">
        <w:rPr>
          <w:rFonts w:ascii="Times New Roman" w:hAnsi="Times New Roman" w:cs="Times New Roman"/>
          <w:b w:val="0"/>
          <w:sz w:val="22"/>
          <w:lang w:val="hr-HR"/>
        </w:rPr>
        <w:t>Montirane su i postavljene solarne lampe iza knjižnice i čitaonice Đuro Sudeta te Doma zdravlja u Garešničkom Brestovcu.</w:t>
      </w:r>
      <w:r w:rsidR="007179E8">
        <w:rPr>
          <w:rFonts w:ascii="Times New Roman" w:hAnsi="Times New Roman" w:cs="Times New Roman"/>
          <w:b w:val="0"/>
          <w:sz w:val="22"/>
          <w:lang w:val="hr-HR"/>
        </w:rPr>
        <w:br/>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07"/>
        <w:gridCol w:w="2996"/>
        <w:gridCol w:w="962"/>
        <w:gridCol w:w="1122"/>
        <w:gridCol w:w="1105"/>
        <w:gridCol w:w="968"/>
      </w:tblGrid>
      <w:tr w:rsidR="007179E8" w:rsidRPr="00F64569" w14:paraId="16924D9A" w14:textId="77777777" w:rsidTr="00E347ED">
        <w:trPr>
          <w:trHeight w:val="633"/>
          <w:jc w:val="center"/>
        </w:trPr>
        <w:tc>
          <w:tcPr>
            <w:tcW w:w="1052" w:type="pct"/>
            <w:shd w:val="clear" w:color="auto" w:fill="BFBFBF"/>
          </w:tcPr>
          <w:p w14:paraId="67175FAF" w14:textId="77777777" w:rsidR="007179E8" w:rsidRPr="00F64569" w:rsidRDefault="007179E8" w:rsidP="00E347ED">
            <w:pPr>
              <w:widowControl w:val="0"/>
              <w:autoSpaceDE w:val="0"/>
              <w:autoSpaceDN w:val="0"/>
              <w:spacing w:before="104" w:after="0" w:line="240" w:lineRule="auto"/>
              <w:ind w:left="136" w:right="110" w:firstLine="59"/>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Pokazatelj</w:t>
            </w:r>
            <w:r w:rsidRPr="00F64569">
              <w:rPr>
                <w:rFonts w:ascii="Times New Roman" w:eastAsia="Arial MT" w:hAnsi="Times New Roman" w:cs="Times New Roman"/>
                <w:b/>
                <w:spacing w:val="1"/>
                <w:sz w:val="20"/>
                <w:szCs w:val="20"/>
              </w:rPr>
              <w:t xml:space="preserve"> </w:t>
            </w:r>
            <w:r>
              <w:rPr>
                <w:rFonts w:ascii="Times New Roman" w:eastAsia="Arial MT" w:hAnsi="Times New Roman" w:cs="Times New Roman"/>
                <w:b/>
                <w:sz w:val="20"/>
                <w:szCs w:val="20"/>
              </w:rPr>
              <w:t>rezultata</w:t>
            </w:r>
          </w:p>
        </w:tc>
        <w:tc>
          <w:tcPr>
            <w:tcW w:w="1653" w:type="pct"/>
            <w:shd w:val="clear" w:color="auto" w:fill="BFBFBF"/>
          </w:tcPr>
          <w:p w14:paraId="06BEB1C4" w14:textId="77777777" w:rsidR="007179E8" w:rsidRPr="00F64569" w:rsidRDefault="007179E8" w:rsidP="00E347ED">
            <w:pPr>
              <w:widowControl w:val="0"/>
              <w:autoSpaceDE w:val="0"/>
              <w:autoSpaceDN w:val="0"/>
              <w:spacing w:after="0" w:line="240" w:lineRule="auto"/>
              <w:jc w:val="both"/>
              <w:rPr>
                <w:rFonts w:ascii="Times New Roman" w:eastAsia="Arial MT" w:hAnsi="Times New Roman" w:cs="Times New Roman"/>
                <w:b/>
                <w:sz w:val="20"/>
                <w:szCs w:val="20"/>
              </w:rPr>
            </w:pPr>
          </w:p>
          <w:p w14:paraId="5CB662F9" w14:textId="77777777" w:rsidR="007179E8" w:rsidRPr="00F64569" w:rsidRDefault="007179E8" w:rsidP="00E347ED">
            <w:pPr>
              <w:widowControl w:val="0"/>
              <w:autoSpaceDE w:val="0"/>
              <w:autoSpaceDN w:val="0"/>
              <w:spacing w:before="1" w:after="0" w:line="240" w:lineRule="auto"/>
              <w:ind w:left="1136" w:right="832"/>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Definicija</w:t>
            </w:r>
          </w:p>
        </w:tc>
        <w:tc>
          <w:tcPr>
            <w:tcW w:w="531" w:type="pct"/>
            <w:shd w:val="clear" w:color="auto" w:fill="BFBFBF"/>
          </w:tcPr>
          <w:p w14:paraId="5BFFE231" w14:textId="77777777" w:rsidR="007179E8" w:rsidRPr="00F64569" w:rsidRDefault="007179E8" w:rsidP="00E347ED">
            <w:pPr>
              <w:widowControl w:val="0"/>
              <w:autoSpaceDE w:val="0"/>
              <w:autoSpaceDN w:val="0"/>
              <w:spacing w:after="0" w:line="240" w:lineRule="auto"/>
              <w:jc w:val="both"/>
              <w:rPr>
                <w:rFonts w:ascii="Times New Roman" w:eastAsia="Arial MT" w:hAnsi="Times New Roman" w:cs="Times New Roman"/>
                <w:b/>
                <w:sz w:val="20"/>
                <w:szCs w:val="20"/>
              </w:rPr>
            </w:pPr>
          </w:p>
          <w:p w14:paraId="029555AF" w14:textId="77777777" w:rsidR="007179E8" w:rsidRPr="00F64569" w:rsidRDefault="007179E8" w:rsidP="00E347ED">
            <w:pPr>
              <w:widowControl w:val="0"/>
              <w:autoSpaceDE w:val="0"/>
              <w:autoSpaceDN w:val="0"/>
              <w:spacing w:before="1" w:after="0" w:line="240" w:lineRule="auto"/>
              <w:ind w:left="112" w:right="105"/>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Jedinica</w:t>
            </w:r>
          </w:p>
        </w:tc>
        <w:tc>
          <w:tcPr>
            <w:tcW w:w="619" w:type="pct"/>
            <w:shd w:val="clear" w:color="auto" w:fill="BFBFBF"/>
          </w:tcPr>
          <w:p w14:paraId="3604D2EC" w14:textId="77777777" w:rsidR="007179E8" w:rsidRPr="00F64569" w:rsidRDefault="007179E8" w:rsidP="00E347ED">
            <w:pPr>
              <w:widowControl w:val="0"/>
              <w:autoSpaceDE w:val="0"/>
              <w:autoSpaceDN w:val="0"/>
              <w:spacing w:after="0" w:line="206" w:lineRule="exact"/>
              <w:ind w:left="122" w:right="121"/>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Ciljana</w:t>
            </w:r>
          </w:p>
          <w:p w14:paraId="721C71FD" w14:textId="77777777" w:rsidR="007179E8" w:rsidRPr="00F64569" w:rsidRDefault="007179E8" w:rsidP="00E347ED">
            <w:pPr>
              <w:widowControl w:val="0"/>
              <w:autoSpaceDE w:val="0"/>
              <w:autoSpaceDN w:val="0"/>
              <w:spacing w:after="0" w:line="206" w:lineRule="exact"/>
              <w:ind w:left="124" w:right="121"/>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vrijednost</w:t>
            </w:r>
            <w:r w:rsidRPr="00F64569">
              <w:rPr>
                <w:rFonts w:ascii="Times New Roman" w:eastAsia="Arial MT" w:hAnsi="Times New Roman" w:cs="Times New Roman"/>
                <w:b/>
                <w:spacing w:val="-47"/>
                <w:sz w:val="20"/>
                <w:szCs w:val="20"/>
              </w:rPr>
              <w:t xml:space="preserve">   </w:t>
            </w:r>
            <w:r w:rsidRPr="00F64569">
              <w:rPr>
                <w:rFonts w:ascii="Times New Roman" w:eastAsia="Arial MT" w:hAnsi="Times New Roman" w:cs="Times New Roman"/>
                <w:b/>
                <w:sz w:val="20"/>
                <w:szCs w:val="20"/>
              </w:rPr>
              <w:t>2024.</w:t>
            </w:r>
          </w:p>
        </w:tc>
        <w:tc>
          <w:tcPr>
            <w:tcW w:w="610" w:type="pct"/>
            <w:shd w:val="clear" w:color="auto" w:fill="BFBFBF"/>
          </w:tcPr>
          <w:p w14:paraId="484DE7FA" w14:textId="77777777" w:rsidR="007179E8" w:rsidRPr="00F64569" w:rsidRDefault="007179E8" w:rsidP="00E347ED">
            <w:pPr>
              <w:widowControl w:val="0"/>
              <w:autoSpaceDE w:val="0"/>
              <w:autoSpaceDN w:val="0"/>
              <w:spacing w:after="0" w:line="205" w:lineRule="exact"/>
              <w:ind w:left="89"/>
              <w:jc w:val="both"/>
              <w:rPr>
                <w:rFonts w:ascii="Times New Roman" w:eastAsia="Arial MT" w:hAnsi="Times New Roman" w:cs="Times New Roman"/>
                <w:b/>
                <w:sz w:val="20"/>
                <w:szCs w:val="20"/>
              </w:rPr>
            </w:pPr>
            <w:r>
              <w:rPr>
                <w:rFonts w:ascii="Times New Roman" w:eastAsia="Arial MT" w:hAnsi="Times New Roman" w:cs="Times New Roman"/>
                <w:b/>
                <w:sz w:val="20"/>
                <w:szCs w:val="20"/>
              </w:rPr>
              <w:t>Izvršenje</w:t>
            </w:r>
          </w:p>
        </w:tc>
        <w:tc>
          <w:tcPr>
            <w:tcW w:w="534" w:type="pct"/>
            <w:shd w:val="clear" w:color="auto" w:fill="BFBFBF"/>
          </w:tcPr>
          <w:p w14:paraId="6FC93F67" w14:textId="77777777" w:rsidR="007179E8" w:rsidRPr="00F64569" w:rsidRDefault="007179E8" w:rsidP="00E347ED">
            <w:pPr>
              <w:widowControl w:val="0"/>
              <w:autoSpaceDE w:val="0"/>
              <w:autoSpaceDN w:val="0"/>
              <w:spacing w:after="0" w:line="240" w:lineRule="auto"/>
              <w:ind w:left="130" w:right="115" w:firstLine="134"/>
              <w:jc w:val="both"/>
              <w:rPr>
                <w:rFonts w:ascii="Times New Roman" w:eastAsia="Arial MT" w:hAnsi="Times New Roman" w:cs="Times New Roman"/>
                <w:b/>
                <w:sz w:val="20"/>
                <w:szCs w:val="20"/>
              </w:rPr>
            </w:pPr>
            <w:r>
              <w:rPr>
                <w:rFonts w:ascii="Times New Roman" w:eastAsia="Arial MT" w:hAnsi="Times New Roman" w:cs="Times New Roman"/>
                <w:b/>
                <w:sz w:val="20"/>
                <w:szCs w:val="20"/>
              </w:rPr>
              <w:t>Indeks</w:t>
            </w:r>
          </w:p>
        </w:tc>
      </w:tr>
      <w:tr w:rsidR="007179E8" w:rsidRPr="00F64569" w14:paraId="002213CF" w14:textId="77777777" w:rsidTr="00E347ED">
        <w:trPr>
          <w:trHeight w:val="620"/>
          <w:jc w:val="center"/>
        </w:trPr>
        <w:tc>
          <w:tcPr>
            <w:tcW w:w="1052" w:type="pct"/>
            <w:shd w:val="clear" w:color="auto" w:fill="auto"/>
          </w:tcPr>
          <w:p w14:paraId="05B7D81A" w14:textId="0A7F24C4" w:rsidR="007179E8" w:rsidRPr="00F64569" w:rsidRDefault="007179E8" w:rsidP="00E347ED">
            <w:pPr>
              <w:widowControl w:val="0"/>
              <w:autoSpaceDE w:val="0"/>
              <w:autoSpaceDN w:val="0"/>
              <w:spacing w:before="1" w:after="0" w:line="240" w:lineRule="auto"/>
              <w:ind w:right="109"/>
              <w:jc w:val="center"/>
              <w:rPr>
                <w:rFonts w:ascii="Times New Roman" w:eastAsia="Arial MT" w:hAnsi="Times New Roman" w:cs="Times New Roman"/>
              </w:rPr>
            </w:pPr>
            <w:r>
              <w:rPr>
                <w:rFonts w:ascii="Times New Roman" w:eastAsia="Arial MT" w:hAnsi="Times New Roman" w:cs="Times New Roman"/>
              </w:rPr>
              <w:t>Broj novih stupova javne rasvjete</w:t>
            </w:r>
          </w:p>
        </w:tc>
        <w:tc>
          <w:tcPr>
            <w:tcW w:w="1653" w:type="pct"/>
            <w:shd w:val="clear" w:color="auto" w:fill="auto"/>
          </w:tcPr>
          <w:p w14:paraId="78EA1809" w14:textId="14E0DC74" w:rsidR="007179E8" w:rsidRPr="00F64569" w:rsidRDefault="007179E8" w:rsidP="00E347ED">
            <w:pPr>
              <w:widowControl w:val="0"/>
              <w:autoSpaceDE w:val="0"/>
              <w:autoSpaceDN w:val="0"/>
              <w:spacing w:after="0" w:line="187" w:lineRule="exact"/>
              <w:ind w:left="105"/>
              <w:jc w:val="center"/>
              <w:rPr>
                <w:rFonts w:ascii="Times New Roman" w:eastAsia="Arial MT" w:hAnsi="Times New Roman" w:cs="Times New Roman"/>
              </w:rPr>
            </w:pPr>
            <w:r>
              <w:rPr>
                <w:rFonts w:ascii="Times New Roman" w:eastAsia="Arial MT" w:hAnsi="Times New Roman" w:cs="Times New Roman"/>
              </w:rPr>
              <w:t>Izgradnja i montaža reflektora i stupova javne rasvjete</w:t>
            </w:r>
          </w:p>
        </w:tc>
        <w:tc>
          <w:tcPr>
            <w:tcW w:w="531" w:type="pct"/>
            <w:shd w:val="clear" w:color="auto" w:fill="auto"/>
          </w:tcPr>
          <w:p w14:paraId="47A9131F" w14:textId="77777777" w:rsidR="007179E8" w:rsidRPr="00F64569" w:rsidRDefault="007179E8" w:rsidP="00E347ED">
            <w:pPr>
              <w:widowControl w:val="0"/>
              <w:autoSpaceDE w:val="0"/>
              <w:autoSpaceDN w:val="0"/>
              <w:spacing w:before="1" w:after="0" w:line="240" w:lineRule="auto"/>
              <w:ind w:right="137"/>
              <w:jc w:val="center"/>
              <w:rPr>
                <w:rFonts w:ascii="Times New Roman" w:eastAsia="Arial MT" w:hAnsi="Times New Roman" w:cs="Times New Roman"/>
              </w:rPr>
            </w:pPr>
            <w:r>
              <w:rPr>
                <w:rFonts w:ascii="Times New Roman" w:eastAsia="Arial MT" w:hAnsi="Times New Roman" w:cs="Times New Roman"/>
              </w:rPr>
              <w:t>Kom</w:t>
            </w:r>
          </w:p>
        </w:tc>
        <w:tc>
          <w:tcPr>
            <w:tcW w:w="619" w:type="pct"/>
            <w:shd w:val="clear" w:color="auto" w:fill="auto"/>
          </w:tcPr>
          <w:p w14:paraId="3C4F5DDC" w14:textId="79A41F7C" w:rsidR="007179E8" w:rsidRPr="00F64569" w:rsidRDefault="007179E8" w:rsidP="00E347ED">
            <w:pPr>
              <w:widowControl w:val="0"/>
              <w:autoSpaceDE w:val="0"/>
              <w:autoSpaceDN w:val="0"/>
              <w:spacing w:after="0" w:line="240" w:lineRule="auto"/>
              <w:ind w:right="121"/>
              <w:jc w:val="center"/>
              <w:rPr>
                <w:rFonts w:ascii="Times New Roman" w:eastAsia="Arial MT" w:hAnsi="Times New Roman" w:cs="Times New Roman"/>
              </w:rPr>
            </w:pPr>
            <w:r>
              <w:rPr>
                <w:rFonts w:ascii="Times New Roman" w:eastAsia="Arial MT" w:hAnsi="Times New Roman" w:cs="Times New Roman"/>
              </w:rPr>
              <w:t>2</w:t>
            </w:r>
          </w:p>
        </w:tc>
        <w:tc>
          <w:tcPr>
            <w:tcW w:w="610" w:type="pct"/>
            <w:shd w:val="clear" w:color="auto" w:fill="auto"/>
          </w:tcPr>
          <w:p w14:paraId="4BD09358" w14:textId="74D9F0A5" w:rsidR="007179E8" w:rsidRPr="00F64569" w:rsidRDefault="007179E8" w:rsidP="00E347ED">
            <w:pPr>
              <w:widowControl w:val="0"/>
              <w:autoSpaceDE w:val="0"/>
              <w:autoSpaceDN w:val="0"/>
              <w:spacing w:after="0" w:line="240" w:lineRule="auto"/>
              <w:ind w:right="460"/>
              <w:jc w:val="center"/>
              <w:rPr>
                <w:rFonts w:ascii="Times New Roman" w:eastAsia="Arial MT" w:hAnsi="Times New Roman" w:cs="Times New Roman"/>
              </w:rPr>
            </w:pPr>
            <w:r>
              <w:rPr>
                <w:rFonts w:ascii="Times New Roman" w:eastAsia="Arial MT" w:hAnsi="Times New Roman" w:cs="Times New Roman"/>
              </w:rPr>
              <w:t>5</w:t>
            </w:r>
          </w:p>
        </w:tc>
        <w:tc>
          <w:tcPr>
            <w:tcW w:w="534" w:type="pct"/>
          </w:tcPr>
          <w:p w14:paraId="1BB16951" w14:textId="6FA2A4A8" w:rsidR="007179E8" w:rsidRPr="00F64569" w:rsidRDefault="007179E8" w:rsidP="00E347ED">
            <w:pPr>
              <w:widowControl w:val="0"/>
              <w:autoSpaceDE w:val="0"/>
              <w:autoSpaceDN w:val="0"/>
              <w:spacing w:after="0" w:line="240" w:lineRule="auto"/>
              <w:jc w:val="center"/>
              <w:rPr>
                <w:rFonts w:ascii="Times New Roman" w:eastAsia="Arial MT" w:hAnsi="Times New Roman" w:cs="Times New Roman"/>
              </w:rPr>
            </w:pPr>
            <w:r>
              <w:rPr>
                <w:rFonts w:ascii="Times New Roman" w:eastAsia="Arial MT" w:hAnsi="Times New Roman" w:cs="Times New Roman"/>
              </w:rPr>
              <w:t>250,00</w:t>
            </w:r>
          </w:p>
        </w:tc>
      </w:tr>
    </w:tbl>
    <w:p w14:paraId="28128A24" w14:textId="77777777" w:rsidR="007179E8" w:rsidRPr="007179E8" w:rsidRDefault="007179E8" w:rsidP="007179E8">
      <w:pPr>
        <w:pStyle w:val="Podnaslov"/>
        <w:jc w:val="left"/>
        <w:rPr>
          <w:lang w:eastAsia="ar-SA"/>
        </w:rPr>
      </w:pPr>
    </w:p>
    <w:p w14:paraId="7891C4FB" w14:textId="77777777" w:rsidR="00722358" w:rsidRPr="00722358" w:rsidRDefault="00722358" w:rsidP="000F512B">
      <w:pPr>
        <w:pStyle w:val="Naslov"/>
        <w:tabs>
          <w:tab w:val="left" w:pos="0"/>
        </w:tabs>
        <w:spacing w:before="120"/>
        <w:ind w:left="567"/>
        <w:jc w:val="both"/>
        <w:outlineLvl w:val="0"/>
        <w:rPr>
          <w:rFonts w:ascii="Times New Roman" w:hAnsi="Times New Roman" w:cs="Times New Roman"/>
          <w:b w:val="0"/>
          <w:sz w:val="22"/>
          <w:lang w:val="hr-HR"/>
        </w:rPr>
      </w:pPr>
      <w:r w:rsidRPr="00722358">
        <w:rPr>
          <w:rFonts w:ascii="Times New Roman" w:hAnsi="Times New Roman" w:cs="Times New Roman"/>
          <w:b w:val="0"/>
          <w:i/>
          <w:sz w:val="22"/>
          <w:lang w:val="hr-HR"/>
        </w:rPr>
        <w:t>Kapitalni projekt K101112</w:t>
      </w:r>
      <w:r w:rsidRPr="00722358">
        <w:rPr>
          <w:rFonts w:ascii="Times New Roman" w:hAnsi="Times New Roman" w:cs="Times New Roman"/>
          <w:b w:val="0"/>
          <w:sz w:val="22"/>
          <w:lang w:val="hr-HR"/>
        </w:rPr>
        <w:t xml:space="preserve"> – Izgradnja objekata na grobljima</w:t>
      </w:r>
    </w:p>
    <w:p w14:paraId="09FA0721" w14:textId="57F0437F" w:rsidR="0005548E" w:rsidRDefault="0005548E" w:rsidP="0005548E">
      <w:pPr>
        <w:pStyle w:val="Naslov"/>
        <w:tabs>
          <w:tab w:val="left" w:pos="0"/>
        </w:tabs>
        <w:spacing w:after="120"/>
        <w:jc w:val="both"/>
        <w:outlineLvl w:val="0"/>
        <w:rPr>
          <w:rFonts w:ascii="Times New Roman" w:hAnsi="Times New Roman" w:cs="Times New Roman"/>
          <w:b w:val="0"/>
          <w:sz w:val="22"/>
          <w:lang w:val="hr-HR"/>
        </w:rPr>
      </w:pPr>
      <w:r>
        <w:rPr>
          <w:rFonts w:ascii="Times New Roman" w:hAnsi="Times New Roman" w:cs="Times New Roman"/>
          <w:b w:val="0"/>
          <w:sz w:val="22"/>
          <w:lang w:val="hr-HR"/>
        </w:rPr>
        <w:t>Ovim projektom izgrađen je dio mrtvačnice u Uljaniku.</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07"/>
        <w:gridCol w:w="2996"/>
        <w:gridCol w:w="962"/>
        <w:gridCol w:w="1122"/>
        <w:gridCol w:w="1105"/>
        <w:gridCol w:w="968"/>
      </w:tblGrid>
      <w:tr w:rsidR="0005548E" w:rsidRPr="00F64569" w14:paraId="00CF6052" w14:textId="77777777" w:rsidTr="00E347ED">
        <w:trPr>
          <w:trHeight w:val="633"/>
          <w:jc w:val="center"/>
        </w:trPr>
        <w:tc>
          <w:tcPr>
            <w:tcW w:w="1052" w:type="pct"/>
            <w:shd w:val="clear" w:color="auto" w:fill="BFBFBF"/>
          </w:tcPr>
          <w:p w14:paraId="6D3030DF" w14:textId="77777777" w:rsidR="0005548E" w:rsidRPr="00F64569" w:rsidRDefault="0005548E" w:rsidP="00E347ED">
            <w:pPr>
              <w:widowControl w:val="0"/>
              <w:autoSpaceDE w:val="0"/>
              <w:autoSpaceDN w:val="0"/>
              <w:spacing w:before="104" w:after="0" w:line="240" w:lineRule="auto"/>
              <w:ind w:left="136" w:right="110" w:firstLine="59"/>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Pokazatelj</w:t>
            </w:r>
            <w:r w:rsidRPr="00F64569">
              <w:rPr>
                <w:rFonts w:ascii="Times New Roman" w:eastAsia="Arial MT" w:hAnsi="Times New Roman" w:cs="Times New Roman"/>
                <w:b/>
                <w:spacing w:val="1"/>
                <w:sz w:val="20"/>
                <w:szCs w:val="20"/>
              </w:rPr>
              <w:t xml:space="preserve"> </w:t>
            </w:r>
            <w:r>
              <w:rPr>
                <w:rFonts w:ascii="Times New Roman" w:eastAsia="Arial MT" w:hAnsi="Times New Roman" w:cs="Times New Roman"/>
                <w:b/>
                <w:sz w:val="20"/>
                <w:szCs w:val="20"/>
              </w:rPr>
              <w:t>rezultata</w:t>
            </w:r>
          </w:p>
        </w:tc>
        <w:tc>
          <w:tcPr>
            <w:tcW w:w="1653" w:type="pct"/>
            <w:shd w:val="clear" w:color="auto" w:fill="BFBFBF"/>
          </w:tcPr>
          <w:p w14:paraId="6CCFC3D6" w14:textId="77777777" w:rsidR="0005548E" w:rsidRPr="00F64569" w:rsidRDefault="0005548E" w:rsidP="00E347ED">
            <w:pPr>
              <w:widowControl w:val="0"/>
              <w:autoSpaceDE w:val="0"/>
              <w:autoSpaceDN w:val="0"/>
              <w:spacing w:after="0" w:line="240" w:lineRule="auto"/>
              <w:jc w:val="both"/>
              <w:rPr>
                <w:rFonts w:ascii="Times New Roman" w:eastAsia="Arial MT" w:hAnsi="Times New Roman" w:cs="Times New Roman"/>
                <w:b/>
                <w:sz w:val="20"/>
                <w:szCs w:val="20"/>
              </w:rPr>
            </w:pPr>
          </w:p>
          <w:p w14:paraId="7998C713" w14:textId="77777777" w:rsidR="0005548E" w:rsidRPr="00F64569" w:rsidRDefault="0005548E" w:rsidP="00E347ED">
            <w:pPr>
              <w:widowControl w:val="0"/>
              <w:autoSpaceDE w:val="0"/>
              <w:autoSpaceDN w:val="0"/>
              <w:spacing w:before="1" w:after="0" w:line="240" w:lineRule="auto"/>
              <w:ind w:left="1136" w:right="832"/>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Definicija</w:t>
            </w:r>
          </w:p>
        </w:tc>
        <w:tc>
          <w:tcPr>
            <w:tcW w:w="531" w:type="pct"/>
            <w:shd w:val="clear" w:color="auto" w:fill="BFBFBF"/>
          </w:tcPr>
          <w:p w14:paraId="751A181D" w14:textId="77777777" w:rsidR="0005548E" w:rsidRPr="00F64569" w:rsidRDefault="0005548E" w:rsidP="00E347ED">
            <w:pPr>
              <w:widowControl w:val="0"/>
              <w:autoSpaceDE w:val="0"/>
              <w:autoSpaceDN w:val="0"/>
              <w:spacing w:after="0" w:line="240" w:lineRule="auto"/>
              <w:jc w:val="both"/>
              <w:rPr>
                <w:rFonts w:ascii="Times New Roman" w:eastAsia="Arial MT" w:hAnsi="Times New Roman" w:cs="Times New Roman"/>
                <w:b/>
                <w:sz w:val="20"/>
                <w:szCs w:val="20"/>
              </w:rPr>
            </w:pPr>
          </w:p>
          <w:p w14:paraId="051C0640" w14:textId="77777777" w:rsidR="0005548E" w:rsidRPr="00F64569" w:rsidRDefault="0005548E" w:rsidP="00E347ED">
            <w:pPr>
              <w:widowControl w:val="0"/>
              <w:autoSpaceDE w:val="0"/>
              <w:autoSpaceDN w:val="0"/>
              <w:spacing w:before="1" w:after="0" w:line="240" w:lineRule="auto"/>
              <w:ind w:left="112" w:right="105"/>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Jedinica</w:t>
            </w:r>
          </w:p>
        </w:tc>
        <w:tc>
          <w:tcPr>
            <w:tcW w:w="619" w:type="pct"/>
            <w:shd w:val="clear" w:color="auto" w:fill="BFBFBF"/>
          </w:tcPr>
          <w:p w14:paraId="1F288684" w14:textId="77777777" w:rsidR="0005548E" w:rsidRPr="00F64569" w:rsidRDefault="0005548E" w:rsidP="00E347ED">
            <w:pPr>
              <w:widowControl w:val="0"/>
              <w:autoSpaceDE w:val="0"/>
              <w:autoSpaceDN w:val="0"/>
              <w:spacing w:after="0" w:line="206" w:lineRule="exact"/>
              <w:ind w:left="122" w:right="121"/>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Ciljana</w:t>
            </w:r>
          </w:p>
          <w:p w14:paraId="70BD3172" w14:textId="77777777" w:rsidR="0005548E" w:rsidRPr="00F64569" w:rsidRDefault="0005548E" w:rsidP="00E347ED">
            <w:pPr>
              <w:widowControl w:val="0"/>
              <w:autoSpaceDE w:val="0"/>
              <w:autoSpaceDN w:val="0"/>
              <w:spacing w:after="0" w:line="206" w:lineRule="exact"/>
              <w:ind w:left="124" w:right="121"/>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vrijednost</w:t>
            </w:r>
            <w:r w:rsidRPr="00F64569">
              <w:rPr>
                <w:rFonts w:ascii="Times New Roman" w:eastAsia="Arial MT" w:hAnsi="Times New Roman" w:cs="Times New Roman"/>
                <w:b/>
                <w:spacing w:val="-47"/>
                <w:sz w:val="20"/>
                <w:szCs w:val="20"/>
              </w:rPr>
              <w:t xml:space="preserve">   </w:t>
            </w:r>
            <w:r w:rsidRPr="00F64569">
              <w:rPr>
                <w:rFonts w:ascii="Times New Roman" w:eastAsia="Arial MT" w:hAnsi="Times New Roman" w:cs="Times New Roman"/>
                <w:b/>
                <w:sz w:val="20"/>
                <w:szCs w:val="20"/>
              </w:rPr>
              <w:t>2024.</w:t>
            </w:r>
          </w:p>
        </w:tc>
        <w:tc>
          <w:tcPr>
            <w:tcW w:w="610" w:type="pct"/>
            <w:shd w:val="clear" w:color="auto" w:fill="BFBFBF"/>
          </w:tcPr>
          <w:p w14:paraId="251EC4CC" w14:textId="77777777" w:rsidR="0005548E" w:rsidRPr="00F64569" w:rsidRDefault="0005548E" w:rsidP="00E347ED">
            <w:pPr>
              <w:widowControl w:val="0"/>
              <w:autoSpaceDE w:val="0"/>
              <w:autoSpaceDN w:val="0"/>
              <w:spacing w:after="0" w:line="205" w:lineRule="exact"/>
              <w:ind w:left="89"/>
              <w:jc w:val="both"/>
              <w:rPr>
                <w:rFonts w:ascii="Times New Roman" w:eastAsia="Arial MT" w:hAnsi="Times New Roman" w:cs="Times New Roman"/>
                <w:b/>
                <w:sz w:val="20"/>
                <w:szCs w:val="20"/>
              </w:rPr>
            </w:pPr>
            <w:r>
              <w:rPr>
                <w:rFonts w:ascii="Times New Roman" w:eastAsia="Arial MT" w:hAnsi="Times New Roman" w:cs="Times New Roman"/>
                <w:b/>
                <w:sz w:val="20"/>
                <w:szCs w:val="20"/>
              </w:rPr>
              <w:t>Izvršenje</w:t>
            </w:r>
          </w:p>
        </w:tc>
        <w:tc>
          <w:tcPr>
            <w:tcW w:w="534" w:type="pct"/>
            <w:shd w:val="clear" w:color="auto" w:fill="BFBFBF"/>
          </w:tcPr>
          <w:p w14:paraId="28708C9E" w14:textId="77777777" w:rsidR="0005548E" w:rsidRPr="00F64569" w:rsidRDefault="0005548E" w:rsidP="00E347ED">
            <w:pPr>
              <w:widowControl w:val="0"/>
              <w:autoSpaceDE w:val="0"/>
              <w:autoSpaceDN w:val="0"/>
              <w:spacing w:after="0" w:line="240" w:lineRule="auto"/>
              <w:ind w:left="130" w:right="115" w:firstLine="134"/>
              <w:jc w:val="both"/>
              <w:rPr>
                <w:rFonts w:ascii="Times New Roman" w:eastAsia="Arial MT" w:hAnsi="Times New Roman" w:cs="Times New Roman"/>
                <w:b/>
                <w:sz w:val="20"/>
                <w:szCs w:val="20"/>
              </w:rPr>
            </w:pPr>
            <w:r>
              <w:rPr>
                <w:rFonts w:ascii="Times New Roman" w:eastAsia="Arial MT" w:hAnsi="Times New Roman" w:cs="Times New Roman"/>
                <w:b/>
                <w:sz w:val="20"/>
                <w:szCs w:val="20"/>
              </w:rPr>
              <w:t>Indeks</w:t>
            </w:r>
          </w:p>
        </w:tc>
      </w:tr>
      <w:tr w:rsidR="0005548E" w:rsidRPr="00F64569" w14:paraId="58253F6E" w14:textId="77777777" w:rsidTr="00E347ED">
        <w:trPr>
          <w:trHeight w:val="620"/>
          <w:jc w:val="center"/>
        </w:trPr>
        <w:tc>
          <w:tcPr>
            <w:tcW w:w="1052" w:type="pct"/>
            <w:shd w:val="clear" w:color="auto" w:fill="auto"/>
          </w:tcPr>
          <w:p w14:paraId="2EAED1E1" w14:textId="6EFF3271" w:rsidR="0005548E" w:rsidRPr="00F64569" w:rsidRDefault="0005548E" w:rsidP="00E347ED">
            <w:pPr>
              <w:widowControl w:val="0"/>
              <w:autoSpaceDE w:val="0"/>
              <w:autoSpaceDN w:val="0"/>
              <w:spacing w:before="1" w:after="0" w:line="240" w:lineRule="auto"/>
              <w:ind w:right="109"/>
              <w:jc w:val="center"/>
              <w:rPr>
                <w:rFonts w:ascii="Times New Roman" w:eastAsia="Arial MT" w:hAnsi="Times New Roman" w:cs="Times New Roman"/>
              </w:rPr>
            </w:pPr>
            <w:r>
              <w:rPr>
                <w:rFonts w:ascii="Times New Roman" w:eastAsia="Arial MT" w:hAnsi="Times New Roman" w:cs="Times New Roman"/>
              </w:rPr>
              <w:t>Broj novih mrtvačnica</w:t>
            </w:r>
          </w:p>
        </w:tc>
        <w:tc>
          <w:tcPr>
            <w:tcW w:w="1653" w:type="pct"/>
            <w:shd w:val="clear" w:color="auto" w:fill="auto"/>
          </w:tcPr>
          <w:p w14:paraId="03B65F0A" w14:textId="777EA871" w:rsidR="0005548E" w:rsidRPr="00F64569" w:rsidRDefault="0005548E" w:rsidP="00E347ED">
            <w:pPr>
              <w:widowControl w:val="0"/>
              <w:autoSpaceDE w:val="0"/>
              <w:autoSpaceDN w:val="0"/>
              <w:spacing w:after="0" w:line="187" w:lineRule="exact"/>
              <w:ind w:left="105"/>
              <w:jc w:val="center"/>
              <w:rPr>
                <w:rFonts w:ascii="Times New Roman" w:eastAsia="Arial MT" w:hAnsi="Times New Roman" w:cs="Times New Roman"/>
              </w:rPr>
            </w:pPr>
            <w:r>
              <w:rPr>
                <w:rFonts w:ascii="Times New Roman" w:eastAsia="Arial MT" w:hAnsi="Times New Roman" w:cs="Times New Roman"/>
              </w:rPr>
              <w:t xml:space="preserve">Izgradnja </w:t>
            </w:r>
            <w:proofErr w:type="spellStart"/>
            <w:r>
              <w:rPr>
                <w:rFonts w:ascii="Times New Roman" w:eastAsia="Arial MT" w:hAnsi="Times New Roman" w:cs="Times New Roman"/>
              </w:rPr>
              <w:t>mrvačnica</w:t>
            </w:r>
            <w:proofErr w:type="spellEnd"/>
            <w:r>
              <w:rPr>
                <w:rFonts w:ascii="Times New Roman" w:eastAsia="Arial MT" w:hAnsi="Times New Roman" w:cs="Times New Roman"/>
              </w:rPr>
              <w:t xml:space="preserve"> u mjesnim odborima</w:t>
            </w:r>
          </w:p>
        </w:tc>
        <w:tc>
          <w:tcPr>
            <w:tcW w:w="531" w:type="pct"/>
            <w:shd w:val="clear" w:color="auto" w:fill="auto"/>
          </w:tcPr>
          <w:p w14:paraId="0668A764" w14:textId="77777777" w:rsidR="0005548E" w:rsidRPr="00F64569" w:rsidRDefault="0005548E" w:rsidP="00E347ED">
            <w:pPr>
              <w:widowControl w:val="0"/>
              <w:autoSpaceDE w:val="0"/>
              <w:autoSpaceDN w:val="0"/>
              <w:spacing w:before="1" w:after="0" w:line="240" w:lineRule="auto"/>
              <w:ind w:right="137"/>
              <w:jc w:val="center"/>
              <w:rPr>
                <w:rFonts w:ascii="Times New Roman" w:eastAsia="Arial MT" w:hAnsi="Times New Roman" w:cs="Times New Roman"/>
              </w:rPr>
            </w:pPr>
            <w:r>
              <w:rPr>
                <w:rFonts w:ascii="Times New Roman" w:eastAsia="Arial MT" w:hAnsi="Times New Roman" w:cs="Times New Roman"/>
              </w:rPr>
              <w:t>Kom</w:t>
            </w:r>
          </w:p>
        </w:tc>
        <w:tc>
          <w:tcPr>
            <w:tcW w:w="619" w:type="pct"/>
            <w:shd w:val="clear" w:color="auto" w:fill="auto"/>
          </w:tcPr>
          <w:p w14:paraId="77EA4B41" w14:textId="104C8892" w:rsidR="0005548E" w:rsidRPr="00F64569" w:rsidRDefault="0005548E" w:rsidP="00E347ED">
            <w:pPr>
              <w:widowControl w:val="0"/>
              <w:autoSpaceDE w:val="0"/>
              <w:autoSpaceDN w:val="0"/>
              <w:spacing w:after="0" w:line="240" w:lineRule="auto"/>
              <w:ind w:right="121"/>
              <w:jc w:val="center"/>
              <w:rPr>
                <w:rFonts w:ascii="Times New Roman" w:eastAsia="Arial MT" w:hAnsi="Times New Roman" w:cs="Times New Roman"/>
              </w:rPr>
            </w:pPr>
            <w:r>
              <w:rPr>
                <w:rFonts w:ascii="Times New Roman" w:eastAsia="Arial MT" w:hAnsi="Times New Roman" w:cs="Times New Roman"/>
              </w:rPr>
              <w:t>1</w:t>
            </w:r>
          </w:p>
        </w:tc>
        <w:tc>
          <w:tcPr>
            <w:tcW w:w="610" w:type="pct"/>
            <w:shd w:val="clear" w:color="auto" w:fill="auto"/>
          </w:tcPr>
          <w:p w14:paraId="7255ED57" w14:textId="5F57AC68" w:rsidR="0005548E" w:rsidRPr="00F64569" w:rsidRDefault="0005548E" w:rsidP="00E347ED">
            <w:pPr>
              <w:widowControl w:val="0"/>
              <w:autoSpaceDE w:val="0"/>
              <w:autoSpaceDN w:val="0"/>
              <w:spacing w:after="0" w:line="240" w:lineRule="auto"/>
              <w:ind w:right="460"/>
              <w:jc w:val="center"/>
              <w:rPr>
                <w:rFonts w:ascii="Times New Roman" w:eastAsia="Arial MT" w:hAnsi="Times New Roman" w:cs="Times New Roman"/>
              </w:rPr>
            </w:pPr>
            <w:r>
              <w:rPr>
                <w:rFonts w:ascii="Times New Roman" w:eastAsia="Arial MT" w:hAnsi="Times New Roman" w:cs="Times New Roman"/>
              </w:rPr>
              <w:t>1</w:t>
            </w:r>
          </w:p>
        </w:tc>
        <w:tc>
          <w:tcPr>
            <w:tcW w:w="534" w:type="pct"/>
          </w:tcPr>
          <w:p w14:paraId="657F1A6A" w14:textId="16DEFE18" w:rsidR="0005548E" w:rsidRPr="00F64569" w:rsidRDefault="0005548E" w:rsidP="00E347ED">
            <w:pPr>
              <w:widowControl w:val="0"/>
              <w:autoSpaceDE w:val="0"/>
              <w:autoSpaceDN w:val="0"/>
              <w:spacing w:after="0" w:line="240" w:lineRule="auto"/>
              <w:jc w:val="center"/>
              <w:rPr>
                <w:rFonts w:ascii="Times New Roman" w:eastAsia="Arial MT" w:hAnsi="Times New Roman" w:cs="Times New Roman"/>
              </w:rPr>
            </w:pPr>
            <w:r>
              <w:rPr>
                <w:rFonts w:ascii="Times New Roman" w:eastAsia="Arial MT" w:hAnsi="Times New Roman" w:cs="Times New Roman"/>
              </w:rPr>
              <w:t>100,00</w:t>
            </w:r>
          </w:p>
        </w:tc>
      </w:tr>
    </w:tbl>
    <w:p w14:paraId="1AD8858A" w14:textId="77777777" w:rsidR="0005548E" w:rsidRPr="0005548E" w:rsidRDefault="0005548E" w:rsidP="0005548E">
      <w:pPr>
        <w:pStyle w:val="Podnaslov"/>
        <w:jc w:val="left"/>
        <w:rPr>
          <w:lang w:eastAsia="ar-SA"/>
        </w:rPr>
      </w:pPr>
    </w:p>
    <w:p w14:paraId="44FBAA74" w14:textId="153713BB" w:rsidR="00722358" w:rsidRDefault="00722358" w:rsidP="00121AFA">
      <w:pPr>
        <w:pStyle w:val="Naslov"/>
        <w:tabs>
          <w:tab w:val="left" w:pos="0"/>
        </w:tabs>
        <w:spacing w:line="240" w:lineRule="atLeast"/>
        <w:ind w:left="567"/>
        <w:jc w:val="both"/>
        <w:outlineLvl w:val="0"/>
        <w:rPr>
          <w:rFonts w:ascii="Times New Roman" w:hAnsi="Times New Roman" w:cs="Times New Roman"/>
          <w:b w:val="0"/>
          <w:sz w:val="22"/>
          <w:lang w:val="hr-HR"/>
        </w:rPr>
      </w:pPr>
      <w:r w:rsidRPr="00722358">
        <w:rPr>
          <w:rFonts w:ascii="Times New Roman" w:hAnsi="Times New Roman" w:cs="Times New Roman"/>
          <w:b w:val="0"/>
          <w:i/>
          <w:sz w:val="22"/>
          <w:lang w:val="hr-HR"/>
        </w:rPr>
        <w:t>Kapitalni projekt K101114</w:t>
      </w:r>
      <w:r w:rsidRPr="00722358">
        <w:rPr>
          <w:rFonts w:ascii="Times New Roman" w:hAnsi="Times New Roman" w:cs="Times New Roman"/>
          <w:b w:val="0"/>
          <w:sz w:val="22"/>
          <w:lang w:val="hr-HR"/>
        </w:rPr>
        <w:t xml:space="preserve"> – Javna parkirališta</w:t>
      </w:r>
    </w:p>
    <w:p w14:paraId="59DA26E8" w14:textId="3B3F915D" w:rsidR="00121AFA" w:rsidRDefault="00121AFA" w:rsidP="000C0734">
      <w:pPr>
        <w:pStyle w:val="Naslov"/>
        <w:tabs>
          <w:tab w:val="left" w:pos="0"/>
        </w:tabs>
        <w:spacing w:after="120"/>
        <w:jc w:val="both"/>
        <w:outlineLvl w:val="0"/>
        <w:rPr>
          <w:rFonts w:ascii="Times New Roman" w:hAnsi="Times New Roman" w:cs="Times New Roman"/>
          <w:b w:val="0"/>
          <w:sz w:val="22"/>
          <w:lang w:val="hr-HR"/>
        </w:rPr>
      </w:pPr>
      <w:r w:rsidRPr="000C0734">
        <w:rPr>
          <w:rFonts w:ascii="Times New Roman" w:hAnsi="Times New Roman" w:cs="Times New Roman"/>
          <w:b w:val="0"/>
          <w:sz w:val="22"/>
          <w:lang w:val="hr-HR"/>
        </w:rPr>
        <w:t xml:space="preserve">Kapitalnim projektom izvršena je izgradnja parkirališta </w:t>
      </w:r>
      <w:r w:rsidR="0023171A" w:rsidRPr="000C0734">
        <w:rPr>
          <w:rFonts w:ascii="Times New Roman" w:hAnsi="Times New Roman" w:cs="Times New Roman"/>
          <w:b w:val="0"/>
          <w:sz w:val="22"/>
          <w:lang w:val="hr-HR"/>
        </w:rPr>
        <w:t xml:space="preserve">na </w:t>
      </w:r>
      <w:proofErr w:type="spellStart"/>
      <w:r w:rsidR="0023171A" w:rsidRPr="000C0734">
        <w:rPr>
          <w:rFonts w:ascii="Times New Roman" w:hAnsi="Times New Roman" w:cs="Times New Roman"/>
          <w:b w:val="0"/>
          <w:sz w:val="22"/>
          <w:lang w:val="hr-HR"/>
        </w:rPr>
        <w:t>Skresovima</w:t>
      </w:r>
      <w:proofErr w:type="spellEnd"/>
      <w:r w:rsidR="007C0C35">
        <w:rPr>
          <w:rFonts w:ascii="Times New Roman" w:hAnsi="Times New Roman" w:cs="Times New Roman"/>
          <w:b w:val="0"/>
          <w:sz w:val="22"/>
          <w:lang w:val="hr-HR"/>
        </w:rPr>
        <w:t xml:space="preserve"> i prilazno parkiralište kod groblja u </w:t>
      </w:r>
      <w:proofErr w:type="spellStart"/>
      <w:r w:rsidR="007C0C35">
        <w:rPr>
          <w:rFonts w:ascii="Times New Roman" w:hAnsi="Times New Roman" w:cs="Times New Roman"/>
          <w:b w:val="0"/>
          <w:sz w:val="22"/>
          <w:lang w:val="hr-HR"/>
        </w:rPr>
        <w:t>Kaniškoj</w:t>
      </w:r>
      <w:proofErr w:type="spellEnd"/>
      <w:r w:rsidR="007C0C35">
        <w:rPr>
          <w:rFonts w:ascii="Times New Roman" w:hAnsi="Times New Roman" w:cs="Times New Roman"/>
          <w:b w:val="0"/>
          <w:sz w:val="22"/>
          <w:lang w:val="hr-HR"/>
        </w:rPr>
        <w:t xml:space="preserve"> Ivi.</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07"/>
        <w:gridCol w:w="2996"/>
        <w:gridCol w:w="962"/>
        <w:gridCol w:w="1122"/>
        <w:gridCol w:w="1105"/>
        <w:gridCol w:w="968"/>
      </w:tblGrid>
      <w:tr w:rsidR="007C0C35" w:rsidRPr="00F64569" w14:paraId="27C76054" w14:textId="77777777" w:rsidTr="00E347ED">
        <w:trPr>
          <w:trHeight w:val="633"/>
          <w:jc w:val="center"/>
        </w:trPr>
        <w:tc>
          <w:tcPr>
            <w:tcW w:w="1052" w:type="pct"/>
            <w:shd w:val="clear" w:color="auto" w:fill="BFBFBF"/>
          </w:tcPr>
          <w:p w14:paraId="4CDDD01D" w14:textId="77777777" w:rsidR="007C0C35" w:rsidRPr="00F64569" w:rsidRDefault="007C0C35" w:rsidP="00E347ED">
            <w:pPr>
              <w:widowControl w:val="0"/>
              <w:autoSpaceDE w:val="0"/>
              <w:autoSpaceDN w:val="0"/>
              <w:spacing w:before="104" w:after="0" w:line="240" w:lineRule="auto"/>
              <w:ind w:left="136" w:right="110" w:firstLine="59"/>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Pokazatelj</w:t>
            </w:r>
            <w:r w:rsidRPr="00F64569">
              <w:rPr>
                <w:rFonts w:ascii="Times New Roman" w:eastAsia="Arial MT" w:hAnsi="Times New Roman" w:cs="Times New Roman"/>
                <w:b/>
                <w:spacing w:val="1"/>
                <w:sz w:val="20"/>
                <w:szCs w:val="20"/>
              </w:rPr>
              <w:t xml:space="preserve"> </w:t>
            </w:r>
            <w:r>
              <w:rPr>
                <w:rFonts w:ascii="Times New Roman" w:eastAsia="Arial MT" w:hAnsi="Times New Roman" w:cs="Times New Roman"/>
                <w:b/>
                <w:sz w:val="20"/>
                <w:szCs w:val="20"/>
              </w:rPr>
              <w:t>rezultata</w:t>
            </w:r>
          </w:p>
        </w:tc>
        <w:tc>
          <w:tcPr>
            <w:tcW w:w="1653" w:type="pct"/>
            <w:shd w:val="clear" w:color="auto" w:fill="BFBFBF"/>
          </w:tcPr>
          <w:p w14:paraId="7485BD93" w14:textId="77777777" w:rsidR="007C0C35" w:rsidRPr="00F64569" w:rsidRDefault="007C0C35" w:rsidP="00E347ED">
            <w:pPr>
              <w:widowControl w:val="0"/>
              <w:autoSpaceDE w:val="0"/>
              <w:autoSpaceDN w:val="0"/>
              <w:spacing w:after="0" w:line="240" w:lineRule="auto"/>
              <w:jc w:val="both"/>
              <w:rPr>
                <w:rFonts w:ascii="Times New Roman" w:eastAsia="Arial MT" w:hAnsi="Times New Roman" w:cs="Times New Roman"/>
                <w:b/>
                <w:sz w:val="20"/>
                <w:szCs w:val="20"/>
              </w:rPr>
            </w:pPr>
          </w:p>
          <w:p w14:paraId="49C6B6D3" w14:textId="77777777" w:rsidR="007C0C35" w:rsidRPr="00F64569" w:rsidRDefault="007C0C35" w:rsidP="00E347ED">
            <w:pPr>
              <w:widowControl w:val="0"/>
              <w:autoSpaceDE w:val="0"/>
              <w:autoSpaceDN w:val="0"/>
              <w:spacing w:before="1" w:after="0" w:line="240" w:lineRule="auto"/>
              <w:ind w:left="1136" w:right="832"/>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Definicija</w:t>
            </w:r>
          </w:p>
        </w:tc>
        <w:tc>
          <w:tcPr>
            <w:tcW w:w="531" w:type="pct"/>
            <w:shd w:val="clear" w:color="auto" w:fill="BFBFBF"/>
          </w:tcPr>
          <w:p w14:paraId="67609165" w14:textId="77777777" w:rsidR="007C0C35" w:rsidRPr="00F64569" w:rsidRDefault="007C0C35" w:rsidP="00E347ED">
            <w:pPr>
              <w:widowControl w:val="0"/>
              <w:autoSpaceDE w:val="0"/>
              <w:autoSpaceDN w:val="0"/>
              <w:spacing w:after="0" w:line="240" w:lineRule="auto"/>
              <w:jc w:val="both"/>
              <w:rPr>
                <w:rFonts w:ascii="Times New Roman" w:eastAsia="Arial MT" w:hAnsi="Times New Roman" w:cs="Times New Roman"/>
                <w:b/>
                <w:sz w:val="20"/>
                <w:szCs w:val="20"/>
              </w:rPr>
            </w:pPr>
          </w:p>
          <w:p w14:paraId="7EB6BA3C" w14:textId="77777777" w:rsidR="007C0C35" w:rsidRPr="00F64569" w:rsidRDefault="007C0C35" w:rsidP="00E347ED">
            <w:pPr>
              <w:widowControl w:val="0"/>
              <w:autoSpaceDE w:val="0"/>
              <w:autoSpaceDN w:val="0"/>
              <w:spacing w:before="1" w:after="0" w:line="240" w:lineRule="auto"/>
              <w:ind w:left="112" w:right="105"/>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Jedinica</w:t>
            </w:r>
          </w:p>
        </w:tc>
        <w:tc>
          <w:tcPr>
            <w:tcW w:w="619" w:type="pct"/>
            <w:shd w:val="clear" w:color="auto" w:fill="BFBFBF"/>
          </w:tcPr>
          <w:p w14:paraId="43139B3D" w14:textId="77777777" w:rsidR="007C0C35" w:rsidRPr="00F64569" w:rsidRDefault="007C0C35" w:rsidP="00E347ED">
            <w:pPr>
              <w:widowControl w:val="0"/>
              <w:autoSpaceDE w:val="0"/>
              <w:autoSpaceDN w:val="0"/>
              <w:spacing w:after="0" w:line="206" w:lineRule="exact"/>
              <w:ind w:left="122" w:right="121"/>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Ciljana</w:t>
            </w:r>
          </w:p>
          <w:p w14:paraId="62374E59" w14:textId="77777777" w:rsidR="007C0C35" w:rsidRPr="00F64569" w:rsidRDefault="007C0C35" w:rsidP="00E347ED">
            <w:pPr>
              <w:widowControl w:val="0"/>
              <w:autoSpaceDE w:val="0"/>
              <w:autoSpaceDN w:val="0"/>
              <w:spacing w:after="0" w:line="206" w:lineRule="exact"/>
              <w:ind w:left="124" w:right="121"/>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vrijednost</w:t>
            </w:r>
            <w:r w:rsidRPr="00F64569">
              <w:rPr>
                <w:rFonts w:ascii="Times New Roman" w:eastAsia="Arial MT" w:hAnsi="Times New Roman" w:cs="Times New Roman"/>
                <w:b/>
                <w:spacing w:val="-47"/>
                <w:sz w:val="20"/>
                <w:szCs w:val="20"/>
              </w:rPr>
              <w:t xml:space="preserve">   </w:t>
            </w:r>
            <w:r w:rsidRPr="00F64569">
              <w:rPr>
                <w:rFonts w:ascii="Times New Roman" w:eastAsia="Arial MT" w:hAnsi="Times New Roman" w:cs="Times New Roman"/>
                <w:b/>
                <w:sz w:val="20"/>
                <w:szCs w:val="20"/>
              </w:rPr>
              <w:t>2024.</w:t>
            </w:r>
          </w:p>
        </w:tc>
        <w:tc>
          <w:tcPr>
            <w:tcW w:w="610" w:type="pct"/>
            <w:shd w:val="clear" w:color="auto" w:fill="BFBFBF"/>
          </w:tcPr>
          <w:p w14:paraId="7EC58857" w14:textId="77777777" w:rsidR="007C0C35" w:rsidRPr="00F64569" w:rsidRDefault="007C0C35" w:rsidP="00E347ED">
            <w:pPr>
              <w:widowControl w:val="0"/>
              <w:autoSpaceDE w:val="0"/>
              <w:autoSpaceDN w:val="0"/>
              <w:spacing w:after="0" w:line="205" w:lineRule="exact"/>
              <w:ind w:left="89"/>
              <w:jc w:val="both"/>
              <w:rPr>
                <w:rFonts w:ascii="Times New Roman" w:eastAsia="Arial MT" w:hAnsi="Times New Roman" w:cs="Times New Roman"/>
                <w:b/>
                <w:sz w:val="20"/>
                <w:szCs w:val="20"/>
              </w:rPr>
            </w:pPr>
            <w:r>
              <w:rPr>
                <w:rFonts w:ascii="Times New Roman" w:eastAsia="Arial MT" w:hAnsi="Times New Roman" w:cs="Times New Roman"/>
                <w:b/>
                <w:sz w:val="20"/>
                <w:szCs w:val="20"/>
              </w:rPr>
              <w:t>Izvršenje</w:t>
            </w:r>
          </w:p>
        </w:tc>
        <w:tc>
          <w:tcPr>
            <w:tcW w:w="534" w:type="pct"/>
            <w:shd w:val="clear" w:color="auto" w:fill="BFBFBF"/>
          </w:tcPr>
          <w:p w14:paraId="7B0C73E7" w14:textId="77777777" w:rsidR="007C0C35" w:rsidRPr="00F64569" w:rsidRDefault="007C0C35" w:rsidP="00E347ED">
            <w:pPr>
              <w:widowControl w:val="0"/>
              <w:autoSpaceDE w:val="0"/>
              <w:autoSpaceDN w:val="0"/>
              <w:spacing w:after="0" w:line="240" w:lineRule="auto"/>
              <w:ind w:left="130" w:right="115" w:firstLine="134"/>
              <w:jc w:val="both"/>
              <w:rPr>
                <w:rFonts w:ascii="Times New Roman" w:eastAsia="Arial MT" w:hAnsi="Times New Roman" w:cs="Times New Roman"/>
                <w:b/>
                <w:sz w:val="20"/>
                <w:szCs w:val="20"/>
              </w:rPr>
            </w:pPr>
            <w:r>
              <w:rPr>
                <w:rFonts w:ascii="Times New Roman" w:eastAsia="Arial MT" w:hAnsi="Times New Roman" w:cs="Times New Roman"/>
                <w:b/>
                <w:sz w:val="20"/>
                <w:szCs w:val="20"/>
              </w:rPr>
              <w:t>Indeks</w:t>
            </w:r>
          </w:p>
        </w:tc>
      </w:tr>
      <w:tr w:rsidR="007C0C35" w:rsidRPr="00F64569" w14:paraId="63298F06" w14:textId="77777777" w:rsidTr="00E347ED">
        <w:trPr>
          <w:trHeight w:val="620"/>
          <w:jc w:val="center"/>
        </w:trPr>
        <w:tc>
          <w:tcPr>
            <w:tcW w:w="1052" w:type="pct"/>
            <w:shd w:val="clear" w:color="auto" w:fill="auto"/>
          </w:tcPr>
          <w:p w14:paraId="26C7304A" w14:textId="53B49ACA" w:rsidR="007C0C35" w:rsidRPr="00F64569" w:rsidRDefault="007C0C35" w:rsidP="00E347ED">
            <w:pPr>
              <w:widowControl w:val="0"/>
              <w:autoSpaceDE w:val="0"/>
              <w:autoSpaceDN w:val="0"/>
              <w:spacing w:before="1" w:after="0" w:line="240" w:lineRule="auto"/>
              <w:ind w:right="109"/>
              <w:jc w:val="center"/>
              <w:rPr>
                <w:rFonts w:ascii="Times New Roman" w:eastAsia="Arial MT" w:hAnsi="Times New Roman" w:cs="Times New Roman"/>
              </w:rPr>
            </w:pPr>
            <w:r>
              <w:rPr>
                <w:rFonts w:ascii="Times New Roman" w:eastAsia="Arial MT" w:hAnsi="Times New Roman" w:cs="Times New Roman"/>
              </w:rPr>
              <w:t>Broj novih parkirališta</w:t>
            </w:r>
          </w:p>
        </w:tc>
        <w:tc>
          <w:tcPr>
            <w:tcW w:w="1653" w:type="pct"/>
            <w:shd w:val="clear" w:color="auto" w:fill="auto"/>
          </w:tcPr>
          <w:p w14:paraId="42943C15" w14:textId="5B92818F" w:rsidR="007C0C35" w:rsidRPr="00F64569" w:rsidRDefault="007C0C35" w:rsidP="00E347ED">
            <w:pPr>
              <w:widowControl w:val="0"/>
              <w:autoSpaceDE w:val="0"/>
              <w:autoSpaceDN w:val="0"/>
              <w:spacing w:after="0" w:line="187" w:lineRule="exact"/>
              <w:ind w:left="105"/>
              <w:jc w:val="center"/>
              <w:rPr>
                <w:rFonts w:ascii="Times New Roman" w:eastAsia="Arial MT" w:hAnsi="Times New Roman" w:cs="Times New Roman"/>
              </w:rPr>
            </w:pPr>
            <w:proofErr w:type="spellStart"/>
            <w:r>
              <w:rPr>
                <w:rFonts w:ascii="Times New Roman" w:eastAsia="Arial MT" w:hAnsi="Times New Roman" w:cs="Times New Roman"/>
              </w:rPr>
              <w:t>Asfalitranje</w:t>
            </w:r>
            <w:proofErr w:type="spellEnd"/>
            <w:r>
              <w:rPr>
                <w:rFonts w:ascii="Times New Roman" w:eastAsia="Arial MT" w:hAnsi="Times New Roman" w:cs="Times New Roman"/>
              </w:rPr>
              <w:t xml:space="preserve"> novih parkirališta zbog lakšeg pristupa mjesnom groblju, domovima i javnim mjestima</w:t>
            </w:r>
          </w:p>
        </w:tc>
        <w:tc>
          <w:tcPr>
            <w:tcW w:w="531" w:type="pct"/>
            <w:shd w:val="clear" w:color="auto" w:fill="auto"/>
          </w:tcPr>
          <w:p w14:paraId="4BD1CA1E" w14:textId="77777777" w:rsidR="007C0C35" w:rsidRPr="00F64569" w:rsidRDefault="007C0C35" w:rsidP="00E347ED">
            <w:pPr>
              <w:widowControl w:val="0"/>
              <w:autoSpaceDE w:val="0"/>
              <w:autoSpaceDN w:val="0"/>
              <w:spacing w:before="1" w:after="0" w:line="240" w:lineRule="auto"/>
              <w:ind w:right="137"/>
              <w:jc w:val="center"/>
              <w:rPr>
                <w:rFonts w:ascii="Times New Roman" w:eastAsia="Arial MT" w:hAnsi="Times New Roman" w:cs="Times New Roman"/>
              </w:rPr>
            </w:pPr>
            <w:r>
              <w:rPr>
                <w:rFonts w:ascii="Times New Roman" w:eastAsia="Arial MT" w:hAnsi="Times New Roman" w:cs="Times New Roman"/>
              </w:rPr>
              <w:t>Kom</w:t>
            </w:r>
          </w:p>
        </w:tc>
        <w:tc>
          <w:tcPr>
            <w:tcW w:w="619" w:type="pct"/>
            <w:shd w:val="clear" w:color="auto" w:fill="auto"/>
          </w:tcPr>
          <w:p w14:paraId="4A43CE98" w14:textId="5EA625F0" w:rsidR="007C0C35" w:rsidRPr="00F64569" w:rsidRDefault="007C0C35" w:rsidP="00E347ED">
            <w:pPr>
              <w:widowControl w:val="0"/>
              <w:autoSpaceDE w:val="0"/>
              <w:autoSpaceDN w:val="0"/>
              <w:spacing w:after="0" w:line="240" w:lineRule="auto"/>
              <w:ind w:right="121"/>
              <w:jc w:val="center"/>
              <w:rPr>
                <w:rFonts w:ascii="Times New Roman" w:eastAsia="Arial MT" w:hAnsi="Times New Roman" w:cs="Times New Roman"/>
              </w:rPr>
            </w:pPr>
            <w:r>
              <w:rPr>
                <w:rFonts w:ascii="Times New Roman" w:eastAsia="Arial MT" w:hAnsi="Times New Roman" w:cs="Times New Roman"/>
              </w:rPr>
              <w:t>2</w:t>
            </w:r>
          </w:p>
        </w:tc>
        <w:tc>
          <w:tcPr>
            <w:tcW w:w="610" w:type="pct"/>
            <w:shd w:val="clear" w:color="auto" w:fill="auto"/>
          </w:tcPr>
          <w:p w14:paraId="26597410" w14:textId="507CADBD" w:rsidR="007C0C35" w:rsidRPr="00F64569" w:rsidRDefault="007C0C35" w:rsidP="00E347ED">
            <w:pPr>
              <w:widowControl w:val="0"/>
              <w:autoSpaceDE w:val="0"/>
              <w:autoSpaceDN w:val="0"/>
              <w:spacing w:after="0" w:line="240" w:lineRule="auto"/>
              <w:ind w:right="460"/>
              <w:jc w:val="center"/>
              <w:rPr>
                <w:rFonts w:ascii="Times New Roman" w:eastAsia="Arial MT" w:hAnsi="Times New Roman" w:cs="Times New Roman"/>
              </w:rPr>
            </w:pPr>
            <w:r>
              <w:rPr>
                <w:rFonts w:ascii="Times New Roman" w:eastAsia="Arial MT" w:hAnsi="Times New Roman" w:cs="Times New Roman"/>
              </w:rPr>
              <w:t>2</w:t>
            </w:r>
          </w:p>
        </w:tc>
        <w:tc>
          <w:tcPr>
            <w:tcW w:w="534" w:type="pct"/>
          </w:tcPr>
          <w:p w14:paraId="50C6514B" w14:textId="77777777" w:rsidR="007C0C35" w:rsidRPr="00F64569" w:rsidRDefault="007C0C35" w:rsidP="00E347ED">
            <w:pPr>
              <w:widowControl w:val="0"/>
              <w:autoSpaceDE w:val="0"/>
              <w:autoSpaceDN w:val="0"/>
              <w:spacing w:after="0" w:line="240" w:lineRule="auto"/>
              <w:jc w:val="center"/>
              <w:rPr>
                <w:rFonts w:ascii="Times New Roman" w:eastAsia="Arial MT" w:hAnsi="Times New Roman" w:cs="Times New Roman"/>
              </w:rPr>
            </w:pPr>
            <w:r>
              <w:rPr>
                <w:rFonts w:ascii="Times New Roman" w:eastAsia="Arial MT" w:hAnsi="Times New Roman" w:cs="Times New Roman"/>
              </w:rPr>
              <w:t>100,00</w:t>
            </w:r>
          </w:p>
        </w:tc>
      </w:tr>
    </w:tbl>
    <w:p w14:paraId="0C3668A3" w14:textId="77777777" w:rsidR="007C0C35" w:rsidRPr="007C0C35" w:rsidRDefault="007C0C35" w:rsidP="007C0C35">
      <w:pPr>
        <w:pStyle w:val="Podnaslov"/>
        <w:jc w:val="left"/>
        <w:rPr>
          <w:lang w:eastAsia="ar-SA"/>
        </w:rPr>
      </w:pPr>
    </w:p>
    <w:p w14:paraId="3B49C18A" w14:textId="1A9D77C1" w:rsidR="00722358" w:rsidRPr="00722358" w:rsidRDefault="00722358" w:rsidP="000C0734">
      <w:pPr>
        <w:pStyle w:val="Naslov"/>
        <w:tabs>
          <w:tab w:val="left" w:pos="0"/>
        </w:tabs>
        <w:spacing w:line="240" w:lineRule="atLeast"/>
        <w:ind w:firstLine="567"/>
        <w:jc w:val="both"/>
        <w:outlineLvl w:val="0"/>
        <w:rPr>
          <w:rFonts w:ascii="Times New Roman" w:hAnsi="Times New Roman" w:cs="Times New Roman"/>
          <w:b w:val="0"/>
          <w:sz w:val="22"/>
          <w:lang w:val="hr-HR"/>
        </w:rPr>
      </w:pPr>
      <w:r w:rsidRPr="000C0734">
        <w:rPr>
          <w:rFonts w:ascii="Times New Roman" w:hAnsi="Times New Roman" w:cs="Times New Roman"/>
          <w:b w:val="0"/>
          <w:sz w:val="22"/>
          <w:lang w:val="hr-HR"/>
        </w:rPr>
        <w:lastRenderedPageBreak/>
        <w:t>Kapitalni</w:t>
      </w:r>
      <w:r w:rsidRPr="00722358">
        <w:rPr>
          <w:rFonts w:ascii="Times New Roman" w:hAnsi="Times New Roman" w:cs="Times New Roman"/>
          <w:b w:val="0"/>
          <w:i/>
          <w:sz w:val="22"/>
          <w:lang w:val="hr-HR"/>
        </w:rPr>
        <w:t xml:space="preserve"> projekt K101115 </w:t>
      </w:r>
      <w:r w:rsidRPr="00722358">
        <w:rPr>
          <w:rFonts w:ascii="Times New Roman" w:hAnsi="Times New Roman" w:cs="Times New Roman"/>
          <w:b w:val="0"/>
          <w:sz w:val="22"/>
          <w:lang w:val="hr-HR"/>
        </w:rPr>
        <w:t>– Nerazvrstane ceste</w:t>
      </w:r>
    </w:p>
    <w:p w14:paraId="77369464" w14:textId="787B3702" w:rsidR="00722358" w:rsidRDefault="007524AC" w:rsidP="007524AC">
      <w:pPr>
        <w:pStyle w:val="Naslov"/>
        <w:tabs>
          <w:tab w:val="left" w:pos="0"/>
        </w:tabs>
        <w:spacing w:line="240" w:lineRule="atLeast"/>
        <w:jc w:val="left"/>
        <w:outlineLvl w:val="0"/>
        <w:rPr>
          <w:rFonts w:ascii="Times New Roman" w:hAnsi="Times New Roman" w:cs="Times New Roman"/>
          <w:b w:val="0"/>
          <w:sz w:val="22"/>
          <w:lang w:val="hr-HR"/>
        </w:rPr>
      </w:pPr>
      <w:r>
        <w:rPr>
          <w:rFonts w:ascii="Times New Roman" w:hAnsi="Times New Roman" w:cs="Times New Roman"/>
          <w:b w:val="0"/>
          <w:sz w:val="22"/>
          <w:lang w:val="hr-HR"/>
        </w:rPr>
        <w:t xml:space="preserve">Asfaltirana je cesta u ulici Veliki </w:t>
      </w:r>
      <w:proofErr w:type="spellStart"/>
      <w:r>
        <w:rPr>
          <w:rFonts w:ascii="Times New Roman" w:hAnsi="Times New Roman" w:cs="Times New Roman"/>
          <w:b w:val="0"/>
          <w:sz w:val="22"/>
          <w:lang w:val="hr-HR"/>
        </w:rPr>
        <w:t>Zdenčac</w:t>
      </w:r>
      <w:proofErr w:type="spellEnd"/>
      <w:r>
        <w:rPr>
          <w:rFonts w:ascii="Times New Roman" w:hAnsi="Times New Roman" w:cs="Times New Roman"/>
          <w:b w:val="0"/>
          <w:sz w:val="22"/>
          <w:lang w:val="hr-HR"/>
        </w:rPr>
        <w:t xml:space="preserve"> u </w:t>
      </w:r>
      <w:proofErr w:type="spellStart"/>
      <w:r>
        <w:rPr>
          <w:rFonts w:ascii="Times New Roman" w:hAnsi="Times New Roman" w:cs="Times New Roman"/>
          <w:b w:val="0"/>
          <w:sz w:val="22"/>
          <w:lang w:val="hr-HR"/>
        </w:rPr>
        <w:t>Zdenčacu</w:t>
      </w:r>
      <w:proofErr w:type="spellEnd"/>
      <w:r>
        <w:rPr>
          <w:rFonts w:ascii="Times New Roman" w:hAnsi="Times New Roman" w:cs="Times New Roman"/>
          <w:b w:val="0"/>
          <w:sz w:val="22"/>
          <w:lang w:val="hr-HR"/>
        </w:rPr>
        <w:t xml:space="preserve">, postavljena dvostruka površinska obrada s bitumenskom emulzijom u </w:t>
      </w:r>
      <w:proofErr w:type="spellStart"/>
      <w:r>
        <w:rPr>
          <w:rFonts w:ascii="Times New Roman" w:hAnsi="Times New Roman" w:cs="Times New Roman"/>
          <w:b w:val="0"/>
          <w:sz w:val="22"/>
          <w:lang w:val="hr-HR"/>
        </w:rPr>
        <w:t>Uljaničkom</w:t>
      </w:r>
      <w:proofErr w:type="spellEnd"/>
      <w:r>
        <w:rPr>
          <w:rFonts w:ascii="Times New Roman" w:hAnsi="Times New Roman" w:cs="Times New Roman"/>
          <w:b w:val="0"/>
          <w:sz w:val="22"/>
          <w:lang w:val="hr-HR"/>
        </w:rPr>
        <w:t xml:space="preserve"> Brijegu i dva odvojka u </w:t>
      </w:r>
      <w:proofErr w:type="spellStart"/>
      <w:r>
        <w:rPr>
          <w:rFonts w:ascii="Times New Roman" w:hAnsi="Times New Roman" w:cs="Times New Roman"/>
          <w:b w:val="0"/>
          <w:sz w:val="22"/>
          <w:lang w:val="hr-HR"/>
        </w:rPr>
        <w:t>Kaniškoj</w:t>
      </w:r>
      <w:proofErr w:type="spellEnd"/>
      <w:r>
        <w:rPr>
          <w:rFonts w:ascii="Times New Roman" w:hAnsi="Times New Roman" w:cs="Times New Roman"/>
          <w:b w:val="0"/>
          <w:sz w:val="22"/>
          <w:lang w:val="hr-HR"/>
        </w:rPr>
        <w:t xml:space="preserve"> Ivi.</w:t>
      </w:r>
      <w:r>
        <w:rPr>
          <w:rFonts w:ascii="Times New Roman" w:hAnsi="Times New Roman" w:cs="Times New Roman"/>
          <w:b w:val="0"/>
          <w:sz w:val="22"/>
          <w:lang w:val="hr-HR"/>
        </w:rPr>
        <w:br/>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07"/>
        <w:gridCol w:w="2996"/>
        <w:gridCol w:w="962"/>
        <w:gridCol w:w="1122"/>
        <w:gridCol w:w="1105"/>
        <w:gridCol w:w="968"/>
      </w:tblGrid>
      <w:tr w:rsidR="007524AC" w:rsidRPr="00F64569" w14:paraId="1A665A87" w14:textId="77777777" w:rsidTr="00E347ED">
        <w:trPr>
          <w:trHeight w:val="633"/>
          <w:jc w:val="center"/>
        </w:trPr>
        <w:tc>
          <w:tcPr>
            <w:tcW w:w="1052" w:type="pct"/>
            <w:shd w:val="clear" w:color="auto" w:fill="BFBFBF"/>
          </w:tcPr>
          <w:p w14:paraId="6833C1A0" w14:textId="77777777" w:rsidR="007524AC" w:rsidRPr="00F64569" w:rsidRDefault="007524AC" w:rsidP="00E347ED">
            <w:pPr>
              <w:widowControl w:val="0"/>
              <w:autoSpaceDE w:val="0"/>
              <w:autoSpaceDN w:val="0"/>
              <w:spacing w:before="104" w:after="0" w:line="240" w:lineRule="auto"/>
              <w:ind w:left="136" w:right="110" w:firstLine="59"/>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Pokazatelj</w:t>
            </w:r>
            <w:r w:rsidRPr="00F64569">
              <w:rPr>
                <w:rFonts w:ascii="Times New Roman" w:eastAsia="Arial MT" w:hAnsi="Times New Roman" w:cs="Times New Roman"/>
                <w:b/>
                <w:spacing w:val="1"/>
                <w:sz w:val="20"/>
                <w:szCs w:val="20"/>
              </w:rPr>
              <w:t xml:space="preserve"> </w:t>
            </w:r>
            <w:r>
              <w:rPr>
                <w:rFonts w:ascii="Times New Roman" w:eastAsia="Arial MT" w:hAnsi="Times New Roman" w:cs="Times New Roman"/>
                <w:b/>
                <w:sz w:val="20"/>
                <w:szCs w:val="20"/>
              </w:rPr>
              <w:t>rezultata</w:t>
            </w:r>
          </w:p>
        </w:tc>
        <w:tc>
          <w:tcPr>
            <w:tcW w:w="1653" w:type="pct"/>
            <w:shd w:val="clear" w:color="auto" w:fill="BFBFBF"/>
          </w:tcPr>
          <w:p w14:paraId="249811A2" w14:textId="77777777" w:rsidR="007524AC" w:rsidRPr="00F64569" w:rsidRDefault="007524AC" w:rsidP="00E347ED">
            <w:pPr>
              <w:widowControl w:val="0"/>
              <w:autoSpaceDE w:val="0"/>
              <w:autoSpaceDN w:val="0"/>
              <w:spacing w:after="0" w:line="240" w:lineRule="auto"/>
              <w:jc w:val="both"/>
              <w:rPr>
                <w:rFonts w:ascii="Times New Roman" w:eastAsia="Arial MT" w:hAnsi="Times New Roman" w:cs="Times New Roman"/>
                <w:b/>
                <w:sz w:val="20"/>
                <w:szCs w:val="20"/>
              </w:rPr>
            </w:pPr>
          </w:p>
          <w:p w14:paraId="78E94D03" w14:textId="77777777" w:rsidR="007524AC" w:rsidRPr="00F64569" w:rsidRDefault="007524AC" w:rsidP="00E347ED">
            <w:pPr>
              <w:widowControl w:val="0"/>
              <w:autoSpaceDE w:val="0"/>
              <w:autoSpaceDN w:val="0"/>
              <w:spacing w:before="1" w:after="0" w:line="240" w:lineRule="auto"/>
              <w:ind w:left="1136" w:right="832"/>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Definicija</w:t>
            </w:r>
          </w:p>
        </w:tc>
        <w:tc>
          <w:tcPr>
            <w:tcW w:w="531" w:type="pct"/>
            <w:shd w:val="clear" w:color="auto" w:fill="BFBFBF"/>
          </w:tcPr>
          <w:p w14:paraId="293C7223" w14:textId="77777777" w:rsidR="007524AC" w:rsidRPr="00F64569" w:rsidRDefault="007524AC" w:rsidP="00E347ED">
            <w:pPr>
              <w:widowControl w:val="0"/>
              <w:autoSpaceDE w:val="0"/>
              <w:autoSpaceDN w:val="0"/>
              <w:spacing w:after="0" w:line="240" w:lineRule="auto"/>
              <w:jc w:val="both"/>
              <w:rPr>
                <w:rFonts w:ascii="Times New Roman" w:eastAsia="Arial MT" w:hAnsi="Times New Roman" w:cs="Times New Roman"/>
                <w:b/>
                <w:sz w:val="20"/>
                <w:szCs w:val="20"/>
              </w:rPr>
            </w:pPr>
          </w:p>
          <w:p w14:paraId="0EF380E9" w14:textId="77777777" w:rsidR="007524AC" w:rsidRPr="00F64569" w:rsidRDefault="007524AC" w:rsidP="00E347ED">
            <w:pPr>
              <w:widowControl w:val="0"/>
              <w:autoSpaceDE w:val="0"/>
              <w:autoSpaceDN w:val="0"/>
              <w:spacing w:before="1" w:after="0" w:line="240" w:lineRule="auto"/>
              <w:ind w:left="112" w:right="105"/>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Jedinica</w:t>
            </w:r>
          </w:p>
        </w:tc>
        <w:tc>
          <w:tcPr>
            <w:tcW w:w="619" w:type="pct"/>
            <w:shd w:val="clear" w:color="auto" w:fill="BFBFBF"/>
          </w:tcPr>
          <w:p w14:paraId="2EA5161B" w14:textId="77777777" w:rsidR="007524AC" w:rsidRPr="00F64569" w:rsidRDefault="007524AC" w:rsidP="00E347ED">
            <w:pPr>
              <w:widowControl w:val="0"/>
              <w:autoSpaceDE w:val="0"/>
              <w:autoSpaceDN w:val="0"/>
              <w:spacing w:after="0" w:line="206" w:lineRule="exact"/>
              <w:ind w:left="122" w:right="121"/>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Ciljana</w:t>
            </w:r>
          </w:p>
          <w:p w14:paraId="0E4DCAC6" w14:textId="77777777" w:rsidR="007524AC" w:rsidRPr="00F64569" w:rsidRDefault="007524AC" w:rsidP="00E347ED">
            <w:pPr>
              <w:widowControl w:val="0"/>
              <w:autoSpaceDE w:val="0"/>
              <w:autoSpaceDN w:val="0"/>
              <w:spacing w:after="0" w:line="206" w:lineRule="exact"/>
              <w:ind w:left="124" w:right="121"/>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vrijednost</w:t>
            </w:r>
            <w:r w:rsidRPr="00F64569">
              <w:rPr>
                <w:rFonts w:ascii="Times New Roman" w:eastAsia="Arial MT" w:hAnsi="Times New Roman" w:cs="Times New Roman"/>
                <w:b/>
                <w:spacing w:val="-47"/>
                <w:sz w:val="20"/>
                <w:szCs w:val="20"/>
              </w:rPr>
              <w:t xml:space="preserve">   </w:t>
            </w:r>
            <w:r w:rsidRPr="00F64569">
              <w:rPr>
                <w:rFonts w:ascii="Times New Roman" w:eastAsia="Arial MT" w:hAnsi="Times New Roman" w:cs="Times New Roman"/>
                <w:b/>
                <w:sz w:val="20"/>
                <w:szCs w:val="20"/>
              </w:rPr>
              <w:t>2024.</w:t>
            </w:r>
          </w:p>
        </w:tc>
        <w:tc>
          <w:tcPr>
            <w:tcW w:w="610" w:type="pct"/>
            <w:shd w:val="clear" w:color="auto" w:fill="BFBFBF"/>
          </w:tcPr>
          <w:p w14:paraId="5968D3E9" w14:textId="77777777" w:rsidR="007524AC" w:rsidRPr="00F64569" w:rsidRDefault="007524AC" w:rsidP="00E347ED">
            <w:pPr>
              <w:widowControl w:val="0"/>
              <w:autoSpaceDE w:val="0"/>
              <w:autoSpaceDN w:val="0"/>
              <w:spacing w:after="0" w:line="205" w:lineRule="exact"/>
              <w:ind w:left="89"/>
              <w:jc w:val="both"/>
              <w:rPr>
                <w:rFonts w:ascii="Times New Roman" w:eastAsia="Arial MT" w:hAnsi="Times New Roman" w:cs="Times New Roman"/>
                <w:b/>
                <w:sz w:val="20"/>
                <w:szCs w:val="20"/>
              </w:rPr>
            </w:pPr>
            <w:r>
              <w:rPr>
                <w:rFonts w:ascii="Times New Roman" w:eastAsia="Arial MT" w:hAnsi="Times New Roman" w:cs="Times New Roman"/>
                <w:b/>
                <w:sz w:val="20"/>
                <w:szCs w:val="20"/>
              </w:rPr>
              <w:t>Izvršenje</w:t>
            </w:r>
          </w:p>
        </w:tc>
        <w:tc>
          <w:tcPr>
            <w:tcW w:w="534" w:type="pct"/>
            <w:shd w:val="clear" w:color="auto" w:fill="BFBFBF"/>
          </w:tcPr>
          <w:p w14:paraId="25968483" w14:textId="77777777" w:rsidR="007524AC" w:rsidRPr="00F64569" w:rsidRDefault="007524AC" w:rsidP="00E347ED">
            <w:pPr>
              <w:widowControl w:val="0"/>
              <w:autoSpaceDE w:val="0"/>
              <w:autoSpaceDN w:val="0"/>
              <w:spacing w:after="0" w:line="240" w:lineRule="auto"/>
              <w:ind w:left="130" w:right="115" w:firstLine="134"/>
              <w:jc w:val="both"/>
              <w:rPr>
                <w:rFonts w:ascii="Times New Roman" w:eastAsia="Arial MT" w:hAnsi="Times New Roman" w:cs="Times New Roman"/>
                <w:b/>
                <w:sz w:val="20"/>
                <w:szCs w:val="20"/>
              </w:rPr>
            </w:pPr>
            <w:r>
              <w:rPr>
                <w:rFonts w:ascii="Times New Roman" w:eastAsia="Arial MT" w:hAnsi="Times New Roman" w:cs="Times New Roman"/>
                <w:b/>
                <w:sz w:val="20"/>
                <w:szCs w:val="20"/>
              </w:rPr>
              <w:t>Indeks</w:t>
            </w:r>
          </w:p>
        </w:tc>
      </w:tr>
      <w:tr w:rsidR="007524AC" w:rsidRPr="00F64569" w14:paraId="27A4CDE3" w14:textId="77777777" w:rsidTr="00E347ED">
        <w:trPr>
          <w:trHeight w:val="620"/>
          <w:jc w:val="center"/>
        </w:trPr>
        <w:tc>
          <w:tcPr>
            <w:tcW w:w="1052" w:type="pct"/>
            <w:shd w:val="clear" w:color="auto" w:fill="auto"/>
          </w:tcPr>
          <w:p w14:paraId="63ABA4B6" w14:textId="1229E7E4" w:rsidR="007524AC" w:rsidRPr="00F64569" w:rsidRDefault="007524AC" w:rsidP="00E347ED">
            <w:pPr>
              <w:widowControl w:val="0"/>
              <w:autoSpaceDE w:val="0"/>
              <w:autoSpaceDN w:val="0"/>
              <w:spacing w:before="1" w:after="0" w:line="240" w:lineRule="auto"/>
              <w:ind w:right="109"/>
              <w:jc w:val="center"/>
              <w:rPr>
                <w:rFonts w:ascii="Times New Roman" w:eastAsia="Arial MT" w:hAnsi="Times New Roman" w:cs="Times New Roman"/>
              </w:rPr>
            </w:pPr>
            <w:r>
              <w:rPr>
                <w:rFonts w:ascii="Times New Roman" w:eastAsia="Arial MT" w:hAnsi="Times New Roman" w:cs="Times New Roman"/>
              </w:rPr>
              <w:t>Broj kilometar asfaltiranih nerazvrstanih cesta</w:t>
            </w:r>
          </w:p>
        </w:tc>
        <w:tc>
          <w:tcPr>
            <w:tcW w:w="1653" w:type="pct"/>
            <w:shd w:val="clear" w:color="auto" w:fill="auto"/>
          </w:tcPr>
          <w:p w14:paraId="4ADAD8BF" w14:textId="16246FBF" w:rsidR="007524AC" w:rsidRPr="00F64569" w:rsidRDefault="007524AC" w:rsidP="00E347ED">
            <w:pPr>
              <w:widowControl w:val="0"/>
              <w:autoSpaceDE w:val="0"/>
              <w:autoSpaceDN w:val="0"/>
              <w:spacing w:after="0" w:line="187" w:lineRule="exact"/>
              <w:ind w:left="105"/>
              <w:jc w:val="center"/>
              <w:rPr>
                <w:rFonts w:ascii="Times New Roman" w:eastAsia="Arial MT" w:hAnsi="Times New Roman" w:cs="Times New Roman"/>
              </w:rPr>
            </w:pPr>
            <w:r>
              <w:rPr>
                <w:rFonts w:ascii="Times New Roman" w:eastAsia="Arial MT" w:hAnsi="Times New Roman" w:cs="Times New Roman"/>
              </w:rPr>
              <w:t>Nove asfaltirane ceste</w:t>
            </w:r>
          </w:p>
        </w:tc>
        <w:tc>
          <w:tcPr>
            <w:tcW w:w="531" w:type="pct"/>
            <w:shd w:val="clear" w:color="auto" w:fill="auto"/>
          </w:tcPr>
          <w:p w14:paraId="48B9F02D" w14:textId="2F235DB1" w:rsidR="007524AC" w:rsidRPr="00F64569" w:rsidRDefault="007524AC" w:rsidP="00E347ED">
            <w:pPr>
              <w:widowControl w:val="0"/>
              <w:autoSpaceDE w:val="0"/>
              <w:autoSpaceDN w:val="0"/>
              <w:spacing w:before="1" w:after="0" w:line="240" w:lineRule="auto"/>
              <w:ind w:right="137"/>
              <w:jc w:val="center"/>
              <w:rPr>
                <w:rFonts w:ascii="Times New Roman" w:eastAsia="Arial MT" w:hAnsi="Times New Roman" w:cs="Times New Roman"/>
              </w:rPr>
            </w:pPr>
            <w:r>
              <w:rPr>
                <w:rFonts w:ascii="Times New Roman" w:eastAsia="Arial MT" w:hAnsi="Times New Roman" w:cs="Times New Roman"/>
              </w:rPr>
              <w:t>Km</w:t>
            </w:r>
          </w:p>
        </w:tc>
        <w:tc>
          <w:tcPr>
            <w:tcW w:w="619" w:type="pct"/>
            <w:shd w:val="clear" w:color="auto" w:fill="auto"/>
          </w:tcPr>
          <w:p w14:paraId="203FD18E" w14:textId="50F36160" w:rsidR="007524AC" w:rsidRPr="00F64569" w:rsidRDefault="007524AC" w:rsidP="00E347ED">
            <w:pPr>
              <w:widowControl w:val="0"/>
              <w:autoSpaceDE w:val="0"/>
              <w:autoSpaceDN w:val="0"/>
              <w:spacing w:after="0" w:line="240" w:lineRule="auto"/>
              <w:ind w:right="121"/>
              <w:jc w:val="center"/>
              <w:rPr>
                <w:rFonts w:ascii="Times New Roman" w:eastAsia="Arial MT" w:hAnsi="Times New Roman" w:cs="Times New Roman"/>
              </w:rPr>
            </w:pPr>
            <w:r>
              <w:rPr>
                <w:rFonts w:ascii="Times New Roman" w:eastAsia="Arial MT" w:hAnsi="Times New Roman" w:cs="Times New Roman"/>
              </w:rPr>
              <w:t>1,5</w:t>
            </w:r>
          </w:p>
        </w:tc>
        <w:tc>
          <w:tcPr>
            <w:tcW w:w="610" w:type="pct"/>
            <w:shd w:val="clear" w:color="auto" w:fill="auto"/>
          </w:tcPr>
          <w:p w14:paraId="4B56FAF1" w14:textId="346E7090" w:rsidR="007524AC" w:rsidRPr="00F64569" w:rsidRDefault="007524AC" w:rsidP="00E347ED">
            <w:pPr>
              <w:widowControl w:val="0"/>
              <w:autoSpaceDE w:val="0"/>
              <w:autoSpaceDN w:val="0"/>
              <w:spacing w:after="0" w:line="240" w:lineRule="auto"/>
              <w:ind w:right="460"/>
              <w:jc w:val="center"/>
              <w:rPr>
                <w:rFonts w:ascii="Times New Roman" w:eastAsia="Arial MT" w:hAnsi="Times New Roman" w:cs="Times New Roman"/>
              </w:rPr>
            </w:pPr>
            <w:r>
              <w:rPr>
                <w:rFonts w:ascii="Times New Roman" w:eastAsia="Arial MT" w:hAnsi="Times New Roman" w:cs="Times New Roman"/>
              </w:rPr>
              <w:t>2,2</w:t>
            </w:r>
          </w:p>
        </w:tc>
        <w:tc>
          <w:tcPr>
            <w:tcW w:w="534" w:type="pct"/>
          </w:tcPr>
          <w:p w14:paraId="62E5DEE4" w14:textId="227D98C2" w:rsidR="007524AC" w:rsidRPr="00F64569" w:rsidRDefault="007524AC" w:rsidP="00E347ED">
            <w:pPr>
              <w:widowControl w:val="0"/>
              <w:autoSpaceDE w:val="0"/>
              <w:autoSpaceDN w:val="0"/>
              <w:spacing w:after="0" w:line="240" w:lineRule="auto"/>
              <w:jc w:val="center"/>
              <w:rPr>
                <w:rFonts w:ascii="Times New Roman" w:eastAsia="Arial MT" w:hAnsi="Times New Roman" w:cs="Times New Roman"/>
              </w:rPr>
            </w:pPr>
            <w:r>
              <w:rPr>
                <w:rFonts w:ascii="Times New Roman" w:eastAsia="Arial MT" w:hAnsi="Times New Roman" w:cs="Times New Roman"/>
              </w:rPr>
              <w:t>146,67</w:t>
            </w:r>
          </w:p>
        </w:tc>
      </w:tr>
    </w:tbl>
    <w:p w14:paraId="55CFFEA8" w14:textId="77777777" w:rsidR="0023171A" w:rsidRPr="0023171A" w:rsidRDefault="0023171A" w:rsidP="0023171A">
      <w:pPr>
        <w:rPr>
          <w:lang w:eastAsia="ar-SA"/>
        </w:rPr>
      </w:pPr>
    </w:p>
    <w:p w14:paraId="24963CB7" w14:textId="77777777" w:rsidR="00ED4254" w:rsidRDefault="00722358" w:rsidP="00E40FD3">
      <w:pPr>
        <w:pStyle w:val="Naslov"/>
        <w:tabs>
          <w:tab w:val="left" w:pos="0"/>
        </w:tabs>
        <w:ind w:firstLine="567"/>
        <w:jc w:val="both"/>
        <w:outlineLvl w:val="0"/>
        <w:rPr>
          <w:rFonts w:ascii="Times New Roman" w:hAnsi="Times New Roman" w:cs="Times New Roman"/>
          <w:b w:val="0"/>
          <w:sz w:val="22"/>
          <w:lang w:val="hr-HR"/>
        </w:rPr>
      </w:pPr>
      <w:r w:rsidRPr="00722358">
        <w:rPr>
          <w:rFonts w:ascii="Times New Roman" w:hAnsi="Times New Roman" w:cs="Times New Roman"/>
          <w:sz w:val="22"/>
          <w:lang w:val="hr-HR"/>
        </w:rPr>
        <w:t>Program 1012</w:t>
      </w:r>
      <w:r w:rsidRPr="00722358">
        <w:rPr>
          <w:rFonts w:ascii="Times New Roman" w:hAnsi="Times New Roman" w:cs="Times New Roman"/>
          <w:b w:val="0"/>
          <w:sz w:val="22"/>
          <w:lang w:val="hr-HR"/>
        </w:rPr>
        <w:t>– Sufinanciranje izrade projektne dokumentacije i izgradnje vodnih građevina na području Grada Garešnice</w:t>
      </w:r>
      <w:r w:rsidR="00ED4254">
        <w:rPr>
          <w:rFonts w:ascii="Times New Roman" w:hAnsi="Times New Roman" w:cs="Times New Roman"/>
          <w:b w:val="0"/>
          <w:sz w:val="22"/>
          <w:lang w:val="hr-HR"/>
        </w:rPr>
        <w:t>.</w:t>
      </w:r>
    </w:p>
    <w:p w14:paraId="03E7C960" w14:textId="3EEB6FB8" w:rsidR="00722358" w:rsidRPr="00722358" w:rsidRDefault="00ED4254" w:rsidP="00ED4254">
      <w:pPr>
        <w:pStyle w:val="Naslov"/>
        <w:tabs>
          <w:tab w:val="left" w:pos="0"/>
        </w:tabs>
        <w:jc w:val="both"/>
        <w:outlineLvl w:val="0"/>
        <w:rPr>
          <w:rFonts w:ascii="Times New Roman" w:hAnsi="Times New Roman" w:cs="Times New Roman"/>
          <w:b w:val="0"/>
          <w:sz w:val="22"/>
          <w:lang w:val="hr-HR"/>
        </w:rPr>
      </w:pPr>
      <w:r>
        <w:rPr>
          <w:rFonts w:ascii="Times New Roman" w:hAnsi="Times New Roman" w:cs="Times New Roman"/>
          <w:b w:val="0"/>
          <w:sz w:val="22"/>
          <w:lang w:val="hr-HR"/>
        </w:rPr>
        <w:t xml:space="preserve">Programom se </w:t>
      </w:r>
      <w:r w:rsidR="00722358" w:rsidRPr="00722358">
        <w:rPr>
          <w:rFonts w:ascii="Times New Roman" w:hAnsi="Times New Roman" w:cs="Times New Roman"/>
          <w:b w:val="0"/>
          <w:sz w:val="22"/>
          <w:lang w:val="hr-HR"/>
        </w:rPr>
        <w:t>sredstva su namijenjena za sufinanciranje projekata koje provodi trgovačko društvo Voda Garešnica d.o.o.</w:t>
      </w:r>
      <w:r w:rsidR="001F3DCD">
        <w:rPr>
          <w:rFonts w:ascii="Times New Roman" w:hAnsi="Times New Roman" w:cs="Times New Roman"/>
          <w:b w:val="0"/>
          <w:sz w:val="22"/>
          <w:lang w:val="hr-HR"/>
        </w:rPr>
        <w:t xml:space="preserve"> i kasnije Vodnim uslugama d.o.o.</w:t>
      </w:r>
      <w:r w:rsidR="00722358" w:rsidRPr="00722358">
        <w:rPr>
          <w:rFonts w:ascii="Times New Roman" w:hAnsi="Times New Roman" w:cs="Times New Roman"/>
          <w:b w:val="0"/>
          <w:sz w:val="22"/>
          <w:lang w:val="hr-HR"/>
        </w:rPr>
        <w:t xml:space="preserve"> </w:t>
      </w:r>
      <w:r>
        <w:rPr>
          <w:rFonts w:ascii="Times New Roman" w:hAnsi="Times New Roman" w:cs="Times New Roman"/>
          <w:b w:val="0"/>
          <w:sz w:val="22"/>
          <w:lang w:val="hr-HR"/>
        </w:rPr>
        <w:t>sa ciljem održavanja i poboljšanja opskrbe i distribucije</w:t>
      </w:r>
      <w:r w:rsidR="00C4223A">
        <w:rPr>
          <w:rFonts w:ascii="Times New Roman" w:hAnsi="Times New Roman" w:cs="Times New Roman"/>
          <w:b w:val="0"/>
          <w:sz w:val="22"/>
          <w:lang w:val="hr-HR"/>
        </w:rPr>
        <w:t xml:space="preserve"> vode putem</w:t>
      </w:r>
      <w:r>
        <w:rPr>
          <w:rFonts w:ascii="Times New Roman" w:hAnsi="Times New Roman" w:cs="Times New Roman"/>
          <w:b w:val="0"/>
          <w:sz w:val="22"/>
          <w:lang w:val="hr-HR"/>
        </w:rPr>
        <w:t xml:space="preserve"> vodoopskrbne mreže.</w:t>
      </w:r>
    </w:p>
    <w:p w14:paraId="426E257C" w14:textId="77777777" w:rsidR="00C4223A" w:rsidRDefault="00C4223A" w:rsidP="00C4223A">
      <w:pPr>
        <w:pStyle w:val="Podnaslov"/>
        <w:spacing w:after="0" w:line="240" w:lineRule="atLeast"/>
        <w:jc w:val="left"/>
        <w:rPr>
          <w:rFonts w:ascii="Times New Roman" w:eastAsiaTheme="minorHAnsi" w:hAnsi="Times New Roman"/>
          <w:sz w:val="22"/>
          <w:szCs w:val="22"/>
          <w:lang w:eastAsia="ar-SA"/>
        </w:rPr>
      </w:pPr>
    </w:p>
    <w:p w14:paraId="651C50A6" w14:textId="7DC67B1E" w:rsidR="00C4223A" w:rsidRPr="00C4223A" w:rsidRDefault="00C4223A" w:rsidP="00C4223A">
      <w:pPr>
        <w:pStyle w:val="Podnaslov"/>
        <w:spacing w:after="0" w:line="240" w:lineRule="atLeast"/>
        <w:jc w:val="left"/>
        <w:rPr>
          <w:rFonts w:ascii="Times New Roman" w:eastAsiaTheme="minorHAnsi" w:hAnsi="Times New Roman"/>
          <w:sz w:val="22"/>
          <w:szCs w:val="22"/>
          <w:lang w:eastAsia="ar-SA"/>
        </w:rPr>
      </w:pPr>
      <w:r w:rsidRPr="00C4223A">
        <w:rPr>
          <w:rFonts w:ascii="Times New Roman" w:eastAsiaTheme="minorHAnsi" w:hAnsi="Times New Roman"/>
          <w:sz w:val="22"/>
          <w:szCs w:val="22"/>
          <w:lang w:eastAsia="ar-SA"/>
        </w:rPr>
        <w:t>U sklopu programa planirane su i izvršene su slijedeće aktivnosti:</w:t>
      </w:r>
    </w:p>
    <w:tbl>
      <w:tblPr>
        <w:tblpPr w:leftFromText="180" w:rightFromText="180" w:vertAnchor="text" w:horzAnchor="margin" w:tblpY="12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32"/>
        <w:gridCol w:w="1696"/>
        <w:gridCol w:w="1558"/>
        <w:gridCol w:w="1274"/>
      </w:tblGrid>
      <w:tr w:rsidR="00C4223A" w:rsidRPr="00492A18" w14:paraId="38AF0523" w14:textId="77777777" w:rsidTr="00484918">
        <w:trPr>
          <w:trHeight w:val="460"/>
        </w:trPr>
        <w:tc>
          <w:tcPr>
            <w:tcW w:w="2501" w:type="pct"/>
            <w:shd w:val="clear" w:color="auto" w:fill="BFBFBF"/>
          </w:tcPr>
          <w:p w14:paraId="69C8409B" w14:textId="77777777" w:rsidR="00C4223A" w:rsidRPr="00492A18" w:rsidRDefault="00C4223A" w:rsidP="00484918">
            <w:pPr>
              <w:pStyle w:val="TableParagraph"/>
              <w:spacing w:before="110" w:line="240" w:lineRule="atLeast"/>
              <w:jc w:val="left"/>
              <w:rPr>
                <w:rFonts w:ascii="Times New Roman" w:hAnsi="Times New Roman" w:cs="Times New Roman"/>
                <w:b/>
                <w:sz w:val="20"/>
                <w:szCs w:val="20"/>
                <w:lang w:val="hr-HR"/>
              </w:rPr>
            </w:pPr>
            <w:r w:rsidRPr="00492A18">
              <w:rPr>
                <w:rFonts w:ascii="Times New Roman" w:hAnsi="Times New Roman" w:cs="Times New Roman"/>
                <w:b/>
                <w:sz w:val="20"/>
                <w:szCs w:val="20"/>
                <w:lang w:val="hr-HR"/>
              </w:rPr>
              <w:t>Naziv aktivnosti / projekta unutar programa</w:t>
            </w:r>
          </w:p>
        </w:tc>
        <w:tc>
          <w:tcPr>
            <w:tcW w:w="936" w:type="pct"/>
            <w:shd w:val="clear" w:color="auto" w:fill="BFBFBF"/>
          </w:tcPr>
          <w:p w14:paraId="426367A1" w14:textId="4D16FDFA" w:rsidR="00C4223A" w:rsidRPr="00492A18" w:rsidRDefault="00C4223A" w:rsidP="00484918">
            <w:pPr>
              <w:pStyle w:val="TableParagraph"/>
              <w:spacing w:line="240" w:lineRule="atLeast"/>
              <w:ind w:left="197" w:right="192"/>
              <w:jc w:val="center"/>
              <w:rPr>
                <w:rFonts w:ascii="Times New Roman" w:hAnsi="Times New Roman" w:cs="Times New Roman"/>
                <w:b/>
                <w:sz w:val="20"/>
                <w:szCs w:val="20"/>
                <w:lang w:val="hr-HR"/>
              </w:rPr>
            </w:pPr>
            <w:r w:rsidRPr="00492A18">
              <w:rPr>
                <w:rFonts w:ascii="Times New Roman" w:hAnsi="Times New Roman" w:cs="Times New Roman"/>
                <w:b/>
                <w:sz w:val="20"/>
                <w:szCs w:val="20"/>
                <w:lang w:val="hr-HR"/>
              </w:rPr>
              <w:t>Rebalans 202</w:t>
            </w:r>
            <w:r w:rsidR="005F0F5D">
              <w:rPr>
                <w:rFonts w:ascii="Times New Roman" w:hAnsi="Times New Roman" w:cs="Times New Roman"/>
                <w:b/>
                <w:sz w:val="20"/>
                <w:szCs w:val="20"/>
                <w:lang w:val="hr-HR"/>
              </w:rPr>
              <w:t>4</w:t>
            </w:r>
            <w:r w:rsidRPr="00492A18">
              <w:rPr>
                <w:rFonts w:ascii="Times New Roman" w:hAnsi="Times New Roman" w:cs="Times New Roman"/>
                <w:b/>
                <w:sz w:val="20"/>
                <w:szCs w:val="20"/>
                <w:lang w:val="hr-HR"/>
              </w:rPr>
              <w:t>.</w:t>
            </w:r>
          </w:p>
        </w:tc>
        <w:tc>
          <w:tcPr>
            <w:tcW w:w="860" w:type="pct"/>
            <w:shd w:val="clear" w:color="auto" w:fill="BFBFBF"/>
          </w:tcPr>
          <w:p w14:paraId="7A8B65D9" w14:textId="36F4DC23" w:rsidR="00C4223A" w:rsidRPr="00492A18" w:rsidRDefault="00C4223A" w:rsidP="00484918">
            <w:pPr>
              <w:pStyle w:val="TableParagraph"/>
              <w:spacing w:line="240" w:lineRule="atLeast"/>
              <w:ind w:left="197" w:right="192"/>
              <w:jc w:val="center"/>
              <w:rPr>
                <w:rFonts w:ascii="Times New Roman" w:hAnsi="Times New Roman" w:cs="Times New Roman"/>
                <w:b/>
                <w:sz w:val="20"/>
                <w:szCs w:val="20"/>
                <w:lang w:val="hr-HR"/>
              </w:rPr>
            </w:pPr>
            <w:r w:rsidRPr="00492A18">
              <w:rPr>
                <w:rFonts w:ascii="Times New Roman" w:hAnsi="Times New Roman" w:cs="Times New Roman"/>
                <w:b/>
                <w:sz w:val="20"/>
                <w:szCs w:val="20"/>
                <w:lang w:val="hr-HR"/>
              </w:rPr>
              <w:t>Izvršenje 202</w:t>
            </w:r>
            <w:r w:rsidR="005F0F5D">
              <w:rPr>
                <w:rFonts w:ascii="Times New Roman" w:hAnsi="Times New Roman" w:cs="Times New Roman"/>
                <w:b/>
                <w:sz w:val="20"/>
                <w:szCs w:val="20"/>
                <w:lang w:val="hr-HR"/>
              </w:rPr>
              <w:t>4</w:t>
            </w:r>
            <w:r w:rsidRPr="00492A18">
              <w:rPr>
                <w:rFonts w:ascii="Times New Roman" w:hAnsi="Times New Roman" w:cs="Times New Roman"/>
                <w:b/>
                <w:sz w:val="20"/>
                <w:szCs w:val="20"/>
                <w:lang w:val="hr-HR"/>
              </w:rPr>
              <w:t>.</w:t>
            </w:r>
          </w:p>
        </w:tc>
        <w:tc>
          <w:tcPr>
            <w:tcW w:w="703" w:type="pct"/>
            <w:shd w:val="clear" w:color="auto" w:fill="BFBFBF"/>
          </w:tcPr>
          <w:p w14:paraId="50CF3848" w14:textId="77777777" w:rsidR="00C4223A" w:rsidRPr="00492A18" w:rsidRDefault="00C4223A" w:rsidP="00484918">
            <w:pPr>
              <w:pStyle w:val="TableParagraph"/>
              <w:spacing w:line="240" w:lineRule="atLeast"/>
              <w:ind w:left="140" w:right="135"/>
              <w:jc w:val="center"/>
              <w:rPr>
                <w:rFonts w:ascii="Times New Roman" w:hAnsi="Times New Roman" w:cs="Times New Roman"/>
                <w:b/>
                <w:sz w:val="20"/>
                <w:szCs w:val="20"/>
                <w:lang w:val="hr-HR"/>
              </w:rPr>
            </w:pPr>
            <w:r w:rsidRPr="00492A18">
              <w:rPr>
                <w:rFonts w:ascii="Times New Roman" w:hAnsi="Times New Roman" w:cs="Times New Roman"/>
                <w:b/>
                <w:sz w:val="20"/>
                <w:szCs w:val="20"/>
                <w:lang w:val="hr-HR"/>
              </w:rPr>
              <w:t>Indeks</w:t>
            </w:r>
          </w:p>
        </w:tc>
      </w:tr>
      <w:tr w:rsidR="00C4223A" w:rsidRPr="00492A18" w14:paraId="5F7866AA" w14:textId="77777777" w:rsidTr="00484918">
        <w:trPr>
          <w:trHeight w:val="277"/>
        </w:trPr>
        <w:tc>
          <w:tcPr>
            <w:tcW w:w="2501" w:type="pct"/>
            <w:shd w:val="clear" w:color="auto" w:fill="auto"/>
          </w:tcPr>
          <w:p w14:paraId="2D64E788" w14:textId="4980F073" w:rsidR="00C4223A" w:rsidRPr="00492A18" w:rsidRDefault="00C4223A" w:rsidP="00484918">
            <w:pPr>
              <w:widowControl w:val="0"/>
              <w:autoSpaceDE w:val="0"/>
              <w:autoSpaceDN w:val="0"/>
              <w:spacing w:after="0" w:line="240" w:lineRule="atLeast"/>
              <w:rPr>
                <w:rFonts w:ascii="Times New Roman" w:hAnsi="Times New Roman"/>
                <w:sz w:val="20"/>
                <w:szCs w:val="20"/>
              </w:rPr>
            </w:pPr>
            <w:r>
              <w:rPr>
                <w:rFonts w:ascii="Times New Roman" w:hAnsi="Times New Roman"/>
                <w:sz w:val="20"/>
                <w:szCs w:val="20"/>
              </w:rPr>
              <w:t>Kapitalni projekt 101201 Sufinanciranje izmjene starog azbest-cementnog cjevovoda</w:t>
            </w:r>
          </w:p>
        </w:tc>
        <w:tc>
          <w:tcPr>
            <w:tcW w:w="936" w:type="pct"/>
            <w:shd w:val="clear" w:color="auto" w:fill="auto"/>
          </w:tcPr>
          <w:p w14:paraId="131321C1" w14:textId="465933A6" w:rsidR="00C4223A" w:rsidRPr="00492A18" w:rsidRDefault="001F3DCD" w:rsidP="00484918">
            <w:pPr>
              <w:pStyle w:val="TableParagraph"/>
              <w:spacing w:before="21" w:line="240" w:lineRule="atLeast"/>
              <w:ind w:right="98"/>
              <w:rPr>
                <w:rFonts w:ascii="Times New Roman" w:hAnsi="Times New Roman" w:cs="Times New Roman"/>
                <w:sz w:val="20"/>
                <w:szCs w:val="20"/>
                <w:lang w:val="hr-HR"/>
              </w:rPr>
            </w:pPr>
            <w:r>
              <w:rPr>
                <w:rFonts w:ascii="Times New Roman" w:hAnsi="Times New Roman" w:cs="Times New Roman"/>
                <w:sz w:val="20"/>
                <w:szCs w:val="20"/>
                <w:lang w:val="hr-HR"/>
              </w:rPr>
              <w:t>12.400,00</w:t>
            </w:r>
          </w:p>
        </w:tc>
        <w:tc>
          <w:tcPr>
            <w:tcW w:w="860" w:type="pct"/>
            <w:shd w:val="clear" w:color="auto" w:fill="auto"/>
          </w:tcPr>
          <w:p w14:paraId="60029851" w14:textId="798355E7" w:rsidR="00C4223A" w:rsidRPr="00492A18" w:rsidRDefault="001F3DCD" w:rsidP="00484918">
            <w:pPr>
              <w:pStyle w:val="TableParagraph"/>
              <w:spacing w:before="21" w:line="240" w:lineRule="atLeast"/>
              <w:ind w:right="98"/>
              <w:rPr>
                <w:rFonts w:ascii="Times New Roman" w:hAnsi="Times New Roman" w:cs="Times New Roman"/>
                <w:sz w:val="20"/>
                <w:szCs w:val="20"/>
                <w:lang w:val="hr-HR"/>
              </w:rPr>
            </w:pPr>
            <w:r>
              <w:rPr>
                <w:rFonts w:ascii="Times New Roman" w:hAnsi="Times New Roman" w:cs="Times New Roman"/>
                <w:sz w:val="20"/>
                <w:szCs w:val="20"/>
                <w:lang w:val="hr-HR"/>
              </w:rPr>
              <w:t>12.229,90</w:t>
            </w:r>
          </w:p>
        </w:tc>
        <w:tc>
          <w:tcPr>
            <w:tcW w:w="703" w:type="pct"/>
            <w:shd w:val="clear" w:color="auto" w:fill="auto"/>
          </w:tcPr>
          <w:p w14:paraId="5E9A45E6" w14:textId="16714E24" w:rsidR="00C4223A" w:rsidRPr="00492A18" w:rsidRDefault="001F3DCD" w:rsidP="00484918">
            <w:pPr>
              <w:pStyle w:val="TableParagraph"/>
              <w:spacing w:before="21" w:line="240" w:lineRule="atLeast"/>
              <w:ind w:right="98"/>
              <w:rPr>
                <w:rFonts w:ascii="Times New Roman" w:hAnsi="Times New Roman" w:cs="Times New Roman"/>
                <w:sz w:val="20"/>
                <w:szCs w:val="20"/>
                <w:lang w:val="hr-HR"/>
              </w:rPr>
            </w:pPr>
            <w:r>
              <w:rPr>
                <w:rFonts w:ascii="Times New Roman" w:hAnsi="Times New Roman" w:cs="Times New Roman"/>
                <w:sz w:val="20"/>
                <w:szCs w:val="20"/>
                <w:lang w:val="hr-HR"/>
              </w:rPr>
              <w:t>98,63</w:t>
            </w:r>
          </w:p>
        </w:tc>
      </w:tr>
      <w:tr w:rsidR="00C4223A" w:rsidRPr="00492A18" w14:paraId="4C7C1E2D" w14:textId="77777777" w:rsidTr="00484918">
        <w:trPr>
          <w:trHeight w:val="277"/>
        </w:trPr>
        <w:tc>
          <w:tcPr>
            <w:tcW w:w="2501" w:type="pct"/>
            <w:shd w:val="clear" w:color="auto" w:fill="auto"/>
          </w:tcPr>
          <w:p w14:paraId="290766FE" w14:textId="21C3D3F0" w:rsidR="00C4223A" w:rsidRPr="00492A18" w:rsidRDefault="00C4223A" w:rsidP="00484918">
            <w:pPr>
              <w:widowControl w:val="0"/>
              <w:autoSpaceDE w:val="0"/>
              <w:autoSpaceDN w:val="0"/>
              <w:spacing w:after="0" w:line="240" w:lineRule="atLeast"/>
              <w:rPr>
                <w:rFonts w:ascii="Times New Roman" w:hAnsi="Times New Roman"/>
                <w:w w:val="95"/>
                <w:sz w:val="20"/>
                <w:szCs w:val="20"/>
              </w:rPr>
            </w:pPr>
            <w:r>
              <w:rPr>
                <w:rFonts w:ascii="Times New Roman" w:hAnsi="Times New Roman"/>
                <w:sz w:val="20"/>
                <w:szCs w:val="20"/>
              </w:rPr>
              <w:t>Kapitalni projekt 101203 Sufinanciranje aglomeracije</w:t>
            </w:r>
          </w:p>
        </w:tc>
        <w:tc>
          <w:tcPr>
            <w:tcW w:w="936" w:type="pct"/>
            <w:shd w:val="clear" w:color="auto" w:fill="auto"/>
          </w:tcPr>
          <w:p w14:paraId="1C06F2F2" w14:textId="69C321CD" w:rsidR="00C4223A" w:rsidRPr="00492A18" w:rsidRDefault="001F3DCD" w:rsidP="00484918">
            <w:pPr>
              <w:pStyle w:val="TableParagraph"/>
              <w:spacing w:before="21" w:line="240" w:lineRule="atLeast"/>
              <w:ind w:right="98"/>
              <w:rPr>
                <w:rFonts w:ascii="Times New Roman" w:hAnsi="Times New Roman" w:cs="Times New Roman"/>
                <w:sz w:val="20"/>
                <w:szCs w:val="20"/>
                <w:lang w:val="hr-HR"/>
              </w:rPr>
            </w:pPr>
            <w:r>
              <w:rPr>
                <w:rFonts w:ascii="Times New Roman" w:hAnsi="Times New Roman" w:cs="Times New Roman"/>
                <w:sz w:val="20"/>
                <w:szCs w:val="20"/>
                <w:lang w:val="hr-HR"/>
              </w:rPr>
              <w:t>3.250,00</w:t>
            </w:r>
          </w:p>
        </w:tc>
        <w:tc>
          <w:tcPr>
            <w:tcW w:w="860" w:type="pct"/>
            <w:shd w:val="clear" w:color="auto" w:fill="auto"/>
          </w:tcPr>
          <w:p w14:paraId="51A2EB21" w14:textId="3EA03378" w:rsidR="00C4223A" w:rsidRPr="00492A18" w:rsidRDefault="001F3DCD" w:rsidP="00484918">
            <w:pPr>
              <w:pStyle w:val="TableParagraph"/>
              <w:spacing w:before="21" w:line="240" w:lineRule="atLeast"/>
              <w:ind w:right="98"/>
              <w:rPr>
                <w:rFonts w:ascii="Times New Roman" w:hAnsi="Times New Roman" w:cs="Times New Roman"/>
                <w:sz w:val="20"/>
                <w:szCs w:val="20"/>
                <w:lang w:val="hr-HR"/>
              </w:rPr>
            </w:pPr>
            <w:r>
              <w:rPr>
                <w:rFonts w:ascii="Times New Roman" w:hAnsi="Times New Roman" w:cs="Times New Roman"/>
                <w:sz w:val="20"/>
                <w:szCs w:val="20"/>
                <w:lang w:val="hr-HR"/>
              </w:rPr>
              <w:t>3.213,30</w:t>
            </w:r>
          </w:p>
        </w:tc>
        <w:tc>
          <w:tcPr>
            <w:tcW w:w="703" w:type="pct"/>
            <w:shd w:val="clear" w:color="auto" w:fill="auto"/>
          </w:tcPr>
          <w:p w14:paraId="72233A2F" w14:textId="5CF5CBB5" w:rsidR="00C4223A" w:rsidRPr="00492A18" w:rsidRDefault="001F3DCD" w:rsidP="00484918">
            <w:pPr>
              <w:pStyle w:val="TableParagraph"/>
              <w:spacing w:before="21" w:line="240" w:lineRule="atLeast"/>
              <w:ind w:right="98"/>
              <w:rPr>
                <w:rFonts w:ascii="Times New Roman" w:hAnsi="Times New Roman" w:cs="Times New Roman"/>
                <w:sz w:val="20"/>
                <w:szCs w:val="20"/>
                <w:lang w:val="hr-HR"/>
              </w:rPr>
            </w:pPr>
            <w:r>
              <w:rPr>
                <w:rFonts w:ascii="Times New Roman" w:hAnsi="Times New Roman" w:cs="Times New Roman"/>
                <w:sz w:val="20"/>
                <w:szCs w:val="20"/>
                <w:lang w:val="hr-HR"/>
              </w:rPr>
              <w:t>98,87</w:t>
            </w:r>
          </w:p>
        </w:tc>
      </w:tr>
      <w:tr w:rsidR="001F3DCD" w:rsidRPr="00492A18" w14:paraId="48119955" w14:textId="77777777" w:rsidTr="00484918">
        <w:trPr>
          <w:trHeight w:val="376"/>
        </w:trPr>
        <w:tc>
          <w:tcPr>
            <w:tcW w:w="2501" w:type="pct"/>
            <w:shd w:val="clear" w:color="auto" w:fill="auto"/>
          </w:tcPr>
          <w:p w14:paraId="15F33780" w14:textId="74695F8C" w:rsidR="001F3DCD" w:rsidRDefault="001F3DCD" w:rsidP="00484918">
            <w:pPr>
              <w:widowControl w:val="0"/>
              <w:autoSpaceDE w:val="0"/>
              <w:autoSpaceDN w:val="0"/>
              <w:spacing w:after="0" w:line="240" w:lineRule="atLeast"/>
              <w:rPr>
                <w:rFonts w:ascii="Times New Roman" w:hAnsi="Times New Roman"/>
                <w:sz w:val="20"/>
                <w:szCs w:val="20"/>
              </w:rPr>
            </w:pPr>
            <w:r>
              <w:rPr>
                <w:rFonts w:ascii="Times New Roman" w:hAnsi="Times New Roman"/>
                <w:sz w:val="20"/>
                <w:szCs w:val="20"/>
              </w:rPr>
              <w:t xml:space="preserve">Kapitalni projekt 101204 Sufinanciranje izgradnje vodovoda </w:t>
            </w:r>
            <w:proofErr w:type="spellStart"/>
            <w:r>
              <w:rPr>
                <w:rFonts w:ascii="Times New Roman" w:hAnsi="Times New Roman"/>
                <w:sz w:val="20"/>
                <w:szCs w:val="20"/>
              </w:rPr>
              <w:t>Dišnik</w:t>
            </w:r>
            <w:proofErr w:type="spellEnd"/>
          </w:p>
        </w:tc>
        <w:tc>
          <w:tcPr>
            <w:tcW w:w="936" w:type="pct"/>
            <w:shd w:val="clear" w:color="auto" w:fill="auto"/>
          </w:tcPr>
          <w:p w14:paraId="2EA4F960" w14:textId="555C5890" w:rsidR="001F3DCD" w:rsidRDefault="001F3DCD" w:rsidP="00484918">
            <w:pPr>
              <w:pStyle w:val="TableParagraph"/>
              <w:spacing w:before="21" w:line="240" w:lineRule="atLeast"/>
              <w:ind w:right="98"/>
              <w:rPr>
                <w:rFonts w:ascii="Times New Roman" w:hAnsi="Times New Roman" w:cs="Times New Roman"/>
                <w:sz w:val="20"/>
                <w:szCs w:val="20"/>
                <w:lang w:val="hr-HR"/>
              </w:rPr>
            </w:pPr>
            <w:r>
              <w:rPr>
                <w:rFonts w:ascii="Times New Roman" w:hAnsi="Times New Roman" w:cs="Times New Roman"/>
                <w:sz w:val="20"/>
                <w:szCs w:val="20"/>
                <w:lang w:val="hr-HR"/>
              </w:rPr>
              <w:t>2.000,00</w:t>
            </w:r>
          </w:p>
        </w:tc>
        <w:tc>
          <w:tcPr>
            <w:tcW w:w="860" w:type="pct"/>
            <w:shd w:val="clear" w:color="auto" w:fill="auto"/>
          </w:tcPr>
          <w:p w14:paraId="09FFA37B" w14:textId="54AF3E62" w:rsidR="001F3DCD" w:rsidRDefault="001F3DCD" w:rsidP="00484918">
            <w:pPr>
              <w:pStyle w:val="TableParagraph"/>
              <w:spacing w:before="21" w:line="240" w:lineRule="atLeast"/>
              <w:ind w:right="98"/>
              <w:rPr>
                <w:rFonts w:ascii="Times New Roman" w:hAnsi="Times New Roman" w:cs="Times New Roman"/>
                <w:sz w:val="20"/>
                <w:szCs w:val="20"/>
                <w:lang w:val="hr-HR"/>
              </w:rPr>
            </w:pPr>
            <w:r>
              <w:rPr>
                <w:rFonts w:ascii="Times New Roman" w:hAnsi="Times New Roman" w:cs="Times New Roman"/>
                <w:sz w:val="20"/>
                <w:szCs w:val="20"/>
                <w:lang w:val="hr-HR"/>
              </w:rPr>
              <w:t>1.956,29</w:t>
            </w:r>
          </w:p>
        </w:tc>
        <w:tc>
          <w:tcPr>
            <w:tcW w:w="703" w:type="pct"/>
            <w:shd w:val="clear" w:color="auto" w:fill="auto"/>
          </w:tcPr>
          <w:p w14:paraId="2F2F63BA" w14:textId="5EFB8805" w:rsidR="001F3DCD" w:rsidRDefault="001F3DCD" w:rsidP="00484918">
            <w:pPr>
              <w:pStyle w:val="TableParagraph"/>
              <w:spacing w:before="21" w:line="240" w:lineRule="atLeast"/>
              <w:ind w:right="98"/>
              <w:rPr>
                <w:rFonts w:ascii="Times New Roman" w:hAnsi="Times New Roman" w:cs="Times New Roman"/>
                <w:sz w:val="20"/>
                <w:szCs w:val="20"/>
                <w:lang w:val="hr-HR"/>
              </w:rPr>
            </w:pPr>
            <w:r>
              <w:rPr>
                <w:rFonts w:ascii="Times New Roman" w:hAnsi="Times New Roman" w:cs="Times New Roman"/>
                <w:sz w:val="20"/>
                <w:szCs w:val="20"/>
                <w:lang w:val="hr-HR"/>
              </w:rPr>
              <w:t>97,81</w:t>
            </w:r>
          </w:p>
        </w:tc>
      </w:tr>
      <w:tr w:rsidR="00C4223A" w:rsidRPr="00492A18" w14:paraId="7A98DA81" w14:textId="77777777" w:rsidTr="00484918">
        <w:trPr>
          <w:trHeight w:val="236"/>
        </w:trPr>
        <w:tc>
          <w:tcPr>
            <w:tcW w:w="2501" w:type="pct"/>
            <w:shd w:val="clear" w:color="auto" w:fill="auto"/>
          </w:tcPr>
          <w:p w14:paraId="1F399186" w14:textId="1B32712E" w:rsidR="00C4223A" w:rsidRDefault="003C1304" w:rsidP="00484918">
            <w:pPr>
              <w:widowControl w:val="0"/>
              <w:autoSpaceDE w:val="0"/>
              <w:autoSpaceDN w:val="0"/>
              <w:spacing w:after="0" w:line="240" w:lineRule="atLeast"/>
              <w:rPr>
                <w:rFonts w:ascii="Times New Roman" w:hAnsi="Times New Roman"/>
                <w:sz w:val="20"/>
                <w:szCs w:val="20"/>
              </w:rPr>
            </w:pPr>
            <w:r>
              <w:rPr>
                <w:rFonts w:ascii="Times New Roman" w:hAnsi="Times New Roman"/>
                <w:sz w:val="20"/>
                <w:szCs w:val="20"/>
              </w:rPr>
              <w:t xml:space="preserve">Kapitalni projekt 101217 Sufinanciranje magistralnog cjevovoda </w:t>
            </w:r>
            <w:proofErr w:type="spellStart"/>
            <w:r>
              <w:rPr>
                <w:rFonts w:ascii="Times New Roman" w:hAnsi="Times New Roman"/>
                <w:sz w:val="20"/>
                <w:szCs w:val="20"/>
              </w:rPr>
              <w:t>Vel.Trnovitica</w:t>
            </w:r>
            <w:proofErr w:type="spellEnd"/>
            <w:r>
              <w:rPr>
                <w:rFonts w:ascii="Times New Roman" w:hAnsi="Times New Roman"/>
                <w:sz w:val="20"/>
                <w:szCs w:val="20"/>
              </w:rPr>
              <w:t xml:space="preserve"> - Garešnica</w:t>
            </w:r>
          </w:p>
        </w:tc>
        <w:tc>
          <w:tcPr>
            <w:tcW w:w="936" w:type="pct"/>
            <w:shd w:val="clear" w:color="auto" w:fill="auto"/>
          </w:tcPr>
          <w:p w14:paraId="7E9088C8" w14:textId="1BA7BBA2" w:rsidR="00C4223A" w:rsidRDefault="001F3DCD" w:rsidP="00484918">
            <w:pPr>
              <w:pStyle w:val="TableParagraph"/>
              <w:spacing w:before="21" w:line="240" w:lineRule="atLeast"/>
              <w:ind w:right="98"/>
              <w:rPr>
                <w:rFonts w:ascii="Times New Roman" w:hAnsi="Times New Roman" w:cs="Times New Roman"/>
                <w:sz w:val="20"/>
                <w:szCs w:val="20"/>
                <w:lang w:val="hr-HR"/>
              </w:rPr>
            </w:pPr>
            <w:r>
              <w:rPr>
                <w:rFonts w:ascii="Times New Roman" w:hAnsi="Times New Roman" w:cs="Times New Roman"/>
                <w:sz w:val="20"/>
                <w:szCs w:val="20"/>
                <w:lang w:val="hr-HR"/>
              </w:rPr>
              <w:t>38.800,00</w:t>
            </w:r>
          </w:p>
        </w:tc>
        <w:tc>
          <w:tcPr>
            <w:tcW w:w="860" w:type="pct"/>
            <w:shd w:val="clear" w:color="auto" w:fill="auto"/>
          </w:tcPr>
          <w:p w14:paraId="09DC6F53" w14:textId="1D910F0F" w:rsidR="00C4223A" w:rsidRDefault="001F3DCD" w:rsidP="00484918">
            <w:pPr>
              <w:pStyle w:val="TableParagraph"/>
              <w:spacing w:before="21" w:line="240" w:lineRule="atLeast"/>
              <w:ind w:right="98"/>
              <w:rPr>
                <w:rFonts w:ascii="Times New Roman" w:hAnsi="Times New Roman" w:cs="Times New Roman"/>
                <w:sz w:val="20"/>
                <w:szCs w:val="20"/>
                <w:lang w:val="hr-HR"/>
              </w:rPr>
            </w:pPr>
            <w:r>
              <w:rPr>
                <w:rFonts w:ascii="Times New Roman" w:hAnsi="Times New Roman" w:cs="Times New Roman"/>
                <w:sz w:val="20"/>
                <w:szCs w:val="20"/>
                <w:lang w:val="hr-HR"/>
              </w:rPr>
              <w:t>36.266,38</w:t>
            </w:r>
          </w:p>
        </w:tc>
        <w:tc>
          <w:tcPr>
            <w:tcW w:w="703" w:type="pct"/>
            <w:shd w:val="clear" w:color="auto" w:fill="auto"/>
          </w:tcPr>
          <w:p w14:paraId="68A770A2" w14:textId="24F49162" w:rsidR="00C4223A" w:rsidRDefault="001F3DCD" w:rsidP="00484918">
            <w:pPr>
              <w:pStyle w:val="TableParagraph"/>
              <w:spacing w:before="21" w:line="240" w:lineRule="atLeast"/>
              <w:ind w:right="98"/>
              <w:rPr>
                <w:rFonts w:ascii="Times New Roman" w:hAnsi="Times New Roman" w:cs="Times New Roman"/>
                <w:sz w:val="20"/>
                <w:szCs w:val="20"/>
                <w:lang w:val="hr-HR"/>
              </w:rPr>
            </w:pPr>
            <w:r>
              <w:rPr>
                <w:rFonts w:ascii="Times New Roman" w:hAnsi="Times New Roman" w:cs="Times New Roman"/>
                <w:sz w:val="20"/>
                <w:szCs w:val="20"/>
                <w:lang w:val="hr-HR"/>
              </w:rPr>
              <w:t>93,47</w:t>
            </w:r>
          </w:p>
        </w:tc>
      </w:tr>
      <w:tr w:rsidR="001F3DCD" w:rsidRPr="00492A18" w14:paraId="441F9597" w14:textId="77777777" w:rsidTr="00484918">
        <w:trPr>
          <w:trHeight w:val="236"/>
        </w:trPr>
        <w:tc>
          <w:tcPr>
            <w:tcW w:w="2501" w:type="pct"/>
            <w:shd w:val="clear" w:color="auto" w:fill="auto"/>
          </w:tcPr>
          <w:p w14:paraId="27E658C3" w14:textId="28BC1170" w:rsidR="001F3DCD" w:rsidRDefault="001F3DCD" w:rsidP="00484918">
            <w:pPr>
              <w:widowControl w:val="0"/>
              <w:autoSpaceDE w:val="0"/>
              <w:autoSpaceDN w:val="0"/>
              <w:spacing w:after="0" w:line="240" w:lineRule="atLeast"/>
              <w:rPr>
                <w:rFonts w:ascii="Times New Roman" w:hAnsi="Times New Roman"/>
                <w:sz w:val="20"/>
                <w:szCs w:val="20"/>
              </w:rPr>
            </w:pPr>
            <w:r>
              <w:rPr>
                <w:rFonts w:ascii="Times New Roman" w:hAnsi="Times New Roman"/>
                <w:sz w:val="20"/>
                <w:szCs w:val="20"/>
              </w:rPr>
              <w:t>Kapitalni projekt 101218 Sufinanciranje sanacije problematičnih parametara u vodi</w:t>
            </w:r>
          </w:p>
        </w:tc>
        <w:tc>
          <w:tcPr>
            <w:tcW w:w="936" w:type="pct"/>
            <w:shd w:val="clear" w:color="auto" w:fill="auto"/>
          </w:tcPr>
          <w:p w14:paraId="4AE7F4B9" w14:textId="0B2C73DD" w:rsidR="001F3DCD" w:rsidRDefault="001F3DCD" w:rsidP="00484918">
            <w:pPr>
              <w:pStyle w:val="TableParagraph"/>
              <w:spacing w:before="21" w:line="240" w:lineRule="atLeast"/>
              <w:ind w:right="98"/>
              <w:rPr>
                <w:rFonts w:ascii="Times New Roman" w:hAnsi="Times New Roman" w:cs="Times New Roman"/>
                <w:sz w:val="20"/>
                <w:szCs w:val="20"/>
                <w:lang w:val="hr-HR"/>
              </w:rPr>
            </w:pPr>
            <w:r>
              <w:rPr>
                <w:rFonts w:ascii="Times New Roman" w:hAnsi="Times New Roman" w:cs="Times New Roman"/>
                <w:sz w:val="20"/>
                <w:szCs w:val="20"/>
                <w:lang w:val="hr-HR"/>
              </w:rPr>
              <w:t>3.250,00</w:t>
            </w:r>
          </w:p>
        </w:tc>
        <w:tc>
          <w:tcPr>
            <w:tcW w:w="860" w:type="pct"/>
            <w:shd w:val="clear" w:color="auto" w:fill="auto"/>
          </w:tcPr>
          <w:p w14:paraId="3FA44CC7" w14:textId="027243A5" w:rsidR="001F3DCD" w:rsidRDefault="001F3DCD" w:rsidP="00484918">
            <w:pPr>
              <w:pStyle w:val="TableParagraph"/>
              <w:spacing w:before="21" w:line="240" w:lineRule="atLeast"/>
              <w:ind w:right="98"/>
              <w:rPr>
                <w:rFonts w:ascii="Times New Roman" w:hAnsi="Times New Roman" w:cs="Times New Roman"/>
                <w:sz w:val="20"/>
                <w:szCs w:val="20"/>
                <w:lang w:val="hr-HR"/>
              </w:rPr>
            </w:pPr>
            <w:r>
              <w:rPr>
                <w:rFonts w:ascii="Times New Roman" w:hAnsi="Times New Roman" w:cs="Times New Roman"/>
                <w:sz w:val="20"/>
                <w:szCs w:val="20"/>
                <w:lang w:val="hr-HR"/>
              </w:rPr>
              <w:t>3.240,00</w:t>
            </w:r>
          </w:p>
        </w:tc>
        <w:tc>
          <w:tcPr>
            <w:tcW w:w="703" w:type="pct"/>
            <w:shd w:val="clear" w:color="auto" w:fill="auto"/>
          </w:tcPr>
          <w:p w14:paraId="1D223387" w14:textId="68E2F043" w:rsidR="001F3DCD" w:rsidRDefault="001F3DCD" w:rsidP="00484918">
            <w:pPr>
              <w:pStyle w:val="TableParagraph"/>
              <w:spacing w:before="21" w:line="240" w:lineRule="atLeast"/>
              <w:ind w:right="98"/>
              <w:rPr>
                <w:rFonts w:ascii="Times New Roman" w:hAnsi="Times New Roman" w:cs="Times New Roman"/>
                <w:sz w:val="20"/>
                <w:szCs w:val="20"/>
                <w:lang w:val="hr-HR"/>
              </w:rPr>
            </w:pPr>
            <w:r>
              <w:rPr>
                <w:rFonts w:ascii="Times New Roman" w:hAnsi="Times New Roman" w:cs="Times New Roman"/>
                <w:sz w:val="20"/>
                <w:szCs w:val="20"/>
                <w:lang w:val="hr-HR"/>
              </w:rPr>
              <w:t>99,69</w:t>
            </w:r>
          </w:p>
        </w:tc>
      </w:tr>
      <w:tr w:rsidR="003C1304" w:rsidRPr="00492A18" w14:paraId="19109CDF" w14:textId="77777777" w:rsidTr="00484918">
        <w:trPr>
          <w:trHeight w:val="236"/>
        </w:trPr>
        <w:tc>
          <w:tcPr>
            <w:tcW w:w="2501" w:type="pct"/>
            <w:shd w:val="clear" w:color="auto" w:fill="auto"/>
          </w:tcPr>
          <w:p w14:paraId="438D761D" w14:textId="2810A97E" w:rsidR="003C1304" w:rsidRDefault="003C1304" w:rsidP="00484918">
            <w:pPr>
              <w:widowControl w:val="0"/>
              <w:autoSpaceDE w:val="0"/>
              <w:autoSpaceDN w:val="0"/>
              <w:spacing w:after="0" w:line="240" w:lineRule="atLeast"/>
              <w:rPr>
                <w:rFonts w:ascii="Times New Roman" w:hAnsi="Times New Roman"/>
                <w:sz w:val="20"/>
                <w:szCs w:val="20"/>
              </w:rPr>
            </w:pPr>
            <w:r>
              <w:rPr>
                <w:rFonts w:ascii="Times New Roman" w:hAnsi="Times New Roman"/>
                <w:sz w:val="20"/>
                <w:szCs w:val="20"/>
              </w:rPr>
              <w:t>Kapitalni projekt 1012</w:t>
            </w:r>
            <w:r w:rsidR="001F3DCD">
              <w:rPr>
                <w:rFonts w:ascii="Times New Roman" w:hAnsi="Times New Roman"/>
                <w:sz w:val="20"/>
                <w:szCs w:val="20"/>
              </w:rPr>
              <w:t>22 Sufinanciranje sanacije vodocrpilišta Garešnica</w:t>
            </w:r>
          </w:p>
        </w:tc>
        <w:tc>
          <w:tcPr>
            <w:tcW w:w="936" w:type="pct"/>
            <w:shd w:val="clear" w:color="auto" w:fill="auto"/>
          </w:tcPr>
          <w:p w14:paraId="24F91027" w14:textId="47C8FF19" w:rsidR="003C1304" w:rsidRDefault="001F3DCD" w:rsidP="00484918">
            <w:pPr>
              <w:pStyle w:val="TableParagraph"/>
              <w:spacing w:before="21" w:line="240" w:lineRule="atLeast"/>
              <w:ind w:right="98"/>
              <w:rPr>
                <w:rFonts w:ascii="Times New Roman" w:hAnsi="Times New Roman" w:cs="Times New Roman"/>
                <w:sz w:val="20"/>
                <w:szCs w:val="20"/>
                <w:lang w:val="hr-HR"/>
              </w:rPr>
            </w:pPr>
            <w:r>
              <w:rPr>
                <w:rFonts w:ascii="Times New Roman" w:hAnsi="Times New Roman" w:cs="Times New Roman"/>
                <w:sz w:val="20"/>
                <w:szCs w:val="20"/>
                <w:lang w:val="hr-HR"/>
              </w:rPr>
              <w:t>4.300,00</w:t>
            </w:r>
          </w:p>
        </w:tc>
        <w:tc>
          <w:tcPr>
            <w:tcW w:w="860" w:type="pct"/>
            <w:shd w:val="clear" w:color="auto" w:fill="auto"/>
          </w:tcPr>
          <w:p w14:paraId="01ED64F0" w14:textId="2720BDE2" w:rsidR="003C1304" w:rsidRDefault="001F3DCD" w:rsidP="00484918">
            <w:pPr>
              <w:pStyle w:val="TableParagraph"/>
              <w:spacing w:before="21" w:line="240" w:lineRule="atLeast"/>
              <w:ind w:right="98"/>
              <w:rPr>
                <w:rFonts w:ascii="Times New Roman" w:hAnsi="Times New Roman" w:cs="Times New Roman"/>
                <w:sz w:val="20"/>
                <w:szCs w:val="20"/>
                <w:lang w:val="hr-HR"/>
              </w:rPr>
            </w:pPr>
            <w:r>
              <w:rPr>
                <w:rFonts w:ascii="Times New Roman" w:hAnsi="Times New Roman" w:cs="Times New Roman"/>
                <w:sz w:val="20"/>
                <w:szCs w:val="20"/>
                <w:lang w:val="hr-HR"/>
              </w:rPr>
              <w:t>4.300,00</w:t>
            </w:r>
          </w:p>
        </w:tc>
        <w:tc>
          <w:tcPr>
            <w:tcW w:w="703" w:type="pct"/>
            <w:shd w:val="clear" w:color="auto" w:fill="auto"/>
          </w:tcPr>
          <w:p w14:paraId="0B460A95" w14:textId="06BE44DF" w:rsidR="003C1304" w:rsidRDefault="001F3DCD" w:rsidP="00484918">
            <w:pPr>
              <w:pStyle w:val="TableParagraph"/>
              <w:spacing w:before="21" w:line="240" w:lineRule="atLeast"/>
              <w:ind w:right="98"/>
              <w:rPr>
                <w:rFonts w:ascii="Times New Roman" w:hAnsi="Times New Roman" w:cs="Times New Roman"/>
                <w:sz w:val="20"/>
                <w:szCs w:val="20"/>
                <w:lang w:val="hr-HR"/>
              </w:rPr>
            </w:pPr>
            <w:r>
              <w:rPr>
                <w:rFonts w:ascii="Times New Roman" w:hAnsi="Times New Roman" w:cs="Times New Roman"/>
                <w:sz w:val="20"/>
                <w:szCs w:val="20"/>
                <w:lang w:val="hr-HR"/>
              </w:rPr>
              <w:t>100,00</w:t>
            </w:r>
          </w:p>
        </w:tc>
      </w:tr>
      <w:tr w:rsidR="00C4223A" w:rsidRPr="00492A18" w14:paraId="6F0793AD" w14:textId="77777777" w:rsidTr="00484918">
        <w:trPr>
          <w:trHeight w:val="277"/>
        </w:trPr>
        <w:tc>
          <w:tcPr>
            <w:tcW w:w="2501" w:type="pct"/>
            <w:shd w:val="clear" w:color="auto" w:fill="auto"/>
          </w:tcPr>
          <w:p w14:paraId="3FD5F500" w14:textId="77777777" w:rsidR="00C4223A" w:rsidRPr="00492A18" w:rsidRDefault="00C4223A" w:rsidP="00484918">
            <w:pPr>
              <w:widowControl w:val="0"/>
              <w:autoSpaceDE w:val="0"/>
              <w:autoSpaceDN w:val="0"/>
              <w:spacing w:after="0" w:line="240" w:lineRule="exact"/>
              <w:rPr>
                <w:rFonts w:ascii="Times New Roman" w:hAnsi="Times New Roman"/>
                <w:b/>
                <w:bCs/>
                <w:w w:val="95"/>
                <w:sz w:val="20"/>
                <w:szCs w:val="20"/>
              </w:rPr>
            </w:pPr>
            <w:r w:rsidRPr="00492A18">
              <w:rPr>
                <w:rFonts w:ascii="Times New Roman" w:hAnsi="Times New Roman"/>
                <w:b/>
                <w:bCs/>
                <w:w w:val="95"/>
                <w:sz w:val="20"/>
                <w:szCs w:val="20"/>
              </w:rPr>
              <w:t>Ukupno program</w:t>
            </w:r>
          </w:p>
        </w:tc>
        <w:tc>
          <w:tcPr>
            <w:tcW w:w="936" w:type="pct"/>
            <w:shd w:val="clear" w:color="auto" w:fill="auto"/>
          </w:tcPr>
          <w:p w14:paraId="0E24CCC2" w14:textId="0E0C0B23" w:rsidR="00C4223A" w:rsidRPr="00492A18" w:rsidRDefault="005F0F5D" w:rsidP="00484918">
            <w:pPr>
              <w:pStyle w:val="TableParagraph"/>
              <w:spacing w:before="21" w:line="240" w:lineRule="exact"/>
              <w:ind w:right="98"/>
              <w:rPr>
                <w:rFonts w:ascii="Times New Roman" w:hAnsi="Times New Roman" w:cs="Times New Roman"/>
                <w:b/>
                <w:bCs/>
                <w:sz w:val="20"/>
                <w:szCs w:val="20"/>
                <w:lang w:val="hr-HR"/>
              </w:rPr>
            </w:pPr>
            <w:r>
              <w:rPr>
                <w:rFonts w:ascii="Times New Roman" w:hAnsi="Times New Roman" w:cs="Times New Roman"/>
                <w:b/>
                <w:bCs/>
                <w:sz w:val="20"/>
                <w:szCs w:val="20"/>
                <w:lang w:val="hr-HR"/>
              </w:rPr>
              <w:t>64.000,00</w:t>
            </w:r>
          </w:p>
        </w:tc>
        <w:tc>
          <w:tcPr>
            <w:tcW w:w="860" w:type="pct"/>
            <w:shd w:val="clear" w:color="auto" w:fill="auto"/>
          </w:tcPr>
          <w:p w14:paraId="34CFD417" w14:textId="42961D00" w:rsidR="00C4223A" w:rsidRPr="00492A18" w:rsidRDefault="005F0F5D" w:rsidP="00484918">
            <w:pPr>
              <w:pStyle w:val="TableParagraph"/>
              <w:spacing w:before="21" w:line="240" w:lineRule="exact"/>
              <w:ind w:right="98"/>
              <w:rPr>
                <w:rFonts w:ascii="Times New Roman" w:hAnsi="Times New Roman" w:cs="Times New Roman"/>
                <w:b/>
                <w:bCs/>
                <w:sz w:val="20"/>
                <w:szCs w:val="20"/>
                <w:lang w:val="hr-HR"/>
              </w:rPr>
            </w:pPr>
            <w:r>
              <w:rPr>
                <w:rFonts w:ascii="Times New Roman" w:hAnsi="Times New Roman" w:cs="Times New Roman"/>
                <w:b/>
                <w:bCs/>
                <w:sz w:val="20"/>
                <w:szCs w:val="20"/>
                <w:lang w:val="hr-HR"/>
              </w:rPr>
              <w:t>61.205,87</w:t>
            </w:r>
          </w:p>
        </w:tc>
        <w:tc>
          <w:tcPr>
            <w:tcW w:w="703" w:type="pct"/>
            <w:shd w:val="clear" w:color="auto" w:fill="auto"/>
          </w:tcPr>
          <w:p w14:paraId="2408573D" w14:textId="416019FD" w:rsidR="00C4223A" w:rsidRPr="00492A18" w:rsidRDefault="005F0F5D" w:rsidP="00484918">
            <w:pPr>
              <w:pStyle w:val="TableParagraph"/>
              <w:spacing w:before="21" w:line="240" w:lineRule="exact"/>
              <w:ind w:right="98"/>
              <w:rPr>
                <w:rFonts w:ascii="Times New Roman" w:hAnsi="Times New Roman" w:cs="Times New Roman"/>
                <w:b/>
                <w:bCs/>
                <w:sz w:val="20"/>
                <w:szCs w:val="20"/>
                <w:lang w:val="hr-HR"/>
              </w:rPr>
            </w:pPr>
            <w:r>
              <w:rPr>
                <w:rFonts w:ascii="Times New Roman" w:hAnsi="Times New Roman" w:cs="Times New Roman"/>
                <w:b/>
                <w:bCs/>
                <w:sz w:val="20"/>
                <w:szCs w:val="20"/>
                <w:lang w:val="hr-HR"/>
              </w:rPr>
              <w:t>95,63</w:t>
            </w:r>
          </w:p>
        </w:tc>
      </w:tr>
    </w:tbl>
    <w:p w14:paraId="10428A5A" w14:textId="77777777" w:rsidR="00C4223A" w:rsidRPr="00C4223A" w:rsidRDefault="00C4223A" w:rsidP="00C4223A">
      <w:pPr>
        <w:rPr>
          <w:lang w:eastAsia="ar-SA"/>
        </w:rPr>
      </w:pPr>
    </w:p>
    <w:p w14:paraId="1B1F08EA" w14:textId="10A5C643" w:rsidR="00351ACD" w:rsidRDefault="00722358" w:rsidP="00351ACD">
      <w:pPr>
        <w:pStyle w:val="Naslov"/>
        <w:tabs>
          <w:tab w:val="left" w:pos="0"/>
        </w:tabs>
        <w:ind w:firstLine="567"/>
        <w:jc w:val="both"/>
        <w:outlineLvl w:val="0"/>
        <w:rPr>
          <w:rFonts w:ascii="Times New Roman" w:hAnsi="Times New Roman" w:cs="Times New Roman"/>
          <w:b w:val="0"/>
          <w:sz w:val="22"/>
          <w:lang w:val="hr-HR"/>
        </w:rPr>
      </w:pPr>
      <w:r w:rsidRPr="00722358">
        <w:rPr>
          <w:rFonts w:ascii="Times New Roman" w:hAnsi="Times New Roman" w:cs="Times New Roman"/>
          <w:b w:val="0"/>
          <w:i/>
          <w:sz w:val="22"/>
          <w:lang w:val="hr-HR"/>
        </w:rPr>
        <w:t xml:space="preserve">Kapitalni projekt K101201 – </w:t>
      </w:r>
      <w:r w:rsidRPr="00722358">
        <w:rPr>
          <w:rFonts w:ascii="Times New Roman" w:hAnsi="Times New Roman" w:cs="Times New Roman"/>
          <w:b w:val="0"/>
          <w:iCs/>
          <w:sz w:val="22"/>
          <w:lang w:val="hr-HR"/>
        </w:rPr>
        <w:t xml:space="preserve">Sufinanciranje projektne dokumentacije i izmjene starog azbest-cementnog cjevovoda. </w:t>
      </w:r>
      <w:r w:rsidRPr="00722358">
        <w:rPr>
          <w:rFonts w:ascii="Times New Roman" w:hAnsi="Times New Roman" w:cs="Times New Roman"/>
          <w:b w:val="0"/>
          <w:sz w:val="22"/>
          <w:lang w:val="hr-HR"/>
        </w:rPr>
        <w:t xml:space="preserve">Izmjena starog azbest-cementnog i PVC cjevovoda od učeničkog doma do </w:t>
      </w:r>
      <w:r w:rsidR="00351ACD">
        <w:rPr>
          <w:rFonts w:ascii="Times New Roman" w:hAnsi="Times New Roman" w:cs="Times New Roman"/>
          <w:b w:val="0"/>
          <w:sz w:val="22"/>
          <w:lang w:val="hr-HR"/>
        </w:rPr>
        <w:t>ulice Matije Gupca</w:t>
      </w:r>
      <w:r w:rsidRPr="00722358">
        <w:rPr>
          <w:rFonts w:ascii="Times New Roman" w:hAnsi="Times New Roman" w:cs="Times New Roman"/>
          <w:b w:val="0"/>
          <w:sz w:val="22"/>
          <w:lang w:val="hr-HR"/>
        </w:rPr>
        <w:t xml:space="preserve">, uključujući Moslavačku ulicu, je jedan od glavnih prioriteta vodoopskrbe grada Garešnice. Predmetni cjevovod je star pedesetak godina te zbog svoje dotrajalosti predstavlja područje najvećeg gubitka vode i najčešćih kvarova. </w:t>
      </w:r>
      <w:r w:rsidR="003C1304">
        <w:rPr>
          <w:rFonts w:ascii="Times New Roman" w:hAnsi="Times New Roman" w:cs="Times New Roman"/>
          <w:b w:val="0"/>
          <w:sz w:val="22"/>
          <w:lang w:val="hr-HR"/>
        </w:rPr>
        <w:t>Isti projekt se provodi kroz više proračunskih godina.</w:t>
      </w:r>
    </w:p>
    <w:p w14:paraId="0362D0A0" w14:textId="77777777" w:rsidR="00351ACD" w:rsidRPr="00351ACD" w:rsidRDefault="00351ACD" w:rsidP="00351ACD">
      <w:pPr>
        <w:pStyle w:val="Podnaslov"/>
        <w:spacing w:line="240" w:lineRule="auto"/>
        <w:rPr>
          <w:lang w:eastAsia="ar-SA"/>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07"/>
        <w:gridCol w:w="2996"/>
        <w:gridCol w:w="962"/>
        <w:gridCol w:w="1122"/>
        <w:gridCol w:w="1105"/>
        <w:gridCol w:w="968"/>
      </w:tblGrid>
      <w:tr w:rsidR="00351ACD" w:rsidRPr="00F64569" w14:paraId="7F85046A" w14:textId="77777777" w:rsidTr="00E347ED">
        <w:trPr>
          <w:trHeight w:val="633"/>
          <w:jc w:val="center"/>
        </w:trPr>
        <w:tc>
          <w:tcPr>
            <w:tcW w:w="1052" w:type="pct"/>
            <w:shd w:val="clear" w:color="auto" w:fill="BFBFBF"/>
          </w:tcPr>
          <w:p w14:paraId="6F051069" w14:textId="77777777" w:rsidR="00351ACD" w:rsidRPr="00F64569" w:rsidRDefault="00351ACD" w:rsidP="00E347ED">
            <w:pPr>
              <w:widowControl w:val="0"/>
              <w:autoSpaceDE w:val="0"/>
              <w:autoSpaceDN w:val="0"/>
              <w:spacing w:before="104" w:after="0" w:line="240" w:lineRule="auto"/>
              <w:ind w:left="136" w:right="110" w:firstLine="59"/>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Pokazatelj</w:t>
            </w:r>
            <w:r w:rsidRPr="00F64569">
              <w:rPr>
                <w:rFonts w:ascii="Times New Roman" w:eastAsia="Arial MT" w:hAnsi="Times New Roman" w:cs="Times New Roman"/>
                <w:b/>
                <w:spacing w:val="1"/>
                <w:sz w:val="20"/>
                <w:szCs w:val="20"/>
              </w:rPr>
              <w:t xml:space="preserve"> </w:t>
            </w:r>
            <w:r>
              <w:rPr>
                <w:rFonts w:ascii="Times New Roman" w:eastAsia="Arial MT" w:hAnsi="Times New Roman" w:cs="Times New Roman"/>
                <w:b/>
                <w:sz w:val="20"/>
                <w:szCs w:val="20"/>
              </w:rPr>
              <w:t>rezultata</w:t>
            </w:r>
          </w:p>
        </w:tc>
        <w:tc>
          <w:tcPr>
            <w:tcW w:w="1653" w:type="pct"/>
            <w:shd w:val="clear" w:color="auto" w:fill="BFBFBF"/>
          </w:tcPr>
          <w:p w14:paraId="30537199" w14:textId="77777777" w:rsidR="00351ACD" w:rsidRPr="00F64569" w:rsidRDefault="00351ACD" w:rsidP="00E347ED">
            <w:pPr>
              <w:widowControl w:val="0"/>
              <w:autoSpaceDE w:val="0"/>
              <w:autoSpaceDN w:val="0"/>
              <w:spacing w:after="0" w:line="240" w:lineRule="auto"/>
              <w:jc w:val="both"/>
              <w:rPr>
                <w:rFonts w:ascii="Times New Roman" w:eastAsia="Arial MT" w:hAnsi="Times New Roman" w:cs="Times New Roman"/>
                <w:b/>
                <w:sz w:val="20"/>
                <w:szCs w:val="20"/>
              </w:rPr>
            </w:pPr>
          </w:p>
          <w:p w14:paraId="0C39D254" w14:textId="77777777" w:rsidR="00351ACD" w:rsidRPr="00F64569" w:rsidRDefault="00351ACD" w:rsidP="00E347ED">
            <w:pPr>
              <w:widowControl w:val="0"/>
              <w:autoSpaceDE w:val="0"/>
              <w:autoSpaceDN w:val="0"/>
              <w:spacing w:before="1" w:after="0" w:line="240" w:lineRule="auto"/>
              <w:ind w:left="1136" w:right="832"/>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Definicija</w:t>
            </w:r>
          </w:p>
        </w:tc>
        <w:tc>
          <w:tcPr>
            <w:tcW w:w="531" w:type="pct"/>
            <w:shd w:val="clear" w:color="auto" w:fill="BFBFBF"/>
          </w:tcPr>
          <w:p w14:paraId="21468888" w14:textId="77777777" w:rsidR="00351ACD" w:rsidRPr="00F64569" w:rsidRDefault="00351ACD" w:rsidP="00E347ED">
            <w:pPr>
              <w:widowControl w:val="0"/>
              <w:autoSpaceDE w:val="0"/>
              <w:autoSpaceDN w:val="0"/>
              <w:spacing w:after="0" w:line="240" w:lineRule="auto"/>
              <w:jc w:val="both"/>
              <w:rPr>
                <w:rFonts w:ascii="Times New Roman" w:eastAsia="Arial MT" w:hAnsi="Times New Roman" w:cs="Times New Roman"/>
                <w:b/>
                <w:sz w:val="20"/>
                <w:szCs w:val="20"/>
              </w:rPr>
            </w:pPr>
          </w:p>
          <w:p w14:paraId="29F07CBC" w14:textId="77777777" w:rsidR="00351ACD" w:rsidRPr="00F64569" w:rsidRDefault="00351ACD" w:rsidP="00E347ED">
            <w:pPr>
              <w:widowControl w:val="0"/>
              <w:autoSpaceDE w:val="0"/>
              <w:autoSpaceDN w:val="0"/>
              <w:spacing w:before="1" w:after="0" w:line="240" w:lineRule="auto"/>
              <w:ind w:left="112" w:right="105"/>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Jedinica</w:t>
            </w:r>
          </w:p>
        </w:tc>
        <w:tc>
          <w:tcPr>
            <w:tcW w:w="619" w:type="pct"/>
            <w:shd w:val="clear" w:color="auto" w:fill="BFBFBF"/>
          </w:tcPr>
          <w:p w14:paraId="09EDFC09" w14:textId="77777777" w:rsidR="00351ACD" w:rsidRPr="00F64569" w:rsidRDefault="00351ACD" w:rsidP="00E347ED">
            <w:pPr>
              <w:widowControl w:val="0"/>
              <w:autoSpaceDE w:val="0"/>
              <w:autoSpaceDN w:val="0"/>
              <w:spacing w:after="0" w:line="206" w:lineRule="exact"/>
              <w:ind w:left="122" w:right="121"/>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Ciljana</w:t>
            </w:r>
          </w:p>
          <w:p w14:paraId="09EAA08B" w14:textId="77777777" w:rsidR="00351ACD" w:rsidRPr="00F64569" w:rsidRDefault="00351ACD" w:rsidP="00E347ED">
            <w:pPr>
              <w:widowControl w:val="0"/>
              <w:autoSpaceDE w:val="0"/>
              <w:autoSpaceDN w:val="0"/>
              <w:spacing w:after="0" w:line="206" w:lineRule="exact"/>
              <w:ind w:left="124" w:right="121"/>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vrijednost</w:t>
            </w:r>
            <w:r w:rsidRPr="00F64569">
              <w:rPr>
                <w:rFonts w:ascii="Times New Roman" w:eastAsia="Arial MT" w:hAnsi="Times New Roman" w:cs="Times New Roman"/>
                <w:b/>
                <w:spacing w:val="-47"/>
                <w:sz w:val="20"/>
                <w:szCs w:val="20"/>
              </w:rPr>
              <w:t xml:space="preserve">   </w:t>
            </w:r>
            <w:r w:rsidRPr="00F64569">
              <w:rPr>
                <w:rFonts w:ascii="Times New Roman" w:eastAsia="Arial MT" w:hAnsi="Times New Roman" w:cs="Times New Roman"/>
                <w:b/>
                <w:sz w:val="20"/>
                <w:szCs w:val="20"/>
              </w:rPr>
              <w:t>2024.</w:t>
            </w:r>
          </w:p>
        </w:tc>
        <w:tc>
          <w:tcPr>
            <w:tcW w:w="610" w:type="pct"/>
            <w:shd w:val="clear" w:color="auto" w:fill="BFBFBF"/>
          </w:tcPr>
          <w:p w14:paraId="091D9B9D" w14:textId="77777777" w:rsidR="00351ACD" w:rsidRPr="00F64569" w:rsidRDefault="00351ACD" w:rsidP="00E347ED">
            <w:pPr>
              <w:widowControl w:val="0"/>
              <w:autoSpaceDE w:val="0"/>
              <w:autoSpaceDN w:val="0"/>
              <w:spacing w:after="0" w:line="205" w:lineRule="exact"/>
              <w:ind w:left="89"/>
              <w:jc w:val="both"/>
              <w:rPr>
                <w:rFonts w:ascii="Times New Roman" w:eastAsia="Arial MT" w:hAnsi="Times New Roman" w:cs="Times New Roman"/>
                <w:b/>
                <w:sz w:val="20"/>
                <w:szCs w:val="20"/>
              </w:rPr>
            </w:pPr>
            <w:r>
              <w:rPr>
                <w:rFonts w:ascii="Times New Roman" w:eastAsia="Arial MT" w:hAnsi="Times New Roman" w:cs="Times New Roman"/>
                <w:b/>
                <w:sz w:val="20"/>
                <w:szCs w:val="20"/>
              </w:rPr>
              <w:t>Izvršenje</w:t>
            </w:r>
          </w:p>
        </w:tc>
        <w:tc>
          <w:tcPr>
            <w:tcW w:w="534" w:type="pct"/>
            <w:shd w:val="clear" w:color="auto" w:fill="BFBFBF"/>
          </w:tcPr>
          <w:p w14:paraId="4FE78278" w14:textId="77777777" w:rsidR="00351ACD" w:rsidRPr="00F64569" w:rsidRDefault="00351ACD" w:rsidP="00E347ED">
            <w:pPr>
              <w:widowControl w:val="0"/>
              <w:autoSpaceDE w:val="0"/>
              <w:autoSpaceDN w:val="0"/>
              <w:spacing w:after="0" w:line="240" w:lineRule="auto"/>
              <w:ind w:left="130" w:right="115" w:firstLine="134"/>
              <w:jc w:val="both"/>
              <w:rPr>
                <w:rFonts w:ascii="Times New Roman" w:eastAsia="Arial MT" w:hAnsi="Times New Roman" w:cs="Times New Roman"/>
                <w:b/>
                <w:sz w:val="20"/>
                <w:szCs w:val="20"/>
              </w:rPr>
            </w:pPr>
            <w:r>
              <w:rPr>
                <w:rFonts w:ascii="Times New Roman" w:eastAsia="Arial MT" w:hAnsi="Times New Roman" w:cs="Times New Roman"/>
                <w:b/>
                <w:sz w:val="20"/>
                <w:szCs w:val="20"/>
              </w:rPr>
              <w:t>Indeks</w:t>
            </w:r>
          </w:p>
        </w:tc>
      </w:tr>
      <w:tr w:rsidR="00351ACD" w:rsidRPr="00F64569" w14:paraId="0C83A9BA" w14:textId="77777777" w:rsidTr="00E347ED">
        <w:trPr>
          <w:trHeight w:val="620"/>
          <w:jc w:val="center"/>
        </w:trPr>
        <w:tc>
          <w:tcPr>
            <w:tcW w:w="1052" w:type="pct"/>
            <w:shd w:val="clear" w:color="auto" w:fill="auto"/>
          </w:tcPr>
          <w:p w14:paraId="2D075A02" w14:textId="1A23C6A0" w:rsidR="00351ACD" w:rsidRPr="00F64569" w:rsidRDefault="00351ACD" w:rsidP="00E347ED">
            <w:pPr>
              <w:widowControl w:val="0"/>
              <w:autoSpaceDE w:val="0"/>
              <w:autoSpaceDN w:val="0"/>
              <w:spacing w:before="1" w:after="0" w:line="240" w:lineRule="auto"/>
              <w:ind w:right="109"/>
              <w:jc w:val="center"/>
              <w:rPr>
                <w:rFonts w:ascii="Times New Roman" w:eastAsia="Arial MT" w:hAnsi="Times New Roman" w:cs="Times New Roman"/>
              </w:rPr>
            </w:pPr>
            <w:r>
              <w:rPr>
                <w:rFonts w:ascii="Times New Roman" w:eastAsia="Arial MT" w:hAnsi="Times New Roman" w:cs="Times New Roman"/>
              </w:rPr>
              <w:t>Broj metara izmijenjenih cijevi</w:t>
            </w:r>
          </w:p>
        </w:tc>
        <w:tc>
          <w:tcPr>
            <w:tcW w:w="1653" w:type="pct"/>
            <w:shd w:val="clear" w:color="auto" w:fill="auto"/>
          </w:tcPr>
          <w:p w14:paraId="0E14D02D" w14:textId="6B6D7659" w:rsidR="00351ACD" w:rsidRPr="00F64569" w:rsidRDefault="00351ACD" w:rsidP="00E347ED">
            <w:pPr>
              <w:widowControl w:val="0"/>
              <w:autoSpaceDE w:val="0"/>
              <w:autoSpaceDN w:val="0"/>
              <w:spacing w:after="0" w:line="187" w:lineRule="exact"/>
              <w:ind w:left="105"/>
              <w:jc w:val="center"/>
              <w:rPr>
                <w:rFonts w:ascii="Times New Roman" w:eastAsia="Arial MT" w:hAnsi="Times New Roman" w:cs="Times New Roman"/>
              </w:rPr>
            </w:pPr>
            <w:r>
              <w:rPr>
                <w:rFonts w:ascii="Times New Roman" w:eastAsia="Arial MT" w:hAnsi="Times New Roman" w:cs="Times New Roman"/>
              </w:rPr>
              <w:t>Povećanje kvalitete vode u ulicama gdje su izmijenjeni cjevovodi</w:t>
            </w:r>
          </w:p>
        </w:tc>
        <w:tc>
          <w:tcPr>
            <w:tcW w:w="531" w:type="pct"/>
            <w:shd w:val="clear" w:color="auto" w:fill="auto"/>
          </w:tcPr>
          <w:p w14:paraId="4F8312D5" w14:textId="253C794F" w:rsidR="00351ACD" w:rsidRPr="00F64569" w:rsidRDefault="00351ACD" w:rsidP="00E347ED">
            <w:pPr>
              <w:widowControl w:val="0"/>
              <w:autoSpaceDE w:val="0"/>
              <w:autoSpaceDN w:val="0"/>
              <w:spacing w:before="1" w:after="0" w:line="240" w:lineRule="auto"/>
              <w:ind w:right="137"/>
              <w:jc w:val="center"/>
              <w:rPr>
                <w:rFonts w:ascii="Times New Roman" w:eastAsia="Arial MT" w:hAnsi="Times New Roman" w:cs="Times New Roman"/>
              </w:rPr>
            </w:pPr>
            <w:r>
              <w:rPr>
                <w:rFonts w:ascii="Times New Roman" w:eastAsia="Arial MT" w:hAnsi="Times New Roman" w:cs="Times New Roman"/>
              </w:rPr>
              <w:t>Metar</w:t>
            </w:r>
          </w:p>
        </w:tc>
        <w:tc>
          <w:tcPr>
            <w:tcW w:w="619" w:type="pct"/>
            <w:shd w:val="clear" w:color="auto" w:fill="auto"/>
          </w:tcPr>
          <w:p w14:paraId="72764FF7" w14:textId="30101363" w:rsidR="00351ACD" w:rsidRPr="00F64569" w:rsidRDefault="00351ACD" w:rsidP="00E347ED">
            <w:pPr>
              <w:widowControl w:val="0"/>
              <w:autoSpaceDE w:val="0"/>
              <w:autoSpaceDN w:val="0"/>
              <w:spacing w:after="0" w:line="240" w:lineRule="auto"/>
              <w:ind w:right="121"/>
              <w:jc w:val="center"/>
              <w:rPr>
                <w:rFonts w:ascii="Times New Roman" w:eastAsia="Arial MT" w:hAnsi="Times New Roman" w:cs="Times New Roman"/>
              </w:rPr>
            </w:pPr>
            <w:r>
              <w:rPr>
                <w:rFonts w:ascii="Times New Roman" w:eastAsia="Arial MT" w:hAnsi="Times New Roman" w:cs="Times New Roman"/>
              </w:rPr>
              <w:t>600</w:t>
            </w:r>
          </w:p>
        </w:tc>
        <w:tc>
          <w:tcPr>
            <w:tcW w:w="610" w:type="pct"/>
            <w:shd w:val="clear" w:color="auto" w:fill="auto"/>
          </w:tcPr>
          <w:p w14:paraId="3FE6A7B9" w14:textId="02EA2B28" w:rsidR="00351ACD" w:rsidRPr="00F64569" w:rsidRDefault="00351ACD" w:rsidP="00E347ED">
            <w:pPr>
              <w:widowControl w:val="0"/>
              <w:autoSpaceDE w:val="0"/>
              <w:autoSpaceDN w:val="0"/>
              <w:spacing w:after="0" w:line="240" w:lineRule="auto"/>
              <w:ind w:right="460"/>
              <w:jc w:val="center"/>
              <w:rPr>
                <w:rFonts w:ascii="Times New Roman" w:eastAsia="Arial MT" w:hAnsi="Times New Roman" w:cs="Times New Roman"/>
              </w:rPr>
            </w:pPr>
            <w:r>
              <w:rPr>
                <w:rFonts w:ascii="Times New Roman" w:eastAsia="Arial MT" w:hAnsi="Times New Roman" w:cs="Times New Roman"/>
              </w:rPr>
              <w:t>200</w:t>
            </w:r>
          </w:p>
        </w:tc>
        <w:tc>
          <w:tcPr>
            <w:tcW w:w="534" w:type="pct"/>
          </w:tcPr>
          <w:p w14:paraId="0EBD3AC1" w14:textId="24BDEF41" w:rsidR="00351ACD" w:rsidRPr="00F64569" w:rsidRDefault="0031024E" w:rsidP="00E347ED">
            <w:pPr>
              <w:widowControl w:val="0"/>
              <w:autoSpaceDE w:val="0"/>
              <w:autoSpaceDN w:val="0"/>
              <w:spacing w:after="0" w:line="240" w:lineRule="auto"/>
              <w:jc w:val="center"/>
              <w:rPr>
                <w:rFonts w:ascii="Times New Roman" w:eastAsia="Arial MT" w:hAnsi="Times New Roman" w:cs="Times New Roman"/>
              </w:rPr>
            </w:pPr>
            <w:r>
              <w:rPr>
                <w:rFonts w:ascii="Times New Roman" w:eastAsia="Arial MT" w:hAnsi="Times New Roman" w:cs="Times New Roman"/>
              </w:rPr>
              <w:t>33,33</w:t>
            </w:r>
          </w:p>
        </w:tc>
      </w:tr>
    </w:tbl>
    <w:p w14:paraId="333ABA2D" w14:textId="77777777" w:rsidR="00351ACD" w:rsidRPr="00351ACD" w:rsidRDefault="00351ACD" w:rsidP="00351ACD">
      <w:pPr>
        <w:pStyle w:val="Podnaslov"/>
        <w:jc w:val="left"/>
        <w:rPr>
          <w:lang w:eastAsia="ar-SA"/>
        </w:rPr>
      </w:pPr>
    </w:p>
    <w:p w14:paraId="481E5409" w14:textId="77777777" w:rsidR="00722358" w:rsidRPr="00722358" w:rsidRDefault="00722358" w:rsidP="003C1304">
      <w:pPr>
        <w:pStyle w:val="Naslov"/>
        <w:tabs>
          <w:tab w:val="left" w:pos="0"/>
        </w:tabs>
        <w:spacing w:before="120"/>
        <w:ind w:firstLine="567"/>
        <w:jc w:val="both"/>
        <w:outlineLvl w:val="0"/>
        <w:rPr>
          <w:rFonts w:ascii="Times New Roman" w:hAnsi="Times New Roman" w:cs="Times New Roman"/>
          <w:b w:val="0"/>
          <w:sz w:val="22"/>
          <w:lang w:val="hr-HR"/>
        </w:rPr>
      </w:pPr>
      <w:r w:rsidRPr="00722358">
        <w:rPr>
          <w:rFonts w:ascii="Times New Roman" w:hAnsi="Times New Roman" w:cs="Times New Roman"/>
          <w:b w:val="0"/>
          <w:i/>
          <w:sz w:val="22"/>
          <w:lang w:val="hr-HR"/>
        </w:rPr>
        <w:t>Kapitalni projekt K101203</w:t>
      </w:r>
      <w:r w:rsidRPr="00722358">
        <w:rPr>
          <w:rFonts w:ascii="Times New Roman" w:hAnsi="Times New Roman" w:cs="Times New Roman"/>
          <w:b w:val="0"/>
          <w:sz w:val="22"/>
          <w:lang w:val="hr-HR"/>
        </w:rPr>
        <w:t xml:space="preserve"> – Sufinanciranje aglomeracije</w:t>
      </w:r>
    </w:p>
    <w:p w14:paraId="4E8AC27F" w14:textId="77777777" w:rsidR="00722358" w:rsidRPr="00722358" w:rsidRDefault="00722358" w:rsidP="00E40FD3">
      <w:pPr>
        <w:pStyle w:val="Default"/>
        <w:jc w:val="both"/>
        <w:rPr>
          <w:rFonts w:ascii="Times New Roman" w:hAnsi="Times New Roman" w:cs="Times New Roman"/>
          <w:sz w:val="22"/>
          <w:szCs w:val="22"/>
        </w:rPr>
      </w:pPr>
      <w:r w:rsidRPr="00722358">
        <w:rPr>
          <w:rFonts w:ascii="Times New Roman" w:hAnsi="Times New Roman" w:cs="Times New Roman"/>
          <w:sz w:val="22"/>
          <w:szCs w:val="22"/>
        </w:rPr>
        <w:t xml:space="preserve">Projekt aglomeracije je započeo 2015. godine s pripremom dokumentacije potrebne za apliciranje projekta iz Operativnog programa „Konkurentnost i kohezija“ 2014-2020. </w:t>
      </w:r>
    </w:p>
    <w:p w14:paraId="3C546B30" w14:textId="77777777" w:rsidR="00722358" w:rsidRPr="00722358" w:rsidRDefault="00722358" w:rsidP="00E40FD3">
      <w:pPr>
        <w:pStyle w:val="Default"/>
        <w:jc w:val="both"/>
        <w:rPr>
          <w:rFonts w:ascii="Times New Roman" w:hAnsi="Times New Roman" w:cs="Times New Roman"/>
          <w:sz w:val="22"/>
          <w:szCs w:val="22"/>
        </w:rPr>
      </w:pPr>
      <w:r w:rsidRPr="00722358">
        <w:rPr>
          <w:rFonts w:ascii="Times New Roman" w:hAnsi="Times New Roman" w:cs="Times New Roman"/>
          <w:sz w:val="22"/>
          <w:szCs w:val="22"/>
        </w:rPr>
        <w:t xml:space="preserve">U prosincu 2020. godine kompletirani Aplikacijski paket bio je poslan, putem Sektora za podršku pripremi i provedbi EU projekta, JASPERS stručnjacima na dobivanje </w:t>
      </w:r>
      <w:proofErr w:type="spellStart"/>
      <w:r w:rsidRPr="00722358">
        <w:rPr>
          <w:rFonts w:ascii="Times New Roman" w:hAnsi="Times New Roman" w:cs="Times New Roman"/>
          <w:sz w:val="22"/>
          <w:szCs w:val="22"/>
        </w:rPr>
        <w:t>Completion</w:t>
      </w:r>
      <w:proofErr w:type="spellEnd"/>
      <w:r w:rsidRPr="00722358">
        <w:rPr>
          <w:rFonts w:ascii="Times New Roman" w:hAnsi="Times New Roman" w:cs="Times New Roman"/>
          <w:sz w:val="22"/>
          <w:szCs w:val="22"/>
        </w:rPr>
        <w:t xml:space="preserve"> Note-a (uvjet za </w:t>
      </w:r>
      <w:r w:rsidRPr="00722358">
        <w:rPr>
          <w:rFonts w:ascii="Times New Roman" w:hAnsi="Times New Roman" w:cs="Times New Roman"/>
          <w:sz w:val="22"/>
          <w:szCs w:val="22"/>
        </w:rPr>
        <w:lastRenderedPageBreak/>
        <w:t xml:space="preserve">dobivanje Ugovora o dodjeli bespovratnih sredstava za izgradnju aglomeracije). Povratni odgovor nikad nije dobiven. </w:t>
      </w:r>
    </w:p>
    <w:p w14:paraId="0DA0DD3E" w14:textId="77777777" w:rsidR="00722358" w:rsidRPr="00722358" w:rsidRDefault="00722358" w:rsidP="00E40FD3">
      <w:pPr>
        <w:pStyle w:val="Default"/>
        <w:jc w:val="both"/>
        <w:rPr>
          <w:rFonts w:ascii="Times New Roman" w:hAnsi="Times New Roman" w:cs="Times New Roman"/>
          <w:sz w:val="22"/>
          <w:szCs w:val="22"/>
        </w:rPr>
      </w:pPr>
      <w:r w:rsidRPr="00722358">
        <w:rPr>
          <w:rFonts w:ascii="Times New Roman" w:hAnsi="Times New Roman" w:cs="Times New Roman"/>
          <w:sz w:val="22"/>
          <w:szCs w:val="22"/>
        </w:rPr>
        <w:t xml:space="preserve">Operativni program „Konkurentnost i kohezija“ 2014-2020. je završen. </w:t>
      </w:r>
    </w:p>
    <w:p w14:paraId="103FF0A6" w14:textId="0E0CB1BE" w:rsidR="00722358" w:rsidRDefault="00722358" w:rsidP="00E40FD3">
      <w:pPr>
        <w:pStyle w:val="Default"/>
        <w:jc w:val="both"/>
        <w:rPr>
          <w:rFonts w:ascii="Times New Roman" w:hAnsi="Times New Roman" w:cs="Times New Roman"/>
          <w:sz w:val="22"/>
          <w:szCs w:val="22"/>
        </w:rPr>
      </w:pPr>
      <w:r w:rsidRPr="00722358">
        <w:rPr>
          <w:rFonts w:ascii="Times New Roman" w:hAnsi="Times New Roman" w:cs="Times New Roman"/>
          <w:sz w:val="22"/>
          <w:szCs w:val="22"/>
        </w:rPr>
        <w:t xml:space="preserve">Projekt se vodi i dalje kao visoko spreman projekt za apliciranje ali trenutno nema Programa na koji bi se mogao prijaviti. Zbog promjene zakonske regulative potrebno je </w:t>
      </w:r>
      <w:r w:rsidR="003C1304">
        <w:rPr>
          <w:rFonts w:ascii="Times New Roman" w:hAnsi="Times New Roman" w:cs="Times New Roman"/>
          <w:sz w:val="22"/>
          <w:szCs w:val="22"/>
        </w:rPr>
        <w:t xml:space="preserve">bilo </w:t>
      </w:r>
      <w:r w:rsidRPr="00722358">
        <w:rPr>
          <w:rFonts w:ascii="Times New Roman" w:hAnsi="Times New Roman" w:cs="Times New Roman"/>
          <w:sz w:val="22"/>
          <w:szCs w:val="22"/>
        </w:rPr>
        <w:t xml:space="preserve">izraditi novi idejni projekt te ishoditi nove posebne uvjete i lokacijsku dozvolu. Također, potrebno je osigurati sufinanciranje završetka ugovora na osnovu kojeg se Projekt spremao za apliciranje (izrada studije i aplikacijskog paketa). </w:t>
      </w:r>
    </w:p>
    <w:p w14:paraId="23493880" w14:textId="77777777" w:rsidR="00351ACD" w:rsidRDefault="00351ACD" w:rsidP="00E40FD3">
      <w:pPr>
        <w:pStyle w:val="Default"/>
        <w:jc w:val="both"/>
        <w:rPr>
          <w:rFonts w:ascii="Times New Roman" w:hAnsi="Times New Roman" w:cs="Times New Roman"/>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07"/>
        <w:gridCol w:w="2996"/>
        <w:gridCol w:w="962"/>
        <w:gridCol w:w="1122"/>
        <w:gridCol w:w="1105"/>
        <w:gridCol w:w="968"/>
      </w:tblGrid>
      <w:tr w:rsidR="00351ACD" w:rsidRPr="00F64569" w14:paraId="201146AD" w14:textId="77777777" w:rsidTr="00E347ED">
        <w:trPr>
          <w:trHeight w:val="633"/>
          <w:jc w:val="center"/>
        </w:trPr>
        <w:tc>
          <w:tcPr>
            <w:tcW w:w="1052" w:type="pct"/>
            <w:shd w:val="clear" w:color="auto" w:fill="BFBFBF"/>
          </w:tcPr>
          <w:p w14:paraId="7B848F08" w14:textId="77777777" w:rsidR="00351ACD" w:rsidRPr="00F64569" w:rsidRDefault="00351ACD" w:rsidP="00E347ED">
            <w:pPr>
              <w:widowControl w:val="0"/>
              <w:autoSpaceDE w:val="0"/>
              <w:autoSpaceDN w:val="0"/>
              <w:spacing w:before="104" w:after="0" w:line="240" w:lineRule="auto"/>
              <w:ind w:left="136" w:right="110" w:firstLine="59"/>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Pokazatelj</w:t>
            </w:r>
            <w:r w:rsidRPr="00F64569">
              <w:rPr>
                <w:rFonts w:ascii="Times New Roman" w:eastAsia="Arial MT" w:hAnsi="Times New Roman" w:cs="Times New Roman"/>
                <w:b/>
                <w:spacing w:val="1"/>
                <w:sz w:val="20"/>
                <w:szCs w:val="20"/>
              </w:rPr>
              <w:t xml:space="preserve"> </w:t>
            </w:r>
            <w:r>
              <w:rPr>
                <w:rFonts w:ascii="Times New Roman" w:eastAsia="Arial MT" w:hAnsi="Times New Roman" w:cs="Times New Roman"/>
                <w:b/>
                <w:sz w:val="20"/>
                <w:szCs w:val="20"/>
              </w:rPr>
              <w:t>rezultata</w:t>
            </w:r>
          </w:p>
        </w:tc>
        <w:tc>
          <w:tcPr>
            <w:tcW w:w="1653" w:type="pct"/>
            <w:shd w:val="clear" w:color="auto" w:fill="BFBFBF"/>
          </w:tcPr>
          <w:p w14:paraId="2770279C" w14:textId="77777777" w:rsidR="00351ACD" w:rsidRPr="00F64569" w:rsidRDefault="00351ACD" w:rsidP="00E347ED">
            <w:pPr>
              <w:widowControl w:val="0"/>
              <w:autoSpaceDE w:val="0"/>
              <w:autoSpaceDN w:val="0"/>
              <w:spacing w:after="0" w:line="240" w:lineRule="auto"/>
              <w:jc w:val="both"/>
              <w:rPr>
                <w:rFonts w:ascii="Times New Roman" w:eastAsia="Arial MT" w:hAnsi="Times New Roman" w:cs="Times New Roman"/>
                <w:b/>
                <w:sz w:val="20"/>
                <w:szCs w:val="20"/>
              </w:rPr>
            </w:pPr>
          </w:p>
          <w:p w14:paraId="14AC4F56" w14:textId="77777777" w:rsidR="00351ACD" w:rsidRPr="00F64569" w:rsidRDefault="00351ACD" w:rsidP="00E347ED">
            <w:pPr>
              <w:widowControl w:val="0"/>
              <w:autoSpaceDE w:val="0"/>
              <w:autoSpaceDN w:val="0"/>
              <w:spacing w:before="1" w:after="0" w:line="240" w:lineRule="auto"/>
              <w:ind w:left="1136" w:right="832"/>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Definicija</w:t>
            </w:r>
          </w:p>
        </w:tc>
        <w:tc>
          <w:tcPr>
            <w:tcW w:w="531" w:type="pct"/>
            <w:shd w:val="clear" w:color="auto" w:fill="BFBFBF"/>
          </w:tcPr>
          <w:p w14:paraId="316C4A8B" w14:textId="77777777" w:rsidR="00351ACD" w:rsidRPr="00F64569" w:rsidRDefault="00351ACD" w:rsidP="00E347ED">
            <w:pPr>
              <w:widowControl w:val="0"/>
              <w:autoSpaceDE w:val="0"/>
              <w:autoSpaceDN w:val="0"/>
              <w:spacing w:after="0" w:line="240" w:lineRule="auto"/>
              <w:jc w:val="both"/>
              <w:rPr>
                <w:rFonts w:ascii="Times New Roman" w:eastAsia="Arial MT" w:hAnsi="Times New Roman" w:cs="Times New Roman"/>
                <w:b/>
                <w:sz w:val="20"/>
                <w:szCs w:val="20"/>
              </w:rPr>
            </w:pPr>
          </w:p>
          <w:p w14:paraId="22748818" w14:textId="77777777" w:rsidR="00351ACD" w:rsidRPr="00F64569" w:rsidRDefault="00351ACD" w:rsidP="00E347ED">
            <w:pPr>
              <w:widowControl w:val="0"/>
              <w:autoSpaceDE w:val="0"/>
              <w:autoSpaceDN w:val="0"/>
              <w:spacing w:before="1" w:after="0" w:line="240" w:lineRule="auto"/>
              <w:ind w:left="112" w:right="105"/>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Jedinica</w:t>
            </w:r>
          </w:p>
        </w:tc>
        <w:tc>
          <w:tcPr>
            <w:tcW w:w="619" w:type="pct"/>
            <w:shd w:val="clear" w:color="auto" w:fill="BFBFBF"/>
          </w:tcPr>
          <w:p w14:paraId="6B95D323" w14:textId="77777777" w:rsidR="00351ACD" w:rsidRPr="00F64569" w:rsidRDefault="00351ACD" w:rsidP="00E347ED">
            <w:pPr>
              <w:widowControl w:val="0"/>
              <w:autoSpaceDE w:val="0"/>
              <w:autoSpaceDN w:val="0"/>
              <w:spacing w:after="0" w:line="206" w:lineRule="exact"/>
              <w:ind w:left="122" w:right="121"/>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Ciljana</w:t>
            </w:r>
          </w:p>
          <w:p w14:paraId="6DD1DE6C" w14:textId="77777777" w:rsidR="00351ACD" w:rsidRPr="00F64569" w:rsidRDefault="00351ACD" w:rsidP="00E347ED">
            <w:pPr>
              <w:widowControl w:val="0"/>
              <w:autoSpaceDE w:val="0"/>
              <w:autoSpaceDN w:val="0"/>
              <w:spacing w:after="0" w:line="206" w:lineRule="exact"/>
              <w:ind w:left="124" w:right="121"/>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vrijednost</w:t>
            </w:r>
            <w:r w:rsidRPr="00F64569">
              <w:rPr>
                <w:rFonts w:ascii="Times New Roman" w:eastAsia="Arial MT" w:hAnsi="Times New Roman" w:cs="Times New Roman"/>
                <w:b/>
                <w:spacing w:val="-47"/>
                <w:sz w:val="20"/>
                <w:szCs w:val="20"/>
              </w:rPr>
              <w:t xml:space="preserve">   </w:t>
            </w:r>
            <w:r w:rsidRPr="00F64569">
              <w:rPr>
                <w:rFonts w:ascii="Times New Roman" w:eastAsia="Arial MT" w:hAnsi="Times New Roman" w:cs="Times New Roman"/>
                <w:b/>
                <w:sz w:val="20"/>
                <w:szCs w:val="20"/>
              </w:rPr>
              <w:t>2024.</w:t>
            </w:r>
          </w:p>
        </w:tc>
        <w:tc>
          <w:tcPr>
            <w:tcW w:w="610" w:type="pct"/>
            <w:shd w:val="clear" w:color="auto" w:fill="BFBFBF"/>
          </w:tcPr>
          <w:p w14:paraId="274EC70D" w14:textId="77777777" w:rsidR="00351ACD" w:rsidRPr="00F64569" w:rsidRDefault="00351ACD" w:rsidP="00E347ED">
            <w:pPr>
              <w:widowControl w:val="0"/>
              <w:autoSpaceDE w:val="0"/>
              <w:autoSpaceDN w:val="0"/>
              <w:spacing w:after="0" w:line="205" w:lineRule="exact"/>
              <w:ind w:left="89"/>
              <w:jc w:val="both"/>
              <w:rPr>
                <w:rFonts w:ascii="Times New Roman" w:eastAsia="Arial MT" w:hAnsi="Times New Roman" w:cs="Times New Roman"/>
                <w:b/>
                <w:sz w:val="20"/>
                <w:szCs w:val="20"/>
              </w:rPr>
            </w:pPr>
            <w:r>
              <w:rPr>
                <w:rFonts w:ascii="Times New Roman" w:eastAsia="Arial MT" w:hAnsi="Times New Roman" w:cs="Times New Roman"/>
                <w:b/>
                <w:sz w:val="20"/>
                <w:szCs w:val="20"/>
              </w:rPr>
              <w:t>Izvršenje</w:t>
            </w:r>
          </w:p>
        </w:tc>
        <w:tc>
          <w:tcPr>
            <w:tcW w:w="534" w:type="pct"/>
            <w:shd w:val="clear" w:color="auto" w:fill="BFBFBF"/>
          </w:tcPr>
          <w:p w14:paraId="14371445" w14:textId="77777777" w:rsidR="00351ACD" w:rsidRPr="00F64569" w:rsidRDefault="00351ACD" w:rsidP="00E347ED">
            <w:pPr>
              <w:widowControl w:val="0"/>
              <w:autoSpaceDE w:val="0"/>
              <w:autoSpaceDN w:val="0"/>
              <w:spacing w:after="0" w:line="240" w:lineRule="auto"/>
              <w:ind w:left="130" w:right="115" w:firstLine="134"/>
              <w:jc w:val="both"/>
              <w:rPr>
                <w:rFonts w:ascii="Times New Roman" w:eastAsia="Arial MT" w:hAnsi="Times New Roman" w:cs="Times New Roman"/>
                <w:b/>
                <w:sz w:val="20"/>
                <w:szCs w:val="20"/>
              </w:rPr>
            </w:pPr>
            <w:r>
              <w:rPr>
                <w:rFonts w:ascii="Times New Roman" w:eastAsia="Arial MT" w:hAnsi="Times New Roman" w:cs="Times New Roman"/>
                <w:b/>
                <w:sz w:val="20"/>
                <w:szCs w:val="20"/>
              </w:rPr>
              <w:t>Indeks</w:t>
            </w:r>
          </w:p>
        </w:tc>
      </w:tr>
      <w:tr w:rsidR="00351ACD" w:rsidRPr="00F64569" w14:paraId="11AA96E3" w14:textId="77777777" w:rsidTr="00E347ED">
        <w:trPr>
          <w:trHeight w:val="620"/>
          <w:jc w:val="center"/>
        </w:trPr>
        <w:tc>
          <w:tcPr>
            <w:tcW w:w="1052" w:type="pct"/>
            <w:shd w:val="clear" w:color="auto" w:fill="auto"/>
          </w:tcPr>
          <w:p w14:paraId="51D129BF" w14:textId="5A25BE91" w:rsidR="00351ACD" w:rsidRPr="00F64569" w:rsidRDefault="00351ACD" w:rsidP="00E347ED">
            <w:pPr>
              <w:widowControl w:val="0"/>
              <w:autoSpaceDE w:val="0"/>
              <w:autoSpaceDN w:val="0"/>
              <w:spacing w:before="1" w:after="0" w:line="240" w:lineRule="auto"/>
              <w:ind w:right="109"/>
              <w:jc w:val="center"/>
              <w:rPr>
                <w:rFonts w:ascii="Times New Roman" w:eastAsia="Arial MT" w:hAnsi="Times New Roman" w:cs="Times New Roman"/>
              </w:rPr>
            </w:pPr>
            <w:r>
              <w:rPr>
                <w:rFonts w:ascii="Times New Roman" w:eastAsia="Arial MT" w:hAnsi="Times New Roman" w:cs="Times New Roman"/>
              </w:rPr>
              <w:t>Broj kilometara postavljenih cijevi za vodoopskrbu i kanalizaciju</w:t>
            </w:r>
          </w:p>
        </w:tc>
        <w:tc>
          <w:tcPr>
            <w:tcW w:w="1653" w:type="pct"/>
            <w:shd w:val="clear" w:color="auto" w:fill="auto"/>
          </w:tcPr>
          <w:p w14:paraId="603B687D" w14:textId="22DA3036" w:rsidR="00351ACD" w:rsidRPr="00F64569" w:rsidRDefault="00351ACD" w:rsidP="00E347ED">
            <w:pPr>
              <w:widowControl w:val="0"/>
              <w:autoSpaceDE w:val="0"/>
              <w:autoSpaceDN w:val="0"/>
              <w:spacing w:after="0" w:line="187" w:lineRule="exact"/>
              <w:ind w:left="105"/>
              <w:jc w:val="center"/>
              <w:rPr>
                <w:rFonts w:ascii="Times New Roman" w:eastAsia="Arial MT" w:hAnsi="Times New Roman" w:cs="Times New Roman"/>
              </w:rPr>
            </w:pPr>
            <w:r>
              <w:rPr>
                <w:rFonts w:ascii="Times New Roman" w:eastAsia="Arial MT" w:hAnsi="Times New Roman" w:cs="Times New Roman"/>
              </w:rPr>
              <w:t>Povećanje kvalitete života prema navedenim postavljenim vodoopskrbnim cijevima i kanalizacije u naseljima na potezu Hercegovac – Garešnica</w:t>
            </w:r>
          </w:p>
        </w:tc>
        <w:tc>
          <w:tcPr>
            <w:tcW w:w="531" w:type="pct"/>
            <w:shd w:val="clear" w:color="auto" w:fill="auto"/>
          </w:tcPr>
          <w:p w14:paraId="62247706" w14:textId="2D01E3A7" w:rsidR="00351ACD" w:rsidRPr="00F64569" w:rsidRDefault="00351ACD" w:rsidP="00E347ED">
            <w:pPr>
              <w:widowControl w:val="0"/>
              <w:autoSpaceDE w:val="0"/>
              <w:autoSpaceDN w:val="0"/>
              <w:spacing w:before="1" w:after="0" w:line="240" w:lineRule="auto"/>
              <w:ind w:right="137"/>
              <w:jc w:val="center"/>
              <w:rPr>
                <w:rFonts w:ascii="Times New Roman" w:eastAsia="Arial MT" w:hAnsi="Times New Roman" w:cs="Times New Roman"/>
              </w:rPr>
            </w:pPr>
            <w:r>
              <w:rPr>
                <w:rFonts w:ascii="Times New Roman" w:eastAsia="Arial MT" w:hAnsi="Times New Roman" w:cs="Times New Roman"/>
              </w:rPr>
              <w:t>Km</w:t>
            </w:r>
          </w:p>
        </w:tc>
        <w:tc>
          <w:tcPr>
            <w:tcW w:w="619" w:type="pct"/>
            <w:shd w:val="clear" w:color="auto" w:fill="auto"/>
          </w:tcPr>
          <w:p w14:paraId="2BF7056F" w14:textId="2F406762" w:rsidR="00351ACD" w:rsidRPr="00F64569" w:rsidRDefault="00351ACD" w:rsidP="00E347ED">
            <w:pPr>
              <w:widowControl w:val="0"/>
              <w:autoSpaceDE w:val="0"/>
              <w:autoSpaceDN w:val="0"/>
              <w:spacing w:after="0" w:line="240" w:lineRule="auto"/>
              <w:ind w:right="121"/>
              <w:jc w:val="center"/>
              <w:rPr>
                <w:rFonts w:ascii="Times New Roman" w:eastAsia="Arial MT" w:hAnsi="Times New Roman" w:cs="Times New Roman"/>
              </w:rPr>
            </w:pPr>
            <w:r>
              <w:rPr>
                <w:rFonts w:ascii="Times New Roman" w:eastAsia="Arial MT" w:hAnsi="Times New Roman" w:cs="Times New Roman"/>
              </w:rPr>
              <w:t>0</w:t>
            </w:r>
          </w:p>
        </w:tc>
        <w:tc>
          <w:tcPr>
            <w:tcW w:w="610" w:type="pct"/>
            <w:shd w:val="clear" w:color="auto" w:fill="auto"/>
          </w:tcPr>
          <w:p w14:paraId="3E984E83" w14:textId="0686C1F4" w:rsidR="00351ACD" w:rsidRPr="00F64569" w:rsidRDefault="00351ACD" w:rsidP="00E347ED">
            <w:pPr>
              <w:widowControl w:val="0"/>
              <w:autoSpaceDE w:val="0"/>
              <w:autoSpaceDN w:val="0"/>
              <w:spacing w:after="0" w:line="240" w:lineRule="auto"/>
              <w:ind w:right="460"/>
              <w:jc w:val="center"/>
              <w:rPr>
                <w:rFonts w:ascii="Times New Roman" w:eastAsia="Arial MT" w:hAnsi="Times New Roman" w:cs="Times New Roman"/>
              </w:rPr>
            </w:pPr>
            <w:r>
              <w:rPr>
                <w:rFonts w:ascii="Times New Roman" w:eastAsia="Arial MT" w:hAnsi="Times New Roman" w:cs="Times New Roman"/>
              </w:rPr>
              <w:t>0</w:t>
            </w:r>
          </w:p>
        </w:tc>
        <w:tc>
          <w:tcPr>
            <w:tcW w:w="534" w:type="pct"/>
          </w:tcPr>
          <w:p w14:paraId="7408D399" w14:textId="1930E828" w:rsidR="00351ACD" w:rsidRPr="00F64569" w:rsidRDefault="00351ACD" w:rsidP="00E347ED">
            <w:pPr>
              <w:widowControl w:val="0"/>
              <w:autoSpaceDE w:val="0"/>
              <w:autoSpaceDN w:val="0"/>
              <w:spacing w:after="0" w:line="240" w:lineRule="auto"/>
              <w:jc w:val="center"/>
              <w:rPr>
                <w:rFonts w:ascii="Times New Roman" w:eastAsia="Arial MT" w:hAnsi="Times New Roman" w:cs="Times New Roman"/>
              </w:rPr>
            </w:pPr>
            <w:r>
              <w:rPr>
                <w:rFonts w:ascii="Times New Roman" w:eastAsia="Arial MT" w:hAnsi="Times New Roman" w:cs="Times New Roman"/>
              </w:rPr>
              <w:t>0,00</w:t>
            </w:r>
          </w:p>
        </w:tc>
      </w:tr>
    </w:tbl>
    <w:p w14:paraId="7A4675E4" w14:textId="77777777" w:rsidR="00351ACD" w:rsidRDefault="00351ACD" w:rsidP="00E40FD3">
      <w:pPr>
        <w:pStyle w:val="Default"/>
        <w:jc w:val="both"/>
        <w:rPr>
          <w:rFonts w:ascii="Times New Roman" w:hAnsi="Times New Roman" w:cs="Times New Roman"/>
          <w:sz w:val="22"/>
          <w:szCs w:val="22"/>
        </w:rPr>
      </w:pPr>
    </w:p>
    <w:p w14:paraId="4BEBD784" w14:textId="29588F5F" w:rsidR="00D538C4" w:rsidRPr="00722358" w:rsidRDefault="00D538C4" w:rsidP="00D538C4">
      <w:pPr>
        <w:pStyle w:val="Naslov"/>
        <w:tabs>
          <w:tab w:val="left" w:pos="0"/>
        </w:tabs>
        <w:spacing w:before="120"/>
        <w:ind w:firstLine="567"/>
        <w:jc w:val="both"/>
        <w:outlineLvl w:val="0"/>
        <w:rPr>
          <w:rFonts w:ascii="Times New Roman" w:hAnsi="Times New Roman" w:cs="Times New Roman"/>
          <w:b w:val="0"/>
          <w:sz w:val="22"/>
          <w:lang w:val="hr-HR"/>
        </w:rPr>
      </w:pPr>
      <w:r w:rsidRPr="00722358">
        <w:rPr>
          <w:rFonts w:ascii="Times New Roman" w:hAnsi="Times New Roman" w:cs="Times New Roman"/>
          <w:b w:val="0"/>
          <w:i/>
          <w:sz w:val="22"/>
          <w:lang w:val="hr-HR"/>
        </w:rPr>
        <w:t>Kapitalni projekt K10120</w:t>
      </w:r>
      <w:r>
        <w:rPr>
          <w:rFonts w:ascii="Times New Roman" w:hAnsi="Times New Roman" w:cs="Times New Roman"/>
          <w:b w:val="0"/>
          <w:i/>
          <w:sz w:val="22"/>
          <w:lang w:val="hr-HR"/>
        </w:rPr>
        <w:t>4</w:t>
      </w:r>
      <w:r w:rsidRPr="00722358">
        <w:rPr>
          <w:rFonts w:ascii="Times New Roman" w:hAnsi="Times New Roman" w:cs="Times New Roman"/>
          <w:b w:val="0"/>
          <w:sz w:val="22"/>
          <w:lang w:val="hr-HR"/>
        </w:rPr>
        <w:t xml:space="preserve"> – Sufinanciranje </w:t>
      </w:r>
      <w:r>
        <w:rPr>
          <w:rFonts w:ascii="Times New Roman" w:hAnsi="Times New Roman" w:cs="Times New Roman"/>
          <w:b w:val="0"/>
          <w:sz w:val="22"/>
          <w:lang w:val="hr-HR"/>
        </w:rPr>
        <w:t xml:space="preserve">izgradnje vodovoda </w:t>
      </w:r>
      <w:proofErr w:type="spellStart"/>
      <w:r>
        <w:rPr>
          <w:rFonts w:ascii="Times New Roman" w:hAnsi="Times New Roman" w:cs="Times New Roman"/>
          <w:b w:val="0"/>
          <w:sz w:val="22"/>
          <w:lang w:val="hr-HR"/>
        </w:rPr>
        <w:t>Dišnik</w:t>
      </w:r>
      <w:proofErr w:type="spellEnd"/>
      <w:r w:rsidRPr="00722358">
        <w:rPr>
          <w:rFonts w:ascii="Times New Roman" w:hAnsi="Times New Roman" w:cs="Times New Roman"/>
          <w:b w:val="0"/>
          <w:sz w:val="22"/>
          <w:lang w:val="hr-HR"/>
        </w:rPr>
        <w:t xml:space="preserve"> </w:t>
      </w:r>
    </w:p>
    <w:p w14:paraId="3AF0DB5D" w14:textId="21652D15" w:rsidR="00D538C4" w:rsidRDefault="00D538C4" w:rsidP="00D538C4">
      <w:pPr>
        <w:pStyle w:val="Default"/>
        <w:jc w:val="both"/>
        <w:rPr>
          <w:rFonts w:ascii="Times New Roman" w:hAnsi="Times New Roman" w:cs="Times New Roman"/>
          <w:sz w:val="22"/>
          <w:szCs w:val="22"/>
        </w:rPr>
      </w:pPr>
      <w:r>
        <w:rPr>
          <w:rFonts w:ascii="Times New Roman" w:hAnsi="Times New Roman" w:cs="Times New Roman"/>
          <w:sz w:val="23"/>
          <w:szCs w:val="23"/>
        </w:rPr>
        <w:t xml:space="preserve">Cjevovod je postavljen, slijedeći koraci su puštanje vode u sustav te postavljanje priključaka do kuća u </w:t>
      </w:r>
      <w:proofErr w:type="spellStart"/>
      <w:r>
        <w:rPr>
          <w:rFonts w:ascii="Times New Roman" w:hAnsi="Times New Roman" w:cs="Times New Roman"/>
          <w:sz w:val="23"/>
          <w:szCs w:val="23"/>
        </w:rPr>
        <w:t>Dišniku</w:t>
      </w:r>
      <w:proofErr w:type="spellEnd"/>
      <w:r>
        <w:rPr>
          <w:rFonts w:ascii="Times New Roman" w:hAnsi="Times New Roman" w:cs="Times New Roman"/>
          <w:sz w:val="23"/>
          <w:szCs w:val="23"/>
        </w:rPr>
        <w:t>. Navedena sredstva utrošena su na administrativne troškove.</w:t>
      </w:r>
    </w:p>
    <w:p w14:paraId="31B5017B" w14:textId="77777777" w:rsidR="00D538C4" w:rsidRPr="00722358" w:rsidRDefault="00D538C4" w:rsidP="00E40FD3">
      <w:pPr>
        <w:pStyle w:val="Default"/>
        <w:jc w:val="both"/>
        <w:rPr>
          <w:rFonts w:ascii="Times New Roman" w:hAnsi="Times New Roman" w:cs="Times New Roman"/>
          <w:sz w:val="22"/>
          <w:szCs w:val="22"/>
        </w:rPr>
      </w:pPr>
    </w:p>
    <w:p w14:paraId="5884FC5A" w14:textId="086C5F29" w:rsidR="00722358" w:rsidRPr="00722358" w:rsidRDefault="00722358" w:rsidP="00BF0306">
      <w:pPr>
        <w:pStyle w:val="Naslov"/>
        <w:tabs>
          <w:tab w:val="left" w:pos="0"/>
        </w:tabs>
        <w:spacing w:before="120" w:line="240" w:lineRule="atLeast"/>
        <w:ind w:firstLine="567"/>
        <w:jc w:val="both"/>
        <w:outlineLvl w:val="0"/>
        <w:rPr>
          <w:rFonts w:ascii="Times New Roman" w:hAnsi="Times New Roman" w:cs="Times New Roman"/>
          <w:b w:val="0"/>
          <w:sz w:val="22"/>
          <w:lang w:val="hr-HR"/>
        </w:rPr>
      </w:pPr>
      <w:r w:rsidRPr="00722358">
        <w:rPr>
          <w:rFonts w:ascii="Times New Roman" w:hAnsi="Times New Roman" w:cs="Times New Roman"/>
          <w:b w:val="0"/>
          <w:i/>
          <w:sz w:val="22"/>
          <w:lang w:val="hr-HR"/>
        </w:rPr>
        <w:t>Kapitalni projekt K101217</w:t>
      </w:r>
      <w:r w:rsidRPr="00722358">
        <w:rPr>
          <w:rFonts w:ascii="Times New Roman" w:hAnsi="Times New Roman" w:cs="Times New Roman"/>
          <w:b w:val="0"/>
          <w:sz w:val="22"/>
          <w:lang w:val="hr-HR"/>
        </w:rPr>
        <w:t xml:space="preserve"> – Sufinanciranje magistralnog cjevovoda Velika </w:t>
      </w:r>
      <w:proofErr w:type="spellStart"/>
      <w:r w:rsidRPr="00722358">
        <w:rPr>
          <w:rFonts w:ascii="Times New Roman" w:hAnsi="Times New Roman" w:cs="Times New Roman"/>
          <w:b w:val="0"/>
          <w:sz w:val="22"/>
          <w:lang w:val="hr-HR"/>
        </w:rPr>
        <w:t>Trnovitica</w:t>
      </w:r>
      <w:proofErr w:type="spellEnd"/>
      <w:r w:rsidRPr="00722358">
        <w:rPr>
          <w:rFonts w:ascii="Times New Roman" w:hAnsi="Times New Roman" w:cs="Times New Roman"/>
          <w:b w:val="0"/>
          <w:sz w:val="22"/>
          <w:lang w:val="hr-HR"/>
        </w:rPr>
        <w:t xml:space="preserve"> – Garešnica</w:t>
      </w:r>
    </w:p>
    <w:p w14:paraId="52D3C0FD" w14:textId="77777777" w:rsidR="00AB5370" w:rsidRDefault="00722358" w:rsidP="00E40FD3">
      <w:pPr>
        <w:pStyle w:val="Default"/>
        <w:jc w:val="both"/>
        <w:rPr>
          <w:rFonts w:ascii="Times New Roman" w:hAnsi="Times New Roman" w:cs="Times New Roman"/>
          <w:sz w:val="22"/>
          <w:szCs w:val="22"/>
        </w:rPr>
      </w:pPr>
      <w:r w:rsidRPr="00BF0306">
        <w:rPr>
          <w:rFonts w:ascii="Times New Roman" w:hAnsi="Times New Roman" w:cs="Times New Roman"/>
          <w:sz w:val="22"/>
          <w:szCs w:val="22"/>
        </w:rPr>
        <w:t xml:space="preserve">Nastavak izgradnje magistralnog cjevovoda Velika </w:t>
      </w:r>
      <w:proofErr w:type="spellStart"/>
      <w:r w:rsidRPr="00BF0306">
        <w:rPr>
          <w:rFonts w:ascii="Times New Roman" w:hAnsi="Times New Roman" w:cs="Times New Roman"/>
          <w:sz w:val="22"/>
          <w:szCs w:val="22"/>
        </w:rPr>
        <w:t>Trnovitica</w:t>
      </w:r>
      <w:proofErr w:type="spellEnd"/>
      <w:r w:rsidRPr="00BF0306">
        <w:rPr>
          <w:rFonts w:ascii="Times New Roman" w:hAnsi="Times New Roman" w:cs="Times New Roman"/>
          <w:sz w:val="22"/>
          <w:szCs w:val="22"/>
        </w:rPr>
        <w:t xml:space="preserve"> – Garešnica je prioritet jer se time osigura</w:t>
      </w:r>
      <w:r w:rsidR="00BF0306">
        <w:rPr>
          <w:rFonts w:ascii="Times New Roman" w:hAnsi="Times New Roman" w:cs="Times New Roman"/>
          <w:sz w:val="22"/>
          <w:szCs w:val="22"/>
        </w:rPr>
        <w:t>vaju</w:t>
      </w:r>
      <w:r w:rsidRPr="00BF0306">
        <w:rPr>
          <w:rFonts w:ascii="Times New Roman" w:hAnsi="Times New Roman" w:cs="Times New Roman"/>
          <w:sz w:val="22"/>
          <w:szCs w:val="22"/>
        </w:rPr>
        <w:t xml:space="preserve"> potrebne dodatne količine vode prvotno od Čazme, a potom, nakon dogradnje djela cjevovoda kod Bjelovara, od Banovog stola gdje su puno veće količine i kvalitetnija voda.</w:t>
      </w:r>
    </w:p>
    <w:p w14:paraId="212F7E34" w14:textId="77777777" w:rsidR="00AB5370" w:rsidRDefault="00AB5370" w:rsidP="00E40FD3">
      <w:pPr>
        <w:pStyle w:val="Default"/>
        <w:jc w:val="both"/>
        <w:rPr>
          <w:rFonts w:ascii="Times New Roman" w:hAnsi="Times New Roman" w:cs="Times New Roman"/>
          <w:sz w:val="22"/>
          <w:szCs w:val="22"/>
        </w:rPr>
      </w:pPr>
    </w:p>
    <w:p w14:paraId="405CD5A2" w14:textId="77777777" w:rsidR="00AB5370" w:rsidRPr="00BF0306" w:rsidRDefault="00722358" w:rsidP="00E40FD3">
      <w:pPr>
        <w:pStyle w:val="Default"/>
        <w:jc w:val="both"/>
        <w:rPr>
          <w:rFonts w:ascii="Times New Roman" w:hAnsi="Times New Roman" w:cs="Times New Roman"/>
          <w:sz w:val="22"/>
          <w:szCs w:val="22"/>
        </w:rPr>
      </w:pPr>
      <w:r w:rsidRPr="00BF0306">
        <w:rPr>
          <w:rFonts w:ascii="Times New Roman" w:hAnsi="Times New Roman" w:cs="Times New Roman"/>
          <w:sz w:val="22"/>
          <w:szCs w:val="22"/>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07"/>
        <w:gridCol w:w="2996"/>
        <w:gridCol w:w="962"/>
        <w:gridCol w:w="1122"/>
        <w:gridCol w:w="1105"/>
        <w:gridCol w:w="968"/>
      </w:tblGrid>
      <w:tr w:rsidR="00AB5370" w:rsidRPr="00F64569" w14:paraId="7BEB2838" w14:textId="77777777" w:rsidTr="00E347ED">
        <w:trPr>
          <w:trHeight w:val="633"/>
          <w:jc w:val="center"/>
        </w:trPr>
        <w:tc>
          <w:tcPr>
            <w:tcW w:w="1052" w:type="pct"/>
            <w:shd w:val="clear" w:color="auto" w:fill="BFBFBF"/>
          </w:tcPr>
          <w:p w14:paraId="447C728E" w14:textId="77777777" w:rsidR="00AB5370" w:rsidRPr="00F64569" w:rsidRDefault="00AB5370" w:rsidP="00E347ED">
            <w:pPr>
              <w:widowControl w:val="0"/>
              <w:autoSpaceDE w:val="0"/>
              <w:autoSpaceDN w:val="0"/>
              <w:spacing w:before="104" w:after="0" w:line="240" w:lineRule="auto"/>
              <w:ind w:left="136" w:right="110" w:firstLine="59"/>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Pokazatelj</w:t>
            </w:r>
            <w:r w:rsidRPr="00F64569">
              <w:rPr>
                <w:rFonts w:ascii="Times New Roman" w:eastAsia="Arial MT" w:hAnsi="Times New Roman" w:cs="Times New Roman"/>
                <w:b/>
                <w:spacing w:val="1"/>
                <w:sz w:val="20"/>
                <w:szCs w:val="20"/>
              </w:rPr>
              <w:t xml:space="preserve"> </w:t>
            </w:r>
            <w:r>
              <w:rPr>
                <w:rFonts w:ascii="Times New Roman" w:eastAsia="Arial MT" w:hAnsi="Times New Roman" w:cs="Times New Roman"/>
                <w:b/>
                <w:sz w:val="20"/>
                <w:szCs w:val="20"/>
              </w:rPr>
              <w:t>rezultata</w:t>
            </w:r>
          </w:p>
        </w:tc>
        <w:tc>
          <w:tcPr>
            <w:tcW w:w="1653" w:type="pct"/>
            <w:shd w:val="clear" w:color="auto" w:fill="BFBFBF"/>
          </w:tcPr>
          <w:p w14:paraId="75438F18" w14:textId="77777777" w:rsidR="00AB5370" w:rsidRPr="00F64569" w:rsidRDefault="00AB5370" w:rsidP="00E347ED">
            <w:pPr>
              <w:widowControl w:val="0"/>
              <w:autoSpaceDE w:val="0"/>
              <w:autoSpaceDN w:val="0"/>
              <w:spacing w:after="0" w:line="240" w:lineRule="auto"/>
              <w:jc w:val="both"/>
              <w:rPr>
                <w:rFonts w:ascii="Times New Roman" w:eastAsia="Arial MT" w:hAnsi="Times New Roman" w:cs="Times New Roman"/>
                <w:b/>
                <w:sz w:val="20"/>
                <w:szCs w:val="20"/>
              </w:rPr>
            </w:pPr>
          </w:p>
          <w:p w14:paraId="3BD57FEF" w14:textId="77777777" w:rsidR="00AB5370" w:rsidRPr="00F64569" w:rsidRDefault="00AB5370" w:rsidP="00E347ED">
            <w:pPr>
              <w:widowControl w:val="0"/>
              <w:autoSpaceDE w:val="0"/>
              <w:autoSpaceDN w:val="0"/>
              <w:spacing w:before="1" w:after="0" w:line="240" w:lineRule="auto"/>
              <w:ind w:left="1136" w:right="832"/>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Definicija</w:t>
            </w:r>
          </w:p>
        </w:tc>
        <w:tc>
          <w:tcPr>
            <w:tcW w:w="531" w:type="pct"/>
            <w:shd w:val="clear" w:color="auto" w:fill="BFBFBF"/>
          </w:tcPr>
          <w:p w14:paraId="0899C32D" w14:textId="77777777" w:rsidR="00AB5370" w:rsidRPr="00F64569" w:rsidRDefault="00AB5370" w:rsidP="00E347ED">
            <w:pPr>
              <w:widowControl w:val="0"/>
              <w:autoSpaceDE w:val="0"/>
              <w:autoSpaceDN w:val="0"/>
              <w:spacing w:after="0" w:line="240" w:lineRule="auto"/>
              <w:jc w:val="both"/>
              <w:rPr>
                <w:rFonts w:ascii="Times New Roman" w:eastAsia="Arial MT" w:hAnsi="Times New Roman" w:cs="Times New Roman"/>
                <w:b/>
                <w:sz w:val="20"/>
                <w:szCs w:val="20"/>
              </w:rPr>
            </w:pPr>
          </w:p>
          <w:p w14:paraId="0DE1568A" w14:textId="77777777" w:rsidR="00AB5370" w:rsidRPr="00F64569" w:rsidRDefault="00AB5370" w:rsidP="00E347ED">
            <w:pPr>
              <w:widowControl w:val="0"/>
              <w:autoSpaceDE w:val="0"/>
              <w:autoSpaceDN w:val="0"/>
              <w:spacing w:before="1" w:after="0" w:line="240" w:lineRule="auto"/>
              <w:ind w:left="112" w:right="105"/>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Jedinica</w:t>
            </w:r>
          </w:p>
        </w:tc>
        <w:tc>
          <w:tcPr>
            <w:tcW w:w="619" w:type="pct"/>
            <w:shd w:val="clear" w:color="auto" w:fill="BFBFBF"/>
          </w:tcPr>
          <w:p w14:paraId="18C1A0A9" w14:textId="77777777" w:rsidR="00AB5370" w:rsidRPr="00F64569" w:rsidRDefault="00AB5370" w:rsidP="00E347ED">
            <w:pPr>
              <w:widowControl w:val="0"/>
              <w:autoSpaceDE w:val="0"/>
              <w:autoSpaceDN w:val="0"/>
              <w:spacing w:after="0" w:line="206" w:lineRule="exact"/>
              <w:ind w:left="122" w:right="121"/>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Ciljana</w:t>
            </w:r>
          </w:p>
          <w:p w14:paraId="573D3388" w14:textId="77777777" w:rsidR="00AB5370" w:rsidRPr="00F64569" w:rsidRDefault="00AB5370" w:rsidP="00E347ED">
            <w:pPr>
              <w:widowControl w:val="0"/>
              <w:autoSpaceDE w:val="0"/>
              <w:autoSpaceDN w:val="0"/>
              <w:spacing w:after="0" w:line="206" w:lineRule="exact"/>
              <w:ind w:left="124" w:right="121"/>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vrijednost</w:t>
            </w:r>
            <w:r w:rsidRPr="00F64569">
              <w:rPr>
                <w:rFonts w:ascii="Times New Roman" w:eastAsia="Arial MT" w:hAnsi="Times New Roman" w:cs="Times New Roman"/>
                <w:b/>
                <w:spacing w:val="-47"/>
                <w:sz w:val="20"/>
                <w:szCs w:val="20"/>
              </w:rPr>
              <w:t xml:space="preserve">   </w:t>
            </w:r>
            <w:r w:rsidRPr="00F64569">
              <w:rPr>
                <w:rFonts w:ascii="Times New Roman" w:eastAsia="Arial MT" w:hAnsi="Times New Roman" w:cs="Times New Roman"/>
                <w:b/>
                <w:sz w:val="20"/>
                <w:szCs w:val="20"/>
              </w:rPr>
              <w:t>2024.</w:t>
            </w:r>
          </w:p>
        </w:tc>
        <w:tc>
          <w:tcPr>
            <w:tcW w:w="610" w:type="pct"/>
            <w:shd w:val="clear" w:color="auto" w:fill="BFBFBF"/>
          </w:tcPr>
          <w:p w14:paraId="61EED4D3" w14:textId="77777777" w:rsidR="00AB5370" w:rsidRPr="00F64569" w:rsidRDefault="00AB5370" w:rsidP="00E347ED">
            <w:pPr>
              <w:widowControl w:val="0"/>
              <w:autoSpaceDE w:val="0"/>
              <w:autoSpaceDN w:val="0"/>
              <w:spacing w:after="0" w:line="205" w:lineRule="exact"/>
              <w:ind w:left="89"/>
              <w:jc w:val="both"/>
              <w:rPr>
                <w:rFonts w:ascii="Times New Roman" w:eastAsia="Arial MT" w:hAnsi="Times New Roman" w:cs="Times New Roman"/>
                <w:b/>
                <w:sz w:val="20"/>
                <w:szCs w:val="20"/>
              </w:rPr>
            </w:pPr>
            <w:r>
              <w:rPr>
                <w:rFonts w:ascii="Times New Roman" w:eastAsia="Arial MT" w:hAnsi="Times New Roman" w:cs="Times New Roman"/>
                <w:b/>
                <w:sz w:val="20"/>
                <w:szCs w:val="20"/>
              </w:rPr>
              <w:t>Izvršenje</w:t>
            </w:r>
          </w:p>
        </w:tc>
        <w:tc>
          <w:tcPr>
            <w:tcW w:w="534" w:type="pct"/>
            <w:shd w:val="clear" w:color="auto" w:fill="BFBFBF"/>
          </w:tcPr>
          <w:p w14:paraId="22679C7D" w14:textId="77777777" w:rsidR="00AB5370" w:rsidRPr="00F64569" w:rsidRDefault="00AB5370" w:rsidP="00E347ED">
            <w:pPr>
              <w:widowControl w:val="0"/>
              <w:autoSpaceDE w:val="0"/>
              <w:autoSpaceDN w:val="0"/>
              <w:spacing w:after="0" w:line="240" w:lineRule="auto"/>
              <w:ind w:left="130" w:right="115" w:firstLine="134"/>
              <w:jc w:val="both"/>
              <w:rPr>
                <w:rFonts w:ascii="Times New Roman" w:eastAsia="Arial MT" w:hAnsi="Times New Roman" w:cs="Times New Roman"/>
                <w:b/>
                <w:sz w:val="20"/>
                <w:szCs w:val="20"/>
              </w:rPr>
            </w:pPr>
            <w:r>
              <w:rPr>
                <w:rFonts w:ascii="Times New Roman" w:eastAsia="Arial MT" w:hAnsi="Times New Roman" w:cs="Times New Roman"/>
                <w:b/>
                <w:sz w:val="20"/>
                <w:szCs w:val="20"/>
              </w:rPr>
              <w:t>Indeks</w:t>
            </w:r>
          </w:p>
        </w:tc>
      </w:tr>
      <w:tr w:rsidR="00AB5370" w:rsidRPr="00F64569" w14:paraId="0EEBAB6B" w14:textId="77777777" w:rsidTr="00E347ED">
        <w:trPr>
          <w:trHeight w:val="620"/>
          <w:jc w:val="center"/>
        </w:trPr>
        <w:tc>
          <w:tcPr>
            <w:tcW w:w="1052" w:type="pct"/>
            <w:shd w:val="clear" w:color="auto" w:fill="auto"/>
          </w:tcPr>
          <w:p w14:paraId="0772F11F" w14:textId="3CEF5686" w:rsidR="00AB5370" w:rsidRPr="00F64569" w:rsidRDefault="00AB5370" w:rsidP="00E347ED">
            <w:pPr>
              <w:widowControl w:val="0"/>
              <w:autoSpaceDE w:val="0"/>
              <w:autoSpaceDN w:val="0"/>
              <w:spacing w:before="1" w:after="0" w:line="240" w:lineRule="auto"/>
              <w:ind w:right="109"/>
              <w:jc w:val="center"/>
              <w:rPr>
                <w:rFonts w:ascii="Times New Roman" w:eastAsia="Arial MT" w:hAnsi="Times New Roman" w:cs="Times New Roman"/>
              </w:rPr>
            </w:pPr>
            <w:r>
              <w:rPr>
                <w:rFonts w:ascii="Times New Roman" w:eastAsia="Arial MT" w:hAnsi="Times New Roman" w:cs="Times New Roman"/>
              </w:rPr>
              <w:t>Broj kilometara cjevovoda</w:t>
            </w:r>
          </w:p>
        </w:tc>
        <w:tc>
          <w:tcPr>
            <w:tcW w:w="1653" w:type="pct"/>
            <w:shd w:val="clear" w:color="auto" w:fill="auto"/>
          </w:tcPr>
          <w:p w14:paraId="5F98E0A4" w14:textId="00F83458" w:rsidR="00AB5370" w:rsidRPr="00F64569" w:rsidRDefault="00AB5370" w:rsidP="00E347ED">
            <w:pPr>
              <w:widowControl w:val="0"/>
              <w:autoSpaceDE w:val="0"/>
              <w:autoSpaceDN w:val="0"/>
              <w:spacing w:after="0" w:line="187" w:lineRule="exact"/>
              <w:ind w:left="105"/>
              <w:jc w:val="center"/>
              <w:rPr>
                <w:rFonts w:ascii="Times New Roman" w:eastAsia="Arial MT" w:hAnsi="Times New Roman" w:cs="Times New Roman"/>
              </w:rPr>
            </w:pPr>
            <w:r>
              <w:rPr>
                <w:rFonts w:ascii="Times New Roman" w:eastAsia="Arial MT" w:hAnsi="Times New Roman" w:cs="Times New Roman"/>
              </w:rPr>
              <w:t>Povećanje broja kilometara cjevovoda u postojećem sustavu</w:t>
            </w:r>
          </w:p>
        </w:tc>
        <w:tc>
          <w:tcPr>
            <w:tcW w:w="531" w:type="pct"/>
            <w:shd w:val="clear" w:color="auto" w:fill="auto"/>
          </w:tcPr>
          <w:p w14:paraId="06EEDE21" w14:textId="77777777" w:rsidR="00AB5370" w:rsidRPr="00F64569" w:rsidRDefault="00AB5370" w:rsidP="00E347ED">
            <w:pPr>
              <w:widowControl w:val="0"/>
              <w:autoSpaceDE w:val="0"/>
              <w:autoSpaceDN w:val="0"/>
              <w:spacing w:before="1" w:after="0" w:line="240" w:lineRule="auto"/>
              <w:ind w:right="137"/>
              <w:jc w:val="center"/>
              <w:rPr>
                <w:rFonts w:ascii="Times New Roman" w:eastAsia="Arial MT" w:hAnsi="Times New Roman" w:cs="Times New Roman"/>
              </w:rPr>
            </w:pPr>
            <w:r>
              <w:rPr>
                <w:rFonts w:ascii="Times New Roman" w:eastAsia="Arial MT" w:hAnsi="Times New Roman" w:cs="Times New Roman"/>
              </w:rPr>
              <w:t>Km</w:t>
            </w:r>
          </w:p>
        </w:tc>
        <w:tc>
          <w:tcPr>
            <w:tcW w:w="619" w:type="pct"/>
            <w:shd w:val="clear" w:color="auto" w:fill="auto"/>
          </w:tcPr>
          <w:p w14:paraId="14CC56B5" w14:textId="59B5A549" w:rsidR="00AB5370" w:rsidRPr="00F64569" w:rsidRDefault="00AB5370" w:rsidP="00E347ED">
            <w:pPr>
              <w:widowControl w:val="0"/>
              <w:autoSpaceDE w:val="0"/>
              <w:autoSpaceDN w:val="0"/>
              <w:spacing w:after="0" w:line="240" w:lineRule="auto"/>
              <w:ind w:right="121"/>
              <w:jc w:val="center"/>
              <w:rPr>
                <w:rFonts w:ascii="Times New Roman" w:eastAsia="Arial MT" w:hAnsi="Times New Roman" w:cs="Times New Roman"/>
              </w:rPr>
            </w:pPr>
            <w:r>
              <w:rPr>
                <w:rFonts w:ascii="Times New Roman" w:eastAsia="Arial MT" w:hAnsi="Times New Roman" w:cs="Times New Roman"/>
              </w:rPr>
              <w:t>40</w:t>
            </w:r>
          </w:p>
        </w:tc>
        <w:tc>
          <w:tcPr>
            <w:tcW w:w="610" w:type="pct"/>
            <w:shd w:val="clear" w:color="auto" w:fill="auto"/>
          </w:tcPr>
          <w:p w14:paraId="7E271280" w14:textId="5178A8F7" w:rsidR="00AB5370" w:rsidRPr="00F64569" w:rsidRDefault="00AB5370" w:rsidP="00E347ED">
            <w:pPr>
              <w:widowControl w:val="0"/>
              <w:autoSpaceDE w:val="0"/>
              <w:autoSpaceDN w:val="0"/>
              <w:spacing w:after="0" w:line="240" w:lineRule="auto"/>
              <w:ind w:right="460"/>
              <w:jc w:val="center"/>
              <w:rPr>
                <w:rFonts w:ascii="Times New Roman" w:eastAsia="Arial MT" w:hAnsi="Times New Roman" w:cs="Times New Roman"/>
              </w:rPr>
            </w:pPr>
            <w:r>
              <w:rPr>
                <w:rFonts w:ascii="Times New Roman" w:eastAsia="Arial MT" w:hAnsi="Times New Roman" w:cs="Times New Roman"/>
              </w:rPr>
              <w:t>25</w:t>
            </w:r>
          </w:p>
        </w:tc>
        <w:tc>
          <w:tcPr>
            <w:tcW w:w="534" w:type="pct"/>
          </w:tcPr>
          <w:p w14:paraId="3BFDB3E8" w14:textId="194D94E9" w:rsidR="00AB5370" w:rsidRPr="00F64569" w:rsidRDefault="00AB5370" w:rsidP="00E347ED">
            <w:pPr>
              <w:widowControl w:val="0"/>
              <w:autoSpaceDE w:val="0"/>
              <w:autoSpaceDN w:val="0"/>
              <w:spacing w:after="0" w:line="240" w:lineRule="auto"/>
              <w:jc w:val="center"/>
              <w:rPr>
                <w:rFonts w:ascii="Times New Roman" w:eastAsia="Arial MT" w:hAnsi="Times New Roman" w:cs="Times New Roman"/>
              </w:rPr>
            </w:pPr>
            <w:r>
              <w:rPr>
                <w:rFonts w:ascii="Times New Roman" w:eastAsia="Arial MT" w:hAnsi="Times New Roman" w:cs="Times New Roman"/>
              </w:rPr>
              <w:t>62,50</w:t>
            </w:r>
          </w:p>
        </w:tc>
      </w:tr>
    </w:tbl>
    <w:p w14:paraId="00D1F2A6" w14:textId="76EEC086" w:rsidR="00722358" w:rsidRPr="00BF0306" w:rsidRDefault="00722358" w:rsidP="00E40FD3">
      <w:pPr>
        <w:pStyle w:val="Default"/>
        <w:jc w:val="both"/>
        <w:rPr>
          <w:rFonts w:ascii="Times New Roman" w:hAnsi="Times New Roman" w:cs="Times New Roman"/>
          <w:sz w:val="22"/>
          <w:szCs w:val="22"/>
        </w:rPr>
      </w:pPr>
    </w:p>
    <w:p w14:paraId="44755D04" w14:textId="6F606079" w:rsidR="00722358" w:rsidRDefault="00722358" w:rsidP="00BF0306">
      <w:pPr>
        <w:pStyle w:val="Naslov"/>
        <w:tabs>
          <w:tab w:val="left" w:pos="0"/>
        </w:tabs>
        <w:spacing w:before="120"/>
        <w:ind w:firstLine="567"/>
        <w:jc w:val="both"/>
        <w:outlineLvl w:val="0"/>
        <w:rPr>
          <w:rFonts w:ascii="Times New Roman" w:hAnsi="Times New Roman" w:cs="Times New Roman"/>
          <w:b w:val="0"/>
          <w:sz w:val="22"/>
          <w:lang w:val="hr-HR"/>
        </w:rPr>
      </w:pPr>
      <w:r w:rsidRPr="00722358">
        <w:rPr>
          <w:rFonts w:ascii="Times New Roman" w:hAnsi="Times New Roman" w:cs="Times New Roman"/>
          <w:b w:val="0"/>
          <w:i/>
          <w:sz w:val="22"/>
          <w:lang w:val="hr-HR"/>
        </w:rPr>
        <w:t>Kapitalni projekt K1012</w:t>
      </w:r>
      <w:r w:rsidR="00AB5370">
        <w:rPr>
          <w:rFonts w:ascii="Times New Roman" w:hAnsi="Times New Roman" w:cs="Times New Roman"/>
          <w:b w:val="0"/>
          <w:i/>
          <w:sz w:val="22"/>
          <w:lang w:val="hr-HR"/>
        </w:rPr>
        <w:t>18</w:t>
      </w:r>
      <w:r w:rsidRPr="00722358">
        <w:rPr>
          <w:rFonts w:ascii="Times New Roman" w:hAnsi="Times New Roman" w:cs="Times New Roman"/>
          <w:b w:val="0"/>
          <w:sz w:val="22"/>
          <w:lang w:val="hr-HR"/>
        </w:rPr>
        <w:t xml:space="preserve"> – Sufinanciranje </w:t>
      </w:r>
      <w:r w:rsidR="0029220B">
        <w:rPr>
          <w:rFonts w:ascii="Times New Roman" w:hAnsi="Times New Roman" w:cs="Times New Roman"/>
          <w:b w:val="0"/>
          <w:sz w:val="22"/>
          <w:lang w:val="hr-HR"/>
        </w:rPr>
        <w:t>sanacije problematičnih parametara u vodi</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07"/>
        <w:gridCol w:w="2996"/>
        <w:gridCol w:w="962"/>
        <w:gridCol w:w="1122"/>
        <w:gridCol w:w="1105"/>
        <w:gridCol w:w="968"/>
      </w:tblGrid>
      <w:tr w:rsidR="0029220B" w:rsidRPr="00F64569" w14:paraId="66C9CC52" w14:textId="77777777" w:rsidTr="00E347ED">
        <w:trPr>
          <w:trHeight w:val="633"/>
          <w:jc w:val="center"/>
        </w:trPr>
        <w:tc>
          <w:tcPr>
            <w:tcW w:w="1052" w:type="pct"/>
            <w:shd w:val="clear" w:color="auto" w:fill="BFBFBF"/>
          </w:tcPr>
          <w:p w14:paraId="3A6EFBDF" w14:textId="77777777" w:rsidR="0029220B" w:rsidRPr="00F64569" w:rsidRDefault="0029220B" w:rsidP="00E347ED">
            <w:pPr>
              <w:widowControl w:val="0"/>
              <w:autoSpaceDE w:val="0"/>
              <w:autoSpaceDN w:val="0"/>
              <w:spacing w:before="104" w:after="0" w:line="240" w:lineRule="auto"/>
              <w:ind w:left="136" w:right="110" w:firstLine="59"/>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Pokazatelj</w:t>
            </w:r>
            <w:r w:rsidRPr="00F64569">
              <w:rPr>
                <w:rFonts w:ascii="Times New Roman" w:eastAsia="Arial MT" w:hAnsi="Times New Roman" w:cs="Times New Roman"/>
                <w:b/>
                <w:spacing w:val="1"/>
                <w:sz w:val="20"/>
                <w:szCs w:val="20"/>
              </w:rPr>
              <w:t xml:space="preserve"> </w:t>
            </w:r>
            <w:r>
              <w:rPr>
                <w:rFonts w:ascii="Times New Roman" w:eastAsia="Arial MT" w:hAnsi="Times New Roman" w:cs="Times New Roman"/>
                <w:b/>
                <w:sz w:val="20"/>
                <w:szCs w:val="20"/>
              </w:rPr>
              <w:t>rezultata</w:t>
            </w:r>
          </w:p>
        </w:tc>
        <w:tc>
          <w:tcPr>
            <w:tcW w:w="1653" w:type="pct"/>
            <w:shd w:val="clear" w:color="auto" w:fill="BFBFBF"/>
          </w:tcPr>
          <w:p w14:paraId="4EC17799" w14:textId="77777777" w:rsidR="0029220B" w:rsidRPr="00F64569" w:rsidRDefault="0029220B" w:rsidP="00E347ED">
            <w:pPr>
              <w:widowControl w:val="0"/>
              <w:autoSpaceDE w:val="0"/>
              <w:autoSpaceDN w:val="0"/>
              <w:spacing w:after="0" w:line="240" w:lineRule="auto"/>
              <w:jc w:val="both"/>
              <w:rPr>
                <w:rFonts w:ascii="Times New Roman" w:eastAsia="Arial MT" w:hAnsi="Times New Roman" w:cs="Times New Roman"/>
                <w:b/>
                <w:sz w:val="20"/>
                <w:szCs w:val="20"/>
              </w:rPr>
            </w:pPr>
          </w:p>
          <w:p w14:paraId="6F15FD66" w14:textId="77777777" w:rsidR="0029220B" w:rsidRPr="00F64569" w:rsidRDefault="0029220B" w:rsidP="00E347ED">
            <w:pPr>
              <w:widowControl w:val="0"/>
              <w:autoSpaceDE w:val="0"/>
              <w:autoSpaceDN w:val="0"/>
              <w:spacing w:before="1" w:after="0" w:line="240" w:lineRule="auto"/>
              <w:ind w:left="1136" w:right="832"/>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Definicija</w:t>
            </w:r>
          </w:p>
        </w:tc>
        <w:tc>
          <w:tcPr>
            <w:tcW w:w="531" w:type="pct"/>
            <w:shd w:val="clear" w:color="auto" w:fill="BFBFBF"/>
          </w:tcPr>
          <w:p w14:paraId="39A72392" w14:textId="77777777" w:rsidR="0029220B" w:rsidRPr="00F64569" w:rsidRDefault="0029220B" w:rsidP="00E347ED">
            <w:pPr>
              <w:widowControl w:val="0"/>
              <w:autoSpaceDE w:val="0"/>
              <w:autoSpaceDN w:val="0"/>
              <w:spacing w:after="0" w:line="240" w:lineRule="auto"/>
              <w:jc w:val="both"/>
              <w:rPr>
                <w:rFonts w:ascii="Times New Roman" w:eastAsia="Arial MT" w:hAnsi="Times New Roman" w:cs="Times New Roman"/>
                <w:b/>
                <w:sz w:val="20"/>
                <w:szCs w:val="20"/>
              </w:rPr>
            </w:pPr>
          </w:p>
          <w:p w14:paraId="5C0C7912" w14:textId="77777777" w:rsidR="0029220B" w:rsidRPr="00F64569" w:rsidRDefault="0029220B" w:rsidP="00E347ED">
            <w:pPr>
              <w:widowControl w:val="0"/>
              <w:autoSpaceDE w:val="0"/>
              <w:autoSpaceDN w:val="0"/>
              <w:spacing w:before="1" w:after="0" w:line="240" w:lineRule="auto"/>
              <w:ind w:left="112" w:right="105"/>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Jedinica</w:t>
            </w:r>
          </w:p>
        </w:tc>
        <w:tc>
          <w:tcPr>
            <w:tcW w:w="619" w:type="pct"/>
            <w:shd w:val="clear" w:color="auto" w:fill="BFBFBF"/>
          </w:tcPr>
          <w:p w14:paraId="658D89FE" w14:textId="77777777" w:rsidR="0029220B" w:rsidRPr="00F64569" w:rsidRDefault="0029220B" w:rsidP="00E347ED">
            <w:pPr>
              <w:widowControl w:val="0"/>
              <w:autoSpaceDE w:val="0"/>
              <w:autoSpaceDN w:val="0"/>
              <w:spacing w:after="0" w:line="206" w:lineRule="exact"/>
              <w:ind w:left="122" w:right="121"/>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Ciljana</w:t>
            </w:r>
          </w:p>
          <w:p w14:paraId="01F3C90B" w14:textId="77777777" w:rsidR="0029220B" w:rsidRPr="00F64569" w:rsidRDefault="0029220B" w:rsidP="00E347ED">
            <w:pPr>
              <w:widowControl w:val="0"/>
              <w:autoSpaceDE w:val="0"/>
              <w:autoSpaceDN w:val="0"/>
              <w:spacing w:after="0" w:line="206" w:lineRule="exact"/>
              <w:ind w:left="124" w:right="121"/>
              <w:jc w:val="both"/>
              <w:rPr>
                <w:rFonts w:ascii="Times New Roman" w:eastAsia="Arial MT" w:hAnsi="Times New Roman" w:cs="Times New Roman"/>
                <w:b/>
                <w:sz w:val="20"/>
                <w:szCs w:val="20"/>
              </w:rPr>
            </w:pPr>
            <w:r w:rsidRPr="00F64569">
              <w:rPr>
                <w:rFonts w:ascii="Times New Roman" w:eastAsia="Arial MT" w:hAnsi="Times New Roman" w:cs="Times New Roman"/>
                <w:b/>
                <w:sz w:val="20"/>
                <w:szCs w:val="20"/>
              </w:rPr>
              <w:t>vrijednost</w:t>
            </w:r>
            <w:r w:rsidRPr="00F64569">
              <w:rPr>
                <w:rFonts w:ascii="Times New Roman" w:eastAsia="Arial MT" w:hAnsi="Times New Roman" w:cs="Times New Roman"/>
                <w:b/>
                <w:spacing w:val="-47"/>
                <w:sz w:val="20"/>
                <w:szCs w:val="20"/>
              </w:rPr>
              <w:t xml:space="preserve">   </w:t>
            </w:r>
            <w:r w:rsidRPr="00F64569">
              <w:rPr>
                <w:rFonts w:ascii="Times New Roman" w:eastAsia="Arial MT" w:hAnsi="Times New Roman" w:cs="Times New Roman"/>
                <w:b/>
                <w:sz w:val="20"/>
                <w:szCs w:val="20"/>
              </w:rPr>
              <w:t>2024.</w:t>
            </w:r>
          </w:p>
        </w:tc>
        <w:tc>
          <w:tcPr>
            <w:tcW w:w="610" w:type="pct"/>
            <w:shd w:val="clear" w:color="auto" w:fill="BFBFBF"/>
          </w:tcPr>
          <w:p w14:paraId="00745077" w14:textId="77777777" w:rsidR="0029220B" w:rsidRPr="00F64569" w:rsidRDefault="0029220B" w:rsidP="00E347ED">
            <w:pPr>
              <w:widowControl w:val="0"/>
              <w:autoSpaceDE w:val="0"/>
              <w:autoSpaceDN w:val="0"/>
              <w:spacing w:after="0" w:line="205" w:lineRule="exact"/>
              <w:ind w:left="89"/>
              <w:jc w:val="both"/>
              <w:rPr>
                <w:rFonts w:ascii="Times New Roman" w:eastAsia="Arial MT" w:hAnsi="Times New Roman" w:cs="Times New Roman"/>
                <w:b/>
                <w:sz w:val="20"/>
                <w:szCs w:val="20"/>
              </w:rPr>
            </w:pPr>
            <w:r>
              <w:rPr>
                <w:rFonts w:ascii="Times New Roman" w:eastAsia="Arial MT" w:hAnsi="Times New Roman" w:cs="Times New Roman"/>
                <w:b/>
                <w:sz w:val="20"/>
                <w:szCs w:val="20"/>
              </w:rPr>
              <w:t>Izvršenje</w:t>
            </w:r>
          </w:p>
        </w:tc>
        <w:tc>
          <w:tcPr>
            <w:tcW w:w="534" w:type="pct"/>
            <w:shd w:val="clear" w:color="auto" w:fill="BFBFBF"/>
          </w:tcPr>
          <w:p w14:paraId="093F91D2" w14:textId="77777777" w:rsidR="0029220B" w:rsidRPr="00F64569" w:rsidRDefault="0029220B" w:rsidP="00E347ED">
            <w:pPr>
              <w:widowControl w:val="0"/>
              <w:autoSpaceDE w:val="0"/>
              <w:autoSpaceDN w:val="0"/>
              <w:spacing w:after="0" w:line="240" w:lineRule="auto"/>
              <w:ind w:left="130" w:right="115" w:firstLine="134"/>
              <w:jc w:val="both"/>
              <w:rPr>
                <w:rFonts w:ascii="Times New Roman" w:eastAsia="Arial MT" w:hAnsi="Times New Roman" w:cs="Times New Roman"/>
                <w:b/>
                <w:sz w:val="20"/>
                <w:szCs w:val="20"/>
              </w:rPr>
            </w:pPr>
            <w:r>
              <w:rPr>
                <w:rFonts w:ascii="Times New Roman" w:eastAsia="Arial MT" w:hAnsi="Times New Roman" w:cs="Times New Roman"/>
                <w:b/>
                <w:sz w:val="20"/>
                <w:szCs w:val="20"/>
              </w:rPr>
              <w:t>Indeks</w:t>
            </w:r>
          </w:p>
        </w:tc>
      </w:tr>
      <w:tr w:rsidR="0029220B" w:rsidRPr="00F64569" w14:paraId="1C61FA8C" w14:textId="77777777" w:rsidTr="00E347ED">
        <w:trPr>
          <w:trHeight w:val="620"/>
          <w:jc w:val="center"/>
        </w:trPr>
        <w:tc>
          <w:tcPr>
            <w:tcW w:w="1052" w:type="pct"/>
            <w:shd w:val="clear" w:color="auto" w:fill="auto"/>
          </w:tcPr>
          <w:p w14:paraId="66B044DA" w14:textId="0E639796" w:rsidR="0029220B" w:rsidRPr="00F64569" w:rsidRDefault="0029220B" w:rsidP="00E347ED">
            <w:pPr>
              <w:widowControl w:val="0"/>
              <w:autoSpaceDE w:val="0"/>
              <w:autoSpaceDN w:val="0"/>
              <w:spacing w:before="1" w:after="0" w:line="240" w:lineRule="auto"/>
              <w:ind w:right="109"/>
              <w:jc w:val="center"/>
              <w:rPr>
                <w:rFonts w:ascii="Times New Roman" w:eastAsia="Arial MT" w:hAnsi="Times New Roman" w:cs="Times New Roman"/>
              </w:rPr>
            </w:pPr>
            <w:r>
              <w:rPr>
                <w:rFonts w:ascii="Times New Roman" w:eastAsia="Arial MT" w:hAnsi="Times New Roman" w:cs="Times New Roman"/>
              </w:rPr>
              <w:t>Broj uređaja za sanaciju</w:t>
            </w:r>
          </w:p>
        </w:tc>
        <w:tc>
          <w:tcPr>
            <w:tcW w:w="1653" w:type="pct"/>
            <w:shd w:val="clear" w:color="auto" w:fill="auto"/>
          </w:tcPr>
          <w:p w14:paraId="134E5429" w14:textId="1C8BEC4A" w:rsidR="0029220B" w:rsidRPr="00F64569" w:rsidRDefault="0029220B" w:rsidP="00E347ED">
            <w:pPr>
              <w:widowControl w:val="0"/>
              <w:autoSpaceDE w:val="0"/>
              <w:autoSpaceDN w:val="0"/>
              <w:spacing w:after="0" w:line="187" w:lineRule="exact"/>
              <w:ind w:left="105"/>
              <w:jc w:val="center"/>
              <w:rPr>
                <w:rFonts w:ascii="Times New Roman" w:eastAsia="Arial MT" w:hAnsi="Times New Roman" w:cs="Times New Roman"/>
              </w:rPr>
            </w:pPr>
            <w:r>
              <w:rPr>
                <w:rFonts w:ascii="Times New Roman" w:eastAsia="Arial MT" w:hAnsi="Times New Roman" w:cs="Times New Roman"/>
              </w:rPr>
              <w:t>Povećanje broja uređaja za sanaciju problematičnih parametara</w:t>
            </w:r>
          </w:p>
        </w:tc>
        <w:tc>
          <w:tcPr>
            <w:tcW w:w="531" w:type="pct"/>
            <w:shd w:val="clear" w:color="auto" w:fill="auto"/>
          </w:tcPr>
          <w:p w14:paraId="3EFF7120" w14:textId="020CA0B1" w:rsidR="0029220B" w:rsidRPr="00F64569" w:rsidRDefault="0029220B" w:rsidP="00E347ED">
            <w:pPr>
              <w:widowControl w:val="0"/>
              <w:autoSpaceDE w:val="0"/>
              <w:autoSpaceDN w:val="0"/>
              <w:spacing w:before="1" w:after="0" w:line="240" w:lineRule="auto"/>
              <w:ind w:right="137"/>
              <w:jc w:val="center"/>
              <w:rPr>
                <w:rFonts w:ascii="Times New Roman" w:eastAsia="Arial MT" w:hAnsi="Times New Roman" w:cs="Times New Roman"/>
              </w:rPr>
            </w:pPr>
            <w:r>
              <w:rPr>
                <w:rFonts w:ascii="Times New Roman" w:eastAsia="Arial MT" w:hAnsi="Times New Roman" w:cs="Times New Roman"/>
              </w:rPr>
              <w:t>Kom</w:t>
            </w:r>
          </w:p>
        </w:tc>
        <w:tc>
          <w:tcPr>
            <w:tcW w:w="619" w:type="pct"/>
            <w:shd w:val="clear" w:color="auto" w:fill="auto"/>
          </w:tcPr>
          <w:p w14:paraId="68A3B65C" w14:textId="18E1595C" w:rsidR="0029220B" w:rsidRPr="00F64569" w:rsidRDefault="0029220B" w:rsidP="00E347ED">
            <w:pPr>
              <w:widowControl w:val="0"/>
              <w:autoSpaceDE w:val="0"/>
              <w:autoSpaceDN w:val="0"/>
              <w:spacing w:after="0" w:line="240" w:lineRule="auto"/>
              <w:ind w:right="121"/>
              <w:jc w:val="center"/>
              <w:rPr>
                <w:rFonts w:ascii="Times New Roman" w:eastAsia="Arial MT" w:hAnsi="Times New Roman" w:cs="Times New Roman"/>
              </w:rPr>
            </w:pPr>
            <w:r>
              <w:rPr>
                <w:rFonts w:ascii="Times New Roman" w:eastAsia="Arial MT" w:hAnsi="Times New Roman" w:cs="Times New Roman"/>
              </w:rPr>
              <w:t>6</w:t>
            </w:r>
          </w:p>
        </w:tc>
        <w:tc>
          <w:tcPr>
            <w:tcW w:w="610" w:type="pct"/>
            <w:shd w:val="clear" w:color="auto" w:fill="auto"/>
          </w:tcPr>
          <w:p w14:paraId="6B97CA2D" w14:textId="3055FC2D" w:rsidR="0029220B" w:rsidRPr="00F64569" w:rsidRDefault="0029220B" w:rsidP="00E347ED">
            <w:pPr>
              <w:widowControl w:val="0"/>
              <w:autoSpaceDE w:val="0"/>
              <w:autoSpaceDN w:val="0"/>
              <w:spacing w:after="0" w:line="240" w:lineRule="auto"/>
              <w:ind w:right="460"/>
              <w:jc w:val="center"/>
              <w:rPr>
                <w:rFonts w:ascii="Times New Roman" w:eastAsia="Arial MT" w:hAnsi="Times New Roman" w:cs="Times New Roman"/>
              </w:rPr>
            </w:pPr>
            <w:r>
              <w:rPr>
                <w:rFonts w:ascii="Times New Roman" w:eastAsia="Arial MT" w:hAnsi="Times New Roman" w:cs="Times New Roman"/>
              </w:rPr>
              <w:t>5</w:t>
            </w:r>
          </w:p>
        </w:tc>
        <w:tc>
          <w:tcPr>
            <w:tcW w:w="534" w:type="pct"/>
          </w:tcPr>
          <w:p w14:paraId="3934099F" w14:textId="4C3FED4A" w:rsidR="0029220B" w:rsidRPr="00F64569" w:rsidRDefault="0029220B" w:rsidP="00E347ED">
            <w:pPr>
              <w:widowControl w:val="0"/>
              <w:autoSpaceDE w:val="0"/>
              <w:autoSpaceDN w:val="0"/>
              <w:spacing w:after="0" w:line="240" w:lineRule="auto"/>
              <w:jc w:val="center"/>
              <w:rPr>
                <w:rFonts w:ascii="Times New Roman" w:eastAsia="Arial MT" w:hAnsi="Times New Roman" w:cs="Times New Roman"/>
              </w:rPr>
            </w:pPr>
            <w:r>
              <w:rPr>
                <w:rFonts w:ascii="Times New Roman" w:eastAsia="Arial MT" w:hAnsi="Times New Roman" w:cs="Times New Roman"/>
              </w:rPr>
              <w:t>83,33</w:t>
            </w:r>
          </w:p>
        </w:tc>
      </w:tr>
    </w:tbl>
    <w:p w14:paraId="1AAC1CA7" w14:textId="77777777" w:rsidR="00722358" w:rsidRDefault="00722358" w:rsidP="00E40FD3">
      <w:pPr>
        <w:pStyle w:val="Naslov"/>
        <w:tabs>
          <w:tab w:val="left" w:pos="0"/>
        </w:tabs>
        <w:jc w:val="both"/>
        <w:outlineLvl w:val="0"/>
        <w:rPr>
          <w:rFonts w:ascii="Times New Roman" w:hAnsi="Times New Roman" w:cs="Times New Roman"/>
          <w:b w:val="0"/>
          <w:color w:val="FF0000"/>
          <w:sz w:val="22"/>
          <w:lang w:val="hr-HR"/>
        </w:rPr>
      </w:pPr>
    </w:p>
    <w:p w14:paraId="4186A5D5" w14:textId="6594AF8C" w:rsidR="00005BBB" w:rsidRPr="00005BBB" w:rsidRDefault="006B69EA" w:rsidP="00005BBB">
      <w:pPr>
        <w:pStyle w:val="Naslov"/>
        <w:tabs>
          <w:tab w:val="left" w:pos="0"/>
        </w:tabs>
        <w:spacing w:before="120" w:line="240" w:lineRule="atLeast"/>
        <w:ind w:firstLine="567"/>
        <w:jc w:val="both"/>
        <w:outlineLvl w:val="0"/>
        <w:rPr>
          <w:rFonts w:ascii="Times New Roman" w:hAnsi="Times New Roman" w:cs="Times New Roman"/>
          <w:b w:val="0"/>
          <w:sz w:val="22"/>
          <w:lang w:val="hr-HR"/>
        </w:rPr>
      </w:pPr>
      <w:r w:rsidRPr="00005BBB">
        <w:rPr>
          <w:rFonts w:ascii="Times New Roman" w:hAnsi="Times New Roman" w:cs="Times New Roman"/>
          <w:b w:val="0"/>
          <w:i/>
          <w:sz w:val="22"/>
          <w:lang w:val="hr-HR"/>
        </w:rPr>
        <w:t>Kapitalni projekt K101222</w:t>
      </w:r>
      <w:r w:rsidRPr="00005BBB">
        <w:rPr>
          <w:rFonts w:ascii="Times New Roman" w:hAnsi="Times New Roman" w:cs="Times New Roman"/>
          <w:b w:val="0"/>
          <w:sz w:val="22"/>
          <w:lang w:val="hr-HR"/>
        </w:rPr>
        <w:t xml:space="preserve"> – Sufinanciranje sanacije vodocrpilišta Garešnica</w:t>
      </w:r>
    </w:p>
    <w:p w14:paraId="176C2694" w14:textId="3BF237D2" w:rsidR="00005BBB" w:rsidRPr="00005BBB" w:rsidRDefault="00005BBB" w:rsidP="00005BBB">
      <w:pPr>
        <w:pStyle w:val="Podnaslov"/>
        <w:spacing w:line="240" w:lineRule="auto"/>
        <w:jc w:val="left"/>
        <w:rPr>
          <w:rFonts w:ascii="Times New Roman" w:hAnsi="Times New Roman"/>
          <w:lang w:eastAsia="ar-SA"/>
        </w:rPr>
      </w:pPr>
      <w:r w:rsidRPr="00005BBB">
        <w:rPr>
          <w:rFonts w:ascii="Times New Roman" w:hAnsi="Times New Roman"/>
          <w:lang w:eastAsia="ar-SA"/>
        </w:rPr>
        <w:t>Vodocrp</w:t>
      </w:r>
      <w:r>
        <w:rPr>
          <w:rFonts w:ascii="Times New Roman" w:hAnsi="Times New Roman"/>
          <w:lang w:eastAsia="ar-SA"/>
        </w:rPr>
        <w:t xml:space="preserve">ilište u Garešnici izgrađeno je prije 60 godina te je potrebna sanacija istog. Utrošeno je u sanaciju u 2024. godini od strane sufinanciranja grada 4.300,00 eura. </w:t>
      </w:r>
    </w:p>
    <w:p w14:paraId="49893293" w14:textId="77777777" w:rsidR="00AB207B" w:rsidRDefault="00AB207B" w:rsidP="00E40FD3">
      <w:pPr>
        <w:spacing w:after="120" w:line="240" w:lineRule="auto"/>
        <w:rPr>
          <w:rFonts w:ascii="Times New Roman" w:hAnsi="Times New Roman" w:cs="Times New Roman"/>
          <w:b/>
        </w:rPr>
      </w:pPr>
    </w:p>
    <w:p w14:paraId="216B8F91" w14:textId="77777777" w:rsidR="003C25A4" w:rsidRPr="003C25A4" w:rsidRDefault="003C25A4" w:rsidP="003C25A4">
      <w:pPr>
        <w:rPr>
          <w:rFonts w:ascii="Times New Roman" w:hAnsi="Times New Roman" w:cs="Times New Roman"/>
          <w:b/>
          <w:sz w:val="24"/>
          <w:szCs w:val="24"/>
        </w:rPr>
      </w:pPr>
      <w:r w:rsidRPr="003C25A4">
        <w:rPr>
          <w:rFonts w:ascii="Times New Roman" w:hAnsi="Times New Roman" w:cs="Times New Roman"/>
          <w:b/>
          <w:sz w:val="24"/>
          <w:szCs w:val="24"/>
        </w:rPr>
        <w:t>5.  Izvještaj o korištenju proračunske zalihe</w:t>
      </w:r>
    </w:p>
    <w:p w14:paraId="3285575E" w14:textId="091E671C" w:rsidR="00B25107" w:rsidRDefault="00B25107" w:rsidP="00B25107">
      <w:pPr>
        <w:pStyle w:val="Naslov"/>
        <w:tabs>
          <w:tab w:val="left" w:pos="0"/>
        </w:tabs>
        <w:jc w:val="both"/>
        <w:rPr>
          <w:rFonts w:ascii="Times New Roman" w:hAnsi="Times New Roman" w:cs="Times New Roman"/>
          <w:b w:val="0"/>
          <w:sz w:val="22"/>
          <w:lang w:val="hr-HR"/>
        </w:rPr>
      </w:pPr>
      <w:r w:rsidRPr="00722358">
        <w:rPr>
          <w:rFonts w:ascii="Times New Roman" w:hAnsi="Times New Roman" w:cs="Times New Roman"/>
          <w:b w:val="0"/>
          <w:sz w:val="22"/>
          <w:lang w:val="hr-HR"/>
        </w:rPr>
        <w:t>Sukladno članku 65. Zakona o proračunu sredstva proračunske zalihe koriste se za financiranje rashoda nastalih pri otklanjanju posljedica elementarnih nepogoda, epidemija, ekoloških i ostalih nepredvidivih nesreća odnosno izvanrednih događaja tijekom godine. Ista mogu iznositi najviše 0,50 posto planiranih općih prihoda</w:t>
      </w:r>
      <w:r w:rsidR="00DC3F33">
        <w:rPr>
          <w:rFonts w:ascii="Times New Roman" w:hAnsi="Times New Roman" w:cs="Times New Roman"/>
          <w:b w:val="0"/>
          <w:sz w:val="22"/>
          <w:lang w:val="hr-HR"/>
        </w:rPr>
        <w:t xml:space="preserve"> tekuće godine</w:t>
      </w:r>
      <w:r w:rsidRPr="00722358">
        <w:rPr>
          <w:rFonts w:ascii="Times New Roman" w:hAnsi="Times New Roman" w:cs="Times New Roman"/>
          <w:b w:val="0"/>
          <w:sz w:val="22"/>
          <w:lang w:val="hr-HR"/>
        </w:rPr>
        <w:t xml:space="preserve"> bez primitaka. Ukupna sredstva proračunske zalihe planirana su u iznosu od 4.000,00 eura</w:t>
      </w:r>
      <w:r>
        <w:rPr>
          <w:rFonts w:ascii="Times New Roman" w:hAnsi="Times New Roman" w:cs="Times New Roman"/>
          <w:b w:val="0"/>
          <w:sz w:val="22"/>
          <w:lang w:val="hr-HR"/>
        </w:rPr>
        <w:t xml:space="preserve">. U izvještajnom razdoblju </w:t>
      </w:r>
      <w:r w:rsidR="00E46765">
        <w:rPr>
          <w:rFonts w:ascii="Times New Roman" w:hAnsi="Times New Roman" w:cs="Times New Roman"/>
          <w:b w:val="0"/>
          <w:sz w:val="22"/>
          <w:lang w:val="hr-HR"/>
        </w:rPr>
        <w:t>nismo trošili sredstva proračunske zalihe.</w:t>
      </w:r>
    </w:p>
    <w:p w14:paraId="6C7E495A" w14:textId="77777777" w:rsidR="003C25A4" w:rsidRPr="00722358" w:rsidRDefault="003C25A4" w:rsidP="003C25A4">
      <w:pPr>
        <w:rPr>
          <w:rFonts w:ascii="Times New Roman" w:hAnsi="Times New Roman" w:cs="Times New Roman"/>
          <w:b/>
        </w:rPr>
      </w:pPr>
    </w:p>
    <w:p w14:paraId="415D07AB" w14:textId="03873011" w:rsidR="003C25A4" w:rsidRDefault="003C25A4" w:rsidP="003C25A4">
      <w:pPr>
        <w:rPr>
          <w:rFonts w:ascii="Times New Roman" w:hAnsi="Times New Roman" w:cs="Times New Roman"/>
          <w:b/>
          <w:sz w:val="24"/>
          <w:szCs w:val="24"/>
        </w:rPr>
      </w:pPr>
      <w:r w:rsidRPr="003C25A4">
        <w:rPr>
          <w:rFonts w:ascii="Times New Roman" w:hAnsi="Times New Roman" w:cs="Times New Roman"/>
          <w:b/>
          <w:sz w:val="24"/>
          <w:szCs w:val="24"/>
        </w:rPr>
        <w:t>6. Izvještaj o zaduživanju na domaćem i stranom tržištu novca</w:t>
      </w:r>
    </w:p>
    <w:p w14:paraId="60DB8224" w14:textId="142BAFB6" w:rsidR="00E46765" w:rsidRDefault="00E46765" w:rsidP="003C25A4">
      <w:pPr>
        <w:rPr>
          <w:rFonts w:ascii="Times New Roman" w:hAnsi="Times New Roman" w:cs="Times New Roman"/>
          <w:bCs/>
        </w:rPr>
      </w:pPr>
      <w:r>
        <w:rPr>
          <w:rFonts w:ascii="Times New Roman" w:hAnsi="Times New Roman" w:cs="Times New Roman"/>
          <w:bCs/>
        </w:rPr>
        <w:t>Ukupan iznos zaduženja Grada Garešnice na dan 31.12.2024. godine iznosi 668.335,06 eura temeljem:</w:t>
      </w:r>
    </w:p>
    <w:p w14:paraId="6092343F" w14:textId="74E13E73" w:rsidR="00B95AC0" w:rsidRPr="00B95AC0" w:rsidRDefault="00B95AC0" w:rsidP="003734CB">
      <w:pPr>
        <w:pStyle w:val="Odlomakpopisa"/>
        <w:numPr>
          <w:ilvl w:val="0"/>
          <w:numId w:val="12"/>
        </w:numPr>
        <w:ind w:left="0" w:firstLine="0"/>
        <w:jc w:val="both"/>
        <w:rPr>
          <w:bCs/>
        </w:rPr>
      </w:pPr>
      <w:r w:rsidRPr="00E46765">
        <w:rPr>
          <w:sz w:val="22"/>
          <w:szCs w:val="22"/>
        </w:rPr>
        <w:t>Ugovor</w:t>
      </w:r>
      <w:r>
        <w:rPr>
          <w:sz w:val="22"/>
          <w:szCs w:val="22"/>
        </w:rPr>
        <w:t>a</w:t>
      </w:r>
      <w:r w:rsidRPr="00E46765">
        <w:rPr>
          <w:sz w:val="22"/>
          <w:szCs w:val="22"/>
        </w:rPr>
        <w:t xml:space="preserve"> o dugoročnom zaduživanju za kapitalne projekte broj: 5002512364</w:t>
      </w:r>
      <w:r>
        <w:rPr>
          <w:sz w:val="22"/>
          <w:szCs w:val="22"/>
        </w:rPr>
        <w:t xml:space="preserve"> u iznosu od 627.143,50 eura.</w:t>
      </w:r>
    </w:p>
    <w:p w14:paraId="53DFE9F4" w14:textId="77777777" w:rsidR="00B95AC0" w:rsidRDefault="00F65BC7" w:rsidP="00B95AC0">
      <w:pPr>
        <w:jc w:val="both"/>
        <w:rPr>
          <w:rFonts w:ascii="Times New Roman" w:eastAsia="Calibri" w:hAnsi="Times New Roman" w:cs="Times New Roman"/>
          <w:color w:val="000000"/>
        </w:rPr>
      </w:pPr>
      <w:r w:rsidRPr="00B95AC0">
        <w:rPr>
          <w:rFonts w:ascii="Times New Roman" w:eastAsia="Calibri" w:hAnsi="Times New Roman" w:cs="Times New Roman"/>
          <w:color w:val="000000"/>
        </w:rPr>
        <w:t xml:space="preserve">Grad Garešnica je dana 20.12.2024. godine potpisao Ugovor o dugoročnom zaduživanju za kapitalne projekte broj: 5002512364 sa Erste &amp; </w:t>
      </w:r>
      <w:proofErr w:type="spellStart"/>
      <w:r w:rsidRPr="00B95AC0">
        <w:rPr>
          <w:rFonts w:ascii="Times New Roman" w:eastAsia="Calibri" w:hAnsi="Times New Roman" w:cs="Times New Roman"/>
          <w:color w:val="000000"/>
        </w:rPr>
        <w:t>Steiermarkische</w:t>
      </w:r>
      <w:proofErr w:type="spellEnd"/>
      <w:r w:rsidRPr="00B95AC0">
        <w:rPr>
          <w:rFonts w:ascii="Times New Roman" w:eastAsia="Calibri" w:hAnsi="Times New Roman" w:cs="Times New Roman"/>
          <w:color w:val="000000"/>
        </w:rPr>
        <w:t xml:space="preserve"> </w:t>
      </w:r>
      <w:proofErr w:type="spellStart"/>
      <w:r w:rsidRPr="00B95AC0">
        <w:rPr>
          <w:rFonts w:ascii="Times New Roman" w:eastAsia="Calibri" w:hAnsi="Times New Roman" w:cs="Times New Roman"/>
          <w:color w:val="000000"/>
        </w:rPr>
        <w:t>bank</w:t>
      </w:r>
      <w:proofErr w:type="spellEnd"/>
      <w:r w:rsidRPr="00B95AC0">
        <w:rPr>
          <w:rFonts w:ascii="Times New Roman" w:eastAsia="Calibri" w:hAnsi="Times New Roman" w:cs="Times New Roman"/>
          <w:color w:val="000000"/>
        </w:rPr>
        <w:t xml:space="preserve"> d.d. temeljem Suglasnosti Vlade RH u iznosu od 1.272.397,00 eura.</w:t>
      </w:r>
      <w:r w:rsidR="006764D0" w:rsidRPr="00B95AC0">
        <w:rPr>
          <w:rFonts w:ascii="Times New Roman" w:eastAsia="Calibri" w:hAnsi="Times New Roman" w:cs="Times New Roman"/>
          <w:color w:val="000000"/>
        </w:rPr>
        <w:t xml:space="preserve"> Rok korištenja kredita je 31.12.2025. godine, rok vraćanja 31.12.2035. godine.</w:t>
      </w:r>
      <w:r w:rsidRPr="00B95AC0">
        <w:rPr>
          <w:rFonts w:ascii="Times New Roman" w:eastAsia="Calibri" w:hAnsi="Times New Roman" w:cs="Times New Roman"/>
          <w:color w:val="000000"/>
        </w:rPr>
        <w:t xml:space="preserve"> </w:t>
      </w:r>
    </w:p>
    <w:p w14:paraId="06995167" w14:textId="354FDD0C" w:rsidR="00B95AC0" w:rsidRPr="00B95AC0" w:rsidRDefault="00F65BC7" w:rsidP="00B95AC0">
      <w:pPr>
        <w:jc w:val="both"/>
        <w:rPr>
          <w:rFonts w:ascii="Times New Roman" w:eastAsia="Calibri" w:hAnsi="Times New Roman" w:cs="Times New Roman"/>
          <w:color w:val="000000"/>
        </w:rPr>
      </w:pPr>
      <w:r w:rsidRPr="00B95AC0">
        <w:rPr>
          <w:rFonts w:ascii="Times New Roman" w:hAnsi="Times New Roman" w:cs="Times New Roman"/>
          <w:lang w:eastAsia="hr-HR"/>
        </w:rPr>
        <w:t xml:space="preserve">U 2024. godini ostvarili smo primitke u iznosu od 627.143,50 eura temeljem realiziranih troškova za projekte koji se financiraju iz navedenog dugoročnog kredita i to Sanacija odlagališta komunalnog otpada </w:t>
      </w:r>
      <w:proofErr w:type="spellStart"/>
      <w:r w:rsidRPr="00B95AC0">
        <w:rPr>
          <w:rFonts w:ascii="Times New Roman" w:hAnsi="Times New Roman" w:cs="Times New Roman"/>
          <w:lang w:eastAsia="hr-HR"/>
        </w:rPr>
        <w:t>Johovača</w:t>
      </w:r>
      <w:proofErr w:type="spellEnd"/>
      <w:r w:rsidRPr="00B95AC0">
        <w:rPr>
          <w:rFonts w:ascii="Times New Roman" w:hAnsi="Times New Roman" w:cs="Times New Roman"/>
          <w:lang w:eastAsia="hr-HR"/>
        </w:rPr>
        <w:t xml:space="preserve"> i Obnova dječjeg vrtića Maslačak, objekt na adresi Garešnica, Petra Svačića 11 D, Garešnica, Faza I</w:t>
      </w:r>
      <w:r w:rsidR="006764D0" w:rsidRPr="00B95AC0">
        <w:rPr>
          <w:rFonts w:ascii="Times New Roman" w:hAnsi="Times New Roman" w:cs="Times New Roman"/>
          <w:lang w:eastAsia="hr-HR"/>
        </w:rPr>
        <w:t>.</w:t>
      </w:r>
      <w:r w:rsidR="00B95AC0" w:rsidRPr="00B95AC0">
        <w:t xml:space="preserve"> </w:t>
      </w:r>
    </w:p>
    <w:p w14:paraId="71EB7B7A" w14:textId="77777777" w:rsidR="00B95AC0" w:rsidRPr="00B95AC0" w:rsidRDefault="00B95AC0" w:rsidP="00B95AC0">
      <w:pPr>
        <w:pStyle w:val="Odlomakpopisa"/>
        <w:ind w:left="0"/>
        <w:jc w:val="both"/>
        <w:rPr>
          <w:bCs/>
        </w:rPr>
      </w:pPr>
    </w:p>
    <w:p w14:paraId="73C3B9DA" w14:textId="42D49F2E" w:rsidR="00B95AC0" w:rsidRPr="00B95AC0" w:rsidRDefault="00B95AC0" w:rsidP="003734CB">
      <w:pPr>
        <w:pStyle w:val="Odlomakpopisa"/>
        <w:numPr>
          <w:ilvl w:val="0"/>
          <w:numId w:val="15"/>
        </w:numPr>
        <w:ind w:left="0" w:firstLine="0"/>
        <w:jc w:val="both"/>
        <w:rPr>
          <w:bCs/>
        </w:rPr>
      </w:pPr>
      <w:r>
        <w:rPr>
          <w:sz w:val="22"/>
          <w:szCs w:val="22"/>
        </w:rPr>
        <w:t>Beskamatnog zajma iz Državnog proračuna u iznosu od 41.191,56 eura.</w:t>
      </w:r>
    </w:p>
    <w:p w14:paraId="66AD8AAB" w14:textId="41655479" w:rsidR="003C25A4" w:rsidRPr="00B95AC0" w:rsidRDefault="006764D0" w:rsidP="00B95AC0">
      <w:pPr>
        <w:jc w:val="both"/>
        <w:rPr>
          <w:rFonts w:ascii="Times New Roman" w:hAnsi="Times New Roman" w:cs="Times New Roman"/>
          <w:lang w:eastAsia="hr-HR"/>
        </w:rPr>
      </w:pPr>
      <w:r w:rsidRPr="00B95AC0">
        <w:rPr>
          <w:rFonts w:ascii="Times New Roman" w:hAnsi="Times New Roman" w:cs="Times New Roman"/>
        </w:rPr>
        <w:t xml:space="preserve">Sa 1.1.2024. godine </w:t>
      </w:r>
      <w:r w:rsidR="003C25A4" w:rsidRPr="00B95AC0">
        <w:rPr>
          <w:rFonts w:ascii="Times New Roman" w:hAnsi="Times New Roman" w:cs="Times New Roman"/>
        </w:rPr>
        <w:t xml:space="preserve">Grad Garešnica </w:t>
      </w:r>
      <w:r w:rsidRPr="00B95AC0">
        <w:rPr>
          <w:rFonts w:ascii="Times New Roman" w:hAnsi="Times New Roman" w:cs="Times New Roman"/>
        </w:rPr>
        <w:t xml:space="preserve">imao je evidentiranu obvezu u iznosu od 61.191,56 eura za povrat beskamatnog zajma iz </w:t>
      </w:r>
      <w:r w:rsidR="00E46765" w:rsidRPr="00B95AC0">
        <w:rPr>
          <w:rFonts w:ascii="Times New Roman" w:hAnsi="Times New Roman" w:cs="Times New Roman"/>
        </w:rPr>
        <w:t>D</w:t>
      </w:r>
      <w:r w:rsidRPr="00B95AC0">
        <w:rPr>
          <w:rFonts w:ascii="Times New Roman" w:hAnsi="Times New Roman" w:cs="Times New Roman"/>
        </w:rPr>
        <w:t xml:space="preserve">ržavnog proračuna radi premošćivanja situacije nastale zbog različite dinamike priljeva sredstava i dospijeća obveza uslijed odgode plaćanja i/ili </w:t>
      </w:r>
      <w:r w:rsidRPr="00B95AC0">
        <w:rPr>
          <w:rFonts w:ascii="Times New Roman" w:hAnsi="Times New Roman" w:cs="Times New Roman"/>
          <w:lang w:eastAsia="hr-HR"/>
        </w:rPr>
        <w:t>obročne otplate, povrata, odnosno oslobođenja od plaćanja poreza na dohodak i prireza porezu na dohodak. U</w:t>
      </w:r>
      <w:r w:rsidR="003C25A4" w:rsidRPr="00B95AC0">
        <w:rPr>
          <w:rFonts w:ascii="Times New Roman" w:hAnsi="Times New Roman" w:cs="Times New Roman"/>
          <w:lang w:eastAsia="hr-HR"/>
        </w:rPr>
        <w:t xml:space="preserve"> izvještajnom razdoblju otplatio je </w:t>
      </w:r>
      <w:r w:rsidR="00F65BC7" w:rsidRPr="00B95AC0">
        <w:rPr>
          <w:rFonts w:ascii="Times New Roman" w:hAnsi="Times New Roman" w:cs="Times New Roman"/>
          <w:lang w:eastAsia="hr-HR"/>
        </w:rPr>
        <w:t>20.000,00</w:t>
      </w:r>
      <w:r w:rsidR="003C25A4" w:rsidRPr="00B95AC0">
        <w:rPr>
          <w:rFonts w:ascii="Times New Roman" w:hAnsi="Times New Roman" w:cs="Times New Roman"/>
          <w:lang w:eastAsia="hr-HR"/>
        </w:rPr>
        <w:t xml:space="preserve"> eura</w:t>
      </w:r>
      <w:r w:rsidR="00E46765" w:rsidRPr="00B95AC0">
        <w:rPr>
          <w:rFonts w:ascii="Times New Roman" w:hAnsi="Times New Roman" w:cs="Times New Roman"/>
          <w:lang w:eastAsia="hr-HR"/>
        </w:rPr>
        <w:t>,</w:t>
      </w:r>
      <w:r w:rsidR="003C25A4" w:rsidRPr="00B95AC0">
        <w:rPr>
          <w:rFonts w:ascii="Times New Roman" w:hAnsi="Times New Roman" w:cs="Times New Roman"/>
          <w:lang w:eastAsia="hr-HR"/>
        </w:rPr>
        <w:t xml:space="preserve"> </w:t>
      </w:r>
      <w:r w:rsidRPr="00B95AC0">
        <w:rPr>
          <w:rFonts w:ascii="Times New Roman" w:hAnsi="Times New Roman" w:cs="Times New Roman"/>
          <w:lang w:eastAsia="hr-HR"/>
        </w:rPr>
        <w:t>te obveza na</w:t>
      </w:r>
      <w:r w:rsidR="003C25A4" w:rsidRPr="00B95AC0">
        <w:rPr>
          <w:rFonts w:ascii="Times New Roman" w:hAnsi="Times New Roman" w:cs="Times New Roman"/>
          <w:lang w:eastAsia="hr-HR"/>
        </w:rPr>
        <w:t xml:space="preserve"> dan </w:t>
      </w:r>
      <w:r w:rsidR="00780781" w:rsidRPr="00B95AC0">
        <w:rPr>
          <w:rFonts w:ascii="Times New Roman" w:hAnsi="Times New Roman" w:cs="Times New Roman"/>
          <w:lang w:eastAsia="hr-HR"/>
        </w:rPr>
        <w:t>31.12</w:t>
      </w:r>
      <w:r w:rsidR="003C25A4" w:rsidRPr="00B95AC0">
        <w:rPr>
          <w:rFonts w:ascii="Times New Roman" w:hAnsi="Times New Roman" w:cs="Times New Roman"/>
          <w:lang w:eastAsia="hr-HR"/>
        </w:rPr>
        <w:t>.202</w:t>
      </w:r>
      <w:r w:rsidRPr="00B95AC0">
        <w:rPr>
          <w:rFonts w:ascii="Times New Roman" w:hAnsi="Times New Roman" w:cs="Times New Roman"/>
          <w:lang w:eastAsia="hr-HR"/>
        </w:rPr>
        <w:t>4</w:t>
      </w:r>
      <w:r w:rsidR="003C25A4" w:rsidRPr="00B95AC0">
        <w:rPr>
          <w:rFonts w:ascii="Times New Roman" w:hAnsi="Times New Roman" w:cs="Times New Roman"/>
          <w:lang w:eastAsia="hr-HR"/>
        </w:rPr>
        <w:t>. godine iznos</w:t>
      </w:r>
      <w:r w:rsidR="00E46765" w:rsidRPr="00B95AC0">
        <w:rPr>
          <w:rFonts w:ascii="Times New Roman" w:hAnsi="Times New Roman" w:cs="Times New Roman"/>
          <w:lang w:eastAsia="hr-HR"/>
        </w:rPr>
        <w:t>i</w:t>
      </w:r>
      <w:r w:rsidR="003C25A4" w:rsidRPr="00B95AC0">
        <w:rPr>
          <w:rFonts w:ascii="Times New Roman" w:hAnsi="Times New Roman" w:cs="Times New Roman"/>
          <w:lang w:eastAsia="hr-HR"/>
        </w:rPr>
        <w:t xml:space="preserve"> </w:t>
      </w:r>
      <w:r w:rsidRPr="00B95AC0">
        <w:rPr>
          <w:rFonts w:ascii="Times New Roman" w:hAnsi="Times New Roman" w:cs="Times New Roman"/>
          <w:lang w:eastAsia="hr-HR"/>
        </w:rPr>
        <w:t>4</w:t>
      </w:r>
      <w:r w:rsidR="003C25A4" w:rsidRPr="00B95AC0">
        <w:rPr>
          <w:rFonts w:ascii="Times New Roman" w:hAnsi="Times New Roman" w:cs="Times New Roman"/>
          <w:lang w:eastAsia="hr-HR"/>
        </w:rPr>
        <w:t>1.191,56 eura</w:t>
      </w:r>
      <w:r w:rsidRPr="00B95AC0">
        <w:rPr>
          <w:rFonts w:ascii="Times New Roman" w:hAnsi="Times New Roman" w:cs="Times New Roman"/>
          <w:lang w:eastAsia="hr-HR"/>
        </w:rPr>
        <w:t xml:space="preserve"> (dospijeće 31.12.2027. godine).</w:t>
      </w:r>
    </w:p>
    <w:p w14:paraId="07F3C945" w14:textId="77777777" w:rsidR="003C25A4" w:rsidRPr="00722358" w:rsidRDefault="003C25A4" w:rsidP="003C25A4"/>
    <w:p w14:paraId="2E7D1B28" w14:textId="77777777" w:rsidR="003C25A4" w:rsidRPr="003C25A4" w:rsidRDefault="003C25A4" w:rsidP="003C25A4">
      <w:pPr>
        <w:ind w:left="284" w:hanging="284"/>
        <w:jc w:val="both"/>
        <w:rPr>
          <w:rFonts w:ascii="Times New Roman" w:hAnsi="Times New Roman" w:cs="Times New Roman"/>
          <w:b/>
          <w:sz w:val="24"/>
          <w:szCs w:val="24"/>
        </w:rPr>
      </w:pPr>
      <w:r w:rsidRPr="003C25A4">
        <w:rPr>
          <w:rFonts w:ascii="Times New Roman" w:hAnsi="Times New Roman" w:cs="Times New Roman"/>
          <w:b/>
          <w:sz w:val="24"/>
          <w:szCs w:val="24"/>
        </w:rPr>
        <w:t>7. Izvještaj o danim jamstvima i plaćanjima po protestiranim jamstvima</w:t>
      </w:r>
    </w:p>
    <w:p w14:paraId="1087A520" w14:textId="77777777" w:rsidR="003C25A4" w:rsidRDefault="003C25A4" w:rsidP="003C25A4">
      <w:pPr>
        <w:jc w:val="both"/>
        <w:rPr>
          <w:rFonts w:ascii="Times New Roman" w:hAnsi="Times New Roman" w:cs="Times New Roman"/>
        </w:rPr>
      </w:pPr>
      <w:r w:rsidRPr="00722358">
        <w:rPr>
          <w:rFonts w:ascii="Times New Roman" w:hAnsi="Times New Roman" w:cs="Times New Roman"/>
        </w:rPr>
        <w:t>Grad Garešnica u izvještajnom razdoblju nema aktivnih jamstava, odnosno nije davao nova jamstva niti je vršio plaćanja po protestiranim jamstvima.</w:t>
      </w:r>
    </w:p>
    <w:p w14:paraId="145CA556" w14:textId="77777777" w:rsidR="00B3512C" w:rsidRPr="00722358" w:rsidRDefault="00B3512C" w:rsidP="003C25A4">
      <w:pPr>
        <w:jc w:val="both"/>
        <w:rPr>
          <w:rFonts w:ascii="Times New Roman" w:hAnsi="Times New Roman" w:cs="Times New Roman"/>
        </w:rPr>
      </w:pPr>
    </w:p>
    <w:p w14:paraId="4588B0BE" w14:textId="3F8D0CD2" w:rsidR="003C25A4" w:rsidRPr="0020460D" w:rsidRDefault="003C25A4" w:rsidP="003C25A4">
      <w:pPr>
        <w:jc w:val="both"/>
        <w:rPr>
          <w:rFonts w:ascii="Times New Roman" w:hAnsi="Times New Roman" w:cs="Times New Roman"/>
          <w:b/>
          <w:bCs/>
          <w:sz w:val="24"/>
          <w:szCs w:val="24"/>
        </w:rPr>
      </w:pPr>
      <w:r w:rsidRPr="0020460D">
        <w:rPr>
          <w:rFonts w:ascii="Times New Roman" w:hAnsi="Times New Roman" w:cs="Times New Roman"/>
          <w:b/>
          <w:bCs/>
          <w:sz w:val="24"/>
          <w:szCs w:val="24"/>
        </w:rPr>
        <w:t>8. Izvještaj o korištenju sredstava fondova europske unije</w:t>
      </w:r>
    </w:p>
    <w:p w14:paraId="1B102E27" w14:textId="049F7F00" w:rsidR="0020460D" w:rsidRDefault="00E025D4" w:rsidP="003C25A4">
      <w:pPr>
        <w:jc w:val="both"/>
        <w:rPr>
          <w:rFonts w:ascii="Times New Roman" w:hAnsi="Times New Roman" w:cs="Times New Roman"/>
        </w:rPr>
      </w:pPr>
      <w:r>
        <w:rPr>
          <w:rFonts w:ascii="Times New Roman" w:hAnsi="Times New Roman" w:cs="Times New Roman"/>
        </w:rPr>
        <w:t xml:space="preserve">Grad Garešnica je u </w:t>
      </w:r>
      <w:r w:rsidR="00C943F9">
        <w:rPr>
          <w:rFonts w:ascii="Times New Roman" w:hAnsi="Times New Roman" w:cs="Times New Roman"/>
        </w:rPr>
        <w:t>202</w:t>
      </w:r>
      <w:r w:rsidR="00E46765">
        <w:rPr>
          <w:rFonts w:ascii="Times New Roman" w:hAnsi="Times New Roman" w:cs="Times New Roman"/>
        </w:rPr>
        <w:t>4</w:t>
      </w:r>
      <w:r w:rsidR="00C943F9">
        <w:rPr>
          <w:rFonts w:ascii="Times New Roman" w:hAnsi="Times New Roman" w:cs="Times New Roman"/>
        </w:rPr>
        <w:t>. godini provodio sljedeće projekte koji se financiraju iz sredstava fondova Europske unije:</w:t>
      </w:r>
    </w:p>
    <w:p w14:paraId="74B07376" w14:textId="77777777" w:rsidR="0020460D" w:rsidRDefault="0020460D" w:rsidP="003C25A4">
      <w:pPr>
        <w:jc w:val="both"/>
        <w:rPr>
          <w:rFonts w:ascii="Times New Roman" w:hAnsi="Times New Roman" w:cs="Times New Roman"/>
        </w:rPr>
      </w:pPr>
    </w:p>
    <w:p w14:paraId="172E142A" w14:textId="6D0C1122" w:rsidR="00C943F9" w:rsidRDefault="00C943F9" w:rsidP="003C25A4">
      <w:pPr>
        <w:jc w:val="both"/>
        <w:rPr>
          <w:rFonts w:ascii="Times New Roman" w:hAnsi="Times New Roman" w:cs="Times New Roman"/>
          <w:u w:val="single"/>
        </w:rPr>
      </w:pPr>
      <w:r w:rsidRPr="00CE6BF7">
        <w:rPr>
          <w:rFonts w:ascii="Times New Roman" w:hAnsi="Times New Roman" w:cs="Times New Roman"/>
          <w:u w:val="single"/>
        </w:rPr>
        <w:t>- T</w:t>
      </w:r>
      <w:r w:rsidR="00177054">
        <w:rPr>
          <w:rFonts w:ascii="Times New Roman" w:hAnsi="Times New Roman" w:cs="Times New Roman"/>
          <w:u w:val="single"/>
        </w:rPr>
        <w:t xml:space="preserve">ekući projekt </w:t>
      </w:r>
      <w:r w:rsidRPr="00CE6BF7">
        <w:rPr>
          <w:rFonts w:ascii="Times New Roman" w:hAnsi="Times New Roman" w:cs="Times New Roman"/>
          <w:u w:val="single"/>
        </w:rPr>
        <w:t>10220</w:t>
      </w:r>
      <w:r w:rsidR="0020460D">
        <w:rPr>
          <w:rFonts w:ascii="Times New Roman" w:hAnsi="Times New Roman" w:cs="Times New Roman"/>
          <w:u w:val="single"/>
        </w:rPr>
        <w:t>4</w:t>
      </w:r>
      <w:r w:rsidRPr="00CE6BF7">
        <w:rPr>
          <w:rFonts w:ascii="Times New Roman" w:hAnsi="Times New Roman" w:cs="Times New Roman"/>
          <w:u w:val="single"/>
        </w:rPr>
        <w:t xml:space="preserve"> Projekt „Nikad nije kasno – faza </w:t>
      </w:r>
      <w:r w:rsidR="00D1261D">
        <w:rPr>
          <w:rFonts w:ascii="Times New Roman" w:hAnsi="Times New Roman" w:cs="Times New Roman"/>
          <w:u w:val="single"/>
        </w:rPr>
        <w:t>IV</w:t>
      </w:r>
    </w:p>
    <w:tbl>
      <w:tblPr>
        <w:tblW w:w="8940" w:type="dxa"/>
        <w:tblLook w:val="04A0" w:firstRow="1" w:lastRow="0" w:firstColumn="1" w:lastColumn="0" w:noHBand="0" w:noVBand="1"/>
      </w:tblPr>
      <w:tblGrid>
        <w:gridCol w:w="3260"/>
        <w:gridCol w:w="2000"/>
        <w:gridCol w:w="1960"/>
        <w:gridCol w:w="1720"/>
      </w:tblGrid>
      <w:tr w:rsidR="00036C06" w:rsidRPr="00036C06" w14:paraId="391E5AE8" w14:textId="77777777" w:rsidTr="007F048D">
        <w:trPr>
          <w:trHeight w:val="576"/>
        </w:trPr>
        <w:tc>
          <w:tcPr>
            <w:tcW w:w="3260"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323442F3" w14:textId="1128838F" w:rsidR="00036C06" w:rsidRPr="00036C06" w:rsidRDefault="00036C06" w:rsidP="007F048D">
            <w:pPr>
              <w:spacing w:after="0" w:line="240" w:lineRule="auto"/>
              <w:jc w:val="center"/>
              <w:rPr>
                <w:rFonts w:ascii="Times New Roman" w:hAnsi="Times New Roman" w:cs="Times New Roman"/>
                <w:color w:val="FFFFFF"/>
                <w:lang w:eastAsia="hr-HR"/>
              </w:rPr>
            </w:pPr>
            <w:bookmarkStart w:id="15" w:name="_Hlk200272882"/>
            <w:r w:rsidRPr="00036C06">
              <w:rPr>
                <w:rFonts w:ascii="Times New Roman" w:hAnsi="Times New Roman" w:cs="Times New Roman"/>
                <w:color w:val="FFFFFF"/>
                <w:lang w:eastAsia="hr-HR"/>
              </w:rPr>
              <w:t>Projekt</w:t>
            </w:r>
          </w:p>
        </w:tc>
        <w:tc>
          <w:tcPr>
            <w:tcW w:w="2000" w:type="dxa"/>
            <w:tcBorders>
              <w:top w:val="single" w:sz="4" w:space="0" w:color="auto"/>
              <w:left w:val="nil"/>
              <w:bottom w:val="single" w:sz="4" w:space="0" w:color="auto"/>
              <w:right w:val="single" w:sz="4" w:space="0" w:color="auto"/>
            </w:tcBorders>
            <w:shd w:val="clear" w:color="000000" w:fill="002060"/>
            <w:vAlign w:val="center"/>
            <w:hideMark/>
          </w:tcPr>
          <w:p w14:paraId="19F94157" w14:textId="77777777" w:rsidR="00036C06" w:rsidRPr="00036C06" w:rsidRDefault="00036C06" w:rsidP="007F048D">
            <w:pPr>
              <w:spacing w:after="0" w:line="240" w:lineRule="auto"/>
              <w:jc w:val="center"/>
              <w:rPr>
                <w:rFonts w:ascii="Times New Roman" w:hAnsi="Times New Roman" w:cs="Times New Roman"/>
                <w:color w:val="FFFFFF"/>
                <w:lang w:eastAsia="hr-HR"/>
              </w:rPr>
            </w:pPr>
            <w:r w:rsidRPr="00036C06">
              <w:rPr>
                <w:rFonts w:ascii="Times New Roman" w:hAnsi="Times New Roman" w:cs="Times New Roman"/>
                <w:color w:val="FFFFFF"/>
                <w:lang w:eastAsia="hr-HR"/>
              </w:rPr>
              <w:t>Izvršenje prihoda</w:t>
            </w:r>
          </w:p>
        </w:tc>
        <w:tc>
          <w:tcPr>
            <w:tcW w:w="1960" w:type="dxa"/>
            <w:tcBorders>
              <w:top w:val="single" w:sz="4" w:space="0" w:color="auto"/>
              <w:left w:val="nil"/>
              <w:bottom w:val="single" w:sz="4" w:space="0" w:color="auto"/>
              <w:right w:val="single" w:sz="4" w:space="0" w:color="auto"/>
            </w:tcBorders>
            <w:shd w:val="clear" w:color="000000" w:fill="002060"/>
            <w:vAlign w:val="center"/>
            <w:hideMark/>
          </w:tcPr>
          <w:p w14:paraId="0A4C7103" w14:textId="77777777" w:rsidR="00036C06" w:rsidRPr="00036C06" w:rsidRDefault="00036C06" w:rsidP="007F048D">
            <w:pPr>
              <w:spacing w:after="0" w:line="240" w:lineRule="auto"/>
              <w:jc w:val="center"/>
              <w:rPr>
                <w:rFonts w:ascii="Times New Roman" w:hAnsi="Times New Roman" w:cs="Times New Roman"/>
                <w:color w:val="FFFFFF"/>
                <w:lang w:eastAsia="hr-HR"/>
              </w:rPr>
            </w:pPr>
            <w:r w:rsidRPr="00036C06">
              <w:rPr>
                <w:rFonts w:ascii="Times New Roman" w:hAnsi="Times New Roman" w:cs="Times New Roman"/>
                <w:color w:val="FFFFFF"/>
                <w:lang w:eastAsia="hr-HR"/>
              </w:rPr>
              <w:t>Izvršenje rashoda</w:t>
            </w:r>
          </w:p>
        </w:tc>
        <w:tc>
          <w:tcPr>
            <w:tcW w:w="1720" w:type="dxa"/>
            <w:tcBorders>
              <w:top w:val="single" w:sz="4" w:space="0" w:color="auto"/>
              <w:left w:val="nil"/>
              <w:bottom w:val="single" w:sz="4" w:space="0" w:color="auto"/>
              <w:right w:val="single" w:sz="4" w:space="0" w:color="auto"/>
            </w:tcBorders>
            <w:shd w:val="clear" w:color="000000" w:fill="002060"/>
            <w:vAlign w:val="center"/>
            <w:hideMark/>
          </w:tcPr>
          <w:p w14:paraId="319841BA" w14:textId="77777777" w:rsidR="00036C06" w:rsidRPr="00036C06" w:rsidRDefault="00036C06" w:rsidP="007F048D">
            <w:pPr>
              <w:spacing w:after="0" w:line="240" w:lineRule="auto"/>
              <w:jc w:val="center"/>
              <w:rPr>
                <w:rFonts w:ascii="Times New Roman" w:hAnsi="Times New Roman" w:cs="Times New Roman"/>
                <w:color w:val="FFFFFF"/>
                <w:lang w:eastAsia="hr-HR"/>
              </w:rPr>
            </w:pPr>
            <w:r w:rsidRPr="00036C06">
              <w:rPr>
                <w:rFonts w:ascii="Times New Roman" w:hAnsi="Times New Roman" w:cs="Times New Roman"/>
                <w:color w:val="FFFFFF"/>
                <w:lang w:eastAsia="hr-HR"/>
              </w:rPr>
              <w:t>višak/ manjak u €</w:t>
            </w:r>
          </w:p>
        </w:tc>
      </w:tr>
      <w:tr w:rsidR="00036C06" w:rsidRPr="00036C06" w14:paraId="623CBE99" w14:textId="77777777" w:rsidTr="00036C06">
        <w:trPr>
          <w:trHeight w:val="288"/>
        </w:trPr>
        <w:tc>
          <w:tcPr>
            <w:tcW w:w="3260" w:type="dxa"/>
            <w:tcBorders>
              <w:top w:val="nil"/>
              <w:left w:val="single" w:sz="4" w:space="0" w:color="auto"/>
              <w:bottom w:val="single" w:sz="4" w:space="0" w:color="auto"/>
              <w:right w:val="single" w:sz="4" w:space="0" w:color="auto"/>
            </w:tcBorders>
            <w:shd w:val="clear" w:color="auto" w:fill="B8CCE4" w:themeFill="accent1" w:themeFillTint="66"/>
            <w:noWrap/>
            <w:hideMark/>
          </w:tcPr>
          <w:p w14:paraId="5C92440E" w14:textId="0C13ECA8" w:rsidR="00036C06" w:rsidRPr="00036C06" w:rsidRDefault="00036C06" w:rsidP="007F048D">
            <w:pPr>
              <w:spacing w:after="0" w:line="240" w:lineRule="auto"/>
              <w:rPr>
                <w:rFonts w:ascii="Times New Roman" w:hAnsi="Times New Roman" w:cs="Times New Roman"/>
                <w:i/>
                <w:iCs/>
                <w:lang w:eastAsia="hr-HR"/>
              </w:rPr>
            </w:pPr>
            <w:r w:rsidRPr="00036C06">
              <w:rPr>
                <w:rFonts w:ascii="Times New Roman" w:hAnsi="Times New Roman" w:cs="Times New Roman"/>
                <w:i/>
                <w:iCs/>
                <w:lang w:eastAsia="hr-HR"/>
              </w:rPr>
              <w:t xml:space="preserve">"Nikad nije kasno faza </w:t>
            </w:r>
            <w:r w:rsidR="00D1261D">
              <w:rPr>
                <w:rFonts w:ascii="Times New Roman" w:hAnsi="Times New Roman" w:cs="Times New Roman"/>
                <w:i/>
                <w:iCs/>
                <w:lang w:eastAsia="hr-HR"/>
              </w:rPr>
              <w:t>IV</w:t>
            </w:r>
            <w:r w:rsidRPr="00036C06">
              <w:rPr>
                <w:rFonts w:ascii="Times New Roman" w:hAnsi="Times New Roman" w:cs="Times New Roman"/>
                <w:i/>
                <w:iCs/>
                <w:lang w:eastAsia="hr-HR"/>
              </w:rPr>
              <w:t>"</w:t>
            </w:r>
          </w:p>
        </w:tc>
        <w:tc>
          <w:tcPr>
            <w:tcW w:w="2000" w:type="dxa"/>
            <w:tcBorders>
              <w:top w:val="nil"/>
              <w:left w:val="nil"/>
              <w:bottom w:val="single" w:sz="4" w:space="0" w:color="auto"/>
              <w:right w:val="single" w:sz="4" w:space="0" w:color="auto"/>
            </w:tcBorders>
            <w:shd w:val="clear" w:color="auto" w:fill="B8CCE4" w:themeFill="accent1" w:themeFillTint="66"/>
            <w:noWrap/>
            <w:vAlign w:val="bottom"/>
            <w:hideMark/>
          </w:tcPr>
          <w:p w14:paraId="7249BBC1" w14:textId="77777777" w:rsidR="00036C06" w:rsidRPr="00036C06" w:rsidRDefault="00036C06" w:rsidP="007F048D">
            <w:pPr>
              <w:spacing w:after="0" w:line="240" w:lineRule="auto"/>
              <w:jc w:val="right"/>
              <w:rPr>
                <w:rFonts w:ascii="Times New Roman" w:hAnsi="Times New Roman" w:cs="Times New Roman"/>
                <w:color w:val="000000"/>
                <w:lang w:eastAsia="hr-HR"/>
              </w:rPr>
            </w:pPr>
            <w:r w:rsidRPr="00036C06">
              <w:rPr>
                <w:rFonts w:ascii="Times New Roman" w:hAnsi="Times New Roman" w:cs="Times New Roman"/>
                <w:color w:val="000000"/>
                <w:lang w:eastAsia="hr-HR"/>
              </w:rPr>
              <w:t>493.257,18</w:t>
            </w:r>
          </w:p>
        </w:tc>
        <w:tc>
          <w:tcPr>
            <w:tcW w:w="1960" w:type="dxa"/>
            <w:tcBorders>
              <w:top w:val="nil"/>
              <w:left w:val="nil"/>
              <w:bottom w:val="single" w:sz="4" w:space="0" w:color="auto"/>
              <w:right w:val="single" w:sz="4" w:space="0" w:color="auto"/>
            </w:tcBorders>
            <w:shd w:val="clear" w:color="auto" w:fill="B8CCE4" w:themeFill="accent1" w:themeFillTint="66"/>
            <w:noWrap/>
            <w:vAlign w:val="bottom"/>
            <w:hideMark/>
          </w:tcPr>
          <w:p w14:paraId="11B4BFD2" w14:textId="77777777" w:rsidR="00036C06" w:rsidRPr="00036C06" w:rsidRDefault="00036C06" w:rsidP="007F048D">
            <w:pPr>
              <w:spacing w:after="0" w:line="240" w:lineRule="auto"/>
              <w:jc w:val="right"/>
              <w:rPr>
                <w:rFonts w:ascii="Times New Roman" w:hAnsi="Times New Roman" w:cs="Times New Roman"/>
                <w:color w:val="000000"/>
                <w:lang w:eastAsia="hr-HR"/>
              </w:rPr>
            </w:pPr>
            <w:r w:rsidRPr="00036C06">
              <w:rPr>
                <w:rFonts w:ascii="Times New Roman" w:hAnsi="Times New Roman" w:cs="Times New Roman"/>
                <w:color w:val="000000"/>
                <w:lang w:eastAsia="hr-HR"/>
              </w:rPr>
              <w:t>329.294,73</w:t>
            </w:r>
          </w:p>
        </w:tc>
        <w:tc>
          <w:tcPr>
            <w:tcW w:w="1720" w:type="dxa"/>
            <w:tcBorders>
              <w:top w:val="nil"/>
              <w:left w:val="nil"/>
              <w:bottom w:val="single" w:sz="4" w:space="0" w:color="auto"/>
              <w:right w:val="single" w:sz="4" w:space="0" w:color="auto"/>
            </w:tcBorders>
            <w:shd w:val="clear" w:color="auto" w:fill="B8CCE4" w:themeFill="accent1" w:themeFillTint="66"/>
            <w:noWrap/>
            <w:vAlign w:val="bottom"/>
            <w:hideMark/>
          </w:tcPr>
          <w:p w14:paraId="5E2F938F" w14:textId="77777777" w:rsidR="00036C06" w:rsidRPr="00036C06" w:rsidRDefault="00036C06" w:rsidP="007F048D">
            <w:pPr>
              <w:spacing w:after="0" w:line="240" w:lineRule="auto"/>
              <w:jc w:val="right"/>
              <w:rPr>
                <w:rFonts w:ascii="Times New Roman" w:hAnsi="Times New Roman" w:cs="Times New Roman"/>
                <w:color w:val="000000"/>
                <w:lang w:eastAsia="hr-HR"/>
              </w:rPr>
            </w:pPr>
            <w:r w:rsidRPr="00036C06">
              <w:rPr>
                <w:rFonts w:ascii="Times New Roman" w:hAnsi="Times New Roman" w:cs="Times New Roman"/>
                <w:color w:val="000000"/>
                <w:lang w:eastAsia="hr-HR"/>
              </w:rPr>
              <w:t>163.962,45</w:t>
            </w:r>
          </w:p>
        </w:tc>
      </w:tr>
      <w:tr w:rsidR="00036C06" w:rsidRPr="00036C06" w14:paraId="237B5A47" w14:textId="77777777" w:rsidTr="007F048D">
        <w:trPr>
          <w:trHeight w:val="288"/>
        </w:trPr>
        <w:tc>
          <w:tcPr>
            <w:tcW w:w="3260" w:type="dxa"/>
            <w:tcBorders>
              <w:top w:val="nil"/>
              <w:left w:val="single" w:sz="4" w:space="0" w:color="auto"/>
              <w:bottom w:val="single" w:sz="4" w:space="0" w:color="auto"/>
              <w:right w:val="single" w:sz="4" w:space="0" w:color="auto"/>
            </w:tcBorders>
            <w:shd w:val="clear" w:color="000000" w:fill="FFFFFF"/>
            <w:noWrap/>
            <w:hideMark/>
          </w:tcPr>
          <w:p w14:paraId="4F68D1C4" w14:textId="77777777" w:rsidR="00036C06" w:rsidRPr="00036C06" w:rsidRDefault="00036C06" w:rsidP="007F048D">
            <w:pPr>
              <w:spacing w:after="0" w:line="240" w:lineRule="auto"/>
              <w:rPr>
                <w:rFonts w:ascii="Times New Roman" w:hAnsi="Times New Roman" w:cs="Times New Roman"/>
                <w:color w:val="000000"/>
                <w:lang w:eastAsia="hr-HR"/>
              </w:rPr>
            </w:pPr>
            <w:r w:rsidRPr="00036C06">
              <w:rPr>
                <w:rFonts w:ascii="Times New Roman" w:hAnsi="Times New Roman" w:cs="Times New Roman"/>
                <w:color w:val="000000"/>
                <w:lang w:eastAsia="hr-HR"/>
              </w:rPr>
              <w:t>Pomoći iz državnog proračuna</w:t>
            </w:r>
          </w:p>
        </w:tc>
        <w:tc>
          <w:tcPr>
            <w:tcW w:w="2000" w:type="dxa"/>
            <w:tcBorders>
              <w:top w:val="nil"/>
              <w:left w:val="nil"/>
              <w:bottom w:val="single" w:sz="4" w:space="0" w:color="auto"/>
              <w:right w:val="single" w:sz="4" w:space="0" w:color="auto"/>
            </w:tcBorders>
            <w:shd w:val="clear" w:color="000000" w:fill="FFFFFF"/>
            <w:noWrap/>
            <w:hideMark/>
          </w:tcPr>
          <w:p w14:paraId="03443269" w14:textId="77777777" w:rsidR="00036C06" w:rsidRPr="00036C06" w:rsidRDefault="00036C06" w:rsidP="007F048D">
            <w:pPr>
              <w:spacing w:after="0" w:line="240" w:lineRule="auto"/>
              <w:jc w:val="right"/>
              <w:rPr>
                <w:rFonts w:ascii="Times New Roman" w:hAnsi="Times New Roman" w:cs="Times New Roman"/>
                <w:lang w:eastAsia="hr-HR"/>
              </w:rPr>
            </w:pPr>
            <w:r w:rsidRPr="00036C06">
              <w:rPr>
                <w:rFonts w:ascii="Times New Roman" w:hAnsi="Times New Roman" w:cs="Times New Roman"/>
                <w:lang w:eastAsia="hr-HR"/>
              </w:rPr>
              <w:t>73.988,58</w:t>
            </w:r>
          </w:p>
        </w:tc>
        <w:tc>
          <w:tcPr>
            <w:tcW w:w="1960" w:type="dxa"/>
            <w:tcBorders>
              <w:top w:val="nil"/>
              <w:left w:val="nil"/>
              <w:bottom w:val="single" w:sz="4" w:space="0" w:color="auto"/>
              <w:right w:val="single" w:sz="4" w:space="0" w:color="auto"/>
            </w:tcBorders>
            <w:shd w:val="clear" w:color="000000" w:fill="FFFFFF"/>
            <w:noWrap/>
            <w:hideMark/>
          </w:tcPr>
          <w:p w14:paraId="6A4E9054" w14:textId="77777777" w:rsidR="00036C06" w:rsidRPr="00036C06" w:rsidRDefault="00036C06" w:rsidP="007F048D">
            <w:pPr>
              <w:spacing w:after="0" w:line="240" w:lineRule="auto"/>
              <w:ind w:firstLineChars="100" w:firstLine="220"/>
              <w:jc w:val="right"/>
              <w:rPr>
                <w:rFonts w:ascii="Times New Roman" w:hAnsi="Times New Roman" w:cs="Times New Roman"/>
                <w:lang w:eastAsia="hr-HR"/>
              </w:rPr>
            </w:pPr>
            <w:r w:rsidRPr="00036C06">
              <w:rPr>
                <w:rFonts w:ascii="Times New Roman" w:hAnsi="Times New Roman" w:cs="Times New Roman"/>
                <w:lang w:eastAsia="hr-HR"/>
              </w:rPr>
              <w:t>49.394,21</w:t>
            </w:r>
          </w:p>
        </w:tc>
        <w:tc>
          <w:tcPr>
            <w:tcW w:w="1720" w:type="dxa"/>
            <w:tcBorders>
              <w:top w:val="nil"/>
              <w:left w:val="nil"/>
              <w:bottom w:val="single" w:sz="4" w:space="0" w:color="auto"/>
              <w:right w:val="single" w:sz="4" w:space="0" w:color="auto"/>
            </w:tcBorders>
            <w:shd w:val="clear" w:color="000000" w:fill="FFFFFF"/>
            <w:noWrap/>
            <w:hideMark/>
          </w:tcPr>
          <w:p w14:paraId="6303CA78" w14:textId="77777777" w:rsidR="00036C06" w:rsidRPr="00036C06" w:rsidRDefault="00036C06" w:rsidP="007F048D">
            <w:pPr>
              <w:spacing w:after="0" w:line="240" w:lineRule="auto"/>
              <w:jc w:val="right"/>
              <w:rPr>
                <w:rFonts w:ascii="Times New Roman" w:hAnsi="Times New Roman" w:cs="Times New Roman"/>
                <w:lang w:eastAsia="hr-HR"/>
              </w:rPr>
            </w:pPr>
            <w:r w:rsidRPr="00036C06">
              <w:rPr>
                <w:rFonts w:ascii="Times New Roman" w:hAnsi="Times New Roman" w:cs="Times New Roman"/>
                <w:lang w:eastAsia="hr-HR"/>
              </w:rPr>
              <w:t>24.594,37</w:t>
            </w:r>
          </w:p>
        </w:tc>
      </w:tr>
      <w:tr w:rsidR="00036C06" w:rsidRPr="00036C06" w14:paraId="11583223" w14:textId="77777777" w:rsidTr="007F048D">
        <w:trPr>
          <w:trHeight w:val="288"/>
        </w:trPr>
        <w:tc>
          <w:tcPr>
            <w:tcW w:w="3260" w:type="dxa"/>
            <w:tcBorders>
              <w:top w:val="nil"/>
              <w:left w:val="single" w:sz="4" w:space="0" w:color="auto"/>
              <w:bottom w:val="single" w:sz="4" w:space="0" w:color="auto"/>
              <w:right w:val="single" w:sz="4" w:space="0" w:color="auto"/>
            </w:tcBorders>
            <w:shd w:val="clear" w:color="000000" w:fill="FFFFFF"/>
            <w:hideMark/>
          </w:tcPr>
          <w:p w14:paraId="4E4312DC" w14:textId="77777777" w:rsidR="00036C06" w:rsidRPr="00036C06" w:rsidRDefault="00036C06" w:rsidP="007F048D">
            <w:pPr>
              <w:spacing w:after="0" w:line="240" w:lineRule="auto"/>
              <w:rPr>
                <w:rFonts w:ascii="Times New Roman" w:hAnsi="Times New Roman" w:cs="Times New Roman"/>
                <w:lang w:eastAsia="hr-HR"/>
              </w:rPr>
            </w:pPr>
            <w:r w:rsidRPr="00036C06">
              <w:rPr>
                <w:rFonts w:ascii="Times New Roman" w:hAnsi="Times New Roman" w:cs="Times New Roman"/>
                <w:lang w:eastAsia="hr-HR"/>
              </w:rPr>
              <w:t>Pomoći iz EU sredstava</w:t>
            </w:r>
          </w:p>
        </w:tc>
        <w:tc>
          <w:tcPr>
            <w:tcW w:w="2000" w:type="dxa"/>
            <w:tcBorders>
              <w:top w:val="nil"/>
              <w:left w:val="nil"/>
              <w:bottom w:val="single" w:sz="4" w:space="0" w:color="auto"/>
              <w:right w:val="single" w:sz="4" w:space="0" w:color="auto"/>
            </w:tcBorders>
            <w:shd w:val="clear" w:color="000000" w:fill="FFFFFF"/>
            <w:noWrap/>
            <w:hideMark/>
          </w:tcPr>
          <w:p w14:paraId="7E375D2E" w14:textId="77777777" w:rsidR="00036C06" w:rsidRPr="00036C06" w:rsidRDefault="00036C06" w:rsidP="007F048D">
            <w:pPr>
              <w:spacing w:after="0" w:line="240" w:lineRule="auto"/>
              <w:jc w:val="right"/>
              <w:rPr>
                <w:rFonts w:ascii="Times New Roman" w:hAnsi="Times New Roman" w:cs="Times New Roman"/>
                <w:lang w:eastAsia="hr-HR"/>
              </w:rPr>
            </w:pPr>
            <w:r w:rsidRPr="00036C06">
              <w:rPr>
                <w:rFonts w:ascii="Times New Roman" w:hAnsi="Times New Roman" w:cs="Times New Roman"/>
                <w:lang w:eastAsia="hr-HR"/>
              </w:rPr>
              <w:t>419.268,60</w:t>
            </w:r>
          </w:p>
        </w:tc>
        <w:tc>
          <w:tcPr>
            <w:tcW w:w="1960" w:type="dxa"/>
            <w:tcBorders>
              <w:top w:val="nil"/>
              <w:left w:val="nil"/>
              <w:bottom w:val="single" w:sz="4" w:space="0" w:color="auto"/>
              <w:right w:val="single" w:sz="4" w:space="0" w:color="auto"/>
            </w:tcBorders>
            <w:shd w:val="clear" w:color="000000" w:fill="FFFFFF"/>
            <w:noWrap/>
            <w:hideMark/>
          </w:tcPr>
          <w:p w14:paraId="2CFEB70E" w14:textId="77777777" w:rsidR="00036C06" w:rsidRPr="00036C06" w:rsidRDefault="00036C06" w:rsidP="007F048D">
            <w:pPr>
              <w:spacing w:after="0" w:line="240" w:lineRule="auto"/>
              <w:ind w:firstLineChars="100" w:firstLine="220"/>
              <w:jc w:val="right"/>
              <w:rPr>
                <w:rFonts w:ascii="Times New Roman" w:hAnsi="Times New Roman" w:cs="Times New Roman"/>
                <w:lang w:eastAsia="hr-HR"/>
              </w:rPr>
            </w:pPr>
            <w:r w:rsidRPr="00036C06">
              <w:rPr>
                <w:rFonts w:ascii="Times New Roman" w:hAnsi="Times New Roman" w:cs="Times New Roman"/>
                <w:lang w:eastAsia="hr-HR"/>
              </w:rPr>
              <w:t>279.900,52</w:t>
            </w:r>
          </w:p>
        </w:tc>
        <w:tc>
          <w:tcPr>
            <w:tcW w:w="1720" w:type="dxa"/>
            <w:tcBorders>
              <w:top w:val="nil"/>
              <w:left w:val="nil"/>
              <w:bottom w:val="single" w:sz="4" w:space="0" w:color="auto"/>
              <w:right w:val="single" w:sz="4" w:space="0" w:color="auto"/>
            </w:tcBorders>
            <w:shd w:val="clear" w:color="000000" w:fill="FFFFFF"/>
            <w:noWrap/>
            <w:hideMark/>
          </w:tcPr>
          <w:p w14:paraId="42C16BFA" w14:textId="77777777" w:rsidR="00036C06" w:rsidRPr="00036C06" w:rsidRDefault="00036C06" w:rsidP="007F048D">
            <w:pPr>
              <w:spacing w:after="0" w:line="240" w:lineRule="auto"/>
              <w:jc w:val="right"/>
              <w:rPr>
                <w:rFonts w:ascii="Times New Roman" w:hAnsi="Times New Roman" w:cs="Times New Roman"/>
                <w:lang w:eastAsia="hr-HR"/>
              </w:rPr>
            </w:pPr>
            <w:r w:rsidRPr="00036C06">
              <w:rPr>
                <w:rFonts w:ascii="Times New Roman" w:hAnsi="Times New Roman" w:cs="Times New Roman"/>
                <w:lang w:eastAsia="hr-HR"/>
              </w:rPr>
              <w:t>139.368,08</w:t>
            </w:r>
          </w:p>
        </w:tc>
      </w:tr>
      <w:bookmarkEnd w:id="15"/>
    </w:tbl>
    <w:p w14:paraId="0EF6A9F7" w14:textId="77777777" w:rsidR="00036C06" w:rsidRPr="00CE6BF7" w:rsidRDefault="00036C06" w:rsidP="003C25A4">
      <w:pPr>
        <w:jc w:val="both"/>
        <w:rPr>
          <w:rFonts w:ascii="Times New Roman" w:hAnsi="Times New Roman" w:cs="Times New Roman"/>
          <w:u w:val="single"/>
        </w:rPr>
      </w:pPr>
    </w:p>
    <w:p w14:paraId="36C5C922" w14:textId="7A98A02D" w:rsidR="009E6A8F" w:rsidRDefault="00462E5D" w:rsidP="00036C06">
      <w:pPr>
        <w:spacing w:after="0" w:line="240" w:lineRule="atLeast"/>
        <w:jc w:val="both"/>
        <w:rPr>
          <w:rFonts w:ascii="Times New Roman" w:eastAsiaTheme="minorHAnsi" w:hAnsi="Times New Roman" w:cs="Times New Roman"/>
          <w:lang w:eastAsia="ar-SA"/>
        </w:rPr>
      </w:pPr>
      <w:r w:rsidRPr="00471A89">
        <w:rPr>
          <w:rFonts w:ascii="Times New Roman" w:eastAsiaTheme="minorHAnsi" w:hAnsi="Times New Roman" w:cs="Times New Roman"/>
          <w:lang w:eastAsia="ar-SA"/>
        </w:rPr>
        <w:lastRenderedPageBreak/>
        <w:t>U 202</w:t>
      </w:r>
      <w:r w:rsidR="0010700E" w:rsidRPr="00471A89">
        <w:rPr>
          <w:rFonts w:ascii="Times New Roman" w:eastAsiaTheme="minorHAnsi" w:hAnsi="Times New Roman" w:cs="Times New Roman"/>
          <w:lang w:eastAsia="ar-SA"/>
        </w:rPr>
        <w:t>4</w:t>
      </w:r>
      <w:r w:rsidRPr="00471A89">
        <w:rPr>
          <w:rFonts w:ascii="Times New Roman" w:eastAsiaTheme="minorHAnsi" w:hAnsi="Times New Roman" w:cs="Times New Roman"/>
          <w:lang w:eastAsia="ar-SA"/>
        </w:rPr>
        <w:t xml:space="preserve">. godini zaprimili smo </w:t>
      </w:r>
      <w:r w:rsidR="0020460D" w:rsidRPr="00471A89">
        <w:rPr>
          <w:rFonts w:ascii="Times New Roman" w:eastAsiaTheme="minorHAnsi" w:hAnsi="Times New Roman" w:cs="Times New Roman"/>
          <w:lang w:eastAsia="ar-SA"/>
        </w:rPr>
        <w:t>419.268,60</w:t>
      </w:r>
      <w:r w:rsidRPr="00471A89">
        <w:rPr>
          <w:rFonts w:ascii="Times New Roman" w:eastAsiaTheme="minorHAnsi" w:hAnsi="Times New Roman" w:cs="Times New Roman"/>
          <w:lang w:eastAsia="ar-SA"/>
        </w:rPr>
        <w:t xml:space="preserve"> eura iz Europskog socijalnog fonda (sufinanciranje 85%) i </w:t>
      </w:r>
      <w:r w:rsidR="0020460D" w:rsidRPr="00471A89">
        <w:rPr>
          <w:rFonts w:ascii="Times New Roman" w:eastAsiaTheme="minorHAnsi" w:hAnsi="Times New Roman" w:cs="Times New Roman"/>
          <w:lang w:eastAsia="ar-SA"/>
        </w:rPr>
        <w:t>73.988,58</w:t>
      </w:r>
      <w:r w:rsidRPr="00471A89">
        <w:rPr>
          <w:rFonts w:ascii="Times New Roman" w:eastAsiaTheme="minorHAnsi" w:hAnsi="Times New Roman" w:cs="Times New Roman"/>
          <w:lang w:eastAsia="ar-SA"/>
        </w:rPr>
        <w:t xml:space="preserve"> eura iz Državnog proračuna RH (15%)</w:t>
      </w:r>
      <w:r w:rsidR="00664927" w:rsidRPr="00471A89">
        <w:rPr>
          <w:rFonts w:ascii="Times New Roman" w:eastAsiaTheme="minorHAnsi" w:hAnsi="Times New Roman" w:cs="Times New Roman"/>
          <w:lang w:eastAsia="ar-SA"/>
        </w:rPr>
        <w:t>, a</w:t>
      </w:r>
      <w:r w:rsidRPr="00471A89">
        <w:rPr>
          <w:rFonts w:ascii="Times New Roman" w:eastAsiaTheme="minorHAnsi" w:hAnsi="Times New Roman" w:cs="Times New Roman"/>
          <w:lang w:eastAsia="ar-SA"/>
        </w:rPr>
        <w:t xml:space="preserve"> t</w:t>
      </w:r>
      <w:r w:rsidR="009E6A8F" w:rsidRPr="00471A89">
        <w:rPr>
          <w:rFonts w:ascii="Times New Roman" w:eastAsiaTheme="minorHAnsi" w:hAnsi="Times New Roman" w:cs="Times New Roman"/>
          <w:lang w:eastAsia="ar-SA"/>
        </w:rPr>
        <w:t>emeljem Ugovora o dodjeli bespovratnih sredstava za projekte koji se financiraju iz Europskog socijalnog fonda u financijskom razdoblju 20</w:t>
      </w:r>
      <w:r w:rsidR="0002049E" w:rsidRPr="00471A89">
        <w:rPr>
          <w:rFonts w:ascii="Times New Roman" w:eastAsiaTheme="minorHAnsi" w:hAnsi="Times New Roman" w:cs="Times New Roman"/>
          <w:lang w:eastAsia="ar-SA"/>
        </w:rPr>
        <w:t>21. – 2027.</w:t>
      </w:r>
      <w:r w:rsidR="009E6A8F" w:rsidRPr="00471A89">
        <w:rPr>
          <w:rFonts w:ascii="Times New Roman" w:eastAsiaTheme="minorHAnsi" w:hAnsi="Times New Roman" w:cs="Times New Roman"/>
          <w:lang w:eastAsia="ar-SA"/>
        </w:rPr>
        <w:t xml:space="preserve"> </w:t>
      </w:r>
      <w:r w:rsidR="0002049E" w:rsidRPr="00471A89">
        <w:rPr>
          <w:rFonts w:ascii="Times New Roman" w:eastAsiaTheme="minorHAnsi" w:hAnsi="Times New Roman" w:cs="Times New Roman"/>
          <w:lang w:eastAsia="ar-SA"/>
        </w:rPr>
        <w:t>kodni broj: SF.3.4.11.01.0331 </w:t>
      </w:r>
      <w:r w:rsidR="009E6A8F" w:rsidRPr="00471A89">
        <w:rPr>
          <w:rFonts w:ascii="Times New Roman" w:eastAsiaTheme="minorHAnsi" w:hAnsi="Times New Roman" w:cs="Times New Roman"/>
          <w:lang w:eastAsia="ar-SA"/>
        </w:rPr>
        <w:t xml:space="preserve"> sklopljenog sa Ministarstvom rada, mirovinskog sustava, obitelji i socijalne politike (Upravljačko tijelo) i Hrvatskim zavodom za zapošljavanje, Ured za financiranje i ugovaranje projekata Europske unije (Posredničko tijelo razine 2)</w:t>
      </w:r>
      <w:r w:rsidR="00471A89" w:rsidRPr="00471A89">
        <w:rPr>
          <w:rFonts w:ascii="Times New Roman" w:eastAsiaTheme="minorHAnsi" w:hAnsi="Times New Roman" w:cs="Times New Roman"/>
          <w:lang w:eastAsia="ar-SA"/>
        </w:rPr>
        <w:t>.</w:t>
      </w:r>
      <w:r w:rsidR="00471A89">
        <w:rPr>
          <w:rFonts w:ascii="Times New Roman" w:eastAsiaTheme="minorHAnsi" w:hAnsi="Times New Roman" w:cs="Times New Roman"/>
          <w:lang w:eastAsia="ar-SA"/>
        </w:rPr>
        <w:t xml:space="preserve"> Projektom je zaposleno 30 žena</w:t>
      </w:r>
      <w:r w:rsidR="00722215">
        <w:rPr>
          <w:rFonts w:ascii="Times New Roman" w:eastAsiaTheme="minorHAnsi" w:hAnsi="Times New Roman" w:cs="Times New Roman"/>
          <w:lang w:eastAsia="ar-SA"/>
        </w:rPr>
        <w:t xml:space="preserve"> koje se skrbe za više od 180 krajnjih korisnika (starijih nemoćnih osoba i osoba s invaliditetom).</w:t>
      </w:r>
    </w:p>
    <w:p w14:paraId="635CC632" w14:textId="77777777" w:rsidR="00471A89" w:rsidRPr="00471A89" w:rsidRDefault="00471A89" w:rsidP="00036C06">
      <w:pPr>
        <w:spacing w:after="0" w:line="240" w:lineRule="atLeast"/>
        <w:jc w:val="both"/>
        <w:rPr>
          <w:rFonts w:ascii="Times New Roman" w:eastAsiaTheme="minorHAnsi" w:hAnsi="Times New Roman" w:cs="Times New Roman"/>
          <w:lang w:eastAsia="ar-SA"/>
        </w:rPr>
      </w:pPr>
    </w:p>
    <w:p w14:paraId="70A47213" w14:textId="0CF62E97" w:rsidR="00471A89" w:rsidRDefault="00471A89" w:rsidP="00036C06">
      <w:pPr>
        <w:spacing w:after="0"/>
        <w:jc w:val="both"/>
        <w:rPr>
          <w:rFonts w:ascii="Times New Roman" w:eastAsiaTheme="minorHAnsi" w:hAnsi="Times New Roman" w:cs="Times New Roman"/>
          <w:lang w:eastAsia="ar-SA"/>
        </w:rPr>
      </w:pPr>
      <w:r w:rsidRPr="00471A89">
        <w:rPr>
          <w:rFonts w:ascii="Times New Roman" w:eastAsiaTheme="minorHAnsi" w:hAnsi="Times New Roman" w:cs="Times New Roman"/>
          <w:lang w:eastAsia="ar-SA"/>
        </w:rPr>
        <w:t>Istim sredstvima financirani su troškovi za zaposlene, troškovi korištenja osobnog automobila u službene svrhe</w:t>
      </w:r>
      <w:r>
        <w:rPr>
          <w:rFonts w:ascii="Times New Roman" w:eastAsiaTheme="minorHAnsi" w:hAnsi="Times New Roman" w:cs="Times New Roman"/>
          <w:lang w:eastAsia="ar-SA"/>
        </w:rPr>
        <w:t xml:space="preserve">, </w:t>
      </w:r>
      <w:r w:rsidR="00722215">
        <w:rPr>
          <w:rFonts w:ascii="Times New Roman" w:eastAsiaTheme="minorHAnsi" w:hAnsi="Times New Roman" w:cs="Times New Roman"/>
          <w:lang w:eastAsia="ar-SA"/>
        </w:rPr>
        <w:t>troškovi materijala za čišćenje</w:t>
      </w:r>
      <w:r>
        <w:rPr>
          <w:rFonts w:ascii="Times New Roman" w:eastAsiaTheme="minorHAnsi" w:hAnsi="Times New Roman" w:cs="Times New Roman"/>
          <w:lang w:eastAsia="ar-SA"/>
        </w:rPr>
        <w:t xml:space="preserve"> te troškovi promidžbe.</w:t>
      </w:r>
    </w:p>
    <w:p w14:paraId="11A962E7" w14:textId="77777777" w:rsidR="00036C06" w:rsidRDefault="00036C06" w:rsidP="00036C06">
      <w:pPr>
        <w:spacing w:after="0"/>
        <w:jc w:val="both"/>
        <w:rPr>
          <w:rFonts w:ascii="Times New Roman" w:eastAsiaTheme="minorHAnsi" w:hAnsi="Times New Roman" w:cs="Times New Roman"/>
          <w:lang w:eastAsia="ar-SA"/>
        </w:rPr>
      </w:pPr>
    </w:p>
    <w:p w14:paraId="2C6F7BE4" w14:textId="34F30892" w:rsidR="00722215" w:rsidRDefault="00036C06" w:rsidP="00036C06">
      <w:pPr>
        <w:spacing w:after="0"/>
        <w:jc w:val="both"/>
        <w:rPr>
          <w:rFonts w:ascii="Times New Roman" w:eastAsiaTheme="minorHAnsi" w:hAnsi="Times New Roman" w:cs="Times New Roman"/>
          <w:lang w:eastAsia="ar-SA"/>
        </w:rPr>
      </w:pPr>
      <w:r>
        <w:rPr>
          <w:rFonts w:ascii="Times New Roman" w:eastAsiaTheme="minorHAnsi" w:hAnsi="Times New Roman" w:cs="Times New Roman"/>
          <w:lang w:eastAsia="ar-SA"/>
        </w:rPr>
        <w:t>Neutrošena sredstva pomoći prenose se u slijedeću proračunsku godinu kao izvor financiranja istog projekta.</w:t>
      </w:r>
    </w:p>
    <w:p w14:paraId="2D5B27CE" w14:textId="77777777" w:rsidR="00462E5D" w:rsidRDefault="00462E5D" w:rsidP="003C25A4">
      <w:pPr>
        <w:jc w:val="both"/>
        <w:rPr>
          <w:rFonts w:ascii="Times New Roman" w:hAnsi="Times New Roman" w:cs="Times New Roman"/>
        </w:rPr>
      </w:pPr>
    </w:p>
    <w:p w14:paraId="06C30B83" w14:textId="6A7D0154" w:rsidR="009D1257" w:rsidRPr="009D1257" w:rsidRDefault="009D1257" w:rsidP="009D1257">
      <w:pPr>
        <w:jc w:val="both"/>
        <w:rPr>
          <w:rFonts w:ascii="Times New Roman" w:hAnsi="Times New Roman" w:cs="Times New Roman"/>
          <w:u w:val="single"/>
        </w:rPr>
      </w:pPr>
      <w:r w:rsidRPr="009D1257">
        <w:rPr>
          <w:rFonts w:ascii="Times New Roman" w:hAnsi="Times New Roman" w:cs="Times New Roman"/>
          <w:u w:val="single"/>
        </w:rPr>
        <w:t xml:space="preserve">- </w:t>
      </w:r>
      <w:r w:rsidR="00177054" w:rsidRPr="009D1257">
        <w:rPr>
          <w:rFonts w:ascii="Times New Roman" w:hAnsi="Times New Roman" w:cs="Times New Roman"/>
          <w:u w:val="single"/>
        </w:rPr>
        <w:t xml:space="preserve">Tekući projekt 102005 „Pomoćnici u nastavi – faza </w:t>
      </w:r>
      <w:r w:rsidRPr="009D1257">
        <w:rPr>
          <w:rFonts w:ascii="Times New Roman" w:hAnsi="Times New Roman" w:cs="Times New Roman"/>
          <w:u w:val="single"/>
        </w:rPr>
        <w:t>VI</w:t>
      </w:r>
      <w:r w:rsidR="00177054" w:rsidRPr="009D1257">
        <w:rPr>
          <w:rFonts w:ascii="Times New Roman" w:hAnsi="Times New Roman" w:cs="Times New Roman"/>
          <w:u w:val="single"/>
        </w:rPr>
        <w:t>“</w:t>
      </w:r>
      <w:r w:rsidR="00625C55" w:rsidRPr="009D1257">
        <w:rPr>
          <w:rFonts w:ascii="Times New Roman" w:hAnsi="Times New Roman" w:cs="Times New Roman"/>
          <w:u w:val="single"/>
        </w:rPr>
        <w:t xml:space="preserve"> – Proračunski korisnik Osnovna škola Garešnica</w:t>
      </w:r>
    </w:p>
    <w:tbl>
      <w:tblPr>
        <w:tblW w:w="9060" w:type="dxa"/>
        <w:tblLook w:val="04A0" w:firstRow="1" w:lastRow="0" w:firstColumn="1" w:lastColumn="0" w:noHBand="0" w:noVBand="1"/>
      </w:tblPr>
      <w:tblGrid>
        <w:gridCol w:w="3222"/>
        <w:gridCol w:w="222"/>
        <w:gridCol w:w="1977"/>
        <w:gridCol w:w="1938"/>
        <w:gridCol w:w="1701"/>
      </w:tblGrid>
      <w:tr w:rsidR="009D1257" w:rsidRPr="00036C06" w14:paraId="29C5C18F" w14:textId="77777777" w:rsidTr="009D1257">
        <w:trPr>
          <w:trHeight w:val="576"/>
        </w:trPr>
        <w:tc>
          <w:tcPr>
            <w:tcW w:w="3222"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57A577C5" w14:textId="6A170BB1" w:rsidR="009D1257" w:rsidRPr="00036C06" w:rsidRDefault="009D1257" w:rsidP="007F048D">
            <w:pPr>
              <w:spacing w:after="0" w:line="240" w:lineRule="auto"/>
              <w:jc w:val="center"/>
              <w:rPr>
                <w:rFonts w:ascii="Times New Roman" w:hAnsi="Times New Roman" w:cs="Times New Roman"/>
                <w:color w:val="FFFFFF"/>
                <w:lang w:eastAsia="hr-HR"/>
              </w:rPr>
            </w:pPr>
            <w:r w:rsidRPr="00036C06">
              <w:rPr>
                <w:rFonts w:ascii="Times New Roman" w:hAnsi="Times New Roman" w:cs="Times New Roman"/>
                <w:color w:val="FFFFFF"/>
                <w:lang w:eastAsia="hr-HR"/>
              </w:rPr>
              <w:t>Projekt</w:t>
            </w:r>
          </w:p>
        </w:tc>
        <w:tc>
          <w:tcPr>
            <w:tcW w:w="222" w:type="dxa"/>
            <w:tcBorders>
              <w:top w:val="single" w:sz="4" w:space="0" w:color="auto"/>
              <w:left w:val="nil"/>
              <w:bottom w:val="single" w:sz="4" w:space="0" w:color="auto"/>
              <w:right w:val="nil"/>
            </w:tcBorders>
            <w:shd w:val="clear" w:color="000000" w:fill="002060"/>
          </w:tcPr>
          <w:p w14:paraId="06C610EC" w14:textId="77777777" w:rsidR="009D1257" w:rsidRDefault="009D1257" w:rsidP="007F048D">
            <w:pPr>
              <w:spacing w:after="0" w:line="240" w:lineRule="auto"/>
              <w:jc w:val="center"/>
              <w:rPr>
                <w:rFonts w:ascii="Times New Roman" w:hAnsi="Times New Roman" w:cs="Times New Roman"/>
                <w:color w:val="FFFFFF"/>
                <w:lang w:eastAsia="hr-HR"/>
              </w:rPr>
            </w:pPr>
          </w:p>
        </w:tc>
        <w:tc>
          <w:tcPr>
            <w:tcW w:w="1977" w:type="dxa"/>
            <w:tcBorders>
              <w:top w:val="single" w:sz="4" w:space="0" w:color="auto"/>
              <w:left w:val="nil"/>
              <w:bottom w:val="single" w:sz="4" w:space="0" w:color="auto"/>
              <w:right w:val="single" w:sz="4" w:space="0" w:color="auto"/>
            </w:tcBorders>
            <w:shd w:val="clear" w:color="000000" w:fill="002060"/>
            <w:vAlign w:val="center"/>
            <w:hideMark/>
          </w:tcPr>
          <w:p w14:paraId="01F09889" w14:textId="10D6429C" w:rsidR="009D1257" w:rsidRPr="00036C06" w:rsidRDefault="009D1257" w:rsidP="007F048D">
            <w:pPr>
              <w:spacing w:after="0" w:line="240" w:lineRule="auto"/>
              <w:jc w:val="center"/>
              <w:rPr>
                <w:rFonts w:ascii="Times New Roman" w:hAnsi="Times New Roman" w:cs="Times New Roman"/>
                <w:color w:val="FFFFFF"/>
                <w:lang w:eastAsia="hr-HR"/>
              </w:rPr>
            </w:pPr>
            <w:r>
              <w:rPr>
                <w:rFonts w:ascii="Times New Roman" w:hAnsi="Times New Roman" w:cs="Times New Roman"/>
                <w:color w:val="FFFFFF"/>
                <w:lang w:eastAsia="hr-HR"/>
              </w:rPr>
              <w:t>Izvor</w:t>
            </w:r>
          </w:p>
        </w:tc>
        <w:tc>
          <w:tcPr>
            <w:tcW w:w="1938" w:type="dxa"/>
            <w:tcBorders>
              <w:top w:val="single" w:sz="4" w:space="0" w:color="auto"/>
              <w:left w:val="nil"/>
              <w:bottom w:val="single" w:sz="4" w:space="0" w:color="auto"/>
              <w:right w:val="single" w:sz="4" w:space="0" w:color="auto"/>
            </w:tcBorders>
            <w:shd w:val="clear" w:color="000000" w:fill="002060"/>
            <w:vAlign w:val="center"/>
            <w:hideMark/>
          </w:tcPr>
          <w:p w14:paraId="06187CB1" w14:textId="77777777" w:rsidR="009D1257" w:rsidRPr="00036C06" w:rsidRDefault="009D1257" w:rsidP="007F048D">
            <w:pPr>
              <w:spacing w:after="0" w:line="240" w:lineRule="auto"/>
              <w:jc w:val="center"/>
              <w:rPr>
                <w:rFonts w:ascii="Times New Roman" w:hAnsi="Times New Roman" w:cs="Times New Roman"/>
                <w:color w:val="FFFFFF"/>
                <w:lang w:eastAsia="hr-HR"/>
              </w:rPr>
            </w:pPr>
            <w:r w:rsidRPr="00036C06">
              <w:rPr>
                <w:rFonts w:ascii="Times New Roman" w:hAnsi="Times New Roman" w:cs="Times New Roman"/>
                <w:color w:val="FFFFFF"/>
                <w:lang w:eastAsia="hr-HR"/>
              </w:rPr>
              <w:t>Izvršenje rashoda</w:t>
            </w:r>
          </w:p>
        </w:tc>
        <w:tc>
          <w:tcPr>
            <w:tcW w:w="1701" w:type="dxa"/>
            <w:tcBorders>
              <w:top w:val="single" w:sz="4" w:space="0" w:color="auto"/>
              <w:left w:val="nil"/>
              <w:bottom w:val="single" w:sz="4" w:space="0" w:color="auto"/>
              <w:right w:val="single" w:sz="4" w:space="0" w:color="auto"/>
            </w:tcBorders>
            <w:shd w:val="clear" w:color="000000" w:fill="002060"/>
            <w:vAlign w:val="center"/>
            <w:hideMark/>
          </w:tcPr>
          <w:p w14:paraId="74743943" w14:textId="77777777" w:rsidR="009D1257" w:rsidRPr="00036C06" w:rsidRDefault="009D1257" w:rsidP="007F048D">
            <w:pPr>
              <w:spacing w:after="0" w:line="240" w:lineRule="auto"/>
              <w:jc w:val="center"/>
              <w:rPr>
                <w:rFonts w:ascii="Times New Roman" w:hAnsi="Times New Roman" w:cs="Times New Roman"/>
                <w:color w:val="FFFFFF"/>
                <w:lang w:eastAsia="hr-HR"/>
              </w:rPr>
            </w:pPr>
            <w:r w:rsidRPr="00036C06">
              <w:rPr>
                <w:rFonts w:ascii="Times New Roman" w:hAnsi="Times New Roman" w:cs="Times New Roman"/>
                <w:color w:val="FFFFFF"/>
                <w:lang w:eastAsia="hr-HR"/>
              </w:rPr>
              <w:t>višak/ manjak u €</w:t>
            </w:r>
          </w:p>
        </w:tc>
      </w:tr>
      <w:tr w:rsidR="009D1257" w:rsidRPr="00036C06" w14:paraId="221400C7" w14:textId="77777777" w:rsidTr="009D1257">
        <w:trPr>
          <w:trHeight w:val="288"/>
        </w:trPr>
        <w:tc>
          <w:tcPr>
            <w:tcW w:w="3222" w:type="dxa"/>
            <w:tcBorders>
              <w:top w:val="nil"/>
              <w:left w:val="single" w:sz="4" w:space="0" w:color="auto"/>
              <w:bottom w:val="single" w:sz="4" w:space="0" w:color="auto"/>
              <w:right w:val="single" w:sz="4" w:space="0" w:color="auto"/>
            </w:tcBorders>
            <w:shd w:val="clear" w:color="auto" w:fill="B8CCE4" w:themeFill="accent1" w:themeFillTint="66"/>
            <w:noWrap/>
          </w:tcPr>
          <w:p w14:paraId="229F49D1" w14:textId="5FCE6922" w:rsidR="009D1257" w:rsidRPr="00036C06" w:rsidRDefault="009D1257" w:rsidP="007F048D">
            <w:pPr>
              <w:spacing w:after="0" w:line="240" w:lineRule="auto"/>
              <w:rPr>
                <w:rFonts w:ascii="Times New Roman" w:hAnsi="Times New Roman" w:cs="Times New Roman"/>
                <w:i/>
                <w:iCs/>
                <w:lang w:eastAsia="hr-HR"/>
              </w:rPr>
            </w:pPr>
            <w:r w:rsidRPr="00036C06">
              <w:rPr>
                <w:rFonts w:ascii="Times New Roman" w:hAnsi="Times New Roman" w:cs="Times New Roman"/>
              </w:rPr>
              <w:t xml:space="preserve">„Pomoćnici u nastavi – faza </w:t>
            </w:r>
            <w:r>
              <w:rPr>
                <w:rFonts w:ascii="Times New Roman" w:hAnsi="Times New Roman" w:cs="Times New Roman"/>
              </w:rPr>
              <w:t>VI</w:t>
            </w:r>
            <w:r w:rsidRPr="00036C06">
              <w:rPr>
                <w:rFonts w:ascii="Times New Roman" w:hAnsi="Times New Roman" w:cs="Times New Roman"/>
              </w:rPr>
              <w:t>“</w:t>
            </w:r>
          </w:p>
        </w:tc>
        <w:tc>
          <w:tcPr>
            <w:tcW w:w="222" w:type="dxa"/>
            <w:tcBorders>
              <w:top w:val="nil"/>
              <w:left w:val="nil"/>
              <w:bottom w:val="single" w:sz="4" w:space="0" w:color="auto"/>
              <w:right w:val="nil"/>
            </w:tcBorders>
            <w:shd w:val="clear" w:color="auto" w:fill="B8CCE4" w:themeFill="accent1" w:themeFillTint="66"/>
          </w:tcPr>
          <w:p w14:paraId="1C4F04AB" w14:textId="77777777" w:rsidR="009D1257" w:rsidRDefault="009D1257" w:rsidP="007F048D">
            <w:pPr>
              <w:spacing w:after="0" w:line="240" w:lineRule="auto"/>
              <w:jc w:val="right"/>
              <w:rPr>
                <w:rFonts w:ascii="Times New Roman" w:hAnsi="Times New Roman" w:cs="Times New Roman"/>
                <w:color w:val="000000"/>
                <w:lang w:eastAsia="hr-HR"/>
              </w:rPr>
            </w:pPr>
          </w:p>
        </w:tc>
        <w:tc>
          <w:tcPr>
            <w:tcW w:w="1977" w:type="dxa"/>
            <w:tcBorders>
              <w:top w:val="nil"/>
              <w:left w:val="nil"/>
              <w:bottom w:val="single" w:sz="4" w:space="0" w:color="auto"/>
              <w:right w:val="single" w:sz="4" w:space="0" w:color="auto"/>
            </w:tcBorders>
            <w:shd w:val="clear" w:color="auto" w:fill="B8CCE4" w:themeFill="accent1" w:themeFillTint="66"/>
            <w:noWrap/>
            <w:vAlign w:val="bottom"/>
          </w:tcPr>
          <w:p w14:paraId="53DF999C" w14:textId="7783F4B0" w:rsidR="009D1257" w:rsidRPr="00036C06" w:rsidRDefault="009D1257" w:rsidP="007F048D">
            <w:pPr>
              <w:spacing w:after="0" w:line="240" w:lineRule="auto"/>
              <w:jc w:val="right"/>
              <w:rPr>
                <w:rFonts w:ascii="Times New Roman" w:hAnsi="Times New Roman" w:cs="Times New Roman"/>
                <w:color w:val="000000"/>
                <w:lang w:eastAsia="hr-HR"/>
              </w:rPr>
            </w:pPr>
            <w:r>
              <w:rPr>
                <w:rFonts w:ascii="Times New Roman" w:hAnsi="Times New Roman" w:cs="Times New Roman"/>
                <w:color w:val="000000"/>
                <w:lang w:eastAsia="hr-HR"/>
              </w:rPr>
              <w:t>50.166,19</w:t>
            </w:r>
          </w:p>
        </w:tc>
        <w:tc>
          <w:tcPr>
            <w:tcW w:w="1938" w:type="dxa"/>
            <w:tcBorders>
              <w:top w:val="nil"/>
              <w:left w:val="nil"/>
              <w:bottom w:val="single" w:sz="4" w:space="0" w:color="auto"/>
              <w:right w:val="single" w:sz="4" w:space="0" w:color="auto"/>
            </w:tcBorders>
            <w:shd w:val="clear" w:color="auto" w:fill="B8CCE4" w:themeFill="accent1" w:themeFillTint="66"/>
            <w:noWrap/>
            <w:vAlign w:val="bottom"/>
          </w:tcPr>
          <w:p w14:paraId="4414E8D6" w14:textId="4DE50957" w:rsidR="009D1257" w:rsidRPr="00036C06" w:rsidRDefault="009D1257" w:rsidP="007F048D">
            <w:pPr>
              <w:spacing w:after="0" w:line="240" w:lineRule="auto"/>
              <w:jc w:val="right"/>
              <w:rPr>
                <w:rFonts w:ascii="Times New Roman" w:hAnsi="Times New Roman" w:cs="Times New Roman"/>
                <w:color w:val="000000"/>
                <w:lang w:eastAsia="hr-HR"/>
              </w:rPr>
            </w:pPr>
            <w:r>
              <w:rPr>
                <w:rFonts w:ascii="Times New Roman" w:hAnsi="Times New Roman" w:cs="Times New Roman"/>
                <w:color w:val="000000"/>
                <w:lang w:eastAsia="hr-HR"/>
              </w:rPr>
              <w:t>50.166,19</w:t>
            </w:r>
          </w:p>
        </w:tc>
        <w:tc>
          <w:tcPr>
            <w:tcW w:w="1701" w:type="dxa"/>
            <w:tcBorders>
              <w:top w:val="nil"/>
              <w:left w:val="nil"/>
              <w:bottom w:val="single" w:sz="4" w:space="0" w:color="auto"/>
              <w:right w:val="single" w:sz="4" w:space="0" w:color="auto"/>
            </w:tcBorders>
            <w:shd w:val="clear" w:color="auto" w:fill="B8CCE4" w:themeFill="accent1" w:themeFillTint="66"/>
            <w:noWrap/>
            <w:vAlign w:val="bottom"/>
          </w:tcPr>
          <w:p w14:paraId="71353A8C" w14:textId="6F63B684" w:rsidR="009D1257" w:rsidRPr="00036C06" w:rsidRDefault="009D1257" w:rsidP="007F048D">
            <w:pPr>
              <w:spacing w:after="0" w:line="240" w:lineRule="auto"/>
              <w:jc w:val="right"/>
              <w:rPr>
                <w:rFonts w:ascii="Times New Roman" w:hAnsi="Times New Roman" w:cs="Times New Roman"/>
                <w:color w:val="000000"/>
                <w:lang w:eastAsia="hr-HR"/>
              </w:rPr>
            </w:pPr>
            <w:r>
              <w:rPr>
                <w:rFonts w:ascii="Times New Roman" w:hAnsi="Times New Roman" w:cs="Times New Roman"/>
                <w:color w:val="000000"/>
                <w:lang w:eastAsia="hr-HR"/>
              </w:rPr>
              <w:t>0,00</w:t>
            </w:r>
          </w:p>
        </w:tc>
      </w:tr>
      <w:tr w:rsidR="009D1257" w:rsidRPr="00036C06" w14:paraId="160E9B51" w14:textId="77777777" w:rsidTr="009D1257">
        <w:trPr>
          <w:trHeight w:val="288"/>
        </w:trPr>
        <w:tc>
          <w:tcPr>
            <w:tcW w:w="3222" w:type="dxa"/>
            <w:tcBorders>
              <w:top w:val="nil"/>
              <w:left w:val="single" w:sz="4" w:space="0" w:color="auto"/>
              <w:bottom w:val="single" w:sz="4" w:space="0" w:color="auto"/>
              <w:right w:val="single" w:sz="4" w:space="0" w:color="auto"/>
            </w:tcBorders>
            <w:shd w:val="clear" w:color="000000" w:fill="FFFFFF"/>
            <w:noWrap/>
            <w:hideMark/>
          </w:tcPr>
          <w:p w14:paraId="746E85C4" w14:textId="77777777" w:rsidR="009D1257" w:rsidRPr="00036C06" w:rsidRDefault="009D1257" w:rsidP="007F048D">
            <w:pPr>
              <w:spacing w:after="0" w:line="240" w:lineRule="auto"/>
              <w:rPr>
                <w:rFonts w:ascii="Times New Roman" w:hAnsi="Times New Roman" w:cs="Times New Roman"/>
                <w:color w:val="000000"/>
                <w:lang w:eastAsia="hr-HR"/>
              </w:rPr>
            </w:pPr>
            <w:r w:rsidRPr="00036C06">
              <w:rPr>
                <w:rFonts w:ascii="Times New Roman" w:hAnsi="Times New Roman" w:cs="Times New Roman"/>
                <w:color w:val="000000"/>
                <w:lang w:eastAsia="hr-HR"/>
              </w:rPr>
              <w:t>Pomoći iz državnog proračuna</w:t>
            </w:r>
          </w:p>
        </w:tc>
        <w:tc>
          <w:tcPr>
            <w:tcW w:w="222" w:type="dxa"/>
            <w:tcBorders>
              <w:top w:val="nil"/>
              <w:left w:val="nil"/>
              <w:bottom w:val="single" w:sz="4" w:space="0" w:color="auto"/>
              <w:right w:val="nil"/>
            </w:tcBorders>
            <w:shd w:val="clear" w:color="000000" w:fill="FFFFFF"/>
          </w:tcPr>
          <w:p w14:paraId="34BC061E" w14:textId="77777777" w:rsidR="009D1257" w:rsidRDefault="009D1257" w:rsidP="007F048D">
            <w:pPr>
              <w:spacing w:after="0" w:line="240" w:lineRule="auto"/>
              <w:jc w:val="right"/>
              <w:rPr>
                <w:rFonts w:ascii="Times New Roman" w:hAnsi="Times New Roman" w:cs="Times New Roman"/>
                <w:lang w:eastAsia="hr-HR"/>
              </w:rPr>
            </w:pPr>
          </w:p>
        </w:tc>
        <w:tc>
          <w:tcPr>
            <w:tcW w:w="1977" w:type="dxa"/>
            <w:tcBorders>
              <w:top w:val="nil"/>
              <w:left w:val="nil"/>
              <w:bottom w:val="single" w:sz="4" w:space="0" w:color="auto"/>
              <w:right w:val="single" w:sz="4" w:space="0" w:color="auto"/>
            </w:tcBorders>
            <w:shd w:val="clear" w:color="000000" w:fill="FFFFFF"/>
            <w:noWrap/>
          </w:tcPr>
          <w:p w14:paraId="4F0EA83D" w14:textId="1E72C9FF" w:rsidR="009D1257" w:rsidRPr="00036C06" w:rsidRDefault="009D1257" w:rsidP="007F048D">
            <w:pPr>
              <w:spacing w:after="0" w:line="240" w:lineRule="auto"/>
              <w:jc w:val="right"/>
              <w:rPr>
                <w:rFonts w:ascii="Times New Roman" w:hAnsi="Times New Roman" w:cs="Times New Roman"/>
                <w:lang w:eastAsia="hr-HR"/>
              </w:rPr>
            </w:pPr>
            <w:r>
              <w:rPr>
                <w:rFonts w:ascii="Times New Roman" w:hAnsi="Times New Roman" w:cs="Times New Roman"/>
                <w:lang w:eastAsia="hr-HR"/>
              </w:rPr>
              <w:t>1.020,00</w:t>
            </w:r>
          </w:p>
        </w:tc>
        <w:tc>
          <w:tcPr>
            <w:tcW w:w="1938" w:type="dxa"/>
            <w:tcBorders>
              <w:top w:val="nil"/>
              <w:left w:val="nil"/>
              <w:bottom w:val="single" w:sz="4" w:space="0" w:color="auto"/>
              <w:right w:val="single" w:sz="4" w:space="0" w:color="auto"/>
            </w:tcBorders>
            <w:shd w:val="clear" w:color="000000" w:fill="FFFFFF"/>
            <w:noWrap/>
          </w:tcPr>
          <w:p w14:paraId="005905B4" w14:textId="70C0AB2B" w:rsidR="009D1257" w:rsidRPr="00036C06" w:rsidRDefault="009D1257" w:rsidP="007F048D">
            <w:pPr>
              <w:spacing w:after="0" w:line="240" w:lineRule="auto"/>
              <w:ind w:firstLineChars="100" w:firstLine="220"/>
              <w:jc w:val="right"/>
              <w:rPr>
                <w:rFonts w:ascii="Times New Roman" w:hAnsi="Times New Roman" w:cs="Times New Roman"/>
                <w:lang w:eastAsia="hr-HR"/>
              </w:rPr>
            </w:pPr>
            <w:r>
              <w:rPr>
                <w:rFonts w:ascii="Times New Roman" w:hAnsi="Times New Roman" w:cs="Times New Roman"/>
                <w:lang w:eastAsia="hr-HR"/>
              </w:rPr>
              <w:t>1.020,00</w:t>
            </w:r>
          </w:p>
        </w:tc>
        <w:tc>
          <w:tcPr>
            <w:tcW w:w="1701" w:type="dxa"/>
            <w:tcBorders>
              <w:top w:val="nil"/>
              <w:left w:val="nil"/>
              <w:bottom w:val="single" w:sz="4" w:space="0" w:color="auto"/>
              <w:right w:val="single" w:sz="4" w:space="0" w:color="auto"/>
            </w:tcBorders>
            <w:shd w:val="clear" w:color="000000" w:fill="FFFFFF"/>
            <w:noWrap/>
          </w:tcPr>
          <w:p w14:paraId="723C8030" w14:textId="7F02756A" w:rsidR="009D1257" w:rsidRPr="00036C06" w:rsidRDefault="009D1257" w:rsidP="007F048D">
            <w:pPr>
              <w:spacing w:after="0" w:line="240" w:lineRule="auto"/>
              <w:jc w:val="right"/>
              <w:rPr>
                <w:rFonts w:ascii="Times New Roman" w:hAnsi="Times New Roman" w:cs="Times New Roman"/>
                <w:lang w:eastAsia="hr-HR"/>
              </w:rPr>
            </w:pPr>
            <w:r>
              <w:rPr>
                <w:rFonts w:ascii="Times New Roman" w:hAnsi="Times New Roman" w:cs="Times New Roman"/>
                <w:lang w:eastAsia="hr-HR"/>
              </w:rPr>
              <w:t>0,00</w:t>
            </w:r>
          </w:p>
        </w:tc>
      </w:tr>
      <w:tr w:rsidR="009D1257" w:rsidRPr="00036C06" w14:paraId="36B27E6B" w14:textId="77777777" w:rsidTr="009D1257">
        <w:trPr>
          <w:trHeight w:val="288"/>
        </w:trPr>
        <w:tc>
          <w:tcPr>
            <w:tcW w:w="3222" w:type="dxa"/>
            <w:tcBorders>
              <w:top w:val="nil"/>
              <w:left w:val="single" w:sz="4" w:space="0" w:color="auto"/>
              <w:bottom w:val="single" w:sz="4" w:space="0" w:color="auto"/>
              <w:right w:val="single" w:sz="4" w:space="0" w:color="auto"/>
            </w:tcBorders>
            <w:shd w:val="clear" w:color="000000" w:fill="FFFFFF"/>
            <w:noWrap/>
          </w:tcPr>
          <w:p w14:paraId="20551958" w14:textId="1705BC22" w:rsidR="009D1257" w:rsidRPr="00036C06" w:rsidRDefault="009D1257" w:rsidP="007F048D">
            <w:pPr>
              <w:spacing w:after="0" w:line="240" w:lineRule="auto"/>
              <w:rPr>
                <w:rFonts w:ascii="Times New Roman" w:hAnsi="Times New Roman" w:cs="Times New Roman"/>
                <w:color w:val="000000"/>
                <w:lang w:eastAsia="hr-HR"/>
              </w:rPr>
            </w:pPr>
            <w:r w:rsidRPr="00036C06">
              <w:rPr>
                <w:rFonts w:ascii="Times New Roman" w:hAnsi="Times New Roman" w:cs="Times New Roman"/>
                <w:color w:val="000000"/>
                <w:lang w:eastAsia="hr-HR"/>
              </w:rPr>
              <w:t>Pomoći iz državnog proračuna</w:t>
            </w:r>
            <w:r>
              <w:rPr>
                <w:rFonts w:ascii="Times New Roman" w:hAnsi="Times New Roman" w:cs="Times New Roman"/>
                <w:color w:val="000000"/>
                <w:lang w:eastAsia="hr-HR"/>
              </w:rPr>
              <w:t xml:space="preserve"> – višak iz 2023. godine</w:t>
            </w:r>
          </w:p>
        </w:tc>
        <w:tc>
          <w:tcPr>
            <w:tcW w:w="222" w:type="dxa"/>
            <w:tcBorders>
              <w:top w:val="nil"/>
              <w:left w:val="nil"/>
              <w:bottom w:val="single" w:sz="4" w:space="0" w:color="auto"/>
              <w:right w:val="nil"/>
            </w:tcBorders>
            <w:shd w:val="clear" w:color="000000" w:fill="FFFFFF"/>
          </w:tcPr>
          <w:p w14:paraId="32FFB014" w14:textId="77777777" w:rsidR="009D1257" w:rsidRDefault="009D1257" w:rsidP="007F048D">
            <w:pPr>
              <w:spacing w:after="0" w:line="240" w:lineRule="auto"/>
              <w:jc w:val="right"/>
              <w:rPr>
                <w:rFonts w:ascii="Times New Roman" w:hAnsi="Times New Roman" w:cs="Times New Roman"/>
                <w:lang w:eastAsia="hr-HR"/>
              </w:rPr>
            </w:pPr>
          </w:p>
        </w:tc>
        <w:tc>
          <w:tcPr>
            <w:tcW w:w="1977" w:type="dxa"/>
            <w:tcBorders>
              <w:top w:val="nil"/>
              <w:left w:val="nil"/>
              <w:bottom w:val="single" w:sz="4" w:space="0" w:color="auto"/>
              <w:right w:val="single" w:sz="4" w:space="0" w:color="auto"/>
            </w:tcBorders>
            <w:shd w:val="clear" w:color="000000" w:fill="FFFFFF"/>
            <w:noWrap/>
          </w:tcPr>
          <w:p w14:paraId="7BB9FBAA" w14:textId="2C437581" w:rsidR="009D1257" w:rsidRDefault="009D1257" w:rsidP="007F048D">
            <w:pPr>
              <w:spacing w:after="0" w:line="240" w:lineRule="auto"/>
              <w:jc w:val="right"/>
              <w:rPr>
                <w:rFonts w:ascii="Times New Roman" w:hAnsi="Times New Roman" w:cs="Times New Roman"/>
                <w:lang w:eastAsia="hr-HR"/>
              </w:rPr>
            </w:pPr>
            <w:r>
              <w:rPr>
                <w:rFonts w:ascii="Times New Roman" w:hAnsi="Times New Roman" w:cs="Times New Roman"/>
                <w:lang w:eastAsia="hr-HR"/>
              </w:rPr>
              <w:t>2.568,21</w:t>
            </w:r>
          </w:p>
        </w:tc>
        <w:tc>
          <w:tcPr>
            <w:tcW w:w="1938" w:type="dxa"/>
            <w:tcBorders>
              <w:top w:val="nil"/>
              <w:left w:val="nil"/>
              <w:bottom w:val="single" w:sz="4" w:space="0" w:color="auto"/>
              <w:right w:val="single" w:sz="4" w:space="0" w:color="auto"/>
            </w:tcBorders>
            <w:shd w:val="clear" w:color="000000" w:fill="FFFFFF"/>
            <w:noWrap/>
          </w:tcPr>
          <w:p w14:paraId="28F89987" w14:textId="3B27F318" w:rsidR="009D1257" w:rsidRDefault="009D1257" w:rsidP="007F048D">
            <w:pPr>
              <w:spacing w:after="0" w:line="240" w:lineRule="auto"/>
              <w:ind w:firstLineChars="100" w:firstLine="220"/>
              <w:jc w:val="right"/>
              <w:rPr>
                <w:rFonts w:ascii="Times New Roman" w:hAnsi="Times New Roman" w:cs="Times New Roman"/>
                <w:lang w:eastAsia="hr-HR"/>
              </w:rPr>
            </w:pPr>
            <w:r>
              <w:rPr>
                <w:rFonts w:ascii="Times New Roman" w:hAnsi="Times New Roman" w:cs="Times New Roman"/>
                <w:lang w:eastAsia="hr-HR"/>
              </w:rPr>
              <w:t>2.568,21</w:t>
            </w:r>
          </w:p>
        </w:tc>
        <w:tc>
          <w:tcPr>
            <w:tcW w:w="1701" w:type="dxa"/>
            <w:tcBorders>
              <w:top w:val="nil"/>
              <w:left w:val="nil"/>
              <w:bottom w:val="single" w:sz="4" w:space="0" w:color="auto"/>
              <w:right w:val="single" w:sz="4" w:space="0" w:color="auto"/>
            </w:tcBorders>
            <w:shd w:val="clear" w:color="000000" w:fill="FFFFFF"/>
            <w:noWrap/>
          </w:tcPr>
          <w:p w14:paraId="642691C1" w14:textId="096D35DE" w:rsidR="009D1257" w:rsidRDefault="009D1257" w:rsidP="007F048D">
            <w:pPr>
              <w:spacing w:after="0" w:line="240" w:lineRule="auto"/>
              <w:jc w:val="right"/>
              <w:rPr>
                <w:rFonts w:ascii="Times New Roman" w:hAnsi="Times New Roman" w:cs="Times New Roman"/>
                <w:lang w:eastAsia="hr-HR"/>
              </w:rPr>
            </w:pPr>
            <w:r>
              <w:rPr>
                <w:rFonts w:ascii="Times New Roman" w:hAnsi="Times New Roman" w:cs="Times New Roman"/>
                <w:lang w:eastAsia="hr-HR"/>
              </w:rPr>
              <w:t>0,00</w:t>
            </w:r>
          </w:p>
        </w:tc>
      </w:tr>
      <w:tr w:rsidR="009D1257" w:rsidRPr="00036C06" w14:paraId="2D1B55EE" w14:textId="77777777" w:rsidTr="009D1257">
        <w:trPr>
          <w:trHeight w:val="288"/>
        </w:trPr>
        <w:tc>
          <w:tcPr>
            <w:tcW w:w="3222" w:type="dxa"/>
            <w:tcBorders>
              <w:top w:val="nil"/>
              <w:left w:val="single" w:sz="4" w:space="0" w:color="auto"/>
              <w:bottom w:val="single" w:sz="4" w:space="0" w:color="auto"/>
              <w:right w:val="single" w:sz="4" w:space="0" w:color="auto"/>
            </w:tcBorders>
            <w:shd w:val="clear" w:color="000000" w:fill="FFFFFF"/>
            <w:hideMark/>
          </w:tcPr>
          <w:p w14:paraId="49692740" w14:textId="77777777" w:rsidR="009D1257" w:rsidRPr="00036C06" w:rsidRDefault="009D1257" w:rsidP="007F048D">
            <w:pPr>
              <w:spacing w:after="0" w:line="240" w:lineRule="auto"/>
              <w:rPr>
                <w:rFonts w:ascii="Times New Roman" w:hAnsi="Times New Roman" w:cs="Times New Roman"/>
                <w:lang w:eastAsia="hr-HR"/>
              </w:rPr>
            </w:pPr>
            <w:r w:rsidRPr="00036C06">
              <w:rPr>
                <w:rFonts w:ascii="Times New Roman" w:hAnsi="Times New Roman" w:cs="Times New Roman"/>
                <w:lang w:eastAsia="hr-HR"/>
              </w:rPr>
              <w:t>Pomoći iz EU sredstava</w:t>
            </w:r>
          </w:p>
        </w:tc>
        <w:tc>
          <w:tcPr>
            <w:tcW w:w="222" w:type="dxa"/>
            <w:tcBorders>
              <w:top w:val="nil"/>
              <w:left w:val="nil"/>
              <w:bottom w:val="single" w:sz="4" w:space="0" w:color="auto"/>
              <w:right w:val="nil"/>
            </w:tcBorders>
            <w:shd w:val="clear" w:color="000000" w:fill="FFFFFF"/>
          </w:tcPr>
          <w:p w14:paraId="67F976A7" w14:textId="77777777" w:rsidR="009D1257" w:rsidRDefault="009D1257" w:rsidP="007F048D">
            <w:pPr>
              <w:spacing w:after="0" w:line="240" w:lineRule="auto"/>
              <w:jc w:val="right"/>
              <w:rPr>
                <w:rFonts w:ascii="Times New Roman" w:hAnsi="Times New Roman" w:cs="Times New Roman"/>
                <w:lang w:eastAsia="hr-HR"/>
              </w:rPr>
            </w:pPr>
          </w:p>
        </w:tc>
        <w:tc>
          <w:tcPr>
            <w:tcW w:w="1977" w:type="dxa"/>
            <w:tcBorders>
              <w:top w:val="nil"/>
              <w:left w:val="nil"/>
              <w:bottom w:val="single" w:sz="4" w:space="0" w:color="auto"/>
              <w:right w:val="single" w:sz="4" w:space="0" w:color="auto"/>
            </w:tcBorders>
            <w:shd w:val="clear" w:color="000000" w:fill="FFFFFF"/>
            <w:noWrap/>
          </w:tcPr>
          <w:p w14:paraId="62139E43" w14:textId="1612BD6B" w:rsidR="009D1257" w:rsidRPr="00036C06" w:rsidRDefault="009D1257" w:rsidP="007F048D">
            <w:pPr>
              <w:spacing w:after="0" w:line="240" w:lineRule="auto"/>
              <w:jc w:val="right"/>
              <w:rPr>
                <w:rFonts w:ascii="Times New Roman" w:hAnsi="Times New Roman" w:cs="Times New Roman"/>
                <w:lang w:eastAsia="hr-HR"/>
              </w:rPr>
            </w:pPr>
            <w:r>
              <w:rPr>
                <w:rFonts w:ascii="Times New Roman" w:hAnsi="Times New Roman" w:cs="Times New Roman"/>
                <w:lang w:eastAsia="hr-HR"/>
              </w:rPr>
              <w:t>5.780,00</w:t>
            </w:r>
          </w:p>
        </w:tc>
        <w:tc>
          <w:tcPr>
            <w:tcW w:w="1938" w:type="dxa"/>
            <w:tcBorders>
              <w:top w:val="nil"/>
              <w:left w:val="nil"/>
              <w:bottom w:val="single" w:sz="4" w:space="0" w:color="auto"/>
              <w:right w:val="single" w:sz="4" w:space="0" w:color="auto"/>
            </w:tcBorders>
            <w:shd w:val="clear" w:color="000000" w:fill="FFFFFF"/>
            <w:noWrap/>
          </w:tcPr>
          <w:p w14:paraId="25AB4C47" w14:textId="0A3C4552" w:rsidR="009D1257" w:rsidRPr="00036C06" w:rsidRDefault="009D1257" w:rsidP="007F048D">
            <w:pPr>
              <w:spacing w:after="0" w:line="240" w:lineRule="auto"/>
              <w:ind w:firstLineChars="100" w:firstLine="220"/>
              <w:jc w:val="right"/>
              <w:rPr>
                <w:rFonts w:ascii="Times New Roman" w:hAnsi="Times New Roman" w:cs="Times New Roman"/>
                <w:lang w:eastAsia="hr-HR"/>
              </w:rPr>
            </w:pPr>
            <w:r>
              <w:rPr>
                <w:rFonts w:ascii="Times New Roman" w:hAnsi="Times New Roman" w:cs="Times New Roman"/>
                <w:lang w:eastAsia="hr-HR"/>
              </w:rPr>
              <w:t>5.780,00</w:t>
            </w:r>
          </w:p>
        </w:tc>
        <w:tc>
          <w:tcPr>
            <w:tcW w:w="1701" w:type="dxa"/>
            <w:tcBorders>
              <w:top w:val="nil"/>
              <w:left w:val="nil"/>
              <w:bottom w:val="single" w:sz="4" w:space="0" w:color="auto"/>
              <w:right w:val="single" w:sz="4" w:space="0" w:color="auto"/>
            </w:tcBorders>
            <w:shd w:val="clear" w:color="000000" w:fill="FFFFFF"/>
            <w:noWrap/>
          </w:tcPr>
          <w:p w14:paraId="379A14C3" w14:textId="099E1AD2" w:rsidR="009D1257" w:rsidRPr="00036C06" w:rsidRDefault="009D1257" w:rsidP="007F048D">
            <w:pPr>
              <w:spacing w:after="0" w:line="240" w:lineRule="auto"/>
              <w:jc w:val="right"/>
              <w:rPr>
                <w:rFonts w:ascii="Times New Roman" w:hAnsi="Times New Roman" w:cs="Times New Roman"/>
                <w:lang w:eastAsia="hr-HR"/>
              </w:rPr>
            </w:pPr>
            <w:r>
              <w:rPr>
                <w:rFonts w:ascii="Times New Roman" w:hAnsi="Times New Roman" w:cs="Times New Roman"/>
                <w:lang w:eastAsia="hr-HR"/>
              </w:rPr>
              <w:t>0,00</w:t>
            </w:r>
          </w:p>
        </w:tc>
      </w:tr>
      <w:tr w:rsidR="009D1257" w:rsidRPr="00036C06" w14:paraId="355EE702" w14:textId="77777777" w:rsidTr="009D1257">
        <w:trPr>
          <w:trHeight w:val="288"/>
        </w:trPr>
        <w:tc>
          <w:tcPr>
            <w:tcW w:w="3222" w:type="dxa"/>
            <w:tcBorders>
              <w:top w:val="single" w:sz="4" w:space="0" w:color="auto"/>
              <w:left w:val="single" w:sz="4" w:space="0" w:color="auto"/>
              <w:bottom w:val="single" w:sz="4" w:space="0" w:color="auto"/>
              <w:right w:val="single" w:sz="4" w:space="0" w:color="auto"/>
            </w:tcBorders>
            <w:shd w:val="clear" w:color="000000" w:fill="FFFFFF"/>
          </w:tcPr>
          <w:p w14:paraId="20D950F5" w14:textId="1892D183" w:rsidR="009D1257" w:rsidRPr="00036C06" w:rsidRDefault="009D1257" w:rsidP="007F048D">
            <w:pPr>
              <w:spacing w:after="0" w:line="240" w:lineRule="auto"/>
              <w:rPr>
                <w:rFonts w:ascii="Times New Roman" w:hAnsi="Times New Roman" w:cs="Times New Roman"/>
                <w:lang w:eastAsia="hr-HR"/>
              </w:rPr>
            </w:pPr>
            <w:r w:rsidRPr="00036C06">
              <w:rPr>
                <w:rFonts w:ascii="Times New Roman" w:hAnsi="Times New Roman" w:cs="Times New Roman"/>
                <w:lang w:eastAsia="hr-HR"/>
              </w:rPr>
              <w:t>Pomoći iz EU sredstava</w:t>
            </w:r>
            <w:r>
              <w:rPr>
                <w:rFonts w:ascii="Times New Roman" w:hAnsi="Times New Roman" w:cs="Times New Roman"/>
                <w:lang w:eastAsia="hr-HR"/>
              </w:rPr>
              <w:t xml:space="preserve"> – višak iz 2023. godine</w:t>
            </w:r>
          </w:p>
        </w:tc>
        <w:tc>
          <w:tcPr>
            <w:tcW w:w="222" w:type="dxa"/>
            <w:tcBorders>
              <w:top w:val="single" w:sz="4" w:space="0" w:color="auto"/>
              <w:left w:val="nil"/>
              <w:bottom w:val="single" w:sz="4" w:space="0" w:color="auto"/>
              <w:right w:val="nil"/>
            </w:tcBorders>
            <w:shd w:val="clear" w:color="000000" w:fill="FFFFFF"/>
          </w:tcPr>
          <w:p w14:paraId="7468617E" w14:textId="77777777" w:rsidR="009D1257" w:rsidRDefault="009D1257" w:rsidP="007F048D">
            <w:pPr>
              <w:spacing w:after="0" w:line="240" w:lineRule="auto"/>
              <w:jc w:val="right"/>
              <w:rPr>
                <w:rFonts w:ascii="Times New Roman" w:hAnsi="Times New Roman" w:cs="Times New Roman"/>
                <w:lang w:eastAsia="hr-HR"/>
              </w:rPr>
            </w:pPr>
          </w:p>
        </w:tc>
        <w:tc>
          <w:tcPr>
            <w:tcW w:w="1977" w:type="dxa"/>
            <w:tcBorders>
              <w:top w:val="single" w:sz="4" w:space="0" w:color="auto"/>
              <w:left w:val="nil"/>
              <w:bottom w:val="single" w:sz="4" w:space="0" w:color="auto"/>
              <w:right w:val="single" w:sz="4" w:space="0" w:color="auto"/>
            </w:tcBorders>
            <w:shd w:val="clear" w:color="000000" w:fill="FFFFFF"/>
            <w:noWrap/>
          </w:tcPr>
          <w:p w14:paraId="4C038006" w14:textId="6849DB21" w:rsidR="009D1257" w:rsidRDefault="009D1257" w:rsidP="007F048D">
            <w:pPr>
              <w:spacing w:after="0" w:line="240" w:lineRule="auto"/>
              <w:jc w:val="right"/>
              <w:rPr>
                <w:rFonts w:ascii="Times New Roman" w:hAnsi="Times New Roman" w:cs="Times New Roman"/>
                <w:lang w:eastAsia="hr-HR"/>
              </w:rPr>
            </w:pPr>
            <w:r>
              <w:rPr>
                <w:rFonts w:ascii="Times New Roman" w:hAnsi="Times New Roman" w:cs="Times New Roman"/>
                <w:lang w:eastAsia="hr-HR"/>
              </w:rPr>
              <w:t>14.553,26</w:t>
            </w:r>
          </w:p>
        </w:tc>
        <w:tc>
          <w:tcPr>
            <w:tcW w:w="1938" w:type="dxa"/>
            <w:tcBorders>
              <w:top w:val="single" w:sz="4" w:space="0" w:color="auto"/>
              <w:left w:val="nil"/>
              <w:bottom w:val="single" w:sz="4" w:space="0" w:color="auto"/>
              <w:right w:val="single" w:sz="4" w:space="0" w:color="auto"/>
            </w:tcBorders>
            <w:shd w:val="clear" w:color="000000" w:fill="FFFFFF"/>
            <w:noWrap/>
          </w:tcPr>
          <w:p w14:paraId="3D5348C9" w14:textId="4012168C" w:rsidR="009D1257" w:rsidRDefault="009D1257" w:rsidP="007F048D">
            <w:pPr>
              <w:spacing w:after="0" w:line="240" w:lineRule="auto"/>
              <w:ind w:firstLineChars="100" w:firstLine="220"/>
              <w:jc w:val="right"/>
              <w:rPr>
                <w:rFonts w:ascii="Times New Roman" w:hAnsi="Times New Roman" w:cs="Times New Roman"/>
                <w:lang w:eastAsia="hr-HR"/>
              </w:rPr>
            </w:pPr>
            <w:r>
              <w:rPr>
                <w:rFonts w:ascii="Times New Roman" w:hAnsi="Times New Roman" w:cs="Times New Roman"/>
                <w:lang w:eastAsia="hr-HR"/>
              </w:rPr>
              <w:t>14.553,26</w:t>
            </w:r>
          </w:p>
        </w:tc>
        <w:tc>
          <w:tcPr>
            <w:tcW w:w="1701" w:type="dxa"/>
            <w:tcBorders>
              <w:top w:val="single" w:sz="4" w:space="0" w:color="auto"/>
              <w:left w:val="nil"/>
              <w:bottom w:val="single" w:sz="4" w:space="0" w:color="auto"/>
              <w:right w:val="single" w:sz="4" w:space="0" w:color="auto"/>
            </w:tcBorders>
            <w:shd w:val="clear" w:color="000000" w:fill="FFFFFF"/>
            <w:noWrap/>
          </w:tcPr>
          <w:p w14:paraId="3F1C225C" w14:textId="24A8FB38" w:rsidR="009D1257" w:rsidRDefault="009D1257" w:rsidP="007F048D">
            <w:pPr>
              <w:spacing w:after="0" w:line="240" w:lineRule="auto"/>
              <w:jc w:val="right"/>
              <w:rPr>
                <w:rFonts w:ascii="Times New Roman" w:hAnsi="Times New Roman" w:cs="Times New Roman"/>
                <w:lang w:eastAsia="hr-HR"/>
              </w:rPr>
            </w:pPr>
            <w:r>
              <w:rPr>
                <w:rFonts w:ascii="Times New Roman" w:hAnsi="Times New Roman" w:cs="Times New Roman"/>
                <w:lang w:eastAsia="hr-HR"/>
              </w:rPr>
              <w:t>0,00</w:t>
            </w:r>
          </w:p>
        </w:tc>
      </w:tr>
      <w:tr w:rsidR="009D1257" w:rsidRPr="00036C06" w14:paraId="47A8261B" w14:textId="77777777" w:rsidTr="009D1257">
        <w:trPr>
          <w:trHeight w:val="288"/>
        </w:trPr>
        <w:tc>
          <w:tcPr>
            <w:tcW w:w="3222" w:type="dxa"/>
            <w:tcBorders>
              <w:top w:val="single" w:sz="4" w:space="0" w:color="auto"/>
              <w:left w:val="single" w:sz="4" w:space="0" w:color="auto"/>
              <w:bottom w:val="single" w:sz="4" w:space="0" w:color="auto"/>
              <w:right w:val="single" w:sz="4" w:space="0" w:color="auto"/>
            </w:tcBorders>
            <w:shd w:val="clear" w:color="000000" w:fill="FFFFFF"/>
          </w:tcPr>
          <w:p w14:paraId="4B1F4A6C" w14:textId="39BDF902" w:rsidR="009D1257" w:rsidRPr="00036C06" w:rsidRDefault="009D1257" w:rsidP="007F048D">
            <w:pPr>
              <w:spacing w:after="0" w:line="240" w:lineRule="auto"/>
              <w:rPr>
                <w:rFonts w:ascii="Times New Roman" w:hAnsi="Times New Roman" w:cs="Times New Roman"/>
                <w:lang w:eastAsia="hr-HR"/>
              </w:rPr>
            </w:pPr>
            <w:r>
              <w:rPr>
                <w:rFonts w:ascii="Times New Roman" w:hAnsi="Times New Roman" w:cs="Times New Roman"/>
                <w:lang w:eastAsia="hr-HR"/>
              </w:rPr>
              <w:t>Opći prihodi i primici</w:t>
            </w:r>
          </w:p>
        </w:tc>
        <w:tc>
          <w:tcPr>
            <w:tcW w:w="222" w:type="dxa"/>
            <w:tcBorders>
              <w:top w:val="single" w:sz="4" w:space="0" w:color="auto"/>
              <w:left w:val="nil"/>
              <w:bottom w:val="single" w:sz="4" w:space="0" w:color="auto"/>
              <w:right w:val="nil"/>
            </w:tcBorders>
            <w:shd w:val="clear" w:color="000000" w:fill="FFFFFF"/>
          </w:tcPr>
          <w:p w14:paraId="057931AD" w14:textId="77777777" w:rsidR="009D1257" w:rsidRDefault="009D1257" w:rsidP="007F048D">
            <w:pPr>
              <w:spacing w:after="0" w:line="240" w:lineRule="auto"/>
              <w:jc w:val="right"/>
              <w:rPr>
                <w:rFonts w:ascii="Times New Roman" w:hAnsi="Times New Roman" w:cs="Times New Roman"/>
                <w:lang w:eastAsia="hr-HR"/>
              </w:rPr>
            </w:pPr>
          </w:p>
        </w:tc>
        <w:tc>
          <w:tcPr>
            <w:tcW w:w="1977" w:type="dxa"/>
            <w:tcBorders>
              <w:top w:val="single" w:sz="4" w:space="0" w:color="auto"/>
              <w:left w:val="nil"/>
              <w:bottom w:val="single" w:sz="4" w:space="0" w:color="auto"/>
              <w:right w:val="single" w:sz="4" w:space="0" w:color="auto"/>
            </w:tcBorders>
            <w:shd w:val="clear" w:color="000000" w:fill="FFFFFF"/>
            <w:noWrap/>
          </w:tcPr>
          <w:p w14:paraId="0A76E947" w14:textId="63711D2D" w:rsidR="009D1257" w:rsidRDefault="009D1257" w:rsidP="007F048D">
            <w:pPr>
              <w:spacing w:after="0" w:line="240" w:lineRule="auto"/>
              <w:jc w:val="right"/>
              <w:rPr>
                <w:rFonts w:ascii="Times New Roman" w:hAnsi="Times New Roman" w:cs="Times New Roman"/>
                <w:lang w:eastAsia="hr-HR"/>
              </w:rPr>
            </w:pPr>
            <w:r>
              <w:rPr>
                <w:rFonts w:ascii="Times New Roman" w:hAnsi="Times New Roman" w:cs="Times New Roman"/>
                <w:lang w:eastAsia="hr-HR"/>
              </w:rPr>
              <w:t>26.244,72</w:t>
            </w:r>
          </w:p>
        </w:tc>
        <w:tc>
          <w:tcPr>
            <w:tcW w:w="1938" w:type="dxa"/>
            <w:tcBorders>
              <w:top w:val="single" w:sz="4" w:space="0" w:color="auto"/>
              <w:left w:val="nil"/>
              <w:bottom w:val="single" w:sz="4" w:space="0" w:color="auto"/>
              <w:right w:val="single" w:sz="4" w:space="0" w:color="auto"/>
            </w:tcBorders>
            <w:shd w:val="clear" w:color="000000" w:fill="FFFFFF"/>
            <w:noWrap/>
          </w:tcPr>
          <w:p w14:paraId="0EE00CAE" w14:textId="5B594A20" w:rsidR="009D1257" w:rsidRDefault="009D1257" w:rsidP="007F048D">
            <w:pPr>
              <w:spacing w:after="0" w:line="240" w:lineRule="auto"/>
              <w:ind w:firstLineChars="100" w:firstLine="220"/>
              <w:jc w:val="right"/>
              <w:rPr>
                <w:rFonts w:ascii="Times New Roman" w:hAnsi="Times New Roman" w:cs="Times New Roman"/>
                <w:lang w:eastAsia="hr-HR"/>
              </w:rPr>
            </w:pPr>
            <w:r>
              <w:rPr>
                <w:rFonts w:ascii="Times New Roman" w:hAnsi="Times New Roman" w:cs="Times New Roman"/>
                <w:lang w:eastAsia="hr-HR"/>
              </w:rPr>
              <w:t>26.244,72</w:t>
            </w:r>
          </w:p>
        </w:tc>
        <w:tc>
          <w:tcPr>
            <w:tcW w:w="1701" w:type="dxa"/>
            <w:tcBorders>
              <w:top w:val="single" w:sz="4" w:space="0" w:color="auto"/>
              <w:left w:val="nil"/>
              <w:bottom w:val="single" w:sz="4" w:space="0" w:color="auto"/>
              <w:right w:val="single" w:sz="4" w:space="0" w:color="auto"/>
            </w:tcBorders>
            <w:shd w:val="clear" w:color="000000" w:fill="FFFFFF"/>
            <w:noWrap/>
          </w:tcPr>
          <w:p w14:paraId="4453386A" w14:textId="0E9DDB6B" w:rsidR="009D1257" w:rsidRDefault="009D1257" w:rsidP="007F048D">
            <w:pPr>
              <w:spacing w:after="0" w:line="240" w:lineRule="auto"/>
              <w:jc w:val="right"/>
              <w:rPr>
                <w:rFonts w:ascii="Times New Roman" w:hAnsi="Times New Roman" w:cs="Times New Roman"/>
                <w:lang w:eastAsia="hr-HR"/>
              </w:rPr>
            </w:pPr>
            <w:r>
              <w:rPr>
                <w:rFonts w:ascii="Times New Roman" w:hAnsi="Times New Roman" w:cs="Times New Roman"/>
                <w:lang w:eastAsia="hr-HR"/>
              </w:rPr>
              <w:t>0,00</w:t>
            </w:r>
          </w:p>
        </w:tc>
      </w:tr>
    </w:tbl>
    <w:p w14:paraId="2D625842" w14:textId="77777777" w:rsidR="00561BCA" w:rsidRDefault="00561BCA" w:rsidP="00561BCA">
      <w:pPr>
        <w:spacing w:after="0"/>
        <w:jc w:val="both"/>
        <w:rPr>
          <w:rFonts w:ascii="Times New Roman" w:hAnsi="Times New Roman" w:cs="Times New Roman"/>
        </w:rPr>
      </w:pPr>
    </w:p>
    <w:p w14:paraId="606C0199" w14:textId="48EE5CF8" w:rsidR="00177054" w:rsidRDefault="00193ED9" w:rsidP="003C25A4">
      <w:pPr>
        <w:jc w:val="both"/>
        <w:rPr>
          <w:rFonts w:ascii="Times New Roman" w:hAnsi="Times New Roman" w:cs="Times New Roman"/>
        </w:rPr>
      </w:pPr>
      <w:r>
        <w:rPr>
          <w:rFonts w:ascii="Times New Roman" w:hAnsi="Times New Roman" w:cs="Times New Roman"/>
        </w:rPr>
        <w:t>Temeljem Ugovora o dodjeli bespovratnih sredstava za projekte koji se financiraju iz Europskog socijalnog fonda plus SF.2.4.06.01.0041 „Osiguravanje pomoćnika u nastavi i stručnih komunikacijskih posrednika učenicima s teškoćama u razvoju u osnovnoškolskim i srednjoškolskim odgojno-obrazovnim ustanovama – faza VI“ sklopljenim sa Ministarstvom znanosti i obrazovanja i Agencije za strukovno obrazovanje i obrazovanje odraslih</w:t>
      </w:r>
      <w:r w:rsidR="00E76232">
        <w:rPr>
          <w:rFonts w:ascii="Times New Roman" w:hAnsi="Times New Roman" w:cs="Times New Roman"/>
        </w:rPr>
        <w:t>,</w:t>
      </w:r>
      <w:r>
        <w:rPr>
          <w:rFonts w:ascii="Times New Roman" w:hAnsi="Times New Roman" w:cs="Times New Roman"/>
        </w:rPr>
        <w:t xml:space="preserve"> Grad</w:t>
      </w:r>
      <w:r w:rsidR="00E76232">
        <w:rPr>
          <w:rFonts w:ascii="Times New Roman" w:hAnsi="Times New Roman" w:cs="Times New Roman"/>
        </w:rPr>
        <w:t>u</w:t>
      </w:r>
      <w:r>
        <w:rPr>
          <w:rFonts w:ascii="Times New Roman" w:hAnsi="Times New Roman" w:cs="Times New Roman"/>
        </w:rPr>
        <w:t xml:space="preserve"> Garešnica je </w:t>
      </w:r>
      <w:r w:rsidR="00E76232">
        <w:rPr>
          <w:rFonts w:ascii="Times New Roman" w:hAnsi="Times New Roman" w:cs="Times New Roman"/>
        </w:rPr>
        <w:t>u 202</w:t>
      </w:r>
      <w:r w:rsidR="00036C06">
        <w:rPr>
          <w:rFonts w:ascii="Times New Roman" w:hAnsi="Times New Roman" w:cs="Times New Roman"/>
        </w:rPr>
        <w:t>4</w:t>
      </w:r>
      <w:r w:rsidR="00E76232">
        <w:rPr>
          <w:rFonts w:ascii="Times New Roman" w:hAnsi="Times New Roman" w:cs="Times New Roman"/>
        </w:rPr>
        <w:t xml:space="preserve">. godini uplaćeno ukupno </w:t>
      </w:r>
      <w:r w:rsidR="00036C06">
        <w:rPr>
          <w:rFonts w:ascii="Times New Roman" w:hAnsi="Times New Roman" w:cs="Times New Roman"/>
        </w:rPr>
        <w:t>6.800,00</w:t>
      </w:r>
      <w:r w:rsidR="00E76232">
        <w:rPr>
          <w:rFonts w:ascii="Times New Roman" w:hAnsi="Times New Roman" w:cs="Times New Roman"/>
        </w:rPr>
        <w:t xml:space="preserve"> eura (</w:t>
      </w:r>
      <w:r w:rsidR="00036C06">
        <w:rPr>
          <w:rFonts w:ascii="Times New Roman" w:hAnsi="Times New Roman" w:cs="Times New Roman"/>
        </w:rPr>
        <w:t>1.020,00</w:t>
      </w:r>
      <w:r w:rsidR="00E76232">
        <w:rPr>
          <w:rFonts w:ascii="Times New Roman" w:hAnsi="Times New Roman" w:cs="Times New Roman"/>
        </w:rPr>
        <w:t xml:space="preserve"> eura pomoći iz Državnog proračuna 15% i </w:t>
      </w:r>
      <w:r w:rsidR="00036C06">
        <w:rPr>
          <w:rFonts w:ascii="Times New Roman" w:hAnsi="Times New Roman" w:cs="Times New Roman"/>
        </w:rPr>
        <w:t>5.780,00</w:t>
      </w:r>
      <w:r w:rsidR="00E76232">
        <w:rPr>
          <w:rFonts w:ascii="Times New Roman" w:hAnsi="Times New Roman" w:cs="Times New Roman"/>
        </w:rPr>
        <w:t xml:space="preserve"> eura pomoći iz EU sredstava 85%)  za </w:t>
      </w:r>
      <w:r w:rsidR="00FC2F20">
        <w:rPr>
          <w:rFonts w:ascii="Times New Roman" w:hAnsi="Times New Roman" w:cs="Times New Roman"/>
        </w:rPr>
        <w:t xml:space="preserve">realizirane troškove </w:t>
      </w:r>
      <w:r w:rsidR="00E76232">
        <w:rPr>
          <w:rFonts w:ascii="Times New Roman" w:hAnsi="Times New Roman" w:cs="Times New Roman"/>
        </w:rPr>
        <w:t>projekt</w:t>
      </w:r>
      <w:r w:rsidR="00FC2F20">
        <w:rPr>
          <w:rFonts w:ascii="Times New Roman" w:hAnsi="Times New Roman" w:cs="Times New Roman"/>
        </w:rPr>
        <w:t>a</w:t>
      </w:r>
      <w:r w:rsidR="00E76232">
        <w:rPr>
          <w:rFonts w:ascii="Times New Roman" w:hAnsi="Times New Roman" w:cs="Times New Roman"/>
        </w:rPr>
        <w:t xml:space="preserve"> koji se provodi u školsko</w:t>
      </w:r>
      <w:r w:rsidR="00B95AC0">
        <w:rPr>
          <w:rFonts w:ascii="Times New Roman" w:hAnsi="Times New Roman" w:cs="Times New Roman"/>
        </w:rPr>
        <w:t>j</w:t>
      </w:r>
      <w:r w:rsidR="00E76232">
        <w:rPr>
          <w:rFonts w:ascii="Times New Roman" w:hAnsi="Times New Roman" w:cs="Times New Roman"/>
        </w:rPr>
        <w:t xml:space="preserve"> 2023/2024. godini. </w:t>
      </w:r>
      <w:r w:rsidR="00561BCA">
        <w:rPr>
          <w:rFonts w:ascii="Times New Roman" w:hAnsi="Times New Roman" w:cs="Times New Roman"/>
        </w:rPr>
        <w:t xml:space="preserve">Troškovi projekta planirani su kod korisnika Osnovne škole Garešnica. </w:t>
      </w:r>
      <w:r w:rsidR="00FC2F20">
        <w:rPr>
          <w:rFonts w:ascii="Times New Roman" w:hAnsi="Times New Roman" w:cs="Times New Roman"/>
        </w:rPr>
        <w:t>Projekt je završio u lipnju 2024. godine</w:t>
      </w:r>
      <w:r w:rsidR="00561BCA">
        <w:rPr>
          <w:rFonts w:ascii="Times New Roman" w:hAnsi="Times New Roman" w:cs="Times New Roman"/>
        </w:rPr>
        <w:t>.</w:t>
      </w:r>
    </w:p>
    <w:p w14:paraId="41026B1F" w14:textId="64E5E64F" w:rsidR="00561BCA" w:rsidRDefault="00561BCA" w:rsidP="003C25A4">
      <w:pPr>
        <w:jc w:val="both"/>
        <w:rPr>
          <w:rFonts w:ascii="Times New Roman" w:hAnsi="Times New Roman" w:cs="Times New Roman"/>
        </w:rPr>
      </w:pPr>
      <w:r>
        <w:rPr>
          <w:rFonts w:ascii="Times New Roman" w:hAnsi="Times New Roman" w:cs="Times New Roman"/>
        </w:rPr>
        <w:t>Sredstva su utrošena na plaće, naknade za prijevoz i službena putovanja zaposlenih.</w:t>
      </w:r>
    </w:p>
    <w:p w14:paraId="593D35F8" w14:textId="77777777" w:rsidR="009D1257" w:rsidRDefault="009D1257" w:rsidP="003C25A4">
      <w:pPr>
        <w:jc w:val="both"/>
        <w:rPr>
          <w:rFonts w:ascii="Times New Roman" w:hAnsi="Times New Roman" w:cs="Times New Roman"/>
        </w:rPr>
      </w:pPr>
    </w:p>
    <w:p w14:paraId="58598DE6" w14:textId="1983833F" w:rsidR="00561BCA" w:rsidRPr="009D1257" w:rsidRDefault="009D1257" w:rsidP="009D1257">
      <w:pPr>
        <w:jc w:val="both"/>
        <w:rPr>
          <w:rFonts w:ascii="Times New Roman" w:hAnsi="Times New Roman" w:cs="Times New Roman"/>
          <w:u w:val="single"/>
        </w:rPr>
      </w:pPr>
      <w:r w:rsidRPr="009D1257">
        <w:rPr>
          <w:rFonts w:ascii="Times New Roman" w:hAnsi="Times New Roman" w:cs="Times New Roman"/>
          <w:u w:val="single"/>
        </w:rPr>
        <w:t xml:space="preserve">- </w:t>
      </w:r>
      <w:r w:rsidR="00561BCA" w:rsidRPr="009D1257">
        <w:rPr>
          <w:rFonts w:ascii="Times New Roman" w:hAnsi="Times New Roman" w:cs="Times New Roman"/>
          <w:u w:val="single"/>
        </w:rPr>
        <w:t>Tekući projekt 1020</w:t>
      </w:r>
      <w:r w:rsidR="00D1261D">
        <w:rPr>
          <w:rFonts w:ascii="Times New Roman" w:hAnsi="Times New Roman" w:cs="Times New Roman"/>
          <w:u w:val="single"/>
        </w:rPr>
        <w:t>10</w:t>
      </w:r>
      <w:r w:rsidR="00561BCA" w:rsidRPr="009D1257">
        <w:rPr>
          <w:rFonts w:ascii="Times New Roman" w:hAnsi="Times New Roman" w:cs="Times New Roman"/>
          <w:u w:val="single"/>
        </w:rPr>
        <w:t xml:space="preserve"> „Pomoćnici u nastavi – faza </w:t>
      </w:r>
      <w:r w:rsidRPr="009D1257">
        <w:rPr>
          <w:rFonts w:ascii="Times New Roman" w:hAnsi="Times New Roman" w:cs="Times New Roman"/>
          <w:u w:val="single"/>
        </w:rPr>
        <w:t xml:space="preserve"> VII</w:t>
      </w:r>
      <w:r w:rsidR="00561BCA" w:rsidRPr="009D1257">
        <w:rPr>
          <w:rFonts w:ascii="Times New Roman" w:hAnsi="Times New Roman" w:cs="Times New Roman"/>
          <w:u w:val="single"/>
        </w:rPr>
        <w:t>“ – Proračunski korisnik Osnovna škola Garešnica</w:t>
      </w:r>
      <w:r w:rsidRPr="009D1257">
        <w:rPr>
          <w:rFonts w:ascii="Times New Roman" w:hAnsi="Times New Roman" w:cs="Times New Roman"/>
          <w:u w:val="single"/>
        </w:rPr>
        <w:t xml:space="preserve"> i Osnovna škola </w:t>
      </w:r>
      <w:proofErr w:type="spellStart"/>
      <w:r w:rsidRPr="009D1257">
        <w:rPr>
          <w:rFonts w:ascii="Times New Roman" w:hAnsi="Times New Roman" w:cs="Times New Roman"/>
          <w:u w:val="single"/>
        </w:rPr>
        <w:t>Trnovitički</w:t>
      </w:r>
      <w:proofErr w:type="spellEnd"/>
      <w:r w:rsidRPr="009D1257">
        <w:rPr>
          <w:rFonts w:ascii="Times New Roman" w:hAnsi="Times New Roman" w:cs="Times New Roman"/>
          <w:u w:val="single"/>
        </w:rPr>
        <w:t xml:space="preserve"> Popovac</w:t>
      </w:r>
    </w:p>
    <w:tbl>
      <w:tblPr>
        <w:tblW w:w="8940" w:type="dxa"/>
        <w:tblLook w:val="04A0" w:firstRow="1" w:lastRow="0" w:firstColumn="1" w:lastColumn="0" w:noHBand="0" w:noVBand="1"/>
      </w:tblPr>
      <w:tblGrid>
        <w:gridCol w:w="3260"/>
        <w:gridCol w:w="2000"/>
        <w:gridCol w:w="1960"/>
        <w:gridCol w:w="1720"/>
      </w:tblGrid>
      <w:tr w:rsidR="00561BCA" w:rsidRPr="00036C06" w14:paraId="5D334E72" w14:textId="77777777" w:rsidTr="007F048D">
        <w:trPr>
          <w:trHeight w:val="576"/>
        </w:trPr>
        <w:tc>
          <w:tcPr>
            <w:tcW w:w="3260"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7EA59E53" w14:textId="2ADFE313" w:rsidR="00561BCA" w:rsidRPr="00036C06" w:rsidRDefault="00561BCA" w:rsidP="007F048D">
            <w:pPr>
              <w:spacing w:after="0" w:line="240" w:lineRule="auto"/>
              <w:jc w:val="center"/>
              <w:rPr>
                <w:rFonts w:ascii="Times New Roman" w:hAnsi="Times New Roman" w:cs="Times New Roman"/>
                <w:color w:val="FFFFFF"/>
                <w:lang w:eastAsia="hr-HR"/>
              </w:rPr>
            </w:pPr>
            <w:r w:rsidRPr="00036C06">
              <w:rPr>
                <w:rFonts w:ascii="Times New Roman" w:hAnsi="Times New Roman" w:cs="Times New Roman"/>
                <w:color w:val="FFFFFF"/>
                <w:lang w:eastAsia="hr-HR"/>
              </w:rPr>
              <w:t>Projekt</w:t>
            </w:r>
          </w:p>
        </w:tc>
        <w:tc>
          <w:tcPr>
            <w:tcW w:w="2000" w:type="dxa"/>
            <w:tcBorders>
              <w:top w:val="single" w:sz="4" w:space="0" w:color="auto"/>
              <w:left w:val="nil"/>
              <w:bottom w:val="single" w:sz="4" w:space="0" w:color="auto"/>
              <w:right w:val="single" w:sz="4" w:space="0" w:color="auto"/>
            </w:tcBorders>
            <w:shd w:val="clear" w:color="000000" w:fill="002060"/>
            <w:vAlign w:val="center"/>
            <w:hideMark/>
          </w:tcPr>
          <w:p w14:paraId="32B7CAF7" w14:textId="77777777" w:rsidR="00561BCA" w:rsidRPr="00036C06" w:rsidRDefault="00561BCA" w:rsidP="007F048D">
            <w:pPr>
              <w:spacing w:after="0" w:line="240" w:lineRule="auto"/>
              <w:jc w:val="center"/>
              <w:rPr>
                <w:rFonts w:ascii="Times New Roman" w:hAnsi="Times New Roman" w:cs="Times New Roman"/>
                <w:color w:val="FFFFFF"/>
                <w:lang w:eastAsia="hr-HR"/>
              </w:rPr>
            </w:pPr>
            <w:r>
              <w:rPr>
                <w:rFonts w:ascii="Times New Roman" w:hAnsi="Times New Roman" w:cs="Times New Roman"/>
                <w:color w:val="FFFFFF"/>
                <w:lang w:eastAsia="hr-HR"/>
              </w:rPr>
              <w:t>Izvor</w:t>
            </w:r>
          </w:p>
        </w:tc>
        <w:tc>
          <w:tcPr>
            <w:tcW w:w="1960" w:type="dxa"/>
            <w:tcBorders>
              <w:top w:val="single" w:sz="4" w:space="0" w:color="auto"/>
              <w:left w:val="nil"/>
              <w:bottom w:val="single" w:sz="4" w:space="0" w:color="auto"/>
              <w:right w:val="single" w:sz="4" w:space="0" w:color="auto"/>
            </w:tcBorders>
            <w:shd w:val="clear" w:color="000000" w:fill="002060"/>
            <w:vAlign w:val="center"/>
            <w:hideMark/>
          </w:tcPr>
          <w:p w14:paraId="4FF24676" w14:textId="77777777" w:rsidR="00561BCA" w:rsidRPr="00036C06" w:rsidRDefault="00561BCA" w:rsidP="007F048D">
            <w:pPr>
              <w:spacing w:after="0" w:line="240" w:lineRule="auto"/>
              <w:jc w:val="center"/>
              <w:rPr>
                <w:rFonts w:ascii="Times New Roman" w:hAnsi="Times New Roman" w:cs="Times New Roman"/>
                <w:color w:val="FFFFFF"/>
                <w:lang w:eastAsia="hr-HR"/>
              </w:rPr>
            </w:pPr>
            <w:r w:rsidRPr="00036C06">
              <w:rPr>
                <w:rFonts w:ascii="Times New Roman" w:hAnsi="Times New Roman" w:cs="Times New Roman"/>
                <w:color w:val="FFFFFF"/>
                <w:lang w:eastAsia="hr-HR"/>
              </w:rPr>
              <w:t>Izvršenje rashoda</w:t>
            </w:r>
          </w:p>
        </w:tc>
        <w:tc>
          <w:tcPr>
            <w:tcW w:w="1720" w:type="dxa"/>
            <w:tcBorders>
              <w:top w:val="single" w:sz="4" w:space="0" w:color="auto"/>
              <w:left w:val="nil"/>
              <w:bottom w:val="single" w:sz="4" w:space="0" w:color="auto"/>
              <w:right w:val="single" w:sz="4" w:space="0" w:color="auto"/>
            </w:tcBorders>
            <w:shd w:val="clear" w:color="000000" w:fill="002060"/>
            <w:vAlign w:val="center"/>
            <w:hideMark/>
          </w:tcPr>
          <w:p w14:paraId="1C8609D1" w14:textId="77777777" w:rsidR="00561BCA" w:rsidRPr="00036C06" w:rsidRDefault="00561BCA" w:rsidP="007F048D">
            <w:pPr>
              <w:spacing w:after="0" w:line="240" w:lineRule="auto"/>
              <w:jc w:val="center"/>
              <w:rPr>
                <w:rFonts w:ascii="Times New Roman" w:hAnsi="Times New Roman" w:cs="Times New Roman"/>
                <w:color w:val="FFFFFF"/>
                <w:lang w:eastAsia="hr-HR"/>
              </w:rPr>
            </w:pPr>
            <w:r w:rsidRPr="00036C06">
              <w:rPr>
                <w:rFonts w:ascii="Times New Roman" w:hAnsi="Times New Roman" w:cs="Times New Roman"/>
                <w:color w:val="FFFFFF"/>
                <w:lang w:eastAsia="hr-HR"/>
              </w:rPr>
              <w:t>višak/ manjak u €</w:t>
            </w:r>
          </w:p>
        </w:tc>
      </w:tr>
      <w:tr w:rsidR="00561BCA" w:rsidRPr="00036C06" w14:paraId="4F0F974F" w14:textId="77777777" w:rsidTr="007F048D">
        <w:trPr>
          <w:trHeight w:val="288"/>
        </w:trPr>
        <w:tc>
          <w:tcPr>
            <w:tcW w:w="3260" w:type="dxa"/>
            <w:tcBorders>
              <w:top w:val="nil"/>
              <w:left w:val="single" w:sz="4" w:space="0" w:color="auto"/>
              <w:bottom w:val="single" w:sz="4" w:space="0" w:color="auto"/>
              <w:right w:val="single" w:sz="4" w:space="0" w:color="auto"/>
            </w:tcBorders>
            <w:shd w:val="clear" w:color="auto" w:fill="B8CCE4" w:themeFill="accent1" w:themeFillTint="66"/>
            <w:noWrap/>
          </w:tcPr>
          <w:p w14:paraId="14555C1C" w14:textId="5D7256C2" w:rsidR="00561BCA" w:rsidRPr="00036C06" w:rsidRDefault="00561BCA" w:rsidP="007F048D">
            <w:pPr>
              <w:spacing w:after="0" w:line="240" w:lineRule="auto"/>
              <w:rPr>
                <w:rFonts w:ascii="Times New Roman" w:hAnsi="Times New Roman" w:cs="Times New Roman"/>
                <w:i/>
                <w:iCs/>
                <w:lang w:eastAsia="hr-HR"/>
              </w:rPr>
            </w:pPr>
            <w:r w:rsidRPr="00036C06">
              <w:rPr>
                <w:rFonts w:ascii="Times New Roman" w:hAnsi="Times New Roman" w:cs="Times New Roman"/>
              </w:rPr>
              <w:t xml:space="preserve">„Pomoćnici u nastavi – faza </w:t>
            </w:r>
            <w:r w:rsidR="009D1257">
              <w:rPr>
                <w:rFonts w:ascii="Times New Roman" w:hAnsi="Times New Roman" w:cs="Times New Roman"/>
              </w:rPr>
              <w:t>VII</w:t>
            </w:r>
            <w:r w:rsidRPr="00036C06">
              <w:rPr>
                <w:rFonts w:ascii="Times New Roman" w:hAnsi="Times New Roman" w:cs="Times New Roman"/>
              </w:rPr>
              <w:t>“</w:t>
            </w:r>
          </w:p>
        </w:tc>
        <w:tc>
          <w:tcPr>
            <w:tcW w:w="2000" w:type="dxa"/>
            <w:tcBorders>
              <w:top w:val="nil"/>
              <w:left w:val="nil"/>
              <w:bottom w:val="single" w:sz="4" w:space="0" w:color="auto"/>
              <w:right w:val="single" w:sz="4" w:space="0" w:color="auto"/>
            </w:tcBorders>
            <w:shd w:val="clear" w:color="auto" w:fill="B8CCE4" w:themeFill="accent1" w:themeFillTint="66"/>
            <w:noWrap/>
            <w:vAlign w:val="bottom"/>
          </w:tcPr>
          <w:p w14:paraId="29BB58D8" w14:textId="040BC684" w:rsidR="00561BCA" w:rsidRPr="00036C06" w:rsidRDefault="00E90040" w:rsidP="007F048D">
            <w:pPr>
              <w:spacing w:after="0" w:line="240" w:lineRule="auto"/>
              <w:jc w:val="right"/>
              <w:rPr>
                <w:rFonts w:ascii="Times New Roman" w:hAnsi="Times New Roman" w:cs="Times New Roman"/>
                <w:color w:val="000000"/>
                <w:lang w:eastAsia="hr-HR"/>
              </w:rPr>
            </w:pPr>
            <w:r>
              <w:rPr>
                <w:rFonts w:ascii="Times New Roman" w:hAnsi="Times New Roman" w:cs="Times New Roman"/>
                <w:color w:val="000000"/>
                <w:lang w:eastAsia="hr-HR"/>
              </w:rPr>
              <w:t>16.499,59</w:t>
            </w:r>
          </w:p>
        </w:tc>
        <w:tc>
          <w:tcPr>
            <w:tcW w:w="1960" w:type="dxa"/>
            <w:tcBorders>
              <w:top w:val="nil"/>
              <w:left w:val="nil"/>
              <w:bottom w:val="single" w:sz="4" w:space="0" w:color="auto"/>
              <w:right w:val="single" w:sz="4" w:space="0" w:color="auto"/>
            </w:tcBorders>
            <w:shd w:val="clear" w:color="auto" w:fill="B8CCE4" w:themeFill="accent1" w:themeFillTint="66"/>
            <w:noWrap/>
            <w:vAlign w:val="bottom"/>
          </w:tcPr>
          <w:p w14:paraId="134C1290" w14:textId="6E56E980" w:rsidR="00561BCA" w:rsidRPr="00036C06" w:rsidRDefault="00E90040" w:rsidP="007F048D">
            <w:pPr>
              <w:spacing w:after="0" w:line="240" w:lineRule="auto"/>
              <w:jc w:val="right"/>
              <w:rPr>
                <w:rFonts w:ascii="Times New Roman" w:hAnsi="Times New Roman" w:cs="Times New Roman"/>
                <w:color w:val="000000"/>
                <w:lang w:eastAsia="hr-HR"/>
              </w:rPr>
            </w:pPr>
            <w:r>
              <w:rPr>
                <w:rFonts w:ascii="Times New Roman" w:hAnsi="Times New Roman" w:cs="Times New Roman"/>
                <w:color w:val="000000"/>
                <w:lang w:eastAsia="hr-HR"/>
              </w:rPr>
              <w:t>32.581,06</w:t>
            </w:r>
          </w:p>
        </w:tc>
        <w:tc>
          <w:tcPr>
            <w:tcW w:w="1720" w:type="dxa"/>
            <w:tcBorders>
              <w:top w:val="nil"/>
              <w:left w:val="nil"/>
              <w:bottom w:val="single" w:sz="4" w:space="0" w:color="auto"/>
              <w:right w:val="single" w:sz="4" w:space="0" w:color="auto"/>
            </w:tcBorders>
            <w:shd w:val="clear" w:color="auto" w:fill="B8CCE4" w:themeFill="accent1" w:themeFillTint="66"/>
            <w:noWrap/>
            <w:vAlign w:val="bottom"/>
          </w:tcPr>
          <w:p w14:paraId="6870EBB6" w14:textId="22252F67" w:rsidR="00561BCA" w:rsidRPr="00036C06" w:rsidRDefault="00E90040" w:rsidP="007F048D">
            <w:pPr>
              <w:spacing w:after="0" w:line="240" w:lineRule="auto"/>
              <w:jc w:val="right"/>
              <w:rPr>
                <w:rFonts w:ascii="Times New Roman" w:hAnsi="Times New Roman" w:cs="Times New Roman"/>
                <w:color w:val="000000"/>
                <w:lang w:eastAsia="hr-HR"/>
              </w:rPr>
            </w:pPr>
            <w:r>
              <w:rPr>
                <w:rFonts w:ascii="Times New Roman" w:hAnsi="Times New Roman" w:cs="Times New Roman"/>
                <w:color w:val="000000"/>
                <w:lang w:eastAsia="hr-HR"/>
              </w:rPr>
              <w:t>-16.081,47</w:t>
            </w:r>
          </w:p>
        </w:tc>
      </w:tr>
      <w:tr w:rsidR="00561BCA" w:rsidRPr="00036C06" w14:paraId="59495A6A" w14:textId="77777777" w:rsidTr="007F048D">
        <w:trPr>
          <w:trHeight w:val="288"/>
        </w:trPr>
        <w:tc>
          <w:tcPr>
            <w:tcW w:w="3260" w:type="dxa"/>
            <w:tcBorders>
              <w:top w:val="nil"/>
              <w:left w:val="single" w:sz="4" w:space="0" w:color="auto"/>
              <w:bottom w:val="single" w:sz="4" w:space="0" w:color="auto"/>
              <w:right w:val="single" w:sz="4" w:space="0" w:color="auto"/>
            </w:tcBorders>
            <w:shd w:val="clear" w:color="000000" w:fill="FFFFFF"/>
            <w:noWrap/>
            <w:hideMark/>
          </w:tcPr>
          <w:p w14:paraId="242C84A6" w14:textId="77777777" w:rsidR="00561BCA" w:rsidRPr="00036C06" w:rsidRDefault="00561BCA" w:rsidP="007F048D">
            <w:pPr>
              <w:spacing w:after="0" w:line="240" w:lineRule="auto"/>
              <w:rPr>
                <w:rFonts w:ascii="Times New Roman" w:hAnsi="Times New Roman" w:cs="Times New Roman"/>
                <w:color w:val="000000"/>
                <w:lang w:eastAsia="hr-HR"/>
              </w:rPr>
            </w:pPr>
            <w:r w:rsidRPr="00036C06">
              <w:rPr>
                <w:rFonts w:ascii="Times New Roman" w:hAnsi="Times New Roman" w:cs="Times New Roman"/>
                <w:color w:val="000000"/>
                <w:lang w:eastAsia="hr-HR"/>
              </w:rPr>
              <w:t>Pomoći iz državnog proračuna</w:t>
            </w:r>
          </w:p>
        </w:tc>
        <w:tc>
          <w:tcPr>
            <w:tcW w:w="2000" w:type="dxa"/>
            <w:tcBorders>
              <w:top w:val="nil"/>
              <w:left w:val="nil"/>
              <w:bottom w:val="single" w:sz="4" w:space="0" w:color="auto"/>
              <w:right w:val="single" w:sz="4" w:space="0" w:color="auto"/>
            </w:tcBorders>
            <w:shd w:val="clear" w:color="000000" w:fill="FFFFFF"/>
            <w:noWrap/>
          </w:tcPr>
          <w:p w14:paraId="5AE98AB4" w14:textId="29350F7C" w:rsidR="00561BCA" w:rsidRPr="00036C06" w:rsidRDefault="00E90040" w:rsidP="007F048D">
            <w:pPr>
              <w:spacing w:after="0" w:line="240" w:lineRule="auto"/>
              <w:jc w:val="right"/>
              <w:rPr>
                <w:rFonts w:ascii="Times New Roman" w:hAnsi="Times New Roman" w:cs="Times New Roman"/>
                <w:lang w:eastAsia="hr-HR"/>
              </w:rPr>
            </w:pPr>
            <w:r>
              <w:rPr>
                <w:rFonts w:ascii="Times New Roman" w:hAnsi="Times New Roman" w:cs="Times New Roman"/>
                <w:lang w:eastAsia="hr-HR"/>
              </w:rPr>
              <w:t>0,00</w:t>
            </w:r>
          </w:p>
        </w:tc>
        <w:tc>
          <w:tcPr>
            <w:tcW w:w="1960" w:type="dxa"/>
            <w:tcBorders>
              <w:top w:val="nil"/>
              <w:left w:val="nil"/>
              <w:bottom w:val="single" w:sz="4" w:space="0" w:color="auto"/>
              <w:right w:val="single" w:sz="4" w:space="0" w:color="auto"/>
            </w:tcBorders>
            <w:shd w:val="clear" w:color="000000" w:fill="FFFFFF"/>
            <w:noWrap/>
          </w:tcPr>
          <w:p w14:paraId="4C7AF049" w14:textId="604A57A1" w:rsidR="00561BCA" w:rsidRPr="00036C06" w:rsidRDefault="00E90040" w:rsidP="007F048D">
            <w:pPr>
              <w:spacing w:after="0" w:line="240" w:lineRule="auto"/>
              <w:ind w:firstLineChars="100" w:firstLine="220"/>
              <w:jc w:val="right"/>
              <w:rPr>
                <w:rFonts w:ascii="Times New Roman" w:hAnsi="Times New Roman" w:cs="Times New Roman"/>
                <w:lang w:eastAsia="hr-HR"/>
              </w:rPr>
            </w:pPr>
            <w:r>
              <w:rPr>
                <w:rFonts w:ascii="Times New Roman" w:hAnsi="Times New Roman" w:cs="Times New Roman"/>
                <w:lang w:eastAsia="hr-HR"/>
              </w:rPr>
              <w:t>2.412,22</w:t>
            </w:r>
          </w:p>
        </w:tc>
        <w:tc>
          <w:tcPr>
            <w:tcW w:w="1720" w:type="dxa"/>
            <w:tcBorders>
              <w:top w:val="nil"/>
              <w:left w:val="nil"/>
              <w:bottom w:val="single" w:sz="4" w:space="0" w:color="auto"/>
              <w:right w:val="single" w:sz="4" w:space="0" w:color="auto"/>
            </w:tcBorders>
            <w:shd w:val="clear" w:color="000000" w:fill="FFFFFF"/>
            <w:noWrap/>
          </w:tcPr>
          <w:p w14:paraId="2360F2A5" w14:textId="786FADFD" w:rsidR="00561BCA" w:rsidRPr="00036C06" w:rsidRDefault="00E90040" w:rsidP="007F048D">
            <w:pPr>
              <w:spacing w:after="0" w:line="240" w:lineRule="auto"/>
              <w:jc w:val="right"/>
              <w:rPr>
                <w:rFonts w:ascii="Times New Roman" w:hAnsi="Times New Roman" w:cs="Times New Roman"/>
                <w:lang w:eastAsia="hr-HR"/>
              </w:rPr>
            </w:pPr>
            <w:r>
              <w:rPr>
                <w:rFonts w:ascii="Times New Roman" w:hAnsi="Times New Roman" w:cs="Times New Roman"/>
                <w:lang w:eastAsia="hr-HR"/>
              </w:rPr>
              <w:t>-2.412,22</w:t>
            </w:r>
          </w:p>
        </w:tc>
      </w:tr>
      <w:tr w:rsidR="00561BCA" w:rsidRPr="00036C06" w14:paraId="69504BE4" w14:textId="77777777" w:rsidTr="007F048D">
        <w:trPr>
          <w:trHeight w:val="288"/>
        </w:trPr>
        <w:tc>
          <w:tcPr>
            <w:tcW w:w="3260" w:type="dxa"/>
            <w:tcBorders>
              <w:top w:val="nil"/>
              <w:left w:val="single" w:sz="4" w:space="0" w:color="auto"/>
              <w:bottom w:val="single" w:sz="4" w:space="0" w:color="auto"/>
              <w:right w:val="single" w:sz="4" w:space="0" w:color="auto"/>
            </w:tcBorders>
            <w:shd w:val="clear" w:color="000000" w:fill="FFFFFF"/>
            <w:hideMark/>
          </w:tcPr>
          <w:p w14:paraId="6824D813" w14:textId="77777777" w:rsidR="00561BCA" w:rsidRPr="00036C06" w:rsidRDefault="00561BCA" w:rsidP="007F048D">
            <w:pPr>
              <w:spacing w:after="0" w:line="240" w:lineRule="auto"/>
              <w:rPr>
                <w:rFonts w:ascii="Times New Roman" w:hAnsi="Times New Roman" w:cs="Times New Roman"/>
                <w:lang w:eastAsia="hr-HR"/>
              </w:rPr>
            </w:pPr>
            <w:r w:rsidRPr="00036C06">
              <w:rPr>
                <w:rFonts w:ascii="Times New Roman" w:hAnsi="Times New Roman" w:cs="Times New Roman"/>
                <w:lang w:eastAsia="hr-HR"/>
              </w:rPr>
              <w:t>Pomoći iz EU sredstava</w:t>
            </w:r>
          </w:p>
        </w:tc>
        <w:tc>
          <w:tcPr>
            <w:tcW w:w="2000" w:type="dxa"/>
            <w:tcBorders>
              <w:top w:val="nil"/>
              <w:left w:val="nil"/>
              <w:bottom w:val="single" w:sz="4" w:space="0" w:color="auto"/>
              <w:right w:val="single" w:sz="4" w:space="0" w:color="auto"/>
            </w:tcBorders>
            <w:shd w:val="clear" w:color="000000" w:fill="FFFFFF"/>
            <w:noWrap/>
          </w:tcPr>
          <w:p w14:paraId="68823A79" w14:textId="49BAD870" w:rsidR="00561BCA" w:rsidRPr="00036C06" w:rsidRDefault="00E90040" w:rsidP="007F048D">
            <w:pPr>
              <w:spacing w:after="0" w:line="240" w:lineRule="auto"/>
              <w:jc w:val="right"/>
              <w:rPr>
                <w:rFonts w:ascii="Times New Roman" w:hAnsi="Times New Roman" w:cs="Times New Roman"/>
                <w:lang w:eastAsia="hr-HR"/>
              </w:rPr>
            </w:pPr>
            <w:r>
              <w:rPr>
                <w:rFonts w:ascii="Times New Roman" w:hAnsi="Times New Roman" w:cs="Times New Roman"/>
                <w:lang w:eastAsia="hr-HR"/>
              </w:rPr>
              <w:t>0,00</w:t>
            </w:r>
          </w:p>
        </w:tc>
        <w:tc>
          <w:tcPr>
            <w:tcW w:w="1960" w:type="dxa"/>
            <w:tcBorders>
              <w:top w:val="nil"/>
              <w:left w:val="nil"/>
              <w:bottom w:val="single" w:sz="4" w:space="0" w:color="auto"/>
              <w:right w:val="single" w:sz="4" w:space="0" w:color="auto"/>
            </w:tcBorders>
            <w:shd w:val="clear" w:color="000000" w:fill="FFFFFF"/>
            <w:noWrap/>
          </w:tcPr>
          <w:p w14:paraId="670A3189" w14:textId="3CEB2D75" w:rsidR="00561BCA" w:rsidRPr="00036C06" w:rsidRDefault="00E90040" w:rsidP="007F048D">
            <w:pPr>
              <w:spacing w:after="0" w:line="240" w:lineRule="auto"/>
              <w:ind w:firstLineChars="100" w:firstLine="220"/>
              <w:jc w:val="right"/>
              <w:rPr>
                <w:rFonts w:ascii="Times New Roman" w:hAnsi="Times New Roman" w:cs="Times New Roman"/>
                <w:lang w:eastAsia="hr-HR"/>
              </w:rPr>
            </w:pPr>
            <w:r>
              <w:rPr>
                <w:rFonts w:ascii="Times New Roman" w:hAnsi="Times New Roman" w:cs="Times New Roman"/>
                <w:lang w:eastAsia="hr-HR"/>
              </w:rPr>
              <w:t>13.669,25</w:t>
            </w:r>
          </w:p>
        </w:tc>
        <w:tc>
          <w:tcPr>
            <w:tcW w:w="1720" w:type="dxa"/>
            <w:tcBorders>
              <w:top w:val="nil"/>
              <w:left w:val="nil"/>
              <w:bottom w:val="single" w:sz="4" w:space="0" w:color="auto"/>
              <w:right w:val="single" w:sz="4" w:space="0" w:color="auto"/>
            </w:tcBorders>
            <w:shd w:val="clear" w:color="000000" w:fill="FFFFFF"/>
            <w:noWrap/>
          </w:tcPr>
          <w:p w14:paraId="0D1B3F19" w14:textId="0C7D8F1E" w:rsidR="00561BCA" w:rsidRPr="00036C06" w:rsidRDefault="00E90040" w:rsidP="00E90040">
            <w:pPr>
              <w:spacing w:after="0" w:line="240" w:lineRule="auto"/>
              <w:jc w:val="right"/>
              <w:rPr>
                <w:rFonts w:ascii="Times New Roman" w:hAnsi="Times New Roman" w:cs="Times New Roman"/>
                <w:lang w:eastAsia="hr-HR"/>
              </w:rPr>
            </w:pPr>
            <w:r>
              <w:rPr>
                <w:rFonts w:ascii="Times New Roman" w:hAnsi="Times New Roman" w:cs="Times New Roman"/>
                <w:lang w:eastAsia="hr-HR"/>
              </w:rPr>
              <w:t>-13.669,25</w:t>
            </w:r>
          </w:p>
        </w:tc>
      </w:tr>
      <w:tr w:rsidR="00561BCA" w:rsidRPr="00036C06" w14:paraId="1B761D11" w14:textId="77777777" w:rsidTr="007F048D">
        <w:trPr>
          <w:trHeight w:val="288"/>
        </w:trPr>
        <w:tc>
          <w:tcPr>
            <w:tcW w:w="3260" w:type="dxa"/>
            <w:tcBorders>
              <w:top w:val="single" w:sz="4" w:space="0" w:color="auto"/>
              <w:left w:val="single" w:sz="4" w:space="0" w:color="auto"/>
              <w:bottom w:val="single" w:sz="4" w:space="0" w:color="auto"/>
              <w:right w:val="single" w:sz="4" w:space="0" w:color="auto"/>
            </w:tcBorders>
            <w:shd w:val="clear" w:color="000000" w:fill="FFFFFF"/>
          </w:tcPr>
          <w:p w14:paraId="1C05BF5D" w14:textId="77777777" w:rsidR="00561BCA" w:rsidRPr="00036C06" w:rsidRDefault="00561BCA" w:rsidP="007F048D">
            <w:pPr>
              <w:spacing w:after="0" w:line="240" w:lineRule="auto"/>
              <w:rPr>
                <w:rFonts w:ascii="Times New Roman" w:hAnsi="Times New Roman" w:cs="Times New Roman"/>
                <w:lang w:eastAsia="hr-HR"/>
              </w:rPr>
            </w:pPr>
            <w:r>
              <w:rPr>
                <w:rFonts w:ascii="Times New Roman" w:hAnsi="Times New Roman" w:cs="Times New Roman"/>
                <w:lang w:eastAsia="hr-HR"/>
              </w:rPr>
              <w:t>Opći prihodi i primici</w:t>
            </w:r>
          </w:p>
        </w:tc>
        <w:tc>
          <w:tcPr>
            <w:tcW w:w="2000" w:type="dxa"/>
            <w:tcBorders>
              <w:top w:val="single" w:sz="4" w:space="0" w:color="auto"/>
              <w:left w:val="nil"/>
              <w:bottom w:val="single" w:sz="4" w:space="0" w:color="auto"/>
              <w:right w:val="single" w:sz="4" w:space="0" w:color="auto"/>
            </w:tcBorders>
            <w:shd w:val="clear" w:color="000000" w:fill="FFFFFF"/>
            <w:noWrap/>
          </w:tcPr>
          <w:p w14:paraId="238B0FEE" w14:textId="2BCAAB1A" w:rsidR="00561BCA" w:rsidRDefault="00E90040" w:rsidP="007F048D">
            <w:pPr>
              <w:spacing w:after="0" w:line="240" w:lineRule="auto"/>
              <w:jc w:val="right"/>
              <w:rPr>
                <w:rFonts w:ascii="Times New Roman" w:hAnsi="Times New Roman" w:cs="Times New Roman"/>
                <w:lang w:eastAsia="hr-HR"/>
              </w:rPr>
            </w:pPr>
            <w:r>
              <w:rPr>
                <w:rFonts w:ascii="Times New Roman" w:hAnsi="Times New Roman" w:cs="Times New Roman"/>
                <w:lang w:eastAsia="hr-HR"/>
              </w:rPr>
              <w:t>16.499,59</w:t>
            </w:r>
          </w:p>
        </w:tc>
        <w:tc>
          <w:tcPr>
            <w:tcW w:w="1960" w:type="dxa"/>
            <w:tcBorders>
              <w:top w:val="single" w:sz="4" w:space="0" w:color="auto"/>
              <w:left w:val="nil"/>
              <w:bottom w:val="single" w:sz="4" w:space="0" w:color="auto"/>
              <w:right w:val="single" w:sz="4" w:space="0" w:color="auto"/>
            </w:tcBorders>
            <w:shd w:val="clear" w:color="000000" w:fill="FFFFFF"/>
            <w:noWrap/>
          </w:tcPr>
          <w:p w14:paraId="28EED955" w14:textId="2E6A9702" w:rsidR="00561BCA" w:rsidRDefault="00E90040" w:rsidP="007F048D">
            <w:pPr>
              <w:spacing w:after="0" w:line="240" w:lineRule="auto"/>
              <w:ind w:firstLineChars="100" w:firstLine="220"/>
              <w:jc w:val="right"/>
              <w:rPr>
                <w:rFonts w:ascii="Times New Roman" w:hAnsi="Times New Roman" w:cs="Times New Roman"/>
                <w:lang w:eastAsia="hr-HR"/>
              </w:rPr>
            </w:pPr>
            <w:r>
              <w:rPr>
                <w:rFonts w:ascii="Times New Roman" w:hAnsi="Times New Roman" w:cs="Times New Roman"/>
                <w:lang w:eastAsia="hr-HR"/>
              </w:rPr>
              <w:t>16.499,59</w:t>
            </w:r>
          </w:p>
        </w:tc>
        <w:tc>
          <w:tcPr>
            <w:tcW w:w="1720" w:type="dxa"/>
            <w:tcBorders>
              <w:top w:val="single" w:sz="4" w:space="0" w:color="auto"/>
              <w:left w:val="nil"/>
              <w:bottom w:val="single" w:sz="4" w:space="0" w:color="auto"/>
              <w:right w:val="single" w:sz="4" w:space="0" w:color="auto"/>
            </w:tcBorders>
            <w:shd w:val="clear" w:color="000000" w:fill="FFFFFF"/>
            <w:noWrap/>
          </w:tcPr>
          <w:p w14:paraId="6E144A5F" w14:textId="77777777" w:rsidR="00561BCA" w:rsidRDefault="00561BCA" w:rsidP="007F048D">
            <w:pPr>
              <w:spacing w:after="0" w:line="240" w:lineRule="auto"/>
              <w:jc w:val="right"/>
              <w:rPr>
                <w:rFonts w:ascii="Times New Roman" w:hAnsi="Times New Roman" w:cs="Times New Roman"/>
                <w:lang w:eastAsia="hr-HR"/>
              </w:rPr>
            </w:pPr>
            <w:r>
              <w:rPr>
                <w:rFonts w:ascii="Times New Roman" w:hAnsi="Times New Roman" w:cs="Times New Roman"/>
                <w:lang w:eastAsia="hr-HR"/>
              </w:rPr>
              <w:t>0,00</w:t>
            </w:r>
          </w:p>
        </w:tc>
      </w:tr>
    </w:tbl>
    <w:p w14:paraId="1D45E713" w14:textId="77777777" w:rsidR="00561BCA" w:rsidRDefault="00561BCA" w:rsidP="00561BCA">
      <w:pPr>
        <w:spacing w:after="0"/>
        <w:jc w:val="both"/>
        <w:rPr>
          <w:rFonts w:ascii="Times New Roman" w:hAnsi="Times New Roman" w:cs="Times New Roman"/>
        </w:rPr>
      </w:pPr>
    </w:p>
    <w:p w14:paraId="2BAC3BDF" w14:textId="77777777" w:rsidR="005E5122" w:rsidRDefault="00561BCA" w:rsidP="005E5122">
      <w:pPr>
        <w:jc w:val="both"/>
        <w:rPr>
          <w:rFonts w:ascii="Times New Roman" w:hAnsi="Times New Roman" w:cs="Times New Roman"/>
        </w:rPr>
      </w:pPr>
      <w:r>
        <w:rPr>
          <w:rFonts w:ascii="Times New Roman" w:hAnsi="Times New Roman" w:cs="Times New Roman"/>
        </w:rPr>
        <w:t>Temeljem Ugovora o dodjeli bespovratnih sredstava za projekte koji se financiraju iz Europskog socijalnog fonda plus</w:t>
      </w:r>
      <w:r w:rsidR="005E5122">
        <w:rPr>
          <w:rFonts w:ascii="Times New Roman" w:hAnsi="Times New Roman" w:cs="Times New Roman"/>
        </w:rPr>
        <w:t xml:space="preserve"> u financijskom razdoblju 2021. – 2027.</w:t>
      </w:r>
      <w:r>
        <w:rPr>
          <w:rFonts w:ascii="Times New Roman" w:hAnsi="Times New Roman" w:cs="Times New Roman"/>
        </w:rPr>
        <w:t xml:space="preserve"> SF.2.4.06.0</w:t>
      </w:r>
      <w:r w:rsidR="004B506B">
        <w:rPr>
          <w:rFonts w:ascii="Times New Roman" w:hAnsi="Times New Roman" w:cs="Times New Roman"/>
        </w:rPr>
        <w:t>6</w:t>
      </w:r>
      <w:r>
        <w:rPr>
          <w:rFonts w:ascii="Times New Roman" w:hAnsi="Times New Roman" w:cs="Times New Roman"/>
        </w:rPr>
        <w:t>.00</w:t>
      </w:r>
      <w:r w:rsidR="004B506B">
        <w:rPr>
          <w:rFonts w:ascii="Times New Roman" w:hAnsi="Times New Roman" w:cs="Times New Roman"/>
        </w:rPr>
        <w:t>54</w:t>
      </w:r>
      <w:r>
        <w:rPr>
          <w:rFonts w:ascii="Times New Roman" w:hAnsi="Times New Roman" w:cs="Times New Roman"/>
        </w:rPr>
        <w:t xml:space="preserve"> „Osiguravanje pomoćnika u nastavi i stručnih komunikacijskih posrednika učenicima s teškoćama u razvoju u osnovnoškolskim i srednjoškolskim odgojno-obrazovnim ustanovama – faza VI</w:t>
      </w:r>
      <w:r w:rsidR="004B506B">
        <w:rPr>
          <w:rFonts w:ascii="Times New Roman" w:hAnsi="Times New Roman" w:cs="Times New Roman"/>
        </w:rPr>
        <w:t>I</w:t>
      </w:r>
      <w:r>
        <w:rPr>
          <w:rFonts w:ascii="Times New Roman" w:hAnsi="Times New Roman" w:cs="Times New Roman"/>
        </w:rPr>
        <w:t>“ sklopljenim sa Ministarstvom znanosti i obrazovanja i Agencije za strukovno obrazovanje i obrazovanje odraslih, Gradu Garešnica  u 2024. godi</w:t>
      </w:r>
      <w:r w:rsidR="004B506B">
        <w:rPr>
          <w:rFonts w:ascii="Times New Roman" w:hAnsi="Times New Roman" w:cs="Times New Roman"/>
        </w:rPr>
        <w:t xml:space="preserve">ni nije bilo uplaćenih sredstava iz Europske unije i Državnog proračuna </w:t>
      </w:r>
      <w:r>
        <w:rPr>
          <w:rFonts w:ascii="Times New Roman" w:hAnsi="Times New Roman" w:cs="Times New Roman"/>
        </w:rPr>
        <w:t xml:space="preserve"> za realizirane troškove projekta koji se provodi u školskog 202</w:t>
      </w:r>
      <w:r w:rsidR="004B506B">
        <w:rPr>
          <w:rFonts w:ascii="Times New Roman" w:hAnsi="Times New Roman" w:cs="Times New Roman"/>
        </w:rPr>
        <w:t>4</w:t>
      </w:r>
      <w:r>
        <w:rPr>
          <w:rFonts w:ascii="Times New Roman" w:hAnsi="Times New Roman" w:cs="Times New Roman"/>
        </w:rPr>
        <w:t>/202</w:t>
      </w:r>
      <w:r w:rsidR="004B506B">
        <w:rPr>
          <w:rFonts w:ascii="Times New Roman" w:hAnsi="Times New Roman" w:cs="Times New Roman"/>
        </w:rPr>
        <w:t>5</w:t>
      </w:r>
      <w:r>
        <w:rPr>
          <w:rFonts w:ascii="Times New Roman" w:hAnsi="Times New Roman" w:cs="Times New Roman"/>
        </w:rPr>
        <w:t>. godini.</w:t>
      </w:r>
      <w:r w:rsidR="005E5122">
        <w:rPr>
          <w:rFonts w:ascii="Times New Roman" w:hAnsi="Times New Roman" w:cs="Times New Roman"/>
        </w:rPr>
        <w:t xml:space="preserve"> </w:t>
      </w:r>
      <w:r w:rsidR="005E5122" w:rsidRPr="005E5122">
        <w:rPr>
          <w:rFonts w:ascii="Times New Roman" w:hAnsi="Times New Roman" w:cs="Times New Roman"/>
        </w:rPr>
        <w:t>Predmetnim projektom osigurano je 10 pomoćnika u nastavi za 10 učenika s teškoćama u razvoju.</w:t>
      </w:r>
    </w:p>
    <w:p w14:paraId="1DBE8BD6" w14:textId="1C2A2819" w:rsidR="00561BCA" w:rsidRDefault="00561BCA" w:rsidP="00561BCA">
      <w:pPr>
        <w:jc w:val="both"/>
        <w:rPr>
          <w:rFonts w:ascii="Times New Roman" w:hAnsi="Times New Roman" w:cs="Times New Roman"/>
        </w:rPr>
      </w:pPr>
      <w:r>
        <w:rPr>
          <w:rFonts w:ascii="Times New Roman" w:hAnsi="Times New Roman" w:cs="Times New Roman"/>
        </w:rPr>
        <w:t>Troškovi projekta planirani su kod korisnika Osnovne škole Garešnica</w:t>
      </w:r>
      <w:r w:rsidR="004B506B">
        <w:rPr>
          <w:rFonts w:ascii="Times New Roman" w:hAnsi="Times New Roman" w:cs="Times New Roman"/>
        </w:rPr>
        <w:t xml:space="preserve"> i Osnovne škole </w:t>
      </w:r>
      <w:proofErr w:type="spellStart"/>
      <w:r w:rsidR="004B506B">
        <w:rPr>
          <w:rFonts w:ascii="Times New Roman" w:hAnsi="Times New Roman" w:cs="Times New Roman"/>
        </w:rPr>
        <w:t>Trnovitički</w:t>
      </w:r>
      <w:proofErr w:type="spellEnd"/>
      <w:r w:rsidR="004B506B">
        <w:rPr>
          <w:rFonts w:ascii="Times New Roman" w:hAnsi="Times New Roman" w:cs="Times New Roman"/>
        </w:rPr>
        <w:t xml:space="preserve"> Popovac i ukupno su u 2024. godini iznosili 32.581,06 eura.</w:t>
      </w:r>
      <w:r>
        <w:rPr>
          <w:rFonts w:ascii="Times New Roman" w:hAnsi="Times New Roman" w:cs="Times New Roman"/>
        </w:rPr>
        <w:t xml:space="preserve"> Projekt je </w:t>
      </w:r>
      <w:r w:rsidR="004B506B">
        <w:rPr>
          <w:rFonts w:ascii="Times New Roman" w:hAnsi="Times New Roman" w:cs="Times New Roman"/>
        </w:rPr>
        <w:t xml:space="preserve">započeo </w:t>
      </w:r>
      <w:r w:rsidR="005E5122">
        <w:rPr>
          <w:rFonts w:ascii="Times New Roman" w:hAnsi="Times New Roman" w:cs="Times New Roman"/>
        </w:rPr>
        <w:t>09.09.2024. i traje do 09.09.2027. godine.</w:t>
      </w:r>
    </w:p>
    <w:p w14:paraId="3207529B" w14:textId="4F1BF399" w:rsidR="00561BCA" w:rsidRDefault="00561BCA" w:rsidP="00561BCA">
      <w:pPr>
        <w:jc w:val="both"/>
        <w:rPr>
          <w:rFonts w:ascii="Times New Roman" w:hAnsi="Times New Roman" w:cs="Times New Roman"/>
        </w:rPr>
      </w:pPr>
      <w:r>
        <w:rPr>
          <w:rFonts w:ascii="Times New Roman" w:hAnsi="Times New Roman" w:cs="Times New Roman"/>
        </w:rPr>
        <w:t>Sredstva su utrošena na plaće, naknade za prijevoz i službena putovanja zaposlenih.</w:t>
      </w:r>
      <w:r w:rsidR="004B506B">
        <w:rPr>
          <w:rFonts w:ascii="Times New Roman" w:hAnsi="Times New Roman" w:cs="Times New Roman"/>
        </w:rPr>
        <w:t xml:space="preserve"> Pokriće manjka sredstava pomoći iz državnog proračuna i pomoći temeljem prijenosa EU sredstava planirat će se u I. izmjenama i dopunama Proračuna Grada Garešnice za 2025. godinu.</w:t>
      </w:r>
    </w:p>
    <w:p w14:paraId="750DD89A" w14:textId="77777777" w:rsidR="008445BD" w:rsidRDefault="008445BD" w:rsidP="00561BCA">
      <w:pPr>
        <w:jc w:val="both"/>
        <w:rPr>
          <w:rFonts w:ascii="Times New Roman" w:hAnsi="Times New Roman" w:cs="Times New Roman"/>
        </w:rPr>
      </w:pPr>
    </w:p>
    <w:p w14:paraId="77B067DE" w14:textId="5ACBB497" w:rsidR="00AB207B" w:rsidRDefault="00AB207B" w:rsidP="003C25A4">
      <w:pPr>
        <w:jc w:val="both"/>
        <w:rPr>
          <w:rFonts w:ascii="Times New Roman" w:hAnsi="Times New Roman" w:cs="Times New Roman"/>
        </w:rPr>
      </w:pPr>
      <w:r w:rsidRPr="00AB207B">
        <w:rPr>
          <w:rFonts w:ascii="Times New Roman" w:hAnsi="Times New Roman" w:cs="Times New Roman"/>
          <w:u w:val="single"/>
        </w:rPr>
        <w:t>Tekući projekt -  T102008 „Školska shema 2023/2024“</w:t>
      </w:r>
      <w:r>
        <w:rPr>
          <w:rFonts w:ascii="Times New Roman" w:hAnsi="Times New Roman" w:cs="Times New Roman"/>
          <w:u w:val="single"/>
        </w:rPr>
        <w:t xml:space="preserve"> – </w:t>
      </w:r>
      <w:r>
        <w:rPr>
          <w:rFonts w:ascii="Times New Roman" w:hAnsi="Times New Roman" w:cs="Times New Roman"/>
        </w:rPr>
        <w:t xml:space="preserve">proračunski korisnik Osnovna škola </w:t>
      </w:r>
      <w:proofErr w:type="spellStart"/>
      <w:r>
        <w:rPr>
          <w:rFonts w:ascii="Times New Roman" w:hAnsi="Times New Roman" w:cs="Times New Roman"/>
        </w:rPr>
        <w:t>Trnovitički</w:t>
      </w:r>
      <w:proofErr w:type="spellEnd"/>
      <w:r>
        <w:rPr>
          <w:rFonts w:ascii="Times New Roman" w:hAnsi="Times New Roman" w:cs="Times New Roman"/>
        </w:rPr>
        <w:t xml:space="preserve"> Popovac</w:t>
      </w:r>
    </w:p>
    <w:tbl>
      <w:tblPr>
        <w:tblW w:w="8940" w:type="dxa"/>
        <w:tblLook w:val="04A0" w:firstRow="1" w:lastRow="0" w:firstColumn="1" w:lastColumn="0" w:noHBand="0" w:noVBand="1"/>
      </w:tblPr>
      <w:tblGrid>
        <w:gridCol w:w="3260"/>
        <w:gridCol w:w="2000"/>
        <w:gridCol w:w="1960"/>
        <w:gridCol w:w="1720"/>
      </w:tblGrid>
      <w:tr w:rsidR="0056176B" w:rsidRPr="00036C06" w14:paraId="3A549080" w14:textId="77777777" w:rsidTr="007F048D">
        <w:trPr>
          <w:trHeight w:val="576"/>
        </w:trPr>
        <w:tc>
          <w:tcPr>
            <w:tcW w:w="3260"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663AE810" w14:textId="49D5D1D6" w:rsidR="0056176B" w:rsidRPr="00036C06" w:rsidRDefault="00F700DE" w:rsidP="007F048D">
            <w:pPr>
              <w:spacing w:after="0" w:line="240" w:lineRule="auto"/>
              <w:jc w:val="center"/>
              <w:rPr>
                <w:rFonts w:ascii="Times New Roman" w:hAnsi="Times New Roman" w:cs="Times New Roman"/>
                <w:color w:val="FFFFFF"/>
                <w:lang w:eastAsia="hr-HR"/>
              </w:rPr>
            </w:pPr>
            <w:r>
              <w:rPr>
                <w:rFonts w:ascii="Times New Roman" w:hAnsi="Times New Roman" w:cs="Times New Roman"/>
                <w:color w:val="FFFFFF"/>
                <w:lang w:eastAsia="hr-HR"/>
              </w:rPr>
              <w:t>Projekt</w:t>
            </w:r>
          </w:p>
        </w:tc>
        <w:tc>
          <w:tcPr>
            <w:tcW w:w="2000" w:type="dxa"/>
            <w:tcBorders>
              <w:top w:val="single" w:sz="4" w:space="0" w:color="auto"/>
              <w:left w:val="nil"/>
              <w:bottom w:val="single" w:sz="4" w:space="0" w:color="auto"/>
              <w:right w:val="single" w:sz="4" w:space="0" w:color="auto"/>
            </w:tcBorders>
            <w:shd w:val="clear" w:color="000000" w:fill="002060"/>
            <w:vAlign w:val="center"/>
            <w:hideMark/>
          </w:tcPr>
          <w:p w14:paraId="7CE5A1CC" w14:textId="77777777" w:rsidR="0056176B" w:rsidRPr="00036C06" w:rsidRDefault="0056176B" w:rsidP="007F048D">
            <w:pPr>
              <w:spacing w:after="0" w:line="240" w:lineRule="auto"/>
              <w:jc w:val="center"/>
              <w:rPr>
                <w:rFonts w:ascii="Times New Roman" w:hAnsi="Times New Roman" w:cs="Times New Roman"/>
                <w:color w:val="FFFFFF"/>
                <w:lang w:eastAsia="hr-HR"/>
              </w:rPr>
            </w:pPr>
            <w:r>
              <w:rPr>
                <w:rFonts w:ascii="Times New Roman" w:hAnsi="Times New Roman" w:cs="Times New Roman"/>
                <w:color w:val="FFFFFF"/>
                <w:lang w:eastAsia="hr-HR"/>
              </w:rPr>
              <w:t>Izvor</w:t>
            </w:r>
          </w:p>
        </w:tc>
        <w:tc>
          <w:tcPr>
            <w:tcW w:w="1960" w:type="dxa"/>
            <w:tcBorders>
              <w:top w:val="single" w:sz="4" w:space="0" w:color="auto"/>
              <w:left w:val="nil"/>
              <w:bottom w:val="single" w:sz="4" w:space="0" w:color="auto"/>
              <w:right w:val="single" w:sz="4" w:space="0" w:color="auto"/>
            </w:tcBorders>
            <w:shd w:val="clear" w:color="000000" w:fill="002060"/>
            <w:vAlign w:val="center"/>
            <w:hideMark/>
          </w:tcPr>
          <w:p w14:paraId="107D1635" w14:textId="77777777" w:rsidR="0056176B" w:rsidRPr="00036C06" w:rsidRDefault="0056176B" w:rsidP="007F048D">
            <w:pPr>
              <w:spacing w:after="0" w:line="240" w:lineRule="auto"/>
              <w:jc w:val="center"/>
              <w:rPr>
                <w:rFonts w:ascii="Times New Roman" w:hAnsi="Times New Roman" w:cs="Times New Roman"/>
                <w:color w:val="FFFFFF"/>
                <w:lang w:eastAsia="hr-HR"/>
              </w:rPr>
            </w:pPr>
            <w:r w:rsidRPr="00036C06">
              <w:rPr>
                <w:rFonts w:ascii="Times New Roman" w:hAnsi="Times New Roman" w:cs="Times New Roman"/>
                <w:color w:val="FFFFFF"/>
                <w:lang w:eastAsia="hr-HR"/>
              </w:rPr>
              <w:t>Izvršenje rashoda</w:t>
            </w:r>
          </w:p>
        </w:tc>
        <w:tc>
          <w:tcPr>
            <w:tcW w:w="1720" w:type="dxa"/>
            <w:tcBorders>
              <w:top w:val="single" w:sz="4" w:space="0" w:color="auto"/>
              <w:left w:val="nil"/>
              <w:bottom w:val="single" w:sz="4" w:space="0" w:color="auto"/>
              <w:right w:val="single" w:sz="4" w:space="0" w:color="auto"/>
            </w:tcBorders>
            <w:shd w:val="clear" w:color="000000" w:fill="002060"/>
            <w:vAlign w:val="center"/>
            <w:hideMark/>
          </w:tcPr>
          <w:p w14:paraId="29C9B5EA" w14:textId="77777777" w:rsidR="0056176B" w:rsidRPr="00036C06" w:rsidRDefault="0056176B" w:rsidP="007F048D">
            <w:pPr>
              <w:spacing w:after="0" w:line="240" w:lineRule="auto"/>
              <w:jc w:val="center"/>
              <w:rPr>
                <w:rFonts w:ascii="Times New Roman" w:hAnsi="Times New Roman" w:cs="Times New Roman"/>
                <w:color w:val="FFFFFF"/>
                <w:lang w:eastAsia="hr-HR"/>
              </w:rPr>
            </w:pPr>
            <w:r w:rsidRPr="00036C06">
              <w:rPr>
                <w:rFonts w:ascii="Times New Roman" w:hAnsi="Times New Roman" w:cs="Times New Roman"/>
                <w:color w:val="FFFFFF"/>
                <w:lang w:eastAsia="hr-HR"/>
              </w:rPr>
              <w:t>višak/ manjak u €</w:t>
            </w:r>
          </w:p>
        </w:tc>
      </w:tr>
      <w:tr w:rsidR="0056176B" w:rsidRPr="00036C06" w14:paraId="38A3040D" w14:textId="77777777" w:rsidTr="007F048D">
        <w:trPr>
          <w:trHeight w:val="288"/>
        </w:trPr>
        <w:tc>
          <w:tcPr>
            <w:tcW w:w="3260" w:type="dxa"/>
            <w:tcBorders>
              <w:top w:val="nil"/>
              <w:left w:val="single" w:sz="4" w:space="0" w:color="auto"/>
              <w:bottom w:val="single" w:sz="4" w:space="0" w:color="auto"/>
              <w:right w:val="single" w:sz="4" w:space="0" w:color="auto"/>
            </w:tcBorders>
            <w:shd w:val="clear" w:color="auto" w:fill="B8CCE4" w:themeFill="accent1" w:themeFillTint="66"/>
            <w:noWrap/>
          </w:tcPr>
          <w:p w14:paraId="593844B5" w14:textId="47FC3CA4" w:rsidR="0056176B" w:rsidRPr="00036C06" w:rsidRDefault="0056176B" w:rsidP="007F048D">
            <w:pPr>
              <w:spacing w:after="0" w:line="240" w:lineRule="auto"/>
              <w:rPr>
                <w:rFonts w:ascii="Times New Roman" w:hAnsi="Times New Roman" w:cs="Times New Roman"/>
                <w:i/>
                <w:iCs/>
                <w:lang w:eastAsia="hr-HR"/>
              </w:rPr>
            </w:pPr>
            <w:r w:rsidRPr="00036C06">
              <w:rPr>
                <w:rFonts w:ascii="Times New Roman" w:hAnsi="Times New Roman" w:cs="Times New Roman"/>
              </w:rPr>
              <w:t>„</w:t>
            </w:r>
            <w:r>
              <w:rPr>
                <w:rFonts w:ascii="Times New Roman" w:hAnsi="Times New Roman" w:cs="Times New Roman"/>
              </w:rPr>
              <w:t>Školska shema 2023/2024</w:t>
            </w:r>
            <w:r w:rsidRPr="00036C06">
              <w:rPr>
                <w:rFonts w:ascii="Times New Roman" w:hAnsi="Times New Roman" w:cs="Times New Roman"/>
              </w:rPr>
              <w:t>“</w:t>
            </w:r>
          </w:p>
        </w:tc>
        <w:tc>
          <w:tcPr>
            <w:tcW w:w="2000" w:type="dxa"/>
            <w:tcBorders>
              <w:top w:val="nil"/>
              <w:left w:val="nil"/>
              <w:bottom w:val="single" w:sz="4" w:space="0" w:color="auto"/>
              <w:right w:val="single" w:sz="4" w:space="0" w:color="auto"/>
            </w:tcBorders>
            <w:shd w:val="clear" w:color="auto" w:fill="B8CCE4" w:themeFill="accent1" w:themeFillTint="66"/>
            <w:noWrap/>
            <w:vAlign w:val="bottom"/>
          </w:tcPr>
          <w:p w14:paraId="5EB0B529" w14:textId="5119AE9C" w:rsidR="0056176B" w:rsidRPr="00036C06" w:rsidRDefault="001B69C0" w:rsidP="007F048D">
            <w:pPr>
              <w:spacing w:after="0" w:line="240" w:lineRule="auto"/>
              <w:jc w:val="right"/>
              <w:rPr>
                <w:rFonts w:ascii="Times New Roman" w:hAnsi="Times New Roman" w:cs="Times New Roman"/>
                <w:color w:val="000000"/>
                <w:lang w:eastAsia="hr-HR"/>
              </w:rPr>
            </w:pPr>
            <w:r>
              <w:rPr>
                <w:rFonts w:ascii="Times New Roman" w:hAnsi="Times New Roman" w:cs="Times New Roman"/>
                <w:color w:val="000000"/>
                <w:lang w:eastAsia="hr-HR"/>
              </w:rPr>
              <w:t>625,12</w:t>
            </w:r>
          </w:p>
        </w:tc>
        <w:tc>
          <w:tcPr>
            <w:tcW w:w="1960" w:type="dxa"/>
            <w:tcBorders>
              <w:top w:val="nil"/>
              <w:left w:val="nil"/>
              <w:bottom w:val="single" w:sz="4" w:space="0" w:color="auto"/>
              <w:right w:val="single" w:sz="4" w:space="0" w:color="auto"/>
            </w:tcBorders>
            <w:shd w:val="clear" w:color="auto" w:fill="B8CCE4" w:themeFill="accent1" w:themeFillTint="66"/>
            <w:noWrap/>
            <w:vAlign w:val="bottom"/>
          </w:tcPr>
          <w:p w14:paraId="3C22C4D4" w14:textId="3AE4E7F9" w:rsidR="0056176B" w:rsidRPr="00036C06" w:rsidRDefault="001B69C0" w:rsidP="007F048D">
            <w:pPr>
              <w:spacing w:after="0" w:line="240" w:lineRule="auto"/>
              <w:jc w:val="right"/>
              <w:rPr>
                <w:rFonts w:ascii="Times New Roman" w:hAnsi="Times New Roman" w:cs="Times New Roman"/>
                <w:color w:val="000000"/>
                <w:lang w:eastAsia="hr-HR"/>
              </w:rPr>
            </w:pPr>
            <w:r>
              <w:rPr>
                <w:rFonts w:ascii="Times New Roman" w:hAnsi="Times New Roman" w:cs="Times New Roman"/>
                <w:color w:val="000000"/>
                <w:lang w:eastAsia="hr-HR"/>
              </w:rPr>
              <w:t>625,12</w:t>
            </w:r>
          </w:p>
        </w:tc>
        <w:tc>
          <w:tcPr>
            <w:tcW w:w="1720" w:type="dxa"/>
            <w:tcBorders>
              <w:top w:val="nil"/>
              <w:left w:val="nil"/>
              <w:bottom w:val="single" w:sz="4" w:space="0" w:color="auto"/>
              <w:right w:val="single" w:sz="4" w:space="0" w:color="auto"/>
            </w:tcBorders>
            <w:shd w:val="clear" w:color="auto" w:fill="B8CCE4" w:themeFill="accent1" w:themeFillTint="66"/>
            <w:noWrap/>
            <w:vAlign w:val="bottom"/>
          </w:tcPr>
          <w:p w14:paraId="1CE5D82D" w14:textId="597F27EE" w:rsidR="0056176B" w:rsidRPr="00036C06" w:rsidRDefault="001B69C0" w:rsidP="007F048D">
            <w:pPr>
              <w:spacing w:after="0" w:line="240" w:lineRule="auto"/>
              <w:jc w:val="right"/>
              <w:rPr>
                <w:rFonts w:ascii="Times New Roman" w:hAnsi="Times New Roman" w:cs="Times New Roman"/>
                <w:color w:val="000000"/>
                <w:lang w:eastAsia="hr-HR"/>
              </w:rPr>
            </w:pPr>
            <w:r>
              <w:rPr>
                <w:rFonts w:ascii="Times New Roman" w:hAnsi="Times New Roman" w:cs="Times New Roman"/>
                <w:color w:val="000000"/>
                <w:lang w:eastAsia="hr-HR"/>
              </w:rPr>
              <w:t>0,00</w:t>
            </w:r>
          </w:p>
        </w:tc>
      </w:tr>
      <w:tr w:rsidR="0056176B" w:rsidRPr="00036C06" w14:paraId="6C249A56" w14:textId="77777777" w:rsidTr="007F048D">
        <w:trPr>
          <w:trHeight w:val="288"/>
        </w:trPr>
        <w:tc>
          <w:tcPr>
            <w:tcW w:w="3260" w:type="dxa"/>
            <w:tcBorders>
              <w:top w:val="nil"/>
              <w:left w:val="single" w:sz="4" w:space="0" w:color="auto"/>
              <w:bottom w:val="single" w:sz="4" w:space="0" w:color="auto"/>
              <w:right w:val="single" w:sz="4" w:space="0" w:color="auto"/>
            </w:tcBorders>
            <w:shd w:val="clear" w:color="000000" w:fill="FFFFFF"/>
            <w:noWrap/>
            <w:hideMark/>
          </w:tcPr>
          <w:p w14:paraId="60DF280F" w14:textId="392BD4D8" w:rsidR="0056176B" w:rsidRPr="00036C06" w:rsidRDefault="0056176B" w:rsidP="007F048D">
            <w:pPr>
              <w:spacing w:after="0" w:line="240" w:lineRule="auto"/>
              <w:rPr>
                <w:rFonts w:ascii="Times New Roman" w:hAnsi="Times New Roman" w:cs="Times New Roman"/>
                <w:color w:val="000000"/>
                <w:lang w:eastAsia="hr-HR"/>
              </w:rPr>
            </w:pPr>
            <w:r w:rsidRPr="00036C06">
              <w:rPr>
                <w:rFonts w:ascii="Times New Roman" w:hAnsi="Times New Roman" w:cs="Times New Roman"/>
                <w:color w:val="000000"/>
                <w:lang w:eastAsia="hr-HR"/>
              </w:rPr>
              <w:t>Pomoći iz državnog proračuna</w:t>
            </w:r>
            <w:r w:rsidR="001B69C0">
              <w:rPr>
                <w:rFonts w:ascii="Times New Roman" w:hAnsi="Times New Roman" w:cs="Times New Roman"/>
                <w:color w:val="000000"/>
                <w:lang w:eastAsia="hr-HR"/>
              </w:rPr>
              <w:t xml:space="preserve"> – višak iz protekle godine</w:t>
            </w:r>
          </w:p>
        </w:tc>
        <w:tc>
          <w:tcPr>
            <w:tcW w:w="2000" w:type="dxa"/>
            <w:tcBorders>
              <w:top w:val="nil"/>
              <w:left w:val="nil"/>
              <w:bottom w:val="single" w:sz="4" w:space="0" w:color="auto"/>
              <w:right w:val="single" w:sz="4" w:space="0" w:color="auto"/>
            </w:tcBorders>
            <w:shd w:val="clear" w:color="000000" w:fill="FFFFFF"/>
            <w:noWrap/>
          </w:tcPr>
          <w:p w14:paraId="6C10B046" w14:textId="0DDB335F" w:rsidR="0056176B" w:rsidRPr="00036C06" w:rsidRDefault="001B69C0" w:rsidP="007F048D">
            <w:pPr>
              <w:spacing w:after="0" w:line="240" w:lineRule="auto"/>
              <w:jc w:val="right"/>
              <w:rPr>
                <w:rFonts w:ascii="Times New Roman" w:hAnsi="Times New Roman" w:cs="Times New Roman"/>
                <w:lang w:eastAsia="hr-HR"/>
              </w:rPr>
            </w:pPr>
            <w:r>
              <w:rPr>
                <w:rFonts w:ascii="Times New Roman" w:hAnsi="Times New Roman" w:cs="Times New Roman"/>
                <w:lang w:eastAsia="hr-HR"/>
              </w:rPr>
              <w:t>75,36</w:t>
            </w:r>
          </w:p>
        </w:tc>
        <w:tc>
          <w:tcPr>
            <w:tcW w:w="1960" w:type="dxa"/>
            <w:tcBorders>
              <w:top w:val="nil"/>
              <w:left w:val="nil"/>
              <w:bottom w:val="single" w:sz="4" w:space="0" w:color="auto"/>
              <w:right w:val="single" w:sz="4" w:space="0" w:color="auto"/>
            </w:tcBorders>
            <w:shd w:val="clear" w:color="000000" w:fill="FFFFFF"/>
            <w:noWrap/>
          </w:tcPr>
          <w:p w14:paraId="57474BB0" w14:textId="06F1B9A9" w:rsidR="0056176B" w:rsidRPr="00036C06" w:rsidRDefault="001B69C0" w:rsidP="007F048D">
            <w:pPr>
              <w:spacing w:after="0" w:line="240" w:lineRule="auto"/>
              <w:ind w:firstLineChars="100" w:firstLine="220"/>
              <w:jc w:val="right"/>
              <w:rPr>
                <w:rFonts w:ascii="Times New Roman" w:hAnsi="Times New Roman" w:cs="Times New Roman"/>
                <w:lang w:eastAsia="hr-HR"/>
              </w:rPr>
            </w:pPr>
            <w:r>
              <w:rPr>
                <w:rFonts w:ascii="Times New Roman" w:hAnsi="Times New Roman" w:cs="Times New Roman"/>
                <w:lang w:eastAsia="hr-HR"/>
              </w:rPr>
              <w:t>75,36</w:t>
            </w:r>
          </w:p>
        </w:tc>
        <w:tc>
          <w:tcPr>
            <w:tcW w:w="1720" w:type="dxa"/>
            <w:tcBorders>
              <w:top w:val="nil"/>
              <w:left w:val="nil"/>
              <w:bottom w:val="single" w:sz="4" w:space="0" w:color="auto"/>
              <w:right w:val="single" w:sz="4" w:space="0" w:color="auto"/>
            </w:tcBorders>
            <w:shd w:val="clear" w:color="000000" w:fill="FFFFFF"/>
            <w:noWrap/>
          </w:tcPr>
          <w:p w14:paraId="652F8C42" w14:textId="6F521784" w:rsidR="0056176B" w:rsidRPr="00036C06" w:rsidRDefault="001B69C0" w:rsidP="007F048D">
            <w:pPr>
              <w:spacing w:after="0" w:line="240" w:lineRule="auto"/>
              <w:jc w:val="right"/>
              <w:rPr>
                <w:rFonts w:ascii="Times New Roman" w:hAnsi="Times New Roman" w:cs="Times New Roman"/>
                <w:lang w:eastAsia="hr-HR"/>
              </w:rPr>
            </w:pPr>
            <w:r>
              <w:rPr>
                <w:rFonts w:ascii="Times New Roman" w:hAnsi="Times New Roman" w:cs="Times New Roman"/>
                <w:lang w:eastAsia="hr-HR"/>
              </w:rPr>
              <w:t>0,00</w:t>
            </w:r>
          </w:p>
        </w:tc>
      </w:tr>
      <w:tr w:rsidR="0056176B" w:rsidRPr="00036C06" w14:paraId="7759FC0A" w14:textId="77777777" w:rsidTr="007F048D">
        <w:trPr>
          <w:trHeight w:val="288"/>
        </w:trPr>
        <w:tc>
          <w:tcPr>
            <w:tcW w:w="3260" w:type="dxa"/>
            <w:tcBorders>
              <w:top w:val="nil"/>
              <w:left w:val="single" w:sz="4" w:space="0" w:color="auto"/>
              <w:bottom w:val="single" w:sz="4" w:space="0" w:color="auto"/>
              <w:right w:val="single" w:sz="4" w:space="0" w:color="auto"/>
            </w:tcBorders>
            <w:shd w:val="clear" w:color="000000" w:fill="FFFFFF"/>
            <w:hideMark/>
          </w:tcPr>
          <w:p w14:paraId="5341D7B1" w14:textId="77777777" w:rsidR="0056176B" w:rsidRPr="00036C06" w:rsidRDefault="0056176B" w:rsidP="007F048D">
            <w:pPr>
              <w:spacing w:after="0" w:line="240" w:lineRule="auto"/>
              <w:rPr>
                <w:rFonts w:ascii="Times New Roman" w:hAnsi="Times New Roman" w:cs="Times New Roman"/>
                <w:lang w:eastAsia="hr-HR"/>
              </w:rPr>
            </w:pPr>
            <w:r w:rsidRPr="00036C06">
              <w:rPr>
                <w:rFonts w:ascii="Times New Roman" w:hAnsi="Times New Roman" w:cs="Times New Roman"/>
                <w:lang w:eastAsia="hr-HR"/>
              </w:rPr>
              <w:t>Pomoći iz EU sredstava</w:t>
            </w:r>
          </w:p>
        </w:tc>
        <w:tc>
          <w:tcPr>
            <w:tcW w:w="2000" w:type="dxa"/>
            <w:tcBorders>
              <w:top w:val="nil"/>
              <w:left w:val="nil"/>
              <w:bottom w:val="single" w:sz="4" w:space="0" w:color="auto"/>
              <w:right w:val="single" w:sz="4" w:space="0" w:color="auto"/>
            </w:tcBorders>
            <w:shd w:val="clear" w:color="000000" w:fill="FFFFFF"/>
            <w:noWrap/>
          </w:tcPr>
          <w:p w14:paraId="1FFC8449" w14:textId="6FDCC304" w:rsidR="0056176B" w:rsidRPr="00036C06" w:rsidRDefault="001B69C0" w:rsidP="007F048D">
            <w:pPr>
              <w:spacing w:after="0" w:line="240" w:lineRule="auto"/>
              <w:jc w:val="right"/>
              <w:rPr>
                <w:rFonts w:ascii="Times New Roman" w:hAnsi="Times New Roman" w:cs="Times New Roman"/>
                <w:lang w:eastAsia="hr-HR"/>
              </w:rPr>
            </w:pPr>
            <w:r>
              <w:rPr>
                <w:rFonts w:ascii="Times New Roman" w:hAnsi="Times New Roman" w:cs="Times New Roman"/>
                <w:lang w:eastAsia="hr-HR"/>
              </w:rPr>
              <w:t>478,57</w:t>
            </w:r>
          </w:p>
        </w:tc>
        <w:tc>
          <w:tcPr>
            <w:tcW w:w="1960" w:type="dxa"/>
            <w:tcBorders>
              <w:top w:val="nil"/>
              <w:left w:val="nil"/>
              <w:bottom w:val="single" w:sz="4" w:space="0" w:color="auto"/>
              <w:right w:val="single" w:sz="4" w:space="0" w:color="auto"/>
            </w:tcBorders>
            <w:shd w:val="clear" w:color="000000" w:fill="FFFFFF"/>
            <w:noWrap/>
          </w:tcPr>
          <w:p w14:paraId="356B95F9" w14:textId="34AB96C8" w:rsidR="0056176B" w:rsidRPr="00036C06" w:rsidRDefault="0056176B" w:rsidP="007F048D">
            <w:pPr>
              <w:spacing w:after="0" w:line="240" w:lineRule="auto"/>
              <w:ind w:firstLineChars="100" w:firstLine="220"/>
              <w:jc w:val="right"/>
              <w:rPr>
                <w:rFonts w:ascii="Times New Roman" w:hAnsi="Times New Roman" w:cs="Times New Roman"/>
                <w:lang w:eastAsia="hr-HR"/>
              </w:rPr>
            </w:pPr>
            <w:r>
              <w:rPr>
                <w:rFonts w:ascii="Times New Roman" w:hAnsi="Times New Roman" w:cs="Times New Roman"/>
                <w:lang w:eastAsia="hr-HR"/>
              </w:rPr>
              <w:t>478,57</w:t>
            </w:r>
          </w:p>
        </w:tc>
        <w:tc>
          <w:tcPr>
            <w:tcW w:w="1720" w:type="dxa"/>
            <w:tcBorders>
              <w:top w:val="nil"/>
              <w:left w:val="nil"/>
              <w:bottom w:val="single" w:sz="4" w:space="0" w:color="auto"/>
              <w:right w:val="single" w:sz="4" w:space="0" w:color="auto"/>
            </w:tcBorders>
            <w:shd w:val="clear" w:color="000000" w:fill="FFFFFF"/>
            <w:noWrap/>
          </w:tcPr>
          <w:p w14:paraId="7B6546CC" w14:textId="090ACFC1" w:rsidR="0056176B" w:rsidRPr="00036C06" w:rsidRDefault="001B69C0" w:rsidP="007F048D">
            <w:pPr>
              <w:spacing w:after="0" w:line="240" w:lineRule="auto"/>
              <w:jc w:val="right"/>
              <w:rPr>
                <w:rFonts w:ascii="Times New Roman" w:hAnsi="Times New Roman" w:cs="Times New Roman"/>
                <w:lang w:eastAsia="hr-HR"/>
              </w:rPr>
            </w:pPr>
            <w:r>
              <w:rPr>
                <w:rFonts w:ascii="Times New Roman" w:hAnsi="Times New Roman" w:cs="Times New Roman"/>
                <w:lang w:eastAsia="hr-HR"/>
              </w:rPr>
              <w:t>0,00</w:t>
            </w:r>
          </w:p>
        </w:tc>
      </w:tr>
      <w:tr w:rsidR="0056176B" w:rsidRPr="00036C06" w14:paraId="6C121857" w14:textId="77777777" w:rsidTr="007F048D">
        <w:trPr>
          <w:trHeight w:val="288"/>
        </w:trPr>
        <w:tc>
          <w:tcPr>
            <w:tcW w:w="3260" w:type="dxa"/>
            <w:tcBorders>
              <w:top w:val="single" w:sz="4" w:space="0" w:color="auto"/>
              <w:left w:val="single" w:sz="4" w:space="0" w:color="auto"/>
              <w:bottom w:val="single" w:sz="4" w:space="0" w:color="auto"/>
              <w:right w:val="single" w:sz="4" w:space="0" w:color="auto"/>
            </w:tcBorders>
            <w:shd w:val="clear" w:color="000000" w:fill="FFFFFF"/>
          </w:tcPr>
          <w:p w14:paraId="5226F641" w14:textId="561F9588" w:rsidR="0056176B" w:rsidRPr="00036C06" w:rsidRDefault="001B69C0" w:rsidP="007F048D">
            <w:pPr>
              <w:spacing w:after="0" w:line="240" w:lineRule="auto"/>
              <w:rPr>
                <w:rFonts w:ascii="Times New Roman" w:hAnsi="Times New Roman" w:cs="Times New Roman"/>
                <w:lang w:eastAsia="hr-HR"/>
              </w:rPr>
            </w:pPr>
            <w:r w:rsidRPr="00036C06">
              <w:rPr>
                <w:rFonts w:ascii="Times New Roman" w:hAnsi="Times New Roman" w:cs="Times New Roman"/>
                <w:lang w:eastAsia="hr-HR"/>
              </w:rPr>
              <w:t>Pomoći iz EU sredstava</w:t>
            </w:r>
            <w:r>
              <w:rPr>
                <w:rFonts w:ascii="Times New Roman" w:hAnsi="Times New Roman" w:cs="Times New Roman"/>
                <w:lang w:eastAsia="hr-HR"/>
              </w:rPr>
              <w:t xml:space="preserve"> – višak iz protekle godine</w:t>
            </w:r>
          </w:p>
        </w:tc>
        <w:tc>
          <w:tcPr>
            <w:tcW w:w="2000" w:type="dxa"/>
            <w:tcBorders>
              <w:top w:val="single" w:sz="4" w:space="0" w:color="auto"/>
              <w:left w:val="nil"/>
              <w:bottom w:val="single" w:sz="4" w:space="0" w:color="auto"/>
              <w:right w:val="single" w:sz="4" w:space="0" w:color="auto"/>
            </w:tcBorders>
            <w:shd w:val="clear" w:color="000000" w:fill="FFFFFF"/>
            <w:noWrap/>
          </w:tcPr>
          <w:p w14:paraId="3BC207BC" w14:textId="3A6DE904" w:rsidR="0056176B" w:rsidRDefault="001B69C0" w:rsidP="007F048D">
            <w:pPr>
              <w:spacing w:after="0" w:line="240" w:lineRule="auto"/>
              <w:jc w:val="right"/>
              <w:rPr>
                <w:rFonts w:ascii="Times New Roman" w:hAnsi="Times New Roman" w:cs="Times New Roman"/>
                <w:lang w:eastAsia="hr-HR"/>
              </w:rPr>
            </w:pPr>
            <w:r>
              <w:rPr>
                <w:rFonts w:ascii="Times New Roman" w:hAnsi="Times New Roman" w:cs="Times New Roman"/>
                <w:lang w:eastAsia="hr-HR"/>
              </w:rPr>
              <w:t>71,19</w:t>
            </w:r>
          </w:p>
        </w:tc>
        <w:tc>
          <w:tcPr>
            <w:tcW w:w="1960" w:type="dxa"/>
            <w:tcBorders>
              <w:top w:val="single" w:sz="4" w:space="0" w:color="auto"/>
              <w:left w:val="nil"/>
              <w:bottom w:val="single" w:sz="4" w:space="0" w:color="auto"/>
              <w:right w:val="single" w:sz="4" w:space="0" w:color="auto"/>
            </w:tcBorders>
            <w:shd w:val="clear" w:color="000000" w:fill="FFFFFF"/>
            <w:noWrap/>
          </w:tcPr>
          <w:p w14:paraId="1DAF9542" w14:textId="39EFF848" w:rsidR="0056176B" w:rsidRDefault="001B69C0" w:rsidP="007F048D">
            <w:pPr>
              <w:spacing w:after="0" w:line="240" w:lineRule="auto"/>
              <w:ind w:firstLineChars="100" w:firstLine="220"/>
              <w:jc w:val="right"/>
              <w:rPr>
                <w:rFonts w:ascii="Times New Roman" w:hAnsi="Times New Roman" w:cs="Times New Roman"/>
                <w:lang w:eastAsia="hr-HR"/>
              </w:rPr>
            </w:pPr>
            <w:r>
              <w:rPr>
                <w:rFonts w:ascii="Times New Roman" w:hAnsi="Times New Roman" w:cs="Times New Roman"/>
                <w:lang w:eastAsia="hr-HR"/>
              </w:rPr>
              <w:t>71,19</w:t>
            </w:r>
          </w:p>
        </w:tc>
        <w:tc>
          <w:tcPr>
            <w:tcW w:w="1720" w:type="dxa"/>
            <w:tcBorders>
              <w:top w:val="single" w:sz="4" w:space="0" w:color="auto"/>
              <w:left w:val="nil"/>
              <w:bottom w:val="single" w:sz="4" w:space="0" w:color="auto"/>
              <w:right w:val="single" w:sz="4" w:space="0" w:color="auto"/>
            </w:tcBorders>
            <w:shd w:val="clear" w:color="000000" w:fill="FFFFFF"/>
            <w:noWrap/>
          </w:tcPr>
          <w:p w14:paraId="73FDD645" w14:textId="77777777" w:rsidR="0056176B" w:rsidRDefault="0056176B" w:rsidP="007F048D">
            <w:pPr>
              <w:spacing w:after="0" w:line="240" w:lineRule="auto"/>
              <w:jc w:val="right"/>
              <w:rPr>
                <w:rFonts w:ascii="Times New Roman" w:hAnsi="Times New Roman" w:cs="Times New Roman"/>
                <w:lang w:eastAsia="hr-HR"/>
              </w:rPr>
            </w:pPr>
            <w:r>
              <w:rPr>
                <w:rFonts w:ascii="Times New Roman" w:hAnsi="Times New Roman" w:cs="Times New Roman"/>
                <w:lang w:eastAsia="hr-HR"/>
              </w:rPr>
              <w:t>0,00</w:t>
            </w:r>
          </w:p>
        </w:tc>
      </w:tr>
    </w:tbl>
    <w:p w14:paraId="197CDD1A" w14:textId="77777777" w:rsidR="0056176B" w:rsidRDefault="0056176B" w:rsidP="003C25A4">
      <w:pPr>
        <w:jc w:val="both"/>
        <w:rPr>
          <w:rFonts w:ascii="Times New Roman" w:hAnsi="Times New Roman" w:cs="Times New Roman"/>
        </w:rPr>
      </w:pPr>
    </w:p>
    <w:p w14:paraId="35572033" w14:textId="551A0C41" w:rsidR="00AB207B" w:rsidRDefault="00A734B6" w:rsidP="003C25A4">
      <w:pPr>
        <w:jc w:val="both"/>
        <w:rPr>
          <w:rFonts w:ascii="Times New Roman" w:hAnsi="Times New Roman" w:cs="Times New Roman"/>
        </w:rPr>
      </w:pPr>
      <w:r>
        <w:rPr>
          <w:rFonts w:ascii="Times New Roman" w:hAnsi="Times New Roman" w:cs="Times New Roman"/>
        </w:rPr>
        <w:t>Temeljem Odluke Agencije za plaćanja u poljoprivredi, ribarstvu i ruralnom razvoju sukladno Pravilniku o provedbi Nacionalne strategije za provedbu školske sheme voća i povrća te mlijeka i mliječnih proizvoda od školske godine 2023./2024. do školske godine 2028./2029. Gradu Garešnica</w:t>
      </w:r>
      <w:r w:rsidR="001B69C0">
        <w:rPr>
          <w:rFonts w:ascii="Times New Roman" w:hAnsi="Times New Roman" w:cs="Times New Roman"/>
        </w:rPr>
        <w:t xml:space="preserve"> u 2023.</w:t>
      </w:r>
      <w:r>
        <w:rPr>
          <w:rFonts w:ascii="Times New Roman" w:hAnsi="Times New Roman" w:cs="Times New Roman"/>
        </w:rPr>
        <w:t xml:space="preserve"> odobrena je </w:t>
      </w:r>
      <w:r w:rsidR="00485E79">
        <w:rPr>
          <w:rFonts w:ascii="Times New Roman" w:hAnsi="Times New Roman" w:cs="Times New Roman"/>
        </w:rPr>
        <w:t xml:space="preserve">isplata predujma za mjeru Distribucija i/ili isporuka voća i povrća i mlijeka i mliječnih proizvoda iz Europskog fonda </w:t>
      </w:r>
      <w:r w:rsidR="00CB57FF">
        <w:rPr>
          <w:rFonts w:ascii="Times New Roman" w:hAnsi="Times New Roman" w:cs="Times New Roman"/>
        </w:rPr>
        <w:t xml:space="preserve">za jamstva u poljoprivredi (EFJP) </w:t>
      </w:r>
      <w:r w:rsidR="00485E79">
        <w:rPr>
          <w:rFonts w:ascii="Times New Roman" w:hAnsi="Times New Roman" w:cs="Times New Roman"/>
        </w:rPr>
        <w:t xml:space="preserve">u iznosu od </w:t>
      </w:r>
      <w:r w:rsidR="00CB57FF">
        <w:rPr>
          <w:rFonts w:ascii="Times New Roman" w:hAnsi="Times New Roman" w:cs="Times New Roman"/>
        </w:rPr>
        <w:t>71,19 eura.</w:t>
      </w:r>
      <w:r w:rsidR="001B69C0">
        <w:rPr>
          <w:rFonts w:ascii="Times New Roman" w:hAnsi="Times New Roman" w:cs="Times New Roman"/>
        </w:rPr>
        <w:t xml:space="preserve"> Isti predujam (višak iz 2023. godine) planiran je u Proračunu Grada Garešnice za 2024. godinu kao izvor financiranja troškova u 2024. godini.</w:t>
      </w:r>
    </w:p>
    <w:p w14:paraId="707A6E2D" w14:textId="2C9B0894" w:rsidR="00CB57FF" w:rsidRDefault="00CB57FF" w:rsidP="003C25A4">
      <w:pPr>
        <w:jc w:val="both"/>
        <w:rPr>
          <w:rFonts w:ascii="Times New Roman" w:hAnsi="Times New Roman" w:cs="Times New Roman"/>
        </w:rPr>
      </w:pPr>
      <w:r>
        <w:rPr>
          <w:rFonts w:ascii="Times New Roman" w:hAnsi="Times New Roman" w:cs="Times New Roman"/>
        </w:rPr>
        <w:t>U 202</w:t>
      </w:r>
      <w:r w:rsidR="001B69C0">
        <w:rPr>
          <w:rFonts w:ascii="Times New Roman" w:hAnsi="Times New Roman" w:cs="Times New Roman"/>
        </w:rPr>
        <w:t>4</w:t>
      </w:r>
      <w:r>
        <w:rPr>
          <w:rFonts w:ascii="Times New Roman" w:hAnsi="Times New Roman" w:cs="Times New Roman"/>
        </w:rPr>
        <w:t xml:space="preserve">. godini </w:t>
      </w:r>
      <w:r w:rsidR="001B69C0">
        <w:rPr>
          <w:rFonts w:ascii="Times New Roman" w:hAnsi="Times New Roman" w:cs="Times New Roman"/>
        </w:rPr>
        <w:t>ukupno je utrošeno 549,75 eura (višak iz 2023. i zaprimljene pomoći u 2024. godini) pomoći temeljem prijenosa EU sredstava.</w:t>
      </w:r>
    </w:p>
    <w:p w14:paraId="1A63F2C2" w14:textId="77777777" w:rsidR="001A0D72" w:rsidRDefault="001A0D72" w:rsidP="003C25A4">
      <w:pPr>
        <w:jc w:val="both"/>
        <w:rPr>
          <w:rFonts w:ascii="Times New Roman" w:hAnsi="Times New Roman" w:cs="Times New Roman"/>
        </w:rPr>
      </w:pPr>
    </w:p>
    <w:tbl>
      <w:tblPr>
        <w:tblW w:w="8940" w:type="dxa"/>
        <w:tblLook w:val="04A0" w:firstRow="1" w:lastRow="0" w:firstColumn="1" w:lastColumn="0" w:noHBand="0" w:noVBand="1"/>
      </w:tblPr>
      <w:tblGrid>
        <w:gridCol w:w="3260"/>
        <w:gridCol w:w="2000"/>
        <w:gridCol w:w="1960"/>
        <w:gridCol w:w="1720"/>
      </w:tblGrid>
      <w:tr w:rsidR="001A0D72" w:rsidRPr="00036C06" w14:paraId="3A6851DF" w14:textId="77777777" w:rsidTr="007F048D">
        <w:trPr>
          <w:trHeight w:val="576"/>
        </w:trPr>
        <w:tc>
          <w:tcPr>
            <w:tcW w:w="3260"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0A6B668A" w14:textId="52468098" w:rsidR="001A0D72" w:rsidRPr="00036C06" w:rsidRDefault="00F700DE" w:rsidP="007F048D">
            <w:pPr>
              <w:spacing w:after="0" w:line="240" w:lineRule="auto"/>
              <w:jc w:val="center"/>
              <w:rPr>
                <w:rFonts w:ascii="Times New Roman" w:hAnsi="Times New Roman" w:cs="Times New Roman"/>
                <w:color w:val="FFFFFF"/>
                <w:lang w:eastAsia="hr-HR"/>
              </w:rPr>
            </w:pPr>
            <w:r>
              <w:rPr>
                <w:rFonts w:ascii="Times New Roman" w:hAnsi="Times New Roman" w:cs="Times New Roman"/>
                <w:color w:val="FFFFFF"/>
                <w:lang w:eastAsia="hr-HR"/>
              </w:rPr>
              <w:t>Projekt</w:t>
            </w:r>
          </w:p>
        </w:tc>
        <w:tc>
          <w:tcPr>
            <w:tcW w:w="2000" w:type="dxa"/>
            <w:tcBorders>
              <w:top w:val="single" w:sz="4" w:space="0" w:color="auto"/>
              <w:left w:val="nil"/>
              <w:bottom w:val="single" w:sz="4" w:space="0" w:color="auto"/>
              <w:right w:val="single" w:sz="4" w:space="0" w:color="auto"/>
            </w:tcBorders>
            <w:shd w:val="clear" w:color="000000" w:fill="002060"/>
            <w:vAlign w:val="center"/>
            <w:hideMark/>
          </w:tcPr>
          <w:p w14:paraId="55497E72" w14:textId="77777777" w:rsidR="001A0D72" w:rsidRPr="00036C06" w:rsidRDefault="001A0D72" w:rsidP="007F048D">
            <w:pPr>
              <w:spacing w:after="0" w:line="240" w:lineRule="auto"/>
              <w:jc w:val="center"/>
              <w:rPr>
                <w:rFonts w:ascii="Times New Roman" w:hAnsi="Times New Roman" w:cs="Times New Roman"/>
                <w:color w:val="FFFFFF"/>
                <w:lang w:eastAsia="hr-HR"/>
              </w:rPr>
            </w:pPr>
            <w:r>
              <w:rPr>
                <w:rFonts w:ascii="Times New Roman" w:hAnsi="Times New Roman" w:cs="Times New Roman"/>
                <w:color w:val="FFFFFF"/>
                <w:lang w:eastAsia="hr-HR"/>
              </w:rPr>
              <w:t>Izvor</w:t>
            </w:r>
          </w:p>
        </w:tc>
        <w:tc>
          <w:tcPr>
            <w:tcW w:w="1960" w:type="dxa"/>
            <w:tcBorders>
              <w:top w:val="single" w:sz="4" w:space="0" w:color="auto"/>
              <w:left w:val="nil"/>
              <w:bottom w:val="single" w:sz="4" w:space="0" w:color="auto"/>
              <w:right w:val="single" w:sz="4" w:space="0" w:color="auto"/>
            </w:tcBorders>
            <w:shd w:val="clear" w:color="000000" w:fill="002060"/>
            <w:vAlign w:val="center"/>
            <w:hideMark/>
          </w:tcPr>
          <w:p w14:paraId="7F84ABBC" w14:textId="77777777" w:rsidR="001A0D72" w:rsidRPr="00036C06" w:rsidRDefault="001A0D72" w:rsidP="007F048D">
            <w:pPr>
              <w:spacing w:after="0" w:line="240" w:lineRule="auto"/>
              <w:jc w:val="center"/>
              <w:rPr>
                <w:rFonts w:ascii="Times New Roman" w:hAnsi="Times New Roman" w:cs="Times New Roman"/>
                <w:color w:val="FFFFFF"/>
                <w:lang w:eastAsia="hr-HR"/>
              </w:rPr>
            </w:pPr>
            <w:r w:rsidRPr="00036C06">
              <w:rPr>
                <w:rFonts w:ascii="Times New Roman" w:hAnsi="Times New Roman" w:cs="Times New Roman"/>
                <w:color w:val="FFFFFF"/>
                <w:lang w:eastAsia="hr-HR"/>
              </w:rPr>
              <w:t>Izvršenje rashoda</w:t>
            </w:r>
          </w:p>
        </w:tc>
        <w:tc>
          <w:tcPr>
            <w:tcW w:w="1720" w:type="dxa"/>
            <w:tcBorders>
              <w:top w:val="single" w:sz="4" w:space="0" w:color="auto"/>
              <w:left w:val="nil"/>
              <w:bottom w:val="single" w:sz="4" w:space="0" w:color="auto"/>
              <w:right w:val="single" w:sz="4" w:space="0" w:color="auto"/>
            </w:tcBorders>
            <w:shd w:val="clear" w:color="000000" w:fill="002060"/>
            <w:vAlign w:val="center"/>
            <w:hideMark/>
          </w:tcPr>
          <w:p w14:paraId="1FBD40B6" w14:textId="77777777" w:rsidR="001A0D72" w:rsidRPr="00036C06" w:rsidRDefault="001A0D72" w:rsidP="007F048D">
            <w:pPr>
              <w:spacing w:after="0" w:line="240" w:lineRule="auto"/>
              <w:jc w:val="center"/>
              <w:rPr>
                <w:rFonts w:ascii="Times New Roman" w:hAnsi="Times New Roman" w:cs="Times New Roman"/>
                <w:color w:val="FFFFFF"/>
                <w:lang w:eastAsia="hr-HR"/>
              </w:rPr>
            </w:pPr>
            <w:r w:rsidRPr="00036C06">
              <w:rPr>
                <w:rFonts w:ascii="Times New Roman" w:hAnsi="Times New Roman" w:cs="Times New Roman"/>
                <w:color w:val="FFFFFF"/>
                <w:lang w:eastAsia="hr-HR"/>
              </w:rPr>
              <w:t>višak/ manjak u €</w:t>
            </w:r>
          </w:p>
        </w:tc>
      </w:tr>
      <w:tr w:rsidR="001A0D72" w:rsidRPr="00036C06" w14:paraId="58E19469" w14:textId="77777777" w:rsidTr="007F048D">
        <w:trPr>
          <w:trHeight w:val="288"/>
        </w:trPr>
        <w:tc>
          <w:tcPr>
            <w:tcW w:w="3260" w:type="dxa"/>
            <w:tcBorders>
              <w:top w:val="nil"/>
              <w:left w:val="single" w:sz="4" w:space="0" w:color="auto"/>
              <w:bottom w:val="single" w:sz="4" w:space="0" w:color="auto"/>
              <w:right w:val="single" w:sz="4" w:space="0" w:color="auto"/>
            </w:tcBorders>
            <w:shd w:val="clear" w:color="auto" w:fill="B8CCE4" w:themeFill="accent1" w:themeFillTint="66"/>
            <w:noWrap/>
          </w:tcPr>
          <w:p w14:paraId="4F19A3FD" w14:textId="0DC1CB72" w:rsidR="001A0D72" w:rsidRPr="00036C06" w:rsidRDefault="001A0D72" w:rsidP="007F048D">
            <w:pPr>
              <w:spacing w:after="0" w:line="240" w:lineRule="auto"/>
              <w:rPr>
                <w:rFonts w:ascii="Times New Roman" w:hAnsi="Times New Roman" w:cs="Times New Roman"/>
                <w:i/>
                <w:iCs/>
                <w:lang w:eastAsia="hr-HR"/>
              </w:rPr>
            </w:pPr>
            <w:r w:rsidRPr="00036C06">
              <w:rPr>
                <w:rFonts w:ascii="Times New Roman" w:hAnsi="Times New Roman" w:cs="Times New Roman"/>
              </w:rPr>
              <w:t>„</w:t>
            </w:r>
            <w:r>
              <w:rPr>
                <w:rFonts w:ascii="Times New Roman" w:hAnsi="Times New Roman" w:cs="Times New Roman"/>
              </w:rPr>
              <w:t>Školska shema 2024/2025</w:t>
            </w:r>
            <w:r w:rsidRPr="00036C06">
              <w:rPr>
                <w:rFonts w:ascii="Times New Roman" w:hAnsi="Times New Roman" w:cs="Times New Roman"/>
              </w:rPr>
              <w:t>“</w:t>
            </w:r>
          </w:p>
        </w:tc>
        <w:tc>
          <w:tcPr>
            <w:tcW w:w="2000" w:type="dxa"/>
            <w:tcBorders>
              <w:top w:val="nil"/>
              <w:left w:val="nil"/>
              <w:bottom w:val="single" w:sz="4" w:space="0" w:color="auto"/>
              <w:right w:val="single" w:sz="4" w:space="0" w:color="auto"/>
            </w:tcBorders>
            <w:shd w:val="clear" w:color="auto" w:fill="B8CCE4" w:themeFill="accent1" w:themeFillTint="66"/>
            <w:noWrap/>
            <w:vAlign w:val="bottom"/>
          </w:tcPr>
          <w:p w14:paraId="25B501CB" w14:textId="52AC847F" w:rsidR="001A0D72" w:rsidRPr="00036C06" w:rsidRDefault="00E474E2" w:rsidP="007F048D">
            <w:pPr>
              <w:spacing w:after="0" w:line="240" w:lineRule="auto"/>
              <w:jc w:val="right"/>
              <w:rPr>
                <w:rFonts w:ascii="Times New Roman" w:hAnsi="Times New Roman" w:cs="Times New Roman"/>
                <w:color w:val="000000"/>
                <w:lang w:eastAsia="hr-HR"/>
              </w:rPr>
            </w:pPr>
            <w:r>
              <w:rPr>
                <w:rFonts w:ascii="Times New Roman" w:hAnsi="Times New Roman" w:cs="Times New Roman"/>
                <w:color w:val="000000"/>
                <w:lang w:eastAsia="hr-HR"/>
              </w:rPr>
              <w:t>192,76</w:t>
            </w:r>
          </w:p>
        </w:tc>
        <w:tc>
          <w:tcPr>
            <w:tcW w:w="1960" w:type="dxa"/>
            <w:tcBorders>
              <w:top w:val="nil"/>
              <w:left w:val="nil"/>
              <w:bottom w:val="single" w:sz="4" w:space="0" w:color="auto"/>
              <w:right w:val="single" w:sz="4" w:space="0" w:color="auto"/>
            </w:tcBorders>
            <w:shd w:val="clear" w:color="auto" w:fill="B8CCE4" w:themeFill="accent1" w:themeFillTint="66"/>
            <w:noWrap/>
            <w:vAlign w:val="bottom"/>
          </w:tcPr>
          <w:p w14:paraId="2C129D44" w14:textId="572300DC" w:rsidR="001A0D72" w:rsidRPr="00036C06" w:rsidRDefault="001A0D72" w:rsidP="007F048D">
            <w:pPr>
              <w:spacing w:after="0" w:line="240" w:lineRule="auto"/>
              <w:jc w:val="right"/>
              <w:rPr>
                <w:rFonts w:ascii="Times New Roman" w:hAnsi="Times New Roman" w:cs="Times New Roman"/>
                <w:color w:val="000000"/>
                <w:lang w:eastAsia="hr-HR"/>
              </w:rPr>
            </w:pPr>
            <w:r>
              <w:rPr>
                <w:rFonts w:ascii="Times New Roman" w:hAnsi="Times New Roman" w:cs="Times New Roman"/>
                <w:color w:val="000000"/>
                <w:lang w:eastAsia="hr-HR"/>
              </w:rPr>
              <w:t>218,06</w:t>
            </w:r>
          </w:p>
        </w:tc>
        <w:tc>
          <w:tcPr>
            <w:tcW w:w="1720" w:type="dxa"/>
            <w:tcBorders>
              <w:top w:val="nil"/>
              <w:left w:val="nil"/>
              <w:bottom w:val="single" w:sz="4" w:space="0" w:color="auto"/>
              <w:right w:val="single" w:sz="4" w:space="0" w:color="auto"/>
            </w:tcBorders>
            <w:shd w:val="clear" w:color="auto" w:fill="B8CCE4" w:themeFill="accent1" w:themeFillTint="66"/>
            <w:noWrap/>
            <w:vAlign w:val="bottom"/>
          </w:tcPr>
          <w:p w14:paraId="61280F58" w14:textId="77777777" w:rsidR="001A0D72" w:rsidRPr="00036C06" w:rsidRDefault="001A0D72" w:rsidP="007F048D">
            <w:pPr>
              <w:spacing w:after="0" w:line="240" w:lineRule="auto"/>
              <w:jc w:val="right"/>
              <w:rPr>
                <w:rFonts w:ascii="Times New Roman" w:hAnsi="Times New Roman" w:cs="Times New Roman"/>
                <w:color w:val="000000"/>
                <w:lang w:eastAsia="hr-HR"/>
              </w:rPr>
            </w:pPr>
            <w:r>
              <w:rPr>
                <w:rFonts w:ascii="Times New Roman" w:hAnsi="Times New Roman" w:cs="Times New Roman"/>
                <w:color w:val="000000"/>
                <w:lang w:eastAsia="hr-HR"/>
              </w:rPr>
              <w:t>0,00</w:t>
            </w:r>
          </w:p>
        </w:tc>
      </w:tr>
      <w:tr w:rsidR="001A0D72" w:rsidRPr="00036C06" w14:paraId="3304EC91" w14:textId="77777777" w:rsidTr="007F048D">
        <w:trPr>
          <w:trHeight w:val="288"/>
        </w:trPr>
        <w:tc>
          <w:tcPr>
            <w:tcW w:w="3260" w:type="dxa"/>
            <w:tcBorders>
              <w:top w:val="nil"/>
              <w:left w:val="single" w:sz="4" w:space="0" w:color="auto"/>
              <w:bottom w:val="single" w:sz="4" w:space="0" w:color="auto"/>
              <w:right w:val="single" w:sz="4" w:space="0" w:color="auto"/>
            </w:tcBorders>
            <w:shd w:val="clear" w:color="000000" w:fill="FFFFFF"/>
            <w:hideMark/>
          </w:tcPr>
          <w:p w14:paraId="3B9A4328" w14:textId="77777777" w:rsidR="001A0D72" w:rsidRPr="00036C06" w:rsidRDefault="001A0D72" w:rsidP="007F048D">
            <w:pPr>
              <w:spacing w:after="0" w:line="240" w:lineRule="auto"/>
              <w:rPr>
                <w:rFonts w:ascii="Times New Roman" w:hAnsi="Times New Roman" w:cs="Times New Roman"/>
                <w:lang w:eastAsia="hr-HR"/>
              </w:rPr>
            </w:pPr>
            <w:r w:rsidRPr="00036C06">
              <w:rPr>
                <w:rFonts w:ascii="Times New Roman" w:hAnsi="Times New Roman" w:cs="Times New Roman"/>
                <w:lang w:eastAsia="hr-HR"/>
              </w:rPr>
              <w:t>Pomoći iz EU sredstava</w:t>
            </w:r>
          </w:p>
        </w:tc>
        <w:tc>
          <w:tcPr>
            <w:tcW w:w="2000" w:type="dxa"/>
            <w:tcBorders>
              <w:top w:val="nil"/>
              <w:left w:val="nil"/>
              <w:bottom w:val="single" w:sz="4" w:space="0" w:color="auto"/>
              <w:right w:val="single" w:sz="4" w:space="0" w:color="auto"/>
            </w:tcBorders>
            <w:shd w:val="clear" w:color="000000" w:fill="FFFFFF"/>
            <w:noWrap/>
          </w:tcPr>
          <w:p w14:paraId="280F221C" w14:textId="7DAB1736" w:rsidR="001A0D72" w:rsidRPr="00036C06" w:rsidRDefault="00E474E2" w:rsidP="007F048D">
            <w:pPr>
              <w:spacing w:after="0" w:line="240" w:lineRule="auto"/>
              <w:jc w:val="right"/>
              <w:rPr>
                <w:rFonts w:ascii="Times New Roman" w:hAnsi="Times New Roman" w:cs="Times New Roman"/>
                <w:lang w:eastAsia="hr-HR"/>
              </w:rPr>
            </w:pPr>
            <w:r>
              <w:rPr>
                <w:rFonts w:ascii="Times New Roman" w:hAnsi="Times New Roman" w:cs="Times New Roman"/>
                <w:lang w:eastAsia="hr-HR"/>
              </w:rPr>
              <w:t>83,81</w:t>
            </w:r>
          </w:p>
        </w:tc>
        <w:tc>
          <w:tcPr>
            <w:tcW w:w="1960" w:type="dxa"/>
            <w:tcBorders>
              <w:top w:val="nil"/>
              <w:left w:val="nil"/>
              <w:bottom w:val="single" w:sz="4" w:space="0" w:color="auto"/>
              <w:right w:val="single" w:sz="4" w:space="0" w:color="auto"/>
            </w:tcBorders>
            <w:shd w:val="clear" w:color="000000" w:fill="FFFFFF"/>
            <w:noWrap/>
          </w:tcPr>
          <w:p w14:paraId="679C5812" w14:textId="6A743287" w:rsidR="001A0D72" w:rsidRPr="00036C06" w:rsidRDefault="001A0D72" w:rsidP="007F048D">
            <w:pPr>
              <w:spacing w:after="0" w:line="240" w:lineRule="auto"/>
              <w:ind w:firstLineChars="100" w:firstLine="220"/>
              <w:jc w:val="right"/>
              <w:rPr>
                <w:rFonts w:ascii="Times New Roman" w:hAnsi="Times New Roman" w:cs="Times New Roman"/>
                <w:lang w:eastAsia="hr-HR"/>
              </w:rPr>
            </w:pPr>
            <w:r>
              <w:rPr>
                <w:rFonts w:ascii="Times New Roman" w:hAnsi="Times New Roman" w:cs="Times New Roman"/>
                <w:lang w:eastAsia="hr-HR"/>
              </w:rPr>
              <w:t>207,67</w:t>
            </w:r>
          </w:p>
        </w:tc>
        <w:tc>
          <w:tcPr>
            <w:tcW w:w="1720" w:type="dxa"/>
            <w:tcBorders>
              <w:top w:val="nil"/>
              <w:left w:val="nil"/>
              <w:bottom w:val="single" w:sz="4" w:space="0" w:color="auto"/>
              <w:right w:val="single" w:sz="4" w:space="0" w:color="auto"/>
            </w:tcBorders>
            <w:shd w:val="clear" w:color="000000" w:fill="FFFFFF"/>
            <w:noWrap/>
          </w:tcPr>
          <w:p w14:paraId="73EBAAD0" w14:textId="56B0270F" w:rsidR="001A0D72" w:rsidRPr="00036C06" w:rsidRDefault="00E474E2" w:rsidP="007F048D">
            <w:pPr>
              <w:spacing w:after="0" w:line="240" w:lineRule="auto"/>
              <w:jc w:val="right"/>
              <w:rPr>
                <w:rFonts w:ascii="Times New Roman" w:hAnsi="Times New Roman" w:cs="Times New Roman"/>
                <w:lang w:eastAsia="hr-HR"/>
              </w:rPr>
            </w:pPr>
            <w:r>
              <w:rPr>
                <w:rFonts w:ascii="Times New Roman" w:hAnsi="Times New Roman" w:cs="Times New Roman"/>
                <w:lang w:eastAsia="hr-HR"/>
              </w:rPr>
              <w:t>-123,86</w:t>
            </w:r>
          </w:p>
        </w:tc>
      </w:tr>
      <w:tr w:rsidR="001A0D72" w:rsidRPr="00036C06" w14:paraId="16FCAC54" w14:textId="77777777" w:rsidTr="007F048D">
        <w:trPr>
          <w:trHeight w:val="288"/>
        </w:trPr>
        <w:tc>
          <w:tcPr>
            <w:tcW w:w="3260" w:type="dxa"/>
            <w:tcBorders>
              <w:top w:val="single" w:sz="4" w:space="0" w:color="auto"/>
              <w:left w:val="single" w:sz="4" w:space="0" w:color="auto"/>
              <w:bottom w:val="single" w:sz="4" w:space="0" w:color="auto"/>
              <w:right w:val="single" w:sz="4" w:space="0" w:color="auto"/>
            </w:tcBorders>
            <w:shd w:val="clear" w:color="000000" w:fill="FFFFFF"/>
          </w:tcPr>
          <w:p w14:paraId="5EF44C04" w14:textId="7070D878" w:rsidR="001A0D72" w:rsidRPr="00036C06" w:rsidRDefault="001A0D72" w:rsidP="007F048D">
            <w:pPr>
              <w:spacing w:after="0" w:line="240" w:lineRule="auto"/>
              <w:rPr>
                <w:rFonts w:ascii="Times New Roman" w:hAnsi="Times New Roman" w:cs="Times New Roman"/>
                <w:lang w:eastAsia="hr-HR"/>
              </w:rPr>
            </w:pPr>
            <w:r w:rsidRPr="00036C06">
              <w:rPr>
                <w:rFonts w:ascii="Times New Roman" w:hAnsi="Times New Roman" w:cs="Times New Roman"/>
                <w:lang w:eastAsia="hr-HR"/>
              </w:rPr>
              <w:t xml:space="preserve">Pomoći iz </w:t>
            </w:r>
            <w:r>
              <w:rPr>
                <w:rFonts w:ascii="Times New Roman" w:hAnsi="Times New Roman" w:cs="Times New Roman"/>
                <w:lang w:eastAsia="hr-HR"/>
              </w:rPr>
              <w:t>Državnog proračuna</w:t>
            </w:r>
          </w:p>
        </w:tc>
        <w:tc>
          <w:tcPr>
            <w:tcW w:w="2000" w:type="dxa"/>
            <w:tcBorders>
              <w:top w:val="single" w:sz="4" w:space="0" w:color="auto"/>
              <w:left w:val="nil"/>
              <w:bottom w:val="single" w:sz="4" w:space="0" w:color="auto"/>
              <w:right w:val="single" w:sz="4" w:space="0" w:color="auto"/>
            </w:tcBorders>
            <w:shd w:val="clear" w:color="000000" w:fill="FFFFFF"/>
            <w:noWrap/>
          </w:tcPr>
          <w:p w14:paraId="5D153162" w14:textId="0BF878A7" w:rsidR="001A0D72" w:rsidRDefault="00E474E2" w:rsidP="007F048D">
            <w:pPr>
              <w:spacing w:after="0" w:line="240" w:lineRule="auto"/>
              <w:jc w:val="right"/>
              <w:rPr>
                <w:rFonts w:ascii="Times New Roman" w:hAnsi="Times New Roman" w:cs="Times New Roman"/>
                <w:lang w:eastAsia="hr-HR"/>
              </w:rPr>
            </w:pPr>
            <w:r>
              <w:rPr>
                <w:rFonts w:ascii="Times New Roman" w:hAnsi="Times New Roman" w:cs="Times New Roman"/>
                <w:lang w:eastAsia="hr-HR"/>
              </w:rPr>
              <w:t>91,75</w:t>
            </w:r>
          </w:p>
        </w:tc>
        <w:tc>
          <w:tcPr>
            <w:tcW w:w="1960" w:type="dxa"/>
            <w:tcBorders>
              <w:top w:val="single" w:sz="4" w:space="0" w:color="auto"/>
              <w:left w:val="nil"/>
              <w:bottom w:val="single" w:sz="4" w:space="0" w:color="auto"/>
              <w:right w:val="single" w:sz="4" w:space="0" w:color="auto"/>
            </w:tcBorders>
            <w:shd w:val="clear" w:color="000000" w:fill="FFFFFF"/>
            <w:noWrap/>
          </w:tcPr>
          <w:p w14:paraId="11146714" w14:textId="49B1F456" w:rsidR="001A0D72" w:rsidRDefault="001A0D72" w:rsidP="007F048D">
            <w:pPr>
              <w:spacing w:after="0" w:line="240" w:lineRule="auto"/>
              <w:ind w:firstLineChars="100" w:firstLine="220"/>
              <w:jc w:val="right"/>
              <w:rPr>
                <w:rFonts w:ascii="Times New Roman" w:hAnsi="Times New Roman" w:cs="Times New Roman"/>
                <w:lang w:eastAsia="hr-HR"/>
              </w:rPr>
            </w:pPr>
            <w:r>
              <w:rPr>
                <w:rFonts w:ascii="Times New Roman" w:hAnsi="Times New Roman" w:cs="Times New Roman"/>
                <w:lang w:eastAsia="hr-HR"/>
              </w:rPr>
              <w:t>10,39</w:t>
            </w:r>
          </w:p>
        </w:tc>
        <w:tc>
          <w:tcPr>
            <w:tcW w:w="1720" w:type="dxa"/>
            <w:tcBorders>
              <w:top w:val="single" w:sz="4" w:space="0" w:color="auto"/>
              <w:left w:val="nil"/>
              <w:bottom w:val="single" w:sz="4" w:space="0" w:color="auto"/>
              <w:right w:val="single" w:sz="4" w:space="0" w:color="auto"/>
            </w:tcBorders>
            <w:shd w:val="clear" w:color="000000" w:fill="FFFFFF"/>
            <w:noWrap/>
          </w:tcPr>
          <w:p w14:paraId="56C32203" w14:textId="07F38E51" w:rsidR="001A0D72" w:rsidRDefault="00A96B37" w:rsidP="007F048D">
            <w:pPr>
              <w:spacing w:after="0" w:line="240" w:lineRule="auto"/>
              <w:jc w:val="right"/>
              <w:rPr>
                <w:rFonts w:ascii="Times New Roman" w:hAnsi="Times New Roman" w:cs="Times New Roman"/>
                <w:lang w:eastAsia="hr-HR"/>
              </w:rPr>
            </w:pPr>
            <w:r>
              <w:rPr>
                <w:rFonts w:ascii="Times New Roman" w:hAnsi="Times New Roman" w:cs="Times New Roman"/>
                <w:lang w:eastAsia="hr-HR"/>
              </w:rPr>
              <w:t>81,36</w:t>
            </w:r>
          </w:p>
        </w:tc>
      </w:tr>
    </w:tbl>
    <w:p w14:paraId="3EB03EF1" w14:textId="77777777" w:rsidR="001A0D72" w:rsidRPr="00AB207B" w:rsidRDefault="001A0D72" w:rsidP="003C25A4">
      <w:pPr>
        <w:jc w:val="both"/>
        <w:rPr>
          <w:rFonts w:ascii="Times New Roman" w:hAnsi="Times New Roman" w:cs="Times New Roman"/>
        </w:rPr>
      </w:pPr>
    </w:p>
    <w:p w14:paraId="6F242E31" w14:textId="72E717CF" w:rsidR="001A0D72" w:rsidRDefault="0056176B" w:rsidP="0056176B">
      <w:pPr>
        <w:jc w:val="both"/>
        <w:rPr>
          <w:rFonts w:ascii="Times New Roman" w:hAnsi="Times New Roman" w:cs="Times New Roman"/>
        </w:rPr>
      </w:pPr>
      <w:r>
        <w:rPr>
          <w:rFonts w:ascii="Times New Roman" w:hAnsi="Times New Roman" w:cs="Times New Roman"/>
        </w:rPr>
        <w:t>Temeljem Odluke Agencije za plaćanja u poljoprivredi, ribarstvu i ruralnom razvoju sukladno Pravilniku o provedbi Nacionalne strategije za provedbu školske sheme voća i povrća te mlijeka i mliječnih proizvoda od školske godine 202</w:t>
      </w:r>
      <w:r w:rsidR="001B69C0">
        <w:rPr>
          <w:rFonts w:ascii="Times New Roman" w:hAnsi="Times New Roman" w:cs="Times New Roman"/>
        </w:rPr>
        <w:t>4</w:t>
      </w:r>
      <w:r>
        <w:rPr>
          <w:rFonts w:ascii="Times New Roman" w:hAnsi="Times New Roman" w:cs="Times New Roman"/>
        </w:rPr>
        <w:t>./202</w:t>
      </w:r>
      <w:r w:rsidR="001B69C0">
        <w:rPr>
          <w:rFonts w:ascii="Times New Roman" w:hAnsi="Times New Roman" w:cs="Times New Roman"/>
        </w:rPr>
        <w:t>5</w:t>
      </w:r>
      <w:r>
        <w:rPr>
          <w:rFonts w:ascii="Times New Roman" w:hAnsi="Times New Roman" w:cs="Times New Roman"/>
        </w:rPr>
        <w:t>. do školske godine 2028./2029. Gradu Garešnica odobrena je isplata predujma za mjeru Distribucija i/ili isporuka voća i povrća i mlijeka i mliječnih proizvoda iz Europskog fonda za jamstva u poljoprivredi (EFJP) u iznosu od</w:t>
      </w:r>
      <w:r w:rsidR="00A96B37">
        <w:rPr>
          <w:rFonts w:ascii="Times New Roman" w:hAnsi="Times New Roman" w:cs="Times New Roman"/>
        </w:rPr>
        <w:t xml:space="preserve"> </w:t>
      </w:r>
      <w:r w:rsidR="00D1261D">
        <w:rPr>
          <w:rFonts w:ascii="Times New Roman" w:hAnsi="Times New Roman" w:cs="Times New Roman"/>
        </w:rPr>
        <w:t>83,81</w:t>
      </w:r>
      <w:r>
        <w:rPr>
          <w:rFonts w:ascii="Times New Roman" w:hAnsi="Times New Roman" w:cs="Times New Roman"/>
        </w:rPr>
        <w:t xml:space="preserve"> eura</w:t>
      </w:r>
      <w:r w:rsidR="001A0D72">
        <w:rPr>
          <w:rFonts w:ascii="Times New Roman" w:hAnsi="Times New Roman" w:cs="Times New Roman"/>
        </w:rPr>
        <w:t xml:space="preserve"> i državnog proračuna u iznosu od </w:t>
      </w:r>
      <w:r w:rsidR="00A96B37">
        <w:rPr>
          <w:rFonts w:ascii="Times New Roman" w:hAnsi="Times New Roman" w:cs="Times New Roman"/>
        </w:rPr>
        <w:t>91,75</w:t>
      </w:r>
      <w:r w:rsidR="001A0D72">
        <w:rPr>
          <w:rFonts w:ascii="Times New Roman" w:hAnsi="Times New Roman" w:cs="Times New Roman"/>
        </w:rPr>
        <w:t xml:space="preserve"> eura.</w:t>
      </w:r>
    </w:p>
    <w:p w14:paraId="2C457433" w14:textId="5F33A672" w:rsidR="00D1261D" w:rsidRDefault="00D1261D" w:rsidP="00D1261D">
      <w:pPr>
        <w:jc w:val="both"/>
        <w:rPr>
          <w:rFonts w:ascii="Times New Roman" w:hAnsi="Times New Roman" w:cs="Times New Roman"/>
        </w:rPr>
      </w:pPr>
      <w:r>
        <w:rPr>
          <w:rFonts w:ascii="Times New Roman" w:hAnsi="Times New Roman" w:cs="Times New Roman"/>
        </w:rPr>
        <w:t>Pokriće manjka sredstava pomoći temeljem prijenosa EU sredstava planirat će se u I. izmjenama i dopunama Proračuna Grada Garešnice za 2025. godinu.</w:t>
      </w:r>
    </w:p>
    <w:p w14:paraId="156138A3" w14:textId="77777777" w:rsidR="0074675E" w:rsidRDefault="0074675E" w:rsidP="003C25A4">
      <w:pPr>
        <w:jc w:val="both"/>
        <w:rPr>
          <w:rFonts w:ascii="Times New Roman" w:hAnsi="Times New Roman" w:cs="Times New Roman"/>
          <w:u w:val="single"/>
        </w:rPr>
      </w:pPr>
    </w:p>
    <w:p w14:paraId="34A240A6" w14:textId="5FC7F725" w:rsidR="00AB207B" w:rsidRDefault="00B81DE5" w:rsidP="003C25A4">
      <w:pPr>
        <w:jc w:val="both"/>
        <w:rPr>
          <w:rFonts w:ascii="Times New Roman" w:hAnsi="Times New Roman" w:cs="Times New Roman"/>
          <w:u w:val="single"/>
        </w:rPr>
      </w:pPr>
      <w:r>
        <w:rPr>
          <w:rFonts w:ascii="Times New Roman" w:hAnsi="Times New Roman" w:cs="Times New Roman"/>
          <w:u w:val="single"/>
        </w:rPr>
        <w:t>Kapitalni projekt - K101605 Dogradnja dječjeg vrtića Maslačak</w:t>
      </w:r>
    </w:p>
    <w:p w14:paraId="0D960056" w14:textId="431F3B1B" w:rsidR="005E1E78" w:rsidRDefault="005E1E78" w:rsidP="003C25A4">
      <w:pPr>
        <w:jc w:val="both"/>
        <w:rPr>
          <w:rFonts w:ascii="Times New Roman" w:hAnsi="Times New Roman" w:cs="Times New Roman"/>
        </w:rPr>
      </w:pPr>
      <w:r>
        <w:rPr>
          <w:rFonts w:ascii="Times New Roman" w:hAnsi="Times New Roman" w:cs="Times New Roman"/>
        </w:rPr>
        <w:t>Grad Garešnica je sa Ministarstvom znanosti i obrazovanja potpisao Ugovor o dodjeli bespovratnih sredstava za projekte koji se financiraju iz mehanizma za oporavak i otpornost NPOO.C3.1.R1-11.02.0121 za projekt Dogradnja Dječjeg vrtića Maslačak, provedbeno tijelo Središnja agencija za financiranje i ugovaranje programa i projekata Europske unije dana 13.03.2024. godine</w:t>
      </w:r>
      <w:r w:rsidR="00AA2532">
        <w:rPr>
          <w:rFonts w:ascii="Times New Roman" w:hAnsi="Times New Roman" w:cs="Times New Roman"/>
        </w:rPr>
        <w:t xml:space="preserve"> kojim nam se dodjeljuju </w:t>
      </w:r>
      <w:r w:rsidR="00F700DE">
        <w:rPr>
          <w:rFonts w:ascii="Times New Roman" w:hAnsi="Times New Roman" w:cs="Times New Roman"/>
        </w:rPr>
        <w:t>bespovratna sredstva u iznosu od 487.359,00 eura. Razdoblje provedbe projekta od 13. ožujka 2024. godine do 31.12.2025. godine</w:t>
      </w:r>
      <w:r w:rsidR="0074675E">
        <w:rPr>
          <w:rFonts w:ascii="Times New Roman" w:hAnsi="Times New Roman" w:cs="Times New Roman"/>
        </w:rPr>
        <w:t>.</w:t>
      </w:r>
    </w:p>
    <w:tbl>
      <w:tblPr>
        <w:tblW w:w="8940" w:type="dxa"/>
        <w:tblLook w:val="04A0" w:firstRow="1" w:lastRow="0" w:firstColumn="1" w:lastColumn="0" w:noHBand="0" w:noVBand="1"/>
      </w:tblPr>
      <w:tblGrid>
        <w:gridCol w:w="3260"/>
        <w:gridCol w:w="2000"/>
        <w:gridCol w:w="1960"/>
        <w:gridCol w:w="1720"/>
      </w:tblGrid>
      <w:tr w:rsidR="00F700DE" w:rsidRPr="00036C06" w14:paraId="57FA4FBB" w14:textId="77777777" w:rsidTr="009F18D5">
        <w:trPr>
          <w:trHeight w:val="576"/>
        </w:trPr>
        <w:tc>
          <w:tcPr>
            <w:tcW w:w="3260"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78F596AC" w14:textId="641791B6" w:rsidR="00F700DE" w:rsidRPr="00036C06" w:rsidRDefault="00F700DE" w:rsidP="009F18D5">
            <w:pPr>
              <w:spacing w:after="0" w:line="240" w:lineRule="auto"/>
              <w:jc w:val="center"/>
              <w:rPr>
                <w:rFonts w:ascii="Times New Roman" w:hAnsi="Times New Roman" w:cs="Times New Roman"/>
                <w:color w:val="FFFFFF"/>
                <w:lang w:eastAsia="hr-HR"/>
              </w:rPr>
            </w:pPr>
            <w:r w:rsidRPr="00036C06">
              <w:rPr>
                <w:rFonts w:ascii="Times New Roman" w:hAnsi="Times New Roman" w:cs="Times New Roman"/>
                <w:color w:val="FFFFFF"/>
                <w:lang w:eastAsia="hr-HR"/>
              </w:rPr>
              <w:t>Projekt</w:t>
            </w:r>
          </w:p>
        </w:tc>
        <w:tc>
          <w:tcPr>
            <w:tcW w:w="2000" w:type="dxa"/>
            <w:tcBorders>
              <w:top w:val="single" w:sz="4" w:space="0" w:color="auto"/>
              <w:left w:val="nil"/>
              <w:bottom w:val="single" w:sz="4" w:space="0" w:color="auto"/>
              <w:right w:val="single" w:sz="4" w:space="0" w:color="auto"/>
            </w:tcBorders>
            <w:shd w:val="clear" w:color="000000" w:fill="002060"/>
            <w:vAlign w:val="center"/>
            <w:hideMark/>
          </w:tcPr>
          <w:p w14:paraId="00A23B8D" w14:textId="77777777" w:rsidR="00F700DE" w:rsidRPr="00036C06" w:rsidRDefault="00F700DE" w:rsidP="009F18D5">
            <w:pPr>
              <w:spacing w:after="0" w:line="240" w:lineRule="auto"/>
              <w:jc w:val="center"/>
              <w:rPr>
                <w:rFonts w:ascii="Times New Roman" w:hAnsi="Times New Roman" w:cs="Times New Roman"/>
                <w:color w:val="FFFFFF"/>
                <w:lang w:eastAsia="hr-HR"/>
              </w:rPr>
            </w:pPr>
            <w:r>
              <w:rPr>
                <w:rFonts w:ascii="Times New Roman" w:hAnsi="Times New Roman" w:cs="Times New Roman"/>
                <w:color w:val="FFFFFF"/>
                <w:lang w:eastAsia="hr-HR"/>
              </w:rPr>
              <w:t>Izvor</w:t>
            </w:r>
          </w:p>
        </w:tc>
        <w:tc>
          <w:tcPr>
            <w:tcW w:w="1960" w:type="dxa"/>
            <w:tcBorders>
              <w:top w:val="single" w:sz="4" w:space="0" w:color="auto"/>
              <w:left w:val="nil"/>
              <w:bottom w:val="single" w:sz="4" w:space="0" w:color="auto"/>
              <w:right w:val="single" w:sz="4" w:space="0" w:color="auto"/>
            </w:tcBorders>
            <w:shd w:val="clear" w:color="000000" w:fill="002060"/>
            <w:vAlign w:val="center"/>
            <w:hideMark/>
          </w:tcPr>
          <w:p w14:paraId="6AD33576" w14:textId="77777777" w:rsidR="00F700DE" w:rsidRPr="00036C06" w:rsidRDefault="00F700DE" w:rsidP="009F18D5">
            <w:pPr>
              <w:spacing w:after="0" w:line="240" w:lineRule="auto"/>
              <w:jc w:val="center"/>
              <w:rPr>
                <w:rFonts w:ascii="Times New Roman" w:hAnsi="Times New Roman" w:cs="Times New Roman"/>
                <w:color w:val="FFFFFF"/>
                <w:lang w:eastAsia="hr-HR"/>
              </w:rPr>
            </w:pPr>
            <w:r w:rsidRPr="00036C06">
              <w:rPr>
                <w:rFonts w:ascii="Times New Roman" w:hAnsi="Times New Roman" w:cs="Times New Roman"/>
                <w:color w:val="FFFFFF"/>
                <w:lang w:eastAsia="hr-HR"/>
              </w:rPr>
              <w:t>Izvršenje rashoda</w:t>
            </w:r>
          </w:p>
        </w:tc>
        <w:tc>
          <w:tcPr>
            <w:tcW w:w="1720" w:type="dxa"/>
            <w:tcBorders>
              <w:top w:val="single" w:sz="4" w:space="0" w:color="auto"/>
              <w:left w:val="nil"/>
              <w:bottom w:val="single" w:sz="4" w:space="0" w:color="auto"/>
              <w:right w:val="single" w:sz="4" w:space="0" w:color="auto"/>
            </w:tcBorders>
            <w:shd w:val="clear" w:color="000000" w:fill="002060"/>
            <w:vAlign w:val="center"/>
            <w:hideMark/>
          </w:tcPr>
          <w:p w14:paraId="43B6D446" w14:textId="77777777" w:rsidR="00F700DE" w:rsidRPr="00036C06" w:rsidRDefault="00F700DE" w:rsidP="009F18D5">
            <w:pPr>
              <w:spacing w:after="0" w:line="240" w:lineRule="auto"/>
              <w:jc w:val="center"/>
              <w:rPr>
                <w:rFonts w:ascii="Times New Roman" w:hAnsi="Times New Roman" w:cs="Times New Roman"/>
                <w:color w:val="FFFFFF"/>
                <w:lang w:eastAsia="hr-HR"/>
              </w:rPr>
            </w:pPr>
            <w:r w:rsidRPr="00036C06">
              <w:rPr>
                <w:rFonts w:ascii="Times New Roman" w:hAnsi="Times New Roman" w:cs="Times New Roman"/>
                <w:color w:val="FFFFFF"/>
                <w:lang w:eastAsia="hr-HR"/>
              </w:rPr>
              <w:t>višak/ manjak u €</w:t>
            </w:r>
          </w:p>
        </w:tc>
      </w:tr>
      <w:tr w:rsidR="00F700DE" w:rsidRPr="00036C06" w14:paraId="2B8AE04B" w14:textId="77777777" w:rsidTr="009F18D5">
        <w:trPr>
          <w:trHeight w:val="288"/>
        </w:trPr>
        <w:tc>
          <w:tcPr>
            <w:tcW w:w="3260" w:type="dxa"/>
            <w:tcBorders>
              <w:top w:val="nil"/>
              <w:left w:val="single" w:sz="4" w:space="0" w:color="auto"/>
              <w:bottom w:val="single" w:sz="4" w:space="0" w:color="auto"/>
              <w:right w:val="single" w:sz="4" w:space="0" w:color="auto"/>
            </w:tcBorders>
            <w:shd w:val="clear" w:color="auto" w:fill="B8CCE4" w:themeFill="accent1" w:themeFillTint="66"/>
            <w:noWrap/>
          </w:tcPr>
          <w:p w14:paraId="38D18BA8" w14:textId="09BDF5C9" w:rsidR="00F700DE" w:rsidRPr="00036C06" w:rsidRDefault="00F700DE" w:rsidP="009F18D5">
            <w:pPr>
              <w:spacing w:after="0" w:line="240" w:lineRule="auto"/>
              <w:rPr>
                <w:rFonts w:ascii="Times New Roman" w:hAnsi="Times New Roman" w:cs="Times New Roman"/>
                <w:i/>
                <w:iCs/>
                <w:lang w:eastAsia="hr-HR"/>
              </w:rPr>
            </w:pPr>
            <w:r>
              <w:rPr>
                <w:rFonts w:ascii="Times New Roman" w:hAnsi="Times New Roman" w:cs="Times New Roman"/>
                <w:i/>
                <w:iCs/>
                <w:lang w:eastAsia="hr-HR"/>
              </w:rPr>
              <w:t>Dogradnja dječjeg vrtića Maslačak</w:t>
            </w:r>
          </w:p>
        </w:tc>
        <w:tc>
          <w:tcPr>
            <w:tcW w:w="2000" w:type="dxa"/>
            <w:tcBorders>
              <w:top w:val="nil"/>
              <w:left w:val="nil"/>
              <w:bottom w:val="single" w:sz="4" w:space="0" w:color="auto"/>
              <w:right w:val="single" w:sz="4" w:space="0" w:color="auto"/>
            </w:tcBorders>
            <w:shd w:val="clear" w:color="auto" w:fill="B8CCE4" w:themeFill="accent1" w:themeFillTint="66"/>
            <w:noWrap/>
            <w:vAlign w:val="bottom"/>
          </w:tcPr>
          <w:p w14:paraId="59E773E3" w14:textId="5870339C" w:rsidR="00F700DE" w:rsidRPr="00036C06" w:rsidRDefault="0074675E" w:rsidP="009F18D5">
            <w:pPr>
              <w:spacing w:after="0" w:line="240" w:lineRule="auto"/>
              <w:jc w:val="right"/>
              <w:rPr>
                <w:rFonts w:ascii="Times New Roman" w:hAnsi="Times New Roman" w:cs="Times New Roman"/>
                <w:color w:val="000000"/>
                <w:lang w:eastAsia="hr-HR"/>
              </w:rPr>
            </w:pPr>
            <w:r>
              <w:rPr>
                <w:rFonts w:ascii="Times New Roman" w:hAnsi="Times New Roman" w:cs="Times New Roman"/>
                <w:color w:val="000000"/>
                <w:lang w:eastAsia="hr-HR"/>
              </w:rPr>
              <w:t>36.612,50</w:t>
            </w:r>
          </w:p>
        </w:tc>
        <w:tc>
          <w:tcPr>
            <w:tcW w:w="1960" w:type="dxa"/>
            <w:tcBorders>
              <w:top w:val="nil"/>
              <w:left w:val="nil"/>
              <w:bottom w:val="single" w:sz="4" w:space="0" w:color="auto"/>
              <w:right w:val="single" w:sz="4" w:space="0" w:color="auto"/>
            </w:tcBorders>
            <w:shd w:val="clear" w:color="auto" w:fill="B8CCE4" w:themeFill="accent1" w:themeFillTint="66"/>
            <w:noWrap/>
            <w:vAlign w:val="bottom"/>
          </w:tcPr>
          <w:p w14:paraId="1F55ACB9" w14:textId="24BE6D2D" w:rsidR="00F700DE" w:rsidRPr="00036C06" w:rsidRDefault="0074675E" w:rsidP="009F18D5">
            <w:pPr>
              <w:spacing w:after="0" w:line="240" w:lineRule="auto"/>
              <w:jc w:val="right"/>
              <w:rPr>
                <w:rFonts w:ascii="Times New Roman" w:hAnsi="Times New Roman" w:cs="Times New Roman"/>
                <w:color w:val="000000"/>
                <w:lang w:eastAsia="hr-HR"/>
              </w:rPr>
            </w:pPr>
            <w:r>
              <w:rPr>
                <w:rFonts w:ascii="Times New Roman" w:hAnsi="Times New Roman" w:cs="Times New Roman"/>
                <w:color w:val="000000"/>
                <w:lang w:eastAsia="hr-HR"/>
              </w:rPr>
              <w:t>36.612,50</w:t>
            </w:r>
          </w:p>
        </w:tc>
        <w:tc>
          <w:tcPr>
            <w:tcW w:w="1720" w:type="dxa"/>
            <w:tcBorders>
              <w:top w:val="nil"/>
              <w:left w:val="nil"/>
              <w:bottom w:val="single" w:sz="4" w:space="0" w:color="auto"/>
              <w:right w:val="single" w:sz="4" w:space="0" w:color="auto"/>
            </w:tcBorders>
            <w:shd w:val="clear" w:color="auto" w:fill="B8CCE4" w:themeFill="accent1" w:themeFillTint="66"/>
            <w:noWrap/>
            <w:vAlign w:val="bottom"/>
          </w:tcPr>
          <w:p w14:paraId="34D00635" w14:textId="09A49119" w:rsidR="00F700DE" w:rsidRPr="00036C06" w:rsidRDefault="0074675E" w:rsidP="009F18D5">
            <w:pPr>
              <w:spacing w:after="0" w:line="240" w:lineRule="auto"/>
              <w:jc w:val="right"/>
              <w:rPr>
                <w:rFonts w:ascii="Times New Roman" w:hAnsi="Times New Roman" w:cs="Times New Roman"/>
                <w:color w:val="000000"/>
                <w:lang w:eastAsia="hr-HR"/>
              </w:rPr>
            </w:pPr>
            <w:r>
              <w:rPr>
                <w:rFonts w:ascii="Times New Roman" w:hAnsi="Times New Roman" w:cs="Times New Roman"/>
                <w:color w:val="000000"/>
                <w:lang w:eastAsia="hr-HR"/>
              </w:rPr>
              <w:t>0,00</w:t>
            </w:r>
          </w:p>
        </w:tc>
      </w:tr>
      <w:tr w:rsidR="00F700DE" w:rsidRPr="00036C06" w14:paraId="0609AE32" w14:textId="77777777" w:rsidTr="009F18D5">
        <w:trPr>
          <w:trHeight w:val="288"/>
        </w:trPr>
        <w:tc>
          <w:tcPr>
            <w:tcW w:w="3260" w:type="dxa"/>
            <w:tcBorders>
              <w:top w:val="nil"/>
              <w:left w:val="single" w:sz="4" w:space="0" w:color="auto"/>
              <w:bottom w:val="single" w:sz="4" w:space="0" w:color="auto"/>
              <w:right w:val="single" w:sz="4" w:space="0" w:color="auto"/>
            </w:tcBorders>
            <w:shd w:val="clear" w:color="000000" w:fill="FFFFFF"/>
            <w:hideMark/>
          </w:tcPr>
          <w:p w14:paraId="09CB6A33" w14:textId="77777777" w:rsidR="00F700DE" w:rsidRPr="00036C06" w:rsidRDefault="00F700DE" w:rsidP="009F18D5">
            <w:pPr>
              <w:spacing w:after="0" w:line="240" w:lineRule="auto"/>
              <w:rPr>
                <w:rFonts w:ascii="Times New Roman" w:hAnsi="Times New Roman" w:cs="Times New Roman"/>
                <w:lang w:eastAsia="hr-HR"/>
              </w:rPr>
            </w:pPr>
            <w:r w:rsidRPr="00036C06">
              <w:rPr>
                <w:rFonts w:ascii="Times New Roman" w:hAnsi="Times New Roman" w:cs="Times New Roman"/>
                <w:lang w:eastAsia="hr-HR"/>
              </w:rPr>
              <w:t>Pomoći iz EU sredstava</w:t>
            </w:r>
          </w:p>
        </w:tc>
        <w:tc>
          <w:tcPr>
            <w:tcW w:w="2000" w:type="dxa"/>
            <w:tcBorders>
              <w:top w:val="nil"/>
              <w:left w:val="nil"/>
              <w:bottom w:val="single" w:sz="4" w:space="0" w:color="auto"/>
              <w:right w:val="single" w:sz="4" w:space="0" w:color="auto"/>
            </w:tcBorders>
            <w:shd w:val="clear" w:color="000000" w:fill="FFFFFF"/>
            <w:noWrap/>
          </w:tcPr>
          <w:p w14:paraId="5BB5EEE8" w14:textId="32D5B0C1" w:rsidR="00F700DE" w:rsidRPr="00036C06" w:rsidRDefault="0074675E" w:rsidP="009F18D5">
            <w:pPr>
              <w:spacing w:after="0" w:line="240" w:lineRule="auto"/>
              <w:jc w:val="right"/>
              <w:rPr>
                <w:rFonts w:ascii="Times New Roman" w:hAnsi="Times New Roman" w:cs="Times New Roman"/>
                <w:lang w:eastAsia="hr-HR"/>
              </w:rPr>
            </w:pPr>
            <w:r>
              <w:rPr>
                <w:rFonts w:ascii="Times New Roman" w:hAnsi="Times New Roman" w:cs="Times New Roman"/>
                <w:lang w:eastAsia="hr-HR"/>
              </w:rPr>
              <w:t>0,00</w:t>
            </w:r>
          </w:p>
        </w:tc>
        <w:tc>
          <w:tcPr>
            <w:tcW w:w="1960" w:type="dxa"/>
            <w:tcBorders>
              <w:top w:val="nil"/>
              <w:left w:val="nil"/>
              <w:bottom w:val="single" w:sz="4" w:space="0" w:color="auto"/>
              <w:right w:val="single" w:sz="4" w:space="0" w:color="auto"/>
            </w:tcBorders>
            <w:shd w:val="clear" w:color="000000" w:fill="FFFFFF"/>
            <w:noWrap/>
          </w:tcPr>
          <w:p w14:paraId="6D9B25F3" w14:textId="78A2E7BE" w:rsidR="00F700DE" w:rsidRPr="00036C06" w:rsidRDefault="0074675E" w:rsidP="009F18D5">
            <w:pPr>
              <w:spacing w:after="0" w:line="240" w:lineRule="auto"/>
              <w:ind w:firstLineChars="100" w:firstLine="220"/>
              <w:jc w:val="right"/>
              <w:rPr>
                <w:rFonts w:ascii="Times New Roman" w:hAnsi="Times New Roman" w:cs="Times New Roman"/>
                <w:lang w:eastAsia="hr-HR"/>
              </w:rPr>
            </w:pPr>
            <w:r>
              <w:rPr>
                <w:rFonts w:ascii="Times New Roman" w:hAnsi="Times New Roman" w:cs="Times New Roman"/>
                <w:lang w:eastAsia="hr-HR"/>
              </w:rPr>
              <w:t>0,00</w:t>
            </w:r>
          </w:p>
        </w:tc>
        <w:tc>
          <w:tcPr>
            <w:tcW w:w="1720" w:type="dxa"/>
            <w:tcBorders>
              <w:top w:val="nil"/>
              <w:left w:val="nil"/>
              <w:bottom w:val="single" w:sz="4" w:space="0" w:color="auto"/>
              <w:right w:val="single" w:sz="4" w:space="0" w:color="auto"/>
            </w:tcBorders>
            <w:shd w:val="clear" w:color="000000" w:fill="FFFFFF"/>
            <w:noWrap/>
          </w:tcPr>
          <w:p w14:paraId="740BDC27" w14:textId="614AFB78" w:rsidR="00F700DE" w:rsidRPr="00036C06" w:rsidRDefault="0074675E" w:rsidP="009F18D5">
            <w:pPr>
              <w:spacing w:after="0" w:line="240" w:lineRule="auto"/>
              <w:jc w:val="right"/>
              <w:rPr>
                <w:rFonts w:ascii="Times New Roman" w:hAnsi="Times New Roman" w:cs="Times New Roman"/>
                <w:lang w:eastAsia="hr-HR"/>
              </w:rPr>
            </w:pPr>
            <w:r>
              <w:rPr>
                <w:rFonts w:ascii="Times New Roman" w:hAnsi="Times New Roman" w:cs="Times New Roman"/>
                <w:lang w:eastAsia="hr-HR"/>
              </w:rPr>
              <w:t>0,00</w:t>
            </w:r>
          </w:p>
        </w:tc>
      </w:tr>
      <w:tr w:rsidR="00F700DE" w:rsidRPr="00036C06" w14:paraId="08920006" w14:textId="77777777" w:rsidTr="009F18D5">
        <w:trPr>
          <w:trHeight w:val="288"/>
        </w:trPr>
        <w:tc>
          <w:tcPr>
            <w:tcW w:w="3260" w:type="dxa"/>
            <w:tcBorders>
              <w:top w:val="single" w:sz="4" w:space="0" w:color="auto"/>
              <w:left w:val="single" w:sz="4" w:space="0" w:color="auto"/>
              <w:bottom w:val="single" w:sz="4" w:space="0" w:color="auto"/>
              <w:right w:val="single" w:sz="4" w:space="0" w:color="auto"/>
            </w:tcBorders>
            <w:shd w:val="clear" w:color="000000" w:fill="FFFFFF"/>
          </w:tcPr>
          <w:p w14:paraId="3C6C688A" w14:textId="3D96C72C" w:rsidR="00F700DE" w:rsidRPr="00036C06" w:rsidRDefault="0074675E" w:rsidP="009F18D5">
            <w:pPr>
              <w:spacing w:after="0" w:line="240" w:lineRule="auto"/>
              <w:rPr>
                <w:rFonts w:ascii="Times New Roman" w:hAnsi="Times New Roman" w:cs="Times New Roman"/>
                <w:lang w:eastAsia="hr-HR"/>
              </w:rPr>
            </w:pPr>
            <w:r>
              <w:rPr>
                <w:rFonts w:ascii="Times New Roman" w:hAnsi="Times New Roman" w:cs="Times New Roman"/>
                <w:lang w:eastAsia="hr-HR"/>
              </w:rPr>
              <w:t>Namjenski primici od zaduživanja</w:t>
            </w:r>
          </w:p>
        </w:tc>
        <w:tc>
          <w:tcPr>
            <w:tcW w:w="2000" w:type="dxa"/>
            <w:tcBorders>
              <w:top w:val="single" w:sz="4" w:space="0" w:color="auto"/>
              <w:left w:val="nil"/>
              <w:bottom w:val="single" w:sz="4" w:space="0" w:color="auto"/>
              <w:right w:val="single" w:sz="4" w:space="0" w:color="auto"/>
            </w:tcBorders>
            <w:shd w:val="clear" w:color="000000" w:fill="FFFFFF"/>
            <w:noWrap/>
          </w:tcPr>
          <w:p w14:paraId="25F34EB3" w14:textId="20C7A6A2" w:rsidR="00F700DE" w:rsidRDefault="0074675E" w:rsidP="009F18D5">
            <w:pPr>
              <w:spacing w:after="0" w:line="240" w:lineRule="auto"/>
              <w:jc w:val="right"/>
              <w:rPr>
                <w:rFonts w:ascii="Times New Roman" w:hAnsi="Times New Roman" w:cs="Times New Roman"/>
                <w:lang w:eastAsia="hr-HR"/>
              </w:rPr>
            </w:pPr>
            <w:r>
              <w:rPr>
                <w:rFonts w:ascii="Times New Roman" w:hAnsi="Times New Roman" w:cs="Times New Roman"/>
                <w:lang w:eastAsia="hr-HR"/>
              </w:rPr>
              <w:t>36.612,50</w:t>
            </w:r>
          </w:p>
        </w:tc>
        <w:tc>
          <w:tcPr>
            <w:tcW w:w="1960" w:type="dxa"/>
            <w:tcBorders>
              <w:top w:val="single" w:sz="4" w:space="0" w:color="auto"/>
              <w:left w:val="nil"/>
              <w:bottom w:val="single" w:sz="4" w:space="0" w:color="auto"/>
              <w:right w:val="single" w:sz="4" w:space="0" w:color="auto"/>
            </w:tcBorders>
            <w:shd w:val="clear" w:color="000000" w:fill="FFFFFF"/>
            <w:noWrap/>
          </w:tcPr>
          <w:p w14:paraId="021EF755" w14:textId="1B82C799" w:rsidR="00F700DE" w:rsidRDefault="0074675E" w:rsidP="009F18D5">
            <w:pPr>
              <w:spacing w:after="0" w:line="240" w:lineRule="auto"/>
              <w:ind w:firstLineChars="100" w:firstLine="220"/>
              <w:jc w:val="right"/>
              <w:rPr>
                <w:rFonts w:ascii="Times New Roman" w:hAnsi="Times New Roman" w:cs="Times New Roman"/>
                <w:lang w:eastAsia="hr-HR"/>
              </w:rPr>
            </w:pPr>
            <w:r>
              <w:rPr>
                <w:rFonts w:ascii="Times New Roman" w:hAnsi="Times New Roman" w:cs="Times New Roman"/>
                <w:lang w:eastAsia="hr-HR"/>
              </w:rPr>
              <w:t>36.612,50</w:t>
            </w:r>
          </w:p>
        </w:tc>
        <w:tc>
          <w:tcPr>
            <w:tcW w:w="1720" w:type="dxa"/>
            <w:tcBorders>
              <w:top w:val="single" w:sz="4" w:space="0" w:color="auto"/>
              <w:left w:val="nil"/>
              <w:bottom w:val="single" w:sz="4" w:space="0" w:color="auto"/>
              <w:right w:val="single" w:sz="4" w:space="0" w:color="auto"/>
            </w:tcBorders>
            <w:shd w:val="clear" w:color="000000" w:fill="FFFFFF"/>
            <w:noWrap/>
          </w:tcPr>
          <w:p w14:paraId="7903243C" w14:textId="085C3580" w:rsidR="00F700DE" w:rsidRDefault="0074675E" w:rsidP="009F18D5">
            <w:pPr>
              <w:spacing w:after="0" w:line="240" w:lineRule="auto"/>
              <w:jc w:val="right"/>
              <w:rPr>
                <w:rFonts w:ascii="Times New Roman" w:hAnsi="Times New Roman" w:cs="Times New Roman"/>
                <w:lang w:eastAsia="hr-HR"/>
              </w:rPr>
            </w:pPr>
            <w:r>
              <w:rPr>
                <w:rFonts w:ascii="Times New Roman" w:hAnsi="Times New Roman" w:cs="Times New Roman"/>
                <w:lang w:eastAsia="hr-HR"/>
              </w:rPr>
              <w:t>0,00</w:t>
            </w:r>
          </w:p>
        </w:tc>
      </w:tr>
      <w:tr w:rsidR="0074675E" w:rsidRPr="00036C06" w14:paraId="23E34595" w14:textId="77777777" w:rsidTr="009F18D5">
        <w:trPr>
          <w:trHeight w:val="288"/>
        </w:trPr>
        <w:tc>
          <w:tcPr>
            <w:tcW w:w="3260" w:type="dxa"/>
            <w:tcBorders>
              <w:top w:val="single" w:sz="4" w:space="0" w:color="auto"/>
              <w:left w:val="single" w:sz="4" w:space="0" w:color="auto"/>
              <w:bottom w:val="single" w:sz="4" w:space="0" w:color="auto"/>
              <w:right w:val="single" w:sz="4" w:space="0" w:color="auto"/>
            </w:tcBorders>
            <w:shd w:val="clear" w:color="000000" w:fill="FFFFFF"/>
          </w:tcPr>
          <w:p w14:paraId="6D54BF94" w14:textId="61D04B9E" w:rsidR="0074675E" w:rsidRDefault="0074675E" w:rsidP="009F18D5">
            <w:pPr>
              <w:spacing w:after="0" w:line="240" w:lineRule="auto"/>
              <w:rPr>
                <w:rFonts w:ascii="Times New Roman" w:hAnsi="Times New Roman" w:cs="Times New Roman"/>
                <w:lang w:eastAsia="hr-HR"/>
              </w:rPr>
            </w:pPr>
            <w:r>
              <w:rPr>
                <w:rFonts w:ascii="Times New Roman" w:hAnsi="Times New Roman" w:cs="Times New Roman"/>
                <w:lang w:eastAsia="hr-HR"/>
              </w:rPr>
              <w:t xml:space="preserve">Prihodi od prodaje </w:t>
            </w:r>
            <w:proofErr w:type="spellStart"/>
            <w:r>
              <w:rPr>
                <w:rFonts w:ascii="Times New Roman" w:hAnsi="Times New Roman" w:cs="Times New Roman"/>
                <w:lang w:eastAsia="hr-HR"/>
              </w:rPr>
              <w:t>nef.imovine</w:t>
            </w:r>
            <w:proofErr w:type="spellEnd"/>
          </w:p>
        </w:tc>
        <w:tc>
          <w:tcPr>
            <w:tcW w:w="2000" w:type="dxa"/>
            <w:tcBorders>
              <w:top w:val="single" w:sz="4" w:space="0" w:color="auto"/>
              <w:left w:val="nil"/>
              <w:bottom w:val="single" w:sz="4" w:space="0" w:color="auto"/>
              <w:right w:val="single" w:sz="4" w:space="0" w:color="auto"/>
            </w:tcBorders>
            <w:shd w:val="clear" w:color="000000" w:fill="FFFFFF"/>
            <w:noWrap/>
          </w:tcPr>
          <w:p w14:paraId="674671A5" w14:textId="2AEAB110" w:rsidR="0074675E" w:rsidRDefault="0074675E" w:rsidP="009F18D5">
            <w:pPr>
              <w:spacing w:after="0" w:line="240" w:lineRule="auto"/>
              <w:jc w:val="right"/>
              <w:rPr>
                <w:rFonts w:ascii="Times New Roman" w:hAnsi="Times New Roman" w:cs="Times New Roman"/>
                <w:lang w:eastAsia="hr-HR"/>
              </w:rPr>
            </w:pPr>
            <w:r>
              <w:rPr>
                <w:rFonts w:ascii="Times New Roman" w:hAnsi="Times New Roman" w:cs="Times New Roman"/>
                <w:lang w:eastAsia="hr-HR"/>
              </w:rPr>
              <w:t>0,00</w:t>
            </w:r>
          </w:p>
        </w:tc>
        <w:tc>
          <w:tcPr>
            <w:tcW w:w="1960" w:type="dxa"/>
            <w:tcBorders>
              <w:top w:val="single" w:sz="4" w:space="0" w:color="auto"/>
              <w:left w:val="nil"/>
              <w:bottom w:val="single" w:sz="4" w:space="0" w:color="auto"/>
              <w:right w:val="single" w:sz="4" w:space="0" w:color="auto"/>
            </w:tcBorders>
            <w:shd w:val="clear" w:color="000000" w:fill="FFFFFF"/>
            <w:noWrap/>
          </w:tcPr>
          <w:p w14:paraId="1482C1E7" w14:textId="205C6366" w:rsidR="0074675E" w:rsidRDefault="0074675E" w:rsidP="009F18D5">
            <w:pPr>
              <w:spacing w:after="0" w:line="240" w:lineRule="auto"/>
              <w:ind w:firstLineChars="100" w:firstLine="220"/>
              <w:jc w:val="right"/>
              <w:rPr>
                <w:rFonts w:ascii="Times New Roman" w:hAnsi="Times New Roman" w:cs="Times New Roman"/>
                <w:lang w:eastAsia="hr-HR"/>
              </w:rPr>
            </w:pPr>
            <w:r>
              <w:rPr>
                <w:rFonts w:ascii="Times New Roman" w:hAnsi="Times New Roman" w:cs="Times New Roman"/>
                <w:lang w:eastAsia="hr-HR"/>
              </w:rPr>
              <w:t>0,00</w:t>
            </w:r>
          </w:p>
        </w:tc>
        <w:tc>
          <w:tcPr>
            <w:tcW w:w="1720" w:type="dxa"/>
            <w:tcBorders>
              <w:top w:val="single" w:sz="4" w:space="0" w:color="auto"/>
              <w:left w:val="nil"/>
              <w:bottom w:val="single" w:sz="4" w:space="0" w:color="auto"/>
              <w:right w:val="single" w:sz="4" w:space="0" w:color="auto"/>
            </w:tcBorders>
            <w:shd w:val="clear" w:color="000000" w:fill="FFFFFF"/>
            <w:noWrap/>
          </w:tcPr>
          <w:p w14:paraId="7755712A" w14:textId="1F1BD32D" w:rsidR="0074675E" w:rsidRDefault="0074675E" w:rsidP="009F18D5">
            <w:pPr>
              <w:spacing w:after="0" w:line="240" w:lineRule="auto"/>
              <w:jc w:val="right"/>
              <w:rPr>
                <w:rFonts w:ascii="Times New Roman" w:hAnsi="Times New Roman" w:cs="Times New Roman"/>
                <w:lang w:eastAsia="hr-HR"/>
              </w:rPr>
            </w:pPr>
            <w:r>
              <w:rPr>
                <w:rFonts w:ascii="Times New Roman" w:hAnsi="Times New Roman" w:cs="Times New Roman"/>
                <w:lang w:eastAsia="hr-HR"/>
              </w:rPr>
              <w:t>0,00</w:t>
            </w:r>
          </w:p>
        </w:tc>
      </w:tr>
    </w:tbl>
    <w:p w14:paraId="27E12DF6" w14:textId="77777777" w:rsidR="00AA2532" w:rsidRDefault="00AA2532" w:rsidP="003C25A4">
      <w:pPr>
        <w:jc w:val="both"/>
        <w:rPr>
          <w:rFonts w:ascii="Times New Roman" w:hAnsi="Times New Roman" w:cs="Times New Roman"/>
        </w:rPr>
      </w:pPr>
    </w:p>
    <w:p w14:paraId="1A6D1792" w14:textId="0D0533EE" w:rsidR="00AA2532" w:rsidRDefault="0074675E" w:rsidP="003C25A4">
      <w:pPr>
        <w:jc w:val="both"/>
        <w:rPr>
          <w:rFonts w:ascii="Times New Roman" w:hAnsi="Times New Roman" w:cs="Times New Roman"/>
        </w:rPr>
      </w:pPr>
      <w:r>
        <w:rPr>
          <w:rFonts w:ascii="Times New Roman" w:hAnsi="Times New Roman" w:cs="Times New Roman"/>
        </w:rPr>
        <w:t>U 2024. godini nismo zaprimili kapitalne pomoći temeljem prijenosa EU sredstava za projekt Dogradnja dječjeg vrtića Maslačak.</w:t>
      </w:r>
    </w:p>
    <w:p w14:paraId="4D84EEE8" w14:textId="77777777" w:rsidR="0074675E" w:rsidRPr="005E1E78" w:rsidRDefault="0074675E" w:rsidP="003C25A4">
      <w:pPr>
        <w:jc w:val="both"/>
        <w:rPr>
          <w:rFonts w:ascii="Times New Roman" w:hAnsi="Times New Roman" w:cs="Times New Roman"/>
        </w:rPr>
      </w:pPr>
    </w:p>
    <w:p w14:paraId="27F15260" w14:textId="77777777" w:rsidR="003C25A4" w:rsidRDefault="003C25A4" w:rsidP="003C25A4">
      <w:pPr>
        <w:jc w:val="both"/>
        <w:rPr>
          <w:rFonts w:ascii="Times New Roman" w:hAnsi="Times New Roman" w:cs="Times New Roman"/>
          <w:b/>
          <w:bCs/>
          <w:sz w:val="24"/>
          <w:szCs w:val="24"/>
        </w:rPr>
      </w:pPr>
      <w:r w:rsidRPr="003C25A4">
        <w:rPr>
          <w:rFonts w:ascii="Times New Roman" w:hAnsi="Times New Roman" w:cs="Times New Roman"/>
          <w:b/>
          <w:bCs/>
          <w:sz w:val="24"/>
          <w:szCs w:val="24"/>
        </w:rPr>
        <w:t>9. Izvještaj o danim zajmovima i potraživanjima po danim zajmovima</w:t>
      </w:r>
    </w:p>
    <w:p w14:paraId="4ED69E0E" w14:textId="155077A5" w:rsidR="00B25107" w:rsidRPr="00B25107" w:rsidRDefault="00B25107" w:rsidP="003C25A4">
      <w:pPr>
        <w:jc w:val="both"/>
        <w:rPr>
          <w:rFonts w:ascii="Times New Roman" w:hAnsi="Times New Roman" w:cs="Times New Roman"/>
        </w:rPr>
      </w:pPr>
      <w:r w:rsidRPr="00722358">
        <w:rPr>
          <w:rFonts w:ascii="Times New Roman" w:hAnsi="Times New Roman" w:cs="Times New Roman"/>
        </w:rPr>
        <w:t>Grad Garešnica u izvještajnom razdoblju n</w:t>
      </w:r>
      <w:r>
        <w:rPr>
          <w:rFonts w:ascii="Times New Roman" w:hAnsi="Times New Roman" w:cs="Times New Roman"/>
        </w:rPr>
        <w:t>ije davao zajmove</w:t>
      </w:r>
      <w:r w:rsidRPr="00722358">
        <w:rPr>
          <w:rFonts w:ascii="Times New Roman" w:hAnsi="Times New Roman" w:cs="Times New Roman"/>
        </w:rPr>
        <w:t xml:space="preserve"> niti je </w:t>
      </w:r>
      <w:r>
        <w:rPr>
          <w:rFonts w:ascii="Times New Roman" w:hAnsi="Times New Roman" w:cs="Times New Roman"/>
        </w:rPr>
        <w:t>imao potraživanja po danim zajmovima.</w:t>
      </w:r>
    </w:p>
    <w:p w14:paraId="2F71D4C3" w14:textId="77777777" w:rsidR="003C25A4" w:rsidRPr="003C25A4" w:rsidRDefault="003C25A4" w:rsidP="003C25A4">
      <w:pPr>
        <w:jc w:val="both"/>
        <w:rPr>
          <w:rFonts w:ascii="Times New Roman" w:hAnsi="Times New Roman" w:cs="Times New Roman"/>
          <w:b/>
          <w:bCs/>
          <w:sz w:val="24"/>
          <w:szCs w:val="24"/>
        </w:rPr>
      </w:pPr>
      <w:r w:rsidRPr="003C25A4">
        <w:rPr>
          <w:rFonts w:ascii="Times New Roman" w:hAnsi="Times New Roman" w:cs="Times New Roman"/>
          <w:b/>
          <w:bCs/>
          <w:sz w:val="24"/>
          <w:szCs w:val="24"/>
        </w:rPr>
        <w:t>10. Izvještaj o stanju potraživanja i dospjelih obveza te stanju potencijalnih obveza po osnovi sudskih sporova</w:t>
      </w:r>
    </w:p>
    <w:p w14:paraId="09D221ED" w14:textId="2F432648" w:rsidR="004B66DB" w:rsidRPr="00610E7A" w:rsidRDefault="004B66DB" w:rsidP="004B66DB">
      <w:pPr>
        <w:spacing w:after="0"/>
        <w:jc w:val="both"/>
        <w:rPr>
          <w:rFonts w:ascii="Times New Roman" w:hAnsi="Times New Roman" w:cs="Times New Roman"/>
        </w:rPr>
      </w:pPr>
      <w:r w:rsidRPr="00610E7A">
        <w:rPr>
          <w:rFonts w:ascii="Times New Roman" w:hAnsi="Times New Roman" w:cs="Times New Roman"/>
        </w:rPr>
        <w:t xml:space="preserve">Neutrošena sredstva proračuna na dan </w:t>
      </w:r>
      <w:r>
        <w:rPr>
          <w:rFonts w:ascii="Times New Roman" w:hAnsi="Times New Roman" w:cs="Times New Roman"/>
        </w:rPr>
        <w:t>31.12.202</w:t>
      </w:r>
      <w:r w:rsidR="00117425">
        <w:rPr>
          <w:rFonts w:ascii="Times New Roman" w:hAnsi="Times New Roman" w:cs="Times New Roman"/>
        </w:rPr>
        <w:t>4</w:t>
      </w:r>
      <w:r w:rsidRPr="00610E7A">
        <w:rPr>
          <w:rFonts w:ascii="Times New Roman" w:hAnsi="Times New Roman" w:cs="Times New Roman"/>
        </w:rPr>
        <w:t xml:space="preserve">. godine iznosila su  </w:t>
      </w:r>
      <w:r w:rsidR="00117425">
        <w:rPr>
          <w:rFonts w:ascii="Times New Roman" w:hAnsi="Times New Roman" w:cs="Times New Roman"/>
        </w:rPr>
        <w:t>997.263,46</w:t>
      </w:r>
      <w:r w:rsidR="000A3BD7">
        <w:rPr>
          <w:rFonts w:ascii="Times New Roman" w:hAnsi="Times New Roman" w:cs="Times New Roman"/>
        </w:rPr>
        <w:t xml:space="preserve"> eura</w:t>
      </w:r>
      <w:r w:rsidRPr="00610E7A">
        <w:rPr>
          <w:rFonts w:ascii="Times New Roman" w:hAnsi="Times New Roman" w:cs="Times New Roman"/>
        </w:rPr>
        <w:t xml:space="preserve"> i to:</w:t>
      </w:r>
    </w:p>
    <w:tbl>
      <w:tblPr>
        <w:tblW w:w="9147" w:type="dxa"/>
        <w:tblInd w:w="93" w:type="dxa"/>
        <w:tblLayout w:type="fixed"/>
        <w:tblLook w:val="04A0" w:firstRow="1" w:lastRow="0" w:firstColumn="1" w:lastColumn="0" w:noHBand="0" w:noVBand="1"/>
      </w:tblPr>
      <w:tblGrid>
        <w:gridCol w:w="6979"/>
        <w:gridCol w:w="221"/>
        <w:gridCol w:w="20"/>
        <w:gridCol w:w="221"/>
        <w:gridCol w:w="15"/>
        <w:gridCol w:w="46"/>
        <w:gridCol w:w="180"/>
        <w:gridCol w:w="15"/>
        <w:gridCol w:w="1328"/>
        <w:gridCol w:w="107"/>
        <w:gridCol w:w="15"/>
      </w:tblGrid>
      <w:tr w:rsidR="004B66DB" w:rsidRPr="00610E7A" w14:paraId="488966E4" w14:textId="77777777" w:rsidTr="00117425">
        <w:trPr>
          <w:gridAfter w:val="2"/>
          <w:wAfter w:w="122" w:type="dxa"/>
          <w:trHeight w:val="330"/>
        </w:trPr>
        <w:tc>
          <w:tcPr>
            <w:tcW w:w="7499" w:type="dxa"/>
            <w:gridSpan w:val="6"/>
            <w:tcBorders>
              <w:top w:val="nil"/>
              <w:left w:val="nil"/>
              <w:bottom w:val="nil"/>
              <w:right w:val="nil"/>
            </w:tcBorders>
            <w:shd w:val="clear" w:color="auto" w:fill="auto"/>
            <w:noWrap/>
            <w:vAlign w:val="bottom"/>
            <w:hideMark/>
          </w:tcPr>
          <w:p w14:paraId="5D6C3FD0" w14:textId="77777777" w:rsidR="004B66DB" w:rsidRPr="00610E7A" w:rsidRDefault="004B66DB" w:rsidP="00484918">
            <w:pPr>
              <w:spacing w:after="0" w:line="240" w:lineRule="auto"/>
              <w:rPr>
                <w:rFonts w:ascii="Times New Roman" w:hAnsi="Times New Roman" w:cs="Times New Roman"/>
                <w:lang w:eastAsia="hr-HR"/>
              </w:rPr>
            </w:pPr>
            <w:r w:rsidRPr="00610E7A">
              <w:rPr>
                <w:rFonts w:ascii="Times New Roman" w:hAnsi="Times New Roman" w:cs="Times New Roman"/>
                <w:lang w:eastAsia="hr-HR"/>
              </w:rPr>
              <w:t xml:space="preserve">žiro račun IBAN HR5824020061811900008 u </w:t>
            </w:r>
            <w:proofErr w:type="spellStart"/>
            <w:r w:rsidRPr="00610E7A">
              <w:rPr>
                <w:rFonts w:ascii="Times New Roman" w:hAnsi="Times New Roman" w:cs="Times New Roman"/>
                <w:lang w:eastAsia="hr-HR"/>
              </w:rPr>
              <w:t>Erste&amp;Steiermarkische</w:t>
            </w:r>
            <w:proofErr w:type="spellEnd"/>
            <w:r w:rsidRPr="00610E7A">
              <w:rPr>
                <w:rFonts w:ascii="Times New Roman" w:hAnsi="Times New Roman" w:cs="Times New Roman"/>
                <w:lang w:eastAsia="hr-HR"/>
              </w:rPr>
              <w:t xml:space="preserve"> </w:t>
            </w:r>
            <w:proofErr w:type="spellStart"/>
            <w:r w:rsidRPr="00610E7A">
              <w:rPr>
                <w:rFonts w:ascii="Times New Roman" w:hAnsi="Times New Roman" w:cs="Times New Roman"/>
                <w:lang w:eastAsia="hr-HR"/>
              </w:rPr>
              <w:t>bank</w:t>
            </w:r>
            <w:proofErr w:type="spellEnd"/>
            <w:r w:rsidRPr="00610E7A">
              <w:rPr>
                <w:rFonts w:ascii="Times New Roman" w:hAnsi="Times New Roman" w:cs="Times New Roman"/>
                <w:lang w:eastAsia="hr-HR"/>
              </w:rPr>
              <w:t xml:space="preserve">: </w:t>
            </w:r>
          </w:p>
        </w:tc>
        <w:tc>
          <w:tcPr>
            <w:tcW w:w="1526" w:type="dxa"/>
            <w:gridSpan w:val="3"/>
            <w:tcBorders>
              <w:top w:val="nil"/>
              <w:left w:val="nil"/>
              <w:bottom w:val="nil"/>
              <w:right w:val="nil"/>
            </w:tcBorders>
            <w:shd w:val="clear" w:color="auto" w:fill="auto"/>
            <w:noWrap/>
            <w:vAlign w:val="bottom"/>
          </w:tcPr>
          <w:p w14:paraId="1CD8E9AE" w14:textId="6BF4ACD4" w:rsidR="004B66DB" w:rsidRPr="00610E7A" w:rsidRDefault="00117425" w:rsidP="00484918">
            <w:pPr>
              <w:spacing w:after="0" w:line="240" w:lineRule="auto"/>
              <w:ind w:right="-108"/>
              <w:jc w:val="right"/>
              <w:rPr>
                <w:rFonts w:ascii="Times New Roman" w:hAnsi="Times New Roman" w:cs="Times New Roman"/>
                <w:lang w:eastAsia="hr-HR"/>
              </w:rPr>
            </w:pPr>
            <w:r>
              <w:rPr>
                <w:rFonts w:ascii="Times New Roman" w:hAnsi="Times New Roman" w:cs="Times New Roman"/>
                <w:lang w:eastAsia="hr-HR"/>
              </w:rPr>
              <w:t>996.777,61</w:t>
            </w:r>
          </w:p>
        </w:tc>
      </w:tr>
      <w:tr w:rsidR="004B66DB" w:rsidRPr="00610E7A" w14:paraId="37B92CEE" w14:textId="77777777" w:rsidTr="00484918">
        <w:trPr>
          <w:gridAfter w:val="1"/>
          <w:wAfter w:w="15" w:type="dxa"/>
          <w:trHeight w:val="255"/>
        </w:trPr>
        <w:tc>
          <w:tcPr>
            <w:tcW w:w="7216" w:type="dxa"/>
            <w:gridSpan w:val="2"/>
            <w:tcBorders>
              <w:top w:val="nil"/>
              <w:left w:val="nil"/>
              <w:bottom w:val="nil"/>
              <w:right w:val="nil"/>
            </w:tcBorders>
            <w:shd w:val="clear" w:color="auto" w:fill="auto"/>
            <w:noWrap/>
            <w:vAlign w:val="bottom"/>
            <w:hideMark/>
          </w:tcPr>
          <w:p w14:paraId="5A3D18E3" w14:textId="77777777" w:rsidR="004B66DB" w:rsidRPr="00610E7A" w:rsidRDefault="004B66DB" w:rsidP="00484918">
            <w:pPr>
              <w:spacing w:after="0" w:line="240" w:lineRule="auto"/>
              <w:rPr>
                <w:rFonts w:ascii="Times New Roman" w:hAnsi="Times New Roman" w:cs="Times New Roman"/>
                <w:lang w:eastAsia="hr-HR"/>
              </w:rPr>
            </w:pPr>
            <w:r w:rsidRPr="00610E7A">
              <w:rPr>
                <w:rFonts w:ascii="Times New Roman" w:hAnsi="Times New Roman" w:cs="Times New Roman"/>
                <w:lang w:eastAsia="hr-HR"/>
              </w:rPr>
              <w:t xml:space="preserve">žiro račun IBAN HR9623900011500013224 u HPB: </w:t>
            </w:r>
          </w:p>
        </w:tc>
        <w:tc>
          <w:tcPr>
            <w:tcW w:w="222" w:type="dxa"/>
            <w:gridSpan w:val="2"/>
            <w:tcBorders>
              <w:top w:val="nil"/>
              <w:left w:val="nil"/>
              <w:bottom w:val="nil"/>
              <w:right w:val="nil"/>
            </w:tcBorders>
            <w:shd w:val="clear" w:color="auto" w:fill="auto"/>
            <w:noWrap/>
            <w:vAlign w:val="bottom"/>
            <w:hideMark/>
          </w:tcPr>
          <w:p w14:paraId="74F0910E" w14:textId="77777777" w:rsidR="004B66DB" w:rsidRPr="00610E7A" w:rsidRDefault="004B66DB" w:rsidP="00484918">
            <w:pPr>
              <w:spacing w:after="0" w:line="240" w:lineRule="auto"/>
              <w:rPr>
                <w:rFonts w:ascii="Times New Roman" w:hAnsi="Times New Roman" w:cs="Times New Roman"/>
                <w:bCs/>
                <w:lang w:eastAsia="hr-HR"/>
              </w:rPr>
            </w:pPr>
          </w:p>
        </w:tc>
        <w:tc>
          <w:tcPr>
            <w:tcW w:w="241" w:type="dxa"/>
            <w:gridSpan w:val="3"/>
            <w:tcBorders>
              <w:top w:val="nil"/>
              <w:left w:val="nil"/>
              <w:bottom w:val="nil"/>
              <w:right w:val="nil"/>
            </w:tcBorders>
            <w:shd w:val="clear" w:color="auto" w:fill="auto"/>
            <w:noWrap/>
            <w:vAlign w:val="bottom"/>
            <w:hideMark/>
          </w:tcPr>
          <w:p w14:paraId="4BF9C90F" w14:textId="77777777" w:rsidR="004B66DB" w:rsidRPr="00610E7A" w:rsidRDefault="004B66DB" w:rsidP="00484918">
            <w:pPr>
              <w:spacing w:after="0" w:line="240" w:lineRule="auto"/>
              <w:rPr>
                <w:rFonts w:ascii="Times New Roman" w:hAnsi="Times New Roman" w:cs="Times New Roman"/>
                <w:lang w:eastAsia="hr-HR"/>
              </w:rPr>
            </w:pPr>
          </w:p>
        </w:tc>
        <w:tc>
          <w:tcPr>
            <w:tcW w:w="1453" w:type="dxa"/>
            <w:gridSpan w:val="3"/>
            <w:tcBorders>
              <w:top w:val="nil"/>
              <w:left w:val="nil"/>
              <w:bottom w:val="nil"/>
              <w:right w:val="nil"/>
            </w:tcBorders>
            <w:shd w:val="clear" w:color="auto" w:fill="auto"/>
            <w:noWrap/>
            <w:vAlign w:val="bottom"/>
            <w:hideMark/>
          </w:tcPr>
          <w:p w14:paraId="48A331C5" w14:textId="0C02BD4E" w:rsidR="004B66DB" w:rsidRPr="00610E7A" w:rsidRDefault="00117425" w:rsidP="00484918">
            <w:pPr>
              <w:spacing w:after="0" w:line="240" w:lineRule="auto"/>
              <w:jc w:val="right"/>
              <w:rPr>
                <w:rFonts w:ascii="Times New Roman" w:hAnsi="Times New Roman" w:cs="Times New Roman"/>
                <w:lang w:eastAsia="hr-HR"/>
              </w:rPr>
            </w:pPr>
            <w:r>
              <w:rPr>
                <w:rFonts w:ascii="Times New Roman" w:hAnsi="Times New Roman" w:cs="Times New Roman"/>
                <w:lang w:eastAsia="hr-HR"/>
              </w:rPr>
              <w:t>165,88</w:t>
            </w:r>
          </w:p>
        </w:tc>
      </w:tr>
      <w:tr w:rsidR="004B66DB" w:rsidRPr="00610E7A" w14:paraId="4EDC8960" w14:textId="77777777" w:rsidTr="00484918">
        <w:trPr>
          <w:trHeight w:val="255"/>
        </w:trPr>
        <w:tc>
          <w:tcPr>
            <w:tcW w:w="6995" w:type="dxa"/>
            <w:tcBorders>
              <w:top w:val="nil"/>
              <w:left w:val="nil"/>
              <w:bottom w:val="nil"/>
              <w:right w:val="nil"/>
            </w:tcBorders>
            <w:shd w:val="clear" w:color="auto" w:fill="auto"/>
            <w:noWrap/>
            <w:vAlign w:val="bottom"/>
            <w:hideMark/>
          </w:tcPr>
          <w:p w14:paraId="55FD828C" w14:textId="77777777" w:rsidR="004B66DB" w:rsidRPr="00610E7A" w:rsidRDefault="004B66DB" w:rsidP="00484918">
            <w:pPr>
              <w:spacing w:after="0" w:line="240" w:lineRule="auto"/>
              <w:rPr>
                <w:rFonts w:ascii="Times New Roman" w:hAnsi="Times New Roman" w:cs="Times New Roman"/>
                <w:lang w:eastAsia="hr-HR"/>
              </w:rPr>
            </w:pPr>
            <w:r w:rsidRPr="00610E7A">
              <w:rPr>
                <w:rFonts w:ascii="Times New Roman" w:hAnsi="Times New Roman" w:cs="Times New Roman"/>
                <w:lang w:eastAsia="hr-HR"/>
              </w:rPr>
              <w:t xml:space="preserve">Blagajna proračuna (glavna blagajna): </w:t>
            </w:r>
          </w:p>
        </w:tc>
        <w:tc>
          <w:tcPr>
            <w:tcW w:w="236" w:type="dxa"/>
            <w:gridSpan w:val="2"/>
            <w:tcBorders>
              <w:top w:val="nil"/>
              <w:left w:val="nil"/>
              <w:bottom w:val="nil"/>
              <w:right w:val="nil"/>
            </w:tcBorders>
            <w:shd w:val="clear" w:color="auto" w:fill="auto"/>
            <w:noWrap/>
            <w:vAlign w:val="bottom"/>
            <w:hideMark/>
          </w:tcPr>
          <w:p w14:paraId="798617C3" w14:textId="77777777" w:rsidR="004B66DB" w:rsidRPr="00610E7A" w:rsidRDefault="004B66DB" w:rsidP="00484918">
            <w:pPr>
              <w:spacing w:after="0" w:line="240" w:lineRule="auto"/>
              <w:rPr>
                <w:rFonts w:ascii="Times New Roman" w:hAnsi="Times New Roman" w:cs="Times New Roman"/>
                <w:lang w:eastAsia="hr-HR"/>
              </w:rPr>
            </w:pPr>
          </w:p>
        </w:tc>
        <w:tc>
          <w:tcPr>
            <w:tcW w:w="222" w:type="dxa"/>
            <w:gridSpan w:val="2"/>
            <w:tcBorders>
              <w:top w:val="nil"/>
              <w:left w:val="nil"/>
              <w:bottom w:val="nil"/>
              <w:right w:val="nil"/>
            </w:tcBorders>
            <w:shd w:val="clear" w:color="auto" w:fill="auto"/>
            <w:noWrap/>
            <w:vAlign w:val="bottom"/>
            <w:hideMark/>
          </w:tcPr>
          <w:p w14:paraId="284A8B0D" w14:textId="77777777" w:rsidR="004B66DB" w:rsidRPr="00610E7A" w:rsidRDefault="004B66DB" w:rsidP="00484918">
            <w:pPr>
              <w:spacing w:after="0" w:line="240" w:lineRule="auto"/>
              <w:rPr>
                <w:rFonts w:ascii="Times New Roman" w:hAnsi="Times New Roman" w:cs="Times New Roman"/>
                <w:bCs/>
                <w:lang w:eastAsia="hr-HR"/>
              </w:rPr>
            </w:pPr>
          </w:p>
        </w:tc>
        <w:tc>
          <w:tcPr>
            <w:tcW w:w="241" w:type="dxa"/>
            <w:gridSpan w:val="3"/>
            <w:tcBorders>
              <w:top w:val="nil"/>
              <w:left w:val="nil"/>
              <w:bottom w:val="nil"/>
              <w:right w:val="nil"/>
            </w:tcBorders>
            <w:shd w:val="clear" w:color="auto" w:fill="auto"/>
            <w:noWrap/>
            <w:vAlign w:val="bottom"/>
            <w:hideMark/>
          </w:tcPr>
          <w:p w14:paraId="4EC54B43" w14:textId="77777777" w:rsidR="004B66DB" w:rsidRPr="00610E7A" w:rsidRDefault="004B66DB" w:rsidP="00484918">
            <w:pPr>
              <w:spacing w:after="0" w:line="240" w:lineRule="auto"/>
              <w:rPr>
                <w:rFonts w:ascii="Times New Roman" w:hAnsi="Times New Roman" w:cs="Times New Roman"/>
                <w:lang w:eastAsia="hr-HR"/>
              </w:rPr>
            </w:pPr>
          </w:p>
        </w:tc>
        <w:tc>
          <w:tcPr>
            <w:tcW w:w="1453" w:type="dxa"/>
            <w:gridSpan w:val="3"/>
            <w:tcBorders>
              <w:top w:val="nil"/>
              <w:left w:val="nil"/>
              <w:bottom w:val="nil"/>
              <w:right w:val="nil"/>
            </w:tcBorders>
            <w:shd w:val="clear" w:color="auto" w:fill="auto"/>
            <w:noWrap/>
            <w:vAlign w:val="bottom"/>
            <w:hideMark/>
          </w:tcPr>
          <w:p w14:paraId="01E52581" w14:textId="3FB84032" w:rsidR="004B66DB" w:rsidRPr="00610E7A" w:rsidRDefault="000A3BD7" w:rsidP="00484918">
            <w:pPr>
              <w:spacing w:after="0" w:line="240" w:lineRule="auto"/>
              <w:jc w:val="right"/>
              <w:rPr>
                <w:rFonts w:ascii="Times New Roman" w:hAnsi="Times New Roman" w:cs="Times New Roman"/>
                <w:lang w:eastAsia="hr-HR"/>
              </w:rPr>
            </w:pPr>
            <w:r>
              <w:rPr>
                <w:rFonts w:ascii="Times New Roman" w:hAnsi="Times New Roman" w:cs="Times New Roman"/>
                <w:lang w:eastAsia="hr-HR"/>
              </w:rPr>
              <w:t>0,00</w:t>
            </w:r>
          </w:p>
        </w:tc>
      </w:tr>
      <w:tr w:rsidR="004B66DB" w:rsidRPr="00610E7A" w14:paraId="2B416352" w14:textId="77777777" w:rsidTr="00484918">
        <w:trPr>
          <w:trHeight w:val="255"/>
        </w:trPr>
        <w:tc>
          <w:tcPr>
            <w:tcW w:w="6995" w:type="dxa"/>
            <w:tcBorders>
              <w:top w:val="nil"/>
              <w:left w:val="nil"/>
              <w:bottom w:val="nil"/>
              <w:right w:val="nil"/>
            </w:tcBorders>
            <w:shd w:val="clear" w:color="auto" w:fill="auto"/>
            <w:noWrap/>
            <w:vAlign w:val="bottom"/>
            <w:hideMark/>
          </w:tcPr>
          <w:p w14:paraId="7D8EF49A" w14:textId="77777777" w:rsidR="004B66DB" w:rsidRPr="00610E7A" w:rsidRDefault="004B66DB" w:rsidP="00484918">
            <w:pPr>
              <w:spacing w:after="0" w:line="240" w:lineRule="auto"/>
              <w:rPr>
                <w:rFonts w:ascii="Times New Roman" w:hAnsi="Times New Roman" w:cs="Times New Roman"/>
                <w:lang w:eastAsia="hr-HR"/>
              </w:rPr>
            </w:pPr>
            <w:r w:rsidRPr="00610E7A">
              <w:rPr>
                <w:rFonts w:ascii="Times New Roman" w:hAnsi="Times New Roman" w:cs="Times New Roman"/>
                <w:lang w:eastAsia="hr-HR"/>
              </w:rPr>
              <w:t xml:space="preserve">Blagajna proračuna (salda </w:t>
            </w:r>
            <w:proofErr w:type="spellStart"/>
            <w:r w:rsidRPr="00610E7A">
              <w:rPr>
                <w:rFonts w:ascii="Times New Roman" w:hAnsi="Times New Roman" w:cs="Times New Roman"/>
                <w:lang w:eastAsia="hr-HR"/>
              </w:rPr>
              <w:t>konti</w:t>
            </w:r>
            <w:proofErr w:type="spellEnd"/>
            <w:r w:rsidRPr="00610E7A">
              <w:rPr>
                <w:rFonts w:ascii="Times New Roman" w:hAnsi="Times New Roman" w:cs="Times New Roman"/>
                <w:lang w:eastAsia="hr-HR"/>
              </w:rPr>
              <w:t>):</w:t>
            </w:r>
          </w:p>
        </w:tc>
        <w:tc>
          <w:tcPr>
            <w:tcW w:w="236" w:type="dxa"/>
            <w:gridSpan w:val="2"/>
            <w:tcBorders>
              <w:top w:val="nil"/>
              <w:left w:val="nil"/>
              <w:bottom w:val="nil"/>
              <w:right w:val="nil"/>
            </w:tcBorders>
            <w:shd w:val="clear" w:color="auto" w:fill="auto"/>
            <w:noWrap/>
            <w:vAlign w:val="bottom"/>
            <w:hideMark/>
          </w:tcPr>
          <w:p w14:paraId="704AA8C9" w14:textId="77777777" w:rsidR="004B66DB" w:rsidRPr="00610E7A" w:rsidRDefault="004B66DB" w:rsidP="00484918">
            <w:pPr>
              <w:spacing w:after="0" w:line="240" w:lineRule="auto"/>
              <w:rPr>
                <w:rFonts w:ascii="Times New Roman" w:hAnsi="Times New Roman" w:cs="Times New Roman"/>
                <w:lang w:eastAsia="hr-HR"/>
              </w:rPr>
            </w:pPr>
          </w:p>
        </w:tc>
        <w:tc>
          <w:tcPr>
            <w:tcW w:w="222" w:type="dxa"/>
            <w:gridSpan w:val="2"/>
            <w:tcBorders>
              <w:top w:val="nil"/>
              <w:left w:val="nil"/>
              <w:bottom w:val="nil"/>
              <w:right w:val="nil"/>
            </w:tcBorders>
            <w:shd w:val="clear" w:color="auto" w:fill="auto"/>
            <w:noWrap/>
            <w:vAlign w:val="bottom"/>
            <w:hideMark/>
          </w:tcPr>
          <w:p w14:paraId="7B3A1623" w14:textId="77777777" w:rsidR="004B66DB" w:rsidRPr="00610E7A" w:rsidRDefault="004B66DB" w:rsidP="00484918">
            <w:pPr>
              <w:spacing w:after="0" w:line="240" w:lineRule="auto"/>
              <w:rPr>
                <w:rFonts w:ascii="Times New Roman" w:hAnsi="Times New Roman" w:cs="Times New Roman"/>
                <w:bCs/>
                <w:lang w:eastAsia="hr-HR"/>
              </w:rPr>
            </w:pPr>
          </w:p>
        </w:tc>
        <w:tc>
          <w:tcPr>
            <w:tcW w:w="241" w:type="dxa"/>
            <w:gridSpan w:val="3"/>
            <w:tcBorders>
              <w:top w:val="nil"/>
              <w:left w:val="nil"/>
              <w:bottom w:val="nil"/>
              <w:right w:val="nil"/>
            </w:tcBorders>
            <w:shd w:val="clear" w:color="auto" w:fill="auto"/>
            <w:noWrap/>
            <w:vAlign w:val="bottom"/>
            <w:hideMark/>
          </w:tcPr>
          <w:p w14:paraId="7E7024F0" w14:textId="77777777" w:rsidR="004B66DB" w:rsidRPr="00610E7A" w:rsidRDefault="004B66DB" w:rsidP="00484918">
            <w:pPr>
              <w:spacing w:after="0" w:line="240" w:lineRule="auto"/>
              <w:rPr>
                <w:rFonts w:ascii="Times New Roman" w:hAnsi="Times New Roman" w:cs="Times New Roman"/>
                <w:lang w:eastAsia="hr-HR"/>
              </w:rPr>
            </w:pPr>
          </w:p>
        </w:tc>
        <w:tc>
          <w:tcPr>
            <w:tcW w:w="1453" w:type="dxa"/>
            <w:gridSpan w:val="3"/>
            <w:tcBorders>
              <w:top w:val="nil"/>
              <w:left w:val="nil"/>
              <w:bottom w:val="nil"/>
              <w:right w:val="nil"/>
            </w:tcBorders>
            <w:shd w:val="clear" w:color="auto" w:fill="auto"/>
            <w:noWrap/>
            <w:vAlign w:val="bottom"/>
            <w:hideMark/>
          </w:tcPr>
          <w:p w14:paraId="2F45FE81" w14:textId="4F1D961F" w:rsidR="004B66DB" w:rsidRPr="00610E7A" w:rsidRDefault="00117425" w:rsidP="00484918">
            <w:pPr>
              <w:spacing w:after="0" w:line="240" w:lineRule="auto"/>
              <w:jc w:val="right"/>
              <w:rPr>
                <w:rFonts w:ascii="Times New Roman" w:hAnsi="Times New Roman" w:cs="Times New Roman"/>
                <w:lang w:eastAsia="hr-HR"/>
              </w:rPr>
            </w:pPr>
            <w:r>
              <w:rPr>
                <w:rFonts w:ascii="Times New Roman" w:hAnsi="Times New Roman" w:cs="Times New Roman"/>
                <w:lang w:eastAsia="hr-HR"/>
              </w:rPr>
              <w:t>145,50</w:t>
            </w:r>
          </w:p>
        </w:tc>
      </w:tr>
      <w:tr w:rsidR="004B66DB" w:rsidRPr="00610E7A" w14:paraId="1AC269DD" w14:textId="77777777" w:rsidTr="00484918">
        <w:trPr>
          <w:trHeight w:val="255"/>
        </w:trPr>
        <w:tc>
          <w:tcPr>
            <w:tcW w:w="6995" w:type="dxa"/>
            <w:tcBorders>
              <w:top w:val="nil"/>
              <w:left w:val="nil"/>
              <w:bottom w:val="nil"/>
              <w:right w:val="nil"/>
            </w:tcBorders>
            <w:shd w:val="clear" w:color="auto" w:fill="auto"/>
            <w:noWrap/>
            <w:vAlign w:val="bottom"/>
          </w:tcPr>
          <w:p w14:paraId="068C0D12" w14:textId="4A0D3343" w:rsidR="004B66DB" w:rsidRPr="00610E7A" w:rsidRDefault="000A3BD7" w:rsidP="00484918">
            <w:pPr>
              <w:spacing w:after="0" w:line="240" w:lineRule="auto"/>
              <w:rPr>
                <w:rFonts w:ascii="Times New Roman" w:hAnsi="Times New Roman" w:cs="Times New Roman"/>
                <w:lang w:eastAsia="hr-HR"/>
              </w:rPr>
            </w:pPr>
            <w:r>
              <w:rPr>
                <w:rFonts w:ascii="Times New Roman" w:hAnsi="Times New Roman" w:cs="Times New Roman"/>
                <w:lang w:eastAsia="hr-HR"/>
              </w:rPr>
              <w:t>Prijelazni račun – kolekcija uplata:</w:t>
            </w:r>
          </w:p>
        </w:tc>
        <w:tc>
          <w:tcPr>
            <w:tcW w:w="236" w:type="dxa"/>
            <w:gridSpan w:val="2"/>
            <w:tcBorders>
              <w:top w:val="nil"/>
              <w:left w:val="nil"/>
              <w:bottom w:val="nil"/>
              <w:right w:val="nil"/>
            </w:tcBorders>
            <w:shd w:val="clear" w:color="auto" w:fill="auto"/>
            <w:noWrap/>
            <w:vAlign w:val="bottom"/>
          </w:tcPr>
          <w:p w14:paraId="45DE1B91" w14:textId="77777777" w:rsidR="004B66DB" w:rsidRPr="00610E7A" w:rsidRDefault="004B66DB" w:rsidP="00484918">
            <w:pPr>
              <w:spacing w:after="0" w:line="240" w:lineRule="auto"/>
              <w:rPr>
                <w:rFonts w:ascii="Times New Roman" w:hAnsi="Times New Roman" w:cs="Times New Roman"/>
                <w:lang w:eastAsia="hr-HR"/>
              </w:rPr>
            </w:pPr>
          </w:p>
        </w:tc>
        <w:tc>
          <w:tcPr>
            <w:tcW w:w="222" w:type="dxa"/>
            <w:gridSpan w:val="2"/>
            <w:tcBorders>
              <w:top w:val="nil"/>
              <w:left w:val="nil"/>
              <w:bottom w:val="nil"/>
              <w:right w:val="nil"/>
            </w:tcBorders>
            <w:shd w:val="clear" w:color="auto" w:fill="auto"/>
            <w:noWrap/>
            <w:vAlign w:val="bottom"/>
          </w:tcPr>
          <w:p w14:paraId="74D47412" w14:textId="77777777" w:rsidR="004B66DB" w:rsidRPr="00610E7A" w:rsidRDefault="004B66DB" w:rsidP="00484918">
            <w:pPr>
              <w:spacing w:after="0" w:line="240" w:lineRule="auto"/>
              <w:rPr>
                <w:rFonts w:ascii="Times New Roman" w:hAnsi="Times New Roman" w:cs="Times New Roman"/>
                <w:bCs/>
                <w:lang w:eastAsia="hr-HR"/>
              </w:rPr>
            </w:pPr>
          </w:p>
        </w:tc>
        <w:tc>
          <w:tcPr>
            <w:tcW w:w="241" w:type="dxa"/>
            <w:gridSpan w:val="3"/>
            <w:tcBorders>
              <w:top w:val="nil"/>
              <w:left w:val="nil"/>
              <w:bottom w:val="nil"/>
              <w:right w:val="nil"/>
            </w:tcBorders>
            <w:shd w:val="clear" w:color="auto" w:fill="auto"/>
            <w:noWrap/>
            <w:vAlign w:val="bottom"/>
          </w:tcPr>
          <w:p w14:paraId="1575D40C" w14:textId="77777777" w:rsidR="004B66DB" w:rsidRPr="00610E7A" w:rsidRDefault="004B66DB" w:rsidP="00484918">
            <w:pPr>
              <w:spacing w:after="0" w:line="240" w:lineRule="auto"/>
              <w:rPr>
                <w:rFonts w:ascii="Times New Roman" w:hAnsi="Times New Roman" w:cs="Times New Roman"/>
                <w:lang w:eastAsia="hr-HR"/>
              </w:rPr>
            </w:pPr>
          </w:p>
        </w:tc>
        <w:tc>
          <w:tcPr>
            <w:tcW w:w="1453" w:type="dxa"/>
            <w:gridSpan w:val="3"/>
            <w:tcBorders>
              <w:top w:val="nil"/>
              <w:left w:val="nil"/>
              <w:bottom w:val="nil"/>
              <w:right w:val="nil"/>
            </w:tcBorders>
            <w:shd w:val="clear" w:color="auto" w:fill="auto"/>
            <w:noWrap/>
            <w:vAlign w:val="bottom"/>
          </w:tcPr>
          <w:p w14:paraId="64548D6D" w14:textId="4B5C1E52" w:rsidR="004B66DB" w:rsidRDefault="00117425" w:rsidP="00484918">
            <w:pPr>
              <w:spacing w:after="0" w:line="240" w:lineRule="auto"/>
              <w:jc w:val="right"/>
              <w:rPr>
                <w:rFonts w:ascii="Times New Roman" w:hAnsi="Times New Roman" w:cs="Times New Roman"/>
                <w:lang w:eastAsia="hr-HR"/>
              </w:rPr>
            </w:pPr>
            <w:r>
              <w:rPr>
                <w:rFonts w:ascii="Times New Roman" w:hAnsi="Times New Roman" w:cs="Times New Roman"/>
                <w:lang w:eastAsia="hr-HR"/>
              </w:rPr>
              <w:t>174,47</w:t>
            </w:r>
          </w:p>
        </w:tc>
      </w:tr>
    </w:tbl>
    <w:p w14:paraId="2F63FFE7" w14:textId="77777777" w:rsidR="004B66DB" w:rsidRDefault="004B66DB" w:rsidP="004B66DB">
      <w:pPr>
        <w:jc w:val="both"/>
      </w:pPr>
    </w:p>
    <w:p w14:paraId="5114B493" w14:textId="0528B331" w:rsidR="000A3BD7" w:rsidRPr="000A3BD7" w:rsidRDefault="000A3BD7" w:rsidP="00AD1BDD">
      <w:pPr>
        <w:spacing w:after="0"/>
        <w:jc w:val="both"/>
        <w:rPr>
          <w:rFonts w:ascii="Times New Roman" w:hAnsi="Times New Roman" w:cs="Times New Roman"/>
        </w:rPr>
      </w:pPr>
      <w:r w:rsidRPr="000A3BD7">
        <w:rPr>
          <w:rFonts w:ascii="Times New Roman" w:hAnsi="Times New Roman" w:cs="Times New Roman"/>
        </w:rPr>
        <w:lastRenderedPageBreak/>
        <w:t>Stanje udjela Grada Garešnice u glavnici trgovačkih društava:</w:t>
      </w:r>
    </w:p>
    <w:tbl>
      <w:tblPr>
        <w:tblW w:w="5000" w:type="pct"/>
        <w:tblLook w:val="04A0" w:firstRow="1" w:lastRow="0" w:firstColumn="1" w:lastColumn="0" w:noHBand="0" w:noVBand="1"/>
      </w:tblPr>
      <w:tblGrid>
        <w:gridCol w:w="222"/>
        <w:gridCol w:w="6530"/>
        <w:gridCol w:w="223"/>
        <w:gridCol w:w="223"/>
        <w:gridCol w:w="222"/>
        <w:gridCol w:w="222"/>
        <w:gridCol w:w="222"/>
        <w:gridCol w:w="1206"/>
      </w:tblGrid>
      <w:tr w:rsidR="000A3BD7" w:rsidRPr="000A3BD7" w14:paraId="5BE7464A" w14:textId="77777777" w:rsidTr="000A3BD7">
        <w:trPr>
          <w:trHeight w:val="255"/>
        </w:trPr>
        <w:tc>
          <w:tcPr>
            <w:tcW w:w="120" w:type="pct"/>
            <w:tcBorders>
              <w:top w:val="nil"/>
              <w:left w:val="nil"/>
              <w:bottom w:val="nil"/>
              <w:right w:val="nil"/>
            </w:tcBorders>
            <w:shd w:val="clear" w:color="auto" w:fill="auto"/>
            <w:noWrap/>
            <w:vAlign w:val="bottom"/>
            <w:hideMark/>
          </w:tcPr>
          <w:p w14:paraId="242E7269" w14:textId="77777777" w:rsidR="000A3BD7" w:rsidRPr="000A3BD7" w:rsidRDefault="000A3BD7" w:rsidP="00AD1BDD">
            <w:pPr>
              <w:spacing w:after="0" w:line="240" w:lineRule="auto"/>
              <w:rPr>
                <w:rFonts w:ascii="Times New Roman" w:hAnsi="Times New Roman" w:cs="Times New Roman"/>
              </w:rPr>
            </w:pPr>
          </w:p>
        </w:tc>
        <w:tc>
          <w:tcPr>
            <w:tcW w:w="3811" w:type="pct"/>
            <w:gridSpan w:val="2"/>
            <w:tcBorders>
              <w:top w:val="nil"/>
              <w:left w:val="nil"/>
              <w:bottom w:val="nil"/>
              <w:right w:val="nil"/>
            </w:tcBorders>
            <w:shd w:val="clear" w:color="auto" w:fill="auto"/>
            <w:noWrap/>
            <w:vAlign w:val="bottom"/>
            <w:hideMark/>
          </w:tcPr>
          <w:p w14:paraId="24E7F160" w14:textId="77777777" w:rsidR="000A3BD7" w:rsidRPr="000A3BD7" w:rsidRDefault="000A3BD7" w:rsidP="00AD1BDD">
            <w:pPr>
              <w:spacing w:after="0" w:line="240" w:lineRule="auto"/>
              <w:rPr>
                <w:rFonts w:ascii="Times New Roman" w:hAnsi="Times New Roman" w:cs="Times New Roman"/>
              </w:rPr>
            </w:pPr>
            <w:r w:rsidRPr="000A3BD7">
              <w:rPr>
                <w:rFonts w:ascii="Times New Roman" w:hAnsi="Times New Roman" w:cs="Times New Roman"/>
              </w:rPr>
              <w:t>Komunalac d.o.o. Garešnica</w:t>
            </w:r>
          </w:p>
        </w:tc>
        <w:tc>
          <w:tcPr>
            <w:tcW w:w="119" w:type="pct"/>
            <w:tcBorders>
              <w:top w:val="nil"/>
              <w:left w:val="nil"/>
              <w:bottom w:val="nil"/>
              <w:right w:val="nil"/>
            </w:tcBorders>
            <w:shd w:val="clear" w:color="auto" w:fill="auto"/>
            <w:noWrap/>
            <w:vAlign w:val="bottom"/>
            <w:hideMark/>
          </w:tcPr>
          <w:p w14:paraId="7123B16F" w14:textId="77777777" w:rsidR="000A3BD7" w:rsidRPr="000A3BD7" w:rsidRDefault="000A3BD7" w:rsidP="00AD1BDD">
            <w:pPr>
              <w:spacing w:after="0" w:line="240" w:lineRule="auto"/>
              <w:rPr>
                <w:rFonts w:ascii="Times New Roman" w:hAnsi="Times New Roman" w:cs="Times New Roman"/>
              </w:rPr>
            </w:pPr>
          </w:p>
        </w:tc>
        <w:tc>
          <w:tcPr>
            <w:tcW w:w="119" w:type="pct"/>
            <w:tcBorders>
              <w:top w:val="nil"/>
              <w:left w:val="nil"/>
              <w:bottom w:val="nil"/>
              <w:right w:val="nil"/>
            </w:tcBorders>
            <w:shd w:val="clear" w:color="auto" w:fill="auto"/>
            <w:noWrap/>
            <w:vAlign w:val="bottom"/>
            <w:hideMark/>
          </w:tcPr>
          <w:p w14:paraId="015AED0F" w14:textId="77777777" w:rsidR="000A3BD7" w:rsidRPr="000A3BD7" w:rsidRDefault="000A3BD7" w:rsidP="00AD1BDD">
            <w:pPr>
              <w:spacing w:after="0" w:line="240" w:lineRule="auto"/>
              <w:rPr>
                <w:rFonts w:ascii="Times New Roman" w:hAnsi="Times New Roman" w:cs="Times New Roman"/>
              </w:rPr>
            </w:pPr>
          </w:p>
        </w:tc>
        <w:tc>
          <w:tcPr>
            <w:tcW w:w="119" w:type="pct"/>
            <w:tcBorders>
              <w:top w:val="nil"/>
              <w:left w:val="nil"/>
              <w:bottom w:val="nil"/>
              <w:right w:val="nil"/>
            </w:tcBorders>
            <w:shd w:val="clear" w:color="auto" w:fill="auto"/>
            <w:noWrap/>
            <w:vAlign w:val="bottom"/>
            <w:hideMark/>
          </w:tcPr>
          <w:p w14:paraId="18450423" w14:textId="77777777" w:rsidR="000A3BD7" w:rsidRPr="000A3BD7" w:rsidRDefault="000A3BD7" w:rsidP="00AD1BDD">
            <w:pPr>
              <w:spacing w:after="0" w:line="240" w:lineRule="auto"/>
              <w:rPr>
                <w:rFonts w:ascii="Times New Roman" w:hAnsi="Times New Roman" w:cs="Times New Roman"/>
              </w:rPr>
            </w:pPr>
          </w:p>
        </w:tc>
        <w:tc>
          <w:tcPr>
            <w:tcW w:w="119" w:type="pct"/>
            <w:tcBorders>
              <w:top w:val="nil"/>
              <w:left w:val="nil"/>
              <w:bottom w:val="nil"/>
              <w:right w:val="nil"/>
            </w:tcBorders>
            <w:shd w:val="clear" w:color="auto" w:fill="auto"/>
            <w:noWrap/>
            <w:vAlign w:val="bottom"/>
            <w:hideMark/>
          </w:tcPr>
          <w:p w14:paraId="2ABC6239" w14:textId="77777777" w:rsidR="000A3BD7" w:rsidRPr="000A3BD7" w:rsidRDefault="000A3BD7" w:rsidP="00AD1BDD">
            <w:pPr>
              <w:spacing w:after="0" w:line="240" w:lineRule="auto"/>
              <w:rPr>
                <w:rFonts w:ascii="Times New Roman" w:hAnsi="Times New Roman" w:cs="Times New Roman"/>
              </w:rPr>
            </w:pPr>
          </w:p>
        </w:tc>
        <w:tc>
          <w:tcPr>
            <w:tcW w:w="593" w:type="pct"/>
            <w:tcBorders>
              <w:top w:val="nil"/>
              <w:left w:val="nil"/>
              <w:bottom w:val="nil"/>
              <w:right w:val="nil"/>
            </w:tcBorders>
            <w:shd w:val="clear" w:color="auto" w:fill="auto"/>
            <w:noWrap/>
            <w:vAlign w:val="bottom"/>
            <w:hideMark/>
          </w:tcPr>
          <w:p w14:paraId="1810E9D5" w14:textId="77777777" w:rsidR="000A3BD7" w:rsidRPr="000A3BD7" w:rsidRDefault="000A3BD7" w:rsidP="00AD1BDD">
            <w:pPr>
              <w:spacing w:after="0" w:line="240" w:lineRule="auto"/>
              <w:jc w:val="right"/>
              <w:rPr>
                <w:rFonts w:ascii="Times New Roman" w:hAnsi="Times New Roman" w:cs="Times New Roman"/>
              </w:rPr>
            </w:pPr>
            <w:r w:rsidRPr="000A3BD7">
              <w:rPr>
                <w:rFonts w:ascii="Times New Roman" w:hAnsi="Times New Roman" w:cs="Times New Roman"/>
              </w:rPr>
              <w:t>125.210,70</w:t>
            </w:r>
          </w:p>
        </w:tc>
      </w:tr>
      <w:tr w:rsidR="000A3BD7" w:rsidRPr="000A3BD7" w14:paraId="4D3B857A" w14:textId="77777777" w:rsidTr="000A3BD7">
        <w:trPr>
          <w:trHeight w:val="255"/>
        </w:trPr>
        <w:tc>
          <w:tcPr>
            <w:tcW w:w="120" w:type="pct"/>
            <w:tcBorders>
              <w:top w:val="nil"/>
              <w:left w:val="nil"/>
              <w:bottom w:val="nil"/>
              <w:right w:val="nil"/>
            </w:tcBorders>
            <w:shd w:val="clear" w:color="auto" w:fill="auto"/>
            <w:noWrap/>
            <w:vAlign w:val="bottom"/>
            <w:hideMark/>
          </w:tcPr>
          <w:p w14:paraId="52806607" w14:textId="77777777" w:rsidR="000A3BD7" w:rsidRPr="000A3BD7" w:rsidRDefault="000A3BD7" w:rsidP="000A3BD7">
            <w:pPr>
              <w:spacing w:after="0" w:line="240" w:lineRule="auto"/>
              <w:jc w:val="right"/>
              <w:rPr>
                <w:rFonts w:ascii="Times New Roman" w:hAnsi="Times New Roman" w:cs="Times New Roman"/>
              </w:rPr>
            </w:pPr>
          </w:p>
        </w:tc>
        <w:tc>
          <w:tcPr>
            <w:tcW w:w="3811" w:type="pct"/>
            <w:gridSpan w:val="2"/>
            <w:tcBorders>
              <w:top w:val="nil"/>
              <w:left w:val="nil"/>
              <w:bottom w:val="nil"/>
              <w:right w:val="nil"/>
            </w:tcBorders>
            <w:shd w:val="clear" w:color="auto" w:fill="auto"/>
            <w:noWrap/>
            <w:vAlign w:val="bottom"/>
            <w:hideMark/>
          </w:tcPr>
          <w:p w14:paraId="22D6F44F" w14:textId="77777777" w:rsidR="000A3BD7" w:rsidRPr="000A3BD7" w:rsidRDefault="000A3BD7" w:rsidP="000A3BD7">
            <w:pPr>
              <w:spacing w:after="0" w:line="240" w:lineRule="auto"/>
              <w:rPr>
                <w:rFonts w:ascii="Times New Roman" w:hAnsi="Times New Roman" w:cs="Times New Roman"/>
              </w:rPr>
            </w:pPr>
            <w:r w:rsidRPr="000A3BD7">
              <w:rPr>
                <w:rFonts w:ascii="Times New Roman" w:hAnsi="Times New Roman" w:cs="Times New Roman"/>
              </w:rPr>
              <w:t>Krugoval 93,1 MHZ d.o.o.</w:t>
            </w:r>
          </w:p>
        </w:tc>
        <w:tc>
          <w:tcPr>
            <w:tcW w:w="119" w:type="pct"/>
            <w:tcBorders>
              <w:top w:val="nil"/>
              <w:left w:val="nil"/>
              <w:bottom w:val="nil"/>
              <w:right w:val="nil"/>
            </w:tcBorders>
            <w:shd w:val="clear" w:color="auto" w:fill="auto"/>
            <w:noWrap/>
            <w:vAlign w:val="bottom"/>
            <w:hideMark/>
          </w:tcPr>
          <w:p w14:paraId="2B674568" w14:textId="77777777" w:rsidR="000A3BD7" w:rsidRPr="000A3BD7" w:rsidRDefault="000A3BD7" w:rsidP="000A3BD7">
            <w:pPr>
              <w:spacing w:after="0" w:line="240" w:lineRule="auto"/>
              <w:rPr>
                <w:rFonts w:ascii="Times New Roman" w:hAnsi="Times New Roman" w:cs="Times New Roman"/>
              </w:rPr>
            </w:pPr>
          </w:p>
        </w:tc>
        <w:tc>
          <w:tcPr>
            <w:tcW w:w="119" w:type="pct"/>
            <w:tcBorders>
              <w:top w:val="nil"/>
              <w:left w:val="nil"/>
              <w:bottom w:val="nil"/>
              <w:right w:val="nil"/>
            </w:tcBorders>
            <w:shd w:val="clear" w:color="auto" w:fill="auto"/>
            <w:noWrap/>
            <w:vAlign w:val="bottom"/>
            <w:hideMark/>
          </w:tcPr>
          <w:p w14:paraId="33DE5DEE" w14:textId="77777777" w:rsidR="000A3BD7" w:rsidRPr="000A3BD7" w:rsidRDefault="000A3BD7" w:rsidP="000A3BD7">
            <w:pPr>
              <w:spacing w:after="0" w:line="240" w:lineRule="auto"/>
              <w:rPr>
                <w:rFonts w:ascii="Times New Roman" w:hAnsi="Times New Roman" w:cs="Times New Roman"/>
              </w:rPr>
            </w:pPr>
          </w:p>
        </w:tc>
        <w:tc>
          <w:tcPr>
            <w:tcW w:w="119" w:type="pct"/>
            <w:tcBorders>
              <w:top w:val="nil"/>
              <w:left w:val="nil"/>
              <w:bottom w:val="nil"/>
              <w:right w:val="nil"/>
            </w:tcBorders>
            <w:shd w:val="clear" w:color="auto" w:fill="auto"/>
            <w:noWrap/>
            <w:vAlign w:val="bottom"/>
            <w:hideMark/>
          </w:tcPr>
          <w:p w14:paraId="74C6414F" w14:textId="77777777" w:rsidR="000A3BD7" w:rsidRPr="000A3BD7" w:rsidRDefault="000A3BD7" w:rsidP="000A3BD7">
            <w:pPr>
              <w:spacing w:after="0" w:line="240" w:lineRule="auto"/>
              <w:rPr>
                <w:rFonts w:ascii="Times New Roman" w:hAnsi="Times New Roman" w:cs="Times New Roman"/>
              </w:rPr>
            </w:pPr>
          </w:p>
        </w:tc>
        <w:tc>
          <w:tcPr>
            <w:tcW w:w="119" w:type="pct"/>
            <w:tcBorders>
              <w:top w:val="nil"/>
              <w:left w:val="nil"/>
              <w:bottom w:val="nil"/>
              <w:right w:val="nil"/>
            </w:tcBorders>
            <w:shd w:val="clear" w:color="auto" w:fill="auto"/>
            <w:noWrap/>
            <w:vAlign w:val="bottom"/>
            <w:hideMark/>
          </w:tcPr>
          <w:p w14:paraId="74C46955" w14:textId="77777777" w:rsidR="000A3BD7" w:rsidRPr="000A3BD7" w:rsidRDefault="000A3BD7" w:rsidP="000A3BD7">
            <w:pPr>
              <w:spacing w:after="0" w:line="240" w:lineRule="auto"/>
              <w:rPr>
                <w:rFonts w:ascii="Times New Roman" w:hAnsi="Times New Roman" w:cs="Times New Roman"/>
              </w:rPr>
            </w:pPr>
          </w:p>
        </w:tc>
        <w:tc>
          <w:tcPr>
            <w:tcW w:w="593" w:type="pct"/>
            <w:tcBorders>
              <w:top w:val="nil"/>
              <w:left w:val="nil"/>
              <w:bottom w:val="nil"/>
              <w:right w:val="nil"/>
            </w:tcBorders>
            <w:shd w:val="clear" w:color="auto" w:fill="auto"/>
            <w:noWrap/>
            <w:vAlign w:val="bottom"/>
            <w:hideMark/>
          </w:tcPr>
          <w:p w14:paraId="2E09E8FA" w14:textId="77777777" w:rsidR="000A3BD7" w:rsidRPr="000A3BD7" w:rsidRDefault="000A3BD7" w:rsidP="000A3BD7">
            <w:pPr>
              <w:spacing w:after="0" w:line="240" w:lineRule="auto"/>
              <w:jc w:val="right"/>
              <w:rPr>
                <w:rFonts w:ascii="Times New Roman" w:hAnsi="Times New Roman" w:cs="Times New Roman"/>
              </w:rPr>
            </w:pPr>
            <w:r w:rsidRPr="000A3BD7">
              <w:rPr>
                <w:rFonts w:ascii="Times New Roman" w:hAnsi="Times New Roman" w:cs="Times New Roman"/>
              </w:rPr>
              <w:t>663,61</w:t>
            </w:r>
          </w:p>
        </w:tc>
      </w:tr>
      <w:tr w:rsidR="000A3BD7" w:rsidRPr="000A3BD7" w14:paraId="15277DA6" w14:textId="77777777" w:rsidTr="000A3BD7">
        <w:trPr>
          <w:trHeight w:val="255"/>
        </w:trPr>
        <w:tc>
          <w:tcPr>
            <w:tcW w:w="120" w:type="pct"/>
            <w:tcBorders>
              <w:top w:val="nil"/>
              <w:left w:val="nil"/>
              <w:bottom w:val="nil"/>
              <w:right w:val="nil"/>
            </w:tcBorders>
            <w:shd w:val="clear" w:color="auto" w:fill="auto"/>
            <w:noWrap/>
            <w:vAlign w:val="bottom"/>
            <w:hideMark/>
          </w:tcPr>
          <w:p w14:paraId="7F7C7E2C" w14:textId="77777777" w:rsidR="000A3BD7" w:rsidRPr="000A3BD7" w:rsidRDefault="000A3BD7" w:rsidP="000A3BD7">
            <w:pPr>
              <w:spacing w:after="0" w:line="240" w:lineRule="auto"/>
              <w:jc w:val="right"/>
              <w:rPr>
                <w:rFonts w:ascii="Times New Roman" w:hAnsi="Times New Roman" w:cs="Times New Roman"/>
              </w:rPr>
            </w:pPr>
          </w:p>
        </w:tc>
        <w:tc>
          <w:tcPr>
            <w:tcW w:w="3692" w:type="pct"/>
            <w:tcBorders>
              <w:top w:val="nil"/>
              <w:left w:val="nil"/>
              <w:bottom w:val="nil"/>
              <w:right w:val="nil"/>
            </w:tcBorders>
            <w:shd w:val="clear" w:color="auto" w:fill="auto"/>
            <w:noWrap/>
            <w:vAlign w:val="bottom"/>
            <w:hideMark/>
          </w:tcPr>
          <w:p w14:paraId="66014A8E" w14:textId="77777777" w:rsidR="000A3BD7" w:rsidRPr="000A3BD7" w:rsidRDefault="000A3BD7" w:rsidP="000A3BD7">
            <w:pPr>
              <w:spacing w:after="0" w:line="240" w:lineRule="auto"/>
              <w:rPr>
                <w:rFonts w:ascii="Times New Roman" w:hAnsi="Times New Roman" w:cs="Times New Roman"/>
              </w:rPr>
            </w:pPr>
            <w:r w:rsidRPr="000A3BD7">
              <w:rPr>
                <w:rFonts w:ascii="Times New Roman" w:hAnsi="Times New Roman" w:cs="Times New Roman"/>
              </w:rPr>
              <w:t>Sajam Uljanik d.o.o.</w:t>
            </w:r>
          </w:p>
        </w:tc>
        <w:tc>
          <w:tcPr>
            <w:tcW w:w="120" w:type="pct"/>
            <w:tcBorders>
              <w:top w:val="nil"/>
              <w:left w:val="nil"/>
              <w:bottom w:val="nil"/>
              <w:right w:val="nil"/>
            </w:tcBorders>
            <w:shd w:val="clear" w:color="auto" w:fill="auto"/>
            <w:noWrap/>
            <w:vAlign w:val="bottom"/>
            <w:hideMark/>
          </w:tcPr>
          <w:p w14:paraId="5A960B11" w14:textId="77777777" w:rsidR="000A3BD7" w:rsidRPr="000A3BD7" w:rsidRDefault="000A3BD7" w:rsidP="000A3BD7">
            <w:pPr>
              <w:spacing w:after="0" w:line="240" w:lineRule="auto"/>
              <w:rPr>
                <w:rFonts w:ascii="Times New Roman" w:hAnsi="Times New Roman" w:cs="Times New Roman"/>
              </w:rPr>
            </w:pPr>
          </w:p>
        </w:tc>
        <w:tc>
          <w:tcPr>
            <w:tcW w:w="119" w:type="pct"/>
            <w:tcBorders>
              <w:top w:val="nil"/>
              <w:left w:val="nil"/>
              <w:bottom w:val="nil"/>
              <w:right w:val="nil"/>
            </w:tcBorders>
            <w:shd w:val="clear" w:color="auto" w:fill="auto"/>
            <w:noWrap/>
            <w:vAlign w:val="bottom"/>
            <w:hideMark/>
          </w:tcPr>
          <w:p w14:paraId="49337114" w14:textId="77777777" w:rsidR="000A3BD7" w:rsidRPr="000A3BD7" w:rsidRDefault="000A3BD7" w:rsidP="000A3BD7">
            <w:pPr>
              <w:spacing w:after="0" w:line="240" w:lineRule="auto"/>
              <w:rPr>
                <w:rFonts w:ascii="Times New Roman" w:hAnsi="Times New Roman" w:cs="Times New Roman"/>
              </w:rPr>
            </w:pPr>
          </w:p>
        </w:tc>
        <w:tc>
          <w:tcPr>
            <w:tcW w:w="119" w:type="pct"/>
            <w:tcBorders>
              <w:top w:val="nil"/>
              <w:left w:val="nil"/>
              <w:bottom w:val="nil"/>
              <w:right w:val="nil"/>
            </w:tcBorders>
            <w:shd w:val="clear" w:color="auto" w:fill="auto"/>
            <w:noWrap/>
            <w:vAlign w:val="bottom"/>
            <w:hideMark/>
          </w:tcPr>
          <w:p w14:paraId="5585E74D" w14:textId="77777777" w:rsidR="000A3BD7" w:rsidRPr="000A3BD7" w:rsidRDefault="000A3BD7" w:rsidP="000A3BD7">
            <w:pPr>
              <w:spacing w:after="0" w:line="240" w:lineRule="auto"/>
              <w:rPr>
                <w:rFonts w:ascii="Times New Roman" w:hAnsi="Times New Roman" w:cs="Times New Roman"/>
              </w:rPr>
            </w:pPr>
          </w:p>
        </w:tc>
        <w:tc>
          <w:tcPr>
            <w:tcW w:w="119" w:type="pct"/>
            <w:tcBorders>
              <w:top w:val="nil"/>
              <w:left w:val="nil"/>
              <w:bottom w:val="nil"/>
              <w:right w:val="nil"/>
            </w:tcBorders>
            <w:shd w:val="clear" w:color="auto" w:fill="auto"/>
            <w:noWrap/>
            <w:vAlign w:val="bottom"/>
            <w:hideMark/>
          </w:tcPr>
          <w:p w14:paraId="0D07696A" w14:textId="77777777" w:rsidR="000A3BD7" w:rsidRPr="000A3BD7" w:rsidRDefault="000A3BD7" w:rsidP="000A3BD7">
            <w:pPr>
              <w:spacing w:after="0" w:line="240" w:lineRule="auto"/>
              <w:rPr>
                <w:rFonts w:ascii="Times New Roman" w:hAnsi="Times New Roman" w:cs="Times New Roman"/>
              </w:rPr>
            </w:pPr>
          </w:p>
        </w:tc>
        <w:tc>
          <w:tcPr>
            <w:tcW w:w="119" w:type="pct"/>
            <w:tcBorders>
              <w:top w:val="nil"/>
              <w:left w:val="nil"/>
              <w:bottom w:val="nil"/>
              <w:right w:val="nil"/>
            </w:tcBorders>
            <w:shd w:val="clear" w:color="auto" w:fill="auto"/>
            <w:noWrap/>
            <w:vAlign w:val="bottom"/>
            <w:hideMark/>
          </w:tcPr>
          <w:p w14:paraId="7063C552" w14:textId="77777777" w:rsidR="000A3BD7" w:rsidRPr="000A3BD7" w:rsidRDefault="000A3BD7" w:rsidP="000A3BD7">
            <w:pPr>
              <w:spacing w:after="0" w:line="240" w:lineRule="auto"/>
              <w:rPr>
                <w:rFonts w:ascii="Times New Roman" w:hAnsi="Times New Roman" w:cs="Times New Roman"/>
              </w:rPr>
            </w:pPr>
          </w:p>
        </w:tc>
        <w:tc>
          <w:tcPr>
            <w:tcW w:w="593" w:type="pct"/>
            <w:tcBorders>
              <w:top w:val="nil"/>
              <w:left w:val="nil"/>
              <w:bottom w:val="nil"/>
              <w:right w:val="nil"/>
            </w:tcBorders>
            <w:shd w:val="clear" w:color="auto" w:fill="auto"/>
            <w:noWrap/>
            <w:vAlign w:val="bottom"/>
            <w:hideMark/>
          </w:tcPr>
          <w:p w14:paraId="3E95D55F" w14:textId="77777777" w:rsidR="000A3BD7" w:rsidRPr="000A3BD7" w:rsidRDefault="000A3BD7" w:rsidP="000A3BD7">
            <w:pPr>
              <w:spacing w:after="0" w:line="240" w:lineRule="auto"/>
              <w:jc w:val="right"/>
              <w:rPr>
                <w:rFonts w:ascii="Times New Roman" w:hAnsi="Times New Roman" w:cs="Times New Roman"/>
              </w:rPr>
            </w:pPr>
            <w:r w:rsidRPr="000A3BD7">
              <w:rPr>
                <w:rFonts w:ascii="Times New Roman" w:hAnsi="Times New Roman" w:cs="Times New Roman"/>
              </w:rPr>
              <w:t>2.654,46</w:t>
            </w:r>
          </w:p>
        </w:tc>
      </w:tr>
      <w:tr w:rsidR="000A3BD7" w:rsidRPr="000A3BD7" w14:paraId="47E2FED3" w14:textId="77777777" w:rsidTr="000A3BD7">
        <w:trPr>
          <w:trHeight w:val="255"/>
        </w:trPr>
        <w:tc>
          <w:tcPr>
            <w:tcW w:w="120" w:type="pct"/>
            <w:tcBorders>
              <w:top w:val="nil"/>
              <w:left w:val="nil"/>
              <w:bottom w:val="nil"/>
              <w:right w:val="nil"/>
            </w:tcBorders>
            <w:shd w:val="clear" w:color="auto" w:fill="auto"/>
            <w:noWrap/>
            <w:vAlign w:val="bottom"/>
            <w:hideMark/>
          </w:tcPr>
          <w:p w14:paraId="270BFE81" w14:textId="77777777" w:rsidR="000A3BD7" w:rsidRPr="000A3BD7" w:rsidRDefault="000A3BD7" w:rsidP="000A3BD7">
            <w:pPr>
              <w:spacing w:after="0" w:line="240" w:lineRule="auto"/>
              <w:jc w:val="right"/>
              <w:rPr>
                <w:rFonts w:ascii="Times New Roman" w:hAnsi="Times New Roman" w:cs="Times New Roman"/>
              </w:rPr>
            </w:pPr>
          </w:p>
        </w:tc>
        <w:tc>
          <w:tcPr>
            <w:tcW w:w="3811" w:type="pct"/>
            <w:gridSpan w:val="2"/>
            <w:tcBorders>
              <w:top w:val="nil"/>
              <w:left w:val="nil"/>
              <w:bottom w:val="nil"/>
              <w:right w:val="nil"/>
            </w:tcBorders>
            <w:shd w:val="clear" w:color="auto" w:fill="auto"/>
            <w:noWrap/>
            <w:vAlign w:val="bottom"/>
            <w:hideMark/>
          </w:tcPr>
          <w:p w14:paraId="122F735B" w14:textId="1FBA209F" w:rsidR="000A3BD7" w:rsidRPr="000A3BD7" w:rsidRDefault="000A3BD7" w:rsidP="000A3BD7">
            <w:pPr>
              <w:spacing w:after="0" w:line="240" w:lineRule="auto"/>
              <w:rPr>
                <w:rFonts w:ascii="Times New Roman" w:hAnsi="Times New Roman" w:cs="Times New Roman"/>
              </w:rPr>
            </w:pPr>
            <w:r w:rsidRPr="000A3BD7">
              <w:rPr>
                <w:rFonts w:ascii="Times New Roman" w:hAnsi="Times New Roman" w:cs="Times New Roman"/>
              </w:rPr>
              <w:t>Vod</w:t>
            </w:r>
            <w:r w:rsidR="00117425">
              <w:rPr>
                <w:rFonts w:ascii="Times New Roman" w:hAnsi="Times New Roman" w:cs="Times New Roman"/>
              </w:rPr>
              <w:t>ne usluge</w:t>
            </w:r>
            <w:r w:rsidRPr="000A3BD7">
              <w:rPr>
                <w:rFonts w:ascii="Times New Roman" w:hAnsi="Times New Roman" w:cs="Times New Roman"/>
              </w:rPr>
              <w:t xml:space="preserve"> d.o.o</w:t>
            </w:r>
          </w:p>
        </w:tc>
        <w:tc>
          <w:tcPr>
            <w:tcW w:w="119" w:type="pct"/>
            <w:tcBorders>
              <w:top w:val="nil"/>
              <w:left w:val="nil"/>
              <w:bottom w:val="nil"/>
              <w:right w:val="nil"/>
            </w:tcBorders>
            <w:shd w:val="clear" w:color="auto" w:fill="auto"/>
            <w:noWrap/>
            <w:vAlign w:val="bottom"/>
            <w:hideMark/>
          </w:tcPr>
          <w:p w14:paraId="41693164" w14:textId="77777777" w:rsidR="000A3BD7" w:rsidRPr="000A3BD7" w:rsidRDefault="000A3BD7" w:rsidP="000A3BD7">
            <w:pPr>
              <w:spacing w:after="0" w:line="240" w:lineRule="auto"/>
              <w:rPr>
                <w:rFonts w:ascii="Times New Roman" w:hAnsi="Times New Roman" w:cs="Times New Roman"/>
              </w:rPr>
            </w:pPr>
          </w:p>
        </w:tc>
        <w:tc>
          <w:tcPr>
            <w:tcW w:w="119" w:type="pct"/>
            <w:tcBorders>
              <w:top w:val="nil"/>
              <w:left w:val="nil"/>
              <w:bottom w:val="nil"/>
              <w:right w:val="nil"/>
            </w:tcBorders>
            <w:shd w:val="clear" w:color="auto" w:fill="auto"/>
            <w:noWrap/>
            <w:vAlign w:val="bottom"/>
            <w:hideMark/>
          </w:tcPr>
          <w:p w14:paraId="7B98A02B" w14:textId="77777777" w:rsidR="000A3BD7" w:rsidRPr="000A3BD7" w:rsidRDefault="000A3BD7" w:rsidP="000A3BD7">
            <w:pPr>
              <w:spacing w:after="0" w:line="240" w:lineRule="auto"/>
              <w:rPr>
                <w:rFonts w:ascii="Times New Roman" w:hAnsi="Times New Roman" w:cs="Times New Roman"/>
              </w:rPr>
            </w:pPr>
          </w:p>
        </w:tc>
        <w:tc>
          <w:tcPr>
            <w:tcW w:w="119" w:type="pct"/>
            <w:tcBorders>
              <w:top w:val="nil"/>
              <w:left w:val="nil"/>
              <w:bottom w:val="nil"/>
              <w:right w:val="nil"/>
            </w:tcBorders>
            <w:shd w:val="clear" w:color="auto" w:fill="auto"/>
            <w:noWrap/>
            <w:vAlign w:val="bottom"/>
            <w:hideMark/>
          </w:tcPr>
          <w:p w14:paraId="29457F78" w14:textId="77777777" w:rsidR="000A3BD7" w:rsidRPr="000A3BD7" w:rsidRDefault="000A3BD7" w:rsidP="000A3BD7">
            <w:pPr>
              <w:spacing w:after="0" w:line="240" w:lineRule="auto"/>
              <w:rPr>
                <w:rFonts w:ascii="Times New Roman" w:hAnsi="Times New Roman" w:cs="Times New Roman"/>
              </w:rPr>
            </w:pPr>
          </w:p>
        </w:tc>
        <w:tc>
          <w:tcPr>
            <w:tcW w:w="119" w:type="pct"/>
            <w:tcBorders>
              <w:top w:val="nil"/>
              <w:left w:val="nil"/>
              <w:bottom w:val="nil"/>
              <w:right w:val="nil"/>
            </w:tcBorders>
            <w:shd w:val="clear" w:color="auto" w:fill="auto"/>
            <w:noWrap/>
            <w:vAlign w:val="bottom"/>
            <w:hideMark/>
          </w:tcPr>
          <w:p w14:paraId="6A37DD28" w14:textId="77777777" w:rsidR="000A3BD7" w:rsidRPr="000A3BD7" w:rsidRDefault="000A3BD7" w:rsidP="000A3BD7">
            <w:pPr>
              <w:spacing w:after="0" w:line="240" w:lineRule="auto"/>
              <w:rPr>
                <w:rFonts w:ascii="Times New Roman" w:hAnsi="Times New Roman" w:cs="Times New Roman"/>
              </w:rPr>
            </w:pPr>
          </w:p>
        </w:tc>
        <w:tc>
          <w:tcPr>
            <w:tcW w:w="593" w:type="pct"/>
            <w:tcBorders>
              <w:top w:val="nil"/>
              <w:left w:val="nil"/>
              <w:bottom w:val="nil"/>
              <w:right w:val="nil"/>
            </w:tcBorders>
            <w:shd w:val="clear" w:color="auto" w:fill="auto"/>
            <w:noWrap/>
            <w:vAlign w:val="bottom"/>
            <w:hideMark/>
          </w:tcPr>
          <w:p w14:paraId="7C2C3B11" w14:textId="6F014F2B" w:rsidR="000A3BD7" w:rsidRPr="000A3BD7" w:rsidRDefault="000A3BD7" w:rsidP="000A3BD7">
            <w:pPr>
              <w:spacing w:after="0" w:line="240" w:lineRule="auto"/>
              <w:jc w:val="right"/>
              <w:rPr>
                <w:rFonts w:ascii="Times New Roman" w:hAnsi="Times New Roman" w:cs="Times New Roman"/>
              </w:rPr>
            </w:pPr>
            <w:r w:rsidRPr="000A3BD7">
              <w:rPr>
                <w:rFonts w:ascii="Times New Roman" w:hAnsi="Times New Roman" w:cs="Times New Roman"/>
              </w:rPr>
              <w:t>187.8</w:t>
            </w:r>
            <w:r w:rsidR="00117425">
              <w:rPr>
                <w:rFonts w:ascii="Times New Roman" w:hAnsi="Times New Roman" w:cs="Times New Roman"/>
              </w:rPr>
              <w:t>10,00</w:t>
            </w:r>
          </w:p>
        </w:tc>
      </w:tr>
      <w:tr w:rsidR="000A3BD7" w:rsidRPr="000A3BD7" w14:paraId="2108C6DF" w14:textId="77777777" w:rsidTr="000A3BD7">
        <w:trPr>
          <w:trHeight w:val="255"/>
        </w:trPr>
        <w:tc>
          <w:tcPr>
            <w:tcW w:w="120" w:type="pct"/>
            <w:tcBorders>
              <w:top w:val="nil"/>
              <w:left w:val="nil"/>
              <w:bottom w:val="nil"/>
              <w:right w:val="nil"/>
            </w:tcBorders>
            <w:shd w:val="clear" w:color="auto" w:fill="auto"/>
            <w:noWrap/>
            <w:vAlign w:val="bottom"/>
            <w:hideMark/>
          </w:tcPr>
          <w:p w14:paraId="6A56C409" w14:textId="77777777" w:rsidR="000A3BD7" w:rsidRPr="000A3BD7" w:rsidRDefault="000A3BD7" w:rsidP="000A3BD7">
            <w:pPr>
              <w:spacing w:after="0" w:line="240" w:lineRule="auto"/>
              <w:jc w:val="right"/>
              <w:rPr>
                <w:rFonts w:ascii="Times New Roman" w:hAnsi="Times New Roman" w:cs="Times New Roman"/>
              </w:rPr>
            </w:pPr>
          </w:p>
        </w:tc>
        <w:tc>
          <w:tcPr>
            <w:tcW w:w="4168" w:type="pct"/>
            <w:gridSpan w:val="5"/>
            <w:tcBorders>
              <w:top w:val="nil"/>
              <w:left w:val="nil"/>
              <w:bottom w:val="nil"/>
              <w:right w:val="nil"/>
            </w:tcBorders>
            <w:shd w:val="clear" w:color="auto" w:fill="auto"/>
            <w:noWrap/>
            <w:vAlign w:val="bottom"/>
            <w:hideMark/>
          </w:tcPr>
          <w:p w14:paraId="1DAB6FE1" w14:textId="77777777" w:rsidR="000A3BD7" w:rsidRPr="000A3BD7" w:rsidRDefault="000A3BD7" w:rsidP="000A3BD7">
            <w:pPr>
              <w:spacing w:after="0" w:line="240" w:lineRule="auto"/>
              <w:rPr>
                <w:rFonts w:ascii="Times New Roman" w:hAnsi="Times New Roman" w:cs="Times New Roman"/>
              </w:rPr>
            </w:pPr>
            <w:r w:rsidRPr="000A3BD7">
              <w:rPr>
                <w:rFonts w:ascii="Times New Roman" w:hAnsi="Times New Roman" w:cs="Times New Roman"/>
              </w:rPr>
              <w:t xml:space="preserve">Lokalna razvojna agencija - Poduzetnički centar Garešnica d.o.o. </w:t>
            </w:r>
          </w:p>
        </w:tc>
        <w:tc>
          <w:tcPr>
            <w:tcW w:w="119" w:type="pct"/>
            <w:tcBorders>
              <w:top w:val="nil"/>
              <w:left w:val="nil"/>
              <w:bottom w:val="nil"/>
              <w:right w:val="nil"/>
            </w:tcBorders>
            <w:shd w:val="clear" w:color="auto" w:fill="auto"/>
            <w:noWrap/>
            <w:vAlign w:val="bottom"/>
            <w:hideMark/>
          </w:tcPr>
          <w:p w14:paraId="54EFBFB6" w14:textId="77777777" w:rsidR="000A3BD7" w:rsidRPr="000A3BD7" w:rsidRDefault="000A3BD7" w:rsidP="000A3BD7">
            <w:pPr>
              <w:spacing w:after="0" w:line="240" w:lineRule="auto"/>
              <w:rPr>
                <w:rFonts w:ascii="Times New Roman" w:hAnsi="Times New Roman" w:cs="Times New Roman"/>
              </w:rPr>
            </w:pPr>
          </w:p>
        </w:tc>
        <w:tc>
          <w:tcPr>
            <w:tcW w:w="593" w:type="pct"/>
            <w:tcBorders>
              <w:top w:val="nil"/>
              <w:left w:val="nil"/>
              <w:bottom w:val="nil"/>
              <w:right w:val="nil"/>
            </w:tcBorders>
            <w:shd w:val="clear" w:color="auto" w:fill="auto"/>
            <w:noWrap/>
            <w:vAlign w:val="bottom"/>
            <w:hideMark/>
          </w:tcPr>
          <w:p w14:paraId="0C9A9312" w14:textId="77777777" w:rsidR="000A3BD7" w:rsidRPr="000A3BD7" w:rsidRDefault="000A3BD7" w:rsidP="000A3BD7">
            <w:pPr>
              <w:spacing w:after="0" w:line="240" w:lineRule="auto"/>
              <w:jc w:val="right"/>
              <w:rPr>
                <w:rFonts w:ascii="Times New Roman" w:hAnsi="Times New Roman" w:cs="Times New Roman"/>
              </w:rPr>
            </w:pPr>
            <w:r w:rsidRPr="000A3BD7">
              <w:rPr>
                <w:rFonts w:ascii="Times New Roman" w:hAnsi="Times New Roman" w:cs="Times New Roman"/>
              </w:rPr>
              <w:t>2.654,46</w:t>
            </w:r>
          </w:p>
        </w:tc>
      </w:tr>
      <w:tr w:rsidR="000A3BD7" w:rsidRPr="000A3BD7" w14:paraId="1A56ADD4" w14:textId="77777777" w:rsidTr="000A3BD7">
        <w:trPr>
          <w:trHeight w:val="255"/>
        </w:trPr>
        <w:tc>
          <w:tcPr>
            <w:tcW w:w="120" w:type="pct"/>
            <w:tcBorders>
              <w:top w:val="nil"/>
              <w:left w:val="nil"/>
              <w:bottom w:val="nil"/>
              <w:right w:val="nil"/>
            </w:tcBorders>
            <w:shd w:val="clear" w:color="auto" w:fill="auto"/>
            <w:noWrap/>
            <w:vAlign w:val="bottom"/>
            <w:hideMark/>
          </w:tcPr>
          <w:p w14:paraId="68C22EBA" w14:textId="77777777" w:rsidR="000A3BD7" w:rsidRPr="000A3BD7" w:rsidRDefault="000A3BD7" w:rsidP="000A3BD7">
            <w:pPr>
              <w:spacing w:after="0" w:line="240" w:lineRule="auto"/>
              <w:jc w:val="right"/>
              <w:rPr>
                <w:rFonts w:ascii="Times New Roman" w:hAnsi="Times New Roman" w:cs="Times New Roman"/>
              </w:rPr>
            </w:pPr>
          </w:p>
        </w:tc>
        <w:tc>
          <w:tcPr>
            <w:tcW w:w="3692" w:type="pct"/>
            <w:tcBorders>
              <w:top w:val="nil"/>
              <w:left w:val="nil"/>
              <w:bottom w:val="nil"/>
              <w:right w:val="nil"/>
            </w:tcBorders>
            <w:shd w:val="clear" w:color="auto" w:fill="auto"/>
            <w:noWrap/>
            <w:vAlign w:val="bottom"/>
            <w:hideMark/>
          </w:tcPr>
          <w:p w14:paraId="7C878DFA" w14:textId="77777777" w:rsidR="000A3BD7" w:rsidRPr="000A3BD7" w:rsidRDefault="000A3BD7" w:rsidP="000A3BD7">
            <w:pPr>
              <w:spacing w:after="0" w:line="240" w:lineRule="auto"/>
              <w:rPr>
                <w:rFonts w:ascii="Times New Roman" w:hAnsi="Times New Roman" w:cs="Times New Roman"/>
                <w:b/>
                <w:bCs/>
              </w:rPr>
            </w:pPr>
            <w:r w:rsidRPr="000A3BD7">
              <w:rPr>
                <w:rFonts w:ascii="Times New Roman" w:hAnsi="Times New Roman" w:cs="Times New Roman"/>
                <w:b/>
                <w:bCs/>
              </w:rPr>
              <w:t>Ukupno udjeli:</w:t>
            </w:r>
          </w:p>
        </w:tc>
        <w:tc>
          <w:tcPr>
            <w:tcW w:w="120" w:type="pct"/>
            <w:tcBorders>
              <w:top w:val="nil"/>
              <w:left w:val="nil"/>
              <w:bottom w:val="nil"/>
              <w:right w:val="nil"/>
            </w:tcBorders>
            <w:shd w:val="clear" w:color="auto" w:fill="auto"/>
            <w:noWrap/>
            <w:vAlign w:val="bottom"/>
            <w:hideMark/>
          </w:tcPr>
          <w:p w14:paraId="775EAC0C" w14:textId="77777777" w:rsidR="000A3BD7" w:rsidRPr="000A3BD7" w:rsidRDefault="000A3BD7" w:rsidP="000A3BD7">
            <w:pPr>
              <w:spacing w:after="0" w:line="240" w:lineRule="auto"/>
              <w:rPr>
                <w:rFonts w:ascii="Times New Roman" w:hAnsi="Times New Roman" w:cs="Times New Roman"/>
                <w:b/>
                <w:bCs/>
              </w:rPr>
            </w:pPr>
          </w:p>
        </w:tc>
        <w:tc>
          <w:tcPr>
            <w:tcW w:w="119" w:type="pct"/>
            <w:tcBorders>
              <w:top w:val="nil"/>
              <w:left w:val="nil"/>
              <w:bottom w:val="nil"/>
              <w:right w:val="nil"/>
            </w:tcBorders>
            <w:shd w:val="clear" w:color="auto" w:fill="auto"/>
            <w:noWrap/>
            <w:vAlign w:val="bottom"/>
            <w:hideMark/>
          </w:tcPr>
          <w:p w14:paraId="05FB4EDC" w14:textId="77777777" w:rsidR="000A3BD7" w:rsidRPr="000A3BD7" w:rsidRDefault="000A3BD7" w:rsidP="000A3BD7">
            <w:pPr>
              <w:spacing w:after="0" w:line="240" w:lineRule="auto"/>
              <w:rPr>
                <w:rFonts w:ascii="Times New Roman" w:hAnsi="Times New Roman" w:cs="Times New Roman"/>
                <w:b/>
                <w:bCs/>
              </w:rPr>
            </w:pPr>
          </w:p>
        </w:tc>
        <w:tc>
          <w:tcPr>
            <w:tcW w:w="119" w:type="pct"/>
            <w:tcBorders>
              <w:top w:val="nil"/>
              <w:left w:val="nil"/>
              <w:bottom w:val="nil"/>
              <w:right w:val="nil"/>
            </w:tcBorders>
            <w:shd w:val="clear" w:color="auto" w:fill="auto"/>
            <w:noWrap/>
            <w:vAlign w:val="bottom"/>
            <w:hideMark/>
          </w:tcPr>
          <w:p w14:paraId="150D0333" w14:textId="77777777" w:rsidR="000A3BD7" w:rsidRPr="000A3BD7" w:rsidRDefault="000A3BD7" w:rsidP="000A3BD7">
            <w:pPr>
              <w:spacing w:after="0" w:line="240" w:lineRule="auto"/>
              <w:rPr>
                <w:rFonts w:ascii="Times New Roman" w:hAnsi="Times New Roman" w:cs="Times New Roman"/>
                <w:b/>
                <w:bCs/>
              </w:rPr>
            </w:pPr>
          </w:p>
        </w:tc>
        <w:tc>
          <w:tcPr>
            <w:tcW w:w="119" w:type="pct"/>
            <w:tcBorders>
              <w:top w:val="nil"/>
              <w:left w:val="nil"/>
              <w:bottom w:val="nil"/>
              <w:right w:val="nil"/>
            </w:tcBorders>
            <w:shd w:val="clear" w:color="auto" w:fill="auto"/>
            <w:noWrap/>
            <w:vAlign w:val="bottom"/>
            <w:hideMark/>
          </w:tcPr>
          <w:p w14:paraId="2F4074A0" w14:textId="77777777" w:rsidR="000A3BD7" w:rsidRPr="000A3BD7" w:rsidRDefault="000A3BD7" w:rsidP="000A3BD7">
            <w:pPr>
              <w:spacing w:after="0" w:line="240" w:lineRule="auto"/>
              <w:rPr>
                <w:rFonts w:ascii="Times New Roman" w:hAnsi="Times New Roman" w:cs="Times New Roman"/>
                <w:b/>
                <w:bCs/>
              </w:rPr>
            </w:pPr>
          </w:p>
        </w:tc>
        <w:tc>
          <w:tcPr>
            <w:tcW w:w="119" w:type="pct"/>
            <w:tcBorders>
              <w:top w:val="nil"/>
              <w:left w:val="nil"/>
              <w:bottom w:val="nil"/>
              <w:right w:val="nil"/>
            </w:tcBorders>
            <w:shd w:val="clear" w:color="auto" w:fill="auto"/>
            <w:noWrap/>
            <w:vAlign w:val="bottom"/>
            <w:hideMark/>
          </w:tcPr>
          <w:p w14:paraId="56C6E156" w14:textId="77777777" w:rsidR="000A3BD7" w:rsidRPr="000A3BD7" w:rsidRDefault="000A3BD7" w:rsidP="000A3BD7">
            <w:pPr>
              <w:spacing w:after="0" w:line="240" w:lineRule="auto"/>
              <w:rPr>
                <w:rFonts w:ascii="Times New Roman" w:hAnsi="Times New Roman" w:cs="Times New Roman"/>
                <w:b/>
                <w:bCs/>
              </w:rPr>
            </w:pPr>
          </w:p>
        </w:tc>
        <w:tc>
          <w:tcPr>
            <w:tcW w:w="593" w:type="pct"/>
            <w:tcBorders>
              <w:top w:val="nil"/>
              <w:left w:val="nil"/>
              <w:bottom w:val="nil"/>
              <w:right w:val="nil"/>
            </w:tcBorders>
            <w:shd w:val="clear" w:color="auto" w:fill="auto"/>
            <w:noWrap/>
            <w:vAlign w:val="bottom"/>
            <w:hideMark/>
          </w:tcPr>
          <w:p w14:paraId="26BF7776" w14:textId="0F5EA694" w:rsidR="000A3BD7" w:rsidRPr="000A3BD7" w:rsidRDefault="000A3BD7" w:rsidP="000A3BD7">
            <w:pPr>
              <w:spacing w:after="0" w:line="240" w:lineRule="auto"/>
              <w:jc w:val="right"/>
              <w:rPr>
                <w:rFonts w:ascii="Times New Roman" w:hAnsi="Times New Roman" w:cs="Times New Roman"/>
                <w:b/>
                <w:bCs/>
              </w:rPr>
            </w:pPr>
            <w:r w:rsidRPr="000A3BD7">
              <w:rPr>
                <w:rFonts w:ascii="Times New Roman" w:hAnsi="Times New Roman" w:cs="Times New Roman"/>
                <w:b/>
                <w:bCs/>
              </w:rPr>
              <w:t>318.99</w:t>
            </w:r>
            <w:r w:rsidR="00117425">
              <w:rPr>
                <w:rFonts w:ascii="Times New Roman" w:hAnsi="Times New Roman" w:cs="Times New Roman"/>
                <w:b/>
                <w:bCs/>
              </w:rPr>
              <w:t>3,23</w:t>
            </w:r>
          </w:p>
        </w:tc>
      </w:tr>
    </w:tbl>
    <w:p w14:paraId="0F79525A" w14:textId="77777777" w:rsidR="000A3BD7" w:rsidRDefault="000A3BD7" w:rsidP="004B66DB">
      <w:pPr>
        <w:jc w:val="both"/>
      </w:pPr>
    </w:p>
    <w:p w14:paraId="2A5D18BC" w14:textId="77777777" w:rsidR="004B66DB" w:rsidRPr="006F7A3E" w:rsidRDefault="004B66DB" w:rsidP="004B66DB">
      <w:pPr>
        <w:jc w:val="both"/>
        <w:rPr>
          <w:rFonts w:ascii="Times New Roman" w:hAnsi="Times New Roman" w:cs="Times New Roman"/>
          <w:i/>
          <w:iCs/>
          <w:u w:val="single"/>
        </w:rPr>
      </w:pPr>
      <w:r w:rsidRPr="006F7A3E">
        <w:rPr>
          <w:rFonts w:ascii="Times New Roman" w:hAnsi="Times New Roman" w:cs="Times New Roman"/>
          <w:i/>
          <w:iCs/>
          <w:u w:val="single"/>
        </w:rPr>
        <w:t>Obaveze Grada Garešnice</w:t>
      </w:r>
    </w:p>
    <w:p w14:paraId="508AB9A4" w14:textId="26983A02" w:rsidR="004B66DB" w:rsidRPr="00610E7A" w:rsidRDefault="004B66DB" w:rsidP="004B66DB">
      <w:pPr>
        <w:spacing w:after="0"/>
        <w:jc w:val="both"/>
        <w:rPr>
          <w:rFonts w:ascii="Times New Roman" w:hAnsi="Times New Roman" w:cs="Times New Roman"/>
        </w:rPr>
      </w:pPr>
      <w:r w:rsidRPr="0093156A">
        <w:rPr>
          <w:rFonts w:ascii="Times New Roman" w:hAnsi="Times New Roman" w:cs="Times New Roman"/>
        </w:rPr>
        <w:t xml:space="preserve">Gradski proračun je na dan </w:t>
      </w:r>
      <w:r>
        <w:rPr>
          <w:rFonts w:ascii="Times New Roman" w:hAnsi="Times New Roman" w:cs="Times New Roman"/>
        </w:rPr>
        <w:t>31.12.202</w:t>
      </w:r>
      <w:r w:rsidR="007C6470">
        <w:rPr>
          <w:rFonts w:ascii="Times New Roman" w:hAnsi="Times New Roman" w:cs="Times New Roman"/>
        </w:rPr>
        <w:t>4</w:t>
      </w:r>
      <w:r w:rsidRPr="0093156A">
        <w:rPr>
          <w:rFonts w:ascii="Times New Roman" w:hAnsi="Times New Roman" w:cs="Times New Roman"/>
        </w:rPr>
        <w:t xml:space="preserve">. godine imao nepodmirenih obveza  u iznosu od </w:t>
      </w:r>
      <w:r w:rsidR="007C6470">
        <w:rPr>
          <w:rFonts w:ascii="Times New Roman" w:hAnsi="Times New Roman" w:cs="Times New Roman"/>
        </w:rPr>
        <w:t>1.316.156,91</w:t>
      </w:r>
      <w:r w:rsidRPr="0093156A">
        <w:rPr>
          <w:rFonts w:ascii="Times New Roman" w:hAnsi="Times New Roman" w:cs="Times New Roman"/>
        </w:rPr>
        <w:t xml:space="preserve"> </w:t>
      </w:r>
      <w:r w:rsidR="00AD1BDD">
        <w:rPr>
          <w:rFonts w:ascii="Times New Roman" w:hAnsi="Times New Roman" w:cs="Times New Roman"/>
        </w:rPr>
        <w:t>eura</w:t>
      </w:r>
      <w:r w:rsidRPr="00610E7A">
        <w:rPr>
          <w:rFonts w:ascii="Times New Roman" w:hAnsi="Times New Roman" w:cs="Times New Roman"/>
        </w:rPr>
        <w:t xml:space="preserve"> i to:</w:t>
      </w:r>
    </w:p>
    <w:tbl>
      <w:tblPr>
        <w:tblW w:w="9121" w:type="dxa"/>
        <w:tblInd w:w="93" w:type="dxa"/>
        <w:tblLook w:val="04A0" w:firstRow="1" w:lastRow="0" w:firstColumn="1" w:lastColumn="0" w:noHBand="0" w:noVBand="1"/>
      </w:tblPr>
      <w:tblGrid>
        <w:gridCol w:w="3781"/>
        <w:gridCol w:w="662"/>
        <w:gridCol w:w="920"/>
        <w:gridCol w:w="1440"/>
        <w:gridCol w:w="759"/>
        <w:gridCol w:w="1559"/>
      </w:tblGrid>
      <w:tr w:rsidR="004B66DB" w:rsidRPr="00610E7A" w14:paraId="1A7A509A" w14:textId="77777777" w:rsidTr="00484918">
        <w:trPr>
          <w:trHeight w:val="330"/>
        </w:trPr>
        <w:tc>
          <w:tcPr>
            <w:tcW w:w="4443" w:type="dxa"/>
            <w:gridSpan w:val="2"/>
            <w:tcBorders>
              <w:top w:val="nil"/>
              <w:left w:val="nil"/>
              <w:bottom w:val="nil"/>
              <w:right w:val="nil"/>
            </w:tcBorders>
            <w:shd w:val="clear" w:color="auto" w:fill="auto"/>
            <w:noWrap/>
            <w:vAlign w:val="bottom"/>
            <w:hideMark/>
          </w:tcPr>
          <w:p w14:paraId="75009E25" w14:textId="77777777" w:rsidR="004B66DB" w:rsidRPr="00610E7A" w:rsidRDefault="004B66DB" w:rsidP="00484918">
            <w:pPr>
              <w:spacing w:after="0" w:line="240" w:lineRule="auto"/>
              <w:rPr>
                <w:rFonts w:ascii="Times New Roman" w:hAnsi="Times New Roman" w:cs="Times New Roman"/>
                <w:lang w:eastAsia="hr-HR"/>
              </w:rPr>
            </w:pPr>
            <w:r w:rsidRPr="00610E7A">
              <w:rPr>
                <w:rFonts w:ascii="Times New Roman" w:hAnsi="Times New Roman" w:cs="Times New Roman"/>
                <w:lang w:eastAsia="hr-HR"/>
              </w:rPr>
              <w:t>Obveze za zaposlene (nedospjele):</w:t>
            </w:r>
          </w:p>
        </w:tc>
        <w:tc>
          <w:tcPr>
            <w:tcW w:w="920" w:type="dxa"/>
            <w:tcBorders>
              <w:top w:val="nil"/>
              <w:left w:val="nil"/>
              <w:bottom w:val="nil"/>
              <w:right w:val="nil"/>
            </w:tcBorders>
            <w:shd w:val="clear" w:color="auto" w:fill="auto"/>
            <w:noWrap/>
            <w:vAlign w:val="bottom"/>
            <w:hideMark/>
          </w:tcPr>
          <w:p w14:paraId="33BFDBEA" w14:textId="77777777" w:rsidR="004B66DB" w:rsidRPr="00610E7A" w:rsidRDefault="004B66DB" w:rsidP="00484918">
            <w:pPr>
              <w:spacing w:after="0" w:line="240" w:lineRule="auto"/>
              <w:rPr>
                <w:rFonts w:ascii="Times New Roman" w:hAnsi="Times New Roman" w:cs="Times New Roman"/>
                <w:lang w:eastAsia="hr-HR"/>
              </w:rPr>
            </w:pPr>
          </w:p>
        </w:tc>
        <w:tc>
          <w:tcPr>
            <w:tcW w:w="1440" w:type="dxa"/>
            <w:tcBorders>
              <w:top w:val="nil"/>
              <w:left w:val="nil"/>
              <w:bottom w:val="nil"/>
              <w:right w:val="nil"/>
            </w:tcBorders>
            <w:shd w:val="clear" w:color="auto" w:fill="auto"/>
            <w:noWrap/>
            <w:vAlign w:val="bottom"/>
            <w:hideMark/>
          </w:tcPr>
          <w:p w14:paraId="62647E31" w14:textId="77777777" w:rsidR="004B66DB" w:rsidRPr="00610E7A" w:rsidRDefault="004B66DB" w:rsidP="00484918">
            <w:pPr>
              <w:spacing w:after="0" w:line="240" w:lineRule="auto"/>
              <w:rPr>
                <w:rFonts w:ascii="Times New Roman" w:hAnsi="Times New Roman" w:cs="Times New Roman"/>
                <w:lang w:eastAsia="hr-HR"/>
              </w:rPr>
            </w:pPr>
          </w:p>
        </w:tc>
        <w:tc>
          <w:tcPr>
            <w:tcW w:w="759" w:type="dxa"/>
            <w:tcBorders>
              <w:top w:val="nil"/>
              <w:left w:val="nil"/>
              <w:bottom w:val="nil"/>
              <w:right w:val="nil"/>
            </w:tcBorders>
            <w:shd w:val="clear" w:color="auto" w:fill="auto"/>
            <w:noWrap/>
            <w:vAlign w:val="bottom"/>
            <w:hideMark/>
          </w:tcPr>
          <w:p w14:paraId="444A0401" w14:textId="77777777" w:rsidR="004B66DB" w:rsidRPr="00610E7A" w:rsidRDefault="004B66DB" w:rsidP="00484918">
            <w:pPr>
              <w:spacing w:after="0" w:line="240" w:lineRule="auto"/>
              <w:rPr>
                <w:rFonts w:ascii="Times New Roman" w:hAnsi="Times New Roman" w:cs="Times New Roman"/>
                <w:lang w:eastAsia="hr-HR"/>
              </w:rPr>
            </w:pPr>
          </w:p>
        </w:tc>
        <w:tc>
          <w:tcPr>
            <w:tcW w:w="1559" w:type="dxa"/>
            <w:tcBorders>
              <w:top w:val="nil"/>
              <w:left w:val="nil"/>
              <w:bottom w:val="nil"/>
              <w:right w:val="nil"/>
            </w:tcBorders>
            <w:shd w:val="clear" w:color="auto" w:fill="auto"/>
            <w:noWrap/>
            <w:vAlign w:val="bottom"/>
            <w:hideMark/>
          </w:tcPr>
          <w:p w14:paraId="66886AE9" w14:textId="24BB585D" w:rsidR="004B66DB" w:rsidRPr="00610E7A" w:rsidRDefault="007C6470" w:rsidP="00484918">
            <w:pPr>
              <w:spacing w:after="0" w:line="240" w:lineRule="auto"/>
              <w:jc w:val="right"/>
              <w:rPr>
                <w:rFonts w:ascii="Times New Roman" w:hAnsi="Times New Roman" w:cs="Times New Roman"/>
                <w:lang w:eastAsia="hr-HR"/>
              </w:rPr>
            </w:pPr>
            <w:r>
              <w:rPr>
                <w:rFonts w:ascii="Times New Roman" w:hAnsi="Times New Roman" w:cs="Times New Roman"/>
                <w:lang w:eastAsia="hr-HR"/>
              </w:rPr>
              <w:t>86.428,91</w:t>
            </w:r>
          </w:p>
        </w:tc>
      </w:tr>
      <w:tr w:rsidR="004B66DB" w:rsidRPr="00610E7A" w14:paraId="7165FF34" w14:textId="77777777" w:rsidTr="00484918">
        <w:trPr>
          <w:trHeight w:val="255"/>
        </w:trPr>
        <w:tc>
          <w:tcPr>
            <w:tcW w:w="4443" w:type="dxa"/>
            <w:gridSpan w:val="2"/>
            <w:tcBorders>
              <w:top w:val="nil"/>
              <w:left w:val="nil"/>
              <w:bottom w:val="nil"/>
              <w:right w:val="nil"/>
            </w:tcBorders>
            <w:shd w:val="clear" w:color="auto" w:fill="auto"/>
            <w:noWrap/>
            <w:vAlign w:val="bottom"/>
            <w:hideMark/>
          </w:tcPr>
          <w:p w14:paraId="6172E342" w14:textId="77777777" w:rsidR="004B66DB" w:rsidRPr="00610E7A" w:rsidRDefault="004B66DB" w:rsidP="00484918">
            <w:pPr>
              <w:spacing w:after="0" w:line="240" w:lineRule="auto"/>
              <w:rPr>
                <w:rFonts w:ascii="Times New Roman" w:hAnsi="Times New Roman" w:cs="Times New Roman"/>
                <w:lang w:eastAsia="hr-HR"/>
              </w:rPr>
            </w:pPr>
            <w:r w:rsidRPr="00610E7A">
              <w:rPr>
                <w:rFonts w:ascii="Times New Roman" w:hAnsi="Times New Roman" w:cs="Times New Roman"/>
                <w:lang w:eastAsia="hr-HR"/>
              </w:rPr>
              <w:t>Obveze za materijalne rashode:</w:t>
            </w:r>
          </w:p>
        </w:tc>
        <w:tc>
          <w:tcPr>
            <w:tcW w:w="920" w:type="dxa"/>
            <w:tcBorders>
              <w:top w:val="nil"/>
              <w:left w:val="nil"/>
              <w:bottom w:val="nil"/>
              <w:right w:val="nil"/>
            </w:tcBorders>
            <w:shd w:val="clear" w:color="auto" w:fill="auto"/>
            <w:noWrap/>
            <w:vAlign w:val="bottom"/>
            <w:hideMark/>
          </w:tcPr>
          <w:p w14:paraId="0F85477A" w14:textId="77777777" w:rsidR="004B66DB" w:rsidRPr="00610E7A" w:rsidRDefault="004B66DB" w:rsidP="00484918">
            <w:pPr>
              <w:spacing w:after="0" w:line="240" w:lineRule="auto"/>
              <w:rPr>
                <w:rFonts w:ascii="Times New Roman" w:hAnsi="Times New Roman" w:cs="Times New Roman"/>
                <w:lang w:eastAsia="hr-HR"/>
              </w:rPr>
            </w:pPr>
          </w:p>
        </w:tc>
        <w:tc>
          <w:tcPr>
            <w:tcW w:w="1440" w:type="dxa"/>
            <w:tcBorders>
              <w:top w:val="nil"/>
              <w:left w:val="nil"/>
              <w:bottom w:val="nil"/>
              <w:right w:val="nil"/>
            </w:tcBorders>
            <w:shd w:val="clear" w:color="auto" w:fill="auto"/>
            <w:noWrap/>
            <w:vAlign w:val="bottom"/>
            <w:hideMark/>
          </w:tcPr>
          <w:p w14:paraId="0713C766" w14:textId="77777777" w:rsidR="004B66DB" w:rsidRPr="00610E7A" w:rsidRDefault="004B66DB" w:rsidP="00484918">
            <w:pPr>
              <w:spacing w:after="0" w:line="240" w:lineRule="auto"/>
              <w:rPr>
                <w:rFonts w:ascii="Times New Roman" w:hAnsi="Times New Roman" w:cs="Times New Roman"/>
                <w:lang w:eastAsia="hr-HR"/>
              </w:rPr>
            </w:pPr>
          </w:p>
        </w:tc>
        <w:tc>
          <w:tcPr>
            <w:tcW w:w="759" w:type="dxa"/>
            <w:tcBorders>
              <w:top w:val="nil"/>
              <w:left w:val="nil"/>
              <w:bottom w:val="nil"/>
              <w:right w:val="nil"/>
            </w:tcBorders>
            <w:shd w:val="clear" w:color="auto" w:fill="auto"/>
            <w:noWrap/>
            <w:vAlign w:val="bottom"/>
            <w:hideMark/>
          </w:tcPr>
          <w:p w14:paraId="1CD550C0" w14:textId="77777777" w:rsidR="004B66DB" w:rsidRPr="00610E7A" w:rsidRDefault="004B66DB" w:rsidP="00484918">
            <w:pPr>
              <w:spacing w:after="0" w:line="240" w:lineRule="auto"/>
              <w:rPr>
                <w:rFonts w:ascii="Times New Roman" w:hAnsi="Times New Roman" w:cs="Times New Roman"/>
                <w:lang w:eastAsia="hr-HR"/>
              </w:rPr>
            </w:pPr>
          </w:p>
        </w:tc>
        <w:tc>
          <w:tcPr>
            <w:tcW w:w="1559" w:type="dxa"/>
            <w:tcBorders>
              <w:top w:val="nil"/>
              <w:left w:val="nil"/>
              <w:bottom w:val="nil"/>
              <w:right w:val="nil"/>
            </w:tcBorders>
            <w:shd w:val="clear" w:color="auto" w:fill="auto"/>
            <w:noWrap/>
            <w:vAlign w:val="bottom"/>
            <w:hideMark/>
          </w:tcPr>
          <w:p w14:paraId="3E878E2C" w14:textId="629E6FAE" w:rsidR="004B66DB" w:rsidRPr="00610E7A" w:rsidRDefault="007C6470" w:rsidP="00484918">
            <w:pPr>
              <w:spacing w:after="0" w:line="240" w:lineRule="auto"/>
              <w:jc w:val="right"/>
              <w:rPr>
                <w:rFonts w:ascii="Times New Roman" w:hAnsi="Times New Roman" w:cs="Times New Roman"/>
                <w:lang w:eastAsia="hr-HR"/>
              </w:rPr>
            </w:pPr>
            <w:r>
              <w:rPr>
                <w:rFonts w:ascii="Times New Roman" w:hAnsi="Times New Roman" w:cs="Times New Roman"/>
                <w:lang w:eastAsia="hr-HR"/>
              </w:rPr>
              <w:t>95.188,97</w:t>
            </w:r>
          </w:p>
        </w:tc>
      </w:tr>
      <w:tr w:rsidR="004B66DB" w:rsidRPr="00610E7A" w14:paraId="61AF2149" w14:textId="77777777" w:rsidTr="00484918">
        <w:trPr>
          <w:trHeight w:val="300"/>
        </w:trPr>
        <w:tc>
          <w:tcPr>
            <w:tcW w:w="6803" w:type="dxa"/>
            <w:gridSpan w:val="4"/>
            <w:tcBorders>
              <w:top w:val="nil"/>
              <w:left w:val="nil"/>
              <w:bottom w:val="nil"/>
              <w:right w:val="nil"/>
            </w:tcBorders>
            <w:shd w:val="clear" w:color="auto" w:fill="auto"/>
            <w:noWrap/>
            <w:vAlign w:val="bottom"/>
            <w:hideMark/>
          </w:tcPr>
          <w:p w14:paraId="70FC6A32" w14:textId="77777777" w:rsidR="004B66DB" w:rsidRPr="00610E7A" w:rsidRDefault="004B66DB" w:rsidP="00484918">
            <w:pPr>
              <w:spacing w:after="0" w:line="240" w:lineRule="auto"/>
              <w:rPr>
                <w:rFonts w:ascii="Times New Roman" w:hAnsi="Times New Roman" w:cs="Times New Roman"/>
                <w:bCs/>
                <w:lang w:eastAsia="hr-HR"/>
              </w:rPr>
            </w:pPr>
            <w:r w:rsidRPr="00610E7A">
              <w:rPr>
                <w:rFonts w:ascii="Times New Roman" w:hAnsi="Times New Roman" w:cs="Times New Roman"/>
                <w:lang w:eastAsia="hr-HR"/>
              </w:rPr>
              <w:t>Obveze za financijske rashode</w:t>
            </w:r>
            <w:r>
              <w:rPr>
                <w:rFonts w:ascii="Times New Roman" w:hAnsi="Times New Roman" w:cs="Times New Roman"/>
                <w:lang w:eastAsia="hr-HR"/>
              </w:rPr>
              <w:t xml:space="preserve"> (nedospjele)</w:t>
            </w:r>
            <w:r w:rsidRPr="00610E7A">
              <w:rPr>
                <w:rFonts w:ascii="Times New Roman" w:hAnsi="Times New Roman" w:cs="Times New Roman"/>
                <w:lang w:eastAsia="hr-HR"/>
              </w:rPr>
              <w:t>:</w:t>
            </w:r>
          </w:p>
        </w:tc>
        <w:tc>
          <w:tcPr>
            <w:tcW w:w="759" w:type="dxa"/>
            <w:tcBorders>
              <w:top w:val="nil"/>
              <w:left w:val="nil"/>
              <w:bottom w:val="nil"/>
              <w:right w:val="nil"/>
            </w:tcBorders>
            <w:shd w:val="clear" w:color="auto" w:fill="auto"/>
            <w:noWrap/>
            <w:vAlign w:val="bottom"/>
            <w:hideMark/>
          </w:tcPr>
          <w:p w14:paraId="1E82E731" w14:textId="77777777" w:rsidR="004B66DB" w:rsidRPr="00610E7A" w:rsidRDefault="004B66DB" w:rsidP="00484918">
            <w:pPr>
              <w:spacing w:after="0" w:line="240" w:lineRule="auto"/>
              <w:rPr>
                <w:rFonts w:ascii="Times New Roman" w:hAnsi="Times New Roman" w:cs="Times New Roman"/>
                <w:lang w:eastAsia="hr-HR"/>
              </w:rPr>
            </w:pPr>
          </w:p>
        </w:tc>
        <w:tc>
          <w:tcPr>
            <w:tcW w:w="1559" w:type="dxa"/>
            <w:tcBorders>
              <w:top w:val="nil"/>
              <w:left w:val="nil"/>
              <w:bottom w:val="nil"/>
              <w:right w:val="nil"/>
            </w:tcBorders>
            <w:shd w:val="clear" w:color="auto" w:fill="auto"/>
            <w:noWrap/>
            <w:vAlign w:val="bottom"/>
            <w:hideMark/>
          </w:tcPr>
          <w:p w14:paraId="1EEC135A" w14:textId="73008396" w:rsidR="004B66DB" w:rsidRPr="00610E7A" w:rsidRDefault="007C6470" w:rsidP="00484918">
            <w:pPr>
              <w:spacing w:after="0" w:line="240" w:lineRule="auto"/>
              <w:jc w:val="right"/>
              <w:rPr>
                <w:rFonts w:ascii="Times New Roman" w:hAnsi="Times New Roman" w:cs="Times New Roman"/>
                <w:lang w:eastAsia="hr-HR"/>
              </w:rPr>
            </w:pPr>
            <w:r>
              <w:rPr>
                <w:rFonts w:ascii="Times New Roman" w:hAnsi="Times New Roman" w:cs="Times New Roman"/>
                <w:lang w:eastAsia="hr-HR"/>
              </w:rPr>
              <w:t>1.024,35</w:t>
            </w:r>
          </w:p>
        </w:tc>
      </w:tr>
      <w:tr w:rsidR="004B66DB" w:rsidRPr="00610E7A" w14:paraId="79478C5C" w14:textId="77777777" w:rsidTr="00484918">
        <w:trPr>
          <w:trHeight w:val="255"/>
        </w:trPr>
        <w:tc>
          <w:tcPr>
            <w:tcW w:w="3781" w:type="dxa"/>
            <w:tcBorders>
              <w:top w:val="nil"/>
              <w:left w:val="nil"/>
              <w:bottom w:val="nil"/>
              <w:right w:val="nil"/>
            </w:tcBorders>
            <w:shd w:val="clear" w:color="auto" w:fill="auto"/>
            <w:noWrap/>
            <w:vAlign w:val="bottom"/>
            <w:hideMark/>
          </w:tcPr>
          <w:p w14:paraId="169CD333" w14:textId="77777777" w:rsidR="004B66DB" w:rsidRPr="00610E7A" w:rsidRDefault="004B66DB" w:rsidP="00484918">
            <w:pPr>
              <w:spacing w:after="0" w:line="240" w:lineRule="auto"/>
              <w:rPr>
                <w:rFonts w:ascii="Times New Roman" w:hAnsi="Times New Roman" w:cs="Times New Roman"/>
                <w:lang w:eastAsia="hr-HR"/>
              </w:rPr>
            </w:pPr>
            <w:r w:rsidRPr="00610E7A">
              <w:rPr>
                <w:rFonts w:ascii="Times New Roman" w:hAnsi="Times New Roman" w:cs="Times New Roman"/>
                <w:lang w:eastAsia="hr-HR"/>
              </w:rPr>
              <w:t>Obveze za subvencije</w:t>
            </w:r>
            <w:r>
              <w:rPr>
                <w:rFonts w:ascii="Times New Roman" w:hAnsi="Times New Roman" w:cs="Times New Roman"/>
                <w:lang w:eastAsia="hr-HR"/>
              </w:rPr>
              <w:t xml:space="preserve"> (nedospjele)</w:t>
            </w:r>
            <w:r w:rsidRPr="00610E7A">
              <w:rPr>
                <w:rFonts w:ascii="Times New Roman" w:hAnsi="Times New Roman" w:cs="Times New Roman"/>
                <w:lang w:eastAsia="hr-HR"/>
              </w:rPr>
              <w:t>:</w:t>
            </w:r>
          </w:p>
        </w:tc>
        <w:tc>
          <w:tcPr>
            <w:tcW w:w="662" w:type="dxa"/>
            <w:tcBorders>
              <w:top w:val="nil"/>
              <w:left w:val="nil"/>
              <w:bottom w:val="nil"/>
              <w:right w:val="nil"/>
            </w:tcBorders>
            <w:shd w:val="clear" w:color="auto" w:fill="auto"/>
            <w:noWrap/>
            <w:vAlign w:val="bottom"/>
            <w:hideMark/>
          </w:tcPr>
          <w:p w14:paraId="195F11AA" w14:textId="77777777" w:rsidR="004B66DB" w:rsidRPr="00610E7A" w:rsidRDefault="004B66DB" w:rsidP="00484918">
            <w:pPr>
              <w:spacing w:after="0" w:line="240" w:lineRule="auto"/>
              <w:rPr>
                <w:rFonts w:ascii="Times New Roman" w:hAnsi="Times New Roman" w:cs="Times New Roman"/>
                <w:lang w:eastAsia="hr-HR"/>
              </w:rPr>
            </w:pPr>
          </w:p>
        </w:tc>
        <w:tc>
          <w:tcPr>
            <w:tcW w:w="920" w:type="dxa"/>
            <w:tcBorders>
              <w:top w:val="nil"/>
              <w:left w:val="nil"/>
              <w:bottom w:val="nil"/>
              <w:right w:val="nil"/>
            </w:tcBorders>
            <w:shd w:val="clear" w:color="auto" w:fill="auto"/>
            <w:noWrap/>
            <w:vAlign w:val="bottom"/>
            <w:hideMark/>
          </w:tcPr>
          <w:p w14:paraId="6F355AD5" w14:textId="77777777" w:rsidR="004B66DB" w:rsidRPr="00610E7A" w:rsidRDefault="004B66DB" w:rsidP="00484918">
            <w:pPr>
              <w:spacing w:after="0" w:line="240" w:lineRule="auto"/>
              <w:rPr>
                <w:rFonts w:ascii="Times New Roman" w:hAnsi="Times New Roman" w:cs="Times New Roman"/>
                <w:lang w:eastAsia="hr-HR"/>
              </w:rPr>
            </w:pPr>
          </w:p>
        </w:tc>
        <w:tc>
          <w:tcPr>
            <w:tcW w:w="1440" w:type="dxa"/>
            <w:tcBorders>
              <w:top w:val="nil"/>
              <w:left w:val="nil"/>
              <w:bottom w:val="nil"/>
              <w:right w:val="nil"/>
            </w:tcBorders>
            <w:shd w:val="clear" w:color="auto" w:fill="auto"/>
            <w:noWrap/>
            <w:vAlign w:val="bottom"/>
            <w:hideMark/>
          </w:tcPr>
          <w:p w14:paraId="6CEA806F" w14:textId="77777777" w:rsidR="004B66DB" w:rsidRPr="00610E7A" w:rsidRDefault="004B66DB" w:rsidP="00484918">
            <w:pPr>
              <w:spacing w:after="0" w:line="240" w:lineRule="auto"/>
              <w:rPr>
                <w:rFonts w:ascii="Times New Roman" w:hAnsi="Times New Roman" w:cs="Times New Roman"/>
                <w:lang w:eastAsia="hr-HR"/>
              </w:rPr>
            </w:pPr>
          </w:p>
        </w:tc>
        <w:tc>
          <w:tcPr>
            <w:tcW w:w="759" w:type="dxa"/>
            <w:tcBorders>
              <w:top w:val="nil"/>
              <w:left w:val="nil"/>
              <w:bottom w:val="nil"/>
              <w:right w:val="nil"/>
            </w:tcBorders>
            <w:shd w:val="clear" w:color="auto" w:fill="auto"/>
            <w:noWrap/>
            <w:vAlign w:val="bottom"/>
            <w:hideMark/>
          </w:tcPr>
          <w:p w14:paraId="7B4E0141" w14:textId="77777777" w:rsidR="004B66DB" w:rsidRPr="00610E7A" w:rsidRDefault="004B66DB" w:rsidP="00484918">
            <w:pPr>
              <w:spacing w:after="0" w:line="240" w:lineRule="auto"/>
              <w:rPr>
                <w:rFonts w:ascii="Times New Roman" w:hAnsi="Times New Roman" w:cs="Times New Roman"/>
                <w:lang w:eastAsia="hr-HR"/>
              </w:rPr>
            </w:pPr>
          </w:p>
        </w:tc>
        <w:tc>
          <w:tcPr>
            <w:tcW w:w="1559" w:type="dxa"/>
            <w:tcBorders>
              <w:top w:val="nil"/>
              <w:left w:val="nil"/>
              <w:bottom w:val="nil"/>
              <w:right w:val="nil"/>
            </w:tcBorders>
            <w:shd w:val="clear" w:color="auto" w:fill="auto"/>
            <w:noWrap/>
            <w:vAlign w:val="bottom"/>
            <w:hideMark/>
          </w:tcPr>
          <w:p w14:paraId="7A932035" w14:textId="08B3E50A" w:rsidR="004B66DB" w:rsidRPr="00610E7A" w:rsidRDefault="007C6470" w:rsidP="00484918">
            <w:pPr>
              <w:spacing w:after="0" w:line="240" w:lineRule="auto"/>
              <w:jc w:val="right"/>
              <w:rPr>
                <w:rFonts w:ascii="Times New Roman" w:hAnsi="Times New Roman" w:cs="Times New Roman"/>
                <w:lang w:eastAsia="hr-HR"/>
              </w:rPr>
            </w:pPr>
            <w:r>
              <w:rPr>
                <w:rFonts w:ascii="Times New Roman" w:hAnsi="Times New Roman" w:cs="Times New Roman"/>
                <w:lang w:eastAsia="hr-HR"/>
              </w:rPr>
              <w:t>10.453,27</w:t>
            </w:r>
          </w:p>
        </w:tc>
      </w:tr>
      <w:tr w:rsidR="004B66DB" w:rsidRPr="00610E7A" w14:paraId="14B8EC42" w14:textId="77777777" w:rsidTr="00484918">
        <w:trPr>
          <w:trHeight w:val="255"/>
        </w:trPr>
        <w:tc>
          <w:tcPr>
            <w:tcW w:w="5363" w:type="dxa"/>
            <w:gridSpan w:val="3"/>
            <w:tcBorders>
              <w:top w:val="nil"/>
              <w:left w:val="nil"/>
              <w:bottom w:val="nil"/>
              <w:right w:val="nil"/>
            </w:tcBorders>
            <w:shd w:val="clear" w:color="auto" w:fill="auto"/>
            <w:noWrap/>
            <w:vAlign w:val="bottom"/>
            <w:hideMark/>
          </w:tcPr>
          <w:p w14:paraId="48E0900B" w14:textId="77777777" w:rsidR="004B66DB" w:rsidRPr="00610E7A" w:rsidRDefault="004B66DB" w:rsidP="00484918">
            <w:pPr>
              <w:spacing w:after="0" w:line="240" w:lineRule="auto"/>
              <w:rPr>
                <w:rFonts w:ascii="Times New Roman" w:hAnsi="Times New Roman" w:cs="Times New Roman"/>
                <w:lang w:eastAsia="hr-HR"/>
              </w:rPr>
            </w:pPr>
            <w:r w:rsidRPr="00610E7A">
              <w:rPr>
                <w:rFonts w:ascii="Times New Roman" w:hAnsi="Times New Roman" w:cs="Times New Roman"/>
                <w:lang w:eastAsia="hr-HR"/>
              </w:rPr>
              <w:t>Obveze za naknade građanima i kućanstvima:</w:t>
            </w:r>
          </w:p>
        </w:tc>
        <w:tc>
          <w:tcPr>
            <w:tcW w:w="1440" w:type="dxa"/>
            <w:tcBorders>
              <w:top w:val="nil"/>
              <w:left w:val="nil"/>
              <w:bottom w:val="nil"/>
              <w:right w:val="nil"/>
            </w:tcBorders>
            <w:shd w:val="clear" w:color="auto" w:fill="auto"/>
            <w:noWrap/>
            <w:vAlign w:val="bottom"/>
            <w:hideMark/>
          </w:tcPr>
          <w:p w14:paraId="6A02E21E" w14:textId="77777777" w:rsidR="004B66DB" w:rsidRPr="00610E7A" w:rsidRDefault="004B66DB" w:rsidP="00484918">
            <w:pPr>
              <w:spacing w:after="0" w:line="240" w:lineRule="auto"/>
              <w:rPr>
                <w:rFonts w:ascii="Times New Roman" w:hAnsi="Times New Roman" w:cs="Times New Roman"/>
                <w:lang w:eastAsia="hr-HR"/>
              </w:rPr>
            </w:pPr>
          </w:p>
        </w:tc>
        <w:tc>
          <w:tcPr>
            <w:tcW w:w="759" w:type="dxa"/>
            <w:tcBorders>
              <w:top w:val="nil"/>
              <w:left w:val="nil"/>
              <w:bottom w:val="nil"/>
              <w:right w:val="nil"/>
            </w:tcBorders>
            <w:shd w:val="clear" w:color="auto" w:fill="auto"/>
            <w:noWrap/>
            <w:vAlign w:val="bottom"/>
            <w:hideMark/>
          </w:tcPr>
          <w:p w14:paraId="0BA976DD" w14:textId="77777777" w:rsidR="004B66DB" w:rsidRPr="00610E7A" w:rsidRDefault="004B66DB" w:rsidP="00484918">
            <w:pPr>
              <w:spacing w:after="0" w:line="240" w:lineRule="auto"/>
              <w:rPr>
                <w:rFonts w:ascii="Times New Roman" w:hAnsi="Times New Roman" w:cs="Times New Roman"/>
                <w:lang w:eastAsia="hr-HR"/>
              </w:rPr>
            </w:pPr>
          </w:p>
        </w:tc>
        <w:tc>
          <w:tcPr>
            <w:tcW w:w="1559" w:type="dxa"/>
            <w:tcBorders>
              <w:top w:val="nil"/>
              <w:left w:val="nil"/>
              <w:bottom w:val="nil"/>
              <w:right w:val="nil"/>
            </w:tcBorders>
            <w:shd w:val="clear" w:color="auto" w:fill="auto"/>
            <w:noWrap/>
            <w:vAlign w:val="bottom"/>
            <w:hideMark/>
          </w:tcPr>
          <w:p w14:paraId="7F41A737" w14:textId="0C15BCC9" w:rsidR="004B66DB" w:rsidRPr="00610E7A" w:rsidRDefault="007C6470" w:rsidP="00484918">
            <w:pPr>
              <w:spacing w:after="0" w:line="240" w:lineRule="auto"/>
              <w:jc w:val="right"/>
              <w:rPr>
                <w:rFonts w:ascii="Times New Roman" w:hAnsi="Times New Roman" w:cs="Times New Roman"/>
                <w:lang w:eastAsia="hr-HR"/>
              </w:rPr>
            </w:pPr>
            <w:r>
              <w:rPr>
                <w:rFonts w:ascii="Times New Roman" w:hAnsi="Times New Roman" w:cs="Times New Roman"/>
                <w:lang w:eastAsia="hr-HR"/>
              </w:rPr>
              <w:t>453,69</w:t>
            </w:r>
          </w:p>
        </w:tc>
      </w:tr>
      <w:tr w:rsidR="004B66DB" w:rsidRPr="00610E7A" w14:paraId="20EC59D5" w14:textId="77777777" w:rsidTr="00484918">
        <w:trPr>
          <w:trHeight w:val="255"/>
        </w:trPr>
        <w:tc>
          <w:tcPr>
            <w:tcW w:w="7562" w:type="dxa"/>
            <w:gridSpan w:val="5"/>
            <w:tcBorders>
              <w:top w:val="nil"/>
              <w:left w:val="nil"/>
              <w:bottom w:val="nil"/>
              <w:right w:val="nil"/>
            </w:tcBorders>
            <w:shd w:val="clear" w:color="auto" w:fill="auto"/>
            <w:noWrap/>
            <w:vAlign w:val="bottom"/>
            <w:hideMark/>
          </w:tcPr>
          <w:p w14:paraId="154C5C72" w14:textId="77777777" w:rsidR="004B66DB" w:rsidRPr="00610E7A" w:rsidRDefault="004B66DB" w:rsidP="00484918">
            <w:pPr>
              <w:spacing w:after="0" w:line="240" w:lineRule="auto"/>
              <w:rPr>
                <w:rFonts w:ascii="Times New Roman" w:hAnsi="Times New Roman" w:cs="Times New Roman"/>
                <w:lang w:eastAsia="hr-HR"/>
              </w:rPr>
            </w:pPr>
            <w:r w:rsidRPr="00610E7A">
              <w:rPr>
                <w:rFonts w:ascii="Times New Roman" w:hAnsi="Times New Roman" w:cs="Times New Roman"/>
                <w:lang w:eastAsia="hr-HR"/>
              </w:rPr>
              <w:t>Ost</w:t>
            </w:r>
            <w:r>
              <w:rPr>
                <w:rFonts w:ascii="Times New Roman" w:hAnsi="Times New Roman" w:cs="Times New Roman"/>
                <w:lang w:eastAsia="hr-HR"/>
              </w:rPr>
              <w:t>ale tekuće obveze (</w:t>
            </w:r>
            <w:r w:rsidRPr="00610E7A">
              <w:rPr>
                <w:rFonts w:ascii="Times New Roman" w:hAnsi="Times New Roman" w:cs="Times New Roman"/>
                <w:lang w:eastAsia="hr-HR"/>
              </w:rPr>
              <w:t xml:space="preserve"> </w:t>
            </w:r>
            <w:proofErr w:type="spellStart"/>
            <w:r w:rsidRPr="00610E7A">
              <w:rPr>
                <w:rFonts w:ascii="Times New Roman" w:hAnsi="Times New Roman" w:cs="Times New Roman"/>
                <w:lang w:eastAsia="hr-HR"/>
              </w:rPr>
              <w:t>napl.prihode</w:t>
            </w:r>
            <w:proofErr w:type="spellEnd"/>
            <w:r w:rsidRPr="00610E7A">
              <w:rPr>
                <w:rFonts w:ascii="Times New Roman" w:hAnsi="Times New Roman" w:cs="Times New Roman"/>
                <w:lang w:eastAsia="hr-HR"/>
              </w:rPr>
              <w:t xml:space="preserve"> korisnika i  Hrvatskih voda </w:t>
            </w:r>
            <w:proofErr w:type="spellStart"/>
            <w:r w:rsidRPr="00610E7A">
              <w:rPr>
                <w:rFonts w:ascii="Times New Roman" w:hAnsi="Times New Roman" w:cs="Times New Roman"/>
                <w:lang w:eastAsia="hr-HR"/>
              </w:rPr>
              <w:t>d.d</w:t>
            </w:r>
            <w:proofErr w:type="spellEnd"/>
            <w:r>
              <w:rPr>
                <w:rFonts w:ascii="Times New Roman" w:hAnsi="Times New Roman" w:cs="Times New Roman"/>
                <w:lang w:eastAsia="hr-HR"/>
              </w:rPr>
              <w:t>, jamčevine)</w:t>
            </w:r>
          </w:p>
        </w:tc>
        <w:tc>
          <w:tcPr>
            <w:tcW w:w="1559" w:type="dxa"/>
            <w:tcBorders>
              <w:top w:val="nil"/>
              <w:left w:val="nil"/>
              <w:bottom w:val="nil"/>
              <w:right w:val="nil"/>
            </w:tcBorders>
            <w:shd w:val="clear" w:color="auto" w:fill="auto"/>
            <w:noWrap/>
            <w:vAlign w:val="bottom"/>
            <w:hideMark/>
          </w:tcPr>
          <w:p w14:paraId="2D834B4B" w14:textId="4A2323C8" w:rsidR="004B66DB" w:rsidRPr="00610E7A" w:rsidRDefault="007C6470" w:rsidP="00484918">
            <w:pPr>
              <w:spacing w:after="0" w:line="240" w:lineRule="auto"/>
              <w:jc w:val="right"/>
              <w:rPr>
                <w:rFonts w:ascii="Times New Roman" w:hAnsi="Times New Roman" w:cs="Times New Roman"/>
                <w:lang w:eastAsia="hr-HR"/>
              </w:rPr>
            </w:pPr>
            <w:r>
              <w:rPr>
                <w:rFonts w:ascii="Times New Roman" w:hAnsi="Times New Roman" w:cs="Times New Roman"/>
                <w:lang w:eastAsia="hr-HR"/>
              </w:rPr>
              <w:t>341.626,70</w:t>
            </w:r>
          </w:p>
        </w:tc>
      </w:tr>
      <w:tr w:rsidR="004B66DB" w:rsidRPr="00610E7A" w14:paraId="3454D81E" w14:textId="77777777" w:rsidTr="00484918">
        <w:trPr>
          <w:trHeight w:val="255"/>
        </w:trPr>
        <w:tc>
          <w:tcPr>
            <w:tcW w:w="4443" w:type="dxa"/>
            <w:gridSpan w:val="2"/>
            <w:tcBorders>
              <w:top w:val="nil"/>
              <w:left w:val="nil"/>
              <w:bottom w:val="nil"/>
              <w:right w:val="nil"/>
            </w:tcBorders>
            <w:shd w:val="clear" w:color="auto" w:fill="auto"/>
            <w:noWrap/>
            <w:vAlign w:val="bottom"/>
            <w:hideMark/>
          </w:tcPr>
          <w:p w14:paraId="263F1533" w14:textId="77777777" w:rsidR="004B66DB" w:rsidRPr="00610E7A" w:rsidRDefault="004B66DB" w:rsidP="00484918">
            <w:pPr>
              <w:spacing w:after="0" w:line="240" w:lineRule="auto"/>
              <w:rPr>
                <w:rFonts w:ascii="Times New Roman" w:hAnsi="Times New Roman" w:cs="Times New Roman"/>
                <w:lang w:eastAsia="hr-HR"/>
              </w:rPr>
            </w:pPr>
            <w:r w:rsidRPr="00610E7A">
              <w:rPr>
                <w:rFonts w:ascii="Times New Roman" w:hAnsi="Times New Roman" w:cs="Times New Roman"/>
                <w:lang w:eastAsia="hr-HR"/>
              </w:rPr>
              <w:t>Obveze za nabavu nefinancijske imovine:</w:t>
            </w:r>
          </w:p>
        </w:tc>
        <w:tc>
          <w:tcPr>
            <w:tcW w:w="920" w:type="dxa"/>
            <w:tcBorders>
              <w:top w:val="nil"/>
              <w:left w:val="nil"/>
              <w:bottom w:val="nil"/>
              <w:right w:val="nil"/>
            </w:tcBorders>
            <w:shd w:val="clear" w:color="auto" w:fill="auto"/>
            <w:noWrap/>
            <w:vAlign w:val="bottom"/>
            <w:hideMark/>
          </w:tcPr>
          <w:p w14:paraId="5D1D10AE" w14:textId="77777777" w:rsidR="004B66DB" w:rsidRPr="00610E7A" w:rsidRDefault="004B66DB" w:rsidP="00484918">
            <w:pPr>
              <w:spacing w:after="0" w:line="240" w:lineRule="auto"/>
              <w:rPr>
                <w:rFonts w:ascii="Times New Roman" w:hAnsi="Times New Roman" w:cs="Times New Roman"/>
                <w:lang w:eastAsia="hr-HR"/>
              </w:rPr>
            </w:pPr>
          </w:p>
        </w:tc>
        <w:tc>
          <w:tcPr>
            <w:tcW w:w="1440" w:type="dxa"/>
            <w:tcBorders>
              <w:top w:val="nil"/>
              <w:left w:val="nil"/>
              <w:bottom w:val="nil"/>
              <w:right w:val="nil"/>
            </w:tcBorders>
            <w:shd w:val="clear" w:color="auto" w:fill="auto"/>
            <w:noWrap/>
            <w:vAlign w:val="bottom"/>
            <w:hideMark/>
          </w:tcPr>
          <w:p w14:paraId="3F15C42B" w14:textId="77777777" w:rsidR="004B66DB" w:rsidRPr="00610E7A" w:rsidRDefault="004B66DB" w:rsidP="00484918">
            <w:pPr>
              <w:spacing w:after="0" w:line="240" w:lineRule="auto"/>
              <w:rPr>
                <w:rFonts w:ascii="Times New Roman" w:hAnsi="Times New Roman" w:cs="Times New Roman"/>
                <w:lang w:eastAsia="hr-HR"/>
              </w:rPr>
            </w:pPr>
          </w:p>
        </w:tc>
        <w:tc>
          <w:tcPr>
            <w:tcW w:w="759" w:type="dxa"/>
            <w:tcBorders>
              <w:top w:val="nil"/>
              <w:left w:val="nil"/>
              <w:bottom w:val="nil"/>
              <w:right w:val="nil"/>
            </w:tcBorders>
            <w:shd w:val="clear" w:color="auto" w:fill="auto"/>
            <w:noWrap/>
            <w:vAlign w:val="bottom"/>
            <w:hideMark/>
          </w:tcPr>
          <w:p w14:paraId="4113811C" w14:textId="77777777" w:rsidR="004B66DB" w:rsidRPr="00610E7A" w:rsidRDefault="004B66DB" w:rsidP="00484918">
            <w:pPr>
              <w:spacing w:after="0" w:line="240" w:lineRule="auto"/>
              <w:rPr>
                <w:rFonts w:ascii="Times New Roman" w:hAnsi="Times New Roman" w:cs="Times New Roman"/>
                <w:lang w:eastAsia="hr-HR"/>
              </w:rPr>
            </w:pPr>
          </w:p>
        </w:tc>
        <w:tc>
          <w:tcPr>
            <w:tcW w:w="1559" w:type="dxa"/>
            <w:tcBorders>
              <w:top w:val="nil"/>
              <w:left w:val="nil"/>
              <w:bottom w:val="nil"/>
              <w:right w:val="nil"/>
            </w:tcBorders>
            <w:shd w:val="clear" w:color="auto" w:fill="auto"/>
            <w:noWrap/>
            <w:vAlign w:val="bottom"/>
            <w:hideMark/>
          </w:tcPr>
          <w:p w14:paraId="244CE0B2" w14:textId="394C606F" w:rsidR="004B66DB" w:rsidRPr="00610E7A" w:rsidRDefault="00AD1BDD" w:rsidP="00484918">
            <w:pPr>
              <w:spacing w:after="0" w:line="240" w:lineRule="auto"/>
              <w:jc w:val="right"/>
              <w:rPr>
                <w:rFonts w:ascii="Times New Roman" w:hAnsi="Times New Roman" w:cs="Times New Roman"/>
                <w:lang w:eastAsia="hr-HR"/>
              </w:rPr>
            </w:pPr>
            <w:r>
              <w:rPr>
                <w:rFonts w:ascii="Times New Roman" w:hAnsi="Times New Roman" w:cs="Times New Roman"/>
                <w:lang w:eastAsia="hr-HR"/>
              </w:rPr>
              <w:t>1</w:t>
            </w:r>
            <w:r w:rsidR="007C6470">
              <w:rPr>
                <w:rFonts w:ascii="Times New Roman" w:hAnsi="Times New Roman" w:cs="Times New Roman"/>
                <w:lang w:eastAsia="hr-HR"/>
              </w:rPr>
              <w:t>12.645,96</w:t>
            </w:r>
          </w:p>
        </w:tc>
      </w:tr>
      <w:tr w:rsidR="004B66DB" w:rsidRPr="00610E7A" w14:paraId="3F015D30" w14:textId="77777777" w:rsidTr="00484918">
        <w:trPr>
          <w:trHeight w:val="255"/>
        </w:trPr>
        <w:tc>
          <w:tcPr>
            <w:tcW w:w="7562" w:type="dxa"/>
            <w:gridSpan w:val="5"/>
            <w:tcBorders>
              <w:top w:val="nil"/>
              <w:left w:val="nil"/>
              <w:bottom w:val="nil"/>
              <w:right w:val="nil"/>
            </w:tcBorders>
            <w:shd w:val="clear" w:color="auto" w:fill="auto"/>
            <w:noWrap/>
            <w:vAlign w:val="bottom"/>
          </w:tcPr>
          <w:p w14:paraId="35F3CD5E" w14:textId="46601EC4" w:rsidR="004B66DB" w:rsidRPr="00610E7A" w:rsidRDefault="004B66DB" w:rsidP="00484918">
            <w:pPr>
              <w:spacing w:after="0" w:line="240" w:lineRule="auto"/>
              <w:rPr>
                <w:rFonts w:ascii="Times New Roman" w:hAnsi="Times New Roman" w:cs="Times New Roman"/>
                <w:lang w:eastAsia="hr-HR"/>
              </w:rPr>
            </w:pPr>
            <w:r>
              <w:rPr>
                <w:rFonts w:ascii="Times New Roman" w:hAnsi="Times New Roman" w:cs="Times New Roman"/>
                <w:lang w:eastAsia="hr-HR"/>
              </w:rPr>
              <w:t>Obaveze za</w:t>
            </w:r>
            <w:r w:rsidR="007C6470">
              <w:rPr>
                <w:rFonts w:ascii="Times New Roman" w:hAnsi="Times New Roman" w:cs="Times New Roman"/>
                <w:lang w:eastAsia="hr-HR"/>
              </w:rPr>
              <w:t xml:space="preserve"> kredite i </w:t>
            </w:r>
            <w:r>
              <w:rPr>
                <w:rFonts w:ascii="Times New Roman" w:hAnsi="Times New Roman" w:cs="Times New Roman"/>
                <w:lang w:eastAsia="hr-HR"/>
              </w:rPr>
              <w:t xml:space="preserve"> zajmove </w:t>
            </w:r>
            <w:r w:rsidR="007C6470">
              <w:rPr>
                <w:rFonts w:ascii="Times New Roman" w:hAnsi="Times New Roman" w:cs="Times New Roman"/>
                <w:lang w:eastAsia="hr-HR"/>
              </w:rPr>
              <w:t>(</w:t>
            </w:r>
            <w:r>
              <w:rPr>
                <w:rFonts w:ascii="Times New Roman" w:hAnsi="Times New Roman" w:cs="Times New Roman"/>
                <w:lang w:eastAsia="hr-HR"/>
              </w:rPr>
              <w:t>nedospjelo</w:t>
            </w:r>
            <w:r w:rsidR="007C6470">
              <w:rPr>
                <w:rFonts w:ascii="Times New Roman" w:hAnsi="Times New Roman" w:cs="Times New Roman"/>
                <w:lang w:eastAsia="hr-HR"/>
              </w:rPr>
              <w:t>)</w:t>
            </w:r>
            <w:r>
              <w:rPr>
                <w:rFonts w:ascii="Times New Roman" w:hAnsi="Times New Roman" w:cs="Times New Roman"/>
                <w:lang w:eastAsia="hr-HR"/>
              </w:rPr>
              <w:t>:</w:t>
            </w:r>
          </w:p>
        </w:tc>
        <w:tc>
          <w:tcPr>
            <w:tcW w:w="1559" w:type="dxa"/>
            <w:tcBorders>
              <w:top w:val="nil"/>
              <w:left w:val="nil"/>
              <w:bottom w:val="nil"/>
              <w:right w:val="nil"/>
            </w:tcBorders>
            <w:shd w:val="clear" w:color="auto" w:fill="auto"/>
            <w:noWrap/>
            <w:vAlign w:val="bottom"/>
          </w:tcPr>
          <w:p w14:paraId="651A5A26" w14:textId="13999556" w:rsidR="004B66DB" w:rsidRDefault="007C6470" w:rsidP="00484918">
            <w:pPr>
              <w:spacing w:after="0" w:line="240" w:lineRule="auto"/>
              <w:jc w:val="right"/>
              <w:rPr>
                <w:rFonts w:ascii="Times New Roman" w:hAnsi="Times New Roman" w:cs="Times New Roman"/>
                <w:lang w:eastAsia="hr-HR"/>
              </w:rPr>
            </w:pPr>
            <w:r>
              <w:rPr>
                <w:rFonts w:ascii="Times New Roman" w:hAnsi="Times New Roman" w:cs="Times New Roman"/>
                <w:lang w:eastAsia="hr-HR"/>
              </w:rPr>
              <w:t>668.335,06</w:t>
            </w:r>
          </w:p>
        </w:tc>
      </w:tr>
    </w:tbl>
    <w:p w14:paraId="75C733C0" w14:textId="77777777" w:rsidR="004B66DB" w:rsidRDefault="004B66DB" w:rsidP="004B66DB">
      <w:pPr>
        <w:spacing w:after="0"/>
        <w:jc w:val="both"/>
        <w:rPr>
          <w:rFonts w:ascii="Times New Roman" w:hAnsi="Times New Roman" w:cs="Times New Roman"/>
        </w:rPr>
      </w:pPr>
    </w:p>
    <w:p w14:paraId="76193A5E" w14:textId="3C631555" w:rsidR="004B66DB" w:rsidRDefault="004B66DB" w:rsidP="004B66DB">
      <w:pPr>
        <w:spacing w:after="0"/>
        <w:jc w:val="both"/>
        <w:rPr>
          <w:rFonts w:ascii="Times New Roman" w:hAnsi="Times New Roman" w:cs="Times New Roman"/>
        </w:rPr>
      </w:pPr>
      <w:r w:rsidRPr="00610E7A">
        <w:rPr>
          <w:rFonts w:ascii="Times New Roman" w:hAnsi="Times New Roman" w:cs="Times New Roman"/>
        </w:rPr>
        <w:t xml:space="preserve">Od navedenih obveza dospjele iznose </w:t>
      </w:r>
      <w:r w:rsidR="007C6470">
        <w:rPr>
          <w:rFonts w:ascii="Times New Roman" w:hAnsi="Times New Roman" w:cs="Times New Roman"/>
        </w:rPr>
        <w:t>4.490,35 eura</w:t>
      </w:r>
      <w:r w:rsidRPr="00610E7A">
        <w:rPr>
          <w:rFonts w:ascii="Times New Roman" w:hAnsi="Times New Roman" w:cs="Times New Roman"/>
        </w:rPr>
        <w:t>, a nedospjele</w:t>
      </w:r>
      <w:r w:rsidR="00AD1BDD">
        <w:rPr>
          <w:rFonts w:ascii="Times New Roman" w:hAnsi="Times New Roman" w:cs="Times New Roman"/>
        </w:rPr>
        <w:t xml:space="preserve"> </w:t>
      </w:r>
      <w:r w:rsidR="007C6470" w:rsidRPr="00F65BC7">
        <w:rPr>
          <w:rFonts w:ascii="Times New Roman" w:hAnsi="Times New Roman" w:cs="Times New Roman"/>
        </w:rPr>
        <w:t xml:space="preserve">1.311.666,56 </w:t>
      </w:r>
      <w:r w:rsidR="00AD1BDD">
        <w:rPr>
          <w:rFonts w:ascii="Times New Roman" w:hAnsi="Times New Roman" w:cs="Times New Roman"/>
        </w:rPr>
        <w:t xml:space="preserve"> eura</w:t>
      </w:r>
      <w:r w:rsidRPr="00610E7A">
        <w:rPr>
          <w:rFonts w:ascii="Times New Roman" w:hAnsi="Times New Roman" w:cs="Times New Roman"/>
        </w:rPr>
        <w:t>.</w:t>
      </w:r>
      <w:r>
        <w:rPr>
          <w:rFonts w:ascii="Times New Roman" w:hAnsi="Times New Roman" w:cs="Times New Roman"/>
        </w:rPr>
        <w:t xml:space="preserve"> </w:t>
      </w:r>
    </w:p>
    <w:p w14:paraId="75887CB7" w14:textId="7A5A86E0" w:rsidR="007C6470" w:rsidRDefault="007C6470" w:rsidP="007C6470">
      <w:pPr>
        <w:widowControl w:val="0"/>
        <w:autoSpaceDN w:val="0"/>
        <w:adjustRightInd w:val="0"/>
        <w:jc w:val="both"/>
        <w:rPr>
          <w:rFonts w:ascii="Times New Roman" w:hAnsi="Times New Roman" w:cs="Times New Roman"/>
        </w:rPr>
      </w:pPr>
      <w:r w:rsidRPr="00AC2880">
        <w:rPr>
          <w:rFonts w:ascii="Times New Roman" w:hAnsi="Times New Roman" w:cs="Times New Roman"/>
        </w:rPr>
        <w:t>Dospjela obveza za nefinancijsku imovinu u iznosu od 3.965,00 eura odnosi se na račun izdan 31.12.2024. godine sa valutom 31.12.2024. godine.</w:t>
      </w:r>
    </w:p>
    <w:p w14:paraId="344F6588" w14:textId="77777777" w:rsidR="00AC2880" w:rsidRPr="00AC2880" w:rsidRDefault="00AC2880" w:rsidP="00AC2880">
      <w:pPr>
        <w:widowControl w:val="0"/>
        <w:autoSpaceDN w:val="0"/>
        <w:adjustRightInd w:val="0"/>
        <w:jc w:val="both"/>
        <w:rPr>
          <w:rFonts w:ascii="Times New Roman" w:hAnsi="Times New Roman" w:cs="Times New Roman"/>
        </w:rPr>
      </w:pPr>
      <w:r w:rsidRPr="00AC2880">
        <w:rPr>
          <w:rFonts w:ascii="Times New Roman" w:hAnsi="Times New Roman" w:cs="Times New Roman"/>
        </w:rPr>
        <w:t>Nedospjele obveze iznose 1.311.666,56 €, a sastoje se od:</w:t>
      </w:r>
    </w:p>
    <w:p w14:paraId="64F6D611" w14:textId="77777777" w:rsidR="00AC2880" w:rsidRPr="00AC2880" w:rsidRDefault="00AC2880" w:rsidP="00AC2880">
      <w:pPr>
        <w:jc w:val="both"/>
        <w:rPr>
          <w:rFonts w:ascii="Times New Roman" w:hAnsi="Times New Roman" w:cs="Times New Roman"/>
        </w:rPr>
      </w:pPr>
      <w:r w:rsidRPr="00AC2880">
        <w:rPr>
          <w:rFonts w:ascii="Times New Roman" w:hAnsi="Times New Roman" w:cs="Times New Roman"/>
        </w:rPr>
        <w:t>1. međusobne obveze prema proračunskim korisnicima (V010) u iznosu od 141.265,11 € i to su obveze za naplaćene tuđe prihode prema: Ministarstvu financija (55% prihoda od stanova na kojima postoji stanarsko pravo), Hrvatskim vodama temeljem naplate prihoda od naknade za uređenje voda i  proračunskim korisnicima Grada Garešnice za njihova novčana sredstva od naplaćenih vlastitih prihoda na računu riznice.</w:t>
      </w:r>
    </w:p>
    <w:p w14:paraId="6C7F24D6" w14:textId="77777777" w:rsidR="00AC2880" w:rsidRPr="00AC2880" w:rsidRDefault="00AC2880" w:rsidP="00AC2880">
      <w:pPr>
        <w:jc w:val="both"/>
        <w:rPr>
          <w:rFonts w:ascii="Times New Roman" w:hAnsi="Times New Roman" w:cs="Times New Roman"/>
        </w:rPr>
      </w:pPr>
      <w:r w:rsidRPr="00AC2880">
        <w:rPr>
          <w:rFonts w:ascii="Times New Roman" w:hAnsi="Times New Roman" w:cs="Times New Roman"/>
        </w:rPr>
        <w:t>2. Obveze za rashode poslovanja (ND23) u iznosu od 393.385,43 €, a sadržavaju obveze za zaposlene (plaća za prosinac 2024. godine) te  rashode poslovanja sa valutom nakon 31.12.2024. godine.</w:t>
      </w:r>
    </w:p>
    <w:p w14:paraId="64B51DB3" w14:textId="77777777" w:rsidR="00AC2880" w:rsidRPr="00AC2880" w:rsidRDefault="00AC2880" w:rsidP="00AC2880">
      <w:pPr>
        <w:jc w:val="both"/>
        <w:rPr>
          <w:rFonts w:ascii="Times New Roman" w:hAnsi="Times New Roman" w:cs="Times New Roman"/>
        </w:rPr>
      </w:pPr>
      <w:r w:rsidRPr="00AC2880">
        <w:rPr>
          <w:rFonts w:ascii="Times New Roman" w:hAnsi="Times New Roman" w:cs="Times New Roman"/>
        </w:rPr>
        <w:t>3. Obaveze za nabavu nefinancijske imovine (ND24) u iznosu od 108.680,96 €.</w:t>
      </w:r>
    </w:p>
    <w:p w14:paraId="134154E4" w14:textId="77777777" w:rsidR="00AC2880" w:rsidRPr="00AC2880" w:rsidRDefault="00AC2880" w:rsidP="00AC2880">
      <w:pPr>
        <w:widowControl w:val="0"/>
        <w:autoSpaceDN w:val="0"/>
        <w:adjustRightInd w:val="0"/>
        <w:contextualSpacing/>
        <w:jc w:val="both"/>
        <w:rPr>
          <w:rFonts w:ascii="Times New Roman" w:hAnsi="Times New Roman" w:cs="Times New Roman"/>
        </w:rPr>
      </w:pPr>
      <w:r w:rsidRPr="00AC2880">
        <w:rPr>
          <w:rFonts w:ascii="Times New Roman" w:hAnsi="Times New Roman" w:cs="Times New Roman"/>
        </w:rPr>
        <w:t>4. Obaveze za financijsku imovinu (ND dio 25,26) iznose 668.335,06 € i sastoje se od:</w:t>
      </w:r>
    </w:p>
    <w:p w14:paraId="4C6261C7" w14:textId="77777777" w:rsidR="00AC2880" w:rsidRPr="00AC2880" w:rsidRDefault="00AC2880" w:rsidP="00AC2880">
      <w:pPr>
        <w:widowControl w:val="0"/>
        <w:autoSpaceDN w:val="0"/>
        <w:adjustRightInd w:val="0"/>
        <w:contextualSpacing/>
        <w:jc w:val="both"/>
        <w:rPr>
          <w:rFonts w:ascii="Times New Roman" w:hAnsi="Times New Roman" w:cs="Times New Roman"/>
        </w:rPr>
      </w:pPr>
      <w:r w:rsidRPr="00AC2880">
        <w:rPr>
          <w:rFonts w:ascii="Times New Roman" w:hAnsi="Times New Roman" w:cs="Times New Roman"/>
        </w:rPr>
        <w:t xml:space="preserve">- obveze temeljem beskamatnog zajma iz Državnog proračuna radi premošćivanja situacije nastale zbog različite dinamike priljeva sredstava i dospijeća obveza uslijed odgode plaćanje i/ili obročne otplate poreza na dohodak i prireza porezu na dohodak (dospijeće 31.12.2027. godine) u iznosu od 41.191,56 eura i </w:t>
      </w:r>
    </w:p>
    <w:p w14:paraId="4294263D" w14:textId="251D9B8B" w:rsidR="00AD1BDD" w:rsidRPr="00AC2880" w:rsidRDefault="00AC2880" w:rsidP="00AD1BDD">
      <w:pPr>
        <w:widowControl w:val="0"/>
        <w:autoSpaceDN w:val="0"/>
        <w:adjustRightInd w:val="0"/>
        <w:contextualSpacing/>
        <w:jc w:val="both"/>
        <w:rPr>
          <w:rFonts w:ascii="Times New Roman" w:hAnsi="Times New Roman" w:cs="Times New Roman"/>
        </w:rPr>
      </w:pPr>
      <w:r w:rsidRPr="00AC2880">
        <w:rPr>
          <w:rFonts w:ascii="Times New Roman" w:hAnsi="Times New Roman" w:cs="Times New Roman"/>
        </w:rPr>
        <w:t xml:space="preserve">- obaveze temeljem Ugovora o dugoročnom zaduživanju za kapitalne projekte broj: 5002512364 sa Erste &amp; </w:t>
      </w:r>
      <w:proofErr w:type="spellStart"/>
      <w:r w:rsidRPr="00AC2880">
        <w:rPr>
          <w:rFonts w:ascii="Times New Roman" w:hAnsi="Times New Roman" w:cs="Times New Roman"/>
        </w:rPr>
        <w:t>Steiermarkische</w:t>
      </w:r>
      <w:proofErr w:type="spellEnd"/>
      <w:r w:rsidRPr="00AC2880">
        <w:rPr>
          <w:rFonts w:ascii="Times New Roman" w:hAnsi="Times New Roman" w:cs="Times New Roman"/>
        </w:rPr>
        <w:t xml:space="preserve"> </w:t>
      </w:r>
      <w:proofErr w:type="spellStart"/>
      <w:r w:rsidRPr="00AC2880">
        <w:rPr>
          <w:rFonts w:ascii="Times New Roman" w:hAnsi="Times New Roman" w:cs="Times New Roman"/>
        </w:rPr>
        <w:t>bank</w:t>
      </w:r>
      <w:proofErr w:type="spellEnd"/>
      <w:r w:rsidRPr="00AC2880">
        <w:rPr>
          <w:rFonts w:ascii="Times New Roman" w:hAnsi="Times New Roman" w:cs="Times New Roman"/>
        </w:rPr>
        <w:t xml:space="preserve"> d.d. temeljem Suglasnosti Vlade RH u iznosu od 627.143,50 eura. Iskorištenje kredita do 31.12.2025. godine, dospijeće prve rate kredita u siječnju 2026. godine,  a rok povrata do 31.12.2035. godine (deset godina).</w:t>
      </w:r>
    </w:p>
    <w:p w14:paraId="1B7D9FD8" w14:textId="77777777" w:rsidR="004B66DB" w:rsidRPr="00610E7A" w:rsidRDefault="004B66DB" w:rsidP="004B66DB">
      <w:pPr>
        <w:spacing w:after="0"/>
        <w:jc w:val="both"/>
        <w:rPr>
          <w:rFonts w:ascii="Times New Roman" w:hAnsi="Times New Roman" w:cs="Times New Roman"/>
        </w:rPr>
      </w:pPr>
    </w:p>
    <w:p w14:paraId="3D69E641" w14:textId="77777777" w:rsidR="004B66DB" w:rsidRPr="001251F5" w:rsidRDefault="004B66DB" w:rsidP="004B66DB">
      <w:pPr>
        <w:spacing w:after="0"/>
        <w:jc w:val="both"/>
        <w:rPr>
          <w:rFonts w:ascii="Times New Roman" w:hAnsi="Times New Roman" w:cs="Times New Roman"/>
          <w:u w:val="single"/>
        </w:rPr>
      </w:pPr>
      <w:r w:rsidRPr="001251F5">
        <w:rPr>
          <w:rFonts w:ascii="Times New Roman" w:hAnsi="Times New Roman" w:cs="Times New Roman"/>
          <w:i/>
          <w:iCs/>
          <w:u w:val="single"/>
        </w:rPr>
        <w:t>Stanje obveza proračunskih korisnika</w:t>
      </w:r>
      <w:r w:rsidRPr="001251F5">
        <w:rPr>
          <w:rFonts w:ascii="Times New Roman" w:hAnsi="Times New Roman" w:cs="Times New Roman"/>
          <w:u w:val="single"/>
        </w:rPr>
        <w:t>:</w:t>
      </w:r>
    </w:p>
    <w:p w14:paraId="22B32737" w14:textId="77777777" w:rsidR="004B66DB" w:rsidRPr="001251F5" w:rsidRDefault="004B66DB" w:rsidP="004B66DB">
      <w:pPr>
        <w:spacing w:after="0"/>
        <w:jc w:val="both"/>
        <w:rPr>
          <w:rFonts w:ascii="Times New Roman" w:hAnsi="Times New Roman" w:cs="Times New Roman"/>
        </w:rPr>
      </w:pPr>
    </w:p>
    <w:p w14:paraId="4DF431CF" w14:textId="035BF757" w:rsidR="004B66DB" w:rsidRPr="001251F5" w:rsidRDefault="004B66DB" w:rsidP="004B66DB">
      <w:pPr>
        <w:spacing w:after="120"/>
        <w:jc w:val="both"/>
        <w:rPr>
          <w:rFonts w:ascii="Times New Roman" w:hAnsi="Times New Roman" w:cs="Times New Roman"/>
        </w:rPr>
      </w:pPr>
      <w:r w:rsidRPr="001251F5">
        <w:rPr>
          <w:rFonts w:ascii="Times New Roman" w:hAnsi="Times New Roman" w:cs="Times New Roman"/>
        </w:rPr>
        <w:lastRenderedPageBreak/>
        <w:t xml:space="preserve">- </w:t>
      </w:r>
      <w:r w:rsidRPr="001251F5">
        <w:rPr>
          <w:rFonts w:ascii="Times New Roman" w:hAnsi="Times New Roman" w:cs="Times New Roman"/>
          <w:b/>
          <w:bCs/>
          <w:i/>
          <w:iCs/>
        </w:rPr>
        <w:t>Javna vatrogasna postrojba</w:t>
      </w:r>
      <w:r w:rsidRPr="001251F5">
        <w:rPr>
          <w:rFonts w:ascii="Times New Roman" w:hAnsi="Times New Roman" w:cs="Times New Roman"/>
        </w:rPr>
        <w:t xml:space="preserve"> ima </w:t>
      </w:r>
      <w:r w:rsidR="008F25A6" w:rsidRPr="001251F5">
        <w:rPr>
          <w:rFonts w:ascii="Times New Roman" w:hAnsi="Times New Roman" w:cs="Times New Roman"/>
        </w:rPr>
        <w:t>71.363,39</w:t>
      </w:r>
      <w:r w:rsidR="00392BD2" w:rsidRPr="001251F5">
        <w:rPr>
          <w:rFonts w:ascii="Times New Roman" w:hAnsi="Times New Roman" w:cs="Times New Roman"/>
        </w:rPr>
        <w:t xml:space="preserve"> eura</w:t>
      </w:r>
      <w:r w:rsidRPr="001251F5">
        <w:rPr>
          <w:rFonts w:ascii="Times New Roman" w:hAnsi="Times New Roman" w:cs="Times New Roman"/>
        </w:rPr>
        <w:t xml:space="preserve"> nedospjelih obveza za rashode poslovanja (za zaposlene</w:t>
      </w:r>
      <w:r w:rsidR="00D50754" w:rsidRPr="001251F5">
        <w:rPr>
          <w:rFonts w:ascii="Times New Roman" w:hAnsi="Times New Roman" w:cs="Times New Roman"/>
        </w:rPr>
        <w:t xml:space="preserve"> </w:t>
      </w:r>
      <w:r w:rsidR="008F25A6" w:rsidRPr="001251F5">
        <w:rPr>
          <w:rFonts w:ascii="Times New Roman" w:hAnsi="Times New Roman" w:cs="Times New Roman"/>
        </w:rPr>
        <w:t>67.722,13</w:t>
      </w:r>
      <w:r w:rsidR="00D50754" w:rsidRPr="001251F5">
        <w:rPr>
          <w:rFonts w:ascii="Times New Roman" w:hAnsi="Times New Roman" w:cs="Times New Roman"/>
        </w:rPr>
        <w:t xml:space="preserve"> eura</w:t>
      </w:r>
      <w:r w:rsidRPr="001251F5">
        <w:rPr>
          <w:rFonts w:ascii="Times New Roman" w:hAnsi="Times New Roman" w:cs="Times New Roman"/>
        </w:rPr>
        <w:t xml:space="preserve"> i </w:t>
      </w:r>
      <w:r w:rsidR="00D50754" w:rsidRPr="001251F5">
        <w:rPr>
          <w:rFonts w:ascii="Times New Roman" w:hAnsi="Times New Roman" w:cs="Times New Roman"/>
        </w:rPr>
        <w:t xml:space="preserve">materijalne </w:t>
      </w:r>
      <w:r w:rsidRPr="001251F5">
        <w:rPr>
          <w:rFonts w:ascii="Times New Roman" w:hAnsi="Times New Roman" w:cs="Times New Roman"/>
        </w:rPr>
        <w:t>rashode poslovanja</w:t>
      </w:r>
      <w:r w:rsidR="001251F5" w:rsidRPr="001251F5">
        <w:rPr>
          <w:rFonts w:ascii="Times New Roman" w:hAnsi="Times New Roman" w:cs="Times New Roman"/>
        </w:rPr>
        <w:t xml:space="preserve"> i naknade građanima</w:t>
      </w:r>
      <w:r w:rsidR="00D50754" w:rsidRPr="001251F5">
        <w:rPr>
          <w:rFonts w:ascii="Times New Roman" w:hAnsi="Times New Roman" w:cs="Times New Roman"/>
        </w:rPr>
        <w:t xml:space="preserve"> u iznosu od </w:t>
      </w:r>
      <w:r w:rsidR="001251F5" w:rsidRPr="001251F5">
        <w:rPr>
          <w:rFonts w:ascii="Times New Roman" w:hAnsi="Times New Roman" w:cs="Times New Roman"/>
        </w:rPr>
        <w:t>3.641,26</w:t>
      </w:r>
      <w:r w:rsidR="00D50754" w:rsidRPr="001251F5">
        <w:rPr>
          <w:rFonts w:ascii="Times New Roman" w:hAnsi="Times New Roman" w:cs="Times New Roman"/>
        </w:rPr>
        <w:t xml:space="preserve"> eura</w:t>
      </w:r>
      <w:r w:rsidRPr="001251F5">
        <w:rPr>
          <w:rFonts w:ascii="Times New Roman" w:hAnsi="Times New Roman" w:cs="Times New Roman"/>
        </w:rPr>
        <w:t>).</w:t>
      </w:r>
    </w:p>
    <w:p w14:paraId="2C27C152" w14:textId="17057FA2" w:rsidR="004B66DB" w:rsidRPr="001251F5" w:rsidRDefault="004B66DB" w:rsidP="004B66DB">
      <w:pPr>
        <w:spacing w:after="120"/>
        <w:jc w:val="both"/>
        <w:rPr>
          <w:rFonts w:ascii="Times New Roman" w:hAnsi="Times New Roman" w:cs="Times New Roman"/>
        </w:rPr>
      </w:pPr>
      <w:r w:rsidRPr="001251F5">
        <w:rPr>
          <w:rFonts w:ascii="Times New Roman" w:hAnsi="Times New Roman" w:cs="Times New Roman"/>
        </w:rPr>
        <w:t xml:space="preserve">- </w:t>
      </w:r>
      <w:r w:rsidRPr="001251F5">
        <w:rPr>
          <w:rFonts w:ascii="Times New Roman" w:hAnsi="Times New Roman" w:cs="Times New Roman"/>
          <w:b/>
          <w:bCs/>
          <w:i/>
          <w:iCs/>
        </w:rPr>
        <w:t>Dječji vrtić Maslačak</w:t>
      </w:r>
      <w:r w:rsidRPr="001251F5">
        <w:rPr>
          <w:rFonts w:ascii="Times New Roman" w:hAnsi="Times New Roman" w:cs="Times New Roman"/>
        </w:rPr>
        <w:t xml:space="preserve"> ima </w:t>
      </w:r>
      <w:r w:rsidR="008F25A6" w:rsidRPr="001251F5">
        <w:rPr>
          <w:rFonts w:ascii="Times New Roman" w:hAnsi="Times New Roman" w:cs="Times New Roman"/>
        </w:rPr>
        <w:t>129.348,67</w:t>
      </w:r>
      <w:r w:rsidR="009B0545" w:rsidRPr="001251F5">
        <w:rPr>
          <w:rFonts w:ascii="Times New Roman" w:hAnsi="Times New Roman" w:cs="Times New Roman"/>
        </w:rPr>
        <w:t xml:space="preserve"> eura</w:t>
      </w:r>
      <w:r w:rsidRPr="001251F5">
        <w:rPr>
          <w:rFonts w:ascii="Times New Roman" w:hAnsi="Times New Roman" w:cs="Times New Roman"/>
        </w:rPr>
        <w:t xml:space="preserve"> nedospjelih obveza za rashode poslovanja (za zaposlene </w:t>
      </w:r>
      <w:r w:rsidR="008F25A6" w:rsidRPr="001251F5">
        <w:rPr>
          <w:rFonts w:ascii="Times New Roman" w:hAnsi="Times New Roman" w:cs="Times New Roman"/>
        </w:rPr>
        <w:t>121.519,73</w:t>
      </w:r>
      <w:r w:rsidRPr="001251F5">
        <w:rPr>
          <w:rFonts w:ascii="Times New Roman" w:hAnsi="Times New Roman" w:cs="Times New Roman"/>
        </w:rPr>
        <w:t xml:space="preserve"> </w:t>
      </w:r>
      <w:r w:rsidR="009B0545" w:rsidRPr="001251F5">
        <w:rPr>
          <w:rFonts w:ascii="Times New Roman" w:hAnsi="Times New Roman" w:cs="Times New Roman"/>
        </w:rPr>
        <w:t>eura</w:t>
      </w:r>
      <w:r w:rsidRPr="001251F5">
        <w:rPr>
          <w:rFonts w:ascii="Times New Roman" w:hAnsi="Times New Roman" w:cs="Times New Roman"/>
        </w:rPr>
        <w:t xml:space="preserve"> i ostale materijalne rashode </w:t>
      </w:r>
      <w:r w:rsidR="008F25A6" w:rsidRPr="001251F5">
        <w:rPr>
          <w:rFonts w:ascii="Times New Roman" w:hAnsi="Times New Roman" w:cs="Times New Roman"/>
        </w:rPr>
        <w:t>7.828,94</w:t>
      </w:r>
      <w:r w:rsidRPr="001251F5">
        <w:rPr>
          <w:rFonts w:ascii="Times New Roman" w:hAnsi="Times New Roman" w:cs="Times New Roman"/>
        </w:rPr>
        <w:t xml:space="preserve"> </w:t>
      </w:r>
      <w:r w:rsidR="009B0545" w:rsidRPr="001251F5">
        <w:rPr>
          <w:rFonts w:ascii="Times New Roman" w:hAnsi="Times New Roman" w:cs="Times New Roman"/>
        </w:rPr>
        <w:t>eura</w:t>
      </w:r>
      <w:r w:rsidRPr="001251F5">
        <w:rPr>
          <w:rFonts w:ascii="Times New Roman" w:hAnsi="Times New Roman" w:cs="Times New Roman"/>
        </w:rPr>
        <w:t>).</w:t>
      </w:r>
    </w:p>
    <w:p w14:paraId="0C302894" w14:textId="65A03107" w:rsidR="004B66DB" w:rsidRPr="0098573C" w:rsidRDefault="004B66DB" w:rsidP="004B66DB">
      <w:pPr>
        <w:spacing w:after="120"/>
        <w:jc w:val="both"/>
        <w:rPr>
          <w:rFonts w:ascii="Times New Roman" w:hAnsi="Times New Roman" w:cs="Times New Roman"/>
        </w:rPr>
      </w:pPr>
      <w:r w:rsidRPr="0098573C">
        <w:rPr>
          <w:rFonts w:ascii="Times New Roman" w:hAnsi="Times New Roman" w:cs="Times New Roman"/>
        </w:rPr>
        <w:t xml:space="preserve">- </w:t>
      </w:r>
      <w:r w:rsidRPr="0098573C">
        <w:rPr>
          <w:rFonts w:ascii="Times New Roman" w:hAnsi="Times New Roman" w:cs="Times New Roman"/>
          <w:b/>
          <w:bCs/>
          <w:i/>
          <w:iCs/>
        </w:rPr>
        <w:t>Hrvatska knjižnica i čitaonica „Đuro Sudeta“</w:t>
      </w:r>
      <w:r w:rsidRPr="0098573C">
        <w:rPr>
          <w:rFonts w:ascii="Times New Roman" w:hAnsi="Times New Roman" w:cs="Times New Roman"/>
        </w:rPr>
        <w:t xml:space="preserve"> ima </w:t>
      </w:r>
      <w:r w:rsidR="0098573C" w:rsidRPr="0098573C">
        <w:rPr>
          <w:rFonts w:ascii="Times New Roman" w:hAnsi="Times New Roman" w:cs="Times New Roman"/>
        </w:rPr>
        <w:t>10.832,71</w:t>
      </w:r>
      <w:r w:rsidR="00095003" w:rsidRPr="0098573C">
        <w:rPr>
          <w:rFonts w:ascii="Times New Roman" w:hAnsi="Times New Roman" w:cs="Times New Roman"/>
        </w:rPr>
        <w:t xml:space="preserve"> eura</w:t>
      </w:r>
      <w:r w:rsidRPr="0098573C">
        <w:rPr>
          <w:rFonts w:ascii="Times New Roman" w:hAnsi="Times New Roman" w:cs="Times New Roman"/>
        </w:rPr>
        <w:t xml:space="preserve"> nedospjelih obveza (za zaposlene </w:t>
      </w:r>
      <w:r w:rsidR="0098573C" w:rsidRPr="0098573C">
        <w:rPr>
          <w:rFonts w:ascii="Times New Roman" w:hAnsi="Times New Roman" w:cs="Times New Roman"/>
        </w:rPr>
        <w:t>10.091,47</w:t>
      </w:r>
      <w:r w:rsidR="00095003" w:rsidRPr="0098573C">
        <w:rPr>
          <w:rFonts w:ascii="Times New Roman" w:hAnsi="Times New Roman" w:cs="Times New Roman"/>
        </w:rPr>
        <w:t xml:space="preserve"> eura</w:t>
      </w:r>
      <w:r w:rsidRPr="0098573C">
        <w:rPr>
          <w:rFonts w:ascii="Times New Roman" w:hAnsi="Times New Roman" w:cs="Times New Roman"/>
        </w:rPr>
        <w:t>,</w:t>
      </w:r>
      <w:r w:rsidR="008017DF" w:rsidRPr="0098573C">
        <w:rPr>
          <w:rFonts w:ascii="Times New Roman" w:hAnsi="Times New Roman" w:cs="Times New Roman"/>
        </w:rPr>
        <w:t xml:space="preserve"> materijalne</w:t>
      </w:r>
      <w:r w:rsidRPr="0098573C">
        <w:rPr>
          <w:rFonts w:ascii="Times New Roman" w:hAnsi="Times New Roman" w:cs="Times New Roman"/>
        </w:rPr>
        <w:t xml:space="preserve"> rashode </w:t>
      </w:r>
      <w:r w:rsidR="0098573C" w:rsidRPr="0098573C">
        <w:rPr>
          <w:rFonts w:ascii="Times New Roman" w:hAnsi="Times New Roman" w:cs="Times New Roman"/>
        </w:rPr>
        <w:t>741,24</w:t>
      </w:r>
      <w:r w:rsidR="00095003" w:rsidRPr="0098573C">
        <w:rPr>
          <w:rFonts w:ascii="Times New Roman" w:hAnsi="Times New Roman" w:cs="Times New Roman"/>
        </w:rPr>
        <w:t xml:space="preserve"> eura)</w:t>
      </w:r>
      <w:r w:rsidRPr="0098573C">
        <w:rPr>
          <w:rFonts w:ascii="Times New Roman" w:hAnsi="Times New Roman" w:cs="Times New Roman"/>
        </w:rPr>
        <w:t>.</w:t>
      </w:r>
    </w:p>
    <w:p w14:paraId="2E917BAD" w14:textId="04FEAA89" w:rsidR="004B66DB" w:rsidRPr="0098573C" w:rsidRDefault="004B66DB" w:rsidP="004B66DB">
      <w:pPr>
        <w:spacing w:after="120"/>
        <w:jc w:val="both"/>
        <w:rPr>
          <w:rFonts w:ascii="Times New Roman" w:hAnsi="Times New Roman" w:cs="Times New Roman"/>
        </w:rPr>
      </w:pPr>
      <w:r w:rsidRPr="0098573C">
        <w:rPr>
          <w:rFonts w:ascii="Times New Roman" w:hAnsi="Times New Roman" w:cs="Times New Roman"/>
        </w:rPr>
        <w:t xml:space="preserve">- </w:t>
      </w:r>
      <w:r w:rsidRPr="0098573C">
        <w:rPr>
          <w:rFonts w:ascii="Times New Roman" w:hAnsi="Times New Roman" w:cs="Times New Roman"/>
          <w:b/>
          <w:bCs/>
          <w:i/>
          <w:iCs/>
        </w:rPr>
        <w:t>Javna ustanova za upravljanje Centrom za posjetitelje Garešnica</w:t>
      </w:r>
      <w:r w:rsidRPr="0098573C">
        <w:rPr>
          <w:rFonts w:ascii="Times New Roman" w:hAnsi="Times New Roman" w:cs="Times New Roman"/>
        </w:rPr>
        <w:t xml:space="preserve"> ima </w:t>
      </w:r>
      <w:r w:rsidR="0098573C" w:rsidRPr="0098573C">
        <w:rPr>
          <w:rFonts w:ascii="Times New Roman" w:hAnsi="Times New Roman" w:cs="Times New Roman"/>
        </w:rPr>
        <w:t>11.618,67</w:t>
      </w:r>
      <w:r w:rsidR="00095003" w:rsidRPr="0098573C">
        <w:rPr>
          <w:rFonts w:ascii="Times New Roman" w:hAnsi="Times New Roman" w:cs="Times New Roman"/>
        </w:rPr>
        <w:t xml:space="preserve"> eura</w:t>
      </w:r>
      <w:r w:rsidRPr="0098573C">
        <w:rPr>
          <w:rFonts w:ascii="Times New Roman" w:hAnsi="Times New Roman" w:cs="Times New Roman"/>
        </w:rPr>
        <w:t xml:space="preserve"> nedospjelih obveza </w:t>
      </w:r>
      <w:r w:rsidR="00095003" w:rsidRPr="0098573C">
        <w:rPr>
          <w:rFonts w:ascii="Times New Roman" w:hAnsi="Times New Roman" w:cs="Times New Roman"/>
        </w:rPr>
        <w:t>(</w:t>
      </w:r>
      <w:r w:rsidRPr="0098573C">
        <w:rPr>
          <w:rFonts w:ascii="Times New Roman" w:hAnsi="Times New Roman" w:cs="Times New Roman"/>
        </w:rPr>
        <w:t>za zaposlene</w:t>
      </w:r>
      <w:r w:rsidR="00095003" w:rsidRPr="0098573C">
        <w:rPr>
          <w:rFonts w:ascii="Times New Roman" w:hAnsi="Times New Roman" w:cs="Times New Roman"/>
        </w:rPr>
        <w:t xml:space="preserve"> u iznosu od </w:t>
      </w:r>
      <w:r w:rsidR="001251F5" w:rsidRPr="0098573C">
        <w:rPr>
          <w:rFonts w:ascii="Times New Roman" w:hAnsi="Times New Roman" w:cs="Times New Roman"/>
        </w:rPr>
        <w:t>10.</w:t>
      </w:r>
      <w:r w:rsidR="0098573C" w:rsidRPr="0098573C">
        <w:rPr>
          <w:rFonts w:ascii="Times New Roman" w:hAnsi="Times New Roman" w:cs="Times New Roman"/>
        </w:rPr>
        <w:t>661,60</w:t>
      </w:r>
      <w:r w:rsidR="00095003" w:rsidRPr="0098573C">
        <w:rPr>
          <w:rFonts w:ascii="Times New Roman" w:hAnsi="Times New Roman" w:cs="Times New Roman"/>
        </w:rPr>
        <w:t xml:space="preserve"> eura i </w:t>
      </w:r>
      <w:r w:rsidR="001251F5" w:rsidRPr="0098573C">
        <w:rPr>
          <w:rFonts w:ascii="Times New Roman" w:hAnsi="Times New Roman" w:cs="Times New Roman"/>
        </w:rPr>
        <w:t>materijalne</w:t>
      </w:r>
      <w:r w:rsidR="00095003" w:rsidRPr="0098573C">
        <w:rPr>
          <w:rFonts w:ascii="Times New Roman" w:hAnsi="Times New Roman" w:cs="Times New Roman"/>
        </w:rPr>
        <w:t xml:space="preserve"> rashode </w:t>
      </w:r>
      <w:r w:rsidR="0098573C" w:rsidRPr="0098573C">
        <w:rPr>
          <w:rFonts w:ascii="Times New Roman" w:hAnsi="Times New Roman" w:cs="Times New Roman"/>
        </w:rPr>
        <w:t>957,07</w:t>
      </w:r>
      <w:r w:rsidR="00095003" w:rsidRPr="0098573C">
        <w:rPr>
          <w:rFonts w:ascii="Times New Roman" w:hAnsi="Times New Roman" w:cs="Times New Roman"/>
        </w:rPr>
        <w:t xml:space="preserve"> eura).</w:t>
      </w:r>
    </w:p>
    <w:p w14:paraId="6A418325" w14:textId="405C097B" w:rsidR="00095003" w:rsidRPr="0098573C" w:rsidRDefault="00095003" w:rsidP="004B66DB">
      <w:pPr>
        <w:spacing w:after="120"/>
        <w:jc w:val="both"/>
        <w:rPr>
          <w:rFonts w:ascii="Times New Roman" w:hAnsi="Times New Roman" w:cs="Times New Roman"/>
        </w:rPr>
      </w:pPr>
      <w:r w:rsidRPr="0098573C">
        <w:rPr>
          <w:rFonts w:ascii="Times New Roman" w:hAnsi="Times New Roman" w:cs="Times New Roman"/>
        </w:rPr>
        <w:t xml:space="preserve">- </w:t>
      </w:r>
      <w:r w:rsidRPr="0098573C">
        <w:rPr>
          <w:rFonts w:ascii="Times New Roman" w:hAnsi="Times New Roman" w:cs="Times New Roman"/>
          <w:b/>
          <w:bCs/>
          <w:i/>
          <w:iCs/>
        </w:rPr>
        <w:t>Osnovna škola Garešnica</w:t>
      </w:r>
      <w:r w:rsidRPr="0098573C">
        <w:rPr>
          <w:rFonts w:ascii="Times New Roman" w:hAnsi="Times New Roman" w:cs="Times New Roman"/>
        </w:rPr>
        <w:t xml:space="preserve"> ima </w:t>
      </w:r>
      <w:r w:rsidR="0098573C" w:rsidRPr="0098573C">
        <w:rPr>
          <w:rFonts w:ascii="Times New Roman" w:hAnsi="Times New Roman" w:cs="Times New Roman"/>
        </w:rPr>
        <w:t>208.172,60</w:t>
      </w:r>
      <w:r w:rsidR="00F05AE5" w:rsidRPr="0098573C">
        <w:rPr>
          <w:rFonts w:ascii="Times New Roman" w:hAnsi="Times New Roman" w:cs="Times New Roman"/>
        </w:rPr>
        <w:t xml:space="preserve"> eura nedospjelih obveza (za zaposlene u iznosu od </w:t>
      </w:r>
      <w:r w:rsidR="0098573C" w:rsidRPr="0098573C">
        <w:rPr>
          <w:rFonts w:ascii="Times New Roman" w:hAnsi="Times New Roman" w:cs="Times New Roman"/>
        </w:rPr>
        <w:t>185.476,39</w:t>
      </w:r>
      <w:r w:rsidR="00F05AE5" w:rsidRPr="0098573C">
        <w:rPr>
          <w:rFonts w:ascii="Times New Roman" w:hAnsi="Times New Roman" w:cs="Times New Roman"/>
        </w:rPr>
        <w:t xml:space="preserve"> eura</w:t>
      </w:r>
      <w:r w:rsidR="0098573C" w:rsidRPr="0098573C">
        <w:rPr>
          <w:rFonts w:ascii="Times New Roman" w:hAnsi="Times New Roman" w:cs="Times New Roman"/>
        </w:rPr>
        <w:t xml:space="preserve">, za materijalne rashode 17.542,55 eura i </w:t>
      </w:r>
      <w:r w:rsidR="00F05AE5" w:rsidRPr="0098573C">
        <w:rPr>
          <w:rFonts w:ascii="Times New Roman" w:hAnsi="Times New Roman" w:cs="Times New Roman"/>
        </w:rPr>
        <w:t xml:space="preserve">ostale </w:t>
      </w:r>
      <w:r w:rsidR="0098573C" w:rsidRPr="0098573C">
        <w:rPr>
          <w:rFonts w:ascii="Times New Roman" w:hAnsi="Times New Roman" w:cs="Times New Roman"/>
        </w:rPr>
        <w:t>tekuće obveze</w:t>
      </w:r>
      <w:r w:rsidR="00F05AE5" w:rsidRPr="0098573C">
        <w:rPr>
          <w:rFonts w:ascii="Times New Roman" w:hAnsi="Times New Roman" w:cs="Times New Roman"/>
        </w:rPr>
        <w:t xml:space="preserve"> </w:t>
      </w:r>
      <w:r w:rsidR="0098573C" w:rsidRPr="0098573C">
        <w:rPr>
          <w:rFonts w:ascii="Times New Roman" w:hAnsi="Times New Roman" w:cs="Times New Roman"/>
        </w:rPr>
        <w:t>5.153,66</w:t>
      </w:r>
      <w:r w:rsidR="00F05AE5" w:rsidRPr="0098573C">
        <w:rPr>
          <w:rFonts w:ascii="Times New Roman" w:hAnsi="Times New Roman" w:cs="Times New Roman"/>
        </w:rPr>
        <w:t xml:space="preserve"> eura).</w:t>
      </w:r>
    </w:p>
    <w:p w14:paraId="3808644A" w14:textId="6DFE4E09" w:rsidR="00F05AE5" w:rsidRPr="0053547E" w:rsidRDefault="00095003" w:rsidP="00F05AE5">
      <w:pPr>
        <w:spacing w:after="120"/>
        <w:jc w:val="both"/>
        <w:rPr>
          <w:rFonts w:ascii="Times New Roman" w:hAnsi="Times New Roman" w:cs="Times New Roman"/>
        </w:rPr>
      </w:pPr>
      <w:r w:rsidRPr="0053547E">
        <w:rPr>
          <w:rFonts w:ascii="Times New Roman" w:hAnsi="Times New Roman" w:cs="Times New Roman"/>
          <w:b/>
          <w:bCs/>
          <w:i/>
          <w:iCs/>
        </w:rPr>
        <w:t xml:space="preserve">- Osnovna škola </w:t>
      </w:r>
      <w:proofErr w:type="spellStart"/>
      <w:r w:rsidRPr="0053547E">
        <w:rPr>
          <w:rFonts w:ascii="Times New Roman" w:hAnsi="Times New Roman" w:cs="Times New Roman"/>
          <w:b/>
          <w:bCs/>
          <w:i/>
          <w:iCs/>
        </w:rPr>
        <w:t>Trnovitički</w:t>
      </w:r>
      <w:proofErr w:type="spellEnd"/>
      <w:r w:rsidRPr="0053547E">
        <w:rPr>
          <w:rFonts w:ascii="Times New Roman" w:hAnsi="Times New Roman" w:cs="Times New Roman"/>
          <w:b/>
          <w:bCs/>
          <w:i/>
          <w:iCs/>
        </w:rPr>
        <w:t xml:space="preserve"> Popovac</w:t>
      </w:r>
      <w:r w:rsidR="00F05AE5" w:rsidRPr="0053547E">
        <w:rPr>
          <w:rFonts w:ascii="Times New Roman" w:hAnsi="Times New Roman" w:cs="Times New Roman"/>
        </w:rPr>
        <w:t xml:space="preserve"> ima </w:t>
      </w:r>
      <w:r w:rsidR="00C46EC6" w:rsidRPr="0053547E">
        <w:rPr>
          <w:rFonts w:ascii="Times New Roman" w:hAnsi="Times New Roman" w:cs="Times New Roman"/>
        </w:rPr>
        <w:t>51.023.,54</w:t>
      </w:r>
      <w:r w:rsidR="00F05AE5" w:rsidRPr="0053547E">
        <w:rPr>
          <w:rFonts w:ascii="Times New Roman" w:hAnsi="Times New Roman" w:cs="Times New Roman"/>
        </w:rPr>
        <w:t xml:space="preserve"> eura obveza (za zaposlene u iznosu od </w:t>
      </w:r>
      <w:r w:rsidR="00C46EC6" w:rsidRPr="0053547E">
        <w:rPr>
          <w:rFonts w:ascii="Times New Roman" w:hAnsi="Times New Roman" w:cs="Times New Roman"/>
        </w:rPr>
        <w:t>49.272,27</w:t>
      </w:r>
      <w:r w:rsidR="00F05AE5" w:rsidRPr="0053547E">
        <w:rPr>
          <w:rFonts w:ascii="Times New Roman" w:hAnsi="Times New Roman" w:cs="Times New Roman"/>
        </w:rPr>
        <w:t xml:space="preserve"> eura</w:t>
      </w:r>
      <w:r w:rsidR="0053547E" w:rsidRPr="0053547E">
        <w:rPr>
          <w:rFonts w:ascii="Times New Roman" w:hAnsi="Times New Roman" w:cs="Times New Roman"/>
        </w:rPr>
        <w:t xml:space="preserve"> – nedospjele obveze</w:t>
      </w:r>
      <w:r w:rsidR="00D50754" w:rsidRPr="0053547E">
        <w:rPr>
          <w:rFonts w:ascii="Times New Roman" w:hAnsi="Times New Roman" w:cs="Times New Roman"/>
        </w:rPr>
        <w:t>, materijalne</w:t>
      </w:r>
      <w:r w:rsidR="00F05AE5" w:rsidRPr="0053547E">
        <w:rPr>
          <w:rFonts w:ascii="Times New Roman" w:hAnsi="Times New Roman" w:cs="Times New Roman"/>
        </w:rPr>
        <w:t xml:space="preserve"> rashode </w:t>
      </w:r>
      <w:r w:rsidR="0053547E" w:rsidRPr="0053547E">
        <w:rPr>
          <w:rFonts w:ascii="Times New Roman" w:hAnsi="Times New Roman" w:cs="Times New Roman"/>
        </w:rPr>
        <w:t>1.751,27</w:t>
      </w:r>
      <w:r w:rsidR="00F05AE5" w:rsidRPr="0053547E">
        <w:rPr>
          <w:rFonts w:ascii="Times New Roman" w:hAnsi="Times New Roman" w:cs="Times New Roman"/>
        </w:rPr>
        <w:t xml:space="preserve"> eura</w:t>
      </w:r>
      <w:r w:rsidR="00D50754" w:rsidRPr="0053547E">
        <w:rPr>
          <w:rFonts w:ascii="Times New Roman" w:hAnsi="Times New Roman" w:cs="Times New Roman"/>
        </w:rPr>
        <w:t xml:space="preserve"> </w:t>
      </w:r>
      <w:r w:rsidR="0053547E" w:rsidRPr="0053547E">
        <w:rPr>
          <w:rFonts w:ascii="Times New Roman" w:hAnsi="Times New Roman" w:cs="Times New Roman"/>
        </w:rPr>
        <w:t>). Nedospjele obveze iznose 50.702,54 eura, a dospjele 321,00 eura.</w:t>
      </w:r>
    </w:p>
    <w:p w14:paraId="0F765D94" w14:textId="77777777" w:rsidR="0053547E" w:rsidRPr="00ED0A9F" w:rsidRDefault="0053547E" w:rsidP="00F05AE5">
      <w:pPr>
        <w:spacing w:after="120"/>
        <w:jc w:val="both"/>
        <w:rPr>
          <w:rFonts w:ascii="Times New Roman" w:hAnsi="Times New Roman" w:cs="Times New Roman"/>
          <w:color w:val="EE0000"/>
        </w:rPr>
      </w:pPr>
    </w:p>
    <w:p w14:paraId="1A418DAB" w14:textId="77777777" w:rsidR="00ED0A9F" w:rsidRPr="00ED0A9F" w:rsidRDefault="00ED0A9F" w:rsidP="00ED0A9F">
      <w:pPr>
        <w:jc w:val="both"/>
        <w:rPr>
          <w:rFonts w:ascii="Times New Roman" w:hAnsi="Times New Roman" w:cs="Times New Roman"/>
        </w:rPr>
      </w:pPr>
      <w:proofErr w:type="spellStart"/>
      <w:r w:rsidRPr="00ED0A9F">
        <w:rPr>
          <w:rFonts w:ascii="Times New Roman" w:hAnsi="Times New Roman" w:cs="Times New Roman"/>
        </w:rPr>
        <w:t>Izvanbilančni</w:t>
      </w:r>
      <w:proofErr w:type="spellEnd"/>
      <w:r w:rsidRPr="00ED0A9F">
        <w:rPr>
          <w:rFonts w:ascii="Times New Roman" w:hAnsi="Times New Roman" w:cs="Times New Roman"/>
        </w:rPr>
        <w:t xml:space="preserve"> zapisi iznose 6.422.299,83 eura. Struktura po korisnicima</w:t>
      </w:r>
    </w:p>
    <w:p w14:paraId="5FE48D58" w14:textId="77777777" w:rsidR="00ED0A9F" w:rsidRPr="00ED0A9F" w:rsidRDefault="00ED0A9F" w:rsidP="003734CB">
      <w:pPr>
        <w:pStyle w:val="Odlomakpopisa"/>
        <w:numPr>
          <w:ilvl w:val="0"/>
          <w:numId w:val="9"/>
        </w:numPr>
        <w:jc w:val="both"/>
        <w:rPr>
          <w:sz w:val="22"/>
          <w:szCs w:val="22"/>
          <w:lang w:eastAsia="en-US"/>
        </w:rPr>
      </w:pPr>
      <w:r w:rsidRPr="00ED0A9F">
        <w:rPr>
          <w:sz w:val="22"/>
          <w:szCs w:val="22"/>
          <w:lang w:eastAsia="en-US"/>
        </w:rPr>
        <w:t>Grad Garešnica u iznosu od  4.233.641,16 eura, a sastoje se od:</w:t>
      </w:r>
    </w:p>
    <w:p w14:paraId="5E0F59F6" w14:textId="77777777" w:rsidR="00ED0A9F" w:rsidRPr="00ED0A9F" w:rsidRDefault="00ED0A9F" w:rsidP="00ED0A9F">
      <w:pPr>
        <w:jc w:val="both"/>
        <w:rPr>
          <w:rFonts w:ascii="Times New Roman" w:hAnsi="Times New Roman" w:cs="Times New Roman"/>
        </w:rPr>
      </w:pPr>
      <w:r w:rsidRPr="00ED0A9F">
        <w:rPr>
          <w:rFonts w:ascii="Times New Roman" w:hAnsi="Times New Roman" w:cs="Times New Roman"/>
        </w:rPr>
        <w:t xml:space="preserve">- tuđa imovina na korištenju u iznosu od 1.002.808,01 eura (energetska učinkovitost javne rasvjete, operativni leasing za osobni automobil Mazdu i Citroen </w:t>
      </w:r>
      <w:proofErr w:type="spellStart"/>
      <w:r w:rsidRPr="00ED0A9F">
        <w:rPr>
          <w:rFonts w:ascii="Times New Roman" w:hAnsi="Times New Roman" w:cs="Times New Roman"/>
        </w:rPr>
        <w:t>Berlingo</w:t>
      </w:r>
      <w:proofErr w:type="spellEnd"/>
      <w:r w:rsidRPr="00ED0A9F">
        <w:rPr>
          <w:rFonts w:ascii="Times New Roman" w:hAnsi="Times New Roman" w:cs="Times New Roman"/>
        </w:rPr>
        <w:t xml:space="preserve"> te autocisterna),</w:t>
      </w:r>
    </w:p>
    <w:p w14:paraId="0DFB08EA" w14:textId="77777777" w:rsidR="00ED0A9F" w:rsidRPr="00ED0A9F" w:rsidRDefault="00ED0A9F" w:rsidP="00ED0A9F">
      <w:pPr>
        <w:jc w:val="both"/>
        <w:rPr>
          <w:rFonts w:ascii="Times New Roman" w:hAnsi="Times New Roman" w:cs="Times New Roman"/>
        </w:rPr>
      </w:pPr>
      <w:r w:rsidRPr="00ED0A9F">
        <w:rPr>
          <w:rFonts w:ascii="Times New Roman" w:hAnsi="Times New Roman" w:cs="Times New Roman"/>
        </w:rPr>
        <w:t>-  izdanih sredstava osiguranja plaćanja – bjanko zadužnice, mjenice  u iznosu od 2.831.498,98 eura,</w:t>
      </w:r>
    </w:p>
    <w:p w14:paraId="7291A49D" w14:textId="77777777" w:rsidR="00ED0A9F" w:rsidRPr="00ED0A9F" w:rsidRDefault="00ED0A9F" w:rsidP="00ED0A9F">
      <w:pPr>
        <w:jc w:val="both"/>
        <w:rPr>
          <w:rFonts w:ascii="Times New Roman" w:hAnsi="Times New Roman" w:cs="Times New Roman"/>
        </w:rPr>
      </w:pPr>
      <w:r w:rsidRPr="00ED0A9F">
        <w:rPr>
          <w:rFonts w:ascii="Times New Roman" w:hAnsi="Times New Roman" w:cs="Times New Roman"/>
        </w:rPr>
        <w:t>- dano jamstvo za preuzimanje obveze osiguranja financiranja zatvaranja odlagališta otpada „</w:t>
      </w:r>
      <w:proofErr w:type="spellStart"/>
      <w:r w:rsidRPr="00ED0A9F">
        <w:rPr>
          <w:rFonts w:ascii="Times New Roman" w:hAnsi="Times New Roman" w:cs="Times New Roman"/>
        </w:rPr>
        <w:t>Johovača</w:t>
      </w:r>
      <w:proofErr w:type="spellEnd"/>
      <w:r w:rsidRPr="00ED0A9F">
        <w:rPr>
          <w:rFonts w:ascii="Times New Roman" w:hAnsi="Times New Roman" w:cs="Times New Roman"/>
        </w:rPr>
        <w:t>“ u iznosu od 391.578,54 eura,</w:t>
      </w:r>
    </w:p>
    <w:p w14:paraId="5865104C" w14:textId="77777777" w:rsidR="00ED0A9F" w:rsidRPr="00ED0A9F" w:rsidRDefault="00ED0A9F" w:rsidP="00ED0A9F">
      <w:pPr>
        <w:jc w:val="both"/>
        <w:rPr>
          <w:rFonts w:ascii="Times New Roman" w:hAnsi="Times New Roman" w:cs="Times New Roman"/>
        </w:rPr>
      </w:pPr>
      <w:r w:rsidRPr="00ED0A9F">
        <w:rPr>
          <w:rFonts w:ascii="Times New Roman" w:hAnsi="Times New Roman" w:cs="Times New Roman"/>
        </w:rPr>
        <w:t>-  potencijalne obveze po osnovi sudskih sporova u tijeku u iznosu od 7.755,63 eura</w:t>
      </w:r>
    </w:p>
    <w:p w14:paraId="382F17CA" w14:textId="77777777" w:rsidR="00ED0A9F" w:rsidRPr="00ED0A9F" w:rsidRDefault="00ED0A9F" w:rsidP="003734CB">
      <w:pPr>
        <w:pStyle w:val="Odlomakpopisa"/>
        <w:numPr>
          <w:ilvl w:val="0"/>
          <w:numId w:val="9"/>
        </w:numPr>
        <w:jc w:val="both"/>
        <w:rPr>
          <w:sz w:val="22"/>
          <w:szCs w:val="22"/>
          <w:lang w:eastAsia="en-US"/>
        </w:rPr>
      </w:pPr>
      <w:r w:rsidRPr="00ED0A9F">
        <w:rPr>
          <w:sz w:val="22"/>
          <w:szCs w:val="22"/>
          <w:lang w:eastAsia="en-US"/>
        </w:rPr>
        <w:t>Javna vatrogasna postrojba Garešnica u iznosu od 346.871,95 €</w:t>
      </w:r>
    </w:p>
    <w:p w14:paraId="01B0749B" w14:textId="77777777" w:rsidR="00ED0A9F" w:rsidRPr="00ED0A9F" w:rsidRDefault="00ED0A9F" w:rsidP="00ED0A9F">
      <w:pPr>
        <w:jc w:val="both"/>
        <w:rPr>
          <w:rFonts w:ascii="Times New Roman" w:hAnsi="Times New Roman" w:cs="Times New Roman"/>
        </w:rPr>
      </w:pPr>
      <w:r w:rsidRPr="00ED0A9F">
        <w:rPr>
          <w:rFonts w:ascii="Times New Roman" w:hAnsi="Times New Roman" w:cs="Times New Roman"/>
        </w:rPr>
        <w:t xml:space="preserve">- operativni leasing za vozilo Hyundai </w:t>
      </w:r>
      <w:proofErr w:type="spellStart"/>
      <w:r w:rsidRPr="00ED0A9F">
        <w:rPr>
          <w:rFonts w:ascii="Times New Roman" w:hAnsi="Times New Roman" w:cs="Times New Roman"/>
        </w:rPr>
        <w:t>Tucson</w:t>
      </w:r>
      <w:proofErr w:type="spellEnd"/>
      <w:r w:rsidRPr="00ED0A9F">
        <w:rPr>
          <w:rFonts w:ascii="Times New Roman" w:hAnsi="Times New Roman" w:cs="Times New Roman"/>
        </w:rPr>
        <w:t>, Ugovor o korištenju vozila Transporter kombi 2,0 TDI, Ugovor o korištenju Brodica za spašavanje, Sporazum o suradnji – autocisterna</w:t>
      </w:r>
    </w:p>
    <w:p w14:paraId="69761813" w14:textId="77777777" w:rsidR="00ED0A9F" w:rsidRPr="00ED0A9F" w:rsidRDefault="00ED0A9F" w:rsidP="003734CB">
      <w:pPr>
        <w:pStyle w:val="Odlomakpopisa"/>
        <w:numPr>
          <w:ilvl w:val="0"/>
          <w:numId w:val="9"/>
        </w:numPr>
        <w:jc w:val="both"/>
        <w:rPr>
          <w:sz w:val="22"/>
          <w:szCs w:val="22"/>
          <w:lang w:eastAsia="en-US"/>
        </w:rPr>
      </w:pPr>
      <w:r w:rsidRPr="00ED0A9F">
        <w:rPr>
          <w:sz w:val="22"/>
          <w:szCs w:val="22"/>
          <w:lang w:eastAsia="en-US"/>
        </w:rPr>
        <w:t>Dječji vrtić Maslačak Garešnica u iznosu od 1.825.102,49 eura</w:t>
      </w:r>
    </w:p>
    <w:p w14:paraId="728692D4" w14:textId="77777777" w:rsidR="00ED0A9F" w:rsidRPr="00ED0A9F" w:rsidRDefault="00ED0A9F" w:rsidP="00ED0A9F">
      <w:pPr>
        <w:jc w:val="both"/>
        <w:rPr>
          <w:rFonts w:ascii="Times New Roman" w:hAnsi="Times New Roman" w:cs="Times New Roman"/>
        </w:rPr>
      </w:pPr>
      <w:r w:rsidRPr="00ED0A9F">
        <w:rPr>
          <w:rFonts w:ascii="Times New Roman" w:hAnsi="Times New Roman" w:cs="Times New Roman"/>
        </w:rPr>
        <w:t>- građevinski objekt i oprema na adresi Garešnica, Kralja Tomislava 18 koje je dano istome na korištenje.</w:t>
      </w:r>
    </w:p>
    <w:p w14:paraId="2FBBBE83" w14:textId="77777777" w:rsidR="00ED0A9F" w:rsidRPr="00ED0A9F" w:rsidRDefault="00ED0A9F" w:rsidP="003734CB">
      <w:pPr>
        <w:pStyle w:val="Odlomakpopisa"/>
        <w:numPr>
          <w:ilvl w:val="0"/>
          <w:numId w:val="9"/>
        </w:numPr>
        <w:jc w:val="both"/>
        <w:rPr>
          <w:sz w:val="22"/>
          <w:szCs w:val="22"/>
          <w:lang w:eastAsia="en-US"/>
        </w:rPr>
      </w:pPr>
      <w:r w:rsidRPr="00ED0A9F">
        <w:rPr>
          <w:sz w:val="22"/>
          <w:szCs w:val="22"/>
          <w:lang w:eastAsia="en-US"/>
        </w:rPr>
        <w:t>Osnovna škola Garešnica u iznosu od 16.684,23 eura</w:t>
      </w:r>
    </w:p>
    <w:p w14:paraId="508865DB" w14:textId="77777777" w:rsidR="00ED0A9F" w:rsidRPr="00ED0A9F" w:rsidRDefault="00ED0A9F" w:rsidP="00ED0A9F">
      <w:pPr>
        <w:jc w:val="both"/>
        <w:rPr>
          <w:rFonts w:ascii="Times New Roman" w:hAnsi="Times New Roman" w:cs="Times New Roman"/>
        </w:rPr>
      </w:pPr>
      <w:r w:rsidRPr="00ED0A9F">
        <w:rPr>
          <w:rFonts w:ascii="Times New Roman" w:hAnsi="Times New Roman" w:cs="Times New Roman"/>
        </w:rPr>
        <w:t>-oprema na korištenju</w:t>
      </w:r>
    </w:p>
    <w:p w14:paraId="764A7112" w14:textId="34FC3D3B" w:rsidR="00095003" w:rsidRDefault="00095003" w:rsidP="004B66DB">
      <w:pPr>
        <w:spacing w:after="120"/>
        <w:jc w:val="both"/>
        <w:rPr>
          <w:rFonts w:ascii="Times New Roman" w:hAnsi="Times New Roman" w:cs="Times New Roman"/>
          <w:b/>
          <w:bCs/>
          <w:i/>
          <w:iCs/>
        </w:rPr>
      </w:pPr>
    </w:p>
    <w:p w14:paraId="683302F1" w14:textId="77777777" w:rsidR="001D39EA" w:rsidRPr="002340AE" w:rsidRDefault="001D39EA" w:rsidP="001D39EA">
      <w:pPr>
        <w:spacing w:after="120" w:line="240" w:lineRule="auto"/>
        <w:jc w:val="both"/>
        <w:rPr>
          <w:rFonts w:ascii="Times New Roman" w:hAnsi="Times New Roman" w:cs="Times New Roman"/>
          <w:bCs/>
        </w:rPr>
      </w:pPr>
      <w:r>
        <w:rPr>
          <w:rFonts w:ascii="Times New Roman" w:hAnsi="Times New Roman" w:cs="Times New Roman"/>
          <w:bCs/>
        </w:rPr>
        <w:t>Na dan 31.12.2024. godine Grad Garešnica ima: 33 (</w:t>
      </w:r>
      <w:proofErr w:type="spellStart"/>
      <w:r>
        <w:rPr>
          <w:rFonts w:ascii="Times New Roman" w:hAnsi="Times New Roman" w:cs="Times New Roman"/>
          <w:bCs/>
        </w:rPr>
        <w:t>tridesetri</w:t>
      </w:r>
      <w:proofErr w:type="spellEnd"/>
      <w:r>
        <w:rPr>
          <w:rFonts w:ascii="Times New Roman" w:hAnsi="Times New Roman" w:cs="Times New Roman"/>
          <w:bCs/>
        </w:rPr>
        <w:t>) izdanih bjanko zadužnica ukupne vrijednosti 2.632.936,03 eura, 2 (dvije) izdane mjenice na iznos od 198.562,95 eura, 1 (jedno) jamstvo u iznosu od 391.578,54 eura, 159 (</w:t>
      </w:r>
      <w:proofErr w:type="spellStart"/>
      <w:r>
        <w:rPr>
          <w:rFonts w:ascii="Times New Roman" w:hAnsi="Times New Roman" w:cs="Times New Roman"/>
          <w:bCs/>
        </w:rPr>
        <w:t>stopedesetidevet</w:t>
      </w:r>
      <w:proofErr w:type="spellEnd"/>
      <w:r>
        <w:rPr>
          <w:rFonts w:ascii="Times New Roman" w:hAnsi="Times New Roman" w:cs="Times New Roman"/>
          <w:bCs/>
        </w:rPr>
        <w:t>) zaprimljenih bjanko zadužnica u iznosu od 626.596,39 eura, 18 (osamnaest) zaprimljenih bankarskih garancija u ukupnom iznosu od 846.594,02 eura, te zaprimljenih 10 (deset) jamčevina na bankovnom računu u iznosu od 18.195,27 eura.</w:t>
      </w:r>
    </w:p>
    <w:p w14:paraId="1F284D87" w14:textId="77777777" w:rsidR="001D39EA" w:rsidRPr="00095003" w:rsidRDefault="001D39EA" w:rsidP="004B66DB">
      <w:pPr>
        <w:spacing w:after="120"/>
        <w:jc w:val="both"/>
        <w:rPr>
          <w:rFonts w:ascii="Times New Roman" w:hAnsi="Times New Roman" w:cs="Times New Roman"/>
          <w:b/>
          <w:bCs/>
          <w:i/>
          <w:iCs/>
        </w:rPr>
      </w:pPr>
    </w:p>
    <w:p w14:paraId="1E426162" w14:textId="77777777" w:rsidR="004B66DB" w:rsidRDefault="004B66DB" w:rsidP="004B66DB">
      <w:pPr>
        <w:spacing w:after="0"/>
        <w:jc w:val="both"/>
        <w:rPr>
          <w:rFonts w:ascii="Times New Roman" w:hAnsi="Times New Roman" w:cs="Times New Roman"/>
        </w:rPr>
      </w:pPr>
    </w:p>
    <w:p w14:paraId="2AABCBB1" w14:textId="0EF6BF88" w:rsidR="004B66DB" w:rsidRPr="00E706BB" w:rsidRDefault="004B66DB" w:rsidP="00B3512C">
      <w:pPr>
        <w:spacing w:after="120"/>
        <w:jc w:val="both"/>
        <w:rPr>
          <w:rFonts w:ascii="Times New Roman" w:hAnsi="Times New Roman" w:cs="Times New Roman"/>
          <w:u w:val="single"/>
        </w:rPr>
      </w:pPr>
      <w:r w:rsidRPr="008017DF">
        <w:rPr>
          <w:rFonts w:ascii="Times New Roman" w:hAnsi="Times New Roman" w:cs="Times New Roman"/>
          <w:u w:val="single"/>
        </w:rPr>
        <w:lastRenderedPageBreak/>
        <w:t>Proračun Grada Garešnica</w:t>
      </w:r>
      <w:r w:rsidRPr="00E706BB">
        <w:rPr>
          <w:rFonts w:ascii="Times New Roman" w:hAnsi="Times New Roman" w:cs="Times New Roman"/>
          <w:u w:val="single"/>
        </w:rPr>
        <w:t xml:space="preserve"> na dan </w:t>
      </w:r>
      <w:r>
        <w:rPr>
          <w:rFonts w:ascii="Times New Roman" w:hAnsi="Times New Roman" w:cs="Times New Roman"/>
          <w:u w:val="single"/>
        </w:rPr>
        <w:t>31.12.202</w:t>
      </w:r>
      <w:r w:rsidR="00ED0A9F">
        <w:rPr>
          <w:rFonts w:ascii="Times New Roman" w:hAnsi="Times New Roman" w:cs="Times New Roman"/>
          <w:u w:val="single"/>
        </w:rPr>
        <w:t>4</w:t>
      </w:r>
      <w:r w:rsidRPr="00E706BB">
        <w:rPr>
          <w:rFonts w:ascii="Times New Roman" w:hAnsi="Times New Roman" w:cs="Times New Roman"/>
          <w:u w:val="single"/>
        </w:rPr>
        <w:t>. godine imao je slijedeća potraživanja</w:t>
      </w:r>
      <w:r>
        <w:rPr>
          <w:rFonts w:ascii="Times New Roman" w:hAnsi="Times New Roman" w:cs="Times New Roman"/>
          <w:u w:val="single"/>
        </w:rPr>
        <w:t xml:space="preserve"> (bruto)</w:t>
      </w:r>
      <w:r w:rsidRPr="00E706BB">
        <w:rPr>
          <w:rFonts w:ascii="Times New Roman" w:hAnsi="Times New Roman" w:cs="Times New Roman"/>
          <w:u w:val="single"/>
        </w:rPr>
        <w:t xml:space="preserve">: </w:t>
      </w:r>
    </w:p>
    <w:tbl>
      <w:tblPr>
        <w:tblW w:w="9390" w:type="dxa"/>
        <w:tblInd w:w="108" w:type="dxa"/>
        <w:tblLook w:val="04A0" w:firstRow="1" w:lastRow="0" w:firstColumn="1" w:lastColumn="0" w:noHBand="0" w:noVBand="1"/>
      </w:tblPr>
      <w:tblGrid>
        <w:gridCol w:w="2214"/>
        <w:gridCol w:w="1581"/>
        <w:gridCol w:w="1664"/>
        <w:gridCol w:w="862"/>
        <w:gridCol w:w="876"/>
        <w:gridCol w:w="269"/>
        <w:gridCol w:w="1858"/>
        <w:gridCol w:w="66"/>
      </w:tblGrid>
      <w:tr w:rsidR="00ED0A9F" w:rsidRPr="00091BF3" w14:paraId="09C88AB7" w14:textId="77777777" w:rsidTr="00F65BC7">
        <w:trPr>
          <w:gridAfter w:val="1"/>
          <w:wAfter w:w="66" w:type="dxa"/>
          <w:trHeight w:val="285"/>
        </w:trPr>
        <w:tc>
          <w:tcPr>
            <w:tcW w:w="7197" w:type="dxa"/>
            <w:gridSpan w:val="5"/>
            <w:tcBorders>
              <w:top w:val="nil"/>
              <w:left w:val="nil"/>
              <w:bottom w:val="nil"/>
              <w:right w:val="nil"/>
            </w:tcBorders>
            <w:shd w:val="clear" w:color="auto" w:fill="auto"/>
            <w:noWrap/>
            <w:vAlign w:val="bottom"/>
            <w:hideMark/>
          </w:tcPr>
          <w:p w14:paraId="153C2915" w14:textId="58EE5DDD" w:rsidR="00ED0A9F" w:rsidRPr="00091BF3" w:rsidRDefault="00ED0A9F" w:rsidP="00484918">
            <w:pPr>
              <w:spacing w:after="0" w:line="240" w:lineRule="auto"/>
              <w:rPr>
                <w:rFonts w:ascii="Times New Roman" w:hAnsi="Times New Roman" w:cs="Times New Roman"/>
                <w:lang w:eastAsia="hr-HR"/>
              </w:rPr>
            </w:pPr>
            <w:r>
              <w:rPr>
                <w:rFonts w:ascii="Times New Roman" w:hAnsi="Times New Roman" w:cs="Times New Roman"/>
                <w:lang w:eastAsia="hr-HR"/>
              </w:rPr>
              <w:t xml:space="preserve">Ostala potraživanja - </w:t>
            </w:r>
            <w:r w:rsidRPr="000B24D5">
              <w:rPr>
                <w:rFonts w:ascii="Times New Roman" w:hAnsi="Times New Roman" w:cs="Times New Roman"/>
                <w:lang w:eastAsia="hr-HR"/>
              </w:rPr>
              <w:t xml:space="preserve">potraživanja za naknade koje se </w:t>
            </w:r>
            <w:r w:rsidRPr="00091BF3">
              <w:rPr>
                <w:rFonts w:ascii="Times New Roman" w:hAnsi="Times New Roman" w:cs="Times New Roman"/>
                <w:lang w:eastAsia="hr-HR"/>
              </w:rPr>
              <w:t>refundiraju</w:t>
            </w:r>
            <w:r>
              <w:rPr>
                <w:rFonts w:ascii="Times New Roman" w:hAnsi="Times New Roman" w:cs="Times New Roman"/>
                <w:lang w:eastAsia="hr-HR"/>
              </w:rPr>
              <w:t xml:space="preserve"> i predujmove </w:t>
            </w:r>
          </w:p>
        </w:tc>
        <w:tc>
          <w:tcPr>
            <w:tcW w:w="269" w:type="dxa"/>
            <w:tcBorders>
              <w:top w:val="nil"/>
              <w:left w:val="nil"/>
              <w:bottom w:val="nil"/>
              <w:right w:val="nil"/>
            </w:tcBorders>
            <w:shd w:val="clear" w:color="auto" w:fill="auto"/>
            <w:noWrap/>
            <w:vAlign w:val="bottom"/>
            <w:hideMark/>
          </w:tcPr>
          <w:p w14:paraId="4000BCFB" w14:textId="77777777" w:rsidR="00ED0A9F" w:rsidRPr="00091BF3" w:rsidRDefault="00ED0A9F" w:rsidP="00484918">
            <w:pPr>
              <w:spacing w:after="0" w:line="240" w:lineRule="auto"/>
              <w:rPr>
                <w:rFonts w:ascii="Times New Roman" w:hAnsi="Times New Roman" w:cs="Times New Roman"/>
                <w:lang w:eastAsia="hr-HR"/>
              </w:rPr>
            </w:pPr>
          </w:p>
        </w:tc>
        <w:tc>
          <w:tcPr>
            <w:tcW w:w="1858" w:type="dxa"/>
            <w:tcBorders>
              <w:top w:val="nil"/>
              <w:left w:val="nil"/>
              <w:bottom w:val="nil"/>
              <w:right w:val="nil"/>
            </w:tcBorders>
            <w:shd w:val="clear" w:color="auto" w:fill="auto"/>
            <w:noWrap/>
            <w:vAlign w:val="bottom"/>
            <w:hideMark/>
          </w:tcPr>
          <w:p w14:paraId="775EC56B" w14:textId="72E50738" w:rsidR="00ED0A9F" w:rsidRPr="00091BF3" w:rsidRDefault="00B96292" w:rsidP="00484918">
            <w:pPr>
              <w:spacing w:after="0" w:line="240" w:lineRule="auto"/>
              <w:jc w:val="right"/>
              <w:rPr>
                <w:rFonts w:ascii="Times New Roman" w:hAnsi="Times New Roman" w:cs="Times New Roman"/>
                <w:lang w:eastAsia="hr-HR"/>
              </w:rPr>
            </w:pPr>
            <w:r>
              <w:rPr>
                <w:rFonts w:ascii="Times New Roman" w:hAnsi="Times New Roman" w:cs="Times New Roman"/>
                <w:lang w:eastAsia="hr-HR"/>
              </w:rPr>
              <w:t>8.883.99</w:t>
            </w:r>
          </w:p>
        </w:tc>
      </w:tr>
      <w:tr w:rsidR="004B66DB" w:rsidRPr="00091BF3" w14:paraId="59568D7A" w14:textId="77777777" w:rsidTr="00F65BC7">
        <w:trPr>
          <w:gridAfter w:val="1"/>
          <w:wAfter w:w="66" w:type="dxa"/>
          <w:trHeight w:val="270"/>
        </w:trPr>
        <w:tc>
          <w:tcPr>
            <w:tcW w:w="2214" w:type="dxa"/>
            <w:tcBorders>
              <w:top w:val="nil"/>
              <w:left w:val="nil"/>
              <w:right w:val="nil"/>
            </w:tcBorders>
            <w:shd w:val="clear" w:color="auto" w:fill="auto"/>
            <w:noWrap/>
            <w:vAlign w:val="bottom"/>
            <w:hideMark/>
          </w:tcPr>
          <w:p w14:paraId="6D7E573C" w14:textId="77777777" w:rsidR="004B66DB" w:rsidRPr="00091BF3" w:rsidRDefault="004B66DB" w:rsidP="00484918">
            <w:pPr>
              <w:spacing w:after="0" w:line="240" w:lineRule="auto"/>
              <w:rPr>
                <w:rFonts w:ascii="Times New Roman" w:hAnsi="Times New Roman" w:cs="Times New Roman"/>
                <w:lang w:eastAsia="hr-HR"/>
              </w:rPr>
            </w:pPr>
            <w:r w:rsidRPr="00091BF3">
              <w:rPr>
                <w:rFonts w:ascii="Times New Roman" w:hAnsi="Times New Roman" w:cs="Times New Roman"/>
                <w:lang w:eastAsia="hr-HR"/>
              </w:rPr>
              <w:t>Udjeli u glavnici</w:t>
            </w:r>
          </w:p>
        </w:tc>
        <w:tc>
          <w:tcPr>
            <w:tcW w:w="1581" w:type="dxa"/>
            <w:tcBorders>
              <w:top w:val="nil"/>
              <w:left w:val="nil"/>
              <w:right w:val="nil"/>
            </w:tcBorders>
            <w:shd w:val="clear" w:color="auto" w:fill="auto"/>
            <w:noWrap/>
            <w:vAlign w:val="bottom"/>
            <w:hideMark/>
          </w:tcPr>
          <w:p w14:paraId="22E580F3" w14:textId="77777777" w:rsidR="004B66DB" w:rsidRPr="00091BF3" w:rsidRDefault="004B66DB" w:rsidP="00484918">
            <w:pPr>
              <w:spacing w:after="0" w:line="240" w:lineRule="auto"/>
              <w:rPr>
                <w:rFonts w:ascii="Times New Roman" w:hAnsi="Times New Roman" w:cs="Times New Roman"/>
                <w:lang w:eastAsia="hr-HR"/>
              </w:rPr>
            </w:pPr>
          </w:p>
        </w:tc>
        <w:tc>
          <w:tcPr>
            <w:tcW w:w="1664" w:type="dxa"/>
            <w:tcBorders>
              <w:top w:val="nil"/>
              <w:left w:val="nil"/>
              <w:right w:val="nil"/>
            </w:tcBorders>
            <w:shd w:val="clear" w:color="auto" w:fill="auto"/>
            <w:noWrap/>
            <w:vAlign w:val="bottom"/>
            <w:hideMark/>
          </w:tcPr>
          <w:p w14:paraId="5990B056" w14:textId="77777777" w:rsidR="004B66DB" w:rsidRPr="00091BF3" w:rsidRDefault="004B66DB" w:rsidP="00484918">
            <w:pPr>
              <w:spacing w:after="0" w:line="240" w:lineRule="auto"/>
              <w:rPr>
                <w:rFonts w:ascii="Times New Roman" w:hAnsi="Times New Roman" w:cs="Times New Roman"/>
                <w:lang w:eastAsia="hr-HR"/>
              </w:rPr>
            </w:pPr>
          </w:p>
        </w:tc>
        <w:tc>
          <w:tcPr>
            <w:tcW w:w="862" w:type="dxa"/>
            <w:tcBorders>
              <w:top w:val="nil"/>
              <w:left w:val="nil"/>
              <w:right w:val="nil"/>
            </w:tcBorders>
            <w:shd w:val="clear" w:color="auto" w:fill="auto"/>
            <w:noWrap/>
            <w:vAlign w:val="bottom"/>
            <w:hideMark/>
          </w:tcPr>
          <w:p w14:paraId="1EC9A6B7" w14:textId="77777777" w:rsidR="004B66DB" w:rsidRPr="00091BF3" w:rsidRDefault="004B66DB" w:rsidP="00484918">
            <w:pPr>
              <w:spacing w:after="0" w:line="240" w:lineRule="auto"/>
              <w:rPr>
                <w:rFonts w:ascii="Times New Roman" w:hAnsi="Times New Roman" w:cs="Times New Roman"/>
                <w:lang w:eastAsia="hr-HR"/>
              </w:rPr>
            </w:pPr>
          </w:p>
        </w:tc>
        <w:tc>
          <w:tcPr>
            <w:tcW w:w="876" w:type="dxa"/>
            <w:tcBorders>
              <w:top w:val="nil"/>
              <w:left w:val="nil"/>
              <w:right w:val="nil"/>
            </w:tcBorders>
            <w:shd w:val="clear" w:color="auto" w:fill="auto"/>
            <w:noWrap/>
            <w:vAlign w:val="bottom"/>
            <w:hideMark/>
          </w:tcPr>
          <w:p w14:paraId="390D7B4B" w14:textId="77777777" w:rsidR="004B66DB" w:rsidRPr="00091BF3" w:rsidRDefault="004B66DB" w:rsidP="00484918">
            <w:pPr>
              <w:spacing w:after="0" w:line="240" w:lineRule="auto"/>
              <w:rPr>
                <w:rFonts w:ascii="Times New Roman" w:hAnsi="Times New Roman" w:cs="Times New Roman"/>
                <w:lang w:eastAsia="hr-HR"/>
              </w:rPr>
            </w:pPr>
          </w:p>
        </w:tc>
        <w:tc>
          <w:tcPr>
            <w:tcW w:w="269" w:type="dxa"/>
            <w:tcBorders>
              <w:top w:val="nil"/>
              <w:left w:val="nil"/>
              <w:right w:val="nil"/>
            </w:tcBorders>
            <w:shd w:val="clear" w:color="auto" w:fill="auto"/>
            <w:noWrap/>
            <w:vAlign w:val="bottom"/>
            <w:hideMark/>
          </w:tcPr>
          <w:p w14:paraId="553FCAA8" w14:textId="77777777" w:rsidR="004B66DB" w:rsidRPr="00091BF3" w:rsidRDefault="004B66DB" w:rsidP="00484918">
            <w:pPr>
              <w:spacing w:after="0" w:line="240" w:lineRule="auto"/>
              <w:rPr>
                <w:rFonts w:ascii="Times New Roman" w:hAnsi="Times New Roman" w:cs="Times New Roman"/>
                <w:lang w:eastAsia="hr-HR"/>
              </w:rPr>
            </w:pPr>
          </w:p>
        </w:tc>
        <w:tc>
          <w:tcPr>
            <w:tcW w:w="1858" w:type="dxa"/>
            <w:tcBorders>
              <w:top w:val="nil"/>
              <w:left w:val="nil"/>
              <w:right w:val="nil"/>
            </w:tcBorders>
            <w:shd w:val="clear" w:color="auto" w:fill="auto"/>
            <w:noWrap/>
            <w:vAlign w:val="bottom"/>
            <w:hideMark/>
          </w:tcPr>
          <w:p w14:paraId="0B4E63C7" w14:textId="123B4794" w:rsidR="004B66DB" w:rsidRPr="00091BF3" w:rsidRDefault="008017DF" w:rsidP="00484918">
            <w:pPr>
              <w:spacing w:after="0" w:line="240" w:lineRule="auto"/>
              <w:jc w:val="right"/>
              <w:rPr>
                <w:rFonts w:ascii="Times New Roman" w:hAnsi="Times New Roman" w:cs="Times New Roman"/>
                <w:lang w:eastAsia="hr-HR"/>
              </w:rPr>
            </w:pPr>
            <w:r>
              <w:rPr>
                <w:rFonts w:ascii="Times New Roman" w:hAnsi="Times New Roman" w:cs="Times New Roman"/>
                <w:lang w:eastAsia="hr-HR"/>
              </w:rPr>
              <w:t>318.99</w:t>
            </w:r>
            <w:r w:rsidR="00B96292">
              <w:rPr>
                <w:rFonts w:ascii="Times New Roman" w:hAnsi="Times New Roman" w:cs="Times New Roman"/>
                <w:lang w:eastAsia="hr-HR"/>
              </w:rPr>
              <w:t>3,23</w:t>
            </w:r>
          </w:p>
        </w:tc>
      </w:tr>
      <w:tr w:rsidR="004B66DB" w:rsidRPr="000B24D5" w14:paraId="3011A9EE" w14:textId="77777777" w:rsidTr="00F65BC7">
        <w:trPr>
          <w:gridAfter w:val="1"/>
          <w:wAfter w:w="66" w:type="dxa"/>
          <w:trHeight w:val="420"/>
        </w:trPr>
        <w:tc>
          <w:tcPr>
            <w:tcW w:w="5459" w:type="dxa"/>
            <w:gridSpan w:val="3"/>
            <w:tcBorders>
              <w:top w:val="nil"/>
              <w:left w:val="nil"/>
              <w:bottom w:val="single" w:sz="4" w:space="0" w:color="auto"/>
              <w:right w:val="nil"/>
            </w:tcBorders>
            <w:shd w:val="clear" w:color="auto" w:fill="FFFFFF" w:themeFill="background1"/>
            <w:noWrap/>
            <w:vAlign w:val="bottom"/>
            <w:hideMark/>
          </w:tcPr>
          <w:p w14:paraId="687E6665" w14:textId="77777777" w:rsidR="004B66DB" w:rsidRPr="00073BD4" w:rsidRDefault="004B66DB" w:rsidP="00484918">
            <w:pPr>
              <w:spacing w:after="0" w:line="240" w:lineRule="auto"/>
              <w:rPr>
                <w:rFonts w:ascii="Times New Roman" w:hAnsi="Times New Roman" w:cs="Times New Roman"/>
                <w:b/>
                <w:bCs/>
                <w:i/>
                <w:lang w:eastAsia="hr-HR"/>
              </w:rPr>
            </w:pPr>
            <w:r w:rsidRPr="00073BD4">
              <w:rPr>
                <w:rFonts w:ascii="Times New Roman" w:hAnsi="Times New Roman" w:cs="Times New Roman"/>
                <w:b/>
                <w:bCs/>
                <w:i/>
                <w:lang w:eastAsia="hr-HR"/>
              </w:rPr>
              <w:t>Potraživanja za prihode poslovanja (bruto):</w:t>
            </w:r>
          </w:p>
        </w:tc>
        <w:tc>
          <w:tcPr>
            <w:tcW w:w="862" w:type="dxa"/>
            <w:tcBorders>
              <w:top w:val="nil"/>
              <w:left w:val="nil"/>
              <w:bottom w:val="single" w:sz="4" w:space="0" w:color="auto"/>
              <w:right w:val="nil"/>
            </w:tcBorders>
            <w:shd w:val="clear" w:color="auto" w:fill="FFFFFF" w:themeFill="background1"/>
            <w:noWrap/>
            <w:vAlign w:val="bottom"/>
            <w:hideMark/>
          </w:tcPr>
          <w:p w14:paraId="542B322B" w14:textId="77777777" w:rsidR="004B66DB" w:rsidRPr="00091BF3" w:rsidRDefault="004B66DB" w:rsidP="00484918">
            <w:pPr>
              <w:spacing w:after="0" w:line="240" w:lineRule="auto"/>
              <w:rPr>
                <w:rFonts w:ascii="Times New Roman" w:hAnsi="Times New Roman" w:cs="Times New Roman"/>
                <w:b/>
                <w:lang w:eastAsia="hr-HR"/>
              </w:rPr>
            </w:pPr>
          </w:p>
        </w:tc>
        <w:tc>
          <w:tcPr>
            <w:tcW w:w="876" w:type="dxa"/>
            <w:tcBorders>
              <w:top w:val="nil"/>
              <w:left w:val="nil"/>
              <w:bottom w:val="single" w:sz="4" w:space="0" w:color="auto"/>
              <w:right w:val="nil"/>
            </w:tcBorders>
            <w:shd w:val="clear" w:color="auto" w:fill="FFFFFF" w:themeFill="background1"/>
            <w:noWrap/>
            <w:vAlign w:val="bottom"/>
            <w:hideMark/>
          </w:tcPr>
          <w:p w14:paraId="183070AB" w14:textId="77777777" w:rsidR="004B66DB" w:rsidRPr="00091BF3" w:rsidRDefault="004B66DB" w:rsidP="00484918">
            <w:pPr>
              <w:spacing w:after="0" w:line="240" w:lineRule="auto"/>
              <w:rPr>
                <w:rFonts w:ascii="Times New Roman" w:hAnsi="Times New Roman" w:cs="Times New Roman"/>
                <w:b/>
                <w:lang w:eastAsia="hr-HR"/>
              </w:rPr>
            </w:pPr>
          </w:p>
        </w:tc>
        <w:tc>
          <w:tcPr>
            <w:tcW w:w="269" w:type="dxa"/>
            <w:tcBorders>
              <w:top w:val="nil"/>
              <w:left w:val="nil"/>
              <w:bottom w:val="single" w:sz="4" w:space="0" w:color="auto"/>
              <w:right w:val="nil"/>
            </w:tcBorders>
            <w:shd w:val="clear" w:color="auto" w:fill="FFFFFF" w:themeFill="background1"/>
            <w:noWrap/>
            <w:vAlign w:val="bottom"/>
            <w:hideMark/>
          </w:tcPr>
          <w:p w14:paraId="155F09D2" w14:textId="77777777" w:rsidR="004B66DB" w:rsidRPr="00091BF3" w:rsidRDefault="004B66DB" w:rsidP="00484918">
            <w:pPr>
              <w:spacing w:after="0" w:line="240" w:lineRule="auto"/>
              <w:rPr>
                <w:rFonts w:ascii="Times New Roman" w:hAnsi="Times New Roman" w:cs="Times New Roman"/>
                <w:b/>
                <w:lang w:eastAsia="hr-HR"/>
              </w:rPr>
            </w:pPr>
          </w:p>
        </w:tc>
        <w:tc>
          <w:tcPr>
            <w:tcW w:w="1858" w:type="dxa"/>
            <w:tcBorders>
              <w:top w:val="nil"/>
              <w:left w:val="nil"/>
              <w:bottom w:val="single" w:sz="4" w:space="0" w:color="auto"/>
              <w:right w:val="nil"/>
            </w:tcBorders>
            <w:shd w:val="clear" w:color="auto" w:fill="FFFFFF" w:themeFill="background1"/>
            <w:noWrap/>
            <w:vAlign w:val="bottom"/>
            <w:hideMark/>
          </w:tcPr>
          <w:p w14:paraId="7A086B84" w14:textId="7C4D40ED" w:rsidR="004B66DB" w:rsidRPr="00F30809" w:rsidRDefault="00B96292" w:rsidP="00484918">
            <w:pPr>
              <w:spacing w:after="0" w:line="240" w:lineRule="auto"/>
              <w:jc w:val="right"/>
              <w:rPr>
                <w:rFonts w:ascii="Times New Roman" w:hAnsi="Times New Roman" w:cs="Times New Roman"/>
                <w:b/>
                <w:i/>
                <w:iCs/>
                <w:lang w:eastAsia="hr-HR"/>
              </w:rPr>
            </w:pPr>
            <w:r>
              <w:rPr>
                <w:rFonts w:ascii="Times New Roman" w:hAnsi="Times New Roman" w:cs="Times New Roman"/>
                <w:b/>
                <w:i/>
                <w:iCs/>
                <w:lang w:eastAsia="hr-HR"/>
              </w:rPr>
              <w:t>568.524,89</w:t>
            </w:r>
          </w:p>
        </w:tc>
      </w:tr>
      <w:tr w:rsidR="004B66DB" w:rsidRPr="00091BF3" w14:paraId="0883DB1B" w14:textId="77777777" w:rsidTr="00F65BC7">
        <w:trPr>
          <w:gridAfter w:val="1"/>
          <w:wAfter w:w="66" w:type="dxa"/>
          <w:trHeight w:val="300"/>
        </w:trPr>
        <w:tc>
          <w:tcPr>
            <w:tcW w:w="2214" w:type="dxa"/>
            <w:tcBorders>
              <w:top w:val="single" w:sz="4" w:space="0" w:color="auto"/>
              <w:left w:val="nil"/>
              <w:bottom w:val="nil"/>
              <w:right w:val="nil"/>
            </w:tcBorders>
            <w:shd w:val="clear" w:color="auto" w:fill="auto"/>
            <w:noWrap/>
            <w:vAlign w:val="bottom"/>
            <w:hideMark/>
          </w:tcPr>
          <w:p w14:paraId="30B0D66B" w14:textId="77777777" w:rsidR="004B66DB" w:rsidRPr="00091BF3" w:rsidRDefault="004B66DB" w:rsidP="00484918">
            <w:pPr>
              <w:spacing w:after="0" w:line="240" w:lineRule="auto"/>
              <w:rPr>
                <w:rFonts w:ascii="Times New Roman" w:hAnsi="Times New Roman" w:cs="Times New Roman"/>
                <w:lang w:eastAsia="hr-HR"/>
              </w:rPr>
            </w:pPr>
            <w:r w:rsidRPr="00091BF3">
              <w:rPr>
                <w:rFonts w:ascii="Times New Roman" w:hAnsi="Times New Roman" w:cs="Times New Roman"/>
                <w:lang w:eastAsia="hr-HR"/>
              </w:rPr>
              <w:t>za gradske poreze</w:t>
            </w:r>
          </w:p>
        </w:tc>
        <w:tc>
          <w:tcPr>
            <w:tcW w:w="1581" w:type="dxa"/>
            <w:tcBorders>
              <w:top w:val="single" w:sz="4" w:space="0" w:color="auto"/>
              <w:left w:val="nil"/>
              <w:bottom w:val="nil"/>
              <w:right w:val="nil"/>
            </w:tcBorders>
            <w:shd w:val="clear" w:color="auto" w:fill="auto"/>
            <w:noWrap/>
            <w:vAlign w:val="bottom"/>
            <w:hideMark/>
          </w:tcPr>
          <w:p w14:paraId="0B1EA13D" w14:textId="77777777" w:rsidR="004B66DB" w:rsidRPr="00091BF3" w:rsidRDefault="004B66DB" w:rsidP="00484918">
            <w:pPr>
              <w:spacing w:after="0" w:line="240" w:lineRule="auto"/>
              <w:rPr>
                <w:rFonts w:ascii="Times New Roman" w:hAnsi="Times New Roman" w:cs="Times New Roman"/>
                <w:lang w:eastAsia="hr-HR"/>
              </w:rPr>
            </w:pPr>
          </w:p>
        </w:tc>
        <w:tc>
          <w:tcPr>
            <w:tcW w:w="1664" w:type="dxa"/>
            <w:tcBorders>
              <w:top w:val="single" w:sz="4" w:space="0" w:color="auto"/>
              <w:left w:val="nil"/>
              <w:bottom w:val="nil"/>
              <w:right w:val="nil"/>
            </w:tcBorders>
            <w:shd w:val="clear" w:color="auto" w:fill="auto"/>
            <w:noWrap/>
            <w:vAlign w:val="bottom"/>
            <w:hideMark/>
          </w:tcPr>
          <w:p w14:paraId="311C56E3" w14:textId="77777777" w:rsidR="004B66DB" w:rsidRPr="00091BF3" w:rsidRDefault="004B66DB" w:rsidP="00484918">
            <w:pPr>
              <w:spacing w:after="0" w:line="240" w:lineRule="auto"/>
              <w:rPr>
                <w:rFonts w:ascii="Times New Roman" w:hAnsi="Times New Roman" w:cs="Times New Roman"/>
                <w:lang w:eastAsia="hr-HR"/>
              </w:rPr>
            </w:pPr>
          </w:p>
        </w:tc>
        <w:tc>
          <w:tcPr>
            <w:tcW w:w="862" w:type="dxa"/>
            <w:tcBorders>
              <w:top w:val="single" w:sz="4" w:space="0" w:color="auto"/>
              <w:left w:val="nil"/>
              <w:bottom w:val="nil"/>
              <w:right w:val="nil"/>
            </w:tcBorders>
            <w:shd w:val="clear" w:color="auto" w:fill="auto"/>
            <w:noWrap/>
            <w:vAlign w:val="bottom"/>
            <w:hideMark/>
          </w:tcPr>
          <w:p w14:paraId="273DFF02" w14:textId="77777777" w:rsidR="004B66DB" w:rsidRPr="00091BF3" w:rsidRDefault="004B66DB" w:rsidP="00484918">
            <w:pPr>
              <w:spacing w:after="0" w:line="240" w:lineRule="auto"/>
              <w:rPr>
                <w:rFonts w:ascii="Times New Roman" w:hAnsi="Times New Roman" w:cs="Times New Roman"/>
                <w:lang w:eastAsia="hr-HR"/>
              </w:rPr>
            </w:pPr>
          </w:p>
        </w:tc>
        <w:tc>
          <w:tcPr>
            <w:tcW w:w="876" w:type="dxa"/>
            <w:tcBorders>
              <w:top w:val="single" w:sz="4" w:space="0" w:color="auto"/>
              <w:left w:val="nil"/>
              <w:bottom w:val="nil"/>
              <w:right w:val="nil"/>
            </w:tcBorders>
            <w:shd w:val="clear" w:color="auto" w:fill="auto"/>
            <w:noWrap/>
            <w:vAlign w:val="bottom"/>
            <w:hideMark/>
          </w:tcPr>
          <w:p w14:paraId="106CC094" w14:textId="77777777" w:rsidR="004B66DB" w:rsidRPr="00091BF3" w:rsidRDefault="004B66DB" w:rsidP="00484918">
            <w:pPr>
              <w:spacing w:after="0" w:line="240" w:lineRule="auto"/>
              <w:rPr>
                <w:rFonts w:ascii="Times New Roman" w:hAnsi="Times New Roman" w:cs="Times New Roman"/>
                <w:lang w:eastAsia="hr-HR"/>
              </w:rPr>
            </w:pPr>
          </w:p>
        </w:tc>
        <w:tc>
          <w:tcPr>
            <w:tcW w:w="269" w:type="dxa"/>
            <w:tcBorders>
              <w:top w:val="single" w:sz="4" w:space="0" w:color="auto"/>
              <w:left w:val="nil"/>
              <w:bottom w:val="nil"/>
              <w:right w:val="nil"/>
            </w:tcBorders>
            <w:shd w:val="clear" w:color="auto" w:fill="auto"/>
            <w:noWrap/>
            <w:vAlign w:val="bottom"/>
            <w:hideMark/>
          </w:tcPr>
          <w:p w14:paraId="3724A0DE" w14:textId="77777777" w:rsidR="004B66DB" w:rsidRPr="00091BF3" w:rsidRDefault="004B66DB" w:rsidP="00484918">
            <w:pPr>
              <w:spacing w:after="0" w:line="240" w:lineRule="auto"/>
              <w:rPr>
                <w:rFonts w:ascii="Times New Roman" w:hAnsi="Times New Roman" w:cs="Times New Roman"/>
                <w:lang w:eastAsia="hr-HR"/>
              </w:rPr>
            </w:pPr>
          </w:p>
        </w:tc>
        <w:tc>
          <w:tcPr>
            <w:tcW w:w="1858" w:type="dxa"/>
            <w:tcBorders>
              <w:top w:val="single" w:sz="4" w:space="0" w:color="auto"/>
              <w:left w:val="nil"/>
              <w:bottom w:val="nil"/>
              <w:right w:val="nil"/>
            </w:tcBorders>
            <w:shd w:val="clear" w:color="auto" w:fill="auto"/>
            <w:noWrap/>
            <w:vAlign w:val="bottom"/>
            <w:hideMark/>
          </w:tcPr>
          <w:p w14:paraId="133C39D8" w14:textId="1324CB3F" w:rsidR="004B66DB" w:rsidRPr="00091BF3" w:rsidRDefault="00B34E27" w:rsidP="00484918">
            <w:pPr>
              <w:spacing w:after="0" w:line="240" w:lineRule="auto"/>
              <w:jc w:val="right"/>
              <w:rPr>
                <w:rFonts w:ascii="Times New Roman" w:hAnsi="Times New Roman" w:cs="Times New Roman"/>
                <w:lang w:eastAsia="hr-HR"/>
              </w:rPr>
            </w:pPr>
            <w:r>
              <w:rPr>
                <w:rFonts w:ascii="Times New Roman" w:hAnsi="Times New Roman" w:cs="Times New Roman"/>
                <w:lang w:eastAsia="hr-HR"/>
              </w:rPr>
              <w:t>16.380,99</w:t>
            </w:r>
          </w:p>
        </w:tc>
      </w:tr>
      <w:tr w:rsidR="004B66DB" w:rsidRPr="00091BF3" w14:paraId="1ADDFF6E" w14:textId="77777777" w:rsidTr="00F65BC7">
        <w:trPr>
          <w:gridAfter w:val="1"/>
          <w:wAfter w:w="66" w:type="dxa"/>
          <w:trHeight w:val="300"/>
        </w:trPr>
        <w:tc>
          <w:tcPr>
            <w:tcW w:w="5459" w:type="dxa"/>
            <w:gridSpan w:val="3"/>
            <w:tcBorders>
              <w:top w:val="nil"/>
              <w:left w:val="nil"/>
              <w:bottom w:val="nil"/>
              <w:right w:val="nil"/>
            </w:tcBorders>
            <w:shd w:val="clear" w:color="auto" w:fill="auto"/>
            <w:noWrap/>
            <w:vAlign w:val="bottom"/>
          </w:tcPr>
          <w:p w14:paraId="457940CC" w14:textId="77777777" w:rsidR="004B66DB" w:rsidRPr="00091BF3" w:rsidRDefault="004B66DB" w:rsidP="00484918">
            <w:pPr>
              <w:spacing w:after="0" w:line="240" w:lineRule="auto"/>
              <w:rPr>
                <w:rFonts w:ascii="Times New Roman" w:hAnsi="Times New Roman" w:cs="Times New Roman"/>
                <w:lang w:eastAsia="hr-HR"/>
              </w:rPr>
            </w:pPr>
            <w:r>
              <w:rPr>
                <w:rFonts w:ascii="Times New Roman" w:hAnsi="Times New Roman" w:cs="Times New Roman"/>
                <w:lang w:eastAsia="hr-HR"/>
              </w:rPr>
              <w:t>Potraživanja iz općinskih proračuna</w:t>
            </w:r>
          </w:p>
        </w:tc>
        <w:tc>
          <w:tcPr>
            <w:tcW w:w="862" w:type="dxa"/>
            <w:tcBorders>
              <w:top w:val="nil"/>
              <w:left w:val="nil"/>
              <w:bottom w:val="nil"/>
              <w:right w:val="nil"/>
            </w:tcBorders>
            <w:shd w:val="clear" w:color="auto" w:fill="auto"/>
            <w:noWrap/>
            <w:vAlign w:val="bottom"/>
          </w:tcPr>
          <w:p w14:paraId="57B7AF78" w14:textId="77777777" w:rsidR="004B66DB" w:rsidRPr="00091BF3" w:rsidRDefault="004B66DB" w:rsidP="00484918">
            <w:pPr>
              <w:spacing w:after="0" w:line="240" w:lineRule="auto"/>
              <w:rPr>
                <w:rFonts w:ascii="Times New Roman" w:hAnsi="Times New Roman" w:cs="Times New Roman"/>
                <w:lang w:eastAsia="hr-HR"/>
              </w:rPr>
            </w:pPr>
          </w:p>
        </w:tc>
        <w:tc>
          <w:tcPr>
            <w:tcW w:w="876" w:type="dxa"/>
            <w:tcBorders>
              <w:top w:val="nil"/>
              <w:left w:val="nil"/>
              <w:bottom w:val="nil"/>
              <w:right w:val="nil"/>
            </w:tcBorders>
            <w:shd w:val="clear" w:color="auto" w:fill="auto"/>
            <w:noWrap/>
            <w:vAlign w:val="bottom"/>
          </w:tcPr>
          <w:p w14:paraId="3CD374DF" w14:textId="77777777" w:rsidR="004B66DB" w:rsidRPr="00091BF3" w:rsidRDefault="004B66DB" w:rsidP="00484918">
            <w:pPr>
              <w:spacing w:after="0" w:line="240" w:lineRule="auto"/>
              <w:rPr>
                <w:rFonts w:ascii="Times New Roman" w:hAnsi="Times New Roman" w:cs="Times New Roman"/>
                <w:lang w:eastAsia="hr-HR"/>
              </w:rPr>
            </w:pPr>
          </w:p>
        </w:tc>
        <w:tc>
          <w:tcPr>
            <w:tcW w:w="269" w:type="dxa"/>
            <w:tcBorders>
              <w:top w:val="nil"/>
              <w:left w:val="nil"/>
              <w:bottom w:val="nil"/>
              <w:right w:val="nil"/>
            </w:tcBorders>
            <w:shd w:val="clear" w:color="auto" w:fill="auto"/>
            <w:noWrap/>
            <w:vAlign w:val="bottom"/>
          </w:tcPr>
          <w:p w14:paraId="17376688" w14:textId="77777777" w:rsidR="004B66DB" w:rsidRPr="00091BF3" w:rsidRDefault="004B66DB" w:rsidP="00484918">
            <w:pPr>
              <w:spacing w:after="0" w:line="240" w:lineRule="auto"/>
              <w:rPr>
                <w:rFonts w:ascii="Times New Roman" w:hAnsi="Times New Roman" w:cs="Times New Roman"/>
                <w:lang w:eastAsia="hr-HR"/>
              </w:rPr>
            </w:pPr>
          </w:p>
        </w:tc>
        <w:tc>
          <w:tcPr>
            <w:tcW w:w="1858" w:type="dxa"/>
            <w:tcBorders>
              <w:top w:val="nil"/>
              <w:left w:val="nil"/>
              <w:bottom w:val="nil"/>
              <w:right w:val="nil"/>
            </w:tcBorders>
            <w:shd w:val="clear" w:color="auto" w:fill="auto"/>
            <w:noWrap/>
            <w:vAlign w:val="bottom"/>
          </w:tcPr>
          <w:p w14:paraId="436528E0" w14:textId="4299A028" w:rsidR="004B66DB" w:rsidRDefault="00852CD5" w:rsidP="00484918">
            <w:pPr>
              <w:spacing w:after="0" w:line="240" w:lineRule="auto"/>
              <w:jc w:val="right"/>
              <w:rPr>
                <w:rFonts w:ascii="Times New Roman" w:hAnsi="Times New Roman" w:cs="Times New Roman"/>
                <w:lang w:eastAsia="hr-HR"/>
              </w:rPr>
            </w:pPr>
            <w:r>
              <w:rPr>
                <w:rFonts w:ascii="Times New Roman" w:hAnsi="Times New Roman" w:cs="Times New Roman"/>
                <w:lang w:eastAsia="hr-HR"/>
              </w:rPr>
              <w:t>2</w:t>
            </w:r>
            <w:r w:rsidR="00B96292">
              <w:rPr>
                <w:rFonts w:ascii="Times New Roman" w:hAnsi="Times New Roman" w:cs="Times New Roman"/>
                <w:lang w:eastAsia="hr-HR"/>
              </w:rPr>
              <w:t>.851,78</w:t>
            </w:r>
          </w:p>
        </w:tc>
      </w:tr>
      <w:tr w:rsidR="004B66DB" w:rsidRPr="00091BF3" w14:paraId="2EE5D1CB" w14:textId="77777777" w:rsidTr="00F65BC7">
        <w:trPr>
          <w:gridAfter w:val="1"/>
          <w:wAfter w:w="66" w:type="dxa"/>
          <w:trHeight w:val="300"/>
        </w:trPr>
        <w:tc>
          <w:tcPr>
            <w:tcW w:w="5459" w:type="dxa"/>
            <w:gridSpan w:val="3"/>
            <w:tcBorders>
              <w:top w:val="nil"/>
              <w:left w:val="nil"/>
              <w:bottom w:val="nil"/>
              <w:right w:val="nil"/>
            </w:tcBorders>
            <w:shd w:val="clear" w:color="auto" w:fill="auto"/>
            <w:noWrap/>
            <w:vAlign w:val="bottom"/>
          </w:tcPr>
          <w:p w14:paraId="519CE192" w14:textId="77777777" w:rsidR="004B66DB" w:rsidRPr="00091BF3" w:rsidRDefault="004B66DB" w:rsidP="00484918">
            <w:pPr>
              <w:spacing w:after="0" w:line="240" w:lineRule="auto"/>
              <w:rPr>
                <w:rFonts w:ascii="Times New Roman" w:hAnsi="Times New Roman" w:cs="Times New Roman"/>
                <w:lang w:eastAsia="hr-HR"/>
              </w:rPr>
            </w:pPr>
            <w:r>
              <w:rPr>
                <w:rFonts w:ascii="Times New Roman" w:hAnsi="Times New Roman" w:cs="Times New Roman"/>
                <w:lang w:eastAsia="hr-HR"/>
              </w:rPr>
              <w:t>pomoći za decentralizirane funkcije vatrogastvo</w:t>
            </w:r>
          </w:p>
        </w:tc>
        <w:tc>
          <w:tcPr>
            <w:tcW w:w="862" w:type="dxa"/>
            <w:tcBorders>
              <w:top w:val="nil"/>
              <w:left w:val="nil"/>
              <w:bottom w:val="nil"/>
              <w:right w:val="nil"/>
            </w:tcBorders>
            <w:shd w:val="clear" w:color="auto" w:fill="auto"/>
            <w:noWrap/>
            <w:vAlign w:val="bottom"/>
          </w:tcPr>
          <w:p w14:paraId="0A868A3D" w14:textId="77777777" w:rsidR="004B66DB" w:rsidRPr="00091BF3" w:rsidRDefault="004B66DB" w:rsidP="00484918">
            <w:pPr>
              <w:spacing w:after="0" w:line="240" w:lineRule="auto"/>
              <w:rPr>
                <w:rFonts w:ascii="Times New Roman" w:hAnsi="Times New Roman" w:cs="Times New Roman"/>
                <w:lang w:eastAsia="hr-HR"/>
              </w:rPr>
            </w:pPr>
          </w:p>
        </w:tc>
        <w:tc>
          <w:tcPr>
            <w:tcW w:w="876" w:type="dxa"/>
            <w:tcBorders>
              <w:top w:val="nil"/>
              <w:left w:val="nil"/>
              <w:bottom w:val="nil"/>
              <w:right w:val="nil"/>
            </w:tcBorders>
            <w:shd w:val="clear" w:color="auto" w:fill="auto"/>
            <w:noWrap/>
            <w:vAlign w:val="bottom"/>
          </w:tcPr>
          <w:p w14:paraId="667204B9" w14:textId="77777777" w:rsidR="004B66DB" w:rsidRPr="00091BF3" w:rsidRDefault="004B66DB" w:rsidP="00484918">
            <w:pPr>
              <w:spacing w:after="0" w:line="240" w:lineRule="auto"/>
              <w:rPr>
                <w:rFonts w:ascii="Times New Roman" w:hAnsi="Times New Roman" w:cs="Times New Roman"/>
                <w:lang w:eastAsia="hr-HR"/>
              </w:rPr>
            </w:pPr>
          </w:p>
        </w:tc>
        <w:tc>
          <w:tcPr>
            <w:tcW w:w="269" w:type="dxa"/>
            <w:tcBorders>
              <w:top w:val="nil"/>
              <w:left w:val="nil"/>
              <w:bottom w:val="nil"/>
              <w:right w:val="nil"/>
            </w:tcBorders>
            <w:shd w:val="clear" w:color="auto" w:fill="auto"/>
            <w:noWrap/>
            <w:vAlign w:val="bottom"/>
          </w:tcPr>
          <w:p w14:paraId="3F2C20BF" w14:textId="77777777" w:rsidR="004B66DB" w:rsidRPr="00091BF3" w:rsidRDefault="004B66DB" w:rsidP="00484918">
            <w:pPr>
              <w:spacing w:after="0" w:line="240" w:lineRule="auto"/>
              <w:rPr>
                <w:rFonts w:ascii="Times New Roman" w:hAnsi="Times New Roman" w:cs="Times New Roman"/>
                <w:lang w:eastAsia="hr-HR"/>
              </w:rPr>
            </w:pPr>
          </w:p>
        </w:tc>
        <w:tc>
          <w:tcPr>
            <w:tcW w:w="1858" w:type="dxa"/>
            <w:tcBorders>
              <w:top w:val="nil"/>
              <w:left w:val="nil"/>
              <w:bottom w:val="nil"/>
              <w:right w:val="nil"/>
            </w:tcBorders>
            <w:shd w:val="clear" w:color="auto" w:fill="auto"/>
            <w:noWrap/>
            <w:vAlign w:val="bottom"/>
          </w:tcPr>
          <w:p w14:paraId="1AF11CAD" w14:textId="0A9FC568" w:rsidR="004B66DB" w:rsidRDefault="00B96292" w:rsidP="00484918">
            <w:pPr>
              <w:spacing w:after="0" w:line="240" w:lineRule="auto"/>
              <w:jc w:val="right"/>
              <w:rPr>
                <w:rFonts w:ascii="Times New Roman" w:hAnsi="Times New Roman" w:cs="Times New Roman"/>
                <w:lang w:eastAsia="hr-HR"/>
              </w:rPr>
            </w:pPr>
            <w:r>
              <w:rPr>
                <w:rFonts w:ascii="Times New Roman" w:hAnsi="Times New Roman" w:cs="Times New Roman"/>
                <w:lang w:eastAsia="hr-HR"/>
              </w:rPr>
              <w:t>581,30</w:t>
            </w:r>
          </w:p>
        </w:tc>
      </w:tr>
      <w:tr w:rsidR="00B34E27" w:rsidRPr="00091BF3" w14:paraId="77920E5D" w14:textId="77777777" w:rsidTr="00F65BC7">
        <w:trPr>
          <w:gridAfter w:val="1"/>
          <w:wAfter w:w="66" w:type="dxa"/>
          <w:trHeight w:val="300"/>
        </w:trPr>
        <w:tc>
          <w:tcPr>
            <w:tcW w:w="7466" w:type="dxa"/>
            <w:gridSpan w:val="6"/>
            <w:tcBorders>
              <w:top w:val="nil"/>
              <w:left w:val="nil"/>
              <w:bottom w:val="nil"/>
              <w:right w:val="nil"/>
            </w:tcBorders>
            <w:shd w:val="clear" w:color="auto" w:fill="auto"/>
            <w:noWrap/>
            <w:vAlign w:val="bottom"/>
          </w:tcPr>
          <w:p w14:paraId="25B0644C" w14:textId="1076FE20" w:rsidR="00B34E27" w:rsidRPr="00091BF3" w:rsidRDefault="00B34E27" w:rsidP="00484918">
            <w:pPr>
              <w:spacing w:after="0" w:line="240" w:lineRule="auto"/>
              <w:rPr>
                <w:rFonts w:ascii="Times New Roman" w:hAnsi="Times New Roman" w:cs="Times New Roman"/>
                <w:lang w:eastAsia="hr-HR"/>
              </w:rPr>
            </w:pPr>
            <w:r>
              <w:rPr>
                <w:rFonts w:ascii="Times New Roman" w:hAnsi="Times New Roman" w:cs="Times New Roman"/>
                <w:lang w:eastAsia="hr-HR"/>
              </w:rPr>
              <w:t>Potraživanje iz Državnog proračuna temeljem prijenosa EU sredstava</w:t>
            </w:r>
          </w:p>
        </w:tc>
        <w:tc>
          <w:tcPr>
            <w:tcW w:w="1858" w:type="dxa"/>
            <w:tcBorders>
              <w:top w:val="nil"/>
              <w:left w:val="nil"/>
              <w:bottom w:val="nil"/>
              <w:right w:val="nil"/>
            </w:tcBorders>
            <w:shd w:val="clear" w:color="auto" w:fill="auto"/>
            <w:noWrap/>
            <w:vAlign w:val="bottom"/>
          </w:tcPr>
          <w:p w14:paraId="7B0485E8" w14:textId="6B7062D5" w:rsidR="00B34E27" w:rsidRDefault="00B34E27" w:rsidP="00484918">
            <w:pPr>
              <w:spacing w:after="0" w:line="240" w:lineRule="auto"/>
              <w:jc w:val="right"/>
              <w:rPr>
                <w:rFonts w:ascii="Times New Roman" w:hAnsi="Times New Roman" w:cs="Times New Roman"/>
                <w:lang w:eastAsia="hr-HR"/>
              </w:rPr>
            </w:pPr>
            <w:r>
              <w:rPr>
                <w:rFonts w:ascii="Times New Roman" w:hAnsi="Times New Roman" w:cs="Times New Roman"/>
                <w:lang w:eastAsia="hr-HR"/>
              </w:rPr>
              <w:t>754,27</w:t>
            </w:r>
          </w:p>
        </w:tc>
      </w:tr>
      <w:tr w:rsidR="004B66DB" w:rsidRPr="00091BF3" w14:paraId="78CFDC99" w14:textId="77777777" w:rsidTr="00F65BC7">
        <w:trPr>
          <w:gridAfter w:val="1"/>
          <w:wAfter w:w="66" w:type="dxa"/>
          <w:trHeight w:val="255"/>
        </w:trPr>
        <w:tc>
          <w:tcPr>
            <w:tcW w:w="3795" w:type="dxa"/>
            <w:gridSpan w:val="2"/>
            <w:tcBorders>
              <w:top w:val="nil"/>
              <w:left w:val="nil"/>
              <w:bottom w:val="nil"/>
              <w:right w:val="nil"/>
            </w:tcBorders>
            <w:shd w:val="clear" w:color="auto" w:fill="auto"/>
            <w:noWrap/>
            <w:vAlign w:val="bottom"/>
            <w:hideMark/>
          </w:tcPr>
          <w:p w14:paraId="41AE3462" w14:textId="77777777" w:rsidR="004B66DB" w:rsidRPr="00091BF3" w:rsidRDefault="004B66DB" w:rsidP="00484918">
            <w:pPr>
              <w:spacing w:after="0" w:line="240" w:lineRule="auto"/>
              <w:rPr>
                <w:rFonts w:ascii="Times New Roman" w:hAnsi="Times New Roman" w:cs="Times New Roman"/>
                <w:lang w:eastAsia="hr-HR"/>
              </w:rPr>
            </w:pPr>
            <w:r w:rsidRPr="00091BF3">
              <w:rPr>
                <w:rFonts w:ascii="Times New Roman" w:hAnsi="Times New Roman" w:cs="Times New Roman"/>
                <w:lang w:eastAsia="hr-HR"/>
              </w:rPr>
              <w:t>potraživanja za kamate</w:t>
            </w:r>
          </w:p>
        </w:tc>
        <w:tc>
          <w:tcPr>
            <w:tcW w:w="1664" w:type="dxa"/>
            <w:tcBorders>
              <w:top w:val="nil"/>
              <w:left w:val="nil"/>
              <w:bottom w:val="nil"/>
              <w:right w:val="nil"/>
            </w:tcBorders>
            <w:shd w:val="clear" w:color="auto" w:fill="auto"/>
            <w:noWrap/>
            <w:vAlign w:val="bottom"/>
            <w:hideMark/>
          </w:tcPr>
          <w:p w14:paraId="531C730F" w14:textId="77777777" w:rsidR="004B66DB" w:rsidRPr="00091BF3" w:rsidRDefault="004B66DB" w:rsidP="00484918">
            <w:pPr>
              <w:spacing w:after="0" w:line="240" w:lineRule="auto"/>
              <w:rPr>
                <w:rFonts w:ascii="Times New Roman" w:hAnsi="Times New Roman" w:cs="Times New Roman"/>
                <w:lang w:eastAsia="hr-HR"/>
              </w:rPr>
            </w:pPr>
          </w:p>
        </w:tc>
        <w:tc>
          <w:tcPr>
            <w:tcW w:w="862" w:type="dxa"/>
            <w:tcBorders>
              <w:top w:val="nil"/>
              <w:left w:val="nil"/>
              <w:bottom w:val="nil"/>
              <w:right w:val="nil"/>
            </w:tcBorders>
            <w:shd w:val="clear" w:color="auto" w:fill="auto"/>
            <w:noWrap/>
            <w:vAlign w:val="bottom"/>
            <w:hideMark/>
          </w:tcPr>
          <w:p w14:paraId="0576F007" w14:textId="77777777" w:rsidR="004B66DB" w:rsidRPr="00091BF3" w:rsidRDefault="004B66DB" w:rsidP="00484918">
            <w:pPr>
              <w:spacing w:after="0" w:line="240" w:lineRule="auto"/>
              <w:rPr>
                <w:rFonts w:ascii="Times New Roman" w:hAnsi="Times New Roman" w:cs="Times New Roman"/>
                <w:lang w:eastAsia="hr-HR"/>
              </w:rPr>
            </w:pPr>
          </w:p>
        </w:tc>
        <w:tc>
          <w:tcPr>
            <w:tcW w:w="876" w:type="dxa"/>
            <w:tcBorders>
              <w:top w:val="nil"/>
              <w:left w:val="nil"/>
              <w:bottom w:val="nil"/>
              <w:right w:val="nil"/>
            </w:tcBorders>
            <w:shd w:val="clear" w:color="auto" w:fill="auto"/>
            <w:noWrap/>
            <w:vAlign w:val="bottom"/>
            <w:hideMark/>
          </w:tcPr>
          <w:p w14:paraId="3EE2ED66" w14:textId="77777777" w:rsidR="004B66DB" w:rsidRPr="00091BF3" w:rsidRDefault="004B66DB" w:rsidP="00484918">
            <w:pPr>
              <w:spacing w:after="0" w:line="240" w:lineRule="auto"/>
              <w:rPr>
                <w:rFonts w:ascii="Times New Roman" w:hAnsi="Times New Roman" w:cs="Times New Roman"/>
                <w:lang w:eastAsia="hr-HR"/>
              </w:rPr>
            </w:pPr>
          </w:p>
        </w:tc>
        <w:tc>
          <w:tcPr>
            <w:tcW w:w="269" w:type="dxa"/>
            <w:tcBorders>
              <w:top w:val="nil"/>
              <w:left w:val="nil"/>
              <w:bottom w:val="nil"/>
              <w:right w:val="nil"/>
            </w:tcBorders>
            <w:shd w:val="clear" w:color="auto" w:fill="auto"/>
            <w:noWrap/>
            <w:vAlign w:val="bottom"/>
            <w:hideMark/>
          </w:tcPr>
          <w:p w14:paraId="22BA2604" w14:textId="77777777" w:rsidR="004B66DB" w:rsidRPr="00091BF3" w:rsidRDefault="004B66DB" w:rsidP="00484918">
            <w:pPr>
              <w:spacing w:after="0" w:line="240" w:lineRule="auto"/>
              <w:rPr>
                <w:rFonts w:ascii="Times New Roman" w:hAnsi="Times New Roman" w:cs="Times New Roman"/>
                <w:lang w:eastAsia="hr-HR"/>
              </w:rPr>
            </w:pPr>
          </w:p>
        </w:tc>
        <w:tc>
          <w:tcPr>
            <w:tcW w:w="1858" w:type="dxa"/>
            <w:tcBorders>
              <w:top w:val="nil"/>
              <w:left w:val="nil"/>
              <w:bottom w:val="nil"/>
              <w:right w:val="nil"/>
            </w:tcBorders>
            <w:shd w:val="clear" w:color="auto" w:fill="auto"/>
            <w:noWrap/>
            <w:vAlign w:val="bottom"/>
            <w:hideMark/>
          </w:tcPr>
          <w:p w14:paraId="5A5137A0" w14:textId="3B7B0AF7" w:rsidR="004B66DB" w:rsidRPr="00091BF3" w:rsidRDefault="00B34E27" w:rsidP="00484918">
            <w:pPr>
              <w:spacing w:after="0" w:line="240" w:lineRule="auto"/>
              <w:jc w:val="right"/>
              <w:rPr>
                <w:rFonts w:ascii="Times New Roman" w:hAnsi="Times New Roman" w:cs="Times New Roman"/>
                <w:lang w:eastAsia="hr-HR"/>
              </w:rPr>
            </w:pPr>
            <w:r>
              <w:rPr>
                <w:rFonts w:ascii="Times New Roman" w:hAnsi="Times New Roman" w:cs="Times New Roman"/>
                <w:lang w:eastAsia="hr-HR"/>
              </w:rPr>
              <w:t>17.06</w:t>
            </w:r>
            <w:r w:rsidR="00073BD4">
              <w:rPr>
                <w:rFonts w:ascii="Times New Roman" w:hAnsi="Times New Roman" w:cs="Times New Roman"/>
                <w:lang w:eastAsia="hr-HR"/>
              </w:rPr>
              <w:t>6,50</w:t>
            </w:r>
          </w:p>
        </w:tc>
      </w:tr>
      <w:tr w:rsidR="004B66DB" w:rsidRPr="00091BF3" w14:paraId="6E46B4F7" w14:textId="77777777" w:rsidTr="00F65BC7">
        <w:trPr>
          <w:gridAfter w:val="1"/>
          <w:wAfter w:w="66" w:type="dxa"/>
          <w:trHeight w:val="255"/>
        </w:trPr>
        <w:tc>
          <w:tcPr>
            <w:tcW w:w="2214" w:type="dxa"/>
            <w:tcBorders>
              <w:top w:val="nil"/>
              <w:left w:val="nil"/>
              <w:bottom w:val="nil"/>
              <w:right w:val="nil"/>
            </w:tcBorders>
            <w:shd w:val="clear" w:color="auto" w:fill="auto"/>
            <w:noWrap/>
            <w:vAlign w:val="bottom"/>
            <w:hideMark/>
          </w:tcPr>
          <w:p w14:paraId="594ED3DD" w14:textId="77777777" w:rsidR="004B66DB" w:rsidRPr="00091BF3" w:rsidRDefault="004B66DB" w:rsidP="00484918">
            <w:pPr>
              <w:spacing w:after="0" w:line="240" w:lineRule="auto"/>
              <w:rPr>
                <w:rFonts w:ascii="Times New Roman" w:hAnsi="Times New Roman" w:cs="Times New Roman"/>
                <w:lang w:eastAsia="hr-HR"/>
              </w:rPr>
            </w:pPr>
            <w:r w:rsidRPr="00091BF3">
              <w:rPr>
                <w:rFonts w:ascii="Times New Roman" w:hAnsi="Times New Roman" w:cs="Times New Roman"/>
                <w:lang w:eastAsia="hr-HR"/>
              </w:rPr>
              <w:t>za stanarine</w:t>
            </w:r>
          </w:p>
        </w:tc>
        <w:tc>
          <w:tcPr>
            <w:tcW w:w="1581" w:type="dxa"/>
            <w:tcBorders>
              <w:top w:val="nil"/>
              <w:left w:val="nil"/>
              <w:bottom w:val="nil"/>
              <w:right w:val="nil"/>
            </w:tcBorders>
            <w:shd w:val="clear" w:color="auto" w:fill="auto"/>
            <w:noWrap/>
            <w:vAlign w:val="bottom"/>
            <w:hideMark/>
          </w:tcPr>
          <w:p w14:paraId="4022AFE9" w14:textId="77777777" w:rsidR="004B66DB" w:rsidRPr="00091BF3" w:rsidRDefault="004B66DB" w:rsidP="00484918">
            <w:pPr>
              <w:spacing w:after="0" w:line="240" w:lineRule="auto"/>
              <w:rPr>
                <w:rFonts w:ascii="Times New Roman" w:hAnsi="Times New Roman" w:cs="Times New Roman"/>
                <w:lang w:eastAsia="hr-HR"/>
              </w:rPr>
            </w:pPr>
          </w:p>
        </w:tc>
        <w:tc>
          <w:tcPr>
            <w:tcW w:w="1664" w:type="dxa"/>
            <w:tcBorders>
              <w:top w:val="nil"/>
              <w:left w:val="nil"/>
              <w:bottom w:val="nil"/>
              <w:right w:val="nil"/>
            </w:tcBorders>
            <w:shd w:val="clear" w:color="auto" w:fill="auto"/>
            <w:noWrap/>
            <w:vAlign w:val="bottom"/>
            <w:hideMark/>
          </w:tcPr>
          <w:p w14:paraId="0DC34355" w14:textId="77777777" w:rsidR="004B66DB" w:rsidRPr="00091BF3" w:rsidRDefault="004B66DB" w:rsidP="00484918">
            <w:pPr>
              <w:spacing w:after="0" w:line="240" w:lineRule="auto"/>
              <w:rPr>
                <w:rFonts w:ascii="Times New Roman" w:hAnsi="Times New Roman" w:cs="Times New Roman"/>
                <w:lang w:eastAsia="hr-HR"/>
              </w:rPr>
            </w:pPr>
          </w:p>
        </w:tc>
        <w:tc>
          <w:tcPr>
            <w:tcW w:w="862" w:type="dxa"/>
            <w:tcBorders>
              <w:top w:val="nil"/>
              <w:left w:val="nil"/>
              <w:bottom w:val="nil"/>
              <w:right w:val="nil"/>
            </w:tcBorders>
            <w:shd w:val="clear" w:color="auto" w:fill="auto"/>
            <w:noWrap/>
            <w:vAlign w:val="bottom"/>
            <w:hideMark/>
          </w:tcPr>
          <w:p w14:paraId="16FAC483" w14:textId="77777777" w:rsidR="004B66DB" w:rsidRPr="00091BF3" w:rsidRDefault="004B66DB" w:rsidP="00484918">
            <w:pPr>
              <w:spacing w:after="0" w:line="240" w:lineRule="auto"/>
              <w:rPr>
                <w:rFonts w:ascii="Times New Roman" w:hAnsi="Times New Roman" w:cs="Times New Roman"/>
                <w:lang w:eastAsia="hr-HR"/>
              </w:rPr>
            </w:pPr>
          </w:p>
        </w:tc>
        <w:tc>
          <w:tcPr>
            <w:tcW w:w="876" w:type="dxa"/>
            <w:tcBorders>
              <w:top w:val="nil"/>
              <w:left w:val="nil"/>
              <w:bottom w:val="nil"/>
              <w:right w:val="nil"/>
            </w:tcBorders>
            <w:shd w:val="clear" w:color="auto" w:fill="auto"/>
            <w:noWrap/>
            <w:vAlign w:val="bottom"/>
            <w:hideMark/>
          </w:tcPr>
          <w:p w14:paraId="2D5184A5" w14:textId="77777777" w:rsidR="004B66DB" w:rsidRPr="00091BF3" w:rsidRDefault="004B66DB" w:rsidP="00484918">
            <w:pPr>
              <w:spacing w:after="0" w:line="240" w:lineRule="auto"/>
              <w:rPr>
                <w:rFonts w:ascii="Times New Roman" w:hAnsi="Times New Roman" w:cs="Times New Roman"/>
                <w:lang w:eastAsia="hr-HR"/>
              </w:rPr>
            </w:pPr>
          </w:p>
        </w:tc>
        <w:tc>
          <w:tcPr>
            <w:tcW w:w="269" w:type="dxa"/>
            <w:tcBorders>
              <w:top w:val="nil"/>
              <w:left w:val="nil"/>
              <w:bottom w:val="nil"/>
              <w:right w:val="nil"/>
            </w:tcBorders>
            <w:shd w:val="clear" w:color="auto" w:fill="auto"/>
            <w:noWrap/>
            <w:vAlign w:val="bottom"/>
            <w:hideMark/>
          </w:tcPr>
          <w:p w14:paraId="2B5A8A7B" w14:textId="77777777" w:rsidR="004B66DB" w:rsidRPr="00091BF3" w:rsidRDefault="004B66DB" w:rsidP="00484918">
            <w:pPr>
              <w:spacing w:after="0" w:line="240" w:lineRule="auto"/>
              <w:rPr>
                <w:rFonts w:ascii="Times New Roman" w:hAnsi="Times New Roman" w:cs="Times New Roman"/>
                <w:lang w:eastAsia="hr-HR"/>
              </w:rPr>
            </w:pPr>
          </w:p>
        </w:tc>
        <w:tc>
          <w:tcPr>
            <w:tcW w:w="1858" w:type="dxa"/>
            <w:tcBorders>
              <w:top w:val="nil"/>
              <w:left w:val="nil"/>
              <w:bottom w:val="nil"/>
              <w:right w:val="nil"/>
            </w:tcBorders>
            <w:shd w:val="clear" w:color="auto" w:fill="auto"/>
            <w:noWrap/>
            <w:vAlign w:val="bottom"/>
            <w:hideMark/>
          </w:tcPr>
          <w:p w14:paraId="4B7F50AC" w14:textId="3B303B8B" w:rsidR="004B66DB" w:rsidRPr="00091BF3" w:rsidRDefault="00B34E27" w:rsidP="00484918">
            <w:pPr>
              <w:spacing w:after="0" w:line="240" w:lineRule="auto"/>
              <w:jc w:val="right"/>
              <w:rPr>
                <w:rFonts w:ascii="Times New Roman" w:hAnsi="Times New Roman" w:cs="Times New Roman"/>
                <w:lang w:eastAsia="hr-HR"/>
              </w:rPr>
            </w:pPr>
            <w:r>
              <w:rPr>
                <w:rFonts w:ascii="Times New Roman" w:hAnsi="Times New Roman" w:cs="Times New Roman"/>
                <w:lang w:eastAsia="hr-HR"/>
              </w:rPr>
              <w:t>15,88</w:t>
            </w:r>
          </w:p>
        </w:tc>
      </w:tr>
      <w:tr w:rsidR="004B66DB" w:rsidRPr="00091BF3" w14:paraId="5F0AC2DA" w14:textId="77777777" w:rsidTr="00F65BC7">
        <w:trPr>
          <w:gridAfter w:val="1"/>
          <w:wAfter w:w="66" w:type="dxa"/>
          <w:trHeight w:val="255"/>
        </w:trPr>
        <w:tc>
          <w:tcPr>
            <w:tcW w:w="3795" w:type="dxa"/>
            <w:gridSpan w:val="2"/>
            <w:tcBorders>
              <w:top w:val="nil"/>
              <w:left w:val="nil"/>
              <w:bottom w:val="nil"/>
              <w:right w:val="nil"/>
            </w:tcBorders>
            <w:shd w:val="clear" w:color="auto" w:fill="auto"/>
            <w:noWrap/>
            <w:vAlign w:val="bottom"/>
            <w:hideMark/>
          </w:tcPr>
          <w:p w14:paraId="299969CF" w14:textId="77777777" w:rsidR="004B66DB" w:rsidRPr="00091BF3" w:rsidRDefault="004B66DB" w:rsidP="00484918">
            <w:pPr>
              <w:spacing w:after="0" w:line="240" w:lineRule="auto"/>
              <w:rPr>
                <w:rFonts w:ascii="Times New Roman" w:hAnsi="Times New Roman" w:cs="Times New Roman"/>
                <w:lang w:eastAsia="hr-HR"/>
              </w:rPr>
            </w:pPr>
            <w:r w:rsidRPr="00091BF3">
              <w:rPr>
                <w:rFonts w:ascii="Times New Roman" w:hAnsi="Times New Roman" w:cs="Times New Roman"/>
                <w:lang w:eastAsia="hr-HR"/>
              </w:rPr>
              <w:t>za zakupninu (poslovni prostor)</w:t>
            </w:r>
          </w:p>
        </w:tc>
        <w:tc>
          <w:tcPr>
            <w:tcW w:w="1664" w:type="dxa"/>
            <w:tcBorders>
              <w:top w:val="nil"/>
              <w:left w:val="nil"/>
              <w:bottom w:val="nil"/>
              <w:right w:val="nil"/>
            </w:tcBorders>
            <w:shd w:val="clear" w:color="auto" w:fill="auto"/>
            <w:noWrap/>
            <w:vAlign w:val="bottom"/>
            <w:hideMark/>
          </w:tcPr>
          <w:p w14:paraId="7D7CEA42" w14:textId="77777777" w:rsidR="004B66DB" w:rsidRPr="00091BF3" w:rsidRDefault="004B66DB" w:rsidP="00484918">
            <w:pPr>
              <w:spacing w:after="0" w:line="240" w:lineRule="auto"/>
              <w:rPr>
                <w:rFonts w:ascii="Times New Roman" w:hAnsi="Times New Roman" w:cs="Times New Roman"/>
                <w:lang w:eastAsia="hr-HR"/>
              </w:rPr>
            </w:pPr>
          </w:p>
        </w:tc>
        <w:tc>
          <w:tcPr>
            <w:tcW w:w="862" w:type="dxa"/>
            <w:tcBorders>
              <w:top w:val="nil"/>
              <w:left w:val="nil"/>
              <w:bottom w:val="nil"/>
              <w:right w:val="nil"/>
            </w:tcBorders>
            <w:shd w:val="clear" w:color="auto" w:fill="auto"/>
            <w:noWrap/>
            <w:vAlign w:val="bottom"/>
            <w:hideMark/>
          </w:tcPr>
          <w:p w14:paraId="3C33F1CB" w14:textId="77777777" w:rsidR="004B66DB" w:rsidRPr="00091BF3" w:rsidRDefault="004B66DB" w:rsidP="00484918">
            <w:pPr>
              <w:spacing w:after="0" w:line="240" w:lineRule="auto"/>
              <w:rPr>
                <w:rFonts w:ascii="Times New Roman" w:hAnsi="Times New Roman" w:cs="Times New Roman"/>
                <w:lang w:eastAsia="hr-HR"/>
              </w:rPr>
            </w:pPr>
          </w:p>
        </w:tc>
        <w:tc>
          <w:tcPr>
            <w:tcW w:w="876" w:type="dxa"/>
            <w:tcBorders>
              <w:top w:val="nil"/>
              <w:left w:val="nil"/>
              <w:bottom w:val="nil"/>
              <w:right w:val="nil"/>
            </w:tcBorders>
            <w:shd w:val="clear" w:color="auto" w:fill="auto"/>
            <w:noWrap/>
            <w:vAlign w:val="bottom"/>
            <w:hideMark/>
          </w:tcPr>
          <w:p w14:paraId="2FCFD07D" w14:textId="77777777" w:rsidR="004B66DB" w:rsidRPr="00091BF3" w:rsidRDefault="004B66DB" w:rsidP="00484918">
            <w:pPr>
              <w:spacing w:after="0" w:line="240" w:lineRule="auto"/>
              <w:rPr>
                <w:rFonts w:ascii="Times New Roman" w:hAnsi="Times New Roman" w:cs="Times New Roman"/>
                <w:lang w:eastAsia="hr-HR"/>
              </w:rPr>
            </w:pPr>
          </w:p>
        </w:tc>
        <w:tc>
          <w:tcPr>
            <w:tcW w:w="269" w:type="dxa"/>
            <w:tcBorders>
              <w:top w:val="nil"/>
              <w:left w:val="nil"/>
              <w:bottom w:val="nil"/>
              <w:right w:val="nil"/>
            </w:tcBorders>
            <w:shd w:val="clear" w:color="auto" w:fill="auto"/>
            <w:noWrap/>
            <w:vAlign w:val="bottom"/>
            <w:hideMark/>
          </w:tcPr>
          <w:p w14:paraId="527E19C9" w14:textId="77777777" w:rsidR="004B66DB" w:rsidRPr="00091BF3" w:rsidRDefault="004B66DB" w:rsidP="00484918">
            <w:pPr>
              <w:spacing w:after="0" w:line="240" w:lineRule="auto"/>
              <w:rPr>
                <w:rFonts w:ascii="Times New Roman" w:hAnsi="Times New Roman" w:cs="Times New Roman"/>
                <w:lang w:eastAsia="hr-HR"/>
              </w:rPr>
            </w:pPr>
          </w:p>
        </w:tc>
        <w:tc>
          <w:tcPr>
            <w:tcW w:w="1858" w:type="dxa"/>
            <w:tcBorders>
              <w:top w:val="nil"/>
              <w:left w:val="nil"/>
              <w:bottom w:val="nil"/>
              <w:right w:val="nil"/>
            </w:tcBorders>
            <w:shd w:val="clear" w:color="auto" w:fill="auto"/>
            <w:noWrap/>
            <w:vAlign w:val="bottom"/>
            <w:hideMark/>
          </w:tcPr>
          <w:p w14:paraId="4AB00DB5" w14:textId="1EA4C189" w:rsidR="004B66DB" w:rsidRPr="00091BF3" w:rsidRDefault="00B34E27" w:rsidP="00484918">
            <w:pPr>
              <w:spacing w:after="0" w:line="240" w:lineRule="auto"/>
              <w:jc w:val="right"/>
              <w:rPr>
                <w:rFonts w:ascii="Times New Roman" w:hAnsi="Times New Roman" w:cs="Times New Roman"/>
                <w:lang w:eastAsia="hr-HR"/>
              </w:rPr>
            </w:pPr>
            <w:r>
              <w:rPr>
                <w:rFonts w:ascii="Times New Roman" w:hAnsi="Times New Roman" w:cs="Times New Roman"/>
                <w:lang w:eastAsia="hr-HR"/>
              </w:rPr>
              <w:t>8.126,91</w:t>
            </w:r>
          </w:p>
        </w:tc>
      </w:tr>
      <w:tr w:rsidR="004B66DB" w:rsidRPr="00091BF3" w14:paraId="37376731" w14:textId="77777777" w:rsidTr="00F65BC7">
        <w:trPr>
          <w:gridAfter w:val="1"/>
          <w:wAfter w:w="66" w:type="dxa"/>
          <w:trHeight w:val="255"/>
        </w:trPr>
        <w:tc>
          <w:tcPr>
            <w:tcW w:w="3795" w:type="dxa"/>
            <w:gridSpan w:val="2"/>
            <w:tcBorders>
              <w:top w:val="nil"/>
              <w:left w:val="nil"/>
              <w:bottom w:val="nil"/>
              <w:right w:val="nil"/>
            </w:tcBorders>
            <w:shd w:val="clear" w:color="auto" w:fill="auto"/>
            <w:noWrap/>
            <w:vAlign w:val="bottom"/>
            <w:hideMark/>
          </w:tcPr>
          <w:p w14:paraId="3AE206D4" w14:textId="77777777" w:rsidR="004B66DB" w:rsidRPr="00091BF3" w:rsidRDefault="004B66DB" w:rsidP="00484918">
            <w:pPr>
              <w:spacing w:after="0" w:line="240" w:lineRule="auto"/>
              <w:rPr>
                <w:rFonts w:ascii="Times New Roman" w:hAnsi="Times New Roman" w:cs="Times New Roman"/>
                <w:lang w:eastAsia="hr-HR"/>
              </w:rPr>
            </w:pPr>
            <w:r w:rsidRPr="00091BF3">
              <w:rPr>
                <w:rFonts w:ascii="Times New Roman" w:hAnsi="Times New Roman" w:cs="Times New Roman"/>
                <w:lang w:eastAsia="hr-HR"/>
              </w:rPr>
              <w:t>za zakup javnih površina</w:t>
            </w:r>
          </w:p>
        </w:tc>
        <w:tc>
          <w:tcPr>
            <w:tcW w:w="1664" w:type="dxa"/>
            <w:tcBorders>
              <w:top w:val="nil"/>
              <w:left w:val="nil"/>
              <w:bottom w:val="nil"/>
              <w:right w:val="nil"/>
            </w:tcBorders>
            <w:shd w:val="clear" w:color="auto" w:fill="auto"/>
            <w:noWrap/>
            <w:vAlign w:val="bottom"/>
            <w:hideMark/>
          </w:tcPr>
          <w:p w14:paraId="0C2CC07F" w14:textId="77777777" w:rsidR="004B66DB" w:rsidRPr="00091BF3" w:rsidRDefault="004B66DB" w:rsidP="00484918">
            <w:pPr>
              <w:spacing w:after="0" w:line="240" w:lineRule="auto"/>
              <w:rPr>
                <w:rFonts w:ascii="Times New Roman" w:hAnsi="Times New Roman" w:cs="Times New Roman"/>
                <w:lang w:eastAsia="hr-HR"/>
              </w:rPr>
            </w:pPr>
          </w:p>
        </w:tc>
        <w:tc>
          <w:tcPr>
            <w:tcW w:w="862" w:type="dxa"/>
            <w:tcBorders>
              <w:top w:val="nil"/>
              <w:left w:val="nil"/>
              <w:bottom w:val="nil"/>
              <w:right w:val="nil"/>
            </w:tcBorders>
            <w:shd w:val="clear" w:color="auto" w:fill="auto"/>
            <w:noWrap/>
            <w:vAlign w:val="bottom"/>
            <w:hideMark/>
          </w:tcPr>
          <w:p w14:paraId="2BE17492" w14:textId="77777777" w:rsidR="004B66DB" w:rsidRPr="00091BF3" w:rsidRDefault="004B66DB" w:rsidP="00484918">
            <w:pPr>
              <w:spacing w:after="0" w:line="240" w:lineRule="auto"/>
              <w:rPr>
                <w:rFonts w:ascii="Times New Roman" w:hAnsi="Times New Roman" w:cs="Times New Roman"/>
                <w:lang w:eastAsia="hr-HR"/>
              </w:rPr>
            </w:pPr>
          </w:p>
        </w:tc>
        <w:tc>
          <w:tcPr>
            <w:tcW w:w="876" w:type="dxa"/>
            <w:tcBorders>
              <w:top w:val="nil"/>
              <w:left w:val="nil"/>
              <w:bottom w:val="nil"/>
              <w:right w:val="nil"/>
            </w:tcBorders>
            <w:shd w:val="clear" w:color="auto" w:fill="auto"/>
            <w:noWrap/>
            <w:vAlign w:val="bottom"/>
            <w:hideMark/>
          </w:tcPr>
          <w:p w14:paraId="0341D3DE" w14:textId="77777777" w:rsidR="004B66DB" w:rsidRPr="00091BF3" w:rsidRDefault="004B66DB" w:rsidP="00484918">
            <w:pPr>
              <w:spacing w:after="0" w:line="240" w:lineRule="auto"/>
              <w:rPr>
                <w:rFonts w:ascii="Times New Roman" w:hAnsi="Times New Roman" w:cs="Times New Roman"/>
                <w:lang w:eastAsia="hr-HR"/>
              </w:rPr>
            </w:pPr>
          </w:p>
        </w:tc>
        <w:tc>
          <w:tcPr>
            <w:tcW w:w="269" w:type="dxa"/>
            <w:tcBorders>
              <w:top w:val="nil"/>
              <w:left w:val="nil"/>
              <w:bottom w:val="nil"/>
              <w:right w:val="nil"/>
            </w:tcBorders>
            <w:shd w:val="clear" w:color="auto" w:fill="auto"/>
            <w:noWrap/>
            <w:vAlign w:val="bottom"/>
            <w:hideMark/>
          </w:tcPr>
          <w:p w14:paraId="0F69A26D" w14:textId="77777777" w:rsidR="004B66DB" w:rsidRPr="00091BF3" w:rsidRDefault="004B66DB" w:rsidP="00484918">
            <w:pPr>
              <w:spacing w:after="0" w:line="240" w:lineRule="auto"/>
              <w:rPr>
                <w:rFonts w:ascii="Times New Roman" w:hAnsi="Times New Roman" w:cs="Times New Roman"/>
                <w:lang w:eastAsia="hr-HR"/>
              </w:rPr>
            </w:pPr>
          </w:p>
        </w:tc>
        <w:tc>
          <w:tcPr>
            <w:tcW w:w="1858" w:type="dxa"/>
            <w:tcBorders>
              <w:top w:val="nil"/>
              <w:left w:val="nil"/>
              <w:bottom w:val="nil"/>
              <w:right w:val="nil"/>
            </w:tcBorders>
            <w:shd w:val="clear" w:color="auto" w:fill="auto"/>
            <w:noWrap/>
            <w:vAlign w:val="bottom"/>
            <w:hideMark/>
          </w:tcPr>
          <w:p w14:paraId="6288DA9B" w14:textId="4D941184" w:rsidR="004B66DB" w:rsidRPr="00091BF3" w:rsidRDefault="00B34E27" w:rsidP="00484918">
            <w:pPr>
              <w:spacing w:after="0" w:line="240" w:lineRule="auto"/>
              <w:jc w:val="right"/>
              <w:rPr>
                <w:rFonts w:ascii="Times New Roman" w:hAnsi="Times New Roman" w:cs="Times New Roman"/>
                <w:lang w:eastAsia="hr-HR"/>
              </w:rPr>
            </w:pPr>
            <w:r>
              <w:rPr>
                <w:rFonts w:ascii="Times New Roman" w:hAnsi="Times New Roman" w:cs="Times New Roman"/>
                <w:lang w:eastAsia="hr-HR"/>
              </w:rPr>
              <w:t>1.132,48</w:t>
            </w:r>
          </w:p>
        </w:tc>
      </w:tr>
      <w:tr w:rsidR="004B66DB" w:rsidRPr="00091BF3" w14:paraId="1F090FED" w14:textId="77777777" w:rsidTr="00F65BC7">
        <w:trPr>
          <w:gridAfter w:val="1"/>
          <w:wAfter w:w="66" w:type="dxa"/>
          <w:trHeight w:val="255"/>
        </w:trPr>
        <w:tc>
          <w:tcPr>
            <w:tcW w:w="6321" w:type="dxa"/>
            <w:gridSpan w:val="4"/>
            <w:tcBorders>
              <w:top w:val="nil"/>
              <w:left w:val="nil"/>
              <w:bottom w:val="nil"/>
              <w:right w:val="nil"/>
            </w:tcBorders>
            <w:shd w:val="clear" w:color="auto" w:fill="auto"/>
            <w:noWrap/>
            <w:vAlign w:val="bottom"/>
            <w:hideMark/>
          </w:tcPr>
          <w:p w14:paraId="637E9871" w14:textId="77777777" w:rsidR="004B66DB" w:rsidRPr="00091BF3" w:rsidRDefault="004B66DB" w:rsidP="00484918">
            <w:pPr>
              <w:spacing w:after="0" w:line="240" w:lineRule="auto"/>
              <w:rPr>
                <w:rFonts w:ascii="Times New Roman" w:hAnsi="Times New Roman" w:cs="Times New Roman"/>
                <w:lang w:eastAsia="hr-HR"/>
              </w:rPr>
            </w:pPr>
            <w:r w:rsidRPr="00091BF3">
              <w:rPr>
                <w:rFonts w:ascii="Times New Roman" w:hAnsi="Times New Roman" w:cs="Times New Roman"/>
                <w:lang w:eastAsia="hr-HR"/>
              </w:rPr>
              <w:t>za zakup zemlje u vlasništvu države (prihod Grada)</w:t>
            </w:r>
          </w:p>
        </w:tc>
        <w:tc>
          <w:tcPr>
            <w:tcW w:w="876" w:type="dxa"/>
            <w:tcBorders>
              <w:top w:val="nil"/>
              <w:left w:val="nil"/>
              <w:bottom w:val="nil"/>
              <w:right w:val="nil"/>
            </w:tcBorders>
            <w:shd w:val="clear" w:color="auto" w:fill="auto"/>
            <w:noWrap/>
            <w:vAlign w:val="bottom"/>
            <w:hideMark/>
          </w:tcPr>
          <w:p w14:paraId="0AAB187F" w14:textId="77777777" w:rsidR="004B66DB" w:rsidRPr="00091BF3" w:rsidRDefault="004B66DB" w:rsidP="00484918">
            <w:pPr>
              <w:spacing w:after="0" w:line="240" w:lineRule="auto"/>
              <w:rPr>
                <w:rFonts w:ascii="Times New Roman" w:hAnsi="Times New Roman" w:cs="Times New Roman"/>
                <w:lang w:eastAsia="hr-HR"/>
              </w:rPr>
            </w:pPr>
          </w:p>
        </w:tc>
        <w:tc>
          <w:tcPr>
            <w:tcW w:w="269" w:type="dxa"/>
            <w:tcBorders>
              <w:top w:val="nil"/>
              <w:left w:val="nil"/>
              <w:bottom w:val="nil"/>
              <w:right w:val="nil"/>
            </w:tcBorders>
            <w:shd w:val="clear" w:color="auto" w:fill="auto"/>
            <w:noWrap/>
            <w:vAlign w:val="bottom"/>
            <w:hideMark/>
          </w:tcPr>
          <w:p w14:paraId="60D773C3" w14:textId="77777777" w:rsidR="004B66DB" w:rsidRPr="00091BF3" w:rsidRDefault="004B66DB" w:rsidP="00484918">
            <w:pPr>
              <w:spacing w:after="0" w:line="240" w:lineRule="auto"/>
              <w:rPr>
                <w:rFonts w:ascii="Times New Roman" w:hAnsi="Times New Roman" w:cs="Times New Roman"/>
                <w:lang w:eastAsia="hr-HR"/>
              </w:rPr>
            </w:pPr>
          </w:p>
        </w:tc>
        <w:tc>
          <w:tcPr>
            <w:tcW w:w="1858" w:type="dxa"/>
            <w:tcBorders>
              <w:top w:val="nil"/>
              <w:left w:val="nil"/>
              <w:bottom w:val="nil"/>
              <w:right w:val="nil"/>
            </w:tcBorders>
            <w:shd w:val="clear" w:color="auto" w:fill="auto"/>
            <w:noWrap/>
            <w:vAlign w:val="bottom"/>
            <w:hideMark/>
          </w:tcPr>
          <w:p w14:paraId="4480DF73" w14:textId="0DAEFAE2" w:rsidR="004B66DB" w:rsidRPr="00091BF3" w:rsidRDefault="00B34E27" w:rsidP="00484918">
            <w:pPr>
              <w:spacing w:after="0" w:line="240" w:lineRule="auto"/>
              <w:jc w:val="right"/>
              <w:rPr>
                <w:rFonts w:ascii="Times New Roman" w:hAnsi="Times New Roman" w:cs="Times New Roman"/>
                <w:lang w:eastAsia="hr-HR"/>
              </w:rPr>
            </w:pPr>
            <w:r>
              <w:rPr>
                <w:rFonts w:ascii="Times New Roman" w:hAnsi="Times New Roman" w:cs="Times New Roman"/>
                <w:lang w:eastAsia="hr-HR"/>
              </w:rPr>
              <w:t>105.866,22</w:t>
            </w:r>
          </w:p>
        </w:tc>
      </w:tr>
      <w:tr w:rsidR="004B66DB" w:rsidRPr="00091BF3" w14:paraId="51E97621" w14:textId="77777777" w:rsidTr="00F65BC7">
        <w:trPr>
          <w:gridAfter w:val="1"/>
          <w:wAfter w:w="66" w:type="dxa"/>
          <w:trHeight w:val="255"/>
        </w:trPr>
        <w:tc>
          <w:tcPr>
            <w:tcW w:w="6321" w:type="dxa"/>
            <w:gridSpan w:val="4"/>
            <w:tcBorders>
              <w:top w:val="nil"/>
              <w:left w:val="nil"/>
              <w:bottom w:val="nil"/>
              <w:right w:val="nil"/>
            </w:tcBorders>
            <w:shd w:val="clear" w:color="auto" w:fill="auto"/>
            <w:noWrap/>
            <w:vAlign w:val="bottom"/>
            <w:hideMark/>
          </w:tcPr>
          <w:p w14:paraId="39B4C613" w14:textId="77777777" w:rsidR="004B66DB" w:rsidRPr="00091BF3" w:rsidRDefault="004B66DB" w:rsidP="00484918">
            <w:pPr>
              <w:spacing w:after="0" w:line="240" w:lineRule="auto"/>
              <w:rPr>
                <w:rFonts w:ascii="Times New Roman" w:hAnsi="Times New Roman" w:cs="Times New Roman"/>
                <w:lang w:eastAsia="hr-HR"/>
              </w:rPr>
            </w:pPr>
            <w:r w:rsidRPr="00091BF3">
              <w:rPr>
                <w:rFonts w:ascii="Times New Roman" w:hAnsi="Times New Roman" w:cs="Times New Roman"/>
                <w:lang w:eastAsia="hr-HR"/>
              </w:rPr>
              <w:t>za zakup zemlje u vlasništvu države (tuđi prihodi)</w:t>
            </w:r>
          </w:p>
        </w:tc>
        <w:tc>
          <w:tcPr>
            <w:tcW w:w="876" w:type="dxa"/>
            <w:tcBorders>
              <w:top w:val="nil"/>
              <w:left w:val="nil"/>
              <w:bottom w:val="nil"/>
              <w:right w:val="nil"/>
            </w:tcBorders>
            <w:shd w:val="clear" w:color="auto" w:fill="auto"/>
            <w:noWrap/>
            <w:vAlign w:val="bottom"/>
            <w:hideMark/>
          </w:tcPr>
          <w:p w14:paraId="671F8B9C" w14:textId="77777777" w:rsidR="004B66DB" w:rsidRPr="00091BF3" w:rsidRDefault="004B66DB" w:rsidP="00484918">
            <w:pPr>
              <w:spacing w:after="0" w:line="240" w:lineRule="auto"/>
              <w:rPr>
                <w:rFonts w:ascii="Times New Roman" w:hAnsi="Times New Roman" w:cs="Times New Roman"/>
                <w:lang w:eastAsia="hr-HR"/>
              </w:rPr>
            </w:pPr>
          </w:p>
        </w:tc>
        <w:tc>
          <w:tcPr>
            <w:tcW w:w="269" w:type="dxa"/>
            <w:tcBorders>
              <w:top w:val="nil"/>
              <w:left w:val="nil"/>
              <w:bottom w:val="nil"/>
              <w:right w:val="nil"/>
            </w:tcBorders>
            <w:shd w:val="clear" w:color="auto" w:fill="auto"/>
            <w:noWrap/>
            <w:vAlign w:val="bottom"/>
            <w:hideMark/>
          </w:tcPr>
          <w:p w14:paraId="403BCF2A" w14:textId="77777777" w:rsidR="004B66DB" w:rsidRPr="00091BF3" w:rsidRDefault="004B66DB" w:rsidP="00484918">
            <w:pPr>
              <w:spacing w:after="0" w:line="240" w:lineRule="auto"/>
              <w:rPr>
                <w:rFonts w:ascii="Times New Roman" w:hAnsi="Times New Roman" w:cs="Times New Roman"/>
                <w:lang w:eastAsia="hr-HR"/>
              </w:rPr>
            </w:pPr>
          </w:p>
        </w:tc>
        <w:tc>
          <w:tcPr>
            <w:tcW w:w="1858" w:type="dxa"/>
            <w:tcBorders>
              <w:top w:val="nil"/>
              <w:left w:val="nil"/>
              <w:bottom w:val="nil"/>
              <w:right w:val="nil"/>
            </w:tcBorders>
            <w:shd w:val="clear" w:color="auto" w:fill="auto"/>
            <w:noWrap/>
            <w:vAlign w:val="bottom"/>
            <w:hideMark/>
          </w:tcPr>
          <w:p w14:paraId="518762E3" w14:textId="46125BAB" w:rsidR="004B66DB" w:rsidRPr="00091BF3" w:rsidRDefault="00B34E27" w:rsidP="00484918">
            <w:pPr>
              <w:spacing w:after="0" w:line="240" w:lineRule="auto"/>
              <w:jc w:val="right"/>
              <w:rPr>
                <w:rFonts w:ascii="Times New Roman" w:hAnsi="Times New Roman" w:cs="Times New Roman"/>
                <w:lang w:eastAsia="hr-HR"/>
              </w:rPr>
            </w:pPr>
            <w:r>
              <w:rPr>
                <w:rFonts w:ascii="Times New Roman" w:hAnsi="Times New Roman" w:cs="Times New Roman"/>
                <w:lang w:eastAsia="hr-HR"/>
              </w:rPr>
              <w:t>57.004,89</w:t>
            </w:r>
          </w:p>
        </w:tc>
      </w:tr>
      <w:tr w:rsidR="004B66DB" w:rsidRPr="00091BF3" w14:paraId="465E6F3E" w14:textId="77777777" w:rsidTr="00F65BC7">
        <w:trPr>
          <w:gridAfter w:val="1"/>
          <w:wAfter w:w="66" w:type="dxa"/>
          <w:trHeight w:val="255"/>
        </w:trPr>
        <w:tc>
          <w:tcPr>
            <w:tcW w:w="7466" w:type="dxa"/>
            <w:gridSpan w:val="6"/>
            <w:tcBorders>
              <w:top w:val="nil"/>
              <w:left w:val="nil"/>
              <w:bottom w:val="nil"/>
              <w:right w:val="nil"/>
            </w:tcBorders>
            <w:shd w:val="clear" w:color="auto" w:fill="auto"/>
            <w:noWrap/>
            <w:vAlign w:val="bottom"/>
            <w:hideMark/>
          </w:tcPr>
          <w:p w14:paraId="0465BDC3" w14:textId="77777777" w:rsidR="004B66DB" w:rsidRPr="00091BF3" w:rsidRDefault="004B66DB" w:rsidP="00484918">
            <w:pPr>
              <w:spacing w:after="0" w:line="240" w:lineRule="auto"/>
              <w:rPr>
                <w:rFonts w:ascii="Times New Roman" w:hAnsi="Times New Roman" w:cs="Times New Roman"/>
                <w:lang w:eastAsia="hr-HR"/>
              </w:rPr>
            </w:pPr>
            <w:r w:rsidRPr="00091BF3">
              <w:rPr>
                <w:rFonts w:ascii="Times New Roman" w:hAnsi="Times New Roman" w:cs="Times New Roman"/>
                <w:lang w:eastAsia="hr-HR"/>
              </w:rPr>
              <w:t>za naknade za korištenje nefinancijske imovine - legalizacija (prihod Grada)</w:t>
            </w:r>
          </w:p>
        </w:tc>
        <w:tc>
          <w:tcPr>
            <w:tcW w:w="1858" w:type="dxa"/>
            <w:tcBorders>
              <w:top w:val="nil"/>
              <w:left w:val="nil"/>
              <w:bottom w:val="nil"/>
              <w:right w:val="nil"/>
            </w:tcBorders>
            <w:shd w:val="clear" w:color="auto" w:fill="auto"/>
            <w:noWrap/>
            <w:vAlign w:val="bottom"/>
            <w:hideMark/>
          </w:tcPr>
          <w:p w14:paraId="4E2D9949" w14:textId="0C540C0C" w:rsidR="004B66DB" w:rsidRPr="00091BF3" w:rsidRDefault="00B34E27" w:rsidP="00484918">
            <w:pPr>
              <w:spacing w:after="0" w:line="240" w:lineRule="auto"/>
              <w:jc w:val="right"/>
              <w:rPr>
                <w:rFonts w:ascii="Times New Roman" w:hAnsi="Times New Roman" w:cs="Times New Roman"/>
                <w:lang w:eastAsia="hr-HR"/>
              </w:rPr>
            </w:pPr>
            <w:r>
              <w:rPr>
                <w:rFonts w:ascii="Times New Roman" w:hAnsi="Times New Roman" w:cs="Times New Roman"/>
                <w:lang w:eastAsia="hr-HR"/>
              </w:rPr>
              <w:t>4.571,80</w:t>
            </w:r>
          </w:p>
        </w:tc>
      </w:tr>
      <w:tr w:rsidR="004B66DB" w:rsidRPr="00091BF3" w14:paraId="148B6363" w14:textId="77777777" w:rsidTr="00F65BC7">
        <w:trPr>
          <w:gridAfter w:val="1"/>
          <w:wAfter w:w="66" w:type="dxa"/>
          <w:trHeight w:val="255"/>
        </w:trPr>
        <w:tc>
          <w:tcPr>
            <w:tcW w:w="7466" w:type="dxa"/>
            <w:gridSpan w:val="6"/>
            <w:tcBorders>
              <w:top w:val="nil"/>
              <w:left w:val="nil"/>
              <w:bottom w:val="nil"/>
              <w:right w:val="nil"/>
            </w:tcBorders>
            <w:shd w:val="clear" w:color="auto" w:fill="auto"/>
            <w:noWrap/>
            <w:vAlign w:val="bottom"/>
            <w:hideMark/>
          </w:tcPr>
          <w:p w14:paraId="2FDE82AE" w14:textId="77777777" w:rsidR="004B66DB" w:rsidRPr="00091BF3" w:rsidRDefault="004B66DB" w:rsidP="00484918">
            <w:pPr>
              <w:spacing w:after="0" w:line="240" w:lineRule="auto"/>
              <w:rPr>
                <w:rFonts w:ascii="Times New Roman" w:hAnsi="Times New Roman" w:cs="Times New Roman"/>
                <w:lang w:eastAsia="hr-HR"/>
              </w:rPr>
            </w:pPr>
            <w:r w:rsidRPr="00091BF3">
              <w:rPr>
                <w:rFonts w:ascii="Times New Roman" w:hAnsi="Times New Roman" w:cs="Times New Roman"/>
                <w:lang w:eastAsia="hr-HR"/>
              </w:rPr>
              <w:t>za naknade za korištenje nefinancijske imovine - legalizacija (tuđi prihodi)</w:t>
            </w:r>
          </w:p>
        </w:tc>
        <w:tc>
          <w:tcPr>
            <w:tcW w:w="1858" w:type="dxa"/>
            <w:tcBorders>
              <w:top w:val="nil"/>
              <w:left w:val="nil"/>
              <w:bottom w:val="nil"/>
              <w:right w:val="nil"/>
            </w:tcBorders>
            <w:shd w:val="clear" w:color="auto" w:fill="auto"/>
            <w:noWrap/>
            <w:vAlign w:val="bottom"/>
            <w:hideMark/>
          </w:tcPr>
          <w:p w14:paraId="064808EF" w14:textId="1016CE75" w:rsidR="004B66DB" w:rsidRPr="00091BF3" w:rsidRDefault="00B34E27" w:rsidP="00484918">
            <w:pPr>
              <w:spacing w:after="0" w:line="240" w:lineRule="auto"/>
              <w:jc w:val="right"/>
              <w:rPr>
                <w:rFonts w:ascii="Times New Roman" w:hAnsi="Times New Roman" w:cs="Times New Roman"/>
                <w:lang w:eastAsia="hr-HR"/>
              </w:rPr>
            </w:pPr>
            <w:r>
              <w:rPr>
                <w:rFonts w:ascii="Times New Roman" w:hAnsi="Times New Roman" w:cs="Times New Roman"/>
                <w:lang w:eastAsia="hr-HR"/>
              </w:rPr>
              <w:t>10.666,62</w:t>
            </w:r>
          </w:p>
        </w:tc>
      </w:tr>
      <w:tr w:rsidR="004B66DB" w:rsidRPr="00091BF3" w14:paraId="4D114EBD" w14:textId="77777777" w:rsidTr="00F65BC7">
        <w:trPr>
          <w:gridAfter w:val="1"/>
          <w:wAfter w:w="66" w:type="dxa"/>
          <w:trHeight w:val="255"/>
        </w:trPr>
        <w:tc>
          <w:tcPr>
            <w:tcW w:w="7466" w:type="dxa"/>
            <w:gridSpan w:val="6"/>
            <w:tcBorders>
              <w:top w:val="nil"/>
              <w:left w:val="nil"/>
              <w:bottom w:val="nil"/>
              <w:right w:val="nil"/>
            </w:tcBorders>
            <w:shd w:val="clear" w:color="auto" w:fill="auto"/>
            <w:noWrap/>
            <w:vAlign w:val="bottom"/>
          </w:tcPr>
          <w:p w14:paraId="521697BA" w14:textId="77777777" w:rsidR="004B66DB" w:rsidRDefault="004B66DB" w:rsidP="00484918">
            <w:pPr>
              <w:spacing w:after="0" w:line="240" w:lineRule="auto"/>
              <w:rPr>
                <w:rFonts w:ascii="Times New Roman" w:hAnsi="Times New Roman" w:cs="Times New Roman"/>
                <w:lang w:eastAsia="hr-HR"/>
              </w:rPr>
            </w:pPr>
            <w:r>
              <w:rPr>
                <w:rFonts w:ascii="Times New Roman" w:hAnsi="Times New Roman" w:cs="Times New Roman"/>
                <w:lang w:eastAsia="hr-HR"/>
              </w:rPr>
              <w:t>Za naknadu za uređenje voda (prihod Hrvatskih voda)</w:t>
            </w:r>
          </w:p>
        </w:tc>
        <w:tc>
          <w:tcPr>
            <w:tcW w:w="1858" w:type="dxa"/>
            <w:tcBorders>
              <w:top w:val="nil"/>
              <w:left w:val="nil"/>
              <w:bottom w:val="nil"/>
              <w:right w:val="nil"/>
            </w:tcBorders>
            <w:shd w:val="clear" w:color="auto" w:fill="auto"/>
            <w:noWrap/>
            <w:vAlign w:val="bottom"/>
          </w:tcPr>
          <w:p w14:paraId="47C78A4C" w14:textId="55AA7E54" w:rsidR="004B66DB" w:rsidRDefault="00B34E27" w:rsidP="00484918">
            <w:pPr>
              <w:spacing w:after="0" w:line="240" w:lineRule="auto"/>
              <w:jc w:val="right"/>
              <w:rPr>
                <w:rFonts w:ascii="Times New Roman" w:hAnsi="Times New Roman" w:cs="Times New Roman"/>
                <w:lang w:eastAsia="hr-HR"/>
              </w:rPr>
            </w:pPr>
            <w:r>
              <w:rPr>
                <w:rFonts w:ascii="Times New Roman" w:hAnsi="Times New Roman" w:cs="Times New Roman"/>
                <w:lang w:eastAsia="hr-HR"/>
              </w:rPr>
              <w:t>93.980,85</w:t>
            </w:r>
          </w:p>
        </w:tc>
      </w:tr>
      <w:tr w:rsidR="004B66DB" w:rsidRPr="00091BF3" w14:paraId="1A6513A2" w14:textId="77777777" w:rsidTr="00F65BC7">
        <w:trPr>
          <w:gridAfter w:val="1"/>
          <w:wAfter w:w="66" w:type="dxa"/>
          <w:trHeight w:val="255"/>
        </w:trPr>
        <w:tc>
          <w:tcPr>
            <w:tcW w:w="7466" w:type="dxa"/>
            <w:gridSpan w:val="6"/>
            <w:tcBorders>
              <w:top w:val="nil"/>
              <w:left w:val="nil"/>
              <w:bottom w:val="nil"/>
              <w:right w:val="nil"/>
            </w:tcBorders>
            <w:shd w:val="clear" w:color="auto" w:fill="auto"/>
            <w:noWrap/>
            <w:vAlign w:val="bottom"/>
          </w:tcPr>
          <w:p w14:paraId="2C068D4A" w14:textId="77777777" w:rsidR="004B66DB" w:rsidRDefault="004B66DB" w:rsidP="00484918">
            <w:pPr>
              <w:spacing w:after="0" w:line="240" w:lineRule="auto"/>
              <w:rPr>
                <w:rFonts w:ascii="Times New Roman" w:hAnsi="Times New Roman" w:cs="Times New Roman"/>
                <w:lang w:eastAsia="hr-HR"/>
              </w:rPr>
            </w:pPr>
            <w:r>
              <w:rPr>
                <w:rFonts w:ascii="Times New Roman" w:hAnsi="Times New Roman" w:cs="Times New Roman"/>
                <w:lang w:eastAsia="hr-HR"/>
              </w:rPr>
              <w:t>doprinosi za šume</w:t>
            </w:r>
          </w:p>
        </w:tc>
        <w:tc>
          <w:tcPr>
            <w:tcW w:w="1858" w:type="dxa"/>
            <w:tcBorders>
              <w:top w:val="nil"/>
              <w:left w:val="nil"/>
              <w:bottom w:val="nil"/>
              <w:right w:val="nil"/>
            </w:tcBorders>
            <w:shd w:val="clear" w:color="auto" w:fill="auto"/>
            <w:noWrap/>
            <w:vAlign w:val="bottom"/>
          </w:tcPr>
          <w:p w14:paraId="1267278D" w14:textId="5F9B8B86" w:rsidR="004B66DB" w:rsidRDefault="00B34E27" w:rsidP="00484918">
            <w:pPr>
              <w:spacing w:after="0" w:line="240" w:lineRule="auto"/>
              <w:jc w:val="right"/>
              <w:rPr>
                <w:rFonts w:ascii="Times New Roman" w:hAnsi="Times New Roman" w:cs="Times New Roman"/>
                <w:lang w:eastAsia="hr-HR"/>
              </w:rPr>
            </w:pPr>
            <w:r>
              <w:rPr>
                <w:rFonts w:ascii="Times New Roman" w:hAnsi="Times New Roman" w:cs="Times New Roman"/>
                <w:lang w:eastAsia="hr-HR"/>
              </w:rPr>
              <w:t>103.751,96</w:t>
            </w:r>
          </w:p>
        </w:tc>
      </w:tr>
      <w:tr w:rsidR="004B66DB" w:rsidRPr="00091BF3" w14:paraId="71956692" w14:textId="77777777" w:rsidTr="00F65BC7">
        <w:trPr>
          <w:gridAfter w:val="1"/>
          <w:wAfter w:w="66" w:type="dxa"/>
          <w:trHeight w:val="255"/>
        </w:trPr>
        <w:tc>
          <w:tcPr>
            <w:tcW w:w="6321" w:type="dxa"/>
            <w:gridSpan w:val="4"/>
            <w:tcBorders>
              <w:top w:val="nil"/>
              <w:left w:val="nil"/>
              <w:bottom w:val="nil"/>
              <w:right w:val="nil"/>
            </w:tcBorders>
            <w:shd w:val="clear" w:color="auto" w:fill="auto"/>
            <w:noWrap/>
            <w:vAlign w:val="bottom"/>
            <w:hideMark/>
          </w:tcPr>
          <w:p w14:paraId="32AEE54D" w14:textId="77777777" w:rsidR="004B66DB" w:rsidRPr="00091BF3" w:rsidRDefault="004B66DB" w:rsidP="00484918">
            <w:pPr>
              <w:spacing w:after="0" w:line="240" w:lineRule="auto"/>
              <w:rPr>
                <w:rFonts w:ascii="Times New Roman" w:hAnsi="Times New Roman" w:cs="Times New Roman"/>
                <w:lang w:eastAsia="hr-HR"/>
              </w:rPr>
            </w:pPr>
            <w:r w:rsidRPr="00091BF3">
              <w:rPr>
                <w:rFonts w:ascii="Times New Roman" w:hAnsi="Times New Roman" w:cs="Times New Roman"/>
                <w:lang w:eastAsia="hr-HR"/>
              </w:rPr>
              <w:t xml:space="preserve">za komunalni doprinos </w:t>
            </w:r>
          </w:p>
        </w:tc>
        <w:tc>
          <w:tcPr>
            <w:tcW w:w="876" w:type="dxa"/>
            <w:tcBorders>
              <w:top w:val="nil"/>
              <w:left w:val="nil"/>
              <w:bottom w:val="nil"/>
              <w:right w:val="nil"/>
            </w:tcBorders>
            <w:shd w:val="clear" w:color="auto" w:fill="auto"/>
            <w:noWrap/>
            <w:vAlign w:val="bottom"/>
            <w:hideMark/>
          </w:tcPr>
          <w:p w14:paraId="7A9F7E54" w14:textId="77777777" w:rsidR="004B66DB" w:rsidRPr="00091BF3" w:rsidRDefault="004B66DB" w:rsidP="00484918">
            <w:pPr>
              <w:spacing w:after="0" w:line="240" w:lineRule="auto"/>
              <w:rPr>
                <w:rFonts w:ascii="Times New Roman" w:hAnsi="Times New Roman" w:cs="Times New Roman"/>
                <w:lang w:eastAsia="hr-HR"/>
              </w:rPr>
            </w:pPr>
          </w:p>
        </w:tc>
        <w:tc>
          <w:tcPr>
            <w:tcW w:w="269" w:type="dxa"/>
            <w:tcBorders>
              <w:top w:val="nil"/>
              <w:left w:val="nil"/>
              <w:bottom w:val="nil"/>
              <w:right w:val="nil"/>
            </w:tcBorders>
            <w:shd w:val="clear" w:color="auto" w:fill="auto"/>
            <w:noWrap/>
            <w:vAlign w:val="bottom"/>
            <w:hideMark/>
          </w:tcPr>
          <w:p w14:paraId="53BE6808" w14:textId="77777777" w:rsidR="004B66DB" w:rsidRPr="00091BF3" w:rsidRDefault="004B66DB" w:rsidP="00484918">
            <w:pPr>
              <w:spacing w:after="0" w:line="240" w:lineRule="auto"/>
              <w:rPr>
                <w:rFonts w:ascii="Times New Roman" w:hAnsi="Times New Roman" w:cs="Times New Roman"/>
                <w:lang w:eastAsia="hr-HR"/>
              </w:rPr>
            </w:pPr>
          </w:p>
        </w:tc>
        <w:tc>
          <w:tcPr>
            <w:tcW w:w="1858" w:type="dxa"/>
            <w:tcBorders>
              <w:top w:val="nil"/>
              <w:left w:val="nil"/>
              <w:bottom w:val="nil"/>
              <w:right w:val="nil"/>
            </w:tcBorders>
            <w:shd w:val="clear" w:color="auto" w:fill="auto"/>
            <w:noWrap/>
            <w:vAlign w:val="bottom"/>
            <w:hideMark/>
          </w:tcPr>
          <w:p w14:paraId="4AA9DD23" w14:textId="33D7232B" w:rsidR="004B66DB" w:rsidRPr="00091BF3" w:rsidRDefault="00B34E27" w:rsidP="00484918">
            <w:pPr>
              <w:spacing w:after="0" w:line="240" w:lineRule="auto"/>
              <w:jc w:val="right"/>
              <w:rPr>
                <w:rFonts w:ascii="Times New Roman" w:hAnsi="Times New Roman" w:cs="Times New Roman"/>
                <w:lang w:eastAsia="hr-HR"/>
              </w:rPr>
            </w:pPr>
            <w:r>
              <w:rPr>
                <w:rFonts w:ascii="Times New Roman" w:hAnsi="Times New Roman" w:cs="Times New Roman"/>
                <w:lang w:eastAsia="hr-HR"/>
              </w:rPr>
              <w:t>18.069,29</w:t>
            </w:r>
          </w:p>
        </w:tc>
      </w:tr>
      <w:tr w:rsidR="004B66DB" w:rsidRPr="00091BF3" w14:paraId="36CC84CF" w14:textId="77777777" w:rsidTr="00F65BC7">
        <w:trPr>
          <w:gridAfter w:val="1"/>
          <w:wAfter w:w="66" w:type="dxa"/>
          <w:trHeight w:val="255"/>
        </w:trPr>
        <w:tc>
          <w:tcPr>
            <w:tcW w:w="3795" w:type="dxa"/>
            <w:gridSpan w:val="2"/>
            <w:tcBorders>
              <w:top w:val="nil"/>
              <w:left w:val="nil"/>
              <w:bottom w:val="nil"/>
              <w:right w:val="nil"/>
            </w:tcBorders>
            <w:shd w:val="clear" w:color="auto" w:fill="auto"/>
            <w:noWrap/>
            <w:vAlign w:val="bottom"/>
            <w:hideMark/>
          </w:tcPr>
          <w:p w14:paraId="0B8CED99" w14:textId="77777777" w:rsidR="004B66DB" w:rsidRPr="00091BF3" w:rsidRDefault="004B66DB" w:rsidP="00484918">
            <w:pPr>
              <w:spacing w:after="0" w:line="240" w:lineRule="auto"/>
              <w:rPr>
                <w:rFonts w:ascii="Times New Roman" w:hAnsi="Times New Roman" w:cs="Times New Roman"/>
                <w:lang w:eastAsia="hr-HR"/>
              </w:rPr>
            </w:pPr>
            <w:r w:rsidRPr="00091BF3">
              <w:rPr>
                <w:rFonts w:ascii="Times New Roman" w:hAnsi="Times New Roman" w:cs="Times New Roman"/>
                <w:lang w:eastAsia="hr-HR"/>
              </w:rPr>
              <w:t>za komunalnu naknadu</w:t>
            </w:r>
          </w:p>
        </w:tc>
        <w:tc>
          <w:tcPr>
            <w:tcW w:w="1664" w:type="dxa"/>
            <w:tcBorders>
              <w:top w:val="nil"/>
              <w:left w:val="nil"/>
              <w:bottom w:val="nil"/>
              <w:right w:val="nil"/>
            </w:tcBorders>
            <w:shd w:val="clear" w:color="auto" w:fill="auto"/>
            <w:noWrap/>
            <w:vAlign w:val="bottom"/>
            <w:hideMark/>
          </w:tcPr>
          <w:p w14:paraId="3883B21E" w14:textId="77777777" w:rsidR="004B66DB" w:rsidRPr="00091BF3" w:rsidRDefault="004B66DB" w:rsidP="00484918">
            <w:pPr>
              <w:spacing w:after="0" w:line="240" w:lineRule="auto"/>
              <w:rPr>
                <w:rFonts w:ascii="Times New Roman" w:hAnsi="Times New Roman" w:cs="Times New Roman"/>
                <w:lang w:eastAsia="hr-HR"/>
              </w:rPr>
            </w:pPr>
          </w:p>
        </w:tc>
        <w:tc>
          <w:tcPr>
            <w:tcW w:w="862" w:type="dxa"/>
            <w:tcBorders>
              <w:top w:val="nil"/>
              <w:left w:val="nil"/>
              <w:bottom w:val="nil"/>
              <w:right w:val="nil"/>
            </w:tcBorders>
            <w:shd w:val="clear" w:color="auto" w:fill="auto"/>
            <w:noWrap/>
            <w:vAlign w:val="bottom"/>
            <w:hideMark/>
          </w:tcPr>
          <w:p w14:paraId="2F54F0D5" w14:textId="77777777" w:rsidR="004B66DB" w:rsidRPr="00091BF3" w:rsidRDefault="004B66DB" w:rsidP="00484918">
            <w:pPr>
              <w:spacing w:after="0" w:line="240" w:lineRule="auto"/>
              <w:rPr>
                <w:rFonts w:ascii="Times New Roman" w:hAnsi="Times New Roman" w:cs="Times New Roman"/>
                <w:lang w:eastAsia="hr-HR"/>
              </w:rPr>
            </w:pPr>
          </w:p>
        </w:tc>
        <w:tc>
          <w:tcPr>
            <w:tcW w:w="876" w:type="dxa"/>
            <w:tcBorders>
              <w:top w:val="nil"/>
              <w:left w:val="nil"/>
              <w:bottom w:val="nil"/>
              <w:right w:val="nil"/>
            </w:tcBorders>
            <w:shd w:val="clear" w:color="auto" w:fill="auto"/>
            <w:noWrap/>
            <w:vAlign w:val="bottom"/>
            <w:hideMark/>
          </w:tcPr>
          <w:p w14:paraId="68A7DD3D" w14:textId="77777777" w:rsidR="004B66DB" w:rsidRPr="00091BF3" w:rsidRDefault="004B66DB" w:rsidP="00484918">
            <w:pPr>
              <w:spacing w:after="0" w:line="240" w:lineRule="auto"/>
              <w:rPr>
                <w:rFonts w:ascii="Times New Roman" w:hAnsi="Times New Roman" w:cs="Times New Roman"/>
                <w:lang w:eastAsia="hr-HR"/>
              </w:rPr>
            </w:pPr>
          </w:p>
        </w:tc>
        <w:tc>
          <w:tcPr>
            <w:tcW w:w="269" w:type="dxa"/>
            <w:tcBorders>
              <w:top w:val="nil"/>
              <w:left w:val="nil"/>
              <w:bottom w:val="nil"/>
              <w:right w:val="nil"/>
            </w:tcBorders>
            <w:shd w:val="clear" w:color="auto" w:fill="auto"/>
            <w:noWrap/>
            <w:vAlign w:val="bottom"/>
            <w:hideMark/>
          </w:tcPr>
          <w:p w14:paraId="0ADF6067" w14:textId="77777777" w:rsidR="004B66DB" w:rsidRPr="00091BF3" w:rsidRDefault="004B66DB" w:rsidP="00484918">
            <w:pPr>
              <w:spacing w:after="0" w:line="240" w:lineRule="auto"/>
              <w:rPr>
                <w:rFonts w:ascii="Times New Roman" w:hAnsi="Times New Roman" w:cs="Times New Roman"/>
                <w:lang w:eastAsia="hr-HR"/>
              </w:rPr>
            </w:pPr>
          </w:p>
        </w:tc>
        <w:tc>
          <w:tcPr>
            <w:tcW w:w="1858" w:type="dxa"/>
            <w:tcBorders>
              <w:top w:val="nil"/>
              <w:left w:val="nil"/>
              <w:bottom w:val="nil"/>
              <w:right w:val="nil"/>
            </w:tcBorders>
            <w:shd w:val="clear" w:color="auto" w:fill="auto"/>
            <w:noWrap/>
            <w:vAlign w:val="bottom"/>
            <w:hideMark/>
          </w:tcPr>
          <w:p w14:paraId="368210D5" w14:textId="52081C95" w:rsidR="004B66DB" w:rsidRPr="00091BF3" w:rsidRDefault="00B34E27" w:rsidP="00484918">
            <w:pPr>
              <w:spacing w:after="0" w:line="240" w:lineRule="auto"/>
              <w:jc w:val="right"/>
              <w:rPr>
                <w:rFonts w:ascii="Times New Roman" w:hAnsi="Times New Roman" w:cs="Times New Roman"/>
                <w:lang w:eastAsia="hr-HR"/>
              </w:rPr>
            </w:pPr>
            <w:r>
              <w:rPr>
                <w:rFonts w:ascii="Times New Roman" w:hAnsi="Times New Roman" w:cs="Times New Roman"/>
                <w:lang w:eastAsia="hr-HR"/>
              </w:rPr>
              <w:t>99.110,06</w:t>
            </w:r>
          </w:p>
        </w:tc>
      </w:tr>
      <w:tr w:rsidR="004B66DB" w:rsidRPr="00091BF3" w14:paraId="08A922C8" w14:textId="77777777" w:rsidTr="00F65BC7">
        <w:trPr>
          <w:gridAfter w:val="1"/>
          <w:wAfter w:w="66" w:type="dxa"/>
          <w:trHeight w:val="255"/>
        </w:trPr>
        <w:tc>
          <w:tcPr>
            <w:tcW w:w="5459" w:type="dxa"/>
            <w:gridSpan w:val="3"/>
            <w:tcBorders>
              <w:top w:val="nil"/>
              <w:left w:val="nil"/>
              <w:bottom w:val="nil"/>
              <w:right w:val="nil"/>
            </w:tcBorders>
            <w:shd w:val="clear" w:color="auto" w:fill="auto"/>
            <w:noWrap/>
            <w:vAlign w:val="bottom"/>
            <w:hideMark/>
          </w:tcPr>
          <w:p w14:paraId="5F0FD356" w14:textId="77777777" w:rsidR="004B66DB" w:rsidRPr="00091BF3" w:rsidRDefault="004B66DB" w:rsidP="00484918">
            <w:pPr>
              <w:spacing w:after="0" w:line="240" w:lineRule="auto"/>
              <w:rPr>
                <w:rFonts w:ascii="Times New Roman" w:hAnsi="Times New Roman" w:cs="Times New Roman"/>
                <w:lang w:eastAsia="hr-HR"/>
              </w:rPr>
            </w:pPr>
            <w:r w:rsidRPr="00091BF3">
              <w:rPr>
                <w:rFonts w:ascii="Times New Roman" w:hAnsi="Times New Roman" w:cs="Times New Roman"/>
                <w:lang w:eastAsia="hr-HR"/>
              </w:rPr>
              <w:t>za sufinanciranje (plin,</w:t>
            </w:r>
            <w:r>
              <w:rPr>
                <w:rFonts w:ascii="Times New Roman" w:hAnsi="Times New Roman" w:cs="Times New Roman"/>
                <w:lang w:eastAsia="hr-HR"/>
              </w:rPr>
              <w:t xml:space="preserve"> </w:t>
            </w:r>
            <w:r w:rsidRPr="00091BF3">
              <w:rPr>
                <w:rFonts w:ascii="Times New Roman" w:hAnsi="Times New Roman" w:cs="Times New Roman"/>
                <w:lang w:eastAsia="hr-HR"/>
              </w:rPr>
              <w:t>asfalt,</w:t>
            </w:r>
            <w:r>
              <w:rPr>
                <w:rFonts w:ascii="Times New Roman" w:hAnsi="Times New Roman" w:cs="Times New Roman"/>
                <w:lang w:eastAsia="hr-HR"/>
              </w:rPr>
              <w:t xml:space="preserve"> </w:t>
            </w:r>
            <w:r w:rsidRPr="00091BF3">
              <w:rPr>
                <w:rFonts w:ascii="Times New Roman" w:hAnsi="Times New Roman" w:cs="Times New Roman"/>
                <w:lang w:eastAsia="hr-HR"/>
              </w:rPr>
              <w:t>kanaliz</w:t>
            </w:r>
            <w:r>
              <w:rPr>
                <w:rFonts w:ascii="Times New Roman" w:hAnsi="Times New Roman" w:cs="Times New Roman"/>
                <w:lang w:eastAsia="hr-HR"/>
              </w:rPr>
              <w:t>acija</w:t>
            </w:r>
            <w:r w:rsidRPr="00091BF3">
              <w:rPr>
                <w:rFonts w:ascii="Times New Roman" w:hAnsi="Times New Roman" w:cs="Times New Roman"/>
                <w:lang w:eastAsia="hr-HR"/>
              </w:rPr>
              <w:t>)</w:t>
            </w:r>
          </w:p>
        </w:tc>
        <w:tc>
          <w:tcPr>
            <w:tcW w:w="862" w:type="dxa"/>
            <w:tcBorders>
              <w:top w:val="nil"/>
              <w:left w:val="nil"/>
              <w:bottom w:val="nil"/>
              <w:right w:val="nil"/>
            </w:tcBorders>
            <w:shd w:val="clear" w:color="auto" w:fill="auto"/>
            <w:noWrap/>
            <w:vAlign w:val="bottom"/>
            <w:hideMark/>
          </w:tcPr>
          <w:p w14:paraId="7D2B77C9" w14:textId="77777777" w:rsidR="004B66DB" w:rsidRPr="00091BF3" w:rsidRDefault="004B66DB" w:rsidP="00484918">
            <w:pPr>
              <w:spacing w:after="0" w:line="240" w:lineRule="auto"/>
              <w:rPr>
                <w:rFonts w:ascii="Times New Roman" w:hAnsi="Times New Roman" w:cs="Times New Roman"/>
                <w:lang w:eastAsia="hr-HR"/>
              </w:rPr>
            </w:pPr>
          </w:p>
        </w:tc>
        <w:tc>
          <w:tcPr>
            <w:tcW w:w="876" w:type="dxa"/>
            <w:tcBorders>
              <w:top w:val="nil"/>
              <w:left w:val="nil"/>
              <w:bottom w:val="nil"/>
              <w:right w:val="nil"/>
            </w:tcBorders>
            <w:shd w:val="clear" w:color="auto" w:fill="auto"/>
            <w:noWrap/>
            <w:vAlign w:val="bottom"/>
            <w:hideMark/>
          </w:tcPr>
          <w:p w14:paraId="079F494B" w14:textId="77777777" w:rsidR="004B66DB" w:rsidRPr="00091BF3" w:rsidRDefault="004B66DB" w:rsidP="00484918">
            <w:pPr>
              <w:spacing w:after="0" w:line="240" w:lineRule="auto"/>
              <w:rPr>
                <w:rFonts w:ascii="Times New Roman" w:hAnsi="Times New Roman" w:cs="Times New Roman"/>
                <w:lang w:eastAsia="hr-HR"/>
              </w:rPr>
            </w:pPr>
          </w:p>
        </w:tc>
        <w:tc>
          <w:tcPr>
            <w:tcW w:w="269" w:type="dxa"/>
            <w:tcBorders>
              <w:top w:val="nil"/>
              <w:left w:val="nil"/>
              <w:bottom w:val="nil"/>
              <w:right w:val="nil"/>
            </w:tcBorders>
            <w:shd w:val="clear" w:color="auto" w:fill="auto"/>
            <w:noWrap/>
            <w:vAlign w:val="bottom"/>
            <w:hideMark/>
          </w:tcPr>
          <w:p w14:paraId="04CB6BAF" w14:textId="77777777" w:rsidR="004B66DB" w:rsidRPr="00091BF3" w:rsidRDefault="004B66DB" w:rsidP="00484918">
            <w:pPr>
              <w:spacing w:after="0" w:line="240" w:lineRule="auto"/>
              <w:rPr>
                <w:rFonts w:ascii="Times New Roman" w:hAnsi="Times New Roman" w:cs="Times New Roman"/>
                <w:lang w:eastAsia="hr-HR"/>
              </w:rPr>
            </w:pPr>
          </w:p>
        </w:tc>
        <w:tc>
          <w:tcPr>
            <w:tcW w:w="1858" w:type="dxa"/>
            <w:tcBorders>
              <w:top w:val="nil"/>
              <w:left w:val="nil"/>
              <w:bottom w:val="nil"/>
              <w:right w:val="nil"/>
            </w:tcBorders>
            <w:shd w:val="clear" w:color="auto" w:fill="auto"/>
            <w:noWrap/>
            <w:vAlign w:val="bottom"/>
            <w:hideMark/>
          </w:tcPr>
          <w:p w14:paraId="0AEEDD36" w14:textId="45F20514" w:rsidR="004B66DB" w:rsidRPr="00091BF3" w:rsidRDefault="00B34E27" w:rsidP="00484918">
            <w:pPr>
              <w:spacing w:after="0" w:line="240" w:lineRule="auto"/>
              <w:jc w:val="right"/>
              <w:rPr>
                <w:rFonts w:ascii="Times New Roman" w:hAnsi="Times New Roman" w:cs="Times New Roman"/>
                <w:lang w:eastAsia="hr-HR"/>
              </w:rPr>
            </w:pPr>
            <w:r>
              <w:rPr>
                <w:rFonts w:ascii="Times New Roman" w:hAnsi="Times New Roman" w:cs="Times New Roman"/>
                <w:lang w:eastAsia="hr-HR"/>
              </w:rPr>
              <w:t>16.480,79</w:t>
            </w:r>
          </w:p>
        </w:tc>
      </w:tr>
      <w:tr w:rsidR="004B66DB" w:rsidRPr="00091BF3" w14:paraId="14CC97E5" w14:textId="77777777" w:rsidTr="00F65BC7">
        <w:trPr>
          <w:gridAfter w:val="1"/>
          <w:wAfter w:w="66" w:type="dxa"/>
          <w:trHeight w:val="255"/>
        </w:trPr>
        <w:tc>
          <w:tcPr>
            <w:tcW w:w="2214" w:type="dxa"/>
            <w:tcBorders>
              <w:top w:val="nil"/>
              <w:left w:val="nil"/>
              <w:bottom w:val="nil"/>
              <w:right w:val="nil"/>
            </w:tcBorders>
            <w:shd w:val="clear" w:color="auto" w:fill="auto"/>
            <w:noWrap/>
            <w:vAlign w:val="bottom"/>
            <w:hideMark/>
          </w:tcPr>
          <w:p w14:paraId="5BA8150B" w14:textId="77777777" w:rsidR="004B66DB" w:rsidRPr="00091BF3" w:rsidRDefault="004B66DB" w:rsidP="00484918">
            <w:pPr>
              <w:spacing w:after="0" w:line="240" w:lineRule="auto"/>
              <w:rPr>
                <w:rFonts w:ascii="Times New Roman" w:hAnsi="Times New Roman" w:cs="Times New Roman"/>
                <w:lang w:eastAsia="hr-HR"/>
              </w:rPr>
            </w:pPr>
            <w:r w:rsidRPr="00091BF3">
              <w:rPr>
                <w:rFonts w:ascii="Times New Roman" w:hAnsi="Times New Roman" w:cs="Times New Roman"/>
                <w:lang w:eastAsia="hr-HR"/>
              </w:rPr>
              <w:t>za povrat stipendija</w:t>
            </w:r>
          </w:p>
        </w:tc>
        <w:tc>
          <w:tcPr>
            <w:tcW w:w="1581" w:type="dxa"/>
            <w:tcBorders>
              <w:top w:val="nil"/>
              <w:left w:val="nil"/>
              <w:bottom w:val="nil"/>
              <w:right w:val="nil"/>
            </w:tcBorders>
            <w:shd w:val="clear" w:color="auto" w:fill="auto"/>
            <w:noWrap/>
            <w:vAlign w:val="bottom"/>
            <w:hideMark/>
          </w:tcPr>
          <w:p w14:paraId="5A3C1E49" w14:textId="77777777" w:rsidR="004B66DB" w:rsidRPr="00091BF3" w:rsidRDefault="004B66DB" w:rsidP="00484918">
            <w:pPr>
              <w:spacing w:after="0" w:line="240" w:lineRule="auto"/>
              <w:rPr>
                <w:rFonts w:ascii="Times New Roman" w:hAnsi="Times New Roman" w:cs="Times New Roman"/>
                <w:lang w:eastAsia="hr-HR"/>
              </w:rPr>
            </w:pPr>
          </w:p>
        </w:tc>
        <w:tc>
          <w:tcPr>
            <w:tcW w:w="1664" w:type="dxa"/>
            <w:tcBorders>
              <w:top w:val="nil"/>
              <w:left w:val="nil"/>
              <w:bottom w:val="nil"/>
              <w:right w:val="nil"/>
            </w:tcBorders>
            <w:shd w:val="clear" w:color="auto" w:fill="auto"/>
            <w:noWrap/>
            <w:vAlign w:val="bottom"/>
            <w:hideMark/>
          </w:tcPr>
          <w:p w14:paraId="4F62C7CF" w14:textId="77777777" w:rsidR="004B66DB" w:rsidRPr="00091BF3" w:rsidRDefault="004B66DB" w:rsidP="00484918">
            <w:pPr>
              <w:spacing w:after="0" w:line="240" w:lineRule="auto"/>
              <w:rPr>
                <w:rFonts w:ascii="Times New Roman" w:hAnsi="Times New Roman" w:cs="Times New Roman"/>
                <w:lang w:eastAsia="hr-HR"/>
              </w:rPr>
            </w:pPr>
          </w:p>
        </w:tc>
        <w:tc>
          <w:tcPr>
            <w:tcW w:w="862" w:type="dxa"/>
            <w:tcBorders>
              <w:top w:val="nil"/>
              <w:left w:val="nil"/>
              <w:bottom w:val="nil"/>
              <w:right w:val="nil"/>
            </w:tcBorders>
            <w:shd w:val="clear" w:color="auto" w:fill="auto"/>
            <w:noWrap/>
            <w:vAlign w:val="bottom"/>
            <w:hideMark/>
          </w:tcPr>
          <w:p w14:paraId="1B98429E" w14:textId="77777777" w:rsidR="004B66DB" w:rsidRPr="00091BF3" w:rsidRDefault="004B66DB" w:rsidP="00484918">
            <w:pPr>
              <w:spacing w:after="0" w:line="240" w:lineRule="auto"/>
              <w:rPr>
                <w:rFonts w:ascii="Times New Roman" w:hAnsi="Times New Roman" w:cs="Times New Roman"/>
                <w:lang w:eastAsia="hr-HR"/>
              </w:rPr>
            </w:pPr>
          </w:p>
        </w:tc>
        <w:tc>
          <w:tcPr>
            <w:tcW w:w="876" w:type="dxa"/>
            <w:tcBorders>
              <w:top w:val="nil"/>
              <w:left w:val="nil"/>
              <w:bottom w:val="nil"/>
              <w:right w:val="nil"/>
            </w:tcBorders>
            <w:shd w:val="clear" w:color="auto" w:fill="auto"/>
            <w:noWrap/>
            <w:vAlign w:val="bottom"/>
            <w:hideMark/>
          </w:tcPr>
          <w:p w14:paraId="3B4068E3" w14:textId="77777777" w:rsidR="004B66DB" w:rsidRPr="00091BF3" w:rsidRDefault="004B66DB" w:rsidP="00484918">
            <w:pPr>
              <w:spacing w:after="0" w:line="240" w:lineRule="auto"/>
              <w:rPr>
                <w:rFonts w:ascii="Times New Roman" w:hAnsi="Times New Roman" w:cs="Times New Roman"/>
                <w:lang w:eastAsia="hr-HR"/>
              </w:rPr>
            </w:pPr>
          </w:p>
        </w:tc>
        <w:tc>
          <w:tcPr>
            <w:tcW w:w="269" w:type="dxa"/>
            <w:tcBorders>
              <w:top w:val="nil"/>
              <w:left w:val="nil"/>
              <w:bottom w:val="nil"/>
              <w:right w:val="nil"/>
            </w:tcBorders>
            <w:shd w:val="clear" w:color="auto" w:fill="auto"/>
            <w:noWrap/>
            <w:vAlign w:val="bottom"/>
            <w:hideMark/>
          </w:tcPr>
          <w:p w14:paraId="31049CDD" w14:textId="77777777" w:rsidR="004B66DB" w:rsidRPr="00091BF3" w:rsidRDefault="004B66DB" w:rsidP="00484918">
            <w:pPr>
              <w:spacing w:after="0" w:line="240" w:lineRule="auto"/>
              <w:rPr>
                <w:rFonts w:ascii="Times New Roman" w:hAnsi="Times New Roman" w:cs="Times New Roman"/>
                <w:lang w:eastAsia="hr-HR"/>
              </w:rPr>
            </w:pPr>
          </w:p>
        </w:tc>
        <w:tc>
          <w:tcPr>
            <w:tcW w:w="1858" w:type="dxa"/>
            <w:tcBorders>
              <w:top w:val="nil"/>
              <w:left w:val="nil"/>
              <w:bottom w:val="nil"/>
              <w:right w:val="nil"/>
            </w:tcBorders>
            <w:shd w:val="clear" w:color="auto" w:fill="auto"/>
            <w:noWrap/>
            <w:vAlign w:val="bottom"/>
            <w:hideMark/>
          </w:tcPr>
          <w:p w14:paraId="1902A04E" w14:textId="39AB7272" w:rsidR="004B66DB" w:rsidRPr="00091BF3" w:rsidRDefault="00852CD5" w:rsidP="00484918">
            <w:pPr>
              <w:spacing w:after="0" w:line="240" w:lineRule="auto"/>
              <w:jc w:val="right"/>
              <w:rPr>
                <w:rFonts w:ascii="Times New Roman" w:hAnsi="Times New Roman" w:cs="Times New Roman"/>
                <w:lang w:eastAsia="hr-HR"/>
              </w:rPr>
            </w:pPr>
            <w:r>
              <w:rPr>
                <w:rFonts w:ascii="Times New Roman" w:hAnsi="Times New Roman" w:cs="Times New Roman"/>
                <w:lang w:eastAsia="hr-HR"/>
              </w:rPr>
              <w:t>3.</w:t>
            </w:r>
            <w:r w:rsidR="00B34E27">
              <w:rPr>
                <w:rFonts w:ascii="Times New Roman" w:hAnsi="Times New Roman" w:cs="Times New Roman"/>
                <w:lang w:eastAsia="hr-HR"/>
              </w:rPr>
              <w:t>720,59</w:t>
            </w:r>
          </w:p>
        </w:tc>
      </w:tr>
      <w:tr w:rsidR="004B66DB" w:rsidRPr="00091BF3" w14:paraId="575BF604" w14:textId="77777777" w:rsidTr="00F65BC7">
        <w:trPr>
          <w:gridAfter w:val="1"/>
          <w:wAfter w:w="66" w:type="dxa"/>
          <w:trHeight w:val="255"/>
        </w:trPr>
        <w:tc>
          <w:tcPr>
            <w:tcW w:w="5459" w:type="dxa"/>
            <w:gridSpan w:val="3"/>
            <w:tcBorders>
              <w:top w:val="nil"/>
              <w:left w:val="nil"/>
              <w:bottom w:val="nil"/>
              <w:right w:val="nil"/>
            </w:tcBorders>
            <w:shd w:val="clear" w:color="auto" w:fill="auto"/>
            <w:noWrap/>
            <w:vAlign w:val="bottom"/>
          </w:tcPr>
          <w:p w14:paraId="0F0DC216" w14:textId="77777777" w:rsidR="004B66DB" w:rsidRPr="00091BF3" w:rsidRDefault="004B66DB" w:rsidP="00484918">
            <w:pPr>
              <w:spacing w:after="0" w:line="240" w:lineRule="auto"/>
              <w:rPr>
                <w:rFonts w:ascii="Times New Roman" w:hAnsi="Times New Roman" w:cs="Times New Roman"/>
                <w:lang w:eastAsia="hr-HR"/>
              </w:rPr>
            </w:pPr>
            <w:r>
              <w:rPr>
                <w:rFonts w:ascii="Times New Roman" w:hAnsi="Times New Roman" w:cs="Times New Roman"/>
                <w:lang w:eastAsia="hr-HR"/>
              </w:rPr>
              <w:t xml:space="preserve">za naknadu za prenamjenu </w:t>
            </w:r>
            <w:proofErr w:type="spellStart"/>
            <w:r>
              <w:rPr>
                <w:rFonts w:ascii="Times New Roman" w:hAnsi="Times New Roman" w:cs="Times New Roman"/>
                <w:lang w:eastAsia="hr-HR"/>
              </w:rPr>
              <w:t>polj</w:t>
            </w:r>
            <w:proofErr w:type="spellEnd"/>
            <w:r>
              <w:rPr>
                <w:rFonts w:ascii="Times New Roman" w:hAnsi="Times New Roman" w:cs="Times New Roman"/>
                <w:lang w:eastAsia="hr-HR"/>
              </w:rPr>
              <w:t>. zemljišta (prihod Grada)</w:t>
            </w:r>
          </w:p>
        </w:tc>
        <w:tc>
          <w:tcPr>
            <w:tcW w:w="862" w:type="dxa"/>
            <w:tcBorders>
              <w:top w:val="nil"/>
              <w:left w:val="nil"/>
              <w:bottom w:val="nil"/>
              <w:right w:val="nil"/>
            </w:tcBorders>
            <w:shd w:val="clear" w:color="auto" w:fill="auto"/>
            <w:noWrap/>
            <w:vAlign w:val="bottom"/>
          </w:tcPr>
          <w:p w14:paraId="1DDB7067" w14:textId="77777777" w:rsidR="004B66DB" w:rsidRPr="00091BF3" w:rsidRDefault="004B66DB" w:rsidP="00484918">
            <w:pPr>
              <w:spacing w:after="0" w:line="240" w:lineRule="auto"/>
              <w:rPr>
                <w:rFonts w:ascii="Times New Roman" w:hAnsi="Times New Roman" w:cs="Times New Roman"/>
                <w:lang w:eastAsia="hr-HR"/>
              </w:rPr>
            </w:pPr>
          </w:p>
        </w:tc>
        <w:tc>
          <w:tcPr>
            <w:tcW w:w="876" w:type="dxa"/>
            <w:tcBorders>
              <w:top w:val="nil"/>
              <w:left w:val="nil"/>
              <w:bottom w:val="nil"/>
              <w:right w:val="nil"/>
            </w:tcBorders>
            <w:shd w:val="clear" w:color="auto" w:fill="auto"/>
            <w:noWrap/>
            <w:vAlign w:val="bottom"/>
          </w:tcPr>
          <w:p w14:paraId="0673F1EB" w14:textId="77777777" w:rsidR="004B66DB" w:rsidRPr="00091BF3" w:rsidRDefault="004B66DB" w:rsidP="00484918">
            <w:pPr>
              <w:spacing w:after="0" w:line="240" w:lineRule="auto"/>
              <w:rPr>
                <w:rFonts w:ascii="Times New Roman" w:hAnsi="Times New Roman" w:cs="Times New Roman"/>
                <w:lang w:eastAsia="hr-HR"/>
              </w:rPr>
            </w:pPr>
          </w:p>
        </w:tc>
        <w:tc>
          <w:tcPr>
            <w:tcW w:w="269" w:type="dxa"/>
            <w:tcBorders>
              <w:top w:val="nil"/>
              <w:left w:val="nil"/>
              <w:bottom w:val="nil"/>
              <w:right w:val="nil"/>
            </w:tcBorders>
            <w:shd w:val="clear" w:color="auto" w:fill="auto"/>
            <w:noWrap/>
            <w:vAlign w:val="bottom"/>
          </w:tcPr>
          <w:p w14:paraId="29147753" w14:textId="77777777" w:rsidR="004B66DB" w:rsidRPr="00091BF3" w:rsidRDefault="004B66DB" w:rsidP="00484918">
            <w:pPr>
              <w:spacing w:after="0" w:line="240" w:lineRule="auto"/>
              <w:rPr>
                <w:rFonts w:ascii="Times New Roman" w:hAnsi="Times New Roman" w:cs="Times New Roman"/>
                <w:lang w:eastAsia="hr-HR"/>
              </w:rPr>
            </w:pPr>
          </w:p>
        </w:tc>
        <w:tc>
          <w:tcPr>
            <w:tcW w:w="1858" w:type="dxa"/>
            <w:tcBorders>
              <w:top w:val="nil"/>
              <w:left w:val="nil"/>
              <w:bottom w:val="nil"/>
              <w:right w:val="nil"/>
            </w:tcBorders>
            <w:shd w:val="clear" w:color="auto" w:fill="auto"/>
            <w:noWrap/>
            <w:vAlign w:val="bottom"/>
          </w:tcPr>
          <w:p w14:paraId="1132726A" w14:textId="1F866F13" w:rsidR="004B66DB" w:rsidRDefault="00852CD5" w:rsidP="00484918">
            <w:pPr>
              <w:spacing w:after="0" w:line="240" w:lineRule="auto"/>
              <w:jc w:val="right"/>
              <w:rPr>
                <w:rFonts w:ascii="Times New Roman" w:hAnsi="Times New Roman" w:cs="Times New Roman"/>
                <w:lang w:eastAsia="hr-HR"/>
              </w:rPr>
            </w:pPr>
            <w:r>
              <w:rPr>
                <w:rFonts w:ascii="Times New Roman" w:hAnsi="Times New Roman" w:cs="Times New Roman"/>
                <w:lang w:eastAsia="hr-HR"/>
              </w:rPr>
              <w:t>-0,06</w:t>
            </w:r>
          </w:p>
        </w:tc>
      </w:tr>
      <w:tr w:rsidR="004B66DB" w:rsidRPr="00091BF3" w14:paraId="3E3668B4" w14:textId="77777777" w:rsidTr="00F65BC7">
        <w:trPr>
          <w:gridAfter w:val="1"/>
          <w:wAfter w:w="66" w:type="dxa"/>
          <w:trHeight w:val="255"/>
        </w:trPr>
        <w:tc>
          <w:tcPr>
            <w:tcW w:w="5459" w:type="dxa"/>
            <w:gridSpan w:val="3"/>
            <w:tcBorders>
              <w:top w:val="nil"/>
              <w:left w:val="nil"/>
              <w:bottom w:val="nil"/>
              <w:right w:val="nil"/>
            </w:tcBorders>
            <w:shd w:val="clear" w:color="auto" w:fill="auto"/>
            <w:noWrap/>
            <w:vAlign w:val="bottom"/>
          </w:tcPr>
          <w:p w14:paraId="7DF9E96A" w14:textId="77777777" w:rsidR="004B66DB" w:rsidRDefault="004B66DB" w:rsidP="00484918">
            <w:pPr>
              <w:spacing w:after="0" w:line="240" w:lineRule="auto"/>
              <w:rPr>
                <w:rFonts w:ascii="Times New Roman" w:hAnsi="Times New Roman" w:cs="Times New Roman"/>
                <w:lang w:eastAsia="hr-HR"/>
              </w:rPr>
            </w:pPr>
            <w:r>
              <w:rPr>
                <w:rFonts w:ascii="Times New Roman" w:hAnsi="Times New Roman" w:cs="Times New Roman"/>
                <w:lang w:eastAsia="hr-HR"/>
              </w:rPr>
              <w:t xml:space="preserve">za naknada za prenamjenu </w:t>
            </w:r>
            <w:proofErr w:type="spellStart"/>
            <w:r>
              <w:rPr>
                <w:rFonts w:ascii="Times New Roman" w:hAnsi="Times New Roman" w:cs="Times New Roman"/>
                <w:lang w:eastAsia="hr-HR"/>
              </w:rPr>
              <w:t>polj</w:t>
            </w:r>
            <w:proofErr w:type="spellEnd"/>
            <w:r>
              <w:rPr>
                <w:rFonts w:ascii="Times New Roman" w:hAnsi="Times New Roman" w:cs="Times New Roman"/>
                <w:lang w:eastAsia="hr-HR"/>
              </w:rPr>
              <w:t>. zemljišta (tuđi prihod)</w:t>
            </w:r>
          </w:p>
        </w:tc>
        <w:tc>
          <w:tcPr>
            <w:tcW w:w="862" w:type="dxa"/>
            <w:tcBorders>
              <w:top w:val="nil"/>
              <w:left w:val="nil"/>
              <w:bottom w:val="nil"/>
              <w:right w:val="nil"/>
            </w:tcBorders>
            <w:shd w:val="clear" w:color="auto" w:fill="auto"/>
            <w:noWrap/>
            <w:vAlign w:val="bottom"/>
          </w:tcPr>
          <w:p w14:paraId="777C9246" w14:textId="77777777" w:rsidR="004B66DB" w:rsidRPr="00091BF3" w:rsidRDefault="004B66DB" w:rsidP="00484918">
            <w:pPr>
              <w:spacing w:after="0" w:line="240" w:lineRule="auto"/>
              <w:rPr>
                <w:rFonts w:ascii="Times New Roman" w:hAnsi="Times New Roman" w:cs="Times New Roman"/>
                <w:lang w:eastAsia="hr-HR"/>
              </w:rPr>
            </w:pPr>
          </w:p>
        </w:tc>
        <w:tc>
          <w:tcPr>
            <w:tcW w:w="876" w:type="dxa"/>
            <w:tcBorders>
              <w:top w:val="nil"/>
              <w:left w:val="nil"/>
              <w:bottom w:val="nil"/>
              <w:right w:val="nil"/>
            </w:tcBorders>
            <w:shd w:val="clear" w:color="auto" w:fill="auto"/>
            <w:noWrap/>
            <w:vAlign w:val="bottom"/>
          </w:tcPr>
          <w:p w14:paraId="0104708F" w14:textId="77777777" w:rsidR="004B66DB" w:rsidRPr="00091BF3" w:rsidRDefault="004B66DB" w:rsidP="00484918">
            <w:pPr>
              <w:spacing w:after="0" w:line="240" w:lineRule="auto"/>
              <w:rPr>
                <w:rFonts w:ascii="Times New Roman" w:hAnsi="Times New Roman" w:cs="Times New Roman"/>
                <w:lang w:eastAsia="hr-HR"/>
              </w:rPr>
            </w:pPr>
          </w:p>
        </w:tc>
        <w:tc>
          <w:tcPr>
            <w:tcW w:w="269" w:type="dxa"/>
            <w:tcBorders>
              <w:top w:val="nil"/>
              <w:left w:val="nil"/>
              <w:bottom w:val="nil"/>
              <w:right w:val="nil"/>
            </w:tcBorders>
            <w:shd w:val="clear" w:color="auto" w:fill="auto"/>
            <w:noWrap/>
            <w:vAlign w:val="bottom"/>
          </w:tcPr>
          <w:p w14:paraId="225ECB6F" w14:textId="77777777" w:rsidR="004B66DB" w:rsidRPr="00091BF3" w:rsidRDefault="004B66DB" w:rsidP="00484918">
            <w:pPr>
              <w:spacing w:after="0" w:line="240" w:lineRule="auto"/>
              <w:rPr>
                <w:rFonts w:ascii="Times New Roman" w:hAnsi="Times New Roman" w:cs="Times New Roman"/>
                <w:lang w:eastAsia="hr-HR"/>
              </w:rPr>
            </w:pPr>
          </w:p>
        </w:tc>
        <w:tc>
          <w:tcPr>
            <w:tcW w:w="1858" w:type="dxa"/>
            <w:tcBorders>
              <w:top w:val="nil"/>
              <w:left w:val="nil"/>
              <w:bottom w:val="nil"/>
              <w:right w:val="nil"/>
            </w:tcBorders>
            <w:shd w:val="clear" w:color="auto" w:fill="auto"/>
            <w:noWrap/>
            <w:vAlign w:val="bottom"/>
          </w:tcPr>
          <w:p w14:paraId="29AF1E9E" w14:textId="7893C690" w:rsidR="004B66DB" w:rsidRDefault="00852CD5" w:rsidP="00484918">
            <w:pPr>
              <w:spacing w:after="0" w:line="240" w:lineRule="auto"/>
              <w:jc w:val="right"/>
              <w:rPr>
                <w:rFonts w:ascii="Times New Roman" w:hAnsi="Times New Roman" w:cs="Times New Roman"/>
                <w:lang w:eastAsia="hr-HR"/>
              </w:rPr>
            </w:pPr>
            <w:r>
              <w:rPr>
                <w:rFonts w:ascii="Times New Roman" w:hAnsi="Times New Roman" w:cs="Times New Roman"/>
                <w:lang w:eastAsia="hr-HR"/>
              </w:rPr>
              <w:t>-0,15</w:t>
            </w:r>
          </w:p>
        </w:tc>
      </w:tr>
      <w:tr w:rsidR="004B66DB" w:rsidRPr="00091BF3" w14:paraId="06B0EDCF" w14:textId="77777777" w:rsidTr="00F65BC7">
        <w:trPr>
          <w:gridAfter w:val="1"/>
          <w:wAfter w:w="66" w:type="dxa"/>
          <w:trHeight w:val="255"/>
        </w:trPr>
        <w:tc>
          <w:tcPr>
            <w:tcW w:w="7197" w:type="dxa"/>
            <w:gridSpan w:val="5"/>
            <w:tcBorders>
              <w:top w:val="nil"/>
              <w:left w:val="nil"/>
              <w:right w:val="nil"/>
            </w:tcBorders>
            <w:shd w:val="clear" w:color="auto" w:fill="auto"/>
            <w:noWrap/>
            <w:vAlign w:val="bottom"/>
          </w:tcPr>
          <w:p w14:paraId="485BA6A8" w14:textId="77777777" w:rsidR="004B66DB" w:rsidRPr="00091BF3" w:rsidRDefault="004B66DB" w:rsidP="00484918">
            <w:pPr>
              <w:spacing w:after="0" w:line="240" w:lineRule="auto"/>
              <w:rPr>
                <w:rFonts w:ascii="Times New Roman" w:hAnsi="Times New Roman" w:cs="Times New Roman"/>
                <w:lang w:eastAsia="hr-HR"/>
              </w:rPr>
            </w:pPr>
            <w:r>
              <w:rPr>
                <w:rFonts w:ascii="Times New Roman" w:hAnsi="Times New Roman" w:cs="Times New Roman"/>
                <w:lang w:eastAsia="hr-HR"/>
              </w:rPr>
              <w:t>za prihode od pruženih usluga (Hrvatske vode, isporuka el. energije)</w:t>
            </w:r>
          </w:p>
        </w:tc>
        <w:tc>
          <w:tcPr>
            <w:tcW w:w="269" w:type="dxa"/>
            <w:tcBorders>
              <w:top w:val="nil"/>
              <w:left w:val="nil"/>
              <w:right w:val="nil"/>
            </w:tcBorders>
            <w:shd w:val="clear" w:color="auto" w:fill="auto"/>
            <w:noWrap/>
            <w:vAlign w:val="bottom"/>
          </w:tcPr>
          <w:p w14:paraId="7F155458" w14:textId="77777777" w:rsidR="004B66DB" w:rsidRPr="00091BF3" w:rsidRDefault="004B66DB" w:rsidP="00484918">
            <w:pPr>
              <w:spacing w:after="0" w:line="240" w:lineRule="auto"/>
              <w:rPr>
                <w:rFonts w:ascii="Times New Roman" w:hAnsi="Times New Roman" w:cs="Times New Roman"/>
                <w:lang w:eastAsia="hr-HR"/>
              </w:rPr>
            </w:pPr>
          </w:p>
        </w:tc>
        <w:tc>
          <w:tcPr>
            <w:tcW w:w="1858" w:type="dxa"/>
            <w:tcBorders>
              <w:top w:val="nil"/>
              <w:left w:val="nil"/>
              <w:right w:val="nil"/>
            </w:tcBorders>
            <w:shd w:val="clear" w:color="auto" w:fill="auto"/>
            <w:noWrap/>
            <w:vAlign w:val="bottom"/>
          </w:tcPr>
          <w:p w14:paraId="7051A196" w14:textId="7C4667F3" w:rsidR="004B66DB" w:rsidRDefault="00B34E27" w:rsidP="00484918">
            <w:pPr>
              <w:spacing w:after="0" w:line="240" w:lineRule="auto"/>
              <w:jc w:val="right"/>
              <w:rPr>
                <w:rFonts w:ascii="Times New Roman" w:hAnsi="Times New Roman" w:cs="Times New Roman"/>
                <w:lang w:eastAsia="hr-HR"/>
              </w:rPr>
            </w:pPr>
            <w:r>
              <w:rPr>
                <w:rFonts w:ascii="Times New Roman" w:hAnsi="Times New Roman" w:cs="Times New Roman"/>
                <w:lang w:eastAsia="hr-HR"/>
              </w:rPr>
              <w:t>1.731,75</w:t>
            </w:r>
          </w:p>
        </w:tc>
      </w:tr>
      <w:tr w:rsidR="004B66DB" w:rsidRPr="00091BF3" w14:paraId="75890725" w14:textId="77777777" w:rsidTr="00F65BC7">
        <w:trPr>
          <w:gridAfter w:val="1"/>
          <w:wAfter w:w="66" w:type="dxa"/>
          <w:trHeight w:val="255"/>
        </w:trPr>
        <w:tc>
          <w:tcPr>
            <w:tcW w:w="5459" w:type="dxa"/>
            <w:gridSpan w:val="3"/>
            <w:tcBorders>
              <w:top w:val="nil"/>
              <w:left w:val="nil"/>
              <w:bottom w:val="single" w:sz="4" w:space="0" w:color="auto"/>
              <w:right w:val="nil"/>
            </w:tcBorders>
            <w:shd w:val="clear" w:color="auto" w:fill="auto"/>
            <w:noWrap/>
            <w:vAlign w:val="bottom"/>
          </w:tcPr>
          <w:p w14:paraId="4C9FCA7B" w14:textId="77777777" w:rsidR="004B66DB" w:rsidRDefault="004B66DB" w:rsidP="00484918">
            <w:pPr>
              <w:spacing w:after="0" w:line="240" w:lineRule="auto"/>
              <w:rPr>
                <w:rFonts w:ascii="Times New Roman" w:hAnsi="Times New Roman" w:cs="Times New Roman"/>
                <w:lang w:eastAsia="hr-HR"/>
              </w:rPr>
            </w:pPr>
            <w:r>
              <w:rPr>
                <w:rFonts w:ascii="Times New Roman" w:hAnsi="Times New Roman" w:cs="Times New Roman"/>
                <w:lang w:eastAsia="hr-HR"/>
              </w:rPr>
              <w:t>Za ostale prihode (troškove ovršnih postupaka i ostalo)</w:t>
            </w:r>
          </w:p>
        </w:tc>
        <w:tc>
          <w:tcPr>
            <w:tcW w:w="862" w:type="dxa"/>
            <w:tcBorders>
              <w:top w:val="nil"/>
              <w:left w:val="nil"/>
              <w:bottom w:val="single" w:sz="4" w:space="0" w:color="auto"/>
              <w:right w:val="nil"/>
            </w:tcBorders>
            <w:shd w:val="clear" w:color="auto" w:fill="auto"/>
            <w:noWrap/>
            <w:vAlign w:val="bottom"/>
          </w:tcPr>
          <w:p w14:paraId="2927B7F0" w14:textId="77777777" w:rsidR="004B66DB" w:rsidRPr="00091BF3" w:rsidRDefault="004B66DB" w:rsidP="00484918">
            <w:pPr>
              <w:spacing w:after="0" w:line="240" w:lineRule="auto"/>
              <w:rPr>
                <w:rFonts w:ascii="Times New Roman" w:hAnsi="Times New Roman" w:cs="Times New Roman"/>
                <w:lang w:eastAsia="hr-HR"/>
              </w:rPr>
            </w:pPr>
          </w:p>
        </w:tc>
        <w:tc>
          <w:tcPr>
            <w:tcW w:w="876" w:type="dxa"/>
            <w:tcBorders>
              <w:top w:val="nil"/>
              <w:left w:val="nil"/>
              <w:bottom w:val="single" w:sz="4" w:space="0" w:color="auto"/>
              <w:right w:val="nil"/>
            </w:tcBorders>
            <w:shd w:val="clear" w:color="auto" w:fill="auto"/>
            <w:noWrap/>
            <w:vAlign w:val="bottom"/>
          </w:tcPr>
          <w:p w14:paraId="73C83133" w14:textId="77777777" w:rsidR="004B66DB" w:rsidRPr="00091BF3" w:rsidRDefault="004B66DB" w:rsidP="00484918">
            <w:pPr>
              <w:spacing w:after="0" w:line="240" w:lineRule="auto"/>
              <w:rPr>
                <w:rFonts w:ascii="Times New Roman" w:hAnsi="Times New Roman" w:cs="Times New Roman"/>
                <w:lang w:eastAsia="hr-HR"/>
              </w:rPr>
            </w:pPr>
          </w:p>
        </w:tc>
        <w:tc>
          <w:tcPr>
            <w:tcW w:w="269" w:type="dxa"/>
            <w:tcBorders>
              <w:top w:val="nil"/>
              <w:left w:val="nil"/>
              <w:bottom w:val="single" w:sz="4" w:space="0" w:color="auto"/>
              <w:right w:val="nil"/>
            </w:tcBorders>
            <w:shd w:val="clear" w:color="auto" w:fill="auto"/>
            <w:noWrap/>
            <w:vAlign w:val="bottom"/>
          </w:tcPr>
          <w:p w14:paraId="62146883" w14:textId="77777777" w:rsidR="004B66DB" w:rsidRPr="00091BF3" w:rsidRDefault="004B66DB" w:rsidP="00484918">
            <w:pPr>
              <w:spacing w:after="0" w:line="240" w:lineRule="auto"/>
              <w:rPr>
                <w:rFonts w:ascii="Times New Roman" w:hAnsi="Times New Roman" w:cs="Times New Roman"/>
                <w:lang w:eastAsia="hr-HR"/>
              </w:rPr>
            </w:pPr>
          </w:p>
        </w:tc>
        <w:tc>
          <w:tcPr>
            <w:tcW w:w="1858" w:type="dxa"/>
            <w:tcBorders>
              <w:top w:val="nil"/>
              <w:left w:val="nil"/>
              <w:bottom w:val="single" w:sz="4" w:space="0" w:color="auto"/>
              <w:right w:val="nil"/>
            </w:tcBorders>
            <w:shd w:val="clear" w:color="auto" w:fill="auto"/>
            <w:noWrap/>
            <w:vAlign w:val="bottom"/>
          </w:tcPr>
          <w:p w14:paraId="43FA5483" w14:textId="5F2B79DB" w:rsidR="004B66DB" w:rsidRDefault="00B34E27" w:rsidP="00484918">
            <w:pPr>
              <w:spacing w:after="0" w:line="240" w:lineRule="auto"/>
              <w:jc w:val="right"/>
              <w:rPr>
                <w:rFonts w:ascii="Times New Roman" w:hAnsi="Times New Roman" w:cs="Times New Roman"/>
                <w:lang w:eastAsia="hr-HR"/>
              </w:rPr>
            </w:pPr>
            <w:r>
              <w:rPr>
                <w:rFonts w:ascii="Times New Roman" w:hAnsi="Times New Roman" w:cs="Times New Roman"/>
                <w:lang w:eastAsia="hr-HR"/>
              </w:rPr>
              <w:t>6.660,17</w:t>
            </w:r>
          </w:p>
        </w:tc>
      </w:tr>
      <w:tr w:rsidR="00B96292" w:rsidRPr="00091BF3" w14:paraId="3B561D14" w14:textId="77777777" w:rsidTr="00F65BC7">
        <w:trPr>
          <w:gridAfter w:val="1"/>
          <w:wAfter w:w="66" w:type="dxa"/>
          <w:trHeight w:val="255"/>
        </w:trPr>
        <w:tc>
          <w:tcPr>
            <w:tcW w:w="5459" w:type="dxa"/>
            <w:gridSpan w:val="3"/>
            <w:tcBorders>
              <w:top w:val="single" w:sz="4" w:space="0" w:color="auto"/>
              <w:left w:val="nil"/>
              <w:bottom w:val="nil"/>
              <w:right w:val="nil"/>
            </w:tcBorders>
            <w:shd w:val="clear" w:color="auto" w:fill="auto"/>
            <w:noWrap/>
            <w:vAlign w:val="bottom"/>
          </w:tcPr>
          <w:p w14:paraId="530C1257" w14:textId="221C18A4" w:rsidR="00B96292" w:rsidRDefault="00B96292" w:rsidP="00484918">
            <w:pPr>
              <w:spacing w:after="0" w:line="240" w:lineRule="auto"/>
              <w:rPr>
                <w:rFonts w:ascii="Times New Roman" w:hAnsi="Times New Roman" w:cs="Times New Roman"/>
                <w:lang w:eastAsia="hr-HR"/>
              </w:rPr>
            </w:pPr>
            <w:r>
              <w:rPr>
                <w:rFonts w:ascii="Times New Roman" w:hAnsi="Times New Roman" w:cs="Times New Roman"/>
                <w:lang w:eastAsia="hr-HR"/>
              </w:rPr>
              <w:t>Ispravak vrijednosti potraživanja</w:t>
            </w:r>
          </w:p>
        </w:tc>
        <w:tc>
          <w:tcPr>
            <w:tcW w:w="862" w:type="dxa"/>
            <w:tcBorders>
              <w:top w:val="single" w:sz="4" w:space="0" w:color="auto"/>
              <w:left w:val="nil"/>
              <w:bottom w:val="nil"/>
              <w:right w:val="nil"/>
            </w:tcBorders>
            <w:shd w:val="clear" w:color="auto" w:fill="auto"/>
            <w:noWrap/>
            <w:vAlign w:val="bottom"/>
          </w:tcPr>
          <w:p w14:paraId="11286CB3" w14:textId="77777777" w:rsidR="00B96292" w:rsidRPr="00091BF3" w:rsidRDefault="00B96292" w:rsidP="00484918">
            <w:pPr>
              <w:spacing w:after="0" w:line="240" w:lineRule="auto"/>
              <w:rPr>
                <w:rFonts w:ascii="Times New Roman" w:hAnsi="Times New Roman" w:cs="Times New Roman"/>
                <w:lang w:eastAsia="hr-HR"/>
              </w:rPr>
            </w:pPr>
          </w:p>
        </w:tc>
        <w:tc>
          <w:tcPr>
            <w:tcW w:w="876" w:type="dxa"/>
            <w:tcBorders>
              <w:top w:val="single" w:sz="4" w:space="0" w:color="auto"/>
              <w:left w:val="nil"/>
              <w:bottom w:val="nil"/>
              <w:right w:val="nil"/>
            </w:tcBorders>
            <w:shd w:val="clear" w:color="auto" w:fill="auto"/>
            <w:noWrap/>
            <w:vAlign w:val="bottom"/>
          </w:tcPr>
          <w:p w14:paraId="56DEC161" w14:textId="77777777" w:rsidR="00B96292" w:rsidRPr="00091BF3" w:rsidRDefault="00B96292" w:rsidP="00484918">
            <w:pPr>
              <w:spacing w:after="0" w:line="240" w:lineRule="auto"/>
              <w:rPr>
                <w:rFonts w:ascii="Times New Roman" w:hAnsi="Times New Roman" w:cs="Times New Roman"/>
                <w:lang w:eastAsia="hr-HR"/>
              </w:rPr>
            </w:pPr>
          </w:p>
        </w:tc>
        <w:tc>
          <w:tcPr>
            <w:tcW w:w="269" w:type="dxa"/>
            <w:tcBorders>
              <w:top w:val="single" w:sz="4" w:space="0" w:color="auto"/>
              <w:left w:val="nil"/>
              <w:bottom w:val="nil"/>
              <w:right w:val="nil"/>
            </w:tcBorders>
            <w:shd w:val="clear" w:color="auto" w:fill="auto"/>
            <w:noWrap/>
            <w:vAlign w:val="bottom"/>
          </w:tcPr>
          <w:p w14:paraId="3AAD827A" w14:textId="77777777" w:rsidR="00B96292" w:rsidRPr="00091BF3" w:rsidRDefault="00B96292" w:rsidP="00484918">
            <w:pPr>
              <w:spacing w:after="0" w:line="240" w:lineRule="auto"/>
              <w:rPr>
                <w:rFonts w:ascii="Times New Roman" w:hAnsi="Times New Roman" w:cs="Times New Roman"/>
                <w:lang w:eastAsia="hr-HR"/>
              </w:rPr>
            </w:pPr>
          </w:p>
        </w:tc>
        <w:tc>
          <w:tcPr>
            <w:tcW w:w="1858" w:type="dxa"/>
            <w:tcBorders>
              <w:top w:val="single" w:sz="4" w:space="0" w:color="auto"/>
              <w:left w:val="nil"/>
              <w:bottom w:val="nil"/>
              <w:right w:val="nil"/>
            </w:tcBorders>
            <w:shd w:val="clear" w:color="auto" w:fill="auto"/>
            <w:noWrap/>
            <w:vAlign w:val="bottom"/>
          </w:tcPr>
          <w:p w14:paraId="2D734CCD" w14:textId="3AC0B025" w:rsidR="00B96292" w:rsidRDefault="00B96292" w:rsidP="00484918">
            <w:pPr>
              <w:spacing w:after="0" w:line="240" w:lineRule="auto"/>
              <w:jc w:val="right"/>
              <w:rPr>
                <w:rFonts w:ascii="Times New Roman" w:hAnsi="Times New Roman" w:cs="Times New Roman"/>
                <w:lang w:eastAsia="hr-HR"/>
              </w:rPr>
            </w:pPr>
            <w:r>
              <w:rPr>
                <w:rFonts w:ascii="Times New Roman" w:hAnsi="Times New Roman" w:cs="Times New Roman"/>
                <w:lang w:eastAsia="hr-HR"/>
              </w:rPr>
              <w:t>-300.230,73</w:t>
            </w:r>
          </w:p>
        </w:tc>
      </w:tr>
      <w:tr w:rsidR="00B96292" w:rsidRPr="00073BD4" w14:paraId="3954D1AF" w14:textId="77777777" w:rsidTr="00F65BC7">
        <w:trPr>
          <w:gridAfter w:val="1"/>
          <w:wAfter w:w="66" w:type="dxa"/>
          <w:trHeight w:val="255"/>
        </w:trPr>
        <w:tc>
          <w:tcPr>
            <w:tcW w:w="7466" w:type="dxa"/>
            <w:gridSpan w:val="6"/>
            <w:tcBorders>
              <w:top w:val="nil"/>
              <w:left w:val="nil"/>
              <w:right w:val="nil"/>
            </w:tcBorders>
            <w:shd w:val="clear" w:color="auto" w:fill="auto"/>
            <w:noWrap/>
            <w:vAlign w:val="bottom"/>
          </w:tcPr>
          <w:p w14:paraId="6EA45A5A" w14:textId="318FDA96" w:rsidR="00B96292" w:rsidRPr="00073BD4" w:rsidRDefault="00B96292" w:rsidP="00484918">
            <w:pPr>
              <w:spacing w:after="0" w:line="240" w:lineRule="auto"/>
              <w:rPr>
                <w:rFonts w:ascii="Times New Roman" w:hAnsi="Times New Roman" w:cs="Times New Roman"/>
                <w:b/>
                <w:bCs/>
                <w:i/>
                <w:iCs/>
                <w:lang w:eastAsia="hr-HR"/>
              </w:rPr>
            </w:pPr>
            <w:r w:rsidRPr="00073BD4">
              <w:rPr>
                <w:rFonts w:ascii="Times New Roman" w:hAnsi="Times New Roman" w:cs="Times New Roman"/>
                <w:b/>
                <w:bCs/>
                <w:i/>
                <w:iCs/>
                <w:lang w:eastAsia="hr-HR"/>
              </w:rPr>
              <w:t>Neto vrijednost potraživanja (bruto – ispravak vrijednosti potraživanja)</w:t>
            </w:r>
          </w:p>
        </w:tc>
        <w:tc>
          <w:tcPr>
            <w:tcW w:w="1858" w:type="dxa"/>
            <w:tcBorders>
              <w:top w:val="nil"/>
              <w:left w:val="nil"/>
              <w:right w:val="nil"/>
            </w:tcBorders>
            <w:shd w:val="clear" w:color="auto" w:fill="auto"/>
            <w:noWrap/>
            <w:vAlign w:val="bottom"/>
          </w:tcPr>
          <w:p w14:paraId="322B11C0" w14:textId="63DDDC9E" w:rsidR="00B96292" w:rsidRPr="00073BD4" w:rsidRDefault="00B96292" w:rsidP="00484918">
            <w:pPr>
              <w:spacing w:after="0" w:line="240" w:lineRule="auto"/>
              <w:jc w:val="right"/>
              <w:rPr>
                <w:rFonts w:ascii="Times New Roman" w:hAnsi="Times New Roman" w:cs="Times New Roman"/>
                <w:b/>
                <w:bCs/>
                <w:i/>
                <w:iCs/>
                <w:lang w:eastAsia="hr-HR"/>
              </w:rPr>
            </w:pPr>
            <w:r w:rsidRPr="00073BD4">
              <w:rPr>
                <w:rFonts w:ascii="Times New Roman" w:hAnsi="Times New Roman" w:cs="Times New Roman"/>
                <w:b/>
                <w:bCs/>
                <w:i/>
                <w:iCs/>
                <w:lang w:eastAsia="hr-HR"/>
              </w:rPr>
              <w:t>268.294,16</w:t>
            </w:r>
          </w:p>
        </w:tc>
      </w:tr>
      <w:tr w:rsidR="004B66DB" w:rsidRPr="00091BF3" w14:paraId="4E5E3E02" w14:textId="77777777" w:rsidTr="00F65BC7">
        <w:trPr>
          <w:trHeight w:val="240"/>
        </w:trPr>
        <w:tc>
          <w:tcPr>
            <w:tcW w:w="9390" w:type="dxa"/>
            <w:gridSpan w:val="8"/>
            <w:tcBorders>
              <w:top w:val="nil"/>
              <w:left w:val="nil"/>
              <w:bottom w:val="single" w:sz="4" w:space="0" w:color="auto"/>
              <w:right w:val="nil"/>
            </w:tcBorders>
            <w:shd w:val="clear" w:color="auto" w:fill="auto"/>
            <w:vAlign w:val="bottom"/>
            <w:hideMark/>
          </w:tcPr>
          <w:p w14:paraId="671C0650" w14:textId="77777777" w:rsidR="00852CD5" w:rsidRDefault="00852CD5" w:rsidP="00484918">
            <w:pPr>
              <w:spacing w:after="0" w:line="240" w:lineRule="auto"/>
              <w:rPr>
                <w:rFonts w:ascii="Times New Roman" w:hAnsi="Times New Roman" w:cs="Times New Roman"/>
                <w:i/>
                <w:lang w:eastAsia="hr-HR"/>
              </w:rPr>
            </w:pPr>
          </w:p>
          <w:p w14:paraId="2FE5EC35" w14:textId="192C61A9" w:rsidR="00B96292" w:rsidRDefault="00852CD5" w:rsidP="00F65BC7">
            <w:pPr>
              <w:spacing w:after="0" w:line="240" w:lineRule="auto"/>
              <w:ind w:right="-174"/>
              <w:rPr>
                <w:rFonts w:ascii="Times New Roman" w:hAnsi="Times New Roman" w:cs="Times New Roman"/>
                <w:iCs/>
                <w:lang w:eastAsia="hr-HR"/>
              </w:rPr>
            </w:pPr>
            <w:r>
              <w:rPr>
                <w:rFonts w:ascii="Times New Roman" w:hAnsi="Times New Roman" w:cs="Times New Roman"/>
                <w:iCs/>
                <w:lang w:eastAsia="hr-HR"/>
              </w:rPr>
              <w:t>Dospjela</w:t>
            </w:r>
            <w:r w:rsidR="00073BD4">
              <w:rPr>
                <w:rFonts w:ascii="Times New Roman" w:hAnsi="Times New Roman" w:cs="Times New Roman"/>
                <w:iCs/>
                <w:lang w:eastAsia="hr-HR"/>
              </w:rPr>
              <w:t xml:space="preserve"> b</w:t>
            </w:r>
            <w:r w:rsidR="002340AE">
              <w:rPr>
                <w:rFonts w:ascii="Times New Roman" w:hAnsi="Times New Roman" w:cs="Times New Roman"/>
                <w:iCs/>
                <w:lang w:eastAsia="hr-HR"/>
              </w:rPr>
              <w:t>r</w:t>
            </w:r>
            <w:r w:rsidR="00073BD4">
              <w:rPr>
                <w:rFonts w:ascii="Times New Roman" w:hAnsi="Times New Roman" w:cs="Times New Roman"/>
                <w:iCs/>
                <w:lang w:eastAsia="hr-HR"/>
              </w:rPr>
              <w:t>uto</w:t>
            </w:r>
            <w:r>
              <w:rPr>
                <w:rFonts w:ascii="Times New Roman" w:hAnsi="Times New Roman" w:cs="Times New Roman"/>
                <w:iCs/>
                <w:lang w:eastAsia="hr-HR"/>
              </w:rPr>
              <w:t xml:space="preserve"> potraživanja za rashode poslovanja iznose </w:t>
            </w:r>
            <w:r w:rsidR="00B96292">
              <w:rPr>
                <w:rFonts w:ascii="Times New Roman" w:hAnsi="Times New Roman" w:cs="Times New Roman"/>
                <w:iCs/>
                <w:lang w:eastAsia="hr-HR"/>
              </w:rPr>
              <w:t>438.936,49</w:t>
            </w:r>
            <w:r w:rsidR="008459C0">
              <w:rPr>
                <w:rFonts w:ascii="Times New Roman" w:hAnsi="Times New Roman" w:cs="Times New Roman"/>
                <w:iCs/>
                <w:lang w:eastAsia="hr-HR"/>
              </w:rPr>
              <w:t xml:space="preserve"> eura, nedospjela potraživanja iznose </w:t>
            </w:r>
          </w:p>
          <w:p w14:paraId="4D56EEE4" w14:textId="04177126" w:rsidR="00B96292" w:rsidRPr="00B96292" w:rsidRDefault="00B96292" w:rsidP="00F65BC7">
            <w:pPr>
              <w:ind w:right="-315"/>
              <w:rPr>
                <w:rFonts w:ascii="Times New Roman" w:hAnsi="Times New Roman" w:cs="Times New Roman"/>
                <w:iCs/>
                <w:lang w:eastAsia="hr-HR"/>
              </w:rPr>
            </w:pPr>
            <w:r w:rsidRPr="00B96292">
              <w:rPr>
                <w:rFonts w:ascii="Times New Roman" w:hAnsi="Times New Roman" w:cs="Times New Roman"/>
                <w:iCs/>
                <w:lang w:eastAsia="hr-HR"/>
              </w:rPr>
              <w:t>129.588,40</w:t>
            </w:r>
            <w:r>
              <w:rPr>
                <w:rFonts w:ascii="Times New Roman" w:hAnsi="Times New Roman" w:cs="Times New Roman"/>
                <w:iCs/>
                <w:lang w:eastAsia="hr-HR"/>
              </w:rPr>
              <w:t xml:space="preserve"> eura.</w:t>
            </w:r>
          </w:p>
          <w:p w14:paraId="2E1BD901" w14:textId="77777777" w:rsidR="00073BD4" w:rsidRDefault="008459C0" w:rsidP="00073BD4">
            <w:pPr>
              <w:spacing w:after="0" w:line="240" w:lineRule="auto"/>
              <w:rPr>
                <w:rFonts w:ascii="Times New Roman" w:hAnsi="Times New Roman" w:cs="Times New Roman"/>
                <w:iCs/>
                <w:lang w:eastAsia="hr-HR"/>
              </w:rPr>
            </w:pPr>
            <w:r>
              <w:rPr>
                <w:rFonts w:ascii="Times New Roman" w:hAnsi="Times New Roman" w:cs="Times New Roman"/>
                <w:iCs/>
                <w:lang w:eastAsia="hr-HR"/>
              </w:rPr>
              <w:t xml:space="preserve"> </w:t>
            </w:r>
          </w:p>
          <w:p w14:paraId="6379AFE8" w14:textId="172629BC" w:rsidR="004B66DB" w:rsidRPr="008459C0" w:rsidRDefault="004B66DB" w:rsidP="00073BD4">
            <w:pPr>
              <w:spacing w:after="0" w:line="240" w:lineRule="auto"/>
              <w:rPr>
                <w:rFonts w:ascii="Times New Roman" w:hAnsi="Times New Roman" w:cs="Times New Roman"/>
                <w:b/>
                <w:bCs/>
                <w:i/>
                <w:lang w:eastAsia="hr-HR"/>
              </w:rPr>
            </w:pPr>
            <w:r w:rsidRPr="008459C0">
              <w:rPr>
                <w:rFonts w:ascii="Times New Roman" w:hAnsi="Times New Roman" w:cs="Times New Roman"/>
                <w:b/>
                <w:bCs/>
                <w:i/>
                <w:lang w:eastAsia="hr-HR"/>
              </w:rPr>
              <w:t xml:space="preserve">Potraživanja od prodaje nefinancijske imovine (bruto):                                                          </w:t>
            </w:r>
            <w:r w:rsidR="00073BD4">
              <w:rPr>
                <w:rFonts w:ascii="Times New Roman" w:hAnsi="Times New Roman" w:cs="Times New Roman"/>
                <w:b/>
                <w:bCs/>
                <w:i/>
                <w:lang w:eastAsia="hr-HR"/>
              </w:rPr>
              <w:t>26.023,47</w:t>
            </w:r>
          </w:p>
        </w:tc>
      </w:tr>
      <w:tr w:rsidR="004B66DB" w:rsidRPr="00091BF3" w14:paraId="45FB1ED7" w14:textId="77777777" w:rsidTr="00F65BC7">
        <w:trPr>
          <w:gridAfter w:val="1"/>
          <w:wAfter w:w="66" w:type="dxa"/>
          <w:trHeight w:val="300"/>
        </w:trPr>
        <w:tc>
          <w:tcPr>
            <w:tcW w:w="5459" w:type="dxa"/>
            <w:gridSpan w:val="3"/>
            <w:tcBorders>
              <w:top w:val="single" w:sz="4" w:space="0" w:color="auto"/>
              <w:left w:val="nil"/>
              <w:bottom w:val="nil"/>
              <w:right w:val="nil"/>
            </w:tcBorders>
            <w:shd w:val="clear" w:color="auto" w:fill="auto"/>
            <w:noWrap/>
            <w:vAlign w:val="bottom"/>
            <w:hideMark/>
          </w:tcPr>
          <w:p w14:paraId="107DADB1" w14:textId="77777777" w:rsidR="004B66DB" w:rsidRPr="00091BF3" w:rsidRDefault="004B66DB" w:rsidP="00484918">
            <w:pPr>
              <w:spacing w:after="0" w:line="240" w:lineRule="auto"/>
              <w:rPr>
                <w:rFonts w:ascii="Times New Roman" w:hAnsi="Times New Roman" w:cs="Times New Roman"/>
                <w:lang w:eastAsia="hr-HR"/>
              </w:rPr>
            </w:pPr>
            <w:r w:rsidRPr="00091BF3">
              <w:rPr>
                <w:rFonts w:ascii="Times New Roman" w:hAnsi="Times New Roman" w:cs="Times New Roman"/>
                <w:lang w:eastAsia="hr-HR"/>
              </w:rPr>
              <w:t xml:space="preserve">za prodaju zemljišta u </w:t>
            </w:r>
            <w:proofErr w:type="spellStart"/>
            <w:r w:rsidRPr="00091BF3">
              <w:rPr>
                <w:rFonts w:ascii="Times New Roman" w:hAnsi="Times New Roman" w:cs="Times New Roman"/>
                <w:lang w:eastAsia="hr-HR"/>
              </w:rPr>
              <w:t>vl</w:t>
            </w:r>
            <w:proofErr w:type="spellEnd"/>
            <w:r w:rsidRPr="00091BF3">
              <w:rPr>
                <w:rFonts w:ascii="Times New Roman" w:hAnsi="Times New Roman" w:cs="Times New Roman"/>
                <w:lang w:eastAsia="hr-HR"/>
              </w:rPr>
              <w:t>. RH (udio Grada)</w:t>
            </w:r>
          </w:p>
        </w:tc>
        <w:tc>
          <w:tcPr>
            <w:tcW w:w="862" w:type="dxa"/>
            <w:tcBorders>
              <w:top w:val="single" w:sz="4" w:space="0" w:color="auto"/>
              <w:left w:val="nil"/>
              <w:bottom w:val="nil"/>
              <w:right w:val="nil"/>
            </w:tcBorders>
            <w:shd w:val="clear" w:color="auto" w:fill="auto"/>
            <w:noWrap/>
            <w:vAlign w:val="bottom"/>
            <w:hideMark/>
          </w:tcPr>
          <w:p w14:paraId="407D2668" w14:textId="77777777" w:rsidR="004B66DB" w:rsidRPr="00091BF3" w:rsidRDefault="004B66DB" w:rsidP="00484918">
            <w:pPr>
              <w:spacing w:after="0" w:line="240" w:lineRule="auto"/>
              <w:rPr>
                <w:rFonts w:ascii="Times New Roman" w:hAnsi="Times New Roman" w:cs="Times New Roman"/>
                <w:lang w:eastAsia="hr-HR"/>
              </w:rPr>
            </w:pPr>
          </w:p>
        </w:tc>
        <w:tc>
          <w:tcPr>
            <w:tcW w:w="876" w:type="dxa"/>
            <w:tcBorders>
              <w:top w:val="single" w:sz="4" w:space="0" w:color="auto"/>
              <w:left w:val="nil"/>
              <w:bottom w:val="nil"/>
              <w:right w:val="nil"/>
            </w:tcBorders>
            <w:shd w:val="clear" w:color="auto" w:fill="auto"/>
            <w:noWrap/>
            <w:vAlign w:val="bottom"/>
            <w:hideMark/>
          </w:tcPr>
          <w:p w14:paraId="1C374C15" w14:textId="77777777" w:rsidR="004B66DB" w:rsidRPr="00091BF3" w:rsidRDefault="004B66DB" w:rsidP="00484918">
            <w:pPr>
              <w:spacing w:after="0" w:line="240" w:lineRule="auto"/>
              <w:rPr>
                <w:rFonts w:ascii="Times New Roman" w:hAnsi="Times New Roman" w:cs="Times New Roman"/>
                <w:lang w:eastAsia="hr-HR"/>
              </w:rPr>
            </w:pPr>
          </w:p>
        </w:tc>
        <w:tc>
          <w:tcPr>
            <w:tcW w:w="269" w:type="dxa"/>
            <w:tcBorders>
              <w:top w:val="single" w:sz="4" w:space="0" w:color="auto"/>
              <w:left w:val="nil"/>
              <w:bottom w:val="nil"/>
              <w:right w:val="nil"/>
            </w:tcBorders>
            <w:shd w:val="clear" w:color="auto" w:fill="auto"/>
            <w:noWrap/>
            <w:vAlign w:val="bottom"/>
            <w:hideMark/>
          </w:tcPr>
          <w:p w14:paraId="106E957A" w14:textId="77777777" w:rsidR="004B66DB" w:rsidRPr="00091BF3" w:rsidRDefault="004B66DB" w:rsidP="00484918">
            <w:pPr>
              <w:spacing w:after="0" w:line="240" w:lineRule="auto"/>
              <w:rPr>
                <w:rFonts w:ascii="Times New Roman" w:hAnsi="Times New Roman" w:cs="Times New Roman"/>
                <w:lang w:eastAsia="hr-HR"/>
              </w:rPr>
            </w:pPr>
          </w:p>
        </w:tc>
        <w:tc>
          <w:tcPr>
            <w:tcW w:w="1858" w:type="dxa"/>
            <w:tcBorders>
              <w:top w:val="single" w:sz="4" w:space="0" w:color="auto"/>
              <w:left w:val="nil"/>
              <w:bottom w:val="nil"/>
              <w:right w:val="nil"/>
            </w:tcBorders>
            <w:shd w:val="clear" w:color="auto" w:fill="auto"/>
            <w:noWrap/>
            <w:vAlign w:val="bottom"/>
            <w:hideMark/>
          </w:tcPr>
          <w:p w14:paraId="7D69269C" w14:textId="4862A347" w:rsidR="004B66DB" w:rsidRPr="00091BF3" w:rsidRDefault="00073BD4" w:rsidP="00484918">
            <w:pPr>
              <w:spacing w:after="0" w:line="240" w:lineRule="auto"/>
              <w:jc w:val="right"/>
              <w:rPr>
                <w:rFonts w:ascii="Times New Roman" w:hAnsi="Times New Roman" w:cs="Times New Roman"/>
                <w:lang w:eastAsia="hr-HR"/>
              </w:rPr>
            </w:pPr>
            <w:r>
              <w:rPr>
                <w:rFonts w:ascii="Times New Roman" w:hAnsi="Times New Roman" w:cs="Times New Roman"/>
                <w:lang w:eastAsia="hr-HR"/>
              </w:rPr>
              <w:t>97,94</w:t>
            </w:r>
          </w:p>
        </w:tc>
      </w:tr>
      <w:tr w:rsidR="004B66DB" w:rsidRPr="00091BF3" w14:paraId="56DE3DF9" w14:textId="77777777" w:rsidTr="00F65BC7">
        <w:trPr>
          <w:gridAfter w:val="1"/>
          <w:wAfter w:w="66" w:type="dxa"/>
          <w:trHeight w:val="270"/>
        </w:trPr>
        <w:tc>
          <w:tcPr>
            <w:tcW w:w="5459" w:type="dxa"/>
            <w:gridSpan w:val="3"/>
            <w:tcBorders>
              <w:top w:val="nil"/>
              <w:left w:val="nil"/>
              <w:bottom w:val="nil"/>
              <w:right w:val="nil"/>
            </w:tcBorders>
            <w:shd w:val="clear" w:color="auto" w:fill="auto"/>
            <w:noWrap/>
            <w:vAlign w:val="bottom"/>
            <w:hideMark/>
          </w:tcPr>
          <w:p w14:paraId="4DDAF4CC" w14:textId="77777777" w:rsidR="004B66DB" w:rsidRPr="00091BF3" w:rsidRDefault="004B66DB" w:rsidP="00484918">
            <w:pPr>
              <w:spacing w:after="0" w:line="240" w:lineRule="auto"/>
              <w:rPr>
                <w:rFonts w:ascii="Times New Roman" w:hAnsi="Times New Roman" w:cs="Times New Roman"/>
                <w:lang w:eastAsia="hr-HR"/>
              </w:rPr>
            </w:pPr>
            <w:r w:rsidRPr="00091BF3">
              <w:rPr>
                <w:rFonts w:ascii="Times New Roman" w:hAnsi="Times New Roman" w:cs="Times New Roman"/>
                <w:lang w:eastAsia="hr-HR"/>
              </w:rPr>
              <w:t xml:space="preserve">za prodaju zemljišta u </w:t>
            </w:r>
            <w:proofErr w:type="spellStart"/>
            <w:r w:rsidRPr="00091BF3">
              <w:rPr>
                <w:rFonts w:ascii="Times New Roman" w:hAnsi="Times New Roman" w:cs="Times New Roman"/>
                <w:lang w:eastAsia="hr-HR"/>
              </w:rPr>
              <w:t>vl</w:t>
            </w:r>
            <w:proofErr w:type="spellEnd"/>
            <w:r w:rsidRPr="00091BF3">
              <w:rPr>
                <w:rFonts w:ascii="Times New Roman" w:hAnsi="Times New Roman" w:cs="Times New Roman"/>
                <w:lang w:eastAsia="hr-HR"/>
              </w:rPr>
              <w:t>. RH (tuđi prihod)</w:t>
            </w:r>
          </w:p>
        </w:tc>
        <w:tc>
          <w:tcPr>
            <w:tcW w:w="862" w:type="dxa"/>
            <w:tcBorders>
              <w:top w:val="nil"/>
              <w:left w:val="nil"/>
              <w:bottom w:val="nil"/>
              <w:right w:val="nil"/>
            </w:tcBorders>
            <w:shd w:val="clear" w:color="auto" w:fill="auto"/>
            <w:noWrap/>
            <w:vAlign w:val="bottom"/>
            <w:hideMark/>
          </w:tcPr>
          <w:p w14:paraId="63EE1604" w14:textId="77777777" w:rsidR="004B66DB" w:rsidRPr="00091BF3" w:rsidRDefault="004B66DB" w:rsidP="00484918">
            <w:pPr>
              <w:spacing w:after="0" w:line="240" w:lineRule="auto"/>
              <w:rPr>
                <w:rFonts w:ascii="Times New Roman" w:hAnsi="Times New Roman" w:cs="Times New Roman"/>
                <w:lang w:eastAsia="hr-HR"/>
              </w:rPr>
            </w:pPr>
          </w:p>
        </w:tc>
        <w:tc>
          <w:tcPr>
            <w:tcW w:w="876" w:type="dxa"/>
            <w:tcBorders>
              <w:top w:val="nil"/>
              <w:left w:val="nil"/>
              <w:bottom w:val="nil"/>
              <w:right w:val="nil"/>
            </w:tcBorders>
            <w:shd w:val="clear" w:color="auto" w:fill="auto"/>
            <w:noWrap/>
            <w:vAlign w:val="bottom"/>
            <w:hideMark/>
          </w:tcPr>
          <w:p w14:paraId="3FCF8479" w14:textId="77777777" w:rsidR="004B66DB" w:rsidRPr="00091BF3" w:rsidRDefault="004B66DB" w:rsidP="00484918">
            <w:pPr>
              <w:spacing w:after="0" w:line="240" w:lineRule="auto"/>
              <w:rPr>
                <w:rFonts w:ascii="Times New Roman" w:hAnsi="Times New Roman" w:cs="Times New Roman"/>
                <w:lang w:eastAsia="hr-HR"/>
              </w:rPr>
            </w:pPr>
          </w:p>
        </w:tc>
        <w:tc>
          <w:tcPr>
            <w:tcW w:w="269" w:type="dxa"/>
            <w:tcBorders>
              <w:top w:val="nil"/>
              <w:left w:val="nil"/>
              <w:bottom w:val="nil"/>
              <w:right w:val="nil"/>
            </w:tcBorders>
            <w:shd w:val="clear" w:color="auto" w:fill="auto"/>
            <w:noWrap/>
            <w:vAlign w:val="bottom"/>
            <w:hideMark/>
          </w:tcPr>
          <w:p w14:paraId="1719FAD0" w14:textId="77777777" w:rsidR="004B66DB" w:rsidRPr="00091BF3" w:rsidRDefault="004B66DB" w:rsidP="00484918">
            <w:pPr>
              <w:spacing w:after="0" w:line="240" w:lineRule="auto"/>
              <w:rPr>
                <w:rFonts w:ascii="Times New Roman" w:hAnsi="Times New Roman" w:cs="Times New Roman"/>
                <w:lang w:eastAsia="hr-HR"/>
              </w:rPr>
            </w:pPr>
          </w:p>
        </w:tc>
        <w:tc>
          <w:tcPr>
            <w:tcW w:w="1858" w:type="dxa"/>
            <w:tcBorders>
              <w:top w:val="nil"/>
              <w:left w:val="nil"/>
              <w:bottom w:val="nil"/>
              <w:right w:val="nil"/>
            </w:tcBorders>
            <w:shd w:val="clear" w:color="auto" w:fill="auto"/>
            <w:noWrap/>
            <w:vAlign w:val="bottom"/>
            <w:hideMark/>
          </w:tcPr>
          <w:p w14:paraId="5AB7C3C5" w14:textId="19E18A04" w:rsidR="004B66DB" w:rsidRPr="00091BF3" w:rsidRDefault="00073BD4" w:rsidP="00484918">
            <w:pPr>
              <w:spacing w:after="0" w:line="240" w:lineRule="auto"/>
              <w:jc w:val="right"/>
              <w:rPr>
                <w:rFonts w:ascii="Times New Roman" w:hAnsi="Times New Roman" w:cs="Times New Roman"/>
                <w:lang w:eastAsia="hr-HR"/>
              </w:rPr>
            </w:pPr>
            <w:r>
              <w:rPr>
                <w:rFonts w:ascii="Times New Roman" w:hAnsi="Times New Roman" w:cs="Times New Roman"/>
                <w:lang w:eastAsia="hr-HR"/>
              </w:rPr>
              <w:t>52,79</w:t>
            </w:r>
          </w:p>
        </w:tc>
      </w:tr>
      <w:tr w:rsidR="004B66DB" w:rsidRPr="00091BF3" w14:paraId="1D37EC2B" w14:textId="77777777" w:rsidTr="00F65BC7">
        <w:trPr>
          <w:gridAfter w:val="1"/>
          <w:wAfter w:w="66" w:type="dxa"/>
          <w:trHeight w:val="270"/>
        </w:trPr>
        <w:tc>
          <w:tcPr>
            <w:tcW w:w="6321" w:type="dxa"/>
            <w:gridSpan w:val="4"/>
            <w:tcBorders>
              <w:top w:val="nil"/>
              <w:left w:val="nil"/>
              <w:bottom w:val="nil"/>
              <w:right w:val="nil"/>
            </w:tcBorders>
            <w:shd w:val="clear" w:color="auto" w:fill="auto"/>
            <w:noWrap/>
            <w:vAlign w:val="bottom"/>
            <w:hideMark/>
          </w:tcPr>
          <w:p w14:paraId="0623F553" w14:textId="743865B8" w:rsidR="004B66DB" w:rsidRPr="00091BF3" w:rsidRDefault="00073BD4" w:rsidP="00484918">
            <w:pPr>
              <w:spacing w:after="0" w:line="240" w:lineRule="auto"/>
              <w:rPr>
                <w:rFonts w:ascii="Times New Roman" w:hAnsi="Times New Roman" w:cs="Times New Roman"/>
                <w:lang w:eastAsia="hr-HR"/>
              </w:rPr>
            </w:pPr>
            <w:r>
              <w:rPr>
                <w:rFonts w:ascii="Times New Roman" w:hAnsi="Times New Roman" w:cs="Times New Roman"/>
                <w:lang w:eastAsia="hr-HR"/>
              </w:rPr>
              <w:t>z</w:t>
            </w:r>
            <w:r w:rsidR="004B66DB" w:rsidRPr="00091BF3">
              <w:rPr>
                <w:rFonts w:ascii="Times New Roman" w:hAnsi="Times New Roman" w:cs="Times New Roman"/>
                <w:lang w:eastAsia="hr-HR"/>
              </w:rPr>
              <w:t>emljište u vlasništvu RH - potraživanja idućih godina</w:t>
            </w:r>
          </w:p>
        </w:tc>
        <w:tc>
          <w:tcPr>
            <w:tcW w:w="876" w:type="dxa"/>
            <w:tcBorders>
              <w:top w:val="nil"/>
              <w:left w:val="nil"/>
              <w:bottom w:val="nil"/>
              <w:right w:val="nil"/>
            </w:tcBorders>
            <w:shd w:val="clear" w:color="auto" w:fill="auto"/>
            <w:noWrap/>
            <w:vAlign w:val="bottom"/>
            <w:hideMark/>
          </w:tcPr>
          <w:p w14:paraId="2C872527" w14:textId="77777777" w:rsidR="004B66DB" w:rsidRPr="00091BF3" w:rsidRDefault="004B66DB" w:rsidP="00484918">
            <w:pPr>
              <w:spacing w:after="0" w:line="240" w:lineRule="auto"/>
              <w:rPr>
                <w:rFonts w:ascii="Times New Roman" w:hAnsi="Times New Roman" w:cs="Times New Roman"/>
                <w:lang w:eastAsia="hr-HR"/>
              </w:rPr>
            </w:pPr>
          </w:p>
        </w:tc>
        <w:tc>
          <w:tcPr>
            <w:tcW w:w="269" w:type="dxa"/>
            <w:tcBorders>
              <w:top w:val="nil"/>
              <w:left w:val="nil"/>
              <w:bottom w:val="nil"/>
              <w:right w:val="nil"/>
            </w:tcBorders>
            <w:shd w:val="clear" w:color="auto" w:fill="auto"/>
            <w:noWrap/>
            <w:vAlign w:val="bottom"/>
            <w:hideMark/>
          </w:tcPr>
          <w:p w14:paraId="57A92541" w14:textId="77777777" w:rsidR="004B66DB" w:rsidRPr="00091BF3" w:rsidRDefault="004B66DB" w:rsidP="00484918">
            <w:pPr>
              <w:spacing w:after="0" w:line="240" w:lineRule="auto"/>
              <w:rPr>
                <w:rFonts w:ascii="Times New Roman" w:hAnsi="Times New Roman" w:cs="Times New Roman"/>
                <w:lang w:eastAsia="hr-HR"/>
              </w:rPr>
            </w:pPr>
          </w:p>
        </w:tc>
        <w:tc>
          <w:tcPr>
            <w:tcW w:w="1858" w:type="dxa"/>
            <w:tcBorders>
              <w:top w:val="nil"/>
              <w:left w:val="nil"/>
              <w:bottom w:val="nil"/>
              <w:right w:val="nil"/>
            </w:tcBorders>
            <w:shd w:val="clear" w:color="auto" w:fill="auto"/>
            <w:noWrap/>
            <w:vAlign w:val="bottom"/>
            <w:hideMark/>
          </w:tcPr>
          <w:p w14:paraId="0F071186" w14:textId="77777777" w:rsidR="004B66DB" w:rsidRPr="00091BF3" w:rsidRDefault="004B66DB" w:rsidP="00484918">
            <w:pPr>
              <w:spacing w:after="0" w:line="240" w:lineRule="auto"/>
              <w:jc w:val="right"/>
              <w:rPr>
                <w:rFonts w:ascii="Times New Roman" w:hAnsi="Times New Roman" w:cs="Times New Roman"/>
                <w:lang w:eastAsia="hr-HR"/>
              </w:rPr>
            </w:pPr>
            <w:r>
              <w:rPr>
                <w:rFonts w:ascii="Times New Roman" w:hAnsi="Times New Roman" w:cs="Times New Roman"/>
                <w:lang w:eastAsia="hr-HR"/>
              </w:rPr>
              <w:t>0,00</w:t>
            </w:r>
          </w:p>
        </w:tc>
      </w:tr>
      <w:tr w:rsidR="004B66DB" w:rsidRPr="00091BF3" w14:paraId="5B73EE43" w14:textId="77777777" w:rsidTr="00F65BC7">
        <w:trPr>
          <w:gridAfter w:val="1"/>
          <w:wAfter w:w="66" w:type="dxa"/>
          <w:trHeight w:val="270"/>
        </w:trPr>
        <w:tc>
          <w:tcPr>
            <w:tcW w:w="6321" w:type="dxa"/>
            <w:gridSpan w:val="4"/>
            <w:tcBorders>
              <w:top w:val="nil"/>
              <w:left w:val="nil"/>
              <w:right w:val="nil"/>
            </w:tcBorders>
            <w:shd w:val="clear" w:color="auto" w:fill="auto"/>
            <w:noWrap/>
            <w:vAlign w:val="bottom"/>
            <w:hideMark/>
          </w:tcPr>
          <w:p w14:paraId="056BE0BA" w14:textId="77777777" w:rsidR="004B66DB" w:rsidRPr="00091BF3" w:rsidRDefault="004B66DB" w:rsidP="00484918">
            <w:pPr>
              <w:spacing w:after="0" w:line="240" w:lineRule="auto"/>
              <w:rPr>
                <w:rFonts w:ascii="Times New Roman" w:hAnsi="Times New Roman" w:cs="Times New Roman"/>
                <w:lang w:eastAsia="hr-HR"/>
              </w:rPr>
            </w:pPr>
            <w:r w:rsidRPr="00091BF3">
              <w:rPr>
                <w:rFonts w:ascii="Times New Roman" w:hAnsi="Times New Roman" w:cs="Times New Roman"/>
                <w:lang w:eastAsia="hr-HR"/>
              </w:rPr>
              <w:t xml:space="preserve">prodaja stambenih objekata (stanovi u </w:t>
            </w:r>
            <w:proofErr w:type="spellStart"/>
            <w:r w:rsidRPr="00091BF3">
              <w:rPr>
                <w:rFonts w:ascii="Times New Roman" w:hAnsi="Times New Roman" w:cs="Times New Roman"/>
                <w:lang w:eastAsia="hr-HR"/>
              </w:rPr>
              <w:t>vl</w:t>
            </w:r>
            <w:proofErr w:type="spellEnd"/>
            <w:r w:rsidRPr="00091BF3">
              <w:rPr>
                <w:rFonts w:ascii="Times New Roman" w:hAnsi="Times New Roman" w:cs="Times New Roman"/>
                <w:lang w:eastAsia="hr-HR"/>
              </w:rPr>
              <w:t>. RH)</w:t>
            </w:r>
          </w:p>
        </w:tc>
        <w:tc>
          <w:tcPr>
            <w:tcW w:w="876" w:type="dxa"/>
            <w:tcBorders>
              <w:top w:val="nil"/>
              <w:left w:val="nil"/>
              <w:right w:val="nil"/>
            </w:tcBorders>
            <w:shd w:val="clear" w:color="auto" w:fill="auto"/>
            <w:noWrap/>
            <w:vAlign w:val="bottom"/>
            <w:hideMark/>
          </w:tcPr>
          <w:p w14:paraId="1698EE67" w14:textId="77777777" w:rsidR="004B66DB" w:rsidRPr="00091BF3" w:rsidRDefault="004B66DB" w:rsidP="00484918">
            <w:pPr>
              <w:spacing w:after="0" w:line="240" w:lineRule="auto"/>
              <w:rPr>
                <w:rFonts w:ascii="Times New Roman" w:hAnsi="Times New Roman" w:cs="Times New Roman"/>
                <w:lang w:eastAsia="hr-HR"/>
              </w:rPr>
            </w:pPr>
          </w:p>
        </w:tc>
        <w:tc>
          <w:tcPr>
            <w:tcW w:w="269" w:type="dxa"/>
            <w:tcBorders>
              <w:top w:val="nil"/>
              <w:left w:val="nil"/>
              <w:right w:val="nil"/>
            </w:tcBorders>
            <w:shd w:val="clear" w:color="auto" w:fill="auto"/>
            <w:noWrap/>
            <w:vAlign w:val="bottom"/>
            <w:hideMark/>
          </w:tcPr>
          <w:p w14:paraId="03FEAD0E" w14:textId="77777777" w:rsidR="004B66DB" w:rsidRPr="00091BF3" w:rsidRDefault="004B66DB" w:rsidP="00484918">
            <w:pPr>
              <w:spacing w:after="0" w:line="240" w:lineRule="auto"/>
              <w:rPr>
                <w:rFonts w:ascii="Times New Roman" w:hAnsi="Times New Roman" w:cs="Times New Roman"/>
                <w:lang w:eastAsia="hr-HR"/>
              </w:rPr>
            </w:pPr>
          </w:p>
        </w:tc>
        <w:tc>
          <w:tcPr>
            <w:tcW w:w="1858" w:type="dxa"/>
            <w:tcBorders>
              <w:top w:val="nil"/>
              <w:left w:val="nil"/>
              <w:right w:val="nil"/>
            </w:tcBorders>
            <w:shd w:val="clear" w:color="auto" w:fill="auto"/>
            <w:noWrap/>
            <w:vAlign w:val="bottom"/>
            <w:hideMark/>
          </w:tcPr>
          <w:p w14:paraId="5C419813" w14:textId="79083976" w:rsidR="004B66DB" w:rsidRPr="00091BF3" w:rsidRDefault="00073BD4" w:rsidP="008459C0">
            <w:pPr>
              <w:spacing w:after="0" w:line="240" w:lineRule="auto"/>
              <w:jc w:val="right"/>
              <w:rPr>
                <w:rFonts w:ascii="Times New Roman" w:hAnsi="Times New Roman" w:cs="Times New Roman"/>
                <w:lang w:eastAsia="hr-HR"/>
              </w:rPr>
            </w:pPr>
            <w:r>
              <w:rPr>
                <w:rFonts w:ascii="Times New Roman" w:hAnsi="Times New Roman" w:cs="Times New Roman"/>
                <w:lang w:eastAsia="hr-HR"/>
              </w:rPr>
              <w:t>20.843,72</w:t>
            </w:r>
          </w:p>
        </w:tc>
      </w:tr>
      <w:tr w:rsidR="004B66DB" w:rsidRPr="00091BF3" w14:paraId="2C71FAD8" w14:textId="77777777" w:rsidTr="00F65BC7">
        <w:trPr>
          <w:gridAfter w:val="1"/>
          <w:wAfter w:w="66" w:type="dxa"/>
          <w:trHeight w:val="270"/>
        </w:trPr>
        <w:tc>
          <w:tcPr>
            <w:tcW w:w="7466" w:type="dxa"/>
            <w:gridSpan w:val="6"/>
            <w:tcBorders>
              <w:top w:val="nil"/>
              <w:left w:val="nil"/>
              <w:bottom w:val="single" w:sz="4" w:space="0" w:color="auto"/>
              <w:right w:val="nil"/>
            </w:tcBorders>
            <w:shd w:val="clear" w:color="auto" w:fill="auto"/>
            <w:noWrap/>
            <w:vAlign w:val="bottom"/>
            <w:hideMark/>
          </w:tcPr>
          <w:p w14:paraId="0988669F" w14:textId="77777777" w:rsidR="004B66DB" w:rsidRPr="00091BF3" w:rsidRDefault="004B66DB" w:rsidP="00484918">
            <w:pPr>
              <w:spacing w:after="0" w:line="240" w:lineRule="auto"/>
              <w:rPr>
                <w:rFonts w:ascii="Times New Roman" w:hAnsi="Times New Roman" w:cs="Times New Roman"/>
                <w:lang w:eastAsia="hr-HR"/>
              </w:rPr>
            </w:pPr>
            <w:r w:rsidRPr="00091BF3">
              <w:rPr>
                <w:rFonts w:ascii="Times New Roman" w:hAnsi="Times New Roman" w:cs="Times New Roman"/>
                <w:lang w:eastAsia="hr-HR"/>
              </w:rPr>
              <w:t xml:space="preserve">prodaja stambenih objekata (stanovi u </w:t>
            </w:r>
            <w:proofErr w:type="spellStart"/>
            <w:r w:rsidRPr="00091BF3">
              <w:rPr>
                <w:rFonts w:ascii="Times New Roman" w:hAnsi="Times New Roman" w:cs="Times New Roman"/>
                <w:lang w:eastAsia="hr-HR"/>
              </w:rPr>
              <w:t>vl</w:t>
            </w:r>
            <w:proofErr w:type="spellEnd"/>
            <w:r w:rsidRPr="00091BF3">
              <w:rPr>
                <w:rFonts w:ascii="Times New Roman" w:hAnsi="Times New Roman" w:cs="Times New Roman"/>
                <w:lang w:eastAsia="hr-HR"/>
              </w:rPr>
              <w:t>. RH)  - potraživanja idućih godina</w:t>
            </w:r>
          </w:p>
        </w:tc>
        <w:tc>
          <w:tcPr>
            <w:tcW w:w="1858" w:type="dxa"/>
            <w:tcBorders>
              <w:top w:val="nil"/>
              <w:left w:val="nil"/>
              <w:bottom w:val="single" w:sz="4" w:space="0" w:color="auto"/>
              <w:right w:val="nil"/>
            </w:tcBorders>
            <w:shd w:val="clear" w:color="auto" w:fill="auto"/>
            <w:noWrap/>
            <w:vAlign w:val="bottom"/>
            <w:hideMark/>
          </w:tcPr>
          <w:p w14:paraId="50D592EA" w14:textId="1B4DF50D" w:rsidR="004B66DB" w:rsidRPr="00091BF3" w:rsidRDefault="00073BD4" w:rsidP="00484918">
            <w:pPr>
              <w:spacing w:after="0" w:line="240" w:lineRule="auto"/>
              <w:jc w:val="right"/>
              <w:rPr>
                <w:rFonts w:ascii="Times New Roman" w:hAnsi="Times New Roman" w:cs="Times New Roman"/>
                <w:lang w:eastAsia="hr-HR"/>
              </w:rPr>
            </w:pPr>
            <w:r>
              <w:rPr>
                <w:rFonts w:ascii="Times New Roman" w:hAnsi="Times New Roman" w:cs="Times New Roman"/>
                <w:lang w:eastAsia="hr-HR"/>
              </w:rPr>
              <w:t>5.029,02</w:t>
            </w:r>
          </w:p>
        </w:tc>
      </w:tr>
      <w:tr w:rsidR="00073BD4" w:rsidRPr="00073BD4" w14:paraId="58484046" w14:textId="77777777" w:rsidTr="00F65BC7">
        <w:trPr>
          <w:gridAfter w:val="1"/>
          <w:wAfter w:w="66" w:type="dxa"/>
          <w:trHeight w:val="270"/>
        </w:trPr>
        <w:tc>
          <w:tcPr>
            <w:tcW w:w="7466" w:type="dxa"/>
            <w:gridSpan w:val="6"/>
            <w:tcBorders>
              <w:top w:val="single" w:sz="4" w:space="0" w:color="auto"/>
              <w:left w:val="nil"/>
              <w:bottom w:val="nil"/>
              <w:right w:val="nil"/>
            </w:tcBorders>
            <w:shd w:val="clear" w:color="auto" w:fill="auto"/>
            <w:noWrap/>
            <w:vAlign w:val="bottom"/>
          </w:tcPr>
          <w:p w14:paraId="676D8EC7" w14:textId="61055DEA" w:rsidR="00073BD4" w:rsidRPr="00073BD4" w:rsidRDefault="00073BD4" w:rsidP="00484918">
            <w:pPr>
              <w:spacing w:after="0" w:line="240" w:lineRule="auto"/>
              <w:rPr>
                <w:rFonts w:ascii="Times New Roman" w:hAnsi="Times New Roman" w:cs="Times New Roman"/>
                <w:i/>
                <w:iCs/>
                <w:lang w:eastAsia="hr-HR"/>
              </w:rPr>
            </w:pPr>
            <w:r w:rsidRPr="00073BD4">
              <w:rPr>
                <w:rFonts w:ascii="Times New Roman" w:hAnsi="Times New Roman" w:cs="Times New Roman"/>
                <w:i/>
                <w:iCs/>
                <w:lang w:eastAsia="hr-HR"/>
              </w:rPr>
              <w:t>Ispravak vrijednosti potraživanja</w:t>
            </w:r>
          </w:p>
        </w:tc>
        <w:tc>
          <w:tcPr>
            <w:tcW w:w="1858" w:type="dxa"/>
            <w:tcBorders>
              <w:top w:val="single" w:sz="4" w:space="0" w:color="auto"/>
              <w:left w:val="nil"/>
              <w:bottom w:val="nil"/>
              <w:right w:val="nil"/>
            </w:tcBorders>
            <w:shd w:val="clear" w:color="auto" w:fill="auto"/>
            <w:noWrap/>
            <w:vAlign w:val="bottom"/>
          </w:tcPr>
          <w:p w14:paraId="710B444D" w14:textId="18BEC22D" w:rsidR="00073BD4" w:rsidRPr="00073BD4" w:rsidRDefault="00073BD4" w:rsidP="00484918">
            <w:pPr>
              <w:spacing w:after="0" w:line="240" w:lineRule="auto"/>
              <w:jc w:val="right"/>
              <w:rPr>
                <w:rFonts w:ascii="Times New Roman" w:hAnsi="Times New Roman" w:cs="Times New Roman"/>
                <w:i/>
                <w:iCs/>
                <w:lang w:eastAsia="hr-HR"/>
              </w:rPr>
            </w:pPr>
            <w:r w:rsidRPr="00073BD4">
              <w:rPr>
                <w:rFonts w:ascii="Times New Roman" w:hAnsi="Times New Roman" w:cs="Times New Roman"/>
                <w:i/>
                <w:iCs/>
                <w:lang w:eastAsia="hr-HR"/>
              </w:rPr>
              <w:t>-18.114,09</w:t>
            </w:r>
          </w:p>
        </w:tc>
      </w:tr>
      <w:tr w:rsidR="00073BD4" w:rsidRPr="00073BD4" w14:paraId="474CB96A" w14:textId="77777777" w:rsidTr="00F65BC7">
        <w:trPr>
          <w:gridAfter w:val="1"/>
          <w:wAfter w:w="66" w:type="dxa"/>
          <w:trHeight w:val="270"/>
        </w:trPr>
        <w:tc>
          <w:tcPr>
            <w:tcW w:w="7466" w:type="dxa"/>
            <w:gridSpan w:val="6"/>
            <w:tcBorders>
              <w:top w:val="nil"/>
              <w:left w:val="nil"/>
              <w:bottom w:val="nil"/>
              <w:right w:val="nil"/>
            </w:tcBorders>
            <w:shd w:val="clear" w:color="auto" w:fill="auto"/>
            <w:noWrap/>
            <w:vAlign w:val="bottom"/>
          </w:tcPr>
          <w:p w14:paraId="25DFCA0D" w14:textId="209611EF" w:rsidR="00073BD4" w:rsidRPr="00073BD4" w:rsidRDefault="00073BD4" w:rsidP="00484918">
            <w:pPr>
              <w:spacing w:after="0" w:line="240" w:lineRule="auto"/>
              <w:rPr>
                <w:rFonts w:ascii="Times New Roman" w:hAnsi="Times New Roman" w:cs="Times New Roman"/>
                <w:b/>
                <w:bCs/>
                <w:i/>
                <w:iCs/>
                <w:lang w:eastAsia="hr-HR"/>
              </w:rPr>
            </w:pPr>
            <w:r w:rsidRPr="00073BD4">
              <w:rPr>
                <w:rFonts w:ascii="Times New Roman" w:hAnsi="Times New Roman" w:cs="Times New Roman"/>
                <w:b/>
                <w:bCs/>
                <w:i/>
                <w:iCs/>
                <w:lang w:eastAsia="hr-HR"/>
              </w:rPr>
              <w:t>Neto vrijednost potraživanja (bruto – ispravak vrijednosti potraživanja)</w:t>
            </w:r>
          </w:p>
        </w:tc>
        <w:tc>
          <w:tcPr>
            <w:tcW w:w="1858" w:type="dxa"/>
            <w:tcBorders>
              <w:top w:val="nil"/>
              <w:left w:val="nil"/>
              <w:bottom w:val="nil"/>
              <w:right w:val="nil"/>
            </w:tcBorders>
            <w:shd w:val="clear" w:color="auto" w:fill="auto"/>
            <w:noWrap/>
            <w:vAlign w:val="bottom"/>
          </w:tcPr>
          <w:p w14:paraId="15570AF9" w14:textId="50ACFB01" w:rsidR="00073BD4" w:rsidRPr="00073BD4" w:rsidRDefault="00073BD4" w:rsidP="00484918">
            <w:pPr>
              <w:spacing w:after="0" w:line="240" w:lineRule="auto"/>
              <w:jc w:val="right"/>
              <w:rPr>
                <w:rFonts w:ascii="Times New Roman" w:hAnsi="Times New Roman" w:cs="Times New Roman"/>
                <w:b/>
                <w:bCs/>
                <w:i/>
                <w:iCs/>
                <w:lang w:eastAsia="hr-HR"/>
              </w:rPr>
            </w:pPr>
            <w:r w:rsidRPr="00073BD4">
              <w:rPr>
                <w:rFonts w:ascii="Times New Roman" w:hAnsi="Times New Roman" w:cs="Times New Roman"/>
                <w:b/>
                <w:bCs/>
                <w:i/>
                <w:iCs/>
                <w:lang w:eastAsia="hr-HR"/>
              </w:rPr>
              <w:t>7.909,38</w:t>
            </w:r>
          </w:p>
        </w:tc>
      </w:tr>
      <w:tr w:rsidR="004B66DB" w:rsidRPr="00091BF3" w14:paraId="571DE66A" w14:textId="77777777" w:rsidTr="00F65BC7">
        <w:trPr>
          <w:gridAfter w:val="1"/>
          <w:wAfter w:w="66" w:type="dxa"/>
          <w:trHeight w:val="270"/>
        </w:trPr>
        <w:tc>
          <w:tcPr>
            <w:tcW w:w="6321" w:type="dxa"/>
            <w:gridSpan w:val="4"/>
            <w:tcBorders>
              <w:top w:val="nil"/>
              <w:left w:val="nil"/>
              <w:bottom w:val="nil"/>
              <w:right w:val="nil"/>
            </w:tcBorders>
            <w:shd w:val="clear" w:color="auto" w:fill="auto"/>
            <w:noWrap/>
            <w:vAlign w:val="bottom"/>
          </w:tcPr>
          <w:p w14:paraId="2BB0F029" w14:textId="77777777" w:rsidR="004B66DB" w:rsidRPr="00091BF3" w:rsidRDefault="004B66DB" w:rsidP="00484918">
            <w:pPr>
              <w:spacing w:after="0" w:line="240" w:lineRule="auto"/>
              <w:rPr>
                <w:rFonts w:ascii="Times New Roman" w:hAnsi="Times New Roman" w:cs="Times New Roman"/>
                <w:lang w:eastAsia="hr-HR"/>
              </w:rPr>
            </w:pPr>
          </w:p>
        </w:tc>
        <w:tc>
          <w:tcPr>
            <w:tcW w:w="876" w:type="dxa"/>
            <w:tcBorders>
              <w:top w:val="nil"/>
              <w:left w:val="nil"/>
              <w:bottom w:val="nil"/>
              <w:right w:val="nil"/>
            </w:tcBorders>
            <w:shd w:val="clear" w:color="auto" w:fill="auto"/>
            <w:noWrap/>
            <w:vAlign w:val="bottom"/>
          </w:tcPr>
          <w:p w14:paraId="3DFA1782" w14:textId="77777777" w:rsidR="004B66DB" w:rsidRPr="00091BF3" w:rsidRDefault="004B66DB" w:rsidP="00484918">
            <w:pPr>
              <w:spacing w:after="0" w:line="240" w:lineRule="auto"/>
              <w:rPr>
                <w:rFonts w:ascii="Times New Roman" w:hAnsi="Times New Roman" w:cs="Times New Roman"/>
                <w:lang w:eastAsia="hr-HR"/>
              </w:rPr>
            </w:pPr>
          </w:p>
        </w:tc>
        <w:tc>
          <w:tcPr>
            <w:tcW w:w="269" w:type="dxa"/>
            <w:tcBorders>
              <w:top w:val="nil"/>
              <w:left w:val="nil"/>
              <w:bottom w:val="nil"/>
              <w:right w:val="nil"/>
            </w:tcBorders>
            <w:shd w:val="clear" w:color="auto" w:fill="auto"/>
            <w:noWrap/>
            <w:vAlign w:val="bottom"/>
          </w:tcPr>
          <w:p w14:paraId="3E649C0F" w14:textId="77777777" w:rsidR="004B66DB" w:rsidRPr="00091BF3" w:rsidRDefault="004B66DB" w:rsidP="00484918">
            <w:pPr>
              <w:spacing w:after="0" w:line="240" w:lineRule="auto"/>
              <w:rPr>
                <w:rFonts w:ascii="Times New Roman" w:hAnsi="Times New Roman" w:cs="Times New Roman"/>
                <w:lang w:eastAsia="hr-HR"/>
              </w:rPr>
            </w:pPr>
          </w:p>
        </w:tc>
        <w:tc>
          <w:tcPr>
            <w:tcW w:w="1858" w:type="dxa"/>
            <w:tcBorders>
              <w:top w:val="nil"/>
              <w:left w:val="nil"/>
              <w:bottom w:val="nil"/>
              <w:right w:val="nil"/>
            </w:tcBorders>
            <w:shd w:val="clear" w:color="auto" w:fill="auto"/>
            <w:noWrap/>
            <w:vAlign w:val="bottom"/>
          </w:tcPr>
          <w:p w14:paraId="34C3D061" w14:textId="77777777" w:rsidR="004B66DB" w:rsidRPr="00091BF3" w:rsidRDefault="004B66DB" w:rsidP="00484918">
            <w:pPr>
              <w:spacing w:after="0" w:line="240" w:lineRule="auto"/>
              <w:jc w:val="right"/>
              <w:rPr>
                <w:rFonts w:ascii="Times New Roman" w:hAnsi="Times New Roman" w:cs="Times New Roman"/>
                <w:lang w:eastAsia="hr-HR"/>
              </w:rPr>
            </w:pPr>
          </w:p>
        </w:tc>
      </w:tr>
      <w:tr w:rsidR="00F65BC7" w:rsidRPr="00091BF3" w14:paraId="0E7A8918" w14:textId="77777777" w:rsidTr="00F65BC7">
        <w:trPr>
          <w:gridAfter w:val="1"/>
          <w:wAfter w:w="66" w:type="dxa"/>
          <w:trHeight w:val="270"/>
        </w:trPr>
        <w:tc>
          <w:tcPr>
            <w:tcW w:w="6321" w:type="dxa"/>
            <w:gridSpan w:val="4"/>
            <w:tcBorders>
              <w:top w:val="nil"/>
              <w:left w:val="nil"/>
              <w:bottom w:val="nil"/>
              <w:right w:val="nil"/>
            </w:tcBorders>
            <w:shd w:val="clear" w:color="auto" w:fill="auto"/>
            <w:noWrap/>
            <w:vAlign w:val="bottom"/>
          </w:tcPr>
          <w:p w14:paraId="6843F0DD" w14:textId="77777777" w:rsidR="00F65BC7" w:rsidRPr="00091BF3" w:rsidRDefault="00F65BC7" w:rsidP="00484918">
            <w:pPr>
              <w:spacing w:after="0" w:line="240" w:lineRule="auto"/>
              <w:rPr>
                <w:rFonts w:ascii="Times New Roman" w:hAnsi="Times New Roman" w:cs="Times New Roman"/>
                <w:lang w:eastAsia="hr-HR"/>
              </w:rPr>
            </w:pPr>
          </w:p>
        </w:tc>
        <w:tc>
          <w:tcPr>
            <w:tcW w:w="876" w:type="dxa"/>
            <w:tcBorders>
              <w:top w:val="nil"/>
              <w:left w:val="nil"/>
              <w:bottom w:val="nil"/>
              <w:right w:val="nil"/>
            </w:tcBorders>
            <w:shd w:val="clear" w:color="auto" w:fill="auto"/>
            <w:noWrap/>
            <w:vAlign w:val="bottom"/>
          </w:tcPr>
          <w:p w14:paraId="117C29ED" w14:textId="77777777" w:rsidR="00F65BC7" w:rsidRPr="00091BF3" w:rsidRDefault="00F65BC7" w:rsidP="00484918">
            <w:pPr>
              <w:spacing w:after="0" w:line="240" w:lineRule="auto"/>
              <w:rPr>
                <w:rFonts w:ascii="Times New Roman" w:hAnsi="Times New Roman" w:cs="Times New Roman"/>
                <w:lang w:eastAsia="hr-HR"/>
              </w:rPr>
            </w:pPr>
          </w:p>
        </w:tc>
        <w:tc>
          <w:tcPr>
            <w:tcW w:w="269" w:type="dxa"/>
            <w:tcBorders>
              <w:top w:val="nil"/>
              <w:left w:val="nil"/>
              <w:bottom w:val="nil"/>
              <w:right w:val="nil"/>
            </w:tcBorders>
            <w:shd w:val="clear" w:color="auto" w:fill="auto"/>
            <w:noWrap/>
            <w:vAlign w:val="bottom"/>
          </w:tcPr>
          <w:p w14:paraId="63612231" w14:textId="77777777" w:rsidR="00F65BC7" w:rsidRPr="00091BF3" w:rsidRDefault="00F65BC7" w:rsidP="00484918">
            <w:pPr>
              <w:spacing w:after="0" w:line="240" w:lineRule="auto"/>
              <w:rPr>
                <w:rFonts w:ascii="Times New Roman" w:hAnsi="Times New Roman" w:cs="Times New Roman"/>
                <w:lang w:eastAsia="hr-HR"/>
              </w:rPr>
            </w:pPr>
          </w:p>
        </w:tc>
        <w:tc>
          <w:tcPr>
            <w:tcW w:w="1858" w:type="dxa"/>
            <w:tcBorders>
              <w:top w:val="nil"/>
              <w:left w:val="nil"/>
              <w:bottom w:val="nil"/>
              <w:right w:val="nil"/>
            </w:tcBorders>
            <w:shd w:val="clear" w:color="auto" w:fill="auto"/>
            <w:noWrap/>
            <w:vAlign w:val="bottom"/>
          </w:tcPr>
          <w:p w14:paraId="20699B61" w14:textId="77777777" w:rsidR="00F65BC7" w:rsidRPr="00091BF3" w:rsidRDefault="00F65BC7" w:rsidP="00484918">
            <w:pPr>
              <w:spacing w:after="0" w:line="240" w:lineRule="auto"/>
              <w:jc w:val="right"/>
              <w:rPr>
                <w:rFonts w:ascii="Times New Roman" w:hAnsi="Times New Roman" w:cs="Times New Roman"/>
                <w:lang w:eastAsia="hr-HR"/>
              </w:rPr>
            </w:pPr>
          </w:p>
        </w:tc>
      </w:tr>
    </w:tbl>
    <w:p w14:paraId="311D4DCB" w14:textId="0DEA21AF" w:rsidR="004B66DB" w:rsidRDefault="008459C0" w:rsidP="00F65BC7">
      <w:pPr>
        <w:spacing w:after="0"/>
        <w:ind w:right="-428"/>
        <w:jc w:val="both"/>
        <w:rPr>
          <w:rFonts w:ascii="Times New Roman" w:hAnsi="Times New Roman" w:cs="Times New Roman"/>
        </w:rPr>
      </w:pPr>
      <w:r>
        <w:rPr>
          <w:rFonts w:ascii="Times New Roman" w:hAnsi="Times New Roman" w:cs="Times New Roman"/>
        </w:rPr>
        <w:t>Dospjela</w:t>
      </w:r>
      <w:r w:rsidR="00073BD4">
        <w:rPr>
          <w:rFonts w:ascii="Times New Roman" w:hAnsi="Times New Roman" w:cs="Times New Roman"/>
        </w:rPr>
        <w:t xml:space="preserve"> bruto</w:t>
      </w:r>
      <w:r>
        <w:rPr>
          <w:rFonts w:ascii="Times New Roman" w:hAnsi="Times New Roman" w:cs="Times New Roman"/>
        </w:rPr>
        <w:t xml:space="preserve"> potraživanja od prodaje nefinancijske imovine iznose </w:t>
      </w:r>
      <w:r w:rsidR="00073BD4">
        <w:rPr>
          <w:rFonts w:ascii="Times New Roman" w:hAnsi="Times New Roman" w:cs="Times New Roman"/>
        </w:rPr>
        <w:t>20.994,45</w:t>
      </w:r>
      <w:r>
        <w:rPr>
          <w:rFonts w:ascii="Times New Roman" w:hAnsi="Times New Roman" w:cs="Times New Roman"/>
        </w:rPr>
        <w:t xml:space="preserve"> eura, nedospjela potraživanja iznose </w:t>
      </w:r>
      <w:r w:rsidR="00073BD4">
        <w:rPr>
          <w:rFonts w:ascii="Times New Roman" w:hAnsi="Times New Roman" w:cs="Times New Roman"/>
        </w:rPr>
        <w:t>5.029,02</w:t>
      </w:r>
      <w:r>
        <w:rPr>
          <w:rFonts w:ascii="Times New Roman" w:hAnsi="Times New Roman" w:cs="Times New Roman"/>
        </w:rPr>
        <w:t xml:space="preserve"> eura.</w:t>
      </w:r>
    </w:p>
    <w:p w14:paraId="4C3E440E" w14:textId="77777777" w:rsidR="004B66DB" w:rsidRDefault="004B66DB" w:rsidP="004B66DB">
      <w:pPr>
        <w:spacing w:after="0"/>
        <w:jc w:val="both"/>
        <w:rPr>
          <w:rFonts w:ascii="Times New Roman" w:hAnsi="Times New Roman" w:cs="Times New Roman"/>
        </w:rPr>
      </w:pPr>
    </w:p>
    <w:p w14:paraId="4276781C" w14:textId="77777777" w:rsidR="00F65BC7" w:rsidRPr="00610E7A" w:rsidRDefault="00F65BC7" w:rsidP="004B66DB">
      <w:pPr>
        <w:spacing w:after="0"/>
        <w:jc w:val="both"/>
        <w:rPr>
          <w:rFonts w:ascii="Times New Roman" w:hAnsi="Times New Roman" w:cs="Times New Roman"/>
        </w:rPr>
      </w:pPr>
    </w:p>
    <w:p w14:paraId="0BC5A8BA" w14:textId="77777777" w:rsidR="004B66DB" w:rsidRPr="0053547E" w:rsidRDefault="004B66DB" w:rsidP="004B66DB">
      <w:pPr>
        <w:spacing w:after="0"/>
        <w:jc w:val="both"/>
        <w:rPr>
          <w:rFonts w:ascii="Times New Roman" w:hAnsi="Times New Roman" w:cs="Times New Roman"/>
          <w:b/>
          <w:bCs/>
          <w:u w:val="single"/>
        </w:rPr>
      </w:pPr>
      <w:r w:rsidRPr="0053547E">
        <w:rPr>
          <w:rFonts w:ascii="Times New Roman" w:hAnsi="Times New Roman" w:cs="Times New Roman"/>
          <w:b/>
          <w:bCs/>
          <w:u w:val="single"/>
        </w:rPr>
        <w:t>Stanje potraživanja za prihode poslovanja proračunskih korisnika:</w:t>
      </w:r>
    </w:p>
    <w:p w14:paraId="38E6A0AB" w14:textId="77777777" w:rsidR="004B66DB" w:rsidRPr="001251F5" w:rsidRDefault="004B66DB" w:rsidP="004B66DB">
      <w:pPr>
        <w:spacing w:after="0"/>
        <w:jc w:val="both"/>
        <w:rPr>
          <w:rFonts w:ascii="Times New Roman" w:hAnsi="Times New Roman" w:cs="Times New Roman"/>
        </w:rPr>
      </w:pPr>
    </w:p>
    <w:p w14:paraId="02AE8356" w14:textId="65DDE013" w:rsidR="004B66DB" w:rsidRPr="001251F5" w:rsidRDefault="004B66DB" w:rsidP="004B66DB">
      <w:pPr>
        <w:spacing w:after="0" w:line="240" w:lineRule="auto"/>
        <w:jc w:val="both"/>
        <w:rPr>
          <w:rFonts w:ascii="Times New Roman" w:hAnsi="Times New Roman" w:cs="Times New Roman"/>
        </w:rPr>
      </w:pPr>
      <w:r w:rsidRPr="001251F5">
        <w:rPr>
          <w:rFonts w:ascii="Times New Roman" w:hAnsi="Times New Roman" w:cs="Times New Roman"/>
        </w:rPr>
        <w:t xml:space="preserve">- </w:t>
      </w:r>
      <w:r w:rsidRPr="001251F5">
        <w:rPr>
          <w:rFonts w:ascii="Times New Roman" w:hAnsi="Times New Roman" w:cs="Times New Roman"/>
          <w:b/>
          <w:bCs/>
          <w:i/>
          <w:iCs/>
        </w:rPr>
        <w:t>Javna vatrogasna postrojba</w:t>
      </w:r>
      <w:r w:rsidRPr="001251F5">
        <w:rPr>
          <w:rFonts w:ascii="Times New Roman" w:hAnsi="Times New Roman" w:cs="Times New Roman"/>
        </w:rPr>
        <w:t xml:space="preserve"> ima potraživanja u iznosu od </w:t>
      </w:r>
      <w:r w:rsidR="008F25A6" w:rsidRPr="001251F5">
        <w:rPr>
          <w:rFonts w:ascii="Times New Roman" w:hAnsi="Times New Roman" w:cs="Times New Roman"/>
        </w:rPr>
        <w:t>8.101,75</w:t>
      </w:r>
      <w:r w:rsidR="00392BD2" w:rsidRPr="001251F5">
        <w:rPr>
          <w:rFonts w:ascii="Times New Roman" w:hAnsi="Times New Roman" w:cs="Times New Roman"/>
        </w:rPr>
        <w:t xml:space="preserve"> eura</w:t>
      </w:r>
      <w:r w:rsidRPr="001251F5">
        <w:rPr>
          <w:rFonts w:ascii="Times New Roman" w:hAnsi="Times New Roman" w:cs="Times New Roman"/>
        </w:rPr>
        <w:t xml:space="preserve">. </w:t>
      </w:r>
    </w:p>
    <w:p w14:paraId="6E0F220B" w14:textId="236CAF20" w:rsidR="004B66DB" w:rsidRPr="001251F5" w:rsidRDefault="004B66DB" w:rsidP="004B66DB">
      <w:pPr>
        <w:spacing w:after="0" w:line="240" w:lineRule="auto"/>
        <w:jc w:val="both"/>
        <w:rPr>
          <w:rFonts w:ascii="Times New Roman" w:hAnsi="Times New Roman" w:cs="Times New Roman"/>
        </w:rPr>
      </w:pPr>
      <w:r w:rsidRPr="001251F5">
        <w:rPr>
          <w:rFonts w:ascii="Times New Roman" w:hAnsi="Times New Roman" w:cs="Times New Roman"/>
        </w:rPr>
        <w:lastRenderedPageBreak/>
        <w:t xml:space="preserve">           - potraživanja za prihode od pruženih usluga (bruto) u iznosu od </w:t>
      </w:r>
      <w:r w:rsidR="008F25A6" w:rsidRPr="001251F5">
        <w:rPr>
          <w:rFonts w:ascii="Times New Roman" w:hAnsi="Times New Roman" w:cs="Times New Roman"/>
        </w:rPr>
        <w:t>4.983,08 eura</w:t>
      </w:r>
      <w:r w:rsidRPr="001251F5">
        <w:rPr>
          <w:rFonts w:ascii="Times New Roman" w:hAnsi="Times New Roman" w:cs="Times New Roman"/>
        </w:rPr>
        <w:t xml:space="preserve"> (dospjelo </w:t>
      </w:r>
      <w:r w:rsidR="008F25A6" w:rsidRPr="001251F5">
        <w:rPr>
          <w:rFonts w:ascii="Times New Roman" w:hAnsi="Times New Roman" w:cs="Times New Roman"/>
        </w:rPr>
        <w:t>4.567,73</w:t>
      </w:r>
      <w:r w:rsidR="0081179E" w:rsidRPr="001251F5">
        <w:rPr>
          <w:rFonts w:ascii="Times New Roman" w:hAnsi="Times New Roman" w:cs="Times New Roman"/>
        </w:rPr>
        <w:t xml:space="preserve"> eura</w:t>
      </w:r>
      <w:r w:rsidRPr="001251F5">
        <w:rPr>
          <w:rFonts w:ascii="Times New Roman" w:hAnsi="Times New Roman" w:cs="Times New Roman"/>
        </w:rPr>
        <w:t xml:space="preserve">, nedospjelo </w:t>
      </w:r>
      <w:r w:rsidR="008F25A6" w:rsidRPr="001251F5">
        <w:rPr>
          <w:rFonts w:ascii="Times New Roman" w:hAnsi="Times New Roman" w:cs="Times New Roman"/>
        </w:rPr>
        <w:t>415,35</w:t>
      </w:r>
      <w:r w:rsidR="009B0545" w:rsidRPr="001251F5">
        <w:rPr>
          <w:rFonts w:ascii="Times New Roman" w:hAnsi="Times New Roman" w:cs="Times New Roman"/>
        </w:rPr>
        <w:t xml:space="preserve"> eura</w:t>
      </w:r>
      <w:r w:rsidRPr="001251F5">
        <w:rPr>
          <w:rFonts w:ascii="Times New Roman" w:hAnsi="Times New Roman" w:cs="Times New Roman"/>
        </w:rPr>
        <w:t xml:space="preserve">), </w:t>
      </w:r>
    </w:p>
    <w:p w14:paraId="5599E72C" w14:textId="4BCF568B" w:rsidR="004B66DB" w:rsidRPr="001251F5" w:rsidRDefault="004B66DB" w:rsidP="004B66DB">
      <w:pPr>
        <w:spacing w:after="0" w:line="240" w:lineRule="auto"/>
        <w:jc w:val="both"/>
        <w:rPr>
          <w:rFonts w:ascii="Times New Roman" w:hAnsi="Times New Roman" w:cs="Times New Roman"/>
        </w:rPr>
      </w:pPr>
      <w:r w:rsidRPr="001251F5">
        <w:rPr>
          <w:rFonts w:ascii="Times New Roman" w:hAnsi="Times New Roman" w:cs="Times New Roman"/>
        </w:rPr>
        <w:t xml:space="preserve">           - potraživanja za vlastite prihode uplaćene u proračun u iznosu od</w:t>
      </w:r>
      <w:r w:rsidR="008F25A6" w:rsidRPr="001251F5">
        <w:rPr>
          <w:rFonts w:ascii="Times New Roman" w:hAnsi="Times New Roman" w:cs="Times New Roman"/>
        </w:rPr>
        <w:t xml:space="preserve"> 3.118,67</w:t>
      </w:r>
      <w:r w:rsidR="0081179E" w:rsidRPr="001251F5">
        <w:rPr>
          <w:rFonts w:ascii="Times New Roman" w:hAnsi="Times New Roman" w:cs="Times New Roman"/>
        </w:rPr>
        <w:t xml:space="preserve"> eura</w:t>
      </w:r>
      <w:r w:rsidRPr="001251F5">
        <w:rPr>
          <w:rFonts w:ascii="Times New Roman" w:hAnsi="Times New Roman" w:cs="Times New Roman"/>
        </w:rPr>
        <w:t xml:space="preserve"> (nedospjela).</w:t>
      </w:r>
    </w:p>
    <w:p w14:paraId="0C466179" w14:textId="77777777" w:rsidR="004B66DB" w:rsidRPr="00F65BC7" w:rsidRDefault="004B66DB" w:rsidP="004B66DB">
      <w:pPr>
        <w:spacing w:after="0" w:line="240" w:lineRule="auto"/>
        <w:jc w:val="both"/>
        <w:rPr>
          <w:rFonts w:ascii="Times New Roman" w:hAnsi="Times New Roman" w:cs="Times New Roman"/>
          <w:color w:val="EE0000"/>
        </w:rPr>
      </w:pPr>
    </w:p>
    <w:p w14:paraId="0316144F" w14:textId="3A9F3439" w:rsidR="004B66DB" w:rsidRPr="001251F5" w:rsidRDefault="004B66DB" w:rsidP="004B66DB">
      <w:pPr>
        <w:spacing w:after="0" w:line="240" w:lineRule="auto"/>
        <w:jc w:val="both"/>
        <w:rPr>
          <w:rFonts w:ascii="Times New Roman" w:hAnsi="Times New Roman" w:cs="Times New Roman"/>
        </w:rPr>
      </w:pPr>
      <w:r w:rsidRPr="001251F5">
        <w:rPr>
          <w:rFonts w:ascii="Times New Roman" w:hAnsi="Times New Roman" w:cs="Times New Roman"/>
        </w:rPr>
        <w:t xml:space="preserve">- </w:t>
      </w:r>
      <w:r w:rsidRPr="001251F5">
        <w:rPr>
          <w:rFonts w:ascii="Times New Roman" w:hAnsi="Times New Roman" w:cs="Times New Roman"/>
          <w:b/>
          <w:bCs/>
          <w:i/>
          <w:iCs/>
        </w:rPr>
        <w:t>Dječji vrtić Maslačak</w:t>
      </w:r>
      <w:r w:rsidRPr="001251F5">
        <w:rPr>
          <w:rFonts w:ascii="Times New Roman" w:hAnsi="Times New Roman" w:cs="Times New Roman"/>
        </w:rPr>
        <w:t xml:space="preserve"> ima potraživanja u  iznosu od </w:t>
      </w:r>
      <w:r w:rsidR="001251F5" w:rsidRPr="001251F5">
        <w:rPr>
          <w:rFonts w:ascii="Times New Roman" w:hAnsi="Times New Roman" w:cs="Times New Roman"/>
        </w:rPr>
        <w:t>163.858,02</w:t>
      </w:r>
      <w:r w:rsidRPr="001251F5">
        <w:rPr>
          <w:rFonts w:ascii="Times New Roman" w:hAnsi="Times New Roman" w:cs="Times New Roman"/>
        </w:rPr>
        <w:t xml:space="preserve"> (bruto). </w:t>
      </w:r>
    </w:p>
    <w:p w14:paraId="5BF33BD5" w14:textId="0CD3333E" w:rsidR="004B66DB" w:rsidRPr="001251F5" w:rsidRDefault="004B66DB" w:rsidP="004B66DB">
      <w:pPr>
        <w:spacing w:after="0" w:line="240" w:lineRule="auto"/>
        <w:jc w:val="both"/>
        <w:rPr>
          <w:rFonts w:ascii="Times New Roman" w:hAnsi="Times New Roman" w:cs="Times New Roman"/>
        </w:rPr>
      </w:pPr>
      <w:r w:rsidRPr="001251F5">
        <w:rPr>
          <w:rFonts w:ascii="Times New Roman" w:hAnsi="Times New Roman" w:cs="Times New Roman"/>
        </w:rPr>
        <w:t xml:space="preserve">           - potraživanja za prihode od pruženih usluga u iznosu od </w:t>
      </w:r>
      <w:r w:rsidR="001251F5" w:rsidRPr="001251F5">
        <w:rPr>
          <w:rFonts w:ascii="Times New Roman" w:hAnsi="Times New Roman" w:cs="Times New Roman"/>
        </w:rPr>
        <w:t>36.627,82</w:t>
      </w:r>
      <w:r w:rsidRPr="001251F5">
        <w:rPr>
          <w:rFonts w:ascii="Times New Roman" w:hAnsi="Times New Roman" w:cs="Times New Roman"/>
        </w:rPr>
        <w:t xml:space="preserve"> </w:t>
      </w:r>
      <w:r w:rsidR="001251F5" w:rsidRPr="001251F5">
        <w:rPr>
          <w:rFonts w:ascii="Times New Roman" w:hAnsi="Times New Roman" w:cs="Times New Roman"/>
        </w:rPr>
        <w:t>eura</w:t>
      </w:r>
      <w:r w:rsidRPr="001251F5">
        <w:rPr>
          <w:rFonts w:ascii="Times New Roman" w:hAnsi="Times New Roman" w:cs="Times New Roman"/>
        </w:rPr>
        <w:t>,</w:t>
      </w:r>
    </w:p>
    <w:p w14:paraId="1D4B4B60" w14:textId="0ACFD8F9" w:rsidR="004B66DB" w:rsidRPr="001251F5" w:rsidRDefault="004B66DB" w:rsidP="004B66DB">
      <w:pPr>
        <w:spacing w:after="0" w:line="240" w:lineRule="auto"/>
        <w:jc w:val="both"/>
        <w:rPr>
          <w:rFonts w:ascii="Times New Roman" w:hAnsi="Times New Roman" w:cs="Times New Roman"/>
        </w:rPr>
      </w:pPr>
      <w:r w:rsidRPr="001251F5">
        <w:rPr>
          <w:rFonts w:ascii="Times New Roman" w:hAnsi="Times New Roman" w:cs="Times New Roman"/>
        </w:rPr>
        <w:t xml:space="preserve">           - potraživanja za vlastite prihode uplaćene u proračun u iznosu od </w:t>
      </w:r>
      <w:r w:rsidR="001251F5" w:rsidRPr="001251F5">
        <w:rPr>
          <w:rFonts w:ascii="Times New Roman" w:hAnsi="Times New Roman" w:cs="Times New Roman"/>
        </w:rPr>
        <w:t>127.230,20</w:t>
      </w:r>
      <w:r w:rsidR="00A16F70" w:rsidRPr="001251F5">
        <w:rPr>
          <w:rFonts w:ascii="Times New Roman" w:hAnsi="Times New Roman" w:cs="Times New Roman"/>
        </w:rPr>
        <w:t xml:space="preserve"> eura (nedospjela) </w:t>
      </w:r>
    </w:p>
    <w:p w14:paraId="6C97520D" w14:textId="43914FD5" w:rsidR="004B66DB" w:rsidRPr="001251F5" w:rsidRDefault="004B66DB" w:rsidP="004B66DB">
      <w:pPr>
        <w:spacing w:after="0" w:line="240" w:lineRule="auto"/>
        <w:jc w:val="both"/>
        <w:rPr>
          <w:rFonts w:ascii="Times New Roman" w:hAnsi="Times New Roman" w:cs="Times New Roman"/>
        </w:rPr>
      </w:pPr>
      <w:r w:rsidRPr="001251F5">
        <w:rPr>
          <w:rFonts w:ascii="Times New Roman" w:hAnsi="Times New Roman" w:cs="Times New Roman"/>
        </w:rPr>
        <w:t xml:space="preserve">Od navedenih potraživanja </w:t>
      </w:r>
      <w:r w:rsidR="001251F5" w:rsidRPr="001251F5">
        <w:rPr>
          <w:rFonts w:ascii="Times New Roman" w:hAnsi="Times New Roman" w:cs="Times New Roman"/>
        </w:rPr>
        <w:t>9.560,99 eura</w:t>
      </w:r>
      <w:r w:rsidRPr="001251F5">
        <w:rPr>
          <w:rFonts w:ascii="Times New Roman" w:hAnsi="Times New Roman" w:cs="Times New Roman"/>
        </w:rPr>
        <w:t xml:space="preserve"> je dospjelo</w:t>
      </w:r>
      <w:r w:rsidR="001251F5" w:rsidRPr="001251F5">
        <w:rPr>
          <w:rFonts w:ascii="Times New Roman" w:hAnsi="Times New Roman" w:cs="Times New Roman"/>
        </w:rPr>
        <w:t xml:space="preserve">, </w:t>
      </w:r>
      <w:r w:rsidRPr="001251F5">
        <w:rPr>
          <w:rFonts w:ascii="Times New Roman" w:hAnsi="Times New Roman" w:cs="Times New Roman"/>
        </w:rPr>
        <w:t xml:space="preserve"> a </w:t>
      </w:r>
      <w:r w:rsidR="00095003" w:rsidRPr="001251F5">
        <w:rPr>
          <w:rFonts w:ascii="Times New Roman" w:hAnsi="Times New Roman" w:cs="Times New Roman"/>
        </w:rPr>
        <w:t>1</w:t>
      </w:r>
      <w:r w:rsidR="001251F5" w:rsidRPr="001251F5">
        <w:rPr>
          <w:rFonts w:ascii="Times New Roman" w:hAnsi="Times New Roman" w:cs="Times New Roman"/>
        </w:rPr>
        <w:t>54.297,03 eura</w:t>
      </w:r>
      <w:r w:rsidRPr="001251F5">
        <w:rPr>
          <w:rFonts w:ascii="Times New Roman" w:hAnsi="Times New Roman" w:cs="Times New Roman"/>
        </w:rPr>
        <w:t xml:space="preserve"> su nedospjela potraživanja.</w:t>
      </w:r>
    </w:p>
    <w:p w14:paraId="0433B510" w14:textId="77777777" w:rsidR="004B66DB" w:rsidRPr="00F65BC7" w:rsidRDefault="004B66DB" w:rsidP="004B66DB">
      <w:pPr>
        <w:spacing w:after="0" w:line="240" w:lineRule="auto"/>
        <w:jc w:val="both"/>
        <w:rPr>
          <w:rFonts w:ascii="Times New Roman" w:hAnsi="Times New Roman" w:cs="Times New Roman"/>
          <w:color w:val="EE0000"/>
        </w:rPr>
      </w:pPr>
    </w:p>
    <w:p w14:paraId="4EB5CF7F" w14:textId="27B2B1E4" w:rsidR="004B66DB" w:rsidRPr="0098573C" w:rsidRDefault="004B66DB" w:rsidP="004B66DB">
      <w:pPr>
        <w:spacing w:after="0" w:line="240" w:lineRule="auto"/>
        <w:jc w:val="both"/>
        <w:rPr>
          <w:rFonts w:ascii="Times New Roman" w:hAnsi="Times New Roman" w:cs="Times New Roman"/>
        </w:rPr>
      </w:pPr>
      <w:r w:rsidRPr="0098573C">
        <w:rPr>
          <w:rFonts w:ascii="Times New Roman" w:hAnsi="Times New Roman" w:cs="Times New Roman"/>
        </w:rPr>
        <w:t xml:space="preserve">- </w:t>
      </w:r>
      <w:r w:rsidRPr="0098573C">
        <w:rPr>
          <w:rFonts w:ascii="Times New Roman" w:hAnsi="Times New Roman" w:cs="Times New Roman"/>
          <w:b/>
          <w:bCs/>
          <w:i/>
          <w:iCs/>
        </w:rPr>
        <w:t>Hrvatska knjižnica i čitaonica</w:t>
      </w:r>
      <w:r w:rsidRPr="0098573C">
        <w:rPr>
          <w:rFonts w:ascii="Times New Roman" w:hAnsi="Times New Roman" w:cs="Times New Roman"/>
        </w:rPr>
        <w:t xml:space="preserve"> ima nedospjela potraživanja u iznosu od </w:t>
      </w:r>
      <w:r w:rsidR="0098573C" w:rsidRPr="0098573C">
        <w:rPr>
          <w:rFonts w:ascii="Times New Roman" w:hAnsi="Times New Roman" w:cs="Times New Roman"/>
        </w:rPr>
        <w:t>1.422,85</w:t>
      </w:r>
      <w:r w:rsidR="00095003" w:rsidRPr="0098573C">
        <w:rPr>
          <w:rFonts w:ascii="Times New Roman" w:hAnsi="Times New Roman" w:cs="Times New Roman"/>
        </w:rPr>
        <w:t xml:space="preserve"> eura</w:t>
      </w:r>
      <w:r w:rsidRPr="0098573C">
        <w:rPr>
          <w:rFonts w:ascii="Times New Roman" w:hAnsi="Times New Roman" w:cs="Times New Roman"/>
        </w:rPr>
        <w:t xml:space="preserve">  (bruto):</w:t>
      </w:r>
    </w:p>
    <w:p w14:paraId="2CCC3471" w14:textId="67AA7234" w:rsidR="0098573C" w:rsidRPr="0098573C" w:rsidRDefault="0098573C" w:rsidP="004B66DB">
      <w:pPr>
        <w:spacing w:after="0" w:line="240" w:lineRule="auto"/>
        <w:jc w:val="both"/>
        <w:rPr>
          <w:rFonts w:ascii="Times New Roman" w:hAnsi="Times New Roman" w:cs="Times New Roman"/>
        </w:rPr>
      </w:pPr>
      <w:r w:rsidRPr="0098573C">
        <w:rPr>
          <w:rFonts w:ascii="Times New Roman" w:hAnsi="Times New Roman" w:cs="Times New Roman"/>
        </w:rPr>
        <w:t xml:space="preserve">           - potraživanja za pomoći proračunskim korisnicima iz proračuna koji im nije nadležan u iznosu od 3,18 eura</w:t>
      </w:r>
    </w:p>
    <w:p w14:paraId="2FE62D2E" w14:textId="1C906E53" w:rsidR="004B66DB" w:rsidRPr="0098573C" w:rsidRDefault="004B66DB" w:rsidP="004B66DB">
      <w:pPr>
        <w:spacing w:after="0" w:line="240" w:lineRule="auto"/>
        <w:jc w:val="both"/>
        <w:rPr>
          <w:rFonts w:ascii="Times New Roman" w:hAnsi="Times New Roman" w:cs="Times New Roman"/>
        </w:rPr>
      </w:pPr>
      <w:r w:rsidRPr="0098573C">
        <w:rPr>
          <w:rFonts w:ascii="Times New Roman" w:hAnsi="Times New Roman" w:cs="Times New Roman"/>
        </w:rPr>
        <w:t xml:space="preserve">           - potraživanja za vlastite prihode uplaćene u proračun u iznosu od </w:t>
      </w:r>
      <w:r w:rsidR="0098573C" w:rsidRPr="0098573C">
        <w:rPr>
          <w:rFonts w:ascii="Times New Roman" w:hAnsi="Times New Roman" w:cs="Times New Roman"/>
        </w:rPr>
        <w:t>1.419,67</w:t>
      </w:r>
      <w:r w:rsidR="00095003" w:rsidRPr="0098573C">
        <w:rPr>
          <w:rFonts w:ascii="Times New Roman" w:hAnsi="Times New Roman" w:cs="Times New Roman"/>
        </w:rPr>
        <w:t xml:space="preserve"> eura</w:t>
      </w:r>
      <w:r w:rsidRPr="0098573C">
        <w:rPr>
          <w:rFonts w:ascii="Times New Roman" w:hAnsi="Times New Roman" w:cs="Times New Roman"/>
        </w:rPr>
        <w:t xml:space="preserve"> </w:t>
      </w:r>
    </w:p>
    <w:p w14:paraId="680915D4" w14:textId="77777777" w:rsidR="0098573C" w:rsidRPr="00F65BC7" w:rsidRDefault="0098573C" w:rsidP="004B66DB">
      <w:pPr>
        <w:spacing w:after="0" w:line="240" w:lineRule="auto"/>
        <w:jc w:val="both"/>
        <w:rPr>
          <w:rFonts w:ascii="Times New Roman" w:hAnsi="Times New Roman" w:cs="Times New Roman"/>
          <w:color w:val="EE0000"/>
        </w:rPr>
      </w:pPr>
    </w:p>
    <w:p w14:paraId="316625FA" w14:textId="77777777" w:rsidR="004B66DB" w:rsidRPr="00F65BC7" w:rsidRDefault="004B66DB" w:rsidP="004B66DB">
      <w:pPr>
        <w:spacing w:after="0" w:line="240" w:lineRule="auto"/>
        <w:jc w:val="both"/>
        <w:rPr>
          <w:rFonts w:ascii="Times New Roman" w:hAnsi="Times New Roman" w:cs="Times New Roman"/>
          <w:color w:val="EE0000"/>
        </w:rPr>
      </w:pPr>
    </w:p>
    <w:p w14:paraId="36CBC110" w14:textId="162D7E2A" w:rsidR="004B66DB" w:rsidRPr="0098573C" w:rsidRDefault="004B66DB" w:rsidP="004B66DB">
      <w:pPr>
        <w:spacing w:after="0" w:line="240" w:lineRule="auto"/>
        <w:jc w:val="both"/>
        <w:rPr>
          <w:rFonts w:ascii="Times New Roman" w:hAnsi="Times New Roman" w:cs="Times New Roman"/>
        </w:rPr>
      </w:pPr>
      <w:r w:rsidRPr="0098573C">
        <w:rPr>
          <w:rFonts w:ascii="Times New Roman" w:hAnsi="Times New Roman" w:cs="Times New Roman"/>
        </w:rPr>
        <w:t xml:space="preserve">- </w:t>
      </w:r>
      <w:r w:rsidRPr="0098573C">
        <w:rPr>
          <w:rFonts w:ascii="Times New Roman" w:hAnsi="Times New Roman" w:cs="Times New Roman"/>
          <w:b/>
          <w:bCs/>
          <w:i/>
          <w:iCs/>
        </w:rPr>
        <w:t>Javna ustanova za upravljanje Centrom za posjetitelje Garešnica</w:t>
      </w:r>
      <w:r w:rsidRPr="0098573C">
        <w:rPr>
          <w:rFonts w:ascii="Times New Roman" w:hAnsi="Times New Roman" w:cs="Times New Roman"/>
        </w:rPr>
        <w:t xml:space="preserve"> ima </w:t>
      </w:r>
      <w:r w:rsidR="0098573C" w:rsidRPr="0098573C">
        <w:rPr>
          <w:rFonts w:ascii="Times New Roman" w:hAnsi="Times New Roman" w:cs="Times New Roman"/>
        </w:rPr>
        <w:t>3.957,36</w:t>
      </w:r>
      <w:r w:rsidRPr="0098573C">
        <w:rPr>
          <w:rFonts w:ascii="Times New Roman" w:hAnsi="Times New Roman" w:cs="Times New Roman"/>
        </w:rPr>
        <w:t xml:space="preserve"> </w:t>
      </w:r>
      <w:r w:rsidR="00095003" w:rsidRPr="0098573C">
        <w:rPr>
          <w:rFonts w:ascii="Times New Roman" w:hAnsi="Times New Roman" w:cs="Times New Roman"/>
        </w:rPr>
        <w:t>eura</w:t>
      </w:r>
      <w:r w:rsidRPr="0098573C">
        <w:rPr>
          <w:rFonts w:ascii="Times New Roman" w:hAnsi="Times New Roman" w:cs="Times New Roman"/>
        </w:rPr>
        <w:t xml:space="preserve"> nedospjelih potraživanja.           </w:t>
      </w:r>
    </w:p>
    <w:p w14:paraId="21AD1071" w14:textId="525780DD" w:rsidR="004B66DB" w:rsidRPr="0098573C" w:rsidRDefault="004B66DB" w:rsidP="004B66DB">
      <w:pPr>
        <w:spacing w:after="0" w:line="240" w:lineRule="auto"/>
        <w:jc w:val="both"/>
        <w:rPr>
          <w:rFonts w:ascii="Times New Roman" w:hAnsi="Times New Roman" w:cs="Times New Roman"/>
        </w:rPr>
      </w:pPr>
      <w:r w:rsidRPr="0098573C">
        <w:rPr>
          <w:rFonts w:ascii="Times New Roman" w:hAnsi="Times New Roman" w:cs="Times New Roman"/>
        </w:rPr>
        <w:t xml:space="preserve">           - potraživanja za vlastite prihode uplaćene u proračun u iznosu od </w:t>
      </w:r>
      <w:r w:rsidR="0098573C" w:rsidRPr="0098573C">
        <w:rPr>
          <w:rFonts w:ascii="Times New Roman" w:hAnsi="Times New Roman" w:cs="Times New Roman"/>
        </w:rPr>
        <w:t>3.957,36</w:t>
      </w:r>
      <w:r w:rsidR="00F05AE5" w:rsidRPr="0098573C">
        <w:rPr>
          <w:rFonts w:ascii="Times New Roman" w:hAnsi="Times New Roman" w:cs="Times New Roman"/>
        </w:rPr>
        <w:t xml:space="preserve"> eura</w:t>
      </w:r>
      <w:r w:rsidRPr="0098573C">
        <w:rPr>
          <w:rFonts w:ascii="Times New Roman" w:hAnsi="Times New Roman" w:cs="Times New Roman"/>
        </w:rPr>
        <w:t xml:space="preserve"> (nedospjela).</w:t>
      </w:r>
    </w:p>
    <w:p w14:paraId="7C770E88" w14:textId="77777777" w:rsidR="00F05AE5" w:rsidRPr="00F65BC7" w:rsidRDefault="00F05AE5" w:rsidP="004B66DB">
      <w:pPr>
        <w:spacing w:after="0" w:line="240" w:lineRule="auto"/>
        <w:jc w:val="both"/>
        <w:rPr>
          <w:rFonts w:ascii="Times New Roman" w:hAnsi="Times New Roman" w:cs="Times New Roman"/>
          <w:color w:val="EE0000"/>
        </w:rPr>
      </w:pPr>
    </w:p>
    <w:p w14:paraId="16BAB7D6" w14:textId="21D5D4F9" w:rsidR="00F05AE5" w:rsidRPr="004E1AB3" w:rsidRDefault="00F05AE5" w:rsidP="004B66DB">
      <w:pPr>
        <w:spacing w:after="0" w:line="240" w:lineRule="auto"/>
        <w:jc w:val="both"/>
        <w:rPr>
          <w:rFonts w:ascii="Times New Roman" w:hAnsi="Times New Roman" w:cs="Times New Roman"/>
        </w:rPr>
      </w:pPr>
      <w:r w:rsidRPr="004E1AB3">
        <w:rPr>
          <w:rFonts w:ascii="Times New Roman" w:hAnsi="Times New Roman" w:cs="Times New Roman"/>
          <w:b/>
          <w:bCs/>
          <w:i/>
          <w:iCs/>
        </w:rPr>
        <w:t>- Osnovna škola Garešnica</w:t>
      </w:r>
      <w:r w:rsidRPr="004E1AB3">
        <w:rPr>
          <w:rFonts w:ascii="Times New Roman" w:hAnsi="Times New Roman" w:cs="Times New Roman"/>
        </w:rPr>
        <w:t xml:space="preserve"> ima </w:t>
      </w:r>
      <w:r w:rsidR="004E1AB3" w:rsidRPr="004E1AB3">
        <w:rPr>
          <w:rFonts w:ascii="Times New Roman" w:hAnsi="Times New Roman" w:cs="Times New Roman"/>
        </w:rPr>
        <w:t>5.046,44</w:t>
      </w:r>
      <w:r w:rsidRPr="004E1AB3">
        <w:rPr>
          <w:rFonts w:ascii="Times New Roman" w:hAnsi="Times New Roman" w:cs="Times New Roman"/>
        </w:rPr>
        <w:t xml:space="preserve"> eura potraživanja od kojih su </w:t>
      </w:r>
      <w:r w:rsidR="004E1AB3" w:rsidRPr="004E1AB3">
        <w:rPr>
          <w:rFonts w:ascii="Times New Roman" w:hAnsi="Times New Roman" w:cs="Times New Roman"/>
        </w:rPr>
        <w:t>2.695,43</w:t>
      </w:r>
      <w:r w:rsidRPr="004E1AB3">
        <w:rPr>
          <w:rFonts w:ascii="Times New Roman" w:hAnsi="Times New Roman" w:cs="Times New Roman"/>
        </w:rPr>
        <w:t xml:space="preserve"> dospjela, a </w:t>
      </w:r>
      <w:r w:rsidR="004E1AB3" w:rsidRPr="004E1AB3">
        <w:rPr>
          <w:rFonts w:ascii="Times New Roman" w:hAnsi="Times New Roman" w:cs="Times New Roman"/>
        </w:rPr>
        <w:t>2.351,01</w:t>
      </w:r>
      <w:r w:rsidRPr="004E1AB3">
        <w:rPr>
          <w:rFonts w:ascii="Times New Roman" w:hAnsi="Times New Roman" w:cs="Times New Roman"/>
        </w:rPr>
        <w:t xml:space="preserve"> eura nedospjela. Sastoje se od:</w:t>
      </w:r>
    </w:p>
    <w:p w14:paraId="3A7F8D80" w14:textId="3B52C691" w:rsidR="00F05AE5" w:rsidRPr="004E1AB3" w:rsidRDefault="00F05AE5" w:rsidP="004B66DB">
      <w:pPr>
        <w:spacing w:after="0" w:line="240" w:lineRule="auto"/>
        <w:jc w:val="both"/>
        <w:rPr>
          <w:rFonts w:ascii="Times New Roman" w:hAnsi="Times New Roman" w:cs="Times New Roman"/>
        </w:rPr>
      </w:pPr>
      <w:r w:rsidRPr="004E1AB3">
        <w:rPr>
          <w:rFonts w:ascii="Times New Roman" w:hAnsi="Times New Roman" w:cs="Times New Roman"/>
        </w:rPr>
        <w:t xml:space="preserve">           - potraživanja za prihode po posebnim propisima u iznosu od </w:t>
      </w:r>
      <w:r w:rsidR="004E1AB3" w:rsidRPr="004E1AB3">
        <w:rPr>
          <w:rFonts w:ascii="Times New Roman" w:hAnsi="Times New Roman" w:cs="Times New Roman"/>
        </w:rPr>
        <w:t>3.978,02</w:t>
      </w:r>
      <w:r w:rsidRPr="004E1AB3">
        <w:rPr>
          <w:rFonts w:ascii="Times New Roman" w:hAnsi="Times New Roman" w:cs="Times New Roman"/>
        </w:rPr>
        <w:t xml:space="preserve"> eura,</w:t>
      </w:r>
    </w:p>
    <w:p w14:paraId="0F1A1862" w14:textId="4B1B2BB6" w:rsidR="00F05AE5" w:rsidRPr="004E1AB3" w:rsidRDefault="00F05AE5" w:rsidP="004B66DB">
      <w:pPr>
        <w:spacing w:after="0" w:line="240" w:lineRule="auto"/>
        <w:jc w:val="both"/>
        <w:rPr>
          <w:rFonts w:ascii="Times New Roman" w:hAnsi="Times New Roman" w:cs="Times New Roman"/>
        </w:rPr>
      </w:pPr>
      <w:r w:rsidRPr="004E1AB3">
        <w:rPr>
          <w:rFonts w:ascii="Times New Roman" w:hAnsi="Times New Roman" w:cs="Times New Roman"/>
        </w:rPr>
        <w:t xml:space="preserve">           - potraživanja za prihode od pruženih usluga u iznosu od </w:t>
      </w:r>
      <w:r w:rsidR="004E1AB3" w:rsidRPr="004E1AB3">
        <w:rPr>
          <w:rFonts w:ascii="Times New Roman" w:hAnsi="Times New Roman" w:cs="Times New Roman"/>
        </w:rPr>
        <w:t>1.068,42</w:t>
      </w:r>
      <w:r w:rsidRPr="004E1AB3">
        <w:rPr>
          <w:rFonts w:ascii="Times New Roman" w:hAnsi="Times New Roman" w:cs="Times New Roman"/>
        </w:rPr>
        <w:t xml:space="preserve"> eura</w:t>
      </w:r>
      <w:r w:rsidR="004E1AB3">
        <w:rPr>
          <w:rFonts w:ascii="Times New Roman" w:hAnsi="Times New Roman" w:cs="Times New Roman"/>
        </w:rPr>
        <w:t>.</w:t>
      </w:r>
    </w:p>
    <w:p w14:paraId="075C8A48" w14:textId="77777777" w:rsidR="004B66DB" w:rsidRPr="00F65BC7" w:rsidRDefault="004B66DB" w:rsidP="004B66DB">
      <w:pPr>
        <w:spacing w:after="120" w:line="240" w:lineRule="auto"/>
        <w:jc w:val="both"/>
        <w:rPr>
          <w:rFonts w:ascii="Times New Roman" w:hAnsi="Times New Roman" w:cs="Times New Roman"/>
          <w:b/>
          <w:color w:val="EE0000"/>
        </w:rPr>
      </w:pPr>
    </w:p>
    <w:p w14:paraId="2C28909F" w14:textId="2BAD0C78" w:rsidR="00D50754" w:rsidRPr="00C46EC6" w:rsidRDefault="00D50754" w:rsidP="00D50754">
      <w:pPr>
        <w:spacing w:after="0" w:line="240" w:lineRule="auto"/>
        <w:jc w:val="both"/>
        <w:rPr>
          <w:rFonts w:ascii="Times New Roman" w:hAnsi="Times New Roman" w:cs="Times New Roman"/>
        </w:rPr>
      </w:pPr>
      <w:r w:rsidRPr="00C46EC6">
        <w:rPr>
          <w:rFonts w:ascii="Times New Roman" w:hAnsi="Times New Roman" w:cs="Times New Roman"/>
          <w:b/>
          <w:bCs/>
          <w:i/>
          <w:iCs/>
        </w:rPr>
        <w:t xml:space="preserve">- Osnovna škola </w:t>
      </w:r>
      <w:proofErr w:type="spellStart"/>
      <w:r w:rsidRPr="00C46EC6">
        <w:rPr>
          <w:rFonts w:ascii="Times New Roman" w:hAnsi="Times New Roman" w:cs="Times New Roman"/>
          <w:b/>
          <w:bCs/>
          <w:i/>
          <w:iCs/>
        </w:rPr>
        <w:t>Trnovitički</w:t>
      </w:r>
      <w:proofErr w:type="spellEnd"/>
      <w:r w:rsidRPr="00C46EC6">
        <w:rPr>
          <w:rFonts w:ascii="Times New Roman" w:hAnsi="Times New Roman" w:cs="Times New Roman"/>
          <w:b/>
          <w:bCs/>
          <w:i/>
          <w:iCs/>
        </w:rPr>
        <w:t xml:space="preserve"> Popovac</w:t>
      </w:r>
      <w:r w:rsidRPr="00C46EC6">
        <w:rPr>
          <w:rFonts w:ascii="Times New Roman" w:hAnsi="Times New Roman" w:cs="Times New Roman"/>
        </w:rPr>
        <w:t xml:space="preserve"> ima </w:t>
      </w:r>
      <w:r w:rsidR="00C46EC6" w:rsidRPr="00C46EC6">
        <w:rPr>
          <w:rFonts w:ascii="Times New Roman" w:hAnsi="Times New Roman" w:cs="Times New Roman"/>
        </w:rPr>
        <w:t>3.420,69</w:t>
      </w:r>
      <w:r w:rsidRPr="00C46EC6">
        <w:rPr>
          <w:rFonts w:ascii="Times New Roman" w:hAnsi="Times New Roman" w:cs="Times New Roman"/>
        </w:rPr>
        <w:t xml:space="preserve"> eura nedospjelih potraživanja. Sastoje se od:</w:t>
      </w:r>
    </w:p>
    <w:p w14:paraId="51E79F24" w14:textId="508A2B73" w:rsidR="00D50754" w:rsidRPr="00C46EC6" w:rsidRDefault="00D50754" w:rsidP="00D50754">
      <w:pPr>
        <w:spacing w:after="0" w:line="240" w:lineRule="auto"/>
        <w:jc w:val="both"/>
        <w:rPr>
          <w:rFonts w:ascii="Times New Roman" w:hAnsi="Times New Roman" w:cs="Times New Roman"/>
        </w:rPr>
      </w:pPr>
      <w:r w:rsidRPr="00C46EC6">
        <w:rPr>
          <w:rFonts w:ascii="Times New Roman" w:hAnsi="Times New Roman" w:cs="Times New Roman"/>
        </w:rPr>
        <w:t xml:space="preserve">           - potraživanja za vlastite prihode uplaćene u proračun u iznosu od </w:t>
      </w:r>
      <w:r w:rsidR="00C46EC6" w:rsidRPr="00C46EC6">
        <w:rPr>
          <w:rFonts w:ascii="Times New Roman" w:hAnsi="Times New Roman" w:cs="Times New Roman"/>
        </w:rPr>
        <w:t>3.420,69</w:t>
      </w:r>
      <w:r w:rsidRPr="00C46EC6">
        <w:rPr>
          <w:rFonts w:ascii="Times New Roman" w:hAnsi="Times New Roman" w:cs="Times New Roman"/>
        </w:rPr>
        <w:t xml:space="preserve"> eura</w:t>
      </w:r>
      <w:r w:rsidR="00C46EC6">
        <w:rPr>
          <w:rFonts w:ascii="Times New Roman" w:hAnsi="Times New Roman" w:cs="Times New Roman"/>
        </w:rPr>
        <w:t>.</w:t>
      </w:r>
    </w:p>
    <w:p w14:paraId="3ABE41AA" w14:textId="3DD118B2" w:rsidR="00D50754" w:rsidRPr="00F65BC7" w:rsidRDefault="00D50754" w:rsidP="004B66DB">
      <w:pPr>
        <w:spacing w:after="120" w:line="240" w:lineRule="auto"/>
        <w:jc w:val="both"/>
        <w:rPr>
          <w:rFonts w:ascii="Times New Roman" w:hAnsi="Times New Roman" w:cs="Times New Roman"/>
          <w:b/>
          <w:color w:val="EE0000"/>
        </w:rPr>
      </w:pPr>
    </w:p>
    <w:p w14:paraId="42B32652" w14:textId="42CEFC04" w:rsidR="00780781" w:rsidRPr="002340AE" w:rsidRDefault="002340AE" w:rsidP="004B66DB">
      <w:pPr>
        <w:spacing w:after="120" w:line="240" w:lineRule="auto"/>
        <w:jc w:val="both"/>
        <w:rPr>
          <w:rFonts w:ascii="Times New Roman" w:hAnsi="Times New Roman" w:cs="Times New Roman"/>
          <w:bCs/>
        </w:rPr>
      </w:pPr>
      <w:r>
        <w:rPr>
          <w:rFonts w:ascii="Times New Roman" w:hAnsi="Times New Roman" w:cs="Times New Roman"/>
          <w:bCs/>
        </w:rPr>
        <w:t>Na dan 31.12.2024. godine Grad Garešnica ima: 33 (</w:t>
      </w:r>
      <w:proofErr w:type="spellStart"/>
      <w:r>
        <w:rPr>
          <w:rFonts w:ascii="Times New Roman" w:hAnsi="Times New Roman" w:cs="Times New Roman"/>
          <w:bCs/>
        </w:rPr>
        <w:t>tridesetri</w:t>
      </w:r>
      <w:proofErr w:type="spellEnd"/>
      <w:r>
        <w:rPr>
          <w:rFonts w:ascii="Times New Roman" w:hAnsi="Times New Roman" w:cs="Times New Roman"/>
          <w:bCs/>
        </w:rPr>
        <w:t>) izdanih bjanko zadužnica ukupne vrijednosti 2.632.936,03 eura, 2 (dvije) izdane mjenice na iznos od 198.562,95 eura, 1 (jedno) jamstvo u iznosu od 391.578,54 eura, 159 (</w:t>
      </w:r>
      <w:proofErr w:type="spellStart"/>
      <w:r>
        <w:rPr>
          <w:rFonts w:ascii="Times New Roman" w:hAnsi="Times New Roman" w:cs="Times New Roman"/>
          <w:bCs/>
        </w:rPr>
        <w:t>stopedesetidevet</w:t>
      </w:r>
      <w:proofErr w:type="spellEnd"/>
      <w:r>
        <w:rPr>
          <w:rFonts w:ascii="Times New Roman" w:hAnsi="Times New Roman" w:cs="Times New Roman"/>
          <w:bCs/>
        </w:rPr>
        <w:t xml:space="preserve">) zaprimljenih bjanko zadužnica u iznosu od </w:t>
      </w:r>
      <w:r w:rsidR="009D4418">
        <w:rPr>
          <w:rFonts w:ascii="Times New Roman" w:hAnsi="Times New Roman" w:cs="Times New Roman"/>
          <w:bCs/>
        </w:rPr>
        <w:t>626.596,39 eura, 18 (osamnaest) zaprimljenih bankarskih garancija u ukupnom iznosu od 846.594,02 eura, te zaprimljenih 10 (deset) jamčevina na bankovnom računu u iznosu od 18.195,27 eura.</w:t>
      </w:r>
    </w:p>
    <w:p w14:paraId="2B8E2F62" w14:textId="77777777" w:rsidR="00780781" w:rsidRDefault="00780781" w:rsidP="004B66DB">
      <w:pPr>
        <w:spacing w:after="120" w:line="240" w:lineRule="auto"/>
        <w:jc w:val="both"/>
        <w:rPr>
          <w:rFonts w:ascii="Times New Roman" w:hAnsi="Times New Roman" w:cs="Times New Roman"/>
          <w:b/>
        </w:rPr>
      </w:pPr>
    </w:p>
    <w:p w14:paraId="461DF47B" w14:textId="77777777" w:rsidR="00780781" w:rsidRDefault="00780781" w:rsidP="004B66DB">
      <w:pPr>
        <w:spacing w:after="120" w:line="240" w:lineRule="auto"/>
        <w:jc w:val="both"/>
        <w:rPr>
          <w:rFonts w:ascii="Times New Roman" w:hAnsi="Times New Roman" w:cs="Times New Roman"/>
          <w:b/>
        </w:rPr>
      </w:pPr>
    </w:p>
    <w:p w14:paraId="33328F35" w14:textId="7AA0DB60" w:rsidR="00D50754" w:rsidRDefault="001159F5" w:rsidP="00D50754">
      <w:pPr>
        <w:spacing w:after="0" w:line="240" w:lineRule="auto"/>
        <w:jc w:val="both"/>
        <w:rPr>
          <w:rFonts w:ascii="Times New Roman" w:hAnsi="Times New Roman" w:cs="Times New Roman"/>
        </w:rPr>
      </w:pPr>
      <w:r>
        <w:rPr>
          <w:rFonts w:ascii="Times New Roman" w:hAnsi="Times New Roman" w:cs="Times New Roman"/>
        </w:rPr>
        <w:t>N</w:t>
      </w:r>
      <w:r w:rsidR="00D50754">
        <w:rPr>
          <w:rFonts w:ascii="Times New Roman" w:hAnsi="Times New Roman" w:cs="Times New Roman"/>
        </w:rPr>
        <w:t>a dan 31.12.202</w:t>
      </w:r>
      <w:r w:rsidR="00C30CE8">
        <w:rPr>
          <w:rFonts w:ascii="Times New Roman" w:hAnsi="Times New Roman" w:cs="Times New Roman"/>
        </w:rPr>
        <w:t>4</w:t>
      </w:r>
      <w:r w:rsidR="00D50754">
        <w:rPr>
          <w:rFonts w:ascii="Times New Roman" w:hAnsi="Times New Roman" w:cs="Times New Roman"/>
        </w:rPr>
        <w:t xml:space="preserve">. godine u tijeku </w:t>
      </w:r>
      <w:r>
        <w:rPr>
          <w:rFonts w:ascii="Times New Roman" w:hAnsi="Times New Roman" w:cs="Times New Roman"/>
        </w:rPr>
        <w:t xml:space="preserve">su </w:t>
      </w:r>
      <w:r w:rsidR="00D50754">
        <w:rPr>
          <w:rFonts w:ascii="Times New Roman" w:hAnsi="Times New Roman" w:cs="Times New Roman"/>
        </w:rPr>
        <w:t>slijedeć</w:t>
      </w:r>
      <w:r>
        <w:rPr>
          <w:rFonts w:ascii="Times New Roman" w:hAnsi="Times New Roman" w:cs="Times New Roman"/>
        </w:rPr>
        <w:t>i</w:t>
      </w:r>
      <w:r w:rsidR="00D50754">
        <w:rPr>
          <w:rFonts w:ascii="Times New Roman" w:hAnsi="Times New Roman" w:cs="Times New Roman"/>
        </w:rPr>
        <w:t xml:space="preserve"> sudsk</w:t>
      </w:r>
      <w:r>
        <w:rPr>
          <w:rFonts w:ascii="Times New Roman" w:hAnsi="Times New Roman" w:cs="Times New Roman"/>
        </w:rPr>
        <w:t>i</w:t>
      </w:r>
      <w:r w:rsidR="00D50754">
        <w:rPr>
          <w:rFonts w:ascii="Times New Roman" w:hAnsi="Times New Roman" w:cs="Times New Roman"/>
        </w:rPr>
        <w:t xml:space="preserve"> sporov</w:t>
      </w:r>
      <w:r>
        <w:rPr>
          <w:rFonts w:ascii="Times New Roman" w:hAnsi="Times New Roman" w:cs="Times New Roman"/>
        </w:rPr>
        <w:t>i:</w:t>
      </w:r>
      <w:r w:rsidR="00D50754">
        <w:rPr>
          <w:rFonts w:ascii="Times New Roman" w:hAnsi="Times New Roman" w:cs="Times New Roman"/>
        </w:rPr>
        <w:t xml:space="preserve"> </w:t>
      </w:r>
    </w:p>
    <w:p w14:paraId="559FCBCC" w14:textId="77777777" w:rsidR="009D4418" w:rsidRDefault="009D4418" w:rsidP="00D50754">
      <w:pPr>
        <w:spacing w:after="0" w:line="240" w:lineRule="auto"/>
        <w:jc w:val="both"/>
        <w:rPr>
          <w:rFonts w:ascii="Times New Roman" w:hAnsi="Times New Roman" w:cs="Times New Roman"/>
        </w:rPr>
      </w:pPr>
    </w:p>
    <w:tbl>
      <w:tblPr>
        <w:tblW w:w="10254" w:type="dxa"/>
        <w:tblLayout w:type="fixed"/>
        <w:tblLook w:val="04A0" w:firstRow="1" w:lastRow="0" w:firstColumn="1" w:lastColumn="0" w:noHBand="0" w:noVBand="1"/>
      </w:tblPr>
      <w:tblGrid>
        <w:gridCol w:w="689"/>
        <w:gridCol w:w="937"/>
        <w:gridCol w:w="856"/>
        <w:gridCol w:w="1187"/>
        <w:gridCol w:w="863"/>
        <w:gridCol w:w="987"/>
        <w:gridCol w:w="935"/>
        <w:gridCol w:w="346"/>
        <w:gridCol w:w="851"/>
        <w:gridCol w:w="141"/>
        <w:gridCol w:w="95"/>
        <w:gridCol w:w="831"/>
        <w:gridCol w:w="342"/>
        <w:gridCol w:w="95"/>
        <w:gridCol w:w="758"/>
        <w:gridCol w:w="236"/>
        <w:gridCol w:w="105"/>
      </w:tblGrid>
      <w:tr w:rsidR="009D4418" w:rsidRPr="00197185" w14:paraId="0FFD02A9" w14:textId="77777777" w:rsidTr="0053547E">
        <w:trPr>
          <w:gridAfter w:val="2"/>
          <w:wAfter w:w="341" w:type="dxa"/>
          <w:trHeight w:val="675"/>
        </w:trPr>
        <w:tc>
          <w:tcPr>
            <w:tcW w:w="689" w:type="dxa"/>
            <w:tcBorders>
              <w:top w:val="single" w:sz="8" w:space="0" w:color="auto"/>
              <w:left w:val="single" w:sz="8" w:space="0" w:color="auto"/>
              <w:bottom w:val="single" w:sz="4" w:space="0" w:color="auto"/>
              <w:right w:val="single" w:sz="4" w:space="0" w:color="auto"/>
            </w:tcBorders>
            <w:shd w:val="clear" w:color="000000" w:fill="BFBFBF"/>
            <w:vAlign w:val="center"/>
            <w:hideMark/>
          </w:tcPr>
          <w:p w14:paraId="20FFB265" w14:textId="77777777" w:rsidR="009D4418" w:rsidRPr="00197185" w:rsidRDefault="009D4418" w:rsidP="009F18D5">
            <w:pPr>
              <w:jc w:val="center"/>
              <w:rPr>
                <w:color w:val="000000"/>
                <w:sz w:val="16"/>
                <w:szCs w:val="16"/>
                <w:lang w:eastAsia="hr-HR"/>
              </w:rPr>
            </w:pPr>
            <w:r w:rsidRPr="00197185">
              <w:rPr>
                <w:color w:val="000000"/>
                <w:sz w:val="16"/>
                <w:szCs w:val="16"/>
                <w:lang w:eastAsia="hr-HR"/>
              </w:rPr>
              <w:t>Red.br.</w:t>
            </w:r>
          </w:p>
        </w:tc>
        <w:tc>
          <w:tcPr>
            <w:tcW w:w="937" w:type="dxa"/>
            <w:tcBorders>
              <w:top w:val="single" w:sz="8" w:space="0" w:color="auto"/>
              <w:left w:val="nil"/>
              <w:bottom w:val="single" w:sz="4" w:space="0" w:color="auto"/>
              <w:right w:val="single" w:sz="4" w:space="0" w:color="auto"/>
            </w:tcBorders>
            <w:shd w:val="clear" w:color="000000" w:fill="BFBFBF"/>
            <w:vAlign w:val="center"/>
            <w:hideMark/>
          </w:tcPr>
          <w:p w14:paraId="0C6B8232" w14:textId="77777777" w:rsidR="009D4418" w:rsidRPr="00197185" w:rsidRDefault="009D4418" w:rsidP="009F18D5">
            <w:pPr>
              <w:jc w:val="center"/>
              <w:rPr>
                <w:color w:val="000000"/>
                <w:sz w:val="16"/>
                <w:szCs w:val="16"/>
                <w:lang w:eastAsia="hr-HR"/>
              </w:rPr>
            </w:pPr>
            <w:r w:rsidRPr="00197185">
              <w:rPr>
                <w:color w:val="000000"/>
                <w:sz w:val="16"/>
                <w:szCs w:val="16"/>
                <w:lang w:eastAsia="hr-HR"/>
              </w:rPr>
              <w:t>Tuženik</w:t>
            </w:r>
          </w:p>
        </w:tc>
        <w:tc>
          <w:tcPr>
            <w:tcW w:w="856" w:type="dxa"/>
            <w:tcBorders>
              <w:top w:val="single" w:sz="8" w:space="0" w:color="auto"/>
              <w:left w:val="nil"/>
              <w:bottom w:val="single" w:sz="4" w:space="0" w:color="auto"/>
              <w:right w:val="single" w:sz="4" w:space="0" w:color="auto"/>
            </w:tcBorders>
            <w:shd w:val="clear" w:color="000000" w:fill="BFBFBF"/>
            <w:vAlign w:val="center"/>
            <w:hideMark/>
          </w:tcPr>
          <w:p w14:paraId="136E5FCE" w14:textId="77777777" w:rsidR="009D4418" w:rsidRPr="00197185" w:rsidRDefault="009D4418" w:rsidP="009F18D5">
            <w:pPr>
              <w:jc w:val="center"/>
              <w:rPr>
                <w:color w:val="000000"/>
                <w:sz w:val="16"/>
                <w:szCs w:val="16"/>
                <w:lang w:eastAsia="hr-HR"/>
              </w:rPr>
            </w:pPr>
            <w:r w:rsidRPr="00197185">
              <w:rPr>
                <w:color w:val="000000"/>
                <w:sz w:val="16"/>
                <w:szCs w:val="16"/>
                <w:lang w:eastAsia="hr-HR"/>
              </w:rPr>
              <w:t>Tužitelj</w:t>
            </w:r>
          </w:p>
        </w:tc>
        <w:tc>
          <w:tcPr>
            <w:tcW w:w="1187" w:type="dxa"/>
            <w:tcBorders>
              <w:top w:val="single" w:sz="8" w:space="0" w:color="auto"/>
              <w:left w:val="nil"/>
              <w:bottom w:val="single" w:sz="4" w:space="0" w:color="auto"/>
              <w:right w:val="single" w:sz="4" w:space="0" w:color="auto"/>
            </w:tcBorders>
            <w:shd w:val="clear" w:color="000000" w:fill="BFBFBF"/>
            <w:vAlign w:val="center"/>
            <w:hideMark/>
          </w:tcPr>
          <w:p w14:paraId="0C5E18B0" w14:textId="77777777" w:rsidR="009D4418" w:rsidRPr="00197185" w:rsidRDefault="009D4418" w:rsidP="009F18D5">
            <w:pPr>
              <w:jc w:val="center"/>
              <w:rPr>
                <w:color w:val="000000"/>
                <w:sz w:val="16"/>
                <w:szCs w:val="16"/>
                <w:lang w:eastAsia="hr-HR"/>
              </w:rPr>
            </w:pPr>
            <w:r w:rsidRPr="00197185">
              <w:rPr>
                <w:color w:val="000000"/>
                <w:sz w:val="16"/>
                <w:szCs w:val="16"/>
                <w:lang w:eastAsia="hr-HR"/>
              </w:rPr>
              <w:t>Opis prirode spora</w:t>
            </w:r>
          </w:p>
        </w:tc>
        <w:tc>
          <w:tcPr>
            <w:tcW w:w="863" w:type="dxa"/>
            <w:tcBorders>
              <w:top w:val="single" w:sz="8" w:space="0" w:color="auto"/>
              <w:left w:val="nil"/>
              <w:bottom w:val="single" w:sz="4" w:space="0" w:color="auto"/>
              <w:right w:val="single" w:sz="4" w:space="0" w:color="auto"/>
            </w:tcBorders>
            <w:shd w:val="clear" w:color="000000" w:fill="BFBFBF"/>
            <w:vAlign w:val="center"/>
            <w:hideMark/>
          </w:tcPr>
          <w:p w14:paraId="10E5C9EB" w14:textId="77777777" w:rsidR="009D4418" w:rsidRPr="00197185" w:rsidRDefault="009D4418" w:rsidP="009F18D5">
            <w:pPr>
              <w:jc w:val="center"/>
              <w:rPr>
                <w:color w:val="000000"/>
                <w:sz w:val="16"/>
                <w:szCs w:val="16"/>
                <w:lang w:eastAsia="hr-HR"/>
              </w:rPr>
            </w:pPr>
            <w:r w:rsidRPr="00197185">
              <w:rPr>
                <w:color w:val="000000"/>
                <w:sz w:val="16"/>
                <w:szCs w:val="16"/>
                <w:lang w:eastAsia="hr-HR"/>
              </w:rPr>
              <w:t>Iznos glavnice (VPS)</w:t>
            </w:r>
          </w:p>
        </w:tc>
        <w:tc>
          <w:tcPr>
            <w:tcW w:w="987" w:type="dxa"/>
            <w:tcBorders>
              <w:top w:val="single" w:sz="8" w:space="0" w:color="auto"/>
              <w:left w:val="nil"/>
              <w:bottom w:val="single" w:sz="4" w:space="0" w:color="auto"/>
              <w:right w:val="single" w:sz="4" w:space="0" w:color="auto"/>
            </w:tcBorders>
            <w:shd w:val="clear" w:color="000000" w:fill="BFBFBF"/>
            <w:vAlign w:val="center"/>
            <w:hideMark/>
          </w:tcPr>
          <w:p w14:paraId="5A7FF5C4" w14:textId="77777777" w:rsidR="009D4418" w:rsidRPr="00197185" w:rsidRDefault="009D4418" w:rsidP="009F18D5">
            <w:pPr>
              <w:jc w:val="center"/>
              <w:rPr>
                <w:color w:val="000000"/>
                <w:sz w:val="16"/>
                <w:szCs w:val="16"/>
                <w:lang w:eastAsia="hr-HR"/>
              </w:rPr>
            </w:pPr>
            <w:r w:rsidRPr="00197185">
              <w:rPr>
                <w:color w:val="000000"/>
                <w:sz w:val="16"/>
                <w:szCs w:val="16"/>
                <w:lang w:eastAsia="hr-HR"/>
              </w:rPr>
              <w:t>Procjena financijskog učinka</w:t>
            </w:r>
          </w:p>
        </w:tc>
        <w:tc>
          <w:tcPr>
            <w:tcW w:w="1281" w:type="dxa"/>
            <w:gridSpan w:val="2"/>
            <w:tcBorders>
              <w:top w:val="single" w:sz="8" w:space="0" w:color="auto"/>
              <w:left w:val="nil"/>
              <w:bottom w:val="single" w:sz="4" w:space="0" w:color="auto"/>
              <w:right w:val="single" w:sz="4" w:space="0" w:color="auto"/>
            </w:tcBorders>
            <w:shd w:val="clear" w:color="000000" w:fill="BFBFBF"/>
            <w:vAlign w:val="center"/>
            <w:hideMark/>
          </w:tcPr>
          <w:p w14:paraId="7A043F49" w14:textId="77777777" w:rsidR="009D4418" w:rsidRPr="00197185" w:rsidRDefault="009D4418" w:rsidP="009F18D5">
            <w:pPr>
              <w:jc w:val="center"/>
              <w:rPr>
                <w:color w:val="000000"/>
                <w:sz w:val="16"/>
                <w:szCs w:val="16"/>
                <w:lang w:eastAsia="hr-HR"/>
              </w:rPr>
            </w:pPr>
            <w:r w:rsidRPr="00197185">
              <w:rPr>
                <w:color w:val="000000"/>
                <w:sz w:val="16"/>
                <w:szCs w:val="16"/>
                <w:lang w:eastAsia="hr-HR"/>
              </w:rPr>
              <w:t>Procijenjeno vrijeme odljeva/ priljeva sredstava</w:t>
            </w:r>
          </w:p>
        </w:tc>
        <w:tc>
          <w:tcPr>
            <w:tcW w:w="992" w:type="dxa"/>
            <w:gridSpan w:val="2"/>
            <w:tcBorders>
              <w:top w:val="single" w:sz="8" w:space="0" w:color="auto"/>
              <w:left w:val="nil"/>
              <w:bottom w:val="single" w:sz="4" w:space="0" w:color="auto"/>
              <w:right w:val="single" w:sz="4" w:space="0" w:color="auto"/>
            </w:tcBorders>
            <w:shd w:val="clear" w:color="000000" w:fill="BFBFBF"/>
            <w:vAlign w:val="center"/>
            <w:hideMark/>
          </w:tcPr>
          <w:p w14:paraId="0FFCC09E" w14:textId="77777777" w:rsidR="009D4418" w:rsidRPr="00197185" w:rsidRDefault="009D4418" w:rsidP="009F18D5">
            <w:pPr>
              <w:jc w:val="center"/>
              <w:rPr>
                <w:color w:val="000000"/>
                <w:sz w:val="16"/>
                <w:szCs w:val="16"/>
                <w:lang w:eastAsia="hr-HR"/>
              </w:rPr>
            </w:pPr>
            <w:r w:rsidRPr="00197185">
              <w:rPr>
                <w:color w:val="000000"/>
                <w:sz w:val="16"/>
                <w:szCs w:val="16"/>
                <w:lang w:eastAsia="hr-HR"/>
              </w:rPr>
              <w:t>Početak sudskog spora</w:t>
            </w:r>
          </w:p>
        </w:tc>
        <w:tc>
          <w:tcPr>
            <w:tcW w:w="1268" w:type="dxa"/>
            <w:gridSpan w:val="3"/>
            <w:tcBorders>
              <w:top w:val="single" w:sz="8" w:space="0" w:color="auto"/>
              <w:left w:val="nil"/>
              <w:bottom w:val="single" w:sz="4" w:space="0" w:color="auto"/>
              <w:right w:val="single" w:sz="4" w:space="0" w:color="auto"/>
            </w:tcBorders>
            <w:shd w:val="clear" w:color="000000" w:fill="BFBFBF"/>
            <w:vAlign w:val="center"/>
            <w:hideMark/>
          </w:tcPr>
          <w:p w14:paraId="6E7632DB" w14:textId="77777777" w:rsidR="009D4418" w:rsidRPr="00197185" w:rsidRDefault="009D4418" w:rsidP="009F18D5">
            <w:pPr>
              <w:jc w:val="center"/>
              <w:rPr>
                <w:color w:val="000000"/>
                <w:sz w:val="16"/>
                <w:szCs w:val="16"/>
                <w:lang w:eastAsia="hr-HR"/>
              </w:rPr>
            </w:pPr>
            <w:r w:rsidRPr="00197185">
              <w:rPr>
                <w:color w:val="000000"/>
                <w:sz w:val="16"/>
                <w:szCs w:val="16"/>
                <w:lang w:eastAsia="hr-HR"/>
              </w:rPr>
              <w:t>Stanje spisa na dan 31.12.202</w:t>
            </w:r>
            <w:r>
              <w:rPr>
                <w:color w:val="000000"/>
                <w:sz w:val="16"/>
                <w:szCs w:val="16"/>
                <w:lang w:eastAsia="hr-HR"/>
              </w:rPr>
              <w:t>4</w:t>
            </w:r>
            <w:r w:rsidRPr="00197185">
              <w:rPr>
                <w:color w:val="000000"/>
                <w:sz w:val="16"/>
                <w:szCs w:val="16"/>
                <w:lang w:eastAsia="hr-HR"/>
              </w:rPr>
              <w:t>.</w:t>
            </w:r>
          </w:p>
        </w:tc>
        <w:tc>
          <w:tcPr>
            <w:tcW w:w="853" w:type="dxa"/>
            <w:gridSpan w:val="2"/>
            <w:tcBorders>
              <w:top w:val="single" w:sz="8" w:space="0" w:color="auto"/>
              <w:left w:val="nil"/>
              <w:bottom w:val="single" w:sz="4" w:space="0" w:color="auto"/>
              <w:right w:val="single" w:sz="8" w:space="0" w:color="auto"/>
            </w:tcBorders>
            <w:shd w:val="clear" w:color="000000" w:fill="BFBFBF"/>
            <w:vAlign w:val="center"/>
            <w:hideMark/>
          </w:tcPr>
          <w:p w14:paraId="4789E402" w14:textId="77777777" w:rsidR="009D4418" w:rsidRPr="00197185" w:rsidRDefault="009D4418" w:rsidP="009F18D5">
            <w:pPr>
              <w:jc w:val="center"/>
              <w:rPr>
                <w:color w:val="000000"/>
                <w:sz w:val="16"/>
                <w:szCs w:val="16"/>
                <w:lang w:eastAsia="hr-HR"/>
              </w:rPr>
            </w:pPr>
            <w:r w:rsidRPr="00197185">
              <w:rPr>
                <w:color w:val="000000"/>
                <w:sz w:val="16"/>
                <w:szCs w:val="16"/>
                <w:lang w:eastAsia="hr-HR"/>
              </w:rPr>
              <w:t>Napomena</w:t>
            </w:r>
          </w:p>
        </w:tc>
      </w:tr>
      <w:tr w:rsidR="009D4418" w:rsidRPr="00197185" w14:paraId="192DA15B" w14:textId="77777777" w:rsidTr="0053547E">
        <w:trPr>
          <w:gridAfter w:val="2"/>
          <w:wAfter w:w="341" w:type="dxa"/>
          <w:trHeight w:val="509"/>
        </w:trPr>
        <w:tc>
          <w:tcPr>
            <w:tcW w:w="689" w:type="dxa"/>
            <w:vMerge w:val="restart"/>
            <w:tcBorders>
              <w:top w:val="nil"/>
              <w:left w:val="single" w:sz="8" w:space="0" w:color="auto"/>
              <w:bottom w:val="single" w:sz="4" w:space="0" w:color="auto"/>
              <w:right w:val="single" w:sz="4" w:space="0" w:color="auto"/>
            </w:tcBorders>
            <w:noWrap/>
            <w:vAlign w:val="center"/>
            <w:hideMark/>
          </w:tcPr>
          <w:p w14:paraId="785BD061" w14:textId="77777777" w:rsidR="009D4418" w:rsidRPr="00197185" w:rsidRDefault="009D4418" w:rsidP="009F18D5">
            <w:pPr>
              <w:jc w:val="center"/>
              <w:rPr>
                <w:color w:val="000000"/>
                <w:sz w:val="16"/>
                <w:szCs w:val="16"/>
                <w:lang w:eastAsia="hr-HR"/>
              </w:rPr>
            </w:pPr>
            <w:r w:rsidRPr="00197185">
              <w:rPr>
                <w:color w:val="000000"/>
                <w:sz w:val="16"/>
                <w:szCs w:val="16"/>
                <w:lang w:eastAsia="hr-HR"/>
              </w:rPr>
              <w:t>1</w:t>
            </w:r>
          </w:p>
        </w:tc>
        <w:tc>
          <w:tcPr>
            <w:tcW w:w="937" w:type="dxa"/>
            <w:vMerge w:val="restart"/>
            <w:tcBorders>
              <w:top w:val="nil"/>
              <w:left w:val="single" w:sz="4" w:space="0" w:color="auto"/>
              <w:bottom w:val="single" w:sz="4" w:space="0" w:color="auto"/>
              <w:right w:val="single" w:sz="4" w:space="0" w:color="auto"/>
            </w:tcBorders>
            <w:vAlign w:val="center"/>
            <w:hideMark/>
          </w:tcPr>
          <w:p w14:paraId="755601E9" w14:textId="77777777" w:rsidR="009D4418" w:rsidRPr="00197185" w:rsidRDefault="009D4418" w:rsidP="009F18D5">
            <w:pPr>
              <w:rPr>
                <w:color w:val="000000"/>
                <w:sz w:val="16"/>
                <w:szCs w:val="16"/>
                <w:lang w:eastAsia="hr-HR"/>
              </w:rPr>
            </w:pPr>
            <w:r w:rsidRPr="00197185">
              <w:rPr>
                <w:color w:val="000000"/>
                <w:sz w:val="16"/>
                <w:szCs w:val="16"/>
                <w:lang w:eastAsia="hr-HR"/>
              </w:rPr>
              <w:t>Grad Garešnica</w:t>
            </w:r>
          </w:p>
        </w:tc>
        <w:tc>
          <w:tcPr>
            <w:tcW w:w="856" w:type="dxa"/>
            <w:vMerge w:val="restart"/>
            <w:tcBorders>
              <w:top w:val="nil"/>
              <w:left w:val="single" w:sz="4" w:space="0" w:color="auto"/>
              <w:bottom w:val="single" w:sz="4" w:space="0" w:color="auto"/>
              <w:right w:val="single" w:sz="4" w:space="0" w:color="auto"/>
            </w:tcBorders>
            <w:vAlign w:val="center"/>
            <w:hideMark/>
          </w:tcPr>
          <w:p w14:paraId="7F943E67" w14:textId="77777777" w:rsidR="009D4418" w:rsidRPr="00197185" w:rsidRDefault="009D4418" w:rsidP="009F18D5">
            <w:pPr>
              <w:rPr>
                <w:color w:val="000000"/>
                <w:sz w:val="16"/>
                <w:szCs w:val="16"/>
                <w:lang w:eastAsia="hr-HR"/>
              </w:rPr>
            </w:pPr>
            <w:r w:rsidRPr="00197185">
              <w:rPr>
                <w:color w:val="000000"/>
                <w:sz w:val="16"/>
                <w:szCs w:val="16"/>
                <w:lang w:eastAsia="hr-HR"/>
              </w:rPr>
              <w:t>PBZ d.d.</w:t>
            </w:r>
          </w:p>
        </w:tc>
        <w:tc>
          <w:tcPr>
            <w:tcW w:w="1187" w:type="dxa"/>
            <w:vMerge w:val="restart"/>
            <w:tcBorders>
              <w:top w:val="nil"/>
              <w:left w:val="single" w:sz="4" w:space="0" w:color="auto"/>
              <w:bottom w:val="single" w:sz="4" w:space="0" w:color="auto"/>
              <w:right w:val="single" w:sz="4" w:space="0" w:color="auto"/>
            </w:tcBorders>
            <w:vAlign w:val="center"/>
            <w:hideMark/>
          </w:tcPr>
          <w:p w14:paraId="752AF1DF" w14:textId="77777777" w:rsidR="009D4418" w:rsidRPr="00197185" w:rsidRDefault="009D4418" w:rsidP="009F18D5">
            <w:pPr>
              <w:rPr>
                <w:color w:val="000000"/>
                <w:sz w:val="16"/>
                <w:szCs w:val="16"/>
                <w:lang w:eastAsia="hr-HR"/>
              </w:rPr>
            </w:pPr>
            <w:r w:rsidRPr="00197185">
              <w:rPr>
                <w:color w:val="000000"/>
                <w:sz w:val="16"/>
                <w:szCs w:val="16"/>
                <w:lang w:eastAsia="hr-HR"/>
              </w:rPr>
              <w:t xml:space="preserve">Radi isplate – </w:t>
            </w:r>
            <w:proofErr w:type="spellStart"/>
            <w:r w:rsidRPr="00197185">
              <w:rPr>
                <w:color w:val="000000"/>
                <w:sz w:val="16"/>
                <w:szCs w:val="16"/>
                <w:lang w:eastAsia="hr-HR"/>
              </w:rPr>
              <w:t>ošasna</w:t>
            </w:r>
            <w:proofErr w:type="spellEnd"/>
            <w:r w:rsidRPr="00197185">
              <w:rPr>
                <w:color w:val="000000"/>
                <w:sz w:val="16"/>
                <w:szCs w:val="16"/>
                <w:lang w:eastAsia="hr-HR"/>
              </w:rPr>
              <w:t xml:space="preserve"> imovina  </w:t>
            </w:r>
          </w:p>
        </w:tc>
        <w:tc>
          <w:tcPr>
            <w:tcW w:w="863" w:type="dxa"/>
            <w:vMerge w:val="restart"/>
            <w:tcBorders>
              <w:top w:val="single" w:sz="4" w:space="0" w:color="auto"/>
              <w:left w:val="single" w:sz="4" w:space="0" w:color="auto"/>
              <w:bottom w:val="single" w:sz="4" w:space="0" w:color="auto"/>
              <w:right w:val="single" w:sz="4" w:space="0" w:color="auto"/>
            </w:tcBorders>
            <w:vAlign w:val="center"/>
            <w:hideMark/>
          </w:tcPr>
          <w:p w14:paraId="0B8DECFA" w14:textId="77777777" w:rsidR="009D4418" w:rsidRPr="00197185" w:rsidRDefault="009D4418" w:rsidP="009F18D5">
            <w:pPr>
              <w:jc w:val="right"/>
              <w:rPr>
                <w:color w:val="000000"/>
                <w:sz w:val="16"/>
                <w:szCs w:val="16"/>
                <w:lang w:eastAsia="hr-HR"/>
              </w:rPr>
            </w:pPr>
            <w:r w:rsidRPr="00197185">
              <w:rPr>
                <w:color w:val="000000"/>
                <w:sz w:val="16"/>
                <w:szCs w:val="16"/>
                <w:lang w:eastAsia="hr-HR"/>
              </w:rPr>
              <w:t>912,96</w:t>
            </w:r>
          </w:p>
        </w:tc>
        <w:tc>
          <w:tcPr>
            <w:tcW w:w="987" w:type="dxa"/>
            <w:vMerge w:val="restart"/>
            <w:tcBorders>
              <w:top w:val="nil"/>
              <w:left w:val="single" w:sz="4" w:space="0" w:color="auto"/>
              <w:bottom w:val="single" w:sz="4" w:space="0" w:color="auto"/>
              <w:right w:val="single" w:sz="4" w:space="0" w:color="auto"/>
            </w:tcBorders>
            <w:vAlign w:val="center"/>
            <w:hideMark/>
          </w:tcPr>
          <w:p w14:paraId="5EC8FB20" w14:textId="77777777" w:rsidR="009D4418" w:rsidRPr="00197185" w:rsidRDefault="009D4418" w:rsidP="009F18D5">
            <w:pPr>
              <w:jc w:val="right"/>
              <w:rPr>
                <w:color w:val="000000"/>
                <w:sz w:val="16"/>
                <w:szCs w:val="16"/>
                <w:lang w:eastAsia="hr-HR"/>
              </w:rPr>
            </w:pPr>
            <w:r w:rsidRPr="00197185">
              <w:rPr>
                <w:color w:val="000000"/>
                <w:sz w:val="16"/>
                <w:szCs w:val="16"/>
                <w:lang w:eastAsia="hr-HR"/>
              </w:rPr>
              <w:t>912,96</w:t>
            </w:r>
          </w:p>
        </w:tc>
        <w:tc>
          <w:tcPr>
            <w:tcW w:w="128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F56DF54" w14:textId="77777777" w:rsidR="009D4418" w:rsidRPr="00197185" w:rsidRDefault="009D4418" w:rsidP="009F18D5">
            <w:pPr>
              <w:jc w:val="center"/>
              <w:rPr>
                <w:color w:val="000000"/>
                <w:sz w:val="16"/>
                <w:szCs w:val="16"/>
                <w:lang w:eastAsia="hr-HR"/>
              </w:rPr>
            </w:pPr>
            <w:r w:rsidRPr="00197185">
              <w:rPr>
                <w:color w:val="000000"/>
                <w:sz w:val="16"/>
                <w:szCs w:val="16"/>
                <w:lang w:eastAsia="hr-HR"/>
              </w:rPr>
              <w:t>1-2 godine</w:t>
            </w:r>
          </w:p>
        </w:tc>
        <w:tc>
          <w:tcPr>
            <w:tcW w:w="99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2C27827" w14:textId="77777777" w:rsidR="009D4418" w:rsidRPr="00197185" w:rsidRDefault="009D4418" w:rsidP="009F18D5">
            <w:pPr>
              <w:rPr>
                <w:color w:val="000000"/>
                <w:sz w:val="16"/>
                <w:szCs w:val="16"/>
                <w:lang w:eastAsia="hr-HR"/>
              </w:rPr>
            </w:pPr>
            <w:r w:rsidRPr="00197185">
              <w:rPr>
                <w:color w:val="000000"/>
                <w:sz w:val="16"/>
                <w:szCs w:val="16"/>
                <w:lang w:eastAsia="hr-HR"/>
              </w:rPr>
              <w:t>21.10.2021.</w:t>
            </w:r>
          </w:p>
        </w:tc>
        <w:tc>
          <w:tcPr>
            <w:tcW w:w="1268"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19883375" w14:textId="77777777" w:rsidR="009D4418" w:rsidRPr="00197185" w:rsidRDefault="009D4418" w:rsidP="009F18D5">
            <w:pPr>
              <w:rPr>
                <w:color w:val="000000"/>
                <w:sz w:val="16"/>
                <w:szCs w:val="16"/>
                <w:lang w:eastAsia="hr-HR"/>
              </w:rPr>
            </w:pPr>
            <w:r>
              <w:rPr>
                <w:color w:val="000000"/>
                <w:sz w:val="16"/>
                <w:szCs w:val="16"/>
                <w:lang w:eastAsia="hr-HR"/>
              </w:rPr>
              <w:t>Spis na Županijskom sudu – podnesena žalba</w:t>
            </w:r>
          </w:p>
        </w:tc>
        <w:tc>
          <w:tcPr>
            <w:tcW w:w="853" w:type="dxa"/>
            <w:gridSpan w:val="2"/>
            <w:vMerge w:val="restart"/>
            <w:tcBorders>
              <w:top w:val="nil"/>
              <w:left w:val="single" w:sz="4" w:space="0" w:color="auto"/>
              <w:bottom w:val="single" w:sz="4" w:space="0" w:color="auto"/>
              <w:right w:val="single" w:sz="8" w:space="0" w:color="auto"/>
            </w:tcBorders>
            <w:vAlign w:val="center"/>
            <w:hideMark/>
          </w:tcPr>
          <w:p w14:paraId="192AC754" w14:textId="77777777" w:rsidR="009D4418" w:rsidRPr="00197185" w:rsidRDefault="009D4418" w:rsidP="009F18D5">
            <w:pPr>
              <w:rPr>
                <w:color w:val="000000"/>
                <w:sz w:val="16"/>
                <w:szCs w:val="16"/>
                <w:lang w:eastAsia="hr-HR"/>
              </w:rPr>
            </w:pPr>
            <w:r w:rsidRPr="00197185">
              <w:rPr>
                <w:color w:val="000000"/>
                <w:sz w:val="16"/>
                <w:szCs w:val="16"/>
                <w:lang w:eastAsia="hr-HR"/>
              </w:rPr>
              <w:t>Očekivan završetak kroz 1-2 godine</w:t>
            </w:r>
          </w:p>
        </w:tc>
      </w:tr>
      <w:tr w:rsidR="009D4418" w:rsidRPr="00197185" w14:paraId="35349E59" w14:textId="77777777" w:rsidTr="0053547E">
        <w:trPr>
          <w:gridAfter w:val="1"/>
          <w:wAfter w:w="105" w:type="dxa"/>
          <w:trHeight w:val="300"/>
        </w:trPr>
        <w:tc>
          <w:tcPr>
            <w:tcW w:w="689" w:type="dxa"/>
            <w:vMerge/>
            <w:tcBorders>
              <w:top w:val="nil"/>
              <w:left w:val="single" w:sz="8" w:space="0" w:color="auto"/>
              <w:bottom w:val="single" w:sz="4" w:space="0" w:color="auto"/>
              <w:right w:val="single" w:sz="4" w:space="0" w:color="auto"/>
            </w:tcBorders>
            <w:vAlign w:val="center"/>
            <w:hideMark/>
          </w:tcPr>
          <w:p w14:paraId="0693F09C" w14:textId="77777777" w:rsidR="009D4418" w:rsidRPr="00197185" w:rsidRDefault="009D4418" w:rsidP="009F18D5">
            <w:pPr>
              <w:rPr>
                <w:color w:val="000000"/>
                <w:sz w:val="16"/>
                <w:szCs w:val="16"/>
                <w:lang w:eastAsia="hr-HR"/>
              </w:rPr>
            </w:pPr>
          </w:p>
        </w:tc>
        <w:tc>
          <w:tcPr>
            <w:tcW w:w="937" w:type="dxa"/>
            <w:vMerge/>
            <w:tcBorders>
              <w:top w:val="nil"/>
              <w:left w:val="single" w:sz="4" w:space="0" w:color="auto"/>
              <w:bottom w:val="single" w:sz="4" w:space="0" w:color="auto"/>
              <w:right w:val="single" w:sz="4" w:space="0" w:color="auto"/>
            </w:tcBorders>
            <w:vAlign w:val="center"/>
            <w:hideMark/>
          </w:tcPr>
          <w:p w14:paraId="74824E43" w14:textId="77777777" w:rsidR="009D4418" w:rsidRPr="00197185" w:rsidRDefault="009D4418" w:rsidP="009F18D5">
            <w:pPr>
              <w:rPr>
                <w:color w:val="000000"/>
                <w:sz w:val="16"/>
                <w:szCs w:val="16"/>
                <w:lang w:eastAsia="hr-HR"/>
              </w:rPr>
            </w:pPr>
          </w:p>
        </w:tc>
        <w:tc>
          <w:tcPr>
            <w:tcW w:w="856" w:type="dxa"/>
            <w:vMerge/>
            <w:tcBorders>
              <w:top w:val="nil"/>
              <w:left w:val="single" w:sz="4" w:space="0" w:color="auto"/>
              <w:bottom w:val="single" w:sz="4" w:space="0" w:color="auto"/>
              <w:right w:val="single" w:sz="4" w:space="0" w:color="auto"/>
            </w:tcBorders>
            <w:vAlign w:val="center"/>
            <w:hideMark/>
          </w:tcPr>
          <w:p w14:paraId="46014604" w14:textId="77777777" w:rsidR="009D4418" w:rsidRPr="00197185" w:rsidRDefault="009D4418" w:rsidP="009F18D5">
            <w:pPr>
              <w:rPr>
                <w:color w:val="000000"/>
                <w:sz w:val="16"/>
                <w:szCs w:val="16"/>
                <w:lang w:eastAsia="hr-HR"/>
              </w:rPr>
            </w:pPr>
          </w:p>
        </w:tc>
        <w:tc>
          <w:tcPr>
            <w:tcW w:w="1187" w:type="dxa"/>
            <w:vMerge/>
            <w:tcBorders>
              <w:top w:val="nil"/>
              <w:left w:val="single" w:sz="4" w:space="0" w:color="auto"/>
              <w:bottom w:val="single" w:sz="4" w:space="0" w:color="auto"/>
              <w:right w:val="single" w:sz="4" w:space="0" w:color="auto"/>
            </w:tcBorders>
            <w:vAlign w:val="center"/>
            <w:hideMark/>
          </w:tcPr>
          <w:p w14:paraId="39E7F406" w14:textId="77777777" w:rsidR="009D4418" w:rsidRPr="00197185" w:rsidRDefault="009D4418" w:rsidP="009F18D5">
            <w:pPr>
              <w:rPr>
                <w:color w:val="000000"/>
                <w:sz w:val="16"/>
                <w:szCs w:val="16"/>
                <w:lang w:eastAsia="hr-HR"/>
              </w:rPr>
            </w:pPr>
          </w:p>
        </w:tc>
        <w:tc>
          <w:tcPr>
            <w:tcW w:w="863" w:type="dxa"/>
            <w:vMerge/>
            <w:tcBorders>
              <w:top w:val="single" w:sz="4" w:space="0" w:color="auto"/>
              <w:left w:val="single" w:sz="4" w:space="0" w:color="auto"/>
              <w:bottom w:val="single" w:sz="4" w:space="0" w:color="auto"/>
              <w:right w:val="single" w:sz="4" w:space="0" w:color="auto"/>
            </w:tcBorders>
            <w:vAlign w:val="center"/>
            <w:hideMark/>
          </w:tcPr>
          <w:p w14:paraId="12896B97" w14:textId="77777777" w:rsidR="009D4418" w:rsidRPr="00197185" w:rsidRDefault="009D4418" w:rsidP="009F18D5">
            <w:pPr>
              <w:rPr>
                <w:color w:val="000000"/>
                <w:sz w:val="16"/>
                <w:szCs w:val="16"/>
                <w:lang w:eastAsia="hr-HR"/>
              </w:rPr>
            </w:pPr>
          </w:p>
        </w:tc>
        <w:tc>
          <w:tcPr>
            <w:tcW w:w="987" w:type="dxa"/>
            <w:vMerge/>
            <w:tcBorders>
              <w:top w:val="nil"/>
              <w:left w:val="single" w:sz="4" w:space="0" w:color="auto"/>
              <w:bottom w:val="single" w:sz="4" w:space="0" w:color="auto"/>
              <w:right w:val="single" w:sz="4" w:space="0" w:color="auto"/>
            </w:tcBorders>
            <w:vAlign w:val="center"/>
            <w:hideMark/>
          </w:tcPr>
          <w:p w14:paraId="3CF1386D" w14:textId="77777777" w:rsidR="009D4418" w:rsidRPr="00197185" w:rsidRDefault="009D4418" w:rsidP="009F18D5">
            <w:pPr>
              <w:rPr>
                <w:color w:val="000000"/>
                <w:sz w:val="16"/>
                <w:szCs w:val="16"/>
                <w:lang w:eastAsia="hr-HR"/>
              </w:rPr>
            </w:pPr>
          </w:p>
        </w:tc>
        <w:tc>
          <w:tcPr>
            <w:tcW w:w="1281" w:type="dxa"/>
            <w:gridSpan w:val="2"/>
            <w:vMerge/>
            <w:tcBorders>
              <w:top w:val="single" w:sz="4" w:space="0" w:color="auto"/>
              <w:left w:val="single" w:sz="4" w:space="0" w:color="auto"/>
              <w:bottom w:val="single" w:sz="4" w:space="0" w:color="auto"/>
              <w:right w:val="single" w:sz="4" w:space="0" w:color="auto"/>
            </w:tcBorders>
            <w:vAlign w:val="center"/>
            <w:hideMark/>
          </w:tcPr>
          <w:p w14:paraId="0D0E8CC3" w14:textId="77777777" w:rsidR="009D4418" w:rsidRPr="00197185" w:rsidRDefault="009D4418" w:rsidP="009F18D5">
            <w:pPr>
              <w:rPr>
                <w:color w:val="000000"/>
                <w:sz w:val="16"/>
                <w:szCs w:val="16"/>
                <w:lang w:eastAsia="hr-HR"/>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023ABC2E" w14:textId="77777777" w:rsidR="009D4418" w:rsidRPr="00197185" w:rsidRDefault="009D4418" w:rsidP="009F18D5">
            <w:pPr>
              <w:rPr>
                <w:color w:val="000000"/>
                <w:sz w:val="16"/>
                <w:szCs w:val="16"/>
                <w:lang w:eastAsia="hr-HR"/>
              </w:rPr>
            </w:pPr>
          </w:p>
        </w:tc>
        <w:tc>
          <w:tcPr>
            <w:tcW w:w="1268" w:type="dxa"/>
            <w:gridSpan w:val="3"/>
            <w:vMerge/>
            <w:tcBorders>
              <w:top w:val="single" w:sz="4" w:space="0" w:color="auto"/>
              <w:left w:val="single" w:sz="4" w:space="0" w:color="auto"/>
              <w:bottom w:val="single" w:sz="4" w:space="0" w:color="auto"/>
              <w:right w:val="single" w:sz="4" w:space="0" w:color="auto"/>
            </w:tcBorders>
            <w:vAlign w:val="center"/>
            <w:hideMark/>
          </w:tcPr>
          <w:p w14:paraId="2251F20D" w14:textId="77777777" w:rsidR="009D4418" w:rsidRPr="00197185" w:rsidRDefault="009D4418" w:rsidP="009F18D5">
            <w:pPr>
              <w:rPr>
                <w:color w:val="000000"/>
                <w:sz w:val="16"/>
                <w:szCs w:val="16"/>
                <w:lang w:eastAsia="hr-HR"/>
              </w:rPr>
            </w:pPr>
          </w:p>
        </w:tc>
        <w:tc>
          <w:tcPr>
            <w:tcW w:w="853" w:type="dxa"/>
            <w:gridSpan w:val="2"/>
            <w:vMerge/>
            <w:tcBorders>
              <w:top w:val="nil"/>
              <w:left w:val="single" w:sz="4" w:space="0" w:color="auto"/>
              <w:bottom w:val="single" w:sz="4" w:space="0" w:color="auto"/>
              <w:right w:val="single" w:sz="8" w:space="0" w:color="auto"/>
            </w:tcBorders>
            <w:vAlign w:val="center"/>
            <w:hideMark/>
          </w:tcPr>
          <w:p w14:paraId="3CBF9F30" w14:textId="77777777" w:rsidR="009D4418" w:rsidRPr="00197185" w:rsidRDefault="009D4418" w:rsidP="009F18D5">
            <w:pPr>
              <w:rPr>
                <w:color w:val="000000"/>
                <w:sz w:val="16"/>
                <w:szCs w:val="16"/>
                <w:lang w:eastAsia="hr-HR"/>
              </w:rPr>
            </w:pPr>
          </w:p>
        </w:tc>
        <w:tc>
          <w:tcPr>
            <w:tcW w:w="236" w:type="dxa"/>
            <w:tcBorders>
              <w:top w:val="nil"/>
              <w:left w:val="nil"/>
              <w:bottom w:val="nil"/>
              <w:right w:val="nil"/>
            </w:tcBorders>
            <w:noWrap/>
            <w:vAlign w:val="bottom"/>
            <w:hideMark/>
          </w:tcPr>
          <w:p w14:paraId="1E4AC357" w14:textId="77777777" w:rsidR="009D4418" w:rsidRPr="00197185" w:rsidRDefault="009D4418" w:rsidP="009F18D5">
            <w:pPr>
              <w:rPr>
                <w:color w:val="000000"/>
                <w:sz w:val="16"/>
                <w:szCs w:val="16"/>
                <w:lang w:eastAsia="hr-HR"/>
              </w:rPr>
            </w:pPr>
          </w:p>
        </w:tc>
      </w:tr>
      <w:tr w:rsidR="009D4418" w:rsidRPr="00197185" w14:paraId="23073439" w14:textId="77777777" w:rsidTr="0053547E">
        <w:trPr>
          <w:gridAfter w:val="1"/>
          <w:wAfter w:w="105" w:type="dxa"/>
          <w:trHeight w:val="675"/>
        </w:trPr>
        <w:tc>
          <w:tcPr>
            <w:tcW w:w="689" w:type="dxa"/>
            <w:tcBorders>
              <w:top w:val="nil"/>
              <w:left w:val="single" w:sz="8" w:space="0" w:color="auto"/>
              <w:bottom w:val="single" w:sz="4" w:space="0" w:color="auto"/>
              <w:right w:val="single" w:sz="4" w:space="0" w:color="auto"/>
            </w:tcBorders>
            <w:noWrap/>
            <w:vAlign w:val="center"/>
            <w:hideMark/>
          </w:tcPr>
          <w:p w14:paraId="3EAB8995" w14:textId="77777777" w:rsidR="009D4418" w:rsidRPr="00197185" w:rsidRDefault="009D4418" w:rsidP="009F18D5">
            <w:pPr>
              <w:jc w:val="center"/>
              <w:rPr>
                <w:color w:val="000000"/>
                <w:sz w:val="16"/>
                <w:szCs w:val="16"/>
                <w:lang w:eastAsia="hr-HR"/>
              </w:rPr>
            </w:pPr>
            <w:r w:rsidRPr="00197185">
              <w:rPr>
                <w:color w:val="000000"/>
                <w:sz w:val="16"/>
                <w:szCs w:val="16"/>
                <w:lang w:eastAsia="hr-HR"/>
              </w:rPr>
              <w:t>2</w:t>
            </w:r>
          </w:p>
        </w:tc>
        <w:tc>
          <w:tcPr>
            <w:tcW w:w="937" w:type="dxa"/>
            <w:tcBorders>
              <w:top w:val="nil"/>
              <w:left w:val="nil"/>
              <w:bottom w:val="single" w:sz="4" w:space="0" w:color="auto"/>
              <w:right w:val="single" w:sz="4" w:space="0" w:color="auto"/>
            </w:tcBorders>
            <w:vAlign w:val="center"/>
            <w:hideMark/>
          </w:tcPr>
          <w:p w14:paraId="55C9FD62" w14:textId="77777777" w:rsidR="009D4418" w:rsidRPr="00197185" w:rsidRDefault="009D4418" w:rsidP="009F18D5">
            <w:pPr>
              <w:rPr>
                <w:color w:val="000000"/>
                <w:sz w:val="16"/>
                <w:szCs w:val="16"/>
                <w:lang w:eastAsia="hr-HR"/>
              </w:rPr>
            </w:pPr>
            <w:r w:rsidRPr="00197185">
              <w:rPr>
                <w:color w:val="000000"/>
                <w:sz w:val="16"/>
                <w:szCs w:val="16"/>
                <w:lang w:eastAsia="hr-HR"/>
              </w:rPr>
              <w:t>Grad Garešnica</w:t>
            </w:r>
          </w:p>
        </w:tc>
        <w:tc>
          <w:tcPr>
            <w:tcW w:w="856" w:type="dxa"/>
            <w:tcBorders>
              <w:top w:val="nil"/>
              <w:left w:val="nil"/>
              <w:bottom w:val="single" w:sz="4" w:space="0" w:color="auto"/>
              <w:right w:val="single" w:sz="4" w:space="0" w:color="auto"/>
            </w:tcBorders>
            <w:vAlign w:val="center"/>
            <w:hideMark/>
          </w:tcPr>
          <w:p w14:paraId="410A73CA" w14:textId="77777777" w:rsidR="009D4418" w:rsidRPr="00197185" w:rsidRDefault="009D4418" w:rsidP="009F18D5">
            <w:pPr>
              <w:rPr>
                <w:color w:val="000000"/>
                <w:sz w:val="16"/>
                <w:szCs w:val="16"/>
                <w:lang w:eastAsia="hr-HR"/>
              </w:rPr>
            </w:pPr>
            <w:r w:rsidRPr="00197185">
              <w:rPr>
                <w:color w:val="000000"/>
                <w:sz w:val="16"/>
                <w:szCs w:val="16"/>
                <w:lang w:eastAsia="hr-HR"/>
              </w:rPr>
              <w:t>PBZ d.d.</w:t>
            </w:r>
          </w:p>
        </w:tc>
        <w:tc>
          <w:tcPr>
            <w:tcW w:w="1187" w:type="dxa"/>
            <w:tcBorders>
              <w:top w:val="nil"/>
              <w:left w:val="nil"/>
              <w:bottom w:val="single" w:sz="4" w:space="0" w:color="auto"/>
              <w:right w:val="single" w:sz="4" w:space="0" w:color="auto"/>
            </w:tcBorders>
            <w:vAlign w:val="center"/>
            <w:hideMark/>
          </w:tcPr>
          <w:p w14:paraId="4908E865" w14:textId="77777777" w:rsidR="009D4418" w:rsidRPr="00197185" w:rsidRDefault="009D4418" w:rsidP="009F18D5">
            <w:pPr>
              <w:rPr>
                <w:color w:val="000000"/>
                <w:sz w:val="16"/>
                <w:szCs w:val="16"/>
                <w:lang w:eastAsia="hr-HR"/>
              </w:rPr>
            </w:pPr>
            <w:r w:rsidRPr="00197185">
              <w:rPr>
                <w:color w:val="000000"/>
                <w:sz w:val="16"/>
                <w:szCs w:val="16"/>
                <w:lang w:eastAsia="hr-HR"/>
              </w:rPr>
              <w:t xml:space="preserve">Radi isplate – </w:t>
            </w:r>
            <w:proofErr w:type="spellStart"/>
            <w:r w:rsidRPr="00197185">
              <w:rPr>
                <w:color w:val="000000"/>
                <w:sz w:val="16"/>
                <w:szCs w:val="16"/>
                <w:lang w:eastAsia="hr-HR"/>
              </w:rPr>
              <w:t>ošasna</w:t>
            </w:r>
            <w:proofErr w:type="spellEnd"/>
            <w:r w:rsidRPr="00197185">
              <w:rPr>
                <w:color w:val="000000"/>
                <w:sz w:val="16"/>
                <w:szCs w:val="16"/>
                <w:lang w:eastAsia="hr-HR"/>
              </w:rPr>
              <w:t xml:space="preserve"> imovina</w:t>
            </w:r>
          </w:p>
        </w:tc>
        <w:tc>
          <w:tcPr>
            <w:tcW w:w="863" w:type="dxa"/>
            <w:tcBorders>
              <w:top w:val="single" w:sz="4" w:space="0" w:color="auto"/>
              <w:left w:val="nil"/>
              <w:bottom w:val="single" w:sz="4" w:space="0" w:color="auto"/>
              <w:right w:val="single" w:sz="4" w:space="0" w:color="auto"/>
            </w:tcBorders>
            <w:vAlign w:val="center"/>
            <w:hideMark/>
          </w:tcPr>
          <w:p w14:paraId="75C846A0" w14:textId="77777777" w:rsidR="009D4418" w:rsidRPr="00197185" w:rsidRDefault="009D4418" w:rsidP="009F18D5">
            <w:pPr>
              <w:jc w:val="right"/>
              <w:rPr>
                <w:color w:val="000000"/>
                <w:sz w:val="16"/>
                <w:szCs w:val="16"/>
                <w:lang w:eastAsia="hr-HR"/>
              </w:rPr>
            </w:pPr>
            <w:r w:rsidRPr="00197185">
              <w:rPr>
                <w:color w:val="000000"/>
                <w:sz w:val="16"/>
                <w:szCs w:val="16"/>
                <w:lang w:eastAsia="hr-HR"/>
              </w:rPr>
              <w:t>6.842,67</w:t>
            </w:r>
          </w:p>
        </w:tc>
        <w:tc>
          <w:tcPr>
            <w:tcW w:w="987" w:type="dxa"/>
            <w:tcBorders>
              <w:top w:val="nil"/>
              <w:left w:val="nil"/>
              <w:bottom w:val="single" w:sz="4" w:space="0" w:color="auto"/>
              <w:right w:val="single" w:sz="4" w:space="0" w:color="auto"/>
            </w:tcBorders>
            <w:vAlign w:val="center"/>
            <w:hideMark/>
          </w:tcPr>
          <w:p w14:paraId="1F4A6376" w14:textId="77777777" w:rsidR="009D4418" w:rsidRPr="00197185" w:rsidRDefault="009D4418" w:rsidP="009F18D5">
            <w:pPr>
              <w:jc w:val="right"/>
              <w:rPr>
                <w:color w:val="000000"/>
                <w:sz w:val="16"/>
                <w:szCs w:val="16"/>
                <w:lang w:eastAsia="hr-HR"/>
              </w:rPr>
            </w:pPr>
            <w:r w:rsidRPr="00197185">
              <w:rPr>
                <w:color w:val="000000"/>
                <w:sz w:val="16"/>
                <w:szCs w:val="16"/>
                <w:lang w:eastAsia="hr-HR"/>
              </w:rPr>
              <w:t>6.842,67</w:t>
            </w:r>
          </w:p>
        </w:tc>
        <w:tc>
          <w:tcPr>
            <w:tcW w:w="1281" w:type="dxa"/>
            <w:gridSpan w:val="2"/>
            <w:tcBorders>
              <w:top w:val="single" w:sz="4" w:space="0" w:color="auto"/>
              <w:left w:val="nil"/>
              <w:bottom w:val="single" w:sz="4" w:space="0" w:color="auto"/>
              <w:right w:val="single" w:sz="4" w:space="0" w:color="auto"/>
            </w:tcBorders>
            <w:vAlign w:val="center"/>
            <w:hideMark/>
          </w:tcPr>
          <w:p w14:paraId="03D658BF" w14:textId="77777777" w:rsidR="009D4418" w:rsidRPr="00197185" w:rsidRDefault="009D4418" w:rsidP="009F18D5">
            <w:pPr>
              <w:jc w:val="center"/>
              <w:rPr>
                <w:color w:val="000000"/>
                <w:sz w:val="16"/>
                <w:szCs w:val="16"/>
                <w:lang w:eastAsia="hr-HR"/>
              </w:rPr>
            </w:pPr>
            <w:r w:rsidRPr="00197185">
              <w:rPr>
                <w:color w:val="000000"/>
                <w:sz w:val="16"/>
                <w:szCs w:val="16"/>
                <w:lang w:eastAsia="hr-HR"/>
              </w:rPr>
              <w:t>1-2 godine</w:t>
            </w:r>
          </w:p>
        </w:tc>
        <w:tc>
          <w:tcPr>
            <w:tcW w:w="992" w:type="dxa"/>
            <w:gridSpan w:val="2"/>
            <w:tcBorders>
              <w:top w:val="single" w:sz="4" w:space="0" w:color="auto"/>
              <w:left w:val="nil"/>
              <w:bottom w:val="single" w:sz="4" w:space="0" w:color="auto"/>
              <w:right w:val="single" w:sz="4" w:space="0" w:color="auto"/>
            </w:tcBorders>
            <w:vAlign w:val="center"/>
            <w:hideMark/>
          </w:tcPr>
          <w:p w14:paraId="511757AD" w14:textId="77777777" w:rsidR="009D4418" w:rsidRPr="00197185" w:rsidRDefault="009D4418" w:rsidP="009F18D5">
            <w:pPr>
              <w:rPr>
                <w:color w:val="000000"/>
                <w:sz w:val="16"/>
                <w:szCs w:val="16"/>
                <w:lang w:eastAsia="hr-HR"/>
              </w:rPr>
            </w:pPr>
            <w:r w:rsidRPr="00197185">
              <w:rPr>
                <w:color w:val="000000"/>
                <w:sz w:val="16"/>
                <w:szCs w:val="16"/>
                <w:lang w:eastAsia="hr-HR"/>
              </w:rPr>
              <w:t>21.10.2021.</w:t>
            </w:r>
          </w:p>
        </w:tc>
        <w:tc>
          <w:tcPr>
            <w:tcW w:w="1268" w:type="dxa"/>
            <w:gridSpan w:val="3"/>
            <w:tcBorders>
              <w:top w:val="single" w:sz="4" w:space="0" w:color="auto"/>
              <w:left w:val="nil"/>
              <w:bottom w:val="single" w:sz="4" w:space="0" w:color="auto"/>
              <w:right w:val="single" w:sz="4" w:space="0" w:color="auto"/>
            </w:tcBorders>
            <w:vAlign w:val="center"/>
            <w:hideMark/>
          </w:tcPr>
          <w:p w14:paraId="078B5BD9" w14:textId="77777777" w:rsidR="009D4418" w:rsidRPr="00197185" w:rsidRDefault="009D4418" w:rsidP="009F18D5">
            <w:pPr>
              <w:rPr>
                <w:color w:val="000000"/>
                <w:sz w:val="16"/>
                <w:szCs w:val="16"/>
                <w:lang w:eastAsia="hr-HR"/>
              </w:rPr>
            </w:pPr>
            <w:r>
              <w:rPr>
                <w:color w:val="000000"/>
                <w:sz w:val="16"/>
                <w:szCs w:val="16"/>
                <w:lang w:eastAsia="hr-HR"/>
              </w:rPr>
              <w:t>Spis na Županijskom sudu – podnesena žalba</w:t>
            </w:r>
          </w:p>
        </w:tc>
        <w:tc>
          <w:tcPr>
            <w:tcW w:w="853" w:type="dxa"/>
            <w:gridSpan w:val="2"/>
            <w:tcBorders>
              <w:top w:val="nil"/>
              <w:left w:val="nil"/>
              <w:bottom w:val="single" w:sz="4" w:space="0" w:color="auto"/>
              <w:right w:val="single" w:sz="8" w:space="0" w:color="auto"/>
            </w:tcBorders>
            <w:vAlign w:val="center"/>
            <w:hideMark/>
          </w:tcPr>
          <w:p w14:paraId="084F38B3" w14:textId="77777777" w:rsidR="009D4418" w:rsidRPr="00197185" w:rsidRDefault="009D4418" w:rsidP="009F18D5">
            <w:pPr>
              <w:rPr>
                <w:color w:val="000000"/>
                <w:sz w:val="16"/>
                <w:szCs w:val="16"/>
                <w:lang w:eastAsia="hr-HR"/>
              </w:rPr>
            </w:pPr>
            <w:r w:rsidRPr="00197185">
              <w:rPr>
                <w:color w:val="000000"/>
                <w:sz w:val="16"/>
                <w:szCs w:val="16"/>
                <w:lang w:eastAsia="hr-HR"/>
              </w:rPr>
              <w:t>Očekivan završetak kroz 1-2 godine</w:t>
            </w:r>
          </w:p>
        </w:tc>
        <w:tc>
          <w:tcPr>
            <w:tcW w:w="236" w:type="dxa"/>
            <w:vAlign w:val="center"/>
            <w:hideMark/>
          </w:tcPr>
          <w:p w14:paraId="623EEC96" w14:textId="77777777" w:rsidR="009D4418" w:rsidRPr="00197185" w:rsidRDefault="009D4418" w:rsidP="009F18D5">
            <w:pPr>
              <w:rPr>
                <w:rFonts w:ascii="Times New Roman" w:hAnsi="Times New Roman" w:cs="Times New Roman"/>
                <w:sz w:val="16"/>
                <w:szCs w:val="16"/>
                <w:lang w:eastAsia="hr-HR"/>
              </w:rPr>
            </w:pPr>
          </w:p>
        </w:tc>
      </w:tr>
      <w:tr w:rsidR="009D4418" w:rsidRPr="00197185" w14:paraId="42B911B7" w14:textId="77777777" w:rsidTr="0053547E">
        <w:trPr>
          <w:gridAfter w:val="1"/>
          <w:wAfter w:w="105" w:type="dxa"/>
          <w:trHeight w:val="675"/>
        </w:trPr>
        <w:tc>
          <w:tcPr>
            <w:tcW w:w="689" w:type="dxa"/>
            <w:tcBorders>
              <w:top w:val="nil"/>
              <w:left w:val="single" w:sz="8" w:space="0" w:color="auto"/>
              <w:bottom w:val="single" w:sz="4" w:space="0" w:color="auto"/>
              <w:right w:val="single" w:sz="4" w:space="0" w:color="auto"/>
            </w:tcBorders>
            <w:noWrap/>
            <w:vAlign w:val="center"/>
          </w:tcPr>
          <w:p w14:paraId="666B409A" w14:textId="77777777" w:rsidR="009D4418" w:rsidRPr="00197185" w:rsidRDefault="009D4418" w:rsidP="009F18D5">
            <w:pPr>
              <w:jc w:val="center"/>
              <w:rPr>
                <w:color w:val="000000"/>
                <w:sz w:val="16"/>
                <w:szCs w:val="16"/>
                <w:lang w:eastAsia="hr-HR"/>
              </w:rPr>
            </w:pPr>
            <w:r>
              <w:rPr>
                <w:color w:val="000000"/>
                <w:sz w:val="16"/>
                <w:szCs w:val="16"/>
                <w:lang w:eastAsia="hr-HR"/>
              </w:rPr>
              <w:lastRenderedPageBreak/>
              <w:t>3</w:t>
            </w:r>
          </w:p>
        </w:tc>
        <w:tc>
          <w:tcPr>
            <w:tcW w:w="937" w:type="dxa"/>
            <w:tcBorders>
              <w:top w:val="nil"/>
              <w:left w:val="nil"/>
              <w:bottom w:val="single" w:sz="4" w:space="0" w:color="auto"/>
              <w:right w:val="single" w:sz="4" w:space="0" w:color="auto"/>
            </w:tcBorders>
            <w:vAlign w:val="center"/>
          </w:tcPr>
          <w:p w14:paraId="3B9A423E" w14:textId="77777777" w:rsidR="009D4418" w:rsidRPr="00197185" w:rsidRDefault="009D4418" w:rsidP="009F18D5">
            <w:pPr>
              <w:rPr>
                <w:color w:val="000000"/>
                <w:sz w:val="16"/>
                <w:szCs w:val="16"/>
                <w:lang w:eastAsia="hr-HR"/>
              </w:rPr>
            </w:pPr>
            <w:r>
              <w:rPr>
                <w:color w:val="000000"/>
                <w:sz w:val="16"/>
                <w:szCs w:val="16"/>
                <w:lang w:eastAsia="hr-HR"/>
              </w:rPr>
              <w:t>Osnovna škola Garešnica</w:t>
            </w:r>
          </w:p>
        </w:tc>
        <w:tc>
          <w:tcPr>
            <w:tcW w:w="856" w:type="dxa"/>
            <w:tcBorders>
              <w:top w:val="nil"/>
              <w:left w:val="nil"/>
              <w:bottom w:val="single" w:sz="4" w:space="0" w:color="auto"/>
              <w:right w:val="single" w:sz="4" w:space="0" w:color="auto"/>
            </w:tcBorders>
            <w:vAlign w:val="center"/>
          </w:tcPr>
          <w:p w14:paraId="27EC0663" w14:textId="77777777" w:rsidR="009D4418" w:rsidRPr="00197185" w:rsidRDefault="009D4418" w:rsidP="009F18D5">
            <w:pPr>
              <w:rPr>
                <w:color w:val="000000"/>
                <w:sz w:val="16"/>
                <w:szCs w:val="16"/>
                <w:lang w:eastAsia="hr-HR"/>
              </w:rPr>
            </w:pPr>
            <w:r>
              <w:rPr>
                <w:color w:val="000000"/>
                <w:sz w:val="16"/>
                <w:szCs w:val="16"/>
                <w:lang w:eastAsia="hr-HR"/>
              </w:rPr>
              <w:t>Fizička osoba</w:t>
            </w:r>
          </w:p>
        </w:tc>
        <w:tc>
          <w:tcPr>
            <w:tcW w:w="1187" w:type="dxa"/>
            <w:tcBorders>
              <w:top w:val="nil"/>
              <w:left w:val="nil"/>
              <w:bottom w:val="single" w:sz="4" w:space="0" w:color="auto"/>
              <w:right w:val="single" w:sz="4" w:space="0" w:color="auto"/>
            </w:tcBorders>
            <w:vAlign w:val="center"/>
          </w:tcPr>
          <w:p w14:paraId="24BDD0D8" w14:textId="77777777" w:rsidR="009D4418" w:rsidRPr="00197185" w:rsidRDefault="009D4418" w:rsidP="009F18D5">
            <w:pPr>
              <w:rPr>
                <w:color w:val="000000"/>
                <w:sz w:val="16"/>
                <w:szCs w:val="16"/>
                <w:lang w:eastAsia="hr-HR"/>
              </w:rPr>
            </w:pPr>
            <w:r>
              <w:rPr>
                <w:color w:val="000000"/>
                <w:sz w:val="16"/>
                <w:szCs w:val="16"/>
                <w:lang w:eastAsia="hr-HR"/>
              </w:rPr>
              <w:t>Tužba zbog ozljede</w:t>
            </w:r>
          </w:p>
        </w:tc>
        <w:tc>
          <w:tcPr>
            <w:tcW w:w="863" w:type="dxa"/>
            <w:tcBorders>
              <w:top w:val="single" w:sz="4" w:space="0" w:color="auto"/>
              <w:left w:val="nil"/>
              <w:bottom w:val="single" w:sz="4" w:space="0" w:color="auto"/>
              <w:right w:val="single" w:sz="4" w:space="0" w:color="auto"/>
            </w:tcBorders>
            <w:vAlign w:val="center"/>
          </w:tcPr>
          <w:p w14:paraId="2101AFE2" w14:textId="77777777" w:rsidR="009D4418" w:rsidRPr="00197185" w:rsidRDefault="009D4418" w:rsidP="009F18D5">
            <w:pPr>
              <w:jc w:val="right"/>
              <w:rPr>
                <w:color w:val="000000"/>
                <w:sz w:val="16"/>
                <w:szCs w:val="16"/>
                <w:lang w:eastAsia="hr-HR"/>
              </w:rPr>
            </w:pPr>
            <w:r>
              <w:rPr>
                <w:color w:val="000000"/>
                <w:sz w:val="16"/>
                <w:szCs w:val="16"/>
                <w:lang w:eastAsia="hr-HR"/>
              </w:rPr>
              <w:t>3.092,44</w:t>
            </w:r>
          </w:p>
        </w:tc>
        <w:tc>
          <w:tcPr>
            <w:tcW w:w="987" w:type="dxa"/>
            <w:tcBorders>
              <w:top w:val="nil"/>
              <w:left w:val="nil"/>
              <w:bottom w:val="single" w:sz="4" w:space="0" w:color="auto"/>
              <w:right w:val="single" w:sz="4" w:space="0" w:color="auto"/>
            </w:tcBorders>
            <w:vAlign w:val="center"/>
          </w:tcPr>
          <w:p w14:paraId="58C53A88" w14:textId="77777777" w:rsidR="009D4418" w:rsidRPr="00197185" w:rsidRDefault="009D4418" w:rsidP="009F18D5">
            <w:pPr>
              <w:jc w:val="right"/>
              <w:rPr>
                <w:color w:val="000000"/>
                <w:sz w:val="16"/>
                <w:szCs w:val="16"/>
                <w:lang w:eastAsia="hr-HR"/>
              </w:rPr>
            </w:pPr>
            <w:r>
              <w:rPr>
                <w:color w:val="000000"/>
                <w:sz w:val="16"/>
                <w:szCs w:val="16"/>
                <w:lang w:eastAsia="hr-HR"/>
              </w:rPr>
              <w:t>4.500,00</w:t>
            </w:r>
          </w:p>
        </w:tc>
        <w:tc>
          <w:tcPr>
            <w:tcW w:w="1281" w:type="dxa"/>
            <w:gridSpan w:val="2"/>
            <w:tcBorders>
              <w:top w:val="single" w:sz="4" w:space="0" w:color="auto"/>
              <w:left w:val="nil"/>
              <w:bottom w:val="single" w:sz="4" w:space="0" w:color="auto"/>
              <w:right w:val="single" w:sz="4" w:space="0" w:color="auto"/>
            </w:tcBorders>
            <w:vAlign w:val="center"/>
          </w:tcPr>
          <w:p w14:paraId="21634D8C" w14:textId="77777777" w:rsidR="009D4418" w:rsidRPr="00197185" w:rsidRDefault="009D4418" w:rsidP="009F18D5">
            <w:pPr>
              <w:jc w:val="center"/>
              <w:rPr>
                <w:color w:val="000000"/>
                <w:sz w:val="16"/>
                <w:szCs w:val="16"/>
                <w:lang w:eastAsia="hr-HR"/>
              </w:rPr>
            </w:pPr>
            <w:r>
              <w:rPr>
                <w:color w:val="000000"/>
                <w:sz w:val="16"/>
                <w:szCs w:val="16"/>
                <w:lang w:eastAsia="hr-HR"/>
              </w:rPr>
              <w:t>2025.</w:t>
            </w:r>
          </w:p>
        </w:tc>
        <w:tc>
          <w:tcPr>
            <w:tcW w:w="992" w:type="dxa"/>
            <w:gridSpan w:val="2"/>
            <w:tcBorders>
              <w:top w:val="single" w:sz="4" w:space="0" w:color="auto"/>
              <w:left w:val="nil"/>
              <w:bottom w:val="single" w:sz="4" w:space="0" w:color="auto"/>
              <w:right w:val="single" w:sz="4" w:space="0" w:color="auto"/>
            </w:tcBorders>
            <w:vAlign w:val="center"/>
          </w:tcPr>
          <w:p w14:paraId="79A2BB0A" w14:textId="77777777" w:rsidR="009D4418" w:rsidRPr="00197185" w:rsidRDefault="009D4418" w:rsidP="009F18D5">
            <w:pPr>
              <w:rPr>
                <w:color w:val="000000"/>
                <w:sz w:val="16"/>
                <w:szCs w:val="16"/>
                <w:lang w:eastAsia="hr-HR"/>
              </w:rPr>
            </w:pPr>
            <w:r>
              <w:rPr>
                <w:color w:val="000000"/>
                <w:sz w:val="16"/>
                <w:szCs w:val="16"/>
                <w:lang w:eastAsia="hr-HR"/>
              </w:rPr>
              <w:t>2021.</w:t>
            </w:r>
          </w:p>
        </w:tc>
        <w:tc>
          <w:tcPr>
            <w:tcW w:w="1268" w:type="dxa"/>
            <w:gridSpan w:val="3"/>
            <w:tcBorders>
              <w:top w:val="single" w:sz="4" w:space="0" w:color="auto"/>
              <w:left w:val="nil"/>
              <w:bottom w:val="single" w:sz="4" w:space="0" w:color="auto"/>
              <w:right w:val="single" w:sz="4" w:space="0" w:color="auto"/>
            </w:tcBorders>
            <w:vAlign w:val="center"/>
          </w:tcPr>
          <w:p w14:paraId="72EE5DE6" w14:textId="77777777" w:rsidR="009D4418" w:rsidRDefault="009D4418" w:rsidP="009F18D5">
            <w:pPr>
              <w:rPr>
                <w:color w:val="000000"/>
                <w:sz w:val="16"/>
                <w:szCs w:val="16"/>
                <w:lang w:eastAsia="hr-HR"/>
              </w:rPr>
            </w:pPr>
            <w:r>
              <w:rPr>
                <w:color w:val="000000"/>
                <w:sz w:val="16"/>
                <w:szCs w:val="16"/>
                <w:lang w:eastAsia="hr-HR"/>
              </w:rPr>
              <w:t>Podnesena žalba</w:t>
            </w:r>
          </w:p>
        </w:tc>
        <w:tc>
          <w:tcPr>
            <w:tcW w:w="853" w:type="dxa"/>
            <w:gridSpan w:val="2"/>
            <w:tcBorders>
              <w:top w:val="nil"/>
              <w:left w:val="nil"/>
              <w:bottom w:val="single" w:sz="4" w:space="0" w:color="auto"/>
              <w:right w:val="single" w:sz="8" w:space="0" w:color="auto"/>
            </w:tcBorders>
            <w:vAlign w:val="center"/>
          </w:tcPr>
          <w:p w14:paraId="3D9536B8" w14:textId="77777777" w:rsidR="009D4418" w:rsidRPr="00197185" w:rsidRDefault="009D4418" w:rsidP="009F18D5">
            <w:pPr>
              <w:rPr>
                <w:color w:val="000000"/>
                <w:sz w:val="16"/>
                <w:szCs w:val="16"/>
                <w:lang w:eastAsia="hr-HR"/>
              </w:rPr>
            </w:pPr>
          </w:p>
        </w:tc>
        <w:tc>
          <w:tcPr>
            <w:tcW w:w="236" w:type="dxa"/>
            <w:vAlign w:val="center"/>
          </w:tcPr>
          <w:p w14:paraId="2060F58E" w14:textId="77777777" w:rsidR="009D4418" w:rsidRPr="00197185" w:rsidRDefault="009D4418" w:rsidP="009F18D5">
            <w:pPr>
              <w:rPr>
                <w:rFonts w:ascii="Times New Roman" w:hAnsi="Times New Roman" w:cs="Times New Roman"/>
                <w:sz w:val="16"/>
                <w:szCs w:val="16"/>
                <w:lang w:eastAsia="hr-HR"/>
              </w:rPr>
            </w:pPr>
          </w:p>
        </w:tc>
      </w:tr>
      <w:tr w:rsidR="009D4418" w:rsidRPr="00197185" w14:paraId="486C7E5B" w14:textId="77777777" w:rsidTr="0053547E">
        <w:trPr>
          <w:trHeight w:val="300"/>
        </w:trPr>
        <w:tc>
          <w:tcPr>
            <w:tcW w:w="4532"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E97E1C" w14:textId="77777777" w:rsidR="009D4418" w:rsidRPr="00197185" w:rsidRDefault="009D4418" w:rsidP="009F18D5">
            <w:pPr>
              <w:jc w:val="center"/>
              <w:rPr>
                <w:b/>
                <w:bCs/>
                <w:color w:val="000000"/>
                <w:sz w:val="16"/>
                <w:szCs w:val="16"/>
                <w:lang w:eastAsia="hr-HR"/>
              </w:rPr>
            </w:pPr>
            <w:r w:rsidRPr="00197185">
              <w:rPr>
                <w:b/>
                <w:bCs/>
                <w:color w:val="000000"/>
                <w:sz w:val="16"/>
                <w:szCs w:val="16"/>
                <w:lang w:eastAsia="hr-HR"/>
              </w:rPr>
              <w:t>Potencijalne obaveze po osnovi sudskih sporova u tijeku</w:t>
            </w:r>
          </w:p>
        </w:tc>
        <w:tc>
          <w:tcPr>
            <w:tcW w:w="987" w:type="dxa"/>
            <w:tcBorders>
              <w:top w:val="nil"/>
              <w:left w:val="nil"/>
              <w:bottom w:val="single" w:sz="4" w:space="0" w:color="auto"/>
              <w:right w:val="nil"/>
            </w:tcBorders>
            <w:shd w:val="clear" w:color="000000" w:fill="D9D9D9"/>
            <w:vAlign w:val="center"/>
            <w:hideMark/>
          </w:tcPr>
          <w:p w14:paraId="2897CFD7" w14:textId="77777777" w:rsidR="009D4418" w:rsidRPr="00197185" w:rsidRDefault="009D4418" w:rsidP="009F18D5">
            <w:pPr>
              <w:jc w:val="right"/>
              <w:rPr>
                <w:b/>
                <w:bCs/>
                <w:color w:val="000000"/>
                <w:sz w:val="16"/>
                <w:szCs w:val="16"/>
                <w:lang w:eastAsia="hr-HR"/>
              </w:rPr>
            </w:pPr>
            <w:r>
              <w:rPr>
                <w:b/>
                <w:bCs/>
                <w:color w:val="000000"/>
                <w:sz w:val="16"/>
                <w:szCs w:val="16"/>
                <w:lang w:eastAsia="hr-HR"/>
              </w:rPr>
              <w:t>12.255,63</w:t>
            </w:r>
          </w:p>
        </w:tc>
        <w:tc>
          <w:tcPr>
            <w:tcW w:w="935" w:type="dxa"/>
            <w:tcBorders>
              <w:top w:val="nil"/>
              <w:left w:val="single" w:sz="4" w:space="0" w:color="auto"/>
              <w:bottom w:val="single" w:sz="4" w:space="0" w:color="auto"/>
              <w:right w:val="nil"/>
            </w:tcBorders>
            <w:shd w:val="clear" w:color="000000" w:fill="D9D9D9"/>
            <w:vAlign w:val="center"/>
            <w:hideMark/>
          </w:tcPr>
          <w:p w14:paraId="630D3283" w14:textId="77777777" w:rsidR="009D4418" w:rsidRPr="00197185" w:rsidRDefault="009D4418" w:rsidP="009F18D5">
            <w:pPr>
              <w:jc w:val="center"/>
              <w:rPr>
                <w:color w:val="000000"/>
                <w:sz w:val="16"/>
                <w:szCs w:val="16"/>
                <w:lang w:eastAsia="hr-HR"/>
              </w:rPr>
            </w:pPr>
            <w:r w:rsidRPr="00197185">
              <w:rPr>
                <w:color w:val="000000"/>
                <w:sz w:val="16"/>
                <w:szCs w:val="16"/>
                <w:lang w:eastAsia="hr-HR"/>
              </w:rPr>
              <w:t> </w:t>
            </w:r>
          </w:p>
        </w:tc>
        <w:tc>
          <w:tcPr>
            <w:tcW w:w="346" w:type="dxa"/>
            <w:tcBorders>
              <w:top w:val="nil"/>
              <w:left w:val="nil"/>
              <w:bottom w:val="single" w:sz="4" w:space="0" w:color="auto"/>
              <w:right w:val="nil"/>
            </w:tcBorders>
            <w:shd w:val="clear" w:color="000000" w:fill="D9D9D9"/>
            <w:vAlign w:val="center"/>
            <w:hideMark/>
          </w:tcPr>
          <w:p w14:paraId="0C57A967" w14:textId="77777777" w:rsidR="009D4418" w:rsidRPr="00197185" w:rsidRDefault="009D4418" w:rsidP="009F18D5">
            <w:pPr>
              <w:jc w:val="center"/>
              <w:rPr>
                <w:color w:val="000000"/>
                <w:sz w:val="16"/>
                <w:szCs w:val="16"/>
                <w:lang w:eastAsia="hr-HR"/>
              </w:rPr>
            </w:pPr>
            <w:r w:rsidRPr="00197185">
              <w:rPr>
                <w:color w:val="000000"/>
                <w:sz w:val="16"/>
                <w:szCs w:val="16"/>
                <w:lang w:eastAsia="hr-HR"/>
              </w:rPr>
              <w:t> </w:t>
            </w:r>
          </w:p>
        </w:tc>
        <w:tc>
          <w:tcPr>
            <w:tcW w:w="851" w:type="dxa"/>
            <w:tcBorders>
              <w:top w:val="nil"/>
              <w:left w:val="nil"/>
              <w:bottom w:val="single" w:sz="4" w:space="0" w:color="auto"/>
              <w:right w:val="nil"/>
            </w:tcBorders>
            <w:shd w:val="clear" w:color="000000" w:fill="D9D9D9"/>
            <w:vAlign w:val="center"/>
            <w:hideMark/>
          </w:tcPr>
          <w:p w14:paraId="1A0A97C8" w14:textId="77777777" w:rsidR="009D4418" w:rsidRPr="00197185" w:rsidRDefault="009D4418" w:rsidP="009F18D5">
            <w:pPr>
              <w:rPr>
                <w:color w:val="000000"/>
                <w:sz w:val="16"/>
                <w:szCs w:val="16"/>
                <w:lang w:eastAsia="hr-HR"/>
              </w:rPr>
            </w:pPr>
            <w:r w:rsidRPr="00197185">
              <w:rPr>
                <w:color w:val="000000"/>
                <w:sz w:val="16"/>
                <w:szCs w:val="16"/>
                <w:lang w:eastAsia="hr-HR"/>
              </w:rPr>
              <w:t> </w:t>
            </w:r>
          </w:p>
        </w:tc>
        <w:tc>
          <w:tcPr>
            <w:tcW w:w="236" w:type="dxa"/>
            <w:gridSpan w:val="2"/>
            <w:tcBorders>
              <w:top w:val="nil"/>
              <w:left w:val="nil"/>
              <w:bottom w:val="single" w:sz="4" w:space="0" w:color="auto"/>
              <w:right w:val="nil"/>
            </w:tcBorders>
            <w:shd w:val="clear" w:color="000000" w:fill="D9D9D9"/>
            <w:vAlign w:val="center"/>
            <w:hideMark/>
          </w:tcPr>
          <w:p w14:paraId="236D9273" w14:textId="77777777" w:rsidR="009D4418" w:rsidRPr="00197185" w:rsidRDefault="009D4418" w:rsidP="009F18D5">
            <w:pPr>
              <w:rPr>
                <w:color w:val="000000"/>
                <w:sz w:val="16"/>
                <w:szCs w:val="16"/>
                <w:lang w:eastAsia="hr-HR"/>
              </w:rPr>
            </w:pPr>
            <w:r w:rsidRPr="00197185">
              <w:rPr>
                <w:color w:val="000000"/>
                <w:sz w:val="16"/>
                <w:szCs w:val="16"/>
                <w:lang w:eastAsia="hr-HR"/>
              </w:rPr>
              <w:t> </w:t>
            </w:r>
          </w:p>
        </w:tc>
        <w:tc>
          <w:tcPr>
            <w:tcW w:w="831" w:type="dxa"/>
            <w:tcBorders>
              <w:top w:val="nil"/>
              <w:left w:val="nil"/>
              <w:bottom w:val="single" w:sz="4" w:space="0" w:color="auto"/>
              <w:right w:val="nil"/>
            </w:tcBorders>
            <w:shd w:val="clear" w:color="000000" w:fill="D9D9D9"/>
            <w:vAlign w:val="center"/>
            <w:hideMark/>
          </w:tcPr>
          <w:p w14:paraId="3D98017F" w14:textId="77777777" w:rsidR="009D4418" w:rsidRPr="00197185" w:rsidRDefault="009D4418" w:rsidP="009F18D5">
            <w:pPr>
              <w:rPr>
                <w:color w:val="000000"/>
                <w:sz w:val="16"/>
                <w:szCs w:val="16"/>
                <w:lang w:eastAsia="hr-HR"/>
              </w:rPr>
            </w:pPr>
            <w:r w:rsidRPr="00197185">
              <w:rPr>
                <w:color w:val="000000"/>
                <w:sz w:val="16"/>
                <w:szCs w:val="16"/>
                <w:lang w:eastAsia="hr-HR"/>
              </w:rPr>
              <w:t> </w:t>
            </w:r>
          </w:p>
        </w:tc>
        <w:tc>
          <w:tcPr>
            <w:tcW w:w="437" w:type="dxa"/>
            <w:gridSpan w:val="2"/>
            <w:tcBorders>
              <w:top w:val="nil"/>
              <w:left w:val="nil"/>
              <w:bottom w:val="single" w:sz="4" w:space="0" w:color="auto"/>
              <w:right w:val="nil"/>
            </w:tcBorders>
            <w:shd w:val="clear" w:color="000000" w:fill="D9D9D9"/>
            <w:vAlign w:val="center"/>
            <w:hideMark/>
          </w:tcPr>
          <w:p w14:paraId="0B7E3610" w14:textId="77777777" w:rsidR="009D4418" w:rsidRPr="00197185" w:rsidRDefault="009D4418" w:rsidP="009F18D5">
            <w:pPr>
              <w:rPr>
                <w:color w:val="000000"/>
                <w:sz w:val="16"/>
                <w:szCs w:val="16"/>
                <w:lang w:eastAsia="hr-HR"/>
              </w:rPr>
            </w:pPr>
            <w:r w:rsidRPr="00197185">
              <w:rPr>
                <w:color w:val="000000"/>
                <w:sz w:val="16"/>
                <w:szCs w:val="16"/>
                <w:lang w:eastAsia="hr-HR"/>
              </w:rPr>
              <w:t> </w:t>
            </w:r>
          </w:p>
        </w:tc>
        <w:tc>
          <w:tcPr>
            <w:tcW w:w="758" w:type="dxa"/>
            <w:tcBorders>
              <w:top w:val="nil"/>
              <w:left w:val="nil"/>
              <w:bottom w:val="single" w:sz="4" w:space="0" w:color="auto"/>
              <w:right w:val="single" w:sz="4" w:space="0" w:color="auto"/>
            </w:tcBorders>
            <w:shd w:val="clear" w:color="000000" w:fill="D9D9D9"/>
            <w:vAlign w:val="center"/>
            <w:hideMark/>
          </w:tcPr>
          <w:p w14:paraId="03ECBDE3" w14:textId="77777777" w:rsidR="009D4418" w:rsidRPr="00197185" w:rsidRDefault="009D4418" w:rsidP="009F18D5">
            <w:pPr>
              <w:rPr>
                <w:color w:val="000000"/>
                <w:sz w:val="16"/>
                <w:szCs w:val="16"/>
                <w:lang w:eastAsia="hr-HR"/>
              </w:rPr>
            </w:pPr>
            <w:r w:rsidRPr="00197185">
              <w:rPr>
                <w:color w:val="000000"/>
                <w:sz w:val="16"/>
                <w:szCs w:val="16"/>
                <w:lang w:eastAsia="hr-HR"/>
              </w:rPr>
              <w:t> </w:t>
            </w:r>
          </w:p>
        </w:tc>
        <w:tc>
          <w:tcPr>
            <w:tcW w:w="341" w:type="dxa"/>
            <w:gridSpan w:val="2"/>
            <w:vAlign w:val="center"/>
            <w:hideMark/>
          </w:tcPr>
          <w:p w14:paraId="2C3D582D" w14:textId="77777777" w:rsidR="009D4418" w:rsidRPr="00197185" w:rsidRDefault="009D4418" w:rsidP="009F18D5">
            <w:pPr>
              <w:rPr>
                <w:rFonts w:ascii="Times New Roman" w:hAnsi="Times New Roman" w:cs="Times New Roman"/>
                <w:sz w:val="16"/>
                <w:szCs w:val="16"/>
                <w:lang w:eastAsia="hr-HR"/>
              </w:rPr>
            </w:pPr>
          </w:p>
        </w:tc>
      </w:tr>
      <w:tr w:rsidR="009D4418" w:rsidRPr="00197185" w14:paraId="38D95593" w14:textId="77777777" w:rsidTr="0053547E">
        <w:trPr>
          <w:gridAfter w:val="1"/>
          <w:wAfter w:w="105" w:type="dxa"/>
          <w:trHeight w:val="1095"/>
        </w:trPr>
        <w:tc>
          <w:tcPr>
            <w:tcW w:w="689" w:type="dxa"/>
            <w:tcBorders>
              <w:top w:val="nil"/>
              <w:left w:val="single" w:sz="8" w:space="0" w:color="auto"/>
              <w:bottom w:val="single" w:sz="4" w:space="0" w:color="auto"/>
              <w:right w:val="single" w:sz="4" w:space="0" w:color="auto"/>
            </w:tcBorders>
            <w:noWrap/>
            <w:vAlign w:val="center"/>
            <w:hideMark/>
          </w:tcPr>
          <w:p w14:paraId="053831E5" w14:textId="77777777" w:rsidR="009D4418" w:rsidRPr="00197185" w:rsidRDefault="009D4418" w:rsidP="009F18D5">
            <w:pPr>
              <w:jc w:val="center"/>
              <w:rPr>
                <w:color w:val="000000"/>
                <w:sz w:val="16"/>
                <w:szCs w:val="16"/>
                <w:lang w:eastAsia="hr-HR"/>
              </w:rPr>
            </w:pPr>
            <w:r w:rsidRPr="00197185">
              <w:rPr>
                <w:color w:val="000000"/>
                <w:sz w:val="16"/>
                <w:szCs w:val="16"/>
                <w:lang w:eastAsia="hr-HR"/>
              </w:rPr>
              <w:t>1</w:t>
            </w:r>
          </w:p>
        </w:tc>
        <w:tc>
          <w:tcPr>
            <w:tcW w:w="937" w:type="dxa"/>
            <w:tcBorders>
              <w:top w:val="nil"/>
              <w:left w:val="nil"/>
              <w:bottom w:val="single" w:sz="4" w:space="0" w:color="auto"/>
              <w:right w:val="single" w:sz="4" w:space="0" w:color="auto"/>
            </w:tcBorders>
            <w:vAlign w:val="center"/>
            <w:hideMark/>
          </w:tcPr>
          <w:p w14:paraId="57DEC095" w14:textId="77777777" w:rsidR="009D4418" w:rsidRPr="00197185" w:rsidRDefault="009D4418" w:rsidP="009F18D5">
            <w:pPr>
              <w:rPr>
                <w:color w:val="000000"/>
                <w:sz w:val="16"/>
                <w:szCs w:val="16"/>
                <w:lang w:eastAsia="hr-HR"/>
              </w:rPr>
            </w:pPr>
            <w:r w:rsidRPr="00197185">
              <w:rPr>
                <w:color w:val="000000"/>
                <w:sz w:val="16"/>
                <w:szCs w:val="16"/>
                <w:lang w:eastAsia="hr-HR"/>
              </w:rPr>
              <w:t>Fizička osoba</w:t>
            </w:r>
          </w:p>
        </w:tc>
        <w:tc>
          <w:tcPr>
            <w:tcW w:w="856" w:type="dxa"/>
            <w:tcBorders>
              <w:top w:val="nil"/>
              <w:left w:val="nil"/>
              <w:bottom w:val="single" w:sz="4" w:space="0" w:color="auto"/>
              <w:right w:val="single" w:sz="4" w:space="0" w:color="auto"/>
            </w:tcBorders>
            <w:vAlign w:val="center"/>
            <w:hideMark/>
          </w:tcPr>
          <w:p w14:paraId="178EFC48" w14:textId="77777777" w:rsidR="009D4418" w:rsidRPr="00197185" w:rsidRDefault="009D4418" w:rsidP="009F18D5">
            <w:pPr>
              <w:ind w:right="-31"/>
              <w:rPr>
                <w:color w:val="000000"/>
                <w:sz w:val="16"/>
                <w:szCs w:val="16"/>
                <w:lang w:eastAsia="hr-HR"/>
              </w:rPr>
            </w:pPr>
            <w:r w:rsidRPr="00197185">
              <w:rPr>
                <w:color w:val="000000"/>
                <w:sz w:val="16"/>
                <w:szCs w:val="16"/>
                <w:lang w:eastAsia="hr-HR"/>
              </w:rPr>
              <w:t xml:space="preserve">Fizička osoba – Grad </w:t>
            </w:r>
            <w:proofErr w:type="spellStart"/>
            <w:r w:rsidRPr="00197185">
              <w:rPr>
                <w:color w:val="000000"/>
                <w:sz w:val="16"/>
                <w:szCs w:val="16"/>
                <w:lang w:eastAsia="hr-HR"/>
              </w:rPr>
              <w:t>umješač</w:t>
            </w:r>
            <w:proofErr w:type="spellEnd"/>
            <w:r w:rsidRPr="00197185">
              <w:rPr>
                <w:color w:val="000000"/>
                <w:sz w:val="16"/>
                <w:szCs w:val="16"/>
                <w:lang w:eastAsia="hr-HR"/>
              </w:rPr>
              <w:t xml:space="preserve"> na strani tužitelja</w:t>
            </w:r>
          </w:p>
        </w:tc>
        <w:tc>
          <w:tcPr>
            <w:tcW w:w="1187" w:type="dxa"/>
            <w:tcBorders>
              <w:top w:val="nil"/>
              <w:left w:val="nil"/>
              <w:bottom w:val="single" w:sz="4" w:space="0" w:color="auto"/>
              <w:right w:val="single" w:sz="4" w:space="0" w:color="auto"/>
            </w:tcBorders>
            <w:vAlign w:val="center"/>
            <w:hideMark/>
          </w:tcPr>
          <w:p w14:paraId="63711C10" w14:textId="77777777" w:rsidR="009D4418" w:rsidRPr="00197185" w:rsidRDefault="009D4418" w:rsidP="009F18D5">
            <w:pPr>
              <w:rPr>
                <w:color w:val="000000"/>
                <w:sz w:val="16"/>
                <w:szCs w:val="16"/>
                <w:lang w:eastAsia="hr-HR"/>
              </w:rPr>
            </w:pPr>
            <w:r w:rsidRPr="00197185">
              <w:rPr>
                <w:color w:val="000000"/>
                <w:sz w:val="16"/>
                <w:szCs w:val="16"/>
                <w:lang w:eastAsia="hr-HR"/>
              </w:rPr>
              <w:t>Radi utvrđivanja prava vlasništva</w:t>
            </w:r>
          </w:p>
        </w:tc>
        <w:tc>
          <w:tcPr>
            <w:tcW w:w="863" w:type="dxa"/>
            <w:tcBorders>
              <w:top w:val="single" w:sz="4" w:space="0" w:color="auto"/>
              <w:left w:val="nil"/>
              <w:bottom w:val="single" w:sz="4" w:space="0" w:color="auto"/>
              <w:right w:val="single" w:sz="4" w:space="0" w:color="auto"/>
            </w:tcBorders>
            <w:vAlign w:val="center"/>
            <w:hideMark/>
          </w:tcPr>
          <w:p w14:paraId="054E7DB7" w14:textId="77777777" w:rsidR="009D4418" w:rsidRPr="00197185" w:rsidRDefault="009D4418" w:rsidP="009F18D5">
            <w:pPr>
              <w:ind w:right="-103"/>
              <w:jc w:val="right"/>
              <w:rPr>
                <w:color w:val="000000"/>
                <w:sz w:val="16"/>
                <w:szCs w:val="16"/>
                <w:lang w:eastAsia="hr-HR"/>
              </w:rPr>
            </w:pPr>
            <w:r w:rsidRPr="00197185">
              <w:rPr>
                <w:color w:val="000000"/>
                <w:sz w:val="16"/>
                <w:szCs w:val="16"/>
                <w:lang w:eastAsia="hr-HR"/>
              </w:rPr>
              <w:t>1.327,22</w:t>
            </w:r>
          </w:p>
        </w:tc>
        <w:tc>
          <w:tcPr>
            <w:tcW w:w="987" w:type="dxa"/>
            <w:tcBorders>
              <w:top w:val="nil"/>
              <w:left w:val="nil"/>
              <w:bottom w:val="single" w:sz="4" w:space="0" w:color="auto"/>
              <w:right w:val="single" w:sz="4" w:space="0" w:color="auto"/>
            </w:tcBorders>
            <w:vAlign w:val="center"/>
            <w:hideMark/>
          </w:tcPr>
          <w:p w14:paraId="2F39782C" w14:textId="77777777" w:rsidR="009D4418" w:rsidRPr="00197185" w:rsidRDefault="009D4418" w:rsidP="009F18D5">
            <w:pPr>
              <w:jc w:val="right"/>
              <w:rPr>
                <w:color w:val="000000"/>
                <w:sz w:val="16"/>
                <w:szCs w:val="16"/>
                <w:lang w:eastAsia="hr-HR"/>
              </w:rPr>
            </w:pPr>
            <w:r w:rsidRPr="00197185">
              <w:rPr>
                <w:color w:val="000000"/>
                <w:sz w:val="16"/>
                <w:szCs w:val="16"/>
                <w:lang w:eastAsia="hr-HR"/>
              </w:rPr>
              <w:t>0,00</w:t>
            </w:r>
          </w:p>
        </w:tc>
        <w:tc>
          <w:tcPr>
            <w:tcW w:w="1281" w:type="dxa"/>
            <w:gridSpan w:val="2"/>
            <w:tcBorders>
              <w:top w:val="nil"/>
              <w:left w:val="nil"/>
              <w:bottom w:val="single" w:sz="4" w:space="0" w:color="auto"/>
              <w:right w:val="single" w:sz="4" w:space="0" w:color="auto"/>
            </w:tcBorders>
            <w:vAlign w:val="center"/>
            <w:hideMark/>
          </w:tcPr>
          <w:p w14:paraId="4AC40DA5" w14:textId="77777777" w:rsidR="009D4418" w:rsidRPr="00197185" w:rsidRDefault="009D4418" w:rsidP="009F18D5">
            <w:pPr>
              <w:jc w:val="center"/>
              <w:rPr>
                <w:color w:val="000000"/>
                <w:sz w:val="16"/>
                <w:szCs w:val="16"/>
                <w:lang w:eastAsia="hr-HR"/>
              </w:rPr>
            </w:pPr>
            <w:r w:rsidRPr="00197185">
              <w:rPr>
                <w:color w:val="000000"/>
                <w:sz w:val="16"/>
                <w:szCs w:val="16"/>
                <w:lang w:eastAsia="hr-HR"/>
              </w:rPr>
              <w:t>1-2 godine</w:t>
            </w:r>
          </w:p>
        </w:tc>
        <w:tc>
          <w:tcPr>
            <w:tcW w:w="992" w:type="dxa"/>
            <w:gridSpan w:val="2"/>
            <w:tcBorders>
              <w:top w:val="nil"/>
              <w:left w:val="nil"/>
              <w:bottom w:val="single" w:sz="4" w:space="0" w:color="auto"/>
              <w:right w:val="single" w:sz="4" w:space="0" w:color="auto"/>
            </w:tcBorders>
            <w:vAlign w:val="center"/>
            <w:hideMark/>
          </w:tcPr>
          <w:p w14:paraId="5E4C4EBA" w14:textId="77777777" w:rsidR="009D4418" w:rsidRPr="00197185" w:rsidRDefault="009D4418" w:rsidP="009F18D5">
            <w:pPr>
              <w:rPr>
                <w:color w:val="000000"/>
                <w:sz w:val="16"/>
                <w:szCs w:val="16"/>
                <w:lang w:eastAsia="hr-HR"/>
              </w:rPr>
            </w:pPr>
            <w:r w:rsidRPr="00197185">
              <w:rPr>
                <w:color w:val="000000"/>
                <w:sz w:val="16"/>
                <w:szCs w:val="16"/>
                <w:lang w:eastAsia="hr-HR"/>
              </w:rPr>
              <w:t>19.06.2020.</w:t>
            </w:r>
          </w:p>
        </w:tc>
        <w:tc>
          <w:tcPr>
            <w:tcW w:w="1268" w:type="dxa"/>
            <w:gridSpan w:val="3"/>
            <w:tcBorders>
              <w:top w:val="nil"/>
              <w:left w:val="nil"/>
              <w:bottom w:val="single" w:sz="4" w:space="0" w:color="auto"/>
              <w:right w:val="single" w:sz="4" w:space="0" w:color="auto"/>
            </w:tcBorders>
            <w:vAlign w:val="center"/>
            <w:hideMark/>
          </w:tcPr>
          <w:p w14:paraId="307522F8" w14:textId="77777777" w:rsidR="009D4418" w:rsidRPr="00197185" w:rsidRDefault="009D4418" w:rsidP="009F18D5">
            <w:pPr>
              <w:rPr>
                <w:color w:val="000000"/>
                <w:sz w:val="16"/>
                <w:szCs w:val="16"/>
                <w:lang w:eastAsia="hr-HR"/>
              </w:rPr>
            </w:pPr>
            <w:r>
              <w:rPr>
                <w:color w:val="000000"/>
                <w:sz w:val="16"/>
                <w:szCs w:val="16"/>
                <w:lang w:eastAsia="hr-HR"/>
              </w:rPr>
              <w:t>U tijeku</w:t>
            </w:r>
          </w:p>
        </w:tc>
        <w:tc>
          <w:tcPr>
            <w:tcW w:w="853" w:type="dxa"/>
            <w:gridSpan w:val="2"/>
            <w:tcBorders>
              <w:top w:val="nil"/>
              <w:left w:val="nil"/>
              <w:bottom w:val="single" w:sz="4" w:space="0" w:color="auto"/>
              <w:right w:val="single" w:sz="8" w:space="0" w:color="auto"/>
            </w:tcBorders>
            <w:vAlign w:val="center"/>
            <w:hideMark/>
          </w:tcPr>
          <w:p w14:paraId="18CB3F11" w14:textId="77777777" w:rsidR="009D4418" w:rsidRPr="00197185" w:rsidRDefault="009D4418" w:rsidP="009F18D5">
            <w:pPr>
              <w:rPr>
                <w:color w:val="000000"/>
                <w:sz w:val="16"/>
                <w:szCs w:val="16"/>
                <w:lang w:eastAsia="hr-HR"/>
              </w:rPr>
            </w:pPr>
            <w:r w:rsidRPr="00197185">
              <w:rPr>
                <w:color w:val="000000"/>
                <w:sz w:val="16"/>
                <w:szCs w:val="16"/>
                <w:lang w:eastAsia="hr-HR"/>
              </w:rPr>
              <w:t>Očekivan završetak kroz 1 godinu</w:t>
            </w:r>
          </w:p>
        </w:tc>
        <w:tc>
          <w:tcPr>
            <w:tcW w:w="236" w:type="dxa"/>
            <w:vAlign w:val="center"/>
            <w:hideMark/>
          </w:tcPr>
          <w:p w14:paraId="483F20C7" w14:textId="77777777" w:rsidR="009D4418" w:rsidRPr="00197185" w:rsidRDefault="009D4418" w:rsidP="009F18D5">
            <w:pPr>
              <w:rPr>
                <w:rFonts w:ascii="Times New Roman" w:hAnsi="Times New Roman" w:cs="Times New Roman"/>
                <w:sz w:val="16"/>
                <w:szCs w:val="16"/>
                <w:lang w:eastAsia="hr-HR"/>
              </w:rPr>
            </w:pPr>
          </w:p>
        </w:tc>
      </w:tr>
      <w:tr w:rsidR="009D4418" w:rsidRPr="00197185" w14:paraId="34B5EB6A" w14:textId="77777777" w:rsidTr="0053547E">
        <w:trPr>
          <w:gridAfter w:val="1"/>
          <w:wAfter w:w="105" w:type="dxa"/>
          <w:trHeight w:val="1163"/>
        </w:trPr>
        <w:tc>
          <w:tcPr>
            <w:tcW w:w="689" w:type="dxa"/>
            <w:tcBorders>
              <w:top w:val="nil"/>
              <w:left w:val="single" w:sz="8" w:space="0" w:color="auto"/>
              <w:bottom w:val="single" w:sz="4" w:space="0" w:color="auto"/>
              <w:right w:val="single" w:sz="4" w:space="0" w:color="auto"/>
            </w:tcBorders>
            <w:noWrap/>
            <w:vAlign w:val="center"/>
            <w:hideMark/>
          </w:tcPr>
          <w:p w14:paraId="04B4B5BB" w14:textId="77777777" w:rsidR="009D4418" w:rsidRPr="00197185" w:rsidRDefault="009D4418" w:rsidP="009F18D5">
            <w:pPr>
              <w:jc w:val="center"/>
              <w:rPr>
                <w:color w:val="000000"/>
                <w:sz w:val="16"/>
                <w:szCs w:val="16"/>
                <w:lang w:eastAsia="hr-HR"/>
              </w:rPr>
            </w:pPr>
            <w:r w:rsidRPr="00197185">
              <w:rPr>
                <w:color w:val="000000"/>
                <w:sz w:val="16"/>
                <w:szCs w:val="16"/>
                <w:lang w:eastAsia="hr-HR"/>
              </w:rPr>
              <w:t>2</w:t>
            </w:r>
          </w:p>
        </w:tc>
        <w:tc>
          <w:tcPr>
            <w:tcW w:w="937" w:type="dxa"/>
            <w:tcBorders>
              <w:top w:val="nil"/>
              <w:left w:val="nil"/>
              <w:bottom w:val="single" w:sz="4" w:space="0" w:color="auto"/>
              <w:right w:val="single" w:sz="4" w:space="0" w:color="auto"/>
            </w:tcBorders>
            <w:vAlign w:val="center"/>
            <w:hideMark/>
          </w:tcPr>
          <w:p w14:paraId="23AC8BCB" w14:textId="77777777" w:rsidR="009D4418" w:rsidRPr="00197185" w:rsidRDefault="009D4418" w:rsidP="009F18D5">
            <w:pPr>
              <w:rPr>
                <w:color w:val="000000"/>
                <w:sz w:val="16"/>
                <w:szCs w:val="16"/>
                <w:lang w:eastAsia="hr-HR"/>
              </w:rPr>
            </w:pPr>
            <w:r w:rsidRPr="00197185">
              <w:rPr>
                <w:color w:val="000000"/>
                <w:sz w:val="16"/>
                <w:szCs w:val="16"/>
                <w:lang w:eastAsia="hr-HR"/>
              </w:rPr>
              <w:t>Fizičke osobe</w:t>
            </w:r>
          </w:p>
        </w:tc>
        <w:tc>
          <w:tcPr>
            <w:tcW w:w="856" w:type="dxa"/>
            <w:tcBorders>
              <w:top w:val="nil"/>
              <w:left w:val="nil"/>
              <w:bottom w:val="single" w:sz="4" w:space="0" w:color="auto"/>
              <w:right w:val="single" w:sz="4" w:space="0" w:color="auto"/>
            </w:tcBorders>
            <w:vAlign w:val="center"/>
            <w:hideMark/>
          </w:tcPr>
          <w:p w14:paraId="2D7BC1D0" w14:textId="77777777" w:rsidR="009D4418" w:rsidRPr="00197185" w:rsidRDefault="009D4418" w:rsidP="009F18D5">
            <w:pPr>
              <w:ind w:right="-31"/>
              <w:rPr>
                <w:color w:val="000000"/>
                <w:sz w:val="16"/>
                <w:szCs w:val="16"/>
                <w:lang w:eastAsia="hr-HR"/>
              </w:rPr>
            </w:pPr>
            <w:r w:rsidRPr="00197185">
              <w:rPr>
                <w:color w:val="000000"/>
                <w:sz w:val="16"/>
                <w:szCs w:val="16"/>
                <w:lang w:eastAsia="hr-HR"/>
              </w:rPr>
              <w:t>Grad Garešnica</w:t>
            </w:r>
          </w:p>
        </w:tc>
        <w:tc>
          <w:tcPr>
            <w:tcW w:w="1187" w:type="dxa"/>
            <w:tcBorders>
              <w:top w:val="nil"/>
              <w:left w:val="nil"/>
              <w:bottom w:val="single" w:sz="4" w:space="0" w:color="auto"/>
              <w:right w:val="single" w:sz="4" w:space="0" w:color="auto"/>
            </w:tcBorders>
            <w:vAlign w:val="center"/>
            <w:hideMark/>
          </w:tcPr>
          <w:p w14:paraId="7FC724F2" w14:textId="77777777" w:rsidR="009D4418" w:rsidRPr="00197185" w:rsidRDefault="009D4418" w:rsidP="009F18D5">
            <w:pPr>
              <w:rPr>
                <w:color w:val="000000"/>
                <w:sz w:val="16"/>
                <w:szCs w:val="16"/>
                <w:lang w:eastAsia="hr-HR"/>
              </w:rPr>
            </w:pPr>
            <w:r w:rsidRPr="00197185">
              <w:rPr>
                <w:color w:val="000000"/>
                <w:sz w:val="16"/>
                <w:szCs w:val="16"/>
                <w:lang w:eastAsia="hr-HR"/>
              </w:rPr>
              <w:t>Radi žalbe na postupak katastarske izmjere</w:t>
            </w:r>
          </w:p>
        </w:tc>
        <w:tc>
          <w:tcPr>
            <w:tcW w:w="863" w:type="dxa"/>
            <w:tcBorders>
              <w:top w:val="single" w:sz="4" w:space="0" w:color="auto"/>
              <w:left w:val="nil"/>
              <w:bottom w:val="single" w:sz="4" w:space="0" w:color="auto"/>
              <w:right w:val="single" w:sz="4" w:space="0" w:color="auto"/>
            </w:tcBorders>
            <w:vAlign w:val="center"/>
            <w:hideMark/>
          </w:tcPr>
          <w:p w14:paraId="15E156B2" w14:textId="77777777" w:rsidR="009D4418" w:rsidRPr="00197185" w:rsidRDefault="009D4418" w:rsidP="009F18D5">
            <w:pPr>
              <w:ind w:right="-103"/>
              <w:jc w:val="right"/>
              <w:rPr>
                <w:color w:val="000000"/>
                <w:sz w:val="16"/>
                <w:szCs w:val="16"/>
                <w:lang w:eastAsia="hr-HR"/>
              </w:rPr>
            </w:pPr>
            <w:r w:rsidRPr="00197185">
              <w:rPr>
                <w:color w:val="000000"/>
                <w:sz w:val="16"/>
                <w:szCs w:val="16"/>
                <w:lang w:eastAsia="hr-HR"/>
              </w:rPr>
              <w:t>0,00</w:t>
            </w:r>
          </w:p>
        </w:tc>
        <w:tc>
          <w:tcPr>
            <w:tcW w:w="987" w:type="dxa"/>
            <w:tcBorders>
              <w:top w:val="nil"/>
              <w:left w:val="nil"/>
              <w:bottom w:val="single" w:sz="4" w:space="0" w:color="auto"/>
              <w:right w:val="single" w:sz="4" w:space="0" w:color="auto"/>
            </w:tcBorders>
            <w:vAlign w:val="center"/>
            <w:hideMark/>
          </w:tcPr>
          <w:p w14:paraId="00C7AB08" w14:textId="77777777" w:rsidR="009D4418" w:rsidRPr="00197185" w:rsidRDefault="009D4418" w:rsidP="009F18D5">
            <w:pPr>
              <w:jc w:val="right"/>
              <w:rPr>
                <w:color w:val="000000"/>
                <w:sz w:val="16"/>
                <w:szCs w:val="16"/>
                <w:lang w:eastAsia="hr-HR"/>
              </w:rPr>
            </w:pPr>
            <w:r w:rsidRPr="00197185">
              <w:rPr>
                <w:color w:val="000000"/>
                <w:sz w:val="16"/>
                <w:szCs w:val="16"/>
                <w:lang w:eastAsia="hr-HR"/>
              </w:rPr>
              <w:t>0,00</w:t>
            </w:r>
          </w:p>
        </w:tc>
        <w:tc>
          <w:tcPr>
            <w:tcW w:w="1281" w:type="dxa"/>
            <w:gridSpan w:val="2"/>
            <w:tcBorders>
              <w:top w:val="single" w:sz="4" w:space="0" w:color="auto"/>
              <w:left w:val="nil"/>
              <w:bottom w:val="single" w:sz="4" w:space="0" w:color="auto"/>
              <w:right w:val="single" w:sz="4" w:space="0" w:color="auto"/>
            </w:tcBorders>
            <w:vAlign w:val="center"/>
            <w:hideMark/>
          </w:tcPr>
          <w:p w14:paraId="06F90682" w14:textId="77777777" w:rsidR="009D4418" w:rsidRPr="00197185" w:rsidRDefault="009D4418" w:rsidP="009F18D5">
            <w:pPr>
              <w:jc w:val="center"/>
              <w:rPr>
                <w:color w:val="000000"/>
                <w:sz w:val="16"/>
                <w:szCs w:val="16"/>
                <w:lang w:eastAsia="hr-HR"/>
              </w:rPr>
            </w:pPr>
            <w:r w:rsidRPr="00197185">
              <w:rPr>
                <w:color w:val="000000"/>
                <w:sz w:val="16"/>
                <w:szCs w:val="16"/>
                <w:lang w:eastAsia="hr-HR"/>
              </w:rPr>
              <w:t>1 godina</w:t>
            </w:r>
          </w:p>
        </w:tc>
        <w:tc>
          <w:tcPr>
            <w:tcW w:w="992" w:type="dxa"/>
            <w:gridSpan w:val="2"/>
            <w:tcBorders>
              <w:top w:val="single" w:sz="4" w:space="0" w:color="auto"/>
              <w:left w:val="nil"/>
              <w:bottom w:val="single" w:sz="4" w:space="0" w:color="auto"/>
              <w:right w:val="single" w:sz="4" w:space="0" w:color="auto"/>
            </w:tcBorders>
            <w:vAlign w:val="center"/>
            <w:hideMark/>
          </w:tcPr>
          <w:p w14:paraId="1A7B7056" w14:textId="77777777" w:rsidR="009D4418" w:rsidRPr="00197185" w:rsidRDefault="009D4418" w:rsidP="009F18D5">
            <w:pPr>
              <w:rPr>
                <w:color w:val="000000"/>
                <w:sz w:val="16"/>
                <w:szCs w:val="16"/>
                <w:lang w:eastAsia="hr-HR"/>
              </w:rPr>
            </w:pPr>
            <w:r w:rsidRPr="00197185">
              <w:rPr>
                <w:color w:val="000000"/>
                <w:sz w:val="16"/>
                <w:szCs w:val="16"/>
                <w:lang w:eastAsia="hr-HR"/>
              </w:rPr>
              <w:t>09.02.2023.</w:t>
            </w:r>
          </w:p>
        </w:tc>
        <w:tc>
          <w:tcPr>
            <w:tcW w:w="1268" w:type="dxa"/>
            <w:gridSpan w:val="3"/>
            <w:tcBorders>
              <w:top w:val="single" w:sz="4" w:space="0" w:color="auto"/>
              <w:left w:val="nil"/>
              <w:bottom w:val="single" w:sz="4" w:space="0" w:color="auto"/>
              <w:right w:val="single" w:sz="4" w:space="0" w:color="auto"/>
            </w:tcBorders>
            <w:vAlign w:val="center"/>
            <w:hideMark/>
          </w:tcPr>
          <w:p w14:paraId="0C9160AF" w14:textId="77777777" w:rsidR="009D4418" w:rsidRPr="00197185" w:rsidRDefault="009D4418" w:rsidP="009F18D5">
            <w:pPr>
              <w:rPr>
                <w:color w:val="000000"/>
                <w:sz w:val="16"/>
                <w:szCs w:val="16"/>
                <w:lang w:eastAsia="hr-HR"/>
              </w:rPr>
            </w:pPr>
            <w:r w:rsidRPr="00197185">
              <w:rPr>
                <w:color w:val="000000"/>
                <w:sz w:val="16"/>
                <w:szCs w:val="16"/>
                <w:lang w:eastAsia="hr-HR"/>
              </w:rPr>
              <w:t>Spisi na Županijskom sudu povodom žalbe fizičkih osoba</w:t>
            </w:r>
          </w:p>
        </w:tc>
        <w:tc>
          <w:tcPr>
            <w:tcW w:w="853" w:type="dxa"/>
            <w:gridSpan w:val="2"/>
            <w:tcBorders>
              <w:top w:val="nil"/>
              <w:left w:val="nil"/>
              <w:bottom w:val="single" w:sz="4" w:space="0" w:color="auto"/>
              <w:right w:val="single" w:sz="8" w:space="0" w:color="auto"/>
            </w:tcBorders>
            <w:vAlign w:val="center"/>
            <w:hideMark/>
          </w:tcPr>
          <w:p w14:paraId="4036D5B4" w14:textId="77777777" w:rsidR="009D4418" w:rsidRPr="00197185" w:rsidRDefault="009D4418" w:rsidP="009F18D5">
            <w:pPr>
              <w:rPr>
                <w:color w:val="000000"/>
                <w:sz w:val="16"/>
                <w:szCs w:val="16"/>
                <w:lang w:eastAsia="hr-HR"/>
              </w:rPr>
            </w:pPr>
            <w:r w:rsidRPr="00197185">
              <w:rPr>
                <w:color w:val="000000"/>
                <w:sz w:val="16"/>
                <w:szCs w:val="16"/>
                <w:lang w:eastAsia="hr-HR"/>
              </w:rPr>
              <w:t>Očekivan završetak kroz 1 godinu</w:t>
            </w:r>
          </w:p>
        </w:tc>
        <w:tc>
          <w:tcPr>
            <w:tcW w:w="236" w:type="dxa"/>
            <w:vAlign w:val="center"/>
            <w:hideMark/>
          </w:tcPr>
          <w:p w14:paraId="12B13E76" w14:textId="77777777" w:rsidR="009D4418" w:rsidRPr="00197185" w:rsidRDefault="009D4418" w:rsidP="009F18D5">
            <w:pPr>
              <w:rPr>
                <w:rFonts w:ascii="Times New Roman" w:hAnsi="Times New Roman" w:cs="Times New Roman"/>
                <w:sz w:val="16"/>
                <w:szCs w:val="16"/>
                <w:lang w:eastAsia="hr-HR"/>
              </w:rPr>
            </w:pPr>
          </w:p>
        </w:tc>
      </w:tr>
      <w:tr w:rsidR="009D4418" w:rsidRPr="00197185" w14:paraId="4D97FBC0" w14:textId="77777777" w:rsidTr="0053547E">
        <w:trPr>
          <w:gridAfter w:val="1"/>
          <w:wAfter w:w="105" w:type="dxa"/>
          <w:trHeight w:val="540"/>
        </w:trPr>
        <w:tc>
          <w:tcPr>
            <w:tcW w:w="689" w:type="dxa"/>
            <w:tcBorders>
              <w:top w:val="nil"/>
              <w:left w:val="single" w:sz="8" w:space="0" w:color="auto"/>
              <w:bottom w:val="single" w:sz="4" w:space="0" w:color="auto"/>
              <w:right w:val="single" w:sz="4" w:space="0" w:color="auto"/>
            </w:tcBorders>
            <w:noWrap/>
            <w:vAlign w:val="center"/>
          </w:tcPr>
          <w:p w14:paraId="42152457" w14:textId="77777777" w:rsidR="009D4418" w:rsidRPr="00197185" w:rsidRDefault="009D4418" w:rsidP="009F18D5">
            <w:pPr>
              <w:jc w:val="center"/>
              <w:rPr>
                <w:color w:val="000000"/>
                <w:sz w:val="16"/>
                <w:szCs w:val="16"/>
                <w:lang w:eastAsia="hr-HR"/>
              </w:rPr>
            </w:pPr>
            <w:r>
              <w:rPr>
                <w:color w:val="000000"/>
                <w:sz w:val="16"/>
                <w:szCs w:val="16"/>
                <w:lang w:eastAsia="hr-HR"/>
              </w:rPr>
              <w:t>3.</w:t>
            </w:r>
          </w:p>
        </w:tc>
        <w:tc>
          <w:tcPr>
            <w:tcW w:w="937" w:type="dxa"/>
            <w:tcBorders>
              <w:top w:val="nil"/>
              <w:left w:val="nil"/>
              <w:bottom w:val="single" w:sz="4" w:space="0" w:color="auto"/>
              <w:right w:val="single" w:sz="4" w:space="0" w:color="auto"/>
            </w:tcBorders>
            <w:vAlign w:val="center"/>
          </w:tcPr>
          <w:p w14:paraId="401FE77C" w14:textId="77777777" w:rsidR="009D4418" w:rsidRPr="00197185" w:rsidRDefault="009D4418" w:rsidP="009F18D5">
            <w:pPr>
              <w:rPr>
                <w:color w:val="000000"/>
                <w:sz w:val="16"/>
                <w:szCs w:val="16"/>
                <w:lang w:eastAsia="hr-HR"/>
              </w:rPr>
            </w:pPr>
            <w:r>
              <w:rPr>
                <w:color w:val="000000"/>
                <w:sz w:val="16"/>
                <w:szCs w:val="16"/>
                <w:lang w:eastAsia="hr-HR"/>
              </w:rPr>
              <w:t>Fizička osoba</w:t>
            </w:r>
          </w:p>
        </w:tc>
        <w:tc>
          <w:tcPr>
            <w:tcW w:w="856" w:type="dxa"/>
            <w:tcBorders>
              <w:top w:val="nil"/>
              <w:left w:val="nil"/>
              <w:bottom w:val="single" w:sz="4" w:space="0" w:color="auto"/>
              <w:right w:val="single" w:sz="4" w:space="0" w:color="auto"/>
            </w:tcBorders>
            <w:vAlign w:val="center"/>
          </w:tcPr>
          <w:p w14:paraId="23005DA2" w14:textId="77777777" w:rsidR="009D4418" w:rsidRPr="00197185" w:rsidRDefault="009D4418" w:rsidP="009F18D5">
            <w:pPr>
              <w:ind w:right="-31"/>
              <w:rPr>
                <w:color w:val="000000"/>
                <w:sz w:val="16"/>
                <w:szCs w:val="16"/>
                <w:lang w:eastAsia="hr-HR"/>
              </w:rPr>
            </w:pPr>
            <w:r>
              <w:rPr>
                <w:color w:val="000000"/>
                <w:sz w:val="16"/>
                <w:szCs w:val="16"/>
                <w:lang w:eastAsia="hr-HR"/>
              </w:rPr>
              <w:t>Grad Garešnica</w:t>
            </w:r>
          </w:p>
        </w:tc>
        <w:tc>
          <w:tcPr>
            <w:tcW w:w="1187" w:type="dxa"/>
            <w:tcBorders>
              <w:top w:val="nil"/>
              <w:left w:val="nil"/>
              <w:bottom w:val="single" w:sz="4" w:space="0" w:color="auto"/>
              <w:right w:val="single" w:sz="4" w:space="0" w:color="auto"/>
            </w:tcBorders>
            <w:vAlign w:val="center"/>
          </w:tcPr>
          <w:p w14:paraId="6014E4AB" w14:textId="77777777" w:rsidR="009D4418" w:rsidRPr="00197185" w:rsidRDefault="009D4418" w:rsidP="009F18D5">
            <w:pPr>
              <w:rPr>
                <w:color w:val="000000"/>
                <w:sz w:val="16"/>
                <w:szCs w:val="16"/>
                <w:lang w:eastAsia="hr-HR"/>
              </w:rPr>
            </w:pPr>
            <w:r>
              <w:rPr>
                <w:color w:val="000000"/>
                <w:sz w:val="16"/>
                <w:szCs w:val="16"/>
                <w:lang w:eastAsia="hr-HR"/>
              </w:rPr>
              <w:t>Radi isplate naknade za otkup stana</w:t>
            </w:r>
          </w:p>
        </w:tc>
        <w:tc>
          <w:tcPr>
            <w:tcW w:w="863" w:type="dxa"/>
            <w:tcBorders>
              <w:top w:val="single" w:sz="4" w:space="0" w:color="auto"/>
              <w:left w:val="nil"/>
              <w:bottom w:val="single" w:sz="4" w:space="0" w:color="auto"/>
              <w:right w:val="single" w:sz="4" w:space="0" w:color="auto"/>
            </w:tcBorders>
            <w:vAlign w:val="center"/>
          </w:tcPr>
          <w:p w14:paraId="1C9565A4" w14:textId="77777777" w:rsidR="009D4418" w:rsidRPr="00197185" w:rsidRDefault="009D4418" w:rsidP="009F18D5">
            <w:pPr>
              <w:ind w:right="-103"/>
              <w:jc w:val="right"/>
              <w:rPr>
                <w:color w:val="000000"/>
                <w:sz w:val="16"/>
                <w:szCs w:val="16"/>
                <w:lang w:eastAsia="hr-HR"/>
              </w:rPr>
            </w:pPr>
            <w:r>
              <w:rPr>
                <w:color w:val="000000"/>
                <w:sz w:val="16"/>
                <w:szCs w:val="16"/>
                <w:lang w:eastAsia="hr-HR"/>
              </w:rPr>
              <w:t>1.043,40</w:t>
            </w:r>
          </w:p>
        </w:tc>
        <w:tc>
          <w:tcPr>
            <w:tcW w:w="987" w:type="dxa"/>
            <w:tcBorders>
              <w:top w:val="nil"/>
              <w:left w:val="nil"/>
              <w:bottom w:val="single" w:sz="4" w:space="0" w:color="auto"/>
              <w:right w:val="single" w:sz="4" w:space="0" w:color="auto"/>
            </w:tcBorders>
            <w:vAlign w:val="center"/>
          </w:tcPr>
          <w:p w14:paraId="2A68FF2C" w14:textId="77777777" w:rsidR="009D4418" w:rsidRPr="00197185" w:rsidRDefault="009D4418" w:rsidP="009F18D5">
            <w:pPr>
              <w:jc w:val="right"/>
              <w:rPr>
                <w:color w:val="000000"/>
                <w:sz w:val="16"/>
                <w:szCs w:val="16"/>
                <w:lang w:eastAsia="hr-HR"/>
              </w:rPr>
            </w:pPr>
            <w:r>
              <w:rPr>
                <w:color w:val="000000"/>
                <w:sz w:val="16"/>
                <w:szCs w:val="16"/>
                <w:lang w:eastAsia="hr-HR"/>
              </w:rPr>
              <w:t>1.043,40</w:t>
            </w:r>
          </w:p>
        </w:tc>
        <w:tc>
          <w:tcPr>
            <w:tcW w:w="1281" w:type="dxa"/>
            <w:gridSpan w:val="2"/>
            <w:tcBorders>
              <w:top w:val="single" w:sz="4" w:space="0" w:color="auto"/>
              <w:left w:val="nil"/>
              <w:bottom w:val="single" w:sz="4" w:space="0" w:color="auto"/>
              <w:right w:val="single" w:sz="4" w:space="0" w:color="auto"/>
            </w:tcBorders>
            <w:vAlign w:val="center"/>
          </w:tcPr>
          <w:p w14:paraId="19121679" w14:textId="77777777" w:rsidR="009D4418" w:rsidRPr="00197185" w:rsidRDefault="009D4418" w:rsidP="009F18D5">
            <w:pPr>
              <w:jc w:val="center"/>
              <w:rPr>
                <w:color w:val="000000"/>
                <w:sz w:val="16"/>
                <w:szCs w:val="16"/>
                <w:lang w:eastAsia="hr-HR"/>
              </w:rPr>
            </w:pPr>
            <w:r>
              <w:rPr>
                <w:color w:val="000000"/>
                <w:sz w:val="16"/>
                <w:szCs w:val="16"/>
                <w:lang w:eastAsia="hr-HR"/>
              </w:rPr>
              <w:t>2 godine</w:t>
            </w:r>
          </w:p>
        </w:tc>
        <w:tc>
          <w:tcPr>
            <w:tcW w:w="992" w:type="dxa"/>
            <w:gridSpan w:val="2"/>
            <w:tcBorders>
              <w:top w:val="single" w:sz="4" w:space="0" w:color="auto"/>
              <w:left w:val="nil"/>
              <w:bottom w:val="single" w:sz="4" w:space="0" w:color="auto"/>
              <w:right w:val="single" w:sz="4" w:space="0" w:color="auto"/>
            </w:tcBorders>
            <w:vAlign w:val="center"/>
          </w:tcPr>
          <w:p w14:paraId="65F4F17A" w14:textId="77777777" w:rsidR="009D4418" w:rsidRPr="00197185" w:rsidRDefault="009D4418" w:rsidP="009F18D5">
            <w:pPr>
              <w:rPr>
                <w:color w:val="000000"/>
                <w:sz w:val="16"/>
                <w:szCs w:val="16"/>
                <w:lang w:eastAsia="hr-HR"/>
              </w:rPr>
            </w:pPr>
            <w:r>
              <w:rPr>
                <w:color w:val="000000"/>
                <w:sz w:val="16"/>
                <w:szCs w:val="16"/>
                <w:lang w:eastAsia="hr-HR"/>
              </w:rPr>
              <w:t>10.7.2024.</w:t>
            </w:r>
          </w:p>
        </w:tc>
        <w:tc>
          <w:tcPr>
            <w:tcW w:w="1268" w:type="dxa"/>
            <w:gridSpan w:val="3"/>
            <w:tcBorders>
              <w:top w:val="single" w:sz="4" w:space="0" w:color="auto"/>
              <w:left w:val="nil"/>
              <w:bottom w:val="single" w:sz="4" w:space="0" w:color="auto"/>
              <w:right w:val="single" w:sz="4" w:space="0" w:color="auto"/>
            </w:tcBorders>
            <w:vAlign w:val="center"/>
          </w:tcPr>
          <w:p w14:paraId="00E0C724" w14:textId="77777777" w:rsidR="009D4418" w:rsidRPr="00197185" w:rsidRDefault="009D4418" w:rsidP="009F18D5">
            <w:pPr>
              <w:rPr>
                <w:color w:val="000000"/>
                <w:sz w:val="16"/>
                <w:szCs w:val="16"/>
                <w:lang w:eastAsia="hr-HR"/>
              </w:rPr>
            </w:pPr>
            <w:r>
              <w:rPr>
                <w:color w:val="000000"/>
                <w:sz w:val="16"/>
                <w:szCs w:val="16"/>
                <w:lang w:eastAsia="hr-HR"/>
              </w:rPr>
              <w:t>Stadij prethodnog postupka pred Općinskim sudom u Bjelovaru</w:t>
            </w:r>
          </w:p>
        </w:tc>
        <w:tc>
          <w:tcPr>
            <w:tcW w:w="853" w:type="dxa"/>
            <w:gridSpan w:val="2"/>
            <w:tcBorders>
              <w:top w:val="nil"/>
              <w:left w:val="nil"/>
              <w:bottom w:val="single" w:sz="4" w:space="0" w:color="auto"/>
              <w:right w:val="single" w:sz="8" w:space="0" w:color="auto"/>
            </w:tcBorders>
            <w:vAlign w:val="center"/>
          </w:tcPr>
          <w:p w14:paraId="4A44602F" w14:textId="77777777" w:rsidR="009D4418" w:rsidRPr="00197185" w:rsidRDefault="009D4418" w:rsidP="009F18D5">
            <w:pPr>
              <w:rPr>
                <w:color w:val="000000"/>
                <w:sz w:val="16"/>
                <w:szCs w:val="16"/>
                <w:lang w:eastAsia="hr-HR"/>
              </w:rPr>
            </w:pPr>
          </w:p>
        </w:tc>
        <w:tc>
          <w:tcPr>
            <w:tcW w:w="236" w:type="dxa"/>
            <w:vAlign w:val="center"/>
          </w:tcPr>
          <w:p w14:paraId="3C2AB614" w14:textId="77777777" w:rsidR="009D4418" w:rsidRDefault="009D4418" w:rsidP="009F18D5">
            <w:pPr>
              <w:rPr>
                <w:rFonts w:ascii="Times New Roman" w:hAnsi="Times New Roman" w:cs="Times New Roman"/>
                <w:sz w:val="16"/>
                <w:szCs w:val="16"/>
                <w:lang w:eastAsia="hr-HR"/>
              </w:rPr>
            </w:pPr>
          </w:p>
        </w:tc>
      </w:tr>
      <w:tr w:rsidR="009D4418" w:rsidRPr="00197185" w14:paraId="1ABA5602" w14:textId="77777777" w:rsidTr="0053547E">
        <w:trPr>
          <w:gridAfter w:val="1"/>
          <w:wAfter w:w="105" w:type="dxa"/>
          <w:trHeight w:val="540"/>
        </w:trPr>
        <w:tc>
          <w:tcPr>
            <w:tcW w:w="689" w:type="dxa"/>
            <w:tcBorders>
              <w:top w:val="nil"/>
              <w:left w:val="single" w:sz="8" w:space="0" w:color="auto"/>
              <w:bottom w:val="single" w:sz="4" w:space="0" w:color="auto"/>
              <w:right w:val="single" w:sz="4" w:space="0" w:color="auto"/>
            </w:tcBorders>
            <w:noWrap/>
            <w:vAlign w:val="center"/>
            <w:hideMark/>
          </w:tcPr>
          <w:p w14:paraId="5AA1D076" w14:textId="77777777" w:rsidR="009D4418" w:rsidRPr="00197185" w:rsidRDefault="009D4418" w:rsidP="009F18D5">
            <w:pPr>
              <w:jc w:val="center"/>
              <w:rPr>
                <w:color w:val="000000"/>
                <w:sz w:val="16"/>
                <w:szCs w:val="16"/>
                <w:lang w:eastAsia="hr-HR"/>
              </w:rPr>
            </w:pPr>
            <w:r w:rsidRPr="00197185">
              <w:rPr>
                <w:color w:val="000000"/>
                <w:sz w:val="16"/>
                <w:szCs w:val="16"/>
                <w:lang w:eastAsia="hr-HR"/>
              </w:rPr>
              <w:t>3.</w:t>
            </w:r>
          </w:p>
        </w:tc>
        <w:tc>
          <w:tcPr>
            <w:tcW w:w="937" w:type="dxa"/>
            <w:tcBorders>
              <w:top w:val="nil"/>
              <w:left w:val="nil"/>
              <w:bottom w:val="single" w:sz="4" w:space="0" w:color="auto"/>
              <w:right w:val="single" w:sz="4" w:space="0" w:color="auto"/>
            </w:tcBorders>
            <w:vAlign w:val="center"/>
            <w:hideMark/>
          </w:tcPr>
          <w:p w14:paraId="0CC7254C" w14:textId="77777777" w:rsidR="009D4418" w:rsidRPr="00197185" w:rsidRDefault="009D4418" w:rsidP="009F18D5">
            <w:pPr>
              <w:rPr>
                <w:color w:val="000000"/>
                <w:sz w:val="16"/>
                <w:szCs w:val="16"/>
                <w:lang w:eastAsia="hr-HR"/>
              </w:rPr>
            </w:pPr>
            <w:r w:rsidRPr="00197185">
              <w:rPr>
                <w:color w:val="000000"/>
                <w:sz w:val="16"/>
                <w:szCs w:val="16"/>
                <w:lang w:eastAsia="hr-HR"/>
              </w:rPr>
              <w:t>Hrvatski telekom d.d.</w:t>
            </w:r>
          </w:p>
        </w:tc>
        <w:tc>
          <w:tcPr>
            <w:tcW w:w="856" w:type="dxa"/>
            <w:tcBorders>
              <w:top w:val="nil"/>
              <w:left w:val="nil"/>
              <w:bottom w:val="single" w:sz="4" w:space="0" w:color="auto"/>
              <w:right w:val="single" w:sz="4" w:space="0" w:color="auto"/>
            </w:tcBorders>
            <w:vAlign w:val="center"/>
            <w:hideMark/>
          </w:tcPr>
          <w:p w14:paraId="4EEE93B3" w14:textId="77777777" w:rsidR="009D4418" w:rsidRPr="00197185" w:rsidRDefault="009D4418" w:rsidP="009F18D5">
            <w:pPr>
              <w:ind w:right="-31"/>
              <w:rPr>
                <w:color w:val="000000"/>
                <w:sz w:val="16"/>
                <w:szCs w:val="16"/>
                <w:lang w:eastAsia="hr-HR"/>
              </w:rPr>
            </w:pPr>
            <w:r w:rsidRPr="00197185">
              <w:rPr>
                <w:color w:val="000000"/>
                <w:sz w:val="16"/>
                <w:szCs w:val="16"/>
                <w:lang w:eastAsia="hr-HR"/>
              </w:rPr>
              <w:t>Grad Garešnica</w:t>
            </w:r>
          </w:p>
        </w:tc>
        <w:tc>
          <w:tcPr>
            <w:tcW w:w="1187" w:type="dxa"/>
            <w:tcBorders>
              <w:top w:val="nil"/>
              <w:left w:val="nil"/>
              <w:bottom w:val="single" w:sz="4" w:space="0" w:color="auto"/>
              <w:right w:val="single" w:sz="4" w:space="0" w:color="auto"/>
            </w:tcBorders>
            <w:vAlign w:val="center"/>
            <w:hideMark/>
          </w:tcPr>
          <w:p w14:paraId="31A5119F" w14:textId="77777777" w:rsidR="009D4418" w:rsidRPr="00197185" w:rsidRDefault="009D4418" w:rsidP="009F18D5">
            <w:pPr>
              <w:rPr>
                <w:color w:val="000000"/>
                <w:sz w:val="16"/>
                <w:szCs w:val="16"/>
                <w:lang w:eastAsia="hr-HR"/>
              </w:rPr>
            </w:pPr>
            <w:r w:rsidRPr="00197185">
              <w:rPr>
                <w:color w:val="000000"/>
                <w:sz w:val="16"/>
                <w:szCs w:val="16"/>
                <w:lang w:eastAsia="hr-HR"/>
              </w:rPr>
              <w:t>Radi naknade za pravo puta</w:t>
            </w:r>
          </w:p>
        </w:tc>
        <w:tc>
          <w:tcPr>
            <w:tcW w:w="863" w:type="dxa"/>
            <w:tcBorders>
              <w:top w:val="single" w:sz="4" w:space="0" w:color="auto"/>
              <w:left w:val="nil"/>
              <w:bottom w:val="single" w:sz="4" w:space="0" w:color="auto"/>
              <w:right w:val="single" w:sz="4" w:space="0" w:color="auto"/>
            </w:tcBorders>
            <w:vAlign w:val="center"/>
            <w:hideMark/>
          </w:tcPr>
          <w:p w14:paraId="24A1C134" w14:textId="77777777" w:rsidR="009D4418" w:rsidRPr="00197185" w:rsidRDefault="009D4418" w:rsidP="009F18D5">
            <w:pPr>
              <w:ind w:right="-103"/>
              <w:jc w:val="right"/>
              <w:rPr>
                <w:color w:val="000000"/>
                <w:sz w:val="16"/>
                <w:szCs w:val="16"/>
                <w:lang w:eastAsia="hr-HR"/>
              </w:rPr>
            </w:pPr>
            <w:r w:rsidRPr="00197185">
              <w:rPr>
                <w:color w:val="000000"/>
                <w:sz w:val="16"/>
                <w:szCs w:val="16"/>
                <w:lang w:eastAsia="hr-HR"/>
              </w:rPr>
              <w:t>95.766,48</w:t>
            </w:r>
          </w:p>
        </w:tc>
        <w:tc>
          <w:tcPr>
            <w:tcW w:w="987" w:type="dxa"/>
            <w:tcBorders>
              <w:top w:val="nil"/>
              <w:left w:val="nil"/>
              <w:bottom w:val="single" w:sz="4" w:space="0" w:color="auto"/>
              <w:right w:val="single" w:sz="4" w:space="0" w:color="auto"/>
            </w:tcBorders>
            <w:vAlign w:val="center"/>
            <w:hideMark/>
          </w:tcPr>
          <w:p w14:paraId="6C7DA375" w14:textId="77777777" w:rsidR="009D4418" w:rsidRPr="00197185" w:rsidRDefault="009D4418" w:rsidP="009F18D5">
            <w:pPr>
              <w:jc w:val="right"/>
              <w:rPr>
                <w:color w:val="000000"/>
                <w:sz w:val="16"/>
                <w:szCs w:val="16"/>
                <w:lang w:eastAsia="hr-HR"/>
              </w:rPr>
            </w:pPr>
            <w:r w:rsidRPr="00197185">
              <w:rPr>
                <w:color w:val="000000"/>
                <w:sz w:val="16"/>
                <w:szCs w:val="16"/>
                <w:lang w:eastAsia="hr-HR"/>
              </w:rPr>
              <w:t>95.766,48</w:t>
            </w:r>
          </w:p>
        </w:tc>
        <w:tc>
          <w:tcPr>
            <w:tcW w:w="1281" w:type="dxa"/>
            <w:gridSpan w:val="2"/>
            <w:tcBorders>
              <w:top w:val="single" w:sz="4" w:space="0" w:color="auto"/>
              <w:left w:val="nil"/>
              <w:bottom w:val="single" w:sz="4" w:space="0" w:color="auto"/>
              <w:right w:val="single" w:sz="4" w:space="0" w:color="auto"/>
            </w:tcBorders>
            <w:vAlign w:val="center"/>
            <w:hideMark/>
          </w:tcPr>
          <w:p w14:paraId="2AF4A8DB" w14:textId="77777777" w:rsidR="009D4418" w:rsidRPr="00197185" w:rsidRDefault="009D4418" w:rsidP="009F18D5">
            <w:pPr>
              <w:jc w:val="center"/>
              <w:rPr>
                <w:color w:val="000000"/>
                <w:sz w:val="16"/>
                <w:szCs w:val="16"/>
                <w:lang w:eastAsia="hr-HR"/>
              </w:rPr>
            </w:pPr>
            <w:r w:rsidRPr="00197185">
              <w:rPr>
                <w:color w:val="000000"/>
                <w:sz w:val="16"/>
                <w:szCs w:val="16"/>
                <w:lang w:eastAsia="hr-HR"/>
              </w:rPr>
              <w:t>2 godine</w:t>
            </w:r>
          </w:p>
        </w:tc>
        <w:tc>
          <w:tcPr>
            <w:tcW w:w="992" w:type="dxa"/>
            <w:gridSpan w:val="2"/>
            <w:tcBorders>
              <w:top w:val="single" w:sz="4" w:space="0" w:color="auto"/>
              <w:left w:val="nil"/>
              <w:bottom w:val="single" w:sz="4" w:space="0" w:color="auto"/>
              <w:right w:val="single" w:sz="4" w:space="0" w:color="auto"/>
            </w:tcBorders>
            <w:vAlign w:val="center"/>
            <w:hideMark/>
          </w:tcPr>
          <w:p w14:paraId="06FE9C06" w14:textId="77777777" w:rsidR="009D4418" w:rsidRPr="00197185" w:rsidRDefault="009D4418" w:rsidP="009F18D5">
            <w:pPr>
              <w:rPr>
                <w:color w:val="000000"/>
                <w:sz w:val="16"/>
                <w:szCs w:val="16"/>
                <w:lang w:eastAsia="hr-HR"/>
              </w:rPr>
            </w:pPr>
            <w:r w:rsidRPr="00197185">
              <w:rPr>
                <w:color w:val="000000"/>
                <w:sz w:val="16"/>
                <w:szCs w:val="16"/>
                <w:lang w:eastAsia="hr-HR"/>
              </w:rPr>
              <w:t>27.5.2021.</w:t>
            </w:r>
          </w:p>
        </w:tc>
        <w:tc>
          <w:tcPr>
            <w:tcW w:w="1268" w:type="dxa"/>
            <w:gridSpan w:val="3"/>
            <w:tcBorders>
              <w:top w:val="single" w:sz="4" w:space="0" w:color="auto"/>
              <w:left w:val="nil"/>
              <w:bottom w:val="single" w:sz="4" w:space="0" w:color="auto"/>
              <w:right w:val="single" w:sz="4" w:space="0" w:color="auto"/>
            </w:tcBorders>
            <w:vAlign w:val="center"/>
            <w:hideMark/>
          </w:tcPr>
          <w:p w14:paraId="70B44A13" w14:textId="77777777" w:rsidR="009D4418" w:rsidRPr="00197185" w:rsidRDefault="009D4418" w:rsidP="009F18D5">
            <w:pPr>
              <w:rPr>
                <w:color w:val="000000"/>
                <w:sz w:val="16"/>
                <w:szCs w:val="16"/>
                <w:lang w:eastAsia="hr-HR"/>
              </w:rPr>
            </w:pPr>
            <w:r w:rsidRPr="00197185">
              <w:rPr>
                <w:color w:val="000000"/>
                <w:sz w:val="16"/>
                <w:szCs w:val="16"/>
                <w:lang w:eastAsia="hr-HR"/>
              </w:rPr>
              <w:t>Predmet na Vrhovnom sudu</w:t>
            </w:r>
          </w:p>
        </w:tc>
        <w:tc>
          <w:tcPr>
            <w:tcW w:w="853" w:type="dxa"/>
            <w:gridSpan w:val="2"/>
            <w:tcBorders>
              <w:top w:val="nil"/>
              <w:left w:val="nil"/>
              <w:bottom w:val="single" w:sz="4" w:space="0" w:color="auto"/>
              <w:right w:val="single" w:sz="8" w:space="0" w:color="auto"/>
            </w:tcBorders>
            <w:vAlign w:val="center"/>
            <w:hideMark/>
          </w:tcPr>
          <w:p w14:paraId="4F8AA812" w14:textId="77777777" w:rsidR="009D4418" w:rsidRPr="00197185" w:rsidRDefault="009D4418" w:rsidP="009F18D5">
            <w:pPr>
              <w:rPr>
                <w:color w:val="000000"/>
                <w:sz w:val="16"/>
                <w:szCs w:val="16"/>
                <w:lang w:eastAsia="hr-HR"/>
              </w:rPr>
            </w:pPr>
            <w:r w:rsidRPr="00197185">
              <w:rPr>
                <w:color w:val="000000"/>
                <w:sz w:val="16"/>
                <w:szCs w:val="16"/>
                <w:lang w:eastAsia="hr-HR"/>
              </w:rPr>
              <w:t>Po odluci Vrhovnog suda (do 2 godine)</w:t>
            </w:r>
          </w:p>
        </w:tc>
        <w:tc>
          <w:tcPr>
            <w:tcW w:w="236" w:type="dxa"/>
            <w:vAlign w:val="center"/>
            <w:hideMark/>
          </w:tcPr>
          <w:p w14:paraId="155EAD68" w14:textId="77777777" w:rsidR="009D4418" w:rsidRDefault="009D4418" w:rsidP="009F18D5">
            <w:pPr>
              <w:rPr>
                <w:rFonts w:ascii="Times New Roman" w:hAnsi="Times New Roman" w:cs="Times New Roman"/>
                <w:sz w:val="16"/>
                <w:szCs w:val="16"/>
                <w:lang w:eastAsia="hr-HR"/>
              </w:rPr>
            </w:pPr>
          </w:p>
          <w:p w14:paraId="6C2F33B7" w14:textId="77777777" w:rsidR="009D4418" w:rsidRDefault="009D4418" w:rsidP="009F18D5">
            <w:pPr>
              <w:rPr>
                <w:rFonts w:ascii="Times New Roman" w:hAnsi="Times New Roman" w:cs="Times New Roman"/>
                <w:sz w:val="16"/>
                <w:szCs w:val="16"/>
                <w:lang w:eastAsia="hr-HR"/>
              </w:rPr>
            </w:pPr>
          </w:p>
          <w:p w14:paraId="69DFD183" w14:textId="77777777" w:rsidR="009D4418" w:rsidRDefault="009D4418" w:rsidP="009F18D5">
            <w:pPr>
              <w:rPr>
                <w:rFonts w:ascii="Times New Roman" w:hAnsi="Times New Roman" w:cs="Times New Roman"/>
                <w:sz w:val="16"/>
                <w:szCs w:val="16"/>
                <w:lang w:eastAsia="hr-HR"/>
              </w:rPr>
            </w:pPr>
          </w:p>
          <w:p w14:paraId="4A758D4B" w14:textId="77777777" w:rsidR="009D4418" w:rsidRPr="00197185" w:rsidRDefault="009D4418" w:rsidP="009F18D5">
            <w:pPr>
              <w:rPr>
                <w:rFonts w:ascii="Times New Roman" w:hAnsi="Times New Roman" w:cs="Times New Roman"/>
                <w:sz w:val="16"/>
                <w:szCs w:val="16"/>
                <w:lang w:eastAsia="hr-HR"/>
              </w:rPr>
            </w:pPr>
          </w:p>
        </w:tc>
      </w:tr>
      <w:tr w:rsidR="0053547E" w:rsidRPr="00197185" w14:paraId="7DB33CB1" w14:textId="77777777" w:rsidTr="000E06BE">
        <w:trPr>
          <w:gridAfter w:val="1"/>
          <w:wAfter w:w="105" w:type="dxa"/>
          <w:trHeight w:val="300"/>
        </w:trPr>
        <w:tc>
          <w:tcPr>
            <w:tcW w:w="4532"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9824372" w14:textId="77777777" w:rsidR="0053547E" w:rsidRPr="00197185" w:rsidRDefault="0053547E" w:rsidP="009F18D5">
            <w:pPr>
              <w:jc w:val="center"/>
              <w:rPr>
                <w:b/>
                <w:bCs/>
                <w:color w:val="000000"/>
                <w:sz w:val="16"/>
                <w:szCs w:val="16"/>
                <w:lang w:eastAsia="hr-HR"/>
              </w:rPr>
            </w:pPr>
            <w:r w:rsidRPr="00197185">
              <w:rPr>
                <w:b/>
                <w:bCs/>
                <w:color w:val="000000"/>
                <w:sz w:val="16"/>
                <w:szCs w:val="16"/>
                <w:lang w:eastAsia="hr-HR"/>
              </w:rPr>
              <w:t>Potencijalna potraživanja po osnovi sudskih sporova u tijeku</w:t>
            </w:r>
          </w:p>
        </w:tc>
        <w:tc>
          <w:tcPr>
            <w:tcW w:w="98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625983" w14:textId="77777777" w:rsidR="0053547E" w:rsidRPr="00197185" w:rsidRDefault="0053547E" w:rsidP="009F18D5">
            <w:pPr>
              <w:jc w:val="right"/>
              <w:rPr>
                <w:b/>
                <w:bCs/>
                <w:color w:val="000000"/>
                <w:sz w:val="16"/>
                <w:szCs w:val="16"/>
                <w:lang w:eastAsia="hr-HR"/>
              </w:rPr>
            </w:pPr>
            <w:r w:rsidRPr="00197185">
              <w:rPr>
                <w:b/>
                <w:bCs/>
                <w:color w:val="000000"/>
                <w:sz w:val="16"/>
                <w:szCs w:val="16"/>
                <w:lang w:eastAsia="hr-HR"/>
              </w:rPr>
              <w:t>9</w:t>
            </w:r>
            <w:r>
              <w:rPr>
                <w:b/>
                <w:bCs/>
                <w:color w:val="000000"/>
                <w:sz w:val="16"/>
                <w:szCs w:val="16"/>
                <w:lang w:eastAsia="hr-HR"/>
              </w:rPr>
              <w:t>6.809,88</w:t>
            </w:r>
          </w:p>
        </w:tc>
        <w:tc>
          <w:tcPr>
            <w:tcW w:w="4394" w:type="dxa"/>
            <w:gridSpan w:val="9"/>
            <w:tcBorders>
              <w:top w:val="single" w:sz="4" w:space="0" w:color="auto"/>
              <w:left w:val="single" w:sz="4" w:space="0" w:color="auto"/>
              <w:bottom w:val="single" w:sz="4" w:space="0" w:color="auto"/>
              <w:right w:val="single" w:sz="4" w:space="0" w:color="auto"/>
            </w:tcBorders>
            <w:shd w:val="clear" w:color="000000" w:fill="D9D9D9"/>
            <w:vAlign w:val="center"/>
            <w:hideMark/>
          </w:tcPr>
          <w:p w14:paraId="47F1C656" w14:textId="7F204703" w:rsidR="0053547E" w:rsidRPr="00197185" w:rsidRDefault="0053547E" w:rsidP="0053547E">
            <w:pPr>
              <w:jc w:val="center"/>
              <w:rPr>
                <w:color w:val="000000"/>
                <w:sz w:val="16"/>
                <w:szCs w:val="16"/>
                <w:lang w:eastAsia="hr-HR"/>
              </w:rPr>
            </w:pPr>
            <w:r w:rsidRPr="00197185">
              <w:rPr>
                <w:color w:val="000000"/>
                <w:sz w:val="16"/>
                <w:szCs w:val="16"/>
                <w:lang w:eastAsia="hr-HR"/>
              </w:rPr>
              <w:t> </w:t>
            </w:r>
          </w:p>
        </w:tc>
        <w:tc>
          <w:tcPr>
            <w:tcW w:w="236" w:type="dxa"/>
            <w:tcBorders>
              <w:left w:val="single" w:sz="4" w:space="0" w:color="auto"/>
            </w:tcBorders>
            <w:vAlign w:val="center"/>
            <w:hideMark/>
          </w:tcPr>
          <w:p w14:paraId="2152B9EB" w14:textId="77777777" w:rsidR="0053547E" w:rsidRPr="00197185" w:rsidRDefault="0053547E" w:rsidP="009F18D5">
            <w:pPr>
              <w:rPr>
                <w:rFonts w:ascii="Times New Roman" w:hAnsi="Times New Roman" w:cs="Times New Roman"/>
                <w:sz w:val="16"/>
                <w:szCs w:val="16"/>
                <w:lang w:eastAsia="hr-HR"/>
              </w:rPr>
            </w:pPr>
          </w:p>
        </w:tc>
      </w:tr>
    </w:tbl>
    <w:p w14:paraId="1428BE36" w14:textId="77777777" w:rsidR="009D4418" w:rsidRDefault="009D4418" w:rsidP="00D50754">
      <w:pPr>
        <w:spacing w:after="0" w:line="240" w:lineRule="auto"/>
        <w:jc w:val="both"/>
        <w:rPr>
          <w:rFonts w:ascii="Times New Roman" w:hAnsi="Times New Roman" w:cs="Times New Roman"/>
        </w:rPr>
      </w:pPr>
    </w:p>
    <w:p w14:paraId="762F03CF" w14:textId="77777777" w:rsidR="00780781" w:rsidRPr="00722358" w:rsidRDefault="00780781" w:rsidP="00E40FD3">
      <w:pPr>
        <w:spacing w:after="120" w:line="240" w:lineRule="auto"/>
        <w:rPr>
          <w:rFonts w:ascii="Times New Roman" w:hAnsi="Times New Roman" w:cs="Times New Roman"/>
          <w:b/>
        </w:rPr>
      </w:pPr>
    </w:p>
    <w:p w14:paraId="0A04A082" w14:textId="77777777" w:rsidR="00BD182E" w:rsidRPr="00722358" w:rsidRDefault="00BD182E" w:rsidP="00E40FD3">
      <w:pPr>
        <w:spacing w:after="120" w:line="240" w:lineRule="auto"/>
        <w:jc w:val="center"/>
        <w:rPr>
          <w:rFonts w:ascii="Times New Roman" w:hAnsi="Times New Roman" w:cs="Times New Roman"/>
          <w:b/>
        </w:rPr>
      </w:pPr>
      <w:r w:rsidRPr="00722358">
        <w:rPr>
          <w:rFonts w:ascii="Times New Roman" w:hAnsi="Times New Roman" w:cs="Times New Roman"/>
          <w:b/>
        </w:rPr>
        <w:t>Članak 3.</w:t>
      </w:r>
    </w:p>
    <w:p w14:paraId="6E8E50F3" w14:textId="731D2188" w:rsidR="00BD182E" w:rsidRPr="00722358" w:rsidRDefault="003C25A4" w:rsidP="00E40FD3">
      <w:pPr>
        <w:spacing w:after="120" w:line="240" w:lineRule="auto"/>
        <w:jc w:val="both"/>
        <w:rPr>
          <w:rFonts w:ascii="Times New Roman" w:hAnsi="Times New Roman" w:cs="Times New Roman"/>
        </w:rPr>
      </w:pPr>
      <w:r>
        <w:rPr>
          <w:rFonts w:ascii="Times New Roman" w:hAnsi="Times New Roman" w:cs="Times New Roman"/>
        </w:rPr>
        <w:t>Godišnji izvještaj</w:t>
      </w:r>
      <w:r w:rsidR="00BD182E" w:rsidRPr="00722358">
        <w:rPr>
          <w:rFonts w:ascii="Times New Roman" w:hAnsi="Times New Roman" w:cs="Times New Roman"/>
        </w:rPr>
        <w:t xml:space="preserve"> o izvršenju proračuna Grada Garešnica za 202</w:t>
      </w:r>
      <w:r w:rsidR="00C30CE8">
        <w:rPr>
          <w:rFonts w:ascii="Times New Roman" w:hAnsi="Times New Roman" w:cs="Times New Roman"/>
        </w:rPr>
        <w:t>4</w:t>
      </w:r>
      <w:r w:rsidR="00BD182E" w:rsidRPr="00722358">
        <w:rPr>
          <w:rFonts w:ascii="Times New Roman" w:hAnsi="Times New Roman" w:cs="Times New Roman"/>
        </w:rPr>
        <w:t>. godinu objavit će se u Službenom glasniku Grada Garešnica i na službenoj internetskoj stranici Grada Garešnica.</w:t>
      </w:r>
    </w:p>
    <w:p w14:paraId="64C45D2E" w14:textId="77777777" w:rsidR="00BD182E" w:rsidRDefault="00BD182E" w:rsidP="00E40FD3">
      <w:pPr>
        <w:spacing w:after="120" w:line="240" w:lineRule="auto"/>
        <w:rPr>
          <w:rFonts w:ascii="Times New Roman" w:hAnsi="Times New Roman" w:cs="Times New Roman"/>
          <w:b/>
        </w:rPr>
      </w:pPr>
    </w:p>
    <w:p w14:paraId="663FBF58" w14:textId="77777777" w:rsidR="008A57B9" w:rsidRPr="00722358" w:rsidRDefault="008A57B9" w:rsidP="00E40FD3">
      <w:pPr>
        <w:spacing w:after="120" w:line="240" w:lineRule="auto"/>
        <w:rPr>
          <w:rFonts w:ascii="Times New Roman" w:hAnsi="Times New Roman" w:cs="Times New Roman"/>
          <w:b/>
        </w:rPr>
      </w:pPr>
    </w:p>
    <w:p w14:paraId="5C37A4EC" w14:textId="1558D198" w:rsidR="00BD182E" w:rsidRDefault="008A57B9" w:rsidP="008A57B9">
      <w:pPr>
        <w:spacing w:after="120" w:line="240" w:lineRule="auto"/>
        <w:ind w:left="1411"/>
        <w:rPr>
          <w:rFonts w:ascii="Times New Roman" w:hAnsi="Times New Roman" w:cs="Times New Roman"/>
        </w:rPr>
      </w:pPr>
      <w:r>
        <w:rPr>
          <w:rFonts w:ascii="Times New Roman" w:hAnsi="Times New Roman" w:cs="Times New Roman"/>
        </w:rPr>
        <w:t xml:space="preserve">                                                                         </w:t>
      </w:r>
      <w:r w:rsidR="00BD182E" w:rsidRPr="00722358">
        <w:rPr>
          <w:rFonts w:ascii="Times New Roman" w:hAnsi="Times New Roman" w:cs="Times New Roman"/>
        </w:rPr>
        <w:t>PREDSJEDNIK</w:t>
      </w:r>
      <w:r>
        <w:rPr>
          <w:rFonts w:ascii="Times New Roman" w:hAnsi="Times New Roman" w:cs="Times New Roman"/>
        </w:rPr>
        <w:t xml:space="preserve"> GRADSKOG VIJEĆA</w:t>
      </w:r>
    </w:p>
    <w:p w14:paraId="3A55644A" w14:textId="77777777" w:rsidR="003C25A4" w:rsidRPr="00722358" w:rsidRDefault="003C25A4" w:rsidP="003C25A4">
      <w:pPr>
        <w:spacing w:after="120" w:line="240" w:lineRule="auto"/>
        <w:ind w:left="1411" w:firstLine="4253"/>
        <w:rPr>
          <w:rFonts w:ascii="Times New Roman" w:hAnsi="Times New Roman" w:cs="Times New Roman"/>
        </w:rPr>
      </w:pPr>
    </w:p>
    <w:p w14:paraId="1DAFBEB9" w14:textId="0638FD29" w:rsidR="00BD182E" w:rsidRPr="00780781" w:rsidRDefault="00BD182E" w:rsidP="00780781">
      <w:pPr>
        <w:spacing w:after="120" w:line="240" w:lineRule="auto"/>
        <w:ind w:left="1411" w:firstLine="4253"/>
        <w:jc w:val="center"/>
        <w:rPr>
          <w:rFonts w:ascii="Times New Roman" w:hAnsi="Times New Roman" w:cs="Times New Roman"/>
        </w:rPr>
      </w:pPr>
      <w:r w:rsidRPr="00722358">
        <w:rPr>
          <w:rFonts w:ascii="Times New Roman" w:hAnsi="Times New Roman" w:cs="Times New Roman"/>
        </w:rPr>
        <w:t>Željko Starčević</w:t>
      </w:r>
    </w:p>
    <w:sectPr w:rsidR="00BD182E" w:rsidRPr="00780781" w:rsidSect="003201E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A6AE2" w14:textId="77777777" w:rsidR="008D2BA0" w:rsidRDefault="008D2BA0" w:rsidP="00BC3810">
      <w:pPr>
        <w:spacing w:after="0" w:line="240" w:lineRule="auto"/>
      </w:pPr>
      <w:r>
        <w:separator/>
      </w:r>
    </w:p>
  </w:endnote>
  <w:endnote w:type="continuationSeparator" w:id="0">
    <w:p w14:paraId="2CC5B0CD" w14:textId="77777777" w:rsidR="008D2BA0" w:rsidRDefault="008D2BA0" w:rsidP="00BC3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95730" w14:textId="77777777" w:rsidR="008D2BA0" w:rsidRDefault="008D2BA0" w:rsidP="00BC3810">
      <w:pPr>
        <w:spacing w:after="0" w:line="240" w:lineRule="auto"/>
      </w:pPr>
      <w:r>
        <w:separator/>
      </w:r>
    </w:p>
  </w:footnote>
  <w:footnote w:type="continuationSeparator" w:id="0">
    <w:p w14:paraId="025EC8A4" w14:textId="77777777" w:rsidR="008D2BA0" w:rsidRDefault="008D2BA0" w:rsidP="00BC38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4699" w14:textId="77777777" w:rsidR="00CD46B1" w:rsidRDefault="00CD46B1" w:rsidP="00BC3810">
    <w:pPr>
      <w:tabs>
        <w:tab w:val="left" w:pos="2741"/>
        <w:tab w:val="left" w:pos="76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31B91" w14:textId="77777777" w:rsidR="00CD46B1" w:rsidRDefault="00CD46B1" w:rsidP="00BC3810">
    <w:pPr>
      <w:tabs>
        <w:tab w:val="left" w:pos="2741"/>
        <w:tab w:val="left" w:pos="766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030A"/>
    <w:multiLevelType w:val="multilevel"/>
    <w:tmpl w:val="6E10FC5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FB64B6A"/>
    <w:multiLevelType w:val="hybridMultilevel"/>
    <w:tmpl w:val="9A6CA018"/>
    <w:lvl w:ilvl="0" w:tplc="0322902E">
      <w:start w:val="1"/>
      <w:numFmt w:val="bullet"/>
      <w:lvlText w:val="-"/>
      <w:lvlJc w:val="left"/>
      <w:pPr>
        <w:ind w:left="2160" w:hanging="360"/>
      </w:pPr>
      <w:rPr>
        <w:rFonts w:ascii="Aptos" w:eastAsia="Aptos" w:hAnsi="Aptos" w:cs="Times New Roman" w:hint="default"/>
      </w:rPr>
    </w:lvl>
    <w:lvl w:ilvl="1" w:tplc="041A0003">
      <w:start w:val="1"/>
      <w:numFmt w:val="bullet"/>
      <w:lvlText w:val="o"/>
      <w:lvlJc w:val="left"/>
      <w:pPr>
        <w:ind w:left="2880" w:hanging="360"/>
      </w:pPr>
      <w:rPr>
        <w:rFonts w:ascii="Courier New" w:hAnsi="Courier New" w:cs="Courier New" w:hint="default"/>
      </w:rPr>
    </w:lvl>
    <w:lvl w:ilvl="2" w:tplc="041A0005">
      <w:start w:val="1"/>
      <w:numFmt w:val="bullet"/>
      <w:lvlText w:val=""/>
      <w:lvlJc w:val="left"/>
      <w:pPr>
        <w:ind w:left="3600" w:hanging="360"/>
      </w:pPr>
      <w:rPr>
        <w:rFonts w:ascii="Wingdings" w:hAnsi="Wingdings" w:hint="default"/>
      </w:rPr>
    </w:lvl>
    <w:lvl w:ilvl="3" w:tplc="041A0001">
      <w:start w:val="1"/>
      <w:numFmt w:val="bullet"/>
      <w:lvlText w:val=""/>
      <w:lvlJc w:val="left"/>
      <w:pPr>
        <w:ind w:left="4320" w:hanging="360"/>
      </w:pPr>
      <w:rPr>
        <w:rFonts w:ascii="Symbol" w:hAnsi="Symbol" w:hint="default"/>
      </w:rPr>
    </w:lvl>
    <w:lvl w:ilvl="4" w:tplc="041A0003">
      <w:start w:val="1"/>
      <w:numFmt w:val="bullet"/>
      <w:lvlText w:val="o"/>
      <w:lvlJc w:val="left"/>
      <w:pPr>
        <w:ind w:left="5040" w:hanging="360"/>
      </w:pPr>
      <w:rPr>
        <w:rFonts w:ascii="Courier New" w:hAnsi="Courier New" w:cs="Courier New" w:hint="default"/>
      </w:rPr>
    </w:lvl>
    <w:lvl w:ilvl="5" w:tplc="041A0005">
      <w:start w:val="1"/>
      <w:numFmt w:val="bullet"/>
      <w:lvlText w:val=""/>
      <w:lvlJc w:val="left"/>
      <w:pPr>
        <w:ind w:left="5760" w:hanging="360"/>
      </w:pPr>
      <w:rPr>
        <w:rFonts w:ascii="Wingdings" w:hAnsi="Wingdings" w:hint="default"/>
      </w:rPr>
    </w:lvl>
    <w:lvl w:ilvl="6" w:tplc="041A0001">
      <w:start w:val="1"/>
      <w:numFmt w:val="bullet"/>
      <w:lvlText w:val=""/>
      <w:lvlJc w:val="left"/>
      <w:pPr>
        <w:ind w:left="6480" w:hanging="360"/>
      </w:pPr>
      <w:rPr>
        <w:rFonts w:ascii="Symbol" w:hAnsi="Symbol" w:hint="default"/>
      </w:rPr>
    </w:lvl>
    <w:lvl w:ilvl="7" w:tplc="041A0003">
      <w:start w:val="1"/>
      <w:numFmt w:val="bullet"/>
      <w:lvlText w:val="o"/>
      <w:lvlJc w:val="left"/>
      <w:pPr>
        <w:ind w:left="7200" w:hanging="360"/>
      </w:pPr>
      <w:rPr>
        <w:rFonts w:ascii="Courier New" w:hAnsi="Courier New" w:cs="Courier New" w:hint="default"/>
      </w:rPr>
    </w:lvl>
    <w:lvl w:ilvl="8" w:tplc="041A0005">
      <w:start w:val="1"/>
      <w:numFmt w:val="bullet"/>
      <w:lvlText w:val=""/>
      <w:lvlJc w:val="left"/>
      <w:pPr>
        <w:ind w:left="7920" w:hanging="360"/>
      </w:pPr>
      <w:rPr>
        <w:rFonts w:ascii="Wingdings" w:hAnsi="Wingdings" w:hint="default"/>
      </w:rPr>
    </w:lvl>
  </w:abstractNum>
  <w:abstractNum w:abstractNumId="2" w15:restartNumberingAfterBreak="0">
    <w:nsid w:val="22AA12D2"/>
    <w:multiLevelType w:val="hybridMultilevel"/>
    <w:tmpl w:val="229E882E"/>
    <w:lvl w:ilvl="0" w:tplc="E392D724">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44C2C62"/>
    <w:multiLevelType w:val="hybridMultilevel"/>
    <w:tmpl w:val="DF242D2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4691811"/>
    <w:multiLevelType w:val="hybridMultilevel"/>
    <w:tmpl w:val="E38E6F04"/>
    <w:lvl w:ilvl="0" w:tplc="041A000B">
      <w:start w:val="1"/>
      <w:numFmt w:val="bullet"/>
      <w:lvlText w:val=""/>
      <w:lvlJc w:val="left"/>
      <w:pPr>
        <w:ind w:left="1426" w:hanging="360"/>
      </w:pPr>
      <w:rPr>
        <w:rFonts w:ascii="Wingdings" w:hAnsi="Wingdings" w:hint="default"/>
      </w:rPr>
    </w:lvl>
    <w:lvl w:ilvl="1" w:tplc="041A0003" w:tentative="1">
      <w:start w:val="1"/>
      <w:numFmt w:val="bullet"/>
      <w:lvlText w:val="o"/>
      <w:lvlJc w:val="left"/>
      <w:pPr>
        <w:ind w:left="2146" w:hanging="360"/>
      </w:pPr>
      <w:rPr>
        <w:rFonts w:ascii="Courier New" w:hAnsi="Courier New" w:cs="Courier New" w:hint="default"/>
      </w:rPr>
    </w:lvl>
    <w:lvl w:ilvl="2" w:tplc="041A0005" w:tentative="1">
      <w:start w:val="1"/>
      <w:numFmt w:val="bullet"/>
      <w:lvlText w:val=""/>
      <w:lvlJc w:val="left"/>
      <w:pPr>
        <w:ind w:left="2866" w:hanging="360"/>
      </w:pPr>
      <w:rPr>
        <w:rFonts w:ascii="Wingdings" w:hAnsi="Wingdings" w:hint="default"/>
      </w:rPr>
    </w:lvl>
    <w:lvl w:ilvl="3" w:tplc="041A0001" w:tentative="1">
      <w:start w:val="1"/>
      <w:numFmt w:val="bullet"/>
      <w:lvlText w:val=""/>
      <w:lvlJc w:val="left"/>
      <w:pPr>
        <w:ind w:left="3586" w:hanging="360"/>
      </w:pPr>
      <w:rPr>
        <w:rFonts w:ascii="Symbol" w:hAnsi="Symbol" w:hint="default"/>
      </w:rPr>
    </w:lvl>
    <w:lvl w:ilvl="4" w:tplc="041A0003" w:tentative="1">
      <w:start w:val="1"/>
      <w:numFmt w:val="bullet"/>
      <w:lvlText w:val="o"/>
      <w:lvlJc w:val="left"/>
      <w:pPr>
        <w:ind w:left="4306" w:hanging="360"/>
      </w:pPr>
      <w:rPr>
        <w:rFonts w:ascii="Courier New" w:hAnsi="Courier New" w:cs="Courier New" w:hint="default"/>
      </w:rPr>
    </w:lvl>
    <w:lvl w:ilvl="5" w:tplc="041A0005" w:tentative="1">
      <w:start w:val="1"/>
      <w:numFmt w:val="bullet"/>
      <w:lvlText w:val=""/>
      <w:lvlJc w:val="left"/>
      <w:pPr>
        <w:ind w:left="5026" w:hanging="360"/>
      </w:pPr>
      <w:rPr>
        <w:rFonts w:ascii="Wingdings" w:hAnsi="Wingdings" w:hint="default"/>
      </w:rPr>
    </w:lvl>
    <w:lvl w:ilvl="6" w:tplc="041A0001" w:tentative="1">
      <w:start w:val="1"/>
      <w:numFmt w:val="bullet"/>
      <w:lvlText w:val=""/>
      <w:lvlJc w:val="left"/>
      <w:pPr>
        <w:ind w:left="5746" w:hanging="360"/>
      </w:pPr>
      <w:rPr>
        <w:rFonts w:ascii="Symbol" w:hAnsi="Symbol" w:hint="default"/>
      </w:rPr>
    </w:lvl>
    <w:lvl w:ilvl="7" w:tplc="041A0003" w:tentative="1">
      <w:start w:val="1"/>
      <w:numFmt w:val="bullet"/>
      <w:lvlText w:val="o"/>
      <w:lvlJc w:val="left"/>
      <w:pPr>
        <w:ind w:left="6466" w:hanging="360"/>
      </w:pPr>
      <w:rPr>
        <w:rFonts w:ascii="Courier New" w:hAnsi="Courier New" w:cs="Courier New" w:hint="default"/>
      </w:rPr>
    </w:lvl>
    <w:lvl w:ilvl="8" w:tplc="041A0005" w:tentative="1">
      <w:start w:val="1"/>
      <w:numFmt w:val="bullet"/>
      <w:lvlText w:val=""/>
      <w:lvlJc w:val="left"/>
      <w:pPr>
        <w:ind w:left="7186" w:hanging="360"/>
      </w:pPr>
      <w:rPr>
        <w:rFonts w:ascii="Wingdings" w:hAnsi="Wingdings" w:hint="default"/>
      </w:rPr>
    </w:lvl>
  </w:abstractNum>
  <w:abstractNum w:abstractNumId="5" w15:restartNumberingAfterBreak="0">
    <w:nsid w:val="2DCA4F00"/>
    <w:multiLevelType w:val="hybridMultilevel"/>
    <w:tmpl w:val="0504B932"/>
    <w:lvl w:ilvl="0" w:tplc="E392D724">
      <w:start w:val="1"/>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BFE3D83"/>
    <w:multiLevelType w:val="hybridMultilevel"/>
    <w:tmpl w:val="C6BCA436"/>
    <w:lvl w:ilvl="0" w:tplc="041A000B">
      <w:start w:val="1"/>
      <w:numFmt w:val="bullet"/>
      <w:lvlText w:val=""/>
      <w:lvlJc w:val="left"/>
      <w:pPr>
        <w:ind w:left="1069" w:hanging="360"/>
      </w:pPr>
      <w:rPr>
        <w:rFonts w:ascii="Wingdings" w:hAnsi="Wingdings" w:hint="default"/>
      </w:rPr>
    </w:lvl>
    <w:lvl w:ilvl="1" w:tplc="FFFFFFFF">
      <w:start w:val="1"/>
      <w:numFmt w:val="bullet"/>
      <w:lvlText w:val="o"/>
      <w:lvlJc w:val="left"/>
      <w:pPr>
        <w:ind w:left="1789" w:hanging="360"/>
      </w:pPr>
      <w:rPr>
        <w:rFonts w:ascii="Courier New" w:hAnsi="Courier New" w:cs="Times New Roman" w:hint="default"/>
      </w:rPr>
    </w:lvl>
    <w:lvl w:ilvl="2" w:tplc="FFFFFFFF">
      <w:start w:val="1"/>
      <w:numFmt w:val="bullet"/>
      <w:lvlText w:val=""/>
      <w:lvlJc w:val="left"/>
      <w:pPr>
        <w:ind w:left="2509" w:hanging="360"/>
      </w:pPr>
      <w:rPr>
        <w:rFonts w:ascii="Wingdings" w:hAnsi="Wingdings" w:hint="default"/>
      </w:rPr>
    </w:lvl>
    <w:lvl w:ilvl="3" w:tplc="FFFFFFFF">
      <w:start w:val="1"/>
      <w:numFmt w:val="bullet"/>
      <w:lvlText w:val=""/>
      <w:lvlJc w:val="left"/>
      <w:pPr>
        <w:ind w:left="3229" w:hanging="360"/>
      </w:pPr>
      <w:rPr>
        <w:rFonts w:ascii="Symbol" w:hAnsi="Symbol" w:hint="default"/>
      </w:rPr>
    </w:lvl>
    <w:lvl w:ilvl="4" w:tplc="FFFFFFFF">
      <w:start w:val="1"/>
      <w:numFmt w:val="bullet"/>
      <w:lvlText w:val="o"/>
      <w:lvlJc w:val="left"/>
      <w:pPr>
        <w:ind w:left="3949" w:hanging="360"/>
      </w:pPr>
      <w:rPr>
        <w:rFonts w:ascii="Courier New" w:hAnsi="Courier New" w:cs="Times New Roman" w:hint="default"/>
      </w:rPr>
    </w:lvl>
    <w:lvl w:ilvl="5" w:tplc="FFFFFFFF">
      <w:start w:val="1"/>
      <w:numFmt w:val="bullet"/>
      <w:lvlText w:val=""/>
      <w:lvlJc w:val="left"/>
      <w:pPr>
        <w:ind w:left="4669" w:hanging="360"/>
      </w:pPr>
      <w:rPr>
        <w:rFonts w:ascii="Wingdings" w:hAnsi="Wingdings" w:hint="default"/>
      </w:rPr>
    </w:lvl>
    <w:lvl w:ilvl="6" w:tplc="FFFFFFFF">
      <w:start w:val="1"/>
      <w:numFmt w:val="bullet"/>
      <w:lvlText w:val=""/>
      <w:lvlJc w:val="left"/>
      <w:pPr>
        <w:ind w:left="5389" w:hanging="360"/>
      </w:pPr>
      <w:rPr>
        <w:rFonts w:ascii="Symbol" w:hAnsi="Symbol" w:hint="default"/>
      </w:rPr>
    </w:lvl>
    <w:lvl w:ilvl="7" w:tplc="FFFFFFFF">
      <w:start w:val="1"/>
      <w:numFmt w:val="bullet"/>
      <w:lvlText w:val="o"/>
      <w:lvlJc w:val="left"/>
      <w:pPr>
        <w:ind w:left="6109" w:hanging="360"/>
      </w:pPr>
      <w:rPr>
        <w:rFonts w:ascii="Courier New" w:hAnsi="Courier New" w:cs="Times New Roman" w:hint="default"/>
      </w:rPr>
    </w:lvl>
    <w:lvl w:ilvl="8" w:tplc="FFFFFFFF">
      <w:start w:val="1"/>
      <w:numFmt w:val="bullet"/>
      <w:lvlText w:val=""/>
      <w:lvlJc w:val="left"/>
      <w:pPr>
        <w:ind w:left="6829" w:hanging="360"/>
      </w:pPr>
      <w:rPr>
        <w:rFonts w:ascii="Wingdings" w:hAnsi="Wingdings" w:hint="default"/>
      </w:rPr>
    </w:lvl>
  </w:abstractNum>
  <w:abstractNum w:abstractNumId="7" w15:restartNumberingAfterBreak="0">
    <w:nsid w:val="407512CA"/>
    <w:multiLevelType w:val="multilevel"/>
    <w:tmpl w:val="1CC075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1A01B3D"/>
    <w:multiLevelType w:val="multilevel"/>
    <w:tmpl w:val="B89812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573736A"/>
    <w:multiLevelType w:val="multilevel"/>
    <w:tmpl w:val="F65009E6"/>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595A1F33"/>
    <w:multiLevelType w:val="hybridMultilevel"/>
    <w:tmpl w:val="E924C2C8"/>
    <w:lvl w:ilvl="0" w:tplc="5198AEE4">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6B73818"/>
    <w:multiLevelType w:val="hybridMultilevel"/>
    <w:tmpl w:val="BCFE0A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9A2369A"/>
    <w:multiLevelType w:val="multilevel"/>
    <w:tmpl w:val="C4846DB2"/>
    <w:lvl w:ilvl="0">
      <w:start w:val="1"/>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784824DA"/>
    <w:multiLevelType w:val="hybridMultilevel"/>
    <w:tmpl w:val="6FA475A6"/>
    <w:lvl w:ilvl="0" w:tplc="576E8374">
      <w:start w:val="1"/>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8750453"/>
    <w:multiLevelType w:val="hybridMultilevel"/>
    <w:tmpl w:val="0870FF62"/>
    <w:lvl w:ilvl="0" w:tplc="AB1487F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39941905">
    <w:abstractNumId w:val="11"/>
  </w:num>
  <w:num w:numId="2" w16cid:durableId="330837908">
    <w:abstractNumId w:val="8"/>
  </w:num>
  <w:num w:numId="3" w16cid:durableId="4676416">
    <w:abstractNumId w:val="2"/>
  </w:num>
  <w:num w:numId="4" w16cid:durableId="1394505472">
    <w:abstractNumId w:val="12"/>
  </w:num>
  <w:num w:numId="5" w16cid:durableId="554317356">
    <w:abstractNumId w:val="9"/>
  </w:num>
  <w:num w:numId="6" w16cid:durableId="1386491770">
    <w:abstractNumId w:val="10"/>
  </w:num>
  <w:num w:numId="7" w16cid:durableId="1782262072">
    <w:abstractNumId w:val="5"/>
  </w:num>
  <w:num w:numId="8" w16cid:durableId="1322461471">
    <w:abstractNumId w:val="14"/>
  </w:num>
  <w:num w:numId="9" w16cid:durableId="377975462">
    <w:abstractNumId w:val="3"/>
  </w:num>
  <w:num w:numId="10" w16cid:durableId="1742285648">
    <w:abstractNumId w:val="7"/>
  </w:num>
  <w:num w:numId="11" w16cid:durableId="1612665435">
    <w:abstractNumId w:val="0"/>
  </w:num>
  <w:num w:numId="12" w16cid:durableId="1811703742">
    <w:abstractNumId w:val="4"/>
  </w:num>
  <w:num w:numId="13" w16cid:durableId="854539161">
    <w:abstractNumId w:val="1"/>
  </w:num>
  <w:num w:numId="14" w16cid:durableId="1071923657">
    <w:abstractNumId w:val="13"/>
  </w:num>
  <w:num w:numId="15" w16cid:durableId="12544071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GrammaticalErrors/>
  <w:proofState w:spelling="clean" w:grammar="clean"/>
  <w:defaultTabStop w:val="113"/>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810"/>
    <w:rsid w:val="00000CD0"/>
    <w:rsid w:val="0000444C"/>
    <w:rsid w:val="00004BC8"/>
    <w:rsid w:val="00005BBB"/>
    <w:rsid w:val="000064F0"/>
    <w:rsid w:val="0001012D"/>
    <w:rsid w:val="00010171"/>
    <w:rsid w:val="00010344"/>
    <w:rsid w:val="00013767"/>
    <w:rsid w:val="000143C1"/>
    <w:rsid w:val="00015937"/>
    <w:rsid w:val="00017DAF"/>
    <w:rsid w:val="0002049E"/>
    <w:rsid w:val="00021E5E"/>
    <w:rsid w:val="00024937"/>
    <w:rsid w:val="00025795"/>
    <w:rsid w:val="00026F4A"/>
    <w:rsid w:val="00027A8C"/>
    <w:rsid w:val="000308F6"/>
    <w:rsid w:val="00030A85"/>
    <w:rsid w:val="000329A8"/>
    <w:rsid w:val="00032F5D"/>
    <w:rsid w:val="00036093"/>
    <w:rsid w:val="0003674A"/>
    <w:rsid w:val="00036C06"/>
    <w:rsid w:val="00040934"/>
    <w:rsid w:val="000415BC"/>
    <w:rsid w:val="00043C24"/>
    <w:rsid w:val="00043D28"/>
    <w:rsid w:val="00044AF5"/>
    <w:rsid w:val="00046F93"/>
    <w:rsid w:val="000511AC"/>
    <w:rsid w:val="000523C4"/>
    <w:rsid w:val="00052DD1"/>
    <w:rsid w:val="00052FD5"/>
    <w:rsid w:val="0005548E"/>
    <w:rsid w:val="00056E3C"/>
    <w:rsid w:val="00060161"/>
    <w:rsid w:val="00060986"/>
    <w:rsid w:val="0006323B"/>
    <w:rsid w:val="00064024"/>
    <w:rsid w:val="00065ED1"/>
    <w:rsid w:val="0006683C"/>
    <w:rsid w:val="00067B6B"/>
    <w:rsid w:val="00073BD4"/>
    <w:rsid w:val="0007513B"/>
    <w:rsid w:val="00084774"/>
    <w:rsid w:val="0008502F"/>
    <w:rsid w:val="00085243"/>
    <w:rsid w:val="000877B5"/>
    <w:rsid w:val="0008799B"/>
    <w:rsid w:val="00091CCE"/>
    <w:rsid w:val="00091F51"/>
    <w:rsid w:val="00093875"/>
    <w:rsid w:val="00093E29"/>
    <w:rsid w:val="00095003"/>
    <w:rsid w:val="000955EA"/>
    <w:rsid w:val="00096A44"/>
    <w:rsid w:val="00097625"/>
    <w:rsid w:val="00097ED4"/>
    <w:rsid w:val="000A0F8E"/>
    <w:rsid w:val="000A2AC0"/>
    <w:rsid w:val="000A2B26"/>
    <w:rsid w:val="000A3BD7"/>
    <w:rsid w:val="000A621A"/>
    <w:rsid w:val="000A683E"/>
    <w:rsid w:val="000B0369"/>
    <w:rsid w:val="000B1A62"/>
    <w:rsid w:val="000B2435"/>
    <w:rsid w:val="000B3B05"/>
    <w:rsid w:val="000C01F9"/>
    <w:rsid w:val="000C0734"/>
    <w:rsid w:val="000C0DBB"/>
    <w:rsid w:val="000C15F2"/>
    <w:rsid w:val="000C1BCA"/>
    <w:rsid w:val="000C24A8"/>
    <w:rsid w:val="000C3236"/>
    <w:rsid w:val="000C5821"/>
    <w:rsid w:val="000C62B5"/>
    <w:rsid w:val="000C7E36"/>
    <w:rsid w:val="000D1591"/>
    <w:rsid w:val="000D2C0F"/>
    <w:rsid w:val="000D348B"/>
    <w:rsid w:val="000D5BA1"/>
    <w:rsid w:val="000E04B7"/>
    <w:rsid w:val="000E4DBD"/>
    <w:rsid w:val="000E4F28"/>
    <w:rsid w:val="000E62CD"/>
    <w:rsid w:val="000E651F"/>
    <w:rsid w:val="000E6A81"/>
    <w:rsid w:val="000E72CD"/>
    <w:rsid w:val="000F4D49"/>
    <w:rsid w:val="000F512B"/>
    <w:rsid w:val="000F633B"/>
    <w:rsid w:val="000F6C8B"/>
    <w:rsid w:val="00102478"/>
    <w:rsid w:val="0010269A"/>
    <w:rsid w:val="00104E19"/>
    <w:rsid w:val="00105F44"/>
    <w:rsid w:val="0010700E"/>
    <w:rsid w:val="00107FD9"/>
    <w:rsid w:val="001104BD"/>
    <w:rsid w:val="001109E6"/>
    <w:rsid w:val="001113DE"/>
    <w:rsid w:val="001126CD"/>
    <w:rsid w:val="00112DCA"/>
    <w:rsid w:val="00114C96"/>
    <w:rsid w:val="0011559D"/>
    <w:rsid w:val="001159F5"/>
    <w:rsid w:val="00115C48"/>
    <w:rsid w:val="00115DE2"/>
    <w:rsid w:val="00116331"/>
    <w:rsid w:val="0011669C"/>
    <w:rsid w:val="00117425"/>
    <w:rsid w:val="00120375"/>
    <w:rsid w:val="00120E15"/>
    <w:rsid w:val="00121AFA"/>
    <w:rsid w:val="0012281D"/>
    <w:rsid w:val="001251F5"/>
    <w:rsid w:val="001302A4"/>
    <w:rsid w:val="001308A2"/>
    <w:rsid w:val="00132F9E"/>
    <w:rsid w:val="00133B72"/>
    <w:rsid w:val="00133F77"/>
    <w:rsid w:val="001340A6"/>
    <w:rsid w:val="001340C4"/>
    <w:rsid w:val="00134B6F"/>
    <w:rsid w:val="001357EA"/>
    <w:rsid w:val="0013643F"/>
    <w:rsid w:val="0014058D"/>
    <w:rsid w:val="00142A8B"/>
    <w:rsid w:val="00147F47"/>
    <w:rsid w:val="0015176B"/>
    <w:rsid w:val="001528AB"/>
    <w:rsid w:val="0015340D"/>
    <w:rsid w:val="00153B6C"/>
    <w:rsid w:val="00155800"/>
    <w:rsid w:val="00155FD6"/>
    <w:rsid w:val="00156CAB"/>
    <w:rsid w:val="0016110D"/>
    <w:rsid w:val="00163BDA"/>
    <w:rsid w:val="00164B2D"/>
    <w:rsid w:val="00166979"/>
    <w:rsid w:val="00167739"/>
    <w:rsid w:val="0016774E"/>
    <w:rsid w:val="00167D34"/>
    <w:rsid w:val="00170157"/>
    <w:rsid w:val="001710B8"/>
    <w:rsid w:val="001714F7"/>
    <w:rsid w:val="00171CB0"/>
    <w:rsid w:val="00171CB2"/>
    <w:rsid w:val="0017630D"/>
    <w:rsid w:val="00176773"/>
    <w:rsid w:val="00177054"/>
    <w:rsid w:val="00183BB4"/>
    <w:rsid w:val="00184ADF"/>
    <w:rsid w:val="001904A7"/>
    <w:rsid w:val="00191657"/>
    <w:rsid w:val="00193ED9"/>
    <w:rsid w:val="00194409"/>
    <w:rsid w:val="00194C5D"/>
    <w:rsid w:val="00196821"/>
    <w:rsid w:val="001A0945"/>
    <w:rsid w:val="001A0D72"/>
    <w:rsid w:val="001A267C"/>
    <w:rsid w:val="001A3087"/>
    <w:rsid w:val="001A3512"/>
    <w:rsid w:val="001A4D3A"/>
    <w:rsid w:val="001A5416"/>
    <w:rsid w:val="001A6C5E"/>
    <w:rsid w:val="001B30C7"/>
    <w:rsid w:val="001B588E"/>
    <w:rsid w:val="001B69C0"/>
    <w:rsid w:val="001B7D84"/>
    <w:rsid w:val="001C0647"/>
    <w:rsid w:val="001C228D"/>
    <w:rsid w:val="001C261C"/>
    <w:rsid w:val="001C3242"/>
    <w:rsid w:val="001C4720"/>
    <w:rsid w:val="001C6148"/>
    <w:rsid w:val="001C6EC4"/>
    <w:rsid w:val="001C7E19"/>
    <w:rsid w:val="001D1D24"/>
    <w:rsid w:val="001D2219"/>
    <w:rsid w:val="001D39EA"/>
    <w:rsid w:val="001D51CB"/>
    <w:rsid w:val="001D5680"/>
    <w:rsid w:val="001D6D81"/>
    <w:rsid w:val="001E3079"/>
    <w:rsid w:val="001E3F40"/>
    <w:rsid w:val="001E50AC"/>
    <w:rsid w:val="001E60EE"/>
    <w:rsid w:val="001F3DCD"/>
    <w:rsid w:val="001F519A"/>
    <w:rsid w:val="001F6F61"/>
    <w:rsid w:val="001F7002"/>
    <w:rsid w:val="001F7AC8"/>
    <w:rsid w:val="0020460D"/>
    <w:rsid w:val="0020530E"/>
    <w:rsid w:val="002056DB"/>
    <w:rsid w:val="00210C99"/>
    <w:rsid w:val="00212895"/>
    <w:rsid w:val="002174EB"/>
    <w:rsid w:val="002216AC"/>
    <w:rsid w:val="002245BD"/>
    <w:rsid w:val="002251F3"/>
    <w:rsid w:val="002255B6"/>
    <w:rsid w:val="00226806"/>
    <w:rsid w:val="00227F2D"/>
    <w:rsid w:val="0023171A"/>
    <w:rsid w:val="00231FDD"/>
    <w:rsid w:val="002340AE"/>
    <w:rsid w:val="0023582A"/>
    <w:rsid w:val="002365E4"/>
    <w:rsid w:val="00240035"/>
    <w:rsid w:val="002409D0"/>
    <w:rsid w:val="00242217"/>
    <w:rsid w:val="002424AF"/>
    <w:rsid w:val="002454BF"/>
    <w:rsid w:val="00245CD7"/>
    <w:rsid w:val="002466EE"/>
    <w:rsid w:val="002477AD"/>
    <w:rsid w:val="002514CF"/>
    <w:rsid w:val="0025267F"/>
    <w:rsid w:val="002528FF"/>
    <w:rsid w:val="00252EB7"/>
    <w:rsid w:val="0025413E"/>
    <w:rsid w:val="002560DD"/>
    <w:rsid w:val="00257B27"/>
    <w:rsid w:val="00261509"/>
    <w:rsid w:val="002625F3"/>
    <w:rsid w:val="00264421"/>
    <w:rsid w:val="00270262"/>
    <w:rsid w:val="00272B6F"/>
    <w:rsid w:val="00276DE2"/>
    <w:rsid w:val="002770DC"/>
    <w:rsid w:val="0028117F"/>
    <w:rsid w:val="00281B7A"/>
    <w:rsid w:val="0028423D"/>
    <w:rsid w:val="00285E92"/>
    <w:rsid w:val="00286AB5"/>
    <w:rsid w:val="00287E9A"/>
    <w:rsid w:val="00291E2E"/>
    <w:rsid w:val="0029220B"/>
    <w:rsid w:val="0029348C"/>
    <w:rsid w:val="00293A09"/>
    <w:rsid w:val="0029671A"/>
    <w:rsid w:val="002A0788"/>
    <w:rsid w:val="002A0DA8"/>
    <w:rsid w:val="002A1509"/>
    <w:rsid w:val="002A4B41"/>
    <w:rsid w:val="002B0745"/>
    <w:rsid w:val="002B5876"/>
    <w:rsid w:val="002B70CF"/>
    <w:rsid w:val="002B75CD"/>
    <w:rsid w:val="002C0024"/>
    <w:rsid w:val="002C2983"/>
    <w:rsid w:val="002C439B"/>
    <w:rsid w:val="002C61E3"/>
    <w:rsid w:val="002D0CE4"/>
    <w:rsid w:val="002D24AD"/>
    <w:rsid w:val="002D3E22"/>
    <w:rsid w:val="002D4FEB"/>
    <w:rsid w:val="002D69EB"/>
    <w:rsid w:val="002D6CCD"/>
    <w:rsid w:val="002E01EA"/>
    <w:rsid w:val="002E762C"/>
    <w:rsid w:val="002F28FD"/>
    <w:rsid w:val="002F2D1A"/>
    <w:rsid w:val="002F590D"/>
    <w:rsid w:val="002F6F0E"/>
    <w:rsid w:val="002F7C05"/>
    <w:rsid w:val="00303528"/>
    <w:rsid w:val="0031024E"/>
    <w:rsid w:val="00311188"/>
    <w:rsid w:val="003122B1"/>
    <w:rsid w:val="003141E1"/>
    <w:rsid w:val="003149F5"/>
    <w:rsid w:val="00316679"/>
    <w:rsid w:val="0031753E"/>
    <w:rsid w:val="003201ED"/>
    <w:rsid w:val="00323626"/>
    <w:rsid w:val="003254D0"/>
    <w:rsid w:val="00327748"/>
    <w:rsid w:val="00327870"/>
    <w:rsid w:val="00332272"/>
    <w:rsid w:val="00333C47"/>
    <w:rsid w:val="003355AD"/>
    <w:rsid w:val="00336476"/>
    <w:rsid w:val="003366FD"/>
    <w:rsid w:val="003452B3"/>
    <w:rsid w:val="003454D8"/>
    <w:rsid w:val="003454F1"/>
    <w:rsid w:val="0034555A"/>
    <w:rsid w:val="00351ACD"/>
    <w:rsid w:val="0035284D"/>
    <w:rsid w:val="00355F46"/>
    <w:rsid w:val="00356B37"/>
    <w:rsid w:val="00356CF5"/>
    <w:rsid w:val="00357058"/>
    <w:rsid w:val="003611A9"/>
    <w:rsid w:val="00361B01"/>
    <w:rsid w:val="00361E33"/>
    <w:rsid w:val="00362E94"/>
    <w:rsid w:val="0036339D"/>
    <w:rsid w:val="003645DE"/>
    <w:rsid w:val="0036534B"/>
    <w:rsid w:val="003707AD"/>
    <w:rsid w:val="00371162"/>
    <w:rsid w:val="003734CB"/>
    <w:rsid w:val="00376816"/>
    <w:rsid w:val="00376E44"/>
    <w:rsid w:val="00377393"/>
    <w:rsid w:val="00381597"/>
    <w:rsid w:val="00381EBD"/>
    <w:rsid w:val="00383C23"/>
    <w:rsid w:val="00384500"/>
    <w:rsid w:val="00384C8E"/>
    <w:rsid w:val="003856AA"/>
    <w:rsid w:val="00385A44"/>
    <w:rsid w:val="00387366"/>
    <w:rsid w:val="003878B5"/>
    <w:rsid w:val="0039092E"/>
    <w:rsid w:val="00390A80"/>
    <w:rsid w:val="003918E6"/>
    <w:rsid w:val="00392BD2"/>
    <w:rsid w:val="00393323"/>
    <w:rsid w:val="003934E2"/>
    <w:rsid w:val="00394C48"/>
    <w:rsid w:val="003958C4"/>
    <w:rsid w:val="00395C47"/>
    <w:rsid w:val="003A01D8"/>
    <w:rsid w:val="003A173F"/>
    <w:rsid w:val="003A19FC"/>
    <w:rsid w:val="003A6108"/>
    <w:rsid w:val="003A7997"/>
    <w:rsid w:val="003B1371"/>
    <w:rsid w:val="003B4148"/>
    <w:rsid w:val="003B53D9"/>
    <w:rsid w:val="003B54FF"/>
    <w:rsid w:val="003B744E"/>
    <w:rsid w:val="003C1304"/>
    <w:rsid w:val="003C25A4"/>
    <w:rsid w:val="003C4CC7"/>
    <w:rsid w:val="003C572C"/>
    <w:rsid w:val="003C6EBE"/>
    <w:rsid w:val="003C7F30"/>
    <w:rsid w:val="003D1200"/>
    <w:rsid w:val="003D1AC6"/>
    <w:rsid w:val="003D3F20"/>
    <w:rsid w:val="003D645A"/>
    <w:rsid w:val="003D79E3"/>
    <w:rsid w:val="003E0299"/>
    <w:rsid w:val="003E113C"/>
    <w:rsid w:val="003E14F7"/>
    <w:rsid w:val="003E447D"/>
    <w:rsid w:val="003E4CA9"/>
    <w:rsid w:val="003E6428"/>
    <w:rsid w:val="003E658E"/>
    <w:rsid w:val="003F094F"/>
    <w:rsid w:val="003F193F"/>
    <w:rsid w:val="003F24C8"/>
    <w:rsid w:val="003F47D7"/>
    <w:rsid w:val="003F5377"/>
    <w:rsid w:val="00401C14"/>
    <w:rsid w:val="004057D0"/>
    <w:rsid w:val="00406D1F"/>
    <w:rsid w:val="00411E21"/>
    <w:rsid w:val="004134D3"/>
    <w:rsid w:val="00414490"/>
    <w:rsid w:val="00416234"/>
    <w:rsid w:val="00417D5A"/>
    <w:rsid w:val="00421B57"/>
    <w:rsid w:val="00422F5F"/>
    <w:rsid w:val="004272AB"/>
    <w:rsid w:val="00430BCC"/>
    <w:rsid w:val="00431590"/>
    <w:rsid w:val="00432382"/>
    <w:rsid w:val="00432965"/>
    <w:rsid w:val="00433B62"/>
    <w:rsid w:val="00433E8D"/>
    <w:rsid w:val="00443635"/>
    <w:rsid w:val="00443D5E"/>
    <w:rsid w:val="00445EA9"/>
    <w:rsid w:val="00446158"/>
    <w:rsid w:val="0044796A"/>
    <w:rsid w:val="00447CD2"/>
    <w:rsid w:val="00452ABF"/>
    <w:rsid w:val="0045342B"/>
    <w:rsid w:val="0045433A"/>
    <w:rsid w:val="004554BB"/>
    <w:rsid w:val="00457265"/>
    <w:rsid w:val="004576A5"/>
    <w:rsid w:val="00460338"/>
    <w:rsid w:val="004616F4"/>
    <w:rsid w:val="00462E5D"/>
    <w:rsid w:val="00465381"/>
    <w:rsid w:val="00466EAF"/>
    <w:rsid w:val="004705F4"/>
    <w:rsid w:val="00470C32"/>
    <w:rsid w:val="00470DC0"/>
    <w:rsid w:val="004716C6"/>
    <w:rsid w:val="00471A89"/>
    <w:rsid w:val="0047232E"/>
    <w:rsid w:val="0047278F"/>
    <w:rsid w:val="004730C3"/>
    <w:rsid w:val="00473686"/>
    <w:rsid w:val="00473DE2"/>
    <w:rsid w:val="00474129"/>
    <w:rsid w:val="00474D19"/>
    <w:rsid w:val="00475D18"/>
    <w:rsid w:val="004800AD"/>
    <w:rsid w:val="00481113"/>
    <w:rsid w:val="00482543"/>
    <w:rsid w:val="004828AA"/>
    <w:rsid w:val="0048359C"/>
    <w:rsid w:val="00484ADD"/>
    <w:rsid w:val="00485E79"/>
    <w:rsid w:val="00487B50"/>
    <w:rsid w:val="0049183C"/>
    <w:rsid w:val="0049273B"/>
    <w:rsid w:val="00492A18"/>
    <w:rsid w:val="0049746F"/>
    <w:rsid w:val="004A1F92"/>
    <w:rsid w:val="004A2E9E"/>
    <w:rsid w:val="004A30C0"/>
    <w:rsid w:val="004A3FFF"/>
    <w:rsid w:val="004A59FB"/>
    <w:rsid w:val="004A5A8B"/>
    <w:rsid w:val="004B1E27"/>
    <w:rsid w:val="004B28E9"/>
    <w:rsid w:val="004B2D6E"/>
    <w:rsid w:val="004B4E0C"/>
    <w:rsid w:val="004B506B"/>
    <w:rsid w:val="004B5E40"/>
    <w:rsid w:val="004B66DB"/>
    <w:rsid w:val="004B6852"/>
    <w:rsid w:val="004C0A36"/>
    <w:rsid w:val="004C4C58"/>
    <w:rsid w:val="004C5A76"/>
    <w:rsid w:val="004C7243"/>
    <w:rsid w:val="004C753A"/>
    <w:rsid w:val="004C7A7B"/>
    <w:rsid w:val="004D3FA8"/>
    <w:rsid w:val="004D43CF"/>
    <w:rsid w:val="004D47EB"/>
    <w:rsid w:val="004D6813"/>
    <w:rsid w:val="004D6EE5"/>
    <w:rsid w:val="004D76B9"/>
    <w:rsid w:val="004D7727"/>
    <w:rsid w:val="004D7977"/>
    <w:rsid w:val="004E0B8D"/>
    <w:rsid w:val="004E1AB3"/>
    <w:rsid w:val="004E2B27"/>
    <w:rsid w:val="004E2C36"/>
    <w:rsid w:val="004E3C46"/>
    <w:rsid w:val="004E5045"/>
    <w:rsid w:val="004F0320"/>
    <w:rsid w:val="004F0654"/>
    <w:rsid w:val="004F1260"/>
    <w:rsid w:val="00500E2F"/>
    <w:rsid w:val="00501FD3"/>
    <w:rsid w:val="005028E4"/>
    <w:rsid w:val="00502B5B"/>
    <w:rsid w:val="00503ABE"/>
    <w:rsid w:val="00503CF7"/>
    <w:rsid w:val="005048EE"/>
    <w:rsid w:val="00504DB6"/>
    <w:rsid w:val="00507645"/>
    <w:rsid w:val="00510616"/>
    <w:rsid w:val="00510A94"/>
    <w:rsid w:val="005121F5"/>
    <w:rsid w:val="0051335C"/>
    <w:rsid w:val="0051341B"/>
    <w:rsid w:val="0051429C"/>
    <w:rsid w:val="0051506E"/>
    <w:rsid w:val="005154FE"/>
    <w:rsid w:val="0051650C"/>
    <w:rsid w:val="00516690"/>
    <w:rsid w:val="00517093"/>
    <w:rsid w:val="00520208"/>
    <w:rsid w:val="00520BF5"/>
    <w:rsid w:val="0052147C"/>
    <w:rsid w:val="00521F39"/>
    <w:rsid w:val="005226B7"/>
    <w:rsid w:val="0052530D"/>
    <w:rsid w:val="00534A0C"/>
    <w:rsid w:val="0053547E"/>
    <w:rsid w:val="005368AA"/>
    <w:rsid w:val="0053782D"/>
    <w:rsid w:val="0054085F"/>
    <w:rsid w:val="00540B77"/>
    <w:rsid w:val="00541133"/>
    <w:rsid w:val="0054790B"/>
    <w:rsid w:val="00552610"/>
    <w:rsid w:val="00553514"/>
    <w:rsid w:val="0055662F"/>
    <w:rsid w:val="005567B3"/>
    <w:rsid w:val="00560273"/>
    <w:rsid w:val="00560FA3"/>
    <w:rsid w:val="00561471"/>
    <w:rsid w:val="0056176B"/>
    <w:rsid w:val="00561BCA"/>
    <w:rsid w:val="00563E2D"/>
    <w:rsid w:val="005710B7"/>
    <w:rsid w:val="00572F38"/>
    <w:rsid w:val="00573D9D"/>
    <w:rsid w:val="0057647B"/>
    <w:rsid w:val="00576F72"/>
    <w:rsid w:val="00577763"/>
    <w:rsid w:val="00583CB4"/>
    <w:rsid w:val="00583DA1"/>
    <w:rsid w:val="00585AC3"/>
    <w:rsid w:val="00586627"/>
    <w:rsid w:val="0059018D"/>
    <w:rsid w:val="00590D9C"/>
    <w:rsid w:val="00590F13"/>
    <w:rsid w:val="00593811"/>
    <w:rsid w:val="00595724"/>
    <w:rsid w:val="005A092F"/>
    <w:rsid w:val="005A0DFC"/>
    <w:rsid w:val="005A6808"/>
    <w:rsid w:val="005A758B"/>
    <w:rsid w:val="005B047E"/>
    <w:rsid w:val="005B1193"/>
    <w:rsid w:val="005B2BFD"/>
    <w:rsid w:val="005B49AE"/>
    <w:rsid w:val="005B4BAD"/>
    <w:rsid w:val="005B5C93"/>
    <w:rsid w:val="005B7E50"/>
    <w:rsid w:val="005C0A0E"/>
    <w:rsid w:val="005C1CC5"/>
    <w:rsid w:val="005C3DD2"/>
    <w:rsid w:val="005C7D71"/>
    <w:rsid w:val="005D02BB"/>
    <w:rsid w:val="005D200C"/>
    <w:rsid w:val="005D354A"/>
    <w:rsid w:val="005D5368"/>
    <w:rsid w:val="005E1468"/>
    <w:rsid w:val="005E1E78"/>
    <w:rsid w:val="005E2624"/>
    <w:rsid w:val="005E3DFB"/>
    <w:rsid w:val="005E5122"/>
    <w:rsid w:val="005F03FB"/>
    <w:rsid w:val="005F066C"/>
    <w:rsid w:val="005F0F5D"/>
    <w:rsid w:val="005F401F"/>
    <w:rsid w:val="005F4FEE"/>
    <w:rsid w:val="005F62DC"/>
    <w:rsid w:val="005F7EC2"/>
    <w:rsid w:val="00600531"/>
    <w:rsid w:val="00602315"/>
    <w:rsid w:val="00602A45"/>
    <w:rsid w:val="0060404B"/>
    <w:rsid w:val="006103EE"/>
    <w:rsid w:val="00614E54"/>
    <w:rsid w:val="00615406"/>
    <w:rsid w:val="006161C5"/>
    <w:rsid w:val="006252B3"/>
    <w:rsid w:val="0062582D"/>
    <w:rsid w:val="00625C55"/>
    <w:rsid w:val="006279EC"/>
    <w:rsid w:val="00630B72"/>
    <w:rsid w:val="006310E3"/>
    <w:rsid w:val="00632B4B"/>
    <w:rsid w:val="00632C94"/>
    <w:rsid w:val="00633FA7"/>
    <w:rsid w:val="0063555E"/>
    <w:rsid w:val="00640B7C"/>
    <w:rsid w:val="006444FD"/>
    <w:rsid w:val="00644B26"/>
    <w:rsid w:val="00646384"/>
    <w:rsid w:val="00647388"/>
    <w:rsid w:val="0065343B"/>
    <w:rsid w:val="0065396B"/>
    <w:rsid w:val="00653AEE"/>
    <w:rsid w:val="00654B9E"/>
    <w:rsid w:val="00654EF1"/>
    <w:rsid w:val="0066273B"/>
    <w:rsid w:val="00662EA3"/>
    <w:rsid w:val="00664927"/>
    <w:rsid w:val="00665572"/>
    <w:rsid w:val="00665B79"/>
    <w:rsid w:val="0067146C"/>
    <w:rsid w:val="00672B19"/>
    <w:rsid w:val="006738A8"/>
    <w:rsid w:val="006764D0"/>
    <w:rsid w:val="006824A1"/>
    <w:rsid w:val="0068332F"/>
    <w:rsid w:val="006857A1"/>
    <w:rsid w:val="00685EEF"/>
    <w:rsid w:val="00692DB8"/>
    <w:rsid w:val="00693795"/>
    <w:rsid w:val="006939C6"/>
    <w:rsid w:val="00695AE7"/>
    <w:rsid w:val="006974DA"/>
    <w:rsid w:val="006A00D4"/>
    <w:rsid w:val="006A1510"/>
    <w:rsid w:val="006A1AF4"/>
    <w:rsid w:val="006A73C0"/>
    <w:rsid w:val="006A7C9C"/>
    <w:rsid w:val="006B1CC1"/>
    <w:rsid w:val="006B2247"/>
    <w:rsid w:val="006B3897"/>
    <w:rsid w:val="006B69EA"/>
    <w:rsid w:val="006B7588"/>
    <w:rsid w:val="006C011F"/>
    <w:rsid w:val="006C1420"/>
    <w:rsid w:val="006C274F"/>
    <w:rsid w:val="006C369B"/>
    <w:rsid w:val="006C4D27"/>
    <w:rsid w:val="006C6DE7"/>
    <w:rsid w:val="006D196F"/>
    <w:rsid w:val="006D2DDF"/>
    <w:rsid w:val="006D2F34"/>
    <w:rsid w:val="006D454F"/>
    <w:rsid w:val="006D7391"/>
    <w:rsid w:val="006E128F"/>
    <w:rsid w:val="006E1D58"/>
    <w:rsid w:val="006E31CF"/>
    <w:rsid w:val="006F34B0"/>
    <w:rsid w:val="006F5C07"/>
    <w:rsid w:val="006F6B5B"/>
    <w:rsid w:val="006F7A3E"/>
    <w:rsid w:val="00701052"/>
    <w:rsid w:val="007025F6"/>
    <w:rsid w:val="0070334C"/>
    <w:rsid w:val="00703D15"/>
    <w:rsid w:val="00705288"/>
    <w:rsid w:val="007067CE"/>
    <w:rsid w:val="00706B05"/>
    <w:rsid w:val="00711E36"/>
    <w:rsid w:val="0071603B"/>
    <w:rsid w:val="00716C68"/>
    <w:rsid w:val="007179AF"/>
    <w:rsid w:val="007179E8"/>
    <w:rsid w:val="00721047"/>
    <w:rsid w:val="00722215"/>
    <w:rsid w:val="00722358"/>
    <w:rsid w:val="00722787"/>
    <w:rsid w:val="00722FF3"/>
    <w:rsid w:val="007251FE"/>
    <w:rsid w:val="00726E58"/>
    <w:rsid w:val="007323FF"/>
    <w:rsid w:val="00732E93"/>
    <w:rsid w:val="00734516"/>
    <w:rsid w:val="0073563C"/>
    <w:rsid w:val="00736DE9"/>
    <w:rsid w:val="00741147"/>
    <w:rsid w:val="007427E7"/>
    <w:rsid w:val="0074675E"/>
    <w:rsid w:val="007523DF"/>
    <w:rsid w:val="007524AC"/>
    <w:rsid w:val="0075656B"/>
    <w:rsid w:val="00760AE5"/>
    <w:rsid w:val="0076237E"/>
    <w:rsid w:val="00764184"/>
    <w:rsid w:val="00770508"/>
    <w:rsid w:val="00770ACC"/>
    <w:rsid w:val="00771B27"/>
    <w:rsid w:val="00773F58"/>
    <w:rsid w:val="0077470E"/>
    <w:rsid w:val="00780781"/>
    <w:rsid w:val="00781188"/>
    <w:rsid w:val="00781932"/>
    <w:rsid w:val="00781991"/>
    <w:rsid w:val="00790938"/>
    <w:rsid w:val="007930D8"/>
    <w:rsid w:val="007944B1"/>
    <w:rsid w:val="00794753"/>
    <w:rsid w:val="00795A54"/>
    <w:rsid w:val="00796FE7"/>
    <w:rsid w:val="007973E3"/>
    <w:rsid w:val="007A0313"/>
    <w:rsid w:val="007A0448"/>
    <w:rsid w:val="007A2074"/>
    <w:rsid w:val="007A2428"/>
    <w:rsid w:val="007A4A3C"/>
    <w:rsid w:val="007A6F54"/>
    <w:rsid w:val="007B2842"/>
    <w:rsid w:val="007B311C"/>
    <w:rsid w:val="007B3124"/>
    <w:rsid w:val="007B4D87"/>
    <w:rsid w:val="007B6B38"/>
    <w:rsid w:val="007C0C35"/>
    <w:rsid w:val="007C2933"/>
    <w:rsid w:val="007C3D0B"/>
    <w:rsid w:val="007C5360"/>
    <w:rsid w:val="007C5F92"/>
    <w:rsid w:val="007C5FF6"/>
    <w:rsid w:val="007C6470"/>
    <w:rsid w:val="007D1946"/>
    <w:rsid w:val="007D1B61"/>
    <w:rsid w:val="007D46BD"/>
    <w:rsid w:val="007D6637"/>
    <w:rsid w:val="007D7BA9"/>
    <w:rsid w:val="007D7F58"/>
    <w:rsid w:val="007E126A"/>
    <w:rsid w:val="007E1578"/>
    <w:rsid w:val="007E18F8"/>
    <w:rsid w:val="007E268A"/>
    <w:rsid w:val="007E398F"/>
    <w:rsid w:val="007E49B5"/>
    <w:rsid w:val="007E755D"/>
    <w:rsid w:val="007F1215"/>
    <w:rsid w:val="007F1B5D"/>
    <w:rsid w:val="007F299C"/>
    <w:rsid w:val="007F484D"/>
    <w:rsid w:val="007F7100"/>
    <w:rsid w:val="007F73B7"/>
    <w:rsid w:val="007F7B85"/>
    <w:rsid w:val="008017DF"/>
    <w:rsid w:val="00802E2D"/>
    <w:rsid w:val="00802E7A"/>
    <w:rsid w:val="008032D2"/>
    <w:rsid w:val="00804A57"/>
    <w:rsid w:val="00804CE6"/>
    <w:rsid w:val="00811060"/>
    <w:rsid w:val="00811488"/>
    <w:rsid w:val="0081179E"/>
    <w:rsid w:val="0081373F"/>
    <w:rsid w:val="00814A1B"/>
    <w:rsid w:val="0081662F"/>
    <w:rsid w:val="008169AF"/>
    <w:rsid w:val="0082283F"/>
    <w:rsid w:val="0082413D"/>
    <w:rsid w:val="0082687D"/>
    <w:rsid w:val="008307DB"/>
    <w:rsid w:val="00830A63"/>
    <w:rsid w:val="00831280"/>
    <w:rsid w:val="00831E4F"/>
    <w:rsid w:val="008324C3"/>
    <w:rsid w:val="008329B9"/>
    <w:rsid w:val="008413DC"/>
    <w:rsid w:val="008419B2"/>
    <w:rsid w:val="00841ECD"/>
    <w:rsid w:val="00842CE8"/>
    <w:rsid w:val="0084332E"/>
    <w:rsid w:val="00843A43"/>
    <w:rsid w:val="008445BD"/>
    <w:rsid w:val="008459C0"/>
    <w:rsid w:val="00850587"/>
    <w:rsid w:val="00852CD5"/>
    <w:rsid w:val="008546AF"/>
    <w:rsid w:val="00857496"/>
    <w:rsid w:val="008602A1"/>
    <w:rsid w:val="0086093E"/>
    <w:rsid w:val="00861E5F"/>
    <w:rsid w:val="008624AA"/>
    <w:rsid w:val="008732B5"/>
    <w:rsid w:val="00873D9A"/>
    <w:rsid w:val="00874931"/>
    <w:rsid w:val="00876044"/>
    <w:rsid w:val="00876F7C"/>
    <w:rsid w:val="00881778"/>
    <w:rsid w:val="00885586"/>
    <w:rsid w:val="00886004"/>
    <w:rsid w:val="00886BE3"/>
    <w:rsid w:val="00887056"/>
    <w:rsid w:val="008875A3"/>
    <w:rsid w:val="0089664A"/>
    <w:rsid w:val="008967B8"/>
    <w:rsid w:val="00896E15"/>
    <w:rsid w:val="00897525"/>
    <w:rsid w:val="00897E2F"/>
    <w:rsid w:val="008A0309"/>
    <w:rsid w:val="008A1E3B"/>
    <w:rsid w:val="008A55DA"/>
    <w:rsid w:val="008A57B9"/>
    <w:rsid w:val="008A6250"/>
    <w:rsid w:val="008B01FD"/>
    <w:rsid w:val="008B2C14"/>
    <w:rsid w:val="008B2C34"/>
    <w:rsid w:val="008B6717"/>
    <w:rsid w:val="008B76F4"/>
    <w:rsid w:val="008B791D"/>
    <w:rsid w:val="008C0EB0"/>
    <w:rsid w:val="008C4B05"/>
    <w:rsid w:val="008C609C"/>
    <w:rsid w:val="008C7E7A"/>
    <w:rsid w:val="008D0378"/>
    <w:rsid w:val="008D078E"/>
    <w:rsid w:val="008D0DEE"/>
    <w:rsid w:val="008D2BA0"/>
    <w:rsid w:val="008D47F0"/>
    <w:rsid w:val="008D488A"/>
    <w:rsid w:val="008D4A5C"/>
    <w:rsid w:val="008D56DA"/>
    <w:rsid w:val="008D5BE9"/>
    <w:rsid w:val="008D71B5"/>
    <w:rsid w:val="008E15B9"/>
    <w:rsid w:val="008E34B5"/>
    <w:rsid w:val="008F25A6"/>
    <w:rsid w:val="008F2B22"/>
    <w:rsid w:val="008F46DD"/>
    <w:rsid w:val="008F5105"/>
    <w:rsid w:val="00901D2A"/>
    <w:rsid w:val="0090235B"/>
    <w:rsid w:val="00902574"/>
    <w:rsid w:val="00903E29"/>
    <w:rsid w:val="00904876"/>
    <w:rsid w:val="0091085F"/>
    <w:rsid w:val="00912DA9"/>
    <w:rsid w:val="00914BB0"/>
    <w:rsid w:val="009151D8"/>
    <w:rsid w:val="00915EE4"/>
    <w:rsid w:val="009205C4"/>
    <w:rsid w:val="00922BBE"/>
    <w:rsid w:val="009232BB"/>
    <w:rsid w:val="00923FA3"/>
    <w:rsid w:val="00926700"/>
    <w:rsid w:val="00927B2A"/>
    <w:rsid w:val="00930199"/>
    <w:rsid w:val="00931452"/>
    <w:rsid w:val="0093156A"/>
    <w:rsid w:val="009339F6"/>
    <w:rsid w:val="00935D4D"/>
    <w:rsid w:val="009367C8"/>
    <w:rsid w:val="00941D29"/>
    <w:rsid w:val="00950B46"/>
    <w:rsid w:val="00952C2E"/>
    <w:rsid w:val="00954934"/>
    <w:rsid w:val="00955276"/>
    <w:rsid w:val="0095757C"/>
    <w:rsid w:val="00957928"/>
    <w:rsid w:val="00962C56"/>
    <w:rsid w:val="0096449D"/>
    <w:rsid w:val="00965DA8"/>
    <w:rsid w:val="00966F04"/>
    <w:rsid w:val="009702CA"/>
    <w:rsid w:val="009706E4"/>
    <w:rsid w:val="0097473C"/>
    <w:rsid w:val="0097565A"/>
    <w:rsid w:val="0097632B"/>
    <w:rsid w:val="009765FE"/>
    <w:rsid w:val="0098228A"/>
    <w:rsid w:val="0098573C"/>
    <w:rsid w:val="00990D8F"/>
    <w:rsid w:val="00990DB3"/>
    <w:rsid w:val="00991504"/>
    <w:rsid w:val="009915CA"/>
    <w:rsid w:val="0099274F"/>
    <w:rsid w:val="009A1E7E"/>
    <w:rsid w:val="009A2828"/>
    <w:rsid w:val="009A3910"/>
    <w:rsid w:val="009A3EF2"/>
    <w:rsid w:val="009A55C6"/>
    <w:rsid w:val="009A569F"/>
    <w:rsid w:val="009A5A03"/>
    <w:rsid w:val="009A5F4B"/>
    <w:rsid w:val="009B0545"/>
    <w:rsid w:val="009B30AF"/>
    <w:rsid w:val="009B448D"/>
    <w:rsid w:val="009B5EEC"/>
    <w:rsid w:val="009C0AD6"/>
    <w:rsid w:val="009C7778"/>
    <w:rsid w:val="009C7C63"/>
    <w:rsid w:val="009D1257"/>
    <w:rsid w:val="009D1A91"/>
    <w:rsid w:val="009D4224"/>
    <w:rsid w:val="009D4418"/>
    <w:rsid w:val="009D5B94"/>
    <w:rsid w:val="009D6FB6"/>
    <w:rsid w:val="009D72CE"/>
    <w:rsid w:val="009D7FBD"/>
    <w:rsid w:val="009E0C35"/>
    <w:rsid w:val="009E1EF8"/>
    <w:rsid w:val="009E2D52"/>
    <w:rsid w:val="009E5EBB"/>
    <w:rsid w:val="009E6A8F"/>
    <w:rsid w:val="009E6D96"/>
    <w:rsid w:val="009E7797"/>
    <w:rsid w:val="009E7A1C"/>
    <w:rsid w:val="009E7BE3"/>
    <w:rsid w:val="009E7E1C"/>
    <w:rsid w:val="009F1BAF"/>
    <w:rsid w:val="009F442F"/>
    <w:rsid w:val="009F6782"/>
    <w:rsid w:val="009F6A5B"/>
    <w:rsid w:val="009F6D86"/>
    <w:rsid w:val="009F7468"/>
    <w:rsid w:val="00A00624"/>
    <w:rsid w:val="00A00B4F"/>
    <w:rsid w:val="00A00F60"/>
    <w:rsid w:val="00A00FEC"/>
    <w:rsid w:val="00A017BE"/>
    <w:rsid w:val="00A06FA4"/>
    <w:rsid w:val="00A07098"/>
    <w:rsid w:val="00A10B2F"/>
    <w:rsid w:val="00A11CF5"/>
    <w:rsid w:val="00A12A19"/>
    <w:rsid w:val="00A15812"/>
    <w:rsid w:val="00A16F70"/>
    <w:rsid w:val="00A179A8"/>
    <w:rsid w:val="00A20669"/>
    <w:rsid w:val="00A22A48"/>
    <w:rsid w:val="00A31941"/>
    <w:rsid w:val="00A31C88"/>
    <w:rsid w:val="00A3459B"/>
    <w:rsid w:val="00A35083"/>
    <w:rsid w:val="00A360DB"/>
    <w:rsid w:val="00A36B16"/>
    <w:rsid w:val="00A4037A"/>
    <w:rsid w:val="00A413B9"/>
    <w:rsid w:val="00A4415F"/>
    <w:rsid w:val="00A44227"/>
    <w:rsid w:val="00A45B57"/>
    <w:rsid w:val="00A473A6"/>
    <w:rsid w:val="00A5134C"/>
    <w:rsid w:val="00A5186C"/>
    <w:rsid w:val="00A5284F"/>
    <w:rsid w:val="00A55389"/>
    <w:rsid w:val="00A605FB"/>
    <w:rsid w:val="00A617D8"/>
    <w:rsid w:val="00A62C90"/>
    <w:rsid w:val="00A65CCE"/>
    <w:rsid w:val="00A70451"/>
    <w:rsid w:val="00A70B23"/>
    <w:rsid w:val="00A734B6"/>
    <w:rsid w:val="00A7417D"/>
    <w:rsid w:val="00A75FA5"/>
    <w:rsid w:val="00A777FE"/>
    <w:rsid w:val="00A80A8A"/>
    <w:rsid w:val="00A81342"/>
    <w:rsid w:val="00A8241C"/>
    <w:rsid w:val="00A84E78"/>
    <w:rsid w:val="00A868D5"/>
    <w:rsid w:val="00A8764C"/>
    <w:rsid w:val="00A919B2"/>
    <w:rsid w:val="00A92B7D"/>
    <w:rsid w:val="00A94207"/>
    <w:rsid w:val="00A9452C"/>
    <w:rsid w:val="00A94E96"/>
    <w:rsid w:val="00A96B37"/>
    <w:rsid w:val="00A97214"/>
    <w:rsid w:val="00A9727B"/>
    <w:rsid w:val="00A976FA"/>
    <w:rsid w:val="00AA03D0"/>
    <w:rsid w:val="00AA0F01"/>
    <w:rsid w:val="00AA1476"/>
    <w:rsid w:val="00AA15A2"/>
    <w:rsid w:val="00AA2532"/>
    <w:rsid w:val="00AA3C67"/>
    <w:rsid w:val="00AA7B2D"/>
    <w:rsid w:val="00AA7B77"/>
    <w:rsid w:val="00AB00DA"/>
    <w:rsid w:val="00AB1F40"/>
    <w:rsid w:val="00AB207B"/>
    <w:rsid w:val="00AB3CF9"/>
    <w:rsid w:val="00AB5370"/>
    <w:rsid w:val="00AB5601"/>
    <w:rsid w:val="00AB5B93"/>
    <w:rsid w:val="00AB69DE"/>
    <w:rsid w:val="00AB757C"/>
    <w:rsid w:val="00AB7C31"/>
    <w:rsid w:val="00AC1077"/>
    <w:rsid w:val="00AC156C"/>
    <w:rsid w:val="00AC2880"/>
    <w:rsid w:val="00AC3963"/>
    <w:rsid w:val="00AC4798"/>
    <w:rsid w:val="00AC5566"/>
    <w:rsid w:val="00AC61F5"/>
    <w:rsid w:val="00AD1BDD"/>
    <w:rsid w:val="00AD2D0D"/>
    <w:rsid w:val="00AD3CCA"/>
    <w:rsid w:val="00AD4AD7"/>
    <w:rsid w:val="00AD4B81"/>
    <w:rsid w:val="00AD5936"/>
    <w:rsid w:val="00AD706F"/>
    <w:rsid w:val="00AE42B3"/>
    <w:rsid w:val="00AE5F08"/>
    <w:rsid w:val="00AE7599"/>
    <w:rsid w:val="00AF0BE9"/>
    <w:rsid w:val="00AF15C5"/>
    <w:rsid w:val="00AF1FB7"/>
    <w:rsid w:val="00AF2726"/>
    <w:rsid w:val="00AF3905"/>
    <w:rsid w:val="00AF40AD"/>
    <w:rsid w:val="00AF4185"/>
    <w:rsid w:val="00B016F5"/>
    <w:rsid w:val="00B029C3"/>
    <w:rsid w:val="00B031D5"/>
    <w:rsid w:val="00B03A13"/>
    <w:rsid w:val="00B0421B"/>
    <w:rsid w:val="00B06EE0"/>
    <w:rsid w:val="00B0709C"/>
    <w:rsid w:val="00B10426"/>
    <w:rsid w:val="00B1097A"/>
    <w:rsid w:val="00B1442E"/>
    <w:rsid w:val="00B14AE8"/>
    <w:rsid w:val="00B15D0C"/>
    <w:rsid w:val="00B16CA4"/>
    <w:rsid w:val="00B21CC2"/>
    <w:rsid w:val="00B220CD"/>
    <w:rsid w:val="00B2400A"/>
    <w:rsid w:val="00B24378"/>
    <w:rsid w:val="00B243A0"/>
    <w:rsid w:val="00B246B5"/>
    <w:rsid w:val="00B247FF"/>
    <w:rsid w:val="00B25107"/>
    <w:rsid w:val="00B25BF1"/>
    <w:rsid w:val="00B25C74"/>
    <w:rsid w:val="00B26BF1"/>
    <w:rsid w:val="00B27766"/>
    <w:rsid w:val="00B32135"/>
    <w:rsid w:val="00B33758"/>
    <w:rsid w:val="00B34DD8"/>
    <w:rsid w:val="00B34E27"/>
    <w:rsid w:val="00B34FEE"/>
    <w:rsid w:val="00B3512C"/>
    <w:rsid w:val="00B36B07"/>
    <w:rsid w:val="00B36B5A"/>
    <w:rsid w:val="00B37533"/>
    <w:rsid w:val="00B41057"/>
    <w:rsid w:val="00B445ED"/>
    <w:rsid w:val="00B44606"/>
    <w:rsid w:val="00B447F6"/>
    <w:rsid w:val="00B458B4"/>
    <w:rsid w:val="00B46E7B"/>
    <w:rsid w:val="00B517E0"/>
    <w:rsid w:val="00B56DC6"/>
    <w:rsid w:val="00B57695"/>
    <w:rsid w:val="00B57F7D"/>
    <w:rsid w:val="00B618FC"/>
    <w:rsid w:val="00B62084"/>
    <w:rsid w:val="00B62A00"/>
    <w:rsid w:val="00B6366A"/>
    <w:rsid w:val="00B64D04"/>
    <w:rsid w:val="00B66931"/>
    <w:rsid w:val="00B66A5A"/>
    <w:rsid w:val="00B66E3D"/>
    <w:rsid w:val="00B67EFB"/>
    <w:rsid w:val="00B704FE"/>
    <w:rsid w:val="00B70B19"/>
    <w:rsid w:val="00B70E9E"/>
    <w:rsid w:val="00B71B5E"/>
    <w:rsid w:val="00B75B78"/>
    <w:rsid w:val="00B7778E"/>
    <w:rsid w:val="00B81CCC"/>
    <w:rsid w:val="00B81DE5"/>
    <w:rsid w:val="00B81EA9"/>
    <w:rsid w:val="00B837B2"/>
    <w:rsid w:val="00B838FF"/>
    <w:rsid w:val="00B84AE3"/>
    <w:rsid w:val="00B86FAD"/>
    <w:rsid w:val="00B903CA"/>
    <w:rsid w:val="00B90A3A"/>
    <w:rsid w:val="00B93FB4"/>
    <w:rsid w:val="00B95AC0"/>
    <w:rsid w:val="00B96292"/>
    <w:rsid w:val="00BA16A2"/>
    <w:rsid w:val="00BA21A8"/>
    <w:rsid w:val="00BA3F84"/>
    <w:rsid w:val="00BA51C0"/>
    <w:rsid w:val="00BA5E15"/>
    <w:rsid w:val="00BB2793"/>
    <w:rsid w:val="00BB3EEA"/>
    <w:rsid w:val="00BB41D1"/>
    <w:rsid w:val="00BB57A1"/>
    <w:rsid w:val="00BB721C"/>
    <w:rsid w:val="00BC2251"/>
    <w:rsid w:val="00BC3810"/>
    <w:rsid w:val="00BC4C51"/>
    <w:rsid w:val="00BC4DCA"/>
    <w:rsid w:val="00BC63A1"/>
    <w:rsid w:val="00BD01AE"/>
    <w:rsid w:val="00BD182E"/>
    <w:rsid w:val="00BD3B55"/>
    <w:rsid w:val="00BD751A"/>
    <w:rsid w:val="00BD7CD6"/>
    <w:rsid w:val="00BE3A8F"/>
    <w:rsid w:val="00BE51F2"/>
    <w:rsid w:val="00BE5F2F"/>
    <w:rsid w:val="00BE75AB"/>
    <w:rsid w:val="00BF00EE"/>
    <w:rsid w:val="00BF0306"/>
    <w:rsid w:val="00BF3135"/>
    <w:rsid w:val="00BF3B21"/>
    <w:rsid w:val="00BF4087"/>
    <w:rsid w:val="00BF54D9"/>
    <w:rsid w:val="00C00DBD"/>
    <w:rsid w:val="00C010CD"/>
    <w:rsid w:val="00C01AD5"/>
    <w:rsid w:val="00C0252E"/>
    <w:rsid w:val="00C025ED"/>
    <w:rsid w:val="00C03046"/>
    <w:rsid w:val="00C06A85"/>
    <w:rsid w:val="00C06ED5"/>
    <w:rsid w:val="00C11B9B"/>
    <w:rsid w:val="00C11E6D"/>
    <w:rsid w:val="00C14562"/>
    <w:rsid w:val="00C14C71"/>
    <w:rsid w:val="00C2078E"/>
    <w:rsid w:val="00C20D2A"/>
    <w:rsid w:val="00C21C6A"/>
    <w:rsid w:val="00C22C17"/>
    <w:rsid w:val="00C24EBC"/>
    <w:rsid w:val="00C26536"/>
    <w:rsid w:val="00C30CE8"/>
    <w:rsid w:val="00C322D9"/>
    <w:rsid w:val="00C32853"/>
    <w:rsid w:val="00C36A37"/>
    <w:rsid w:val="00C408B0"/>
    <w:rsid w:val="00C4223A"/>
    <w:rsid w:val="00C44382"/>
    <w:rsid w:val="00C46EC6"/>
    <w:rsid w:val="00C51890"/>
    <w:rsid w:val="00C53861"/>
    <w:rsid w:val="00C55A93"/>
    <w:rsid w:val="00C574BE"/>
    <w:rsid w:val="00C63479"/>
    <w:rsid w:val="00C63854"/>
    <w:rsid w:val="00C64302"/>
    <w:rsid w:val="00C654F8"/>
    <w:rsid w:val="00C6684A"/>
    <w:rsid w:val="00C66FA5"/>
    <w:rsid w:val="00C6765D"/>
    <w:rsid w:val="00C67B08"/>
    <w:rsid w:val="00C70122"/>
    <w:rsid w:val="00C7172B"/>
    <w:rsid w:val="00C727C0"/>
    <w:rsid w:val="00C73510"/>
    <w:rsid w:val="00C74240"/>
    <w:rsid w:val="00C753C7"/>
    <w:rsid w:val="00C803F9"/>
    <w:rsid w:val="00C8132C"/>
    <w:rsid w:val="00C81EBD"/>
    <w:rsid w:val="00C8200B"/>
    <w:rsid w:val="00C828EF"/>
    <w:rsid w:val="00C83B6C"/>
    <w:rsid w:val="00C84C3D"/>
    <w:rsid w:val="00C85E3B"/>
    <w:rsid w:val="00C908DC"/>
    <w:rsid w:val="00C91827"/>
    <w:rsid w:val="00C9326F"/>
    <w:rsid w:val="00C943F9"/>
    <w:rsid w:val="00CA0E9E"/>
    <w:rsid w:val="00CA5B7E"/>
    <w:rsid w:val="00CA609A"/>
    <w:rsid w:val="00CA6C71"/>
    <w:rsid w:val="00CA7400"/>
    <w:rsid w:val="00CB4163"/>
    <w:rsid w:val="00CB4418"/>
    <w:rsid w:val="00CB53F6"/>
    <w:rsid w:val="00CB57FF"/>
    <w:rsid w:val="00CB5946"/>
    <w:rsid w:val="00CB5A7C"/>
    <w:rsid w:val="00CC2001"/>
    <w:rsid w:val="00CC4F98"/>
    <w:rsid w:val="00CC7841"/>
    <w:rsid w:val="00CC7F7C"/>
    <w:rsid w:val="00CD177F"/>
    <w:rsid w:val="00CD400E"/>
    <w:rsid w:val="00CD46B1"/>
    <w:rsid w:val="00CD6FB3"/>
    <w:rsid w:val="00CD772C"/>
    <w:rsid w:val="00CE5D3D"/>
    <w:rsid w:val="00CE6BF7"/>
    <w:rsid w:val="00CF0ECD"/>
    <w:rsid w:val="00CF2827"/>
    <w:rsid w:val="00CF2E17"/>
    <w:rsid w:val="00CF34D2"/>
    <w:rsid w:val="00CF455B"/>
    <w:rsid w:val="00CF4D85"/>
    <w:rsid w:val="00CF5645"/>
    <w:rsid w:val="00D04188"/>
    <w:rsid w:val="00D11109"/>
    <w:rsid w:val="00D1261D"/>
    <w:rsid w:val="00D13EAA"/>
    <w:rsid w:val="00D14272"/>
    <w:rsid w:val="00D16099"/>
    <w:rsid w:val="00D2054E"/>
    <w:rsid w:val="00D2189D"/>
    <w:rsid w:val="00D21C61"/>
    <w:rsid w:val="00D22ACF"/>
    <w:rsid w:val="00D239ED"/>
    <w:rsid w:val="00D267DA"/>
    <w:rsid w:val="00D26F2A"/>
    <w:rsid w:val="00D318EB"/>
    <w:rsid w:val="00D32781"/>
    <w:rsid w:val="00D34584"/>
    <w:rsid w:val="00D359EF"/>
    <w:rsid w:val="00D35DC4"/>
    <w:rsid w:val="00D42253"/>
    <w:rsid w:val="00D422CC"/>
    <w:rsid w:val="00D45B4C"/>
    <w:rsid w:val="00D47637"/>
    <w:rsid w:val="00D50754"/>
    <w:rsid w:val="00D50778"/>
    <w:rsid w:val="00D50EBB"/>
    <w:rsid w:val="00D5340A"/>
    <w:rsid w:val="00D538C4"/>
    <w:rsid w:val="00D53FB4"/>
    <w:rsid w:val="00D561FF"/>
    <w:rsid w:val="00D56AEC"/>
    <w:rsid w:val="00D574A7"/>
    <w:rsid w:val="00D612DA"/>
    <w:rsid w:val="00D61977"/>
    <w:rsid w:val="00D627BF"/>
    <w:rsid w:val="00D634D8"/>
    <w:rsid w:val="00D638A2"/>
    <w:rsid w:val="00D6529A"/>
    <w:rsid w:val="00D6589C"/>
    <w:rsid w:val="00D7059D"/>
    <w:rsid w:val="00D7225E"/>
    <w:rsid w:val="00D72A98"/>
    <w:rsid w:val="00D74B90"/>
    <w:rsid w:val="00D779F3"/>
    <w:rsid w:val="00D77F2C"/>
    <w:rsid w:val="00D85D5D"/>
    <w:rsid w:val="00D86293"/>
    <w:rsid w:val="00D92743"/>
    <w:rsid w:val="00D93A15"/>
    <w:rsid w:val="00D9464D"/>
    <w:rsid w:val="00D95F82"/>
    <w:rsid w:val="00D96119"/>
    <w:rsid w:val="00D96737"/>
    <w:rsid w:val="00D9684F"/>
    <w:rsid w:val="00D9714F"/>
    <w:rsid w:val="00D9722D"/>
    <w:rsid w:val="00DA0974"/>
    <w:rsid w:val="00DA1D50"/>
    <w:rsid w:val="00DA2BAF"/>
    <w:rsid w:val="00DA2C57"/>
    <w:rsid w:val="00DA34EB"/>
    <w:rsid w:val="00DA61D7"/>
    <w:rsid w:val="00DA71C0"/>
    <w:rsid w:val="00DB14D1"/>
    <w:rsid w:val="00DB3131"/>
    <w:rsid w:val="00DB3465"/>
    <w:rsid w:val="00DB448A"/>
    <w:rsid w:val="00DB5B7B"/>
    <w:rsid w:val="00DC06F0"/>
    <w:rsid w:val="00DC1426"/>
    <w:rsid w:val="00DC3C15"/>
    <w:rsid w:val="00DC3F33"/>
    <w:rsid w:val="00DC7679"/>
    <w:rsid w:val="00DD03E9"/>
    <w:rsid w:val="00DD293F"/>
    <w:rsid w:val="00DD3F9C"/>
    <w:rsid w:val="00DD5BA7"/>
    <w:rsid w:val="00DD688C"/>
    <w:rsid w:val="00DD7ACB"/>
    <w:rsid w:val="00DE0073"/>
    <w:rsid w:val="00DE201F"/>
    <w:rsid w:val="00DE2BC9"/>
    <w:rsid w:val="00DE50F5"/>
    <w:rsid w:val="00DF23B1"/>
    <w:rsid w:val="00DF3C01"/>
    <w:rsid w:val="00DF5148"/>
    <w:rsid w:val="00DF6614"/>
    <w:rsid w:val="00DF7755"/>
    <w:rsid w:val="00E0001C"/>
    <w:rsid w:val="00E024FE"/>
    <w:rsid w:val="00E025D4"/>
    <w:rsid w:val="00E02C7C"/>
    <w:rsid w:val="00E02E1D"/>
    <w:rsid w:val="00E030A1"/>
    <w:rsid w:val="00E052B8"/>
    <w:rsid w:val="00E078E0"/>
    <w:rsid w:val="00E14DF9"/>
    <w:rsid w:val="00E16B04"/>
    <w:rsid w:val="00E16B4C"/>
    <w:rsid w:val="00E20263"/>
    <w:rsid w:val="00E20FB9"/>
    <w:rsid w:val="00E210AC"/>
    <w:rsid w:val="00E2238E"/>
    <w:rsid w:val="00E22E2F"/>
    <w:rsid w:val="00E231A1"/>
    <w:rsid w:val="00E2358A"/>
    <w:rsid w:val="00E23946"/>
    <w:rsid w:val="00E27A6F"/>
    <w:rsid w:val="00E35E70"/>
    <w:rsid w:val="00E35F55"/>
    <w:rsid w:val="00E36391"/>
    <w:rsid w:val="00E36A97"/>
    <w:rsid w:val="00E40FD3"/>
    <w:rsid w:val="00E427C4"/>
    <w:rsid w:val="00E46765"/>
    <w:rsid w:val="00E474E2"/>
    <w:rsid w:val="00E47EF6"/>
    <w:rsid w:val="00E52428"/>
    <w:rsid w:val="00E52798"/>
    <w:rsid w:val="00E57F70"/>
    <w:rsid w:val="00E6634A"/>
    <w:rsid w:val="00E66358"/>
    <w:rsid w:val="00E706BB"/>
    <w:rsid w:val="00E71668"/>
    <w:rsid w:val="00E72608"/>
    <w:rsid w:val="00E73AEB"/>
    <w:rsid w:val="00E76232"/>
    <w:rsid w:val="00E76BC0"/>
    <w:rsid w:val="00E77087"/>
    <w:rsid w:val="00E77755"/>
    <w:rsid w:val="00E845C3"/>
    <w:rsid w:val="00E85BA3"/>
    <w:rsid w:val="00E877C6"/>
    <w:rsid w:val="00E90040"/>
    <w:rsid w:val="00E9104B"/>
    <w:rsid w:val="00E910D4"/>
    <w:rsid w:val="00E917FC"/>
    <w:rsid w:val="00E931D2"/>
    <w:rsid w:val="00E946C8"/>
    <w:rsid w:val="00E953B8"/>
    <w:rsid w:val="00E95B9F"/>
    <w:rsid w:val="00E95D8E"/>
    <w:rsid w:val="00E95FB3"/>
    <w:rsid w:val="00E97AD9"/>
    <w:rsid w:val="00EA38D9"/>
    <w:rsid w:val="00EA53EF"/>
    <w:rsid w:val="00EA76FB"/>
    <w:rsid w:val="00EB2FA7"/>
    <w:rsid w:val="00EB3134"/>
    <w:rsid w:val="00EB38FD"/>
    <w:rsid w:val="00EB3B0D"/>
    <w:rsid w:val="00EB3B95"/>
    <w:rsid w:val="00EB4FA6"/>
    <w:rsid w:val="00EB6AA3"/>
    <w:rsid w:val="00EB7061"/>
    <w:rsid w:val="00EC2182"/>
    <w:rsid w:val="00EC22E6"/>
    <w:rsid w:val="00EC411E"/>
    <w:rsid w:val="00EC454B"/>
    <w:rsid w:val="00ED0A9F"/>
    <w:rsid w:val="00ED0ABF"/>
    <w:rsid w:val="00ED2E35"/>
    <w:rsid w:val="00ED4254"/>
    <w:rsid w:val="00ED5946"/>
    <w:rsid w:val="00ED5BC3"/>
    <w:rsid w:val="00ED5DCC"/>
    <w:rsid w:val="00ED6F71"/>
    <w:rsid w:val="00ED73D3"/>
    <w:rsid w:val="00EE001B"/>
    <w:rsid w:val="00EE2D25"/>
    <w:rsid w:val="00EF157C"/>
    <w:rsid w:val="00EF64B7"/>
    <w:rsid w:val="00F01770"/>
    <w:rsid w:val="00F03267"/>
    <w:rsid w:val="00F0344A"/>
    <w:rsid w:val="00F05AE5"/>
    <w:rsid w:val="00F05B0E"/>
    <w:rsid w:val="00F07EBE"/>
    <w:rsid w:val="00F12F6C"/>
    <w:rsid w:val="00F22287"/>
    <w:rsid w:val="00F22F90"/>
    <w:rsid w:val="00F24BA2"/>
    <w:rsid w:val="00F300CD"/>
    <w:rsid w:val="00F30809"/>
    <w:rsid w:val="00F30D5A"/>
    <w:rsid w:val="00F316FC"/>
    <w:rsid w:val="00F32B6E"/>
    <w:rsid w:val="00F3403B"/>
    <w:rsid w:val="00F369FE"/>
    <w:rsid w:val="00F377F0"/>
    <w:rsid w:val="00F42899"/>
    <w:rsid w:val="00F43E6B"/>
    <w:rsid w:val="00F44C0B"/>
    <w:rsid w:val="00F45C59"/>
    <w:rsid w:val="00F51197"/>
    <w:rsid w:val="00F51EB3"/>
    <w:rsid w:val="00F54273"/>
    <w:rsid w:val="00F561DB"/>
    <w:rsid w:val="00F60304"/>
    <w:rsid w:val="00F63390"/>
    <w:rsid w:val="00F63781"/>
    <w:rsid w:val="00F63877"/>
    <w:rsid w:val="00F63E0D"/>
    <w:rsid w:val="00F65BC7"/>
    <w:rsid w:val="00F66CE3"/>
    <w:rsid w:val="00F700DE"/>
    <w:rsid w:val="00F70716"/>
    <w:rsid w:val="00F70F28"/>
    <w:rsid w:val="00F725DD"/>
    <w:rsid w:val="00F73998"/>
    <w:rsid w:val="00F74343"/>
    <w:rsid w:val="00F749A5"/>
    <w:rsid w:val="00F760B3"/>
    <w:rsid w:val="00F804C7"/>
    <w:rsid w:val="00F81CFD"/>
    <w:rsid w:val="00F84225"/>
    <w:rsid w:val="00F86366"/>
    <w:rsid w:val="00F908DE"/>
    <w:rsid w:val="00F94E72"/>
    <w:rsid w:val="00F97FC5"/>
    <w:rsid w:val="00F97FE4"/>
    <w:rsid w:val="00FA4D8E"/>
    <w:rsid w:val="00FA5284"/>
    <w:rsid w:val="00FA58DB"/>
    <w:rsid w:val="00FA6965"/>
    <w:rsid w:val="00FA69A1"/>
    <w:rsid w:val="00FA734B"/>
    <w:rsid w:val="00FB14F3"/>
    <w:rsid w:val="00FB3841"/>
    <w:rsid w:val="00FB4014"/>
    <w:rsid w:val="00FC1267"/>
    <w:rsid w:val="00FC1B98"/>
    <w:rsid w:val="00FC2A74"/>
    <w:rsid w:val="00FC2F20"/>
    <w:rsid w:val="00FC43D4"/>
    <w:rsid w:val="00FD3077"/>
    <w:rsid w:val="00FD3911"/>
    <w:rsid w:val="00FD5296"/>
    <w:rsid w:val="00FD642C"/>
    <w:rsid w:val="00FD69C8"/>
    <w:rsid w:val="00FD7207"/>
    <w:rsid w:val="00FE3434"/>
    <w:rsid w:val="00FE5900"/>
    <w:rsid w:val="00FE6EB8"/>
    <w:rsid w:val="00FE718C"/>
    <w:rsid w:val="00FE7313"/>
    <w:rsid w:val="00FF11A5"/>
    <w:rsid w:val="00FF1701"/>
    <w:rsid w:val="00FF2FB8"/>
    <w:rsid w:val="00FF5391"/>
    <w:rsid w:val="00FF6B0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B3C0F"/>
  <w15:docId w15:val="{28A500FD-5CC0-485C-8FF1-D12369EB8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193"/>
    <w:rPr>
      <w:rFonts w:ascii="Calibri" w:eastAsia="Times New Roman" w:hAnsi="Calibri" w:cs="Calibri"/>
    </w:rPr>
  </w:style>
  <w:style w:type="paragraph" w:styleId="Naslov1">
    <w:name w:val="heading 1"/>
    <w:basedOn w:val="Normal"/>
    <w:next w:val="Normal"/>
    <w:link w:val="Naslov1Char"/>
    <w:qFormat/>
    <w:rsid w:val="00BC3810"/>
    <w:pPr>
      <w:widowControl w:val="0"/>
      <w:spacing w:before="480" w:after="120"/>
      <w:outlineLvl w:val="0"/>
    </w:pPr>
    <w:rPr>
      <w:rFonts w:eastAsia="Calibri"/>
      <w:b/>
      <w:color w:val="000000"/>
      <w:sz w:val="48"/>
      <w:lang w:eastAsia="hr-HR"/>
    </w:rPr>
  </w:style>
  <w:style w:type="paragraph" w:styleId="Naslov2">
    <w:name w:val="heading 2"/>
    <w:basedOn w:val="Normal"/>
    <w:next w:val="Normal"/>
    <w:link w:val="Naslov2Char"/>
    <w:qFormat/>
    <w:rsid w:val="00BC3810"/>
    <w:pPr>
      <w:widowControl w:val="0"/>
      <w:spacing w:before="360" w:after="80"/>
      <w:outlineLvl w:val="1"/>
    </w:pPr>
    <w:rPr>
      <w:rFonts w:eastAsia="Calibri"/>
      <w:b/>
      <w:color w:val="000000"/>
      <w:sz w:val="36"/>
      <w:lang w:eastAsia="hr-HR"/>
    </w:rPr>
  </w:style>
  <w:style w:type="paragraph" w:styleId="Naslov3">
    <w:name w:val="heading 3"/>
    <w:basedOn w:val="Normal"/>
    <w:next w:val="Normal"/>
    <w:link w:val="Naslov3Char"/>
    <w:qFormat/>
    <w:rsid w:val="00BC3810"/>
    <w:pPr>
      <w:widowControl w:val="0"/>
      <w:spacing w:before="280" w:after="80"/>
      <w:outlineLvl w:val="2"/>
    </w:pPr>
    <w:rPr>
      <w:rFonts w:eastAsia="Calibri"/>
      <w:b/>
      <w:color w:val="000000"/>
      <w:sz w:val="28"/>
      <w:lang w:eastAsia="hr-HR"/>
    </w:rPr>
  </w:style>
  <w:style w:type="paragraph" w:styleId="Naslov4">
    <w:name w:val="heading 4"/>
    <w:basedOn w:val="Normal"/>
    <w:next w:val="Normal"/>
    <w:link w:val="Naslov4Char"/>
    <w:uiPriority w:val="9"/>
    <w:qFormat/>
    <w:rsid w:val="00BC3810"/>
    <w:pPr>
      <w:widowControl w:val="0"/>
      <w:spacing w:before="240" w:after="40"/>
      <w:outlineLvl w:val="3"/>
    </w:pPr>
    <w:rPr>
      <w:rFonts w:eastAsia="Calibri"/>
      <w:b/>
      <w:color w:val="000000"/>
      <w:sz w:val="24"/>
      <w:lang w:eastAsia="hr-HR"/>
    </w:rPr>
  </w:style>
  <w:style w:type="paragraph" w:styleId="Naslov5">
    <w:name w:val="heading 5"/>
    <w:basedOn w:val="Normal"/>
    <w:next w:val="Normal"/>
    <w:link w:val="Naslov5Char"/>
    <w:uiPriority w:val="9"/>
    <w:qFormat/>
    <w:rsid w:val="00BC3810"/>
    <w:pPr>
      <w:widowControl w:val="0"/>
      <w:spacing w:before="220" w:after="40"/>
      <w:outlineLvl w:val="4"/>
    </w:pPr>
    <w:rPr>
      <w:rFonts w:eastAsia="Calibri"/>
      <w:b/>
      <w:color w:val="000000"/>
      <w:lang w:eastAsia="hr-HR"/>
    </w:rPr>
  </w:style>
  <w:style w:type="paragraph" w:styleId="Naslov6">
    <w:name w:val="heading 6"/>
    <w:basedOn w:val="Normal"/>
    <w:next w:val="Normal"/>
    <w:link w:val="Naslov6Char"/>
    <w:uiPriority w:val="9"/>
    <w:qFormat/>
    <w:rsid w:val="00BC3810"/>
    <w:pPr>
      <w:widowControl w:val="0"/>
      <w:spacing w:before="200" w:after="40"/>
      <w:outlineLvl w:val="5"/>
    </w:pPr>
    <w:rPr>
      <w:rFonts w:eastAsia="Calibri"/>
      <w:b/>
      <w:color w:val="000000"/>
      <w:sz w:val="20"/>
      <w:lang w:eastAsia="hr-HR"/>
    </w:rPr>
  </w:style>
  <w:style w:type="paragraph" w:styleId="Naslov7">
    <w:name w:val="heading 7"/>
    <w:basedOn w:val="Normal"/>
    <w:next w:val="Normal"/>
    <w:link w:val="Naslov7Char"/>
    <w:uiPriority w:val="9"/>
    <w:semiHidden/>
    <w:unhideWhenUsed/>
    <w:qFormat/>
    <w:rsid w:val="0081662F"/>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Naslov8">
    <w:name w:val="heading 8"/>
    <w:basedOn w:val="Normal"/>
    <w:next w:val="Normal"/>
    <w:link w:val="Naslov8Char"/>
    <w:uiPriority w:val="9"/>
    <w:semiHidden/>
    <w:unhideWhenUsed/>
    <w:qFormat/>
    <w:rsid w:val="0081662F"/>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Naslov9">
    <w:name w:val="heading 9"/>
    <w:basedOn w:val="Normal"/>
    <w:next w:val="Normal"/>
    <w:link w:val="Naslov9Char"/>
    <w:uiPriority w:val="9"/>
    <w:semiHidden/>
    <w:unhideWhenUsed/>
    <w:qFormat/>
    <w:rsid w:val="0081662F"/>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BC3810"/>
    <w:rPr>
      <w:rFonts w:ascii="Calibri" w:eastAsia="Calibri" w:hAnsi="Calibri" w:cs="Calibri"/>
      <w:b/>
      <w:color w:val="000000"/>
      <w:sz w:val="48"/>
      <w:lang w:eastAsia="hr-HR"/>
    </w:rPr>
  </w:style>
  <w:style w:type="character" w:customStyle="1" w:styleId="Naslov2Char">
    <w:name w:val="Naslov 2 Char"/>
    <w:basedOn w:val="Zadanifontodlomka"/>
    <w:link w:val="Naslov2"/>
    <w:rsid w:val="00BC3810"/>
    <w:rPr>
      <w:rFonts w:ascii="Calibri" w:eastAsia="Calibri" w:hAnsi="Calibri" w:cs="Calibri"/>
      <w:b/>
      <w:color w:val="000000"/>
      <w:sz w:val="36"/>
      <w:lang w:eastAsia="hr-HR"/>
    </w:rPr>
  </w:style>
  <w:style w:type="character" w:customStyle="1" w:styleId="Naslov3Char">
    <w:name w:val="Naslov 3 Char"/>
    <w:basedOn w:val="Zadanifontodlomka"/>
    <w:link w:val="Naslov3"/>
    <w:rsid w:val="00BC3810"/>
    <w:rPr>
      <w:rFonts w:ascii="Calibri" w:eastAsia="Calibri" w:hAnsi="Calibri" w:cs="Calibri"/>
      <w:b/>
      <w:color w:val="000000"/>
      <w:sz w:val="28"/>
      <w:lang w:eastAsia="hr-HR"/>
    </w:rPr>
  </w:style>
  <w:style w:type="character" w:customStyle="1" w:styleId="Naslov4Char">
    <w:name w:val="Naslov 4 Char"/>
    <w:basedOn w:val="Zadanifontodlomka"/>
    <w:link w:val="Naslov4"/>
    <w:uiPriority w:val="9"/>
    <w:rsid w:val="00BC3810"/>
    <w:rPr>
      <w:rFonts w:ascii="Calibri" w:eastAsia="Calibri" w:hAnsi="Calibri" w:cs="Calibri"/>
      <w:b/>
      <w:color w:val="000000"/>
      <w:sz w:val="24"/>
      <w:lang w:eastAsia="hr-HR"/>
    </w:rPr>
  </w:style>
  <w:style w:type="character" w:customStyle="1" w:styleId="Naslov5Char">
    <w:name w:val="Naslov 5 Char"/>
    <w:basedOn w:val="Zadanifontodlomka"/>
    <w:link w:val="Naslov5"/>
    <w:uiPriority w:val="9"/>
    <w:rsid w:val="00BC3810"/>
    <w:rPr>
      <w:rFonts w:ascii="Calibri" w:eastAsia="Calibri" w:hAnsi="Calibri" w:cs="Calibri"/>
      <w:b/>
      <w:color w:val="000000"/>
      <w:lang w:eastAsia="hr-HR"/>
    </w:rPr>
  </w:style>
  <w:style w:type="character" w:customStyle="1" w:styleId="Naslov6Char">
    <w:name w:val="Naslov 6 Char"/>
    <w:basedOn w:val="Zadanifontodlomka"/>
    <w:link w:val="Naslov6"/>
    <w:uiPriority w:val="9"/>
    <w:rsid w:val="00BC3810"/>
    <w:rPr>
      <w:rFonts w:ascii="Calibri" w:eastAsia="Calibri" w:hAnsi="Calibri" w:cs="Calibri"/>
      <w:b/>
      <w:color w:val="000000"/>
      <w:sz w:val="20"/>
      <w:lang w:eastAsia="hr-HR"/>
    </w:rPr>
  </w:style>
  <w:style w:type="paragraph" w:styleId="Zaglavlje">
    <w:name w:val="header"/>
    <w:basedOn w:val="Normal"/>
    <w:link w:val="ZaglavljeChar"/>
    <w:uiPriority w:val="99"/>
    <w:rsid w:val="00BC3810"/>
    <w:pPr>
      <w:tabs>
        <w:tab w:val="center" w:pos="4536"/>
        <w:tab w:val="right" w:pos="9072"/>
      </w:tabs>
    </w:pPr>
  </w:style>
  <w:style w:type="character" w:customStyle="1" w:styleId="ZaglavljeChar">
    <w:name w:val="Zaglavlje Char"/>
    <w:basedOn w:val="Zadanifontodlomka"/>
    <w:link w:val="Zaglavlje"/>
    <w:uiPriority w:val="99"/>
    <w:rsid w:val="00BC3810"/>
    <w:rPr>
      <w:rFonts w:ascii="Calibri" w:eastAsia="Times New Roman" w:hAnsi="Calibri" w:cs="Calibri"/>
    </w:rPr>
  </w:style>
  <w:style w:type="paragraph" w:styleId="Podnoje">
    <w:name w:val="footer"/>
    <w:basedOn w:val="Normal"/>
    <w:link w:val="PodnojeChar"/>
    <w:uiPriority w:val="99"/>
    <w:rsid w:val="00BC3810"/>
    <w:pPr>
      <w:tabs>
        <w:tab w:val="center" w:pos="4536"/>
        <w:tab w:val="right" w:pos="9072"/>
      </w:tabs>
    </w:pPr>
  </w:style>
  <w:style w:type="character" w:customStyle="1" w:styleId="PodnojeChar">
    <w:name w:val="Podnožje Char"/>
    <w:basedOn w:val="Zadanifontodlomka"/>
    <w:link w:val="Podnoje"/>
    <w:uiPriority w:val="99"/>
    <w:rsid w:val="00BC3810"/>
    <w:rPr>
      <w:rFonts w:ascii="Calibri" w:eastAsia="Times New Roman" w:hAnsi="Calibri" w:cs="Calibri"/>
    </w:rPr>
  </w:style>
  <w:style w:type="paragraph" w:styleId="Odlomakpopisa">
    <w:name w:val="List Paragraph"/>
    <w:basedOn w:val="Normal"/>
    <w:uiPriority w:val="34"/>
    <w:qFormat/>
    <w:rsid w:val="00BC3810"/>
    <w:pPr>
      <w:spacing w:after="0" w:line="240" w:lineRule="auto"/>
      <w:ind w:left="720"/>
      <w:contextualSpacing/>
    </w:pPr>
    <w:rPr>
      <w:rFonts w:ascii="Times New Roman" w:hAnsi="Times New Roman" w:cs="Times New Roman"/>
      <w:sz w:val="24"/>
      <w:szCs w:val="24"/>
      <w:lang w:eastAsia="hr-HR"/>
    </w:rPr>
  </w:style>
  <w:style w:type="paragraph" w:styleId="Tekstbalonia">
    <w:name w:val="Balloon Text"/>
    <w:basedOn w:val="Normal"/>
    <w:link w:val="TekstbaloniaChar"/>
    <w:uiPriority w:val="99"/>
    <w:rsid w:val="00BC381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rsid w:val="00BC3810"/>
    <w:rPr>
      <w:rFonts w:ascii="Tahoma" w:eastAsia="Times New Roman" w:hAnsi="Tahoma" w:cs="Tahoma"/>
      <w:sz w:val="16"/>
      <w:szCs w:val="16"/>
    </w:rPr>
  </w:style>
  <w:style w:type="paragraph" w:customStyle="1" w:styleId="Default">
    <w:name w:val="Default"/>
    <w:rsid w:val="00BC3810"/>
    <w:pPr>
      <w:autoSpaceDE w:val="0"/>
      <w:autoSpaceDN w:val="0"/>
      <w:adjustRightInd w:val="0"/>
      <w:spacing w:after="0" w:line="240" w:lineRule="auto"/>
    </w:pPr>
    <w:rPr>
      <w:rFonts w:ascii="Garamond" w:eastAsia="Calibri" w:hAnsi="Garamond" w:cs="Garamond"/>
      <w:color w:val="000000"/>
      <w:sz w:val="24"/>
      <w:szCs w:val="24"/>
    </w:rPr>
  </w:style>
  <w:style w:type="character" w:styleId="Brojstranice">
    <w:name w:val="page number"/>
    <w:basedOn w:val="Zadanifontodlomka"/>
    <w:rsid w:val="00BC3810"/>
  </w:style>
  <w:style w:type="character" w:customStyle="1" w:styleId="NaslovChar">
    <w:name w:val="Naslov Char"/>
    <w:link w:val="Naslov"/>
    <w:locked/>
    <w:rsid w:val="00BC3810"/>
    <w:rPr>
      <w:b/>
      <w:sz w:val="48"/>
      <w:lang w:val="en-US" w:eastAsia="ar-SA"/>
    </w:rPr>
  </w:style>
  <w:style w:type="paragraph" w:styleId="Naslov">
    <w:name w:val="Title"/>
    <w:basedOn w:val="Normal"/>
    <w:next w:val="Podnaslov"/>
    <w:link w:val="NaslovChar"/>
    <w:uiPriority w:val="10"/>
    <w:qFormat/>
    <w:rsid w:val="00BC3810"/>
    <w:pPr>
      <w:widowControl w:val="0"/>
      <w:tabs>
        <w:tab w:val="left" w:pos="-720"/>
      </w:tabs>
      <w:suppressAutoHyphens/>
      <w:spacing w:after="0" w:line="240" w:lineRule="auto"/>
      <w:jc w:val="center"/>
    </w:pPr>
    <w:rPr>
      <w:rFonts w:asciiTheme="minorHAnsi" w:eastAsiaTheme="minorHAnsi" w:hAnsiTheme="minorHAnsi" w:cstheme="minorBidi"/>
      <w:b/>
      <w:sz w:val="48"/>
      <w:lang w:val="en-US" w:eastAsia="ar-SA"/>
    </w:rPr>
  </w:style>
  <w:style w:type="paragraph" w:styleId="Podnaslov">
    <w:name w:val="Subtitle"/>
    <w:basedOn w:val="Normal"/>
    <w:next w:val="Normal"/>
    <w:link w:val="PodnaslovChar"/>
    <w:uiPriority w:val="11"/>
    <w:qFormat/>
    <w:rsid w:val="00BC3810"/>
    <w:pPr>
      <w:spacing w:after="60" w:line="480" w:lineRule="auto"/>
      <w:jc w:val="center"/>
      <w:outlineLvl w:val="1"/>
    </w:pPr>
    <w:rPr>
      <w:rFonts w:ascii="Cambria" w:hAnsi="Cambria" w:cs="Times New Roman"/>
      <w:sz w:val="24"/>
      <w:szCs w:val="24"/>
    </w:rPr>
  </w:style>
  <w:style w:type="character" w:customStyle="1" w:styleId="PodnaslovChar">
    <w:name w:val="Podnaslov Char"/>
    <w:basedOn w:val="Zadanifontodlomka"/>
    <w:link w:val="Podnaslov"/>
    <w:uiPriority w:val="11"/>
    <w:rsid w:val="00BC3810"/>
    <w:rPr>
      <w:rFonts w:ascii="Cambria" w:eastAsia="Times New Roman" w:hAnsi="Cambria" w:cs="Times New Roman"/>
      <w:sz w:val="24"/>
      <w:szCs w:val="24"/>
    </w:rPr>
  </w:style>
  <w:style w:type="character" w:customStyle="1" w:styleId="NaslovChar1">
    <w:name w:val="Naslov Char1"/>
    <w:basedOn w:val="Zadanifontodlomka"/>
    <w:rsid w:val="00BC3810"/>
    <w:rPr>
      <w:rFonts w:asciiTheme="majorHAnsi" w:eastAsiaTheme="majorEastAsia" w:hAnsiTheme="majorHAnsi" w:cstheme="majorBidi"/>
      <w:color w:val="17365D" w:themeColor="text2" w:themeShade="BF"/>
      <w:spacing w:val="5"/>
      <w:kern w:val="28"/>
      <w:sz w:val="52"/>
      <w:szCs w:val="52"/>
    </w:rPr>
  </w:style>
  <w:style w:type="paragraph" w:customStyle="1" w:styleId="Style3">
    <w:name w:val="Style3"/>
    <w:basedOn w:val="Normal"/>
    <w:uiPriority w:val="99"/>
    <w:rsid w:val="00BC3810"/>
    <w:pPr>
      <w:widowControl w:val="0"/>
      <w:autoSpaceDE w:val="0"/>
      <w:autoSpaceDN w:val="0"/>
      <w:adjustRightInd w:val="0"/>
      <w:spacing w:after="0" w:line="274" w:lineRule="exact"/>
      <w:jc w:val="center"/>
    </w:pPr>
    <w:rPr>
      <w:rFonts w:ascii="Times New Roman" w:hAnsi="Times New Roman" w:cs="Times New Roman"/>
      <w:sz w:val="24"/>
      <w:szCs w:val="24"/>
      <w:lang w:eastAsia="hr-HR"/>
    </w:rPr>
  </w:style>
  <w:style w:type="character" w:customStyle="1" w:styleId="FontStyle33">
    <w:name w:val="Font Style33"/>
    <w:basedOn w:val="Zadanifontodlomka"/>
    <w:uiPriority w:val="99"/>
    <w:rsid w:val="00BC3810"/>
    <w:rPr>
      <w:rFonts w:ascii="Times New Roman" w:hAnsi="Times New Roman" w:cs="Times New Roman"/>
      <w:b/>
      <w:bCs/>
      <w:sz w:val="22"/>
      <w:szCs w:val="22"/>
    </w:rPr>
  </w:style>
  <w:style w:type="paragraph" w:customStyle="1" w:styleId="Style1">
    <w:name w:val="Style1"/>
    <w:basedOn w:val="Normal"/>
    <w:uiPriority w:val="99"/>
    <w:rsid w:val="00BC3810"/>
    <w:pPr>
      <w:widowControl w:val="0"/>
      <w:autoSpaceDE w:val="0"/>
      <w:autoSpaceDN w:val="0"/>
      <w:adjustRightInd w:val="0"/>
      <w:spacing w:after="0" w:line="274" w:lineRule="exact"/>
      <w:ind w:hanging="1080"/>
    </w:pPr>
    <w:rPr>
      <w:rFonts w:ascii="Times New Roman" w:hAnsi="Times New Roman" w:cs="Times New Roman"/>
      <w:sz w:val="24"/>
      <w:szCs w:val="24"/>
      <w:lang w:eastAsia="hr-HR"/>
    </w:rPr>
  </w:style>
  <w:style w:type="paragraph" w:customStyle="1" w:styleId="Style2">
    <w:name w:val="Style2"/>
    <w:basedOn w:val="Normal"/>
    <w:uiPriority w:val="99"/>
    <w:rsid w:val="00BC3810"/>
    <w:pPr>
      <w:widowControl w:val="0"/>
      <w:autoSpaceDE w:val="0"/>
      <w:autoSpaceDN w:val="0"/>
      <w:adjustRightInd w:val="0"/>
      <w:spacing w:after="0" w:line="240" w:lineRule="auto"/>
    </w:pPr>
    <w:rPr>
      <w:rFonts w:ascii="Times New Roman" w:hAnsi="Times New Roman" w:cs="Times New Roman"/>
      <w:sz w:val="24"/>
      <w:szCs w:val="24"/>
      <w:lang w:eastAsia="hr-HR"/>
    </w:rPr>
  </w:style>
  <w:style w:type="paragraph" w:customStyle="1" w:styleId="Style4">
    <w:name w:val="Style4"/>
    <w:basedOn w:val="Normal"/>
    <w:uiPriority w:val="99"/>
    <w:rsid w:val="00BC3810"/>
    <w:pPr>
      <w:widowControl w:val="0"/>
      <w:autoSpaceDE w:val="0"/>
      <w:autoSpaceDN w:val="0"/>
      <w:adjustRightInd w:val="0"/>
      <w:spacing w:after="0" w:line="240" w:lineRule="auto"/>
    </w:pPr>
    <w:rPr>
      <w:rFonts w:ascii="Times New Roman" w:hAnsi="Times New Roman" w:cs="Times New Roman"/>
      <w:sz w:val="24"/>
      <w:szCs w:val="24"/>
      <w:lang w:eastAsia="hr-HR"/>
    </w:rPr>
  </w:style>
  <w:style w:type="paragraph" w:customStyle="1" w:styleId="Style5">
    <w:name w:val="Style5"/>
    <w:basedOn w:val="Normal"/>
    <w:uiPriority w:val="99"/>
    <w:rsid w:val="00BC3810"/>
    <w:pPr>
      <w:widowControl w:val="0"/>
      <w:autoSpaceDE w:val="0"/>
      <w:autoSpaceDN w:val="0"/>
      <w:adjustRightInd w:val="0"/>
      <w:spacing w:after="0" w:line="240" w:lineRule="auto"/>
    </w:pPr>
    <w:rPr>
      <w:rFonts w:ascii="Times New Roman" w:hAnsi="Times New Roman" w:cs="Times New Roman"/>
      <w:sz w:val="24"/>
      <w:szCs w:val="24"/>
      <w:lang w:eastAsia="hr-HR"/>
    </w:rPr>
  </w:style>
  <w:style w:type="paragraph" w:customStyle="1" w:styleId="Style6">
    <w:name w:val="Style6"/>
    <w:basedOn w:val="Normal"/>
    <w:uiPriority w:val="99"/>
    <w:rsid w:val="00BC3810"/>
    <w:pPr>
      <w:widowControl w:val="0"/>
      <w:autoSpaceDE w:val="0"/>
      <w:autoSpaceDN w:val="0"/>
      <w:adjustRightInd w:val="0"/>
      <w:spacing w:after="0" w:line="298" w:lineRule="exact"/>
    </w:pPr>
    <w:rPr>
      <w:rFonts w:ascii="Times New Roman" w:hAnsi="Times New Roman" w:cs="Times New Roman"/>
      <w:sz w:val="24"/>
      <w:szCs w:val="24"/>
      <w:lang w:eastAsia="hr-HR"/>
    </w:rPr>
  </w:style>
  <w:style w:type="paragraph" w:customStyle="1" w:styleId="Style7">
    <w:name w:val="Style7"/>
    <w:basedOn w:val="Normal"/>
    <w:uiPriority w:val="99"/>
    <w:rsid w:val="00BC3810"/>
    <w:pPr>
      <w:widowControl w:val="0"/>
      <w:autoSpaceDE w:val="0"/>
      <w:autoSpaceDN w:val="0"/>
      <w:adjustRightInd w:val="0"/>
      <w:spacing w:after="0" w:line="298" w:lineRule="exact"/>
      <w:jc w:val="center"/>
    </w:pPr>
    <w:rPr>
      <w:rFonts w:ascii="Times New Roman" w:hAnsi="Times New Roman" w:cs="Times New Roman"/>
      <w:sz w:val="24"/>
      <w:szCs w:val="24"/>
      <w:lang w:eastAsia="hr-HR"/>
    </w:rPr>
  </w:style>
  <w:style w:type="paragraph" w:customStyle="1" w:styleId="Style8">
    <w:name w:val="Style8"/>
    <w:basedOn w:val="Normal"/>
    <w:uiPriority w:val="99"/>
    <w:rsid w:val="00BC3810"/>
    <w:pPr>
      <w:widowControl w:val="0"/>
      <w:autoSpaceDE w:val="0"/>
      <w:autoSpaceDN w:val="0"/>
      <w:adjustRightInd w:val="0"/>
      <w:spacing w:after="0" w:line="240" w:lineRule="auto"/>
      <w:jc w:val="center"/>
    </w:pPr>
    <w:rPr>
      <w:rFonts w:ascii="Times New Roman" w:hAnsi="Times New Roman" w:cs="Times New Roman"/>
      <w:sz w:val="24"/>
      <w:szCs w:val="24"/>
      <w:lang w:eastAsia="hr-HR"/>
    </w:rPr>
  </w:style>
  <w:style w:type="paragraph" w:customStyle="1" w:styleId="Style9">
    <w:name w:val="Style9"/>
    <w:basedOn w:val="Normal"/>
    <w:uiPriority w:val="99"/>
    <w:rsid w:val="00BC3810"/>
    <w:pPr>
      <w:widowControl w:val="0"/>
      <w:autoSpaceDE w:val="0"/>
      <w:autoSpaceDN w:val="0"/>
      <w:adjustRightInd w:val="0"/>
      <w:spacing w:after="0" w:line="274" w:lineRule="exact"/>
      <w:ind w:hanging="360"/>
    </w:pPr>
    <w:rPr>
      <w:rFonts w:ascii="Times New Roman" w:hAnsi="Times New Roman" w:cs="Times New Roman"/>
      <w:sz w:val="24"/>
      <w:szCs w:val="24"/>
      <w:lang w:eastAsia="hr-HR"/>
    </w:rPr>
  </w:style>
  <w:style w:type="paragraph" w:customStyle="1" w:styleId="Style10">
    <w:name w:val="Style10"/>
    <w:basedOn w:val="Normal"/>
    <w:uiPriority w:val="99"/>
    <w:rsid w:val="00BC3810"/>
    <w:pPr>
      <w:widowControl w:val="0"/>
      <w:autoSpaceDE w:val="0"/>
      <w:autoSpaceDN w:val="0"/>
      <w:adjustRightInd w:val="0"/>
      <w:spacing w:after="0" w:line="240" w:lineRule="auto"/>
    </w:pPr>
    <w:rPr>
      <w:rFonts w:ascii="Times New Roman" w:hAnsi="Times New Roman" w:cs="Times New Roman"/>
      <w:sz w:val="24"/>
      <w:szCs w:val="24"/>
      <w:lang w:eastAsia="hr-HR"/>
    </w:rPr>
  </w:style>
  <w:style w:type="paragraph" w:customStyle="1" w:styleId="Style11">
    <w:name w:val="Style11"/>
    <w:basedOn w:val="Normal"/>
    <w:uiPriority w:val="99"/>
    <w:rsid w:val="00BC3810"/>
    <w:pPr>
      <w:widowControl w:val="0"/>
      <w:autoSpaceDE w:val="0"/>
      <w:autoSpaceDN w:val="0"/>
      <w:adjustRightInd w:val="0"/>
      <w:spacing w:after="0" w:line="278" w:lineRule="exact"/>
      <w:jc w:val="both"/>
    </w:pPr>
    <w:rPr>
      <w:rFonts w:ascii="Times New Roman" w:hAnsi="Times New Roman" w:cs="Times New Roman"/>
      <w:sz w:val="24"/>
      <w:szCs w:val="24"/>
      <w:lang w:eastAsia="hr-HR"/>
    </w:rPr>
  </w:style>
  <w:style w:type="paragraph" w:customStyle="1" w:styleId="Style12">
    <w:name w:val="Style12"/>
    <w:basedOn w:val="Normal"/>
    <w:uiPriority w:val="99"/>
    <w:rsid w:val="00BC3810"/>
    <w:pPr>
      <w:widowControl w:val="0"/>
      <w:autoSpaceDE w:val="0"/>
      <w:autoSpaceDN w:val="0"/>
      <w:adjustRightInd w:val="0"/>
      <w:spacing w:after="0" w:line="240" w:lineRule="auto"/>
    </w:pPr>
    <w:rPr>
      <w:rFonts w:ascii="Times New Roman" w:hAnsi="Times New Roman" w:cs="Times New Roman"/>
      <w:sz w:val="24"/>
      <w:szCs w:val="24"/>
      <w:lang w:eastAsia="hr-HR"/>
    </w:rPr>
  </w:style>
  <w:style w:type="paragraph" w:customStyle="1" w:styleId="Style13">
    <w:name w:val="Style13"/>
    <w:basedOn w:val="Normal"/>
    <w:uiPriority w:val="99"/>
    <w:rsid w:val="00BC3810"/>
    <w:pPr>
      <w:widowControl w:val="0"/>
      <w:autoSpaceDE w:val="0"/>
      <w:autoSpaceDN w:val="0"/>
      <w:adjustRightInd w:val="0"/>
      <w:spacing w:after="0" w:line="274" w:lineRule="exact"/>
      <w:ind w:hanging="432"/>
    </w:pPr>
    <w:rPr>
      <w:rFonts w:ascii="Times New Roman" w:hAnsi="Times New Roman" w:cs="Times New Roman"/>
      <w:sz w:val="24"/>
      <w:szCs w:val="24"/>
      <w:lang w:eastAsia="hr-HR"/>
    </w:rPr>
  </w:style>
  <w:style w:type="paragraph" w:customStyle="1" w:styleId="Style14">
    <w:name w:val="Style14"/>
    <w:basedOn w:val="Normal"/>
    <w:uiPriority w:val="99"/>
    <w:rsid w:val="00BC3810"/>
    <w:pPr>
      <w:widowControl w:val="0"/>
      <w:autoSpaceDE w:val="0"/>
      <w:autoSpaceDN w:val="0"/>
      <w:adjustRightInd w:val="0"/>
      <w:spacing w:after="0" w:line="278" w:lineRule="exact"/>
      <w:ind w:hanging="566"/>
    </w:pPr>
    <w:rPr>
      <w:rFonts w:ascii="Times New Roman" w:hAnsi="Times New Roman" w:cs="Times New Roman"/>
      <w:sz w:val="24"/>
      <w:szCs w:val="24"/>
      <w:lang w:eastAsia="hr-HR"/>
    </w:rPr>
  </w:style>
  <w:style w:type="paragraph" w:customStyle="1" w:styleId="Style15">
    <w:name w:val="Style15"/>
    <w:basedOn w:val="Normal"/>
    <w:uiPriority w:val="99"/>
    <w:rsid w:val="00BC3810"/>
    <w:pPr>
      <w:widowControl w:val="0"/>
      <w:autoSpaceDE w:val="0"/>
      <w:autoSpaceDN w:val="0"/>
      <w:adjustRightInd w:val="0"/>
      <w:spacing w:after="0" w:line="278" w:lineRule="exact"/>
      <w:ind w:hanging="350"/>
    </w:pPr>
    <w:rPr>
      <w:rFonts w:ascii="Times New Roman" w:hAnsi="Times New Roman" w:cs="Times New Roman"/>
      <w:sz w:val="24"/>
      <w:szCs w:val="24"/>
      <w:lang w:eastAsia="hr-HR"/>
    </w:rPr>
  </w:style>
  <w:style w:type="paragraph" w:customStyle="1" w:styleId="Style16">
    <w:name w:val="Style16"/>
    <w:basedOn w:val="Normal"/>
    <w:uiPriority w:val="99"/>
    <w:rsid w:val="00BC3810"/>
    <w:pPr>
      <w:widowControl w:val="0"/>
      <w:autoSpaceDE w:val="0"/>
      <w:autoSpaceDN w:val="0"/>
      <w:adjustRightInd w:val="0"/>
      <w:spacing w:after="0" w:line="398" w:lineRule="exact"/>
      <w:ind w:firstLine="730"/>
    </w:pPr>
    <w:rPr>
      <w:rFonts w:ascii="Times New Roman" w:hAnsi="Times New Roman" w:cs="Times New Roman"/>
      <w:sz w:val="24"/>
      <w:szCs w:val="24"/>
      <w:lang w:eastAsia="hr-HR"/>
    </w:rPr>
  </w:style>
  <w:style w:type="paragraph" w:customStyle="1" w:styleId="Style17">
    <w:name w:val="Style17"/>
    <w:basedOn w:val="Normal"/>
    <w:uiPriority w:val="99"/>
    <w:rsid w:val="00BC3810"/>
    <w:pPr>
      <w:widowControl w:val="0"/>
      <w:autoSpaceDE w:val="0"/>
      <w:autoSpaceDN w:val="0"/>
      <w:adjustRightInd w:val="0"/>
      <w:spacing w:after="0" w:line="276" w:lineRule="exact"/>
      <w:ind w:hanging="998"/>
    </w:pPr>
    <w:rPr>
      <w:rFonts w:ascii="Times New Roman" w:hAnsi="Times New Roman" w:cs="Times New Roman"/>
      <w:sz w:val="24"/>
      <w:szCs w:val="24"/>
      <w:lang w:eastAsia="hr-HR"/>
    </w:rPr>
  </w:style>
  <w:style w:type="paragraph" w:customStyle="1" w:styleId="Style18">
    <w:name w:val="Style18"/>
    <w:basedOn w:val="Normal"/>
    <w:uiPriority w:val="99"/>
    <w:rsid w:val="00BC3810"/>
    <w:pPr>
      <w:widowControl w:val="0"/>
      <w:autoSpaceDE w:val="0"/>
      <w:autoSpaceDN w:val="0"/>
      <w:adjustRightInd w:val="0"/>
      <w:spacing w:after="0" w:line="269" w:lineRule="exact"/>
      <w:ind w:hanging="350"/>
    </w:pPr>
    <w:rPr>
      <w:rFonts w:ascii="Times New Roman" w:hAnsi="Times New Roman" w:cs="Times New Roman"/>
      <w:sz w:val="24"/>
      <w:szCs w:val="24"/>
      <w:lang w:eastAsia="hr-HR"/>
    </w:rPr>
  </w:style>
  <w:style w:type="paragraph" w:customStyle="1" w:styleId="Style19">
    <w:name w:val="Style19"/>
    <w:basedOn w:val="Normal"/>
    <w:uiPriority w:val="99"/>
    <w:rsid w:val="00BC3810"/>
    <w:pPr>
      <w:widowControl w:val="0"/>
      <w:autoSpaceDE w:val="0"/>
      <w:autoSpaceDN w:val="0"/>
      <w:adjustRightInd w:val="0"/>
      <w:spacing w:after="0" w:line="240" w:lineRule="auto"/>
    </w:pPr>
    <w:rPr>
      <w:rFonts w:ascii="Times New Roman" w:hAnsi="Times New Roman" w:cs="Times New Roman"/>
      <w:sz w:val="24"/>
      <w:szCs w:val="24"/>
      <w:lang w:eastAsia="hr-HR"/>
    </w:rPr>
  </w:style>
  <w:style w:type="paragraph" w:customStyle="1" w:styleId="Style20">
    <w:name w:val="Style20"/>
    <w:basedOn w:val="Normal"/>
    <w:uiPriority w:val="99"/>
    <w:rsid w:val="00BC3810"/>
    <w:pPr>
      <w:widowControl w:val="0"/>
      <w:autoSpaceDE w:val="0"/>
      <w:autoSpaceDN w:val="0"/>
      <w:adjustRightInd w:val="0"/>
      <w:spacing w:after="0" w:line="240" w:lineRule="auto"/>
    </w:pPr>
    <w:rPr>
      <w:rFonts w:ascii="Times New Roman" w:hAnsi="Times New Roman" w:cs="Times New Roman"/>
      <w:sz w:val="24"/>
      <w:szCs w:val="24"/>
      <w:lang w:eastAsia="hr-HR"/>
    </w:rPr>
  </w:style>
  <w:style w:type="paragraph" w:customStyle="1" w:styleId="Style21">
    <w:name w:val="Style21"/>
    <w:basedOn w:val="Normal"/>
    <w:uiPriority w:val="99"/>
    <w:rsid w:val="00BC3810"/>
    <w:pPr>
      <w:widowControl w:val="0"/>
      <w:autoSpaceDE w:val="0"/>
      <w:autoSpaceDN w:val="0"/>
      <w:adjustRightInd w:val="0"/>
      <w:spacing w:after="0" w:line="274" w:lineRule="exact"/>
      <w:ind w:hanging="250"/>
    </w:pPr>
    <w:rPr>
      <w:rFonts w:ascii="Times New Roman" w:hAnsi="Times New Roman" w:cs="Times New Roman"/>
      <w:sz w:val="24"/>
      <w:szCs w:val="24"/>
      <w:lang w:eastAsia="hr-HR"/>
    </w:rPr>
  </w:style>
  <w:style w:type="paragraph" w:customStyle="1" w:styleId="Style22">
    <w:name w:val="Style22"/>
    <w:basedOn w:val="Normal"/>
    <w:uiPriority w:val="99"/>
    <w:rsid w:val="00BC3810"/>
    <w:pPr>
      <w:widowControl w:val="0"/>
      <w:autoSpaceDE w:val="0"/>
      <w:autoSpaceDN w:val="0"/>
      <w:adjustRightInd w:val="0"/>
      <w:spacing w:after="0" w:line="240" w:lineRule="auto"/>
    </w:pPr>
    <w:rPr>
      <w:rFonts w:ascii="Times New Roman" w:hAnsi="Times New Roman" w:cs="Times New Roman"/>
      <w:sz w:val="24"/>
      <w:szCs w:val="24"/>
      <w:lang w:eastAsia="hr-HR"/>
    </w:rPr>
  </w:style>
  <w:style w:type="paragraph" w:customStyle="1" w:styleId="Style23">
    <w:name w:val="Style23"/>
    <w:basedOn w:val="Normal"/>
    <w:uiPriority w:val="99"/>
    <w:rsid w:val="00BC3810"/>
    <w:pPr>
      <w:widowControl w:val="0"/>
      <w:autoSpaceDE w:val="0"/>
      <w:autoSpaceDN w:val="0"/>
      <w:adjustRightInd w:val="0"/>
      <w:spacing w:after="0" w:line="240" w:lineRule="auto"/>
      <w:jc w:val="both"/>
    </w:pPr>
    <w:rPr>
      <w:rFonts w:ascii="Times New Roman" w:hAnsi="Times New Roman" w:cs="Times New Roman"/>
      <w:sz w:val="24"/>
      <w:szCs w:val="24"/>
      <w:lang w:eastAsia="hr-HR"/>
    </w:rPr>
  </w:style>
  <w:style w:type="paragraph" w:customStyle="1" w:styleId="Style24">
    <w:name w:val="Style24"/>
    <w:basedOn w:val="Normal"/>
    <w:uiPriority w:val="99"/>
    <w:rsid w:val="00BC3810"/>
    <w:pPr>
      <w:widowControl w:val="0"/>
      <w:autoSpaceDE w:val="0"/>
      <w:autoSpaceDN w:val="0"/>
      <w:adjustRightInd w:val="0"/>
      <w:spacing w:after="0" w:line="274" w:lineRule="exact"/>
      <w:ind w:hanging="250"/>
    </w:pPr>
    <w:rPr>
      <w:rFonts w:ascii="Times New Roman" w:hAnsi="Times New Roman" w:cs="Times New Roman"/>
      <w:sz w:val="24"/>
      <w:szCs w:val="24"/>
      <w:lang w:eastAsia="hr-HR"/>
    </w:rPr>
  </w:style>
  <w:style w:type="character" w:customStyle="1" w:styleId="FontStyle26">
    <w:name w:val="Font Style26"/>
    <w:basedOn w:val="Zadanifontodlomka"/>
    <w:uiPriority w:val="99"/>
    <w:rsid w:val="00BC3810"/>
    <w:rPr>
      <w:rFonts w:ascii="Times New Roman" w:hAnsi="Times New Roman" w:cs="Times New Roman"/>
      <w:b/>
      <w:bCs/>
      <w:sz w:val="20"/>
      <w:szCs w:val="20"/>
    </w:rPr>
  </w:style>
  <w:style w:type="character" w:customStyle="1" w:styleId="FontStyle27">
    <w:name w:val="Font Style27"/>
    <w:basedOn w:val="Zadanifontodlomka"/>
    <w:uiPriority w:val="99"/>
    <w:rsid w:val="00BC3810"/>
    <w:rPr>
      <w:rFonts w:ascii="Times New Roman" w:hAnsi="Times New Roman" w:cs="Times New Roman"/>
      <w:i/>
      <w:iCs/>
      <w:sz w:val="20"/>
      <w:szCs w:val="20"/>
    </w:rPr>
  </w:style>
  <w:style w:type="character" w:customStyle="1" w:styleId="FontStyle28">
    <w:name w:val="Font Style28"/>
    <w:basedOn w:val="Zadanifontodlomka"/>
    <w:uiPriority w:val="99"/>
    <w:rsid w:val="00BC3810"/>
    <w:rPr>
      <w:rFonts w:ascii="Times New Roman" w:hAnsi="Times New Roman" w:cs="Times New Roman"/>
      <w:sz w:val="20"/>
      <w:szCs w:val="20"/>
    </w:rPr>
  </w:style>
  <w:style w:type="character" w:customStyle="1" w:styleId="FontStyle29">
    <w:name w:val="Font Style29"/>
    <w:basedOn w:val="Zadanifontodlomka"/>
    <w:uiPriority w:val="99"/>
    <w:rsid w:val="00BC3810"/>
    <w:rPr>
      <w:rFonts w:ascii="Times New Roman" w:hAnsi="Times New Roman" w:cs="Times New Roman"/>
      <w:spacing w:val="20"/>
      <w:sz w:val="22"/>
      <w:szCs w:val="22"/>
    </w:rPr>
  </w:style>
  <w:style w:type="character" w:customStyle="1" w:styleId="FontStyle30">
    <w:name w:val="Font Style30"/>
    <w:basedOn w:val="Zadanifontodlomka"/>
    <w:uiPriority w:val="99"/>
    <w:rsid w:val="00BC3810"/>
    <w:rPr>
      <w:rFonts w:ascii="Times New Roman" w:hAnsi="Times New Roman" w:cs="Times New Roman"/>
      <w:i/>
      <w:iCs/>
      <w:sz w:val="22"/>
      <w:szCs w:val="22"/>
    </w:rPr>
  </w:style>
  <w:style w:type="character" w:customStyle="1" w:styleId="FontStyle31">
    <w:name w:val="Font Style31"/>
    <w:basedOn w:val="Zadanifontodlomka"/>
    <w:uiPriority w:val="99"/>
    <w:rsid w:val="00BC3810"/>
    <w:rPr>
      <w:rFonts w:ascii="Times New Roman" w:hAnsi="Times New Roman" w:cs="Times New Roman"/>
      <w:b/>
      <w:bCs/>
      <w:i/>
      <w:iCs/>
      <w:sz w:val="22"/>
      <w:szCs w:val="22"/>
    </w:rPr>
  </w:style>
  <w:style w:type="character" w:customStyle="1" w:styleId="FontStyle32">
    <w:name w:val="Font Style32"/>
    <w:basedOn w:val="Zadanifontodlomka"/>
    <w:uiPriority w:val="99"/>
    <w:rsid w:val="00BC3810"/>
    <w:rPr>
      <w:rFonts w:ascii="Times New Roman" w:hAnsi="Times New Roman" w:cs="Times New Roman"/>
      <w:sz w:val="22"/>
      <w:szCs w:val="22"/>
    </w:rPr>
  </w:style>
  <w:style w:type="character" w:customStyle="1" w:styleId="FontStyle34">
    <w:name w:val="Font Style34"/>
    <w:basedOn w:val="Zadanifontodlomka"/>
    <w:uiPriority w:val="99"/>
    <w:rsid w:val="00BC3810"/>
    <w:rPr>
      <w:rFonts w:ascii="Times New Roman" w:hAnsi="Times New Roman" w:cs="Times New Roman"/>
      <w:sz w:val="18"/>
      <w:szCs w:val="18"/>
    </w:rPr>
  </w:style>
  <w:style w:type="character" w:styleId="Hiperveza">
    <w:name w:val="Hyperlink"/>
    <w:basedOn w:val="Zadanifontodlomka"/>
    <w:uiPriority w:val="99"/>
    <w:unhideWhenUsed/>
    <w:rsid w:val="00BC3810"/>
    <w:rPr>
      <w:color w:val="0000FF"/>
      <w:u w:val="single"/>
    </w:rPr>
  </w:style>
  <w:style w:type="character" w:styleId="Referencakomentara">
    <w:name w:val="annotation reference"/>
    <w:basedOn w:val="Zadanifontodlomka"/>
    <w:uiPriority w:val="99"/>
    <w:unhideWhenUsed/>
    <w:rsid w:val="00BC3810"/>
    <w:rPr>
      <w:sz w:val="16"/>
      <w:szCs w:val="16"/>
    </w:rPr>
  </w:style>
  <w:style w:type="paragraph" w:styleId="Tekstkomentara">
    <w:name w:val="annotation text"/>
    <w:basedOn w:val="Normal"/>
    <w:link w:val="TekstkomentaraChar"/>
    <w:uiPriority w:val="99"/>
    <w:unhideWhenUsed/>
    <w:rsid w:val="00BC3810"/>
    <w:pPr>
      <w:widowControl w:val="0"/>
      <w:spacing w:line="240" w:lineRule="auto"/>
    </w:pPr>
    <w:rPr>
      <w:rFonts w:eastAsia="Calibri"/>
      <w:color w:val="000000"/>
      <w:sz w:val="20"/>
      <w:szCs w:val="20"/>
      <w:lang w:eastAsia="hr-HR"/>
    </w:rPr>
  </w:style>
  <w:style w:type="character" w:customStyle="1" w:styleId="TekstkomentaraChar">
    <w:name w:val="Tekst komentara Char"/>
    <w:basedOn w:val="Zadanifontodlomka"/>
    <w:link w:val="Tekstkomentara"/>
    <w:uiPriority w:val="99"/>
    <w:rsid w:val="00BC3810"/>
    <w:rPr>
      <w:rFonts w:ascii="Calibri" w:eastAsia="Calibri" w:hAnsi="Calibri" w:cs="Calibri"/>
      <w:color w:val="000000"/>
      <w:sz w:val="20"/>
      <w:szCs w:val="20"/>
      <w:lang w:eastAsia="hr-HR"/>
    </w:rPr>
  </w:style>
  <w:style w:type="paragraph" w:styleId="Predmetkomentara">
    <w:name w:val="annotation subject"/>
    <w:basedOn w:val="Tekstkomentara"/>
    <w:next w:val="Tekstkomentara"/>
    <w:link w:val="PredmetkomentaraChar"/>
    <w:uiPriority w:val="99"/>
    <w:unhideWhenUsed/>
    <w:rsid w:val="00BC3810"/>
    <w:rPr>
      <w:b/>
      <w:bCs/>
    </w:rPr>
  </w:style>
  <w:style w:type="character" w:customStyle="1" w:styleId="PredmetkomentaraChar">
    <w:name w:val="Predmet komentara Char"/>
    <w:basedOn w:val="TekstkomentaraChar"/>
    <w:link w:val="Predmetkomentara"/>
    <w:uiPriority w:val="99"/>
    <w:rsid w:val="00BC3810"/>
    <w:rPr>
      <w:rFonts w:ascii="Calibri" w:eastAsia="Calibri" w:hAnsi="Calibri" w:cs="Calibri"/>
      <w:b/>
      <w:bCs/>
      <w:color w:val="000000"/>
      <w:sz w:val="20"/>
      <w:szCs w:val="20"/>
      <w:lang w:eastAsia="hr-HR"/>
    </w:rPr>
  </w:style>
  <w:style w:type="paragraph" w:customStyle="1" w:styleId="default0">
    <w:name w:val="default"/>
    <w:basedOn w:val="Normal"/>
    <w:rsid w:val="00BC3810"/>
    <w:pPr>
      <w:spacing w:before="100" w:beforeAutospacing="1" w:after="100" w:afterAutospacing="1" w:line="240" w:lineRule="auto"/>
    </w:pPr>
    <w:rPr>
      <w:rFonts w:ascii="Times New Roman" w:hAnsi="Times New Roman" w:cs="Times New Roman"/>
      <w:sz w:val="24"/>
      <w:szCs w:val="24"/>
      <w:lang w:eastAsia="hr-HR"/>
    </w:rPr>
  </w:style>
  <w:style w:type="paragraph" w:customStyle="1" w:styleId="NoSpacing1">
    <w:name w:val="No Spacing1"/>
    <w:rsid w:val="00BC3810"/>
    <w:pPr>
      <w:suppressAutoHyphens/>
      <w:spacing w:after="0" w:line="240" w:lineRule="auto"/>
    </w:pPr>
    <w:rPr>
      <w:rFonts w:ascii="Calibri" w:eastAsia="Calibri" w:hAnsi="Calibri" w:cs="Calibri"/>
      <w:lang w:eastAsia="ar-SA"/>
    </w:rPr>
  </w:style>
  <w:style w:type="paragraph" w:customStyle="1" w:styleId="ListParagraph1">
    <w:name w:val="List Paragraph1"/>
    <w:basedOn w:val="Normal"/>
    <w:rsid w:val="00BC3810"/>
    <w:pPr>
      <w:suppressAutoHyphens/>
      <w:ind w:left="720"/>
    </w:pPr>
    <w:rPr>
      <w:rFonts w:eastAsia="Calibri"/>
      <w:lang w:eastAsia="ar-SA"/>
    </w:rPr>
  </w:style>
  <w:style w:type="paragraph" w:styleId="Bezproreda">
    <w:name w:val="No Spacing"/>
    <w:link w:val="BezproredaChar1"/>
    <w:uiPriority w:val="1"/>
    <w:qFormat/>
    <w:rsid w:val="00BC3810"/>
    <w:pPr>
      <w:spacing w:after="0" w:line="240" w:lineRule="auto"/>
    </w:pPr>
    <w:rPr>
      <w:rFonts w:ascii="Calibri" w:eastAsia="Times New Roman" w:hAnsi="Calibri" w:cs="Times New Roman"/>
      <w:lang w:eastAsia="hr-HR"/>
    </w:rPr>
  </w:style>
  <w:style w:type="paragraph" w:customStyle="1" w:styleId="Odlomakpopisa1">
    <w:name w:val="Odlomak popisa1"/>
    <w:basedOn w:val="Normal"/>
    <w:rsid w:val="00BC3810"/>
    <w:pPr>
      <w:spacing w:after="0" w:line="240" w:lineRule="auto"/>
      <w:ind w:left="720"/>
    </w:pPr>
    <w:rPr>
      <w:rFonts w:ascii="Times New Roman" w:eastAsia="Calibri" w:hAnsi="Times New Roman" w:cs="Times New Roman"/>
      <w:sz w:val="24"/>
      <w:szCs w:val="24"/>
      <w:lang w:eastAsia="hr-HR"/>
    </w:rPr>
  </w:style>
  <w:style w:type="paragraph" w:styleId="Tijeloteksta">
    <w:name w:val="Body Text"/>
    <w:basedOn w:val="Normal"/>
    <w:link w:val="TijelotekstaChar"/>
    <w:uiPriority w:val="1"/>
    <w:qFormat/>
    <w:rsid w:val="00BC3810"/>
    <w:pPr>
      <w:tabs>
        <w:tab w:val="left" w:pos="709"/>
        <w:tab w:val="right" w:pos="9072"/>
      </w:tabs>
      <w:spacing w:after="0" w:line="240" w:lineRule="auto"/>
      <w:jc w:val="both"/>
    </w:pPr>
    <w:rPr>
      <w:rFonts w:ascii="Arial" w:hAnsi="Arial" w:cs="Times New Roman"/>
      <w:sz w:val="20"/>
      <w:szCs w:val="20"/>
    </w:rPr>
  </w:style>
  <w:style w:type="character" w:customStyle="1" w:styleId="TijelotekstaChar">
    <w:name w:val="Tijelo teksta Char"/>
    <w:basedOn w:val="Zadanifontodlomka"/>
    <w:link w:val="Tijeloteksta"/>
    <w:uiPriority w:val="1"/>
    <w:rsid w:val="00BC3810"/>
    <w:rPr>
      <w:rFonts w:ascii="Arial" w:eastAsia="Times New Roman" w:hAnsi="Arial" w:cs="Times New Roman"/>
      <w:sz w:val="20"/>
      <w:szCs w:val="20"/>
    </w:rPr>
  </w:style>
  <w:style w:type="paragraph" w:styleId="Uvuenotijeloteksta">
    <w:name w:val="Body Text Indent"/>
    <w:basedOn w:val="Normal"/>
    <w:link w:val="UvuenotijelotekstaChar"/>
    <w:rsid w:val="00BC3810"/>
    <w:pPr>
      <w:tabs>
        <w:tab w:val="left" w:pos="709"/>
        <w:tab w:val="right" w:pos="9072"/>
      </w:tabs>
      <w:spacing w:after="0" w:line="240" w:lineRule="auto"/>
      <w:ind w:left="720" w:hanging="720"/>
      <w:jc w:val="both"/>
    </w:pPr>
    <w:rPr>
      <w:rFonts w:ascii="Arial" w:hAnsi="Arial" w:cs="Times New Roman"/>
      <w:sz w:val="20"/>
      <w:szCs w:val="20"/>
    </w:rPr>
  </w:style>
  <w:style w:type="character" w:customStyle="1" w:styleId="UvuenotijelotekstaChar">
    <w:name w:val="Uvučeno tijelo teksta Char"/>
    <w:basedOn w:val="Zadanifontodlomka"/>
    <w:link w:val="Uvuenotijeloteksta"/>
    <w:rsid w:val="00BC3810"/>
    <w:rPr>
      <w:rFonts w:ascii="Arial" w:eastAsia="Times New Roman" w:hAnsi="Arial" w:cs="Times New Roman"/>
      <w:sz w:val="20"/>
      <w:szCs w:val="20"/>
    </w:rPr>
  </w:style>
  <w:style w:type="table" w:styleId="Reetkatablice">
    <w:name w:val="Table Grid"/>
    <w:basedOn w:val="Obinatablica"/>
    <w:uiPriority w:val="59"/>
    <w:rsid w:val="001E3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4A5A8B"/>
    <w:rPr>
      <w:color w:val="954F72"/>
      <w:u w:val="single"/>
    </w:rPr>
  </w:style>
  <w:style w:type="paragraph" w:customStyle="1" w:styleId="msonormal0">
    <w:name w:val="msonormal"/>
    <w:basedOn w:val="Normal"/>
    <w:rsid w:val="004A5A8B"/>
    <w:pPr>
      <w:spacing w:before="100" w:beforeAutospacing="1" w:after="100" w:afterAutospacing="1" w:line="240" w:lineRule="auto"/>
    </w:pPr>
    <w:rPr>
      <w:rFonts w:ascii="Times New Roman" w:hAnsi="Times New Roman" w:cs="Times New Roman"/>
      <w:sz w:val="24"/>
      <w:szCs w:val="24"/>
      <w:lang w:eastAsia="hr-HR"/>
    </w:rPr>
  </w:style>
  <w:style w:type="paragraph" w:customStyle="1" w:styleId="xl65">
    <w:name w:val="xl65"/>
    <w:basedOn w:val="Normal"/>
    <w:rsid w:val="004A5A8B"/>
    <w:pPr>
      <w:shd w:val="clear" w:color="000000" w:fill="C0C0C0"/>
      <w:spacing w:before="100" w:beforeAutospacing="1" w:after="100" w:afterAutospacing="1" w:line="240" w:lineRule="auto"/>
      <w:jc w:val="center"/>
    </w:pPr>
    <w:rPr>
      <w:rFonts w:ascii="Times New Roman" w:hAnsi="Times New Roman" w:cs="Times New Roman"/>
      <w:b/>
      <w:bCs/>
      <w:sz w:val="24"/>
      <w:szCs w:val="24"/>
      <w:lang w:eastAsia="hr-HR"/>
    </w:rPr>
  </w:style>
  <w:style w:type="paragraph" w:customStyle="1" w:styleId="xl66">
    <w:name w:val="xl66"/>
    <w:basedOn w:val="Normal"/>
    <w:rsid w:val="004A5A8B"/>
    <w:pPr>
      <w:shd w:val="clear" w:color="000000" w:fill="808080"/>
      <w:spacing w:before="100" w:beforeAutospacing="1" w:after="100" w:afterAutospacing="1" w:line="240" w:lineRule="auto"/>
      <w:jc w:val="center"/>
    </w:pPr>
    <w:rPr>
      <w:rFonts w:ascii="Times New Roman" w:hAnsi="Times New Roman" w:cs="Times New Roman"/>
      <w:b/>
      <w:bCs/>
      <w:color w:val="FFFFFF"/>
      <w:sz w:val="24"/>
      <w:szCs w:val="24"/>
      <w:lang w:eastAsia="hr-HR"/>
    </w:rPr>
  </w:style>
  <w:style w:type="paragraph" w:customStyle="1" w:styleId="xl67">
    <w:name w:val="xl67"/>
    <w:basedOn w:val="Normal"/>
    <w:rsid w:val="004A5A8B"/>
    <w:pPr>
      <w:spacing w:before="100" w:beforeAutospacing="1" w:after="100" w:afterAutospacing="1" w:line="240" w:lineRule="auto"/>
      <w:jc w:val="right"/>
    </w:pPr>
    <w:rPr>
      <w:rFonts w:ascii="Times New Roman" w:hAnsi="Times New Roman" w:cs="Times New Roman"/>
      <w:b/>
      <w:bCs/>
      <w:sz w:val="24"/>
      <w:szCs w:val="24"/>
      <w:lang w:eastAsia="hr-HR"/>
    </w:rPr>
  </w:style>
  <w:style w:type="paragraph" w:customStyle="1" w:styleId="xl68">
    <w:name w:val="xl68"/>
    <w:basedOn w:val="Normal"/>
    <w:rsid w:val="004A5A8B"/>
    <w:pPr>
      <w:spacing w:before="100" w:beforeAutospacing="1" w:after="100" w:afterAutospacing="1" w:line="240" w:lineRule="auto"/>
      <w:jc w:val="right"/>
    </w:pPr>
    <w:rPr>
      <w:rFonts w:ascii="Times New Roman" w:hAnsi="Times New Roman" w:cs="Times New Roman"/>
      <w:b/>
      <w:bCs/>
      <w:sz w:val="24"/>
      <w:szCs w:val="24"/>
      <w:lang w:eastAsia="hr-HR"/>
    </w:rPr>
  </w:style>
  <w:style w:type="paragraph" w:customStyle="1" w:styleId="xl69">
    <w:name w:val="xl69"/>
    <w:basedOn w:val="Normal"/>
    <w:rsid w:val="004A5A8B"/>
    <w:pPr>
      <w:spacing w:before="100" w:beforeAutospacing="1" w:after="100" w:afterAutospacing="1" w:line="240" w:lineRule="auto"/>
      <w:jc w:val="right"/>
    </w:pPr>
    <w:rPr>
      <w:rFonts w:ascii="Times New Roman" w:hAnsi="Times New Roman" w:cs="Times New Roman"/>
      <w:sz w:val="24"/>
      <w:szCs w:val="24"/>
      <w:lang w:eastAsia="hr-HR"/>
    </w:rPr>
  </w:style>
  <w:style w:type="paragraph" w:customStyle="1" w:styleId="xl70">
    <w:name w:val="xl70"/>
    <w:basedOn w:val="Normal"/>
    <w:rsid w:val="004A5A8B"/>
    <w:pPr>
      <w:spacing w:before="100" w:beforeAutospacing="1" w:after="100" w:afterAutospacing="1" w:line="240" w:lineRule="auto"/>
      <w:jc w:val="right"/>
    </w:pPr>
    <w:rPr>
      <w:rFonts w:ascii="Times New Roman" w:hAnsi="Times New Roman" w:cs="Times New Roman"/>
      <w:sz w:val="24"/>
      <w:szCs w:val="24"/>
      <w:lang w:eastAsia="hr-HR"/>
    </w:rPr>
  </w:style>
  <w:style w:type="paragraph" w:customStyle="1" w:styleId="xl71">
    <w:name w:val="xl71"/>
    <w:basedOn w:val="Normal"/>
    <w:rsid w:val="004A5A8B"/>
    <w:pPr>
      <w:spacing w:before="100" w:beforeAutospacing="1" w:after="100" w:afterAutospacing="1" w:line="240" w:lineRule="auto"/>
    </w:pPr>
    <w:rPr>
      <w:rFonts w:ascii="Times New Roman" w:hAnsi="Times New Roman" w:cs="Times New Roman"/>
      <w:b/>
      <w:bCs/>
      <w:sz w:val="24"/>
      <w:szCs w:val="24"/>
      <w:lang w:eastAsia="hr-HR"/>
    </w:rPr>
  </w:style>
  <w:style w:type="paragraph" w:customStyle="1" w:styleId="xl72">
    <w:name w:val="xl72"/>
    <w:basedOn w:val="Normal"/>
    <w:rsid w:val="004A5A8B"/>
    <w:pPr>
      <w:shd w:val="clear" w:color="000000" w:fill="808080"/>
      <w:spacing w:before="100" w:beforeAutospacing="1" w:after="100" w:afterAutospacing="1" w:line="240" w:lineRule="auto"/>
    </w:pPr>
    <w:rPr>
      <w:rFonts w:ascii="Times New Roman" w:hAnsi="Times New Roman" w:cs="Times New Roman"/>
      <w:b/>
      <w:bCs/>
      <w:color w:val="FFFFFF"/>
      <w:sz w:val="24"/>
      <w:szCs w:val="24"/>
      <w:lang w:eastAsia="hr-HR"/>
    </w:rPr>
  </w:style>
  <w:style w:type="paragraph" w:customStyle="1" w:styleId="xl73">
    <w:name w:val="xl73"/>
    <w:basedOn w:val="Normal"/>
    <w:rsid w:val="004A5A8B"/>
    <w:pPr>
      <w:spacing w:before="100" w:beforeAutospacing="1" w:after="100" w:afterAutospacing="1" w:line="240" w:lineRule="auto"/>
      <w:jc w:val="right"/>
    </w:pPr>
    <w:rPr>
      <w:rFonts w:ascii="Times New Roman" w:hAnsi="Times New Roman" w:cs="Times New Roman"/>
      <w:b/>
      <w:bCs/>
      <w:sz w:val="24"/>
      <w:szCs w:val="24"/>
      <w:lang w:eastAsia="hr-HR"/>
    </w:rPr>
  </w:style>
  <w:style w:type="paragraph" w:customStyle="1" w:styleId="xl74">
    <w:name w:val="xl74"/>
    <w:basedOn w:val="Normal"/>
    <w:rsid w:val="004A5A8B"/>
    <w:pPr>
      <w:spacing w:before="100" w:beforeAutospacing="1" w:after="100" w:afterAutospacing="1" w:line="240" w:lineRule="auto"/>
      <w:jc w:val="right"/>
    </w:pPr>
    <w:rPr>
      <w:rFonts w:ascii="Times New Roman" w:hAnsi="Times New Roman" w:cs="Times New Roman"/>
      <w:sz w:val="24"/>
      <w:szCs w:val="24"/>
      <w:lang w:eastAsia="hr-HR"/>
    </w:rPr>
  </w:style>
  <w:style w:type="paragraph" w:customStyle="1" w:styleId="xl75">
    <w:name w:val="xl75"/>
    <w:basedOn w:val="Normal"/>
    <w:rsid w:val="004F1260"/>
    <w:pPr>
      <w:shd w:val="clear" w:color="000000" w:fill="FF9900"/>
      <w:spacing w:before="100" w:beforeAutospacing="1" w:after="100" w:afterAutospacing="1" w:line="240" w:lineRule="auto"/>
      <w:jc w:val="right"/>
    </w:pPr>
    <w:rPr>
      <w:rFonts w:ascii="Times New Roman" w:hAnsi="Times New Roman" w:cs="Times New Roman"/>
      <w:b/>
      <w:bCs/>
      <w:sz w:val="24"/>
      <w:szCs w:val="24"/>
      <w:lang w:eastAsia="hr-HR"/>
    </w:rPr>
  </w:style>
  <w:style w:type="paragraph" w:customStyle="1" w:styleId="xl76">
    <w:name w:val="xl76"/>
    <w:basedOn w:val="Normal"/>
    <w:rsid w:val="004F1260"/>
    <w:pPr>
      <w:shd w:val="clear" w:color="000000" w:fill="FFFF99"/>
      <w:spacing w:before="100" w:beforeAutospacing="1" w:after="100" w:afterAutospacing="1" w:line="240" w:lineRule="auto"/>
      <w:jc w:val="right"/>
    </w:pPr>
    <w:rPr>
      <w:rFonts w:ascii="Times New Roman" w:hAnsi="Times New Roman" w:cs="Times New Roman"/>
      <w:b/>
      <w:bCs/>
      <w:sz w:val="24"/>
      <w:szCs w:val="24"/>
      <w:lang w:eastAsia="hr-HR"/>
    </w:rPr>
  </w:style>
  <w:style w:type="paragraph" w:customStyle="1" w:styleId="xl77">
    <w:name w:val="xl77"/>
    <w:basedOn w:val="Normal"/>
    <w:rsid w:val="004F1260"/>
    <w:pPr>
      <w:shd w:val="clear" w:color="000000" w:fill="FFFF99"/>
      <w:spacing w:before="100" w:beforeAutospacing="1" w:after="100" w:afterAutospacing="1" w:line="240" w:lineRule="auto"/>
      <w:jc w:val="right"/>
    </w:pPr>
    <w:rPr>
      <w:rFonts w:ascii="Times New Roman" w:hAnsi="Times New Roman" w:cs="Times New Roman"/>
      <w:b/>
      <w:bCs/>
      <w:sz w:val="24"/>
      <w:szCs w:val="24"/>
      <w:lang w:eastAsia="hr-HR"/>
    </w:rPr>
  </w:style>
  <w:style w:type="paragraph" w:customStyle="1" w:styleId="xl78">
    <w:name w:val="xl78"/>
    <w:basedOn w:val="Normal"/>
    <w:rsid w:val="004F1260"/>
    <w:pPr>
      <w:spacing w:before="100" w:beforeAutospacing="1" w:after="100" w:afterAutospacing="1" w:line="240" w:lineRule="auto"/>
      <w:jc w:val="right"/>
    </w:pPr>
    <w:rPr>
      <w:rFonts w:ascii="Times New Roman" w:hAnsi="Times New Roman" w:cs="Times New Roman"/>
      <w:b/>
      <w:bCs/>
      <w:sz w:val="24"/>
      <w:szCs w:val="24"/>
      <w:lang w:eastAsia="hr-HR"/>
    </w:rPr>
  </w:style>
  <w:style w:type="paragraph" w:customStyle="1" w:styleId="xl79">
    <w:name w:val="xl79"/>
    <w:basedOn w:val="Normal"/>
    <w:rsid w:val="004F1260"/>
    <w:pPr>
      <w:spacing w:before="100" w:beforeAutospacing="1" w:after="100" w:afterAutospacing="1" w:line="240" w:lineRule="auto"/>
      <w:jc w:val="right"/>
    </w:pPr>
    <w:rPr>
      <w:rFonts w:ascii="Times New Roman" w:hAnsi="Times New Roman" w:cs="Times New Roman"/>
      <w:b/>
      <w:bCs/>
      <w:sz w:val="24"/>
      <w:szCs w:val="24"/>
      <w:lang w:eastAsia="hr-HR"/>
    </w:rPr>
  </w:style>
  <w:style w:type="paragraph" w:customStyle="1" w:styleId="xl80">
    <w:name w:val="xl80"/>
    <w:basedOn w:val="Normal"/>
    <w:rsid w:val="004F1260"/>
    <w:pPr>
      <w:spacing w:before="100" w:beforeAutospacing="1" w:after="100" w:afterAutospacing="1" w:line="240" w:lineRule="auto"/>
    </w:pPr>
    <w:rPr>
      <w:rFonts w:ascii="Times New Roman" w:hAnsi="Times New Roman" w:cs="Times New Roman"/>
      <w:sz w:val="24"/>
      <w:szCs w:val="24"/>
      <w:lang w:eastAsia="hr-HR"/>
    </w:rPr>
  </w:style>
  <w:style w:type="paragraph" w:customStyle="1" w:styleId="xl81">
    <w:name w:val="xl81"/>
    <w:basedOn w:val="Normal"/>
    <w:rsid w:val="004F1260"/>
    <w:pPr>
      <w:shd w:val="clear" w:color="000000" w:fill="969696"/>
      <w:spacing w:before="100" w:beforeAutospacing="1" w:after="100" w:afterAutospacing="1" w:line="240" w:lineRule="auto"/>
    </w:pPr>
    <w:rPr>
      <w:rFonts w:ascii="Times New Roman" w:hAnsi="Times New Roman" w:cs="Times New Roman"/>
      <w:b/>
      <w:bCs/>
      <w:sz w:val="24"/>
      <w:szCs w:val="24"/>
      <w:lang w:eastAsia="hr-HR"/>
    </w:rPr>
  </w:style>
  <w:style w:type="paragraph" w:customStyle="1" w:styleId="xl82">
    <w:name w:val="xl82"/>
    <w:basedOn w:val="Normal"/>
    <w:rsid w:val="004F1260"/>
    <w:pPr>
      <w:shd w:val="clear" w:color="000000" w:fill="C0C0C0"/>
      <w:spacing w:before="100" w:beforeAutospacing="1" w:after="100" w:afterAutospacing="1" w:line="240" w:lineRule="auto"/>
    </w:pPr>
    <w:rPr>
      <w:rFonts w:ascii="Times New Roman" w:hAnsi="Times New Roman" w:cs="Times New Roman"/>
      <w:b/>
      <w:bCs/>
      <w:color w:val="FFFFFF"/>
      <w:sz w:val="24"/>
      <w:szCs w:val="24"/>
      <w:lang w:eastAsia="hr-HR"/>
    </w:rPr>
  </w:style>
  <w:style w:type="paragraph" w:customStyle="1" w:styleId="xl83">
    <w:name w:val="xl83"/>
    <w:basedOn w:val="Normal"/>
    <w:rsid w:val="004F1260"/>
    <w:pPr>
      <w:shd w:val="clear" w:color="000000" w:fill="9999FF"/>
      <w:spacing w:before="100" w:beforeAutospacing="1" w:after="100" w:afterAutospacing="1" w:line="240" w:lineRule="auto"/>
    </w:pPr>
    <w:rPr>
      <w:rFonts w:ascii="Times New Roman" w:hAnsi="Times New Roman" w:cs="Times New Roman"/>
      <w:b/>
      <w:bCs/>
      <w:sz w:val="24"/>
      <w:szCs w:val="24"/>
      <w:lang w:eastAsia="hr-HR"/>
    </w:rPr>
  </w:style>
  <w:style w:type="paragraph" w:customStyle="1" w:styleId="xl84">
    <w:name w:val="xl84"/>
    <w:basedOn w:val="Normal"/>
    <w:rsid w:val="004F1260"/>
    <w:pPr>
      <w:shd w:val="clear" w:color="000000" w:fill="CCCCFF"/>
      <w:spacing w:before="100" w:beforeAutospacing="1" w:after="100" w:afterAutospacing="1" w:line="240" w:lineRule="auto"/>
    </w:pPr>
    <w:rPr>
      <w:rFonts w:ascii="Times New Roman" w:hAnsi="Times New Roman" w:cs="Times New Roman"/>
      <w:b/>
      <w:bCs/>
      <w:color w:val="333333"/>
      <w:sz w:val="24"/>
      <w:szCs w:val="24"/>
      <w:lang w:eastAsia="hr-HR"/>
    </w:rPr>
  </w:style>
  <w:style w:type="paragraph" w:customStyle="1" w:styleId="xl85">
    <w:name w:val="xl85"/>
    <w:basedOn w:val="Normal"/>
    <w:rsid w:val="004F1260"/>
    <w:pPr>
      <w:shd w:val="clear" w:color="000000" w:fill="FF9900"/>
      <w:spacing w:before="100" w:beforeAutospacing="1" w:after="100" w:afterAutospacing="1" w:line="240" w:lineRule="auto"/>
    </w:pPr>
    <w:rPr>
      <w:rFonts w:ascii="Times New Roman" w:hAnsi="Times New Roman" w:cs="Times New Roman"/>
      <w:b/>
      <w:bCs/>
      <w:sz w:val="24"/>
      <w:szCs w:val="24"/>
      <w:lang w:eastAsia="hr-HR"/>
    </w:rPr>
  </w:style>
  <w:style w:type="paragraph" w:customStyle="1" w:styleId="xl86">
    <w:name w:val="xl86"/>
    <w:basedOn w:val="Normal"/>
    <w:rsid w:val="004F1260"/>
    <w:pPr>
      <w:shd w:val="clear" w:color="000000" w:fill="FFFF99"/>
      <w:spacing w:before="100" w:beforeAutospacing="1" w:after="100" w:afterAutospacing="1" w:line="240" w:lineRule="auto"/>
    </w:pPr>
    <w:rPr>
      <w:rFonts w:ascii="Times New Roman" w:hAnsi="Times New Roman" w:cs="Times New Roman"/>
      <w:b/>
      <w:bCs/>
      <w:sz w:val="24"/>
      <w:szCs w:val="24"/>
      <w:lang w:eastAsia="hr-HR"/>
    </w:rPr>
  </w:style>
  <w:style w:type="paragraph" w:customStyle="1" w:styleId="xl87">
    <w:name w:val="xl87"/>
    <w:basedOn w:val="Normal"/>
    <w:rsid w:val="004F1260"/>
    <w:pPr>
      <w:spacing w:before="100" w:beforeAutospacing="1" w:after="100" w:afterAutospacing="1" w:line="240" w:lineRule="auto"/>
    </w:pPr>
    <w:rPr>
      <w:rFonts w:ascii="Times New Roman" w:hAnsi="Times New Roman" w:cs="Times New Roman"/>
      <w:b/>
      <w:bCs/>
      <w:sz w:val="24"/>
      <w:szCs w:val="24"/>
      <w:lang w:eastAsia="hr-HR"/>
    </w:rPr>
  </w:style>
  <w:style w:type="paragraph" w:customStyle="1" w:styleId="xl88">
    <w:name w:val="xl88"/>
    <w:basedOn w:val="Normal"/>
    <w:rsid w:val="00B75B7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16"/>
      <w:szCs w:val="16"/>
      <w:lang w:eastAsia="hr-HR"/>
    </w:rPr>
  </w:style>
  <w:style w:type="paragraph" w:customStyle="1" w:styleId="xl89">
    <w:name w:val="xl89"/>
    <w:basedOn w:val="Normal"/>
    <w:rsid w:val="00B75B78"/>
    <w:pPr>
      <w:pBdr>
        <w:top w:val="single" w:sz="4" w:space="0" w:color="auto"/>
        <w:right w:val="single" w:sz="4" w:space="0" w:color="auto"/>
      </w:pBdr>
      <w:spacing w:before="100" w:beforeAutospacing="1" w:after="100" w:afterAutospacing="1" w:line="240" w:lineRule="auto"/>
    </w:pPr>
    <w:rPr>
      <w:rFonts w:ascii="Times New Roman" w:hAnsi="Times New Roman" w:cs="Times New Roman"/>
      <w:sz w:val="16"/>
      <w:szCs w:val="16"/>
      <w:lang w:eastAsia="hr-HR"/>
    </w:rPr>
  </w:style>
  <w:style w:type="paragraph" w:customStyle="1" w:styleId="xl90">
    <w:name w:val="xl90"/>
    <w:basedOn w:val="Normal"/>
    <w:rsid w:val="00B75B78"/>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cs="Times New Roman"/>
      <w:sz w:val="16"/>
      <w:szCs w:val="16"/>
      <w:lang w:eastAsia="hr-HR"/>
    </w:rPr>
  </w:style>
  <w:style w:type="paragraph" w:customStyle="1" w:styleId="xl91">
    <w:name w:val="xl91"/>
    <w:basedOn w:val="Normal"/>
    <w:rsid w:val="00B75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sz w:val="16"/>
      <w:szCs w:val="16"/>
      <w:lang w:eastAsia="hr-HR"/>
    </w:rPr>
  </w:style>
  <w:style w:type="paragraph" w:customStyle="1" w:styleId="xl92">
    <w:name w:val="xl92"/>
    <w:basedOn w:val="Normal"/>
    <w:rsid w:val="00B75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sz w:val="16"/>
      <w:szCs w:val="16"/>
      <w:lang w:eastAsia="hr-HR"/>
    </w:rPr>
  </w:style>
  <w:style w:type="paragraph" w:customStyle="1" w:styleId="xl93">
    <w:name w:val="xl93"/>
    <w:basedOn w:val="Normal"/>
    <w:rsid w:val="00B75B78"/>
    <w:pPr>
      <w:pBdr>
        <w:top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sz w:val="16"/>
      <w:szCs w:val="16"/>
      <w:lang w:eastAsia="hr-HR"/>
    </w:rPr>
  </w:style>
  <w:style w:type="paragraph" w:customStyle="1" w:styleId="xl94">
    <w:name w:val="xl94"/>
    <w:basedOn w:val="Normal"/>
    <w:rsid w:val="00B75B7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sz w:val="16"/>
      <w:szCs w:val="16"/>
      <w:lang w:eastAsia="hr-HR"/>
    </w:rPr>
  </w:style>
  <w:style w:type="paragraph" w:customStyle="1" w:styleId="xl95">
    <w:name w:val="xl95"/>
    <w:basedOn w:val="Normal"/>
    <w:rsid w:val="00B75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16"/>
      <w:szCs w:val="16"/>
      <w:lang w:eastAsia="hr-HR"/>
    </w:rPr>
  </w:style>
  <w:style w:type="paragraph" w:customStyle="1" w:styleId="xl97">
    <w:name w:val="xl97"/>
    <w:basedOn w:val="Normal"/>
    <w:rsid w:val="00B75B7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cs="Times New Roman"/>
      <w:sz w:val="16"/>
      <w:szCs w:val="16"/>
      <w:lang w:eastAsia="hr-HR"/>
    </w:rPr>
  </w:style>
  <w:style w:type="paragraph" w:customStyle="1" w:styleId="xl98">
    <w:name w:val="xl98"/>
    <w:basedOn w:val="Normal"/>
    <w:rsid w:val="00B75B78"/>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hAnsi="Times New Roman" w:cs="Times New Roman"/>
      <w:sz w:val="16"/>
      <w:szCs w:val="16"/>
      <w:lang w:eastAsia="hr-HR"/>
    </w:rPr>
  </w:style>
  <w:style w:type="paragraph" w:customStyle="1" w:styleId="xl99">
    <w:name w:val="xl99"/>
    <w:basedOn w:val="Normal"/>
    <w:rsid w:val="00B75B7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cs="Times New Roman"/>
      <w:sz w:val="16"/>
      <w:szCs w:val="16"/>
      <w:lang w:eastAsia="hr-HR"/>
    </w:rPr>
  </w:style>
  <w:style w:type="paragraph" w:customStyle="1" w:styleId="xl100">
    <w:name w:val="xl100"/>
    <w:basedOn w:val="Normal"/>
    <w:rsid w:val="00B75B78"/>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hAnsi="Times New Roman" w:cs="Times New Roman"/>
      <w:sz w:val="16"/>
      <w:szCs w:val="16"/>
      <w:lang w:eastAsia="hr-HR"/>
    </w:rPr>
  </w:style>
  <w:style w:type="paragraph" w:customStyle="1" w:styleId="xl101">
    <w:name w:val="xl101"/>
    <w:basedOn w:val="Normal"/>
    <w:rsid w:val="00B75B78"/>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hAnsi="Times New Roman" w:cs="Times New Roman"/>
      <w:sz w:val="16"/>
      <w:szCs w:val="16"/>
      <w:lang w:eastAsia="hr-HR"/>
    </w:rPr>
  </w:style>
  <w:style w:type="paragraph" w:customStyle="1" w:styleId="xl102">
    <w:name w:val="xl102"/>
    <w:basedOn w:val="Normal"/>
    <w:rsid w:val="00B75B78"/>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cs="Times New Roman"/>
      <w:sz w:val="16"/>
      <w:szCs w:val="16"/>
      <w:lang w:eastAsia="hr-HR"/>
    </w:rPr>
  </w:style>
  <w:style w:type="paragraph" w:customStyle="1" w:styleId="xl103">
    <w:name w:val="xl103"/>
    <w:basedOn w:val="Normal"/>
    <w:rsid w:val="00B75B78"/>
    <w:pPr>
      <w:pBdr>
        <w:left w:val="single" w:sz="4" w:space="0" w:color="auto"/>
        <w:right w:val="single" w:sz="8" w:space="0" w:color="auto"/>
      </w:pBdr>
      <w:spacing w:before="100" w:beforeAutospacing="1" w:after="100" w:afterAutospacing="1" w:line="240" w:lineRule="auto"/>
      <w:jc w:val="center"/>
    </w:pPr>
    <w:rPr>
      <w:rFonts w:ascii="Times New Roman" w:hAnsi="Times New Roman" w:cs="Times New Roman"/>
      <w:sz w:val="16"/>
      <w:szCs w:val="16"/>
      <w:lang w:eastAsia="hr-HR"/>
    </w:rPr>
  </w:style>
  <w:style w:type="paragraph" w:customStyle="1" w:styleId="xl104">
    <w:name w:val="xl104"/>
    <w:basedOn w:val="Normal"/>
    <w:rsid w:val="00B75B78"/>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sz w:val="16"/>
      <w:szCs w:val="16"/>
      <w:lang w:eastAsia="hr-HR"/>
    </w:rPr>
  </w:style>
  <w:style w:type="paragraph" w:customStyle="1" w:styleId="xl105">
    <w:name w:val="xl105"/>
    <w:basedOn w:val="Normal"/>
    <w:rsid w:val="00B75B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sz w:val="16"/>
      <w:szCs w:val="16"/>
      <w:lang w:eastAsia="hr-HR"/>
    </w:rPr>
  </w:style>
  <w:style w:type="paragraph" w:customStyle="1" w:styleId="xl106">
    <w:name w:val="xl106"/>
    <w:basedOn w:val="Normal"/>
    <w:rsid w:val="00B75B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s="Times New Roman"/>
      <w:sz w:val="16"/>
      <w:szCs w:val="16"/>
      <w:lang w:eastAsia="hr-HR"/>
    </w:rPr>
  </w:style>
  <w:style w:type="paragraph" w:customStyle="1" w:styleId="xl107">
    <w:name w:val="xl107"/>
    <w:basedOn w:val="Normal"/>
    <w:rsid w:val="00B75B7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16"/>
      <w:szCs w:val="16"/>
      <w:lang w:eastAsia="hr-HR"/>
    </w:rPr>
  </w:style>
  <w:style w:type="paragraph" w:customStyle="1" w:styleId="xl108">
    <w:name w:val="xl108"/>
    <w:basedOn w:val="Normal"/>
    <w:rsid w:val="00B75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16"/>
      <w:szCs w:val="16"/>
      <w:lang w:eastAsia="hr-HR"/>
    </w:rPr>
  </w:style>
  <w:style w:type="paragraph" w:customStyle="1" w:styleId="xl109">
    <w:name w:val="xl109"/>
    <w:basedOn w:val="Normal"/>
    <w:rsid w:val="00B75B78"/>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16"/>
      <w:szCs w:val="16"/>
      <w:lang w:eastAsia="hr-HR"/>
    </w:rPr>
  </w:style>
  <w:style w:type="paragraph" w:customStyle="1" w:styleId="xl110">
    <w:name w:val="xl110"/>
    <w:basedOn w:val="Normal"/>
    <w:rsid w:val="00B75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sz w:val="16"/>
      <w:szCs w:val="16"/>
      <w:lang w:eastAsia="hr-HR"/>
    </w:rPr>
  </w:style>
  <w:style w:type="paragraph" w:customStyle="1" w:styleId="xl111">
    <w:name w:val="xl111"/>
    <w:basedOn w:val="Normal"/>
    <w:rsid w:val="00B75B78"/>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cs="Times New Roman"/>
      <w:sz w:val="16"/>
      <w:szCs w:val="16"/>
      <w:lang w:eastAsia="hr-HR"/>
    </w:rPr>
  </w:style>
  <w:style w:type="paragraph" w:customStyle="1" w:styleId="xl112">
    <w:name w:val="xl112"/>
    <w:basedOn w:val="Normal"/>
    <w:rsid w:val="00B75B78"/>
    <w:pPr>
      <w:spacing w:before="100" w:beforeAutospacing="1" w:after="100" w:afterAutospacing="1" w:line="240" w:lineRule="auto"/>
    </w:pPr>
    <w:rPr>
      <w:rFonts w:ascii="Times New Roman" w:hAnsi="Times New Roman" w:cs="Times New Roman"/>
      <w:sz w:val="24"/>
      <w:szCs w:val="24"/>
      <w:lang w:eastAsia="hr-HR"/>
    </w:rPr>
  </w:style>
  <w:style w:type="paragraph" w:customStyle="1" w:styleId="xl113">
    <w:name w:val="xl113"/>
    <w:basedOn w:val="Normal"/>
    <w:rsid w:val="00B75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sz w:val="14"/>
      <w:szCs w:val="14"/>
      <w:lang w:eastAsia="hr-HR"/>
    </w:rPr>
  </w:style>
  <w:style w:type="paragraph" w:customStyle="1" w:styleId="xl114">
    <w:name w:val="xl114"/>
    <w:basedOn w:val="Normal"/>
    <w:rsid w:val="00B75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sz w:val="16"/>
      <w:szCs w:val="16"/>
      <w:lang w:eastAsia="hr-HR"/>
    </w:rPr>
  </w:style>
  <w:style w:type="paragraph" w:customStyle="1" w:styleId="xl115">
    <w:name w:val="xl115"/>
    <w:basedOn w:val="Normal"/>
    <w:rsid w:val="00B75B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s="Times New Roman"/>
      <w:sz w:val="16"/>
      <w:szCs w:val="16"/>
      <w:lang w:eastAsia="hr-HR"/>
    </w:rPr>
  </w:style>
  <w:style w:type="paragraph" w:customStyle="1" w:styleId="xl116">
    <w:name w:val="xl116"/>
    <w:basedOn w:val="Normal"/>
    <w:rsid w:val="00B75B7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pPr>
    <w:rPr>
      <w:rFonts w:ascii="Times New Roman" w:hAnsi="Times New Roman" w:cs="Times New Roman"/>
      <w:sz w:val="16"/>
      <w:szCs w:val="16"/>
      <w:lang w:eastAsia="hr-HR"/>
    </w:rPr>
  </w:style>
  <w:style w:type="paragraph" w:customStyle="1" w:styleId="xl117">
    <w:name w:val="xl117"/>
    <w:basedOn w:val="Normal"/>
    <w:rsid w:val="00B75B7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16"/>
      <w:szCs w:val="16"/>
      <w:lang w:eastAsia="hr-HR"/>
    </w:rPr>
  </w:style>
  <w:style w:type="paragraph" w:customStyle="1" w:styleId="xl118">
    <w:name w:val="xl118"/>
    <w:basedOn w:val="Normal"/>
    <w:rsid w:val="00B75B78"/>
    <w:pPr>
      <w:pBdr>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16"/>
      <w:szCs w:val="16"/>
      <w:lang w:eastAsia="hr-HR"/>
    </w:rPr>
  </w:style>
  <w:style w:type="paragraph" w:customStyle="1" w:styleId="xl119">
    <w:name w:val="xl119"/>
    <w:basedOn w:val="Normal"/>
    <w:rsid w:val="00B75B78"/>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16"/>
      <w:szCs w:val="16"/>
      <w:lang w:eastAsia="hr-HR"/>
    </w:rPr>
  </w:style>
  <w:style w:type="paragraph" w:customStyle="1" w:styleId="xl120">
    <w:name w:val="xl120"/>
    <w:basedOn w:val="Normal"/>
    <w:rsid w:val="00B75B78"/>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16"/>
      <w:szCs w:val="16"/>
      <w:lang w:eastAsia="hr-HR"/>
    </w:rPr>
  </w:style>
  <w:style w:type="paragraph" w:customStyle="1" w:styleId="xl121">
    <w:name w:val="xl121"/>
    <w:basedOn w:val="Normal"/>
    <w:rsid w:val="00B75B78"/>
    <w:pPr>
      <w:pBdr>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16"/>
      <w:szCs w:val="16"/>
      <w:lang w:eastAsia="hr-HR"/>
    </w:rPr>
  </w:style>
  <w:style w:type="paragraph" w:customStyle="1" w:styleId="xl122">
    <w:name w:val="xl122"/>
    <w:basedOn w:val="Normal"/>
    <w:rsid w:val="00B75B78"/>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16"/>
      <w:szCs w:val="16"/>
      <w:lang w:eastAsia="hr-HR"/>
    </w:rPr>
  </w:style>
  <w:style w:type="paragraph" w:customStyle="1" w:styleId="xl123">
    <w:name w:val="xl123"/>
    <w:basedOn w:val="Normal"/>
    <w:rsid w:val="00B75B78"/>
    <w:pPr>
      <w:pBdr>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16"/>
      <w:szCs w:val="16"/>
      <w:lang w:eastAsia="hr-HR"/>
    </w:rPr>
  </w:style>
  <w:style w:type="paragraph" w:customStyle="1" w:styleId="xl124">
    <w:name w:val="xl124"/>
    <w:basedOn w:val="Normal"/>
    <w:rsid w:val="00B75B78"/>
    <w:pPr>
      <w:pBdr>
        <w:top w:val="single" w:sz="4" w:space="0" w:color="auto"/>
        <w:left w:val="single" w:sz="4" w:space="0" w:color="auto"/>
        <w:bottom w:val="single" w:sz="8" w:space="0" w:color="auto"/>
      </w:pBdr>
      <w:spacing w:before="100" w:beforeAutospacing="1" w:after="100" w:afterAutospacing="1" w:line="240" w:lineRule="auto"/>
      <w:jc w:val="right"/>
    </w:pPr>
    <w:rPr>
      <w:rFonts w:ascii="Times New Roman" w:hAnsi="Times New Roman" w:cs="Times New Roman"/>
      <w:b/>
      <w:bCs/>
      <w:sz w:val="16"/>
      <w:szCs w:val="16"/>
      <w:lang w:eastAsia="hr-HR"/>
    </w:rPr>
  </w:style>
  <w:style w:type="paragraph" w:customStyle="1" w:styleId="xl125">
    <w:name w:val="xl125"/>
    <w:basedOn w:val="Normal"/>
    <w:rsid w:val="00B75B78"/>
    <w:pPr>
      <w:pBdr>
        <w:top w:val="single" w:sz="4" w:space="0" w:color="auto"/>
        <w:bottom w:val="single" w:sz="8" w:space="0" w:color="auto"/>
      </w:pBdr>
      <w:spacing w:before="100" w:beforeAutospacing="1" w:after="100" w:afterAutospacing="1" w:line="240" w:lineRule="auto"/>
      <w:jc w:val="right"/>
    </w:pPr>
    <w:rPr>
      <w:rFonts w:ascii="Times New Roman" w:hAnsi="Times New Roman" w:cs="Times New Roman"/>
      <w:b/>
      <w:bCs/>
      <w:sz w:val="16"/>
      <w:szCs w:val="16"/>
      <w:lang w:eastAsia="hr-HR"/>
    </w:rPr>
  </w:style>
  <w:style w:type="paragraph" w:customStyle="1" w:styleId="xl126">
    <w:name w:val="xl126"/>
    <w:basedOn w:val="Normal"/>
    <w:rsid w:val="00B75B78"/>
    <w:pPr>
      <w:pBdr>
        <w:top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cs="Times New Roman"/>
      <w:b/>
      <w:bCs/>
      <w:sz w:val="16"/>
      <w:szCs w:val="16"/>
      <w:lang w:eastAsia="hr-HR"/>
    </w:rPr>
  </w:style>
  <w:style w:type="paragraph" w:customStyle="1" w:styleId="xl127">
    <w:name w:val="xl127"/>
    <w:basedOn w:val="Normal"/>
    <w:rsid w:val="00B75B78"/>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b/>
      <w:bCs/>
      <w:sz w:val="16"/>
      <w:szCs w:val="16"/>
      <w:lang w:eastAsia="hr-HR"/>
    </w:rPr>
  </w:style>
  <w:style w:type="paragraph" w:customStyle="1" w:styleId="xl128">
    <w:name w:val="xl128"/>
    <w:basedOn w:val="Normal"/>
    <w:rsid w:val="00B75B7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b/>
      <w:bCs/>
      <w:sz w:val="16"/>
      <w:szCs w:val="16"/>
      <w:lang w:eastAsia="hr-HR"/>
    </w:rPr>
  </w:style>
  <w:style w:type="paragraph" w:customStyle="1" w:styleId="xl129">
    <w:name w:val="xl129"/>
    <w:basedOn w:val="Normal"/>
    <w:rsid w:val="00B75B78"/>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sz w:val="16"/>
      <w:szCs w:val="16"/>
      <w:lang w:eastAsia="hr-HR"/>
    </w:rPr>
  </w:style>
  <w:style w:type="paragraph" w:customStyle="1" w:styleId="xl130">
    <w:name w:val="xl130"/>
    <w:basedOn w:val="Normal"/>
    <w:rsid w:val="00B75B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sz w:val="16"/>
      <w:szCs w:val="16"/>
      <w:lang w:eastAsia="hr-HR"/>
    </w:rPr>
  </w:style>
  <w:style w:type="paragraph" w:customStyle="1" w:styleId="xl131">
    <w:name w:val="xl131"/>
    <w:basedOn w:val="Normal"/>
    <w:rsid w:val="00B75B78"/>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sz w:val="16"/>
      <w:szCs w:val="16"/>
      <w:lang w:eastAsia="hr-HR"/>
    </w:rPr>
  </w:style>
  <w:style w:type="paragraph" w:customStyle="1" w:styleId="xl132">
    <w:name w:val="xl132"/>
    <w:basedOn w:val="Normal"/>
    <w:rsid w:val="00B75B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sz w:val="16"/>
      <w:szCs w:val="16"/>
      <w:lang w:eastAsia="hr-HR"/>
    </w:rPr>
  </w:style>
  <w:style w:type="paragraph" w:customStyle="1" w:styleId="xl133">
    <w:name w:val="xl133"/>
    <w:basedOn w:val="Normal"/>
    <w:rsid w:val="00B75B78"/>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cs="Times New Roman"/>
      <w:b/>
      <w:bCs/>
      <w:sz w:val="16"/>
      <w:szCs w:val="16"/>
      <w:lang w:eastAsia="hr-HR"/>
    </w:rPr>
  </w:style>
  <w:style w:type="paragraph" w:customStyle="1" w:styleId="xl134">
    <w:name w:val="xl134"/>
    <w:basedOn w:val="Normal"/>
    <w:rsid w:val="00B75B78"/>
    <w:pPr>
      <w:pBdr>
        <w:top w:val="single" w:sz="8" w:space="0" w:color="auto"/>
        <w:bottom w:val="single" w:sz="4" w:space="0" w:color="auto"/>
      </w:pBdr>
      <w:spacing w:before="100" w:beforeAutospacing="1" w:after="100" w:afterAutospacing="1" w:line="240" w:lineRule="auto"/>
      <w:jc w:val="center"/>
    </w:pPr>
    <w:rPr>
      <w:rFonts w:ascii="Times New Roman" w:hAnsi="Times New Roman" w:cs="Times New Roman"/>
      <w:b/>
      <w:bCs/>
      <w:sz w:val="16"/>
      <w:szCs w:val="16"/>
      <w:lang w:eastAsia="hr-HR"/>
    </w:rPr>
  </w:style>
  <w:style w:type="paragraph" w:customStyle="1" w:styleId="xl135">
    <w:name w:val="xl135"/>
    <w:basedOn w:val="Normal"/>
    <w:rsid w:val="00B75B78"/>
    <w:pPr>
      <w:pBdr>
        <w:top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b/>
      <w:bCs/>
      <w:sz w:val="16"/>
      <w:szCs w:val="16"/>
      <w:lang w:eastAsia="hr-HR"/>
    </w:rPr>
  </w:style>
  <w:style w:type="paragraph" w:customStyle="1" w:styleId="xl136">
    <w:name w:val="xl136"/>
    <w:basedOn w:val="Normal"/>
    <w:rsid w:val="00B75B78"/>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sz w:val="16"/>
      <w:szCs w:val="16"/>
      <w:lang w:eastAsia="hr-HR"/>
    </w:rPr>
  </w:style>
  <w:style w:type="paragraph" w:customStyle="1" w:styleId="xl137">
    <w:name w:val="xl137"/>
    <w:basedOn w:val="Normal"/>
    <w:rsid w:val="00B75B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sz w:val="16"/>
      <w:szCs w:val="16"/>
      <w:lang w:eastAsia="hr-HR"/>
    </w:rPr>
  </w:style>
  <w:style w:type="paragraph" w:customStyle="1" w:styleId="xl138">
    <w:name w:val="xl138"/>
    <w:basedOn w:val="Normal"/>
    <w:rsid w:val="00B75B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eastAsia="hr-HR"/>
    </w:rPr>
  </w:style>
  <w:style w:type="paragraph" w:customStyle="1" w:styleId="xl139">
    <w:name w:val="xl139"/>
    <w:basedOn w:val="Normal"/>
    <w:rsid w:val="00B75B78"/>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sz w:val="16"/>
      <w:szCs w:val="16"/>
      <w:lang w:eastAsia="hr-HR"/>
    </w:rPr>
  </w:style>
  <w:style w:type="paragraph" w:customStyle="1" w:styleId="xl140">
    <w:name w:val="xl140"/>
    <w:basedOn w:val="Normal"/>
    <w:rsid w:val="00B75B78"/>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sz w:val="16"/>
      <w:szCs w:val="16"/>
      <w:lang w:eastAsia="hr-HR"/>
    </w:rPr>
  </w:style>
  <w:style w:type="paragraph" w:customStyle="1" w:styleId="xl141">
    <w:name w:val="xl141"/>
    <w:basedOn w:val="Normal"/>
    <w:rsid w:val="00B75B78"/>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b/>
      <w:bCs/>
      <w:sz w:val="16"/>
      <w:szCs w:val="16"/>
      <w:lang w:eastAsia="hr-HR"/>
    </w:rPr>
  </w:style>
  <w:style w:type="paragraph" w:customStyle="1" w:styleId="xl142">
    <w:name w:val="xl142"/>
    <w:basedOn w:val="Normal"/>
    <w:rsid w:val="00B75B78"/>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b/>
      <w:bCs/>
      <w:sz w:val="16"/>
      <w:szCs w:val="16"/>
      <w:lang w:eastAsia="hr-HR"/>
    </w:rPr>
  </w:style>
  <w:style w:type="paragraph" w:customStyle="1" w:styleId="xl143">
    <w:name w:val="xl143"/>
    <w:basedOn w:val="Normal"/>
    <w:rsid w:val="00B75B7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s="Times New Roman"/>
      <w:sz w:val="16"/>
      <w:szCs w:val="16"/>
      <w:lang w:eastAsia="hr-HR"/>
    </w:rPr>
  </w:style>
  <w:style w:type="paragraph" w:customStyle="1" w:styleId="xl144">
    <w:name w:val="xl144"/>
    <w:basedOn w:val="Normal"/>
    <w:rsid w:val="00B75B7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s="Times New Roman"/>
      <w:sz w:val="16"/>
      <w:szCs w:val="16"/>
      <w:lang w:eastAsia="hr-HR"/>
    </w:rPr>
  </w:style>
  <w:style w:type="paragraph" w:customStyle="1" w:styleId="xl63">
    <w:name w:val="xl63"/>
    <w:basedOn w:val="Normal"/>
    <w:rsid w:val="00BD182E"/>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b/>
      <w:bCs/>
      <w:sz w:val="16"/>
      <w:szCs w:val="16"/>
      <w:lang w:eastAsia="hr-HR"/>
    </w:rPr>
  </w:style>
  <w:style w:type="paragraph" w:customStyle="1" w:styleId="xl64">
    <w:name w:val="xl64"/>
    <w:basedOn w:val="Normal"/>
    <w:rsid w:val="00BD182E"/>
    <w:pPr>
      <w:spacing w:before="100" w:beforeAutospacing="1" w:after="100" w:afterAutospacing="1" w:line="240" w:lineRule="auto"/>
      <w:textAlignment w:val="center"/>
    </w:pPr>
    <w:rPr>
      <w:rFonts w:ascii="Times New Roman" w:hAnsi="Times New Roman" w:cs="Times New Roman"/>
      <w:sz w:val="24"/>
      <w:szCs w:val="24"/>
      <w:lang w:eastAsia="hr-HR"/>
    </w:rPr>
  </w:style>
  <w:style w:type="paragraph" w:customStyle="1" w:styleId="xl96">
    <w:name w:val="xl96"/>
    <w:basedOn w:val="Normal"/>
    <w:rsid w:val="00BD18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sz w:val="16"/>
      <w:szCs w:val="16"/>
      <w:lang w:eastAsia="hr-HR"/>
    </w:rPr>
  </w:style>
  <w:style w:type="character" w:styleId="Istaknuto">
    <w:name w:val="Emphasis"/>
    <w:qFormat/>
    <w:rsid w:val="00722358"/>
    <w:rPr>
      <w:b/>
      <w:bCs/>
      <w:i w:val="0"/>
      <w:iCs w:val="0"/>
    </w:rPr>
  </w:style>
  <w:style w:type="character" w:customStyle="1" w:styleId="st1">
    <w:name w:val="st1"/>
    <w:rsid w:val="00722358"/>
  </w:style>
  <w:style w:type="character" w:styleId="Naglaeno">
    <w:name w:val="Strong"/>
    <w:qFormat/>
    <w:rsid w:val="00722358"/>
    <w:rPr>
      <w:b/>
      <w:bCs/>
    </w:rPr>
  </w:style>
  <w:style w:type="table" w:customStyle="1" w:styleId="TableNormal">
    <w:name w:val="Table Normal"/>
    <w:uiPriority w:val="2"/>
    <w:semiHidden/>
    <w:unhideWhenUsed/>
    <w:qFormat/>
    <w:rsid w:val="0072235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styleId="Svijetlareetkatablice">
    <w:name w:val="Grid Table Light"/>
    <w:basedOn w:val="Obinatablica"/>
    <w:uiPriority w:val="40"/>
    <w:rsid w:val="002A150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DA1D50"/>
    <w:pPr>
      <w:widowControl w:val="0"/>
      <w:autoSpaceDE w:val="0"/>
      <w:autoSpaceDN w:val="0"/>
      <w:spacing w:after="0" w:line="240" w:lineRule="auto"/>
      <w:jc w:val="right"/>
    </w:pPr>
    <w:rPr>
      <w:rFonts w:ascii="Arial MT" w:eastAsia="Arial MT" w:hAnsi="Arial MT" w:cs="Arial MT"/>
      <w:lang w:val="bs"/>
    </w:rPr>
  </w:style>
  <w:style w:type="paragraph" w:styleId="StandardWeb">
    <w:name w:val="Normal (Web)"/>
    <w:basedOn w:val="Normal"/>
    <w:uiPriority w:val="99"/>
    <w:unhideWhenUsed/>
    <w:rsid w:val="00CE5D3D"/>
    <w:pPr>
      <w:spacing w:before="100" w:beforeAutospacing="1" w:after="100" w:afterAutospacing="1" w:line="240" w:lineRule="auto"/>
    </w:pPr>
    <w:rPr>
      <w:rFonts w:ascii="Times New Roman" w:hAnsi="Times New Roman" w:cs="Times New Roman"/>
      <w:sz w:val="24"/>
      <w:szCs w:val="24"/>
      <w:lang w:eastAsia="hr-HR"/>
    </w:rPr>
  </w:style>
  <w:style w:type="character" w:customStyle="1" w:styleId="Naslov7Char">
    <w:name w:val="Naslov 7 Char"/>
    <w:basedOn w:val="Zadanifontodlomka"/>
    <w:link w:val="Naslov7"/>
    <w:uiPriority w:val="9"/>
    <w:semiHidden/>
    <w:rsid w:val="0081662F"/>
    <w:rPr>
      <w:rFonts w:eastAsiaTheme="majorEastAsia" w:cstheme="majorBidi"/>
      <w:color w:val="595959" w:themeColor="text1" w:themeTint="A6"/>
      <w:kern w:val="2"/>
      <w14:ligatures w14:val="standardContextual"/>
    </w:rPr>
  </w:style>
  <w:style w:type="character" w:customStyle="1" w:styleId="Naslov8Char">
    <w:name w:val="Naslov 8 Char"/>
    <w:basedOn w:val="Zadanifontodlomka"/>
    <w:link w:val="Naslov8"/>
    <w:uiPriority w:val="9"/>
    <w:semiHidden/>
    <w:rsid w:val="0081662F"/>
    <w:rPr>
      <w:rFonts w:eastAsiaTheme="majorEastAsia" w:cstheme="majorBidi"/>
      <w:i/>
      <w:iCs/>
      <w:color w:val="272727" w:themeColor="text1" w:themeTint="D8"/>
      <w:kern w:val="2"/>
      <w14:ligatures w14:val="standardContextual"/>
    </w:rPr>
  </w:style>
  <w:style w:type="character" w:customStyle="1" w:styleId="Naslov9Char">
    <w:name w:val="Naslov 9 Char"/>
    <w:basedOn w:val="Zadanifontodlomka"/>
    <w:link w:val="Naslov9"/>
    <w:uiPriority w:val="9"/>
    <w:semiHidden/>
    <w:rsid w:val="0081662F"/>
    <w:rPr>
      <w:rFonts w:eastAsiaTheme="majorEastAsia" w:cstheme="majorBidi"/>
      <w:color w:val="272727" w:themeColor="text1" w:themeTint="D8"/>
      <w:kern w:val="2"/>
      <w14:ligatures w14:val="standardContextual"/>
    </w:rPr>
  </w:style>
  <w:style w:type="paragraph" w:styleId="Citat">
    <w:name w:val="Quote"/>
    <w:basedOn w:val="Normal"/>
    <w:next w:val="Normal"/>
    <w:link w:val="CitatChar"/>
    <w:uiPriority w:val="29"/>
    <w:qFormat/>
    <w:rsid w:val="0081662F"/>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Char">
    <w:name w:val="Citat Char"/>
    <w:basedOn w:val="Zadanifontodlomka"/>
    <w:link w:val="Citat"/>
    <w:uiPriority w:val="29"/>
    <w:rsid w:val="0081662F"/>
    <w:rPr>
      <w:i/>
      <w:iCs/>
      <w:color w:val="404040" w:themeColor="text1" w:themeTint="BF"/>
      <w:kern w:val="2"/>
      <w14:ligatures w14:val="standardContextual"/>
    </w:rPr>
  </w:style>
  <w:style w:type="character" w:styleId="Jakoisticanje">
    <w:name w:val="Intense Emphasis"/>
    <w:basedOn w:val="Zadanifontodlomka"/>
    <w:uiPriority w:val="21"/>
    <w:qFormat/>
    <w:rsid w:val="0081662F"/>
    <w:rPr>
      <w:i/>
      <w:iCs/>
      <w:color w:val="365F91" w:themeColor="accent1" w:themeShade="BF"/>
    </w:rPr>
  </w:style>
  <w:style w:type="paragraph" w:styleId="Naglaencitat">
    <w:name w:val="Intense Quote"/>
    <w:basedOn w:val="Normal"/>
    <w:next w:val="Normal"/>
    <w:link w:val="NaglaencitatChar"/>
    <w:uiPriority w:val="30"/>
    <w:qFormat/>
    <w:rsid w:val="0081662F"/>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NaglaencitatChar">
    <w:name w:val="Naglašen citat Char"/>
    <w:basedOn w:val="Zadanifontodlomka"/>
    <w:link w:val="Naglaencitat"/>
    <w:uiPriority w:val="30"/>
    <w:rsid w:val="0081662F"/>
    <w:rPr>
      <w:i/>
      <w:iCs/>
      <w:color w:val="365F91" w:themeColor="accent1" w:themeShade="BF"/>
      <w:kern w:val="2"/>
      <w14:ligatures w14:val="standardContextual"/>
    </w:rPr>
  </w:style>
  <w:style w:type="character" w:styleId="Istaknutareferenca">
    <w:name w:val="Intense Reference"/>
    <w:basedOn w:val="Zadanifontodlomka"/>
    <w:uiPriority w:val="32"/>
    <w:qFormat/>
    <w:rsid w:val="0081662F"/>
    <w:rPr>
      <w:b/>
      <w:bCs/>
      <w:smallCaps/>
      <w:color w:val="365F91" w:themeColor="accent1" w:themeShade="BF"/>
      <w:spacing w:val="5"/>
    </w:rPr>
  </w:style>
  <w:style w:type="numbering" w:customStyle="1" w:styleId="Bezpopisa1">
    <w:name w:val="Bez popisa1"/>
    <w:next w:val="Bezpopisa"/>
    <w:uiPriority w:val="99"/>
    <w:semiHidden/>
    <w:unhideWhenUsed/>
    <w:rsid w:val="0081662F"/>
  </w:style>
  <w:style w:type="character" w:customStyle="1" w:styleId="BezproredaChar1">
    <w:name w:val="Bez proreda Char1"/>
    <w:link w:val="Bezproreda"/>
    <w:uiPriority w:val="1"/>
    <w:rsid w:val="0081662F"/>
    <w:rPr>
      <w:rFonts w:ascii="Calibri" w:eastAsia="Times New Roman" w:hAnsi="Calibri" w:cs="Times New Roman"/>
      <w:lang w:eastAsia="hr-HR"/>
    </w:rPr>
  </w:style>
  <w:style w:type="character" w:customStyle="1" w:styleId="apple-converted-space">
    <w:name w:val="apple-converted-space"/>
    <w:rsid w:val="0081662F"/>
  </w:style>
  <w:style w:type="paragraph" w:customStyle="1" w:styleId="Bezproreda1">
    <w:name w:val="Bez proreda1"/>
    <w:link w:val="BezproredaChar"/>
    <w:uiPriority w:val="1"/>
    <w:qFormat/>
    <w:rsid w:val="0081662F"/>
    <w:pPr>
      <w:spacing w:after="0" w:line="240" w:lineRule="auto"/>
    </w:pPr>
    <w:rPr>
      <w:rFonts w:ascii="Calibri" w:eastAsia="Times New Roman" w:hAnsi="Calibri" w:cs="Times New Roman"/>
      <w:lang w:val="en-US"/>
    </w:rPr>
  </w:style>
  <w:style w:type="character" w:customStyle="1" w:styleId="BezproredaChar">
    <w:name w:val="Bez proreda Char"/>
    <w:link w:val="Bezproreda1"/>
    <w:uiPriority w:val="1"/>
    <w:rsid w:val="0081662F"/>
    <w:rPr>
      <w:rFonts w:ascii="Calibri" w:eastAsia="Times New Roman" w:hAnsi="Calibri" w:cs="Times New Roman"/>
      <w:lang w:val="en-US"/>
    </w:rPr>
  </w:style>
  <w:style w:type="numbering" w:customStyle="1" w:styleId="Bezpopisa11">
    <w:name w:val="Bez popisa11"/>
    <w:next w:val="Bezpopisa"/>
    <w:semiHidden/>
    <w:rsid w:val="0081662F"/>
  </w:style>
  <w:style w:type="numbering" w:customStyle="1" w:styleId="Bezpopisa2">
    <w:name w:val="Bez popisa2"/>
    <w:next w:val="Bezpopisa"/>
    <w:uiPriority w:val="99"/>
    <w:semiHidden/>
    <w:unhideWhenUsed/>
    <w:rsid w:val="0081662F"/>
  </w:style>
  <w:style w:type="table" w:customStyle="1" w:styleId="Reetkatablice1">
    <w:name w:val="Rešetka tablice1"/>
    <w:basedOn w:val="Obinatablica"/>
    <w:next w:val="Reetkatablice"/>
    <w:rsid w:val="0081662F"/>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3">
    <w:name w:val="Bez popisa3"/>
    <w:next w:val="Bezpopisa"/>
    <w:uiPriority w:val="99"/>
    <w:semiHidden/>
    <w:unhideWhenUsed/>
    <w:rsid w:val="0081662F"/>
  </w:style>
  <w:style w:type="table" w:customStyle="1" w:styleId="Reetkatablice2">
    <w:name w:val="Rešetka tablice2"/>
    <w:basedOn w:val="Obinatablica"/>
    <w:next w:val="Reetkatablice"/>
    <w:rsid w:val="0081662F"/>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4">
    <w:name w:val="Bez popisa4"/>
    <w:next w:val="Bezpopisa"/>
    <w:uiPriority w:val="99"/>
    <w:semiHidden/>
    <w:unhideWhenUsed/>
    <w:rsid w:val="0081662F"/>
  </w:style>
  <w:style w:type="table" w:customStyle="1" w:styleId="Reetkatablice3">
    <w:name w:val="Rešetka tablice3"/>
    <w:basedOn w:val="Obinatablica"/>
    <w:next w:val="Reetkatablice"/>
    <w:rsid w:val="0081662F"/>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5">
    <w:name w:val="Bez popisa5"/>
    <w:next w:val="Bezpopisa"/>
    <w:uiPriority w:val="99"/>
    <w:semiHidden/>
    <w:unhideWhenUsed/>
    <w:rsid w:val="0081662F"/>
  </w:style>
  <w:style w:type="table" w:customStyle="1" w:styleId="Reetkatablice4">
    <w:name w:val="Rešetka tablice4"/>
    <w:basedOn w:val="Obinatablica"/>
    <w:next w:val="Reetkatablice"/>
    <w:rsid w:val="0081662F"/>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1">
    <w:name w:val="Rešetka tablice31"/>
    <w:basedOn w:val="Obinatablica"/>
    <w:next w:val="Reetkatablice"/>
    <w:rsid w:val="0081662F"/>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6">
    <w:name w:val="Bez popisa6"/>
    <w:next w:val="Bezpopisa"/>
    <w:uiPriority w:val="99"/>
    <w:semiHidden/>
    <w:unhideWhenUsed/>
    <w:rsid w:val="0081662F"/>
  </w:style>
  <w:style w:type="numbering" w:customStyle="1" w:styleId="Bezpopisa7">
    <w:name w:val="Bez popisa7"/>
    <w:next w:val="Bezpopisa"/>
    <w:uiPriority w:val="99"/>
    <w:semiHidden/>
    <w:unhideWhenUsed/>
    <w:rsid w:val="0081662F"/>
  </w:style>
  <w:style w:type="table" w:customStyle="1" w:styleId="Reetkatablice5">
    <w:name w:val="Rešetka tablice5"/>
    <w:basedOn w:val="Obinatablica"/>
    <w:next w:val="Reetkatablice"/>
    <w:rsid w:val="0081662F"/>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2">
    <w:name w:val="Rešetka tablice32"/>
    <w:basedOn w:val="Obinatablica"/>
    <w:next w:val="Reetkatablice"/>
    <w:rsid w:val="0081662F"/>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8">
    <w:name w:val="Bez popisa8"/>
    <w:next w:val="Bezpopisa"/>
    <w:uiPriority w:val="99"/>
    <w:semiHidden/>
    <w:unhideWhenUsed/>
    <w:rsid w:val="0081662F"/>
  </w:style>
  <w:style w:type="table" w:customStyle="1" w:styleId="Reetkatablice33">
    <w:name w:val="Rešetka tablice33"/>
    <w:basedOn w:val="Obinatablica"/>
    <w:next w:val="Reetkatablice"/>
    <w:rsid w:val="0081662F"/>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rajnjebiljeke">
    <w:name w:val="endnote text"/>
    <w:basedOn w:val="Normal"/>
    <w:link w:val="TekstkrajnjebiljekeChar"/>
    <w:uiPriority w:val="99"/>
    <w:semiHidden/>
    <w:unhideWhenUsed/>
    <w:rsid w:val="0081662F"/>
    <w:pPr>
      <w:spacing w:after="0" w:line="240" w:lineRule="auto"/>
    </w:pPr>
    <w:rPr>
      <w:rFonts w:eastAsia="Calibri" w:cs="Times New Roman"/>
      <w:sz w:val="20"/>
      <w:szCs w:val="20"/>
    </w:rPr>
  </w:style>
  <w:style w:type="character" w:customStyle="1" w:styleId="TekstkrajnjebiljekeChar">
    <w:name w:val="Tekst krajnje bilješke Char"/>
    <w:basedOn w:val="Zadanifontodlomka"/>
    <w:link w:val="Tekstkrajnjebiljeke"/>
    <w:uiPriority w:val="99"/>
    <w:semiHidden/>
    <w:rsid w:val="0081662F"/>
    <w:rPr>
      <w:rFonts w:ascii="Calibri" w:eastAsia="Calibri" w:hAnsi="Calibri" w:cs="Times New Roman"/>
      <w:sz w:val="20"/>
      <w:szCs w:val="20"/>
    </w:rPr>
  </w:style>
  <w:style w:type="character" w:styleId="Referencakrajnjebiljeke">
    <w:name w:val="endnote reference"/>
    <w:uiPriority w:val="99"/>
    <w:semiHidden/>
    <w:unhideWhenUsed/>
    <w:rsid w:val="0081662F"/>
    <w:rPr>
      <w:vertAlign w:val="superscript"/>
    </w:rPr>
  </w:style>
  <w:style w:type="paragraph" w:customStyle="1" w:styleId="CellHeader">
    <w:name w:val="CellHeader"/>
    <w:basedOn w:val="Normal"/>
    <w:qFormat/>
    <w:rsid w:val="0081662F"/>
    <w:pPr>
      <w:overflowPunct w:val="0"/>
      <w:autoSpaceDE w:val="0"/>
      <w:autoSpaceDN w:val="0"/>
      <w:adjustRightInd w:val="0"/>
      <w:spacing w:after="120" w:line="240" w:lineRule="auto"/>
      <w:jc w:val="both"/>
      <w:textAlignment w:val="baseline"/>
    </w:pPr>
    <w:rPr>
      <w:rFonts w:ascii="Times New Roman" w:hAnsi="Times New Roman" w:cs="Arial"/>
      <w:bCs/>
      <w:sz w:val="20"/>
      <w:lang w:val="sl-SI" w:eastAsia="hr-HR"/>
    </w:rPr>
  </w:style>
  <w:style w:type="table" w:customStyle="1" w:styleId="StilTablice">
    <w:name w:val="StilTablice"/>
    <w:basedOn w:val="Obinatablica"/>
    <w:uiPriority w:val="99"/>
    <w:rsid w:val="0081662F"/>
    <w:pPr>
      <w:spacing w:after="12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numbering" w:customStyle="1" w:styleId="Bezpopisa9">
    <w:name w:val="Bez popisa9"/>
    <w:next w:val="Bezpopisa"/>
    <w:uiPriority w:val="99"/>
    <w:semiHidden/>
    <w:unhideWhenUsed/>
    <w:rsid w:val="0081662F"/>
  </w:style>
  <w:style w:type="numbering" w:customStyle="1" w:styleId="Bezpopisa12">
    <w:name w:val="Bez popisa12"/>
    <w:next w:val="Bezpopisa"/>
    <w:semiHidden/>
    <w:rsid w:val="0081662F"/>
  </w:style>
  <w:style w:type="numbering" w:customStyle="1" w:styleId="Bezpopisa21">
    <w:name w:val="Bez popisa21"/>
    <w:next w:val="Bezpopisa"/>
    <w:uiPriority w:val="99"/>
    <w:semiHidden/>
    <w:unhideWhenUsed/>
    <w:rsid w:val="0081662F"/>
  </w:style>
  <w:style w:type="numbering" w:customStyle="1" w:styleId="Bezpopisa31">
    <w:name w:val="Bez popisa31"/>
    <w:next w:val="Bezpopisa"/>
    <w:uiPriority w:val="99"/>
    <w:semiHidden/>
    <w:unhideWhenUsed/>
    <w:rsid w:val="0081662F"/>
  </w:style>
  <w:style w:type="numbering" w:customStyle="1" w:styleId="Bezpopisa41">
    <w:name w:val="Bez popisa41"/>
    <w:next w:val="Bezpopisa"/>
    <w:uiPriority w:val="99"/>
    <w:semiHidden/>
    <w:unhideWhenUsed/>
    <w:rsid w:val="0081662F"/>
  </w:style>
  <w:style w:type="numbering" w:customStyle="1" w:styleId="Bezpopisa51">
    <w:name w:val="Bez popisa51"/>
    <w:next w:val="Bezpopisa"/>
    <w:uiPriority w:val="99"/>
    <w:semiHidden/>
    <w:unhideWhenUsed/>
    <w:rsid w:val="0081662F"/>
  </w:style>
  <w:style w:type="numbering" w:customStyle="1" w:styleId="Bezpopisa61">
    <w:name w:val="Bez popisa61"/>
    <w:next w:val="Bezpopisa"/>
    <w:uiPriority w:val="99"/>
    <w:semiHidden/>
    <w:unhideWhenUsed/>
    <w:rsid w:val="0081662F"/>
  </w:style>
  <w:style w:type="numbering" w:customStyle="1" w:styleId="Bezpopisa71">
    <w:name w:val="Bez popisa71"/>
    <w:next w:val="Bezpopisa"/>
    <w:uiPriority w:val="99"/>
    <w:semiHidden/>
    <w:unhideWhenUsed/>
    <w:rsid w:val="0081662F"/>
  </w:style>
  <w:style w:type="numbering" w:customStyle="1" w:styleId="Bezpopisa81">
    <w:name w:val="Bez popisa81"/>
    <w:next w:val="Bezpopisa"/>
    <w:uiPriority w:val="99"/>
    <w:semiHidden/>
    <w:unhideWhenUsed/>
    <w:rsid w:val="00816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8948">
      <w:bodyDiv w:val="1"/>
      <w:marLeft w:val="0"/>
      <w:marRight w:val="0"/>
      <w:marTop w:val="0"/>
      <w:marBottom w:val="0"/>
      <w:divBdr>
        <w:top w:val="none" w:sz="0" w:space="0" w:color="auto"/>
        <w:left w:val="none" w:sz="0" w:space="0" w:color="auto"/>
        <w:bottom w:val="none" w:sz="0" w:space="0" w:color="auto"/>
        <w:right w:val="none" w:sz="0" w:space="0" w:color="auto"/>
      </w:divBdr>
    </w:div>
    <w:div w:id="26680612">
      <w:bodyDiv w:val="1"/>
      <w:marLeft w:val="0"/>
      <w:marRight w:val="0"/>
      <w:marTop w:val="0"/>
      <w:marBottom w:val="0"/>
      <w:divBdr>
        <w:top w:val="none" w:sz="0" w:space="0" w:color="auto"/>
        <w:left w:val="none" w:sz="0" w:space="0" w:color="auto"/>
        <w:bottom w:val="none" w:sz="0" w:space="0" w:color="auto"/>
        <w:right w:val="none" w:sz="0" w:space="0" w:color="auto"/>
      </w:divBdr>
    </w:div>
    <w:div w:id="42871653">
      <w:bodyDiv w:val="1"/>
      <w:marLeft w:val="0"/>
      <w:marRight w:val="0"/>
      <w:marTop w:val="0"/>
      <w:marBottom w:val="0"/>
      <w:divBdr>
        <w:top w:val="none" w:sz="0" w:space="0" w:color="auto"/>
        <w:left w:val="none" w:sz="0" w:space="0" w:color="auto"/>
        <w:bottom w:val="none" w:sz="0" w:space="0" w:color="auto"/>
        <w:right w:val="none" w:sz="0" w:space="0" w:color="auto"/>
      </w:divBdr>
    </w:div>
    <w:div w:id="45106479">
      <w:bodyDiv w:val="1"/>
      <w:marLeft w:val="0"/>
      <w:marRight w:val="0"/>
      <w:marTop w:val="0"/>
      <w:marBottom w:val="0"/>
      <w:divBdr>
        <w:top w:val="none" w:sz="0" w:space="0" w:color="auto"/>
        <w:left w:val="none" w:sz="0" w:space="0" w:color="auto"/>
        <w:bottom w:val="none" w:sz="0" w:space="0" w:color="auto"/>
        <w:right w:val="none" w:sz="0" w:space="0" w:color="auto"/>
      </w:divBdr>
    </w:div>
    <w:div w:id="47580328">
      <w:bodyDiv w:val="1"/>
      <w:marLeft w:val="0"/>
      <w:marRight w:val="0"/>
      <w:marTop w:val="0"/>
      <w:marBottom w:val="0"/>
      <w:divBdr>
        <w:top w:val="none" w:sz="0" w:space="0" w:color="auto"/>
        <w:left w:val="none" w:sz="0" w:space="0" w:color="auto"/>
        <w:bottom w:val="none" w:sz="0" w:space="0" w:color="auto"/>
        <w:right w:val="none" w:sz="0" w:space="0" w:color="auto"/>
      </w:divBdr>
    </w:div>
    <w:div w:id="48573678">
      <w:bodyDiv w:val="1"/>
      <w:marLeft w:val="0"/>
      <w:marRight w:val="0"/>
      <w:marTop w:val="0"/>
      <w:marBottom w:val="0"/>
      <w:divBdr>
        <w:top w:val="none" w:sz="0" w:space="0" w:color="auto"/>
        <w:left w:val="none" w:sz="0" w:space="0" w:color="auto"/>
        <w:bottom w:val="none" w:sz="0" w:space="0" w:color="auto"/>
        <w:right w:val="none" w:sz="0" w:space="0" w:color="auto"/>
      </w:divBdr>
    </w:div>
    <w:div w:id="58335393">
      <w:bodyDiv w:val="1"/>
      <w:marLeft w:val="0"/>
      <w:marRight w:val="0"/>
      <w:marTop w:val="0"/>
      <w:marBottom w:val="0"/>
      <w:divBdr>
        <w:top w:val="none" w:sz="0" w:space="0" w:color="auto"/>
        <w:left w:val="none" w:sz="0" w:space="0" w:color="auto"/>
        <w:bottom w:val="none" w:sz="0" w:space="0" w:color="auto"/>
        <w:right w:val="none" w:sz="0" w:space="0" w:color="auto"/>
      </w:divBdr>
    </w:div>
    <w:div w:id="75328897">
      <w:bodyDiv w:val="1"/>
      <w:marLeft w:val="0"/>
      <w:marRight w:val="0"/>
      <w:marTop w:val="0"/>
      <w:marBottom w:val="0"/>
      <w:divBdr>
        <w:top w:val="none" w:sz="0" w:space="0" w:color="auto"/>
        <w:left w:val="none" w:sz="0" w:space="0" w:color="auto"/>
        <w:bottom w:val="none" w:sz="0" w:space="0" w:color="auto"/>
        <w:right w:val="none" w:sz="0" w:space="0" w:color="auto"/>
      </w:divBdr>
    </w:div>
    <w:div w:id="94835758">
      <w:bodyDiv w:val="1"/>
      <w:marLeft w:val="0"/>
      <w:marRight w:val="0"/>
      <w:marTop w:val="0"/>
      <w:marBottom w:val="0"/>
      <w:divBdr>
        <w:top w:val="none" w:sz="0" w:space="0" w:color="auto"/>
        <w:left w:val="none" w:sz="0" w:space="0" w:color="auto"/>
        <w:bottom w:val="none" w:sz="0" w:space="0" w:color="auto"/>
        <w:right w:val="none" w:sz="0" w:space="0" w:color="auto"/>
      </w:divBdr>
    </w:div>
    <w:div w:id="103041486">
      <w:bodyDiv w:val="1"/>
      <w:marLeft w:val="0"/>
      <w:marRight w:val="0"/>
      <w:marTop w:val="0"/>
      <w:marBottom w:val="0"/>
      <w:divBdr>
        <w:top w:val="none" w:sz="0" w:space="0" w:color="auto"/>
        <w:left w:val="none" w:sz="0" w:space="0" w:color="auto"/>
        <w:bottom w:val="none" w:sz="0" w:space="0" w:color="auto"/>
        <w:right w:val="none" w:sz="0" w:space="0" w:color="auto"/>
      </w:divBdr>
    </w:div>
    <w:div w:id="114101925">
      <w:bodyDiv w:val="1"/>
      <w:marLeft w:val="0"/>
      <w:marRight w:val="0"/>
      <w:marTop w:val="0"/>
      <w:marBottom w:val="0"/>
      <w:divBdr>
        <w:top w:val="none" w:sz="0" w:space="0" w:color="auto"/>
        <w:left w:val="none" w:sz="0" w:space="0" w:color="auto"/>
        <w:bottom w:val="none" w:sz="0" w:space="0" w:color="auto"/>
        <w:right w:val="none" w:sz="0" w:space="0" w:color="auto"/>
      </w:divBdr>
    </w:div>
    <w:div w:id="121700528">
      <w:bodyDiv w:val="1"/>
      <w:marLeft w:val="0"/>
      <w:marRight w:val="0"/>
      <w:marTop w:val="0"/>
      <w:marBottom w:val="0"/>
      <w:divBdr>
        <w:top w:val="none" w:sz="0" w:space="0" w:color="auto"/>
        <w:left w:val="none" w:sz="0" w:space="0" w:color="auto"/>
        <w:bottom w:val="none" w:sz="0" w:space="0" w:color="auto"/>
        <w:right w:val="none" w:sz="0" w:space="0" w:color="auto"/>
      </w:divBdr>
    </w:div>
    <w:div w:id="122819938">
      <w:bodyDiv w:val="1"/>
      <w:marLeft w:val="0"/>
      <w:marRight w:val="0"/>
      <w:marTop w:val="0"/>
      <w:marBottom w:val="0"/>
      <w:divBdr>
        <w:top w:val="none" w:sz="0" w:space="0" w:color="auto"/>
        <w:left w:val="none" w:sz="0" w:space="0" w:color="auto"/>
        <w:bottom w:val="none" w:sz="0" w:space="0" w:color="auto"/>
        <w:right w:val="none" w:sz="0" w:space="0" w:color="auto"/>
      </w:divBdr>
    </w:div>
    <w:div w:id="141387879">
      <w:bodyDiv w:val="1"/>
      <w:marLeft w:val="0"/>
      <w:marRight w:val="0"/>
      <w:marTop w:val="0"/>
      <w:marBottom w:val="0"/>
      <w:divBdr>
        <w:top w:val="none" w:sz="0" w:space="0" w:color="auto"/>
        <w:left w:val="none" w:sz="0" w:space="0" w:color="auto"/>
        <w:bottom w:val="none" w:sz="0" w:space="0" w:color="auto"/>
        <w:right w:val="none" w:sz="0" w:space="0" w:color="auto"/>
      </w:divBdr>
    </w:div>
    <w:div w:id="142888538">
      <w:bodyDiv w:val="1"/>
      <w:marLeft w:val="0"/>
      <w:marRight w:val="0"/>
      <w:marTop w:val="0"/>
      <w:marBottom w:val="0"/>
      <w:divBdr>
        <w:top w:val="none" w:sz="0" w:space="0" w:color="auto"/>
        <w:left w:val="none" w:sz="0" w:space="0" w:color="auto"/>
        <w:bottom w:val="none" w:sz="0" w:space="0" w:color="auto"/>
        <w:right w:val="none" w:sz="0" w:space="0" w:color="auto"/>
      </w:divBdr>
    </w:div>
    <w:div w:id="163327104">
      <w:bodyDiv w:val="1"/>
      <w:marLeft w:val="0"/>
      <w:marRight w:val="0"/>
      <w:marTop w:val="0"/>
      <w:marBottom w:val="0"/>
      <w:divBdr>
        <w:top w:val="none" w:sz="0" w:space="0" w:color="auto"/>
        <w:left w:val="none" w:sz="0" w:space="0" w:color="auto"/>
        <w:bottom w:val="none" w:sz="0" w:space="0" w:color="auto"/>
        <w:right w:val="none" w:sz="0" w:space="0" w:color="auto"/>
      </w:divBdr>
    </w:div>
    <w:div w:id="170799375">
      <w:bodyDiv w:val="1"/>
      <w:marLeft w:val="0"/>
      <w:marRight w:val="0"/>
      <w:marTop w:val="0"/>
      <w:marBottom w:val="0"/>
      <w:divBdr>
        <w:top w:val="none" w:sz="0" w:space="0" w:color="auto"/>
        <w:left w:val="none" w:sz="0" w:space="0" w:color="auto"/>
        <w:bottom w:val="none" w:sz="0" w:space="0" w:color="auto"/>
        <w:right w:val="none" w:sz="0" w:space="0" w:color="auto"/>
      </w:divBdr>
    </w:div>
    <w:div w:id="185992382">
      <w:bodyDiv w:val="1"/>
      <w:marLeft w:val="0"/>
      <w:marRight w:val="0"/>
      <w:marTop w:val="0"/>
      <w:marBottom w:val="0"/>
      <w:divBdr>
        <w:top w:val="none" w:sz="0" w:space="0" w:color="auto"/>
        <w:left w:val="none" w:sz="0" w:space="0" w:color="auto"/>
        <w:bottom w:val="none" w:sz="0" w:space="0" w:color="auto"/>
        <w:right w:val="none" w:sz="0" w:space="0" w:color="auto"/>
      </w:divBdr>
    </w:div>
    <w:div w:id="198978329">
      <w:bodyDiv w:val="1"/>
      <w:marLeft w:val="0"/>
      <w:marRight w:val="0"/>
      <w:marTop w:val="0"/>
      <w:marBottom w:val="0"/>
      <w:divBdr>
        <w:top w:val="none" w:sz="0" w:space="0" w:color="auto"/>
        <w:left w:val="none" w:sz="0" w:space="0" w:color="auto"/>
        <w:bottom w:val="none" w:sz="0" w:space="0" w:color="auto"/>
        <w:right w:val="none" w:sz="0" w:space="0" w:color="auto"/>
      </w:divBdr>
    </w:div>
    <w:div w:id="222836683">
      <w:bodyDiv w:val="1"/>
      <w:marLeft w:val="0"/>
      <w:marRight w:val="0"/>
      <w:marTop w:val="0"/>
      <w:marBottom w:val="0"/>
      <w:divBdr>
        <w:top w:val="none" w:sz="0" w:space="0" w:color="auto"/>
        <w:left w:val="none" w:sz="0" w:space="0" w:color="auto"/>
        <w:bottom w:val="none" w:sz="0" w:space="0" w:color="auto"/>
        <w:right w:val="none" w:sz="0" w:space="0" w:color="auto"/>
      </w:divBdr>
    </w:div>
    <w:div w:id="246817089">
      <w:bodyDiv w:val="1"/>
      <w:marLeft w:val="0"/>
      <w:marRight w:val="0"/>
      <w:marTop w:val="0"/>
      <w:marBottom w:val="0"/>
      <w:divBdr>
        <w:top w:val="none" w:sz="0" w:space="0" w:color="auto"/>
        <w:left w:val="none" w:sz="0" w:space="0" w:color="auto"/>
        <w:bottom w:val="none" w:sz="0" w:space="0" w:color="auto"/>
        <w:right w:val="none" w:sz="0" w:space="0" w:color="auto"/>
      </w:divBdr>
    </w:div>
    <w:div w:id="271205620">
      <w:bodyDiv w:val="1"/>
      <w:marLeft w:val="0"/>
      <w:marRight w:val="0"/>
      <w:marTop w:val="0"/>
      <w:marBottom w:val="0"/>
      <w:divBdr>
        <w:top w:val="none" w:sz="0" w:space="0" w:color="auto"/>
        <w:left w:val="none" w:sz="0" w:space="0" w:color="auto"/>
        <w:bottom w:val="none" w:sz="0" w:space="0" w:color="auto"/>
        <w:right w:val="none" w:sz="0" w:space="0" w:color="auto"/>
      </w:divBdr>
    </w:div>
    <w:div w:id="275865589">
      <w:bodyDiv w:val="1"/>
      <w:marLeft w:val="0"/>
      <w:marRight w:val="0"/>
      <w:marTop w:val="0"/>
      <w:marBottom w:val="0"/>
      <w:divBdr>
        <w:top w:val="none" w:sz="0" w:space="0" w:color="auto"/>
        <w:left w:val="none" w:sz="0" w:space="0" w:color="auto"/>
        <w:bottom w:val="none" w:sz="0" w:space="0" w:color="auto"/>
        <w:right w:val="none" w:sz="0" w:space="0" w:color="auto"/>
      </w:divBdr>
    </w:div>
    <w:div w:id="294258817">
      <w:bodyDiv w:val="1"/>
      <w:marLeft w:val="0"/>
      <w:marRight w:val="0"/>
      <w:marTop w:val="0"/>
      <w:marBottom w:val="0"/>
      <w:divBdr>
        <w:top w:val="none" w:sz="0" w:space="0" w:color="auto"/>
        <w:left w:val="none" w:sz="0" w:space="0" w:color="auto"/>
        <w:bottom w:val="none" w:sz="0" w:space="0" w:color="auto"/>
        <w:right w:val="none" w:sz="0" w:space="0" w:color="auto"/>
      </w:divBdr>
    </w:div>
    <w:div w:id="294407445">
      <w:bodyDiv w:val="1"/>
      <w:marLeft w:val="0"/>
      <w:marRight w:val="0"/>
      <w:marTop w:val="0"/>
      <w:marBottom w:val="0"/>
      <w:divBdr>
        <w:top w:val="none" w:sz="0" w:space="0" w:color="auto"/>
        <w:left w:val="none" w:sz="0" w:space="0" w:color="auto"/>
        <w:bottom w:val="none" w:sz="0" w:space="0" w:color="auto"/>
        <w:right w:val="none" w:sz="0" w:space="0" w:color="auto"/>
      </w:divBdr>
    </w:div>
    <w:div w:id="314116437">
      <w:bodyDiv w:val="1"/>
      <w:marLeft w:val="0"/>
      <w:marRight w:val="0"/>
      <w:marTop w:val="0"/>
      <w:marBottom w:val="0"/>
      <w:divBdr>
        <w:top w:val="none" w:sz="0" w:space="0" w:color="auto"/>
        <w:left w:val="none" w:sz="0" w:space="0" w:color="auto"/>
        <w:bottom w:val="none" w:sz="0" w:space="0" w:color="auto"/>
        <w:right w:val="none" w:sz="0" w:space="0" w:color="auto"/>
      </w:divBdr>
    </w:div>
    <w:div w:id="336614741">
      <w:bodyDiv w:val="1"/>
      <w:marLeft w:val="0"/>
      <w:marRight w:val="0"/>
      <w:marTop w:val="0"/>
      <w:marBottom w:val="0"/>
      <w:divBdr>
        <w:top w:val="none" w:sz="0" w:space="0" w:color="auto"/>
        <w:left w:val="none" w:sz="0" w:space="0" w:color="auto"/>
        <w:bottom w:val="none" w:sz="0" w:space="0" w:color="auto"/>
        <w:right w:val="none" w:sz="0" w:space="0" w:color="auto"/>
      </w:divBdr>
    </w:div>
    <w:div w:id="339158725">
      <w:bodyDiv w:val="1"/>
      <w:marLeft w:val="0"/>
      <w:marRight w:val="0"/>
      <w:marTop w:val="0"/>
      <w:marBottom w:val="0"/>
      <w:divBdr>
        <w:top w:val="none" w:sz="0" w:space="0" w:color="auto"/>
        <w:left w:val="none" w:sz="0" w:space="0" w:color="auto"/>
        <w:bottom w:val="none" w:sz="0" w:space="0" w:color="auto"/>
        <w:right w:val="none" w:sz="0" w:space="0" w:color="auto"/>
      </w:divBdr>
    </w:div>
    <w:div w:id="407769842">
      <w:bodyDiv w:val="1"/>
      <w:marLeft w:val="0"/>
      <w:marRight w:val="0"/>
      <w:marTop w:val="0"/>
      <w:marBottom w:val="0"/>
      <w:divBdr>
        <w:top w:val="none" w:sz="0" w:space="0" w:color="auto"/>
        <w:left w:val="none" w:sz="0" w:space="0" w:color="auto"/>
        <w:bottom w:val="none" w:sz="0" w:space="0" w:color="auto"/>
        <w:right w:val="none" w:sz="0" w:space="0" w:color="auto"/>
      </w:divBdr>
    </w:div>
    <w:div w:id="408310227">
      <w:bodyDiv w:val="1"/>
      <w:marLeft w:val="0"/>
      <w:marRight w:val="0"/>
      <w:marTop w:val="0"/>
      <w:marBottom w:val="0"/>
      <w:divBdr>
        <w:top w:val="none" w:sz="0" w:space="0" w:color="auto"/>
        <w:left w:val="none" w:sz="0" w:space="0" w:color="auto"/>
        <w:bottom w:val="none" w:sz="0" w:space="0" w:color="auto"/>
        <w:right w:val="none" w:sz="0" w:space="0" w:color="auto"/>
      </w:divBdr>
    </w:div>
    <w:div w:id="416638244">
      <w:bodyDiv w:val="1"/>
      <w:marLeft w:val="0"/>
      <w:marRight w:val="0"/>
      <w:marTop w:val="0"/>
      <w:marBottom w:val="0"/>
      <w:divBdr>
        <w:top w:val="none" w:sz="0" w:space="0" w:color="auto"/>
        <w:left w:val="none" w:sz="0" w:space="0" w:color="auto"/>
        <w:bottom w:val="none" w:sz="0" w:space="0" w:color="auto"/>
        <w:right w:val="none" w:sz="0" w:space="0" w:color="auto"/>
      </w:divBdr>
    </w:div>
    <w:div w:id="419714084">
      <w:bodyDiv w:val="1"/>
      <w:marLeft w:val="0"/>
      <w:marRight w:val="0"/>
      <w:marTop w:val="0"/>
      <w:marBottom w:val="0"/>
      <w:divBdr>
        <w:top w:val="none" w:sz="0" w:space="0" w:color="auto"/>
        <w:left w:val="none" w:sz="0" w:space="0" w:color="auto"/>
        <w:bottom w:val="none" w:sz="0" w:space="0" w:color="auto"/>
        <w:right w:val="none" w:sz="0" w:space="0" w:color="auto"/>
      </w:divBdr>
    </w:div>
    <w:div w:id="423887323">
      <w:bodyDiv w:val="1"/>
      <w:marLeft w:val="0"/>
      <w:marRight w:val="0"/>
      <w:marTop w:val="0"/>
      <w:marBottom w:val="0"/>
      <w:divBdr>
        <w:top w:val="none" w:sz="0" w:space="0" w:color="auto"/>
        <w:left w:val="none" w:sz="0" w:space="0" w:color="auto"/>
        <w:bottom w:val="none" w:sz="0" w:space="0" w:color="auto"/>
        <w:right w:val="none" w:sz="0" w:space="0" w:color="auto"/>
      </w:divBdr>
    </w:div>
    <w:div w:id="425879473">
      <w:bodyDiv w:val="1"/>
      <w:marLeft w:val="0"/>
      <w:marRight w:val="0"/>
      <w:marTop w:val="0"/>
      <w:marBottom w:val="0"/>
      <w:divBdr>
        <w:top w:val="none" w:sz="0" w:space="0" w:color="auto"/>
        <w:left w:val="none" w:sz="0" w:space="0" w:color="auto"/>
        <w:bottom w:val="none" w:sz="0" w:space="0" w:color="auto"/>
        <w:right w:val="none" w:sz="0" w:space="0" w:color="auto"/>
      </w:divBdr>
    </w:div>
    <w:div w:id="509219026">
      <w:bodyDiv w:val="1"/>
      <w:marLeft w:val="0"/>
      <w:marRight w:val="0"/>
      <w:marTop w:val="0"/>
      <w:marBottom w:val="0"/>
      <w:divBdr>
        <w:top w:val="none" w:sz="0" w:space="0" w:color="auto"/>
        <w:left w:val="none" w:sz="0" w:space="0" w:color="auto"/>
        <w:bottom w:val="none" w:sz="0" w:space="0" w:color="auto"/>
        <w:right w:val="none" w:sz="0" w:space="0" w:color="auto"/>
      </w:divBdr>
    </w:div>
    <w:div w:id="518858944">
      <w:bodyDiv w:val="1"/>
      <w:marLeft w:val="0"/>
      <w:marRight w:val="0"/>
      <w:marTop w:val="0"/>
      <w:marBottom w:val="0"/>
      <w:divBdr>
        <w:top w:val="none" w:sz="0" w:space="0" w:color="auto"/>
        <w:left w:val="none" w:sz="0" w:space="0" w:color="auto"/>
        <w:bottom w:val="none" w:sz="0" w:space="0" w:color="auto"/>
        <w:right w:val="none" w:sz="0" w:space="0" w:color="auto"/>
      </w:divBdr>
    </w:div>
    <w:div w:id="524904269">
      <w:bodyDiv w:val="1"/>
      <w:marLeft w:val="0"/>
      <w:marRight w:val="0"/>
      <w:marTop w:val="0"/>
      <w:marBottom w:val="0"/>
      <w:divBdr>
        <w:top w:val="none" w:sz="0" w:space="0" w:color="auto"/>
        <w:left w:val="none" w:sz="0" w:space="0" w:color="auto"/>
        <w:bottom w:val="none" w:sz="0" w:space="0" w:color="auto"/>
        <w:right w:val="none" w:sz="0" w:space="0" w:color="auto"/>
      </w:divBdr>
    </w:div>
    <w:div w:id="530336722">
      <w:bodyDiv w:val="1"/>
      <w:marLeft w:val="0"/>
      <w:marRight w:val="0"/>
      <w:marTop w:val="0"/>
      <w:marBottom w:val="0"/>
      <w:divBdr>
        <w:top w:val="none" w:sz="0" w:space="0" w:color="auto"/>
        <w:left w:val="none" w:sz="0" w:space="0" w:color="auto"/>
        <w:bottom w:val="none" w:sz="0" w:space="0" w:color="auto"/>
        <w:right w:val="none" w:sz="0" w:space="0" w:color="auto"/>
      </w:divBdr>
    </w:div>
    <w:div w:id="538933576">
      <w:bodyDiv w:val="1"/>
      <w:marLeft w:val="0"/>
      <w:marRight w:val="0"/>
      <w:marTop w:val="0"/>
      <w:marBottom w:val="0"/>
      <w:divBdr>
        <w:top w:val="none" w:sz="0" w:space="0" w:color="auto"/>
        <w:left w:val="none" w:sz="0" w:space="0" w:color="auto"/>
        <w:bottom w:val="none" w:sz="0" w:space="0" w:color="auto"/>
        <w:right w:val="none" w:sz="0" w:space="0" w:color="auto"/>
      </w:divBdr>
    </w:div>
    <w:div w:id="539436101">
      <w:bodyDiv w:val="1"/>
      <w:marLeft w:val="0"/>
      <w:marRight w:val="0"/>
      <w:marTop w:val="0"/>
      <w:marBottom w:val="0"/>
      <w:divBdr>
        <w:top w:val="none" w:sz="0" w:space="0" w:color="auto"/>
        <w:left w:val="none" w:sz="0" w:space="0" w:color="auto"/>
        <w:bottom w:val="none" w:sz="0" w:space="0" w:color="auto"/>
        <w:right w:val="none" w:sz="0" w:space="0" w:color="auto"/>
      </w:divBdr>
    </w:div>
    <w:div w:id="541987750">
      <w:bodyDiv w:val="1"/>
      <w:marLeft w:val="0"/>
      <w:marRight w:val="0"/>
      <w:marTop w:val="0"/>
      <w:marBottom w:val="0"/>
      <w:divBdr>
        <w:top w:val="none" w:sz="0" w:space="0" w:color="auto"/>
        <w:left w:val="none" w:sz="0" w:space="0" w:color="auto"/>
        <w:bottom w:val="none" w:sz="0" w:space="0" w:color="auto"/>
        <w:right w:val="none" w:sz="0" w:space="0" w:color="auto"/>
      </w:divBdr>
    </w:div>
    <w:div w:id="543717353">
      <w:bodyDiv w:val="1"/>
      <w:marLeft w:val="0"/>
      <w:marRight w:val="0"/>
      <w:marTop w:val="0"/>
      <w:marBottom w:val="0"/>
      <w:divBdr>
        <w:top w:val="none" w:sz="0" w:space="0" w:color="auto"/>
        <w:left w:val="none" w:sz="0" w:space="0" w:color="auto"/>
        <w:bottom w:val="none" w:sz="0" w:space="0" w:color="auto"/>
        <w:right w:val="none" w:sz="0" w:space="0" w:color="auto"/>
      </w:divBdr>
    </w:div>
    <w:div w:id="572543678">
      <w:bodyDiv w:val="1"/>
      <w:marLeft w:val="0"/>
      <w:marRight w:val="0"/>
      <w:marTop w:val="0"/>
      <w:marBottom w:val="0"/>
      <w:divBdr>
        <w:top w:val="none" w:sz="0" w:space="0" w:color="auto"/>
        <w:left w:val="none" w:sz="0" w:space="0" w:color="auto"/>
        <w:bottom w:val="none" w:sz="0" w:space="0" w:color="auto"/>
        <w:right w:val="none" w:sz="0" w:space="0" w:color="auto"/>
      </w:divBdr>
    </w:div>
    <w:div w:id="575745100">
      <w:bodyDiv w:val="1"/>
      <w:marLeft w:val="0"/>
      <w:marRight w:val="0"/>
      <w:marTop w:val="0"/>
      <w:marBottom w:val="0"/>
      <w:divBdr>
        <w:top w:val="none" w:sz="0" w:space="0" w:color="auto"/>
        <w:left w:val="none" w:sz="0" w:space="0" w:color="auto"/>
        <w:bottom w:val="none" w:sz="0" w:space="0" w:color="auto"/>
        <w:right w:val="none" w:sz="0" w:space="0" w:color="auto"/>
      </w:divBdr>
    </w:div>
    <w:div w:id="583417549">
      <w:bodyDiv w:val="1"/>
      <w:marLeft w:val="0"/>
      <w:marRight w:val="0"/>
      <w:marTop w:val="0"/>
      <w:marBottom w:val="0"/>
      <w:divBdr>
        <w:top w:val="none" w:sz="0" w:space="0" w:color="auto"/>
        <w:left w:val="none" w:sz="0" w:space="0" w:color="auto"/>
        <w:bottom w:val="none" w:sz="0" w:space="0" w:color="auto"/>
        <w:right w:val="none" w:sz="0" w:space="0" w:color="auto"/>
      </w:divBdr>
    </w:div>
    <w:div w:id="600449594">
      <w:bodyDiv w:val="1"/>
      <w:marLeft w:val="0"/>
      <w:marRight w:val="0"/>
      <w:marTop w:val="0"/>
      <w:marBottom w:val="0"/>
      <w:divBdr>
        <w:top w:val="none" w:sz="0" w:space="0" w:color="auto"/>
        <w:left w:val="none" w:sz="0" w:space="0" w:color="auto"/>
        <w:bottom w:val="none" w:sz="0" w:space="0" w:color="auto"/>
        <w:right w:val="none" w:sz="0" w:space="0" w:color="auto"/>
      </w:divBdr>
    </w:div>
    <w:div w:id="616721320">
      <w:bodyDiv w:val="1"/>
      <w:marLeft w:val="0"/>
      <w:marRight w:val="0"/>
      <w:marTop w:val="0"/>
      <w:marBottom w:val="0"/>
      <w:divBdr>
        <w:top w:val="none" w:sz="0" w:space="0" w:color="auto"/>
        <w:left w:val="none" w:sz="0" w:space="0" w:color="auto"/>
        <w:bottom w:val="none" w:sz="0" w:space="0" w:color="auto"/>
        <w:right w:val="none" w:sz="0" w:space="0" w:color="auto"/>
      </w:divBdr>
    </w:div>
    <w:div w:id="617949468">
      <w:bodyDiv w:val="1"/>
      <w:marLeft w:val="0"/>
      <w:marRight w:val="0"/>
      <w:marTop w:val="0"/>
      <w:marBottom w:val="0"/>
      <w:divBdr>
        <w:top w:val="none" w:sz="0" w:space="0" w:color="auto"/>
        <w:left w:val="none" w:sz="0" w:space="0" w:color="auto"/>
        <w:bottom w:val="none" w:sz="0" w:space="0" w:color="auto"/>
        <w:right w:val="none" w:sz="0" w:space="0" w:color="auto"/>
      </w:divBdr>
    </w:div>
    <w:div w:id="661349628">
      <w:bodyDiv w:val="1"/>
      <w:marLeft w:val="0"/>
      <w:marRight w:val="0"/>
      <w:marTop w:val="0"/>
      <w:marBottom w:val="0"/>
      <w:divBdr>
        <w:top w:val="none" w:sz="0" w:space="0" w:color="auto"/>
        <w:left w:val="none" w:sz="0" w:space="0" w:color="auto"/>
        <w:bottom w:val="none" w:sz="0" w:space="0" w:color="auto"/>
        <w:right w:val="none" w:sz="0" w:space="0" w:color="auto"/>
      </w:divBdr>
    </w:div>
    <w:div w:id="679501527">
      <w:bodyDiv w:val="1"/>
      <w:marLeft w:val="0"/>
      <w:marRight w:val="0"/>
      <w:marTop w:val="0"/>
      <w:marBottom w:val="0"/>
      <w:divBdr>
        <w:top w:val="none" w:sz="0" w:space="0" w:color="auto"/>
        <w:left w:val="none" w:sz="0" w:space="0" w:color="auto"/>
        <w:bottom w:val="none" w:sz="0" w:space="0" w:color="auto"/>
        <w:right w:val="none" w:sz="0" w:space="0" w:color="auto"/>
      </w:divBdr>
    </w:div>
    <w:div w:id="685865908">
      <w:bodyDiv w:val="1"/>
      <w:marLeft w:val="0"/>
      <w:marRight w:val="0"/>
      <w:marTop w:val="0"/>
      <w:marBottom w:val="0"/>
      <w:divBdr>
        <w:top w:val="none" w:sz="0" w:space="0" w:color="auto"/>
        <w:left w:val="none" w:sz="0" w:space="0" w:color="auto"/>
        <w:bottom w:val="none" w:sz="0" w:space="0" w:color="auto"/>
        <w:right w:val="none" w:sz="0" w:space="0" w:color="auto"/>
      </w:divBdr>
    </w:div>
    <w:div w:id="698117996">
      <w:bodyDiv w:val="1"/>
      <w:marLeft w:val="0"/>
      <w:marRight w:val="0"/>
      <w:marTop w:val="0"/>
      <w:marBottom w:val="0"/>
      <w:divBdr>
        <w:top w:val="none" w:sz="0" w:space="0" w:color="auto"/>
        <w:left w:val="none" w:sz="0" w:space="0" w:color="auto"/>
        <w:bottom w:val="none" w:sz="0" w:space="0" w:color="auto"/>
        <w:right w:val="none" w:sz="0" w:space="0" w:color="auto"/>
      </w:divBdr>
    </w:div>
    <w:div w:id="721830396">
      <w:bodyDiv w:val="1"/>
      <w:marLeft w:val="0"/>
      <w:marRight w:val="0"/>
      <w:marTop w:val="0"/>
      <w:marBottom w:val="0"/>
      <w:divBdr>
        <w:top w:val="none" w:sz="0" w:space="0" w:color="auto"/>
        <w:left w:val="none" w:sz="0" w:space="0" w:color="auto"/>
        <w:bottom w:val="none" w:sz="0" w:space="0" w:color="auto"/>
        <w:right w:val="none" w:sz="0" w:space="0" w:color="auto"/>
      </w:divBdr>
    </w:div>
    <w:div w:id="757169124">
      <w:bodyDiv w:val="1"/>
      <w:marLeft w:val="0"/>
      <w:marRight w:val="0"/>
      <w:marTop w:val="0"/>
      <w:marBottom w:val="0"/>
      <w:divBdr>
        <w:top w:val="none" w:sz="0" w:space="0" w:color="auto"/>
        <w:left w:val="none" w:sz="0" w:space="0" w:color="auto"/>
        <w:bottom w:val="none" w:sz="0" w:space="0" w:color="auto"/>
        <w:right w:val="none" w:sz="0" w:space="0" w:color="auto"/>
      </w:divBdr>
    </w:div>
    <w:div w:id="759641485">
      <w:bodyDiv w:val="1"/>
      <w:marLeft w:val="0"/>
      <w:marRight w:val="0"/>
      <w:marTop w:val="0"/>
      <w:marBottom w:val="0"/>
      <w:divBdr>
        <w:top w:val="none" w:sz="0" w:space="0" w:color="auto"/>
        <w:left w:val="none" w:sz="0" w:space="0" w:color="auto"/>
        <w:bottom w:val="none" w:sz="0" w:space="0" w:color="auto"/>
        <w:right w:val="none" w:sz="0" w:space="0" w:color="auto"/>
      </w:divBdr>
    </w:div>
    <w:div w:id="765998657">
      <w:bodyDiv w:val="1"/>
      <w:marLeft w:val="0"/>
      <w:marRight w:val="0"/>
      <w:marTop w:val="0"/>
      <w:marBottom w:val="0"/>
      <w:divBdr>
        <w:top w:val="none" w:sz="0" w:space="0" w:color="auto"/>
        <w:left w:val="none" w:sz="0" w:space="0" w:color="auto"/>
        <w:bottom w:val="none" w:sz="0" w:space="0" w:color="auto"/>
        <w:right w:val="none" w:sz="0" w:space="0" w:color="auto"/>
      </w:divBdr>
    </w:div>
    <w:div w:id="812063414">
      <w:bodyDiv w:val="1"/>
      <w:marLeft w:val="0"/>
      <w:marRight w:val="0"/>
      <w:marTop w:val="0"/>
      <w:marBottom w:val="0"/>
      <w:divBdr>
        <w:top w:val="none" w:sz="0" w:space="0" w:color="auto"/>
        <w:left w:val="none" w:sz="0" w:space="0" w:color="auto"/>
        <w:bottom w:val="none" w:sz="0" w:space="0" w:color="auto"/>
        <w:right w:val="none" w:sz="0" w:space="0" w:color="auto"/>
      </w:divBdr>
    </w:div>
    <w:div w:id="825318134">
      <w:bodyDiv w:val="1"/>
      <w:marLeft w:val="0"/>
      <w:marRight w:val="0"/>
      <w:marTop w:val="0"/>
      <w:marBottom w:val="0"/>
      <w:divBdr>
        <w:top w:val="none" w:sz="0" w:space="0" w:color="auto"/>
        <w:left w:val="none" w:sz="0" w:space="0" w:color="auto"/>
        <w:bottom w:val="none" w:sz="0" w:space="0" w:color="auto"/>
        <w:right w:val="none" w:sz="0" w:space="0" w:color="auto"/>
      </w:divBdr>
    </w:div>
    <w:div w:id="830487499">
      <w:bodyDiv w:val="1"/>
      <w:marLeft w:val="0"/>
      <w:marRight w:val="0"/>
      <w:marTop w:val="0"/>
      <w:marBottom w:val="0"/>
      <w:divBdr>
        <w:top w:val="none" w:sz="0" w:space="0" w:color="auto"/>
        <w:left w:val="none" w:sz="0" w:space="0" w:color="auto"/>
        <w:bottom w:val="none" w:sz="0" w:space="0" w:color="auto"/>
        <w:right w:val="none" w:sz="0" w:space="0" w:color="auto"/>
      </w:divBdr>
    </w:div>
    <w:div w:id="850340242">
      <w:bodyDiv w:val="1"/>
      <w:marLeft w:val="0"/>
      <w:marRight w:val="0"/>
      <w:marTop w:val="0"/>
      <w:marBottom w:val="0"/>
      <w:divBdr>
        <w:top w:val="none" w:sz="0" w:space="0" w:color="auto"/>
        <w:left w:val="none" w:sz="0" w:space="0" w:color="auto"/>
        <w:bottom w:val="none" w:sz="0" w:space="0" w:color="auto"/>
        <w:right w:val="none" w:sz="0" w:space="0" w:color="auto"/>
      </w:divBdr>
    </w:div>
    <w:div w:id="861212810">
      <w:bodyDiv w:val="1"/>
      <w:marLeft w:val="0"/>
      <w:marRight w:val="0"/>
      <w:marTop w:val="0"/>
      <w:marBottom w:val="0"/>
      <w:divBdr>
        <w:top w:val="none" w:sz="0" w:space="0" w:color="auto"/>
        <w:left w:val="none" w:sz="0" w:space="0" w:color="auto"/>
        <w:bottom w:val="none" w:sz="0" w:space="0" w:color="auto"/>
        <w:right w:val="none" w:sz="0" w:space="0" w:color="auto"/>
      </w:divBdr>
    </w:div>
    <w:div w:id="885525648">
      <w:bodyDiv w:val="1"/>
      <w:marLeft w:val="0"/>
      <w:marRight w:val="0"/>
      <w:marTop w:val="0"/>
      <w:marBottom w:val="0"/>
      <w:divBdr>
        <w:top w:val="none" w:sz="0" w:space="0" w:color="auto"/>
        <w:left w:val="none" w:sz="0" w:space="0" w:color="auto"/>
        <w:bottom w:val="none" w:sz="0" w:space="0" w:color="auto"/>
        <w:right w:val="none" w:sz="0" w:space="0" w:color="auto"/>
      </w:divBdr>
    </w:div>
    <w:div w:id="902528035">
      <w:bodyDiv w:val="1"/>
      <w:marLeft w:val="0"/>
      <w:marRight w:val="0"/>
      <w:marTop w:val="0"/>
      <w:marBottom w:val="0"/>
      <w:divBdr>
        <w:top w:val="none" w:sz="0" w:space="0" w:color="auto"/>
        <w:left w:val="none" w:sz="0" w:space="0" w:color="auto"/>
        <w:bottom w:val="none" w:sz="0" w:space="0" w:color="auto"/>
        <w:right w:val="none" w:sz="0" w:space="0" w:color="auto"/>
      </w:divBdr>
    </w:div>
    <w:div w:id="903176110">
      <w:bodyDiv w:val="1"/>
      <w:marLeft w:val="0"/>
      <w:marRight w:val="0"/>
      <w:marTop w:val="0"/>
      <w:marBottom w:val="0"/>
      <w:divBdr>
        <w:top w:val="none" w:sz="0" w:space="0" w:color="auto"/>
        <w:left w:val="none" w:sz="0" w:space="0" w:color="auto"/>
        <w:bottom w:val="none" w:sz="0" w:space="0" w:color="auto"/>
        <w:right w:val="none" w:sz="0" w:space="0" w:color="auto"/>
      </w:divBdr>
    </w:div>
    <w:div w:id="914322756">
      <w:bodyDiv w:val="1"/>
      <w:marLeft w:val="0"/>
      <w:marRight w:val="0"/>
      <w:marTop w:val="0"/>
      <w:marBottom w:val="0"/>
      <w:divBdr>
        <w:top w:val="none" w:sz="0" w:space="0" w:color="auto"/>
        <w:left w:val="none" w:sz="0" w:space="0" w:color="auto"/>
        <w:bottom w:val="none" w:sz="0" w:space="0" w:color="auto"/>
        <w:right w:val="none" w:sz="0" w:space="0" w:color="auto"/>
      </w:divBdr>
    </w:div>
    <w:div w:id="921181891">
      <w:bodyDiv w:val="1"/>
      <w:marLeft w:val="0"/>
      <w:marRight w:val="0"/>
      <w:marTop w:val="0"/>
      <w:marBottom w:val="0"/>
      <w:divBdr>
        <w:top w:val="none" w:sz="0" w:space="0" w:color="auto"/>
        <w:left w:val="none" w:sz="0" w:space="0" w:color="auto"/>
        <w:bottom w:val="none" w:sz="0" w:space="0" w:color="auto"/>
        <w:right w:val="none" w:sz="0" w:space="0" w:color="auto"/>
      </w:divBdr>
    </w:div>
    <w:div w:id="921524384">
      <w:bodyDiv w:val="1"/>
      <w:marLeft w:val="0"/>
      <w:marRight w:val="0"/>
      <w:marTop w:val="0"/>
      <w:marBottom w:val="0"/>
      <w:divBdr>
        <w:top w:val="none" w:sz="0" w:space="0" w:color="auto"/>
        <w:left w:val="none" w:sz="0" w:space="0" w:color="auto"/>
        <w:bottom w:val="none" w:sz="0" w:space="0" w:color="auto"/>
        <w:right w:val="none" w:sz="0" w:space="0" w:color="auto"/>
      </w:divBdr>
    </w:div>
    <w:div w:id="1020355711">
      <w:bodyDiv w:val="1"/>
      <w:marLeft w:val="0"/>
      <w:marRight w:val="0"/>
      <w:marTop w:val="0"/>
      <w:marBottom w:val="0"/>
      <w:divBdr>
        <w:top w:val="none" w:sz="0" w:space="0" w:color="auto"/>
        <w:left w:val="none" w:sz="0" w:space="0" w:color="auto"/>
        <w:bottom w:val="none" w:sz="0" w:space="0" w:color="auto"/>
        <w:right w:val="none" w:sz="0" w:space="0" w:color="auto"/>
      </w:divBdr>
    </w:div>
    <w:div w:id="1025599436">
      <w:bodyDiv w:val="1"/>
      <w:marLeft w:val="0"/>
      <w:marRight w:val="0"/>
      <w:marTop w:val="0"/>
      <w:marBottom w:val="0"/>
      <w:divBdr>
        <w:top w:val="none" w:sz="0" w:space="0" w:color="auto"/>
        <w:left w:val="none" w:sz="0" w:space="0" w:color="auto"/>
        <w:bottom w:val="none" w:sz="0" w:space="0" w:color="auto"/>
        <w:right w:val="none" w:sz="0" w:space="0" w:color="auto"/>
      </w:divBdr>
    </w:div>
    <w:div w:id="1028679600">
      <w:bodyDiv w:val="1"/>
      <w:marLeft w:val="0"/>
      <w:marRight w:val="0"/>
      <w:marTop w:val="0"/>
      <w:marBottom w:val="0"/>
      <w:divBdr>
        <w:top w:val="none" w:sz="0" w:space="0" w:color="auto"/>
        <w:left w:val="none" w:sz="0" w:space="0" w:color="auto"/>
        <w:bottom w:val="none" w:sz="0" w:space="0" w:color="auto"/>
        <w:right w:val="none" w:sz="0" w:space="0" w:color="auto"/>
      </w:divBdr>
    </w:div>
    <w:div w:id="1050765544">
      <w:bodyDiv w:val="1"/>
      <w:marLeft w:val="0"/>
      <w:marRight w:val="0"/>
      <w:marTop w:val="0"/>
      <w:marBottom w:val="0"/>
      <w:divBdr>
        <w:top w:val="none" w:sz="0" w:space="0" w:color="auto"/>
        <w:left w:val="none" w:sz="0" w:space="0" w:color="auto"/>
        <w:bottom w:val="none" w:sz="0" w:space="0" w:color="auto"/>
        <w:right w:val="none" w:sz="0" w:space="0" w:color="auto"/>
      </w:divBdr>
    </w:div>
    <w:div w:id="1054623783">
      <w:bodyDiv w:val="1"/>
      <w:marLeft w:val="0"/>
      <w:marRight w:val="0"/>
      <w:marTop w:val="0"/>
      <w:marBottom w:val="0"/>
      <w:divBdr>
        <w:top w:val="none" w:sz="0" w:space="0" w:color="auto"/>
        <w:left w:val="none" w:sz="0" w:space="0" w:color="auto"/>
        <w:bottom w:val="none" w:sz="0" w:space="0" w:color="auto"/>
        <w:right w:val="none" w:sz="0" w:space="0" w:color="auto"/>
      </w:divBdr>
    </w:div>
    <w:div w:id="1062291424">
      <w:bodyDiv w:val="1"/>
      <w:marLeft w:val="0"/>
      <w:marRight w:val="0"/>
      <w:marTop w:val="0"/>
      <w:marBottom w:val="0"/>
      <w:divBdr>
        <w:top w:val="none" w:sz="0" w:space="0" w:color="auto"/>
        <w:left w:val="none" w:sz="0" w:space="0" w:color="auto"/>
        <w:bottom w:val="none" w:sz="0" w:space="0" w:color="auto"/>
        <w:right w:val="none" w:sz="0" w:space="0" w:color="auto"/>
      </w:divBdr>
    </w:div>
    <w:div w:id="1071083344">
      <w:bodyDiv w:val="1"/>
      <w:marLeft w:val="0"/>
      <w:marRight w:val="0"/>
      <w:marTop w:val="0"/>
      <w:marBottom w:val="0"/>
      <w:divBdr>
        <w:top w:val="none" w:sz="0" w:space="0" w:color="auto"/>
        <w:left w:val="none" w:sz="0" w:space="0" w:color="auto"/>
        <w:bottom w:val="none" w:sz="0" w:space="0" w:color="auto"/>
        <w:right w:val="none" w:sz="0" w:space="0" w:color="auto"/>
      </w:divBdr>
    </w:div>
    <w:div w:id="1088306234">
      <w:bodyDiv w:val="1"/>
      <w:marLeft w:val="0"/>
      <w:marRight w:val="0"/>
      <w:marTop w:val="0"/>
      <w:marBottom w:val="0"/>
      <w:divBdr>
        <w:top w:val="none" w:sz="0" w:space="0" w:color="auto"/>
        <w:left w:val="none" w:sz="0" w:space="0" w:color="auto"/>
        <w:bottom w:val="none" w:sz="0" w:space="0" w:color="auto"/>
        <w:right w:val="none" w:sz="0" w:space="0" w:color="auto"/>
      </w:divBdr>
    </w:div>
    <w:div w:id="1098015785">
      <w:bodyDiv w:val="1"/>
      <w:marLeft w:val="0"/>
      <w:marRight w:val="0"/>
      <w:marTop w:val="0"/>
      <w:marBottom w:val="0"/>
      <w:divBdr>
        <w:top w:val="none" w:sz="0" w:space="0" w:color="auto"/>
        <w:left w:val="none" w:sz="0" w:space="0" w:color="auto"/>
        <w:bottom w:val="none" w:sz="0" w:space="0" w:color="auto"/>
        <w:right w:val="none" w:sz="0" w:space="0" w:color="auto"/>
      </w:divBdr>
    </w:div>
    <w:div w:id="1101225472">
      <w:bodyDiv w:val="1"/>
      <w:marLeft w:val="0"/>
      <w:marRight w:val="0"/>
      <w:marTop w:val="0"/>
      <w:marBottom w:val="0"/>
      <w:divBdr>
        <w:top w:val="none" w:sz="0" w:space="0" w:color="auto"/>
        <w:left w:val="none" w:sz="0" w:space="0" w:color="auto"/>
        <w:bottom w:val="none" w:sz="0" w:space="0" w:color="auto"/>
        <w:right w:val="none" w:sz="0" w:space="0" w:color="auto"/>
      </w:divBdr>
    </w:div>
    <w:div w:id="1103191059">
      <w:bodyDiv w:val="1"/>
      <w:marLeft w:val="0"/>
      <w:marRight w:val="0"/>
      <w:marTop w:val="0"/>
      <w:marBottom w:val="0"/>
      <w:divBdr>
        <w:top w:val="none" w:sz="0" w:space="0" w:color="auto"/>
        <w:left w:val="none" w:sz="0" w:space="0" w:color="auto"/>
        <w:bottom w:val="none" w:sz="0" w:space="0" w:color="auto"/>
        <w:right w:val="none" w:sz="0" w:space="0" w:color="auto"/>
      </w:divBdr>
    </w:div>
    <w:div w:id="1165439532">
      <w:bodyDiv w:val="1"/>
      <w:marLeft w:val="0"/>
      <w:marRight w:val="0"/>
      <w:marTop w:val="0"/>
      <w:marBottom w:val="0"/>
      <w:divBdr>
        <w:top w:val="none" w:sz="0" w:space="0" w:color="auto"/>
        <w:left w:val="none" w:sz="0" w:space="0" w:color="auto"/>
        <w:bottom w:val="none" w:sz="0" w:space="0" w:color="auto"/>
        <w:right w:val="none" w:sz="0" w:space="0" w:color="auto"/>
      </w:divBdr>
    </w:div>
    <w:div w:id="1170634171">
      <w:bodyDiv w:val="1"/>
      <w:marLeft w:val="0"/>
      <w:marRight w:val="0"/>
      <w:marTop w:val="0"/>
      <w:marBottom w:val="0"/>
      <w:divBdr>
        <w:top w:val="none" w:sz="0" w:space="0" w:color="auto"/>
        <w:left w:val="none" w:sz="0" w:space="0" w:color="auto"/>
        <w:bottom w:val="none" w:sz="0" w:space="0" w:color="auto"/>
        <w:right w:val="none" w:sz="0" w:space="0" w:color="auto"/>
      </w:divBdr>
    </w:div>
    <w:div w:id="1173496580">
      <w:bodyDiv w:val="1"/>
      <w:marLeft w:val="0"/>
      <w:marRight w:val="0"/>
      <w:marTop w:val="0"/>
      <w:marBottom w:val="0"/>
      <w:divBdr>
        <w:top w:val="none" w:sz="0" w:space="0" w:color="auto"/>
        <w:left w:val="none" w:sz="0" w:space="0" w:color="auto"/>
        <w:bottom w:val="none" w:sz="0" w:space="0" w:color="auto"/>
        <w:right w:val="none" w:sz="0" w:space="0" w:color="auto"/>
      </w:divBdr>
    </w:div>
    <w:div w:id="1190798786">
      <w:bodyDiv w:val="1"/>
      <w:marLeft w:val="0"/>
      <w:marRight w:val="0"/>
      <w:marTop w:val="0"/>
      <w:marBottom w:val="0"/>
      <w:divBdr>
        <w:top w:val="none" w:sz="0" w:space="0" w:color="auto"/>
        <w:left w:val="none" w:sz="0" w:space="0" w:color="auto"/>
        <w:bottom w:val="none" w:sz="0" w:space="0" w:color="auto"/>
        <w:right w:val="none" w:sz="0" w:space="0" w:color="auto"/>
      </w:divBdr>
    </w:div>
    <w:div w:id="1202786220">
      <w:bodyDiv w:val="1"/>
      <w:marLeft w:val="0"/>
      <w:marRight w:val="0"/>
      <w:marTop w:val="0"/>
      <w:marBottom w:val="0"/>
      <w:divBdr>
        <w:top w:val="none" w:sz="0" w:space="0" w:color="auto"/>
        <w:left w:val="none" w:sz="0" w:space="0" w:color="auto"/>
        <w:bottom w:val="none" w:sz="0" w:space="0" w:color="auto"/>
        <w:right w:val="none" w:sz="0" w:space="0" w:color="auto"/>
      </w:divBdr>
    </w:div>
    <w:div w:id="1210529333">
      <w:bodyDiv w:val="1"/>
      <w:marLeft w:val="0"/>
      <w:marRight w:val="0"/>
      <w:marTop w:val="0"/>
      <w:marBottom w:val="0"/>
      <w:divBdr>
        <w:top w:val="none" w:sz="0" w:space="0" w:color="auto"/>
        <w:left w:val="none" w:sz="0" w:space="0" w:color="auto"/>
        <w:bottom w:val="none" w:sz="0" w:space="0" w:color="auto"/>
        <w:right w:val="none" w:sz="0" w:space="0" w:color="auto"/>
      </w:divBdr>
    </w:div>
    <w:div w:id="1216890047">
      <w:bodyDiv w:val="1"/>
      <w:marLeft w:val="0"/>
      <w:marRight w:val="0"/>
      <w:marTop w:val="0"/>
      <w:marBottom w:val="0"/>
      <w:divBdr>
        <w:top w:val="none" w:sz="0" w:space="0" w:color="auto"/>
        <w:left w:val="none" w:sz="0" w:space="0" w:color="auto"/>
        <w:bottom w:val="none" w:sz="0" w:space="0" w:color="auto"/>
        <w:right w:val="none" w:sz="0" w:space="0" w:color="auto"/>
      </w:divBdr>
    </w:div>
    <w:div w:id="1217745616">
      <w:bodyDiv w:val="1"/>
      <w:marLeft w:val="0"/>
      <w:marRight w:val="0"/>
      <w:marTop w:val="0"/>
      <w:marBottom w:val="0"/>
      <w:divBdr>
        <w:top w:val="none" w:sz="0" w:space="0" w:color="auto"/>
        <w:left w:val="none" w:sz="0" w:space="0" w:color="auto"/>
        <w:bottom w:val="none" w:sz="0" w:space="0" w:color="auto"/>
        <w:right w:val="none" w:sz="0" w:space="0" w:color="auto"/>
      </w:divBdr>
    </w:div>
    <w:div w:id="1234242812">
      <w:bodyDiv w:val="1"/>
      <w:marLeft w:val="0"/>
      <w:marRight w:val="0"/>
      <w:marTop w:val="0"/>
      <w:marBottom w:val="0"/>
      <w:divBdr>
        <w:top w:val="none" w:sz="0" w:space="0" w:color="auto"/>
        <w:left w:val="none" w:sz="0" w:space="0" w:color="auto"/>
        <w:bottom w:val="none" w:sz="0" w:space="0" w:color="auto"/>
        <w:right w:val="none" w:sz="0" w:space="0" w:color="auto"/>
      </w:divBdr>
    </w:div>
    <w:div w:id="1236161839">
      <w:bodyDiv w:val="1"/>
      <w:marLeft w:val="0"/>
      <w:marRight w:val="0"/>
      <w:marTop w:val="0"/>
      <w:marBottom w:val="0"/>
      <w:divBdr>
        <w:top w:val="none" w:sz="0" w:space="0" w:color="auto"/>
        <w:left w:val="none" w:sz="0" w:space="0" w:color="auto"/>
        <w:bottom w:val="none" w:sz="0" w:space="0" w:color="auto"/>
        <w:right w:val="none" w:sz="0" w:space="0" w:color="auto"/>
      </w:divBdr>
    </w:div>
    <w:div w:id="1241065456">
      <w:bodyDiv w:val="1"/>
      <w:marLeft w:val="0"/>
      <w:marRight w:val="0"/>
      <w:marTop w:val="0"/>
      <w:marBottom w:val="0"/>
      <w:divBdr>
        <w:top w:val="none" w:sz="0" w:space="0" w:color="auto"/>
        <w:left w:val="none" w:sz="0" w:space="0" w:color="auto"/>
        <w:bottom w:val="none" w:sz="0" w:space="0" w:color="auto"/>
        <w:right w:val="none" w:sz="0" w:space="0" w:color="auto"/>
      </w:divBdr>
    </w:div>
    <w:div w:id="1245262217">
      <w:bodyDiv w:val="1"/>
      <w:marLeft w:val="0"/>
      <w:marRight w:val="0"/>
      <w:marTop w:val="0"/>
      <w:marBottom w:val="0"/>
      <w:divBdr>
        <w:top w:val="none" w:sz="0" w:space="0" w:color="auto"/>
        <w:left w:val="none" w:sz="0" w:space="0" w:color="auto"/>
        <w:bottom w:val="none" w:sz="0" w:space="0" w:color="auto"/>
        <w:right w:val="none" w:sz="0" w:space="0" w:color="auto"/>
      </w:divBdr>
    </w:div>
    <w:div w:id="1252590783">
      <w:bodyDiv w:val="1"/>
      <w:marLeft w:val="0"/>
      <w:marRight w:val="0"/>
      <w:marTop w:val="0"/>
      <w:marBottom w:val="0"/>
      <w:divBdr>
        <w:top w:val="none" w:sz="0" w:space="0" w:color="auto"/>
        <w:left w:val="none" w:sz="0" w:space="0" w:color="auto"/>
        <w:bottom w:val="none" w:sz="0" w:space="0" w:color="auto"/>
        <w:right w:val="none" w:sz="0" w:space="0" w:color="auto"/>
      </w:divBdr>
    </w:div>
    <w:div w:id="1300257433">
      <w:bodyDiv w:val="1"/>
      <w:marLeft w:val="0"/>
      <w:marRight w:val="0"/>
      <w:marTop w:val="0"/>
      <w:marBottom w:val="0"/>
      <w:divBdr>
        <w:top w:val="none" w:sz="0" w:space="0" w:color="auto"/>
        <w:left w:val="none" w:sz="0" w:space="0" w:color="auto"/>
        <w:bottom w:val="none" w:sz="0" w:space="0" w:color="auto"/>
        <w:right w:val="none" w:sz="0" w:space="0" w:color="auto"/>
      </w:divBdr>
    </w:div>
    <w:div w:id="1301694357">
      <w:bodyDiv w:val="1"/>
      <w:marLeft w:val="0"/>
      <w:marRight w:val="0"/>
      <w:marTop w:val="0"/>
      <w:marBottom w:val="0"/>
      <w:divBdr>
        <w:top w:val="none" w:sz="0" w:space="0" w:color="auto"/>
        <w:left w:val="none" w:sz="0" w:space="0" w:color="auto"/>
        <w:bottom w:val="none" w:sz="0" w:space="0" w:color="auto"/>
        <w:right w:val="none" w:sz="0" w:space="0" w:color="auto"/>
      </w:divBdr>
    </w:div>
    <w:div w:id="1366444440">
      <w:bodyDiv w:val="1"/>
      <w:marLeft w:val="0"/>
      <w:marRight w:val="0"/>
      <w:marTop w:val="0"/>
      <w:marBottom w:val="0"/>
      <w:divBdr>
        <w:top w:val="none" w:sz="0" w:space="0" w:color="auto"/>
        <w:left w:val="none" w:sz="0" w:space="0" w:color="auto"/>
        <w:bottom w:val="none" w:sz="0" w:space="0" w:color="auto"/>
        <w:right w:val="none" w:sz="0" w:space="0" w:color="auto"/>
      </w:divBdr>
    </w:div>
    <w:div w:id="1393432097">
      <w:bodyDiv w:val="1"/>
      <w:marLeft w:val="0"/>
      <w:marRight w:val="0"/>
      <w:marTop w:val="0"/>
      <w:marBottom w:val="0"/>
      <w:divBdr>
        <w:top w:val="none" w:sz="0" w:space="0" w:color="auto"/>
        <w:left w:val="none" w:sz="0" w:space="0" w:color="auto"/>
        <w:bottom w:val="none" w:sz="0" w:space="0" w:color="auto"/>
        <w:right w:val="none" w:sz="0" w:space="0" w:color="auto"/>
      </w:divBdr>
    </w:div>
    <w:div w:id="1399933909">
      <w:bodyDiv w:val="1"/>
      <w:marLeft w:val="0"/>
      <w:marRight w:val="0"/>
      <w:marTop w:val="0"/>
      <w:marBottom w:val="0"/>
      <w:divBdr>
        <w:top w:val="none" w:sz="0" w:space="0" w:color="auto"/>
        <w:left w:val="none" w:sz="0" w:space="0" w:color="auto"/>
        <w:bottom w:val="none" w:sz="0" w:space="0" w:color="auto"/>
        <w:right w:val="none" w:sz="0" w:space="0" w:color="auto"/>
      </w:divBdr>
    </w:div>
    <w:div w:id="1401907198">
      <w:bodyDiv w:val="1"/>
      <w:marLeft w:val="0"/>
      <w:marRight w:val="0"/>
      <w:marTop w:val="0"/>
      <w:marBottom w:val="0"/>
      <w:divBdr>
        <w:top w:val="none" w:sz="0" w:space="0" w:color="auto"/>
        <w:left w:val="none" w:sz="0" w:space="0" w:color="auto"/>
        <w:bottom w:val="none" w:sz="0" w:space="0" w:color="auto"/>
        <w:right w:val="none" w:sz="0" w:space="0" w:color="auto"/>
      </w:divBdr>
    </w:div>
    <w:div w:id="1409501472">
      <w:bodyDiv w:val="1"/>
      <w:marLeft w:val="0"/>
      <w:marRight w:val="0"/>
      <w:marTop w:val="0"/>
      <w:marBottom w:val="0"/>
      <w:divBdr>
        <w:top w:val="none" w:sz="0" w:space="0" w:color="auto"/>
        <w:left w:val="none" w:sz="0" w:space="0" w:color="auto"/>
        <w:bottom w:val="none" w:sz="0" w:space="0" w:color="auto"/>
        <w:right w:val="none" w:sz="0" w:space="0" w:color="auto"/>
      </w:divBdr>
    </w:div>
    <w:div w:id="1410694174">
      <w:bodyDiv w:val="1"/>
      <w:marLeft w:val="0"/>
      <w:marRight w:val="0"/>
      <w:marTop w:val="0"/>
      <w:marBottom w:val="0"/>
      <w:divBdr>
        <w:top w:val="none" w:sz="0" w:space="0" w:color="auto"/>
        <w:left w:val="none" w:sz="0" w:space="0" w:color="auto"/>
        <w:bottom w:val="none" w:sz="0" w:space="0" w:color="auto"/>
        <w:right w:val="none" w:sz="0" w:space="0" w:color="auto"/>
      </w:divBdr>
    </w:div>
    <w:div w:id="1410887416">
      <w:bodyDiv w:val="1"/>
      <w:marLeft w:val="0"/>
      <w:marRight w:val="0"/>
      <w:marTop w:val="0"/>
      <w:marBottom w:val="0"/>
      <w:divBdr>
        <w:top w:val="none" w:sz="0" w:space="0" w:color="auto"/>
        <w:left w:val="none" w:sz="0" w:space="0" w:color="auto"/>
        <w:bottom w:val="none" w:sz="0" w:space="0" w:color="auto"/>
        <w:right w:val="none" w:sz="0" w:space="0" w:color="auto"/>
      </w:divBdr>
    </w:div>
    <w:div w:id="1478260759">
      <w:bodyDiv w:val="1"/>
      <w:marLeft w:val="0"/>
      <w:marRight w:val="0"/>
      <w:marTop w:val="0"/>
      <w:marBottom w:val="0"/>
      <w:divBdr>
        <w:top w:val="none" w:sz="0" w:space="0" w:color="auto"/>
        <w:left w:val="none" w:sz="0" w:space="0" w:color="auto"/>
        <w:bottom w:val="none" w:sz="0" w:space="0" w:color="auto"/>
        <w:right w:val="none" w:sz="0" w:space="0" w:color="auto"/>
      </w:divBdr>
    </w:div>
    <w:div w:id="1487890826">
      <w:bodyDiv w:val="1"/>
      <w:marLeft w:val="0"/>
      <w:marRight w:val="0"/>
      <w:marTop w:val="0"/>
      <w:marBottom w:val="0"/>
      <w:divBdr>
        <w:top w:val="none" w:sz="0" w:space="0" w:color="auto"/>
        <w:left w:val="none" w:sz="0" w:space="0" w:color="auto"/>
        <w:bottom w:val="none" w:sz="0" w:space="0" w:color="auto"/>
        <w:right w:val="none" w:sz="0" w:space="0" w:color="auto"/>
      </w:divBdr>
    </w:div>
    <w:div w:id="1491869935">
      <w:bodyDiv w:val="1"/>
      <w:marLeft w:val="0"/>
      <w:marRight w:val="0"/>
      <w:marTop w:val="0"/>
      <w:marBottom w:val="0"/>
      <w:divBdr>
        <w:top w:val="none" w:sz="0" w:space="0" w:color="auto"/>
        <w:left w:val="none" w:sz="0" w:space="0" w:color="auto"/>
        <w:bottom w:val="none" w:sz="0" w:space="0" w:color="auto"/>
        <w:right w:val="none" w:sz="0" w:space="0" w:color="auto"/>
      </w:divBdr>
    </w:div>
    <w:div w:id="1494032924">
      <w:bodyDiv w:val="1"/>
      <w:marLeft w:val="0"/>
      <w:marRight w:val="0"/>
      <w:marTop w:val="0"/>
      <w:marBottom w:val="0"/>
      <w:divBdr>
        <w:top w:val="none" w:sz="0" w:space="0" w:color="auto"/>
        <w:left w:val="none" w:sz="0" w:space="0" w:color="auto"/>
        <w:bottom w:val="none" w:sz="0" w:space="0" w:color="auto"/>
        <w:right w:val="none" w:sz="0" w:space="0" w:color="auto"/>
      </w:divBdr>
    </w:div>
    <w:div w:id="1507863788">
      <w:bodyDiv w:val="1"/>
      <w:marLeft w:val="0"/>
      <w:marRight w:val="0"/>
      <w:marTop w:val="0"/>
      <w:marBottom w:val="0"/>
      <w:divBdr>
        <w:top w:val="none" w:sz="0" w:space="0" w:color="auto"/>
        <w:left w:val="none" w:sz="0" w:space="0" w:color="auto"/>
        <w:bottom w:val="none" w:sz="0" w:space="0" w:color="auto"/>
        <w:right w:val="none" w:sz="0" w:space="0" w:color="auto"/>
      </w:divBdr>
    </w:div>
    <w:div w:id="1561283990">
      <w:bodyDiv w:val="1"/>
      <w:marLeft w:val="0"/>
      <w:marRight w:val="0"/>
      <w:marTop w:val="0"/>
      <w:marBottom w:val="0"/>
      <w:divBdr>
        <w:top w:val="none" w:sz="0" w:space="0" w:color="auto"/>
        <w:left w:val="none" w:sz="0" w:space="0" w:color="auto"/>
        <w:bottom w:val="none" w:sz="0" w:space="0" w:color="auto"/>
        <w:right w:val="none" w:sz="0" w:space="0" w:color="auto"/>
      </w:divBdr>
    </w:div>
    <w:div w:id="1580674361">
      <w:bodyDiv w:val="1"/>
      <w:marLeft w:val="0"/>
      <w:marRight w:val="0"/>
      <w:marTop w:val="0"/>
      <w:marBottom w:val="0"/>
      <w:divBdr>
        <w:top w:val="none" w:sz="0" w:space="0" w:color="auto"/>
        <w:left w:val="none" w:sz="0" w:space="0" w:color="auto"/>
        <w:bottom w:val="none" w:sz="0" w:space="0" w:color="auto"/>
        <w:right w:val="none" w:sz="0" w:space="0" w:color="auto"/>
      </w:divBdr>
    </w:div>
    <w:div w:id="1583222862">
      <w:bodyDiv w:val="1"/>
      <w:marLeft w:val="0"/>
      <w:marRight w:val="0"/>
      <w:marTop w:val="0"/>
      <w:marBottom w:val="0"/>
      <w:divBdr>
        <w:top w:val="none" w:sz="0" w:space="0" w:color="auto"/>
        <w:left w:val="none" w:sz="0" w:space="0" w:color="auto"/>
        <w:bottom w:val="none" w:sz="0" w:space="0" w:color="auto"/>
        <w:right w:val="none" w:sz="0" w:space="0" w:color="auto"/>
      </w:divBdr>
    </w:div>
    <w:div w:id="1588617130">
      <w:bodyDiv w:val="1"/>
      <w:marLeft w:val="0"/>
      <w:marRight w:val="0"/>
      <w:marTop w:val="0"/>
      <w:marBottom w:val="0"/>
      <w:divBdr>
        <w:top w:val="none" w:sz="0" w:space="0" w:color="auto"/>
        <w:left w:val="none" w:sz="0" w:space="0" w:color="auto"/>
        <w:bottom w:val="none" w:sz="0" w:space="0" w:color="auto"/>
        <w:right w:val="none" w:sz="0" w:space="0" w:color="auto"/>
      </w:divBdr>
    </w:div>
    <w:div w:id="1660504181">
      <w:bodyDiv w:val="1"/>
      <w:marLeft w:val="0"/>
      <w:marRight w:val="0"/>
      <w:marTop w:val="0"/>
      <w:marBottom w:val="0"/>
      <w:divBdr>
        <w:top w:val="none" w:sz="0" w:space="0" w:color="auto"/>
        <w:left w:val="none" w:sz="0" w:space="0" w:color="auto"/>
        <w:bottom w:val="none" w:sz="0" w:space="0" w:color="auto"/>
        <w:right w:val="none" w:sz="0" w:space="0" w:color="auto"/>
      </w:divBdr>
    </w:div>
    <w:div w:id="1668482417">
      <w:bodyDiv w:val="1"/>
      <w:marLeft w:val="0"/>
      <w:marRight w:val="0"/>
      <w:marTop w:val="0"/>
      <w:marBottom w:val="0"/>
      <w:divBdr>
        <w:top w:val="none" w:sz="0" w:space="0" w:color="auto"/>
        <w:left w:val="none" w:sz="0" w:space="0" w:color="auto"/>
        <w:bottom w:val="none" w:sz="0" w:space="0" w:color="auto"/>
        <w:right w:val="none" w:sz="0" w:space="0" w:color="auto"/>
      </w:divBdr>
    </w:div>
    <w:div w:id="1687295122">
      <w:bodyDiv w:val="1"/>
      <w:marLeft w:val="0"/>
      <w:marRight w:val="0"/>
      <w:marTop w:val="0"/>
      <w:marBottom w:val="0"/>
      <w:divBdr>
        <w:top w:val="none" w:sz="0" w:space="0" w:color="auto"/>
        <w:left w:val="none" w:sz="0" w:space="0" w:color="auto"/>
        <w:bottom w:val="none" w:sz="0" w:space="0" w:color="auto"/>
        <w:right w:val="none" w:sz="0" w:space="0" w:color="auto"/>
      </w:divBdr>
    </w:div>
    <w:div w:id="1688672260">
      <w:bodyDiv w:val="1"/>
      <w:marLeft w:val="0"/>
      <w:marRight w:val="0"/>
      <w:marTop w:val="0"/>
      <w:marBottom w:val="0"/>
      <w:divBdr>
        <w:top w:val="none" w:sz="0" w:space="0" w:color="auto"/>
        <w:left w:val="none" w:sz="0" w:space="0" w:color="auto"/>
        <w:bottom w:val="none" w:sz="0" w:space="0" w:color="auto"/>
        <w:right w:val="none" w:sz="0" w:space="0" w:color="auto"/>
      </w:divBdr>
    </w:div>
    <w:div w:id="1699697405">
      <w:bodyDiv w:val="1"/>
      <w:marLeft w:val="0"/>
      <w:marRight w:val="0"/>
      <w:marTop w:val="0"/>
      <w:marBottom w:val="0"/>
      <w:divBdr>
        <w:top w:val="none" w:sz="0" w:space="0" w:color="auto"/>
        <w:left w:val="none" w:sz="0" w:space="0" w:color="auto"/>
        <w:bottom w:val="none" w:sz="0" w:space="0" w:color="auto"/>
        <w:right w:val="none" w:sz="0" w:space="0" w:color="auto"/>
      </w:divBdr>
    </w:div>
    <w:div w:id="1714034875">
      <w:bodyDiv w:val="1"/>
      <w:marLeft w:val="0"/>
      <w:marRight w:val="0"/>
      <w:marTop w:val="0"/>
      <w:marBottom w:val="0"/>
      <w:divBdr>
        <w:top w:val="none" w:sz="0" w:space="0" w:color="auto"/>
        <w:left w:val="none" w:sz="0" w:space="0" w:color="auto"/>
        <w:bottom w:val="none" w:sz="0" w:space="0" w:color="auto"/>
        <w:right w:val="none" w:sz="0" w:space="0" w:color="auto"/>
      </w:divBdr>
    </w:div>
    <w:div w:id="1726299688">
      <w:bodyDiv w:val="1"/>
      <w:marLeft w:val="0"/>
      <w:marRight w:val="0"/>
      <w:marTop w:val="0"/>
      <w:marBottom w:val="0"/>
      <w:divBdr>
        <w:top w:val="none" w:sz="0" w:space="0" w:color="auto"/>
        <w:left w:val="none" w:sz="0" w:space="0" w:color="auto"/>
        <w:bottom w:val="none" w:sz="0" w:space="0" w:color="auto"/>
        <w:right w:val="none" w:sz="0" w:space="0" w:color="auto"/>
      </w:divBdr>
    </w:div>
    <w:div w:id="1734500224">
      <w:bodyDiv w:val="1"/>
      <w:marLeft w:val="0"/>
      <w:marRight w:val="0"/>
      <w:marTop w:val="0"/>
      <w:marBottom w:val="0"/>
      <w:divBdr>
        <w:top w:val="none" w:sz="0" w:space="0" w:color="auto"/>
        <w:left w:val="none" w:sz="0" w:space="0" w:color="auto"/>
        <w:bottom w:val="none" w:sz="0" w:space="0" w:color="auto"/>
        <w:right w:val="none" w:sz="0" w:space="0" w:color="auto"/>
      </w:divBdr>
    </w:div>
    <w:div w:id="1748843157">
      <w:bodyDiv w:val="1"/>
      <w:marLeft w:val="0"/>
      <w:marRight w:val="0"/>
      <w:marTop w:val="0"/>
      <w:marBottom w:val="0"/>
      <w:divBdr>
        <w:top w:val="none" w:sz="0" w:space="0" w:color="auto"/>
        <w:left w:val="none" w:sz="0" w:space="0" w:color="auto"/>
        <w:bottom w:val="none" w:sz="0" w:space="0" w:color="auto"/>
        <w:right w:val="none" w:sz="0" w:space="0" w:color="auto"/>
      </w:divBdr>
    </w:div>
    <w:div w:id="1751536538">
      <w:bodyDiv w:val="1"/>
      <w:marLeft w:val="0"/>
      <w:marRight w:val="0"/>
      <w:marTop w:val="0"/>
      <w:marBottom w:val="0"/>
      <w:divBdr>
        <w:top w:val="none" w:sz="0" w:space="0" w:color="auto"/>
        <w:left w:val="none" w:sz="0" w:space="0" w:color="auto"/>
        <w:bottom w:val="none" w:sz="0" w:space="0" w:color="auto"/>
        <w:right w:val="none" w:sz="0" w:space="0" w:color="auto"/>
      </w:divBdr>
    </w:div>
    <w:div w:id="1767456392">
      <w:bodyDiv w:val="1"/>
      <w:marLeft w:val="0"/>
      <w:marRight w:val="0"/>
      <w:marTop w:val="0"/>
      <w:marBottom w:val="0"/>
      <w:divBdr>
        <w:top w:val="none" w:sz="0" w:space="0" w:color="auto"/>
        <w:left w:val="none" w:sz="0" w:space="0" w:color="auto"/>
        <w:bottom w:val="none" w:sz="0" w:space="0" w:color="auto"/>
        <w:right w:val="none" w:sz="0" w:space="0" w:color="auto"/>
      </w:divBdr>
    </w:div>
    <w:div w:id="1768647728">
      <w:bodyDiv w:val="1"/>
      <w:marLeft w:val="0"/>
      <w:marRight w:val="0"/>
      <w:marTop w:val="0"/>
      <w:marBottom w:val="0"/>
      <w:divBdr>
        <w:top w:val="none" w:sz="0" w:space="0" w:color="auto"/>
        <w:left w:val="none" w:sz="0" w:space="0" w:color="auto"/>
        <w:bottom w:val="none" w:sz="0" w:space="0" w:color="auto"/>
        <w:right w:val="none" w:sz="0" w:space="0" w:color="auto"/>
      </w:divBdr>
    </w:div>
    <w:div w:id="1780880012">
      <w:bodyDiv w:val="1"/>
      <w:marLeft w:val="0"/>
      <w:marRight w:val="0"/>
      <w:marTop w:val="0"/>
      <w:marBottom w:val="0"/>
      <w:divBdr>
        <w:top w:val="none" w:sz="0" w:space="0" w:color="auto"/>
        <w:left w:val="none" w:sz="0" w:space="0" w:color="auto"/>
        <w:bottom w:val="none" w:sz="0" w:space="0" w:color="auto"/>
        <w:right w:val="none" w:sz="0" w:space="0" w:color="auto"/>
      </w:divBdr>
    </w:div>
    <w:div w:id="1834565880">
      <w:bodyDiv w:val="1"/>
      <w:marLeft w:val="0"/>
      <w:marRight w:val="0"/>
      <w:marTop w:val="0"/>
      <w:marBottom w:val="0"/>
      <w:divBdr>
        <w:top w:val="none" w:sz="0" w:space="0" w:color="auto"/>
        <w:left w:val="none" w:sz="0" w:space="0" w:color="auto"/>
        <w:bottom w:val="none" w:sz="0" w:space="0" w:color="auto"/>
        <w:right w:val="none" w:sz="0" w:space="0" w:color="auto"/>
      </w:divBdr>
    </w:div>
    <w:div w:id="1839617113">
      <w:bodyDiv w:val="1"/>
      <w:marLeft w:val="0"/>
      <w:marRight w:val="0"/>
      <w:marTop w:val="0"/>
      <w:marBottom w:val="0"/>
      <w:divBdr>
        <w:top w:val="none" w:sz="0" w:space="0" w:color="auto"/>
        <w:left w:val="none" w:sz="0" w:space="0" w:color="auto"/>
        <w:bottom w:val="none" w:sz="0" w:space="0" w:color="auto"/>
        <w:right w:val="none" w:sz="0" w:space="0" w:color="auto"/>
      </w:divBdr>
    </w:div>
    <w:div w:id="1860314310">
      <w:bodyDiv w:val="1"/>
      <w:marLeft w:val="0"/>
      <w:marRight w:val="0"/>
      <w:marTop w:val="0"/>
      <w:marBottom w:val="0"/>
      <w:divBdr>
        <w:top w:val="none" w:sz="0" w:space="0" w:color="auto"/>
        <w:left w:val="none" w:sz="0" w:space="0" w:color="auto"/>
        <w:bottom w:val="none" w:sz="0" w:space="0" w:color="auto"/>
        <w:right w:val="none" w:sz="0" w:space="0" w:color="auto"/>
      </w:divBdr>
    </w:div>
    <w:div w:id="1870756553">
      <w:bodyDiv w:val="1"/>
      <w:marLeft w:val="0"/>
      <w:marRight w:val="0"/>
      <w:marTop w:val="0"/>
      <w:marBottom w:val="0"/>
      <w:divBdr>
        <w:top w:val="none" w:sz="0" w:space="0" w:color="auto"/>
        <w:left w:val="none" w:sz="0" w:space="0" w:color="auto"/>
        <w:bottom w:val="none" w:sz="0" w:space="0" w:color="auto"/>
        <w:right w:val="none" w:sz="0" w:space="0" w:color="auto"/>
      </w:divBdr>
    </w:div>
    <w:div w:id="1875999520">
      <w:bodyDiv w:val="1"/>
      <w:marLeft w:val="0"/>
      <w:marRight w:val="0"/>
      <w:marTop w:val="0"/>
      <w:marBottom w:val="0"/>
      <w:divBdr>
        <w:top w:val="none" w:sz="0" w:space="0" w:color="auto"/>
        <w:left w:val="none" w:sz="0" w:space="0" w:color="auto"/>
        <w:bottom w:val="none" w:sz="0" w:space="0" w:color="auto"/>
        <w:right w:val="none" w:sz="0" w:space="0" w:color="auto"/>
      </w:divBdr>
    </w:div>
    <w:div w:id="1921403145">
      <w:bodyDiv w:val="1"/>
      <w:marLeft w:val="0"/>
      <w:marRight w:val="0"/>
      <w:marTop w:val="0"/>
      <w:marBottom w:val="0"/>
      <w:divBdr>
        <w:top w:val="none" w:sz="0" w:space="0" w:color="auto"/>
        <w:left w:val="none" w:sz="0" w:space="0" w:color="auto"/>
        <w:bottom w:val="none" w:sz="0" w:space="0" w:color="auto"/>
        <w:right w:val="none" w:sz="0" w:space="0" w:color="auto"/>
      </w:divBdr>
    </w:div>
    <w:div w:id="1943410733">
      <w:bodyDiv w:val="1"/>
      <w:marLeft w:val="0"/>
      <w:marRight w:val="0"/>
      <w:marTop w:val="0"/>
      <w:marBottom w:val="0"/>
      <w:divBdr>
        <w:top w:val="none" w:sz="0" w:space="0" w:color="auto"/>
        <w:left w:val="none" w:sz="0" w:space="0" w:color="auto"/>
        <w:bottom w:val="none" w:sz="0" w:space="0" w:color="auto"/>
        <w:right w:val="none" w:sz="0" w:space="0" w:color="auto"/>
      </w:divBdr>
    </w:div>
    <w:div w:id="1944797352">
      <w:bodyDiv w:val="1"/>
      <w:marLeft w:val="0"/>
      <w:marRight w:val="0"/>
      <w:marTop w:val="0"/>
      <w:marBottom w:val="0"/>
      <w:divBdr>
        <w:top w:val="none" w:sz="0" w:space="0" w:color="auto"/>
        <w:left w:val="none" w:sz="0" w:space="0" w:color="auto"/>
        <w:bottom w:val="none" w:sz="0" w:space="0" w:color="auto"/>
        <w:right w:val="none" w:sz="0" w:space="0" w:color="auto"/>
      </w:divBdr>
    </w:div>
    <w:div w:id="1952666236">
      <w:bodyDiv w:val="1"/>
      <w:marLeft w:val="0"/>
      <w:marRight w:val="0"/>
      <w:marTop w:val="0"/>
      <w:marBottom w:val="0"/>
      <w:divBdr>
        <w:top w:val="none" w:sz="0" w:space="0" w:color="auto"/>
        <w:left w:val="none" w:sz="0" w:space="0" w:color="auto"/>
        <w:bottom w:val="none" w:sz="0" w:space="0" w:color="auto"/>
        <w:right w:val="none" w:sz="0" w:space="0" w:color="auto"/>
      </w:divBdr>
    </w:div>
    <w:div w:id="1960447790">
      <w:bodyDiv w:val="1"/>
      <w:marLeft w:val="0"/>
      <w:marRight w:val="0"/>
      <w:marTop w:val="0"/>
      <w:marBottom w:val="0"/>
      <w:divBdr>
        <w:top w:val="none" w:sz="0" w:space="0" w:color="auto"/>
        <w:left w:val="none" w:sz="0" w:space="0" w:color="auto"/>
        <w:bottom w:val="none" w:sz="0" w:space="0" w:color="auto"/>
        <w:right w:val="none" w:sz="0" w:space="0" w:color="auto"/>
      </w:divBdr>
    </w:div>
    <w:div w:id="1965771875">
      <w:bodyDiv w:val="1"/>
      <w:marLeft w:val="0"/>
      <w:marRight w:val="0"/>
      <w:marTop w:val="0"/>
      <w:marBottom w:val="0"/>
      <w:divBdr>
        <w:top w:val="none" w:sz="0" w:space="0" w:color="auto"/>
        <w:left w:val="none" w:sz="0" w:space="0" w:color="auto"/>
        <w:bottom w:val="none" w:sz="0" w:space="0" w:color="auto"/>
        <w:right w:val="none" w:sz="0" w:space="0" w:color="auto"/>
      </w:divBdr>
    </w:div>
    <w:div w:id="1969237003">
      <w:bodyDiv w:val="1"/>
      <w:marLeft w:val="0"/>
      <w:marRight w:val="0"/>
      <w:marTop w:val="0"/>
      <w:marBottom w:val="0"/>
      <w:divBdr>
        <w:top w:val="none" w:sz="0" w:space="0" w:color="auto"/>
        <w:left w:val="none" w:sz="0" w:space="0" w:color="auto"/>
        <w:bottom w:val="none" w:sz="0" w:space="0" w:color="auto"/>
        <w:right w:val="none" w:sz="0" w:space="0" w:color="auto"/>
      </w:divBdr>
    </w:div>
    <w:div w:id="1977566042">
      <w:bodyDiv w:val="1"/>
      <w:marLeft w:val="0"/>
      <w:marRight w:val="0"/>
      <w:marTop w:val="0"/>
      <w:marBottom w:val="0"/>
      <w:divBdr>
        <w:top w:val="none" w:sz="0" w:space="0" w:color="auto"/>
        <w:left w:val="none" w:sz="0" w:space="0" w:color="auto"/>
        <w:bottom w:val="none" w:sz="0" w:space="0" w:color="auto"/>
        <w:right w:val="none" w:sz="0" w:space="0" w:color="auto"/>
      </w:divBdr>
    </w:div>
    <w:div w:id="1986399166">
      <w:bodyDiv w:val="1"/>
      <w:marLeft w:val="0"/>
      <w:marRight w:val="0"/>
      <w:marTop w:val="0"/>
      <w:marBottom w:val="0"/>
      <w:divBdr>
        <w:top w:val="none" w:sz="0" w:space="0" w:color="auto"/>
        <w:left w:val="none" w:sz="0" w:space="0" w:color="auto"/>
        <w:bottom w:val="none" w:sz="0" w:space="0" w:color="auto"/>
        <w:right w:val="none" w:sz="0" w:space="0" w:color="auto"/>
      </w:divBdr>
    </w:div>
    <w:div w:id="1992442851">
      <w:bodyDiv w:val="1"/>
      <w:marLeft w:val="0"/>
      <w:marRight w:val="0"/>
      <w:marTop w:val="0"/>
      <w:marBottom w:val="0"/>
      <w:divBdr>
        <w:top w:val="none" w:sz="0" w:space="0" w:color="auto"/>
        <w:left w:val="none" w:sz="0" w:space="0" w:color="auto"/>
        <w:bottom w:val="none" w:sz="0" w:space="0" w:color="auto"/>
        <w:right w:val="none" w:sz="0" w:space="0" w:color="auto"/>
      </w:divBdr>
    </w:div>
    <w:div w:id="1994984015">
      <w:bodyDiv w:val="1"/>
      <w:marLeft w:val="0"/>
      <w:marRight w:val="0"/>
      <w:marTop w:val="0"/>
      <w:marBottom w:val="0"/>
      <w:divBdr>
        <w:top w:val="none" w:sz="0" w:space="0" w:color="auto"/>
        <w:left w:val="none" w:sz="0" w:space="0" w:color="auto"/>
        <w:bottom w:val="none" w:sz="0" w:space="0" w:color="auto"/>
        <w:right w:val="none" w:sz="0" w:space="0" w:color="auto"/>
      </w:divBdr>
    </w:div>
    <w:div w:id="2026248580">
      <w:bodyDiv w:val="1"/>
      <w:marLeft w:val="0"/>
      <w:marRight w:val="0"/>
      <w:marTop w:val="0"/>
      <w:marBottom w:val="0"/>
      <w:divBdr>
        <w:top w:val="none" w:sz="0" w:space="0" w:color="auto"/>
        <w:left w:val="none" w:sz="0" w:space="0" w:color="auto"/>
        <w:bottom w:val="none" w:sz="0" w:space="0" w:color="auto"/>
        <w:right w:val="none" w:sz="0" w:space="0" w:color="auto"/>
      </w:divBdr>
    </w:div>
    <w:div w:id="2039041248">
      <w:bodyDiv w:val="1"/>
      <w:marLeft w:val="0"/>
      <w:marRight w:val="0"/>
      <w:marTop w:val="0"/>
      <w:marBottom w:val="0"/>
      <w:divBdr>
        <w:top w:val="none" w:sz="0" w:space="0" w:color="auto"/>
        <w:left w:val="none" w:sz="0" w:space="0" w:color="auto"/>
        <w:bottom w:val="none" w:sz="0" w:space="0" w:color="auto"/>
        <w:right w:val="none" w:sz="0" w:space="0" w:color="auto"/>
      </w:divBdr>
    </w:div>
    <w:div w:id="2055621838">
      <w:bodyDiv w:val="1"/>
      <w:marLeft w:val="0"/>
      <w:marRight w:val="0"/>
      <w:marTop w:val="0"/>
      <w:marBottom w:val="0"/>
      <w:divBdr>
        <w:top w:val="none" w:sz="0" w:space="0" w:color="auto"/>
        <w:left w:val="none" w:sz="0" w:space="0" w:color="auto"/>
        <w:bottom w:val="none" w:sz="0" w:space="0" w:color="auto"/>
        <w:right w:val="none" w:sz="0" w:space="0" w:color="auto"/>
      </w:divBdr>
    </w:div>
    <w:div w:id="2064938914">
      <w:bodyDiv w:val="1"/>
      <w:marLeft w:val="0"/>
      <w:marRight w:val="0"/>
      <w:marTop w:val="0"/>
      <w:marBottom w:val="0"/>
      <w:divBdr>
        <w:top w:val="none" w:sz="0" w:space="0" w:color="auto"/>
        <w:left w:val="none" w:sz="0" w:space="0" w:color="auto"/>
        <w:bottom w:val="none" w:sz="0" w:space="0" w:color="auto"/>
        <w:right w:val="none" w:sz="0" w:space="0" w:color="auto"/>
      </w:divBdr>
    </w:div>
    <w:div w:id="2069456368">
      <w:bodyDiv w:val="1"/>
      <w:marLeft w:val="0"/>
      <w:marRight w:val="0"/>
      <w:marTop w:val="0"/>
      <w:marBottom w:val="0"/>
      <w:divBdr>
        <w:top w:val="none" w:sz="0" w:space="0" w:color="auto"/>
        <w:left w:val="none" w:sz="0" w:space="0" w:color="auto"/>
        <w:bottom w:val="none" w:sz="0" w:space="0" w:color="auto"/>
        <w:right w:val="none" w:sz="0" w:space="0" w:color="auto"/>
      </w:divBdr>
    </w:div>
    <w:div w:id="2075349900">
      <w:bodyDiv w:val="1"/>
      <w:marLeft w:val="0"/>
      <w:marRight w:val="0"/>
      <w:marTop w:val="0"/>
      <w:marBottom w:val="0"/>
      <w:divBdr>
        <w:top w:val="none" w:sz="0" w:space="0" w:color="auto"/>
        <w:left w:val="none" w:sz="0" w:space="0" w:color="auto"/>
        <w:bottom w:val="none" w:sz="0" w:space="0" w:color="auto"/>
        <w:right w:val="none" w:sz="0" w:space="0" w:color="auto"/>
      </w:divBdr>
    </w:div>
    <w:div w:id="2082874056">
      <w:bodyDiv w:val="1"/>
      <w:marLeft w:val="0"/>
      <w:marRight w:val="0"/>
      <w:marTop w:val="0"/>
      <w:marBottom w:val="0"/>
      <w:divBdr>
        <w:top w:val="none" w:sz="0" w:space="0" w:color="auto"/>
        <w:left w:val="none" w:sz="0" w:space="0" w:color="auto"/>
        <w:bottom w:val="none" w:sz="0" w:space="0" w:color="auto"/>
        <w:right w:val="none" w:sz="0" w:space="0" w:color="auto"/>
      </w:divBdr>
    </w:div>
    <w:div w:id="2098213717">
      <w:bodyDiv w:val="1"/>
      <w:marLeft w:val="0"/>
      <w:marRight w:val="0"/>
      <w:marTop w:val="0"/>
      <w:marBottom w:val="0"/>
      <w:divBdr>
        <w:top w:val="none" w:sz="0" w:space="0" w:color="auto"/>
        <w:left w:val="none" w:sz="0" w:space="0" w:color="auto"/>
        <w:bottom w:val="none" w:sz="0" w:space="0" w:color="auto"/>
        <w:right w:val="none" w:sz="0" w:space="0" w:color="auto"/>
      </w:divBdr>
    </w:div>
    <w:div w:id="2111124016">
      <w:bodyDiv w:val="1"/>
      <w:marLeft w:val="0"/>
      <w:marRight w:val="0"/>
      <w:marTop w:val="0"/>
      <w:marBottom w:val="0"/>
      <w:divBdr>
        <w:top w:val="none" w:sz="0" w:space="0" w:color="auto"/>
        <w:left w:val="none" w:sz="0" w:space="0" w:color="auto"/>
        <w:bottom w:val="none" w:sz="0" w:space="0" w:color="auto"/>
        <w:right w:val="none" w:sz="0" w:space="0" w:color="auto"/>
      </w:divBdr>
    </w:div>
    <w:div w:id="2145852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0C715-6247-4C4E-8567-3427FDB1C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120</Pages>
  <Words>50672</Words>
  <Characters>288835</Characters>
  <Application>Microsoft Office Word</Application>
  <DocSecurity>0</DocSecurity>
  <Lines>2406</Lines>
  <Paragraphs>677</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338830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Tomica</dc:creator>
  <cp:keywords/>
  <dc:description/>
  <cp:lastModifiedBy>Ivana Burić</cp:lastModifiedBy>
  <cp:revision>4</cp:revision>
  <cp:lastPrinted>2025-04-25T11:25:00Z</cp:lastPrinted>
  <dcterms:created xsi:type="dcterms:W3CDTF">2025-06-13T10:06:00Z</dcterms:created>
  <dcterms:modified xsi:type="dcterms:W3CDTF">2025-06-18T07:56:00Z</dcterms:modified>
</cp:coreProperties>
</file>